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00CC73A">
      <w:pPr>
        <w:pStyle w:val="114"/>
        <w:spacing w:before="0" w:after="0"/>
        <w:ind w:firstLine="0"/>
        <w:rPr>
          <w:rFonts w:ascii="Times New Roman" w:hAnsi="Times New Roman"/>
        </w:rPr>
      </w:pPr>
    </w:p>
    <w:p w14:paraId="5543B3BE">
      <w:pPr>
        <w:pStyle w:val="114"/>
        <w:spacing w:before="0" w:after="0"/>
        <w:ind w:firstLine="0"/>
        <w:rPr>
          <w:rFonts w:ascii="Times New Roman" w:hAnsi="Times New Roman"/>
        </w:rPr>
      </w:pPr>
    </w:p>
    <w:p w14:paraId="2153584B">
      <w:pPr>
        <w:pStyle w:val="114"/>
        <w:ind w:firstLine="0"/>
        <w:jc w:val="center"/>
        <w:rPr>
          <w:rFonts w:ascii="Times New Roman" w:hAnsi="Times New Roman" w:eastAsia="黑体"/>
          <w:b/>
          <w:bCs/>
          <w:sz w:val="84"/>
        </w:rPr>
      </w:pPr>
    </w:p>
    <w:p w14:paraId="156EE7AD">
      <w:pPr>
        <w:pStyle w:val="114"/>
        <w:ind w:firstLine="0"/>
        <w:jc w:val="center"/>
        <w:rPr>
          <w:rFonts w:ascii="Times New Roman" w:hAnsi="Times New Roman" w:eastAsia="黑体"/>
          <w:b/>
          <w:bCs/>
          <w:sz w:val="84"/>
        </w:rPr>
      </w:pPr>
      <w:r>
        <w:rPr>
          <w:rFonts w:ascii="Times New Roman" w:hAnsi="Times New Roman" w:eastAsia="黑体"/>
          <w:b/>
          <w:bCs/>
          <w:sz w:val="84"/>
        </w:rPr>
        <w:t>招　标　文　件</w:t>
      </w:r>
    </w:p>
    <w:p w14:paraId="5ABA94B0">
      <w:pPr>
        <w:pStyle w:val="114"/>
        <w:ind w:firstLine="0"/>
        <w:jc w:val="center"/>
        <w:rPr>
          <w:rFonts w:ascii="Times New Roman" w:hAnsi="Times New Roman"/>
          <w:b/>
          <w:bCs/>
          <w:color w:val="000000"/>
          <w:sz w:val="32"/>
        </w:rPr>
      </w:pPr>
    </w:p>
    <w:p w14:paraId="42E710A9">
      <w:pPr>
        <w:pStyle w:val="114"/>
        <w:ind w:firstLine="0"/>
        <w:jc w:val="center"/>
        <w:rPr>
          <w:rFonts w:ascii="Times New Roman" w:hAnsi="Times New Roman"/>
          <w:b/>
          <w:bCs/>
          <w:sz w:val="32"/>
        </w:rPr>
      </w:pPr>
      <w:r>
        <w:rPr>
          <w:rFonts w:ascii="Times New Roman" w:hAnsi="Times New Roman"/>
          <w:b/>
          <w:bCs/>
          <w:color w:val="000000"/>
          <w:sz w:val="32"/>
        </w:rPr>
        <w:t>项目名称：</w:t>
      </w:r>
      <w:r>
        <w:rPr>
          <w:rFonts w:hint="eastAsia"/>
          <w:b/>
          <w:bCs/>
          <w:color w:val="000000"/>
          <w:sz w:val="32"/>
        </w:rPr>
        <w:t>彩票仓储运杂服务及热敏纸物流服务项目</w:t>
      </w:r>
    </w:p>
    <w:p w14:paraId="3576EC60">
      <w:pPr>
        <w:pStyle w:val="114"/>
        <w:ind w:firstLine="0"/>
        <w:jc w:val="center"/>
        <w:rPr>
          <w:rFonts w:ascii="Times New Roman" w:hAnsi="Times New Roman"/>
          <w:b/>
          <w:bCs/>
          <w:sz w:val="32"/>
        </w:rPr>
      </w:pPr>
      <w:r>
        <w:rPr>
          <w:rFonts w:ascii="Times New Roman" w:hAnsi="Times New Roman"/>
          <w:b/>
          <w:bCs/>
          <w:sz w:val="32"/>
        </w:rPr>
        <w:t>招标编号：</w:t>
      </w:r>
      <w:r>
        <w:rPr>
          <w:rFonts w:hint="eastAsia"/>
          <w:b/>
          <w:bCs/>
          <w:color w:val="000000"/>
          <w:sz w:val="32"/>
        </w:rPr>
        <w:t>JSZC-320000-JZCG-G2026-0030（STZ-FSGK26062）</w:t>
      </w:r>
      <w:r>
        <w:rPr>
          <w:rFonts w:ascii="Times New Roman" w:hAnsi="Times New Roman"/>
          <w:b/>
          <w:bCs/>
          <w:sz w:val="32"/>
        </w:rPr>
        <w:t xml:space="preserve"> </w:t>
      </w:r>
    </w:p>
    <w:p w14:paraId="2E56F592">
      <w:pPr>
        <w:pStyle w:val="114"/>
        <w:spacing w:before="0" w:after="0"/>
        <w:ind w:firstLine="0"/>
        <w:rPr>
          <w:rFonts w:ascii="Times New Roman" w:hAnsi="Times New Roman"/>
        </w:rPr>
      </w:pPr>
    </w:p>
    <w:p w14:paraId="59179B95">
      <w:pPr>
        <w:pStyle w:val="114"/>
        <w:spacing w:before="0" w:after="0"/>
        <w:ind w:firstLine="0"/>
        <w:rPr>
          <w:rFonts w:ascii="Times New Roman" w:hAnsi="Times New Roman"/>
        </w:rPr>
      </w:pPr>
    </w:p>
    <w:p w14:paraId="79B89025">
      <w:pPr>
        <w:pStyle w:val="114"/>
        <w:spacing w:before="0" w:after="0"/>
        <w:ind w:firstLine="0"/>
        <w:rPr>
          <w:rFonts w:ascii="Times New Roman" w:hAnsi="Times New Roman"/>
        </w:rPr>
      </w:pPr>
    </w:p>
    <w:p w14:paraId="387EE6A9">
      <w:pPr>
        <w:pStyle w:val="114"/>
        <w:spacing w:before="0" w:after="0"/>
        <w:ind w:firstLine="0"/>
        <w:rPr>
          <w:rFonts w:ascii="Times New Roman" w:hAnsi="Times New Roman"/>
        </w:rPr>
      </w:pPr>
    </w:p>
    <w:p w14:paraId="7763A7C0">
      <w:pPr>
        <w:pStyle w:val="114"/>
        <w:spacing w:before="0" w:after="0"/>
        <w:ind w:firstLine="0"/>
        <w:rPr>
          <w:rFonts w:ascii="Times New Roman" w:hAnsi="Times New Roman"/>
        </w:rPr>
      </w:pPr>
    </w:p>
    <w:p w14:paraId="45276018">
      <w:pPr>
        <w:pStyle w:val="114"/>
        <w:spacing w:before="0" w:after="0"/>
        <w:ind w:firstLine="0"/>
        <w:rPr>
          <w:rFonts w:ascii="Times New Roman" w:hAnsi="Times New Roman"/>
        </w:rPr>
      </w:pPr>
    </w:p>
    <w:p w14:paraId="129E4F90">
      <w:pPr>
        <w:pStyle w:val="114"/>
        <w:spacing w:before="0" w:after="0"/>
        <w:ind w:firstLine="0"/>
        <w:rPr>
          <w:rFonts w:ascii="Times New Roman" w:hAnsi="Times New Roman"/>
        </w:rPr>
      </w:pPr>
    </w:p>
    <w:p w14:paraId="5E5F0ECB">
      <w:pPr>
        <w:pStyle w:val="114"/>
        <w:spacing w:before="0" w:after="0"/>
        <w:ind w:firstLine="0"/>
        <w:rPr>
          <w:rFonts w:ascii="Times New Roman" w:hAnsi="Times New Roman"/>
        </w:rPr>
      </w:pPr>
    </w:p>
    <w:p w14:paraId="7FC76685">
      <w:pPr>
        <w:pStyle w:val="114"/>
        <w:spacing w:before="0" w:after="0"/>
        <w:ind w:firstLine="0"/>
        <w:rPr>
          <w:rFonts w:ascii="Times New Roman" w:hAnsi="Times New Roman"/>
        </w:rPr>
      </w:pPr>
    </w:p>
    <w:p w14:paraId="1FB50849">
      <w:pPr>
        <w:pStyle w:val="114"/>
        <w:spacing w:before="0" w:after="0"/>
        <w:ind w:firstLine="0"/>
        <w:rPr>
          <w:rFonts w:ascii="Times New Roman" w:hAnsi="Times New Roman"/>
        </w:rPr>
      </w:pPr>
    </w:p>
    <w:p w14:paraId="7F0B97AE">
      <w:pPr>
        <w:pStyle w:val="114"/>
        <w:spacing w:before="0" w:after="0"/>
        <w:ind w:firstLine="0"/>
        <w:rPr>
          <w:rFonts w:ascii="Times New Roman" w:hAnsi="Times New Roman"/>
        </w:rPr>
      </w:pPr>
    </w:p>
    <w:p w14:paraId="7AC6F321">
      <w:pPr>
        <w:pStyle w:val="114"/>
        <w:ind w:firstLine="0"/>
        <w:jc w:val="center"/>
        <w:rPr>
          <w:rFonts w:ascii="Times New Roman" w:hAnsi="Times New Roman"/>
          <w:b/>
          <w:bCs/>
          <w:sz w:val="32"/>
        </w:rPr>
      </w:pPr>
      <w:r>
        <w:rPr>
          <w:rFonts w:ascii="Times New Roman" w:hAnsi="Times New Roman"/>
          <w:b/>
          <w:bCs/>
          <w:sz w:val="32"/>
        </w:rPr>
        <w:t>江苏省体育装备中心</w:t>
      </w:r>
    </w:p>
    <w:p w14:paraId="3D6A422F">
      <w:pPr>
        <w:pStyle w:val="114"/>
        <w:ind w:firstLine="0"/>
        <w:jc w:val="center"/>
        <w:rPr>
          <w:rFonts w:ascii="Times New Roman" w:hAnsi="Times New Roman"/>
          <w:b/>
          <w:bCs/>
          <w:sz w:val="32"/>
        </w:rPr>
      </w:pPr>
      <w:r>
        <w:rPr>
          <w:rFonts w:ascii="Times New Roman" w:hAnsi="Times New Roman"/>
          <w:b/>
          <w:bCs/>
          <w:sz w:val="32"/>
        </w:rPr>
        <w:t>二〇二</w:t>
      </w:r>
      <w:r>
        <w:rPr>
          <w:rFonts w:hint="eastAsia" w:ascii="Times New Roman" w:hAnsi="Times New Roman"/>
          <w:b/>
          <w:bCs/>
          <w:sz w:val="32"/>
        </w:rPr>
        <w:t>六</w:t>
      </w:r>
      <w:r>
        <w:rPr>
          <w:rFonts w:ascii="Times New Roman" w:hAnsi="Times New Roman"/>
          <w:b/>
          <w:bCs/>
          <w:sz w:val="32"/>
        </w:rPr>
        <w:t>年</w:t>
      </w:r>
      <w:r>
        <w:rPr>
          <w:rFonts w:hint="eastAsia" w:ascii="Times New Roman" w:hAnsi="Times New Roman"/>
          <w:b/>
          <w:bCs/>
          <w:sz w:val="32"/>
        </w:rPr>
        <w:t>七</w:t>
      </w:r>
      <w:r>
        <w:rPr>
          <w:rFonts w:ascii="Times New Roman" w:hAnsi="Times New Roman"/>
          <w:b/>
          <w:bCs/>
          <w:sz w:val="32"/>
        </w:rPr>
        <w:t>月</w:t>
      </w:r>
    </w:p>
    <w:p w14:paraId="3079CF08">
      <w:pPr>
        <w:pStyle w:val="114"/>
        <w:ind w:firstLine="0"/>
        <w:jc w:val="center"/>
        <w:rPr>
          <w:rFonts w:ascii="Times New Roman" w:hAnsi="Times New Roman"/>
        </w:rPr>
      </w:pPr>
    </w:p>
    <w:p w14:paraId="4C082419">
      <w:pPr>
        <w:spacing w:line="440" w:lineRule="exact"/>
        <w:jc w:val="center"/>
        <w:rPr>
          <w:rFonts w:ascii="Times New Roman" w:hAnsi="Times New Roman"/>
          <w:b/>
          <w:bCs/>
          <w:sz w:val="32"/>
          <w:szCs w:val="32"/>
        </w:rPr>
      </w:pPr>
      <w:r>
        <w:rPr>
          <w:rFonts w:ascii="Times New Roman" w:hAnsi="Times New Roman"/>
        </w:rPr>
        <w:br w:type="page"/>
      </w:r>
      <w:bookmarkStart w:id="0" w:name="_Toc481072416"/>
      <w:bookmarkStart w:id="1" w:name="_Toc481073014"/>
      <w:bookmarkStart w:id="2" w:name="_Toc481071963"/>
      <w:bookmarkStart w:id="3" w:name="_Toc481072514"/>
      <w:bookmarkStart w:id="4" w:name="_Toc483326168"/>
      <w:bookmarkStart w:id="5" w:name="_Toc475009293"/>
      <w:bookmarkStart w:id="6" w:name="_Toc481072009"/>
      <w:bookmarkStart w:id="7" w:name="_Toc120614210"/>
      <w:bookmarkStart w:id="8" w:name="_Toc16938516"/>
      <w:bookmarkStart w:id="9" w:name="_Toc479757206"/>
      <w:bookmarkStart w:id="10" w:name="_Toc20823272"/>
      <w:bookmarkStart w:id="11" w:name="_Toc513029200"/>
      <w:bookmarkStart w:id="12" w:name="_Toc523127445"/>
      <w:r>
        <w:rPr>
          <w:rFonts w:ascii="Times New Roman" w:hAnsi="Times New Roman"/>
          <w:b/>
          <w:bCs/>
          <w:sz w:val="32"/>
          <w:szCs w:val="32"/>
        </w:rPr>
        <w:t>总  目  录</w:t>
      </w:r>
      <w:bookmarkEnd w:id="0"/>
      <w:bookmarkEnd w:id="1"/>
      <w:bookmarkEnd w:id="2"/>
      <w:bookmarkEnd w:id="3"/>
      <w:bookmarkEnd w:id="4"/>
      <w:bookmarkEnd w:id="5"/>
      <w:bookmarkEnd w:id="6"/>
      <w:r>
        <w:rPr>
          <w:rFonts w:ascii="Times New Roman" w:hAnsi="Times New Roman"/>
          <w:b/>
          <w:bCs/>
          <w:sz w:val="32"/>
          <w:szCs w:val="32"/>
        </w:rPr>
        <w:t xml:space="preserve">           </w:t>
      </w:r>
    </w:p>
    <w:p w14:paraId="6F5DA3C7">
      <w:pPr>
        <w:pStyle w:val="2"/>
        <w:spacing w:line="560" w:lineRule="exact"/>
        <w:rPr>
          <w:rFonts w:ascii="Times New Roman" w:eastAsia="黑体"/>
          <w:bCs/>
          <w:sz w:val="44"/>
        </w:rPr>
      </w:pPr>
      <w:bookmarkStart w:id="13" w:name="_Toc475009294"/>
      <w:bookmarkStart w:id="14" w:name="_Toc481071964"/>
      <w:bookmarkStart w:id="15" w:name="_Toc481072010"/>
    </w:p>
    <w:p w14:paraId="7660FB2E">
      <w:pPr>
        <w:pStyle w:val="28"/>
        <w:tabs>
          <w:tab w:val="right" w:leader="dot" w:pos="8943"/>
        </w:tabs>
        <w:rPr>
          <w:b w:val="0"/>
          <w:bCs w:val="0"/>
          <w:caps w:val="0"/>
          <w:sz w:val="28"/>
          <w:szCs w:val="22"/>
        </w:rPr>
      </w:pPr>
      <w:r>
        <w:rPr>
          <w:rFonts w:ascii="Times New Roman" w:hAnsi="Times New Roman"/>
          <w:sz w:val="72"/>
        </w:rPr>
        <w:fldChar w:fldCharType="begin"/>
      </w:r>
      <w:r>
        <w:rPr>
          <w:rFonts w:ascii="Times New Roman" w:hAnsi="Times New Roman"/>
          <w:sz w:val="72"/>
        </w:rPr>
        <w:instrText xml:space="preserve"> TOC \o "1-1" \h \z \u </w:instrText>
      </w:r>
      <w:r>
        <w:rPr>
          <w:rFonts w:ascii="Times New Roman" w:hAnsi="Times New Roman"/>
          <w:sz w:val="72"/>
        </w:rPr>
        <w:fldChar w:fldCharType="separate"/>
      </w:r>
      <w:r>
        <w:fldChar w:fldCharType="begin"/>
      </w:r>
      <w:r>
        <w:instrText xml:space="preserve"> HYPERLINK \l "_Toc121905575" </w:instrText>
      </w:r>
      <w:r>
        <w:fldChar w:fldCharType="separate"/>
      </w:r>
      <w:r>
        <w:rPr>
          <w:rStyle w:val="45"/>
          <w:rFonts w:hint="eastAsia" w:eastAsia="黑体"/>
          <w:sz w:val="24"/>
        </w:rPr>
        <w:t>第一章</w:t>
      </w:r>
      <w:r>
        <w:rPr>
          <w:rStyle w:val="45"/>
          <w:rFonts w:eastAsia="黑体"/>
          <w:sz w:val="24"/>
        </w:rPr>
        <w:t xml:space="preserve">  </w:t>
      </w:r>
      <w:r>
        <w:rPr>
          <w:rStyle w:val="45"/>
          <w:rFonts w:hint="eastAsia" w:eastAsia="黑体"/>
          <w:sz w:val="24"/>
        </w:rPr>
        <w:t>招标邀请</w:t>
      </w:r>
      <w:r>
        <w:rPr>
          <w:sz w:val="24"/>
        </w:rPr>
        <w:tab/>
      </w:r>
      <w:r>
        <w:rPr>
          <w:sz w:val="24"/>
        </w:rPr>
        <w:fldChar w:fldCharType="begin"/>
      </w:r>
      <w:r>
        <w:rPr>
          <w:sz w:val="24"/>
        </w:rPr>
        <w:instrText xml:space="preserve"> PAGEREF _Toc121905575 \h </w:instrText>
      </w:r>
      <w:r>
        <w:rPr>
          <w:sz w:val="24"/>
        </w:rPr>
        <w:fldChar w:fldCharType="separate"/>
      </w:r>
      <w:r>
        <w:rPr>
          <w:sz w:val="24"/>
        </w:rPr>
        <w:t>1</w:t>
      </w:r>
      <w:r>
        <w:rPr>
          <w:sz w:val="24"/>
        </w:rPr>
        <w:fldChar w:fldCharType="end"/>
      </w:r>
      <w:r>
        <w:rPr>
          <w:sz w:val="24"/>
        </w:rPr>
        <w:fldChar w:fldCharType="end"/>
      </w:r>
    </w:p>
    <w:p w14:paraId="01911784">
      <w:pPr>
        <w:pStyle w:val="28"/>
        <w:tabs>
          <w:tab w:val="right" w:leader="dot" w:pos="8943"/>
        </w:tabs>
        <w:rPr>
          <w:b w:val="0"/>
          <w:bCs w:val="0"/>
          <w:caps w:val="0"/>
          <w:sz w:val="28"/>
          <w:szCs w:val="22"/>
        </w:rPr>
      </w:pPr>
      <w:r>
        <w:fldChar w:fldCharType="begin"/>
      </w:r>
      <w:r>
        <w:instrText xml:space="preserve"> HYPERLINK \l "_Toc121905576" </w:instrText>
      </w:r>
      <w:r>
        <w:fldChar w:fldCharType="separate"/>
      </w:r>
      <w:r>
        <w:rPr>
          <w:rStyle w:val="45"/>
          <w:rFonts w:hint="eastAsia" w:eastAsia="黑体"/>
          <w:sz w:val="24"/>
        </w:rPr>
        <w:t>第二章</w:t>
      </w:r>
      <w:r>
        <w:rPr>
          <w:rStyle w:val="45"/>
          <w:rFonts w:eastAsia="黑体"/>
          <w:sz w:val="24"/>
        </w:rPr>
        <w:t xml:space="preserve">  </w:t>
      </w:r>
      <w:r>
        <w:rPr>
          <w:rStyle w:val="45"/>
          <w:rFonts w:hint="eastAsia" w:eastAsia="黑体"/>
          <w:sz w:val="24"/>
        </w:rPr>
        <w:t>供应商须知</w:t>
      </w:r>
      <w:r>
        <w:rPr>
          <w:sz w:val="24"/>
        </w:rPr>
        <w:tab/>
      </w:r>
      <w:r>
        <w:rPr>
          <w:sz w:val="24"/>
        </w:rPr>
        <w:fldChar w:fldCharType="begin"/>
      </w:r>
      <w:r>
        <w:rPr>
          <w:sz w:val="24"/>
        </w:rPr>
        <w:instrText xml:space="preserve"> PAGEREF _Toc121905576 \h </w:instrText>
      </w:r>
      <w:r>
        <w:rPr>
          <w:sz w:val="24"/>
        </w:rPr>
        <w:fldChar w:fldCharType="separate"/>
      </w:r>
      <w:r>
        <w:rPr>
          <w:sz w:val="24"/>
        </w:rPr>
        <w:t>4</w:t>
      </w:r>
      <w:r>
        <w:rPr>
          <w:sz w:val="24"/>
        </w:rPr>
        <w:fldChar w:fldCharType="end"/>
      </w:r>
      <w:r>
        <w:rPr>
          <w:sz w:val="24"/>
        </w:rPr>
        <w:fldChar w:fldCharType="end"/>
      </w:r>
    </w:p>
    <w:p w14:paraId="363FC38C">
      <w:pPr>
        <w:pStyle w:val="28"/>
        <w:tabs>
          <w:tab w:val="left" w:pos="840"/>
          <w:tab w:val="right" w:leader="dot" w:pos="8943"/>
        </w:tabs>
        <w:rPr>
          <w:b w:val="0"/>
          <w:bCs w:val="0"/>
          <w:caps w:val="0"/>
          <w:sz w:val="28"/>
          <w:szCs w:val="22"/>
        </w:rPr>
      </w:pPr>
      <w:r>
        <w:fldChar w:fldCharType="begin"/>
      </w:r>
      <w:r>
        <w:instrText xml:space="preserve"> HYPERLINK \l "_Toc121905577" </w:instrText>
      </w:r>
      <w:r>
        <w:fldChar w:fldCharType="separate"/>
      </w:r>
      <w:r>
        <w:rPr>
          <w:rStyle w:val="45"/>
          <w:rFonts w:hint="eastAsia" w:eastAsia="黑体"/>
          <w:sz w:val="24"/>
        </w:rPr>
        <w:t>第三章</w:t>
      </w:r>
      <w:r>
        <w:rPr>
          <w:b w:val="0"/>
          <w:bCs w:val="0"/>
          <w:caps w:val="0"/>
          <w:sz w:val="28"/>
          <w:szCs w:val="22"/>
        </w:rPr>
        <w:tab/>
      </w:r>
      <w:r>
        <w:rPr>
          <w:rFonts w:hint="eastAsia"/>
          <w:b w:val="0"/>
          <w:bCs w:val="0"/>
          <w:caps w:val="0"/>
          <w:sz w:val="28"/>
          <w:szCs w:val="22"/>
        </w:rPr>
        <w:t xml:space="preserve"> </w:t>
      </w:r>
      <w:r>
        <w:rPr>
          <w:rStyle w:val="45"/>
          <w:rFonts w:hint="eastAsia" w:eastAsia="黑体"/>
          <w:sz w:val="24"/>
        </w:rPr>
        <w:t>合同条款及格式</w:t>
      </w:r>
      <w:r>
        <w:rPr>
          <w:sz w:val="24"/>
        </w:rPr>
        <w:tab/>
      </w:r>
      <w:r>
        <w:rPr>
          <w:sz w:val="24"/>
        </w:rPr>
        <w:fldChar w:fldCharType="begin"/>
      </w:r>
      <w:r>
        <w:rPr>
          <w:sz w:val="24"/>
        </w:rPr>
        <w:instrText xml:space="preserve"> PAGEREF _Toc121905577 \h </w:instrText>
      </w:r>
      <w:r>
        <w:rPr>
          <w:sz w:val="24"/>
        </w:rPr>
        <w:fldChar w:fldCharType="separate"/>
      </w:r>
      <w:r>
        <w:rPr>
          <w:sz w:val="24"/>
        </w:rPr>
        <w:t>1</w:t>
      </w:r>
      <w:r>
        <w:rPr>
          <w:rFonts w:hint="eastAsia"/>
          <w:sz w:val="24"/>
        </w:rPr>
        <w:t>5</w:t>
      </w:r>
      <w:r>
        <w:rPr>
          <w:sz w:val="24"/>
        </w:rPr>
        <w:fldChar w:fldCharType="end"/>
      </w:r>
      <w:r>
        <w:rPr>
          <w:sz w:val="24"/>
        </w:rPr>
        <w:fldChar w:fldCharType="end"/>
      </w:r>
    </w:p>
    <w:p w14:paraId="473DAC39">
      <w:pPr>
        <w:pStyle w:val="28"/>
        <w:tabs>
          <w:tab w:val="left" w:pos="840"/>
          <w:tab w:val="right" w:leader="dot" w:pos="8943"/>
        </w:tabs>
        <w:rPr>
          <w:b w:val="0"/>
          <w:bCs w:val="0"/>
          <w:caps w:val="0"/>
          <w:sz w:val="28"/>
          <w:szCs w:val="22"/>
        </w:rPr>
      </w:pPr>
      <w:r>
        <w:fldChar w:fldCharType="begin"/>
      </w:r>
      <w:r>
        <w:instrText xml:space="preserve"> HYPERLINK \l "_Toc121905578" </w:instrText>
      </w:r>
      <w:r>
        <w:fldChar w:fldCharType="separate"/>
      </w:r>
      <w:r>
        <w:rPr>
          <w:rStyle w:val="45"/>
          <w:rFonts w:hint="eastAsia" w:eastAsia="黑体"/>
          <w:sz w:val="24"/>
        </w:rPr>
        <w:t>第四章</w:t>
      </w:r>
      <w:r>
        <w:rPr>
          <w:sz w:val="24"/>
        </w:rPr>
        <w:tab/>
      </w:r>
      <w:r>
        <w:rPr>
          <w:rFonts w:hint="eastAsia"/>
          <w:sz w:val="24"/>
        </w:rPr>
        <w:t xml:space="preserve"> </w:t>
      </w:r>
      <w:r>
        <w:rPr>
          <w:rStyle w:val="45"/>
          <w:rFonts w:hint="eastAsia" w:eastAsia="黑体"/>
          <w:sz w:val="24"/>
        </w:rPr>
        <w:t>项目需求</w:t>
      </w:r>
      <w:r>
        <w:rPr>
          <w:sz w:val="24"/>
        </w:rPr>
        <w:tab/>
      </w:r>
      <w:r>
        <w:rPr>
          <w:rFonts w:hint="eastAsia"/>
          <w:sz w:val="24"/>
        </w:rPr>
        <w:t>2</w:t>
      </w:r>
      <w:r>
        <w:rPr>
          <w:rFonts w:hint="eastAsia"/>
          <w:sz w:val="24"/>
        </w:rPr>
        <w:fldChar w:fldCharType="end"/>
      </w:r>
      <w:r>
        <w:rPr>
          <w:rFonts w:hint="eastAsia"/>
          <w:sz w:val="24"/>
        </w:rPr>
        <w:t>7</w:t>
      </w:r>
    </w:p>
    <w:p w14:paraId="2404EE43">
      <w:pPr>
        <w:pStyle w:val="28"/>
        <w:tabs>
          <w:tab w:val="left" w:pos="840"/>
          <w:tab w:val="right" w:leader="dot" w:pos="8943"/>
        </w:tabs>
        <w:rPr>
          <w:b w:val="0"/>
          <w:bCs w:val="0"/>
          <w:caps w:val="0"/>
          <w:sz w:val="28"/>
          <w:szCs w:val="22"/>
        </w:rPr>
      </w:pPr>
      <w:r>
        <w:fldChar w:fldCharType="begin"/>
      </w:r>
      <w:r>
        <w:instrText xml:space="preserve"> HYPERLINK \l "_Toc121905579" </w:instrText>
      </w:r>
      <w:r>
        <w:fldChar w:fldCharType="separate"/>
      </w:r>
      <w:r>
        <w:rPr>
          <w:rStyle w:val="45"/>
          <w:rFonts w:hint="eastAsia" w:eastAsia="黑体"/>
          <w:sz w:val="24"/>
        </w:rPr>
        <w:t>第五章</w:t>
      </w:r>
      <w:r>
        <w:rPr>
          <w:b w:val="0"/>
          <w:bCs w:val="0"/>
          <w:caps w:val="0"/>
          <w:sz w:val="28"/>
          <w:szCs w:val="22"/>
        </w:rPr>
        <w:tab/>
      </w:r>
      <w:r>
        <w:rPr>
          <w:rFonts w:hint="eastAsia"/>
          <w:b w:val="0"/>
          <w:bCs w:val="0"/>
          <w:caps w:val="0"/>
          <w:sz w:val="28"/>
          <w:szCs w:val="22"/>
        </w:rPr>
        <w:t xml:space="preserve"> </w:t>
      </w:r>
      <w:r>
        <w:rPr>
          <w:rStyle w:val="45"/>
          <w:rFonts w:hint="eastAsia" w:eastAsia="黑体"/>
          <w:sz w:val="24"/>
        </w:rPr>
        <w:t>评标办法和评标标准</w:t>
      </w:r>
      <w:r>
        <w:rPr>
          <w:sz w:val="24"/>
        </w:rPr>
        <w:tab/>
      </w:r>
      <w:r>
        <w:rPr>
          <w:sz w:val="24"/>
        </w:rPr>
        <w:fldChar w:fldCharType="end"/>
      </w:r>
      <w:r>
        <w:rPr>
          <w:rFonts w:hint="eastAsia"/>
          <w:sz w:val="24"/>
        </w:rPr>
        <w:t>32</w:t>
      </w:r>
    </w:p>
    <w:p w14:paraId="6C3534DD">
      <w:pPr>
        <w:pStyle w:val="28"/>
        <w:tabs>
          <w:tab w:val="right" w:leader="dot" w:pos="8943"/>
        </w:tabs>
        <w:rPr>
          <w:b w:val="0"/>
          <w:bCs w:val="0"/>
          <w:caps w:val="0"/>
          <w:sz w:val="28"/>
          <w:szCs w:val="22"/>
        </w:rPr>
      </w:pPr>
      <w:r>
        <w:fldChar w:fldCharType="begin"/>
      </w:r>
      <w:r>
        <w:instrText xml:space="preserve"> HYPERLINK \l "_Toc121905580" </w:instrText>
      </w:r>
      <w:r>
        <w:fldChar w:fldCharType="separate"/>
      </w:r>
      <w:r>
        <w:rPr>
          <w:rStyle w:val="45"/>
          <w:rFonts w:hint="eastAsia" w:eastAsia="黑体"/>
          <w:sz w:val="24"/>
        </w:rPr>
        <w:t>第六章  投标文件格式</w:t>
      </w:r>
      <w:r>
        <w:rPr>
          <w:rFonts w:hint="eastAsia"/>
          <w:sz w:val="24"/>
        </w:rPr>
        <w:tab/>
      </w:r>
      <w:r>
        <w:rPr>
          <w:rFonts w:hint="eastAsia"/>
          <w:sz w:val="24"/>
        </w:rPr>
        <w:fldChar w:fldCharType="end"/>
      </w:r>
      <w:r>
        <w:rPr>
          <w:rFonts w:hint="eastAsia"/>
          <w:sz w:val="24"/>
        </w:rPr>
        <w:t>36</w:t>
      </w:r>
    </w:p>
    <w:p w14:paraId="5039E8C9">
      <w:pPr>
        <w:pStyle w:val="28"/>
        <w:tabs>
          <w:tab w:val="right" w:leader="dot" w:pos="8943"/>
        </w:tabs>
        <w:rPr>
          <w:b w:val="0"/>
          <w:bCs w:val="0"/>
          <w:caps w:val="0"/>
          <w:sz w:val="28"/>
          <w:szCs w:val="22"/>
        </w:rPr>
      </w:pPr>
      <w:r>
        <w:rPr>
          <w:rStyle w:val="45"/>
          <w:rFonts w:hint="eastAsia" w:eastAsia="黑体"/>
          <w:color w:val="auto"/>
          <w:sz w:val="24"/>
          <w:u w:val="none"/>
        </w:rPr>
        <w:t xml:space="preserve">附件 </w:t>
      </w:r>
      <w:r>
        <w:rPr>
          <w:rStyle w:val="45"/>
          <w:rFonts w:hint="eastAsia" w:eastAsia="黑体"/>
          <w:sz w:val="24"/>
          <w:u w:val="none"/>
        </w:rPr>
        <w:t xml:space="preserve">   </w:t>
      </w:r>
      <w:r>
        <w:fldChar w:fldCharType="begin"/>
      </w:r>
      <w:r>
        <w:instrText xml:space="preserve"> HYPERLINK \l "_Toc121905582" </w:instrText>
      </w:r>
      <w:r>
        <w:fldChar w:fldCharType="separate"/>
      </w:r>
      <w:r>
        <w:rPr>
          <w:rStyle w:val="45"/>
          <w:rFonts w:hint="eastAsia" w:eastAsia="黑体"/>
          <w:sz w:val="24"/>
        </w:rPr>
        <w:t>质疑函范本</w:t>
      </w:r>
      <w:r>
        <w:rPr>
          <w:rStyle w:val="45"/>
          <w:rFonts w:hint="eastAsia" w:eastAsia="黑体"/>
          <w:sz w:val="24"/>
        </w:rPr>
        <w:tab/>
      </w:r>
      <w:r>
        <w:rPr>
          <w:rStyle w:val="45"/>
          <w:rFonts w:hint="eastAsia" w:eastAsia="黑体"/>
          <w:sz w:val="24"/>
        </w:rPr>
        <w:fldChar w:fldCharType="end"/>
      </w:r>
      <w:r>
        <w:rPr>
          <w:rFonts w:hint="eastAsia"/>
          <w:sz w:val="24"/>
        </w:rPr>
        <w:t>57</w:t>
      </w:r>
    </w:p>
    <w:p w14:paraId="58A45371">
      <w:pPr>
        <w:rPr>
          <w:rFonts w:ascii="Times New Roman" w:hAnsi="Times New Roman"/>
        </w:rPr>
        <w:sectPr>
          <w:pgSz w:w="11906" w:h="16838"/>
          <w:pgMar w:top="1418" w:right="1588" w:bottom="1418" w:left="1365" w:header="851" w:footer="907" w:gutter="0"/>
          <w:pgNumType w:start="1"/>
          <w:cols w:space="720" w:num="1"/>
          <w:docGrid w:type="lines" w:linePitch="290" w:charSpace="0"/>
        </w:sectPr>
      </w:pPr>
      <w:r>
        <w:rPr>
          <w:rFonts w:ascii="Times New Roman" w:hAnsi="Times New Roman"/>
          <w:sz w:val="96"/>
        </w:rPr>
        <w:fldChar w:fldCharType="end"/>
      </w:r>
    </w:p>
    <w:p w14:paraId="3321E986">
      <w:pPr>
        <w:pStyle w:val="2"/>
        <w:spacing w:line="560" w:lineRule="exact"/>
        <w:rPr>
          <w:rFonts w:ascii="Times New Roman" w:eastAsia="黑体"/>
          <w:bCs/>
          <w:sz w:val="44"/>
        </w:rPr>
        <w:sectPr>
          <w:footerReference r:id="rId3" w:type="default"/>
          <w:type w:val="continuous"/>
          <w:pgSz w:w="11906" w:h="16838"/>
          <w:pgMar w:top="1418" w:right="1588" w:bottom="1418" w:left="1366" w:header="851" w:footer="907" w:gutter="0"/>
          <w:pgNumType w:start="0"/>
          <w:cols w:space="720" w:num="1"/>
          <w:titlePg/>
          <w:docGrid w:type="lines" w:linePitch="290" w:charSpace="0"/>
        </w:sectPr>
      </w:pPr>
      <w:bookmarkStart w:id="16" w:name="_Toc121905575"/>
      <w:bookmarkStart w:id="17" w:name="_Toc511899512"/>
    </w:p>
    <w:p w14:paraId="37087A7E">
      <w:pPr>
        <w:pStyle w:val="2"/>
        <w:spacing w:line="560" w:lineRule="exact"/>
        <w:rPr>
          <w:rFonts w:ascii="Times New Roman" w:eastAsia="黑体"/>
          <w:bCs/>
          <w:sz w:val="44"/>
        </w:rPr>
      </w:pPr>
      <w:r>
        <w:rPr>
          <w:rFonts w:ascii="Times New Roman" w:eastAsia="黑体"/>
          <w:bCs/>
          <w:sz w:val="44"/>
        </w:rPr>
        <w:t xml:space="preserve">第一章  </w:t>
      </w:r>
      <w:bookmarkEnd w:id="7"/>
      <w:bookmarkEnd w:id="13"/>
      <w:bookmarkEnd w:id="14"/>
      <w:bookmarkEnd w:id="15"/>
      <w:r>
        <w:rPr>
          <w:rFonts w:hint="eastAsia" w:ascii="Times New Roman" w:eastAsia="黑体"/>
          <w:bCs/>
          <w:sz w:val="44"/>
        </w:rPr>
        <w:t>投</w:t>
      </w:r>
      <w:r>
        <w:rPr>
          <w:rFonts w:ascii="Times New Roman" w:eastAsia="黑体"/>
          <w:bCs/>
          <w:sz w:val="44"/>
        </w:rPr>
        <w:t>标邀请</w:t>
      </w:r>
      <w:bookmarkEnd w:id="16"/>
      <w:bookmarkEnd w:id="17"/>
    </w:p>
    <w:p w14:paraId="5B50122F">
      <w:pPr>
        <w:spacing w:line="520" w:lineRule="exact"/>
        <w:ind w:firstLine="480" w:firstLineChars="200"/>
        <w:rPr>
          <w:rFonts w:ascii="Times New Roman" w:hAnsi="Times New Roman"/>
          <w:bCs/>
          <w:sz w:val="24"/>
        </w:rPr>
      </w:pPr>
      <w:bookmarkStart w:id="18" w:name="_Toc120614211"/>
      <w:r>
        <w:rPr>
          <w:rFonts w:ascii="Times New Roman" w:hAnsi="Times New Roman"/>
          <w:bCs/>
          <w:sz w:val="24"/>
        </w:rPr>
        <w:t>江苏省体育装备中心（以下简称装备中心）受江苏省体育彩票管理中心的委托，决定就其所需的</w:t>
      </w:r>
      <w:r>
        <w:rPr>
          <w:rFonts w:hint="eastAsia" w:ascii="Times New Roman" w:hAnsi="Times New Roman"/>
          <w:bCs/>
          <w:sz w:val="24"/>
        </w:rPr>
        <w:t>彩票仓储运杂服务及热敏纸物流服务</w:t>
      </w:r>
      <w:r>
        <w:rPr>
          <w:rFonts w:ascii="Times New Roman" w:hAnsi="Times New Roman"/>
          <w:bCs/>
          <w:sz w:val="24"/>
        </w:rPr>
        <w:t>进行公开招标，现欢迎符合相关条件的合格供应商投标。</w:t>
      </w:r>
    </w:p>
    <w:p w14:paraId="29D669D2">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sz w:val="24"/>
          <w:szCs w:val="24"/>
        </w:rPr>
      </w:pPr>
      <w:r>
        <w:rPr>
          <w:rFonts w:hint="eastAsia" w:ascii="宋体" w:hAnsi="宋体"/>
          <w:sz w:val="24"/>
          <w:szCs w:val="24"/>
        </w:rPr>
        <w:t>项目概况</w:t>
      </w:r>
    </w:p>
    <w:p w14:paraId="21A6617A">
      <w:pPr>
        <w:pBdr>
          <w:top w:val="single" w:color="auto" w:sz="4" w:space="1"/>
          <w:left w:val="single" w:color="auto" w:sz="4" w:space="4"/>
          <w:bottom w:val="single" w:color="auto" w:sz="4" w:space="1"/>
          <w:right w:val="single" w:color="auto" w:sz="4" w:space="4"/>
        </w:pBdr>
        <w:spacing w:line="520" w:lineRule="exact"/>
        <w:ind w:firstLine="480" w:firstLineChars="200"/>
        <w:rPr>
          <w:rFonts w:ascii="宋体" w:hAnsi="宋体"/>
          <w:sz w:val="24"/>
          <w:szCs w:val="24"/>
        </w:rPr>
      </w:pPr>
      <w:r>
        <w:rPr>
          <w:rFonts w:hint="eastAsia" w:ascii="宋体" w:hAnsi="宋体"/>
          <w:sz w:val="24"/>
          <w:szCs w:val="24"/>
          <w:u w:val="single"/>
        </w:rPr>
        <w:t>彩票仓储运杂服务及热敏纸物流服务项目</w:t>
      </w:r>
      <w:r>
        <w:rPr>
          <w:rFonts w:hint="eastAsia" w:ascii="宋体" w:hAnsi="宋体"/>
          <w:sz w:val="24"/>
          <w:szCs w:val="24"/>
        </w:rPr>
        <w:t>的潜在投标人应在</w:t>
      </w:r>
      <w:r>
        <w:rPr>
          <w:rFonts w:hint="eastAsia" w:ascii="宋体" w:hAnsi="宋体"/>
          <w:sz w:val="24"/>
          <w:szCs w:val="24"/>
          <w:u w:val="single"/>
        </w:rPr>
        <w:t xml:space="preserve">“江苏政府采购网”自行下载 </w:t>
      </w:r>
      <w:r>
        <w:rPr>
          <w:rFonts w:hint="eastAsia" w:ascii="宋体" w:hAnsi="宋体"/>
          <w:sz w:val="24"/>
          <w:szCs w:val="24"/>
        </w:rPr>
        <w:t>获取招标文件，并于</w:t>
      </w:r>
      <w:r>
        <w:rPr>
          <w:rFonts w:hint="eastAsia" w:ascii="宋体" w:hAnsi="宋体"/>
          <w:sz w:val="24"/>
          <w:szCs w:val="24"/>
          <w:u w:val="single"/>
        </w:rPr>
        <w:t>2026</w:t>
      </w:r>
      <w:r>
        <w:rPr>
          <w:rFonts w:hint="eastAsia" w:ascii="宋体" w:hAnsi="宋体"/>
          <w:bCs/>
          <w:sz w:val="24"/>
          <w:szCs w:val="24"/>
          <w:u w:val="single"/>
        </w:rPr>
        <w:t>年</w:t>
      </w:r>
      <w:r>
        <w:rPr>
          <w:rFonts w:hint="eastAsia" w:ascii="宋体" w:hAnsi="宋体"/>
          <w:bCs/>
          <w:sz w:val="24"/>
          <w:szCs w:val="24"/>
          <w:u w:val="single"/>
          <w:lang w:val="en-US" w:eastAsia="zh-CN"/>
        </w:rPr>
        <w:t>8</w:t>
      </w:r>
      <w:r>
        <w:rPr>
          <w:rFonts w:hint="eastAsia" w:ascii="宋体" w:hAnsi="宋体"/>
          <w:bCs/>
          <w:sz w:val="24"/>
          <w:szCs w:val="24"/>
          <w:u w:val="single"/>
        </w:rPr>
        <w:t>月</w:t>
      </w:r>
      <w:r>
        <w:rPr>
          <w:rFonts w:hint="eastAsia" w:ascii="宋体" w:hAnsi="宋体"/>
          <w:bCs/>
          <w:sz w:val="24"/>
          <w:szCs w:val="24"/>
          <w:u w:val="single"/>
          <w:lang w:val="en-US" w:eastAsia="zh-CN"/>
        </w:rPr>
        <w:t>17</w:t>
      </w:r>
      <w:r>
        <w:rPr>
          <w:rFonts w:hint="eastAsia" w:ascii="宋体" w:hAnsi="宋体"/>
          <w:bCs/>
          <w:sz w:val="24"/>
          <w:szCs w:val="24"/>
          <w:u w:val="single"/>
        </w:rPr>
        <w:t>日</w:t>
      </w:r>
      <w:r>
        <w:rPr>
          <w:rFonts w:hint="eastAsia" w:ascii="宋体" w:hAnsi="宋体"/>
          <w:bCs/>
          <w:sz w:val="24"/>
          <w:szCs w:val="24"/>
          <w:u w:val="single"/>
          <w:lang w:val="en-US" w:eastAsia="zh-CN"/>
        </w:rPr>
        <w:t>14</w:t>
      </w:r>
      <w:r>
        <w:rPr>
          <w:rFonts w:hint="eastAsia" w:ascii="宋体" w:hAnsi="宋体"/>
          <w:bCs/>
          <w:sz w:val="24"/>
          <w:szCs w:val="24"/>
          <w:u w:val="single"/>
        </w:rPr>
        <w:t>点</w:t>
      </w:r>
      <w:r>
        <w:rPr>
          <w:rFonts w:hint="eastAsia" w:ascii="宋体" w:hAnsi="宋体"/>
          <w:bCs/>
          <w:sz w:val="24"/>
          <w:szCs w:val="24"/>
          <w:u w:val="single"/>
          <w:lang w:val="en-US" w:eastAsia="zh-CN"/>
        </w:rPr>
        <w:t>3</w:t>
      </w:r>
      <w:r>
        <w:rPr>
          <w:rFonts w:hint="eastAsia" w:ascii="宋体" w:hAnsi="宋体"/>
          <w:bCs/>
          <w:sz w:val="24"/>
          <w:szCs w:val="24"/>
          <w:u w:val="single"/>
        </w:rPr>
        <w:t>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06F6440A">
      <w:pPr>
        <w:spacing w:line="520" w:lineRule="exact"/>
        <w:ind w:firstLine="482" w:firstLineChars="200"/>
        <w:rPr>
          <w:b/>
          <w:bCs/>
          <w:sz w:val="24"/>
        </w:rPr>
      </w:pPr>
      <w:bookmarkStart w:id="19" w:name="_Toc35393790"/>
      <w:bookmarkStart w:id="20" w:name="_Toc35393621"/>
      <w:bookmarkStart w:id="21" w:name="_Toc28359079"/>
      <w:bookmarkStart w:id="22" w:name="_Toc28359002"/>
      <w:bookmarkStart w:id="23" w:name="_Hlk24379207"/>
      <w:r>
        <w:rPr>
          <w:rFonts w:hint="eastAsia"/>
          <w:b/>
          <w:bCs/>
          <w:sz w:val="24"/>
        </w:rPr>
        <w:t>一、项目基本情况</w:t>
      </w:r>
      <w:bookmarkEnd w:id="19"/>
      <w:bookmarkEnd w:id="20"/>
      <w:bookmarkEnd w:id="21"/>
      <w:bookmarkEnd w:id="22"/>
    </w:p>
    <w:p w14:paraId="309CE862">
      <w:pPr>
        <w:spacing w:line="520" w:lineRule="exact"/>
        <w:ind w:firstLine="480" w:firstLineChars="200"/>
        <w:rPr>
          <w:bCs/>
          <w:sz w:val="24"/>
          <w:highlight w:val="yellow"/>
        </w:rPr>
      </w:pPr>
      <w:r>
        <w:rPr>
          <w:rFonts w:hint="eastAsia"/>
          <w:bCs/>
          <w:sz w:val="24"/>
        </w:rPr>
        <w:t>项目编号：</w:t>
      </w:r>
      <w:r>
        <w:rPr>
          <w:rFonts w:hint="eastAsia" w:ascii="宋体" w:hAnsi="宋体" w:cs="宋体"/>
          <w:sz w:val="24"/>
          <w:szCs w:val="24"/>
        </w:rPr>
        <w:t>JSZC-320000-JZCG-G2026-0030（STZ-FSGK26062）</w:t>
      </w:r>
    </w:p>
    <w:p w14:paraId="0E8BCCA6">
      <w:pPr>
        <w:spacing w:line="520" w:lineRule="exact"/>
        <w:ind w:firstLine="480" w:firstLineChars="200"/>
        <w:rPr>
          <w:bCs/>
          <w:sz w:val="24"/>
        </w:rPr>
      </w:pPr>
      <w:r>
        <w:rPr>
          <w:rFonts w:hint="eastAsia"/>
          <w:bCs/>
          <w:sz w:val="24"/>
        </w:rPr>
        <w:t>项目名称：彩票仓储运杂服务及热敏纸物流服务项目</w:t>
      </w:r>
    </w:p>
    <w:bookmarkEnd w:id="23"/>
    <w:p w14:paraId="2436B600">
      <w:pPr>
        <w:spacing w:line="520" w:lineRule="exact"/>
        <w:ind w:firstLine="480" w:firstLineChars="200"/>
        <w:rPr>
          <w:bCs/>
          <w:sz w:val="24"/>
        </w:rPr>
      </w:pPr>
      <w:r>
        <w:rPr>
          <w:rFonts w:hint="eastAsia"/>
          <w:bCs/>
          <w:sz w:val="24"/>
        </w:rPr>
        <w:t>预算金额：</w:t>
      </w:r>
      <w:r>
        <w:rPr>
          <w:bCs/>
          <w:sz w:val="24"/>
        </w:rPr>
        <w:t>1184</w:t>
      </w:r>
      <w:r>
        <w:rPr>
          <w:rFonts w:hint="eastAsia"/>
          <w:bCs/>
          <w:sz w:val="24"/>
        </w:rPr>
        <w:t>万元（两年）。</w:t>
      </w:r>
    </w:p>
    <w:p w14:paraId="61F0F298">
      <w:pPr>
        <w:spacing w:line="530" w:lineRule="exact"/>
        <w:ind w:firstLine="480" w:firstLineChars="200"/>
        <w:rPr>
          <w:bCs/>
          <w:sz w:val="24"/>
        </w:rPr>
      </w:pPr>
      <w:r>
        <w:rPr>
          <w:rFonts w:hint="eastAsia"/>
          <w:bCs/>
          <w:sz w:val="24"/>
        </w:rPr>
        <w:t>最高限价：</w:t>
      </w:r>
      <w:r>
        <w:rPr>
          <w:bCs/>
          <w:sz w:val="24"/>
        </w:rPr>
        <w:t>1184</w:t>
      </w:r>
      <w:r>
        <w:rPr>
          <w:rFonts w:hint="eastAsia"/>
          <w:bCs/>
          <w:sz w:val="24"/>
        </w:rPr>
        <w:t>万元（两年）（注：结算时按中标单价及实际发生量计算。）</w:t>
      </w:r>
    </w:p>
    <w:p w14:paraId="73978DD4">
      <w:pPr>
        <w:spacing w:line="590" w:lineRule="exact"/>
        <w:ind w:firstLine="480" w:firstLineChars="200"/>
        <w:rPr>
          <w:bCs/>
          <w:sz w:val="24"/>
        </w:rPr>
      </w:pPr>
      <w:r>
        <w:rPr>
          <w:rFonts w:hint="eastAsia"/>
          <w:bCs/>
          <w:sz w:val="24"/>
        </w:rPr>
        <w:t>采购需求：</w:t>
      </w:r>
      <w:r>
        <w:rPr>
          <w:bCs/>
          <w:sz w:val="24"/>
        </w:rPr>
        <w:t>为保障省中心与各级体彩中心及全省销售网点业务工作持续、稳定开展，我中心拟采购</w:t>
      </w:r>
      <w:r>
        <w:rPr>
          <w:rFonts w:hint="eastAsia"/>
          <w:bCs/>
          <w:sz w:val="24"/>
        </w:rPr>
        <w:t>彩票仓储运杂服务及热敏纸物流服务</w:t>
      </w:r>
      <w:r>
        <w:rPr>
          <w:bCs/>
          <w:sz w:val="24"/>
        </w:rPr>
        <w:t>，期限为两年。</w:t>
      </w:r>
      <w:r>
        <w:rPr>
          <w:rFonts w:hint="eastAsia"/>
          <w:bCs/>
          <w:sz w:val="24"/>
        </w:rPr>
        <w:t>具体内容详见招标文件第四章“项目需求”。</w:t>
      </w:r>
    </w:p>
    <w:p w14:paraId="1828EB57">
      <w:pPr>
        <w:spacing w:line="480" w:lineRule="exact"/>
        <w:ind w:firstLine="480" w:firstLineChars="200"/>
        <w:rPr>
          <w:bCs/>
          <w:sz w:val="24"/>
        </w:rPr>
      </w:pPr>
      <w:r>
        <w:rPr>
          <w:rFonts w:hint="eastAsia"/>
          <w:bCs/>
          <w:sz w:val="24"/>
        </w:rPr>
        <w:t>合同履行期限：详见招标文件第四章“项目需求”。</w:t>
      </w:r>
    </w:p>
    <w:p w14:paraId="74D91CAE">
      <w:pPr>
        <w:spacing w:line="480" w:lineRule="exact"/>
        <w:ind w:firstLine="480" w:firstLineChars="200"/>
        <w:rPr>
          <w:bCs/>
          <w:sz w:val="24"/>
        </w:rPr>
      </w:pPr>
      <w:r>
        <w:rPr>
          <w:rFonts w:hint="eastAsia"/>
          <w:bCs/>
          <w:sz w:val="24"/>
        </w:rPr>
        <w:t>本项目不接受联合体参与投标。</w:t>
      </w:r>
    </w:p>
    <w:p w14:paraId="482E2244">
      <w:pPr>
        <w:spacing w:line="520" w:lineRule="exact"/>
        <w:ind w:firstLine="480" w:firstLineChars="200"/>
        <w:rPr>
          <w:bCs/>
          <w:sz w:val="24"/>
        </w:rPr>
      </w:pPr>
      <w:r>
        <w:rPr>
          <w:rFonts w:hint="eastAsia"/>
          <w:bCs/>
          <w:sz w:val="24"/>
        </w:rPr>
        <w:t>本项目非专门面向中小微企业采购。</w:t>
      </w:r>
    </w:p>
    <w:p w14:paraId="2CE569A4">
      <w:pPr>
        <w:spacing w:line="520" w:lineRule="exact"/>
        <w:ind w:firstLine="482" w:firstLineChars="200"/>
        <w:rPr>
          <w:b/>
          <w:bCs/>
          <w:sz w:val="24"/>
        </w:rPr>
      </w:pPr>
      <w:bookmarkStart w:id="24" w:name="_Toc28359003"/>
      <w:bookmarkStart w:id="25" w:name="_Toc35393622"/>
      <w:bookmarkStart w:id="26" w:name="_Toc28359080"/>
      <w:bookmarkStart w:id="27" w:name="_Toc35393791"/>
      <w:r>
        <w:rPr>
          <w:rFonts w:hint="eastAsia"/>
          <w:b/>
          <w:bCs/>
          <w:sz w:val="24"/>
        </w:rPr>
        <w:t>二、申请人的资格要求：</w:t>
      </w:r>
      <w:bookmarkEnd w:id="24"/>
      <w:bookmarkEnd w:id="25"/>
      <w:bookmarkEnd w:id="26"/>
      <w:bookmarkEnd w:id="27"/>
    </w:p>
    <w:p w14:paraId="7812715F">
      <w:pPr>
        <w:spacing w:line="520" w:lineRule="exact"/>
        <w:ind w:firstLine="480" w:firstLineChars="200"/>
        <w:rPr>
          <w:bCs/>
          <w:sz w:val="24"/>
        </w:rPr>
      </w:pPr>
      <w:r>
        <w:rPr>
          <w:rFonts w:hint="eastAsia"/>
          <w:bCs/>
          <w:sz w:val="24"/>
        </w:rPr>
        <w:t>1. 满足《中华人民共和国政府采购法》第二十二条规定</w:t>
      </w:r>
      <w:r>
        <w:rPr>
          <w:bCs/>
          <w:sz w:val="24"/>
        </w:rPr>
        <w:t>，并提供下列材料：</w:t>
      </w:r>
    </w:p>
    <w:p w14:paraId="76943D93">
      <w:pPr>
        <w:spacing w:line="520" w:lineRule="exact"/>
        <w:ind w:firstLine="480" w:firstLineChars="200"/>
        <w:rPr>
          <w:bCs/>
          <w:sz w:val="24"/>
        </w:rPr>
      </w:pPr>
      <w:r>
        <w:rPr>
          <w:rFonts w:hint="eastAsia"/>
          <w:bCs/>
          <w:sz w:val="24"/>
        </w:rPr>
        <w:t xml:space="preserve">1.1 </w:t>
      </w:r>
      <w:r>
        <w:rPr>
          <w:sz w:val="24"/>
          <w:szCs w:val="24"/>
        </w:rPr>
        <w:t>法人或者其他组织的营业执照等证明文件</w:t>
      </w:r>
      <w:r>
        <w:rPr>
          <w:rStyle w:val="90"/>
          <w:kern w:val="0"/>
          <w:sz w:val="24"/>
          <w:szCs w:val="24"/>
        </w:rPr>
        <w:t>，自然人的身份证明</w:t>
      </w:r>
      <w:r>
        <w:rPr>
          <w:sz w:val="24"/>
          <w:szCs w:val="24"/>
        </w:rPr>
        <w:t>；</w:t>
      </w:r>
    </w:p>
    <w:p w14:paraId="300B182E">
      <w:pPr>
        <w:spacing w:line="520" w:lineRule="exact"/>
        <w:ind w:firstLine="480" w:firstLineChars="200"/>
        <w:rPr>
          <w:bCs/>
          <w:sz w:val="24"/>
        </w:rPr>
      </w:pPr>
      <w:r>
        <w:rPr>
          <w:rFonts w:hint="eastAsia"/>
          <w:bCs/>
          <w:sz w:val="24"/>
        </w:rPr>
        <w:t>1.2 2025年度</w:t>
      </w:r>
      <w:r>
        <w:rPr>
          <w:bCs/>
          <w:sz w:val="24"/>
        </w:rPr>
        <w:t>的财务状况报告（成立不满一年不需提供）；</w:t>
      </w:r>
    </w:p>
    <w:p w14:paraId="34AB6637">
      <w:pPr>
        <w:spacing w:line="520" w:lineRule="exact"/>
        <w:ind w:firstLine="480" w:firstLineChars="200"/>
        <w:rPr>
          <w:bCs/>
          <w:sz w:val="24"/>
        </w:rPr>
      </w:pPr>
      <w:r>
        <w:rPr>
          <w:rFonts w:hint="eastAsia"/>
          <w:bCs/>
          <w:sz w:val="24"/>
        </w:rPr>
        <w:t xml:space="preserve">1.3 </w:t>
      </w:r>
      <w:r>
        <w:rPr>
          <w:bCs/>
          <w:sz w:val="24"/>
        </w:rPr>
        <w:t>依法缴纳税收和社会保障资金的相关材料；</w:t>
      </w:r>
    </w:p>
    <w:p w14:paraId="2E7D2D17">
      <w:pPr>
        <w:spacing w:line="520" w:lineRule="exact"/>
        <w:ind w:firstLine="480" w:firstLineChars="200"/>
        <w:rPr>
          <w:bCs/>
          <w:color w:val="FF0000"/>
          <w:sz w:val="24"/>
        </w:rPr>
      </w:pPr>
      <w:r>
        <w:rPr>
          <w:rFonts w:hint="eastAsia"/>
          <w:bCs/>
          <w:sz w:val="24"/>
        </w:rPr>
        <w:t xml:space="preserve">1.4 </w:t>
      </w:r>
      <w:r>
        <w:rPr>
          <w:bCs/>
          <w:sz w:val="24"/>
        </w:rPr>
        <w:t>具有履行合同所必需的设备和专业技术能力的</w:t>
      </w:r>
      <w:r>
        <w:rPr>
          <w:sz w:val="24"/>
          <w:szCs w:val="24"/>
        </w:rPr>
        <w:t>书面声明；</w:t>
      </w:r>
    </w:p>
    <w:p w14:paraId="13378E6B">
      <w:pPr>
        <w:spacing w:line="520" w:lineRule="exact"/>
        <w:ind w:firstLine="480" w:firstLineChars="200"/>
        <w:rPr>
          <w:bCs/>
          <w:sz w:val="24"/>
        </w:rPr>
      </w:pPr>
      <w:r>
        <w:rPr>
          <w:rFonts w:hint="eastAsia"/>
          <w:bCs/>
          <w:sz w:val="24"/>
        </w:rPr>
        <w:t>1.5</w:t>
      </w:r>
      <w:r>
        <w:rPr>
          <w:bCs/>
          <w:sz w:val="24"/>
        </w:rPr>
        <w:t>参加政府采购活动前3年内在经营活动中没有重大违法记录的书面声明；</w:t>
      </w:r>
    </w:p>
    <w:p w14:paraId="555F6826">
      <w:pPr>
        <w:spacing w:line="520" w:lineRule="exact"/>
        <w:ind w:firstLine="480" w:firstLineChars="200"/>
        <w:rPr>
          <w:bCs/>
          <w:sz w:val="24"/>
        </w:rPr>
      </w:pPr>
      <w:r>
        <w:rPr>
          <w:rFonts w:hint="eastAsia"/>
          <w:bCs/>
          <w:sz w:val="24"/>
        </w:rPr>
        <w:t xml:space="preserve">1.6 </w:t>
      </w:r>
      <w:r>
        <w:rPr>
          <w:bCs/>
          <w:sz w:val="24"/>
        </w:rPr>
        <w:t>单位负责人为同一人或者存在直接控股、管理关系的不同供应商，不得参加同一项目的政府采购活动；</w:t>
      </w:r>
    </w:p>
    <w:p w14:paraId="482B6C5F">
      <w:pPr>
        <w:spacing w:line="520" w:lineRule="exact"/>
        <w:ind w:firstLine="480" w:firstLineChars="200"/>
        <w:rPr>
          <w:bCs/>
          <w:sz w:val="24"/>
        </w:rPr>
      </w:pPr>
      <w:r>
        <w:rPr>
          <w:rFonts w:hint="eastAsia"/>
          <w:bCs/>
          <w:sz w:val="24"/>
        </w:rPr>
        <w:t>1.7</w:t>
      </w:r>
      <w:r>
        <w:rPr>
          <w:rFonts w:hint="eastAsia" w:ascii="宋体" w:hAnsi="宋体"/>
          <w:sz w:val="24"/>
          <w:szCs w:val="24"/>
        </w:rPr>
        <w:t>本项目投标文件提交截止日前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szCs w:val="24"/>
        </w:rPr>
        <w:t>及未发现存在不符合《中华人民共和国政府采购法》第二十二条规定条件的情形。投标文件中无需提供证明材料。</w:t>
      </w:r>
    </w:p>
    <w:p w14:paraId="44E947F0">
      <w:pPr>
        <w:spacing w:line="520" w:lineRule="exact"/>
        <w:ind w:firstLine="480" w:firstLineChars="200"/>
        <w:rPr>
          <w:rFonts w:ascii="Times New Roman" w:hAnsi="Times New Roman"/>
          <w:bCs/>
          <w:sz w:val="24"/>
        </w:rPr>
      </w:pPr>
      <w:r>
        <w:rPr>
          <w:rFonts w:hint="eastAsia" w:ascii="Times New Roman" w:hAnsi="Times New Roman"/>
          <w:bCs/>
          <w:sz w:val="24"/>
        </w:rPr>
        <w:t>2.落实政府采购政策需满足的资格要求：无。</w:t>
      </w:r>
    </w:p>
    <w:p w14:paraId="44798A58">
      <w:pPr>
        <w:spacing w:line="520" w:lineRule="exact"/>
        <w:ind w:firstLine="480" w:firstLineChars="200"/>
        <w:rPr>
          <w:rFonts w:ascii="宋体" w:hAnsi="宋体"/>
          <w:sz w:val="24"/>
          <w:szCs w:val="24"/>
        </w:rPr>
      </w:pPr>
      <w:r>
        <w:rPr>
          <w:rFonts w:hint="eastAsia"/>
          <w:bCs/>
          <w:sz w:val="24"/>
        </w:rPr>
        <w:t>3.本项目的特定资格要求：</w:t>
      </w:r>
      <w:r>
        <w:rPr>
          <w:rFonts w:hint="eastAsia" w:ascii="宋体" w:hAnsi="宋体"/>
          <w:sz w:val="24"/>
          <w:szCs w:val="24"/>
        </w:rPr>
        <w:t>供应商应具有</w:t>
      </w:r>
      <w:r>
        <w:rPr>
          <w:rFonts w:hint="eastAsia" w:ascii="宋体" w:hAnsi="宋体"/>
          <w:sz w:val="24"/>
          <w:szCs w:val="24"/>
          <w:lang w:val="zh-CN"/>
        </w:rPr>
        <w:t>经营公路运输业务的《道路运输经营许可证》，</w:t>
      </w:r>
      <w:r>
        <w:rPr>
          <w:rFonts w:hint="eastAsia" w:ascii="宋体" w:hAnsi="宋体"/>
          <w:sz w:val="24"/>
          <w:szCs w:val="24"/>
        </w:rPr>
        <w:t>提供证书</w:t>
      </w:r>
      <w:r>
        <w:rPr>
          <w:rFonts w:hint="eastAsia" w:ascii="宋体" w:hAnsi="宋体"/>
          <w:sz w:val="24"/>
          <w:szCs w:val="24"/>
          <w:lang w:val="zh-CN"/>
        </w:rPr>
        <w:t>【</w:t>
      </w:r>
      <w:r>
        <w:rPr>
          <w:rFonts w:hint="eastAsia" w:ascii="宋体" w:hAnsi="宋体"/>
          <w:sz w:val="24"/>
          <w:szCs w:val="24"/>
        </w:rPr>
        <w:t>复印件加盖公章</w:t>
      </w:r>
      <w:r>
        <w:rPr>
          <w:rFonts w:hint="eastAsia" w:ascii="宋体" w:hAnsi="宋体"/>
          <w:sz w:val="24"/>
          <w:szCs w:val="24"/>
          <w:lang w:val="zh-CN"/>
        </w:rPr>
        <w:t>】</w:t>
      </w:r>
      <w:r>
        <w:rPr>
          <w:rFonts w:hint="eastAsia" w:ascii="宋体" w:hAnsi="宋体"/>
          <w:sz w:val="24"/>
          <w:szCs w:val="24"/>
        </w:rPr>
        <w:t>。</w:t>
      </w:r>
    </w:p>
    <w:p w14:paraId="05BD28BD">
      <w:pPr>
        <w:spacing w:line="520" w:lineRule="exact"/>
        <w:ind w:firstLine="482" w:firstLineChars="200"/>
        <w:rPr>
          <w:b/>
          <w:bCs/>
          <w:sz w:val="24"/>
        </w:rPr>
      </w:pPr>
      <w:bookmarkStart w:id="28" w:name="_Toc35393623"/>
      <w:bookmarkStart w:id="29" w:name="_Toc35393792"/>
      <w:r>
        <w:rPr>
          <w:rFonts w:hint="eastAsia"/>
          <w:b/>
          <w:bCs/>
          <w:sz w:val="24"/>
        </w:rPr>
        <w:t>三、获取招标文件</w:t>
      </w:r>
      <w:bookmarkEnd w:id="28"/>
      <w:bookmarkEnd w:id="29"/>
    </w:p>
    <w:p w14:paraId="44D09B2C">
      <w:pPr>
        <w:spacing w:line="520" w:lineRule="exact"/>
        <w:ind w:firstLine="480" w:firstLineChars="200"/>
        <w:rPr>
          <w:rFonts w:ascii="宋体" w:hAnsi="宋体"/>
          <w:sz w:val="24"/>
          <w:szCs w:val="24"/>
        </w:rPr>
      </w:pPr>
      <w:r>
        <w:rPr>
          <w:rFonts w:hint="eastAsia" w:ascii="宋体" w:hAnsi="宋体"/>
          <w:sz w:val="24"/>
          <w:szCs w:val="24"/>
        </w:rPr>
        <w:t>1.时间：自招标文件公告发布之日起5个工作日。</w:t>
      </w:r>
    </w:p>
    <w:p w14:paraId="11DDCFE3">
      <w:pPr>
        <w:spacing w:line="520" w:lineRule="exact"/>
        <w:ind w:firstLine="480" w:firstLineChars="200"/>
        <w:rPr>
          <w:bCs/>
          <w:sz w:val="24"/>
        </w:rPr>
      </w:pPr>
      <w:r>
        <w:rPr>
          <w:rFonts w:hint="eastAsia" w:ascii="宋体" w:hAnsi="宋体"/>
          <w:sz w:val="24"/>
          <w:szCs w:val="24"/>
        </w:rPr>
        <w:t>2.方式：在“江苏政府采购网”自行免费下载招标文件。</w:t>
      </w:r>
    </w:p>
    <w:p w14:paraId="057CF655">
      <w:pPr>
        <w:spacing w:line="520" w:lineRule="exact"/>
        <w:ind w:firstLine="482" w:firstLineChars="200"/>
        <w:rPr>
          <w:b/>
          <w:bCs/>
          <w:sz w:val="24"/>
        </w:rPr>
      </w:pPr>
      <w:bookmarkStart w:id="30" w:name="_Toc35393624"/>
      <w:bookmarkStart w:id="31" w:name="_Toc35393793"/>
      <w:bookmarkStart w:id="32" w:name="_Toc28359082"/>
      <w:bookmarkStart w:id="33" w:name="_Toc28359005"/>
      <w:r>
        <w:rPr>
          <w:rFonts w:hint="eastAsia"/>
          <w:b/>
          <w:bCs/>
          <w:sz w:val="24"/>
        </w:rPr>
        <w:t>四、提交</w:t>
      </w:r>
      <w:bookmarkEnd w:id="30"/>
      <w:bookmarkEnd w:id="31"/>
      <w:bookmarkEnd w:id="32"/>
      <w:bookmarkEnd w:id="33"/>
      <w:r>
        <w:rPr>
          <w:rFonts w:hint="eastAsia"/>
          <w:b/>
          <w:bCs/>
          <w:sz w:val="24"/>
        </w:rPr>
        <w:t>电子投标文件截止时间、开标时间和地点</w:t>
      </w:r>
    </w:p>
    <w:p w14:paraId="2602DD91">
      <w:pPr>
        <w:spacing w:line="520" w:lineRule="exact"/>
        <w:ind w:firstLine="480" w:firstLineChars="200"/>
        <w:rPr>
          <w:bCs/>
          <w:sz w:val="24"/>
        </w:rPr>
      </w:pPr>
      <w:r>
        <w:rPr>
          <w:rFonts w:hint="eastAsia"/>
          <w:bCs/>
          <w:sz w:val="24"/>
        </w:rPr>
        <w:t>1.电子投标文件接收截止时间和开标时间：2026年</w:t>
      </w:r>
      <w:r>
        <w:rPr>
          <w:rFonts w:hint="eastAsia"/>
          <w:bCs/>
          <w:sz w:val="24"/>
          <w:lang w:val="en-US" w:eastAsia="zh-CN"/>
        </w:rPr>
        <w:t>8</w:t>
      </w:r>
      <w:r>
        <w:rPr>
          <w:rFonts w:hint="eastAsia"/>
          <w:bCs/>
          <w:sz w:val="24"/>
        </w:rPr>
        <w:t>月</w:t>
      </w:r>
      <w:r>
        <w:rPr>
          <w:rFonts w:hint="eastAsia"/>
          <w:bCs/>
          <w:sz w:val="24"/>
          <w:lang w:val="en-US" w:eastAsia="zh-CN"/>
        </w:rPr>
        <w:t>17</w:t>
      </w:r>
      <w:r>
        <w:rPr>
          <w:rFonts w:hint="eastAsia"/>
          <w:bCs/>
          <w:sz w:val="24"/>
        </w:rPr>
        <w:t>日</w:t>
      </w:r>
      <w:r>
        <w:rPr>
          <w:rFonts w:hint="eastAsia"/>
          <w:bCs/>
          <w:sz w:val="24"/>
          <w:lang w:val="en-US" w:eastAsia="zh-CN"/>
        </w:rPr>
        <w:t>14</w:t>
      </w:r>
      <w:r>
        <w:rPr>
          <w:rFonts w:hint="eastAsia"/>
          <w:bCs/>
          <w:sz w:val="24"/>
        </w:rPr>
        <w:t>:</w:t>
      </w:r>
      <w:r>
        <w:rPr>
          <w:rFonts w:hint="eastAsia"/>
          <w:bCs/>
          <w:sz w:val="24"/>
          <w:lang w:val="en-US" w:eastAsia="zh-CN"/>
        </w:rPr>
        <w:t>3</w:t>
      </w:r>
      <w:bookmarkStart w:id="255" w:name="_GoBack"/>
      <w:bookmarkEnd w:id="255"/>
      <w:r>
        <w:rPr>
          <w:rFonts w:hint="eastAsia"/>
          <w:bCs/>
          <w:sz w:val="24"/>
        </w:rPr>
        <w:t>0时</w:t>
      </w:r>
    </w:p>
    <w:p w14:paraId="56FAD07A">
      <w:pPr>
        <w:spacing w:line="400" w:lineRule="exact"/>
        <w:ind w:firstLine="480" w:firstLineChars="200"/>
        <w:rPr>
          <w:bCs/>
          <w:sz w:val="24"/>
        </w:rPr>
      </w:pPr>
      <w:r>
        <w:rPr>
          <w:rFonts w:hint="eastAsia"/>
          <w:bCs/>
          <w:sz w:val="24"/>
        </w:rPr>
        <w:t>2.地点：“苏采云”政府采购交易系统。</w:t>
      </w:r>
    </w:p>
    <w:p w14:paraId="6F1CB920">
      <w:pPr>
        <w:spacing w:line="520" w:lineRule="exact"/>
        <w:ind w:firstLine="482" w:firstLineChars="200"/>
        <w:rPr>
          <w:b/>
          <w:bCs/>
          <w:sz w:val="24"/>
        </w:rPr>
      </w:pPr>
      <w:r>
        <w:rPr>
          <w:rFonts w:hint="eastAsia"/>
          <w:b/>
          <w:bCs/>
          <w:sz w:val="24"/>
        </w:rPr>
        <w:t>五、</w:t>
      </w:r>
      <w:bookmarkStart w:id="34" w:name="_Toc35393794"/>
      <w:bookmarkStart w:id="35" w:name="_Toc28359007"/>
      <w:bookmarkStart w:id="36" w:name="_Toc35393625"/>
      <w:bookmarkStart w:id="37" w:name="_Toc28359084"/>
      <w:r>
        <w:rPr>
          <w:rFonts w:hint="eastAsia"/>
          <w:b/>
          <w:bCs/>
          <w:sz w:val="24"/>
        </w:rPr>
        <w:t>公告期限</w:t>
      </w:r>
      <w:bookmarkEnd w:id="34"/>
      <w:bookmarkEnd w:id="35"/>
      <w:bookmarkEnd w:id="36"/>
      <w:bookmarkEnd w:id="37"/>
    </w:p>
    <w:p w14:paraId="3BF6F48A">
      <w:pPr>
        <w:spacing w:line="520" w:lineRule="exact"/>
        <w:ind w:firstLine="480" w:firstLineChars="200"/>
        <w:rPr>
          <w:bCs/>
          <w:sz w:val="24"/>
        </w:rPr>
      </w:pPr>
      <w:r>
        <w:rPr>
          <w:rFonts w:hint="eastAsia"/>
          <w:bCs/>
          <w:sz w:val="24"/>
        </w:rPr>
        <w:t>自本公告发布之日起5个工作日。</w:t>
      </w:r>
    </w:p>
    <w:p w14:paraId="0C102BFA">
      <w:pPr>
        <w:spacing w:line="520" w:lineRule="exact"/>
        <w:ind w:firstLine="482" w:firstLineChars="200"/>
        <w:rPr>
          <w:b/>
          <w:bCs/>
          <w:sz w:val="24"/>
        </w:rPr>
      </w:pPr>
      <w:bookmarkStart w:id="38" w:name="_Toc35393626"/>
      <w:bookmarkStart w:id="39" w:name="_Toc35393795"/>
      <w:r>
        <w:rPr>
          <w:rFonts w:hint="eastAsia"/>
          <w:b/>
          <w:bCs/>
          <w:sz w:val="24"/>
        </w:rPr>
        <w:t>六、其他补充事宜</w:t>
      </w:r>
      <w:bookmarkEnd w:id="38"/>
      <w:bookmarkEnd w:id="39"/>
    </w:p>
    <w:p w14:paraId="6373C121">
      <w:pPr>
        <w:spacing w:line="520" w:lineRule="exact"/>
        <w:ind w:firstLine="480" w:firstLineChars="200"/>
        <w:rPr>
          <w:bCs/>
          <w:sz w:val="24"/>
        </w:rPr>
      </w:pPr>
      <w:r>
        <w:rPr>
          <w:rFonts w:hint="eastAsia"/>
          <w:bCs/>
          <w:sz w:val="24"/>
        </w:rPr>
        <w:t xml:space="preserve">1. </w:t>
      </w:r>
      <w:r>
        <w:rPr>
          <w:b/>
          <w:bCs/>
          <w:sz w:val="24"/>
        </w:rPr>
        <w:t>潜在供应商对项目需求部分的询问、质疑请向采购人提出，由采购人负责答复。</w:t>
      </w:r>
    </w:p>
    <w:p w14:paraId="6AC4E860">
      <w:pPr>
        <w:tabs>
          <w:tab w:val="left" w:pos="900"/>
        </w:tabs>
        <w:spacing w:line="400" w:lineRule="exact"/>
        <w:ind w:firstLine="480" w:firstLineChars="200"/>
        <w:rPr>
          <w:sz w:val="24"/>
        </w:rPr>
      </w:pPr>
      <w:r>
        <w:rPr>
          <w:rFonts w:hint="eastAsia"/>
          <w:bCs/>
          <w:sz w:val="24"/>
        </w:rPr>
        <w:t xml:space="preserve">2. </w:t>
      </w:r>
      <w:r>
        <w:rPr>
          <w:sz w:val="24"/>
        </w:rPr>
        <w:t>投标文件制作要求：</w:t>
      </w:r>
    </w:p>
    <w:p w14:paraId="1F139F77">
      <w:pPr>
        <w:spacing w:line="520" w:lineRule="exact"/>
        <w:ind w:firstLine="480" w:firstLineChars="200"/>
        <w:rPr>
          <w:bCs/>
          <w:sz w:val="24"/>
        </w:rPr>
      </w:pPr>
      <w:r>
        <w:rPr>
          <w:rFonts w:hint="eastAsia"/>
          <w:bCs/>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p>
    <w:p w14:paraId="4ED963FB">
      <w:pPr>
        <w:spacing w:line="520" w:lineRule="exact"/>
        <w:ind w:firstLine="480" w:firstLineChars="200"/>
        <w:rPr>
          <w:sz w:val="24"/>
        </w:rPr>
      </w:pPr>
      <w:r>
        <w:rPr>
          <w:rFonts w:hint="eastAsia"/>
          <w:bCs/>
          <w:sz w:val="24"/>
        </w:rPr>
        <w:t>领取CA和办理电子签章（请根据相关要求至相关办理窗口办理，具体联系方式见《苏采云系统供应商操作手册》（以下简称《操作手册》））、进行注册并按《操作手册》要求制作、上传电子投标文件。</w:t>
      </w:r>
    </w:p>
    <w:p w14:paraId="04DD8687">
      <w:pPr>
        <w:spacing w:line="520" w:lineRule="exact"/>
        <w:ind w:firstLine="480" w:firstLineChars="200"/>
        <w:rPr>
          <w:sz w:val="24"/>
        </w:rPr>
      </w:pPr>
      <w:r>
        <w:rPr>
          <w:rFonts w:hint="eastAsia"/>
          <w:sz w:val="24"/>
        </w:rPr>
        <w:t>3. 本项目不收取投标保证金。</w:t>
      </w:r>
    </w:p>
    <w:p w14:paraId="417EA390">
      <w:pPr>
        <w:spacing w:line="520" w:lineRule="exact"/>
        <w:ind w:firstLine="480" w:firstLineChars="200"/>
        <w:rPr>
          <w:bCs/>
          <w:sz w:val="24"/>
        </w:rPr>
      </w:pPr>
      <w:r>
        <w:rPr>
          <w:rFonts w:hint="eastAsia"/>
          <w:bCs/>
          <w:sz w:val="24"/>
        </w:rPr>
        <w:t>4.</w:t>
      </w:r>
      <w:r>
        <w:rPr>
          <w:rFonts w:hint="eastAsia"/>
          <w:b/>
          <w:bCs/>
          <w:sz w:val="24"/>
        </w:rPr>
        <w:t>本次招标装备中心收取中标服务费。按照</w:t>
      </w:r>
      <w:r>
        <w:rPr>
          <w:rFonts w:hint="eastAsia"/>
          <w:b/>
          <w:bCs/>
          <w:sz w:val="24"/>
          <w:lang w:val="zh-CN"/>
        </w:rPr>
        <w:t>苏</w:t>
      </w:r>
      <w:r>
        <w:rPr>
          <w:rFonts w:hint="eastAsia"/>
          <w:b/>
          <w:bCs/>
          <w:sz w:val="24"/>
        </w:rPr>
        <w:t>政采</w:t>
      </w:r>
      <w:r>
        <w:rPr>
          <w:rFonts w:hint="eastAsia"/>
          <w:b/>
          <w:bCs/>
          <w:sz w:val="24"/>
          <w:lang w:val="zh-CN"/>
        </w:rPr>
        <w:t>协【202</w:t>
      </w:r>
      <w:r>
        <w:rPr>
          <w:rFonts w:hint="eastAsia"/>
          <w:b/>
          <w:bCs/>
          <w:sz w:val="24"/>
        </w:rPr>
        <w:t>4</w:t>
      </w:r>
      <w:r>
        <w:rPr>
          <w:rFonts w:hint="eastAsia"/>
          <w:b/>
          <w:bCs/>
          <w:sz w:val="24"/>
          <w:lang w:val="zh-CN"/>
        </w:rPr>
        <w:t>】</w:t>
      </w:r>
      <w:r>
        <w:rPr>
          <w:rFonts w:hint="eastAsia"/>
          <w:b/>
          <w:bCs/>
          <w:sz w:val="24"/>
        </w:rPr>
        <w:t>20</w:t>
      </w:r>
      <w:r>
        <w:rPr>
          <w:rFonts w:hint="eastAsia"/>
          <w:b/>
          <w:bCs/>
          <w:sz w:val="24"/>
          <w:lang w:val="zh-CN"/>
        </w:rPr>
        <w:t>文的规定收取，由</w:t>
      </w:r>
      <w:r>
        <w:rPr>
          <w:rFonts w:hint="eastAsia"/>
          <w:b/>
          <w:bCs/>
          <w:sz w:val="24"/>
        </w:rPr>
        <w:t>中标</w:t>
      </w:r>
      <w:r>
        <w:rPr>
          <w:rFonts w:hint="eastAsia"/>
          <w:b/>
          <w:bCs/>
          <w:sz w:val="24"/>
          <w:lang w:val="zh-CN"/>
        </w:rPr>
        <w:t>供应商领取</w:t>
      </w:r>
      <w:r>
        <w:rPr>
          <w:rFonts w:hint="eastAsia"/>
          <w:b/>
          <w:bCs/>
          <w:sz w:val="24"/>
        </w:rPr>
        <w:t>中标</w:t>
      </w:r>
      <w:r>
        <w:rPr>
          <w:rFonts w:hint="eastAsia"/>
          <w:b/>
          <w:bCs/>
          <w:sz w:val="24"/>
          <w:lang w:val="zh-CN"/>
        </w:rPr>
        <w:t>通知书时一次性向</w:t>
      </w:r>
      <w:r>
        <w:rPr>
          <w:rFonts w:hint="eastAsia"/>
          <w:b/>
          <w:bCs/>
          <w:sz w:val="24"/>
        </w:rPr>
        <w:t>装备中心</w:t>
      </w:r>
      <w:r>
        <w:rPr>
          <w:rFonts w:hint="eastAsia"/>
          <w:b/>
          <w:bCs/>
          <w:sz w:val="24"/>
          <w:lang w:val="zh-CN"/>
        </w:rPr>
        <w:t>支付。本项费用无需在投标报价表中单列</w:t>
      </w:r>
      <w:r>
        <w:rPr>
          <w:rFonts w:hint="eastAsia"/>
          <w:b/>
          <w:bCs/>
          <w:sz w:val="24"/>
        </w:rPr>
        <w:t>。</w:t>
      </w:r>
    </w:p>
    <w:p w14:paraId="32559FD5">
      <w:pPr>
        <w:spacing w:line="520" w:lineRule="exact"/>
        <w:ind w:firstLine="480" w:firstLineChars="200"/>
        <w:rPr>
          <w:bCs/>
          <w:sz w:val="24"/>
        </w:rPr>
      </w:pPr>
      <w:r>
        <w:rPr>
          <w:rFonts w:hint="eastAsia"/>
          <w:bCs/>
          <w:sz w:val="24"/>
        </w:rPr>
        <w:t xml:space="preserve">5. </w:t>
      </w:r>
      <w:r>
        <w:rPr>
          <w:bCs/>
          <w:sz w:val="24"/>
        </w:rPr>
        <w:t>有关本次公开招标的事项若存在变动或修改，敬请及时关注装备中心在“江苏政府采购网”发布的信息更正公告。</w:t>
      </w:r>
    </w:p>
    <w:p w14:paraId="19E18406">
      <w:pPr>
        <w:spacing w:line="520" w:lineRule="exact"/>
        <w:ind w:firstLine="482" w:firstLineChars="200"/>
        <w:rPr>
          <w:b/>
          <w:bCs/>
          <w:sz w:val="24"/>
        </w:rPr>
      </w:pPr>
      <w:bookmarkStart w:id="40" w:name="_Toc35393796"/>
      <w:bookmarkStart w:id="41" w:name="_Toc35393627"/>
      <w:bookmarkStart w:id="42" w:name="_Toc28359085"/>
      <w:bookmarkStart w:id="43" w:name="_Toc28359008"/>
      <w:r>
        <w:rPr>
          <w:rFonts w:hint="eastAsia"/>
          <w:b/>
          <w:bCs/>
          <w:sz w:val="24"/>
        </w:rPr>
        <w:t>七、对本次招标提出询问，请按</w:t>
      </w:r>
      <w:r>
        <w:rPr>
          <w:b/>
          <w:bCs/>
          <w:sz w:val="24"/>
        </w:rPr>
        <w:t>以下方式</w:t>
      </w:r>
      <w:r>
        <w:rPr>
          <w:rFonts w:hint="eastAsia"/>
          <w:b/>
          <w:bCs/>
          <w:sz w:val="24"/>
        </w:rPr>
        <w:t>联系。</w:t>
      </w:r>
      <w:bookmarkEnd w:id="40"/>
      <w:bookmarkEnd w:id="41"/>
      <w:bookmarkEnd w:id="42"/>
      <w:bookmarkEnd w:id="43"/>
    </w:p>
    <w:p w14:paraId="7B92A541">
      <w:pPr>
        <w:spacing w:line="520" w:lineRule="exact"/>
        <w:ind w:firstLine="480" w:firstLineChars="200"/>
        <w:rPr>
          <w:bCs/>
          <w:sz w:val="24"/>
        </w:rPr>
      </w:pPr>
      <w:r>
        <w:rPr>
          <w:rFonts w:hint="eastAsia"/>
          <w:bCs/>
          <w:sz w:val="24"/>
        </w:rPr>
        <w:t>1. 采购人信息</w:t>
      </w:r>
    </w:p>
    <w:p w14:paraId="43DAAEF7">
      <w:pPr>
        <w:spacing w:line="520" w:lineRule="exact"/>
        <w:ind w:firstLine="480" w:firstLineChars="200"/>
        <w:rPr>
          <w:bCs/>
          <w:sz w:val="24"/>
        </w:rPr>
      </w:pPr>
      <w:r>
        <w:rPr>
          <w:rFonts w:hint="eastAsia"/>
          <w:bCs/>
          <w:sz w:val="24"/>
        </w:rPr>
        <w:t>名    称：</w:t>
      </w:r>
      <w:r>
        <w:rPr>
          <w:sz w:val="24"/>
        </w:rPr>
        <w:t>江苏省体育彩票管理中心</w:t>
      </w:r>
    </w:p>
    <w:p w14:paraId="3777196A">
      <w:pPr>
        <w:spacing w:line="520" w:lineRule="exact"/>
        <w:ind w:firstLine="480" w:firstLineChars="200"/>
        <w:rPr>
          <w:rFonts w:ascii="Times New Roman" w:hAnsi="Times New Roman"/>
          <w:bCs/>
          <w:sz w:val="24"/>
        </w:rPr>
      </w:pPr>
      <w:r>
        <w:rPr>
          <w:rFonts w:ascii="Times New Roman"/>
          <w:bCs/>
          <w:sz w:val="24"/>
        </w:rPr>
        <w:t>地</w:t>
      </w:r>
      <w:r>
        <w:rPr>
          <w:rFonts w:ascii="Times New Roman" w:hAnsi="Times New Roman"/>
          <w:bCs/>
          <w:sz w:val="24"/>
        </w:rPr>
        <w:t xml:space="preserve">    </w:t>
      </w:r>
      <w:r>
        <w:rPr>
          <w:rFonts w:ascii="Times New Roman"/>
          <w:bCs/>
          <w:sz w:val="24"/>
        </w:rPr>
        <w:t>址：</w:t>
      </w:r>
      <w:r>
        <w:rPr>
          <w:sz w:val="24"/>
        </w:rPr>
        <w:t>南京市广州路191号五环大厦3楼</w:t>
      </w:r>
    </w:p>
    <w:p w14:paraId="6F16CF9F">
      <w:pPr>
        <w:spacing w:line="520" w:lineRule="exact"/>
        <w:ind w:firstLine="480" w:firstLineChars="200"/>
        <w:rPr>
          <w:rFonts w:ascii="Times New Roman" w:hAnsi="Times New Roman"/>
          <w:bCs/>
          <w:sz w:val="24"/>
        </w:rPr>
      </w:pPr>
      <w:r>
        <w:rPr>
          <w:rFonts w:ascii="Times New Roman"/>
          <w:bCs/>
          <w:sz w:val="24"/>
        </w:rPr>
        <w:t>联系方式：</w:t>
      </w:r>
      <w:bookmarkStart w:id="44" w:name="_Toc28359086"/>
      <w:bookmarkStart w:id="45" w:name="_Toc28359009"/>
      <w:r>
        <w:rPr>
          <w:rFonts w:hint="eastAsia" w:ascii="Times New Roman" w:hAnsi="Times New Roman"/>
          <w:sz w:val="24"/>
        </w:rPr>
        <w:t>刘聪025-51886149</w:t>
      </w:r>
    </w:p>
    <w:p w14:paraId="5927F7FA">
      <w:pPr>
        <w:spacing w:line="520" w:lineRule="exact"/>
        <w:ind w:firstLine="480" w:firstLineChars="200"/>
        <w:rPr>
          <w:bCs/>
          <w:sz w:val="24"/>
        </w:rPr>
      </w:pPr>
      <w:r>
        <w:rPr>
          <w:rFonts w:hint="eastAsia"/>
          <w:bCs/>
          <w:sz w:val="24"/>
        </w:rPr>
        <w:t>2. 采购代理机构信息</w:t>
      </w:r>
      <w:bookmarkEnd w:id="44"/>
      <w:bookmarkEnd w:id="45"/>
    </w:p>
    <w:p w14:paraId="6D611D57">
      <w:pPr>
        <w:spacing w:line="520" w:lineRule="exact"/>
        <w:ind w:firstLine="480" w:firstLineChars="200"/>
        <w:rPr>
          <w:bCs/>
          <w:sz w:val="24"/>
        </w:rPr>
      </w:pPr>
      <w:r>
        <w:rPr>
          <w:rFonts w:hint="eastAsia"/>
          <w:bCs/>
          <w:sz w:val="24"/>
        </w:rPr>
        <w:t>名    称：</w:t>
      </w:r>
      <w:r>
        <w:rPr>
          <w:bCs/>
          <w:sz w:val="24"/>
        </w:rPr>
        <w:t>江苏省体育装备中心</w:t>
      </w:r>
    </w:p>
    <w:p w14:paraId="41AF858C">
      <w:pPr>
        <w:spacing w:line="520" w:lineRule="exact"/>
        <w:ind w:firstLine="480" w:firstLineChars="200"/>
        <w:rPr>
          <w:bCs/>
          <w:sz w:val="24"/>
        </w:rPr>
      </w:pPr>
      <w:r>
        <w:rPr>
          <w:rFonts w:hint="eastAsia"/>
          <w:bCs/>
          <w:sz w:val="24"/>
        </w:rPr>
        <w:t>地　  址：</w:t>
      </w:r>
      <w:r>
        <w:rPr>
          <w:bCs/>
          <w:sz w:val="24"/>
        </w:rPr>
        <w:t>南京市广州路191号五环大厦12楼</w:t>
      </w:r>
    </w:p>
    <w:p w14:paraId="05A317EA">
      <w:pPr>
        <w:spacing w:line="520" w:lineRule="exact"/>
        <w:ind w:firstLine="480" w:firstLineChars="200"/>
        <w:rPr>
          <w:bCs/>
          <w:sz w:val="24"/>
        </w:rPr>
      </w:pPr>
      <w:r>
        <w:rPr>
          <w:rFonts w:hint="eastAsia"/>
          <w:bCs/>
          <w:sz w:val="24"/>
        </w:rPr>
        <w:t>联系方式：</w:t>
      </w:r>
      <w:bookmarkStart w:id="46" w:name="_Toc28359010"/>
      <w:bookmarkStart w:id="47" w:name="_Toc28359087"/>
      <w:r>
        <w:rPr>
          <w:bCs/>
          <w:sz w:val="24"/>
        </w:rPr>
        <w:t>025-51889545</w:t>
      </w:r>
    </w:p>
    <w:p w14:paraId="5CD92D7E">
      <w:pPr>
        <w:spacing w:line="520" w:lineRule="exact"/>
        <w:ind w:firstLine="480" w:firstLineChars="200"/>
        <w:rPr>
          <w:bCs/>
          <w:sz w:val="24"/>
        </w:rPr>
      </w:pPr>
      <w:r>
        <w:rPr>
          <w:rFonts w:hint="eastAsia"/>
          <w:bCs/>
          <w:sz w:val="24"/>
        </w:rPr>
        <w:t>3. 项目</w:t>
      </w:r>
      <w:r>
        <w:rPr>
          <w:bCs/>
          <w:sz w:val="24"/>
        </w:rPr>
        <w:t>联系方式</w:t>
      </w:r>
      <w:bookmarkEnd w:id="46"/>
      <w:bookmarkEnd w:id="47"/>
    </w:p>
    <w:p w14:paraId="12B3318A">
      <w:pPr>
        <w:spacing w:line="520" w:lineRule="exact"/>
        <w:ind w:firstLine="480" w:firstLineChars="200"/>
        <w:rPr>
          <w:bCs/>
          <w:sz w:val="24"/>
        </w:rPr>
      </w:pPr>
      <w:r>
        <w:rPr>
          <w:rFonts w:hint="eastAsia"/>
          <w:bCs/>
          <w:sz w:val="24"/>
        </w:rPr>
        <w:t>项目联系人：刘巍</w:t>
      </w:r>
      <w:r>
        <w:rPr>
          <w:bCs/>
          <w:sz w:val="24"/>
        </w:rPr>
        <w:t>、田长山</w:t>
      </w:r>
    </w:p>
    <w:p w14:paraId="7F802AC9">
      <w:pPr>
        <w:spacing w:line="520" w:lineRule="exact"/>
        <w:ind w:firstLine="480" w:firstLineChars="200"/>
        <w:rPr>
          <w:rFonts w:ascii="Times New Roman" w:hAnsi="Times New Roman"/>
        </w:rPr>
      </w:pPr>
      <w:r>
        <w:rPr>
          <w:rFonts w:hint="eastAsia"/>
          <w:bCs/>
          <w:sz w:val="24"/>
        </w:rPr>
        <w:t>电    　话：</w:t>
      </w:r>
      <w:r>
        <w:rPr>
          <w:bCs/>
          <w:sz w:val="24"/>
        </w:rPr>
        <w:t>025-51889606、51889549</w:t>
      </w:r>
    </w:p>
    <w:p w14:paraId="72F64EF0">
      <w:pPr>
        <w:spacing w:line="520" w:lineRule="exact"/>
        <w:ind w:firstLine="420" w:firstLineChars="200"/>
        <w:rPr>
          <w:rFonts w:ascii="Times New Roman" w:hAnsi="Times New Roman"/>
        </w:rPr>
      </w:pPr>
    </w:p>
    <w:p w14:paraId="6E3F3902">
      <w:pPr>
        <w:pStyle w:val="2"/>
        <w:rPr>
          <w:rFonts w:ascii="Times New Roman" w:eastAsia="黑体"/>
          <w:bCs/>
          <w:sz w:val="44"/>
        </w:rPr>
      </w:pPr>
      <w:r>
        <w:rPr>
          <w:rFonts w:ascii="Times New Roman" w:eastAsia="黑体"/>
          <w:bCs/>
          <w:sz w:val="44"/>
        </w:rPr>
        <w:br w:type="page"/>
      </w:r>
      <w:bookmarkStart w:id="48" w:name="_Toc481072011"/>
      <w:bookmarkStart w:id="49" w:name="_Toc475009295"/>
      <w:bookmarkStart w:id="50" w:name="_Toc481071965"/>
      <w:bookmarkStart w:id="51" w:name="_Toc121905576"/>
      <w:bookmarkStart w:id="52" w:name="_Toc511899513"/>
      <w:r>
        <w:rPr>
          <w:rFonts w:ascii="Times New Roman" w:eastAsia="黑体"/>
          <w:bCs/>
          <w:sz w:val="44"/>
        </w:rPr>
        <w:t xml:space="preserve">第二章  </w:t>
      </w:r>
      <w:bookmarkEnd w:id="8"/>
      <w:bookmarkEnd w:id="9"/>
      <w:bookmarkEnd w:id="10"/>
      <w:bookmarkEnd w:id="11"/>
      <w:bookmarkEnd w:id="12"/>
      <w:bookmarkEnd w:id="18"/>
      <w:bookmarkEnd w:id="48"/>
      <w:bookmarkEnd w:id="49"/>
      <w:bookmarkEnd w:id="50"/>
      <w:r>
        <w:rPr>
          <w:rFonts w:ascii="Times New Roman" w:eastAsia="黑体"/>
          <w:bCs/>
          <w:sz w:val="44"/>
        </w:rPr>
        <w:t>供应商须知</w:t>
      </w:r>
      <w:bookmarkEnd w:id="51"/>
      <w:bookmarkEnd w:id="52"/>
    </w:p>
    <w:p w14:paraId="0A7AEA41">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53" w:name="_Toc120614215"/>
      <w:bookmarkStart w:id="54" w:name="_Toc20823281"/>
      <w:bookmarkStart w:id="55" w:name="_Toc513029209"/>
      <w:bookmarkStart w:id="56" w:name="_Toc16938525"/>
      <w:bookmarkStart w:id="57" w:name="_Toc16938558"/>
      <w:bookmarkStart w:id="58" w:name="_Toc120614221"/>
      <w:bookmarkStart w:id="59" w:name="_Toc513029242"/>
      <w:bookmarkStart w:id="60" w:name="_Toc479757207"/>
      <w:bookmarkStart w:id="61" w:name="_Toc20823314"/>
      <w:r>
        <w:rPr>
          <w:rFonts w:hint="eastAsia" w:ascii="方正黑体_GBK" w:hAnsi="方正黑体_GBK" w:eastAsia="方正黑体_GBK" w:cs="方正黑体_GBK"/>
          <w:color w:val="000000"/>
          <w:sz w:val="28"/>
          <w:szCs w:val="28"/>
        </w:rPr>
        <w:t>一、总则</w:t>
      </w:r>
    </w:p>
    <w:p w14:paraId="2879821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1.招标方式</w:t>
      </w:r>
    </w:p>
    <w:p w14:paraId="587FF12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 本次招标采取公开招标方式，本招标文件仅适用于招标公告中所述项目。</w:t>
      </w:r>
    </w:p>
    <w:p w14:paraId="3F539F1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2.合格的投标人</w:t>
      </w:r>
    </w:p>
    <w:p w14:paraId="060A1B9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2.1满足招标公告中供应商的资格要求的规定。</w:t>
      </w:r>
    </w:p>
    <w:p w14:paraId="4CD1C74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 满足本文件实质性要求的规定。</w:t>
      </w:r>
    </w:p>
    <w:p w14:paraId="26D6AA9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3.适用法律和标准</w:t>
      </w:r>
    </w:p>
    <w:p w14:paraId="145B146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3.1 本次招标及由此产生的合同受中华人民共和国有关的法律法规制约和保护。</w:t>
      </w:r>
    </w:p>
    <w:p w14:paraId="0529CFE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3.2 在本项目政府采购活动过程中，如果所执行的标准有更新的，按照最新标准执行。</w:t>
      </w:r>
    </w:p>
    <w:p w14:paraId="301A157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4.投标费用</w:t>
      </w:r>
    </w:p>
    <w:p w14:paraId="73B5EDF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4.1 投标人应自行承担所有与参加投标有关的费用，无论投标过程中的做法和结果如何，江苏省体育装备中心（以下简称装备中心）在任何情况下均无义务和责任承担这些费用。</w:t>
      </w:r>
    </w:p>
    <w:p w14:paraId="2577DD80">
      <w:pPr>
        <w:adjustRightInd w:val="0"/>
        <w:snapToGrid w:val="0"/>
        <w:spacing w:line="360" w:lineRule="auto"/>
        <w:ind w:firstLine="489" w:firstLineChars="204"/>
        <w:rPr>
          <w:rFonts w:ascii="Times New Roman" w:hAnsi="Times New Roman" w:eastAsia="方正仿宋_GBK"/>
          <w:bCs/>
          <w:sz w:val="24"/>
        </w:rPr>
      </w:pPr>
      <w:r>
        <w:rPr>
          <w:rFonts w:ascii="Times New Roman" w:hAnsi="Times New Roman"/>
          <w:bCs/>
          <w:sz w:val="24"/>
        </w:rPr>
        <w:t>4.2</w:t>
      </w:r>
      <w:r>
        <w:rPr>
          <w:rFonts w:hint="eastAsia" w:ascii="Times New Roman" w:hAnsi="Times New Roman"/>
          <w:bCs/>
          <w:sz w:val="24"/>
        </w:rPr>
        <w:t>本次招标装备中心和采购人不收取标书工本费。</w:t>
      </w:r>
    </w:p>
    <w:p w14:paraId="02794235">
      <w:pPr>
        <w:adjustRightInd w:val="0"/>
        <w:snapToGrid w:val="0"/>
        <w:spacing w:line="360" w:lineRule="auto"/>
        <w:ind w:firstLine="489" w:firstLineChars="204"/>
        <w:rPr>
          <w:rFonts w:ascii="Times New Roman" w:hAnsi="Times New Roman"/>
          <w:bCs/>
          <w:sz w:val="24"/>
        </w:rPr>
      </w:pPr>
      <w:r>
        <w:rPr>
          <w:rFonts w:ascii="Times New Roman" w:hAnsi="Times New Roman"/>
          <w:bCs/>
          <w:sz w:val="24"/>
        </w:rPr>
        <w:t>4.3</w:t>
      </w:r>
      <w:r>
        <w:rPr>
          <w:rFonts w:ascii="Times New Roman" w:hAnsi="Times New Roman"/>
          <w:b/>
          <w:sz w:val="24"/>
        </w:rPr>
        <w:t>本次招标装备中心收取中标服务费</w:t>
      </w:r>
      <w:bookmarkStart w:id="62" w:name="EB4c1d2de96f4e49298894c84b3d57b975"/>
      <w:r>
        <w:rPr>
          <w:rFonts w:hint="eastAsia" w:ascii="Times New Roman" w:hAnsi="Times New Roman"/>
          <w:b/>
          <w:sz w:val="24"/>
        </w:rPr>
        <w:t>。</w:t>
      </w:r>
      <w:r>
        <w:rPr>
          <w:rFonts w:ascii="Times New Roman" w:hAnsi="Times New Roman"/>
          <w:b/>
          <w:sz w:val="24"/>
        </w:rPr>
        <w:t>按照</w:t>
      </w:r>
      <w:r>
        <w:rPr>
          <w:rFonts w:ascii="Times New Roman" w:hAnsi="Times New Roman"/>
          <w:b/>
          <w:sz w:val="24"/>
          <w:lang w:val="zh-CN"/>
        </w:rPr>
        <w:t>苏</w:t>
      </w:r>
      <w:r>
        <w:rPr>
          <w:rFonts w:hint="eastAsia" w:ascii="Times New Roman" w:hAnsi="Times New Roman"/>
          <w:b/>
          <w:sz w:val="24"/>
        </w:rPr>
        <w:t>政采</w:t>
      </w:r>
      <w:r>
        <w:rPr>
          <w:rFonts w:ascii="Times New Roman" w:hAnsi="Times New Roman"/>
          <w:b/>
          <w:sz w:val="24"/>
          <w:lang w:val="zh-CN"/>
        </w:rPr>
        <w:t>协【202</w:t>
      </w:r>
      <w:r>
        <w:rPr>
          <w:rFonts w:hint="eastAsia" w:ascii="Times New Roman" w:hAnsi="Times New Roman"/>
          <w:b/>
          <w:sz w:val="24"/>
        </w:rPr>
        <w:t>4</w:t>
      </w:r>
      <w:r>
        <w:rPr>
          <w:rFonts w:ascii="Times New Roman" w:hAnsi="Times New Roman"/>
          <w:b/>
          <w:sz w:val="24"/>
          <w:lang w:val="zh-CN"/>
        </w:rPr>
        <w:t>】</w:t>
      </w:r>
      <w:r>
        <w:rPr>
          <w:rFonts w:hint="eastAsia" w:ascii="Times New Roman" w:hAnsi="Times New Roman"/>
          <w:b/>
          <w:sz w:val="24"/>
        </w:rPr>
        <w:t>20号</w:t>
      </w:r>
      <w:r>
        <w:rPr>
          <w:rFonts w:ascii="Times New Roman" w:hAnsi="Times New Roman"/>
          <w:b/>
          <w:sz w:val="24"/>
          <w:lang w:val="zh-CN"/>
        </w:rPr>
        <w:t>文的规定收取，由</w:t>
      </w:r>
      <w:r>
        <w:rPr>
          <w:rFonts w:hint="eastAsia" w:ascii="Times New Roman" w:hAnsi="Times New Roman"/>
          <w:b/>
          <w:sz w:val="24"/>
        </w:rPr>
        <w:t>中标</w:t>
      </w:r>
      <w:r>
        <w:rPr>
          <w:rFonts w:ascii="Times New Roman" w:hAnsi="Times New Roman"/>
          <w:b/>
          <w:sz w:val="24"/>
          <w:lang w:val="zh-CN"/>
        </w:rPr>
        <w:t>供应商领取</w:t>
      </w:r>
      <w:r>
        <w:rPr>
          <w:rFonts w:hint="eastAsia" w:ascii="Times New Roman" w:hAnsi="Times New Roman"/>
          <w:b/>
          <w:sz w:val="24"/>
        </w:rPr>
        <w:t>中标</w:t>
      </w:r>
      <w:r>
        <w:rPr>
          <w:rFonts w:ascii="Times New Roman" w:hAnsi="Times New Roman"/>
          <w:b/>
          <w:sz w:val="24"/>
          <w:lang w:val="zh-CN"/>
        </w:rPr>
        <w:t>通知书时一次性向</w:t>
      </w:r>
      <w:r>
        <w:rPr>
          <w:rFonts w:hint="eastAsia" w:ascii="Times New Roman" w:hAnsi="Times New Roman"/>
          <w:b/>
          <w:sz w:val="24"/>
        </w:rPr>
        <w:t>装备中心</w:t>
      </w:r>
      <w:r>
        <w:rPr>
          <w:rFonts w:ascii="Times New Roman" w:hAnsi="Times New Roman"/>
          <w:b/>
          <w:sz w:val="24"/>
          <w:lang w:val="zh-CN"/>
        </w:rPr>
        <w:t>支付</w:t>
      </w:r>
      <w:bookmarkEnd w:id="62"/>
      <w:r>
        <w:rPr>
          <w:rFonts w:ascii="Times New Roman" w:hAnsi="Times New Roman"/>
          <w:b/>
          <w:sz w:val="24"/>
          <w:lang w:val="zh-CN"/>
        </w:rPr>
        <w:t>。本项费用无需在投标报价表中单列</w:t>
      </w:r>
      <w:r>
        <w:rPr>
          <w:rFonts w:ascii="Times New Roman" w:hAnsi="Times New Roman"/>
          <w:b/>
          <w:sz w:val="24"/>
        </w:rPr>
        <w:t>。</w:t>
      </w:r>
    </w:p>
    <w:p w14:paraId="00EDA26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5.招标文件的约束力</w:t>
      </w:r>
    </w:p>
    <w:p w14:paraId="377C1746">
      <w:pPr>
        <w:adjustRightInd w:val="0"/>
        <w:snapToGrid w:val="0"/>
        <w:spacing w:line="360" w:lineRule="auto"/>
        <w:ind w:firstLine="489" w:firstLineChars="204"/>
        <w:rPr>
          <w:rFonts w:ascii="Times New Roman" w:hAnsi="Times New Roman"/>
          <w:bCs/>
          <w:sz w:val="24"/>
        </w:rPr>
      </w:pPr>
      <w:r>
        <w:rPr>
          <w:rFonts w:ascii="Times New Roman" w:hAnsi="Times New Roman"/>
          <w:bCs/>
          <w:sz w:val="24"/>
        </w:rPr>
        <w:t>5.1供应商一旦下载了本招标文件并决定参加投标，即被认为接受了本招标文件的规定和约束，并且视为自招标公告发布之日起已经知道或应当知道自身权益是否受到了损害。</w:t>
      </w:r>
    </w:p>
    <w:p w14:paraId="2E959857">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二、招标文件</w:t>
      </w:r>
      <w:bookmarkEnd w:id="53"/>
      <w:bookmarkEnd w:id="54"/>
      <w:bookmarkEnd w:id="55"/>
      <w:bookmarkEnd w:id="56"/>
    </w:p>
    <w:p w14:paraId="3C020604">
      <w:pPr>
        <w:adjustRightInd w:val="0"/>
        <w:snapToGrid w:val="0"/>
        <w:spacing w:line="360" w:lineRule="auto"/>
        <w:ind w:firstLine="489" w:firstLineChars="204"/>
        <w:rPr>
          <w:rFonts w:ascii="Times New Roman" w:hAnsi="Times New Roman"/>
          <w:bCs/>
          <w:sz w:val="24"/>
        </w:rPr>
      </w:pPr>
      <w:bookmarkStart w:id="63" w:name="_Toc120614220"/>
      <w:bookmarkStart w:id="64" w:name="_Toc513029236"/>
      <w:bookmarkStart w:id="65" w:name="_Toc16938552"/>
      <w:bookmarkStart w:id="66" w:name="_Toc20823308"/>
      <w:r>
        <w:rPr>
          <w:rFonts w:hint="eastAsia" w:ascii="Times New Roman" w:hAnsi="Times New Roman"/>
          <w:bCs/>
          <w:sz w:val="24"/>
        </w:rPr>
        <w:t>6.招标文件构成</w:t>
      </w:r>
    </w:p>
    <w:p w14:paraId="34AD9B1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6.1 招标文件由以下部分组成：</w:t>
      </w:r>
    </w:p>
    <w:p w14:paraId="0322F6A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（1）投标邀请</w:t>
      </w:r>
    </w:p>
    <w:p w14:paraId="6F5D3AD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（2）投标人须知</w:t>
      </w:r>
    </w:p>
    <w:p w14:paraId="66A6F93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（3）合同文本</w:t>
      </w:r>
    </w:p>
    <w:p w14:paraId="2EB46D4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（4）采购需求</w:t>
      </w:r>
    </w:p>
    <w:p w14:paraId="5AD2228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（5）评标方法与评标标准</w:t>
      </w:r>
    </w:p>
    <w:p w14:paraId="4A82682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（6）投标文件格式</w:t>
      </w:r>
    </w:p>
    <w:p w14:paraId="07E3AB3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请仔细检查招标文件是否齐全，如有缺漏请立即与装备中心联系解决。</w:t>
      </w:r>
    </w:p>
    <w:p w14:paraId="442B41A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A828F1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7.招标文件的修改</w:t>
      </w:r>
    </w:p>
    <w:p w14:paraId="0DB9378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7.1 在投标截止时间前，装备中心可以对招标文件进行修改。</w:t>
      </w:r>
    </w:p>
    <w:p w14:paraId="1593464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7.2 装备中心有权按照法定的要求推迟投标截止日期和开标日期。</w:t>
      </w:r>
    </w:p>
    <w:p w14:paraId="4DFADECA">
      <w:pPr>
        <w:adjustRightInd w:val="0"/>
        <w:snapToGrid w:val="0"/>
        <w:spacing w:line="360" w:lineRule="auto"/>
        <w:ind w:firstLine="489" w:firstLineChars="204"/>
        <w:rPr>
          <w:rFonts w:ascii="方正仿宋_GBK" w:hAnsi="方正仿宋_GBK" w:eastAsia="方正仿宋_GBK" w:cs="方正仿宋_GBK"/>
          <w:bCs/>
          <w:sz w:val="28"/>
          <w:szCs w:val="28"/>
        </w:rPr>
      </w:pPr>
      <w:r>
        <w:rPr>
          <w:rFonts w:hint="eastAsia" w:ascii="Times New Roman" w:hAnsi="Times New Roman"/>
          <w:bCs/>
          <w:sz w:val="24"/>
        </w:rPr>
        <w:t>7.3 招标文件的修改将在江苏政府采购网公布，补充文件将作为招标文件的组成部分，并对投标人具有约束力。</w:t>
      </w:r>
    </w:p>
    <w:p w14:paraId="2C41C78C">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67" w:name="_Toc16938529"/>
      <w:bookmarkStart w:id="68" w:name="_Toc20823285"/>
      <w:bookmarkStart w:id="69" w:name="_Toc513029213"/>
      <w:bookmarkStart w:id="70" w:name="_Toc462564072"/>
      <w:bookmarkStart w:id="71" w:name="_Toc120614216"/>
      <w:r>
        <w:rPr>
          <w:rFonts w:hint="eastAsia" w:ascii="方正黑体_GBK" w:hAnsi="方正黑体_GBK" w:eastAsia="方正黑体_GBK" w:cs="方正黑体_GBK"/>
          <w:color w:val="000000"/>
          <w:sz w:val="28"/>
          <w:szCs w:val="28"/>
        </w:rPr>
        <w:t>三、投标文件的编制</w:t>
      </w:r>
      <w:bookmarkEnd w:id="67"/>
      <w:bookmarkEnd w:id="68"/>
      <w:bookmarkEnd w:id="69"/>
      <w:bookmarkEnd w:id="70"/>
      <w:bookmarkEnd w:id="71"/>
    </w:p>
    <w:p w14:paraId="7291095E">
      <w:pPr>
        <w:adjustRightInd w:val="0"/>
        <w:snapToGrid w:val="0"/>
        <w:spacing w:line="360" w:lineRule="auto"/>
        <w:ind w:firstLine="489" w:firstLineChars="204"/>
        <w:rPr>
          <w:rFonts w:ascii="Times New Roman" w:hAnsi="Times New Roman"/>
          <w:bCs/>
          <w:sz w:val="24"/>
        </w:rPr>
      </w:pPr>
      <w:bookmarkStart w:id="72" w:name="_Toc462564073"/>
      <w:bookmarkStart w:id="73" w:name="_Toc16938530"/>
      <w:bookmarkStart w:id="74" w:name="_Toc513029214"/>
      <w:bookmarkStart w:id="75" w:name="_Toc20823286"/>
      <w:r>
        <w:rPr>
          <w:rFonts w:hint="eastAsia" w:ascii="Times New Roman" w:hAnsi="Times New Roman"/>
          <w:bCs/>
          <w:sz w:val="24"/>
        </w:rPr>
        <w:t>8.投标文件的语言及度量衡单位</w:t>
      </w:r>
      <w:bookmarkEnd w:id="72"/>
      <w:bookmarkEnd w:id="73"/>
      <w:bookmarkEnd w:id="74"/>
      <w:bookmarkEnd w:id="75"/>
    </w:p>
    <w:p w14:paraId="41214E3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8.1 投标人提交的投标文件以及投标人与装备中心就有关投标的所有来往通知、函件和文件均应使用简体中文。</w:t>
      </w:r>
    </w:p>
    <w:p w14:paraId="35C3540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8.2 除技术性能另有规定外，投标文件所使用的度量衡单位，均须采用国家法定计量单位。</w:t>
      </w:r>
    </w:p>
    <w:p w14:paraId="217A55AD">
      <w:pPr>
        <w:adjustRightInd w:val="0"/>
        <w:snapToGrid w:val="0"/>
        <w:spacing w:line="360" w:lineRule="auto"/>
        <w:ind w:firstLine="489" w:firstLineChars="204"/>
        <w:rPr>
          <w:rFonts w:ascii="Times New Roman" w:hAnsi="Times New Roman"/>
          <w:bCs/>
          <w:sz w:val="24"/>
        </w:rPr>
      </w:pPr>
      <w:bookmarkStart w:id="76" w:name="_Toc16938531"/>
      <w:bookmarkStart w:id="77" w:name="_Toc462564074"/>
      <w:bookmarkStart w:id="78" w:name="_Toc513029215"/>
      <w:bookmarkStart w:id="79" w:name="_Toc20823287"/>
      <w:r>
        <w:rPr>
          <w:rFonts w:hint="eastAsia" w:ascii="Times New Roman" w:hAnsi="Times New Roman"/>
          <w:bCs/>
          <w:sz w:val="24"/>
        </w:rPr>
        <w:t>9.投标文件构成</w:t>
      </w:r>
      <w:bookmarkEnd w:id="76"/>
      <w:bookmarkEnd w:id="77"/>
      <w:bookmarkEnd w:id="78"/>
      <w:bookmarkEnd w:id="79"/>
    </w:p>
    <w:p w14:paraId="6D3580D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9.1 投标人编写的投标文件应包括资格证明文件、实质性要求响应及偏离表、投标分项报价表、技术要求响应及偏离表、商务要求响应及偏离表、其他证明文件、投标函、开标一览表等部分。</w:t>
      </w:r>
    </w:p>
    <w:p w14:paraId="389DDF9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9.2 如标书制作工具中格式和内容与“江苏政府采购网”发布的招标文件不一致，请以“江苏政府采购网”发布的招标文件为准。</w:t>
      </w:r>
    </w:p>
    <w:p w14:paraId="1B97E2B3">
      <w:pPr>
        <w:adjustRightInd w:val="0"/>
        <w:snapToGrid w:val="0"/>
        <w:spacing w:line="360" w:lineRule="auto"/>
        <w:ind w:firstLine="489" w:firstLineChars="204"/>
        <w:rPr>
          <w:rFonts w:ascii="Times New Roman" w:hAnsi="Times New Roman"/>
          <w:bCs/>
          <w:sz w:val="24"/>
        </w:rPr>
      </w:pPr>
      <w:bookmarkStart w:id="80" w:name="_Hlt26670360"/>
      <w:bookmarkEnd w:id="80"/>
      <w:bookmarkStart w:id="81" w:name="_Hlt26954838"/>
      <w:bookmarkEnd w:id="81"/>
      <w:bookmarkStart w:id="82" w:name="_Hlt26668975"/>
      <w:bookmarkEnd w:id="82"/>
      <w:bookmarkStart w:id="83" w:name="_Toc49090509"/>
      <w:bookmarkStart w:id="84" w:name="_Toc14577357"/>
      <w:bookmarkStart w:id="85" w:name="_Toc513029219"/>
      <w:bookmarkStart w:id="86" w:name="_Toc14577354"/>
      <w:bookmarkStart w:id="87" w:name="_Toc49090507"/>
      <w:bookmarkStart w:id="88" w:name="_Toc513029216"/>
      <w:r>
        <w:rPr>
          <w:rFonts w:hint="eastAsia" w:ascii="Times New Roman" w:hAnsi="Times New Roman"/>
          <w:bCs/>
          <w:sz w:val="24"/>
        </w:rPr>
        <w:t>10.证明投标人及投标标的符合招标文件规定的文件</w:t>
      </w:r>
      <w:bookmarkEnd w:id="83"/>
      <w:bookmarkEnd w:id="84"/>
      <w:bookmarkEnd w:id="85"/>
    </w:p>
    <w:bookmarkEnd w:id="86"/>
    <w:bookmarkEnd w:id="87"/>
    <w:bookmarkEnd w:id="88"/>
    <w:p w14:paraId="2CE0B902">
      <w:pPr>
        <w:adjustRightInd w:val="0"/>
        <w:snapToGrid w:val="0"/>
        <w:spacing w:line="360" w:lineRule="auto"/>
        <w:ind w:firstLine="489" w:firstLineChars="204"/>
        <w:rPr>
          <w:rFonts w:ascii="Times New Roman" w:hAnsi="Times New Roman"/>
          <w:bCs/>
          <w:sz w:val="24"/>
        </w:rPr>
      </w:pPr>
      <w:bookmarkStart w:id="89" w:name="_Toc14577355"/>
      <w:bookmarkStart w:id="90" w:name="_Toc49090508"/>
      <w:r>
        <w:rPr>
          <w:rFonts w:hint="eastAsia" w:ascii="Times New Roman" w:hAnsi="Times New Roman"/>
          <w:bCs/>
          <w:sz w:val="24"/>
        </w:rPr>
        <w:t>10.1 投标人应按照法律、法规、规章和规范性文件以及招标文件要求提交证明文件，证明其及投标标的符合招标文件规定。</w:t>
      </w:r>
    </w:p>
    <w:p w14:paraId="44263C3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10.2招标文件对证明文件无明确形式要求的，证明文件可以以文字资料、图纸和数据等形式提交。</w:t>
      </w:r>
    </w:p>
    <w:p w14:paraId="09E2116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11.投标分项报价</w:t>
      </w:r>
      <w:bookmarkEnd w:id="89"/>
      <w:bookmarkStart w:id="91" w:name="_Hlt26670373"/>
      <w:bookmarkEnd w:id="91"/>
      <w:r>
        <w:rPr>
          <w:rFonts w:hint="eastAsia" w:ascii="Times New Roman" w:hAnsi="Times New Roman"/>
          <w:bCs/>
          <w:sz w:val="24"/>
        </w:rPr>
        <w:t>表</w:t>
      </w:r>
      <w:bookmarkEnd w:id="90"/>
    </w:p>
    <w:p w14:paraId="40C2986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11.1 投</w:t>
      </w:r>
      <w:bookmarkStart w:id="92" w:name="_Hlt26954840"/>
      <w:bookmarkEnd w:id="92"/>
      <w:r>
        <w:rPr>
          <w:rFonts w:hint="eastAsia" w:ascii="Times New Roman" w:hAnsi="Times New Roman"/>
          <w:bCs/>
          <w:sz w:val="24"/>
        </w:rPr>
        <w:t>标人按照招标文件规定格式填报投标分项报价表</w:t>
      </w:r>
      <w:bookmarkStart w:id="93" w:name="_Hlt26670399"/>
      <w:bookmarkEnd w:id="93"/>
      <w:r>
        <w:rPr>
          <w:rFonts w:hint="eastAsia" w:ascii="Times New Roman" w:hAnsi="Times New Roman"/>
          <w:bCs/>
          <w:sz w:val="24"/>
        </w:rPr>
        <w:t>。</w:t>
      </w:r>
    </w:p>
    <w:p w14:paraId="045E58A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11.2投标货币。投标文件中的单价和总价无特殊规定的采用人民币报价，以元为单位标注。招标文件中另有规定的按规定执行。</w:t>
      </w:r>
    </w:p>
    <w:p w14:paraId="327CBED6">
      <w:pPr>
        <w:adjustRightInd w:val="0"/>
        <w:snapToGrid w:val="0"/>
        <w:spacing w:line="360" w:lineRule="auto"/>
        <w:ind w:firstLine="489" w:firstLineChars="204"/>
        <w:rPr>
          <w:rFonts w:ascii="Times New Roman" w:hAnsi="Times New Roman"/>
          <w:bCs/>
          <w:sz w:val="24"/>
        </w:rPr>
      </w:pPr>
      <w:bookmarkStart w:id="94" w:name="_Hlt26670425"/>
      <w:bookmarkEnd w:id="94"/>
      <w:bookmarkStart w:id="95" w:name="_Hlt26668983"/>
      <w:bookmarkEnd w:id="95"/>
      <w:bookmarkStart w:id="96" w:name="_Hlt26954844"/>
      <w:bookmarkEnd w:id="96"/>
      <w:bookmarkStart w:id="97" w:name="_Hlt26670403"/>
      <w:bookmarkEnd w:id="97"/>
      <w:bookmarkStart w:id="98" w:name="_Hlt26954731"/>
      <w:bookmarkEnd w:id="98"/>
      <w:bookmarkStart w:id="99" w:name="_Hlt26954842"/>
      <w:bookmarkEnd w:id="99"/>
      <w:bookmarkStart w:id="100" w:name="_Hlt26670482"/>
      <w:bookmarkEnd w:id="100"/>
      <w:bookmarkStart w:id="101" w:name="_Hlt26954848"/>
      <w:bookmarkEnd w:id="101"/>
      <w:bookmarkStart w:id="102" w:name="_Hlt26954846"/>
      <w:bookmarkEnd w:id="102"/>
      <w:bookmarkStart w:id="103" w:name="_Hlt26670486"/>
      <w:bookmarkEnd w:id="103"/>
      <w:r>
        <w:rPr>
          <w:rFonts w:hint="eastAsia" w:ascii="Times New Roman" w:hAnsi="Times New Roman"/>
          <w:bCs/>
          <w:sz w:val="24"/>
        </w:rPr>
        <w:t>12.技术要求响应及偏离表、商务要求响应及偏离表</w:t>
      </w:r>
    </w:p>
    <w:p w14:paraId="76B1F759">
      <w:pPr>
        <w:adjustRightInd w:val="0"/>
        <w:snapToGrid w:val="0"/>
        <w:spacing w:line="360" w:lineRule="auto"/>
        <w:ind w:firstLine="489" w:firstLineChars="204"/>
        <w:rPr>
          <w:rFonts w:ascii="Times New Roman" w:hAnsi="Times New Roman"/>
          <w:bCs/>
          <w:sz w:val="24"/>
          <w:lang w:val="zh-CN"/>
        </w:rPr>
      </w:pPr>
      <w:r>
        <w:rPr>
          <w:rFonts w:hint="eastAsia" w:ascii="Times New Roman" w:hAnsi="Times New Roman"/>
          <w:bCs/>
          <w:sz w:val="24"/>
          <w:lang w:val="zh-CN"/>
        </w:rPr>
        <w:t>12.1 投标人需对招标文件中的技术要求与商务要求逐项作出响应或偏离，并说明原因。</w:t>
      </w:r>
    </w:p>
    <w:p w14:paraId="246B08D8">
      <w:pPr>
        <w:adjustRightInd w:val="0"/>
        <w:snapToGrid w:val="0"/>
        <w:spacing w:line="360" w:lineRule="auto"/>
        <w:ind w:firstLine="489" w:firstLineChars="204"/>
        <w:rPr>
          <w:rFonts w:ascii="Times New Roman" w:hAnsi="Times New Roman"/>
          <w:bCs/>
          <w:sz w:val="24"/>
          <w:lang w:val="zh-CN"/>
        </w:rPr>
      </w:pPr>
      <w:bookmarkStart w:id="104" w:name="_Toc14577359"/>
      <w:bookmarkStart w:id="105" w:name="_Toc49090510"/>
      <w:r>
        <w:rPr>
          <w:rFonts w:hint="eastAsia" w:ascii="Times New Roman" w:hAnsi="Times New Roman"/>
          <w:bCs/>
          <w:sz w:val="24"/>
          <w:lang w:val="zh-CN"/>
        </w:rPr>
        <w:t>12.2 投标人需按照招标文件要求，在投标文件中提供与技术要求和商务要求相关的证明材料。</w:t>
      </w:r>
    </w:p>
    <w:p w14:paraId="393F158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13.投标函和开标一览表</w:t>
      </w:r>
    </w:p>
    <w:p w14:paraId="44295AF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13.1 投标人应按照招标文件中提供的格式完整、正确填写投标函、开标一览表。</w:t>
      </w:r>
    </w:p>
    <w:p w14:paraId="0194ADA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13.2 对于采用货币报价的项目，开标一览表中的投标总报价应与投标分项报价表中的投标总报价一致，如不一致，不作为无效投标处理，但评标时按开标一览表中价格为准。</w:t>
      </w:r>
    </w:p>
    <w:bookmarkEnd w:id="104"/>
    <w:bookmarkEnd w:id="105"/>
    <w:p w14:paraId="3FD677F2">
      <w:pPr>
        <w:adjustRightInd w:val="0"/>
        <w:snapToGrid w:val="0"/>
        <w:spacing w:line="360" w:lineRule="auto"/>
        <w:ind w:firstLine="489" w:firstLineChars="204"/>
        <w:rPr>
          <w:rFonts w:ascii="Times New Roman" w:hAnsi="Times New Roman"/>
          <w:bCs/>
          <w:sz w:val="24"/>
        </w:rPr>
      </w:pPr>
      <w:bookmarkStart w:id="106" w:name="_Hlt26954734"/>
      <w:bookmarkEnd w:id="106"/>
      <w:bookmarkStart w:id="107" w:name="_Hlt26670489"/>
      <w:bookmarkEnd w:id="107"/>
      <w:bookmarkStart w:id="108" w:name="_Hlt26954850"/>
      <w:bookmarkEnd w:id="108"/>
      <w:bookmarkStart w:id="109" w:name="_Toc49090511"/>
      <w:bookmarkStart w:id="110" w:name="_Toc14577360"/>
      <w:r>
        <w:rPr>
          <w:rFonts w:hint="eastAsia" w:ascii="Times New Roman" w:hAnsi="Times New Roman"/>
          <w:bCs/>
          <w:sz w:val="24"/>
        </w:rPr>
        <w:t>14.投标有效期</w:t>
      </w:r>
      <w:bookmarkEnd w:id="109"/>
      <w:bookmarkEnd w:id="110"/>
    </w:p>
    <w:p w14:paraId="21C4531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14.1 投标有效期为装备中心规定的开标之日后六十（60）天。投标有效期比规定短的将被视为未实质性响应招标文件而予以拒绝。</w:t>
      </w:r>
    </w:p>
    <w:p w14:paraId="03B34B1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15.投标有效期的延长</w:t>
      </w:r>
    </w:p>
    <w:p w14:paraId="105415EF">
      <w:pPr>
        <w:adjustRightInd w:val="0"/>
        <w:snapToGrid w:val="0"/>
        <w:spacing w:line="360" w:lineRule="auto"/>
        <w:ind w:firstLine="489" w:firstLineChars="204"/>
        <w:rPr>
          <w:rFonts w:ascii="方正仿宋_GBK" w:hAnsi="方正仿宋_GBK" w:eastAsia="方正仿宋_GBK" w:cs="方正仿宋_GBK"/>
          <w:bCs/>
          <w:sz w:val="28"/>
          <w:szCs w:val="28"/>
        </w:rPr>
      </w:pPr>
      <w:r>
        <w:rPr>
          <w:rFonts w:hint="eastAsia" w:ascii="Times New Roman" w:hAnsi="Times New Roman"/>
          <w:bCs/>
          <w:sz w:val="24"/>
        </w:rPr>
        <w:t>15.1 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同时受投标有效期约束的所有权利与义务均延长至新的有效期。</w:t>
      </w:r>
    </w:p>
    <w:p w14:paraId="04DA393C">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111" w:name="_Hlt26954852"/>
      <w:bookmarkEnd w:id="111"/>
      <w:bookmarkStart w:id="112" w:name="_Hlt26954739"/>
      <w:bookmarkEnd w:id="112"/>
      <w:bookmarkStart w:id="113" w:name="_Toc120614217"/>
      <w:bookmarkStart w:id="114" w:name="_Toc20823296"/>
      <w:bookmarkStart w:id="115" w:name="_Toc513029224"/>
      <w:bookmarkStart w:id="116" w:name="_Toc16938540"/>
      <w:r>
        <w:rPr>
          <w:rFonts w:hint="eastAsia" w:ascii="方正黑体_GBK" w:hAnsi="方正黑体_GBK" w:eastAsia="方正黑体_GBK" w:cs="方正黑体_GBK"/>
          <w:color w:val="000000"/>
          <w:sz w:val="28"/>
          <w:szCs w:val="28"/>
        </w:rPr>
        <w:t>四、投标文件的递交</w:t>
      </w:r>
      <w:bookmarkEnd w:id="113"/>
      <w:bookmarkEnd w:id="114"/>
      <w:bookmarkEnd w:id="115"/>
      <w:bookmarkEnd w:id="116"/>
    </w:p>
    <w:p w14:paraId="42D26A3E">
      <w:pPr>
        <w:adjustRightInd w:val="0"/>
        <w:snapToGrid w:val="0"/>
        <w:spacing w:line="360" w:lineRule="auto"/>
        <w:ind w:firstLine="489" w:firstLineChars="204"/>
        <w:rPr>
          <w:rFonts w:ascii="Times New Roman" w:hAnsi="Times New Roman"/>
          <w:bCs/>
          <w:sz w:val="24"/>
        </w:rPr>
      </w:pPr>
      <w:bookmarkStart w:id="117" w:name="_Toc462564084"/>
      <w:bookmarkStart w:id="118" w:name="_Toc16938541"/>
      <w:bookmarkStart w:id="119" w:name="_Toc513029225"/>
      <w:bookmarkStart w:id="120" w:name="_Toc20823297"/>
      <w:r>
        <w:rPr>
          <w:rFonts w:hint="eastAsia" w:ascii="Times New Roman" w:hAnsi="Times New Roman"/>
          <w:bCs/>
          <w:sz w:val="24"/>
        </w:rPr>
        <w:t>16.投标文件</w:t>
      </w:r>
      <w:bookmarkEnd w:id="117"/>
      <w:bookmarkEnd w:id="118"/>
      <w:bookmarkEnd w:id="119"/>
      <w:bookmarkEnd w:id="120"/>
      <w:r>
        <w:rPr>
          <w:rFonts w:hint="eastAsia" w:ascii="Times New Roman" w:hAnsi="Times New Roman"/>
          <w:bCs/>
          <w:sz w:val="24"/>
        </w:rPr>
        <w:t>的递交</w:t>
      </w:r>
    </w:p>
    <w:p w14:paraId="1D42B64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16.1 电子投标文件的递交</w:t>
      </w:r>
    </w:p>
    <w:p w14:paraId="2356740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投标人应当按照《操作手册》规定，在投标截止时间前制作并上传电子投标文件。</w:t>
      </w:r>
      <w:bookmarkStart w:id="121" w:name="_Toc513029226"/>
      <w:bookmarkStart w:id="122" w:name="_Toc20823298"/>
      <w:bookmarkStart w:id="123" w:name="_Toc16938542"/>
    </w:p>
    <w:p w14:paraId="46AE85B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17.投标截止</w:t>
      </w:r>
      <w:bookmarkEnd w:id="121"/>
      <w:bookmarkEnd w:id="122"/>
      <w:bookmarkEnd w:id="123"/>
      <w:r>
        <w:rPr>
          <w:rFonts w:hint="eastAsia" w:ascii="Times New Roman" w:hAnsi="Times New Roman"/>
          <w:bCs/>
          <w:sz w:val="24"/>
        </w:rPr>
        <w:t>时间</w:t>
      </w:r>
    </w:p>
    <w:p w14:paraId="304C8E6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17.1 投标人上传电子投标文件的时间不得迟于招标公告中规定的投标截止时间。</w:t>
      </w:r>
    </w:p>
    <w:p w14:paraId="03FFE5D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投标人应充分考虑到网络环境、网络带宽等风险因素，如因投标人自身原因造成的电子投标文件上传不成功的按照本招标文件第二章第25.1.2条规定作无效投标处理。</w:t>
      </w:r>
    </w:p>
    <w:p w14:paraId="0B21AD4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17.2 装备中心可以按照规定，通过修改招标文件酌情延长投标截止时间，在此情况下，投标人的所有权利和义务以及投标人受制的截止时间均应以延长后新的截止时间为准。</w:t>
      </w:r>
    </w:p>
    <w:p w14:paraId="2600F813">
      <w:pPr>
        <w:adjustRightInd w:val="0"/>
        <w:snapToGrid w:val="0"/>
        <w:spacing w:line="360" w:lineRule="auto"/>
        <w:ind w:firstLine="489" w:firstLineChars="204"/>
        <w:rPr>
          <w:rFonts w:ascii="Times New Roman" w:hAnsi="Times New Roman"/>
          <w:bCs/>
          <w:sz w:val="24"/>
        </w:rPr>
      </w:pPr>
      <w:bookmarkStart w:id="124" w:name="_Toc513029227"/>
      <w:bookmarkStart w:id="125" w:name="_Toc16938543"/>
      <w:bookmarkStart w:id="126" w:name="_Toc20823299"/>
      <w:r>
        <w:rPr>
          <w:rFonts w:hint="eastAsia" w:ascii="Times New Roman" w:hAnsi="Times New Roman"/>
          <w:bCs/>
          <w:sz w:val="24"/>
        </w:rPr>
        <w:t>18.投标文件</w:t>
      </w:r>
      <w:bookmarkEnd w:id="124"/>
      <w:bookmarkEnd w:id="125"/>
      <w:bookmarkEnd w:id="126"/>
      <w:r>
        <w:rPr>
          <w:rFonts w:hint="eastAsia" w:ascii="Times New Roman" w:hAnsi="Times New Roman"/>
          <w:bCs/>
          <w:sz w:val="24"/>
        </w:rPr>
        <w:t>的拒收</w:t>
      </w:r>
    </w:p>
    <w:p w14:paraId="0E39B9B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18.1装备中心拒绝接收在其规定的投标截止时间后上传的任何投标文件。</w:t>
      </w:r>
    </w:p>
    <w:p w14:paraId="57972A0D">
      <w:pPr>
        <w:adjustRightInd w:val="0"/>
        <w:snapToGrid w:val="0"/>
        <w:spacing w:line="360" w:lineRule="auto"/>
        <w:ind w:firstLine="489" w:firstLineChars="204"/>
        <w:rPr>
          <w:rFonts w:ascii="Times New Roman" w:hAnsi="Times New Roman"/>
          <w:bCs/>
          <w:sz w:val="24"/>
        </w:rPr>
      </w:pPr>
      <w:bookmarkStart w:id="127" w:name="_Toc513029228"/>
      <w:bookmarkStart w:id="128" w:name="_Toc20823300"/>
      <w:bookmarkStart w:id="129" w:name="_Toc16938544"/>
      <w:r>
        <w:rPr>
          <w:rFonts w:hint="eastAsia" w:ascii="Times New Roman" w:hAnsi="Times New Roman"/>
          <w:bCs/>
          <w:sz w:val="24"/>
        </w:rPr>
        <w:t>19.投标文件的撤回和修改</w:t>
      </w:r>
      <w:bookmarkEnd w:id="127"/>
      <w:bookmarkEnd w:id="128"/>
      <w:bookmarkEnd w:id="129"/>
    </w:p>
    <w:p w14:paraId="5D351CD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19.1 投标文件的撤回</w:t>
      </w:r>
    </w:p>
    <w:p w14:paraId="59A1834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19.1.1 电子投标文件的撤回</w:t>
      </w:r>
    </w:p>
    <w:p w14:paraId="24364D0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投标人可在投标截止时间前，撤回其电子投标文件，具体操作方法见《操作手册》。</w:t>
      </w:r>
    </w:p>
    <w:p w14:paraId="5236DB2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19.1.2 投标人撤回电子投标文件，则认为其不再参与本项目投标活动。</w:t>
      </w:r>
    </w:p>
    <w:p w14:paraId="1D81D1B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19.2 投标文件的修改</w:t>
      </w:r>
    </w:p>
    <w:p w14:paraId="18581B7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19.2.1投标人可在投标截止时间前，对其电子投标文件进行修改，具体操作方法见《操作手册》。</w:t>
      </w:r>
    </w:p>
    <w:p w14:paraId="0721D1D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19.2.2 在投标截止时间之后，投标人不得对其电子投标文件作任何修改。</w:t>
      </w:r>
    </w:p>
    <w:p w14:paraId="377AD38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19.3 在投标截止时间至招标文件中规定的投标有效期满之间的这段时间内，投标人不得撤回其投标。</w:t>
      </w:r>
    </w:p>
    <w:p w14:paraId="7E11E05E">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130" w:name="_Toc16938545"/>
      <w:bookmarkStart w:id="131" w:name="_Toc513029229"/>
      <w:bookmarkStart w:id="132" w:name="_Toc20823301"/>
      <w:bookmarkStart w:id="133" w:name="_Toc120614218"/>
      <w:r>
        <w:rPr>
          <w:rFonts w:hint="eastAsia" w:ascii="方正黑体_GBK" w:hAnsi="方正黑体_GBK" w:eastAsia="方正黑体_GBK" w:cs="方正黑体_GBK"/>
          <w:color w:val="000000"/>
          <w:sz w:val="28"/>
          <w:szCs w:val="28"/>
        </w:rPr>
        <w:t>五、开标与评标</w:t>
      </w:r>
      <w:bookmarkEnd w:id="130"/>
      <w:bookmarkEnd w:id="131"/>
      <w:bookmarkEnd w:id="132"/>
      <w:bookmarkEnd w:id="133"/>
    </w:p>
    <w:p w14:paraId="0ED97FCC">
      <w:pPr>
        <w:adjustRightInd w:val="0"/>
        <w:snapToGrid w:val="0"/>
        <w:spacing w:line="360" w:lineRule="auto"/>
        <w:ind w:firstLine="489" w:firstLineChars="204"/>
        <w:rPr>
          <w:rFonts w:ascii="Times New Roman" w:hAnsi="Times New Roman"/>
          <w:bCs/>
          <w:sz w:val="24"/>
        </w:rPr>
      </w:pPr>
      <w:bookmarkStart w:id="134" w:name="_Toc20823302"/>
      <w:bookmarkStart w:id="135" w:name="_Toc513029230"/>
      <w:bookmarkStart w:id="136" w:name="_Toc16938546"/>
      <w:r>
        <w:rPr>
          <w:rFonts w:hint="eastAsia" w:ascii="Times New Roman" w:hAnsi="Times New Roman"/>
          <w:bCs/>
          <w:sz w:val="24"/>
        </w:rPr>
        <w:t>20.开标</w:t>
      </w:r>
      <w:bookmarkEnd w:id="134"/>
      <w:bookmarkEnd w:id="135"/>
      <w:bookmarkEnd w:id="136"/>
    </w:p>
    <w:p w14:paraId="49085C2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20.1 装备中心将在招标公告中规定的时间和地点组织公开开标。投标人应当按照《操作手册》规定，参加开标活动和在苏采云系统规定的时间内对投标文件进行解密。</w:t>
      </w:r>
    </w:p>
    <w:p w14:paraId="60C3E9A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20.2开标仪式由装备中心组织。苏采云系统将自动对项目进行开标，并宣布各投标人名称和投标价格。</w:t>
      </w:r>
    </w:p>
    <w:p w14:paraId="56E6BEC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20.3投标人在开标过程中涉及的投标文件解密、开标结果确认等工作，应按照《操作手册》规定执行。</w:t>
      </w:r>
    </w:p>
    <w:p w14:paraId="6D3274D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20.4投标人如果对开标过程和开标记录有疑义，应当根据《操作手册》规定提出，如苏采云系统中《开标记录表》宣布后5分钟内未提出的，视同认可开标结果。</w:t>
      </w:r>
    </w:p>
    <w:p w14:paraId="43BA63E8">
      <w:pPr>
        <w:adjustRightInd w:val="0"/>
        <w:snapToGrid w:val="0"/>
        <w:spacing w:line="360" w:lineRule="auto"/>
        <w:ind w:firstLine="489" w:firstLineChars="204"/>
        <w:rPr>
          <w:rFonts w:ascii="Times New Roman" w:hAnsi="Times New Roman"/>
          <w:bCs/>
          <w:sz w:val="24"/>
        </w:rPr>
      </w:pPr>
      <w:bookmarkStart w:id="137" w:name="_Toc513029231"/>
      <w:bookmarkStart w:id="138" w:name="_Toc16938547"/>
      <w:bookmarkStart w:id="139" w:name="_Toc20823303"/>
      <w:r>
        <w:rPr>
          <w:rFonts w:hint="eastAsia" w:ascii="Times New Roman" w:hAnsi="Times New Roman"/>
          <w:bCs/>
          <w:sz w:val="24"/>
        </w:rPr>
        <w:t>21.评标委员会</w:t>
      </w:r>
    </w:p>
    <w:p w14:paraId="60978D7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21.1 开标后，装备中心将立即组织评标委员会进行评标。</w:t>
      </w:r>
    </w:p>
    <w:p w14:paraId="311B652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21.2 评标委员会由采购人代表和有关技术、经济等方面的专家组成，且人员构成符合政府采购有关规定。</w:t>
      </w:r>
    </w:p>
    <w:p w14:paraId="0303545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21.3评标委员会独立工作，负责评审所有投标文件并确定中标候选人。</w:t>
      </w:r>
    </w:p>
    <w:p w14:paraId="31C8688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22.评标过程的保密与公正</w:t>
      </w:r>
    </w:p>
    <w:bookmarkEnd w:id="137"/>
    <w:bookmarkEnd w:id="138"/>
    <w:bookmarkEnd w:id="139"/>
    <w:p w14:paraId="705EB65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22.1凡是与审查、澄清、评价和比较投标的有关资料以及授标建议等，采购人、评委、装备中心均不得向投标人或与评标无关的其他人员透露。</w:t>
      </w:r>
    </w:p>
    <w:p w14:paraId="7C87353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22.2在评标过程中，投标人不得以任何行为影响评标过程，否则其投标文件将被作为无效投标文件。</w:t>
      </w:r>
    </w:p>
    <w:p w14:paraId="6A12B0E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22.3 装备中心和评标委员会不向未中标的投标人解释未中标原因，也不公布评标过程中的相关细节。</w:t>
      </w:r>
    </w:p>
    <w:p w14:paraId="6A18F02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22.4 采用综合评分法的项目，未中标的投标人可于中标结果公告期限届满之日起通过苏采云系统查看自己的评审得分及排序情况。</w:t>
      </w:r>
    </w:p>
    <w:p w14:paraId="59C29D8D">
      <w:pPr>
        <w:adjustRightInd w:val="0"/>
        <w:snapToGrid w:val="0"/>
        <w:spacing w:line="360" w:lineRule="auto"/>
        <w:ind w:firstLine="489" w:firstLineChars="204"/>
        <w:rPr>
          <w:rFonts w:ascii="Times New Roman" w:hAnsi="Times New Roman"/>
          <w:bCs/>
          <w:sz w:val="24"/>
        </w:rPr>
      </w:pPr>
      <w:bookmarkStart w:id="140" w:name="_Toc16938548"/>
      <w:bookmarkStart w:id="141" w:name="_Toc20823304"/>
      <w:bookmarkStart w:id="142" w:name="_Toc513029232"/>
      <w:r>
        <w:rPr>
          <w:rFonts w:hint="eastAsia" w:ascii="Times New Roman" w:hAnsi="Times New Roman"/>
          <w:bCs/>
          <w:sz w:val="24"/>
        </w:rPr>
        <w:t>23.投标文件的澄清</w:t>
      </w:r>
      <w:bookmarkEnd w:id="140"/>
      <w:bookmarkEnd w:id="141"/>
      <w:bookmarkEnd w:id="142"/>
    </w:p>
    <w:p w14:paraId="1A2314B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23.1评标期间，评标委员会对投标文件中含义不明确、同类问题表述不一致或者有明显文字和计算错误的内容 ，有权要求投标人作出必要的澄清、说明或者补正。</w:t>
      </w:r>
    </w:p>
    <w:p w14:paraId="4EDDCEC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投标人的澄清、说明或者补正不得超出投标文件的范围或者改变投标文件的实质性内容。</w:t>
      </w:r>
    </w:p>
    <w:p w14:paraId="2E52612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评标委员会并非对每个投标人都做澄清要求。</w:t>
      </w:r>
    </w:p>
    <w:p w14:paraId="29665CE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707D3A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23.3 接到评标委员会澄清、说明和补正要求的投标人如未按规定作出澄清、说明和补正，其风险由投标人自行承担。</w:t>
      </w:r>
    </w:p>
    <w:p w14:paraId="62507D0C">
      <w:pPr>
        <w:adjustRightInd w:val="0"/>
        <w:snapToGrid w:val="0"/>
        <w:spacing w:line="360" w:lineRule="auto"/>
        <w:ind w:firstLine="489" w:firstLineChars="204"/>
        <w:rPr>
          <w:rFonts w:ascii="Times New Roman" w:hAnsi="Times New Roman"/>
          <w:bCs/>
          <w:sz w:val="24"/>
        </w:rPr>
      </w:pPr>
      <w:bookmarkStart w:id="143" w:name="_Toc513029233"/>
      <w:bookmarkStart w:id="144" w:name="_Toc16938549"/>
      <w:bookmarkStart w:id="145" w:name="_Toc20823305"/>
      <w:r>
        <w:rPr>
          <w:rFonts w:hint="eastAsia" w:ascii="Times New Roman" w:hAnsi="Times New Roman"/>
          <w:bCs/>
          <w:sz w:val="24"/>
        </w:rPr>
        <w:t>24.对投标文件的初审</w:t>
      </w:r>
      <w:bookmarkEnd w:id="143"/>
      <w:bookmarkEnd w:id="144"/>
      <w:bookmarkEnd w:id="145"/>
    </w:p>
    <w:p w14:paraId="44DA101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24.1投标文件初审分为资格审查和符合性审查。</w:t>
      </w:r>
    </w:p>
    <w:p w14:paraId="7CA867A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24.1.1 资格审查：依据法律法规和招标文件的规定，由采购人对投标文件中的资格证明文件进行审查。资格审查的结论，采购人以书面形式向评标委员会进行反馈。</w:t>
      </w:r>
    </w:p>
    <w:p w14:paraId="639D199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采购人在进行资格性审查的同时，将在“信用中国”网站（www.creditchina.gov.cn）查询投标人的信用记录，以确定投标人是否具备投标资格，查询结果留存并归档。</w:t>
      </w:r>
    </w:p>
    <w:p w14:paraId="1CEC221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接受联合体的项目，两个以上的自然人、法人或者其他组织组成一个联合体，以一个供应商的身份共同参加政府采购活动的，联合体成员存在不良信用记录的，视同联合体存在不良应用记录。</w:t>
      </w:r>
    </w:p>
    <w:p w14:paraId="29E534A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24.1.2 符合性审查：依据招标文件的规定，由评标委员会从投标文件的有效性、完整性和对招标文件的响应程度进行审查，以确定是否对招标文件的实质性要求作出响应。</w:t>
      </w:r>
    </w:p>
    <w:p w14:paraId="592107F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24.1.3 未通过资格审查或符合性审查的投标人，装备中心将在苏采云系统中告知未通过资格审查或符合性审查的原因，评标结束后，装备中心将不再告知未通过资格审查和符合性审查的原因。</w:t>
      </w:r>
    </w:p>
    <w:p w14:paraId="633C464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24.2在详细评标之前，评标委员会将首先审查每份投标文件是否实质性响应了招标文件的要求。实质性响应的投标应该是与招标文件要求的全部条款、条件和规格相符，没有重大偏离或保留的投标。</w:t>
      </w:r>
    </w:p>
    <w:p w14:paraId="1A611C0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1A7D63F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24.3如果投标文件实质上没有响应招标文件的要求，评标委员会将予以拒绝，投标人不得通过修改或撤销不符合要求的偏离或保留而使其投标成为实质性响应的投标。</w:t>
      </w:r>
    </w:p>
    <w:p w14:paraId="57715E7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24.4评标委员会将对确定为实质性响应的投标进行进一步审核，确定其是否有计算上或累加上的算术错误，修正错误的原则如下：</w:t>
      </w:r>
    </w:p>
    <w:p w14:paraId="3340C8C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（1）投标文件中开标一览表内容与投标文件中相应内容不一致的，以开标一览表为准。</w:t>
      </w:r>
    </w:p>
    <w:p w14:paraId="5762545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（2）大写金额和小写金额不一致的，以大写金额为准。</w:t>
      </w:r>
    </w:p>
    <w:p w14:paraId="7249E78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（3）单价金额小数点或者百分比有明显错位的，以开标一览表的总价为准，并修改单价。</w:t>
      </w:r>
    </w:p>
    <w:p w14:paraId="18448ED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（4）总价金额与按单价汇总金额不一致的，以单价金额计算结果为准。</w:t>
      </w:r>
    </w:p>
    <w:p w14:paraId="1928DC1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同时出现两种以上错误的，按照前款规定的顺序修正。</w:t>
      </w:r>
    </w:p>
    <w:p w14:paraId="4F90669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24.5 评标委员会将按上述修正错误的方法调整投标文件中的投标报价，并通过苏采云系统告知投标人，调整后的价格应对投标人具有约束力。如果投标人不接受修正后的价格，则其投标将被拒绝。</w:t>
      </w:r>
    </w:p>
    <w:p w14:paraId="71BBF7C8">
      <w:pPr>
        <w:adjustRightInd w:val="0"/>
        <w:snapToGrid w:val="0"/>
        <w:spacing w:line="360" w:lineRule="auto"/>
        <w:ind w:firstLine="489" w:firstLineChars="204"/>
        <w:rPr>
          <w:rFonts w:ascii="Times New Roman" w:hAnsi="Times New Roman"/>
          <w:bCs/>
          <w:sz w:val="24"/>
        </w:rPr>
      </w:pPr>
      <w:bookmarkStart w:id="146" w:name="_Toc20823306"/>
      <w:bookmarkStart w:id="147" w:name="_Toc513029234"/>
      <w:bookmarkStart w:id="148" w:name="_Toc16938550"/>
      <w:r>
        <w:rPr>
          <w:rFonts w:hint="eastAsia" w:ascii="Times New Roman" w:hAnsi="Times New Roman"/>
          <w:bCs/>
          <w:sz w:val="24"/>
        </w:rPr>
        <w:t>24.6投标人在开、评标全过程中应保持通讯畅通，及时登录苏采云系统查阅、答复相关信息，并安排专人与装备中心及评标委员会联系。</w:t>
      </w:r>
    </w:p>
    <w:p w14:paraId="531DA07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24.7 异常低价投标审查</w:t>
      </w:r>
    </w:p>
    <w:p w14:paraId="32A1521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24.7.1 评标过程中出现下列情形之一的，评标委员会应当启动异常低价投标审查程序：</w:t>
      </w:r>
    </w:p>
    <w:p w14:paraId="71D70EE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（1）投标报价低于全部通过符合性审查供应商投标报价平均值50%的，即投标报价&lt;全部通过符合性审查供应商投标报价平均值×50%；</w:t>
      </w:r>
    </w:p>
    <w:p w14:paraId="62647A6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（2）投标报价低于通过符合性审查的次低报价供应商投标报价50%的，即投标报价&lt;通过符合性审查的次低报价供应商投标报价×50%；</w:t>
      </w:r>
    </w:p>
    <w:p w14:paraId="43B7C4D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（3）投标报价低于采购项目最高限价45%的，即投标报价&lt;采购项目最高限价×45%；</w:t>
      </w:r>
    </w:p>
    <w:p w14:paraId="7C0636C7">
      <w:pPr>
        <w:adjustRightInd w:val="0"/>
        <w:snapToGrid w:val="0"/>
        <w:spacing w:line="360" w:lineRule="auto"/>
        <w:ind w:firstLine="489" w:firstLineChars="204"/>
        <w:rPr>
          <w:rFonts w:ascii="方正仿宋_GBK" w:hAnsi="方正仿宋_GBK" w:eastAsia="方正仿宋_GBK" w:cs="方正仿宋_GBK"/>
          <w:sz w:val="28"/>
          <w:szCs w:val="28"/>
        </w:rPr>
      </w:pPr>
      <w:r>
        <w:rPr>
          <w:rFonts w:hint="eastAsia" w:ascii="Times New Roman" w:hAnsi="Times New Roman"/>
          <w:bCs/>
          <w:sz w:val="24"/>
        </w:rPr>
        <w:t>（4）评标委员会基于专业判断，认为供应商报价过低，有可能影响产品质量或者不能诚信履约的其他情形。</w:t>
      </w:r>
    </w:p>
    <w:p w14:paraId="15705A9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12512FA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4F9DBB6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w:t>
      </w:r>
      <w:bookmarkEnd w:id="146"/>
      <w:bookmarkEnd w:id="147"/>
      <w:bookmarkEnd w:id="148"/>
      <w:r>
        <w:rPr>
          <w:rFonts w:hint="eastAsia" w:ascii="Times New Roman" w:hAnsi="Times New Roman"/>
          <w:bCs/>
          <w:sz w:val="24"/>
        </w:rPr>
        <w:t>.无效投标条款和废标条款</w:t>
      </w:r>
    </w:p>
    <w:p w14:paraId="712A94C3">
      <w:pPr>
        <w:adjustRightInd w:val="0"/>
        <w:snapToGrid w:val="0"/>
        <w:spacing w:line="360" w:lineRule="auto"/>
        <w:ind w:firstLine="489" w:firstLineChars="204"/>
        <w:rPr>
          <w:rFonts w:ascii="Times New Roman" w:hAnsi="Times New Roman"/>
          <w:bCs/>
          <w:sz w:val="24"/>
        </w:rPr>
      </w:pPr>
      <w:bookmarkStart w:id="149" w:name="_Toc16938551"/>
      <w:bookmarkStart w:id="150" w:name="_Toc513029235"/>
      <w:bookmarkStart w:id="151" w:name="_Toc20823307"/>
      <w:r>
        <w:rPr>
          <w:rFonts w:hint="eastAsia" w:ascii="Times New Roman" w:hAnsi="Times New Roman"/>
          <w:bCs/>
          <w:sz w:val="24"/>
        </w:rPr>
        <w:t>25.1无效投标条款</w:t>
      </w:r>
    </w:p>
    <w:p w14:paraId="0999E7D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 投标人在苏采云系统规定的时间内未成功解密电子投标文件的。</w:t>
      </w:r>
    </w:p>
    <w:p w14:paraId="705FE54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25.1.2 投标人未按照招标文件要求上传电子投标文件的。</w:t>
      </w:r>
    </w:p>
    <w:p w14:paraId="29EB4A7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25.1.3 投标人同一采购包提交两个（含两个）以上不同的投标报价的。</w:t>
      </w:r>
    </w:p>
    <w:p w14:paraId="42941B9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25.1.4投标人不具备招标文件中规定资格要求的。</w:t>
      </w:r>
    </w:p>
    <w:p w14:paraId="46F2FBF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25.1.5投标人的报价超过了采购预算或最高限价的。</w:t>
      </w:r>
    </w:p>
    <w:p w14:paraId="72BA297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25.1.6未通过符合性审查的。</w:t>
      </w:r>
    </w:p>
    <w:p w14:paraId="6AD4E303">
      <w:pPr>
        <w:adjustRightInd w:val="0"/>
        <w:snapToGrid w:val="0"/>
        <w:spacing w:line="360" w:lineRule="auto"/>
        <w:ind w:firstLine="489" w:firstLineChars="204"/>
        <w:rPr>
          <w:rFonts w:ascii="方正仿宋_GBK" w:hAnsi="方正仿宋_GBK" w:eastAsia="方正仿宋_GBK" w:cs="方正仿宋_GBK"/>
          <w:bCs/>
          <w:i/>
          <w:sz w:val="24"/>
          <w:szCs w:val="24"/>
          <w:u w:val="single"/>
        </w:rPr>
      </w:pPr>
      <w:r>
        <w:rPr>
          <w:rFonts w:hint="eastAsia" w:ascii="Times New Roman" w:hAnsi="Times New Roman"/>
          <w:bCs/>
          <w:sz w:val="24"/>
        </w:rPr>
        <w:t>25.1.7不符合招标文件中规定的实质性要求的</w:t>
      </w:r>
      <w:r>
        <w:rPr>
          <w:rFonts w:hint="eastAsia" w:ascii="方正仿宋_GBK" w:hAnsi="方正仿宋_GBK" w:eastAsia="方正仿宋_GBK" w:cs="方正仿宋_GBK"/>
          <w:b/>
          <w:bCs/>
          <w:sz w:val="24"/>
          <w:szCs w:val="24"/>
        </w:rPr>
        <w:t>（本招标文件中</w:t>
      </w:r>
      <w:r>
        <w:rPr>
          <w:rFonts w:hint="eastAsia" w:ascii="方正仿宋_GBK" w:hAnsi="方正仿宋_GBK" w:eastAsia="方正仿宋_GBK" w:cs="方正仿宋_GBK"/>
          <w:b/>
          <w:bCs/>
          <w:i/>
          <w:sz w:val="24"/>
          <w:szCs w:val="24"/>
          <w:u w:val="single"/>
        </w:rPr>
        <w:t>斜体且有下划线部分</w:t>
      </w:r>
      <w:r>
        <w:rPr>
          <w:rFonts w:hint="eastAsia" w:ascii="方正仿宋_GBK" w:hAnsi="方正仿宋_GBK" w:eastAsia="方正仿宋_GBK" w:cs="方正仿宋_GBK"/>
          <w:b/>
          <w:bCs/>
          <w:sz w:val="24"/>
          <w:szCs w:val="24"/>
        </w:rPr>
        <w:t>或加*号条款为实质性要求）</w:t>
      </w:r>
    </w:p>
    <w:p w14:paraId="0415D9D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551AD7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25.1.9 投标文件含有采购人不能接受的附加条件的。</w:t>
      </w:r>
    </w:p>
    <w:p w14:paraId="3977C0B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25.1.10评标委员会按照本招标文件规定对投标人进行异常低价投标审查后，认为投标人不能证明其报价合理性的。</w:t>
      </w:r>
    </w:p>
    <w:p w14:paraId="4227E45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25.1.11 投标文件未按照招标文件要求加盖CA电子公章的。</w:t>
      </w:r>
    </w:p>
    <w:p w14:paraId="0F6FFDF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25.1.12 投标人所提供的服务不符合招标文件中所列国家强制性标准的。</w:t>
      </w:r>
    </w:p>
    <w:p w14:paraId="566E486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25.1.13其他法律、法规及本招标文件规定的属无效投标的情形。</w:t>
      </w:r>
    </w:p>
    <w:p w14:paraId="5FDBFA7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25.2废标条款</w:t>
      </w:r>
    </w:p>
    <w:p w14:paraId="1525AFA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25.2.1符合专业条件的供应商或者对招标文件作实质响应的供应商不足三家的。</w:t>
      </w:r>
    </w:p>
    <w:p w14:paraId="61CF96F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25.2.2出现影响采购公正的违法、违规行为的。</w:t>
      </w:r>
    </w:p>
    <w:p w14:paraId="73E0708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25.2.3因重大变故，采购任务取消的。</w:t>
      </w:r>
    </w:p>
    <w:p w14:paraId="0448E3B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25.2.4评标委员会认定招标文件存在歧义、重大缺陷导致评审工作无法进行。</w:t>
      </w:r>
    </w:p>
    <w:p w14:paraId="7B55088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25.2.5 因苏采云系统故障原因造成开标不成功的。</w:t>
      </w:r>
    </w:p>
    <w:p w14:paraId="0835C29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25.3 投标截止时间结束后参加投标的供应商不足三家的处理：</w:t>
      </w:r>
    </w:p>
    <w:p w14:paraId="117806A3">
      <w:pPr>
        <w:adjustRightInd w:val="0"/>
        <w:snapToGrid w:val="0"/>
        <w:spacing w:line="360" w:lineRule="auto"/>
        <w:ind w:firstLine="489" w:firstLineChars="204"/>
        <w:rPr>
          <w:rFonts w:ascii="方正仿宋_GBK" w:hAnsi="方正仿宋_GBK" w:eastAsia="方正仿宋_GBK" w:cs="方正仿宋_GBK"/>
          <w:sz w:val="28"/>
          <w:szCs w:val="28"/>
        </w:rPr>
      </w:pPr>
      <w:r>
        <w:rPr>
          <w:rFonts w:hint="eastAsia" w:ascii="Times New Roman" w:hAnsi="Times New Roman"/>
          <w:bCs/>
          <w:sz w:val="24"/>
        </w:rPr>
        <w:t>25.3.1如出现投标截止时间结束后参加投标的供应商或者在评标期间对招标文件做出实质响应的供应商不足三家情况，按政府采购相关规定执行。</w:t>
      </w:r>
    </w:p>
    <w:p w14:paraId="44A34985">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bookmarkStart w:id="152" w:name="_Toc120614219"/>
      <w:r>
        <w:rPr>
          <w:rFonts w:hint="eastAsia" w:ascii="方正黑体_GBK" w:hAnsi="方正黑体_GBK" w:eastAsia="方正黑体_GBK" w:cs="方正黑体_GBK"/>
          <w:color w:val="000000"/>
          <w:sz w:val="28"/>
          <w:szCs w:val="28"/>
        </w:rPr>
        <w:t>六、</w:t>
      </w:r>
      <w:bookmarkEnd w:id="149"/>
      <w:bookmarkEnd w:id="150"/>
      <w:bookmarkEnd w:id="151"/>
      <w:r>
        <w:rPr>
          <w:rFonts w:hint="eastAsia" w:ascii="方正黑体_GBK" w:hAnsi="方正黑体_GBK" w:eastAsia="方正黑体_GBK" w:cs="方正黑体_GBK"/>
          <w:color w:val="000000"/>
          <w:sz w:val="28"/>
          <w:szCs w:val="28"/>
        </w:rPr>
        <w:t>定标</w:t>
      </w:r>
      <w:bookmarkEnd w:id="152"/>
    </w:p>
    <w:p w14:paraId="474856E5">
      <w:pPr>
        <w:adjustRightInd w:val="0"/>
        <w:snapToGrid w:val="0"/>
        <w:spacing w:line="360" w:lineRule="auto"/>
        <w:ind w:firstLine="489" w:firstLineChars="204"/>
        <w:rPr>
          <w:rFonts w:ascii="Times New Roman" w:hAnsi="Times New Roman"/>
          <w:bCs/>
          <w:sz w:val="24"/>
        </w:rPr>
      </w:pPr>
      <w:bookmarkStart w:id="153" w:name="_Toc513029238"/>
      <w:bookmarkStart w:id="154" w:name="_Toc20823310"/>
      <w:bookmarkStart w:id="155" w:name="_Toc16938554"/>
      <w:r>
        <w:rPr>
          <w:rFonts w:hint="eastAsia" w:ascii="Times New Roman" w:hAnsi="Times New Roman"/>
          <w:bCs/>
          <w:sz w:val="24"/>
        </w:rPr>
        <w:t>26</w:t>
      </w:r>
      <w:bookmarkEnd w:id="153"/>
      <w:r>
        <w:rPr>
          <w:rFonts w:hint="eastAsia" w:ascii="Times New Roman" w:hAnsi="Times New Roman"/>
          <w:bCs/>
          <w:sz w:val="24"/>
        </w:rPr>
        <w:t>.确定</w:t>
      </w:r>
      <w:bookmarkEnd w:id="154"/>
      <w:bookmarkEnd w:id="155"/>
      <w:r>
        <w:rPr>
          <w:rFonts w:hint="eastAsia" w:ascii="Times New Roman" w:hAnsi="Times New Roman"/>
          <w:bCs/>
          <w:sz w:val="24"/>
        </w:rPr>
        <w:t>中标单位</w:t>
      </w:r>
    </w:p>
    <w:p w14:paraId="3D3A786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 xml:space="preserve">26.1中标候选人的选取原则和数量见招标文件第五章规定。 </w:t>
      </w:r>
    </w:p>
    <w:p w14:paraId="07296F1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26.2采购人应根据评标委员会推荐的中标候选人确定中标供应商。</w:t>
      </w:r>
    </w:p>
    <w:p w14:paraId="5B96B7BD">
      <w:pPr>
        <w:adjustRightInd w:val="0"/>
        <w:snapToGrid w:val="0"/>
        <w:spacing w:line="360" w:lineRule="auto"/>
        <w:ind w:firstLine="489" w:firstLineChars="204"/>
        <w:rPr>
          <w:rFonts w:ascii="方正仿宋_GBK" w:hAnsi="方正仿宋_GBK" w:eastAsia="方正仿宋_GBK" w:cs="方正仿宋_GBK"/>
          <w:sz w:val="28"/>
          <w:szCs w:val="28"/>
        </w:rPr>
      </w:pPr>
      <w:r>
        <w:rPr>
          <w:rFonts w:hint="eastAsia" w:ascii="Times New Roman" w:hAnsi="Times New Roman"/>
          <w:bCs/>
          <w:sz w:val="24"/>
        </w:rPr>
        <w:t>26.3 装备中心将在“江苏政府采购网”发布中标公告，公告期限为1个工作日。</w:t>
      </w:r>
    </w:p>
    <w:p w14:paraId="4013C25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 若有充分证据证明，中标供应商出现下列情况之一的，一经查实，将被取消中标资格：</w:t>
      </w:r>
    </w:p>
    <w:p w14:paraId="5112BCD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26.4.1提供虚假材料谋取中标的。</w:t>
      </w:r>
    </w:p>
    <w:p w14:paraId="56E4A53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26.4.2向采购人、装备中心行贿或者提供其他不正当利益的。</w:t>
      </w:r>
    </w:p>
    <w:p w14:paraId="1CA3A9B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26.4.3属于本文件规定的无效条件，但在评标过程中又未被评标委员会发现的。</w:t>
      </w:r>
    </w:p>
    <w:p w14:paraId="4DB1BC4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26.4.4与采购人或者其他供应商恶意串通的。</w:t>
      </w:r>
    </w:p>
    <w:p w14:paraId="3691970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26.4.5采取不正当手段诋毁、排挤其他供应商的。</w:t>
      </w:r>
    </w:p>
    <w:p w14:paraId="0A5B1B0B">
      <w:pPr>
        <w:adjustRightInd w:val="0"/>
        <w:snapToGrid w:val="0"/>
        <w:spacing w:line="360" w:lineRule="auto"/>
        <w:ind w:firstLine="489" w:firstLineChars="204"/>
        <w:rPr>
          <w:rFonts w:ascii="Times New Roman" w:hAnsi="Times New Roman"/>
          <w:bCs/>
          <w:sz w:val="24"/>
        </w:rPr>
      </w:pPr>
      <w:bookmarkStart w:id="156" w:name="_Toc200451960"/>
      <w:r>
        <w:rPr>
          <w:rFonts w:hint="eastAsia" w:ascii="Times New Roman" w:hAnsi="Times New Roman"/>
          <w:bCs/>
          <w:sz w:val="24"/>
        </w:rPr>
        <w:t>26.5有下列情形之一的，视为投标人串通投标，投标无效：</w:t>
      </w:r>
    </w:p>
    <w:p w14:paraId="64293D6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26.5.1不同投标人的投标文件由同一单位或者个人编制。</w:t>
      </w:r>
    </w:p>
    <w:p w14:paraId="1D24778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26.5.2不同投标人委托同一单位或者个人办理投标事宜。</w:t>
      </w:r>
    </w:p>
    <w:p w14:paraId="1B0B106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26.5.3 不同投标人的投标文件载明的项目管理成员或者联系人员为同一人。</w:t>
      </w:r>
    </w:p>
    <w:p w14:paraId="127FF68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26.5.4不同投标人的投标文件异常一致或者投标报价呈规律性差异。</w:t>
      </w:r>
    </w:p>
    <w:p w14:paraId="5221C06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27.质疑处理</w:t>
      </w:r>
      <w:bookmarkEnd w:id="156"/>
    </w:p>
    <w:p w14:paraId="73E033E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27.1 提出质疑的供应商应当是参与所质疑项目采购活动的供应商。潜在供应商依法获取其可质疑的采购文件的，可以对采购文件提出质疑。</w:t>
      </w:r>
    </w:p>
    <w:p w14:paraId="7B34B72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供应商认为采购文件、采购过程和采购结果使自己的权益受到损害的，可以在知道或应知其权益受到损害之日起七个工作日内，以书面形式根据下述27.4条款的规定向装备中心或采购人提出质疑。上述应知其权益受到损害之日，是指：</w:t>
      </w:r>
    </w:p>
    <w:p w14:paraId="30634BE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27.2.1对可以质疑的采购文件提出质疑的，为收到采购文件之日或者采购文件公告期限届满之日；</w:t>
      </w:r>
    </w:p>
    <w:p w14:paraId="6C62C23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27.2.2对采购过程提出质疑的，为各采购程序环节结束之日；</w:t>
      </w:r>
    </w:p>
    <w:p w14:paraId="23C0A84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27.2.3对中标或者成交结果提出质疑的，为中标或者成交结果公告期限届满之日。</w:t>
      </w:r>
    </w:p>
    <w:p w14:paraId="31042A3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供应商应当在法定质疑期内一次性提出针对同一采购程序环节的质疑。供应商如在法定期限内对同一采购程序环节提出多次质疑的，装备中心、采购人将只对供应商第一次质疑作出答复。</w:t>
      </w:r>
    </w:p>
    <w:p w14:paraId="07D4874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27.3质疑函必须按照本招标文件中《质疑函范本》要求的格式和内容进行填写。供应商如组成联合体参加投标，则《质疑函范本》中要求签字、盖章、加盖公章之处，联合体各方均须按要求签字、盖章、加盖公章。</w:t>
      </w:r>
    </w:p>
    <w:p w14:paraId="7F57707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27.4 供应商（含潜在供应商）对采购方式、招标文件中采购需求、供应商资格条件、评标方法与评标标准、合同文本及资格审查结果的询问、质疑请向采购人提出，由采购人负责答复。供应商对其他事项的询问、质疑请向装备中心提出，由装备中心负责答复。</w:t>
      </w:r>
    </w:p>
    <w:p w14:paraId="5882306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采购人及装备中心只接收以纸质原件形式送达的质疑，建议供应商尽量通过邮寄方式提交质疑（采购人和装备中心不接受无快递运单号的快递）。</w:t>
      </w:r>
    </w:p>
    <w:p w14:paraId="158737C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装备中心质疑接收部门为装备采购部（快递运单上的收件人填写“装备采购部”即可），联系地址：南京市广州路191号五环大厦1204室，联系电话：025-51889606。</w:t>
      </w:r>
    </w:p>
    <w:p w14:paraId="7F73CA1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采购人质疑接收人及联系方式见招标文件第一章。</w:t>
      </w:r>
    </w:p>
    <w:p w14:paraId="181DF8A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 以下情形的质疑不予受理</w:t>
      </w:r>
    </w:p>
    <w:p w14:paraId="50D80B9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27.5.1 内容不符合《政府采购质疑和投诉办法》第十二条规定的质疑。</w:t>
      </w:r>
    </w:p>
    <w:p w14:paraId="0B413DD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27.5.2 超出政府采购法定期限的质疑。</w:t>
      </w:r>
    </w:p>
    <w:p w14:paraId="60EDBAA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27.5.3 以传真、电子邮件等方式递交的非原件形式的质疑。</w:t>
      </w:r>
    </w:p>
    <w:p w14:paraId="1B1F04F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27.5.4 未参加投标活动的供应商或在投标活动中自身权益未受到损害的供应商所提出的质疑。</w:t>
      </w:r>
    </w:p>
    <w:p w14:paraId="100F5A12">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27.5.5供应商组成联合体参加投标，联合体中任何一方或多方未按要求签字、盖章、加盖公章的质疑。</w:t>
      </w:r>
    </w:p>
    <w:p w14:paraId="37FF1731">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27.6  供应商提出书面质疑必须有理、有据，不得捏造事实、提供虚假材料进行恶意质疑。否则，一经查实，装备中心有权依据政府采购的有关规定，报请政府采购监管部门对该供应商进行相应的行政处罚和记录该供应商的失信信息。</w:t>
      </w:r>
    </w:p>
    <w:p w14:paraId="5029848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28.中标通知书</w:t>
      </w:r>
    </w:p>
    <w:p w14:paraId="63CECF37">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28.l 中标结果确定后，装备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0FF0617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28.2中标通知书将是合同的一个组成部分。对采购人和中标供应商均具有法律效力。中标通知书发出后，采购人改变中标结果的，或者中标供应商放弃中标项目的，应当依法承担法律责任。</w:t>
      </w:r>
    </w:p>
    <w:p w14:paraId="13D744E8">
      <w:pPr>
        <w:keepNext/>
        <w:adjustRightInd w:val="0"/>
        <w:snapToGrid w:val="0"/>
        <w:spacing w:line="360" w:lineRule="auto"/>
        <w:ind w:firstLine="560" w:firstLineChars="200"/>
        <w:jc w:val="left"/>
        <w:outlineLvl w:val="0"/>
        <w:rPr>
          <w:rFonts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七、授予合同</w:t>
      </w:r>
    </w:p>
    <w:p w14:paraId="447B40BD">
      <w:pPr>
        <w:adjustRightInd w:val="0"/>
        <w:snapToGrid w:val="0"/>
        <w:spacing w:line="360" w:lineRule="auto"/>
        <w:ind w:firstLine="489" w:firstLineChars="204"/>
        <w:rPr>
          <w:rFonts w:ascii="Times New Roman" w:hAnsi="Times New Roman"/>
          <w:bCs/>
          <w:sz w:val="24"/>
        </w:rPr>
      </w:pPr>
      <w:bookmarkStart w:id="157" w:name="_Toc513029237"/>
      <w:bookmarkStart w:id="158" w:name="_Toc16938553"/>
      <w:bookmarkStart w:id="159" w:name="_Toc20823309"/>
      <w:r>
        <w:rPr>
          <w:rFonts w:hint="eastAsia" w:ascii="Times New Roman" w:hAnsi="Times New Roman"/>
          <w:bCs/>
          <w:sz w:val="24"/>
        </w:rPr>
        <w:t>29.签订合同</w:t>
      </w:r>
    </w:p>
    <w:p w14:paraId="476F5EF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29.l中标供应商应当在中标通知书发出之日起三十日内，按照招标文件确定的事项与采购人签订政府采购合同。</w:t>
      </w:r>
    </w:p>
    <w:p w14:paraId="1699F395">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29.2 招标文件、中标供应商的投标文件及招标过程中有关澄清、承诺文件均应作为合同附件。</w:t>
      </w:r>
    </w:p>
    <w:p w14:paraId="2B225F2A">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60A9A566">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30.服务（包含与服务相关的货物）的追加</w:t>
      </w:r>
    </w:p>
    <w:p w14:paraId="673B1D68">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30.1政府采购合同履行中，采购人需追加与合同标的相同的服务（包含与服务相关的货物），在不改变合同其他条款的前提下，可以与中标供应商协商签订补充合同，但所有补充合同的采购金额不超过原合同金额10%。</w:t>
      </w:r>
    </w:p>
    <w:bookmarkEnd w:id="157"/>
    <w:bookmarkEnd w:id="158"/>
    <w:bookmarkEnd w:id="159"/>
    <w:p w14:paraId="61E41970">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31.政府采购履约资金扶持政策</w:t>
      </w:r>
    </w:p>
    <w:p w14:paraId="06B0C4CB">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中标供应商可凭政府采购合同办理融资贷款，详情请见江苏政府采购网“政采贷”专栏。</w:t>
      </w:r>
    </w:p>
    <w:p w14:paraId="467A50D3">
      <w:pPr>
        <w:keepNext/>
        <w:keepLines/>
        <w:adjustRightInd w:val="0"/>
        <w:snapToGrid w:val="0"/>
        <w:spacing w:line="360" w:lineRule="auto"/>
        <w:ind w:right="-44" w:firstLine="490" w:firstLineChars="175"/>
        <w:outlineLvl w:val="3"/>
        <w:rPr>
          <w:rFonts w:ascii="Times New Roman" w:hAnsi="Times New Roman" w:eastAsia="黑体"/>
          <w:b/>
          <w:sz w:val="24"/>
          <w:szCs w:val="28"/>
        </w:rPr>
      </w:pPr>
      <w:r>
        <w:rPr>
          <w:rFonts w:hint="eastAsia" w:ascii="Times New Roman" w:hAnsi="Times New Roman" w:eastAsia="黑体"/>
          <w:sz w:val="28"/>
          <w:szCs w:val="28"/>
        </w:rPr>
        <w:t>32.</w:t>
      </w:r>
      <w:r>
        <w:rPr>
          <w:rFonts w:ascii="Times New Roman" w:hAnsi="Times New Roman" w:eastAsia="黑体"/>
          <w:sz w:val="28"/>
          <w:szCs w:val="28"/>
        </w:rPr>
        <w:t>履约保证金</w:t>
      </w:r>
    </w:p>
    <w:bookmarkEnd w:id="63"/>
    <w:bookmarkEnd w:id="64"/>
    <w:bookmarkEnd w:id="65"/>
    <w:bookmarkEnd w:id="66"/>
    <w:p w14:paraId="5D7B8784">
      <w:pPr>
        <w:adjustRightInd w:val="0"/>
        <w:snapToGrid w:val="0"/>
        <w:spacing w:line="360" w:lineRule="auto"/>
        <w:ind w:firstLine="489" w:firstLineChars="204"/>
        <w:rPr>
          <w:rFonts w:ascii="Times New Roman" w:hAnsi="Times New Roman"/>
          <w:bCs/>
          <w:sz w:val="24"/>
          <w:highlight w:val="yellow"/>
        </w:rPr>
      </w:pPr>
      <w:bookmarkStart w:id="160" w:name="_Toc507425682"/>
      <w:r>
        <w:rPr>
          <w:rFonts w:ascii="Times New Roman" w:hAnsi="Times New Roman"/>
          <w:bCs/>
          <w:sz w:val="24"/>
        </w:rPr>
        <w:t>3</w:t>
      </w:r>
      <w:r>
        <w:rPr>
          <w:rFonts w:hint="eastAsia" w:ascii="Times New Roman" w:hAnsi="Times New Roman"/>
          <w:bCs/>
          <w:sz w:val="24"/>
        </w:rPr>
        <w:t>2</w:t>
      </w:r>
      <w:r>
        <w:rPr>
          <w:rFonts w:ascii="Times New Roman" w:hAnsi="Times New Roman"/>
          <w:bCs/>
          <w:sz w:val="24"/>
        </w:rPr>
        <w:t>.1</w:t>
      </w:r>
      <w:r>
        <w:rPr>
          <w:rFonts w:hint="eastAsia" w:ascii="Times New Roman" w:hAnsi="Times New Roman"/>
          <w:bCs/>
          <w:sz w:val="24"/>
        </w:rPr>
        <w:t>本项目收取</w:t>
      </w:r>
      <w:r>
        <w:rPr>
          <w:rFonts w:ascii="Times New Roman" w:hAnsi="Times New Roman"/>
          <w:bCs/>
          <w:sz w:val="24"/>
        </w:rPr>
        <w:t>履约保证金</w:t>
      </w:r>
      <w:r>
        <w:rPr>
          <w:rFonts w:hint="eastAsia" w:ascii="Times New Roman" w:hAnsi="Times New Roman"/>
          <w:bCs/>
          <w:sz w:val="24"/>
        </w:rPr>
        <w:t>30万元</w:t>
      </w:r>
      <w:r>
        <w:rPr>
          <w:rFonts w:ascii="Times New Roman" w:hAnsi="Times New Roman"/>
          <w:bCs/>
          <w:sz w:val="24"/>
        </w:rPr>
        <w:t>。</w:t>
      </w:r>
    </w:p>
    <w:p w14:paraId="670ABD20">
      <w:pPr>
        <w:keepNext/>
        <w:keepLines/>
        <w:adjustRightInd w:val="0"/>
        <w:snapToGrid w:val="0"/>
        <w:spacing w:line="360" w:lineRule="auto"/>
        <w:ind w:firstLine="482" w:firstLineChars="150"/>
        <w:outlineLvl w:val="2"/>
        <w:rPr>
          <w:rFonts w:ascii="Times New Roman" w:hAnsi="Times New Roman"/>
          <w:b/>
          <w:bCs/>
          <w:sz w:val="32"/>
          <w:szCs w:val="32"/>
        </w:rPr>
      </w:pPr>
      <w:r>
        <w:rPr>
          <w:rFonts w:ascii="Times New Roman" w:hAnsi="Times New Roman"/>
          <w:b/>
          <w:bCs/>
          <w:sz w:val="32"/>
          <w:szCs w:val="32"/>
        </w:rPr>
        <w:t>八、其他</w:t>
      </w:r>
      <w:bookmarkEnd w:id="160"/>
    </w:p>
    <w:p w14:paraId="22065D3A">
      <w:pPr>
        <w:keepNext/>
        <w:keepLines/>
        <w:adjustRightInd w:val="0"/>
        <w:snapToGrid w:val="0"/>
        <w:spacing w:line="360" w:lineRule="auto"/>
        <w:ind w:firstLine="504" w:firstLineChars="180"/>
        <w:outlineLvl w:val="3"/>
        <w:rPr>
          <w:rFonts w:ascii="Times New Roman" w:hAnsi="Times New Roman" w:eastAsia="黑体"/>
          <w:sz w:val="28"/>
          <w:szCs w:val="28"/>
        </w:rPr>
      </w:pPr>
      <w:r>
        <w:rPr>
          <w:rFonts w:ascii="Times New Roman" w:hAnsi="Times New Roman" w:eastAsia="黑体"/>
          <w:sz w:val="28"/>
          <w:szCs w:val="28"/>
        </w:rPr>
        <w:t>3</w:t>
      </w:r>
      <w:r>
        <w:rPr>
          <w:rFonts w:hint="eastAsia" w:ascii="Times New Roman" w:hAnsi="Times New Roman" w:eastAsia="黑体"/>
          <w:sz w:val="28"/>
          <w:szCs w:val="28"/>
        </w:rPr>
        <w:t>3</w:t>
      </w:r>
      <w:r>
        <w:rPr>
          <w:rFonts w:ascii="Times New Roman" w:hAnsi="Times New Roman" w:eastAsia="黑体"/>
          <w:sz w:val="28"/>
          <w:szCs w:val="28"/>
        </w:rPr>
        <w:t>. 政策功能</w:t>
      </w:r>
    </w:p>
    <w:p w14:paraId="6933436C">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33.1《政府采购促进中小企业发展管理办法》（财库[2020]46号）</w:t>
      </w:r>
    </w:p>
    <w:p w14:paraId="6EAE7FC4">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33.2《关于政府采购支持监狱企业发展有关问题的通知》（财库[2014]68号）</w:t>
      </w:r>
    </w:p>
    <w:p w14:paraId="376873D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33.3《关于促进残疾人就业政府采购政策的通知》（财库[2017]141号）</w:t>
      </w:r>
    </w:p>
    <w:p w14:paraId="3D31FA9E">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33.4《关于调整优化节能产品、环境标志产品政府采购执行机制的通知》（财库 [2019] 9号）</w:t>
      </w:r>
    </w:p>
    <w:p w14:paraId="4168599D">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33.5《关于印发环境标志产品政府采购品目清单的通知》（财库 [2019] 18号）</w:t>
      </w:r>
    </w:p>
    <w:p w14:paraId="5B42AA2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33.6《关于印发节能产品政府采购品目清单的通知》（财库 [2019] 19号）</w:t>
      </w:r>
    </w:p>
    <w:p w14:paraId="2787B839">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33.7《关于进一步加大政府采购支持中小企业力度的通知》（财库〔2022〕19号）</w:t>
      </w:r>
    </w:p>
    <w:p w14:paraId="1CB332CF">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33.8《关于做好政府采购支持企业发展有关事项的通知》（苏财购[2020]52号）</w:t>
      </w:r>
    </w:p>
    <w:p w14:paraId="21B0E959">
      <w:pPr>
        <w:adjustRightInd w:val="0"/>
        <w:snapToGrid w:val="0"/>
        <w:spacing w:line="360" w:lineRule="auto"/>
        <w:ind w:firstLine="489"/>
        <w:rPr>
          <w:rFonts w:ascii="Times New Roman" w:hAnsi="Times New Roman"/>
          <w:bCs/>
          <w:sz w:val="24"/>
        </w:rPr>
      </w:pPr>
      <w:r>
        <w:rPr>
          <w:rFonts w:hint="eastAsia" w:ascii="Times New Roman" w:hAnsi="Times New Roman"/>
          <w:bCs/>
          <w:sz w:val="24"/>
        </w:rPr>
        <w:t>33.9《</w:t>
      </w:r>
      <w:r>
        <w:rPr>
          <w:rFonts w:ascii="Times New Roman" w:hAnsi="Times New Roman"/>
          <w:bCs/>
          <w:sz w:val="24"/>
        </w:rPr>
        <w:t>国务院办公厅关于在政府采购中实施本国产品标准及相关政策的通知</w:t>
      </w:r>
      <w:r>
        <w:rPr>
          <w:rFonts w:hint="eastAsia" w:ascii="Times New Roman" w:hAnsi="Times New Roman"/>
          <w:bCs/>
          <w:sz w:val="24"/>
        </w:rPr>
        <w:t>》（</w:t>
      </w:r>
      <w:r>
        <w:rPr>
          <w:rFonts w:ascii="Times New Roman" w:hAnsi="Times New Roman"/>
          <w:bCs/>
          <w:sz w:val="24"/>
        </w:rPr>
        <w:t>国办发〔2025〕34号</w:t>
      </w:r>
      <w:r>
        <w:rPr>
          <w:rFonts w:hint="eastAsia" w:ascii="Times New Roman" w:hAnsi="Times New Roman"/>
          <w:bCs/>
          <w:sz w:val="24"/>
        </w:rPr>
        <w:t>）</w:t>
      </w:r>
    </w:p>
    <w:p w14:paraId="1AF4AD03">
      <w:pPr>
        <w:adjustRightInd w:val="0"/>
        <w:snapToGrid w:val="0"/>
        <w:spacing w:line="360" w:lineRule="auto"/>
        <w:ind w:firstLine="489" w:firstLineChars="204"/>
        <w:rPr>
          <w:rFonts w:ascii="Times New Roman" w:hAnsi="Times New Roman"/>
          <w:bCs/>
          <w:sz w:val="24"/>
        </w:rPr>
      </w:pPr>
      <w:r>
        <w:rPr>
          <w:rFonts w:hint="eastAsia" w:ascii="Times New Roman" w:hAnsi="Times New Roman"/>
          <w:bCs/>
          <w:sz w:val="24"/>
        </w:rPr>
        <w:t>33.10《关于贯彻落实&lt;国务院办公厅关于在政府采购中实施本国产品标准及相关政策的通知&gt;的意见》（财库〔2025〕30号）</w:t>
      </w:r>
    </w:p>
    <w:p w14:paraId="379E0FFA">
      <w:pPr>
        <w:pStyle w:val="2"/>
        <w:numPr>
          <w:ilvl w:val="0"/>
          <w:numId w:val="4"/>
        </w:numPr>
        <w:adjustRightInd w:val="0"/>
        <w:snapToGrid w:val="0"/>
        <w:spacing w:line="360" w:lineRule="auto"/>
        <w:rPr>
          <w:rFonts w:ascii="Times New Roman" w:eastAsia="黑体"/>
          <w:bCs/>
          <w:sz w:val="44"/>
        </w:rPr>
      </w:pPr>
      <w:r>
        <w:rPr>
          <w:rFonts w:ascii="Times New Roman" w:eastAsia="黑体"/>
          <w:bCs/>
          <w:sz w:val="44"/>
        </w:rPr>
        <w:br w:type="page"/>
      </w:r>
      <w:bookmarkEnd w:id="57"/>
      <w:bookmarkEnd w:id="58"/>
      <w:bookmarkEnd w:id="59"/>
      <w:bookmarkEnd w:id="60"/>
      <w:bookmarkEnd w:id="61"/>
      <w:r>
        <w:rPr>
          <w:rFonts w:ascii="Times New Roman" w:eastAsia="黑体"/>
          <w:bCs/>
          <w:sz w:val="44"/>
        </w:rPr>
        <w:t xml:space="preserve"> </w:t>
      </w:r>
      <w:bookmarkStart w:id="161" w:name="_Toc511899514"/>
      <w:bookmarkStart w:id="162" w:name="_Toc121905577"/>
      <w:bookmarkStart w:id="163" w:name="_Toc481071968"/>
      <w:bookmarkStart w:id="164" w:name="_Toc481072014"/>
      <w:bookmarkStart w:id="165" w:name="_Toc475009298"/>
      <w:r>
        <w:rPr>
          <w:rFonts w:ascii="Times New Roman" w:eastAsia="黑体"/>
          <w:bCs/>
          <w:sz w:val="44"/>
        </w:rPr>
        <w:t>合同条款及格式</w:t>
      </w:r>
      <w:bookmarkEnd w:id="161"/>
      <w:bookmarkEnd w:id="162"/>
      <w:bookmarkEnd w:id="163"/>
      <w:bookmarkEnd w:id="164"/>
      <w:bookmarkEnd w:id="165"/>
    </w:p>
    <w:p w14:paraId="45D7B306">
      <w:pPr>
        <w:adjustRightInd w:val="0"/>
        <w:snapToGrid w:val="0"/>
        <w:spacing w:line="360" w:lineRule="auto"/>
        <w:jc w:val="center"/>
        <w:outlineLvl w:val="0"/>
        <w:rPr>
          <w:rFonts w:ascii="宋体" w:hAnsi="宋体"/>
          <w:b/>
          <w:sz w:val="30"/>
        </w:rPr>
      </w:pPr>
      <w:bookmarkStart w:id="166" w:name="_Toc20823315"/>
      <w:bookmarkStart w:id="167" w:name="_Toc513029243"/>
      <w:bookmarkStart w:id="168" w:name="_Toc16938559"/>
      <w:r>
        <w:rPr>
          <w:rFonts w:hint="eastAsia" w:ascii="宋体" w:hAnsi="宋体"/>
          <w:b/>
          <w:sz w:val="30"/>
        </w:rPr>
        <w:t>江苏省政府采购合同（服务）（合同编号）</w:t>
      </w:r>
    </w:p>
    <w:p w14:paraId="7EFBD8C6">
      <w:pPr>
        <w:pStyle w:val="22"/>
        <w:adjustRightInd w:val="0"/>
        <w:snapToGrid w:val="0"/>
        <w:spacing w:line="360" w:lineRule="auto"/>
        <w:rPr>
          <w:rFonts w:hAnsi="宋体"/>
          <w:sz w:val="24"/>
          <w:szCs w:val="24"/>
        </w:rPr>
      </w:pPr>
      <w:r>
        <w:rPr>
          <w:rFonts w:hAnsi="宋体"/>
          <w:sz w:val="24"/>
          <w:szCs w:val="24"/>
        </w:rPr>
        <w:t>项目名称：</w:t>
      </w:r>
      <w:r>
        <w:rPr>
          <w:rFonts w:hint="eastAsia" w:hAnsi="宋体"/>
          <w:sz w:val="24"/>
          <w:szCs w:val="24"/>
          <w:u w:val="single"/>
        </w:rPr>
        <w:t>彩票仓储运杂服务及热敏纸物流服务项目</w:t>
      </w:r>
      <w:r>
        <w:rPr>
          <w:rFonts w:hint="eastAsia" w:hAnsi="宋体"/>
          <w:sz w:val="24"/>
          <w:szCs w:val="24"/>
        </w:rPr>
        <w:t xml:space="preserve">     </w:t>
      </w:r>
    </w:p>
    <w:p w14:paraId="1EB81DD7">
      <w:pPr>
        <w:pStyle w:val="22"/>
        <w:adjustRightInd w:val="0"/>
        <w:snapToGrid w:val="0"/>
        <w:spacing w:line="360" w:lineRule="auto"/>
        <w:rPr>
          <w:rFonts w:hAnsi="宋体"/>
          <w:sz w:val="24"/>
          <w:szCs w:val="24"/>
          <w:u w:val="single"/>
        </w:rPr>
      </w:pPr>
      <w:r>
        <w:rPr>
          <w:rFonts w:hAnsi="宋体"/>
          <w:sz w:val="24"/>
          <w:szCs w:val="24"/>
        </w:rPr>
        <w:t>项目编号：</w:t>
      </w:r>
      <w:r>
        <w:rPr>
          <w:rFonts w:hint="eastAsia" w:hAnsi="宋体"/>
          <w:sz w:val="24"/>
          <w:szCs w:val="24"/>
          <w:u w:val="single"/>
        </w:rPr>
        <w:t xml:space="preserve">                              </w:t>
      </w:r>
    </w:p>
    <w:p w14:paraId="185D88F7">
      <w:pPr>
        <w:pStyle w:val="22"/>
        <w:adjustRightInd w:val="0"/>
        <w:snapToGrid w:val="0"/>
        <w:spacing w:line="360" w:lineRule="auto"/>
        <w:rPr>
          <w:rFonts w:hAnsi="宋体"/>
          <w:sz w:val="24"/>
          <w:szCs w:val="24"/>
        </w:rPr>
      </w:pPr>
      <w:r>
        <w:rPr>
          <w:rFonts w:hAnsi="宋体"/>
          <w:sz w:val="24"/>
          <w:szCs w:val="24"/>
        </w:rPr>
        <w:t>甲方：（买方）_</w:t>
      </w:r>
      <w:r>
        <w:rPr>
          <w:rFonts w:hint="eastAsia" w:hAnsi="宋体"/>
          <w:sz w:val="24"/>
          <w:szCs w:val="24"/>
          <w:u w:val="single"/>
        </w:rPr>
        <w:t>江苏省体育彩票管理中心</w:t>
      </w:r>
      <w:r>
        <w:rPr>
          <w:rFonts w:hAnsi="宋体"/>
          <w:sz w:val="24"/>
          <w:szCs w:val="24"/>
        </w:rPr>
        <w:t>___</w:t>
      </w:r>
    </w:p>
    <w:p w14:paraId="575C269F">
      <w:pPr>
        <w:pStyle w:val="22"/>
        <w:adjustRightInd w:val="0"/>
        <w:snapToGrid w:val="0"/>
        <w:spacing w:line="360" w:lineRule="auto"/>
        <w:rPr>
          <w:rFonts w:hAnsi="宋体"/>
          <w:sz w:val="24"/>
          <w:szCs w:val="24"/>
        </w:rPr>
      </w:pPr>
      <w:r>
        <w:rPr>
          <w:rFonts w:hAnsi="宋体"/>
          <w:sz w:val="24"/>
          <w:szCs w:val="24"/>
        </w:rPr>
        <w:t>乙方：（卖方）_</w:t>
      </w:r>
      <w:r>
        <w:rPr>
          <w:rFonts w:hint="eastAsia" w:hAnsi="宋体"/>
          <w:sz w:val="24"/>
          <w:szCs w:val="24"/>
          <w:u w:val="single"/>
        </w:rPr>
        <w:t xml:space="preserve">                       </w:t>
      </w:r>
      <w:r>
        <w:rPr>
          <w:rFonts w:hAnsi="宋体"/>
          <w:sz w:val="24"/>
          <w:szCs w:val="24"/>
        </w:rPr>
        <w:t>_</w:t>
      </w:r>
    </w:p>
    <w:p w14:paraId="05429920">
      <w:pPr>
        <w:pStyle w:val="22"/>
        <w:adjustRightInd w:val="0"/>
        <w:snapToGrid w:val="0"/>
        <w:spacing w:line="360" w:lineRule="auto"/>
        <w:rPr>
          <w:rFonts w:hAnsi="宋体"/>
          <w:b/>
          <w:sz w:val="24"/>
          <w:szCs w:val="24"/>
        </w:rPr>
      </w:pPr>
      <w:r>
        <w:rPr>
          <w:rFonts w:hAnsi="宋体"/>
          <w:b/>
          <w:sz w:val="24"/>
          <w:szCs w:val="24"/>
        </w:rPr>
        <w:t xml:space="preserve">   </w:t>
      </w:r>
      <w:r>
        <w:rPr>
          <w:rFonts w:hAnsi="宋体"/>
          <w:sz w:val="24"/>
          <w:szCs w:val="24"/>
        </w:rPr>
        <w:t>甲、乙双方根据</w:t>
      </w:r>
      <w:r>
        <w:rPr>
          <w:rFonts w:hint="eastAsia" w:hAnsi="宋体"/>
          <w:sz w:val="24"/>
          <w:szCs w:val="24"/>
          <w:u w:val="single"/>
        </w:rPr>
        <w:t>仓储物流及热敏纸物流系统管理服务</w:t>
      </w:r>
      <w:r>
        <w:rPr>
          <w:rFonts w:hAnsi="宋体"/>
          <w:sz w:val="24"/>
          <w:szCs w:val="24"/>
        </w:rPr>
        <w:t>项目公开招标的结果，签署本合同。</w:t>
      </w:r>
    </w:p>
    <w:p w14:paraId="66F921A9">
      <w:pPr>
        <w:pStyle w:val="22"/>
        <w:adjustRightInd w:val="0"/>
        <w:snapToGrid w:val="0"/>
        <w:spacing w:line="360" w:lineRule="auto"/>
        <w:rPr>
          <w:rFonts w:hAnsi="宋体"/>
          <w:b/>
          <w:sz w:val="24"/>
          <w:szCs w:val="24"/>
        </w:rPr>
      </w:pPr>
      <w:r>
        <w:rPr>
          <w:rFonts w:hAnsi="宋体"/>
          <w:b/>
          <w:sz w:val="24"/>
          <w:szCs w:val="24"/>
        </w:rPr>
        <w:t>一、</w:t>
      </w:r>
      <w:r>
        <w:rPr>
          <w:rFonts w:hint="eastAsia" w:hAnsi="宋体"/>
          <w:b/>
          <w:sz w:val="24"/>
          <w:szCs w:val="24"/>
        </w:rPr>
        <w:t>合同</w:t>
      </w:r>
      <w:r>
        <w:rPr>
          <w:rFonts w:hAnsi="宋体"/>
          <w:b/>
          <w:sz w:val="24"/>
          <w:szCs w:val="24"/>
        </w:rPr>
        <w:t>内容</w:t>
      </w:r>
    </w:p>
    <w:p w14:paraId="7E8D43B5">
      <w:pPr>
        <w:pStyle w:val="22"/>
        <w:adjustRightInd w:val="0"/>
        <w:snapToGrid w:val="0"/>
        <w:spacing w:line="360" w:lineRule="auto"/>
        <w:rPr>
          <w:rFonts w:hAnsi="宋体"/>
          <w:sz w:val="24"/>
          <w:szCs w:val="24"/>
        </w:rPr>
      </w:pPr>
      <w:r>
        <w:rPr>
          <w:rFonts w:hint="eastAsia" w:hAnsi="宋体"/>
          <w:sz w:val="24"/>
          <w:szCs w:val="24"/>
        </w:rPr>
        <w:t>1.1合同服务期限：本合同期限为自生效之日起2年，或至实际结算金额达到合同总价（暂定）时止，二者以先到者为准。</w:t>
      </w:r>
    </w:p>
    <w:p w14:paraId="0C6B6580">
      <w:pPr>
        <w:pStyle w:val="22"/>
        <w:adjustRightInd w:val="0"/>
        <w:snapToGrid w:val="0"/>
        <w:spacing w:line="360" w:lineRule="auto"/>
        <w:rPr>
          <w:rFonts w:hAnsi="宋体"/>
          <w:sz w:val="24"/>
          <w:szCs w:val="24"/>
          <w:u w:val="single"/>
        </w:rPr>
      </w:pPr>
      <w:r>
        <w:rPr>
          <w:rFonts w:hint="eastAsia" w:hAnsi="宋体"/>
          <w:sz w:val="24"/>
          <w:szCs w:val="24"/>
        </w:rPr>
        <w:t>1.2乙方提供给甲方标准的库房面积为</w:t>
      </w:r>
      <w:r>
        <w:rPr>
          <w:rFonts w:hint="eastAsia" w:hAnsi="宋体"/>
          <w:sz w:val="24"/>
          <w:szCs w:val="24"/>
          <w:u w:val="single"/>
        </w:rPr>
        <w:t xml:space="preserve">     </w:t>
      </w:r>
      <w:r>
        <w:rPr>
          <w:rFonts w:hint="eastAsia" w:hAnsi="宋体"/>
          <w:sz w:val="24"/>
          <w:szCs w:val="24"/>
        </w:rPr>
        <w:t>平方米。仓库地址位于：</w:t>
      </w:r>
      <w:r>
        <w:rPr>
          <w:rFonts w:hint="eastAsia" w:hAnsi="宋体"/>
          <w:sz w:val="24"/>
          <w:szCs w:val="24"/>
          <w:u w:val="single"/>
        </w:rPr>
        <w:t xml:space="preserve">         。</w:t>
      </w:r>
    </w:p>
    <w:p w14:paraId="0F21A4F6">
      <w:pPr>
        <w:adjustRightInd w:val="0"/>
        <w:snapToGrid w:val="0"/>
        <w:spacing w:line="360" w:lineRule="auto"/>
        <w:jc w:val="left"/>
        <w:rPr>
          <w:bCs/>
          <w:sz w:val="24"/>
        </w:rPr>
      </w:pPr>
      <w:r>
        <w:rPr>
          <w:rFonts w:hint="eastAsia" w:ascii="宋体" w:hAnsi="宋体" w:cs="Courier New"/>
          <w:sz w:val="24"/>
          <w:szCs w:val="24"/>
        </w:rPr>
        <w:t>1.3由于采购方所存储物料的特殊性，仓储空间应符合防潮、防火、防盗、防尘、防虫</w:t>
      </w:r>
      <w:r>
        <w:rPr>
          <w:rFonts w:hint="eastAsia"/>
          <w:bCs/>
          <w:sz w:val="24"/>
        </w:rPr>
        <w:t>以及24小时不间断电源、360度无死角CCTV全监控服务（保存期6个月）等要求。（提供承诺书原件）</w:t>
      </w:r>
    </w:p>
    <w:p w14:paraId="18C23375">
      <w:pPr>
        <w:adjustRightInd w:val="0"/>
        <w:snapToGrid w:val="0"/>
        <w:spacing w:line="360" w:lineRule="auto"/>
        <w:jc w:val="left"/>
        <w:rPr>
          <w:bCs/>
          <w:sz w:val="24"/>
        </w:rPr>
      </w:pPr>
      <w:r>
        <w:rPr>
          <w:rFonts w:hint="eastAsia" w:ascii="宋体" w:hAnsi="宋体" w:cs="Courier New"/>
          <w:sz w:val="24"/>
          <w:szCs w:val="24"/>
        </w:rPr>
        <w:t>1.4</w:t>
      </w:r>
      <w:r>
        <w:rPr>
          <w:rFonts w:hint="eastAsia"/>
          <w:bCs/>
          <w:sz w:val="24"/>
        </w:rPr>
        <w:t>彩票类物品入库时，须使用统一标准的货物托盘。应根据要求派专人配合设置在 “彩票进出库管理系统”的操作使用，设立独立的封闭区域存放彩票。</w:t>
      </w:r>
    </w:p>
    <w:p w14:paraId="6D3CCAEB">
      <w:pPr>
        <w:adjustRightInd w:val="0"/>
        <w:snapToGrid w:val="0"/>
        <w:spacing w:line="360" w:lineRule="auto"/>
        <w:jc w:val="left"/>
        <w:rPr>
          <w:bCs/>
          <w:sz w:val="24"/>
        </w:rPr>
      </w:pPr>
      <w:r>
        <w:rPr>
          <w:rFonts w:hint="eastAsia" w:ascii="宋体" w:hAnsi="宋体" w:cs="Courier New"/>
          <w:sz w:val="24"/>
          <w:szCs w:val="24"/>
        </w:rPr>
        <w:t>1.5</w:t>
      </w:r>
      <w:r>
        <w:rPr>
          <w:rFonts w:hint="eastAsia"/>
          <w:bCs/>
          <w:sz w:val="24"/>
        </w:rPr>
        <w:t>建立彩票各类物资进出库管理系统。提供仓库管理的终端系统软件，可根据用户权限实时查询库存、物流情况，并提供专门的管理平台的数据接口及相关技术支持、培训服务。</w:t>
      </w:r>
    </w:p>
    <w:p w14:paraId="50419B25">
      <w:pPr>
        <w:adjustRightInd w:val="0"/>
        <w:snapToGrid w:val="0"/>
        <w:spacing w:line="360" w:lineRule="auto"/>
        <w:jc w:val="left"/>
        <w:rPr>
          <w:bCs/>
          <w:sz w:val="24"/>
        </w:rPr>
      </w:pPr>
      <w:r>
        <w:rPr>
          <w:rFonts w:hint="eastAsia" w:ascii="宋体" w:hAnsi="宋体" w:cs="Courier New"/>
          <w:sz w:val="24"/>
          <w:szCs w:val="24"/>
        </w:rPr>
        <w:t>1.6</w:t>
      </w:r>
      <w:r>
        <w:rPr>
          <w:rFonts w:hint="eastAsia"/>
          <w:bCs/>
          <w:sz w:val="24"/>
        </w:rPr>
        <w:t>终端机需分厂家、品牌和机型进行管理，每款终端机单独摆放并张贴出入库记录和库存变化表，终端机的发放和回收在仓库原有记账方式的基础上，还需使用省体彩中心指定的终端管理系统进行操作，并定期盘点，和省体彩中心终端机管理负责人进行定期对账。</w:t>
      </w:r>
    </w:p>
    <w:p w14:paraId="7FE9CB5B">
      <w:pPr>
        <w:adjustRightInd w:val="0"/>
        <w:snapToGrid w:val="0"/>
        <w:spacing w:line="360" w:lineRule="auto"/>
        <w:jc w:val="left"/>
        <w:rPr>
          <w:bCs/>
          <w:sz w:val="24"/>
        </w:rPr>
      </w:pPr>
      <w:r>
        <w:rPr>
          <w:rFonts w:hint="eastAsia" w:ascii="宋体" w:hAnsi="宋体" w:cs="Courier New"/>
          <w:sz w:val="24"/>
          <w:szCs w:val="24"/>
        </w:rPr>
        <w:t>1.7</w:t>
      </w:r>
      <w:r>
        <w:rPr>
          <w:rFonts w:hint="eastAsia"/>
          <w:bCs/>
          <w:sz w:val="24"/>
        </w:rPr>
        <w:t>乙方装卸人员对货物要做到轻装轻卸，严禁乱摔、乱砸、乱放；因搬运不当造成的损坏应按市场价赔偿。</w:t>
      </w:r>
    </w:p>
    <w:p w14:paraId="472B57FF">
      <w:pPr>
        <w:adjustRightInd w:val="0"/>
        <w:snapToGrid w:val="0"/>
        <w:spacing w:line="360" w:lineRule="auto"/>
        <w:jc w:val="left"/>
        <w:rPr>
          <w:bCs/>
          <w:sz w:val="24"/>
        </w:rPr>
      </w:pPr>
      <w:r>
        <w:rPr>
          <w:rFonts w:hint="eastAsia" w:ascii="宋体" w:hAnsi="宋体" w:cs="Courier New"/>
          <w:sz w:val="24"/>
          <w:szCs w:val="24"/>
        </w:rPr>
        <w:t>1.8</w:t>
      </w:r>
      <w:r>
        <w:rPr>
          <w:rFonts w:hint="eastAsia"/>
          <w:bCs/>
          <w:sz w:val="24"/>
        </w:rPr>
        <w:t>仓储费用相关明细表等资料到期后全部移交省体彩中心。（提供承诺书原件）</w:t>
      </w:r>
    </w:p>
    <w:p w14:paraId="64DBA7E1">
      <w:pPr>
        <w:pStyle w:val="22"/>
        <w:adjustRightInd w:val="0"/>
        <w:snapToGrid w:val="0"/>
        <w:spacing w:line="360" w:lineRule="auto"/>
        <w:rPr>
          <w:rFonts w:ascii="Calibri" w:hAnsi="Calibri" w:cs="Times New Roman"/>
          <w:bCs/>
          <w:sz w:val="24"/>
        </w:rPr>
      </w:pPr>
      <w:r>
        <w:rPr>
          <w:rFonts w:hint="eastAsia" w:hAnsi="宋体"/>
          <w:sz w:val="24"/>
          <w:szCs w:val="24"/>
        </w:rPr>
        <w:t>1.9</w:t>
      </w:r>
      <w:r>
        <w:rPr>
          <w:rFonts w:hint="eastAsia" w:ascii="Calibri" w:hAnsi="Calibri" w:cs="Times New Roman"/>
          <w:bCs/>
          <w:sz w:val="24"/>
        </w:rPr>
        <w:t>现有仓储物料的转场费用由乙方承担，现有仓库地址：南京市江宁区淳化街道唐家路（雁冲路88号），面积3500平方米。</w:t>
      </w:r>
    </w:p>
    <w:p w14:paraId="59C43F33">
      <w:pPr>
        <w:adjustRightInd w:val="0"/>
        <w:snapToGrid w:val="0"/>
        <w:spacing w:line="360" w:lineRule="auto"/>
        <w:jc w:val="left"/>
        <w:rPr>
          <w:bCs/>
          <w:sz w:val="24"/>
        </w:rPr>
      </w:pPr>
      <w:r>
        <w:rPr>
          <w:rFonts w:hint="eastAsia" w:ascii="宋体" w:hAnsi="宋体" w:cs="Courier New"/>
          <w:sz w:val="24"/>
          <w:szCs w:val="24"/>
        </w:rPr>
        <w:t>1.10</w:t>
      </w:r>
      <w:r>
        <w:rPr>
          <w:rFonts w:hint="eastAsia"/>
          <w:bCs/>
          <w:sz w:val="24"/>
        </w:rPr>
        <w:t>提供国家核准颁发并至今有效的可经营公路运输业务的《道路运输经营许可证》等资质证明。</w:t>
      </w:r>
    </w:p>
    <w:p w14:paraId="58B966E9">
      <w:pPr>
        <w:adjustRightInd w:val="0"/>
        <w:snapToGrid w:val="0"/>
        <w:spacing w:line="360" w:lineRule="auto"/>
        <w:jc w:val="left"/>
        <w:rPr>
          <w:bCs/>
          <w:sz w:val="24"/>
        </w:rPr>
      </w:pPr>
      <w:r>
        <w:rPr>
          <w:rFonts w:hint="eastAsia" w:ascii="宋体" w:hAnsi="宋体" w:cs="Courier New"/>
          <w:sz w:val="24"/>
          <w:szCs w:val="24"/>
        </w:rPr>
        <w:t>1.11</w:t>
      </w:r>
      <w:r>
        <w:rPr>
          <w:rFonts w:hint="eastAsia"/>
          <w:bCs/>
          <w:sz w:val="24"/>
        </w:rPr>
        <w:t>保证足够的车辆可供调配能满足采购方配送计划（提供车辆行驶证登记表复印件或车辆租赁合同复印件）。在省内所提供运输服务的零担直运须为有顶封闭的厢式汽车，不得转包转运。且需对相关运输及货物安全负完全责任。</w:t>
      </w:r>
    </w:p>
    <w:p w14:paraId="5BADDB40">
      <w:pPr>
        <w:adjustRightInd w:val="0"/>
        <w:snapToGrid w:val="0"/>
        <w:spacing w:line="360" w:lineRule="auto"/>
        <w:jc w:val="left"/>
        <w:rPr>
          <w:bCs/>
          <w:sz w:val="24"/>
        </w:rPr>
      </w:pPr>
      <w:r>
        <w:rPr>
          <w:rFonts w:hint="eastAsia" w:ascii="宋体" w:hAnsi="宋体" w:cs="Courier New"/>
          <w:sz w:val="24"/>
          <w:szCs w:val="24"/>
        </w:rPr>
        <w:t>1.12</w:t>
      </w:r>
      <w:r>
        <w:rPr>
          <w:rFonts w:hint="eastAsia"/>
          <w:bCs/>
          <w:sz w:val="24"/>
        </w:rPr>
        <w:t>按采购人要求时间配送彩票、货物，到达目的地后，须由收货方签字确认，该物流活动包括货物（门到门）装运，搬卸（含上下车和上下楼等环节），送货上门等。中标人须将收货确认单扫描发给省体彩中心对应仓库管理员邮箱。</w:t>
      </w:r>
    </w:p>
    <w:p w14:paraId="37C10197">
      <w:pPr>
        <w:adjustRightInd w:val="0"/>
        <w:snapToGrid w:val="0"/>
        <w:spacing w:line="360" w:lineRule="auto"/>
        <w:jc w:val="left"/>
        <w:rPr>
          <w:rFonts w:ascii="宋体" w:hAnsi="宋体" w:cs="Courier New"/>
          <w:sz w:val="24"/>
          <w:szCs w:val="24"/>
        </w:rPr>
      </w:pPr>
      <w:r>
        <w:rPr>
          <w:rFonts w:hint="eastAsia" w:ascii="宋体" w:hAnsi="宋体" w:cs="Courier New"/>
          <w:sz w:val="24"/>
          <w:szCs w:val="24"/>
        </w:rPr>
        <w:t>1.13</w:t>
      </w:r>
      <w:r>
        <w:rPr>
          <w:rFonts w:hint="eastAsia"/>
          <w:bCs/>
          <w:sz w:val="24"/>
        </w:rPr>
        <w:t>按月核对物流明细及物流费用，核对无误后签字确认，作为每月结算的依据。即开票</w:t>
      </w:r>
      <w:r>
        <w:rPr>
          <w:rFonts w:hint="eastAsia" w:ascii="宋体" w:hAnsi="宋体" w:cs="Courier New"/>
          <w:sz w:val="24"/>
          <w:szCs w:val="24"/>
        </w:rPr>
        <w:t>按照出库的实际称重重量结算。</w:t>
      </w:r>
    </w:p>
    <w:p w14:paraId="0266C172">
      <w:pPr>
        <w:adjustRightInd w:val="0"/>
        <w:snapToGrid w:val="0"/>
        <w:spacing w:line="360" w:lineRule="auto"/>
        <w:jc w:val="left"/>
        <w:rPr>
          <w:bCs/>
          <w:sz w:val="24"/>
        </w:rPr>
      </w:pPr>
      <w:r>
        <w:rPr>
          <w:rFonts w:hint="eastAsia" w:ascii="宋体" w:hAnsi="宋体" w:cs="Courier New"/>
          <w:sz w:val="24"/>
          <w:szCs w:val="24"/>
        </w:rPr>
        <w:t>1.14</w:t>
      </w:r>
      <w:r>
        <w:rPr>
          <w:rFonts w:hint="eastAsia"/>
          <w:bCs/>
          <w:sz w:val="24"/>
        </w:rPr>
        <w:t>所提供运输明细表等相关资料的保存期须在五年以上。</w:t>
      </w:r>
    </w:p>
    <w:p w14:paraId="3B17DFBF">
      <w:pPr>
        <w:adjustRightInd w:val="0"/>
        <w:snapToGrid w:val="0"/>
        <w:spacing w:line="360" w:lineRule="auto"/>
        <w:jc w:val="left"/>
        <w:rPr>
          <w:bCs/>
          <w:sz w:val="24"/>
        </w:rPr>
      </w:pPr>
      <w:r>
        <w:rPr>
          <w:rFonts w:hint="eastAsia" w:ascii="宋体" w:hAnsi="宋体" w:cs="Courier New"/>
          <w:sz w:val="24"/>
          <w:szCs w:val="24"/>
        </w:rPr>
        <w:t>1.15</w:t>
      </w:r>
      <w:r>
        <w:rPr>
          <w:rFonts w:hint="eastAsia"/>
          <w:bCs/>
          <w:sz w:val="24"/>
        </w:rPr>
        <w:t>配送范围及时限要求：</w:t>
      </w:r>
    </w:p>
    <w:p w14:paraId="1DEF781C">
      <w:pPr>
        <w:adjustRightInd w:val="0"/>
        <w:snapToGrid w:val="0"/>
        <w:spacing w:line="360" w:lineRule="auto"/>
        <w:jc w:val="left"/>
        <w:rPr>
          <w:bCs/>
          <w:sz w:val="24"/>
        </w:rPr>
      </w:pPr>
      <w:r>
        <w:rPr>
          <w:rFonts w:hint="eastAsia"/>
          <w:bCs/>
          <w:sz w:val="24"/>
        </w:rPr>
        <w:t xml:space="preserve">（1）江苏省13个地级市城市、省内各县级城市、乡镇、全省销售网点20000个左右，配送至全省市县78个仓库。因政策或市场变化，销售网点数量、所配送物品数量等会有变化，根据采购人实际需要配送。 </w:t>
      </w:r>
    </w:p>
    <w:p w14:paraId="06DF8CDD">
      <w:pPr>
        <w:adjustRightInd w:val="0"/>
        <w:snapToGrid w:val="0"/>
        <w:spacing w:line="360" w:lineRule="auto"/>
        <w:jc w:val="left"/>
        <w:rPr>
          <w:bCs/>
          <w:sz w:val="24"/>
        </w:rPr>
      </w:pPr>
      <w:r>
        <w:rPr>
          <w:rFonts w:hint="eastAsia"/>
          <w:bCs/>
          <w:sz w:val="24"/>
        </w:rPr>
        <w:t>（2）全省范围内配送到仓库，点到点链式服务，从接到指令到对方验收入库并签收，时间要求江苏省内地级市1天、县级市2天、乡镇2-3天。</w:t>
      </w:r>
    </w:p>
    <w:p w14:paraId="492BA0B9">
      <w:pPr>
        <w:adjustRightInd w:val="0"/>
        <w:snapToGrid w:val="0"/>
        <w:spacing w:line="360" w:lineRule="auto"/>
        <w:jc w:val="left"/>
        <w:rPr>
          <w:bCs/>
          <w:sz w:val="24"/>
        </w:rPr>
      </w:pPr>
      <w:r>
        <w:rPr>
          <w:rFonts w:hint="eastAsia"/>
          <w:bCs/>
          <w:sz w:val="24"/>
        </w:rPr>
        <w:t>（3）彩票类配送时限：仓库收到出库指令到收货方验收并签收，时间不超过5天。</w:t>
      </w:r>
    </w:p>
    <w:p w14:paraId="29C1BA04">
      <w:pPr>
        <w:adjustRightInd w:val="0"/>
        <w:snapToGrid w:val="0"/>
        <w:spacing w:line="360" w:lineRule="auto"/>
        <w:jc w:val="left"/>
        <w:rPr>
          <w:bCs/>
          <w:sz w:val="24"/>
        </w:rPr>
      </w:pPr>
      <w:r>
        <w:rPr>
          <w:rFonts w:hint="eastAsia" w:ascii="宋体" w:hAnsi="宋体" w:cs="Courier New"/>
          <w:sz w:val="24"/>
          <w:szCs w:val="24"/>
        </w:rPr>
        <w:t>1.16</w:t>
      </w:r>
      <w:r>
        <w:rPr>
          <w:rFonts w:hint="eastAsia"/>
          <w:bCs/>
          <w:sz w:val="24"/>
        </w:rPr>
        <w:t>提供彩票热敏纸物流管理服务，进行运营及市场跟踪，建设热敏纸物流系统，并提供合作期间的系统升级和运维服务。</w:t>
      </w:r>
    </w:p>
    <w:p w14:paraId="0809F902">
      <w:pPr>
        <w:adjustRightInd w:val="0"/>
        <w:snapToGrid w:val="0"/>
        <w:spacing w:line="360" w:lineRule="auto"/>
        <w:jc w:val="left"/>
        <w:rPr>
          <w:bCs/>
          <w:sz w:val="24"/>
        </w:rPr>
      </w:pPr>
      <w:r>
        <w:rPr>
          <w:rFonts w:hint="eastAsia"/>
          <w:bCs/>
          <w:sz w:val="24"/>
        </w:rPr>
        <w:t>（1）将彩票销售网点申请的热敏纸等物料投放配送到销售网点。配送时限：点到点链式服务，从接到指令到对方验收并签收，时间要求江苏省内地级市1天、县级市2天、乡镇2-3天。</w:t>
      </w:r>
    </w:p>
    <w:p w14:paraId="01A27522">
      <w:pPr>
        <w:adjustRightInd w:val="0"/>
        <w:snapToGrid w:val="0"/>
        <w:spacing w:line="360" w:lineRule="auto"/>
        <w:jc w:val="left"/>
        <w:rPr>
          <w:bCs/>
          <w:sz w:val="24"/>
        </w:rPr>
      </w:pPr>
      <w:r>
        <w:rPr>
          <w:rFonts w:hint="eastAsia"/>
          <w:bCs/>
          <w:sz w:val="24"/>
        </w:rPr>
        <w:t>（2）根据甲方提供的热敏纸消耗情况，确定每个网点热敏纸可申请数量，并严格限制每次申请数量不能超过可申请数量，该数据支持动态更新。每年配送的热敏纸数量除以热敏纸消耗量原则上不能超过1.05。</w:t>
      </w:r>
    </w:p>
    <w:p w14:paraId="50743DB1">
      <w:pPr>
        <w:adjustRightInd w:val="0"/>
        <w:snapToGrid w:val="0"/>
        <w:spacing w:line="360" w:lineRule="auto"/>
        <w:jc w:val="left"/>
        <w:rPr>
          <w:bCs/>
          <w:sz w:val="24"/>
        </w:rPr>
      </w:pPr>
      <w:r>
        <w:rPr>
          <w:rFonts w:hint="eastAsia"/>
          <w:bCs/>
          <w:sz w:val="24"/>
        </w:rPr>
        <w:t>（3）运用先进的管理理念和科学算法结合全省各彩票销售站点不同的物料使用情况、地理位置等对相关物料进行最优化分配，同时根据不同的配比要求提出最佳运输方案并予实施。全省体彩相关的业务信息数据通过不同需求进行智能优化处理和分配，实时为不同的服务对象进行个性化服务。及时根据站点耗材使用情况结合站点及当地体彩中心库存情况，自动生成不同配送服务解决方案并实施。</w:t>
      </w:r>
    </w:p>
    <w:p w14:paraId="166F8CD1">
      <w:pPr>
        <w:adjustRightInd w:val="0"/>
        <w:snapToGrid w:val="0"/>
        <w:spacing w:line="360" w:lineRule="auto"/>
        <w:jc w:val="left"/>
        <w:rPr>
          <w:bCs/>
          <w:sz w:val="24"/>
        </w:rPr>
      </w:pPr>
      <w:r>
        <w:rPr>
          <w:rFonts w:hint="eastAsia"/>
          <w:bCs/>
          <w:sz w:val="24"/>
        </w:rPr>
        <w:t>（4）支持多种热敏纸预定方式，包括不限于PC端网页、手机APP（或小程序）、客服电话等。</w:t>
      </w:r>
    </w:p>
    <w:p w14:paraId="5079E0E0">
      <w:pPr>
        <w:adjustRightInd w:val="0"/>
        <w:snapToGrid w:val="0"/>
        <w:spacing w:line="360" w:lineRule="auto"/>
        <w:jc w:val="left"/>
        <w:rPr>
          <w:bCs/>
          <w:sz w:val="24"/>
        </w:rPr>
      </w:pPr>
      <w:r>
        <w:rPr>
          <w:rFonts w:hint="eastAsia"/>
          <w:bCs/>
          <w:sz w:val="24"/>
        </w:rPr>
        <w:t>（5）建设热敏纸物流系统，支持3万个用户访问（目前全省约2万个销售网点），支持PC端和手机端同时访问。实现门店管理，根据甲方门店新增情况在物流系统中增加门店相关信息和账户信息，根据甲方门店退站情况在物流系统中将门店设置为不可用状态，不再接受热敏纸申请。实现销售网点可申请额度管理，根据销售网点热敏纸消耗以及配送情况进行可申请额度调整，允许设置可申请额度最大值，记录额度调整的详细信息并提供查询。实现订单管理，系统中应保留申请、配送每一条记录。订单与热敏纸箱号关联。提供订单查询、统计汇总、报表分析、库存查询等功能，包含所有的历史明细信息查询。该系统可以提供账户供甲方及甲方授予人员查询相关信息。该系统支持与甲方建设的系统进行对接，提供数据接口。合同签订一个月内具备系统上线条件。</w:t>
      </w:r>
    </w:p>
    <w:p w14:paraId="6EB4DEFE">
      <w:pPr>
        <w:adjustRightInd w:val="0"/>
        <w:snapToGrid w:val="0"/>
        <w:spacing w:line="360" w:lineRule="auto"/>
        <w:jc w:val="left"/>
        <w:rPr>
          <w:bCs/>
          <w:sz w:val="24"/>
        </w:rPr>
      </w:pPr>
      <w:r>
        <w:rPr>
          <w:rFonts w:hint="eastAsia"/>
          <w:bCs/>
          <w:sz w:val="24"/>
        </w:rPr>
        <w:t>（6）应有较强的全省维护服务能力。全省各级体彩中心及其销售网点涉及到系统使用以及物料回收问题，需要具有成熟且精通相应业务的人员支撑。电话客服人员提供不少于7*12h的客服服务。</w:t>
      </w:r>
    </w:p>
    <w:p w14:paraId="2BDBAC83">
      <w:pPr>
        <w:adjustRightInd w:val="0"/>
        <w:snapToGrid w:val="0"/>
        <w:spacing w:line="360" w:lineRule="auto"/>
        <w:jc w:val="left"/>
        <w:rPr>
          <w:bCs/>
          <w:sz w:val="24"/>
        </w:rPr>
      </w:pPr>
      <w:r>
        <w:rPr>
          <w:rFonts w:hint="eastAsia"/>
          <w:bCs/>
          <w:sz w:val="24"/>
        </w:rPr>
        <w:t>（7）热敏纸物流系统应根据省体彩中心要求进行必要升级、改进、完善，无条件开放系统权限，并接受必要的工作检查。</w:t>
      </w:r>
    </w:p>
    <w:p w14:paraId="2575E958">
      <w:pPr>
        <w:adjustRightInd w:val="0"/>
        <w:snapToGrid w:val="0"/>
        <w:spacing w:line="360" w:lineRule="auto"/>
        <w:jc w:val="left"/>
        <w:rPr>
          <w:bCs/>
          <w:sz w:val="24"/>
        </w:rPr>
      </w:pPr>
      <w:r>
        <w:rPr>
          <w:rFonts w:hint="eastAsia" w:ascii="宋体" w:hAnsi="宋体" w:cs="Courier New"/>
          <w:sz w:val="24"/>
          <w:szCs w:val="24"/>
        </w:rPr>
        <w:t>1.17</w:t>
      </w:r>
      <w:r>
        <w:rPr>
          <w:rFonts w:hint="eastAsia"/>
          <w:bCs/>
          <w:sz w:val="24"/>
        </w:rPr>
        <w:t>因为体彩业务所产生、掌握、存储和保管的信息、数据、资料等有形或无形资产所有权归属省体彩中心所有。积极配合省体彩中心管理要求，定期或不定期进行报告，并归集或上报相关数据。在本项目及相关业务终止时，应采取有效措施予以销毁，并承诺公司及员工不以任何方式留存或使用。</w:t>
      </w:r>
    </w:p>
    <w:p w14:paraId="3785A0F2">
      <w:pPr>
        <w:adjustRightInd w:val="0"/>
        <w:snapToGrid w:val="0"/>
        <w:spacing w:line="360" w:lineRule="auto"/>
        <w:jc w:val="left"/>
        <w:rPr>
          <w:bCs/>
          <w:sz w:val="24"/>
        </w:rPr>
      </w:pPr>
      <w:r>
        <w:rPr>
          <w:rFonts w:hint="eastAsia" w:ascii="宋体" w:hAnsi="宋体" w:cs="Courier New"/>
          <w:sz w:val="24"/>
          <w:szCs w:val="24"/>
        </w:rPr>
        <w:t>1.18</w:t>
      </w:r>
      <w:r>
        <w:rPr>
          <w:rFonts w:hint="eastAsia"/>
          <w:bCs/>
          <w:sz w:val="24"/>
        </w:rPr>
        <w:t>具有成熟可靠的网点信息处理和保密防护机制，切实保障网点、业主和销售人员等信息不向外泄露，不被公司及员工不当使用，更不能提取、处理、发布、物流仓储系统任何信息资源。（提供承诺书原件）</w:t>
      </w:r>
    </w:p>
    <w:p w14:paraId="1C7C44CD">
      <w:pPr>
        <w:pStyle w:val="22"/>
        <w:adjustRightInd w:val="0"/>
        <w:snapToGrid w:val="0"/>
        <w:spacing w:line="360" w:lineRule="auto"/>
        <w:rPr>
          <w:rFonts w:hAnsi="宋体"/>
          <w:sz w:val="24"/>
          <w:szCs w:val="24"/>
        </w:rPr>
      </w:pPr>
      <w:r>
        <w:rPr>
          <w:rFonts w:hint="eastAsia" w:hAnsi="宋体"/>
          <w:sz w:val="24"/>
          <w:szCs w:val="24"/>
        </w:rPr>
        <w:t>1.19</w:t>
      </w:r>
      <w:r>
        <w:rPr>
          <w:rFonts w:hint="eastAsia" w:ascii="Calibri" w:hAnsi="Calibri" w:cs="Times New Roman"/>
          <w:bCs/>
          <w:sz w:val="24"/>
        </w:rPr>
        <w:t>系统应按照网络安全相关要求做好安全防护，做好防攻击、防篡改、防病毒等；系统上线前应通过安全测试，签订网络安全保密协议。</w:t>
      </w:r>
    </w:p>
    <w:p w14:paraId="66681AA0">
      <w:pPr>
        <w:pStyle w:val="22"/>
        <w:adjustRightInd w:val="0"/>
        <w:snapToGrid w:val="0"/>
        <w:spacing w:line="360" w:lineRule="auto"/>
        <w:rPr>
          <w:rFonts w:hAnsi="宋体"/>
          <w:sz w:val="24"/>
          <w:szCs w:val="24"/>
        </w:rPr>
      </w:pPr>
      <w:r>
        <w:rPr>
          <w:rFonts w:hint="eastAsia" w:hAnsi="宋体"/>
          <w:sz w:val="24"/>
          <w:szCs w:val="24"/>
        </w:rPr>
        <w:t>1.20乙方须委派专人负责对接甲方业务，第一联系人：</w:t>
      </w:r>
      <w:r>
        <w:rPr>
          <w:rFonts w:hint="eastAsia" w:hAnsi="宋体"/>
          <w:sz w:val="24"/>
          <w:szCs w:val="24"/>
          <w:u w:val="single"/>
        </w:rPr>
        <w:t xml:space="preserve">   </w:t>
      </w:r>
      <w:r>
        <w:rPr>
          <w:rFonts w:hint="eastAsia" w:hAnsi="宋体"/>
          <w:sz w:val="24"/>
          <w:szCs w:val="24"/>
        </w:rPr>
        <w:t xml:space="preserve">联系方式： </w:t>
      </w:r>
      <w:r>
        <w:rPr>
          <w:rFonts w:hint="eastAsia" w:hAnsi="宋体"/>
          <w:sz w:val="24"/>
          <w:szCs w:val="24"/>
          <w:u w:val="single"/>
        </w:rPr>
        <w:t xml:space="preserve">   </w:t>
      </w:r>
      <w:r>
        <w:rPr>
          <w:rFonts w:hint="eastAsia" w:hAnsi="宋体"/>
          <w:sz w:val="24"/>
          <w:szCs w:val="24"/>
        </w:rPr>
        <w:t>、第二联系人：</w:t>
      </w:r>
      <w:r>
        <w:rPr>
          <w:rFonts w:hint="eastAsia" w:hAnsi="宋体"/>
          <w:sz w:val="24"/>
          <w:szCs w:val="24"/>
          <w:u w:val="single"/>
        </w:rPr>
        <w:t xml:space="preserve">      </w:t>
      </w:r>
      <w:r>
        <w:rPr>
          <w:rFonts w:hint="eastAsia" w:hAnsi="宋体"/>
          <w:sz w:val="24"/>
          <w:szCs w:val="24"/>
        </w:rPr>
        <w:t>联系方式：</w:t>
      </w:r>
      <w:r>
        <w:rPr>
          <w:rFonts w:hint="eastAsia" w:hAnsi="宋体"/>
          <w:sz w:val="24"/>
          <w:szCs w:val="24"/>
          <w:u w:val="single"/>
        </w:rPr>
        <w:t xml:space="preserve">    </w:t>
      </w:r>
      <w:r>
        <w:rPr>
          <w:rFonts w:hint="eastAsia" w:hAnsi="宋体"/>
          <w:sz w:val="24"/>
          <w:szCs w:val="24"/>
        </w:rPr>
        <w:t>。</w:t>
      </w:r>
    </w:p>
    <w:p w14:paraId="42D26822">
      <w:pPr>
        <w:pStyle w:val="22"/>
        <w:adjustRightInd w:val="0"/>
        <w:snapToGrid w:val="0"/>
        <w:spacing w:line="360" w:lineRule="auto"/>
        <w:rPr>
          <w:rFonts w:hAnsi="宋体"/>
          <w:b/>
          <w:sz w:val="24"/>
          <w:szCs w:val="24"/>
        </w:rPr>
      </w:pPr>
      <w:r>
        <w:rPr>
          <w:rFonts w:hAnsi="宋体"/>
          <w:b/>
          <w:sz w:val="24"/>
          <w:szCs w:val="24"/>
        </w:rPr>
        <w:t>二、合同金额</w:t>
      </w:r>
    </w:p>
    <w:p w14:paraId="1CF1AB6F">
      <w:pPr>
        <w:pStyle w:val="22"/>
        <w:adjustRightInd w:val="0"/>
        <w:snapToGrid w:val="0"/>
        <w:spacing w:line="360" w:lineRule="auto"/>
        <w:rPr>
          <w:rFonts w:hAnsi="宋体"/>
          <w:b/>
          <w:sz w:val="24"/>
          <w:szCs w:val="24"/>
        </w:rPr>
      </w:pPr>
      <w:r>
        <w:rPr>
          <w:rFonts w:hint="eastAsia" w:hAnsi="宋体"/>
          <w:sz w:val="24"/>
          <w:szCs w:val="24"/>
        </w:rPr>
        <w:t>2.1合同总价（暂定）</w:t>
      </w:r>
      <w:r>
        <w:rPr>
          <w:rFonts w:hint="eastAsia" w:hAnsi="宋体"/>
          <w:sz w:val="24"/>
          <w:szCs w:val="24"/>
          <w:u w:val="single"/>
        </w:rPr>
        <w:t xml:space="preserve">       </w:t>
      </w:r>
      <w:r>
        <w:rPr>
          <w:rFonts w:hint="eastAsia" w:hAnsi="宋体"/>
          <w:sz w:val="24"/>
          <w:szCs w:val="24"/>
        </w:rPr>
        <w:t>万元，每月根据各子项实际产生的工作量与中标单价进行结算，自计费开始之日起。收费标准如下：</w:t>
      </w:r>
    </w:p>
    <w:tbl>
      <w:tblPr>
        <w:tblStyle w:val="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337"/>
        <w:gridCol w:w="4361"/>
        <w:gridCol w:w="1236"/>
        <w:gridCol w:w="1237"/>
      </w:tblGrid>
      <w:tr w14:paraId="7738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7E4A74F2">
            <w:pPr>
              <w:adjustRightInd w:val="0"/>
              <w:snapToGrid w:val="0"/>
              <w:ind w:left="-111" w:leftChars="-53" w:right="-113" w:rightChars="-54"/>
              <w:jc w:val="center"/>
              <w:rPr>
                <w:rFonts w:hAnsi="宋体"/>
                <w:b/>
                <w:sz w:val="24"/>
                <w:szCs w:val="24"/>
              </w:rPr>
            </w:pPr>
            <w:r>
              <w:rPr>
                <w:rFonts w:hint="eastAsia" w:ascii="宋体" w:hAnsi="宋体" w:cs="宋体"/>
                <w:b/>
                <w:bCs/>
                <w:sz w:val="24"/>
              </w:rPr>
              <w:t>序号</w:t>
            </w:r>
          </w:p>
        </w:tc>
        <w:tc>
          <w:tcPr>
            <w:tcW w:w="1337" w:type="dxa"/>
            <w:vAlign w:val="center"/>
          </w:tcPr>
          <w:p w14:paraId="09756DE4">
            <w:pPr>
              <w:adjustRightInd w:val="0"/>
              <w:snapToGrid w:val="0"/>
              <w:jc w:val="center"/>
              <w:rPr>
                <w:rFonts w:hAnsi="宋体"/>
                <w:b/>
                <w:sz w:val="24"/>
                <w:szCs w:val="24"/>
              </w:rPr>
            </w:pPr>
            <w:r>
              <w:rPr>
                <w:rFonts w:hint="eastAsia" w:ascii="宋体" w:hAnsi="宋体" w:cs="宋体"/>
                <w:b/>
                <w:bCs/>
                <w:sz w:val="24"/>
              </w:rPr>
              <w:t>子项服务费用</w:t>
            </w:r>
          </w:p>
        </w:tc>
        <w:tc>
          <w:tcPr>
            <w:tcW w:w="4361" w:type="dxa"/>
            <w:vAlign w:val="center"/>
          </w:tcPr>
          <w:p w14:paraId="79056E9C">
            <w:pPr>
              <w:widowControl/>
              <w:adjustRightInd w:val="0"/>
              <w:snapToGrid w:val="0"/>
              <w:ind w:left="-14" w:leftChars="-54" w:right="-103" w:rightChars="-49" w:hanging="99" w:hangingChars="41"/>
              <w:jc w:val="center"/>
              <w:rPr>
                <w:rFonts w:hAnsi="宋体"/>
                <w:b/>
                <w:sz w:val="24"/>
                <w:szCs w:val="24"/>
              </w:rPr>
            </w:pPr>
            <w:r>
              <w:rPr>
                <w:rFonts w:hint="eastAsia" w:ascii="宋体" w:hAnsi="宋体" w:cs="宋体"/>
                <w:b/>
                <w:bCs/>
                <w:sz w:val="24"/>
                <w:szCs w:val="24"/>
              </w:rPr>
              <w:t>简要说明</w:t>
            </w:r>
          </w:p>
        </w:tc>
        <w:tc>
          <w:tcPr>
            <w:tcW w:w="1236" w:type="dxa"/>
            <w:vAlign w:val="center"/>
          </w:tcPr>
          <w:p w14:paraId="60714C02">
            <w:pPr>
              <w:adjustRightInd w:val="0"/>
              <w:snapToGrid w:val="0"/>
              <w:ind w:left="-111" w:leftChars="-53" w:right="-113" w:rightChars="-54"/>
              <w:jc w:val="center"/>
              <w:rPr>
                <w:rFonts w:hAnsi="宋体"/>
                <w:b/>
                <w:sz w:val="24"/>
                <w:szCs w:val="24"/>
              </w:rPr>
            </w:pPr>
            <w:r>
              <w:rPr>
                <w:rFonts w:hint="eastAsia" w:ascii="宋体" w:hAnsi="宋体" w:cs="宋体"/>
                <w:b/>
                <w:bCs/>
                <w:sz w:val="24"/>
              </w:rPr>
              <w:t>单位</w:t>
            </w:r>
          </w:p>
        </w:tc>
        <w:tc>
          <w:tcPr>
            <w:tcW w:w="1237" w:type="dxa"/>
            <w:vAlign w:val="center"/>
          </w:tcPr>
          <w:p w14:paraId="757DD3F2">
            <w:pPr>
              <w:adjustRightInd w:val="0"/>
              <w:snapToGrid w:val="0"/>
              <w:ind w:left="-111" w:leftChars="-53" w:right="-113" w:rightChars="-54"/>
              <w:jc w:val="center"/>
              <w:rPr>
                <w:rFonts w:hAnsi="宋体"/>
                <w:b/>
                <w:sz w:val="24"/>
                <w:szCs w:val="24"/>
              </w:rPr>
            </w:pPr>
            <w:r>
              <w:rPr>
                <w:rFonts w:hint="eastAsia" w:ascii="宋体" w:hAnsi="宋体" w:cs="宋体"/>
                <w:b/>
                <w:bCs/>
                <w:sz w:val="24"/>
              </w:rPr>
              <w:t>合同单价</w:t>
            </w:r>
          </w:p>
        </w:tc>
      </w:tr>
      <w:tr w14:paraId="6B6D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5D365481">
            <w:pPr>
              <w:adjustRightInd w:val="0"/>
              <w:snapToGrid w:val="0"/>
              <w:jc w:val="center"/>
              <w:rPr>
                <w:rFonts w:hAnsi="宋体"/>
                <w:b/>
                <w:sz w:val="24"/>
                <w:szCs w:val="24"/>
              </w:rPr>
            </w:pPr>
            <w:r>
              <w:rPr>
                <w:rFonts w:hint="eastAsia" w:ascii="宋体" w:hAnsi="宋体" w:cs="宋体"/>
                <w:sz w:val="24"/>
              </w:rPr>
              <w:t>1</w:t>
            </w:r>
          </w:p>
        </w:tc>
        <w:tc>
          <w:tcPr>
            <w:tcW w:w="1337" w:type="dxa"/>
            <w:vAlign w:val="center"/>
          </w:tcPr>
          <w:p w14:paraId="0854BF4B">
            <w:pPr>
              <w:adjustRightInd w:val="0"/>
              <w:snapToGrid w:val="0"/>
              <w:jc w:val="center"/>
              <w:rPr>
                <w:rFonts w:hAnsi="宋体"/>
                <w:b/>
                <w:sz w:val="24"/>
                <w:szCs w:val="24"/>
              </w:rPr>
            </w:pPr>
            <w:r>
              <w:rPr>
                <w:rFonts w:hint="eastAsia" w:ascii="宋体" w:hAnsi="宋体" w:cs="宋体"/>
                <w:color w:val="000000"/>
                <w:sz w:val="24"/>
                <w:szCs w:val="24"/>
              </w:rPr>
              <w:t>库房租赁服务费用</w:t>
            </w:r>
          </w:p>
        </w:tc>
        <w:tc>
          <w:tcPr>
            <w:tcW w:w="4361" w:type="dxa"/>
            <w:vAlign w:val="center"/>
          </w:tcPr>
          <w:p w14:paraId="363B5F56">
            <w:pPr>
              <w:adjustRightInd w:val="0"/>
              <w:snapToGrid w:val="0"/>
              <w:jc w:val="left"/>
              <w:rPr>
                <w:rFonts w:hAnsi="宋体"/>
                <w:b/>
                <w:sz w:val="24"/>
                <w:szCs w:val="24"/>
              </w:rPr>
            </w:pPr>
            <w:r>
              <w:rPr>
                <w:rFonts w:hint="eastAsia" w:ascii="宋体" w:hAnsi="宋体" w:cs="宋体"/>
                <w:color w:val="000000"/>
                <w:sz w:val="24"/>
                <w:szCs w:val="24"/>
              </w:rPr>
              <w:t>库房需包含24小时UPS电源、6个月存储CCTV监控升级、温湿度控制系统，租赁费用包含相关改造及使用费用等。</w:t>
            </w:r>
          </w:p>
        </w:tc>
        <w:tc>
          <w:tcPr>
            <w:tcW w:w="1236" w:type="dxa"/>
            <w:vAlign w:val="center"/>
          </w:tcPr>
          <w:p w14:paraId="1EC53DD6">
            <w:pPr>
              <w:adjustRightInd w:val="0"/>
              <w:snapToGrid w:val="0"/>
              <w:rPr>
                <w:rFonts w:hAnsi="宋体"/>
                <w:b/>
                <w:sz w:val="24"/>
                <w:szCs w:val="24"/>
              </w:rPr>
            </w:pPr>
            <w:r>
              <w:rPr>
                <w:rFonts w:hint="eastAsia" w:ascii="宋体" w:hAnsi="宋体" w:cs="宋体"/>
                <w:sz w:val="24"/>
              </w:rPr>
              <w:t>元/月/m</w:t>
            </w:r>
            <w:r>
              <w:rPr>
                <w:rFonts w:hint="eastAsia" w:ascii="宋体" w:hAnsi="宋体" w:cs="宋体"/>
                <w:sz w:val="24"/>
                <w:vertAlign w:val="superscript"/>
              </w:rPr>
              <w:t>2</w:t>
            </w:r>
          </w:p>
        </w:tc>
        <w:tc>
          <w:tcPr>
            <w:tcW w:w="1237" w:type="dxa"/>
            <w:vAlign w:val="center"/>
          </w:tcPr>
          <w:p w14:paraId="0FE1FB2F">
            <w:pPr>
              <w:adjustRightInd w:val="0"/>
              <w:snapToGrid w:val="0"/>
              <w:rPr>
                <w:rFonts w:hAnsi="宋体"/>
                <w:b/>
                <w:sz w:val="24"/>
                <w:szCs w:val="24"/>
              </w:rPr>
            </w:pPr>
          </w:p>
        </w:tc>
      </w:tr>
      <w:tr w14:paraId="33CD7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74757DED">
            <w:pPr>
              <w:adjustRightInd w:val="0"/>
              <w:snapToGrid w:val="0"/>
              <w:jc w:val="center"/>
              <w:rPr>
                <w:rFonts w:hAnsi="宋体"/>
                <w:b/>
                <w:sz w:val="24"/>
                <w:szCs w:val="24"/>
              </w:rPr>
            </w:pPr>
            <w:r>
              <w:rPr>
                <w:rFonts w:hint="eastAsia" w:ascii="宋体" w:hAnsi="宋体" w:cs="宋体"/>
                <w:sz w:val="24"/>
              </w:rPr>
              <w:t>2</w:t>
            </w:r>
          </w:p>
        </w:tc>
        <w:tc>
          <w:tcPr>
            <w:tcW w:w="1337" w:type="dxa"/>
            <w:vAlign w:val="center"/>
          </w:tcPr>
          <w:p w14:paraId="5A6CD5EC">
            <w:pPr>
              <w:adjustRightInd w:val="0"/>
              <w:snapToGrid w:val="0"/>
              <w:jc w:val="center"/>
              <w:rPr>
                <w:rFonts w:hAnsi="宋体"/>
                <w:b/>
                <w:sz w:val="24"/>
                <w:szCs w:val="24"/>
              </w:rPr>
            </w:pPr>
            <w:r>
              <w:rPr>
                <w:rFonts w:hint="eastAsia" w:ascii="宋体" w:hAnsi="宋体" w:cs="宋体"/>
                <w:color w:val="000000"/>
                <w:sz w:val="24"/>
                <w:szCs w:val="24"/>
              </w:rPr>
              <w:t>仓库作业服务费用（不含热敏纸）</w:t>
            </w:r>
          </w:p>
        </w:tc>
        <w:tc>
          <w:tcPr>
            <w:tcW w:w="4361" w:type="dxa"/>
            <w:vAlign w:val="center"/>
          </w:tcPr>
          <w:p w14:paraId="1C579D12">
            <w:pPr>
              <w:adjustRightInd w:val="0"/>
              <w:snapToGrid w:val="0"/>
              <w:jc w:val="left"/>
              <w:rPr>
                <w:rFonts w:ascii="宋体" w:hAnsi="宋体" w:cs="宋体"/>
                <w:sz w:val="24"/>
                <w:szCs w:val="24"/>
              </w:rPr>
            </w:pPr>
            <w:r>
              <w:rPr>
                <w:rFonts w:hint="eastAsia" w:ascii="宋体" w:hAnsi="宋体" w:cs="宋体"/>
                <w:sz w:val="24"/>
                <w:szCs w:val="24"/>
              </w:rPr>
              <w:t>1.包括普通物资（宣传品、耗材等）的装卸、搬运、码垛等。</w:t>
            </w:r>
          </w:p>
          <w:p w14:paraId="68318950">
            <w:pPr>
              <w:adjustRightInd w:val="0"/>
              <w:snapToGrid w:val="0"/>
              <w:jc w:val="left"/>
              <w:rPr>
                <w:rFonts w:hAnsi="宋体"/>
                <w:b/>
                <w:sz w:val="24"/>
                <w:szCs w:val="24"/>
              </w:rPr>
            </w:pPr>
            <w:r>
              <w:rPr>
                <w:rFonts w:hint="eastAsia" w:ascii="宋体" w:hAnsi="宋体" w:cs="宋体"/>
                <w:sz w:val="24"/>
                <w:szCs w:val="24"/>
              </w:rPr>
              <w:t>2.针对终端机需单独建档、独立盘点、标签管理、定期对账等。</w:t>
            </w:r>
          </w:p>
        </w:tc>
        <w:tc>
          <w:tcPr>
            <w:tcW w:w="1236" w:type="dxa"/>
            <w:vAlign w:val="center"/>
          </w:tcPr>
          <w:p w14:paraId="4F6DB0BB">
            <w:pPr>
              <w:adjustRightInd w:val="0"/>
              <w:snapToGrid w:val="0"/>
              <w:rPr>
                <w:rFonts w:hAnsi="宋体"/>
                <w:b/>
                <w:sz w:val="24"/>
                <w:szCs w:val="24"/>
              </w:rPr>
            </w:pPr>
            <w:r>
              <w:rPr>
                <w:rFonts w:hint="eastAsia" w:ascii="宋体" w:hAnsi="宋体" w:cs="宋体"/>
                <w:sz w:val="24"/>
              </w:rPr>
              <w:t>元/kg</w:t>
            </w:r>
          </w:p>
        </w:tc>
        <w:tc>
          <w:tcPr>
            <w:tcW w:w="1237" w:type="dxa"/>
            <w:vAlign w:val="center"/>
          </w:tcPr>
          <w:p w14:paraId="3E21DAA3">
            <w:pPr>
              <w:adjustRightInd w:val="0"/>
              <w:snapToGrid w:val="0"/>
              <w:rPr>
                <w:rFonts w:hAnsi="宋体"/>
                <w:b/>
                <w:sz w:val="24"/>
                <w:szCs w:val="24"/>
              </w:rPr>
            </w:pPr>
          </w:p>
        </w:tc>
      </w:tr>
      <w:tr w14:paraId="02019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6D61D77A">
            <w:pPr>
              <w:adjustRightInd w:val="0"/>
              <w:snapToGrid w:val="0"/>
              <w:jc w:val="center"/>
              <w:rPr>
                <w:rFonts w:hAnsi="宋体"/>
                <w:b/>
                <w:sz w:val="24"/>
                <w:szCs w:val="24"/>
              </w:rPr>
            </w:pPr>
            <w:r>
              <w:rPr>
                <w:rFonts w:hint="eastAsia" w:ascii="宋体" w:hAnsi="宋体" w:cs="宋体"/>
                <w:sz w:val="24"/>
              </w:rPr>
              <w:t>3</w:t>
            </w:r>
          </w:p>
        </w:tc>
        <w:tc>
          <w:tcPr>
            <w:tcW w:w="1337" w:type="dxa"/>
            <w:vAlign w:val="center"/>
          </w:tcPr>
          <w:p w14:paraId="5D9467DE">
            <w:pPr>
              <w:adjustRightInd w:val="0"/>
              <w:snapToGrid w:val="0"/>
              <w:jc w:val="center"/>
              <w:rPr>
                <w:rFonts w:hAnsi="宋体"/>
                <w:b/>
                <w:sz w:val="24"/>
                <w:szCs w:val="24"/>
              </w:rPr>
            </w:pPr>
            <w:r>
              <w:rPr>
                <w:rFonts w:hint="eastAsia" w:ascii="宋体" w:hAnsi="宋体" w:cs="宋体"/>
                <w:color w:val="000000"/>
                <w:sz w:val="24"/>
                <w:szCs w:val="24"/>
              </w:rPr>
              <w:t>整车运输服务（</w:t>
            </w:r>
            <w:r>
              <w:rPr>
                <w:rFonts w:hint="eastAsia" w:ascii="宋体" w:hAnsi="宋体" w:cs="宋体"/>
                <w:sz w:val="24"/>
                <w:szCs w:val="24"/>
              </w:rPr>
              <w:t>即开票</w:t>
            </w:r>
            <w:r>
              <w:rPr>
                <w:rFonts w:hint="eastAsia" w:ascii="宋体" w:hAnsi="宋体" w:cs="宋体"/>
                <w:color w:val="000000"/>
                <w:sz w:val="24"/>
                <w:szCs w:val="24"/>
              </w:rPr>
              <w:t>）</w:t>
            </w:r>
          </w:p>
        </w:tc>
        <w:tc>
          <w:tcPr>
            <w:tcW w:w="4361" w:type="dxa"/>
            <w:vAlign w:val="center"/>
          </w:tcPr>
          <w:p w14:paraId="216195EE">
            <w:pPr>
              <w:adjustRightInd w:val="0"/>
              <w:snapToGrid w:val="0"/>
              <w:jc w:val="left"/>
              <w:rPr>
                <w:rFonts w:hAnsi="宋体"/>
                <w:b/>
                <w:sz w:val="24"/>
                <w:szCs w:val="24"/>
              </w:rPr>
            </w:pPr>
            <w:r>
              <w:rPr>
                <w:rFonts w:hint="eastAsia" w:ascii="宋体" w:hAnsi="宋体" w:cs="宋体"/>
                <w:sz w:val="24"/>
                <w:szCs w:val="24"/>
              </w:rPr>
              <w:t>3T厢式货车，主要用于即开票配送。</w:t>
            </w:r>
          </w:p>
        </w:tc>
        <w:tc>
          <w:tcPr>
            <w:tcW w:w="1236" w:type="dxa"/>
            <w:vAlign w:val="center"/>
          </w:tcPr>
          <w:p w14:paraId="37C17C9D">
            <w:pPr>
              <w:adjustRightInd w:val="0"/>
              <w:snapToGrid w:val="0"/>
              <w:rPr>
                <w:rFonts w:hAnsi="宋体"/>
                <w:b/>
                <w:sz w:val="24"/>
                <w:szCs w:val="24"/>
              </w:rPr>
            </w:pPr>
            <w:r>
              <w:rPr>
                <w:rFonts w:hint="eastAsia" w:ascii="宋体" w:hAnsi="宋体" w:cs="宋体"/>
                <w:sz w:val="24"/>
              </w:rPr>
              <w:t>元/km</w:t>
            </w:r>
          </w:p>
        </w:tc>
        <w:tc>
          <w:tcPr>
            <w:tcW w:w="1237" w:type="dxa"/>
            <w:vAlign w:val="center"/>
          </w:tcPr>
          <w:p w14:paraId="14D672DF">
            <w:pPr>
              <w:adjustRightInd w:val="0"/>
              <w:snapToGrid w:val="0"/>
              <w:rPr>
                <w:rFonts w:hAnsi="宋体"/>
                <w:b/>
                <w:sz w:val="24"/>
                <w:szCs w:val="24"/>
              </w:rPr>
            </w:pPr>
          </w:p>
        </w:tc>
      </w:tr>
      <w:tr w14:paraId="7E8C5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11B28001">
            <w:pPr>
              <w:adjustRightInd w:val="0"/>
              <w:snapToGrid w:val="0"/>
              <w:jc w:val="center"/>
              <w:rPr>
                <w:rFonts w:hAnsi="宋体"/>
                <w:b/>
                <w:sz w:val="24"/>
                <w:szCs w:val="24"/>
              </w:rPr>
            </w:pPr>
            <w:r>
              <w:rPr>
                <w:rFonts w:hint="eastAsia" w:ascii="宋体" w:hAnsi="宋体" w:cs="宋体"/>
                <w:sz w:val="24"/>
              </w:rPr>
              <w:t>4</w:t>
            </w:r>
          </w:p>
        </w:tc>
        <w:tc>
          <w:tcPr>
            <w:tcW w:w="1337" w:type="dxa"/>
            <w:vAlign w:val="center"/>
          </w:tcPr>
          <w:p w14:paraId="07E56C34">
            <w:pPr>
              <w:adjustRightInd w:val="0"/>
              <w:snapToGrid w:val="0"/>
              <w:jc w:val="center"/>
              <w:rPr>
                <w:rFonts w:hAnsi="宋体"/>
                <w:b/>
                <w:sz w:val="24"/>
                <w:szCs w:val="24"/>
              </w:rPr>
            </w:pPr>
            <w:r>
              <w:rPr>
                <w:rFonts w:hint="eastAsia" w:ascii="宋体" w:hAnsi="宋体" w:cs="宋体"/>
                <w:color w:val="000000"/>
                <w:sz w:val="24"/>
                <w:szCs w:val="24"/>
              </w:rPr>
              <w:t>南京市区零担运输费用1</w:t>
            </w:r>
          </w:p>
        </w:tc>
        <w:tc>
          <w:tcPr>
            <w:tcW w:w="4361" w:type="dxa"/>
            <w:vMerge w:val="restart"/>
          </w:tcPr>
          <w:p w14:paraId="0774B619">
            <w:pPr>
              <w:adjustRightInd w:val="0"/>
              <w:snapToGrid w:val="0"/>
              <w:jc w:val="left"/>
              <w:rPr>
                <w:rFonts w:ascii="宋体" w:hAnsi="宋体" w:cs="宋体"/>
                <w:color w:val="000000"/>
                <w:sz w:val="24"/>
                <w:szCs w:val="24"/>
              </w:rPr>
            </w:pPr>
            <w:r>
              <w:rPr>
                <w:rFonts w:hint="eastAsia" w:ascii="宋体" w:hAnsi="宋体" w:cs="宋体"/>
                <w:color w:val="000000"/>
                <w:sz w:val="24"/>
                <w:szCs w:val="24"/>
              </w:rPr>
              <w:t>1.实际结算金额 = MAX（最低收费，按重计费）。</w:t>
            </w:r>
            <w:r>
              <w:rPr>
                <w:rFonts w:hint="eastAsia" w:ascii="宋体" w:hAnsi="宋体" w:cs="宋体"/>
                <w:color w:val="000000"/>
                <w:sz w:val="24"/>
                <w:szCs w:val="24"/>
              </w:rPr>
              <w:br w:type="textWrapping"/>
            </w:r>
            <w:r>
              <w:rPr>
                <w:rFonts w:hint="eastAsia" w:ascii="宋体" w:hAnsi="宋体" w:cs="宋体"/>
                <w:color w:val="000000"/>
                <w:sz w:val="24"/>
                <w:szCs w:val="24"/>
              </w:rPr>
              <w:t>即：取“最低收费”与“按重量计费”两者的较高值结算。</w:t>
            </w:r>
            <w:r>
              <w:rPr>
                <w:rFonts w:hint="eastAsia" w:ascii="宋体" w:hAnsi="宋体" w:cs="宋体"/>
                <w:color w:val="000000"/>
                <w:sz w:val="24"/>
                <w:szCs w:val="24"/>
              </w:rPr>
              <w:br w:type="textWrapping"/>
            </w:r>
            <w:r>
              <w:rPr>
                <w:rFonts w:hint="eastAsia" w:ascii="宋体" w:hAnsi="宋体" w:cs="宋体"/>
                <w:color w:val="000000"/>
                <w:sz w:val="24"/>
                <w:szCs w:val="24"/>
              </w:rPr>
              <w:t>（注：本项仅含普通物资，不含热敏纸）</w:t>
            </w:r>
          </w:p>
          <w:p w14:paraId="237AA132">
            <w:pPr>
              <w:pStyle w:val="22"/>
              <w:adjustRightInd w:val="0"/>
              <w:snapToGrid w:val="0"/>
              <w:spacing w:line="360" w:lineRule="auto"/>
              <w:rPr>
                <w:rFonts w:hAnsi="宋体"/>
                <w:b/>
                <w:sz w:val="24"/>
                <w:szCs w:val="24"/>
              </w:rPr>
            </w:pPr>
            <w:r>
              <w:rPr>
                <w:rFonts w:hint="eastAsia" w:hAnsi="宋体" w:cs="宋体"/>
                <w:color w:val="000000"/>
                <w:sz w:val="24"/>
                <w:szCs w:val="24"/>
              </w:rPr>
              <w:t>2.最高限价：</w:t>
            </w:r>
            <w:r>
              <w:rPr>
                <w:rFonts w:hint="eastAsia" w:hAnsi="宋体" w:cs="宋体"/>
                <w:color w:val="000000"/>
                <w:sz w:val="24"/>
                <w:szCs w:val="24"/>
              </w:rPr>
              <w:br w:type="textWrapping"/>
            </w:r>
            <w:r>
              <w:rPr>
                <w:rFonts w:hint="eastAsia" w:hAnsi="宋体" w:cs="宋体"/>
                <w:color w:val="000000"/>
                <w:sz w:val="24"/>
                <w:szCs w:val="24"/>
              </w:rPr>
              <w:t>① 按重计费：​ ≤1.2元/kg</w:t>
            </w:r>
            <w:r>
              <w:rPr>
                <w:rFonts w:hint="eastAsia" w:hAnsi="宋体" w:cs="宋体"/>
                <w:color w:val="000000"/>
                <w:sz w:val="24"/>
                <w:szCs w:val="24"/>
              </w:rPr>
              <w:br w:type="textWrapping"/>
            </w:r>
            <w:r>
              <w:rPr>
                <w:rFonts w:hint="eastAsia" w:hAnsi="宋体" w:cs="宋体"/>
                <w:color w:val="000000"/>
                <w:sz w:val="24"/>
                <w:szCs w:val="24"/>
              </w:rPr>
              <w:t>② 最低收费：​ ≤200元/票</w:t>
            </w:r>
          </w:p>
        </w:tc>
        <w:tc>
          <w:tcPr>
            <w:tcW w:w="1236" w:type="dxa"/>
            <w:vAlign w:val="center"/>
          </w:tcPr>
          <w:p w14:paraId="3286B2E9">
            <w:pPr>
              <w:adjustRightInd w:val="0"/>
              <w:snapToGrid w:val="0"/>
              <w:rPr>
                <w:rFonts w:hAnsi="宋体"/>
                <w:b/>
                <w:sz w:val="24"/>
                <w:szCs w:val="24"/>
              </w:rPr>
            </w:pPr>
            <w:r>
              <w:rPr>
                <w:rFonts w:hint="eastAsia" w:ascii="宋体" w:hAnsi="宋体" w:cs="宋体"/>
                <w:sz w:val="24"/>
              </w:rPr>
              <w:t>元/票</w:t>
            </w:r>
          </w:p>
        </w:tc>
        <w:tc>
          <w:tcPr>
            <w:tcW w:w="1237" w:type="dxa"/>
            <w:vAlign w:val="center"/>
          </w:tcPr>
          <w:p w14:paraId="748A73E0">
            <w:pPr>
              <w:widowControl/>
              <w:adjustRightInd w:val="0"/>
              <w:snapToGrid w:val="0"/>
              <w:textAlignment w:val="center"/>
              <w:rPr>
                <w:rFonts w:hAnsi="宋体"/>
                <w:b/>
                <w:sz w:val="24"/>
                <w:szCs w:val="24"/>
              </w:rPr>
            </w:pPr>
          </w:p>
        </w:tc>
      </w:tr>
      <w:tr w14:paraId="6F39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6868A082">
            <w:pPr>
              <w:adjustRightInd w:val="0"/>
              <w:snapToGrid w:val="0"/>
              <w:jc w:val="center"/>
              <w:rPr>
                <w:rFonts w:hAnsi="宋体"/>
                <w:b/>
                <w:sz w:val="24"/>
                <w:szCs w:val="24"/>
              </w:rPr>
            </w:pPr>
            <w:r>
              <w:rPr>
                <w:rFonts w:hint="eastAsia" w:ascii="宋体" w:hAnsi="宋体" w:cs="宋体"/>
                <w:sz w:val="24"/>
              </w:rPr>
              <w:t>5</w:t>
            </w:r>
          </w:p>
        </w:tc>
        <w:tc>
          <w:tcPr>
            <w:tcW w:w="1337" w:type="dxa"/>
            <w:vAlign w:val="center"/>
          </w:tcPr>
          <w:p w14:paraId="10E29271">
            <w:pPr>
              <w:adjustRightInd w:val="0"/>
              <w:snapToGrid w:val="0"/>
              <w:jc w:val="center"/>
              <w:rPr>
                <w:rFonts w:hAnsi="宋体"/>
                <w:b/>
                <w:sz w:val="24"/>
                <w:szCs w:val="24"/>
              </w:rPr>
            </w:pPr>
            <w:r>
              <w:rPr>
                <w:rFonts w:hint="eastAsia" w:ascii="宋体" w:hAnsi="宋体" w:cs="宋体"/>
                <w:color w:val="000000"/>
                <w:sz w:val="24"/>
                <w:szCs w:val="24"/>
              </w:rPr>
              <w:t>南京市区零担运输费用2</w:t>
            </w:r>
          </w:p>
        </w:tc>
        <w:tc>
          <w:tcPr>
            <w:tcW w:w="4361" w:type="dxa"/>
            <w:vMerge w:val="continue"/>
          </w:tcPr>
          <w:p w14:paraId="5F18AC26">
            <w:pPr>
              <w:pStyle w:val="22"/>
              <w:adjustRightInd w:val="0"/>
              <w:snapToGrid w:val="0"/>
              <w:spacing w:line="360" w:lineRule="auto"/>
              <w:rPr>
                <w:rFonts w:hAnsi="宋体"/>
                <w:b/>
                <w:sz w:val="24"/>
                <w:szCs w:val="24"/>
              </w:rPr>
            </w:pPr>
          </w:p>
        </w:tc>
        <w:tc>
          <w:tcPr>
            <w:tcW w:w="1236" w:type="dxa"/>
            <w:vAlign w:val="center"/>
          </w:tcPr>
          <w:p w14:paraId="5091295C">
            <w:pPr>
              <w:adjustRightInd w:val="0"/>
              <w:snapToGrid w:val="0"/>
              <w:rPr>
                <w:rFonts w:hAnsi="宋体"/>
                <w:b/>
                <w:sz w:val="24"/>
                <w:szCs w:val="24"/>
              </w:rPr>
            </w:pPr>
            <w:r>
              <w:rPr>
                <w:rFonts w:hint="eastAsia" w:ascii="宋体" w:hAnsi="宋体" w:cs="宋体"/>
                <w:sz w:val="24"/>
              </w:rPr>
              <w:t>元/kg</w:t>
            </w:r>
          </w:p>
        </w:tc>
        <w:tc>
          <w:tcPr>
            <w:tcW w:w="1237" w:type="dxa"/>
            <w:vAlign w:val="center"/>
          </w:tcPr>
          <w:p w14:paraId="6BEC9C6A">
            <w:pPr>
              <w:widowControl/>
              <w:adjustRightInd w:val="0"/>
              <w:snapToGrid w:val="0"/>
              <w:textAlignment w:val="center"/>
              <w:rPr>
                <w:rFonts w:hAnsi="宋体"/>
                <w:b/>
                <w:sz w:val="24"/>
                <w:szCs w:val="24"/>
              </w:rPr>
            </w:pPr>
          </w:p>
        </w:tc>
      </w:tr>
      <w:tr w14:paraId="3A28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0C1F4525">
            <w:pPr>
              <w:adjustRightInd w:val="0"/>
              <w:snapToGrid w:val="0"/>
              <w:jc w:val="center"/>
              <w:rPr>
                <w:rFonts w:hAnsi="宋体"/>
                <w:b/>
                <w:sz w:val="24"/>
                <w:szCs w:val="24"/>
              </w:rPr>
            </w:pPr>
            <w:r>
              <w:rPr>
                <w:rFonts w:hint="eastAsia" w:ascii="宋体" w:hAnsi="宋体" w:cs="宋体"/>
                <w:sz w:val="24"/>
              </w:rPr>
              <w:t>6</w:t>
            </w:r>
          </w:p>
        </w:tc>
        <w:tc>
          <w:tcPr>
            <w:tcW w:w="1337" w:type="dxa"/>
            <w:vAlign w:val="center"/>
          </w:tcPr>
          <w:p w14:paraId="26AC6366">
            <w:pPr>
              <w:adjustRightInd w:val="0"/>
              <w:snapToGrid w:val="0"/>
              <w:jc w:val="center"/>
              <w:rPr>
                <w:rFonts w:hAnsi="宋体"/>
                <w:b/>
                <w:sz w:val="24"/>
                <w:szCs w:val="24"/>
              </w:rPr>
            </w:pPr>
            <w:r>
              <w:rPr>
                <w:rFonts w:hint="eastAsia" w:ascii="宋体" w:hAnsi="宋体" w:cs="宋体"/>
                <w:color w:val="000000"/>
                <w:sz w:val="24"/>
                <w:szCs w:val="24"/>
              </w:rPr>
              <w:t>地级市零担运输费用1</w:t>
            </w:r>
          </w:p>
        </w:tc>
        <w:tc>
          <w:tcPr>
            <w:tcW w:w="4361" w:type="dxa"/>
            <w:vMerge w:val="restart"/>
          </w:tcPr>
          <w:p w14:paraId="3E6E1A6B">
            <w:pPr>
              <w:adjustRightInd w:val="0"/>
              <w:snapToGrid w:val="0"/>
              <w:jc w:val="left"/>
              <w:rPr>
                <w:rFonts w:ascii="宋体" w:hAnsi="宋体" w:cs="宋体"/>
                <w:color w:val="000000"/>
                <w:sz w:val="24"/>
                <w:szCs w:val="24"/>
              </w:rPr>
            </w:pPr>
            <w:r>
              <w:rPr>
                <w:rFonts w:hint="eastAsia" w:ascii="宋体" w:hAnsi="宋体" w:cs="宋体"/>
                <w:color w:val="000000"/>
                <w:sz w:val="24"/>
                <w:szCs w:val="24"/>
              </w:rPr>
              <w:t>1.实际结算金额 = MAX（最低收费，按重计费）。</w:t>
            </w:r>
            <w:r>
              <w:rPr>
                <w:rFonts w:hint="eastAsia" w:ascii="宋体" w:hAnsi="宋体" w:cs="宋体"/>
                <w:color w:val="000000"/>
                <w:sz w:val="24"/>
                <w:szCs w:val="24"/>
              </w:rPr>
              <w:br w:type="textWrapping"/>
            </w:r>
            <w:r>
              <w:rPr>
                <w:rFonts w:hint="eastAsia" w:ascii="宋体" w:hAnsi="宋体" w:cs="宋体"/>
                <w:color w:val="000000"/>
                <w:sz w:val="24"/>
                <w:szCs w:val="24"/>
              </w:rPr>
              <w:t>即：取“最低收费”与“按重量计费”两者的较高值结算。</w:t>
            </w:r>
            <w:r>
              <w:rPr>
                <w:rFonts w:hint="eastAsia" w:ascii="宋体" w:hAnsi="宋体" w:cs="宋体"/>
                <w:color w:val="000000"/>
                <w:sz w:val="24"/>
                <w:szCs w:val="24"/>
              </w:rPr>
              <w:br w:type="textWrapping"/>
            </w:r>
            <w:r>
              <w:rPr>
                <w:rFonts w:hint="eastAsia" w:ascii="宋体" w:hAnsi="宋体" w:cs="宋体"/>
                <w:color w:val="000000"/>
                <w:sz w:val="24"/>
                <w:szCs w:val="24"/>
              </w:rPr>
              <w:t>（注：本项仅含普通物资，不含热敏纸）</w:t>
            </w:r>
          </w:p>
          <w:p w14:paraId="20F856F6">
            <w:pPr>
              <w:pStyle w:val="22"/>
              <w:adjustRightInd w:val="0"/>
              <w:snapToGrid w:val="0"/>
              <w:spacing w:line="360" w:lineRule="auto"/>
              <w:rPr>
                <w:rFonts w:hAnsi="宋体"/>
                <w:b/>
                <w:sz w:val="24"/>
                <w:szCs w:val="24"/>
              </w:rPr>
            </w:pPr>
            <w:r>
              <w:rPr>
                <w:rFonts w:hint="eastAsia" w:hAnsi="宋体" w:cs="宋体"/>
                <w:color w:val="000000"/>
                <w:sz w:val="24"/>
                <w:szCs w:val="24"/>
              </w:rPr>
              <w:t>2.最高限价：</w:t>
            </w:r>
            <w:r>
              <w:rPr>
                <w:rFonts w:hint="eastAsia" w:hAnsi="宋体" w:cs="宋体"/>
                <w:color w:val="000000"/>
                <w:sz w:val="24"/>
                <w:szCs w:val="24"/>
              </w:rPr>
              <w:br w:type="textWrapping"/>
            </w:r>
            <w:r>
              <w:rPr>
                <w:rFonts w:hint="eastAsia" w:hAnsi="宋体" w:cs="宋体"/>
                <w:color w:val="000000"/>
                <w:sz w:val="24"/>
                <w:szCs w:val="24"/>
              </w:rPr>
              <w:t>① 按重计费：​ ≤1.5元/kg</w:t>
            </w:r>
            <w:r>
              <w:rPr>
                <w:rFonts w:hint="eastAsia" w:hAnsi="宋体" w:cs="宋体"/>
                <w:color w:val="000000"/>
                <w:sz w:val="24"/>
                <w:szCs w:val="24"/>
              </w:rPr>
              <w:br w:type="textWrapping"/>
            </w:r>
            <w:r>
              <w:rPr>
                <w:rFonts w:hint="eastAsia" w:hAnsi="宋体" w:cs="宋体"/>
                <w:color w:val="000000"/>
                <w:sz w:val="24"/>
                <w:szCs w:val="24"/>
              </w:rPr>
              <w:t>② 最低收费：​ ≤400元/票</w:t>
            </w:r>
          </w:p>
        </w:tc>
        <w:tc>
          <w:tcPr>
            <w:tcW w:w="1236" w:type="dxa"/>
            <w:vAlign w:val="center"/>
          </w:tcPr>
          <w:p w14:paraId="722CD7E8">
            <w:pPr>
              <w:adjustRightInd w:val="0"/>
              <w:snapToGrid w:val="0"/>
              <w:rPr>
                <w:rFonts w:hAnsi="宋体"/>
                <w:b/>
                <w:sz w:val="24"/>
                <w:szCs w:val="24"/>
              </w:rPr>
            </w:pPr>
            <w:r>
              <w:rPr>
                <w:rFonts w:hint="eastAsia" w:ascii="宋体" w:hAnsi="宋体" w:cs="宋体"/>
                <w:sz w:val="24"/>
              </w:rPr>
              <w:t>元/票</w:t>
            </w:r>
          </w:p>
        </w:tc>
        <w:tc>
          <w:tcPr>
            <w:tcW w:w="1237" w:type="dxa"/>
            <w:vAlign w:val="center"/>
          </w:tcPr>
          <w:p w14:paraId="3D63D67E">
            <w:pPr>
              <w:widowControl/>
              <w:adjustRightInd w:val="0"/>
              <w:snapToGrid w:val="0"/>
              <w:textAlignment w:val="center"/>
              <w:rPr>
                <w:rFonts w:hAnsi="宋体"/>
                <w:b/>
                <w:sz w:val="24"/>
                <w:szCs w:val="24"/>
              </w:rPr>
            </w:pPr>
          </w:p>
        </w:tc>
      </w:tr>
      <w:tr w14:paraId="1AD47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3DC2CE3A">
            <w:pPr>
              <w:adjustRightInd w:val="0"/>
              <w:snapToGrid w:val="0"/>
              <w:jc w:val="center"/>
              <w:rPr>
                <w:rFonts w:hAnsi="宋体"/>
                <w:b/>
                <w:sz w:val="24"/>
                <w:szCs w:val="24"/>
              </w:rPr>
            </w:pPr>
            <w:r>
              <w:rPr>
                <w:rFonts w:hint="eastAsia" w:ascii="宋体" w:hAnsi="宋体" w:cs="宋体"/>
                <w:sz w:val="24"/>
              </w:rPr>
              <w:t>7</w:t>
            </w:r>
          </w:p>
        </w:tc>
        <w:tc>
          <w:tcPr>
            <w:tcW w:w="1337" w:type="dxa"/>
            <w:vAlign w:val="center"/>
          </w:tcPr>
          <w:p w14:paraId="756E4A94">
            <w:pPr>
              <w:adjustRightInd w:val="0"/>
              <w:snapToGrid w:val="0"/>
              <w:jc w:val="center"/>
              <w:rPr>
                <w:rFonts w:hAnsi="宋体"/>
                <w:b/>
                <w:sz w:val="24"/>
                <w:szCs w:val="24"/>
              </w:rPr>
            </w:pPr>
            <w:r>
              <w:rPr>
                <w:rFonts w:hint="eastAsia" w:ascii="宋体" w:hAnsi="宋体" w:cs="宋体"/>
                <w:color w:val="000000"/>
                <w:sz w:val="24"/>
                <w:szCs w:val="24"/>
              </w:rPr>
              <w:t>地级市零担运输费用2</w:t>
            </w:r>
          </w:p>
        </w:tc>
        <w:tc>
          <w:tcPr>
            <w:tcW w:w="4361" w:type="dxa"/>
            <w:vMerge w:val="continue"/>
          </w:tcPr>
          <w:p w14:paraId="233002DC">
            <w:pPr>
              <w:pStyle w:val="22"/>
              <w:adjustRightInd w:val="0"/>
              <w:snapToGrid w:val="0"/>
              <w:spacing w:line="360" w:lineRule="auto"/>
              <w:rPr>
                <w:rFonts w:hAnsi="宋体"/>
                <w:b/>
                <w:sz w:val="24"/>
                <w:szCs w:val="24"/>
              </w:rPr>
            </w:pPr>
          </w:p>
        </w:tc>
        <w:tc>
          <w:tcPr>
            <w:tcW w:w="1236" w:type="dxa"/>
            <w:vAlign w:val="center"/>
          </w:tcPr>
          <w:p w14:paraId="03EA6567">
            <w:pPr>
              <w:adjustRightInd w:val="0"/>
              <w:snapToGrid w:val="0"/>
              <w:rPr>
                <w:rFonts w:hAnsi="宋体"/>
                <w:b/>
                <w:sz w:val="24"/>
                <w:szCs w:val="24"/>
              </w:rPr>
            </w:pPr>
            <w:r>
              <w:rPr>
                <w:rFonts w:hint="eastAsia" w:ascii="宋体" w:hAnsi="宋体" w:cs="宋体"/>
                <w:sz w:val="24"/>
              </w:rPr>
              <w:t>元/kg</w:t>
            </w:r>
          </w:p>
        </w:tc>
        <w:tc>
          <w:tcPr>
            <w:tcW w:w="1237" w:type="dxa"/>
            <w:vAlign w:val="center"/>
          </w:tcPr>
          <w:p w14:paraId="5240CBBA">
            <w:pPr>
              <w:adjustRightInd w:val="0"/>
              <w:snapToGrid w:val="0"/>
              <w:rPr>
                <w:rFonts w:hAnsi="宋体"/>
                <w:b/>
                <w:sz w:val="24"/>
                <w:szCs w:val="24"/>
              </w:rPr>
            </w:pPr>
          </w:p>
        </w:tc>
      </w:tr>
      <w:tr w14:paraId="4FF1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640AE697">
            <w:pPr>
              <w:adjustRightInd w:val="0"/>
              <w:snapToGrid w:val="0"/>
              <w:jc w:val="center"/>
              <w:rPr>
                <w:rFonts w:hAnsi="宋体"/>
                <w:b/>
                <w:sz w:val="24"/>
                <w:szCs w:val="24"/>
              </w:rPr>
            </w:pPr>
            <w:r>
              <w:rPr>
                <w:rFonts w:hint="eastAsia" w:ascii="宋体" w:hAnsi="宋体" w:cs="宋体"/>
                <w:sz w:val="24"/>
              </w:rPr>
              <w:t>8</w:t>
            </w:r>
          </w:p>
        </w:tc>
        <w:tc>
          <w:tcPr>
            <w:tcW w:w="1337" w:type="dxa"/>
            <w:vAlign w:val="center"/>
          </w:tcPr>
          <w:p w14:paraId="113D20F9">
            <w:pPr>
              <w:adjustRightInd w:val="0"/>
              <w:snapToGrid w:val="0"/>
              <w:jc w:val="center"/>
              <w:rPr>
                <w:rFonts w:hAnsi="宋体"/>
                <w:b/>
                <w:sz w:val="24"/>
                <w:szCs w:val="24"/>
              </w:rPr>
            </w:pPr>
            <w:r>
              <w:rPr>
                <w:rFonts w:hint="eastAsia" w:ascii="宋体" w:hAnsi="宋体" w:cs="宋体"/>
                <w:color w:val="000000"/>
                <w:sz w:val="24"/>
                <w:szCs w:val="24"/>
              </w:rPr>
              <w:t>县级市和县城零担运输费用1</w:t>
            </w:r>
          </w:p>
        </w:tc>
        <w:tc>
          <w:tcPr>
            <w:tcW w:w="4361" w:type="dxa"/>
            <w:vMerge w:val="restart"/>
            <w:vAlign w:val="center"/>
          </w:tcPr>
          <w:p w14:paraId="7126BC6F">
            <w:pPr>
              <w:adjustRightInd w:val="0"/>
              <w:snapToGrid w:val="0"/>
              <w:jc w:val="left"/>
              <w:rPr>
                <w:rFonts w:ascii="宋体" w:hAnsi="宋体" w:cs="宋体"/>
                <w:color w:val="000000"/>
                <w:sz w:val="24"/>
                <w:szCs w:val="24"/>
              </w:rPr>
            </w:pPr>
            <w:r>
              <w:rPr>
                <w:rFonts w:hint="eastAsia" w:ascii="宋体" w:hAnsi="宋体" w:cs="宋体"/>
                <w:color w:val="000000"/>
                <w:sz w:val="24"/>
                <w:szCs w:val="24"/>
              </w:rPr>
              <w:t>1.实际结算金额 = MAX（最低收费，按重计费）。</w:t>
            </w:r>
            <w:r>
              <w:rPr>
                <w:rFonts w:hint="eastAsia" w:ascii="宋体" w:hAnsi="宋体" w:cs="宋体"/>
                <w:color w:val="000000"/>
                <w:sz w:val="24"/>
                <w:szCs w:val="24"/>
              </w:rPr>
              <w:br w:type="textWrapping"/>
            </w:r>
            <w:r>
              <w:rPr>
                <w:rFonts w:hint="eastAsia" w:ascii="宋体" w:hAnsi="宋体" w:cs="宋体"/>
                <w:color w:val="000000"/>
                <w:sz w:val="24"/>
                <w:szCs w:val="24"/>
              </w:rPr>
              <w:t>即：取“最低收费”与“按重量计费”两者的较高值结算。</w:t>
            </w:r>
            <w:r>
              <w:rPr>
                <w:rFonts w:hint="eastAsia" w:ascii="宋体" w:hAnsi="宋体" w:cs="宋体"/>
                <w:color w:val="000000"/>
                <w:sz w:val="24"/>
                <w:szCs w:val="24"/>
              </w:rPr>
              <w:br w:type="textWrapping"/>
            </w:r>
            <w:r>
              <w:rPr>
                <w:rFonts w:hint="eastAsia" w:ascii="宋体" w:hAnsi="宋体" w:cs="宋体"/>
                <w:color w:val="000000"/>
                <w:sz w:val="24"/>
                <w:szCs w:val="24"/>
              </w:rPr>
              <w:t>（注：本项仅含普通物资，不含热敏纸）</w:t>
            </w:r>
          </w:p>
          <w:p w14:paraId="7617CF34">
            <w:pPr>
              <w:adjustRightInd w:val="0"/>
              <w:snapToGrid w:val="0"/>
              <w:jc w:val="left"/>
              <w:rPr>
                <w:rFonts w:ascii="宋体" w:hAnsi="宋体" w:cs="宋体"/>
                <w:color w:val="000000"/>
                <w:sz w:val="24"/>
                <w:szCs w:val="24"/>
              </w:rPr>
            </w:pPr>
            <w:r>
              <w:rPr>
                <w:rFonts w:hint="eastAsia" w:ascii="宋体" w:hAnsi="宋体" w:cs="宋体"/>
                <w:color w:val="000000"/>
                <w:sz w:val="24"/>
                <w:szCs w:val="24"/>
              </w:rPr>
              <w:t>2.最高限价：</w:t>
            </w:r>
            <w:r>
              <w:rPr>
                <w:rFonts w:hint="eastAsia" w:ascii="宋体" w:hAnsi="宋体" w:cs="宋体"/>
                <w:color w:val="000000"/>
                <w:sz w:val="24"/>
                <w:szCs w:val="24"/>
              </w:rPr>
              <w:br w:type="textWrapping"/>
            </w:r>
            <w:r>
              <w:rPr>
                <w:rFonts w:hint="eastAsia" w:ascii="宋体" w:hAnsi="宋体" w:cs="宋体"/>
                <w:color w:val="000000"/>
                <w:sz w:val="24"/>
                <w:szCs w:val="24"/>
              </w:rPr>
              <w:t>① 按重计费：​ ≤1.7元/kg</w:t>
            </w:r>
            <w:r>
              <w:rPr>
                <w:rFonts w:hint="eastAsia" w:ascii="宋体" w:hAnsi="宋体" w:cs="宋体"/>
                <w:color w:val="000000"/>
                <w:sz w:val="24"/>
                <w:szCs w:val="24"/>
              </w:rPr>
              <w:br w:type="textWrapping"/>
            </w:r>
            <w:r>
              <w:rPr>
                <w:rFonts w:hint="eastAsia" w:ascii="宋体" w:hAnsi="宋体" w:cs="宋体"/>
                <w:color w:val="000000"/>
                <w:sz w:val="24"/>
                <w:szCs w:val="24"/>
              </w:rPr>
              <w:t>② 最低收费：​ ≤600元/票</w:t>
            </w:r>
          </w:p>
        </w:tc>
        <w:tc>
          <w:tcPr>
            <w:tcW w:w="1236" w:type="dxa"/>
            <w:vAlign w:val="center"/>
          </w:tcPr>
          <w:p w14:paraId="0A74F8DA">
            <w:pPr>
              <w:adjustRightInd w:val="0"/>
              <w:snapToGrid w:val="0"/>
              <w:rPr>
                <w:rFonts w:hAnsi="宋体"/>
                <w:b/>
                <w:sz w:val="24"/>
                <w:szCs w:val="24"/>
              </w:rPr>
            </w:pPr>
            <w:r>
              <w:rPr>
                <w:rFonts w:hint="eastAsia" w:ascii="宋体" w:hAnsi="宋体" w:cs="宋体"/>
                <w:sz w:val="24"/>
              </w:rPr>
              <w:t>元/kg</w:t>
            </w:r>
          </w:p>
        </w:tc>
        <w:tc>
          <w:tcPr>
            <w:tcW w:w="1237" w:type="dxa"/>
            <w:vAlign w:val="center"/>
          </w:tcPr>
          <w:p w14:paraId="447B7985">
            <w:pPr>
              <w:adjustRightInd w:val="0"/>
              <w:snapToGrid w:val="0"/>
              <w:rPr>
                <w:rFonts w:hAnsi="宋体"/>
                <w:b/>
                <w:sz w:val="24"/>
                <w:szCs w:val="24"/>
              </w:rPr>
            </w:pPr>
          </w:p>
        </w:tc>
      </w:tr>
      <w:tr w14:paraId="064CF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06296DC5">
            <w:pPr>
              <w:adjustRightInd w:val="0"/>
              <w:snapToGrid w:val="0"/>
              <w:jc w:val="center"/>
              <w:rPr>
                <w:rFonts w:hAnsi="宋体"/>
                <w:b/>
                <w:sz w:val="24"/>
                <w:szCs w:val="24"/>
              </w:rPr>
            </w:pPr>
            <w:r>
              <w:rPr>
                <w:rFonts w:hint="eastAsia" w:ascii="宋体" w:hAnsi="宋体" w:cs="宋体"/>
                <w:sz w:val="24"/>
              </w:rPr>
              <w:t>9</w:t>
            </w:r>
          </w:p>
        </w:tc>
        <w:tc>
          <w:tcPr>
            <w:tcW w:w="1337" w:type="dxa"/>
            <w:vAlign w:val="center"/>
          </w:tcPr>
          <w:p w14:paraId="7E64D4A9">
            <w:pPr>
              <w:adjustRightInd w:val="0"/>
              <w:snapToGrid w:val="0"/>
              <w:jc w:val="center"/>
              <w:rPr>
                <w:rFonts w:hAnsi="宋体"/>
                <w:b/>
                <w:sz w:val="24"/>
                <w:szCs w:val="24"/>
              </w:rPr>
            </w:pPr>
            <w:r>
              <w:rPr>
                <w:rFonts w:hint="eastAsia" w:ascii="宋体" w:hAnsi="宋体" w:cs="宋体"/>
                <w:color w:val="000000"/>
                <w:sz w:val="24"/>
                <w:szCs w:val="24"/>
              </w:rPr>
              <w:t>县级市和县城零担运输费用2</w:t>
            </w:r>
          </w:p>
        </w:tc>
        <w:tc>
          <w:tcPr>
            <w:tcW w:w="4361" w:type="dxa"/>
            <w:vMerge w:val="continue"/>
          </w:tcPr>
          <w:p w14:paraId="7D3F5D23">
            <w:pPr>
              <w:pStyle w:val="22"/>
              <w:adjustRightInd w:val="0"/>
              <w:snapToGrid w:val="0"/>
              <w:spacing w:line="360" w:lineRule="auto"/>
              <w:rPr>
                <w:rFonts w:hAnsi="宋体"/>
                <w:b/>
                <w:sz w:val="24"/>
                <w:szCs w:val="24"/>
              </w:rPr>
            </w:pPr>
          </w:p>
        </w:tc>
        <w:tc>
          <w:tcPr>
            <w:tcW w:w="1236" w:type="dxa"/>
            <w:vAlign w:val="center"/>
          </w:tcPr>
          <w:p w14:paraId="02E510C3">
            <w:pPr>
              <w:adjustRightInd w:val="0"/>
              <w:snapToGrid w:val="0"/>
              <w:rPr>
                <w:rFonts w:hAnsi="宋体"/>
                <w:b/>
                <w:sz w:val="24"/>
                <w:szCs w:val="24"/>
              </w:rPr>
            </w:pPr>
            <w:r>
              <w:rPr>
                <w:rFonts w:hint="eastAsia" w:ascii="宋体" w:hAnsi="宋体" w:cs="宋体"/>
                <w:sz w:val="24"/>
              </w:rPr>
              <w:t>元/票</w:t>
            </w:r>
          </w:p>
        </w:tc>
        <w:tc>
          <w:tcPr>
            <w:tcW w:w="1237" w:type="dxa"/>
            <w:vAlign w:val="center"/>
          </w:tcPr>
          <w:p w14:paraId="28C0C4DC">
            <w:pPr>
              <w:adjustRightInd w:val="0"/>
              <w:snapToGrid w:val="0"/>
              <w:rPr>
                <w:rFonts w:hAnsi="宋体"/>
                <w:b/>
                <w:sz w:val="24"/>
                <w:szCs w:val="24"/>
              </w:rPr>
            </w:pPr>
          </w:p>
        </w:tc>
      </w:tr>
      <w:tr w14:paraId="0CFC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50FA7402">
            <w:pPr>
              <w:adjustRightInd w:val="0"/>
              <w:snapToGrid w:val="0"/>
              <w:jc w:val="center"/>
              <w:rPr>
                <w:rFonts w:hAnsi="宋体"/>
                <w:b/>
                <w:sz w:val="24"/>
                <w:szCs w:val="24"/>
              </w:rPr>
            </w:pPr>
            <w:r>
              <w:rPr>
                <w:rFonts w:hint="eastAsia" w:ascii="宋体" w:hAnsi="宋体" w:cs="宋体"/>
                <w:sz w:val="24"/>
              </w:rPr>
              <w:t>10</w:t>
            </w:r>
          </w:p>
        </w:tc>
        <w:tc>
          <w:tcPr>
            <w:tcW w:w="1337" w:type="dxa"/>
            <w:vAlign w:val="center"/>
          </w:tcPr>
          <w:p w14:paraId="33416098">
            <w:pPr>
              <w:adjustRightInd w:val="0"/>
              <w:snapToGrid w:val="0"/>
              <w:jc w:val="center"/>
              <w:rPr>
                <w:rFonts w:hAnsi="宋体"/>
                <w:b/>
                <w:sz w:val="24"/>
                <w:szCs w:val="24"/>
              </w:rPr>
            </w:pPr>
            <w:r>
              <w:rPr>
                <w:rFonts w:hint="eastAsia" w:ascii="宋体" w:hAnsi="宋体" w:cs="宋体"/>
                <w:color w:val="000000"/>
                <w:sz w:val="24"/>
                <w:szCs w:val="24"/>
              </w:rPr>
              <w:t>热敏纸物流全包服务费</w:t>
            </w:r>
          </w:p>
        </w:tc>
        <w:tc>
          <w:tcPr>
            <w:tcW w:w="4361" w:type="dxa"/>
          </w:tcPr>
          <w:p w14:paraId="6E238853">
            <w:pPr>
              <w:pStyle w:val="22"/>
              <w:adjustRightInd w:val="0"/>
              <w:snapToGrid w:val="0"/>
              <w:spacing w:line="360" w:lineRule="auto"/>
              <w:rPr>
                <w:rFonts w:hAnsi="宋体"/>
                <w:b/>
                <w:sz w:val="24"/>
                <w:szCs w:val="24"/>
              </w:rPr>
            </w:pPr>
            <w:r>
              <w:rPr>
                <w:rFonts w:hint="eastAsia" w:hAnsi="宋体" w:cs="宋体"/>
                <w:color w:val="000000"/>
                <w:sz w:val="24"/>
                <w:szCs w:val="24"/>
              </w:rPr>
              <w:t>包括热敏纸仓储、分拣包装、全省配送运费、物流系统建设及运营服务、客服服务、算法优化等。</w:t>
            </w:r>
          </w:p>
        </w:tc>
        <w:tc>
          <w:tcPr>
            <w:tcW w:w="1236" w:type="dxa"/>
            <w:vAlign w:val="center"/>
          </w:tcPr>
          <w:p w14:paraId="6431C193">
            <w:pPr>
              <w:adjustRightInd w:val="0"/>
              <w:snapToGrid w:val="0"/>
              <w:rPr>
                <w:rFonts w:hAnsi="宋体"/>
                <w:b/>
                <w:sz w:val="24"/>
                <w:szCs w:val="24"/>
              </w:rPr>
            </w:pPr>
            <w:r>
              <w:rPr>
                <w:rFonts w:hint="eastAsia" w:ascii="宋体" w:hAnsi="宋体" w:cs="宋体"/>
                <w:sz w:val="24"/>
              </w:rPr>
              <w:t>元/箱</w:t>
            </w:r>
          </w:p>
        </w:tc>
        <w:tc>
          <w:tcPr>
            <w:tcW w:w="1237" w:type="dxa"/>
            <w:vAlign w:val="center"/>
          </w:tcPr>
          <w:p w14:paraId="63DC141E">
            <w:pPr>
              <w:adjustRightInd w:val="0"/>
              <w:snapToGrid w:val="0"/>
              <w:rPr>
                <w:rFonts w:hAnsi="宋体"/>
                <w:b/>
                <w:sz w:val="24"/>
                <w:szCs w:val="24"/>
              </w:rPr>
            </w:pPr>
          </w:p>
        </w:tc>
      </w:tr>
    </w:tbl>
    <w:p w14:paraId="56D5B9A0">
      <w:pPr>
        <w:pStyle w:val="22"/>
        <w:adjustRightInd w:val="0"/>
        <w:snapToGrid w:val="0"/>
        <w:spacing w:line="360" w:lineRule="auto"/>
        <w:rPr>
          <w:rFonts w:hAnsi="宋体"/>
          <w:b/>
          <w:sz w:val="24"/>
          <w:szCs w:val="24"/>
        </w:rPr>
      </w:pPr>
    </w:p>
    <w:p w14:paraId="603F1E04">
      <w:pPr>
        <w:pStyle w:val="22"/>
        <w:adjustRightInd w:val="0"/>
        <w:snapToGrid w:val="0"/>
        <w:spacing w:line="360" w:lineRule="auto"/>
        <w:rPr>
          <w:rFonts w:hAnsi="宋体"/>
          <w:b/>
          <w:sz w:val="24"/>
          <w:szCs w:val="24"/>
        </w:rPr>
      </w:pPr>
      <w:r>
        <w:rPr>
          <w:rFonts w:hint="eastAsia" w:hAnsi="宋体"/>
          <w:b/>
          <w:sz w:val="24"/>
          <w:szCs w:val="24"/>
        </w:rPr>
        <w:t>备注：仓库作业费包含装卸、分拣包装费、库房管理、串号扫描、系统对接等所有费用</w:t>
      </w:r>
    </w:p>
    <w:p w14:paraId="706F790F">
      <w:pPr>
        <w:pStyle w:val="22"/>
        <w:adjustRightInd w:val="0"/>
        <w:snapToGrid w:val="0"/>
        <w:spacing w:line="360" w:lineRule="auto"/>
        <w:rPr>
          <w:rFonts w:hAnsi="宋体"/>
          <w:b/>
          <w:sz w:val="24"/>
          <w:szCs w:val="24"/>
        </w:rPr>
      </w:pPr>
      <w:r>
        <w:rPr>
          <w:rFonts w:hAnsi="宋体"/>
          <w:b/>
          <w:sz w:val="24"/>
          <w:szCs w:val="24"/>
        </w:rPr>
        <w:t>三、技术资料</w:t>
      </w:r>
    </w:p>
    <w:p w14:paraId="7F842D15">
      <w:pPr>
        <w:pStyle w:val="22"/>
        <w:adjustRightInd w:val="0"/>
        <w:snapToGrid w:val="0"/>
        <w:spacing w:line="360" w:lineRule="auto"/>
        <w:rPr>
          <w:rFonts w:hAnsi="宋体"/>
          <w:sz w:val="24"/>
          <w:szCs w:val="24"/>
        </w:rPr>
      </w:pPr>
      <w:r>
        <w:rPr>
          <w:rFonts w:hint="eastAsia" w:hAnsi="宋体"/>
          <w:sz w:val="24"/>
          <w:szCs w:val="24"/>
        </w:rPr>
        <w:t>3.1乙方应按招标文件规定的时间向甲方提供服务（包含与服务相关的产品）的有关技术资料。</w:t>
      </w:r>
    </w:p>
    <w:p w14:paraId="0CC2698E">
      <w:pPr>
        <w:pStyle w:val="22"/>
        <w:adjustRightInd w:val="0"/>
        <w:snapToGrid w:val="0"/>
        <w:spacing w:line="360" w:lineRule="auto"/>
        <w:rPr>
          <w:rFonts w:hAnsi="宋体"/>
          <w:sz w:val="24"/>
          <w:szCs w:val="24"/>
        </w:rPr>
      </w:pPr>
      <w:r>
        <w:rPr>
          <w:rFonts w:hint="eastAsia" w:hAnsi="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95827DB">
      <w:pPr>
        <w:pStyle w:val="22"/>
        <w:adjustRightInd w:val="0"/>
        <w:snapToGrid w:val="0"/>
        <w:spacing w:line="360" w:lineRule="auto"/>
        <w:ind w:left="412" w:hanging="412" w:hangingChars="171"/>
        <w:rPr>
          <w:rFonts w:hAnsi="宋体"/>
          <w:b/>
          <w:sz w:val="24"/>
          <w:szCs w:val="24"/>
        </w:rPr>
      </w:pPr>
      <w:r>
        <w:rPr>
          <w:rFonts w:hAnsi="宋体"/>
          <w:b/>
          <w:sz w:val="24"/>
          <w:szCs w:val="24"/>
        </w:rPr>
        <w:t>四、知识产权</w:t>
      </w:r>
    </w:p>
    <w:p w14:paraId="65FDCA08">
      <w:pPr>
        <w:pStyle w:val="22"/>
        <w:adjustRightInd w:val="0"/>
        <w:snapToGrid w:val="0"/>
        <w:spacing w:line="360" w:lineRule="auto"/>
        <w:rPr>
          <w:rFonts w:hAnsi="宋体"/>
          <w:sz w:val="24"/>
          <w:szCs w:val="24"/>
        </w:rPr>
      </w:pPr>
      <w:r>
        <w:rPr>
          <w:rFonts w:hint="eastAsia" w:hAnsi="宋体"/>
          <w:sz w:val="24"/>
          <w:szCs w:val="24"/>
        </w:rPr>
        <w:t>4.1乙方应保证甲方在使用、接受本合同服务（包含与服务相关的产品）或其任何一部分时不受第三方提出侵犯其专利权、版权、商标权和工业设计权等知识产权的起诉。除非甲方原因（如指定终端管理系统、提供信息材料等）导致，一旦出现侵权，由乙方负全部责任。</w:t>
      </w:r>
    </w:p>
    <w:p w14:paraId="543C8E10">
      <w:pPr>
        <w:pStyle w:val="22"/>
        <w:adjustRightInd w:val="0"/>
        <w:snapToGrid w:val="0"/>
        <w:spacing w:line="360" w:lineRule="auto"/>
        <w:rPr>
          <w:rFonts w:hAnsi="宋体"/>
          <w:sz w:val="24"/>
          <w:szCs w:val="24"/>
          <w:u w:val="single"/>
        </w:rPr>
      </w:pPr>
      <w:r>
        <w:rPr>
          <w:rFonts w:hAnsi="宋体"/>
          <w:b/>
          <w:sz w:val="24"/>
          <w:szCs w:val="24"/>
        </w:rPr>
        <w:t>五、产权担保</w:t>
      </w:r>
    </w:p>
    <w:p w14:paraId="3222F100">
      <w:pPr>
        <w:pStyle w:val="22"/>
        <w:adjustRightInd w:val="0"/>
        <w:snapToGrid w:val="0"/>
        <w:spacing w:line="360" w:lineRule="auto"/>
        <w:rPr>
          <w:rFonts w:hAnsi="宋体"/>
          <w:sz w:val="24"/>
          <w:szCs w:val="24"/>
          <w:u w:val="single"/>
        </w:rPr>
      </w:pPr>
      <w:r>
        <w:rPr>
          <w:rFonts w:hint="eastAsia" w:hAnsi="宋体"/>
          <w:sz w:val="24"/>
          <w:szCs w:val="24"/>
        </w:rPr>
        <w:t>5.1 乙方保证所交付的服务（包含与服务相关的产品）的所有权完全属于乙方且无任何抵押、查封等产权瑕疵。</w:t>
      </w:r>
    </w:p>
    <w:p w14:paraId="01846A24">
      <w:pPr>
        <w:pStyle w:val="22"/>
        <w:adjustRightInd w:val="0"/>
        <w:snapToGrid w:val="0"/>
        <w:spacing w:line="360" w:lineRule="auto"/>
        <w:ind w:left="410" w:hanging="410" w:hangingChars="170"/>
        <w:rPr>
          <w:rFonts w:hAnsi="宋体"/>
          <w:b/>
          <w:sz w:val="24"/>
          <w:szCs w:val="24"/>
        </w:rPr>
      </w:pPr>
      <w:r>
        <w:rPr>
          <w:rFonts w:hAnsi="宋体"/>
          <w:b/>
          <w:sz w:val="24"/>
          <w:szCs w:val="24"/>
        </w:rPr>
        <w:t>六、履约保证金</w:t>
      </w:r>
    </w:p>
    <w:p w14:paraId="4FE89216">
      <w:pPr>
        <w:pStyle w:val="22"/>
        <w:adjustRightInd w:val="0"/>
        <w:snapToGrid w:val="0"/>
        <w:spacing w:line="360" w:lineRule="auto"/>
        <w:rPr>
          <w:rFonts w:hAnsi="宋体"/>
          <w:sz w:val="24"/>
          <w:szCs w:val="24"/>
        </w:rPr>
      </w:pPr>
      <w:r>
        <w:rPr>
          <w:rFonts w:hint="eastAsia" w:hAnsi="宋体"/>
          <w:sz w:val="24"/>
          <w:szCs w:val="24"/>
        </w:rPr>
        <w:t>6.1 乙方向甲方交纳人民币30万元作为本合同的履约保证金。</w:t>
      </w:r>
    </w:p>
    <w:p w14:paraId="283939E0">
      <w:pPr>
        <w:pStyle w:val="22"/>
        <w:adjustRightInd w:val="0"/>
        <w:snapToGrid w:val="0"/>
        <w:spacing w:line="360" w:lineRule="auto"/>
        <w:ind w:left="408" w:hanging="408" w:hangingChars="170"/>
        <w:rPr>
          <w:rFonts w:hAnsi="宋体"/>
          <w:sz w:val="24"/>
          <w:szCs w:val="24"/>
        </w:rPr>
      </w:pPr>
      <w:r>
        <w:rPr>
          <w:rFonts w:hint="eastAsia" w:hAnsi="宋体"/>
          <w:sz w:val="24"/>
          <w:szCs w:val="24"/>
        </w:rPr>
        <w:t>6.2合同履行结束后，甲方应及时无息退还交纳的履约保证金。</w:t>
      </w:r>
    </w:p>
    <w:p w14:paraId="366E0A30">
      <w:pPr>
        <w:pStyle w:val="22"/>
        <w:adjustRightInd w:val="0"/>
        <w:snapToGrid w:val="0"/>
        <w:spacing w:line="360" w:lineRule="auto"/>
        <w:ind w:left="408" w:hanging="408" w:hangingChars="170"/>
        <w:rPr>
          <w:rFonts w:hAnsi="宋体"/>
          <w:sz w:val="24"/>
          <w:szCs w:val="24"/>
        </w:rPr>
      </w:pPr>
      <w:r>
        <w:rPr>
          <w:rFonts w:hint="eastAsia" w:hAnsi="宋体"/>
          <w:sz w:val="24"/>
          <w:szCs w:val="24"/>
        </w:rPr>
        <w:t>6.2.1履约保证金退还时间：合同约定的乙方义务履行届满后</w:t>
      </w:r>
      <w:r>
        <w:rPr>
          <w:rFonts w:hint="eastAsia" w:hAnsi="宋体"/>
          <w:sz w:val="24"/>
          <w:szCs w:val="24"/>
          <w:u w:val="single"/>
        </w:rPr>
        <w:t xml:space="preserve"> 30</w:t>
      </w:r>
      <w:r>
        <w:rPr>
          <w:rFonts w:hint="eastAsia" w:hAnsi="宋体"/>
          <w:sz w:val="24"/>
          <w:szCs w:val="24"/>
        </w:rPr>
        <w:t>日内。</w:t>
      </w:r>
    </w:p>
    <w:p w14:paraId="368995AD">
      <w:pPr>
        <w:pStyle w:val="22"/>
        <w:adjustRightInd w:val="0"/>
        <w:snapToGrid w:val="0"/>
        <w:spacing w:line="360" w:lineRule="auto"/>
        <w:ind w:left="408" w:hanging="408" w:hangingChars="170"/>
        <w:rPr>
          <w:rFonts w:hAnsi="宋体"/>
          <w:sz w:val="24"/>
          <w:szCs w:val="24"/>
        </w:rPr>
      </w:pPr>
      <w:r>
        <w:rPr>
          <w:rFonts w:hint="eastAsia" w:hAnsi="宋体"/>
          <w:sz w:val="24"/>
          <w:szCs w:val="24"/>
        </w:rPr>
        <w:t>6.2.2履约保证金退还条件：合同约定的乙方义务履行届满后。</w:t>
      </w:r>
    </w:p>
    <w:p w14:paraId="573FD734">
      <w:pPr>
        <w:pStyle w:val="22"/>
        <w:adjustRightInd w:val="0"/>
        <w:snapToGrid w:val="0"/>
        <w:spacing w:line="360" w:lineRule="auto"/>
        <w:rPr>
          <w:rFonts w:hAnsi="宋体"/>
          <w:sz w:val="24"/>
          <w:szCs w:val="24"/>
        </w:rPr>
      </w:pPr>
      <w:r>
        <w:rPr>
          <w:rFonts w:hint="eastAsia" w:hAnsi="宋体"/>
          <w:sz w:val="24"/>
          <w:szCs w:val="24"/>
        </w:rPr>
        <w:t>6.2.3履约保证金不予退还的情形：履约保证金可抵扣违约金，用于弥补甲方因乙方不能完成其合同义务而蒙受的损失。 在合同服务期限届满后，甲方将按扣除抵扣金额后的余额支付乙方。</w:t>
      </w:r>
    </w:p>
    <w:p w14:paraId="472FB910">
      <w:pPr>
        <w:pStyle w:val="22"/>
        <w:adjustRightInd w:val="0"/>
        <w:snapToGrid w:val="0"/>
        <w:spacing w:line="360" w:lineRule="auto"/>
        <w:ind w:left="410" w:hanging="410" w:hangingChars="170"/>
        <w:rPr>
          <w:rFonts w:hAnsi="宋体" w:eastAsia="仿宋_GB2312"/>
          <w:b/>
          <w:sz w:val="24"/>
        </w:rPr>
      </w:pPr>
      <w:r>
        <w:rPr>
          <w:rFonts w:hint="eastAsia" w:hAnsi="宋体"/>
          <w:b/>
          <w:sz w:val="24"/>
        </w:rPr>
        <w:t>七、合同转包或分包</w:t>
      </w:r>
    </w:p>
    <w:p w14:paraId="0CDB661E">
      <w:pPr>
        <w:adjustRightInd w:val="0"/>
        <w:snapToGrid w:val="0"/>
        <w:spacing w:line="360" w:lineRule="auto"/>
        <w:rPr>
          <w:rFonts w:ascii="宋体" w:hAnsi="宋体"/>
          <w:sz w:val="24"/>
        </w:rPr>
      </w:pPr>
      <w:r>
        <w:rPr>
          <w:rFonts w:hint="eastAsia" w:ascii="宋体" w:hAnsi="宋体"/>
          <w:sz w:val="24"/>
        </w:rPr>
        <w:t>7.1乙方不得将合同标的转包给他人履行。</w:t>
      </w:r>
    </w:p>
    <w:p w14:paraId="57E9556E">
      <w:pPr>
        <w:adjustRightInd w:val="0"/>
        <w:snapToGrid w:val="0"/>
        <w:spacing w:line="360" w:lineRule="auto"/>
        <w:rPr>
          <w:rFonts w:ascii="宋体" w:hAnsi="宋体"/>
          <w:sz w:val="24"/>
        </w:rPr>
      </w:pPr>
      <w:r>
        <w:rPr>
          <w:rFonts w:hint="eastAsia" w:ascii="宋体" w:hAnsi="宋体"/>
          <w:sz w:val="24"/>
        </w:rPr>
        <w:t>7.2乙方不得将合同标的分包给他人履行。</w:t>
      </w:r>
    </w:p>
    <w:p w14:paraId="2D7F3035">
      <w:pPr>
        <w:adjustRightInd w:val="0"/>
        <w:snapToGrid w:val="0"/>
        <w:spacing w:line="360" w:lineRule="auto"/>
        <w:rPr>
          <w:rFonts w:ascii="宋体" w:hAnsi="宋体" w:eastAsia="仿宋_GB2312"/>
          <w:sz w:val="24"/>
        </w:rPr>
      </w:pPr>
      <w:r>
        <w:rPr>
          <w:rFonts w:ascii="宋体" w:hAnsi="宋体"/>
          <w:sz w:val="24"/>
        </w:rPr>
        <w:t>7.3</w:t>
      </w:r>
      <w:r>
        <w:rPr>
          <w:rFonts w:hint="eastAsia" w:ascii="宋体" w:hAnsi="宋体"/>
          <w:sz w:val="24"/>
        </w:rPr>
        <w:t>乙方如有转包或未经甲方同意的分包行为，甲方有权解除合同。</w:t>
      </w:r>
    </w:p>
    <w:p w14:paraId="03693387">
      <w:pPr>
        <w:pStyle w:val="22"/>
        <w:adjustRightInd w:val="0"/>
        <w:snapToGrid w:val="0"/>
        <w:spacing w:line="360" w:lineRule="auto"/>
        <w:rPr>
          <w:rFonts w:hAnsi="宋体"/>
          <w:b/>
          <w:sz w:val="24"/>
          <w:szCs w:val="24"/>
        </w:rPr>
      </w:pPr>
      <w:r>
        <w:rPr>
          <w:rFonts w:hint="eastAsia" w:hAnsi="宋体"/>
          <w:b/>
          <w:sz w:val="24"/>
          <w:szCs w:val="24"/>
        </w:rPr>
        <w:t>八</w:t>
      </w:r>
      <w:r>
        <w:rPr>
          <w:rFonts w:hAnsi="宋体"/>
          <w:b/>
          <w:sz w:val="24"/>
          <w:szCs w:val="24"/>
        </w:rPr>
        <w:t>、其他约定</w:t>
      </w:r>
    </w:p>
    <w:p w14:paraId="75EA8673">
      <w:pPr>
        <w:pStyle w:val="22"/>
        <w:adjustRightInd w:val="0"/>
        <w:snapToGrid w:val="0"/>
        <w:spacing w:line="360" w:lineRule="auto"/>
        <w:rPr>
          <w:rFonts w:hAnsi="宋体"/>
          <w:bCs/>
          <w:sz w:val="24"/>
          <w:szCs w:val="24"/>
        </w:rPr>
      </w:pPr>
      <w:r>
        <w:rPr>
          <w:rFonts w:hint="eastAsia" w:hAnsi="宋体"/>
          <w:bCs/>
          <w:sz w:val="24"/>
          <w:szCs w:val="24"/>
        </w:rPr>
        <w:t>8</w:t>
      </w:r>
      <w:r>
        <w:rPr>
          <w:rFonts w:hAnsi="宋体"/>
          <w:bCs/>
          <w:sz w:val="24"/>
          <w:szCs w:val="24"/>
        </w:rPr>
        <w:t>.1甲方物资在乙方仓储期间或在运输途中产生的货物短少、货物受损及货物被盗引起的损失由乙方承担，乙方按照甲方损失仓储物的票面值或货物原值进行赔偿。因第三方原因导致损失的，乙方在向甲方履行赔偿义务后依法进行追偿。</w:t>
      </w:r>
    </w:p>
    <w:p w14:paraId="4134E3C3">
      <w:pPr>
        <w:pStyle w:val="22"/>
        <w:adjustRightInd w:val="0"/>
        <w:snapToGrid w:val="0"/>
        <w:spacing w:line="360" w:lineRule="auto"/>
        <w:rPr>
          <w:rFonts w:hAnsi="宋体"/>
          <w:bCs/>
          <w:sz w:val="24"/>
          <w:szCs w:val="24"/>
        </w:rPr>
      </w:pPr>
      <w:r>
        <w:rPr>
          <w:rFonts w:hint="eastAsia" w:hAnsi="宋体"/>
          <w:bCs/>
          <w:sz w:val="24"/>
          <w:szCs w:val="24"/>
        </w:rPr>
        <w:t>8.2由于乙方原因需搬迁仓库的，应提前一个月取得甲方书面同意。甲方有权选择继续履行合同，或终止合同。并追究乙方违约及赔偿损失责任。</w:t>
      </w:r>
    </w:p>
    <w:p w14:paraId="25127E97">
      <w:pPr>
        <w:pStyle w:val="22"/>
        <w:adjustRightInd w:val="0"/>
        <w:snapToGrid w:val="0"/>
        <w:spacing w:line="360" w:lineRule="auto"/>
        <w:rPr>
          <w:rFonts w:hAnsi="宋体"/>
          <w:bCs/>
          <w:sz w:val="24"/>
          <w:szCs w:val="24"/>
        </w:rPr>
      </w:pPr>
      <w:r>
        <w:rPr>
          <w:rFonts w:hint="eastAsia" w:hAnsi="宋体"/>
          <w:bCs/>
          <w:sz w:val="24"/>
          <w:szCs w:val="24"/>
        </w:rPr>
        <w:t>8.3 甲方根据项目开展情况及应急需要，可要求乙方提供免费项目测试服务，免费项目测试服务的周期不得超过一个月。</w:t>
      </w:r>
    </w:p>
    <w:p w14:paraId="518F3D06">
      <w:pPr>
        <w:adjustRightInd w:val="0"/>
        <w:snapToGrid w:val="0"/>
        <w:spacing w:line="360" w:lineRule="auto"/>
        <w:rPr>
          <w:rFonts w:ascii="宋体" w:hAnsi="宋体" w:eastAsia="仿宋_GB2312"/>
          <w:b/>
          <w:sz w:val="24"/>
        </w:rPr>
      </w:pPr>
      <w:r>
        <w:rPr>
          <w:rFonts w:hint="eastAsia" w:ascii="宋体" w:hAnsi="宋体"/>
          <w:b/>
          <w:sz w:val="24"/>
        </w:rPr>
        <w:t>九、税费</w:t>
      </w:r>
    </w:p>
    <w:p w14:paraId="7F24E4AB">
      <w:pPr>
        <w:adjustRightInd w:val="0"/>
        <w:snapToGrid w:val="0"/>
        <w:spacing w:line="360" w:lineRule="auto"/>
        <w:rPr>
          <w:rFonts w:ascii="宋体" w:hAnsi="宋体" w:eastAsia="仿宋_GB2312"/>
          <w:sz w:val="24"/>
        </w:rPr>
      </w:pPr>
      <w:r>
        <w:rPr>
          <w:rFonts w:hint="eastAsia" w:ascii="宋体" w:hAnsi="宋体"/>
          <w:sz w:val="24"/>
        </w:rPr>
        <w:t>9</w:t>
      </w:r>
      <w:r>
        <w:rPr>
          <w:rFonts w:ascii="宋体" w:hAnsi="宋体"/>
          <w:sz w:val="24"/>
        </w:rPr>
        <w:t>.1</w:t>
      </w:r>
      <w:r>
        <w:rPr>
          <w:rFonts w:hint="eastAsia" w:ascii="宋体" w:hAnsi="宋体"/>
          <w:sz w:val="24"/>
        </w:rPr>
        <w:t>本合同执行中各自的税费各自承担。</w:t>
      </w:r>
    </w:p>
    <w:p w14:paraId="45657DFD">
      <w:pPr>
        <w:pStyle w:val="22"/>
        <w:adjustRightInd w:val="0"/>
        <w:snapToGrid w:val="0"/>
        <w:spacing w:line="360" w:lineRule="auto"/>
        <w:rPr>
          <w:rFonts w:hAnsi="宋体"/>
          <w:b/>
          <w:sz w:val="24"/>
          <w:szCs w:val="24"/>
        </w:rPr>
      </w:pPr>
      <w:r>
        <w:rPr>
          <w:rFonts w:hAnsi="宋体"/>
          <w:b/>
          <w:sz w:val="24"/>
          <w:szCs w:val="24"/>
        </w:rPr>
        <w:t>十、</w:t>
      </w:r>
      <w:r>
        <w:rPr>
          <w:rFonts w:hint="eastAsia" w:hAnsi="宋体"/>
          <w:b/>
          <w:sz w:val="24"/>
          <w:szCs w:val="24"/>
        </w:rPr>
        <w:t>项目</w:t>
      </w:r>
      <w:r>
        <w:rPr>
          <w:rFonts w:hAnsi="宋体"/>
          <w:b/>
          <w:sz w:val="24"/>
          <w:szCs w:val="24"/>
        </w:rPr>
        <w:t>验收</w:t>
      </w:r>
    </w:p>
    <w:p w14:paraId="619F3524">
      <w:pPr>
        <w:pStyle w:val="22"/>
        <w:adjustRightInd w:val="0"/>
        <w:snapToGrid w:val="0"/>
        <w:spacing w:line="360" w:lineRule="auto"/>
        <w:ind w:left="480" w:hanging="480" w:hangingChars="200"/>
        <w:rPr>
          <w:rFonts w:hAnsi="宋体"/>
          <w:sz w:val="24"/>
          <w:szCs w:val="24"/>
        </w:rPr>
      </w:pPr>
      <w:r>
        <w:rPr>
          <w:rFonts w:hint="eastAsia" w:hAnsi="宋体"/>
          <w:sz w:val="24"/>
          <w:szCs w:val="24"/>
        </w:rPr>
        <w:t>10.1 甲方依法组织履约验收工作。</w:t>
      </w:r>
    </w:p>
    <w:p w14:paraId="33C684F0">
      <w:pPr>
        <w:pStyle w:val="22"/>
        <w:adjustRightInd w:val="0"/>
        <w:snapToGrid w:val="0"/>
        <w:spacing w:line="360" w:lineRule="auto"/>
        <w:rPr>
          <w:rFonts w:hAnsi="宋体"/>
          <w:sz w:val="24"/>
          <w:szCs w:val="24"/>
        </w:rPr>
      </w:pPr>
      <w:r>
        <w:rPr>
          <w:rFonts w:hint="eastAsia" w:hAnsi="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1E6C360">
      <w:pPr>
        <w:pStyle w:val="22"/>
        <w:adjustRightInd w:val="0"/>
        <w:snapToGrid w:val="0"/>
        <w:spacing w:line="360" w:lineRule="auto"/>
        <w:ind w:left="480" w:hanging="480" w:hangingChars="200"/>
        <w:rPr>
          <w:rFonts w:hAnsi="宋体"/>
          <w:sz w:val="24"/>
          <w:szCs w:val="24"/>
        </w:rPr>
      </w:pPr>
      <w:r>
        <w:rPr>
          <w:rFonts w:hint="eastAsia" w:hAnsi="宋体"/>
          <w:sz w:val="24"/>
          <w:szCs w:val="24"/>
        </w:rPr>
        <w:t>10.3 对于实际使用人和甲方分离的项目，甲方邀请实际使用人参与验收。</w:t>
      </w:r>
    </w:p>
    <w:p w14:paraId="6CE2320F">
      <w:pPr>
        <w:pStyle w:val="22"/>
        <w:adjustRightInd w:val="0"/>
        <w:snapToGrid w:val="0"/>
        <w:spacing w:line="360" w:lineRule="auto"/>
        <w:rPr>
          <w:rFonts w:hAnsi="宋体"/>
          <w:sz w:val="24"/>
          <w:szCs w:val="24"/>
        </w:rPr>
      </w:pPr>
      <w:r>
        <w:rPr>
          <w:rFonts w:hint="eastAsia" w:hAnsi="宋体"/>
          <w:sz w:val="24"/>
          <w:szCs w:val="24"/>
        </w:rPr>
        <w:t>10.4 如有必要，甲方邀请参加本项目的其他供应商或第三方专业机构及专家参与验收，相关意见将作为验收书的参考资料。</w:t>
      </w:r>
    </w:p>
    <w:p w14:paraId="3CA750C7">
      <w:pPr>
        <w:pStyle w:val="22"/>
        <w:adjustRightInd w:val="0"/>
        <w:snapToGrid w:val="0"/>
        <w:spacing w:line="360" w:lineRule="auto"/>
        <w:rPr>
          <w:rFonts w:hAnsi="宋体"/>
          <w:sz w:val="24"/>
          <w:szCs w:val="24"/>
        </w:rPr>
      </w:pPr>
      <w:r>
        <w:rPr>
          <w:rFonts w:hint="eastAsia" w:hAnsi="宋体"/>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履约验收的各项资料存档备查。</w:t>
      </w:r>
    </w:p>
    <w:p w14:paraId="79D2A859">
      <w:pPr>
        <w:pStyle w:val="22"/>
        <w:adjustRightInd w:val="0"/>
        <w:snapToGrid w:val="0"/>
        <w:spacing w:line="360" w:lineRule="auto"/>
        <w:rPr>
          <w:rFonts w:hAnsi="宋体"/>
          <w:sz w:val="24"/>
          <w:szCs w:val="24"/>
        </w:rPr>
      </w:pPr>
      <w:r>
        <w:rPr>
          <w:rFonts w:hint="eastAsia" w:hAnsi="宋体"/>
          <w:sz w:val="24"/>
          <w:szCs w:val="24"/>
        </w:rPr>
        <w:t>10.6 验收合格的项目，甲方根据采购合同的约定及时向乙方支付合同款项、退还履约保证金。验收不合格的项目，甲方按本合同约定及时处理。采购合同的履行、违约责任和解决争议的方式等适用《民法典》。乙方在履约过程中有政府采购法律法规规定的违法违规情形的,按法律法规处理。</w:t>
      </w:r>
    </w:p>
    <w:p w14:paraId="2191582B">
      <w:pPr>
        <w:pStyle w:val="22"/>
        <w:adjustRightInd w:val="0"/>
        <w:snapToGrid w:val="0"/>
        <w:spacing w:line="360" w:lineRule="auto"/>
        <w:rPr>
          <w:rFonts w:hAnsi="宋体"/>
          <w:b/>
          <w:sz w:val="24"/>
          <w:szCs w:val="24"/>
        </w:rPr>
      </w:pPr>
      <w:r>
        <w:rPr>
          <w:rFonts w:hAnsi="宋体"/>
          <w:b/>
          <w:sz w:val="24"/>
          <w:szCs w:val="24"/>
        </w:rPr>
        <w:t>十</w:t>
      </w:r>
      <w:r>
        <w:rPr>
          <w:rFonts w:hint="eastAsia" w:hAnsi="宋体"/>
          <w:b/>
          <w:sz w:val="24"/>
          <w:szCs w:val="24"/>
        </w:rPr>
        <w:t>一</w:t>
      </w:r>
      <w:r>
        <w:rPr>
          <w:rFonts w:hAnsi="宋体"/>
          <w:b/>
          <w:sz w:val="24"/>
          <w:szCs w:val="24"/>
        </w:rPr>
        <w:t>、违约责任</w:t>
      </w:r>
    </w:p>
    <w:p w14:paraId="5FF02A95">
      <w:pPr>
        <w:pStyle w:val="22"/>
        <w:adjustRightInd w:val="0"/>
        <w:snapToGrid w:val="0"/>
        <w:spacing w:line="360" w:lineRule="auto"/>
        <w:rPr>
          <w:rFonts w:hAnsi="宋体"/>
          <w:sz w:val="24"/>
          <w:szCs w:val="24"/>
        </w:rPr>
      </w:pPr>
      <w:r>
        <w:rPr>
          <w:rFonts w:hint="eastAsia" w:hAnsi="宋体"/>
          <w:sz w:val="24"/>
          <w:szCs w:val="24"/>
        </w:rPr>
        <w:t xml:space="preserve">11.1 乙方逾期提供服务的，乙方应按逾期提供服务合同额的每日千分之一向甲方支付违约金，由甲方从待付合同款项中扣除。逾期超过约定日期10个工作日不能提供服务的，甲方可解除本合同。乙方因逾期提供服务或因其他违约行为导致甲方解除合同的，乙方应向甲方支付合同总价（暂定）5% 的违约金。 </w:t>
      </w:r>
    </w:p>
    <w:p w14:paraId="1B9E827A">
      <w:pPr>
        <w:pStyle w:val="22"/>
        <w:adjustRightInd w:val="0"/>
        <w:snapToGrid w:val="0"/>
        <w:spacing w:line="360" w:lineRule="auto"/>
        <w:rPr>
          <w:rFonts w:hAnsi="宋体"/>
          <w:sz w:val="24"/>
          <w:szCs w:val="24"/>
        </w:rPr>
      </w:pPr>
      <w:r>
        <w:rPr>
          <w:rFonts w:hint="eastAsia" w:hAnsi="宋体"/>
          <w:sz w:val="24"/>
          <w:szCs w:val="24"/>
        </w:rPr>
        <w:t>11.2 乙方所提供服务的标准不符合合同规定及招标文件规定标准的，甲方有权拒绝接受服务，并可单方面解除合同。</w:t>
      </w:r>
    </w:p>
    <w:p w14:paraId="2B004ED3">
      <w:pPr>
        <w:pStyle w:val="22"/>
        <w:adjustRightInd w:val="0"/>
        <w:snapToGrid w:val="0"/>
        <w:spacing w:line="360" w:lineRule="auto"/>
        <w:rPr>
          <w:rFonts w:hAnsi="宋体"/>
          <w:sz w:val="24"/>
          <w:szCs w:val="24"/>
        </w:rPr>
      </w:pPr>
      <w:r>
        <w:rPr>
          <w:rFonts w:hint="eastAsia" w:hAnsi="宋体"/>
          <w:sz w:val="24"/>
          <w:szCs w:val="24"/>
        </w:rPr>
        <w:t>11.3乙方违反保密协议的，甲方有权单方解除合同，乙方应向甲方支付合同总价（暂定）5%的违约金；该违约金不足以弥补甲方损失的，乙方应继续赔偿，且甲方有权从任何应付乙方款项中直接扣除。</w:t>
      </w:r>
    </w:p>
    <w:p w14:paraId="45DCB996">
      <w:pPr>
        <w:adjustRightInd w:val="0"/>
        <w:snapToGrid w:val="0"/>
        <w:spacing w:line="360" w:lineRule="auto"/>
        <w:rPr>
          <w:rFonts w:ascii="宋体" w:hAnsi="宋体" w:cs="宋体"/>
          <w:b/>
          <w:bCs/>
          <w:sz w:val="24"/>
        </w:rPr>
      </w:pPr>
      <w:r>
        <w:rPr>
          <w:rFonts w:hint="eastAsia" w:ascii="宋体" w:hAnsi="宋体" w:cs="宋体"/>
          <w:b/>
          <w:bCs/>
          <w:color w:val="000000"/>
          <w:sz w:val="24"/>
        </w:rPr>
        <w:t>十二</w:t>
      </w:r>
      <w:r>
        <w:rPr>
          <w:rFonts w:hint="eastAsia" w:ascii="宋体" w:hAnsi="宋体" w:cs="宋体"/>
          <w:b/>
          <w:bCs/>
          <w:sz w:val="24"/>
        </w:rPr>
        <w:t>、廉洁条款</w:t>
      </w:r>
    </w:p>
    <w:p w14:paraId="3FC88D87">
      <w:pPr>
        <w:pStyle w:val="22"/>
        <w:adjustRightInd w:val="0"/>
        <w:snapToGrid w:val="0"/>
        <w:spacing w:line="360" w:lineRule="auto"/>
        <w:rPr>
          <w:rFonts w:cs="宋体"/>
          <w:sz w:val="24"/>
          <w:szCs w:val="24"/>
        </w:rPr>
      </w:pPr>
      <w:r>
        <w:rPr>
          <w:rFonts w:hint="eastAsia" w:cs="宋体"/>
          <w:sz w:val="24"/>
          <w:szCs w:val="24"/>
        </w:rPr>
        <w:t xml:space="preserve">12.1 双方在签订和履行本合同过程中，应当自觉遵守法律法规、商业道德及廉洁自律规定，恪守职业道德规范，开展正常商业交易活动，抵制商业贿赂行为。乙方不得从事有损履约的行为，不得邀请甲方人员参加有可能影响正常商业交易活动的宴请、娱乐以及旅游等活动，不得向甲方人员提供礼、金或其它利益等。甲方如发现乙方有违反本条款规定的行为，甲方有权要求乙方支付本合同总额15%的违约金并赔偿损失，有权解除本合同，并有权限制或取消乙方参与甲方今后业务活动的资格和机会。 </w:t>
      </w:r>
    </w:p>
    <w:p w14:paraId="0BEA4C50">
      <w:pPr>
        <w:pStyle w:val="38"/>
        <w:adjustRightInd w:val="0"/>
        <w:snapToGrid w:val="0"/>
        <w:spacing w:before="156"/>
        <w:ind w:firstLine="0" w:firstLineChars="0"/>
        <w:rPr>
          <w:rFonts w:cs="宋体"/>
          <w:sz w:val="24"/>
          <w:szCs w:val="24"/>
        </w:rPr>
      </w:pPr>
      <w:r>
        <w:rPr>
          <w:rFonts w:hint="eastAsia" w:cs="宋体"/>
          <w:sz w:val="24"/>
          <w:szCs w:val="24"/>
        </w:rPr>
        <w:t>12.2 甲方有权对乙方履行本合同的情况进行审计和监督，乙方负有协助义务，并保证提供的资料和信息真实、完整、准确。 甲方监督电话：025-51889042。</w:t>
      </w:r>
    </w:p>
    <w:p w14:paraId="367E4B7D">
      <w:pPr>
        <w:pStyle w:val="22"/>
        <w:adjustRightInd w:val="0"/>
        <w:snapToGrid w:val="0"/>
        <w:spacing w:line="360" w:lineRule="auto"/>
        <w:rPr>
          <w:rFonts w:hAnsi="宋体"/>
          <w:b/>
          <w:sz w:val="24"/>
          <w:szCs w:val="24"/>
        </w:rPr>
      </w:pPr>
      <w:r>
        <w:rPr>
          <w:rFonts w:hAnsi="宋体"/>
          <w:b/>
          <w:sz w:val="24"/>
          <w:szCs w:val="24"/>
        </w:rPr>
        <w:t>十</w:t>
      </w:r>
      <w:r>
        <w:rPr>
          <w:rFonts w:hint="eastAsia" w:hAnsi="宋体"/>
          <w:b/>
          <w:sz w:val="24"/>
          <w:szCs w:val="24"/>
        </w:rPr>
        <w:t>三</w:t>
      </w:r>
      <w:r>
        <w:rPr>
          <w:rFonts w:hAnsi="宋体"/>
          <w:b/>
          <w:sz w:val="24"/>
          <w:szCs w:val="24"/>
        </w:rPr>
        <w:t>、不可抗力事件处理</w:t>
      </w:r>
    </w:p>
    <w:p w14:paraId="2622DD9E">
      <w:pPr>
        <w:pStyle w:val="22"/>
        <w:adjustRightInd w:val="0"/>
        <w:snapToGrid w:val="0"/>
        <w:spacing w:line="360" w:lineRule="auto"/>
        <w:rPr>
          <w:rFonts w:hAnsi="宋体"/>
          <w:sz w:val="24"/>
          <w:szCs w:val="24"/>
        </w:rPr>
      </w:pPr>
      <w:r>
        <w:rPr>
          <w:rFonts w:hint="eastAsia" w:hAnsi="宋体"/>
          <w:sz w:val="24"/>
          <w:szCs w:val="24"/>
        </w:rPr>
        <w:t>13.1 在合同有效期内，任何一方因不可抗力事件导致不能履行合同，则合同履行期可延长，其延长期与不可抗力影响期相同。</w:t>
      </w:r>
    </w:p>
    <w:p w14:paraId="229CBCC2">
      <w:pPr>
        <w:pStyle w:val="22"/>
        <w:adjustRightInd w:val="0"/>
        <w:snapToGrid w:val="0"/>
        <w:spacing w:line="360" w:lineRule="auto"/>
        <w:rPr>
          <w:rFonts w:hAnsi="宋体"/>
          <w:sz w:val="24"/>
          <w:szCs w:val="24"/>
        </w:rPr>
      </w:pPr>
      <w:r>
        <w:rPr>
          <w:rFonts w:hAnsi="宋体"/>
          <w:sz w:val="24"/>
          <w:szCs w:val="24"/>
        </w:rPr>
        <w:t>1</w:t>
      </w:r>
      <w:r>
        <w:rPr>
          <w:rFonts w:hint="eastAsia" w:hAnsi="宋体"/>
          <w:sz w:val="24"/>
          <w:szCs w:val="24"/>
        </w:rPr>
        <w:t>3</w:t>
      </w:r>
      <w:r>
        <w:rPr>
          <w:rFonts w:hAnsi="宋体"/>
          <w:sz w:val="24"/>
          <w:szCs w:val="24"/>
        </w:rPr>
        <w:t>.2 不可抗力事件发生后，应立即通知对方，并寄送有关权威机构出具的证明。</w:t>
      </w:r>
    </w:p>
    <w:p w14:paraId="72022774">
      <w:pPr>
        <w:pStyle w:val="22"/>
        <w:adjustRightInd w:val="0"/>
        <w:snapToGrid w:val="0"/>
        <w:spacing w:line="360" w:lineRule="auto"/>
        <w:rPr>
          <w:rFonts w:hAnsi="宋体"/>
          <w:sz w:val="24"/>
          <w:szCs w:val="24"/>
        </w:rPr>
      </w:pPr>
      <w:r>
        <w:rPr>
          <w:rFonts w:hAnsi="宋体"/>
          <w:sz w:val="24"/>
          <w:szCs w:val="24"/>
        </w:rPr>
        <w:t>1</w:t>
      </w:r>
      <w:r>
        <w:rPr>
          <w:rFonts w:hint="eastAsia" w:hAnsi="宋体"/>
          <w:sz w:val="24"/>
          <w:szCs w:val="24"/>
        </w:rPr>
        <w:t>3</w:t>
      </w:r>
      <w:r>
        <w:rPr>
          <w:rFonts w:hAnsi="宋体"/>
          <w:sz w:val="24"/>
          <w:szCs w:val="24"/>
        </w:rPr>
        <w:t>.3 不可抗力事件延续120天以上，双方应通过友好协商，确定是否继续履行合同。</w:t>
      </w:r>
    </w:p>
    <w:p w14:paraId="57B08A32">
      <w:pPr>
        <w:pStyle w:val="22"/>
        <w:adjustRightInd w:val="0"/>
        <w:snapToGrid w:val="0"/>
        <w:spacing w:line="360" w:lineRule="auto"/>
        <w:rPr>
          <w:rFonts w:hAnsi="宋体"/>
          <w:sz w:val="24"/>
          <w:szCs w:val="24"/>
        </w:rPr>
      </w:pPr>
      <w:r>
        <w:rPr>
          <w:rFonts w:hint="eastAsia" w:hAnsi="宋体"/>
          <w:sz w:val="24"/>
          <w:szCs w:val="24"/>
        </w:rPr>
        <w:t>1</w:t>
      </w:r>
      <w:r>
        <w:rPr>
          <w:rFonts w:hAnsi="宋体"/>
          <w:sz w:val="24"/>
          <w:szCs w:val="24"/>
        </w:rPr>
        <w:t xml:space="preserve">3.4 </w:t>
      </w:r>
      <w:r>
        <w:rPr>
          <w:rFonts w:hint="eastAsia" w:hAnsi="宋体"/>
          <w:sz w:val="24"/>
          <w:szCs w:val="24"/>
        </w:rPr>
        <w:t>不可抗力导致彩票类物品损毁、灭失的，乙方不承担违约赔偿责任。</w:t>
      </w:r>
    </w:p>
    <w:p w14:paraId="2AB28026">
      <w:pPr>
        <w:pStyle w:val="22"/>
        <w:adjustRightInd w:val="0"/>
        <w:snapToGrid w:val="0"/>
        <w:spacing w:line="360" w:lineRule="auto"/>
        <w:rPr>
          <w:rFonts w:hAnsi="宋体"/>
          <w:b/>
          <w:sz w:val="24"/>
          <w:szCs w:val="24"/>
        </w:rPr>
      </w:pPr>
      <w:r>
        <w:rPr>
          <w:rFonts w:hAnsi="宋体"/>
          <w:b/>
          <w:sz w:val="24"/>
          <w:szCs w:val="24"/>
        </w:rPr>
        <w:t>十</w:t>
      </w:r>
      <w:r>
        <w:rPr>
          <w:rFonts w:hint="eastAsia" w:hAnsi="宋体"/>
          <w:b/>
          <w:sz w:val="24"/>
          <w:szCs w:val="24"/>
        </w:rPr>
        <w:t>四</w:t>
      </w:r>
      <w:r>
        <w:rPr>
          <w:rFonts w:hAnsi="宋体"/>
          <w:b/>
          <w:sz w:val="24"/>
          <w:szCs w:val="24"/>
        </w:rPr>
        <w:t>、诉讼</w:t>
      </w:r>
    </w:p>
    <w:p w14:paraId="1CEAFF6F">
      <w:pPr>
        <w:pStyle w:val="22"/>
        <w:adjustRightInd w:val="0"/>
        <w:snapToGrid w:val="0"/>
        <w:spacing w:line="360" w:lineRule="auto"/>
        <w:rPr>
          <w:rFonts w:hAnsi="宋体"/>
          <w:sz w:val="24"/>
          <w:szCs w:val="24"/>
        </w:rPr>
      </w:pPr>
      <w:r>
        <w:rPr>
          <w:rFonts w:hint="eastAsia" w:hAnsi="宋体"/>
          <w:sz w:val="24"/>
          <w:szCs w:val="24"/>
        </w:rPr>
        <w:t>14.1 双方在执行合同中所发生的一切争议，应通过协商解决。如协商不成，可向甲方所在地法院起诉。</w:t>
      </w:r>
    </w:p>
    <w:p w14:paraId="7E55FFB1">
      <w:pPr>
        <w:pStyle w:val="22"/>
        <w:adjustRightInd w:val="0"/>
        <w:snapToGrid w:val="0"/>
        <w:spacing w:line="360" w:lineRule="auto"/>
        <w:rPr>
          <w:rFonts w:hAnsi="宋体"/>
          <w:b/>
          <w:sz w:val="24"/>
          <w:szCs w:val="24"/>
        </w:rPr>
      </w:pPr>
      <w:r>
        <w:rPr>
          <w:rFonts w:hAnsi="宋体"/>
          <w:b/>
          <w:sz w:val="24"/>
          <w:szCs w:val="24"/>
        </w:rPr>
        <w:t>十</w:t>
      </w:r>
      <w:r>
        <w:rPr>
          <w:rFonts w:hint="eastAsia" w:hAnsi="宋体"/>
          <w:b/>
          <w:sz w:val="24"/>
          <w:szCs w:val="24"/>
        </w:rPr>
        <w:t>五</w:t>
      </w:r>
      <w:r>
        <w:rPr>
          <w:rFonts w:hAnsi="宋体"/>
          <w:b/>
          <w:sz w:val="24"/>
          <w:szCs w:val="24"/>
        </w:rPr>
        <w:t>、合同生效及其它</w:t>
      </w:r>
    </w:p>
    <w:p w14:paraId="443F163F">
      <w:pPr>
        <w:pStyle w:val="22"/>
        <w:adjustRightInd w:val="0"/>
        <w:snapToGrid w:val="0"/>
        <w:spacing w:line="360" w:lineRule="auto"/>
        <w:rPr>
          <w:rFonts w:hAnsi="宋体"/>
          <w:sz w:val="24"/>
          <w:szCs w:val="24"/>
        </w:rPr>
      </w:pPr>
      <w:r>
        <w:rPr>
          <w:rFonts w:hAnsi="宋体"/>
          <w:sz w:val="24"/>
          <w:szCs w:val="24"/>
        </w:rPr>
        <w:t>1</w:t>
      </w:r>
      <w:r>
        <w:rPr>
          <w:rFonts w:hint="eastAsia" w:hAnsi="宋体"/>
          <w:sz w:val="24"/>
          <w:szCs w:val="24"/>
        </w:rPr>
        <w:t>5</w:t>
      </w:r>
      <w:r>
        <w:rPr>
          <w:rFonts w:hAnsi="宋体"/>
          <w:sz w:val="24"/>
          <w:szCs w:val="24"/>
        </w:rPr>
        <w:t>.1 合同经双方法定代表人或授权委托代</w:t>
      </w:r>
      <w:r>
        <w:rPr>
          <w:rFonts w:hint="eastAsia" w:hAnsi="宋体"/>
          <w:sz w:val="24"/>
          <w:szCs w:val="24"/>
        </w:rPr>
        <w:t>表</w:t>
      </w:r>
      <w:r>
        <w:rPr>
          <w:rFonts w:hAnsi="宋体"/>
          <w:sz w:val="24"/>
          <w:szCs w:val="24"/>
        </w:rPr>
        <w:t>人签字并加盖单位公章后生效。</w:t>
      </w:r>
    </w:p>
    <w:p w14:paraId="43454CEC">
      <w:pPr>
        <w:pStyle w:val="22"/>
        <w:adjustRightInd w:val="0"/>
        <w:snapToGrid w:val="0"/>
        <w:spacing w:line="360" w:lineRule="auto"/>
        <w:rPr>
          <w:rFonts w:hAnsi="宋体"/>
          <w:sz w:val="24"/>
          <w:szCs w:val="24"/>
        </w:rPr>
      </w:pPr>
      <w:r>
        <w:rPr>
          <w:rFonts w:hAnsi="宋体"/>
          <w:sz w:val="24"/>
          <w:szCs w:val="24"/>
        </w:rPr>
        <w:t>1</w:t>
      </w:r>
      <w:r>
        <w:rPr>
          <w:rFonts w:hint="eastAsia" w:hAnsi="宋体"/>
          <w:sz w:val="24"/>
          <w:szCs w:val="24"/>
        </w:rPr>
        <w:t>5</w:t>
      </w:r>
      <w:r>
        <w:rPr>
          <w:rFonts w:hAnsi="宋体"/>
          <w:sz w:val="24"/>
          <w:szCs w:val="24"/>
        </w:rPr>
        <w:t>.2本合同未尽事宜，遵照</w:t>
      </w:r>
      <w:r>
        <w:rPr>
          <w:rFonts w:hint="eastAsia" w:hAnsi="宋体"/>
          <w:sz w:val="24"/>
          <w:szCs w:val="24"/>
        </w:rPr>
        <w:t>《民法典》</w:t>
      </w:r>
      <w:r>
        <w:rPr>
          <w:rFonts w:hAnsi="宋体"/>
          <w:sz w:val="24"/>
          <w:szCs w:val="24"/>
        </w:rPr>
        <w:t>有关条文执行。</w:t>
      </w:r>
    </w:p>
    <w:p w14:paraId="54A4D200">
      <w:pPr>
        <w:pStyle w:val="22"/>
        <w:adjustRightInd w:val="0"/>
        <w:snapToGrid w:val="0"/>
        <w:spacing w:line="360" w:lineRule="auto"/>
        <w:rPr>
          <w:rFonts w:hAnsi="宋体"/>
          <w:spacing w:val="-11"/>
          <w:sz w:val="24"/>
          <w:szCs w:val="24"/>
        </w:rPr>
      </w:pPr>
      <w:r>
        <w:rPr>
          <w:rFonts w:hAnsi="宋体"/>
          <w:spacing w:val="-11"/>
          <w:sz w:val="24"/>
          <w:szCs w:val="24"/>
        </w:rPr>
        <w:t>1</w:t>
      </w:r>
      <w:r>
        <w:rPr>
          <w:rFonts w:hint="eastAsia" w:hAnsi="宋体"/>
          <w:spacing w:val="-11"/>
          <w:sz w:val="24"/>
          <w:szCs w:val="24"/>
        </w:rPr>
        <w:t>5</w:t>
      </w:r>
      <w:r>
        <w:rPr>
          <w:rFonts w:hAnsi="宋体"/>
          <w:spacing w:val="-11"/>
          <w:sz w:val="24"/>
          <w:szCs w:val="24"/>
        </w:rPr>
        <w:t>.</w:t>
      </w:r>
      <w:r>
        <w:rPr>
          <w:rFonts w:hint="eastAsia" w:hAnsi="宋体"/>
          <w:spacing w:val="-11"/>
          <w:sz w:val="24"/>
          <w:szCs w:val="24"/>
        </w:rPr>
        <w:t>3</w:t>
      </w:r>
      <w:r>
        <w:rPr>
          <w:rFonts w:hAnsi="宋体"/>
          <w:spacing w:val="-11"/>
          <w:sz w:val="24"/>
          <w:szCs w:val="24"/>
        </w:rPr>
        <w:t xml:space="preserve"> 本合同正本一式</w:t>
      </w:r>
      <w:r>
        <w:rPr>
          <w:rFonts w:hint="eastAsia" w:hAnsi="宋体"/>
          <w:spacing w:val="-11"/>
          <w:sz w:val="24"/>
          <w:szCs w:val="24"/>
        </w:rPr>
        <w:t>五</w:t>
      </w:r>
      <w:r>
        <w:rPr>
          <w:rFonts w:hAnsi="宋体"/>
          <w:spacing w:val="-11"/>
          <w:sz w:val="24"/>
          <w:szCs w:val="24"/>
        </w:rPr>
        <w:t>份，具有同等法律效力，甲</w:t>
      </w:r>
      <w:r>
        <w:rPr>
          <w:rFonts w:hint="eastAsia" w:hAnsi="宋体"/>
          <w:spacing w:val="-11"/>
          <w:sz w:val="24"/>
          <w:szCs w:val="24"/>
        </w:rPr>
        <w:t>方、</w:t>
      </w:r>
      <w:r>
        <w:rPr>
          <w:rFonts w:hAnsi="宋体"/>
          <w:spacing w:val="-11"/>
          <w:sz w:val="24"/>
          <w:szCs w:val="24"/>
        </w:rPr>
        <w:t>乙方</w:t>
      </w:r>
      <w:r>
        <w:rPr>
          <w:rFonts w:hint="eastAsia" w:hAnsi="宋体"/>
          <w:spacing w:val="-11"/>
          <w:sz w:val="24"/>
          <w:szCs w:val="24"/>
        </w:rPr>
        <w:t>及财政监管部门</w:t>
      </w:r>
      <w:r>
        <w:rPr>
          <w:rFonts w:hAnsi="宋体"/>
          <w:spacing w:val="-11"/>
          <w:sz w:val="24"/>
          <w:szCs w:val="24"/>
        </w:rPr>
        <w:t>各执一份。</w:t>
      </w:r>
    </w:p>
    <w:p w14:paraId="521922CA">
      <w:pPr>
        <w:pStyle w:val="22"/>
        <w:adjustRightInd w:val="0"/>
        <w:snapToGrid w:val="0"/>
        <w:spacing w:line="360" w:lineRule="auto"/>
        <w:ind w:left="480" w:hanging="480" w:hangingChars="200"/>
        <w:rPr>
          <w:rFonts w:hAnsi="宋体"/>
          <w:sz w:val="24"/>
          <w:szCs w:val="24"/>
        </w:rPr>
      </w:pPr>
      <w:r>
        <w:rPr>
          <w:rFonts w:hAnsi="宋体"/>
          <w:sz w:val="24"/>
          <w:szCs w:val="24"/>
        </w:rPr>
        <w:t xml:space="preserve"> </w:t>
      </w:r>
    </w:p>
    <w:p w14:paraId="29588297">
      <w:pPr>
        <w:pStyle w:val="22"/>
        <w:adjustRightInd w:val="0"/>
        <w:snapToGrid w:val="0"/>
        <w:spacing w:line="360" w:lineRule="auto"/>
        <w:ind w:left="480" w:hanging="480" w:hangingChars="200"/>
        <w:rPr>
          <w:rFonts w:hAnsi="宋体"/>
          <w:sz w:val="24"/>
          <w:szCs w:val="24"/>
          <w:lang w:val="zh-CN"/>
        </w:rPr>
      </w:pPr>
      <w:r>
        <w:rPr>
          <w:rFonts w:hAnsi="宋体"/>
          <w:sz w:val="24"/>
          <w:szCs w:val="24"/>
        </w:rPr>
        <w:t>甲方：</w:t>
      </w:r>
      <w:r>
        <w:rPr>
          <w:rFonts w:hint="eastAsia" w:hAnsi="宋体"/>
          <w:sz w:val="24"/>
          <w:szCs w:val="24"/>
          <w:lang w:val="zh-CN"/>
        </w:rPr>
        <w:t>江苏省体育彩票管理中心</w:t>
      </w:r>
      <w:r>
        <w:rPr>
          <w:rFonts w:hAnsi="宋体"/>
          <w:sz w:val="24"/>
          <w:szCs w:val="24"/>
        </w:rPr>
        <w:t xml:space="preserve">           </w:t>
      </w:r>
      <w:r>
        <w:rPr>
          <w:rFonts w:hint="eastAsia" w:hAnsi="宋体"/>
          <w:sz w:val="24"/>
          <w:szCs w:val="24"/>
          <w:lang w:val="zh-CN"/>
        </w:rPr>
        <w:t xml:space="preserve">乙方： </w:t>
      </w:r>
      <w:r>
        <w:rPr>
          <w:rFonts w:hint="eastAsia" w:hAnsi="宋体"/>
          <w:sz w:val="24"/>
          <w:szCs w:val="24"/>
        </w:rPr>
        <w:t xml:space="preserve"> </w:t>
      </w:r>
    </w:p>
    <w:p w14:paraId="4396A137">
      <w:pPr>
        <w:pStyle w:val="22"/>
        <w:adjustRightInd w:val="0"/>
        <w:snapToGrid w:val="0"/>
        <w:spacing w:line="360" w:lineRule="auto"/>
        <w:ind w:left="480" w:hanging="480" w:hangingChars="200"/>
        <w:rPr>
          <w:rFonts w:hAnsi="宋体"/>
          <w:sz w:val="24"/>
          <w:szCs w:val="24"/>
          <w:lang w:val="zh-CN"/>
        </w:rPr>
      </w:pPr>
      <w:r>
        <w:rPr>
          <w:rFonts w:hint="eastAsia" w:hAnsi="宋体"/>
          <w:sz w:val="24"/>
          <w:szCs w:val="24"/>
          <w:lang w:val="zh-CN"/>
        </w:rPr>
        <w:t xml:space="preserve">地址：南京市广州路191号五环大厦       地址： </w:t>
      </w:r>
    </w:p>
    <w:p w14:paraId="04B383F7">
      <w:pPr>
        <w:pStyle w:val="22"/>
        <w:adjustRightInd w:val="0"/>
        <w:snapToGrid w:val="0"/>
        <w:spacing w:line="360" w:lineRule="auto"/>
        <w:ind w:left="480" w:hanging="480" w:hangingChars="200"/>
        <w:rPr>
          <w:rFonts w:hAnsi="宋体"/>
          <w:sz w:val="24"/>
          <w:szCs w:val="24"/>
          <w:lang w:val="zh-CN"/>
        </w:rPr>
      </w:pPr>
      <w:r>
        <w:rPr>
          <w:rFonts w:hint="eastAsia" w:hAnsi="宋体"/>
          <w:sz w:val="24"/>
          <w:szCs w:val="24"/>
          <w:lang w:val="zh-CN"/>
        </w:rPr>
        <w:t xml:space="preserve">法定代表人或授权代表：        </w:t>
      </w:r>
      <w:r>
        <w:rPr>
          <w:rFonts w:hint="eastAsia" w:hAnsi="宋体"/>
          <w:sz w:val="24"/>
          <w:szCs w:val="24"/>
        </w:rPr>
        <w:t xml:space="preserve">         </w:t>
      </w:r>
      <w:r>
        <w:rPr>
          <w:rFonts w:hint="eastAsia" w:hAnsi="宋体"/>
          <w:sz w:val="24"/>
          <w:szCs w:val="24"/>
          <w:lang w:val="zh-CN"/>
        </w:rPr>
        <w:t>法定代表人或授权代表：</w:t>
      </w:r>
    </w:p>
    <w:p w14:paraId="75DA4B0E">
      <w:pPr>
        <w:pStyle w:val="22"/>
        <w:adjustRightInd w:val="0"/>
        <w:snapToGrid w:val="0"/>
        <w:spacing w:line="360" w:lineRule="auto"/>
        <w:ind w:left="480" w:hanging="480" w:hangingChars="200"/>
        <w:rPr>
          <w:rFonts w:hAnsi="宋体"/>
          <w:sz w:val="24"/>
          <w:szCs w:val="24"/>
        </w:rPr>
      </w:pPr>
      <w:r>
        <w:rPr>
          <w:rFonts w:hint="eastAsia" w:hAnsi="宋体"/>
          <w:sz w:val="24"/>
          <w:szCs w:val="24"/>
          <w:lang w:val="zh-CN"/>
        </w:rPr>
        <w:t>联系电话：</w:t>
      </w:r>
      <w:r>
        <w:rPr>
          <w:rFonts w:hint="eastAsia" w:hAnsi="宋体"/>
          <w:sz w:val="24"/>
          <w:szCs w:val="24"/>
        </w:rPr>
        <w:t xml:space="preserve">            </w:t>
      </w:r>
      <w:r>
        <w:rPr>
          <w:rFonts w:hint="eastAsia" w:hAnsi="宋体"/>
          <w:sz w:val="24"/>
          <w:szCs w:val="24"/>
          <w:lang w:val="zh-CN"/>
        </w:rPr>
        <w:t xml:space="preserve">                </w:t>
      </w:r>
      <w:r>
        <w:rPr>
          <w:rFonts w:hint="eastAsia" w:hAnsi="宋体"/>
          <w:sz w:val="24"/>
          <w:szCs w:val="24"/>
        </w:rPr>
        <w:t xml:space="preserve"> </w:t>
      </w:r>
      <w:r>
        <w:rPr>
          <w:rFonts w:hint="eastAsia" w:hAnsi="宋体"/>
          <w:sz w:val="24"/>
          <w:szCs w:val="24"/>
          <w:lang w:val="zh-CN"/>
        </w:rPr>
        <w:t>联系电话：</w:t>
      </w:r>
      <w:r>
        <w:rPr>
          <w:rFonts w:hint="eastAsia" w:hAnsi="宋体"/>
          <w:sz w:val="24"/>
          <w:szCs w:val="24"/>
        </w:rPr>
        <w:t xml:space="preserve"> </w:t>
      </w:r>
      <w:r>
        <w:rPr>
          <w:rFonts w:hint="eastAsia" w:hAnsi="宋体"/>
          <w:sz w:val="24"/>
          <w:szCs w:val="24"/>
          <w:lang w:val="zh-CN"/>
        </w:rPr>
        <w:t xml:space="preserve">  </w:t>
      </w:r>
      <w:r>
        <w:rPr>
          <w:rFonts w:hint="eastAsia" w:hAnsi="宋体"/>
          <w:sz w:val="24"/>
          <w:szCs w:val="24"/>
        </w:rPr>
        <w:t xml:space="preserve">    </w:t>
      </w:r>
    </w:p>
    <w:p w14:paraId="527E5E5B">
      <w:pPr>
        <w:pStyle w:val="22"/>
        <w:adjustRightInd w:val="0"/>
        <w:snapToGrid w:val="0"/>
        <w:spacing w:line="360" w:lineRule="auto"/>
        <w:ind w:firstLine="240" w:firstLineChars="100"/>
      </w:pPr>
      <w:r>
        <w:rPr>
          <w:rFonts w:hint="eastAsia" w:hAnsi="宋体"/>
          <w:sz w:val="24"/>
          <w:szCs w:val="24"/>
        </w:rPr>
        <w:t xml:space="preserve">   </w:t>
      </w:r>
    </w:p>
    <w:p w14:paraId="54F6B614">
      <w:pPr>
        <w:pStyle w:val="97"/>
        <w:adjustRightInd w:val="0"/>
        <w:snapToGrid w:val="0"/>
        <w:spacing w:line="360" w:lineRule="auto"/>
        <w:jc w:val="right"/>
        <w:rPr>
          <w:rFonts w:hAnsi="宋体"/>
          <w:lang w:eastAsia="zh-CN"/>
        </w:rPr>
      </w:pPr>
      <w:r>
        <w:rPr>
          <w:rFonts w:hint="eastAsia"/>
          <w:lang w:eastAsia="zh-CN"/>
        </w:rPr>
        <w:t xml:space="preserve">                                       </w:t>
      </w:r>
      <w:r>
        <w:rPr>
          <w:rFonts w:hAnsi="宋体"/>
          <w:lang w:eastAsia="zh-CN"/>
        </w:rPr>
        <w:t xml:space="preserve">签订日期：      年  </w:t>
      </w:r>
      <w:r>
        <w:rPr>
          <w:rFonts w:hint="eastAsia" w:hAnsi="宋体"/>
          <w:lang w:eastAsia="zh-CN"/>
        </w:rPr>
        <w:t xml:space="preserve">  </w:t>
      </w:r>
      <w:r>
        <w:rPr>
          <w:rFonts w:hAnsi="宋体"/>
          <w:lang w:eastAsia="zh-CN"/>
        </w:rPr>
        <w:t xml:space="preserve">月  </w:t>
      </w:r>
      <w:r>
        <w:rPr>
          <w:rFonts w:hint="eastAsia" w:hAnsi="宋体"/>
          <w:lang w:eastAsia="zh-CN"/>
        </w:rPr>
        <w:t xml:space="preserve"> </w:t>
      </w:r>
      <w:r>
        <w:rPr>
          <w:rFonts w:hAnsi="宋体"/>
          <w:lang w:eastAsia="zh-CN"/>
        </w:rPr>
        <w:t>日</w:t>
      </w:r>
      <w:bookmarkStart w:id="169" w:name="_Hlt16619369"/>
      <w:bookmarkEnd w:id="169"/>
    </w:p>
    <w:bookmarkEnd w:id="166"/>
    <w:bookmarkEnd w:id="167"/>
    <w:bookmarkEnd w:id="168"/>
    <w:p w14:paraId="17B4021F">
      <w:pPr>
        <w:jc w:val="center"/>
        <w:rPr>
          <w:b/>
          <w:sz w:val="28"/>
          <w:szCs w:val="28"/>
        </w:rPr>
      </w:pPr>
      <w:bookmarkStart w:id="170" w:name="_Toc121905578"/>
      <w:bookmarkStart w:id="171" w:name="_Toc475009299"/>
      <w:bookmarkStart w:id="172" w:name="_Toc511899515"/>
      <w:bookmarkStart w:id="173" w:name="_Toc481072015"/>
      <w:bookmarkStart w:id="174" w:name="_Toc481071969"/>
      <w:bookmarkStart w:id="175" w:name="_Toc462564139"/>
      <w:bookmarkStart w:id="176" w:name="_Toc479757211"/>
      <w:r>
        <w:rPr>
          <w:rFonts w:ascii="Times New Roman" w:eastAsia="黑体"/>
          <w:bCs/>
          <w:sz w:val="44"/>
        </w:rPr>
        <w:br w:type="page"/>
      </w:r>
      <w:r>
        <w:rPr>
          <w:b/>
          <w:sz w:val="28"/>
          <w:szCs w:val="28"/>
        </w:rPr>
        <w:t>保密协议</w:t>
      </w:r>
    </w:p>
    <w:p w14:paraId="6FC22578">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甲方：</w:t>
      </w:r>
      <w:r>
        <w:rPr>
          <w:rFonts w:hint="eastAsia" w:ascii="Times New Roman" w:hAnsi="Times New Roman" w:cs="Times New Roman"/>
          <w:bCs/>
          <w:color w:val="333333"/>
        </w:rPr>
        <w:t>江苏省体育彩票管理中心</w:t>
      </w:r>
    </w:p>
    <w:p w14:paraId="06244E01">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地址：</w:t>
      </w:r>
      <w:r>
        <w:rPr>
          <w:rFonts w:hint="eastAsia" w:ascii="Times New Roman" w:hAnsi="Times New Roman" w:cs="Times New Roman"/>
          <w:bCs/>
          <w:color w:val="333333"/>
        </w:rPr>
        <w:t>南京市广州路191号五环大厦3楼</w:t>
      </w:r>
    </w:p>
    <w:p w14:paraId="39D134EF">
      <w:pPr>
        <w:pStyle w:val="34"/>
        <w:adjustRightInd w:val="0"/>
        <w:snapToGrid w:val="0"/>
        <w:spacing w:before="0" w:beforeAutospacing="0" w:after="0" w:afterAutospacing="0" w:line="360" w:lineRule="auto"/>
        <w:rPr>
          <w:rFonts w:ascii="Times New Roman" w:hAnsi="Times New Roman" w:cs="Times New Roman"/>
          <w:bCs/>
          <w:color w:val="333333"/>
        </w:rPr>
      </w:pPr>
    </w:p>
    <w:p w14:paraId="29E893FC">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乙方：</w:t>
      </w:r>
    </w:p>
    <w:p w14:paraId="5A81F83F">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地址：</w:t>
      </w:r>
    </w:p>
    <w:p w14:paraId="471D7096">
      <w:pPr>
        <w:pStyle w:val="34"/>
        <w:adjustRightInd w:val="0"/>
        <w:snapToGrid w:val="0"/>
        <w:spacing w:before="0" w:beforeAutospacing="0" w:after="0" w:afterAutospacing="0" w:line="360" w:lineRule="auto"/>
        <w:rPr>
          <w:rFonts w:ascii="Times New Roman" w:hAnsi="Times New Roman" w:cs="Times New Roman"/>
          <w:bCs/>
          <w:color w:val="333333"/>
        </w:rPr>
      </w:pPr>
    </w:p>
    <w:p w14:paraId="4F751351">
      <w:pPr>
        <w:pStyle w:val="34"/>
        <w:adjustRightInd w:val="0"/>
        <w:snapToGrid w:val="0"/>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bCs/>
          <w:color w:val="333333"/>
        </w:rPr>
        <w:t>鉴于，</w:t>
      </w:r>
      <w:r>
        <w:rPr>
          <w:rFonts w:hint="eastAsia" w:ascii="Times New Roman" w:hAnsi="Times New Roman" w:cs="Times New Roman"/>
          <w:color w:val="333333"/>
        </w:rPr>
        <w:t>乙方拟向甲方提供彩票仓储运杂服务及热敏纸物流服务</w:t>
      </w:r>
      <w:r>
        <w:rPr>
          <w:rFonts w:ascii="Times New Roman" w:hAnsi="Times New Roman" w:cs="Times New Roman"/>
          <w:color w:val="333333"/>
        </w:rPr>
        <w:t>（“</w:t>
      </w:r>
      <w:r>
        <w:rPr>
          <w:rFonts w:hint="eastAsia" w:ascii="Times New Roman" w:hAnsi="Times New Roman" w:cs="Times New Roman"/>
          <w:b/>
          <w:bCs/>
          <w:color w:val="333333"/>
        </w:rPr>
        <w:t>彩票仓储运杂服务及热敏纸物流服务</w:t>
      </w:r>
      <w:r>
        <w:rPr>
          <w:rFonts w:ascii="Times New Roman" w:hAnsi="Times New Roman" w:cs="Times New Roman"/>
          <w:b/>
          <w:bCs/>
          <w:color w:val="333333"/>
        </w:rPr>
        <w:t>项目</w:t>
      </w:r>
      <w:r>
        <w:rPr>
          <w:rFonts w:ascii="Times New Roman" w:hAnsi="Times New Roman" w:cs="Times New Roman"/>
          <w:color w:val="333333"/>
        </w:rPr>
        <w:t>”），在</w:t>
      </w:r>
      <w:r>
        <w:rPr>
          <w:rFonts w:hint="eastAsia" w:ascii="Times New Roman" w:hAnsi="Times New Roman" w:cs="Times New Roman"/>
          <w:color w:val="333333"/>
        </w:rPr>
        <w:t>服务</w:t>
      </w:r>
      <w:r>
        <w:rPr>
          <w:rFonts w:ascii="Times New Roman" w:hAnsi="Times New Roman" w:cs="Times New Roman"/>
          <w:color w:val="333333"/>
        </w:rPr>
        <w:t>过程中</w:t>
      </w:r>
      <w:r>
        <w:rPr>
          <w:rFonts w:hint="eastAsia" w:ascii="Times New Roman" w:hAnsi="Times New Roman" w:cs="Times New Roman"/>
          <w:color w:val="333333"/>
        </w:rPr>
        <w:t>双方</w:t>
      </w:r>
      <w:r>
        <w:rPr>
          <w:rFonts w:ascii="Times New Roman" w:hAnsi="Times New Roman" w:cs="Times New Roman"/>
          <w:color w:val="333333"/>
        </w:rPr>
        <w:t>存在信息交流共享和资料的提供等情形，为了有效保护双方的合法权益，双方同意共同签署本协议，并按照本协议的约定对获悉的另一方的所有保密信息予以严格保密。</w:t>
      </w:r>
    </w:p>
    <w:p w14:paraId="5972E8AF">
      <w:pPr>
        <w:pStyle w:val="34"/>
        <w:adjustRightInd w:val="0"/>
        <w:snapToGrid w:val="0"/>
        <w:spacing w:before="0" w:beforeAutospacing="0" w:after="0" w:afterAutospacing="0" w:line="360" w:lineRule="auto"/>
        <w:ind w:firstLine="480" w:firstLineChars="200"/>
        <w:rPr>
          <w:rFonts w:ascii="Times New Roman" w:hAnsi="Times New Roman" w:cs="Times New Roman"/>
          <w:color w:val="333333"/>
        </w:rPr>
      </w:pPr>
      <w:r>
        <w:rPr>
          <w:rFonts w:ascii="Times New Roman" w:hAnsi="Times New Roman" w:cs="Times New Roman"/>
          <w:color w:val="333333"/>
        </w:rPr>
        <w:t> </w:t>
      </w:r>
    </w:p>
    <w:p w14:paraId="28556EBF">
      <w:pPr>
        <w:pStyle w:val="34"/>
        <w:adjustRightInd w:val="0"/>
        <w:snapToGrid w:val="0"/>
        <w:spacing w:before="0" w:beforeAutospacing="0" w:after="0" w:afterAutospacing="0" w:line="360" w:lineRule="auto"/>
        <w:ind w:firstLine="482" w:firstLineChars="200"/>
        <w:rPr>
          <w:rFonts w:ascii="Times New Roman" w:hAnsi="Times New Roman" w:cs="Times New Roman"/>
          <w:b/>
          <w:color w:val="333333"/>
        </w:rPr>
      </w:pPr>
      <w:r>
        <w:rPr>
          <w:rFonts w:ascii="Times New Roman" w:hAnsi="Times New Roman" w:cs="Times New Roman"/>
          <w:b/>
          <w:color w:val="333333"/>
        </w:rPr>
        <w:t>第一条  定义</w:t>
      </w:r>
    </w:p>
    <w:p w14:paraId="708661D0">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1</w:t>
      </w:r>
      <w:r>
        <w:rPr>
          <w:rFonts w:hint="eastAsia" w:ascii="Times New Roman" w:hAnsi="Times New Roman" w:cs="Times New Roman"/>
          <w:color w:val="333333"/>
        </w:rPr>
        <w:t>、</w:t>
      </w:r>
      <w:r>
        <w:rPr>
          <w:rFonts w:ascii="Times New Roman" w:hAnsi="Times New Roman" w:cs="Times New Roman"/>
          <w:color w:val="333333"/>
        </w:rPr>
        <w:t xml:space="preserve"> “保密信息”指与提供方有关的所有信息，</w:t>
      </w:r>
      <w:r>
        <w:rPr>
          <w:rFonts w:hint="eastAsia" w:ascii="Times New Roman" w:hAnsi="Times New Roman" w:cs="Times New Roman"/>
          <w:color w:val="333333"/>
        </w:rPr>
        <w:t>形式包括但不限于</w:t>
      </w:r>
      <w:r>
        <w:rPr>
          <w:rFonts w:ascii="Times New Roman" w:hAnsi="Times New Roman" w:cs="Times New Roman"/>
          <w:color w:val="333333"/>
        </w:rPr>
        <w:t>书面文字形式、图片形式、机器阅读形式、口头形式或其他形式</w:t>
      </w:r>
    </w:p>
    <w:p w14:paraId="6E634CE4">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w:t>
      </w:r>
      <w:r>
        <w:rPr>
          <w:rFonts w:hint="eastAsia" w:ascii="Times New Roman" w:hAnsi="Times New Roman" w:cs="Times New Roman"/>
          <w:color w:val="333333"/>
        </w:rPr>
        <w:t>、保密信息</w:t>
      </w:r>
      <w:r>
        <w:rPr>
          <w:rFonts w:ascii="Times New Roman" w:hAnsi="Times New Roman" w:cs="Times New Roman"/>
          <w:color w:val="333333"/>
        </w:rPr>
        <w:t>包括</w:t>
      </w:r>
      <w:r>
        <w:rPr>
          <w:rFonts w:hint="eastAsia" w:ascii="Times New Roman" w:hAnsi="Times New Roman" w:cs="Times New Roman"/>
          <w:color w:val="333333"/>
        </w:rPr>
        <w:t>但</w:t>
      </w:r>
      <w:r>
        <w:rPr>
          <w:rFonts w:ascii="Times New Roman" w:hAnsi="Times New Roman" w:cs="Times New Roman"/>
          <w:color w:val="333333"/>
        </w:rPr>
        <w:t>不限于</w:t>
      </w:r>
      <w:r>
        <w:rPr>
          <w:rFonts w:hint="eastAsia" w:ascii="Times New Roman" w:hAnsi="Times New Roman" w:cs="Times New Roman"/>
          <w:color w:val="333333"/>
        </w:rPr>
        <w:t>以下内容：</w:t>
      </w:r>
    </w:p>
    <w:p w14:paraId="7289A90E">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hint="eastAsia" w:ascii="Times New Roman" w:hAnsi="Times New Roman" w:cs="Times New Roman"/>
          <w:color w:val="333333"/>
        </w:rPr>
        <w:t>2</w:t>
      </w:r>
      <w:r>
        <w:rPr>
          <w:rFonts w:ascii="Times New Roman" w:hAnsi="Times New Roman" w:cs="Times New Roman"/>
          <w:color w:val="333333"/>
        </w:rPr>
        <w:t xml:space="preserve">.1 </w:t>
      </w:r>
      <w:r>
        <w:rPr>
          <w:rFonts w:hint="eastAsia" w:ascii="Times New Roman" w:hAnsi="Times New Roman" w:cs="Times New Roman"/>
          <w:color w:val="333333"/>
        </w:rPr>
        <w:t>商务信息</w:t>
      </w:r>
    </w:p>
    <w:p w14:paraId="26278363">
      <w:pPr>
        <w:pStyle w:val="34"/>
        <w:adjustRightInd w:val="0"/>
        <w:snapToGrid w:val="0"/>
        <w:spacing w:before="0" w:beforeAutospacing="0" w:after="0" w:afterAutospacing="0" w:line="360" w:lineRule="auto"/>
        <w:ind w:firstLine="480" w:firstLineChars="200"/>
        <w:jc w:val="both"/>
        <w:rPr>
          <w:rFonts w:ascii="Times New Roman" w:hAnsi="Times New Roman" w:cs="Times New Roman"/>
        </w:rPr>
      </w:pPr>
      <w:r>
        <w:rPr>
          <w:rFonts w:hint="eastAsia" w:ascii="Times New Roman" w:hAnsi="Times New Roman" w:cs="Times New Roman"/>
        </w:rPr>
        <w:t>报价文件、投标文件、合同协议、委托书、实施方案、整改方案、测评报告、保密协议等乙方一切盖公章的材料。</w:t>
      </w:r>
    </w:p>
    <w:p w14:paraId="54E825D6">
      <w:pPr>
        <w:pStyle w:val="34"/>
        <w:adjustRightInd w:val="0"/>
        <w:snapToGrid w:val="0"/>
        <w:spacing w:before="0" w:beforeAutospacing="0" w:after="0" w:afterAutospacing="0" w:line="360" w:lineRule="auto"/>
        <w:ind w:firstLine="480" w:firstLineChars="200"/>
        <w:jc w:val="both"/>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 xml:space="preserve">.2 </w:t>
      </w:r>
      <w:r>
        <w:rPr>
          <w:rFonts w:hint="eastAsia" w:ascii="Times New Roman" w:hAnsi="Times New Roman" w:cs="Times New Roman"/>
        </w:rPr>
        <w:t>系统数据</w:t>
      </w:r>
    </w:p>
    <w:p w14:paraId="69005769">
      <w:pPr>
        <w:pStyle w:val="34"/>
        <w:adjustRightInd w:val="0"/>
        <w:snapToGrid w:val="0"/>
        <w:spacing w:before="0" w:beforeAutospacing="0" w:after="0" w:afterAutospacing="0" w:line="360" w:lineRule="auto"/>
        <w:ind w:firstLine="480" w:firstLineChars="200"/>
        <w:jc w:val="both"/>
        <w:rPr>
          <w:rFonts w:ascii="Times New Roman" w:hAnsi="Times New Roman" w:cs="Times New Roman"/>
        </w:rPr>
      </w:pPr>
      <w:r>
        <w:rPr>
          <w:rFonts w:hint="eastAsia" w:ascii="Times New Roman" w:hAnsi="Times New Roman" w:cs="Times New Roman"/>
        </w:rPr>
        <w:t>系统设计、系统需求、业务数据、网络拓扑、系统弱点、系统和设备的管理信息（包含账户、密码）、管理制度及记录等。</w:t>
      </w:r>
    </w:p>
    <w:p w14:paraId="4D263AB9">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hint="eastAsia" w:ascii="Times New Roman" w:hAnsi="Times New Roman" w:cs="Times New Roman"/>
        </w:rPr>
        <w:t>2</w:t>
      </w:r>
      <w:r>
        <w:rPr>
          <w:rFonts w:ascii="Times New Roman" w:hAnsi="Times New Roman" w:cs="Times New Roman"/>
        </w:rPr>
        <w:t xml:space="preserve">.3 </w:t>
      </w:r>
      <w:r>
        <w:rPr>
          <w:rFonts w:hint="eastAsia" w:ascii="Times New Roman" w:hAnsi="Times New Roman" w:cs="Times New Roman"/>
        </w:rPr>
        <w:t>其他</w:t>
      </w:r>
    </w:p>
    <w:p w14:paraId="4EA7B468">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财务信息、知识产权、</w:t>
      </w:r>
      <w:r>
        <w:rPr>
          <w:rFonts w:hint="eastAsia" w:ascii="Times New Roman" w:hAnsi="Times New Roman" w:cs="Times New Roman"/>
          <w:color w:val="333333"/>
        </w:rPr>
        <w:t>用户信息</w:t>
      </w:r>
      <w:r>
        <w:rPr>
          <w:rFonts w:ascii="Times New Roman" w:hAnsi="Times New Roman" w:cs="Times New Roman"/>
          <w:color w:val="333333"/>
        </w:rPr>
        <w:t>，以及其他具有机密性质的信息。</w:t>
      </w:r>
    </w:p>
    <w:p w14:paraId="12C0D486">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hint="eastAsia" w:ascii="Times New Roman" w:hAnsi="Times New Roman" w:cs="Times New Roman"/>
          <w:color w:val="333333"/>
        </w:rPr>
        <w:t>3、</w:t>
      </w:r>
      <w:r>
        <w:rPr>
          <w:rFonts w:ascii="Times New Roman" w:hAnsi="Times New Roman" w:cs="Times New Roman"/>
          <w:color w:val="333333"/>
        </w:rPr>
        <w:t>本协议规定的保密信息不包括以下信息：</w:t>
      </w:r>
    </w:p>
    <w:p w14:paraId="0AA5CAE3">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 xml:space="preserve">3.1 </w:t>
      </w:r>
      <w:r>
        <w:rPr>
          <w:rFonts w:hint="eastAsia" w:ascii="Times New Roman" w:hAnsi="Times New Roman" w:cs="Times New Roman"/>
          <w:color w:val="333333"/>
        </w:rPr>
        <w:t>双方约定可公开的信息</w:t>
      </w:r>
    </w:p>
    <w:p w14:paraId="15650E68">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hint="eastAsia" w:ascii="Times New Roman" w:hAnsi="Times New Roman" w:cs="Times New Roman"/>
          <w:color w:val="333333"/>
        </w:rPr>
        <w:t>3.</w:t>
      </w:r>
      <w:r>
        <w:rPr>
          <w:rFonts w:ascii="Times New Roman" w:hAnsi="Times New Roman" w:cs="Times New Roman"/>
          <w:color w:val="333333"/>
        </w:rPr>
        <w:t>2 适用法律、司法</w:t>
      </w:r>
      <w:r>
        <w:rPr>
          <w:rFonts w:hint="eastAsia" w:ascii="Times New Roman" w:hAnsi="Times New Roman" w:cs="Times New Roman"/>
          <w:color w:val="333333"/>
        </w:rPr>
        <w:t>机关</w:t>
      </w:r>
      <w:r>
        <w:rPr>
          <w:rFonts w:ascii="Times New Roman" w:hAnsi="Times New Roman" w:cs="Times New Roman"/>
          <w:color w:val="333333"/>
        </w:rPr>
        <w:t>或有关监管机构</w:t>
      </w:r>
      <w:r>
        <w:rPr>
          <w:rFonts w:hint="eastAsia" w:ascii="Times New Roman" w:hAnsi="Times New Roman" w:cs="Times New Roman"/>
          <w:color w:val="333333"/>
        </w:rPr>
        <w:t>需要获取的</w:t>
      </w:r>
      <w:r>
        <w:rPr>
          <w:rFonts w:ascii="Times New Roman" w:hAnsi="Times New Roman" w:cs="Times New Roman"/>
          <w:color w:val="333333"/>
        </w:rPr>
        <w:t>信息</w:t>
      </w:r>
    </w:p>
    <w:p w14:paraId="60E65823">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hint="eastAsia" w:ascii="Times New Roman" w:hAnsi="Times New Roman" w:cs="Times New Roman"/>
          <w:color w:val="333333"/>
        </w:rPr>
        <w:t>3</w:t>
      </w:r>
      <w:r>
        <w:rPr>
          <w:rFonts w:ascii="Times New Roman" w:hAnsi="Times New Roman" w:cs="Times New Roman"/>
          <w:color w:val="333333"/>
        </w:rPr>
        <w:t xml:space="preserve">.3 </w:t>
      </w:r>
      <w:r>
        <w:rPr>
          <w:rFonts w:hint="eastAsia" w:ascii="Times New Roman" w:hAnsi="Times New Roman" w:cs="Times New Roman"/>
          <w:color w:val="333333"/>
        </w:rPr>
        <w:t>上级主管单位需要获取的信息</w:t>
      </w:r>
    </w:p>
    <w:p w14:paraId="7FD024EE">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p>
    <w:p w14:paraId="6F25C614">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在从提供方处获得前，已经为接收方掌握的信息；</w:t>
      </w:r>
    </w:p>
    <w:p w14:paraId="172CE4C7">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(b)</w:t>
      </w:r>
      <w:r>
        <w:rPr>
          <w:rFonts w:ascii="Times New Roman" w:hAnsi="Times New Roman" w:cs="Times New Roman"/>
          <w:color w:val="333333"/>
        </w:rPr>
        <w:tab/>
      </w:r>
      <w:r>
        <w:rPr>
          <w:rFonts w:ascii="Times New Roman" w:hAnsi="Times New Roman" w:cs="Times New Roman"/>
          <w:color w:val="333333"/>
        </w:rPr>
        <w:t>已经是或者正在为公众所知的信息，除非为公众所知是由于接收方违反本协议；</w:t>
      </w:r>
    </w:p>
    <w:p w14:paraId="30517558">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(c)</w:t>
      </w:r>
      <w:r>
        <w:rPr>
          <w:rFonts w:ascii="Times New Roman" w:hAnsi="Times New Roman" w:cs="Times New Roman"/>
          <w:color w:val="333333"/>
        </w:rPr>
        <w:tab/>
      </w:r>
      <w:r>
        <w:rPr>
          <w:rFonts w:ascii="Times New Roman" w:hAnsi="Times New Roman" w:cs="Times New Roman"/>
          <w:color w:val="333333"/>
        </w:rPr>
        <w:t>由接收方独立开发的信息；</w:t>
      </w:r>
    </w:p>
    <w:p w14:paraId="400F7CA6">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(d)</w:t>
      </w:r>
      <w:r>
        <w:rPr>
          <w:rFonts w:ascii="Times New Roman" w:hAnsi="Times New Roman" w:cs="Times New Roman"/>
          <w:color w:val="333333"/>
        </w:rPr>
        <w:tab/>
      </w:r>
      <w:r>
        <w:rPr>
          <w:rFonts w:ascii="Times New Roman" w:hAnsi="Times New Roman" w:cs="Times New Roman"/>
          <w:color w:val="333333"/>
        </w:rPr>
        <w:t>如接收方或相关人士，接收方会即时通知提供方，以便提供方可就该等披露申请保护令及／或免去接收方或其相关人士遵守本协议中有关保密信息的规定。如提供方不获该等保护令，即代表提供方同意就该等披露免去接收方或其相关人士遵守本协议的规定，接收方会或促使其相关人士（视乎情况而定）只提供法律所需接收方披露的该等保密信息资料；</w:t>
      </w:r>
    </w:p>
    <w:p w14:paraId="2D2DB151">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(e)</w:t>
      </w:r>
      <w:r>
        <w:rPr>
          <w:rFonts w:ascii="Times New Roman" w:hAnsi="Times New Roman" w:cs="Times New Roman"/>
          <w:color w:val="333333"/>
        </w:rPr>
        <w:tab/>
      </w:r>
      <w:r>
        <w:rPr>
          <w:rFonts w:ascii="Times New Roman" w:hAnsi="Times New Roman" w:cs="Times New Roman"/>
          <w:color w:val="333333"/>
        </w:rPr>
        <w:t>依提供方的书面授权而向第三方所披露的保密信息；或</w:t>
      </w:r>
    </w:p>
    <w:p w14:paraId="4CF82F11">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(f) 从第三方获得的信息，该等第三方应当没有受到类似保密义务的限制。</w:t>
      </w:r>
    </w:p>
    <w:p w14:paraId="68327351">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1.2“提供方”是指保密信息的来源方。</w:t>
      </w:r>
    </w:p>
    <w:p w14:paraId="727EE9F3">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1.3“接收方”是指保密信息的获得方。</w:t>
      </w:r>
    </w:p>
    <w:p w14:paraId="09E21554">
      <w:pPr>
        <w:pStyle w:val="34"/>
        <w:adjustRightInd w:val="0"/>
        <w:snapToGrid w:val="0"/>
        <w:spacing w:before="0" w:beforeAutospacing="0" w:after="0" w:afterAutospacing="0" w:line="360" w:lineRule="auto"/>
        <w:ind w:firstLine="482" w:firstLineChars="200"/>
        <w:jc w:val="both"/>
        <w:rPr>
          <w:rFonts w:ascii="Times New Roman" w:hAnsi="Times New Roman" w:cs="Times New Roman"/>
          <w:b/>
          <w:color w:val="333333"/>
        </w:rPr>
      </w:pPr>
      <w:r>
        <w:rPr>
          <w:rFonts w:ascii="Times New Roman" w:hAnsi="Times New Roman" w:cs="Times New Roman"/>
          <w:b/>
          <w:color w:val="333333"/>
        </w:rPr>
        <w:t>第二条  保密义务</w:t>
      </w:r>
    </w:p>
    <w:p w14:paraId="4158E958">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2.1 甲乙双方在</w:t>
      </w:r>
      <w:r>
        <w:rPr>
          <w:rFonts w:hint="eastAsia" w:ascii="Times New Roman" w:hAnsi="Times New Roman" w:cs="Times New Roman"/>
          <w:color w:val="333333"/>
        </w:rPr>
        <w:t>服务项目实施</w:t>
      </w:r>
      <w:r>
        <w:rPr>
          <w:rFonts w:ascii="Times New Roman" w:hAnsi="Times New Roman" w:cs="Times New Roman"/>
          <w:color w:val="333333"/>
        </w:rPr>
        <w:t>过程中依法负有保密义务。接收方对于自提供方</w:t>
      </w:r>
      <w:r>
        <w:rPr>
          <w:rFonts w:hint="eastAsia" w:ascii="Times New Roman" w:hAnsi="Times New Roman" w:cs="Times New Roman"/>
          <w:color w:val="333333"/>
        </w:rPr>
        <w:t>处</w:t>
      </w:r>
      <w:r>
        <w:rPr>
          <w:rFonts w:ascii="Times New Roman" w:hAnsi="Times New Roman" w:cs="Times New Roman"/>
          <w:color w:val="333333"/>
        </w:rPr>
        <w:t>获悉的保密信息负有完全和严格的保密义务。除非为了</w:t>
      </w:r>
      <w:r>
        <w:rPr>
          <w:rFonts w:hint="eastAsia" w:ascii="Times New Roman" w:hAnsi="Times New Roman" w:cs="Times New Roman"/>
          <w:color w:val="333333"/>
        </w:rPr>
        <w:t>服务</w:t>
      </w:r>
      <w:r>
        <w:rPr>
          <w:rFonts w:ascii="Times New Roman" w:hAnsi="Times New Roman" w:cs="Times New Roman"/>
          <w:color w:val="333333"/>
        </w:rPr>
        <w:t>项目之目的，接收方不得使用保密信息；未经提供方事先书面同意，接收方不得故意或过失为自己或他人的利益使用、允许使用、转让、复制、传授、泄漏保密信息；接收方不得擅自将保密信息数据分析结果或从该等分析中收益所得转让、复制、传授、泄漏给未经授权的第三方机构或者个人。</w:t>
      </w:r>
    </w:p>
    <w:p w14:paraId="0AFCA6CB">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2.2 在合作期间，如接收方因工作的需要而对外披露提供方商业信息的，须取得提供方的书面授权。未经提供方书面授权，接收方不得将保密信息向外披露，但是因以下情况所进行的披露除外：</w:t>
      </w:r>
    </w:p>
    <w:p w14:paraId="19977AB6">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(a)</w:t>
      </w:r>
      <w:r>
        <w:rPr>
          <w:rFonts w:ascii="Times New Roman" w:hAnsi="Times New Roman" w:cs="Times New Roman"/>
          <w:color w:val="333333"/>
        </w:rPr>
        <w:tab/>
      </w:r>
      <w:r>
        <w:rPr>
          <w:rFonts w:ascii="Times New Roman" w:hAnsi="Times New Roman" w:cs="Times New Roman"/>
          <w:color w:val="333333"/>
        </w:rPr>
        <w:t>接收方及其相关人士向在正常业务中所委托的审计、律师等工作人员进行的披露，但前提是该等人员必须对其在进行前述工作中所获知的与本条规定有关的信息承担保密义务；</w:t>
      </w:r>
    </w:p>
    <w:p w14:paraId="634B5E19">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(b)</w:t>
      </w:r>
      <w:r>
        <w:rPr>
          <w:rFonts w:ascii="Times New Roman" w:hAnsi="Times New Roman" w:cs="Times New Roman"/>
          <w:color w:val="333333"/>
        </w:rPr>
        <w:tab/>
      </w:r>
      <w:r>
        <w:rPr>
          <w:rFonts w:ascii="Times New Roman" w:hAnsi="Times New Roman" w:cs="Times New Roman"/>
          <w:color w:val="333333"/>
        </w:rPr>
        <w:t>该等信息可由公开途径获得或者该信息的披露是法律法规的要求；</w:t>
      </w:r>
    </w:p>
    <w:p w14:paraId="5D65D7F2">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(c)</w:t>
      </w:r>
      <w:r>
        <w:rPr>
          <w:rFonts w:ascii="Times New Roman" w:hAnsi="Times New Roman" w:cs="Times New Roman"/>
          <w:color w:val="333333"/>
        </w:rPr>
        <w:tab/>
      </w:r>
      <w:r>
        <w:rPr>
          <w:rFonts w:ascii="Times New Roman" w:hAnsi="Times New Roman" w:cs="Times New Roman"/>
          <w:color w:val="333333"/>
        </w:rPr>
        <w:t>接收方及其相关人士向法院或者根据任何诉前披露程序或类似程序的要求，或根据所采取的法律程序所进行的与本协议有关的披露；或</w:t>
      </w:r>
    </w:p>
    <w:p w14:paraId="271A4A37">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(d)</w:t>
      </w:r>
      <w:r>
        <w:rPr>
          <w:rFonts w:ascii="Times New Roman" w:hAnsi="Times New Roman" w:cs="Times New Roman"/>
          <w:color w:val="333333"/>
        </w:rPr>
        <w:tab/>
      </w:r>
      <w:r>
        <w:rPr>
          <w:rFonts w:ascii="Times New Roman" w:hAnsi="Times New Roman" w:cs="Times New Roman"/>
          <w:color w:val="333333"/>
        </w:rPr>
        <w:t>接收方及其相关人士根据监管机构的要求，向监管机构进行的披露。</w:t>
      </w:r>
    </w:p>
    <w:p w14:paraId="369DD7A7">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2.3 接收方同意严格限制上述保密信息在接收方内部的披露，只对需要知晓上述保密信息的员工披露；且有义务促使与其相关或关联的任何人或其代表遵守本协议中的相关规定。</w:t>
      </w:r>
    </w:p>
    <w:p w14:paraId="6066F9EF">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2.4 接收方不得向与提供方存在直接商业竞争关系或其他利害关系的自然人、法人或者其他单位披露其保密信息。</w:t>
      </w:r>
    </w:p>
    <w:p w14:paraId="698F1E9D">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2.5 双方同意如发现提供方的保密信息被泄露的，接收方应当采取有效措施防止泄密进一步扩大，并及时向提供方报告。 </w:t>
      </w:r>
    </w:p>
    <w:p w14:paraId="3296503E">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2.6 提供方要求接收方返还与其保密信息有关的文件、资料、数据、副本等任何文件的，接收方应当在接到返还要求的通知后10个工作日内返还，不得保留任何备份</w:t>
      </w:r>
      <w:r>
        <w:rPr>
          <w:rFonts w:hint="eastAsia" w:ascii="Times New Roman" w:hAnsi="Times New Roman" w:cs="Times New Roman"/>
          <w:color w:val="333333"/>
        </w:rPr>
        <w:t>，按照法律法规必须由接收方保留的除外</w:t>
      </w:r>
      <w:r>
        <w:rPr>
          <w:rFonts w:ascii="Times New Roman" w:hAnsi="Times New Roman" w:cs="Times New Roman"/>
          <w:color w:val="333333"/>
        </w:rPr>
        <w:t>。</w:t>
      </w:r>
    </w:p>
    <w:p w14:paraId="4B9120E1">
      <w:pPr>
        <w:pStyle w:val="34"/>
        <w:adjustRightInd w:val="0"/>
        <w:snapToGrid w:val="0"/>
        <w:spacing w:before="0" w:beforeAutospacing="0" w:after="0" w:afterAutospacing="0" w:line="360" w:lineRule="auto"/>
        <w:ind w:firstLine="482" w:firstLineChars="200"/>
        <w:jc w:val="both"/>
        <w:rPr>
          <w:rFonts w:ascii="Times New Roman" w:hAnsi="Times New Roman" w:cs="Times New Roman"/>
          <w:b/>
          <w:color w:val="333333"/>
        </w:rPr>
      </w:pPr>
      <w:r>
        <w:rPr>
          <w:rFonts w:ascii="Times New Roman" w:hAnsi="Times New Roman" w:cs="Times New Roman"/>
          <w:b/>
          <w:color w:val="333333"/>
        </w:rPr>
        <w:t>第三条  保密期限</w:t>
      </w:r>
    </w:p>
    <w:p w14:paraId="19A74716">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本协议约定的保密义务具有持续性，不因双方合作的结束而终止。保密信息的保密期限为本协议签订之日起至该等信息已公开或经提供方书面许可公开为止。</w:t>
      </w:r>
    </w:p>
    <w:p w14:paraId="415EC752">
      <w:pPr>
        <w:pStyle w:val="34"/>
        <w:adjustRightInd w:val="0"/>
        <w:snapToGrid w:val="0"/>
        <w:spacing w:before="0" w:beforeAutospacing="0" w:after="0" w:afterAutospacing="0" w:line="360" w:lineRule="auto"/>
        <w:ind w:firstLine="482" w:firstLineChars="200"/>
        <w:jc w:val="both"/>
        <w:rPr>
          <w:rFonts w:ascii="Times New Roman" w:hAnsi="Times New Roman" w:cs="Times New Roman"/>
          <w:b/>
          <w:color w:val="333333"/>
        </w:rPr>
      </w:pPr>
      <w:r>
        <w:rPr>
          <w:rFonts w:ascii="Times New Roman" w:hAnsi="Times New Roman" w:cs="Times New Roman"/>
          <w:b/>
          <w:color w:val="333333"/>
        </w:rPr>
        <w:t>第四条  豁免</w:t>
      </w:r>
    </w:p>
    <w:p w14:paraId="6C1174B2">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如果接收方或其高级职员或其雇员因为司法程序或政府行政部门依法提起的行政调查程序或类似程序被要求披露任何保密信息，接收方应将此等要求立即书面通知提供方，以便提供方采取适当法律行动或豁免接收方在本协议项下的保密义务。接收方在未能采取相关法律行动或未收到豁免通知之前，如根据其律师的意见，为避免承担民事、刑事或行政责任必须披露保密信息，则可披露依法要求披露之部分，而无需在本协议下承担责任。</w:t>
      </w:r>
    </w:p>
    <w:p w14:paraId="74B6BDAF">
      <w:pPr>
        <w:pStyle w:val="34"/>
        <w:adjustRightInd w:val="0"/>
        <w:snapToGrid w:val="0"/>
        <w:spacing w:before="0" w:beforeAutospacing="0" w:after="0" w:afterAutospacing="0" w:line="360" w:lineRule="auto"/>
        <w:ind w:firstLine="482" w:firstLineChars="200"/>
        <w:jc w:val="both"/>
        <w:rPr>
          <w:rFonts w:ascii="Times New Roman" w:hAnsi="Times New Roman" w:cs="Times New Roman"/>
          <w:color w:val="333333"/>
        </w:rPr>
      </w:pPr>
      <w:r>
        <w:rPr>
          <w:rFonts w:ascii="Times New Roman" w:hAnsi="Times New Roman" w:cs="Times New Roman"/>
          <w:b/>
          <w:color w:val="333333"/>
        </w:rPr>
        <w:t>第五条  违约责任</w:t>
      </w:r>
    </w:p>
    <w:p w14:paraId="2197C781">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接收方违反本协议的约定，故意或者过失泄露对方的保密信息的，应当采取有效措施防止保密信息进一步被泄露。因泄露保密信息造成提供方损失的，应赔偿其损失。</w:t>
      </w:r>
    </w:p>
    <w:p w14:paraId="56CD6D1D">
      <w:pPr>
        <w:pStyle w:val="34"/>
        <w:adjustRightInd w:val="0"/>
        <w:snapToGrid w:val="0"/>
        <w:spacing w:before="0" w:beforeAutospacing="0" w:after="0" w:afterAutospacing="0" w:line="360" w:lineRule="auto"/>
        <w:ind w:firstLine="482" w:firstLineChars="200"/>
        <w:jc w:val="both"/>
        <w:rPr>
          <w:rFonts w:ascii="Times New Roman" w:hAnsi="Times New Roman" w:cs="Times New Roman"/>
          <w:b/>
          <w:color w:val="333333"/>
        </w:rPr>
      </w:pPr>
      <w:r>
        <w:rPr>
          <w:rFonts w:ascii="Times New Roman" w:hAnsi="Times New Roman" w:cs="Times New Roman"/>
          <w:b/>
          <w:color w:val="333333"/>
        </w:rPr>
        <w:t>第六条 不可抗力</w:t>
      </w:r>
    </w:p>
    <w:p w14:paraId="21DFD5CB">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6.1</w:t>
      </w:r>
      <w:r>
        <w:rPr>
          <w:rFonts w:ascii="Times New Roman" w:hAnsi="Times New Roman" w:cs="Times New Roman"/>
          <w:color w:val="333333"/>
        </w:rPr>
        <w:tab/>
      </w:r>
      <w:r>
        <w:rPr>
          <w:rFonts w:ascii="Times New Roman" w:hAnsi="Times New Roman" w:cs="Times New Roman"/>
          <w:color w:val="333333"/>
        </w:rPr>
        <w:t>本协议所指“不可抗力”是指由于地震、水灾、战争、政府行为以及其他不能预见并对其发生后果不能合理预防或避免的各类事件。</w:t>
      </w:r>
    </w:p>
    <w:p w14:paraId="23198193">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6.2</w:t>
      </w:r>
      <w:r>
        <w:rPr>
          <w:rFonts w:ascii="Times New Roman" w:hAnsi="Times New Roman" w:cs="Times New Roman"/>
          <w:color w:val="333333"/>
        </w:rPr>
        <w:tab/>
      </w:r>
      <w:r>
        <w:rPr>
          <w:rFonts w:ascii="Times New Roman" w:hAnsi="Times New Roman" w:cs="Times New Roman"/>
          <w:color w:val="333333"/>
        </w:rPr>
        <w:t>如果任何一方由于不可抗力而全部或部分不能履行本协议，则该方应在不可抗力发生后10日内书面通知另一方；并应在30日内提供事件的详细情况及有关主管机关、职能部门或公证机构证明本协议全部或部分不能履行的证明文件。</w:t>
      </w:r>
    </w:p>
    <w:p w14:paraId="248C9A0E">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6.3</w:t>
      </w:r>
      <w:r>
        <w:rPr>
          <w:rFonts w:ascii="Times New Roman" w:hAnsi="Times New Roman" w:cs="Times New Roman"/>
          <w:color w:val="333333"/>
        </w:rPr>
        <w:tab/>
      </w:r>
      <w:r>
        <w:rPr>
          <w:rFonts w:ascii="Times New Roman" w:hAnsi="Times New Roman" w:cs="Times New Roman"/>
          <w:color w:val="333333"/>
        </w:rPr>
        <w:t>因不可抗力而导致任何一方全部或部分不能履行本协议的，该方不承担违约责任，但该方应采取一切必要和适当的措施减轻可能给另一方造成的损失。</w:t>
      </w:r>
    </w:p>
    <w:p w14:paraId="40FEC0A9">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6.4</w:t>
      </w:r>
      <w:r>
        <w:rPr>
          <w:rFonts w:ascii="Times New Roman" w:hAnsi="Times New Roman" w:cs="Times New Roman"/>
          <w:color w:val="333333"/>
        </w:rPr>
        <w:tab/>
      </w:r>
      <w:r>
        <w:rPr>
          <w:rFonts w:ascii="Times New Roman" w:hAnsi="Times New Roman" w:cs="Times New Roman"/>
          <w:color w:val="333333"/>
        </w:rPr>
        <w:t>发生不可抗力，各方应依据不可抗力对履行本协议的影响程度，协商决定变更或终止本协议。</w:t>
      </w:r>
    </w:p>
    <w:p w14:paraId="0831E85E">
      <w:pPr>
        <w:pStyle w:val="34"/>
        <w:adjustRightInd w:val="0"/>
        <w:snapToGrid w:val="0"/>
        <w:spacing w:before="0" w:beforeAutospacing="0" w:after="0" w:afterAutospacing="0" w:line="360" w:lineRule="auto"/>
        <w:ind w:firstLine="482" w:firstLineChars="200"/>
        <w:jc w:val="both"/>
        <w:rPr>
          <w:rFonts w:ascii="Times New Roman" w:hAnsi="Times New Roman" w:cs="Times New Roman"/>
          <w:b/>
          <w:color w:val="333333"/>
        </w:rPr>
      </w:pPr>
      <w:r>
        <w:rPr>
          <w:rFonts w:ascii="Times New Roman" w:hAnsi="Times New Roman" w:cs="Times New Roman"/>
          <w:b/>
          <w:color w:val="333333"/>
        </w:rPr>
        <w:t>第七条  争议解决方法</w:t>
      </w:r>
    </w:p>
    <w:p w14:paraId="7DAC10DF">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因本协议的内容发生争议的，由双方协商解决。协商不成，向本协议签署地有管辖权的人民法院提起诉讼解决。 </w:t>
      </w:r>
    </w:p>
    <w:p w14:paraId="4D103A17">
      <w:pPr>
        <w:pStyle w:val="34"/>
        <w:adjustRightInd w:val="0"/>
        <w:snapToGrid w:val="0"/>
        <w:spacing w:before="0" w:beforeAutospacing="0" w:after="0" w:afterAutospacing="0" w:line="360" w:lineRule="auto"/>
        <w:ind w:firstLine="482" w:firstLineChars="200"/>
        <w:jc w:val="both"/>
        <w:rPr>
          <w:rFonts w:ascii="Times New Roman" w:hAnsi="Times New Roman" w:cs="Times New Roman"/>
          <w:color w:val="333333"/>
        </w:rPr>
      </w:pPr>
      <w:r>
        <w:rPr>
          <w:rFonts w:ascii="Times New Roman" w:hAnsi="Times New Roman" w:cs="Times New Roman"/>
          <w:b/>
          <w:color w:val="333333"/>
        </w:rPr>
        <w:t>第八条  协议的效力和变更</w:t>
      </w:r>
    </w:p>
    <w:p w14:paraId="02916099">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8.1本协议自甲、乙双方法定代表人或其授权代表签署并加盖公章（或合同专用章）后生效。</w:t>
      </w:r>
    </w:p>
    <w:p w14:paraId="1E3371B3">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8.2双方协商一致可以对本协议进行修改或者补充，协议的任何修改或者补充是本协议不可分割的一部分，具有与本协议同等的法律效力。</w:t>
      </w:r>
    </w:p>
    <w:p w14:paraId="369DA8A3">
      <w:pPr>
        <w:pStyle w:val="34"/>
        <w:adjustRightInd w:val="0"/>
        <w:snapToGrid w:val="0"/>
        <w:spacing w:before="0" w:beforeAutospacing="0" w:after="0" w:afterAutospacing="0" w:line="360" w:lineRule="auto"/>
        <w:ind w:firstLine="482" w:firstLineChars="200"/>
        <w:jc w:val="both"/>
        <w:rPr>
          <w:rFonts w:ascii="Times New Roman" w:hAnsi="Times New Roman" w:cs="Times New Roman"/>
          <w:b/>
          <w:color w:val="333333"/>
        </w:rPr>
      </w:pPr>
      <w:r>
        <w:rPr>
          <w:rFonts w:ascii="Times New Roman" w:hAnsi="Times New Roman" w:cs="Times New Roman"/>
          <w:b/>
          <w:color w:val="333333"/>
        </w:rPr>
        <w:t>第九条  其他</w:t>
      </w:r>
    </w:p>
    <w:p w14:paraId="595B4011">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9.1本协议一式二份，甲、乙双方各执一份，具有同等法律效力。</w:t>
      </w:r>
    </w:p>
    <w:p w14:paraId="1CB5B7A0">
      <w:pPr>
        <w:pStyle w:val="34"/>
        <w:adjustRightInd w:val="0"/>
        <w:snapToGrid w:val="0"/>
        <w:spacing w:before="0" w:beforeAutospacing="0" w:after="0" w:afterAutospacing="0" w:line="360" w:lineRule="auto"/>
        <w:ind w:firstLine="480" w:firstLineChars="200"/>
        <w:jc w:val="both"/>
        <w:rPr>
          <w:rFonts w:ascii="Times New Roman" w:hAnsi="Times New Roman" w:cs="Times New Roman"/>
          <w:color w:val="333333"/>
        </w:rPr>
      </w:pPr>
      <w:r>
        <w:rPr>
          <w:rFonts w:ascii="Times New Roman" w:hAnsi="Times New Roman" w:cs="Times New Roman"/>
          <w:color w:val="333333"/>
        </w:rPr>
        <w:t>9.2双方确认协议首部的地址适用于提起诉讼或仲裁时，法院或仲裁机构送达相关法律文书使用。相关催收文书、诉讼仲裁文书向上述地址邮寄的，自发出之日起第四日即视为送达之日；若因一方提供的地址不确切、或不及时告知变更后的地址、联系方式，导致相关通知、法律文书无法送达被退回的，则退回之日视为送达之日。</w:t>
      </w:r>
    </w:p>
    <w:p w14:paraId="02523ABD">
      <w:pPr>
        <w:pStyle w:val="34"/>
        <w:adjustRightInd w:val="0"/>
        <w:snapToGrid w:val="0"/>
        <w:spacing w:before="0" w:beforeAutospacing="0" w:after="0" w:afterAutospacing="0" w:line="360" w:lineRule="auto"/>
        <w:rPr>
          <w:rFonts w:ascii="Times New Roman" w:hAnsi="Times New Roman" w:cs="Times New Roman"/>
          <w:bCs/>
          <w:color w:val="333333"/>
        </w:rPr>
      </w:pPr>
    </w:p>
    <w:p w14:paraId="27A40E52">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鉴此，甲、乙双方共同于文首所载日期签署本协议：</w:t>
      </w:r>
    </w:p>
    <w:p w14:paraId="5BC63954">
      <w:pPr>
        <w:pStyle w:val="34"/>
        <w:adjustRightInd w:val="0"/>
        <w:snapToGrid w:val="0"/>
        <w:spacing w:before="0" w:beforeAutospacing="0" w:after="0" w:afterAutospacing="0" w:line="360" w:lineRule="auto"/>
        <w:rPr>
          <w:rFonts w:ascii="Times New Roman" w:hAnsi="Times New Roman" w:cs="Times New Roman"/>
          <w:bCs/>
          <w:color w:val="333333"/>
        </w:rPr>
      </w:pPr>
    </w:p>
    <w:p w14:paraId="5E923EAE">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甲方（盖章）： </w:t>
      </w:r>
    </w:p>
    <w:p w14:paraId="2B7B7A05">
      <w:pPr>
        <w:pStyle w:val="34"/>
        <w:adjustRightInd w:val="0"/>
        <w:snapToGrid w:val="0"/>
        <w:spacing w:before="0" w:beforeAutospacing="0" w:after="0" w:afterAutospacing="0" w:line="360" w:lineRule="auto"/>
        <w:rPr>
          <w:rFonts w:ascii="Times New Roman" w:hAnsi="Times New Roman" w:cs="Times New Roman"/>
          <w:bCs/>
          <w:color w:val="333333"/>
        </w:rPr>
      </w:pPr>
    </w:p>
    <w:p w14:paraId="3B04DF5E">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法定代表人/授权代表（签署）： </w:t>
      </w:r>
    </w:p>
    <w:p w14:paraId="44F9F2EA">
      <w:pPr>
        <w:pStyle w:val="34"/>
        <w:adjustRightInd w:val="0"/>
        <w:snapToGrid w:val="0"/>
        <w:spacing w:before="0" w:beforeAutospacing="0" w:after="0" w:afterAutospacing="0" w:line="360" w:lineRule="auto"/>
        <w:rPr>
          <w:rFonts w:ascii="Times New Roman" w:hAnsi="Times New Roman" w:cs="Times New Roman"/>
          <w:bCs/>
          <w:color w:val="333333"/>
        </w:rPr>
      </w:pPr>
    </w:p>
    <w:p w14:paraId="43E8C5B6">
      <w:pPr>
        <w:pStyle w:val="34"/>
        <w:adjustRightInd w:val="0"/>
        <w:snapToGrid w:val="0"/>
        <w:spacing w:before="0" w:beforeAutospacing="0" w:after="0" w:afterAutospacing="0" w:line="360" w:lineRule="auto"/>
        <w:rPr>
          <w:rFonts w:ascii="Times New Roman" w:hAnsi="Times New Roman" w:cs="Times New Roman"/>
          <w:bCs/>
          <w:color w:val="333333"/>
        </w:rPr>
      </w:pPr>
    </w:p>
    <w:p w14:paraId="53F5B4A0">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乙方（盖章）：</w:t>
      </w:r>
    </w:p>
    <w:p w14:paraId="141F5257">
      <w:pPr>
        <w:pStyle w:val="34"/>
        <w:adjustRightInd w:val="0"/>
        <w:snapToGrid w:val="0"/>
        <w:spacing w:before="0" w:beforeAutospacing="0" w:after="0" w:afterAutospacing="0" w:line="360" w:lineRule="auto"/>
        <w:rPr>
          <w:rFonts w:ascii="Times New Roman" w:hAnsi="Times New Roman" w:cs="Times New Roman"/>
          <w:bCs/>
          <w:color w:val="333333"/>
        </w:rPr>
      </w:pPr>
      <w:r>
        <w:rPr>
          <w:rFonts w:ascii="Times New Roman" w:hAnsi="Times New Roman" w:cs="Times New Roman"/>
          <w:bCs/>
          <w:color w:val="333333"/>
        </w:rPr>
        <w:t xml:space="preserve"> </w:t>
      </w:r>
    </w:p>
    <w:p w14:paraId="10A6A2E2">
      <w:pPr>
        <w:rPr>
          <w:rFonts w:ascii="Times New Roman" w:hAnsi="Times New Roman"/>
          <w:bCs/>
          <w:color w:val="333333"/>
        </w:rPr>
      </w:pPr>
      <w:r>
        <w:rPr>
          <w:rFonts w:ascii="Times New Roman" w:hAnsi="Times New Roman"/>
          <w:bCs/>
          <w:color w:val="333333"/>
        </w:rPr>
        <w:t>法定代表人/授权代表（签署）：</w:t>
      </w:r>
    </w:p>
    <w:p w14:paraId="63C37252">
      <w:pPr>
        <w:rPr>
          <w:rFonts w:ascii="Times New Roman" w:hAnsi="Times New Roman"/>
          <w:bCs/>
          <w:color w:val="333333"/>
        </w:rPr>
      </w:pPr>
      <w:r>
        <w:rPr>
          <w:rFonts w:ascii="Times New Roman" w:hAnsi="Times New Roman"/>
          <w:bCs/>
          <w:color w:val="333333"/>
        </w:rPr>
        <w:br w:type="page"/>
      </w:r>
    </w:p>
    <w:p w14:paraId="5C0592CC">
      <w:pPr>
        <w:rPr>
          <w:rFonts w:ascii="Times New Roman" w:hAnsi="Times New Roman"/>
          <w:bCs/>
          <w:color w:val="333333"/>
          <w:highlight w:val="yellow"/>
        </w:rPr>
      </w:pPr>
    </w:p>
    <w:p w14:paraId="5CDD823C">
      <w:pPr>
        <w:pStyle w:val="2"/>
        <w:numPr>
          <w:ilvl w:val="0"/>
          <w:numId w:val="4"/>
        </w:numPr>
        <w:rPr>
          <w:rFonts w:ascii="Times New Roman" w:eastAsia="黑体"/>
          <w:bCs/>
          <w:sz w:val="44"/>
        </w:rPr>
      </w:pPr>
      <w:r>
        <w:rPr>
          <w:rFonts w:ascii="Times New Roman" w:eastAsia="黑体"/>
          <w:bCs/>
          <w:sz w:val="44"/>
        </w:rPr>
        <w:t>项目需求</w:t>
      </w:r>
      <w:bookmarkEnd w:id="170"/>
      <w:bookmarkEnd w:id="171"/>
      <w:bookmarkEnd w:id="172"/>
      <w:bookmarkEnd w:id="173"/>
      <w:bookmarkEnd w:id="174"/>
    </w:p>
    <w:p w14:paraId="38DA27BE">
      <w:pPr>
        <w:adjustRightInd w:val="0"/>
        <w:snapToGrid w:val="0"/>
        <w:spacing w:line="360" w:lineRule="auto"/>
        <w:ind w:firstLine="482" w:firstLineChars="200"/>
        <w:jc w:val="left"/>
        <w:rPr>
          <w:rFonts w:ascii="宋体" w:hAnsi="宋体"/>
          <w:b/>
          <w:sz w:val="24"/>
          <w:szCs w:val="24"/>
        </w:rPr>
      </w:pPr>
      <w:bookmarkStart w:id="177" w:name="_Toc120614281"/>
      <w:bookmarkStart w:id="178" w:name="_Toc49090575"/>
      <w:bookmarkStart w:id="179" w:name="_Toc26554093"/>
      <w:r>
        <w:rPr>
          <w:rFonts w:hint="eastAsia" w:ascii="宋体" w:hAnsi="宋体"/>
          <w:b/>
          <w:sz w:val="24"/>
          <w:szCs w:val="24"/>
        </w:rPr>
        <w:t>一、项目概况</w:t>
      </w:r>
    </w:p>
    <w:p w14:paraId="243365BD">
      <w:pPr>
        <w:adjustRightInd w:val="0"/>
        <w:snapToGrid w:val="0"/>
        <w:spacing w:line="360" w:lineRule="auto"/>
        <w:ind w:firstLine="480" w:firstLineChars="200"/>
        <w:jc w:val="left"/>
        <w:rPr>
          <w:rFonts w:ascii="宋体" w:hAnsi="宋体"/>
          <w:sz w:val="24"/>
          <w:szCs w:val="24"/>
          <w:highlight w:val="red"/>
        </w:rPr>
      </w:pPr>
      <w:r>
        <w:rPr>
          <w:rFonts w:hint="eastAsia"/>
          <w:bCs/>
          <w:sz w:val="24"/>
        </w:rPr>
        <w:t>为保障省中心与各级体彩中心及全省销售网点业务工作持续、稳定开展，省体彩中心拟采购彩票仓储运杂服务及热敏纸物流服务，期限约为2年。</w:t>
      </w:r>
      <w:r>
        <w:rPr>
          <w:rFonts w:hint="eastAsia" w:ascii="宋体" w:hAnsi="宋体"/>
          <w:sz w:val="24"/>
          <w:szCs w:val="24"/>
        </w:rPr>
        <w:t xml:space="preserve"> </w:t>
      </w:r>
    </w:p>
    <w:p w14:paraId="62D2C299">
      <w:pPr>
        <w:adjustRightInd w:val="0"/>
        <w:snapToGrid w:val="0"/>
        <w:spacing w:line="360" w:lineRule="auto"/>
        <w:ind w:firstLine="480" w:firstLineChars="200"/>
        <w:jc w:val="left"/>
        <w:rPr>
          <w:rFonts w:ascii="宋体" w:hAnsi="宋体"/>
          <w:sz w:val="24"/>
          <w:szCs w:val="24"/>
        </w:rPr>
      </w:pPr>
      <w:r>
        <w:rPr>
          <w:rFonts w:hint="eastAsia"/>
          <w:bCs/>
          <w:sz w:val="24"/>
        </w:rPr>
        <w:t>彩票仓储运杂服务及热敏纸物流服务项目</w:t>
      </w:r>
      <w:r>
        <w:rPr>
          <w:rFonts w:hint="eastAsia" w:ascii="宋体" w:hAnsi="宋体"/>
          <w:sz w:val="24"/>
          <w:szCs w:val="24"/>
        </w:rPr>
        <w:t>相关子项数量明细表（暂定）</w:t>
      </w:r>
    </w:p>
    <w:tbl>
      <w:tblPr>
        <w:tblStyle w:val="39"/>
        <w:tblpPr w:leftFromText="180" w:rightFromText="180" w:vertAnchor="text" w:horzAnchor="page" w:tblpXSpec="center" w:tblpY="477"/>
        <w:tblOverlap w:val="never"/>
        <w:tblW w:w="51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
        <w:gridCol w:w="1920"/>
        <w:gridCol w:w="4383"/>
        <w:gridCol w:w="741"/>
        <w:gridCol w:w="1738"/>
      </w:tblGrid>
      <w:tr w14:paraId="1FC93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80" w:type="pct"/>
            <w:vAlign w:val="center"/>
          </w:tcPr>
          <w:p w14:paraId="4A805799">
            <w:pPr>
              <w:widowControl/>
              <w:adjustRightInd w:val="0"/>
              <w:snapToGrid w:val="0"/>
              <w:ind w:left="-14" w:leftChars="-54" w:right="-103" w:rightChars="-49" w:hanging="99" w:hangingChars="41"/>
              <w:jc w:val="center"/>
              <w:rPr>
                <w:rFonts w:ascii="宋体" w:hAnsi="宋体" w:cs="宋体"/>
                <w:b/>
                <w:bCs/>
                <w:sz w:val="24"/>
                <w:szCs w:val="24"/>
              </w:rPr>
            </w:pPr>
            <w:r>
              <w:rPr>
                <w:rFonts w:hint="eastAsia" w:ascii="宋体" w:hAnsi="宋体" w:cs="宋体"/>
                <w:b/>
                <w:bCs/>
                <w:sz w:val="24"/>
                <w:szCs w:val="24"/>
              </w:rPr>
              <w:t>序号</w:t>
            </w:r>
          </w:p>
        </w:tc>
        <w:tc>
          <w:tcPr>
            <w:tcW w:w="1010" w:type="pct"/>
            <w:vAlign w:val="center"/>
          </w:tcPr>
          <w:p w14:paraId="38AD77A0">
            <w:pPr>
              <w:widowControl/>
              <w:adjustRightInd w:val="0"/>
              <w:snapToGrid w:val="0"/>
              <w:ind w:left="-14" w:leftChars="-54" w:right="-103" w:rightChars="-49" w:hanging="99" w:hangingChars="41"/>
              <w:jc w:val="center"/>
              <w:rPr>
                <w:rFonts w:ascii="宋体" w:hAnsi="宋体" w:cs="宋体"/>
                <w:b/>
                <w:bCs/>
                <w:sz w:val="24"/>
                <w:szCs w:val="24"/>
              </w:rPr>
            </w:pPr>
            <w:r>
              <w:rPr>
                <w:rFonts w:hint="eastAsia" w:ascii="宋体" w:hAnsi="宋体" w:cs="宋体"/>
                <w:b/>
                <w:bCs/>
                <w:sz w:val="24"/>
                <w:szCs w:val="24"/>
              </w:rPr>
              <w:t>名称</w:t>
            </w:r>
          </w:p>
        </w:tc>
        <w:tc>
          <w:tcPr>
            <w:tcW w:w="2306" w:type="pct"/>
            <w:vAlign w:val="center"/>
          </w:tcPr>
          <w:p w14:paraId="71D3164E">
            <w:pPr>
              <w:widowControl/>
              <w:adjustRightInd w:val="0"/>
              <w:snapToGrid w:val="0"/>
              <w:ind w:left="-14" w:leftChars="-54" w:right="-103" w:rightChars="-49" w:hanging="99" w:hangingChars="41"/>
              <w:jc w:val="center"/>
              <w:rPr>
                <w:rFonts w:ascii="宋体" w:hAnsi="宋体" w:cs="宋体"/>
                <w:b/>
                <w:bCs/>
                <w:sz w:val="24"/>
                <w:szCs w:val="24"/>
              </w:rPr>
            </w:pPr>
            <w:r>
              <w:rPr>
                <w:rFonts w:hint="eastAsia" w:ascii="宋体" w:hAnsi="宋体" w:cs="宋体"/>
                <w:b/>
                <w:bCs/>
                <w:sz w:val="24"/>
                <w:szCs w:val="24"/>
              </w:rPr>
              <w:t>简要说明</w:t>
            </w:r>
          </w:p>
        </w:tc>
        <w:tc>
          <w:tcPr>
            <w:tcW w:w="390" w:type="pct"/>
            <w:vAlign w:val="center"/>
          </w:tcPr>
          <w:p w14:paraId="4A0B9EBA">
            <w:pPr>
              <w:widowControl/>
              <w:adjustRightInd w:val="0"/>
              <w:snapToGrid w:val="0"/>
              <w:ind w:left="-14" w:leftChars="-54" w:right="-103" w:rightChars="-49" w:hanging="99" w:hangingChars="41"/>
              <w:jc w:val="center"/>
              <w:rPr>
                <w:rFonts w:ascii="宋体" w:hAnsi="宋体" w:cs="宋体"/>
                <w:b/>
                <w:bCs/>
                <w:sz w:val="24"/>
                <w:szCs w:val="24"/>
              </w:rPr>
            </w:pPr>
            <w:r>
              <w:rPr>
                <w:rFonts w:hint="eastAsia" w:ascii="宋体" w:hAnsi="宋体" w:cs="宋体"/>
                <w:b/>
                <w:bCs/>
                <w:sz w:val="24"/>
                <w:szCs w:val="24"/>
              </w:rPr>
              <w:t>单位</w:t>
            </w:r>
          </w:p>
        </w:tc>
        <w:tc>
          <w:tcPr>
            <w:tcW w:w="911" w:type="pct"/>
            <w:vAlign w:val="center"/>
          </w:tcPr>
          <w:p w14:paraId="3AD53118">
            <w:pPr>
              <w:widowControl/>
              <w:adjustRightInd w:val="0"/>
              <w:snapToGrid w:val="0"/>
              <w:ind w:left="-14" w:leftChars="-54" w:right="-103" w:rightChars="-49" w:hanging="99" w:hangingChars="41"/>
              <w:jc w:val="center"/>
              <w:rPr>
                <w:rFonts w:ascii="宋体" w:hAnsi="宋体" w:cs="宋体"/>
                <w:b/>
                <w:bCs/>
                <w:sz w:val="24"/>
                <w:szCs w:val="24"/>
              </w:rPr>
            </w:pPr>
            <w:r>
              <w:rPr>
                <w:rFonts w:hint="eastAsia" w:ascii="宋体" w:hAnsi="宋体" w:cs="宋体"/>
                <w:b/>
                <w:bCs/>
                <w:sz w:val="24"/>
                <w:szCs w:val="24"/>
              </w:rPr>
              <w:t>数量（每年）</w:t>
            </w:r>
          </w:p>
        </w:tc>
      </w:tr>
      <w:tr w14:paraId="3545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jc w:val="center"/>
        </w:trPr>
        <w:tc>
          <w:tcPr>
            <w:tcW w:w="380" w:type="pct"/>
            <w:vAlign w:val="center"/>
          </w:tcPr>
          <w:p w14:paraId="049B5984">
            <w:pPr>
              <w:adjustRightInd w:val="0"/>
              <w:snapToGrid w:val="0"/>
              <w:jc w:val="center"/>
              <w:rPr>
                <w:rFonts w:ascii="宋体" w:hAnsi="宋体" w:cs="宋体"/>
                <w:b/>
                <w:bCs/>
                <w:color w:val="000000"/>
                <w:sz w:val="24"/>
                <w:szCs w:val="24"/>
              </w:rPr>
            </w:pPr>
          </w:p>
          <w:p w14:paraId="56C5D081">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1</w:t>
            </w:r>
          </w:p>
        </w:tc>
        <w:tc>
          <w:tcPr>
            <w:tcW w:w="1010" w:type="pct"/>
            <w:vAlign w:val="center"/>
          </w:tcPr>
          <w:p w14:paraId="7DDCBD80">
            <w:pPr>
              <w:adjustRightInd w:val="0"/>
              <w:snapToGrid w:val="0"/>
              <w:jc w:val="left"/>
              <w:rPr>
                <w:rFonts w:ascii="宋体" w:hAnsi="宋体" w:cs="宋体"/>
                <w:color w:val="000000"/>
                <w:sz w:val="24"/>
                <w:szCs w:val="24"/>
              </w:rPr>
            </w:pPr>
            <w:r>
              <w:rPr>
                <w:rFonts w:hint="eastAsia" w:ascii="宋体" w:hAnsi="宋体" w:cs="宋体"/>
                <w:color w:val="000000"/>
                <w:sz w:val="24"/>
                <w:szCs w:val="24"/>
              </w:rPr>
              <w:t>库房租赁服务费用</w:t>
            </w:r>
          </w:p>
        </w:tc>
        <w:tc>
          <w:tcPr>
            <w:tcW w:w="2306" w:type="pct"/>
            <w:vAlign w:val="center"/>
          </w:tcPr>
          <w:p w14:paraId="185ED322">
            <w:pPr>
              <w:adjustRightInd w:val="0"/>
              <w:snapToGrid w:val="0"/>
              <w:jc w:val="left"/>
              <w:rPr>
                <w:rFonts w:ascii="宋体" w:hAnsi="宋体" w:cs="宋体"/>
                <w:color w:val="000000"/>
                <w:sz w:val="24"/>
                <w:szCs w:val="24"/>
              </w:rPr>
            </w:pPr>
            <w:r>
              <w:rPr>
                <w:rFonts w:hint="eastAsia" w:ascii="宋体" w:hAnsi="宋体" w:cs="宋体"/>
                <w:color w:val="000000"/>
                <w:sz w:val="24"/>
                <w:szCs w:val="24"/>
              </w:rPr>
              <w:t>库房需包含24小时UPS电源、6个月存储CCTV监控升级、温湿度控制系统，租赁费用包含相关改造及使用费用等。</w:t>
            </w:r>
          </w:p>
        </w:tc>
        <w:tc>
          <w:tcPr>
            <w:tcW w:w="390" w:type="pct"/>
            <w:vAlign w:val="center"/>
          </w:tcPr>
          <w:p w14:paraId="08D68E1B">
            <w:pPr>
              <w:adjustRightInd w:val="0"/>
              <w:snapToGrid w:val="0"/>
              <w:jc w:val="center"/>
              <w:rPr>
                <w:rFonts w:ascii="宋体" w:hAnsi="宋体" w:cs="宋体"/>
                <w:color w:val="000000"/>
                <w:sz w:val="24"/>
                <w:szCs w:val="24"/>
              </w:rPr>
            </w:pPr>
            <w:r>
              <w:rPr>
                <w:rFonts w:hint="eastAsia" w:ascii="宋体" w:hAnsi="宋体" w:cs="宋体"/>
                <w:color w:val="000000"/>
                <w:sz w:val="24"/>
                <w:szCs w:val="24"/>
              </w:rPr>
              <w:t>㎡</w:t>
            </w:r>
          </w:p>
        </w:tc>
        <w:tc>
          <w:tcPr>
            <w:tcW w:w="911" w:type="pct"/>
            <w:vAlign w:val="center"/>
          </w:tcPr>
          <w:p w14:paraId="2A16519D">
            <w:pPr>
              <w:adjustRightInd w:val="0"/>
              <w:snapToGrid w:val="0"/>
              <w:jc w:val="center"/>
              <w:rPr>
                <w:rFonts w:ascii="宋体" w:hAnsi="宋体" w:cs="宋体"/>
                <w:color w:val="000000"/>
                <w:sz w:val="24"/>
                <w:szCs w:val="24"/>
              </w:rPr>
            </w:pPr>
            <w:r>
              <w:rPr>
                <w:rFonts w:hint="eastAsia" w:ascii="宋体" w:hAnsi="宋体" w:cs="宋体"/>
                <w:color w:val="000000"/>
                <w:sz w:val="24"/>
                <w:szCs w:val="24"/>
              </w:rPr>
              <w:t>3500</w:t>
            </w:r>
          </w:p>
        </w:tc>
      </w:tr>
      <w:tr w14:paraId="11A5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380" w:type="pct"/>
            <w:vAlign w:val="center"/>
          </w:tcPr>
          <w:p w14:paraId="5151238C">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2</w:t>
            </w:r>
          </w:p>
        </w:tc>
        <w:tc>
          <w:tcPr>
            <w:tcW w:w="1010" w:type="pct"/>
            <w:vAlign w:val="center"/>
          </w:tcPr>
          <w:p w14:paraId="30CD9417">
            <w:pPr>
              <w:adjustRightInd w:val="0"/>
              <w:snapToGrid w:val="0"/>
              <w:jc w:val="left"/>
              <w:rPr>
                <w:rFonts w:ascii="宋体" w:hAnsi="宋体" w:cs="宋体"/>
                <w:color w:val="000000"/>
                <w:sz w:val="24"/>
                <w:szCs w:val="24"/>
              </w:rPr>
            </w:pPr>
            <w:r>
              <w:rPr>
                <w:rFonts w:hint="eastAsia" w:ascii="宋体" w:hAnsi="宋体" w:cs="宋体"/>
                <w:color w:val="000000"/>
                <w:sz w:val="24"/>
                <w:szCs w:val="24"/>
              </w:rPr>
              <w:t>仓库作业服务费用（不含热敏纸）</w:t>
            </w:r>
          </w:p>
        </w:tc>
        <w:tc>
          <w:tcPr>
            <w:tcW w:w="2306" w:type="pct"/>
            <w:vAlign w:val="center"/>
          </w:tcPr>
          <w:p w14:paraId="59B71537">
            <w:pPr>
              <w:adjustRightInd w:val="0"/>
              <w:snapToGrid w:val="0"/>
              <w:jc w:val="left"/>
              <w:rPr>
                <w:rFonts w:ascii="宋体" w:hAnsi="宋体" w:cs="宋体"/>
                <w:sz w:val="24"/>
                <w:szCs w:val="24"/>
              </w:rPr>
            </w:pPr>
            <w:r>
              <w:rPr>
                <w:rFonts w:hint="eastAsia" w:ascii="宋体" w:hAnsi="宋体" w:cs="宋体"/>
                <w:sz w:val="24"/>
                <w:szCs w:val="24"/>
              </w:rPr>
              <w:t>1.包括普通物资（宣传品、耗材等）的装卸、搬运、码垛等。</w:t>
            </w:r>
          </w:p>
          <w:p w14:paraId="5FB5B72B">
            <w:pPr>
              <w:adjustRightInd w:val="0"/>
              <w:snapToGrid w:val="0"/>
              <w:jc w:val="left"/>
              <w:rPr>
                <w:rFonts w:ascii="宋体" w:hAnsi="宋体" w:cs="宋体"/>
                <w:color w:val="000000"/>
                <w:sz w:val="24"/>
                <w:szCs w:val="24"/>
              </w:rPr>
            </w:pPr>
            <w:r>
              <w:rPr>
                <w:rFonts w:hint="eastAsia" w:ascii="宋体" w:hAnsi="宋体" w:cs="宋体"/>
                <w:sz w:val="24"/>
                <w:szCs w:val="24"/>
              </w:rPr>
              <w:t>2.针对终端机需单独建档、独立盘点、标签管理、定期对账等。</w:t>
            </w:r>
          </w:p>
        </w:tc>
        <w:tc>
          <w:tcPr>
            <w:tcW w:w="390" w:type="pct"/>
            <w:vAlign w:val="center"/>
          </w:tcPr>
          <w:p w14:paraId="5940E4CE">
            <w:pPr>
              <w:adjustRightInd w:val="0"/>
              <w:snapToGrid w:val="0"/>
              <w:jc w:val="center"/>
              <w:rPr>
                <w:rFonts w:ascii="宋体" w:hAnsi="宋体" w:cs="宋体"/>
                <w:color w:val="000000"/>
                <w:sz w:val="24"/>
                <w:szCs w:val="24"/>
              </w:rPr>
            </w:pPr>
            <w:r>
              <w:rPr>
                <w:rFonts w:hint="eastAsia" w:ascii="宋体" w:hAnsi="宋体" w:cs="宋体"/>
                <w:color w:val="000000"/>
                <w:sz w:val="24"/>
                <w:szCs w:val="24"/>
              </w:rPr>
              <w:t>kg</w:t>
            </w:r>
          </w:p>
        </w:tc>
        <w:tc>
          <w:tcPr>
            <w:tcW w:w="911" w:type="pct"/>
            <w:vAlign w:val="center"/>
          </w:tcPr>
          <w:p w14:paraId="29969A2A">
            <w:pPr>
              <w:adjustRightInd w:val="0"/>
              <w:snapToGrid w:val="0"/>
              <w:jc w:val="center"/>
              <w:rPr>
                <w:rFonts w:ascii="宋体" w:hAnsi="宋体" w:cs="宋体"/>
                <w:color w:val="000000"/>
                <w:sz w:val="24"/>
                <w:szCs w:val="24"/>
              </w:rPr>
            </w:pPr>
            <w:r>
              <w:rPr>
                <w:rFonts w:hint="eastAsia" w:ascii="宋体" w:hAnsi="宋体" w:cs="宋体"/>
                <w:color w:val="000000"/>
                <w:sz w:val="24"/>
                <w:szCs w:val="24"/>
              </w:rPr>
              <w:t>800000</w:t>
            </w:r>
          </w:p>
        </w:tc>
      </w:tr>
      <w:tr w14:paraId="49AC8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380" w:type="pct"/>
            <w:vAlign w:val="center"/>
          </w:tcPr>
          <w:p w14:paraId="027A2E08">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3</w:t>
            </w:r>
          </w:p>
        </w:tc>
        <w:tc>
          <w:tcPr>
            <w:tcW w:w="1010" w:type="pct"/>
            <w:vAlign w:val="center"/>
          </w:tcPr>
          <w:p w14:paraId="2444877B">
            <w:pPr>
              <w:adjustRightInd w:val="0"/>
              <w:snapToGrid w:val="0"/>
              <w:jc w:val="left"/>
              <w:rPr>
                <w:rFonts w:ascii="宋体" w:hAnsi="宋体" w:cs="宋体"/>
                <w:color w:val="000000"/>
                <w:sz w:val="24"/>
                <w:szCs w:val="24"/>
              </w:rPr>
            </w:pPr>
            <w:r>
              <w:rPr>
                <w:rFonts w:hint="eastAsia" w:ascii="宋体" w:hAnsi="宋体" w:cs="宋体"/>
                <w:color w:val="000000"/>
                <w:sz w:val="24"/>
                <w:szCs w:val="24"/>
              </w:rPr>
              <w:t>整车运输服务（</w:t>
            </w:r>
            <w:r>
              <w:rPr>
                <w:rFonts w:hint="eastAsia" w:ascii="宋体" w:hAnsi="宋体" w:cs="宋体"/>
                <w:sz w:val="24"/>
                <w:szCs w:val="24"/>
              </w:rPr>
              <w:t>即开票</w:t>
            </w:r>
            <w:r>
              <w:rPr>
                <w:rFonts w:hint="eastAsia" w:ascii="宋体" w:hAnsi="宋体" w:cs="宋体"/>
                <w:color w:val="000000"/>
                <w:sz w:val="24"/>
                <w:szCs w:val="24"/>
              </w:rPr>
              <w:t>）</w:t>
            </w:r>
          </w:p>
        </w:tc>
        <w:tc>
          <w:tcPr>
            <w:tcW w:w="2306" w:type="pct"/>
            <w:vAlign w:val="center"/>
          </w:tcPr>
          <w:p w14:paraId="740E315B">
            <w:pPr>
              <w:adjustRightInd w:val="0"/>
              <w:snapToGrid w:val="0"/>
              <w:jc w:val="left"/>
              <w:rPr>
                <w:rFonts w:ascii="宋体" w:hAnsi="宋体" w:cs="宋体"/>
                <w:color w:val="000000"/>
                <w:sz w:val="24"/>
                <w:szCs w:val="24"/>
              </w:rPr>
            </w:pPr>
            <w:r>
              <w:rPr>
                <w:rFonts w:hint="eastAsia" w:ascii="宋体" w:hAnsi="宋体" w:cs="宋体"/>
                <w:sz w:val="24"/>
                <w:szCs w:val="24"/>
              </w:rPr>
              <w:t>3T厢式货车，主要用于即开票配送。</w:t>
            </w:r>
          </w:p>
        </w:tc>
        <w:tc>
          <w:tcPr>
            <w:tcW w:w="390" w:type="pct"/>
            <w:vAlign w:val="center"/>
          </w:tcPr>
          <w:p w14:paraId="5F885F53">
            <w:pPr>
              <w:adjustRightInd w:val="0"/>
              <w:snapToGrid w:val="0"/>
              <w:jc w:val="center"/>
              <w:rPr>
                <w:rFonts w:ascii="宋体" w:hAnsi="宋体" w:cs="宋体"/>
                <w:color w:val="000000"/>
                <w:sz w:val="24"/>
                <w:szCs w:val="24"/>
              </w:rPr>
            </w:pPr>
            <w:r>
              <w:rPr>
                <w:rFonts w:hint="eastAsia" w:ascii="宋体" w:hAnsi="宋体" w:cs="宋体"/>
                <w:color w:val="000000"/>
                <w:sz w:val="24"/>
                <w:szCs w:val="24"/>
              </w:rPr>
              <w:t>km</w:t>
            </w:r>
          </w:p>
        </w:tc>
        <w:tc>
          <w:tcPr>
            <w:tcW w:w="911" w:type="pct"/>
            <w:vAlign w:val="center"/>
          </w:tcPr>
          <w:p w14:paraId="0DBDE951">
            <w:pPr>
              <w:adjustRightInd w:val="0"/>
              <w:snapToGrid w:val="0"/>
              <w:jc w:val="center"/>
              <w:rPr>
                <w:rFonts w:ascii="宋体" w:hAnsi="宋体" w:cs="宋体"/>
                <w:color w:val="000000"/>
                <w:sz w:val="24"/>
                <w:szCs w:val="24"/>
              </w:rPr>
            </w:pPr>
            <w:r>
              <w:rPr>
                <w:rFonts w:hint="eastAsia" w:ascii="宋体" w:hAnsi="宋体" w:cs="宋体"/>
                <w:color w:val="000000"/>
                <w:sz w:val="24"/>
                <w:szCs w:val="24"/>
              </w:rPr>
              <w:t>3000</w:t>
            </w:r>
          </w:p>
        </w:tc>
      </w:tr>
      <w:tr w14:paraId="20A6D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380" w:type="pct"/>
            <w:vAlign w:val="center"/>
          </w:tcPr>
          <w:p w14:paraId="7BAC60F9">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4</w:t>
            </w:r>
          </w:p>
        </w:tc>
        <w:tc>
          <w:tcPr>
            <w:tcW w:w="1010" w:type="pct"/>
            <w:vAlign w:val="center"/>
          </w:tcPr>
          <w:p w14:paraId="1F111936">
            <w:pPr>
              <w:adjustRightInd w:val="0"/>
              <w:snapToGrid w:val="0"/>
              <w:jc w:val="left"/>
              <w:rPr>
                <w:rFonts w:ascii="宋体" w:hAnsi="宋体" w:cs="宋体"/>
                <w:color w:val="000000"/>
                <w:sz w:val="24"/>
                <w:szCs w:val="24"/>
              </w:rPr>
            </w:pPr>
            <w:r>
              <w:rPr>
                <w:rFonts w:hint="eastAsia" w:ascii="宋体" w:hAnsi="宋体" w:cs="宋体"/>
                <w:color w:val="000000"/>
                <w:sz w:val="24"/>
                <w:szCs w:val="24"/>
              </w:rPr>
              <w:t>南京市区零担运输费用1</w:t>
            </w:r>
          </w:p>
        </w:tc>
        <w:tc>
          <w:tcPr>
            <w:tcW w:w="2306" w:type="pct"/>
            <w:vMerge w:val="restart"/>
            <w:vAlign w:val="center"/>
          </w:tcPr>
          <w:p w14:paraId="6E00DDB1">
            <w:pPr>
              <w:adjustRightInd w:val="0"/>
              <w:snapToGrid w:val="0"/>
              <w:jc w:val="left"/>
              <w:rPr>
                <w:rFonts w:ascii="宋体" w:hAnsi="宋体" w:cs="宋体"/>
                <w:color w:val="000000"/>
                <w:sz w:val="24"/>
                <w:szCs w:val="24"/>
              </w:rPr>
            </w:pPr>
            <w:r>
              <w:rPr>
                <w:rFonts w:hint="eastAsia" w:ascii="宋体" w:hAnsi="宋体" w:cs="宋体"/>
                <w:color w:val="000000"/>
                <w:sz w:val="24"/>
                <w:szCs w:val="24"/>
              </w:rPr>
              <w:t>1.实际结算金额 = MAX（最低收费，按重计费）。</w:t>
            </w:r>
            <w:r>
              <w:rPr>
                <w:rFonts w:hint="eastAsia" w:ascii="宋体" w:hAnsi="宋体" w:cs="宋体"/>
                <w:color w:val="000000"/>
                <w:sz w:val="24"/>
                <w:szCs w:val="24"/>
              </w:rPr>
              <w:br w:type="textWrapping"/>
            </w:r>
            <w:r>
              <w:rPr>
                <w:rFonts w:hint="eastAsia" w:ascii="宋体" w:hAnsi="宋体" w:cs="宋体"/>
                <w:color w:val="000000"/>
                <w:sz w:val="24"/>
                <w:szCs w:val="24"/>
              </w:rPr>
              <w:t>即：取“最低收费”与“按重量计费”两者的较高值结算。</w:t>
            </w:r>
            <w:r>
              <w:rPr>
                <w:rFonts w:hint="eastAsia" w:ascii="宋体" w:hAnsi="宋体" w:cs="宋体"/>
                <w:color w:val="000000"/>
                <w:sz w:val="24"/>
                <w:szCs w:val="24"/>
              </w:rPr>
              <w:br w:type="textWrapping"/>
            </w:r>
            <w:r>
              <w:rPr>
                <w:rFonts w:hint="eastAsia" w:ascii="宋体" w:hAnsi="宋体" w:cs="宋体"/>
                <w:color w:val="000000"/>
                <w:sz w:val="24"/>
                <w:szCs w:val="24"/>
              </w:rPr>
              <w:t>（注：本项仅含普通物资，不含热敏纸）</w:t>
            </w:r>
          </w:p>
          <w:p w14:paraId="3245CE88">
            <w:pPr>
              <w:adjustRightInd w:val="0"/>
              <w:snapToGrid w:val="0"/>
              <w:jc w:val="left"/>
              <w:rPr>
                <w:rFonts w:ascii="宋体" w:hAnsi="宋体" w:cs="宋体"/>
                <w:color w:val="000000"/>
                <w:sz w:val="24"/>
                <w:szCs w:val="24"/>
              </w:rPr>
            </w:pPr>
            <w:r>
              <w:rPr>
                <w:rFonts w:hint="eastAsia" w:ascii="宋体" w:hAnsi="宋体" w:cs="宋体"/>
                <w:color w:val="000000"/>
                <w:sz w:val="24"/>
                <w:szCs w:val="24"/>
              </w:rPr>
              <w:t>2.最高限价：</w:t>
            </w:r>
            <w:r>
              <w:rPr>
                <w:rFonts w:hint="eastAsia" w:ascii="宋体" w:hAnsi="宋体" w:cs="宋体"/>
                <w:color w:val="000000"/>
                <w:sz w:val="24"/>
                <w:szCs w:val="24"/>
              </w:rPr>
              <w:br w:type="textWrapping"/>
            </w:r>
            <w:r>
              <w:rPr>
                <w:rFonts w:hint="eastAsia" w:ascii="宋体" w:hAnsi="宋体" w:cs="宋体"/>
                <w:color w:val="000000"/>
                <w:sz w:val="24"/>
                <w:szCs w:val="24"/>
              </w:rPr>
              <w:t>① 按重计费：​ ≤1.2元/kg</w:t>
            </w:r>
            <w:r>
              <w:rPr>
                <w:rFonts w:hint="eastAsia" w:ascii="宋体" w:hAnsi="宋体" w:cs="宋体"/>
                <w:color w:val="000000"/>
                <w:sz w:val="24"/>
                <w:szCs w:val="24"/>
              </w:rPr>
              <w:br w:type="textWrapping"/>
            </w:r>
            <w:r>
              <w:rPr>
                <w:rFonts w:hint="eastAsia" w:ascii="宋体" w:hAnsi="宋体" w:cs="宋体"/>
                <w:color w:val="000000"/>
                <w:sz w:val="24"/>
                <w:szCs w:val="24"/>
              </w:rPr>
              <w:t>② 最低收费：​ ≤200元/票</w:t>
            </w:r>
          </w:p>
        </w:tc>
        <w:tc>
          <w:tcPr>
            <w:tcW w:w="390" w:type="pct"/>
            <w:vAlign w:val="center"/>
          </w:tcPr>
          <w:p w14:paraId="3B10FB5E">
            <w:pPr>
              <w:adjustRightInd w:val="0"/>
              <w:snapToGrid w:val="0"/>
              <w:jc w:val="center"/>
              <w:rPr>
                <w:rFonts w:ascii="宋体" w:hAnsi="宋体" w:cs="宋体"/>
                <w:color w:val="000000"/>
                <w:sz w:val="24"/>
                <w:szCs w:val="24"/>
              </w:rPr>
            </w:pPr>
            <w:r>
              <w:rPr>
                <w:rFonts w:hint="eastAsia" w:ascii="宋体" w:hAnsi="宋体" w:cs="宋体"/>
                <w:color w:val="000000"/>
                <w:sz w:val="24"/>
                <w:szCs w:val="24"/>
              </w:rPr>
              <w:t>票</w:t>
            </w:r>
          </w:p>
        </w:tc>
        <w:tc>
          <w:tcPr>
            <w:tcW w:w="911" w:type="pct"/>
            <w:vAlign w:val="center"/>
          </w:tcPr>
          <w:p w14:paraId="15881553">
            <w:pPr>
              <w:adjustRightInd w:val="0"/>
              <w:snapToGrid w:val="0"/>
              <w:jc w:val="center"/>
              <w:rPr>
                <w:rFonts w:ascii="宋体" w:hAnsi="宋体" w:cs="宋体"/>
                <w:color w:val="000000"/>
                <w:sz w:val="24"/>
                <w:szCs w:val="24"/>
              </w:rPr>
            </w:pPr>
            <w:r>
              <w:rPr>
                <w:rFonts w:hint="eastAsia" w:ascii="宋体" w:hAnsi="宋体" w:cs="宋体"/>
                <w:color w:val="000000"/>
                <w:sz w:val="24"/>
                <w:szCs w:val="24"/>
              </w:rPr>
              <w:t>50</w:t>
            </w:r>
          </w:p>
        </w:tc>
      </w:tr>
      <w:tr w14:paraId="5044A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380" w:type="pct"/>
            <w:vAlign w:val="center"/>
          </w:tcPr>
          <w:p w14:paraId="3ADD4EA0">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5</w:t>
            </w:r>
          </w:p>
        </w:tc>
        <w:tc>
          <w:tcPr>
            <w:tcW w:w="1010" w:type="pct"/>
            <w:vAlign w:val="center"/>
          </w:tcPr>
          <w:p w14:paraId="571E1462">
            <w:pPr>
              <w:adjustRightInd w:val="0"/>
              <w:snapToGrid w:val="0"/>
              <w:jc w:val="left"/>
              <w:rPr>
                <w:rFonts w:ascii="宋体" w:hAnsi="宋体" w:cs="宋体"/>
                <w:color w:val="000000"/>
                <w:sz w:val="24"/>
                <w:szCs w:val="24"/>
              </w:rPr>
            </w:pPr>
            <w:r>
              <w:rPr>
                <w:rFonts w:hint="eastAsia" w:ascii="宋体" w:hAnsi="宋体" w:cs="宋体"/>
                <w:color w:val="000000"/>
                <w:sz w:val="24"/>
                <w:szCs w:val="24"/>
              </w:rPr>
              <w:t>南京市区零担运输费用2</w:t>
            </w:r>
          </w:p>
        </w:tc>
        <w:tc>
          <w:tcPr>
            <w:tcW w:w="2306" w:type="pct"/>
            <w:vMerge w:val="continue"/>
            <w:vAlign w:val="center"/>
          </w:tcPr>
          <w:p w14:paraId="3800DFA6">
            <w:pPr>
              <w:adjustRightInd w:val="0"/>
              <w:snapToGrid w:val="0"/>
              <w:jc w:val="left"/>
              <w:rPr>
                <w:rFonts w:ascii="宋体" w:hAnsi="宋体" w:cs="宋体"/>
                <w:color w:val="000000"/>
                <w:sz w:val="24"/>
                <w:szCs w:val="24"/>
              </w:rPr>
            </w:pPr>
          </w:p>
        </w:tc>
        <w:tc>
          <w:tcPr>
            <w:tcW w:w="390" w:type="pct"/>
            <w:vAlign w:val="center"/>
          </w:tcPr>
          <w:p w14:paraId="1490BA4D">
            <w:pPr>
              <w:adjustRightInd w:val="0"/>
              <w:snapToGrid w:val="0"/>
              <w:jc w:val="center"/>
              <w:rPr>
                <w:rFonts w:ascii="宋体" w:hAnsi="宋体" w:cs="宋体"/>
                <w:color w:val="000000"/>
                <w:sz w:val="24"/>
                <w:szCs w:val="24"/>
              </w:rPr>
            </w:pPr>
            <w:r>
              <w:rPr>
                <w:rFonts w:hint="eastAsia" w:ascii="宋体" w:hAnsi="宋体" w:cs="宋体"/>
                <w:color w:val="000000"/>
                <w:sz w:val="24"/>
                <w:szCs w:val="24"/>
              </w:rPr>
              <w:t>kg</w:t>
            </w:r>
          </w:p>
        </w:tc>
        <w:tc>
          <w:tcPr>
            <w:tcW w:w="911" w:type="pct"/>
            <w:vAlign w:val="center"/>
          </w:tcPr>
          <w:p w14:paraId="0F47CB08">
            <w:pPr>
              <w:adjustRightInd w:val="0"/>
              <w:snapToGrid w:val="0"/>
              <w:jc w:val="center"/>
              <w:rPr>
                <w:rFonts w:ascii="宋体" w:hAnsi="宋体" w:cs="宋体"/>
                <w:color w:val="000000"/>
                <w:sz w:val="24"/>
                <w:szCs w:val="24"/>
              </w:rPr>
            </w:pPr>
            <w:r>
              <w:rPr>
                <w:rFonts w:hint="eastAsia" w:ascii="宋体" w:hAnsi="宋体" w:cs="宋体"/>
                <w:color w:val="000000"/>
                <w:sz w:val="24"/>
                <w:szCs w:val="24"/>
              </w:rPr>
              <w:t>55000</w:t>
            </w:r>
          </w:p>
        </w:tc>
      </w:tr>
      <w:tr w14:paraId="1670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1" w:hRule="atLeast"/>
          <w:jc w:val="center"/>
        </w:trPr>
        <w:tc>
          <w:tcPr>
            <w:tcW w:w="380" w:type="pct"/>
            <w:vAlign w:val="center"/>
          </w:tcPr>
          <w:p w14:paraId="74F0ED9D">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6</w:t>
            </w:r>
          </w:p>
        </w:tc>
        <w:tc>
          <w:tcPr>
            <w:tcW w:w="1010" w:type="pct"/>
            <w:vAlign w:val="center"/>
          </w:tcPr>
          <w:p w14:paraId="59D8A4E2">
            <w:pPr>
              <w:adjustRightInd w:val="0"/>
              <w:snapToGrid w:val="0"/>
              <w:jc w:val="left"/>
              <w:rPr>
                <w:rFonts w:ascii="宋体" w:hAnsi="宋体" w:cs="宋体"/>
                <w:color w:val="000000"/>
                <w:sz w:val="24"/>
                <w:szCs w:val="24"/>
              </w:rPr>
            </w:pPr>
            <w:r>
              <w:rPr>
                <w:rFonts w:hint="eastAsia" w:ascii="宋体" w:hAnsi="宋体" w:cs="宋体"/>
                <w:color w:val="000000"/>
                <w:sz w:val="24"/>
                <w:szCs w:val="24"/>
              </w:rPr>
              <w:t>地级市零担运输费用1</w:t>
            </w:r>
          </w:p>
        </w:tc>
        <w:tc>
          <w:tcPr>
            <w:tcW w:w="2306" w:type="pct"/>
            <w:vMerge w:val="restart"/>
            <w:vAlign w:val="center"/>
          </w:tcPr>
          <w:p w14:paraId="673A4DE3">
            <w:pPr>
              <w:adjustRightInd w:val="0"/>
              <w:snapToGrid w:val="0"/>
              <w:jc w:val="left"/>
              <w:rPr>
                <w:rFonts w:ascii="宋体" w:hAnsi="宋体" w:cs="宋体"/>
                <w:color w:val="000000"/>
                <w:sz w:val="24"/>
                <w:szCs w:val="24"/>
              </w:rPr>
            </w:pPr>
            <w:r>
              <w:rPr>
                <w:rFonts w:hint="eastAsia" w:ascii="宋体" w:hAnsi="宋体" w:cs="宋体"/>
                <w:color w:val="000000"/>
                <w:sz w:val="24"/>
                <w:szCs w:val="24"/>
              </w:rPr>
              <w:t>1.实际结算金额 = MAX（最低收费，按重计费）。</w:t>
            </w:r>
            <w:r>
              <w:rPr>
                <w:rFonts w:hint="eastAsia" w:ascii="宋体" w:hAnsi="宋体" w:cs="宋体"/>
                <w:color w:val="000000"/>
                <w:sz w:val="24"/>
                <w:szCs w:val="24"/>
              </w:rPr>
              <w:br w:type="textWrapping"/>
            </w:r>
            <w:r>
              <w:rPr>
                <w:rFonts w:hint="eastAsia" w:ascii="宋体" w:hAnsi="宋体" w:cs="宋体"/>
                <w:color w:val="000000"/>
                <w:sz w:val="24"/>
                <w:szCs w:val="24"/>
              </w:rPr>
              <w:t>即：取“最低收费”与“按重量计费”两者的较高值结算。</w:t>
            </w:r>
            <w:r>
              <w:rPr>
                <w:rFonts w:hint="eastAsia" w:ascii="宋体" w:hAnsi="宋体" w:cs="宋体"/>
                <w:color w:val="000000"/>
                <w:sz w:val="24"/>
                <w:szCs w:val="24"/>
              </w:rPr>
              <w:br w:type="textWrapping"/>
            </w:r>
            <w:r>
              <w:rPr>
                <w:rFonts w:hint="eastAsia" w:ascii="宋体" w:hAnsi="宋体" w:cs="宋体"/>
                <w:color w:val="000000"/>
                <w:sz w:val="24"/>
                <w:szCs w:val="24"/>
              </w:rPr>
              <w:t>（注：本项仅含普通物资，不含热敏纸）</w:t>
            </w:r>
          </w:p>
          <w:p w14:paraId="42CAEADC">
            <w:pPr>
              <w:adjustRightInd w:val="0"/>
              <w:snapToGrid w:val="0"/>
              <w:jc w:val="left"/>
              <w:rPr>
                <w:rFonts w:ascii="宋体" w:hAnsi="宋体" w:cs="宋体"/>
                <w:color w:val="000000"/>
                <w:sz w:val="24"/>
                <w:szCs w:val="24"/>
              </w:rPr>
            </w:pPr>
            <w:r>
              <w:rPr>
                <w:rFonts w:hint="eastAsia" w:ascii="宋体" w:hAnsi="宋体" w:cs="宋体"/>
                <w:color w:val="000000"/>
                <w:sz w:val="24"/>
                <w:szCs w:val="24"/>
              </w:rPr>
              <w:t>2.最高限价：</w:t>
            </w:r>
            <w:r>
              <w:rPr>
                <w:rFonts w:hint="eastAsia" w:ascii="宋体" w:hAnsi="宋体" w:cs="宋体"/>
                <w:color w:val="000000"/>
                <w:sz w:val="24"/>
                <w:szCs w:val="24"/>
              </w:rPr>
              <w:br w:type="textWrapping"/>
            </w:r>
            <w:r>
              <w:rPr>
                <w:rFonts w:hint="eastAsia" w:ascii="宋体" w:hAnsi="宋体" w:cs="宋体"/>
                <w:color w:val="000000"/>
                <w:sz w:val="24"/>
                <w:szCs w:val="24"/>
              </w:rPr>
              <w:t>① 按重计费：​ ≤1.5元/kg</w:t>
            </w:r>
            <w:r>
              <w:rPr>
                <w:rFonts w:hint="eastAsia" w:ascii="宋体" w:hAnsi="宋体" w:cs="宋体"/>
                <w:color w:val="000000"/>
                <w:sz w:val="24"/>
                <w:szCs w:val="24"/>
              </w:rPr>
              <w:br w:type="textWrapping"/>
            </w:r>
            <w:r>
              <w:rPr>
                <w:rFonts w:hint="eastAsia" w:ascii="宋体" w:hAnsi="宋体" w:cs="宋体"/>
                <w:color w:val="000000"/>
                <w:sz w:val="24"/>
                <w:szCs w:val="24"/>
              </w:rPr>
              <w:t>② 最低收费：​ ≤400元/票</w:t>
            </w:r>
          </w:p>
        </w:tc>
        <w:tc>
          <w:tcPr>
            <w:tcW w:w="390" w:type="pct"/>
            <w:vAlign w:val="center"/>
          </w:tcPr>
          <w:p w14:paraId="7DA0DB40">
            <w:pPr>
              <w:adjustRightInd w:val="0"/>
              <w:snapToGrid w:val="0"/>
              <w:jc w:val="center"/>
              <w:rPr>
                <w:rFonts w:ascii="宋体" w:hAnsi="宋体" w:cs="宋体"/>
                <w:color w:val="000000"/>
                <w:sz w:val="24"/>
                <w:szCs w:val="24"/>
              </w:rPr>
            </w:pPr>
            <w:r>
              <w:rPr>
                <w:rFonts w:hint="eastAsia" w:ascii="宋体" w:hAnsi="宋体" w:cs="宋体"/>
                <w:color w:val="000000"/>
                <w:sz w:val="24"/>
                <w:szCs w:val="24"/>
              </w:rPr>
              <w:t>票</w:t>
            </w:r>
          </w:p>
        </w:tc>
        <w:tc>
          <w:tcPr>
            <w:tcW w:w="911" w:type="pct"/>
            <w:vAlign w:val="center"/>
          </w:tcPr>
          <w:p w14:paraId="1F082495">
            <w:pPr>
              <w:adjustRightInd w:val="0"/>
              <w:snapToGrid w:val="0"/>
              <w:jc w:val="center"/>
              <w:rPr>
                <w:rFonts w:ascii="宋体" w:hAnsi="宋体" w:cs="宋体"/>
                <w:color w:val="000000"/>
                <w:sz w:val="24"/>
                <w:szCs w:val="24"/>
              </w:rPr>
            </w:pPr>
            <w:r>
              <w:rPr>
                <w:rFonts w:hint="eastAsia" w:ascii="宋体" w:hAnsi="宋体" w:cs="宋体"/>
                <w:color w:val="000000"/>
                <w:sz w:val="24"/>
                <w:szCs w:val="24"/>
              </w:rPr>
              <w:t>300</w:t>
            </w:r>
          </w:p>
        </w:tc>
      </w:tr>
      <w:tr w14:paraId="591AB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0" w:type="pct"/>
            <w:vAlign w:val="center"/>
          </w:tcPr>
          <w:p w14:paraId="674FCA6D">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7</w:t>
            </w:r>
          </w:p>
        </w:tc>
        <w:tc>
          <w:tcPr>
            <w:tcW w:w="1010" w:type="pct"/>
            <w:vAlign w:val="center"/>
          </w:tcPr>
          <w:p w14:paraId="7B159A93">
            <w:pPr>
              <w:adjustRightInd w:val="0"/>
              <w:snapToGrid w:val="0"/>
              <w:jc w:val="left"/>
              <w:rPr>
                <w:rFonts w:ascii="宋体" w:hAnsi="宋体" w:cs="宋体"/>
                <w:color w:val="000000"/>
                <w:sz w:val="24"/>
                <w:szCs w:val="24"/>
              </w:rPr>
            </w:pPr>
            <w:r>
              <w:rPr>
                <w:rFonts w:hint="eastAsia" w:ascii="宋体" w:hAnsi="宋体" w:cs="宋体"/>
                <w:color w:val="000000"/>
                <w:sz w:val="24"/>
                <w:szCs w:val="24"/>
              </w:rPr>
              <w:t>地级市零担运输费用2</w:t>
            </w:r>
          </w:p>
        </w:tc>
        <w:tc>
          <w:tcPr>
            <w:tcW w:w="2306" w:type="pct"/>
            <w:vMerge w:val="continue"/>
            <w:vAlign w:val="center"/>
          </w:tcPr>
          <w:p w14:paraId="06D7F796">
            <w:pPr>
              <w:adjustRightInd w:val="0"/>
              <w:snapToGrid w:val="0"/>
              <w:jc w:val="left"/>
              <w:rPr>
                <w:rFonts w:ascii="宋体" w:hAnsi="宋体" w:cs="宋体"/>
                <w:color w:val="000000"/>
                <w:sz w:val="24"/>
                <w:szCs w:val="24"/>
              </w:rPr>
            </w:pPr>
          </w:p>
        </w:tc>
        <w:tc>
          <w:tcPr>
            <w:tcW w:w="390" w:type="pct"/>
            <w:vAlign w:val="center"/>
          </w:tcPr>
          <w:p w14:paraId="2641E479">
            <w:pPr>
              <w:adjustRightInd w:val="0"/>
              <w:snapToGrid w:val="0"/>
              <w:jc w:val="center"/>
              <w:rPr>
                <w:rFonts w:ascii="宋体" w:hAnsi="宋体" w:cs="宋体"/>
                <w:color w:val="000000"/>
                <w:sz w:val="24"/>
                <w:szCs w:val="24"/>
              </w:rPr>
            </w:pPr>
            <w:r>
              <w:rPr>
                <w:rFonts w:hint="eastAsia" w:ascii="宋体" w:hAnsi="宋体" w:cs="宋体"/>
                <w:color w:val="000000"/>
                <w:sz w:val="24"/>
                <w:szCs w:val="24"/>
              </w:rPr>
              <w:t>kg</w:t>
            </w:r>
          </w:p>
        </w:tc>
        <w:tc>
          <w:tcPr>
            <w:tcW w:w="911" w:type="pct"/>
            <w:vAlign w:val="center"/>
          </w:tcPr>
          <w:p w14:paraId="48E6CB86">
            <w:pPr>
              <w:adjustRightInd w:val="0"/>
              <w:snapToGrid w:val="0"/>
              <w:jc w:val="center"/>
              <w:rPr>
                <w:rFonts w:ascii="宋体" w:hAnsi="宋体" w:cs="宋体"/>
                <w:color w:val="000000"/>
                <w:sz w:val="24"/>
                <w:szCs w:val="24"/>
              </w:rPr>
            </w:pPr>
            <w:r>
              <w:rPr>
                <w:rFonts w:hint="eastAsia" w:ascii="宋体" w:hAnsi="宋体" w:cs="宋体"/>
                <w:color w:val="000000"/>
                <w:sz w:val="24"/>
                <w:szCs w:val="24"/>
              </w:rPr>
              <w:t>250000</w:t>
            </w:r>
          </w:p>
        </w:tc>
      </w:tr>
      <w:tr w14:paraId="1265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jc w:val="center"/>
        </w:trPr>
        <w:tc>
          <w:tcPr>
            <w:tcW w:w="380" w:type="pct"/>
            <w:vAlign w:val="center"/>
          </w:tcPr>
          <w:p w14:paraId="71FDBC46">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8</w:t>
            </w:r>
          </w:p>
        </w:tc>
        <w:tc>
          <w:tcPr>
            <w:tcW w:w="1010" w:type="pct"/>
            <w:vAlign w:val="center"/>
          </w:tcPr>
          <w:p w14:paraId="2E2CCF07">
            <w:pPr>
              <w:adjustRightInd w:val="0"/>
              <w:snapToGrid w:val="0"/>
              <w:jc w:val="left"/>
              <w:rPr>
                <w:rFonts w:ascii="宋体" w:hAnsi="宋体" w:cs="宋体"/>
                <w:color w:val="000000"/>
                <w:sz w:val="24"/>
                <w:szCs w:val="24"/>
              </w:rPr>
            </w:pPr>
            <w:r>
              <w:rPr>
                <w:rFonts w:hint="eastAsia" w:ascii="宋体" w:hAnsi="宋体" w:cs="宋体"/>
                <w:color w:val="000000"/>
                <w:sz w:val="24"/>
                <w:szCs w:val="24"/>
              </w:rPr>
              <w:t>县级市和县城零担运输费用1</w:t>
            </w:r>
          </w:p>
        </w:tc>
        <w:tc>
          <w:tcPr>
            <w:tcW w:w="2306" w:type="pct"/>
            <w:vMerge w:val="restart"/>
            <w:vAlign w:val="center"/>
          </w:tcPr>
          <w:p w14:paraId="080F144A">
            <w:pPr>
              <w:adjustRightInd w:val="0"/>
              <w:snapToGrid w:val="0"/>
              <w:jc w:val="left"/>
              <w:rPr>
                <w:rFonts w:ascii="宋体" w:hAnsi="宋体" w:cs="宋体"/>
                <w:color w:val="000000"/>
                <w:sz w:val="24"/>
                <w:szCs w:val="24"/>
              </w:rPr>
            </w:pPr>
            <w:r>
              <w:rPr>
                <w:rFonts w:hint="eastAsia" w:ascii="宋体" w:hAnsi="宋体" w:cs="宋体"/>
                <w:color w:val="000000"/>
                <w:sz w:val="24"/>
                <w:szCs w:val="24"/>
              </w:rPr>
              <w:t>1.实际结算金额 = MAX（最低收费，按重计费）。</w:t>
            </w:r>
            <w:r>
              <w:rPr>
                <w:rFonts w:hint="eastAsia" w:ascii="宋体" w:hAnsi="宋体" w:cs="宋体"/>
                <w:color w:val="000000"/>
                <w:sz w:val="24"/>
                <w:szCs w:val="24"/>
              </w:rPr>
              <w:br w:type="textWrapping"/>
            </w:r>
            <w:r>
              <w:rPr>
                <w:rFonts w:hint="eastAsia" w:ascii="宋体" w:hAnsi="宋体" w:cs="宋体"/>
                <w:color w:val="000000"/>
                <w:sz w:val="24"/>
                <w:szCs w:val="24"/>
              </w:rPr>
              <w:t>即：取“最低收费”与“按重量计费”两者的较高值结算。</w:t>
            </w:r>
            <w:r>
              <w:rPr>
                <w:rFonts w:hint="eastAsia" w:ascii="宋体" w:hAnsi="宋体" w:cs="宋体"/>
                <w:color w:val="000000"/>
                <w:sz w:val="24"/>
                <w:szCs w:val="24"/>
              </w:rPr>
              <w:br w:type="textWrapping"/>
            </w:r>
            <w:r>
              <w:rPr>
                <w:rFonts w:hint="eastAsia" w:ascii="宋体" w:hAnsi="宋体" w:cs="宋体"/>
                <w:color w:val="000000"/>
                <w:sz w:val="24"/>
                <w:szCs w:val="24"/>
              </w:rPr>
              <w:t>（注：本项仅含普通物资，不含热敏纸）</w:t>
            </w:r>
          </w:p>
          <w:p w14:paraId="458A1F11">
            <w:pPr>
              <w:adjustRightInd w:val="0"/>
              <w:snapToGrid w:val="0"/>
              <w:jc w:val="left"/>
              <w:rPr>
                <w:rFonts w:ascii="宋体" w:hAnsi="宋体" w:cs="宋体"/>
                <w:color w:val="000000"/>
                <w:sz w:val="24"/>
                <w:szCs w:val="24"/>
              </w:rPr>
            </w:pPr>
            <w:r>
              <w:rPr>
                <w:rFonts w:hint="eastAsia" w:ascii="宋体" w:hAnsi="宋体" w:cs="宋体"/>
                <w:color w:val="000000"/>
                <w:sz w:val="24"/>
                <w:szCs w:val="24"/>
              </w:rPr>
              <w:t>2.最高限价：</w:t>
            </w:r>
            <w:r>
              <w:rPr>
                <w:rFonts w:hint="eastAsia" w:ascii="宋体" w:hAnsi="宋体" w:cs="宋体"/>
                <w:color w:val="000000"/>
                <w:sz w:val="24"/>
                <w:szCs w:val="24"/>
              </w:rPr>
              <w:br w:type="textWrapping"/>
            </w:r>
            <w:r>
              <w:rPr>
                <w:rFonts w:hint="eastAsia" w:ascii="宋体" w:hAnsi="宋体" w:cs="宋体"/>
                <w:color w:val="000000"/>
                <w:sz w:val="24"/>
                <w:szCs w:val="24"/>
              </w:rPr>
              <w:t>① 按重计费：​ ≤1.7元/kg</w:t>
            </w:r>
            <w:r>
              <w:rPr>
                <w:rFonts w:hint="eastAsia" w:ascii="宋体" w:hAnsi="宋体" w:cs="宋体"/>
                <w:color w:val="000000"/>
                <w:sz w:val="24"/>
                <w:szCs w:val="24"/>
              </w:rPr>
              <w:br w:type="textWrapping"/>
            </w:r>
            <w:r>
              <w:rPr>
                <w:rFonts w:hint="eastAsia" w:ascii="宋体" w:hAnsi="宋体" w:cs="宋体"/>
                <w:color w:val="000000"/>
                <w:sz w:val="24"/>
                <w:szCs w:val="24"/>
              </w:rPr>
              <w:t>② 最低收费：​ ≤600元/票</w:t>
            </w:r>
          </w:p>
        </w:tc>
        <w:tc>
          <w:tcPr>
            <w:tcW w:w="390" w:type="pct"/>
            <w:vAlign w:val="center"/>
          </w:tcPr>
          <w:p w14:paraId="5ED6B441">
            <w:pPr>
              <w:adjustRightInd w:val="0"/>
              <w:snapToGrid w:val="0"/>
              <w:jc w:val="center"/>
              <w:rPr>
                <w:rFonts w:ascii="宋体" w:hAnsi="宋体" w:cs="宋体"/>
                <w:color w:val="000000"/>
                <w:sz w:val="24"/>
                <w:szCs w:val="24"/>
              </w:rPr>
            </w:pPr>
            <w:r>
              <w:rPr>
                <w:rFonts w:hint="eastAsia" w:ascii="宋体" w:hAnsi="宋体" w:cs="宋体"/>
                <w:color w:val="000000"/>
                <w:sz w:val="24"/>
                <w:szCs w:val="24"/>
              </w:rPr>
              <w:t>票</w:t>
            </w:r>
          </w:p>
        </w:tc>
        <w:tc>
          <w:tcPr>
            <w:tcW w:w="911" w:type="pct"/>
            <w:vAlign w:val="center"/>
          </w:tcPr>
          <w:p w14:paraId="6DCDFCB9">
            <w:pPr>
              <w:adjustRightInd w:val="0"/>
              <w:snapToGrid w:val="0"/>
              <w:jc w:val="center"/>
              <w:rPr>
                <w:rFonts w:ascii="宋体" w:hAnsi="宋体" w:cs="宋体"/>
                <w:color w:val="000000"/>
                <w:sz w:val="24"/>
                <w:szCs w:val="24"/>
              </w:rPr>
            </w:pPr>
            <w:r>
              <w:rPr>
                <w:rFonts w:hint="eastAsia" w:ascii="宋体" w:hAnsi="宋体" w:cs="宋体"/>
                <w:color w:val="000000"/>
                <w:sz w:val="24"/>
                <w:szCs w:val="24"/>
              </w:rPr>
              <w:t>400</w:t>
            </w:r>
          </w:p>
        </w:tc>
      </w:tr>
      <w:tr w14:paraId="7EDF5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380" w:type="pct"/>
            <w:vAlign w:val="center"/>
          </w:tcPr>
          <w:p w14:paraId="516CA72B">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9</w:t>
            </w:r>
          </w:p>
        </w:tc>
        <w:tc>
          <w:tcPr>
            <w:tcW w:w="1010" w:type="pct"/>
            <w:vAlign w:val="center"/>
          </w:tcPr>
          <w:p w14:paraId="5055F82F">
            <w:pPr>
              <w:adjustRightInd w:val="0"/>
              <w:snapToGrid w:val="0"/>
              <w:jc w:val="left"/>
              <w:rPr>
                <w:rFonts w:ascii="宋体" w:hAnsi="宋体" w:cs="宋体"/>
                <w:color w:val="000000"/>
                <w:sz w:val="24"/>
                <w:szCs w:val="24"/>
              </w:rPr>
            </w:pPr>
            <w:r>
              <w:rPr>
                <w:rFonts w:hint="eastAsia" w:ascii="宋体" w:hAnsi="宋体" w:cs="宋体"/>
                <w:color w:val="000000"/>
                <w:sz w:val="24"/>
                <w:szCs w:val="24"/>
              </w:rPr>
              <w:t>县级市和县城零担运输费用2</w:t>
            </w:r>
          </w:p>
        </w:tc>
        <w:tc>
          <w:tcPr>
            <w:tcW w:w="2306" w:type="pct"/>
            <w:vMerge w:val="continue"/>
            <w:vAlign w:val="center"/>
          </w:tcPr>
          <w:p w14:paraId="0D1EFB91">
            <w:pPr>
              <w:adjustRightInd w:val="0"/>
              <w:snapToGrid w:val="0"/>
              <w:jc w:val="left"/>
              <w:rPr>
                <w:rFonts w:ascii="宋体" w:hAnsi="宋体" w:cs="宋体"/>
                <w:color w:val="000000"/>
                <w:sz w:val="24"/>
                <w:szCs w:val="24"/>
              </w:rPr>
            </w:pPr>
          </w:p>
        </w:tc>
        <w:tc>
          <w:tcPr>
            <w:tcW w:w="390" w:type="pct"/>
            <w:vAlign w:val="center"/>
          </w:tcPr>
          <w:p w14:paraId="78A5B101">
            <w:pPr>
              <w:adjustRightInd w:val="0"/>
              <w:snapToGrid w:val="0"/>
              <w:jc w:val="center"/>
              <w:rPr>
                <w:rFonts w:ascii="宋体" w:hAnsi="宋体" w:cs="宋体"/>
                <w:color w:val="000000"/>
                <w:sz w:val="24"/>
                <w:szCs w:val="24"/>
              </w:rPr>
            </w:pPr>
            <w:r>
              <w:rPr>
                <w:rFonts w:hint="eastAsia" w:ascii="宋体" w:hAnsi="宋体" w:cs="宋体"/>
                <w:color w:val="000000"/>
                <w:sz w:val="24"/>
                <w:szCs w:val="24"/>
              </w:rPr>
              <w:t>kg</w:t>
            </w:r>
          </w:p>
        </w:tc>
        <w:tc>
          <w:tcPr>
            <w:tcW w:w="911" w:type="pct"/>
            <w:vAlign w:val="center"/>
          </w:tcPr>
          <w:p w14:paraId="07847092">
            <w:pPr>
              <w:adjustRightInd w:val="0"/>
              <w:snapToGrid w:val="0"/>
              <w:jc w:val="center"/>
              <w:rPr>
                <w:rFonts w:ascii="宋体" w:hAnsi="宋体" w:cs="宋体"/>
                <w:color w:val="000000"/>
                <w:sz w:val="24"/>
                <w:szCs w:val="24"/>
              </w:rPr>
            </w:pPr>
            <w:r>
              <w:rPr>
                <w:rFonts w:hint="eastAsia" w:ascii="宋体" w:hAnsi="宋体" w:cs="宋体"/>
                <w:color w:val="000000"/>
                <w:sz w:val="24"/>
                <w:szCs w:val="24"/>
              </w:rPr>
              <w:t>350000</w:t>
            </w:r>
          </w:p>
        </w:tc>
      </w:tr>
      <w:tr w14:paraId="0367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380" w:type="pct"/>
            <w:vAlign w:val="center"/>
          </w:tcPr>
          <w:p w14:paraId="5956AAF7">
            <w:pPr>
              <w:adjustRightInd w:val="0"/>
              <w:snapToGrid w:val="0"/>
              <w:jc w:val="center"/>
              <w:rPr>
                <w:rFonts w:ascii="宋体" w:hAnsi="宋体" w:cs="宋体"/>
                <w:b/>
                <w:bCs/>
                <w:color w:val="000000"/>
                <w:sz w:val="24"/>
                <w:szCs w:val="24"/>
              </w:rPr>
            </w:pPr>
            <w:r>
              <w:rPr>
                <w:rFonts w:hint="eastAsia" w:ascii="宋体" w:hAnsi="宋体" w:cs="宋体"/>
                <w:b/>
                <w:bCs/>
                <w:color w:val="000000"/>
                <w:sz w:val="24"/>
                <w:szCs w:val="24"/>
              </w:rPr>
              <w:t>10</w:t>
            </w:r>
          </w:p>
        </w:tc>
        <w:tc>
          <w:tcPr>
            <w:tcW w:w="1010" w:type="pct"/>
            <w:vAlign w:val="center"/>
          </w:tcPr>
          <w:p w14:paraId="6CE9A75C">
            <w:pPr>
              <w:adjustRightInd w:val="0"/>
              <w:snapToGrid w:val="0"/>
              <w:jc w:val="left"/>
              <w:rPr>
                <w:rFonts w:ascii="宋体" w:hAnsi="宋体" w:cs="宋体"/>
                <w:color w:val="000000"/>
                <w:sz w:val="24"/>
                <w:szCs w:val="24"/>
              </w:rPr>
            </w:pPr>
            <w:r>
              <w:rPr>
                <w:rFonts w:hint="eastAsia" w:ascii="宋体" w:hAnsi="宋体" w:cs="宋体"/>
                <w:color w:val="000000"/>
                <w:sz w:val="24"/>
                <w:szCs w:val="24"/>
              </w:rPr>
              <w:t>热敏纸物流全包服务费</w:t>
            </w:r>
          </w:p>
        </w:tc>
        <w:tc>
          <w:tcPr>
            <w:tcW w:w="2306" w:type="pct"/>
            <w:vAlign w:val="center"/>
          </w:tcPr>
          <w:p w14:paraId="5AC66842">
            <w:pPr>
              <w:adjustRightInd w:val="0"/>
              <w:snapToGrid w:val="0"/>
              <w:jc w:val="left"/>
              <w:rPr>
                <w:rFonts w:ascii="宋体" w:hAnsi="宋体" w:cs="宋体"/>
                <w:color w:val="000000"/>
                <w:sz w:val="24"/>
                <w:szCs w:val="24"/>
              </w:rPr>
            </w:pPr>
            <w:r>
              <w:rPr>
                <w:rFonts w:hint="eastAsia" w:ascii="宋体" w:hAnsi="宋体" w:cs="宋体"/>
                <w:color w:val="000000"/>
                <w:sz w:val="24"/>
                <w:szCs w:val="24"/>
              </w:rPr>
              <w:t>包括热敏纸仓储、分拣包装、全省配送运费、物流系统建设及运营服务、客服服务、算法优化等。</w:t>
            </w:r>
          </w:p>
        </w:tc>
        <w:tc>
          <w:tcPr>
            <w:tcW w:w="390" w:type="pct"/>
            <w:vAlign w:val="center"/>
          </w:tcPr>
          <w:p w14:paraId="089AA54A">
            <w:pPr>
              <w:adjustRightInd w:val="0"/>
              <w:snapToGrid w:val="0"/>
              <w:jc w:val="center"/>
              <w:rPr>
                <w:rFonts w:ascii="宋体" w:hAnsi="宋体" w:cs="宋体"/>
                <w:color w:val="000000"/>
                <w:sz w:val="24"/>
                <w:szCs w:val="24"/>
              </w:rPr>
            </w:pPr>
            <w:r>
              <w:rPr>
                <w:rFonts w:hint="eastAsia" w:ascii="宋体" w:hAnsi="宋体" w:cs="宋体"/>
                <w:color w:val="000000"/>
                <w:sz w:val="24"/>
                <w:szCs w:val="24"/>
              </w:rPr>
              <w:t>箱</w:t>
            </w:r>
          </w:p>
        </w:tc>
        <w:tc>
          <w:tcPr>
            <w:tcW w:w="911" w:type="pct"/>
            <w:vAlign w:val="center"/>
          </w:tcPr>
          <w:p w14:paraId="2FC3BE48">
            <w:pPr>
              <w:adjustRightInd w:val="0"/>
              <w:snapToGrid w:val="0"/>
              <w:jc w:val="center"/>
              <w:rPr>
                <w:rFonts w:ascii="宋体" w:hAnsi="宋体" w:cs="宋体"/>
                <w:color w:val="000000"/>
                <w:sz w:val="24"/>
                <w:szCs w:val="24"/>
              </w:rPr>
            </w:pPr>
            <w:r>
              <w:rPr>
                <w:rFonts w:hint="eastAsia" w:ascii="宋体" w:hAnsi="宋体" w:cs="宋体"/>
                <w:color w:val="000000"/>
                <w:sz w:val="24"/>
                <w:szCs w:val="24"/>
              </w:rPr>
              <w:t>130000</w:t>
            </w:r>
          </w:p>
        </w:tc>
      </w:tr>
      <w:tr w14:paraId="6CD3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5000" w:type="pct"/>
            <w:gridSpan w:val="5"/>
            <w:vAlign w:val="center"/>
          </w:tcPr>
          <w:p w14:paraId="3A33B5D8">
            <w:pPr>
              <w:adjustRightInd w:val="0"/>
              <w:snapToGrid w:val="0"/>
              <w:jc w:val="center"/>
              <w:rPr>
                <w:rFonts w:ascii="宋体" w:hAnsi="宋体" w:cs="宋体"/>
                <w:color w:val="000000"/>
                <w:sz w:val="24"/>
                <w:szCs w:val="24"/>
              </w:rPr>
            </w:pPr>
            <w:r>
              <w:rPr>
                <w:rFonts w:hint="eastAsia" w:ascii="宋体" w:hAnsi="宋体" w:cs="宋体"/>
                <w:b/>
                <w:bCs/>
                <w:color w:val="000000"/>
                <w:sz w:val="24"/>
                <w:szCs w:val="24"/>
              </w:rPr>
              <w:t>按照两年数量计算投标总价</w:t>
            </w:r>
          </w:p>
        </w:tc>
      </w:tr>
    </w:tbl>
    <w:p w14:paraId="1B831833">
      <w:pPr>
        <w:adjustRightInd w:val="0"/>
        <w:snapToGrid w:val="0"/>
        <w:spacing w:line="360" w:lineRule="auto"/>
        <w:ind w:firstLine="482" w:firstLineChars="200"/>
        <w:jc w:val="left"/>
        <w:rPr>
          <w:rFonts w:ascii="宋体" w:hAnsi="宋体"/>
          <w:b/>
          <w:sz w:val="24"/>
          <w:szCs w:val="24"/>
        </w:rPr>
      </w:pPr>
    </w:p>
    <w:p w14:paraId="0F442AAE">
      <w:pPr>
        <w:adjustRightInd w:val="0"/>
        <w:snapToGrid w:val="0"/>
        <w:spacing w:line="360" w:lineRule="auto"/>
        <w:ind w:firstLine="482" w:firstLineChars="200"/>
        <w:jc w:val="left"/>
        <w:rPr>
          <w:rFonts w:ascii="宋体" w:hAnsi="宋体"/>
          <w:b/>
          <w:sz w:val="24"/>
          <w:szCs w:val="24"/>
        </w:rPr>
      </w:pPr>
      <w:r>
        <w:rPr>
          <w:rFonts w:hint="eastAsia" w:ascii="宋体" w:hAnsi="宋体"/>
          <w:b/>
          <w:sz w:val="24"/>
          <w:szCs w:val="24"/>
        </w:rPr>
        <w:t>二、技术商务要求</w:t>
      </w:r>
    </w:p>
    <w:p w14:paraId="452619FF">
      <w:pPr>
        <w:adjustRightInd w:val="0"/>
        <w:snapToGrid w:val="0"/>
        <w:spacing w:line="360" w:lineRule="auto"/>
        <w:ind w:firstLine="482" w:firstLineChars="200"/>
        <w:jc w:val="left"/>
        <w:rPr>
          <w:bCs/>
          <w:sz w:val="24"/>
        </w:rPr>
      </w:pPr>
      <w:r>
        <w:rPr>
          <w:rFonts w:hint="eastAsia"/>
          <w:b/>
          <w:sz w:val="24"/>
        </w:rPr>
        <w:t>（一）仓储管理服务</w:t>
      </w:r>
    </w:p>
    <w:p w14:paraId="61C01BBC">
      <w:pPr>
        <w:adjustRightInd w:val="0"/>
        <w:snapToGrid w:val="0"/>
        <w:spacing w:line="360" w:lineRule="auto"/>
        <w:ind w:firstLine="480" w:firstLineChars="200"/>
        <w:jc w:val="left"/>
        <w:rPr>
          <w:bCs/>
          <w:sz w:val="24"/>
        </w:rPr>
      </w:pPr>
      <w:r>
        <w:rPr>
          <w:rFonts w:hint="eastAsia"/>
          <w:bCs/>
          <w:sz w:val="24"/>
        </w:rPr>
        <w:t>1、在南京提供符合采购人使用标准的库房面积不低于3500平方米。（提供产权证或租赁合同等证明材料复印件）</w:t>
      </w:r>
    </w:p>
    <w:p w14:paraId="21F4DBCF">
      <w:pPr>
        <w:adjustRightInd w:val="0"/>
        <w:snapToGrid w:val="0"/>
        <w:spacing w:line="360" w:lineRule="auto"/>
        <w:ind w:firstLine="480" w:firstLineChars="200"/>
        <w:jc w:val="left"/>
        <w:rPr>
          <w:bCs/>
          <w:sz w:val="24"/>
        </w:rPr>
      </w:pPr>
      <w:r>
        <w:rPr>
          <w:rFonts w:hint="eastAsia"/>
          <w:bCs/>
          <w:sz w:val="24"/>
        </w:rPr>
        <w:t>2、由于采购方所存储物料的特殊性，仓储空间应符合防潮、防火、防盗、防尘、防虫、以及24小时不间断电源、360度无死角CCTV全监控服务（保存期6个月）等要求。（提供承诺书原件）</w:t>
      </w:r>
    </w:p>
    <w:p w14:paraId="49A145E0">
      <w:pPr>
        <w:adjustRightInd w:val="0"/>
        <w:snapToGrid w:val="0"/>
        <w:spacing w:line="360" w:lineRule="auto"/>
        <w:ind w:firstLine="480" w:firstLineChars="200"/>
        <w:jc w:val="left"/>
        <w:rPr>
          <w:bCs/>
          <w:sz w:val="24"/>
        </w:rPr>
      </w:pPr>
      <w:r>
        <w:rPr>
          <w:rFonts w:hint="eastAsia"/>
          <w:bCs/>
          <w:sz w:val="24"/>
        </w:rPr>
        <w:t>3、彩票类物品入库时，须使用统一标准的货物托盘。应根据要求派专人配合设置在 “彩票进出库管理系统”的操作使用，设立独立的封闭区域存放彩票。</w:t>
      </w:r>
    </w:p>
    <w:p w14:paraId="4B028C9F">
      <w:pPr>
        <w:adjustRightInd w:val="0"/>
        <w:snapToGrid w:val="0"/>
        <w:spacing w:line="360" w:lineRule="auto"/>
        <w:ind w:firstLine="480" w:firstLineChars="200"/>
        <w:jc w:val="left"/>
        <w:rPr>
          <w:bCs/>
          <w:sz w:val="24"/>
        </w:rPr>
      </w:pPr>
      <w:r>
        <w:rPr>
          <w:rFonts w:hint="eastAsia"/>
          <w:bCs/>
          <w:sz w:val="24"/>
        </w:rPr>
        <w:t>4、建立彩票各类物资进出库管理系统。提供仓库管理的终端系统软件，可根据用户权限实时查询库存、物流情况，并提供专门的管理平台的数据接口及相关技术支持、培训服务。</w:t>
      </w:r>
    </w:p>
    <w:p w14:paraId="3BD99F55">
      <w:pPr>
        <w:adjustRightInd w:val="0"/>
        <w:snapToGrid w:val="0"/>
        <w:spacing w:line="360" w:lineRule="auto"/>
        <w:ind w:firstLine="480" w:firstLineChars="200"/>
        <w:jc w:val="left"/>
        <w:rPr>
          <w:bCs/>
          <w:sz w:val="24"/>
        </w:rPr>
      </w:pPr>
      <w:r>
        <w:rPr>
          <w:rFonts w:hint="eastAsia"/>
          <w:bCs/>
          <w:sz w:val="24"/>
        </w:rPr>
        <w:t>5、终端机需分厂家、品牌和机型进行管理，每款终端机单独摆放并张贴出入库记录和库存变化表，终端机的发放和回收在仓库原有记账方式的基础上，还需使用省体彩中心指定的终端管理系统进行操作，并定期盘点，和省体彩中心终端机管理负责人进行定期对账。</w:t>
      </w:r>
    </w:p>
    <w:p w14:paraId="26C2451D">
      <w:pPr>
        <w:adjustRightInd w:val="0"/>
        <w:snapToGrid w:val="0"/>
        <w:spacing w:line="360" w:lineRule="auto"/>
        <w:ind w:firstLine="480" w:firstLineChars="200"/>
        <w:jc w:val="left"/>
        <w:rPr>
          <w:bCs/>
          <w:sz w:val="24"/>
        </w:rPr>
      </w:pPr>
      <w:r>
        <w:rPr>
          <w:rFonts w:hint="eastAsia"/>
          <w:bCs/>
          <w:sz w:val="24"/>
        </w:rPr>
        <w:t>6、中标人装卸人员对货物要做到轻装轻卸，严禁乱摔、乱砸、乱放；因搬运不当造成的损坏应按市场价赔偿。</w:t>
      </w:r>
    </w:p>
    <w:p w14:paraId="05E23D16">
      <w:pPr>
        <w:adjustRightInd w:val="0"/>
        <w:snapToGrid w:val="0"/>
        <w:spacing w:line="360" w:lineRule="auto"/>
        <w:ind w:firstLine="480" w:firstLineChars="200"/>
        <w:jc w:val="left"/>
        <w:rPr>
          <w:bCs/>
          <w:sz w:val="24"/>
        </w:rPr>
      </w:pPr>
      <w:r>
        <w:rPr>
          <w:rFonts w:hint="eastAsia"/>
          <w:bCs/>
          <w:sz w:val="24"/>
        </w:rPr>
        <w:t>7、仓储费用相关明细表等资料到期后全部移交省体彩中心。（提供承诺书原件）</w:t>
      </w:r>
    </w:p>
    <w:p w14:paraId="534E1669">
      <w:pPr>
        <w:adjustRightInd w:val="0"/>
        <w:snapToGrid w:val="0"/>
        <w:spacing w:line="360" w:lineRule="auto"/>
        <w:ind w:firstLine="480" w:firstLineChars="200"/>
        <w:jc w:val="left"/>
        <w:rPr>
          <w:bCs/>
          <w:sz w:val="24"/>
        </w:rPr>
      </w:pPr>
      <w:r>
        <w:rPr>
          <w:rFonts w:hint="eastAsia"/>
          <w:bCs/>
          <w:sz w:val="24"/>
        </w:rPr>
        <w:t>8、现有仓储物料的转场费用由中标人承担，现有仓库地址：南京市江宁区淳化街道唐家路（雁冲路88号），面积3500平方米。</w:t>
      </w:r>
    </w:p>
    <w:p w14:paraId="75BE946E">
      <w:pPr>
        <w:adjustRightInd w:val="0"/>
        <w:snapToGrid w:val="0"/>
        <w:spacing w:line="360" w:lineRule="auto"/>
        <w:ind w:firstLine="482" w:firstLineChars="200"/>
        <w:jc w:val="left"/>
        <w:rPr>
          <w:b/>
          <w:sz w:val="24"/>
        </w:rPr>
      </w:pPr>
      <w:r>
        <w:rPr>
          <w:rFonts w:hint="eastAsia"/>
          <w:b/>
          <w:sz w:val="24"/>
        </w:rPr>
        <w:t>（二）物流管理服务</w:t>
      </w:r>
    </w:p>
    <w:p w14:paraId="2B513B72">
      <w:pPr>
        <w:adjustRightInd w:val="0"/>
        <w:snapToGrid w:val="0"/>
        <w:spacing w:line="360" w:lineRule="auto"/>
        <w:ind w:firstLine="480" w:firstLineChars="200"/>
        <w:jc w:val="left"/>
        <w:rPr>
          <w:bCs/>
          <w:sz w:val="24"/>
        </w:rPr>
      </w:pPr>
      <w:r>
        <w:rPr>
          <w:rFonts w:hint="eastAsia"/>
          <w:bCs/>
          <w:sz w:val="24"/>
        </w:rPr>
        <w:t>1、提供国家核准颁发并至今有效的可经营公路运输业务的《道路运输经营许可证》等资质证明。</w:t>
      </w:r>
    </w:p>
    <w:p w14:paraId="66624513">
      <w:pPr>
        <w:adjustRightInd w:val="0"/>
        <w:snapToGrid w:val="0"/>
        <w:spacing w:line="360" w:lineRule="auto"/>
        <w:ind w:firstLine="480" w:firstLineChars="200"/>
        <w:jc w:val="left"/>
        <w:rPr>
          <w:bCs/>
          <w:sz w:val="24"/>
        </w:rPr>
      </w:pPr>
      <w:r>
        <w:rPr>
          <w:rFonts w:hint="eastAsia"/>
          <w:bCs/>
          <w:sz w:val="24"/>
        </w:rPr>
        <w:t>2、保证足够的车辆可供调配能满足采购方配送计划（提供车辆行驶证登记表复印件或车辆租赁合同复印件）。在省内所提供运输服务的零担直运须为有顶封闭的厢式汽车，不得转包转运。且需对相关运输及货物安全负完全责任。</w:t>
      </w:r>
    </w:p>
    <w:p w14:paraId="6300E0BD">
      <w:pPr>
        <w:adjustRightInd w:val="0"/>
        <w:snapToGrid w:val="0"/>
        <w:spacing w:line="360" w:lineRule="auto"/>
        <w:ind w:firstLine="480" w:firstLineChars="200"/>
        <w:jc w:val="left"/>
        <w:rPr>
          <w:bCs/>
          <w:sz w:val="24"/>
        </w:rPr>
      </w:pPr>
      <w:r>
        <w:rPr>
          <w:rFonts w:hint="eastAsia"/>
          <w:bCs/>
          <w:sz w:val="24"/>
        </w:rPr>
        <w:t>3、按采购人要求时间配送彩票、货物，到达目的地后，须由收货方签字确认，该物流活动包括货物（门到门）装运，搬卸（含上下车和上下楼等环节），送货上门等。中标人须将收货确认单扫描发给省体彩中心对应仓库管理员邮箱。</w:t>
      </w:r>
    </w:p>
    <w:p w14:paraId="33BA8FA6">
      <w:pPr>
        <w:adjustRightInd w:val="0"/>
        <w:snapToGrid w:val="0"/>
        <w:spacing w:line="360" w:lineRule="auto"/>
        <w:ind w:firstLine="480" w:firstLineChars="200"/>
        <w:jc w:val="left"/>
        <w:rPr>
          <w:bCs/>
          <w:sz w:val="24"/>
        </w:rPr>
      </w:pPr>
      <w:r>
        <w:rPr>
          <w:rFonts w:hint="eastAsia"/>
          <w:bCs/>
          <w:sz w:val="24"/>
        </w:rPr>
        <w:t>4、按月核对物流明细及物流费用，核对无误后签字确认，作为每月结算的依据。即开票按照出库的实际称重重量结算。</w:t>
      </w:r>
    </w:p>
    <w:p w14:paraId="172596BE">
      <w:pPr>
        <w:adjustRightInd w:val="0"/>
        <w:snapToGrid w:val="0"/>
        <w:spacing w:line="360" w:lineRule="auto"/>
        <w:ind w:firstLine="480" w:firstLineChars="200"/>
        <w:jc w:val="left"/>
        <w:rPr>
          <w:bCs/>
          <w:sz w:val="24"/>
        </w:rPr>
      </w:pPr>
      <w:r>
        <w:rPr>
          <w:rFonts w:hint="eastAsia"/>
          <w:bCs/>
          <w:sz w:val="24"/>
        </w:rPr>
        <w:t>5、所提供运输明细表等相关资料的保存期须在五年以上。（提供承诺书原件）</w:t>
      </w:r>
    </w:p>
    <w:p w14:paraId="1814BCC9">
      <w:pPr>
        <w:adjustRightInd w:val="0"/>
        <w:snapToGrid w:val="0"/>
        <w:spacing w:line="360" w:lineRule="auto"/>
        <w:ind w:firstLine="480" w:firstLineChars="200"/>
        <w:jc w:val="left"/>
        <w:rPr>
          <w:bCs/>
          <w:sz w:val="24"/>
        </w:rPr>
      </w:pPr>
      <w:r>
        <w:rPr>
          <w:rFonts w:hint="eastAsia"/>
          <w:bCs/>
          <w:sz w:val="24"/>
        </w:rPr>
        <w:t>6、配送范围及时限要求：</w:t>
      </w:r>
    </w:p>
    <w:p w14:paraId="6E9B229D">
      <w:pPr>
        <w:adjustRightInd w:val="0"/>
        <w:snapToGrid w:val="0"/>
        <w:spacing w:line="360" w:lineRule="auto"/>
        <w:ind w:firstLine="480" w:firstLineChars="200"/>
        <w:jc w:val="left"/>
        <w:rPr>
          <w:bCs/>
          <w:sz w:val="24"/>
        </w:rPr>
      </w:pPr>
      <w:r>
        <w:rPr>
          <w:rFonts w:hint="eastAsia"/>
          <w:bCs/>
          <w:sz w:val="24"/>
        </w:rPr>
        <w:t xml:space="preserve">（1）江苏省13个地级市城市、省内各县级城市、乡镇、全省销售网点20000个左右，配送至全省市县78个仓库。因政策或市场变化，销售网点数量、所配送物品数量等会有变化，根据采购人实际需要配送。 </w:t>
      </w:r>
    </w:p>
    <w:p w14:paraId="508BD8B2">
      <w:pPr>
        <w:adjustRightInd w:val="0"/>
        <w:snapToGrid w:val="0"/>
        <w:spacing w:line="360" w:lineRule="auto"/>
        <w:ind w:firstLine="480" w:firstLineChars="200"/>
        <w:jc w:val="left"/>
        <w:rPr>
          <w:bCs/>
          <w:sz w:val="24"/>
        </w:rPr>
      </w:pPr>
      <w:r>
        <w:rPr>
          <w:rFonts w:hint="eastAsia"/>
          <w:bCs/>
          <w:sz w:val="24"/>
        </w:rPr>
        <w:t>（2）全省范围内配送到仓库，点到点链式服务，从接到指令到对方验收入库并签收，时间要求江苏省内地级市1天、县级市2天、乡镇2-3天。</w:t>
      </w:r>
    </w:p>
    <w:p w14:paraId="200501A7">
      <w:pPr>
        <w:adjustRightInd w:val="0"/>
        <w:snapToGrid w:val="0"/>
        <w:spacing w:line="360" w:lineRule="auto"/>
        <w:ind w:firstLine="480" w:firstLineChars="200"/>
        <w:jc w:val="left"/>
        <w:rPr>
          <w:bCs/>
          <w:sz w:val="24"/>
        </w:rPr>
      </w:pPr>
      <w:r>
        <w:rPr>
          <w:rFonts w:hint="eastAsia"/>
          <w:bCs/>
          <w:sz w:val="24"/>
        </w:rPr>
        <w:t>（3）彩票类配送时限：仓库收到出库指令到收货方验收并签收，时间不超过5天。</w:t>
      </w:r>
    </w:p>
    <w:p w14:paraId="7B1D271A">
      <w:pPr>
        <w:adjustRightInd w:val="0"/>
        <w:snapToGrid w:val="0"/>
        <w:spacing w:line="360" w:lineRule="auto"/>
        <w:ind w:firstLine="482" w:firstLineChars="200"/>
        <w:jc w:val="left"/>
        <w:rPr>
          <w:bCs/>
          <w:sz w:val="24"/>
        </w:rPr>
      </w:pPr>
      <w:r>
        <w:rPr>
          <w:rFonts w:hint="eastAsia"/>
          <w:b/>
          <w:sz w:val="24"/>
        </w:rPr>
        <w:t>（三）热敏纸物流服务</w:t>
      </w:r>
    </w:p>
    <w:p w14:paraId="2871FC92">
      <w:pPr>
        <w:adjustRightInd w:val="0"/>
        <w:snapToGrid w:val="0"/>
        <w:spacing w:line="360" w:lineRule="auto"/>
        <w:ind w:firstLine="480" w:firstLineChars="200"/>
        <w:jc w:val="left"/>
        <w:rPr>
          <w:bCs/>
          <w:sz w:val="24"/>
        </w:rPr>
      </w:pPr>
      <w:r>
        <w:rPr>
          <w:rFonts w:hint="eastAsia"/>
          <w:bCs/>
          <w:sz w:val="24"/>
        </w:rPr>
        <w:t>1、提供彩票热敏纸物流管理服务，进行运营及市场跟踪，建设热敏纸物流系统，并提供合作期间的系统升级和运维服务。</w:t>
      </w:r>
    </w:p>
    <w:p w14:paraId="37F324B6">
      <w:pPr>
        <w:adjustRightInd w:val="0"/>
        <w:snapToGrid w:val="0"/>
        <w:spacing w:line="360" w:lineRule="auto"/>
        <w:ind w:firstLine="480" w:firstLineChars="200"/>
        <w:jc w:val="left"/>
        <w:rPr>
          <w:bCs/>
          <w:sz w:val="24"/>
        </w:rPr>
      </w:pPr>
      <w:r>
        <w:rPr>
          <w:rFonts w:hint="eastAsia"/>
          <w:bCs/>
          <w:sz w:val="24"/>
        </w:rPr>
        <w:t>（1）将彩票销售网点申请的热敏纸等物料投放配送到销售网点。配送时限：点到点链式服务，从接到指令到对方验收并签收，时间要求江苏省内地级市1天、县级市2天、乡镇2-3天。</w:t>
      </w:r>
    </w:p>
    <w:p w14:paraId="05D43263">
      <w:pPr>
        <w:adjustRightInd w:val="0"/>
        <w:snapToGrid w:val="0"/>
        <w:spacing w:line="360" w:lineRule="auto"/>
        <w:ind w:firstLine="480" w:firstLineChars="200"/>
        <w:jc w:val="left"/>
        <w:rPr>
          <w:bCs/>
          <w:sz w:val="24"/>
        </w:rPr>
      </w:pPr>
      <w:r>
        <w:rPr>
          <w:rFonts w:hint="eastAsia"/>
          <w:bCs/>
          <w:sz w:val="24"/>
        </w:rPr>
        <w:t>（2）根据甲方提供的热敏纸消耗情况，确定每个网点热敏纸可申请数量，并严格限制每次申请数量不能超过可申请数量，该数据支持动态更新。每年配送的热敏纸数量除以热敏纸消耗量原则上不能超过1.05。</w:t>
      </w:r>
    </w:p>
    <w:p w14:paraId="389DB264">
      <w:pPr>
        <w:adjustRightInd w:val="0"/>
        <w:snapToGrid w:val="0"/>
        <w:spacing w:line="360" w:lineRule="auto"/>
        <w:ind w:firstLine="480" w:firstLineChars="200"/>
        <w:jc w:val="left"/>
        <w:rPr>
          <w:bCs/>
          <w:sz w:val="24"/>
        </w:rPr>
      </w:pPr>
      <w:r>
        <w:rPr>
          <w:rFonts w:hint="eastAsia"/>
          <w:bCs/>
          <w:sz w:val="24"/>
        </w:rPr>
        <w:t>（3）运用先进的管理理念和科学算法结合全省各彩票销售站点不同的物料使用情况、地理位置等对相关物料进行最优化分配，同时根据不同的配比要求提出最佳运输方案并予实施。全省体彩相关的业务信息数据通过不同需求进行智能优化处理和分配，实时为不同的服务对象进行个性化服务。及时根据站点耗材使用情况结合站点及当地体彩中心库存情况，自动生成不同配送服务解决方案并实施。</w:t>
      </w:r>
    </w:p>
    <w:p w14:paraId="14D18989">
      <w:pPr>
        <w:adjustRightInd w:val="0"/>
        <w:snapToGrid w:val="0"/>
        <w:spacing w:line="360" w:lineRule="auto"/>
        <w:ind w:firstLine="480" w:firstLineChars="200"/>
        <w:jc w:val="left"/>
        <w:rPr>
          <w:bCs/>
          <w:sz w:val="24"/>
        </w:rPr>
      </w:pPr>
      <w:r>
        <w:rPr>
          <w:rFonts w:hint="eastAsia"/>
          <w:bCs/>
          <w:sz w:val="24"/>
        </w:rPr>
        <w:t>（4）支持多种热敏纸预定方式，包括不限于PC端网页、手机APP（或小程序）、客服电话等。</w:t>
      </w:r>
    </w:p>
    <w:p w14:paraId="45961321">
      <w:pPr>
        <w:adjustRightInd w:val="0"/>
        <w:snapToGrid w:val="0"/>
        <w:spacing w:line="360" w:lineRule="auto"/>
        <w:ind w:firstLine="480" w:firstLineChars="200"/>
        <w:jc w:val="left"/>
        <w:rPr>
          <w:bCs/>
          <w:sz w:val="24"/>
        </w:rPr>
      </w:pPr>
      <w:r>
        <w:rPr>
          <w:rFonts w:hint="eastAsia"/>
          <w:bCs/>
          <w:sz w:val="24"/>
        </w:rPr>
        <w:t>（5）建设热敏纸物流系统，支持3万个用户访问（目前全省约2万个销售网点），支持PC端和手机端同时访问。实现门店管理，根据甲方门店新增情况在物流系统中增加门店相关信息和账户信息，根据甲方门店退站情况在物流系统中将门店设置为不可用状态，不再接受热敏纸申请。实现销售网点可申请额度管理，根据销售网点热敏纸消耗以及配送情况进行可申请额度调整，允许设置可申请额度最大值，记录额度调整的详细信息并提供查询。实现订单管理，系统中应保留申请、配送每一条记录。订单与热敏纸箱号关联。提供订单查询、统计汇总、报表分析、库存查询等功能，包含所有的历史明细信息查询。该系统可以提供账户供甲方及甲方授予人员查询相关信息。该系统支持与甲方建设的系统进行对接，提供数据接口。合同签订一个月内具备系统上线条件。</w:t>
      </w:r>
    </w:p>
    <w:p w14:paraId="2968A1F8">
      <w:pPr>
        <w:adjustRightInd w:val="0"/>
        <w:snapToGrid w:val="0"/>
        <w:spacing w:line="360" w:lineRule="auto"/>
        <w:ind w:firstLine="480" w:firstLineChars="200"/>
        <w:jc w:val="left"/>
        <w:rPr>
          <w:bCs/>
          <w:sz w:val="24"/>
        </w:rPr>
      </w:pPr>
      <w:r>
        <w:rPr>
          <w:rFonts w:hint="eastAsia"/>
          <w:bCs/>
          <w:sz w:val="24"/>
        </w:rPr>
        <w:t>（6）应有较强的全省维护服务能力。全省各级体彩中心及其销售网点涉及到系统使用以及物料回收问题，需要具有成熟且精通相应业务的人员支撑。电话客服人员提供不少于7*12h的客服服务。</w:t>
      </w:r>
    </w:p>
    <w:p w14:paraId="2E1A7DCA">
      <w:pPr>
        <w:adjustRightInd w:val="0"/>
        <w:snapToGrid w:val="0"/>
        <w:spacing w:line="360" w:lineRule="auto"/>
        <w:ind w:firstLine="480" w:firstLineChars="200"/>
        <w:jc w:val="left"/>
        <w:rPr>
          <w:bCs/>
          <w:sz w:val="24"/>
        </w:rPr>
      </w:pPr>
      <w:r>
        <w:rPr>
          <w:rFonts w:hint="eastAsia"/>
          <w:bCs/>
          <w:sz w:val="24"/>
        </w:rPr>
        <w:t>（7）热敏纸物流系统应根据省体彩中心要求进行必要升级、改进、完善，无条件开放系统权限，并接受必要的工作检查。</w:t>
      </w:r>
    </w:p>
    <w:p w14:paraId="495867ED">
      <w:pPr>
        <w:adjustRightInd w:val="0"/>
        <w:snapToGrid w:val="0"/>
        <w:spacing w:line="360" w:lineRule="auto"/>
        <w:ind w:firstLine="480" w:firstLineChars="200"/>
        <w:jc w:val="left"/>
        <w:rPr>
          <w:bCs/>
          <w:sz w:val="24"/>
        </w:rPr>
      </w:pPr>
      <w:r>
        <w:rPr>
          <w:rFonts w:hint="eastAsia"/>
          <w:bCs/>
          <w:sz w:val="24"/>
        </w:rPr>
        <w:t>2、因为体彩业务所产生、掌握、存储和保管的信息、数据、资料等有形或无形资产所有权归属省体彩中心所有。积极配合省体彩中心管理要求，定期或不定期进行报告，并归集或上报相关数据。在本项目及相关业务终止时，应采取有效措施予以销毁，并承诺公司及员工不以任何方式留存或使用。</w:t>
      </w:r>
    </w:p>
    <w:p w14:paraId="5F97DC1E">
      <w:pPr>
        <w:adjustRightInd w:val="0"/>
        <w:snapToGrid w:val="0"/>
        <w:spacing w:line="360" w:lineRule="auto"/>
        <w:ind w:firstLine="480" w:firstLineChars="200"/>
        <w:jc w:val="left"/>
        <w:rPr>
          <w:bCs/>
          <w:sz w:val="24"/>
        </w:rPr>
      </w:pPr>
      <w:r>
        <w:rPr>
          <w:rFonts w:hint="eastAsia"/>
          <w:bCs/>
          <w:sz w:val="24"/>
        </w:rPr>
        <w:t>3、具有成熟可靠的网点信息处理和保密防护机制，切实保障网点、业主和销售人员等信息不向外泄露，不被公司及员工不当使用，更不能提取、处理、发布、物流仓储系统任何信息资源。（提供承诺书原件）</w:t>
      </w:r>
    </w:p>
    <w:p w14:paraId="5FE44FC0">
      <w:pPr>
        <w:adjustRightInd w:val="0"/>
        <w:snapToGrid w:val="0"/>
        <w:spacing w:line="360" w:lineRule="auto"/>
        <w:ind w:firstLine="480" w:firstLineChars="200"/>
        <w:jc w:val="left"/>
        <w:rPr>
          <w:bCs/>
          <w:sz w:val="24"/>
        </w:rPr>
      </w:pPr>
      <w:r>
        <w:rPr>
          <w:rFonts w:hint="eastAsia"/>
          <w:bCs/>
          <w:sz w:val="24"/>
        </w:rPr>
        <w:t xml:space="preserve">4、系统应按照网络安全相关要求做好安全防护，做好防攻击、防篡改、防病毒等；系统上线前应通过安全测试，签订网络安全保密协议。 </w:t>
      </w:r>
    </w:p>
    <w:p w14:paraId="54D46552">
      <w:pPr>
        <w:adjustRightInd w:val="0"/>
        <w:snapToGrid w:val="0"/>
        <w:spacing w:line="360" w:lineRule="auto"/>
        <w:ind w:firstLine="482" w:firstLineChars="200"/>
        <w:jc w:val="left"/>
        <w:rPr>
          <w:b/>
          <w:sz w:val="24"/>
        </w:rPr>
      </w:pPr>
      <w:r>
        <w:rPr>
          <w:rFonts w:hint="eastAsia"/>
          <w:b/>
          <w:sz w:val="24"/>
        </w:rPr>
        <w:t>三、项目预算</w:t>
      </w:r>
    </w:p>
    <w:p w14:paraId="733FDC31">
      <w:pPr>
        <w:adjustRightInd w:val="0"/>
        <w:snapToGrid w:val="0"/>
        <w:spacing w:line="360" w:lineRule="auto"/>
        <w:ind w:firstLine="480" w:firstLineChars="200"/>
        <w:jc w:val="left"/>
        <w:rPr>
          <w:bCs/>
          <w:sz w:val="24"/>
        </w:rPr>
      </w:pPr>
      <w:r>
        <w:rPr>
          <w:rFonts w:hint="eastAsia"/>
          <w:bCs/>
          <w:sz w:val="24"/>
        </w:rPr>
        <w:t>该项目预算为1184万元。</w:t>
      </w:r>
    </w:p>
    <w:p w14:paraId="73EF4918">
      <w:pPr>
        <w:adjustRightInd w:val="0"/>
        <w:snapToGrid w:val="0"/>
        <w:spacing w:line="360" w:lineRule="auto"/>
        <w:ind w:firstLine="482" w:firstLineChars="200"/>
        <w:jc w:val="left"/>
        <w:rPr>
          <w:b/>
          <w:sz w:val="24"/>
        </w:rPr>
      </w:pPr>
      <w:r>
        <w:rPr>
          <w:rFonts w:hint="eastAsia"/>
          <w:b/>
          <w:sz w:val="24"/>
        </w:rPr>
        <w:t>四、服务期限：</w:t>
      </w:r>
    </w:p>
    <w:p w14:paraId="3DD42351">
      <w:pPr>
        <w:adjustRightInd w:val="0"/>
        <w:snapToGrid w:val="0"/>
        <w:spacing w:line="360" w:lineRule="auto"/>
        <w:ind w:firstLine="480" w:firstLineChars="200"/>
        <w:jc w:val="left"/>
        <w:rPr>
          <w:bCs/>
          <w:sz w:val="24"/>
        </w:rPr>
      </w:pPr>
      <w:r>
        <w:rPr>
          <w:rFonts w:hint="eastAsia"/>
          <w:bCs/>
          <w:sz w:val="24"/>
        </w:rPr>
        <w:t>该项目</w:t>
      </w:r>
      <w:r>
        <w:rPr>
          <w:rFonts w:hint="eastAsia" w:hAnsi="宋体"/>
          <w:sz w:val="24"/>
          <w:szCs w:val="24"/>
        </w:rPr>
        <w:t>合同期限为自生效之日起2年，或至实际结算金额达到暂定合同总价时止，二者以先到者为准。</w:t>
      </w:r>
    </w:p>
    <w:p w14:paraId="0E5BAF2C">
      <w:pPr>
        <w:adjustRightInd w:val="0"/>
        <w:snapToGrid w:val="0"/>
        <w:spacing w:line="360" w:lineRule="auto"/>
        <w:ind w:firstLine="482" w:firstLineChars="200"/>
        <w:jc w:val="left"/>
        <w:rPr>
          <w:rFonts w:ascii="方正仿宋_GBK" w:hAnsi="仿宋" w:eastAsia="方正仿宋_GBK" w:cstheme="minorBidi"/>
          <w:sz w:val="32"/>
          <w:szCs w:val="32"/>
        </w:rPr>
      </w:pPr>
      <w:r>
        <w:rPr>
          <w:rFonts w:hint="eastAsia"/>
          <w:b/>
          <w:sz w:val="24"/>
        </w:rPr>
        <w:t>五、</w:t>
      </w:r>
      <w:r>
        <w:rPr>
          <w:rFonts w:hint="eastAsia"/>
          <w:b/>
          <w:i/>
          <w:iCs/>
          <w:sz w:val="24"/>
          <w:u w:val="single"/>
        </w:rPr>
        <w:t>本项目设置各子项最高预算单价，供应商报价超过预算单价，将导致无效投标。</w:t>
      </w:r>
      <w:r>
        <w:rPr>
          <w:rFonts w:hint="eastAsia"/>
          <w:b/>
          <w:sz w:val="24"/>
        </w:rPr>
        <w:t>具体各子项预算清单分项如下：</w:t>
      </w:r>
    </w:p>
    <w:tbl>
      <w:tblPr>
        <w:tblStyle w:val="39"/>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0"/>
        <w:gridCol w:w="3621"/>
        <w:gridCol w:w="1339"/>
        <w:gridCol w:w="1419"/>
        <w:gridCol w:w="1880"/>
      </w:tblGrid>
      <w:tr w14:paraId="3E5C2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8" w:hRule="atLeast"/>
          <w:jc w:val="center"/>
        </w:trPr>
        <w:tc>
          <w:tcPr>
            <w:tcW w:w="850" w:type="dxa"/>
            <w:vAlign w:val="center"/>
          </w:tcPr>
          <w:p w14:paraId="6E5BEF2B">
            <w:pPr>
              <w:adjustRightInd w:val="0"/>
              <w:snapToGrid w:val="0"/>
              <w:ind w:left="-111" w:right="-113"/>
              <w:jc w:val="center"/>
              <w:rPr>
                <w:rFonts w:ascii="宋体" w:hAnsi="宋体" w:cs="宋体"/>
                <w:b/>
                <w:bCs/>
                <w:sz w:val="24"/>
                <w:szCs w:val="24"/>
              </w:rPr>
            </w:pPr>
            <w:r>
              <w:rPr>
                <w:rFonts w:hint="eastAsia" w:ascii="宋体" w:hAnsi="宋体" w:cs="宋体"/>
                <w:b/>
                <w:bCs/>
                <w:sz w:val="24"/>
                <w:szCs w:val="24"/>
              </w:rPr>
              <w:t>序号</w:t>
            </w:r>
          </w:p>
        </w:tc>
        <w:tc>
          <w:tcPr>
            <w:tcW w:w="3621" w:type="dxa"/>
            <w:vAlign w:val="center"/>
          </w:tcPr>
          <w:p w14:paraId="57F329B3">
            <w:pPr>
              <w:adjustRightInd w:val="0"/>
              <w:snapToGrid w:val="0"/>
              <w:jc w:val="center"/>
              <w:rPr>
                <w:rFonts w:ascii="宋体" w:hAnsi="宋体" w:cs="宋体"/>
                <w:b/>
                <w:bCs/>
                <w:sz w:val="24"/>
                <w:szCs w:val="24"/>
              </w:rPr>
            </w:pPr>
            <w:r>
              <w:rPr>
                <w:rFonts w:hint="eastAsia" w:ascii="宋体" w:hAnsi="宋体" w:cs="宋体"/>
                <w:b/>
                <w:bCs/>
                <w:sz w:val="24"/>
                <w:szCs w:val="24"/>
              </w:rPr>
              <w:t>子项服务费用</w:t>
            </w:r>
          </w:p>
        </w:tc>
        <w:tc>
          <w:tcPr>
            <w:tcW w:w="1339" w:type="dxa"/>
            <w:vAlign w:val="center"/>
          </w:tcPr>
          <w:p w14:paraId="26939338">
            <w:pPr>
              <w:adjustRightInd w:val="0"/>
              <w:snapToGrid w:val="0"/>
              <w:ind w:left="-111" w:right="-113"/>
              <w:jc w:val="center"/>
              <w:rPr>
                <w:rFonts w:ascii="宋体" w:hAnsi="宋体" w:cs="宋体"/>
                <w:b/>
                <w:bCs/>
                <w:sz w:val="24"/>
                <w:szCs w:val="24"/>
              </w:rPr>
            </w:pPr>
            <w:r>
              <w:rPr>
                <w:rFonts w:hint="eastAsia" w:ascii="宋体" w:hAnsi="宋体" w:cs="宋体"/>
                <w:b/>
                <w:bCs/>
                <w:sz w:val="24"/>
                <w:szCs w:val="24"/>
              </w:rPr>
              <w:t>单位</w:t>
            </w:r>
          </w:p>
        </w:tc>
        <w:tc>
          <w:tcPr>
            <w:tcW w:w="1419" w:type="dxa"/>
            <w:vAlign w:val="center"/>
          </w:tcPr>
          <w:p w14:paraId="068380FF">
            <w:pPr>
              <w:adjustRightInd w:val="0"/>
              <w:snapToGrid w:val="0"/>
              <w:ind w:left="-111" w:right="-113"/>
              <w:jc w:val="center"/>
              <w:rPr>
                <w:rFonts w:ascii="宋体" w:hAnsi="宋体" w:cs="宋体"/>
                <w:b/>
                <w:bCs/>
                <w:sz w:val="24"/>
                <w:szCs w:val="24"/>
              </w:rPr>
            </w:pPr>
            <w:r>
              <w:rPr>
                <w:rFonts w:hint="eastAsia" w:ascii="宋体" w:hAnsi="宋体" w:cs="宋体"/>
                <w:b/>
                <w:bCs/>
                <w:sz w:val="24"/>
                <w:szCs w:val="24"/>
              </w:rPr>
              <w:t>预算单价</w:t>
            </w:r>
          </w:p>
        </w:tc>
        <w:tc>
          <w:tcPr>
            <w:tcW w:w="1880" w:type="dxa"/>
            <w:vAlign w:val="center"/>
          </w:tcPr>
          <w:p w14:paraId="7DF86C35">
            <w:pPr>
              <w:adjustRightInd w:val="0"/>
              <w:snapToGrid w:val="0"/>
              <w:ind w:left="-111" w:right="-113"/>
              <w:jc w:val="center"/>
              <w:rPr>
                <w:rFonts w:ascii="宋体" w:hAnsi="宋体" w:cs="宋体"/>
                <w:b/>
                <w:bCs/>
                <w:sz w:val="24"/>
                <w:szCs w:val="24"/>
              </w:rPr>
            </w:pPr>
            <w:r>
              <w:rPr>
                <w:rFonts w:hint="eastAsia" w:ascii="宋体" w:hAnsi="宋体" w:cs="宋体"/>
                <w:b/>
                <w:bCs/>
                <w:sz w:val="24"/>
                <w:szCs w:val="24"/>
              </w:rPr>
              <w:t>所占权重（%）</w:t>
            </w:r>
          </w:p>
        </w:tc>
      </w:tr>
      <w:tr w14:paraId="58ABE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708DDBBB">
            <w:pPr>
              <w:adjustRightInd w:val="0"/>
              <w:snapToGrid w:val="0"/>
              <w:jc w:val="center"/>
              <w:rPr>
                <w:rFonts w:ascii="宋体" w:hAnsi="宋体" w:cs="宋体"/>
                <w:b/>
                <w:bCs/>
                <w:sz w:val="24"/>
                <w:szCs w:val="24"/>
              </w:rPr>
            </w:pPr>
            <w:r>
              <w:rPr>
                <w:rFonts w:hint="eastAsia" w:ascii="宋体" w:hAnsi="宋体" w:cs="宋体"/>
                <w:b/>
                <w:bCs/>
                <w:sz w:val="24"/>
                <w:szCs w:val="24"/>
              </w:rPr>
              <w:t>1</w:t>
            </w:r>
          </w:p>
        </w:tc>
        <w:tc>
          <w:tcPr>
            <w:tcW w:w="3621" w:type="dxa"/>
            <w:vAlign w:val="center"/>
          </w:tcPr>
          <w:p w14:paraId="0D337B97">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库房租赁服务费用</w:t>
            </w:r>
          </w:p>
        </w:tc>
        <w:tc>
          <w:tcPr>
            <w:tcW w:w="1339" w:type="dxa"/>
            <w:vAlign w:val="center"/>
          </w:tcPr>
          <w:p w14:paraId="0B18FDA4">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元/月/m</w:t>
            </w:r>
            <w:r>
              <w:rPr>
                <w:rFonts w:hint="eastAsia" w:ascii="宋体" w:hAnsi="宋体" w:cs="宋体"/>
                <w:i/>
                <w:iCs/>
                <w:sz w:val="24"/>
                <w:szCs w:val="24"/>
                <w:u w:val="single"/>
                <w:vertAlign w:val="superscript"/>
              </w:rPr>
              <w:t>2</w:t>
            </w:r>
          </w:p>
        </w:tc>
        <w:tc>
          <w:tcPr>
            <w:tcW w:w="1419" w:type="dxa"/>
            <w:vAlign w:val="center"/>
          </w:tcPr>
          <w:p w14:paraId="58C72F61">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25</w:t>
            </w:r>
          </w:p>
        </w:tc>
        <w:tc>
          <w:tcPr>
            <w:tcW w:w="1880" w:type="dxa"/>
            <w:vAlign w:val="center"/>
          </w:tcPr>
          <w:p w14:paraId="6C717BEB">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22%</w:t>
            </w:r>
          </w:p>
        </w:tc>
      </w:tr>
      <w:tr w14:paraId="5F75C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55774A0C">
            <w:pPr>
              <w:adjustRightInd w:val="0"/>
              <w:snapToGrid w:val="0"/>
              <w:jc w:val="center"/>
              <w:rPr>
                <w:rFonts w:ascii="宋体" w:hAnsi="宋体" w:cs="宋体"/>
                <w:b/>
                <w:bCs/>
                <w:sz w:val="24"/>
                <w:szCs w:val="24"/>
              </w:rPr>
            </w:pPr>
            <w:r>
              <w:rPr>
                <w:rFonts w:hint="eastAsia" w:ascii="宋体" w:hAnsi="宋体" w:cs="宋体"/>
                <w:b/>
                <w:bCs/>
                <w:sz w:val="24"/>
                <w:szCs w:val="24"/>
              </w:rPr>
              <w:t>2</w:t>
            </w:r>
          </w:p>
        </w:tc>
        <w:tc>
          <w:tcPr>
            <w:tcW w:w="3621" w:type="dxa"/>
            <w:vAlign w:val="center"/>
          </w:tcPr>
          <w:p w14:paraId="5C6099CE">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仓库作业服务费用（不含热敏纸）</w:t>
            </w:r>
          </w:p>
        </w:tc>
        <w:tc>
          <w:tcPr>
            <w:tcW w:w="1339" w:type="dxa"/>
            <w:vAlign w:val="center"/>
          </w:tcPr>
          <w:p w14:paraId="00F95FD0">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元/kg</w:t>
            </w:r>
          </w:p>
        </w:tc>
        <w:tc>
          <w:tcPr>
            <w:tcW w:w="1419" w:type="dxa"/>
            <w:vAlign w:val="center"/>
          </w:tcPr>
          <w:p w14:paraId="79DD5838">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0.4</w:t>
            </w:r>
          </w:p>
        </w:tc>
        <w:tc>
          <w:tcPr>
            <w:tcW w:w="1880" w:type="dxa"/>
            <w:vAlign w:val="center"/>
          </w:tcPr>
          <w:p w14:paraId="3B8E5C40">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3%</w:t>
            </w:r>
          </w:p>
        </w:tc>
      </w:tr>
      <w:tr w14:paraId="367E9D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44067730">
            <w:pPr>
              <w:adjustRightInd w:val="0"/>
              <w:snapToGrid w:val="0"/>
              <w:jc w:val="center"/>
              <w:rPr>
                <w:rFonts w:ascii="宋体" w:hAnsi="宋体" w:cs="宋体"/>
                <w:b/>
                <w:bCs/>
                <w:sz w:val="24"/>
                <w:szCs w:val="24"/>
              </w:rPr>
            </w:pPr>
            <w:r>
              <w:rPr>
                <w:rFonts w:hint="eastAsia" w:ascii="宋体" w:hAnsi="宋体" w:cs="宋体"/>
                <w:b/>
                <w:bCs/>
                <w:sz w:val="24"/>
                <w:szCs w:val="24"/>
              </w:rPr>
              <w:t>3</w:t>
            </w:r>
          </w:p>
        </w:tc>
        <w:tc>
          <w:tcPr>
            <w:tcW w:w="3621" w:type="dxa"/>
            <w:vAlign w:val="center"/>
          </w:tcPr>
          <w:p w14:paraId="47174693">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整车运输服务（</w:t>
            </w:r>
            <w:r>
              <w:rPr>
                <w:rFonts w:hint="eastAsia" w:ascii="宋体" w:hAnsi="宋体" w:cs="宋体"/>
                <w:i/>
                <w:iCs/>
                <w:sz w:val="24"/>
                <w:szCs w:val="24"/>
                <w:u w:val="single"/>
              </w:rPr>
              <w:t>即开票</w:t>
            </w:r>
            <w:r>
              <w:rPr>
                <w:rFonts w:hint="eastAsia" w:ascii="宋体" w:hAnsi="宋体" w:cs="宋体"/>
                <w:i/>
                <w:iCs/>
                <w:color w:val="000000"/>
                <w:sz w:val="24"/>
                <w:szCs w:val="24"/>
                <w:u w:val="single"/>
              </w:rPr>
              <w:t>）</w:t>
            </w:r>
          </w:p>
        </w:tc>
        <w:tc>
          <w:tcPr>
            <w:tcW w:w="1339" w:type="dxa"/>
            <w:vAlign w:val="center"/>
          </w:tcPr>
          <w:p w14:paraId="62FB62F2">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元/km</w:t>
            </w:r>
          </w:p>
        </w:tc>
        <w:tc>
          <w:tcPr>
            <w:tcW w:w="1419" w:type="dxa"/>
            <w:vAlign w:val="center"/>
          </w:tcPr>
          <w:p w14:paraId="610FCD2E">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8</w:t>
            </w:r>
          </w:p>
        </w:tc>
        <w:tc>
          <w:tcPr>
            <w:tcW w:w="1880" w:type="dxa"/>
            <w:vAlign w:val="center"/>
          </w:tcPr>
          <w:p w14:paraId="363F53CD">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4%</w:t>
            </w:r>
          </w:p>
        </w:tc>
      </w:tr>
      <w:tr w14:paraId="34D9E6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325F345D">
            <w:pPr>
              <w:adjustRightInd w:val="0"/>
              <w:snapToGrid w:val="0"/>
              <w:jc w:val="center"/>
              <w:rPr>
                <w:rFonts w:ascii="宋体" w:hAnsi="宋体" w:cs="宋体"/>
                <w:b/>
                <w:bCs/>
                <w:sz w:val="24"/>
                <w:szCs w:val="24"/>
              </w:rPr>
            </w:pPr>
            <w:r>
              <w:rPr>
                <w:rFonts w:hint="eastAsia" w:ascii="宋体" w:hAnsi="宋体" w:cs="宋体"/>
                <w:b/>
                <w:bCs/>
                <w:sz w:val="24"/>
                <w:szCs w:val="24"/>
              </w:rPr>
              <w:t>4</w:t>
            </w:r>
          </w:p>
        </w:tc>
        <w:tc>
          <w:tcPr>
            <w:tcW w:w="3621" w:type="dxa"/>
            <w:vAlign w:val="center"/>
          </w:tcPr>
          <w:p w14:paraId="096895CD">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南京市区零担运输费用1</w:t>
            </w:r>
          </w:p>
        </w:tc>
        <w:tc>
          <w:tcPr>
            <w:tcW w:w="1339" w:type="dxa"/>
            <w:vAlign w:val="center"/>
          </w:tcPr>
          <w:p w14:paraId="0C478DED">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元/票</w:t>
            </w:r>
          </w:p>
        </w:tc>
        <w:tc>
          <w:tcPr>
            <w:tcW w:w="1419" w:type="dxa"/>
            <w:vAlign w:val="center"/>
          </w:tcPr>
          <w:p w14:paraId="301C7645">
            <w:pPr>
              <w:widowControl/>
              <w:adjustRightInd w:val="0"/>
              <w:snapToGrid w:val="0"/>
              <w:jc w:val="center"/>
              <w:rPr>
                <w:rFonts w:ascii="宋体" w:hAnsi="宋体" w:cs="宋体"/>
                <w:i/>
                <w:iCs/>
                <w:sz w:val="24"/>
                <w:szCs w:val="24"/>
                <w:u w:val="single"/>
              </w:rPr>
            </w:pPr>
            <w:r>
              <w:rPr>
                <w:rFonts w:hint="eastAsia" w:ascii="宋体" w:hAnsi="宋体" w:cs="宋体"/>
                <w:i/>
                <w:iCs/>
                <w:sz w:val="24"/>
                <w:szCs w:val="24"/>
                <w:u w:val="single"/>
                <w:lang w:bidi="ar"/>
              </w:rPr>
              <w:t>200</w:t>
            </w:r>
          </w:p>
        </w:tc>
        <w:tc>
          <w:tcPr>
            <w:tcW w:w="1880" w:type="dxa"/>
            <w:vAlign w:val="center"/>
          </w:tcPr>
          <w:p w14:paraId="4EF1FF3F">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w:t>
            </w:r>
          </w:p>
        </w:tc>
      </w:tr>
      <w:tr w14:paraId="3725A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267F15E2">
            <w:pPr>
              <w:adjustRightInd w:val="0"/>
              <w:snapToGrid w:val="0"/>
              <w:jc w:val="center"/>
              <w:rPr>
                <w:rFonts w:ascii="宋体" w:hAnsi="宋体" w:cs="宋体"/>
                <w:b/>
                <w:bCs/>
                <w:sz w:val="24"/>
                <w:szCs w:val="24"/>
              </w:rPr>
            </w:pPr>
            <w:r>
              <w:rPr>
                <w:rFonts w:hint="eastAsia" w:ascii="宋体" w:hAnsi="宋体" w:cs="宋体"/>
                <w:b/>
                <w:bCs/>
                <w:sz w:val="24"/>
                <w:szCs w:val="24"/>
              </w:rPr>
              <w:t>5</w:t>
            </w:r>
          </w:p>
        </w:tc>
        <w:tc>
          <w:tcPr>
            <w:tcW w:w="3621" w:type="dxa"/>
            <w:vAlign w:val="center"/>
          </w:tcPr>
          <w:p w14:paraId="74774BC0">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南京市区零担运输费用2</w:t>
            </w:r>
          </w:p>
        </w:tc>
        <w:tc>
          <w:tcPr>
            <w:tcW w:w="1339" w:type="dxa"/>
            <w:vAlign w:val="center"/>
          </w:tcPr>
          <w:p w14:paraId="1FA1FDFC">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元/kg</w:t>
            </w:r>
          </w:p>
        </w:tc>
        <w:tc>
          <w:tcPr>
            <w:tcW w:w="1419" w:type="dxa"/>
            <w:vAlign w:val="center"/>
          </w:tcPr>
          <w:p w14:paraId="2499827E">
            <w:pPr>
              <w:widowControl/>
              <w:adjustRightInd w:val="0"/>
              <w:snapToGrid w:val="0"/>
              <w:jc w:val="center"/>
              <w:rPr>
                <w:rFonts w:ascii="宋体" w:hAnsi="宋体" w:cs="宋体"/>
                <w:i/>
                <w:iCs/>
                <w:sz w:val="24"/>
                <w:szCs w:val="24"/>
                <w:u w:val="single"/>
                <w:lang w:bidi="ar"/>
              </w:rPr>
            </w:pPr>
            <w:r>
              <w:rPr>
                <w:rFonts w:hint="eastAsia" w:ascii="宋体" w:hAnsi="宋体" w:cs="宋体"/>
                <w:i/>
                <w:iCs/>
                <w:sz w:val="24"/>
                <w:szCs w:val="24"/>
                <w:u w:val="single"/>
              </w:rPr>
              <w:t>1.2</w:t>
            </w:r>
          </w:p>
        </w:tc>
        <w:tc>
          <w:tcPr>
            <w:tcW w:w="1880" w:type="dxa"/>
            <w:vAlign w:val="center"/>
          </w:tcPr>
          <w:p w14:paraId="302FDC5D">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w:t>
            </w:r>
          </w:p>
        </w:tc>
      </w:tr>
      <w:tr w14:paraId="3E882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3A42E8FE">
            <w:pPr>
              <w:adjustRightInd w:val="0"/>
              <w:snapToGrid w:val="0"/>
              <w:jc w:val="center"/>
              <w:rPr>
                <w:rFonts w:ascii="宋体" w:hAnsi="宋体" w:cs="宋体"/>
                <w:b/>
                <w:bCs/>
                <w:sz w:val="24"/>
                <w:szCs w:val="24"/>
              </w:rPr>
            </w:pPr>
            <w:r>
              <w:rPr>
                <w:rFonts w:hint="eastAsia" w:ascii="宋体" w:hAnsi="宋体" w:cs="宋体"/>
                <w:b/>
                <w:bCs/>
                <w:sz w:val="24"/>
                <w:szCs w:val="24"/>
              </w:rPr>
              <w:t>6</w:t>
            </w:r>
          </w:p>
        </w:tc>
        <w:tc>
          <w:tcPr>
            <w:tcW w:w="3621" w:type="dxa"/>
            <w:vAlign w:val="center"/>
          </w:tcPr>
          <w:p w14:paraId="33F11B56">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地级市零担运输费用1</w:t>
            </w:r>
          </w:p>
        </w:tc>
        <w:tc>
          <w:tcPr>
            <w:tcW w:w="1339" w:type="dxa"/>
            <w:vAlign w:val="center"/>
          </w:tcPr>
          <w:p w14:paraId="43B27B86">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元/票</w:t>
            </w:r>
          </w:p>
        </w:tc>
        <w:tc>
          <w:tcPr>
            <w:tcW w:w="1419" w:type="dxa"/>
            <w:vAlign w:val="center"/>
          </w:tcPr>
          <w:p w14:paraId="31398FE2">
            <w:pPr>
              <w:widowControl/>
              <w:adjustRightInd w:val="0"/>
              <w:snapToGrid w:val="0"/>
              <w:jc w:val="center"/>
              <w:rPr>
                <w:rFonts w:ascii="宋体" w:hAnsi="宋体" w:cs="宋体"/>
                <w:i/>
                <w:iCs/>
                <w:sz w:val="24"/>
                <w:szCs w:val="24"/>
                <w:u w:val="single"/>
              </w:rPr>
            </w:pPr>
            <w:r>
              <w:rPr>
                <w:rFonts w:hint="eastAsia" w:ascii="宋体" w:hAnsi="宋体" w:cs="宋体"/>
                <w:i/>
                <w:iCs/>
                <w:sz w:val="24"/>
                <w:szCs w:val="24"/>
                <w:u w:val="single"/>
                <w:lang w:bidi="ar"/>
              </w:rPr>
              <w:t>400</w:t>
            </w:r>
          </w:p>
        </w:tc>
        <w:tc>
          <w:tcPr>
            <w:tcW w:w="1880" w:type="dxa"/>
            <w:vAlign w:val="center"/>
          </w:tcPr>
          <w:p w14:paraId="0851A087">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8%</w:t>
            </w:r>
          </w:p>
        </w:tc>
      </w:tr>
      <w:tr w14:paraId="0C60A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07BB324C">
            <w:pPr>
              <w:adjustRightInd w:val="0"/>
              <w:snapToGrid w:val="0"/>
              <w:jc w:val="center"/>
              <w:rPr>
                <w:rFonts w:ascii="宋体" w:hAnsi="宋体" w:cs="宋体"/>
                <w:b/>
                <w:bCs/>
                <w:sz w:val="24"/>
                <w:szCs w:val="24"/>
              </w:rPr>
            </w:pPr>
            <w:r>
              <w:rPr>
                <w:rFonts w:hint="eastAsia" w:ascii="宋体" w:hAnsi="宋体" w:cs="宋体"/>
                <w:b/>
                <w:bCs/>
                <w:sz w:val="24"/>
                <w:szCs w:val="24"/>
              </w:rPr>
              <w:t>7</w:t>
            </w:r>
          </w:p>
        </w:tc>
        <w:tc>
          <w:tcPr>
            <w:tcW w:w="3621" w:type="dxa"/>
            <w:vAlign w:val="center"/>
          </w:tcPr>
          <w:p w14:paraId="33854E20">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地级市零担运输费用2</w:t>
            </w:r>
          </w:p>
        </w:tc>
        <w:tc>
          <w:tcPr>
            <w:tcW w:w="1339" w:type="dxa"/>
            <w:vAlign w:val="center"/>
          </w:tcPr>
          <w:p w14:paraId="1C12E42A">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元/kg</w:t>
            </w:r>
          </w:p>
        </w:tc>
        <w:tc>
          <w:tcPr>
            <w:tcW w:w="1419" w:type="dxa"/>
            <w:vAlign w:val="center"/>
          </w:tcPr>
          <w:p w14:paraId="1BC7DE20">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1.5</w:t>
            </w:r>
          </w:p>
        </w:tc>
        <w:tc>
          <w:tcPr>
            <w:tcW w:w="1880" w:type="dxa"/>
            <w:vAlign w:val="center"/>
          </w:tcPr>
          <w:p w14:paraId="5DA1344F">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8%</w:t>
            </w:r>
          </w:p>
        </w:tc>
      </w:tr>
      <w:tr w14:paraId="709C1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 w:hRule="atLeast"/>
          <w:jc w:val="center"/>
        </w:trPr>
        <w:tc>
          <w:tcPr>
            <w:tcW w:w="850" w:type="dxa"/>
            <w:vAlign w:val="center"/>
          </w:tcPr>
          <w:p w14:paraId="73FAD817">
            <w:pPr>
              <w:adjustRightInd w:val="0"/>
              <w:snapToGrid w:val="0"/>
              <w:jc w:val="center"/>
              <w:rPr>
                <w:rFonts w:ascii="宋体" w:hAnsi="宋体" w:cs="宋体"/>
                <w:b/>
                <w:bCs/>
                <w:sz w:val="24"/>
                <w:szCs w:val="24"/>
              </w:rPr>
            </w:pPr>
            <w:r>
              <w:rPr>
                <w:rFonts w:hint="eastAsia" w:ascii="宋体" w:hAnsi="宋体" w:cs="宋体"/>
                <w:b/>
                <w:bCs/>
                <w:sz w:val="24"/>
                <w:szCs w:val="24"/>
              </w:rPr>
              <w:t>8</w:t>
            </w:r>
          </w:p>
        </w:tc>
        <w:tc>
          <w:tcPr>
            <w:tcW w:w="3621" w:type="dxa"/>
            <w:vAlign w:val="center"/>
          </w:tcPr>
          <w:p w14:paraId="7940DE44">
            <w:pPr>
              <w:adjustRightInd w:val="0"/>
              <w:snapToGrid w:val="0"/>
              <w:jc w:val="left"/>
              <w:rPr>
                <w:rFonts w:ascii="宋体" w:hAnsi="宋体" w:cs="宋体"/>
                <w:i/>
                <w:iCs/>
                <w:spacing w:val="-6"/>
                <w:sz w:val="24"/>
                <w:szCs w:val="24"/>
                <w:u w:val="single"/>
              </w:rPr>
            </w:pPr>
            <w:r>
              <w:rPr>
                <w:rFonts w:hint="eastAsia" w:ascii="宋体" w:hAnsi="宋体" w:cs="宋体"/>
                <w:i/>
                <w:iCs/>
                <w:color w:val="000000"/>
                <w:sz w:val="24"/>
                <w:szCs w:val="24"/>
                <w:u w:val="single"/>
              </w:rPr>
              <w:t>县级市和县城零担运输费用1</w:t>
            </w:r>
          </w:p>
        </w:tc>
        <w:tc>
          <w:tcPr>
            <w:tcW w:w="1339" w:type="dxa"/>
            <w:vAlign w:val="center"/>
          </w:tcPr>
          <w:p w14:paraId="489BD6E8">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元/票</w:t>
            </w:r>
          </w:p>
        </w:tc>
        <w:tc>
          <w:tcPr>
            <w:tcW w:w="1419" w:type="dxa"/>
            <w:vAlign w:val="center"/>
          </w:tcPr>
          <w:p w14:paraId="1D905408">
            <w:pPr>
              <w:widowControl/>
              <w:adjustRightInd w:val="0"/>
              <w:snapToGrid w:val="0"/>
              <w:jc w:val="center"/>
              <w:rPr>
                <w:rFonts w:ascii="宋体" w:hAnsi="宋体" w:cs="宋体"/>
                <w:i/>
                <w:iCs/>
                <w:sz w:val="24"/>
                <w:szCs w:val="24"/>
                <w:u w:val="single"/>
              </w:rPr>
            </w:pPr>
            <w:r>
              <w:rPr>
                <w:rFonts w:hint="eastAsia" w:ascii="宋体" w:hAnsi="宋体" w:cs="宋体"/>
                <w:i/>
                <w:iCs/>
                <w:sz w:val="24"/>
                <w:szCs w:val="24"/>
                <w:u w:val="single"/>
                <w:lang w:bidi="ar"/>
              </w:rPr>
              <w:t>600</w:t>
            </w:r>
          </w:p>
        </w:tc>
        <w:tc>
          <w:tcPr>
            <w:tcW w:w="1880" w:type="dxa"/>
            <w:vAlign w:val="center"/>
          </w:tcPr>
          <w:p w14:paraId="44F470E7">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w:t>
            </w:r>
          </w:p>
        </w:tc>
      </w:tr>
      <w:tr w14:paraId="5424E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jc w:val="center"/>
        </w:trPr>
        <w:tc>
          <w:tcPr>
            <w:tcW w:w="850" w:type="dxa"/>
            <w:vAlign w:val="center"/>
          </w:tcPr>
          <w:p w14:paraId="2F526A4F">
            <w:pPr>
              <w:adjustRightInd w:val="0"/>
              <w:snapToGrid w:val="0"/>
              <w:jc w:val="center"/>
              <w:rPr>
                <w:rFonts w:ascii="宋体" w:hAnsi="宋体" w:cs="宋体"/>
                <w:b/>
                <w:bCs/>
                <w:sz w:val="24"/>
                <w:szCs w:val="24"/>
              </w:rPr>
            </w:pPr>
            <w:r>
              <w:rPr>
                <w:rFonts w:hint="eastAsia" w:ascii="宋体" w:hAnsi="宋体" w:cs="宋体"/>
                <w:b/>
                <w:bCs/>
                <w:sz w:val="24"/>
                <w:szCs w:val="24"/>
              </w:rPr>
              <w:t>9</w:t>
            </w:r>
          </w:p>
        </w:tc>
        <w:tc>
          <w:tcPr>
            <w:tcW w:w="3621" w:type="dxa"/>
            <w:vAlign w:val="center"/>
          </w:tcPr>
          <w:p w14:paraId="07C52129">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县级市和县城零担运输费用2</w:t>
            </w:r>
          </w:p>
        </w:tc>
        <w:tc>
          <w:tcPr>
            <w:tcW w:w="1339" w:type="dxa"/>
            <w:vAlign w:val="center"/>
          </w:tcPr>
          <w:p w14:paraId="3095C7CF">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元/kg</w:t>
            </w:r>
          </w:p>
        </w:tc>
        <w:tc>
          <w:tcPr>
            <w:tcW w:w="1419" w:type="dxa"/>
            <w:vAlign w:val="center"/>
          </w:tcPr>
          <w:p w14:paraId="7D1F2697">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1.7</w:t>
            </w:r>
          </w:p>
        </w:tc>
        <w:tc>
          <w:tcPr>
            <w:tcW w:w="1880" w:type="dxa"/>
            <w:vAlign w:val="center"/>
          </w:tcPr>
          <w:p w14:paraId="2F185941">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w:t>
            </w:r>
          </w:p>
        </w:tc>
      </w:tr>
      <w:tr w14:paraId="5CE55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jc w:val="center"/>
        </w:trPr>
        <w:tc>
          <w:tcPr>
            <w:tcW w:w="850" w:type="dxa"/>
            <w:vAlign w:val="center"/>
          </w:tcPr>
          <w:p w14:paraId="27287478">
            <w:pPr>
              <w:adjustRightInd w:val="0"/>
              <w:snapToGrid w:val="0"/>
              <w:jc w:val="center"/>
              <w:rPr>
                <w:rFonts w:ascii="宋体" w:hAnsi="宋体" w:cs="宋体"/>
                <w:b/>
                <w:bCs/>
                <w:sz w:val="24"/>
                <w:szCs w:val="24"/>
              </w:rPr>
            </w:pPr>
            <w:r>
              <w:rPr>
                <w:rFonts w:hint="eastAsia" w:ascii="宋体" w:hAnsi="宋体" w:cs="宋体"/>
                <w:b/>
                <w:bCs/>
                <w:sz w:val="24"/>
                <w:szCs w:val="24"/>
              </w:rPr>
              <w:t>10</w:t>
            </w:r>
          </w:p>
        </w:tc>
        <w:tc>
          <w:tcPr>
            <w:tcW w:w="3621" w:type="dxa"/>
            <w:vAlign w:val="center"/>
          </w:tcPr>
          <w:p w14:paraId="5608F3E3">
            <w:pPr>
              <w:adjustRightInd w:val="0"/>
              <w:snapToGrid w:val="0"/>
              <w:jc w:val="left"/>
              <w:rPr>
                <w:rFonts w:ascii="宋体" w:hAnsi="宋体" w:cs="宋体"/>
                <w:i/>
                <w:iCs/>
                <w:sz w:val="24"/>
                <w:szCs w:val="24"/>
                <w:u w:val="single"/>
              </w:rPr>
            </w:pPr>
            <w:r>
              <w:rPr>
                <w:rFonts w:hint="eastAsia" w:ascii="宋体" w:hAnsi="宋体" w:cs="宋体"/>
                <w:i/>
                <w:iCs/>
                <w:color w:val="000000"/>
                <w:sz w:val="24"/>
                <w:szCs w:val="24"/>
                <w:u w:val="single"/>
              </w:rPr>
              <w:t>热敏纸物流全包服务费</w:t>
            </w:r>
          </w:p>
        </w:tc>
        <w:tc>
          <w:tcPr>
            <w:tcW w:w="1339" w:type="dxa"/>
            <w:vAlign w:val="center"/>
          </w:tcPr>
          <w:p w14:paraId="30813291">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元/箱</w:t>
            </w:r>
          </w:p>
        </w:tc>
        <w:tc>
          <w:tcPr>
            <w:tcW w:w="1419" w:type="dxa"/>
            <w:vAlign w:val="center"/>
          </w:tcPr>
          <w:p w14:paraId="677DBC1D">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24</w:t>
            </w:r>
          </w:p>
        </w:tc>
        <w:tc>
          <w:tcPr>
            <w:tcW w:w="1880" w:type="dxa"/>
            <w:vAlign w:val="center"/>
          </w:tcPr>
          <w:p w14:paraId="5DA6A3C3">
            <w:pPr>
              <w:adjustRightInd w:val="0"/>
              <w:snapToGrid w:val="0"/>
              <w:jc w:val="center"/>
              <w:rPr>
                <w:rFonts w:ascii="宋体" w:hAnsi="宋体" w:cs="宋体"/>
                <w:i/>
                <w:iCs/>
                <w:sz w:val="24"/>
                <w:szCs w:val="24"/>
                <w:u w:val="single"/>
              </w:rPr>
            </w:pPr>
            <w:r>
              <w:rPr>
                <w:rFonts w:hint="eastAsia" w:ascii="宋体" w:hAnsi="宋体" w:cs="宋体"/>
                <w:i/>
                <w:iCs/>
                <w:sz w:val="24"/>
                <w:szCs w:val="24"/>
                <w:u w:val="single"/>
              </w:rPr>
              <w:t>47%</w:t>
            </w:r>
          </w:p>
        </w:tc>
      </w:tr>
    </w:tbl>
    <w:p w14:paraId="65BB0DB0">
      <w:pPr>
        <w:adjustRightInd w:val="0"/>
        <w:snapToGrid w:val="0"/>
        <w:spacing w:line="360" w:lineRule="auto"/>
        <w:ind w:firstLine="480" w:firstLineChars="200"/>
        <w:jc w:val="left"/>
        <w:rPr>
          <w:bCs/>
          <w:sz w:val="24"/>
        </w:rPr>
      </w:pPr>
    </w:p>
    <w:p w14:paraId="540908A8">
      <w:pPr>
        <w:pStyle w:val="2"/>
        <w:numPr>
          <w:ilvl w:val="0"/>
          <w:numId w:val="4"/>
        </w:numPr>
        <w:rPr>
          <w:rFonts w:ascii="Times New Roman" w:eastAsia="黑体"/>
          <w:bCs/>
          <w:sz w:val="44"/>
        </w:rPr>
      </w:pPr>
      <w:r>
        <w:rPr>
          <w:rFonts w:ascii="Times New Roman" w:eastAsia="黑体"/>
          <w:bCs/>
          <w:sz w:val="44"/>
        </w:rPr>
        <w:br w:type="page"/>
      </w:r>
      <w:bookmarkEnd w:id="177"/>
      <w:bookmarkEnd w:id="178"/>
      <w:bookmarkEnd w:id="179"/>
      <w:bookmarkStart w:id="180" w:name="_Hlt26955041"/>
      <w:bookmarkEnd w:id="180"/>
      <w:bookmarkStart w:id="181" w:name="_Toc481071970"/>
      <w:bookmarkStart w:id="182" w:name="_Toc121905579"/>
      <w:bookmarkStart w:id="183" w:name="_Toc511899516"/>
      <w:bookmarkStart w:id="184" w:name="_Toc475009300"/>
      <w:bookmarkStart w:id="185" w:name="_Toc481072016"/>
      <w:bookmarkStart w:id="186" w:name="_Toc120614283"/>
      <w:bookmarkStart w:id="187" w:name="_Toc513029276"/>
      <w:bookmarkStart w:id="188" w:name="_Toc23828478"/>
      <w:bookmarkStart w:id="189" w:name="_Toc49090577"/>
      <w:bookmarkStart w:id="190" w:name="_Toc460901585"/>
      <w:bookmarkStart w:id="191" w:name="_Toc26554095"/>
      <w:bookmarkStart w:id="192" w:name="_Toc22356580"/>
      <w:r>
        <w:rPr>
          <w:rFonts w:ascii="Times New Roman" w:eastAsia="黑体"/>
          <w:bCs/>
          <w:sz w:val="44"/>
        </w:rPr>
        <w:t>评标办法和评标标准</w:t>
      </w:r>
      <w:bookmarkEnd w:id="181"/>
      <w:bookmarkEnd w:id="182"/>
      <w:bookmarkEnd w:id="183"/>
      <w:bookmarkEnd w:id="184"/>
      <w:bookmarkEnd w:id="185"/>
    </w:p>
    <w:p w14:paraId="799DE833">
      <w:pPr>
        <w:spacing w:line="540" w:lineRule="exact"/>
        <w:ind w:firstLine="542" w:firstLineChars="225"/>
        <w:rPr>
          <w:rFonts w:ascii="Times New Roman" w:hAnsi="Times New Roman"/>
          <w:b/>
          <w:sz w:val="24"/>
          <w:szCs w:val="24"/>
        </w:rPr>
      </w:pPr>
      <w:r>
        <w:rPr>
          <w:rFonts w:ascii="Times New Roman" w:hAnsi="Times New Roman"/>
          <w:b/>
          <w:sz w:val="24"/>
          <w:szCs w:val="24"/>
        </w:rPr>
        <w:t>一．评标办法</w:t>
      </w:r>
    </w:p>
    <w:p w14:paraId="39E1DE32">
      <w:pPr>
        <w:spacing w:line="480" w:lineRule="exact"/>
        <w:ind w:firstLine="540" w:firstLineChars="225"/>
        <w:rPr>
          <w:sz w:val="24"/>
        </w:rPr>
      </w:pPr>
      <w:r>
        <w:rPr>
          <w:sz w:val="24"/>
        </w:rPr>
        <w:t>本项目采用综合评分法，评</w:t>
      </w:r>
      <w:r>
        <w:rPr>
          <w:rFonts w:hint="eastAsia"/>
          <w:sz w:val="24"/>
        </w:rPr>
        <w:t>标</w:t>
      </w:r>
      <w:r>
        <w:rPr>
          <w:sz w:val="24"/>
        </w:rPr>
        <w:t>结果按评</w:t>
      </w:r>
      <w:r>
        <w:rPr>
          <w:rFonts w:hint="eastAsia"/>
          <w:sz w:val="24"/>
        </w:rPr>
        <w:t>标</w:t>
      </w:r>
      <w:r>
        <w:rPr>
          <w:sz w:val="24"/>
        </w:rPr>
        <w:t>后得分由高到低顺序排列。得分相同的，按</w:t>
      </w:r>
      <w:r>
        <w:rPr>
          <w:rFonts w:hint="eastAsia"/>
          <w:sz w:val="24"/>
        </w:rPr>
        <w:t>投标</w:t>
      </w:r>
      <w:r>
        <w:rPr>
          <w:sz w:val="24"/>
        </w:rPr>
        <w:t>报价由低到高顺序排列，得分且</w:t>
      </w:r>
      <w:r>
        <w:rPr>
          <w:rFonts w:hint="eastAsia"/>
          <w:sz w:val="24"/>
        </w:rPr>
        <w:t>投标</w:t>
      </w:r>
      <w:r>
        <w:rPr>
          <w:sz w:val="24"/>
        </w:rPr>
        <w:t>报价相同的并列。</w:t>
      </w:r>
      <w:r>
        <w:rPr>
          <w:rFonts w:hint="eastAsia"/>
          <w:sz w:val="24"/>
        </w:rPr>
        <w:t>评委会</w:t>
      </w:r>
      <w:r>
        <w:rPr>
          <w:sz w:val="24"/>
        </w:rPr>
        <w:t>仅对确定为实质上响应</w:t>
      </w:r>
      <w:r>
        <w:rPr>
          <w:rFonts w:hint="eastAsia"/>
          <w:sz w:val="24"/>
        </w:rPr>
        <w:t>招标文件</w:t>
      </w:r>
      <w:r>
        <w:rPr>
          <w:sz w:val="24"/>
        </w:rPr>
        <w:t>要求的</w:t>
      </w:r>
      <w:r>
        <w:rPr>
          <w:rFonts w:hint="eastAsia"/>
          <w:sz w:val="24"/>
        </w:rPr>
        <w:t>投标文件</w:t>
      </w:r>
      <w:r>
        <w:rPr>
          <w:sz w:val="24"/>
        </w:rPr>
        <w:t>进行评价和比较，且按照评审因素的量化指标评审</w:t>
      </w:r>
      <w:r>
        <w:rPr>
          <w:rFonts w:hint="eastAsia"/>
          <w:sz w:val="24"/>
        </w:rPr>
        <w:t>得分由高到低确定一名中标</w:t>
      </w:r>
      <w:r>
        <w:rPr>
          <w:sz w:val="24"/>
        </w:rPr>
        <w:t>候选人。</w:t>
      </w:r>
    </w:p>
    <w:p w14:paraId="2915ECC5">
      <w:pPr>
        <w:spacing w:line="520" w:lineRule="exact"/>
        <w:ind w:firstLine="482" w:firstLineChars="200"/>
        <w:rPr>
          <w:b/>
          <w:sz w:val="24"/>
          <w:szCs w:val="24"/>
        </w:rPr>
      </w:pPr>
      <w:r>
        <w:rPr>
          <w:b/>
          <w:sz w:val="24"/>
          <w:szCs w:val="24"/>
        </w:rPr>
        <w:t>二、评</w:t>
      </w:r>
      <w:r>
        <w:rPr>
          <w:rFonts w:hint="eastAsia"/>
          <w:b/>
          <w:sz w:val="24"/>
          <w:szCs w:val="24"/>
        </w:rPr>
        <w:t>标</w:t>
      </w:r>
      <w:r>
        <w:rPr>
          <w:b/>
          <w:sz w:val="24"/>
          <w:szCs w:val="24"/>
        </w:rPr>
        <w:t>标准</w:t>
      </w:r>
    </w:p>
    <w:tbl>
      <w:tblPr>
        <w:tblStyle w:val="39"/>
        <w:tblpPr w:leftFromText="180" w:rightFromText="180" w:vertAnchor="text" w:horzAnchor="page" w:tblpX="1239" w:tblpY="566"/>
        <w:tblOverlap w:val="never"/>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3"/>
        <w:gridCol w:w="1283"/>
        <w:gridCol w:w="907"/>
        <w:gridCol w:w="6232"/>
        <w:gridCol w:w="815"/>
      </w:tblGrid>
      <w:tr w14:paraId="670EB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tblHeader/>
        </w:trPr>
        <w:tc>
          <w:tcPr>
            <w:tcW w:w="723" w:type="dxa"/>
            <w:vAlign w:val="center"/>
          </w:tcPr>
          <w:p w14:paraId="49291BC8">
            <w:pPr>
              <w:adjustRightInd w:val="0"/>
              <w:snapToGrid w:val="0"/>
              <w:jc w:val="center"/>
              <w:rPr>
                <w:rFonts w:ascii="宋体" w:hAnsi="宋体" w:cs="宋体"/>
                <w:b/>
                <w:bCs/>
                <w:sz w:val="24"/>
                <w:szCs w:val="24"/>
              </w:rPr>
            </w:pPr>
            <w:r>
              <w:rPr>
                <w:rFonts w:hint="eastAsia" w:ascii="宋体" w:hAnsi="宋体" w:cs="宋体"/>
                <w:b/>
                <w:bCs/>
                <w:sz w:val="24"/>
                <w:szCs w:val="24"/>
              </w:rPr>
              <w:t>序号</w:t>
            </w:r>
          </w:p>
        </w:tc>
        <w:tc>
          <w:tcPr>
            <w:tcW w:w="1283" w:type="dxa"/>
            <w:vAlign w:val="center"/>
          </w:tcPr>
          <w:p w14:paraId="491B95CE">
            <w:pPr>
              <w:adjustRightInd w:val="0"/>
              <w:snapToGrid w:val="0"/>
              <w:jc w:val="center"/>
              <w:rPr>
                <w:rFonts w:ascii="宋体" w:hAnsi="宋体" w:cs="宋体"/>
                <w:b/>
                <w:bCs/>
                <w:sz w:val="24"/>
                <w:szCs w:val="24"/>
              </w:rPr>
            </w:pPr>
            <w:r>
              <w:rPr>
                <w:rFonts w:hint="eastAsia" w:ascii="宋体" w:hAnsi="宋体" w:cs="宋体"/>
                <w:b/>
                <w:bCs/>
                <w:sz w:val="24"/>
                <w:szCs w:val="24"/>
              </w:rPr>
              <w:t>评分因素</w:t>
            </w:r>
          </w:p>
        </w:tc>
        <w:tc>
          <w:tcPr>
            <w:tcW w:w="7139" w:type="dxa"/>
            <w:gridSpan w:val="2"/>
            <w:vAlign w:val="center"/>
          </w:tcPr>
          <w:p w14:paraId="424EEAFC">
            <w:pPr>
              <w:adjustRightInd w:val="0"/>
              <w:snapToGrid w:val="0"/>
              <w:jc w:val="center"/>
              <w:rPr>
                <w:rFonts w:ascii="宋体" w:hAnsi="宋体" w:cs="宋体"/>
                <w:b/>
                <w:bCs/>
                <w:sz w:val="24"/>
                <w:szCs w:val="24"/>
              </w:rPr>
            </w:pPr>
            <w:r>
              <w:rPr>
                <w:rFonts w:hint="eastAsia" w:ascii="宋体" w:hAnsi="宋体" w:cs="宋体"/>
                <w:b/>
                <w:bCs/>
                <w:sz w:val="24"/>
                <w:szCs w:val="24"/>
              </w:rPr>
              <w:t>评分标准</w:t>
            </w:r>
          </w:p>
        </w:tc>
        <w:tc>
          <w:tcPr>
            <w:tcW w:w="815" w:type="dxa"/>
            <w:vAlign w:val="center"/>
          </w:tcPr>
          <w:p w14:paraId="689995A5">
            <w:pPr>
              <w:adjustRightInd w:val="0"/>
              <w:snapToGrid w:val="0"/>
              <w:jc w:val="center"/>
              <w:rPr>
                <w:rFonts w:ascii="宋体" w:hAnsi="宋体" w:cs="宋体"/>
                <w:b/>
                <w:bCs/>
                <w:sz w:val="24"/>
                <w:szCs w:val="24"/>
              </w:rPr>
            </w:pPr>
            <w:r>
              <w:rPr>
                <w:rFonts w:hint="eastAsia" w:ascii="宋体" w:hAnsi="宋体" w:cs="宋体"/>
                <w:b/>
                <w:bCs/>
                <w:sz w:val="24"/>
                <w:szCs w:val="24"/>
              </w:rPr>
              <w:t>分值</w:t>
            </w:r>
          </w:p>
        </w:tc>
      </w:tr>
      <w:tr w14:paraId="3B8AF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trPr>
        <w:tc>
          <w:tcPr>
            <w:tcW w:w="9960" w:type="dxa"/>
            <w:gridSpan w:val="5"/>
            <w:vAlign w:val="center"/>
          </w:tcPr>
          <w:p w14:paraId="3B3A02D2">
            <w:pPr>
              <w:adjustRightInd w:val="0"/>
              <w:snapToGrid w:val="0"/>
              <w:rPr>
                <w:rFonts w:ascii="宋体" w:hAnsi="宋体" w:cs="宋体"/>
                <w:sz w:val="24"/>
                <w:szCs w:val="24"/>
              </w:rPr>
            </w:pPr>
            <w:r>
              <w:rPr>
                <w:rFonts w:hint="eastAsia" w:ascii="宋体" w:hAnsi="宋体" w:cs="宋体"/>
                <w:b/>
                <w:bCs/>
                <w:sz w:val="24"/>
                <w:szCs w:val="24"/>
              </w:rPr>
              <w:t>一、价格部分(30分）</w:t>
            </w:r>
          </w:p>
        </w:tc>
      </w:tr>
      <w:tr w14:paraId="30A71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0" w:hRule="atLeast"/>
        </w:trPr>
        <w:tc>
          <w:tcPr>
            <w:tcW w:w="723" w:type="dxa"/>
            <w:vAlign w:val="center"/>
          </w:tcPr>
          <w:p w14:paraId="5D12E58D">
            <w:pPr>
              <w:adjustRightInd w:val="0"/>
              <w:snapToGrid w:val="0"/>
              <w:jc w:val="center"/>
              <w:rPr>
                <w:rFonts w:ascii="宋体" w:hAnsi="宋体" w:cs="宋体"/>
                <w:sz w:val="24"/>
                <w:szCs w:val="24"/>
              </w:rPr>
            </w:pPr>
            <w:r>
              <w:rPr>
                <w:rFonts w:hint="eastAsia" w:ascii="宋体" w:hAnsi="宋体" w:cs="宋体"/>
                <w:b/>
                <w:bCs/>
                <w:sz w:val="24"/>
                <w:szCs w:val="24"/>
              </w:rPr>
              <w:t>1</w:t>
            </w:r>
          </w:p>
        </w:tc>
        <w:tc>
          <w:tcPr>
            <w:tcW w:w="1283" w:type="dxa"/>
            <w:vAlign w:val="center"/>
          </w:tcPr>
          <w:p w14:paraId="38FD3DD2">
            <w:pPr>
              <w:adjustRightInd w:val="0"/>
              <w:snapToGrid w:val="0"/>
              <w:jc w:val="center"/>
              <w:rPr>
                <w:rFonts w:ascii="宋体" w:hAnsi="宋体" w:cs="宋体"/>
                <w:sz w:val="24"/>
                <w:szCs w:val="24"/>
              </w:rPr>
            </w:pPr>
            <w:r>
              <w:rPr>
                <w:rFonts w:hint="eastAsia" w:ascii="宋体" w:hAnsi="宋体" w:cs="宋体"/>
                <w:sz w:val="24"/>
                <w:szCs w:val="24"/>
              </w:rPr>
              <w:t>报价</w:t>
            </w:r>
          </w:p>
        </w:tc>
        <w:tc>
          <w:tcPr>
            <w:tcW w:w="7139" w:type="dxa"/>
            <w:gridSpan w:val="2"/>
            <w:vAlign w:val="center"/>
          </w:tcPr>
          <w:p w14:paraId="663974D5">
            <w:pPr>
              <w:adjustRightInd w:val="0"/>
              <w:snapToGrid w:val="0"/>
              <w:rPr>
                <w:rFonts w:ascii="宋体" w:hAnsi="宋体" w:cs="宋体"/>
                <w:sz w:val="24"/>
                <w:szCs w:val="24"/>
              </w:rPr>
            </w:pPr>
            <w:r>
              <w:rPr>
                <w:rFonts w:hint="eastAsia" w:ascii="宋体" w:hAnsi="宋体" w:cs="宋体"/>
                <w:sz w:val="24"/>
                <w:szCs w:val="24"/>
              </w:rPr>
              <w:t>价格分采用低价优先法计算，即满足招标文件实质性要求且综合报价（即两年总报价）最低供应商的各子项投标报价为子项评标基准价，其价格分为满分。任一子项投标报价超过限价的，其投标作无效投标处理。其他供应商的价格分统一按照下列公式计算：</w:t>
            </w:r>
          </w:p>
          <w:p w14:paraId="4543FD86">
            <w:pPr>
              <w:adjustRightInd w:val="0"/>
              <w:snapToGrid w:val="0"/>
              <w:rPr>
                <w:rFonts w:ascii="宋体" w:hAnsi="宋体" w:cs="宋体"/>
                <w:sz w:val="24"/>
                <w:szCs w:val="24"/>
              </w:rPr>
            </w:pPr>
            <w:r>
              <w:rPr>
                <w:rFonts w:hint="eastAsia" w:ascii="宋体" w:hAnsi="宋体" w:cs="宋体"/>
                <w:sz w:val="24"/>
                <w:szCs w:val="24"/>
              </w:rPr>
              <w:t>各子项投标报价得分=（子项评标基准价/子项投标报价）×30×所占权重（%），小数点后保留2位。最终投标报价得分为各子项报价得分加总求和。该项得分满分30分。</w:t>
            </w:r>
          </w:p>
        </w:tc>
        <w:tc>
          <w:tcPr>
            <w:tcW w:w="815" w:type="dxa"/>
            <w:vAlign w:val="center"/>
          </w:tcPr>
          <w:p w14:paraId="5C61D7F8">
            <w:pPr>
              <w:adjustRightInd w:val="0"/>
              <w:snapToGrid w:val="0"/>
              <w:jc w:val="center"/>
              <w:rPr>
                <w:rFonts w:ascii="宋体" w:hAnsi="宋体" w:cs="宋体"/>
                <w:sz w:val="24"/>
                <w:szCs w:val="24"/>
              </w:rPr>
            </w:pPr>
            <w:r>
              <w:rPr>
                <w:rFonts w:hint="eastAsia" w:ascii="宋体" w:hAnsi="宋体" w:cs="宋体"/>
                <w:sz w:val="24"/>
                <w:szCs w:val="24"/>
              </w:rPr>
              <w:t>30</w:t>
            </w:r>
          </w:p>
        </w:tc>
      </w:tr>
      <w:tr w14:paraId="06DF3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3" w:hRule="atLeast"/>
        </w:trPr>
        <w:tc>
          <w:tcPr>
            <w:tcW w:w="9960" w:type="dxa"/>
            <w:gridSpan w:val="5"/>
            <w:vAlign w:val="center"/>
          </w:tcPr>
          <w:p w14:paraId="15A570A6">
            <w:pPr>
              <w:adjustRightInd w:val="0"/>
              <w:snapToGrid w:val="0"/>
              <w:rPr>
                <w:rFonts w:ascii="宋体" w:hAnsi="宋体" w:cs="宋体"/>
                <w:sz w:val="24"/>
                <w:szCs w:val="24"/>
              </w:rPr>
            </w:pPr>
            <w:r>
              <w:rPr>
                <w:rFonts w:hint="eastAsia" w:ascii="宋体" w:hAnsi="宋体" w:cs="宋体"/>
                <w:b/>
                <w:bCs/>
                <w:sz w:val="24"/>
                <w:szCs w:val="24"/>
              </w:rPr>
              <w:t>二、技术部分（58分）</w:t>
            </w:r>
          </w:p>
        </w:tc>
      </w:tr>
      <w:tr w14:paraId="2FD5E9DB">
        <w:tblPrEx>
          <w:tblCellMar>
            <w:top w:w="0" w:type="dxa"/>
            <w:left w:w="108" w:type="dxa"/>
            <w:bottom w:w="0" w:type="dxa"/>
            <w:right w:w="108" w:type="dxa"/>
          </w:tblCellMar>
        </w:tblPrEx>
        <w:trPr>
          <w:trHeight w:val="90" w:hRule="atLeast"/>
        </w:trPr>
        <w:tc>
          <w:tcPr>
            <w:tcW w:w="723" w:type="dxa"/>
            <w:vAlign w:val="center"/>
          </w:tcPr>
          <w:p w14:paraId="3CD0D17F">
            <w:pPr>
              <w:adjustRightInd w:val="0"/>
              <w:snapToGrid w:val="0"/>
              <w:jc w:val="center"/>
              <w:rPr>
                <w:rFonts w:ascii="宋体" w:hAnsi="宋体" w:cs="宋体"/>
                <w:sz w:val="24"/>
                <w:szCs w:val="24"/>
              </w:rPr>
            </w:pPr>
            <w:r>
              <w:rPr>
                <w:rFonts w:hint="eastAsia" w:ascii="宋体" w:hAnsi="宋体" w:cs="宋体"/>
                <w:b/>
                <w:bCs/>
                <w:sz w:val="24"/>
                <w:szCs w:val="24"/>
              </w:rPr>
              <w:t>2</w:t>
            </w:r>
          </w:p>
        </w:tc>
        <w:tc>
          <w:tcPr>
            <w:tcW w:w="1283" w:type="dxa"/>
            <w:vAlign w:val="center"/>
          </w:tcPr>
          <w:p w14:paraId="3201B893">
            <w:pPr>
              <w:adjustRightInd w:val="0"/>
              <w:snapToGrid w:val="0"/>
              <w:jc w:val="center"/>
              <w:rPr>
                <w:rFonts w:ascii="宋体" w:hAnsi="宋体" w:cs="宋体"/>
                <w:sz w:val="24"/>
                <w:szCs w:val="24"/>
              </w:rPr>
            </w:pPr>
            <w:r>
              <w:rPr>
                <w:rFonts w:hint="eastAsia" w:ascii="宋体" w:hAnsi="宋体" w:cs="宋体"/>
                <w:sz w:val="24"/>
                <w:szCs w:val="24"/>
              </w:rPr>
              <w:t>仓储服务实施方案</w:t>
            </w:r>
          </w:p>
        </w:tc>
        <w:tc>
          <w:tcPr>
            <w:tcW w:w="7139" w:type="dxa"/>
            <w:gridSpan w:val="2"/>
            <w:vAlign w:val="center"/>
          </w:tcPr>
          <w:p w14:paraId="0712A52A">
            <w:pPr>
              <w:adjustRightInd w:val="0"/>
              <w:snapToGrid w:val="0"/>
              <w:rPr>
                <w:rFonts w:ascii="宋体" w:hAnsi="宋体" w:cs="宋体"/>
                <w:sz w:val="24"/>
                <w:szCs w:val="24"/>
              </w:rPr>
            </w:pPr>
            <w:r>
              <w:rPr>
                <w:rFonts w:hint="eastAsia" w:ascii="宋体" w:hAnsi="宋体" w:cs="宋体"/>
                <w:sz w:val="24"/>
                <w:szCs w:val="24"/>
              </w:rPr>
              <w:t>根据供应商提供的符合本项目货物特点的仓储服务实施方案进行评审，方案科学合理、完整、具有创新及特色的得6分；方案科学合理、完整、不具有创新及特色的得4分；方案完整、科学合理性欠缺的得2分，方案缺失多或未提供的不得分。</w:t>
            </w:r>
          </w:p>
        </w:tc>
        <w:tc>
          <w:tcPr>
            <w:tcW w:w="815" w:type="dxa"/>
            <w:vAlign w:val="center"/>
          </w:tcPr>
          <w:p w14:paraId="7156F3DA">
            <w:pPr>
              <w:adjustRightInd w:val="0"/>
              <w:snapToGrid w:val="0"/>
              <w:jc w:val="center"/>
              <w:rPr>
                <w:rFonts w:ascii="宋体" w:hAnsi="宋体" w:cs="宋体"/>
                <w:sz w:val="24"/>
                <w:szCs w:val="24"/>
              </w:rPr>
            </w:pPr>
            <w:r>
              <w:rPr>
                <w:rFonts w:hint="eastAsia" w:ascii="宋体" w:hAnsi="宋体" w:cs="宋体"/>
                <w:sz w:val="24"/>
                <w:szCs w:val="24"/>
              </w:rPr>
              <w:t>6</w:t>
            </w:r>
          </w:p>
        </w:tc>
      </w:tr>
      <w:tr w14:paraId="34DB5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2" w:hRule="atLeast"/>
        </w:trPr>
        <w:tc>
          <w:tcPr>
            <w:tcW w:w="723" w:type="dxa"/>
            <w:vAlign w:val="center"/>
          </w:tcPr>
          <w:p w14:paraId="3C79538C">
            <w:pPr>
              <w:adjustRightInd w:val="0"/>
              <w:snapToGrid w:val="0"/>
              <w:jc w:val="center"/>
              <w:rPr>
                <w:rFonts w:ascii="宋体" w:hAnsi="宋体" w:cs="宋体"/>
                <w:sz w:val="24"/>
                <w:szCs w:val="24"/>
              </w:rPr>
            </w:pPr>
            <w:r>
              <w:rPr>
                <w:rFonts w:hint="eastAsia" w:ascii="宋体" w:hAnsi="宋体" w:cs="宋体"/>
                <w:b/>
                <w:bCs/>
                <w:sz w:val="24"/>
                <w:szCs w:val="24"/>
              </w:rPr>
              <w:t>3</w:t>
            </w:r>
          </w:p>
        </w:tc>
        <w:tc>
          <w:tcPr>
            <w:tcW w:w="1283" w:type="dxa"/>
            <w:vAlign w:val="center"/>
          </w:tcPr>
          <w:p w14:paraId="1586E54C">
            <w:pPr>
              <w:adjustRightInd w:val="0"/>
              <w:snapToGrid w:val="0"/>
              <w:jc w:val="center"/>
              <w:rPr>
                <w:rFonts w:ascii="宋体" w:hAnsi="宋体" w:cs="宋体"/>
                <w:sz w:val="24"/>
                <w:szCs w:val="24"/>
              </w:rPr>
            </w:pPr>
            <w:r>
              <w:rPr>
                <w:rFonts w:hint="eastAsia" w:ascii="宋体" w:hAnsi="宋体" w:cs="宋体"/>
                <w:sz w:val="24"/>
                <w:szCs w:val="24"/>
              </w:rPr>
              <w:t>运输服务实施方案</w:t>
            </w:r>
          </w:p>
        </w:tc>
        <w:tc>
          <w:tcPr>
            <w:tcW w:w="7139" w:type="dxa"/>
            <w:gridSpan w:val="2"/>
            <w:vAlign w:val="center"/>
          </w:tcPr>
          <w:p w14:paraId="73175A5D">
            <w:pPr>
              <w:adjustRightInd w:val="0"/>
              <w:snapToGrid w:val="0"/>
              <w:rPr>
                <w:rFonts w:ascii="宋体" w:hAnsi="宋体" w:cs="宋体"/>
                <w:sz w:val="24"/>
                <w:szCs w:val="24"/>
              </w:rPr>
            </w:pPr>
            <w:r>
              <w:rPr>
                <w:rFonts w:hint="eastAsia" w:ascii="宋体" w:hAnsi="宋体" w:cs="宋体"/>
                <w:sz w:val="24"/>
                <w:szCs w:val="24"/>
              </w:rPr>
              <w:t>根据供应商提供的符合本项目货物特点的运输服务实施方案进行评审，方案科学合理、完整、可实施性强，具有应对突发情况预案的得6分；方案科学合理、完整、可实施性强的得4分；方案完整、科学合理性欠缺的得2分，方案缺失多或未提供的不得分。</w:t>
            </w:r>
          </w:p>
        </w:tc>
        <w:tc>
          <w:tcPr>
            <w:tcW w:w="815" w:type="dxa"/>
            <w:vAlign w:val="center"/>
          </w:tcPr>
          <w:p w14:paraId="61F2A61B">
            <w:pPr>
              <w:adjustRightInd w:val="0"/>
              <w:snapToGrid w:val="0"/>
              <w:jc w:val="center"/>
              <w:rPr>
                <w:rFonts w:ascii="宋体" w:hAnsi="宋体" w:cs="宋体"/>
                <w:sz w:val="24"/>
                <w:szCs w:val="24"/>
              </w:rPr>
            </w:pPr>
            <w:r>
              <w:rPr>
                <w:rFonts w:hint="eastAsia" w:ascii="宋体" w:hAnsi="宋体" w:cs="宋体"/>
                <w:sz w:val="24"/>
                <w:szCs w:val="24"/>
              </w:rPr>
              <w:t>6</w:t>
            </w:r>
          </w:p>
        </w:tc>
      </w:tr>
      <w:tr w14:paraId="5CDC3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2" w:hRule="atLeast"/>
        </w:trPr>
        <w:tc>
          <w:tcPr>
            <w:tcW w:w="723" w:type="dxa"/>
            <w:vAlign w:val="center"/>
          </w:tcPr>
          <w:p w14:paraId="5CD7053F">
            <w:pPr>
              <w:adjustRightInd w:val="0"/>
              <w:snapToGrid w:val="0"/>
              <w:jc w:val="center"/>
              <w:rPr>
                <w:rFonts w:ascii="宋体" w:hAnsi="宋体" w:cs="宋体"/>
                <w:sz w:val="24"/>
                <w:szCs w:val="24"/>
              </w:rPr>
            </w:pPr>
            <w:r>
              <w:rPr>
                <w:rFonts w:hint="eastAsia" w:ascii="宋体" w:hAnsi="宋体" w:cs="宋体"/>
                <w:b/>
                <w:bCs/>
                <w:sz w:val="24"/>
                <w:szCs w:val="24"/>
              </w:rPr>
              <w:t>4.1</w:t>
            </w:r>
          </w:p>
        </w:tc>
        <w:tc>
          <w:tcPr>
            <w:tcW w:w="1283" w:type="dxa"/>
            <w:vMerge w:val="restart"/>
            <w:vAlign w:val="center"/>
          </w:tcPr>
          <w:p w14:paraId="3FF11C7A">
            <w:pPr>
              <w:adjustRightInd w:val="0"/>
              <w:snapToGrid w:val="0"/>
              <w:jc w:val="center"/>
              <w:rPr>
                <w:rFonts w:hint="eastAsia" w:ascii="宋体" w:hAnsi="宋体" w:eastAsia="宋体" w:cs="宋体"/>
                <w:sz w:val="24"/>
                <w:szCs w:val="24"/>
                <w:lang w:eastAsia="zh-CN"/>
              </w:rPr>
            </w:pPr>
            <w:r>
              <w:rPr>
                <w:rFonts w:hint="eastAsia" w:ascii="宋体" w:hAnsi="宋体" w:cs="宋体"/>
                <w:sz w:val="24"/>
                <w:szCs w:val="24"/>
              </w:rPr>
              <w:t>热敏纸物流服务</w:t>
            </w:r>
          </w:p>
        </w:tc>
        <w:tc>
          <w:tcPr>
            <w:tcW w:w="907" w:type="dxa"/>
            <w:vAlign w:val="center"/>
          </w:tcPr>
          <w:p w14:paraId="1FDE3EF4">
            <w:pPr>
              <w:adjustRightInd w:val="0"/>
              <w:snapToGrid w:val="0"/>
              <w:jc w:val="center"/>
              <w:rPr>
                <w:rFonts w:ascii="宋体" w:hAnsi="宋体" w:cs="宋体"/>
                <w:sz w:val="24"/>
                <w:szCs w:val="24"/>
              </w:rPr>
            </w:pPr>
            <w:r>
              <w:rPr>
                <w:rFonts w:hint="eastAsia" w:ascii="宋体" w:hAnsi="宋体" w:cs="宋体"/>
                <w:sz w:val="24"/>
                <w:szCs w:val="24"/>
              </w:rPr>
              <w:t>配送时限</w:t>
            </w:r>
          </w:p>
        </w:tc>
        <w:tc>
          <w:tcPr>
            <w:tcW w:w="6232" w:type="dxa"/>
            <w:vAlign w:val="center"/>
          </w:tcPr>
          <w:p w14:paraId="2C21C6D2">
            <w:pPr>
              <w:adjustRightInd w:val="0"/>
              <w:snapToGrid w:val="0"/>
              <w:rPr>
                <w:rFonts w:ascii="宋体" w:hAnsi="宋体" w:cs="宋体"/>
                <w:sz w:val="24"/>
                <w:szCs w:val="24"/>
              </w:rPr>
            </w:pPr>
            <w:r>
              <w:rPr>
                <w:rFonts w:hint="eastAsia" w:ascii="宋体" w:hAnsi="宋体" w:cs="宋体"/>
                <w:sz w:val="24"/>
                <w:szCs w:val="24"/>
              </w:rPr>
              <w:t>根据供应商提供的热敏纸物流配送时限承诺进行评审，优于需求的得2分，满足需求的得1分，不满足需求不得分。</w:t>
            </w:r>
          </w:p>
        </w:tc>
        <w:tc>
          <w:tcPr>
            <w:tcW w:w="815" w:type="dxa"/>
            <w:vAlign w:val="center"/>
          </w:tcPr>
          <w:p w14:paraId="26D53843">
            <w:pPr>
              <w:adjustRightInd w:val="0"/>
              <w:snapToGrid w:val="0"/>
              <w:jc w:val="center"/>
              <w:rPr>
                <w:rFonts w:ascii="宋体" w:hAnsi="宋体" w:cs="宋体"/>
                <w:sz w:val="24"/>
                <w:szCs w:val="24"/>
              </w:rPr>
            </w:pPr>
            <w:r>
              <w:rPr>
                <w:rFonts w:hint="eastAsia" w:ascii="宋体" w:hAnsi="宋体" w:cs="宋体"/>
                <w:sz w:val="24"/>
                <w:szCs w:val="24"/>
              </w:rPr>
              <w:t>2</w:t>
            </w:r>
          </w:p>
        </w:tc>
      </w:tr>
      <w:tr w14:paraId="684AB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723" w:type="dxa"/>
            <w:vAlign w:val="center"/>
          </w:tcPr>
          <w:p w14:paraId="0659D545">
            <w:pPr>
              <w:adjustRightInd w:val="0"/>
              <w:snapToGrid w:val="0"/>
              <w:jc w:val="center"/>
              <w:rPr>
                <w:rFonts w:ascii="宋体" w:hAnsi="宋体" w:cs="宋体"/>
                <w:sz w:val="24"/>
                <w:szCs w:val="24"/>
              </w:rPr>
            </w:pPr>
            <w:r>
              <w:rPr>
                <w:rFonts w:hint="eastAsia" w:ascii="宋体" w:hAnsi="宋体" w:cs="宋体"/>
                <w:b/>
                <w:bCs/>
                <w:sz w:val="24"/>
                <w:szCs w:val="24"/>
              </w:rPr>
              <w:t>4.2</w:t>
            </w:r>
          </w:p>
        </w:tc>
        <w:tc>
          <w:tcPr>
            <w:tcW w:w="1283" w:type="dxa"/>
            <w:vMerge w:val="continue"/>
            <w:vAlign w:val="center"/>
          </w:tcPr>
          <w:p w14:paraId="3F575EF4">
            <w:pPr>
              <w:adjustRightInd w:val="0"/>
              <w:snapToGrid w:val="0"/>
              <w:rPr>
                <w:rFonts w:ascii="宋体" w:hAnsi="宋体" w:cs="宋体"/>
                <w:sz w:val="24"/>
                <w:szCs w:val="24"/>
              </w:rPr>
            </w:pPr>
          </w:p>
        </w:tc>
        <w:tc>
          <w:tcPr>
            <w:tcW w:w="907" w:type="dxa"/>
            <w:vAlign w:val="center"/>
          </w:tcPr>
          <w:p w14:paraId="15E29AE6">
            <w:pPr>
              <w:adjustRightInd w:val="0"/>
              <w:snapToGrid w:val="0"/>
              <w:jc w:val="center"/>
              <w:rPr>
                <w:rFonts w:ascii="宋体" w:hAnsi="宋体" w:cs="宋体"/>
                <w:sz w:val="24"/>
                <w:szCs w:val="24"/>
              </w:rPr>
            </w:pPr>
            <w:r>
              <w:rPr>
                <w:rFonts w:hint="eastAsia" w:ascii="宋体" w:hAnsi="宋体" w:cs="宋体"/>
                <w:sz w:val="24"/>
                <w:szCs w:val="24"/>
              </w:rPr>
              <w:t>系统架构及性能</w:t>
            </w:r>
          </w:p>
        </w:tc>
        <w:tc>
          <w:tcPr>
            <w:tcW w:w="6232" w:type="dxa"/>
            <w:vAlign w:val="center"/>
          </w:tcPr>
          <w:p w14:paraId="315D1E61">
            <w:pPr>
              <w:adjustRightInd w:val="0"/>
              <w:snapToGrid w:val="0"/>
              <w:rPr>
                <w:rFonts w:ascii="宋体" w:hAnsi="宋体" w:cs="宋体"/>
                <w:sz w:val="24"/>
                <w:szCs w:val="24"/>
              </w:rPr>
            </w:pPr>
            <w:r>
              <w:rPr>
                <w:rFonts w:hint="eastAsia" w:ascii="宋体" w:hAnsi="宋体" w:cs="宋体"/>
                <w:sz w:val="24"/>
                <w:szCs w:val="24"/>
              </w:rPr>
              <w:t>根据供应商提供的系统软件架构及性能满足日常业务需求的程度进行评审，实用性、先进性、安全性、可扩展性强的得5分；实用性、先进性、安全性、可扩展性较强的得3分；实用性、先进性、安全性、可扩展性一般的得1分；方案缺失多或未提供的不得分。</w:t>
            </w:r>
          </w:p>
        </w:tc>
        <w:tc>
          <w:tcPr>
            <w:tcW w:w="815" w:type="dxa"/>
            <w:vAlign w:val="center"/>
          </w:tcPr>
          <w:p w14:paraId="5C634B40">
            <w:pPr>
              <w:adjustRightInd w:val="0"/>
              <w:snapToGrid w:val="0"/>
              <w:jc w:val="center"/>
              <w:rPr>
                <w:rFonts w:ascii="宋体" w:hAnsi="宋体" w:cs="宋体"/>
                <w:sz w:val="24"/>
                <w:szCs w:val="24"/>
              </w:rPr>
            </w:pPr>
            <w:r>
              <w:rPr>
                <w:rFonts w:hint="eastAsia" w:ascii="宋体" w:hAnsi="宋体" w:cs="宋体"/>
                <w:sz w:val="24"/>
                <w:szCs w:val="24"/>
              </w:rPr>
              <w:t>5</w:t>
            </w:r>
          </w:p>
        </w:tc>
      </w:tr>
      <w:tr w14:paraId="34BF0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12" w:hRule="atLeast"/>
        </w:trPr>
        <w:tc>
          <w:tcPr>
            <w:tcW w:w="723" w:type="dxa"/>
            <w:vAlign w:val="center"/>
          </w:tcPr>
          <w:p w14:paraId="14A2B069">
            <w:pPr>
              <w:adjustRightInd w:val="0"/>
              <w:snapToGrid w:val="0"/>
              <w:jc w:val="center"/>
              <w:rPr>
                <w:rFonts w:ascii="宋体" w:hAnsi="宋体" w:cs="宋体"/>
                <w:sz w:val="24"/>
                <w:szCs w:val="24"/>
              </w:rPr>
            </w:pPr>
            <w:r>
              <w:rPr>
                <w:rFonts w:hint="eastAsia" w:ascii="宋体" w:hAnsi="宋体" w:cs="宋体"/>
                <w:b/>
                <w:bCs/>
                <w:sz w:val="24"/>
                <w:szCs w:val="24"/>
              </w:rPr>
              <w:t>4.3</w:t>
            </w:r>
          </w:p>
        </w:tc>
        <w:tc>
          <w:tcPr>
            <w:tcW w:w="1283" w:type="dxa"/>
            <w:vMerge w:val="continue"/>
            <w:vAlign w:val="center"/>
          </w:tcPr>
          <w:p w14:paraId="40565EDF">
            <w:pPr>
              <w:adjustRightInd w:val="0"/>
              <w:snapToGrid w:val="0"/>
              <w:rPr>
                <w:rFonts w:ascii="宋体" w:hAnsi="宋体" w:cs="宋体"/>
                <w:sz w:val="24"/>
                <w:szCs w:val="24"/>
              </w:rPr>
            </w:pPr>
          </w:p>
        </w:tc>
        <w:tc>
          <w:tcPr>
            <w:tcW w:w="907" w:type="dxa"/>
            <w:vAlign w:val="center"/>
          </w:tcPr>
          <w:p w14:paraId="4C8269BA">
            <w:pPr>
              <w:adjustRightInd w:val="0"/>
              <w:snapToGrid w:val="0"/>
              <w:jc w:val="center"/>
              <w:rPr>
                <w:rFonts w:ascii="宋体" w:hAnsi="宋体" w:cs="宋体"/>
                <w:sz w:val="24"/>
                <w:szCs w:val="24"/>
              </w:rPr>
            </w:pPr>
            <w:r>
              <w:rPr>
                <w:rFonts w:hint="eastAsia" w:ascii="宋体" w:hAnsi="宋体" w:cs="宋体"/>
                <w:sz w:val="24"/>
                <w:szCs w:val="24"/>
              </w:rPr>
              <w:t>管理系统</w:t>
            </w:r>
          </w:p>
          <w:p w14:paraId="421EE0CF">
            <w:pPr>
              <w:adjustRightInd w:val="0"/>
              <w:snapToGrid w:val="0"/>
              <w:rPr>
                <w:rFonts w:ascii="宋体" w:hAnsi="宋体" w:cs="宋体"/>
                <w:sz w:val="24"/>
                <w:szCs w:val="24"/>
              </w:rPr>
            </w:pPr>
          </w:p>
        </w:tc>
        <w:tc>
          <w:tcPr>
            <w:tcW w:w="6232" w:type="dxa"/>
            <w:vAlign w:val="center"/>
          </w:tcPr>
          <w:p w14:paraId="35A32FAE">
            <w:pPr>
              <w:adjustRightInd w:val="0"/>
              <w:snapToGrid w:val="0"/>
              <w:rPr>
                <w:rFonts w:ascii="宋体" w:hAnsi="宋体" w:cs="宋体"/>
                <w:sz w:val="24"/>
                <w:szCs w:val="24"/>
              </w:rPr>
            </w:pPr>
            <w:r>
              <w:rPr>
                <w:rFonts w:hint="eastAsia" w:ascii="宋体" w:hAnsi="宋体" w:cs="宋体"/>
                <w:sz w:val="24"/>
                <w:szCs w:val="24"/>
              </w:rPr>
              <w:t>投标时已开发建设同类并投入实际使用的电脑端、手机端、电话端管理系统，每提供一项且证明材料齐全（需提供：系统功能截图、近6个月内实际使用合同或用户证明、系统登录演示视频等）的，得2分，最高6分。</w:t>
            </w:r>
          </w:p>
          <w:p w14:paraId="5068EED1">
            <w:pPr>
              <w:adjustRightInd w:val="0"/>
              <w:snapToGrid w:val="0"/>
              <w:rPr>
                <w:rFonts w:ascii="宋体" w:hAnsi="宋体" w:cs="宋体"/>
                <w:sz w:val="24"/>
                <w:szCs w:val="24"/>
              </w:rPr>
            </w:pPr>
            <w:r>
              <w:rPr>
                <w:rFonts w:hint="eastAsia" w:ascii="宋体" w:hAnsi="宋体" w:cs="宋体"/>
                <w:sz w:val="24"/>
                <w:szCs w:val="24"/>
              </w:rPr>
              <w:t>对暂未完全具备但编制了详细开发实施方案（含时间计划、人员配置、技术路线、风险管控等，承诺中标后1个月内上线）的，方案可行、内容完整的，每项得1分，最高3分；仅提供简单承诺而无方案的不得分。</w:t>
            </w:r>
            <w:r>
              <w:rPr>
                <w:rFonts w:hint="eastAsia" w:ascii="宋体" w:hAnsi="宋体" w:cs="宋体"/>
                <w:color w:val="0000FF"/>
                <w:sz w:val="24"/>
                <w:szCs w:val="24"/>
              </w:rPr>
              <w:t>（</w:t>
            </w:r>
            <w:r>
              <w:rPr>
                <w:rFonts w:hint="eastAsia" w:ascii="宋体" w:hAnsi="宋体" w:cs="宋体"/>
                <w:sz w:val="24"/>
                <w:szCs w:val="24"/>
              </w:rPr>
              <w:t>以上提供相关证明材料，承诺书格式自拟，并加盖公章及法人或授权代表签字）</w:t>
            </w:r>
          </w:p>
        </w:tc>
        <w:tc>
          <w:tcPr>
            <w:tcW w:w="815" w:type="dxa"/>
            <w:vAlign w:val="center"/>
          </w:tcPr>
          <w:p w14:paraId="649EA223">
            <w:pPr>
              <w:adjustRightInd w:val="0"/>
              <w:snapToGrid w:val="0"/>
              <w:jc w:val="center"/>
              <w:rPr>
                <w:rFonts w:ascii="宋体" w:hAnsi="宋体" w:cs="宋体"/>
                <w:sz w:val="24"/>
                <w:szCs w:val="24"/>
              </w:rPr>
            </w:pPr>
            <w:r>
              <w:rPr>
                <w:rFonts w:hint="eastAsia" w:ascii="宋体" w:hAnsi="宋体" w:cs="宋体"/>
                <w:sz w:val="24"/>
                <w:szCs w:val="24"/>
              </w:rPr>
              <w:t>6</w:t>
            </w:r>
          </w:p>
        </w:tc>
      </w:tr>
      <w:tr w14:paraId="01405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34" w:hRule="atLeast"/>
        </w:trPr>
        <w:tc>
          <w:tcPr>
            <w:tcW w:w="723" w:type="dxa"/>
            <w:vAlign w:val="center"/>
          </w:tcPr>
          <w:p w14:paraId="206B5538">
            <w:pPr>
              <w:adjustRightInd w:val="0"/>
              <w:snapToGrid w:val="0"/>
              <w:jc w:val="center"/>
              <w:rPr>
                <w:rFonts w:ascii="宋体" w:hAnsi="宋体" w:cs="宋体"/>
                <w:sz w:val="24"/>
                <w:szCs w:val="24"/>
              </w:rPr>
            </w:pPr>
            <w:r>
              <w:rPr>
                <w:rFonts w:hint="eastAsia" w:ascii="宋体" w:hAnsi="宋体" w:cs="宋体"/>
                <w:b/>
                <w:bCs/>
                <w:sz w:val="24"/>
                <w:szCs w:val="24"/>
              </w:rPr>
              <w:t>4.4</w:t>
            </w:r>
          </w:p>
        </w:tc>
        <w:tc>
          <w:tcPr>
            <w:tcW w:w="1283" w:type="dxa"/>
            <w:vMerge w:val="continue"/>
            <w:vAlign w:val="center"/>
          </w:tcPr>
          <w:p w14:paraId="50B11571">
            <w:pPr>
              <w:adjustRightInd w:val="0"/>
              <w:snapToGrid w:val="0"/>
              <w:rPr>
                <w:rFonts w:ascii="宋体" w:hAnsi="宋体" w:cs="宋体"/>
                <w:sz w:val="24"/>
                <w:szCs w:val="24"/>
              </w:rPr>
            </w:pPr>
          </w:p>
        </w:tc>
        <w:tc>
          <w:tcPr>
            <w:tcW w:w="907" w:type="dxa"/>
            <w:vAlign w:val="center"/>
          </w:tcPr>
          <w:p w14:paraId="3490708F">
            <w:pPr>
              <w:adjustRightInd w:val="0"/>
              <w:snapToGrid w:val="0"/>
              <w:jc w:val="center"/>
              <w:rPr>
                <w:rFonts w:ascii="宋体" w:hAnsi="宋体" w:cs="宋体"/>
                <w:sz w:val="24"/>
                <w:szCs w:val="24"/>
              </w:rPr>
            </w:pPr>
            <w:r>
              <w:rPr>
                <w:rFonts w:hint="eastAsia" w:ascii="宋体" w:hAnsi="宋体" w:cs="宋体"/>
                <w:sz w:val="24"/>
                <w:szCs w:val="24"/>
              </w:rPr>
              <w:t>系统运维</w:t>
            </w:r>
          </w:p>
          <w:p w14:paraId="243AF5FE">
            <w:pPr>
              <w:adjustRightInd w:val="0"/>
              <w:snapToGrid w:val="0"/>
              <w:rPr>
                <w:rFonts w:ascii="宋体" w:hAnsi="宋体" w:cs="宋体"/>
                <w:sz w:val="24"/>
                <w:szCs w:val="24"/>
              </w:rPr>
            </w:pPr>
          </w:p>
        </w:tc>
        <w:tc>
          <w:tcPr>
            <w:tcW w:w="6232" w:type="dxa"/>
            <w:vAlign w:val="center"/>
          </w:tcPr>
          <w:p w14:paraId="04FBD52A">
            <w:pPr>
              <w:adjustRightInd w:val="0"/>
              <w:snapToGrid w:val="0"/>
              <w:rPr>
                <w:rFonts w:ascii="宋体" w:hAnsi="宋体" w:cs="宋体"/>
                <w:sz w:val="24"/>
                <w:szCs w:val="24"/>
              </w:rPr>
            </w:pPr>
            <w:r>
              <w:rPr>
                <w:rFonts w:hint="eastAsia" w:ascii="宋体" w:hAnsi="宋体" w:cs="宋体"/>
                <w:sz w:val="24"/>
                <w:szCs w:val="24"/>
              </w:rPr>
              <w:t>根据供应商提供的彩票热敏纸物流服务系统运维服务方案进行评审，方案完整且具有较强的实用性、专业性，并提供个性化服务的得5分；方案完整且具有较强的实用性、专业性的得3分；方案不完整，实用性、专业性一般的得1分；方案缺失多或未提供的不得分。</w:t>
            </w:r>
          </w:p>
        </w:tc>
        <w:tc>
          <w:tcPr>
            <w:tcW w:w="815" w:type="dxa"/>
            <w:vAlign w:val="center"/>
          </w:tcPr>
          <w:p w14:paraId="4C2D4F19">
            <w:pPr>
              <w:adjustRightInd w:val="0"/>
              <w:snapToGrid w:val="0"/>
              <w:jc w:val="center"/>
              <w:rPr>
                <w:rFonts w:ascii="宋体" w:hAnsi="宋体" w:cs="宋体"/>
                <w:sz w:val="24"/>
                <w:szCs w:val="24"/>
              </w:rPr>
            </w:pPr>
            <w:r>
              <w:rPr>
                <w:rFonts w:hint="eastAsia" w:ascii="宋体" w:hAnsi="宋体" w:cs="宋体"/>
                <w:sz w:val="24"/>
                <w:szCs w:val="24"/>
              </w:rPr>
              <w:t>5</w:t>
            </w:r>
          </w:p>
        </w:tc>
      </w:tr>
      <w:tr w14:paraId="36DCB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7" w:hRule="atLeast"/>
        </w:trPr>
        <w:tc>
          <w:tcPr>
            <w:tcW w:w="723" w:type="dxa"/>
            <w:vAlign w:val="center"/>
          </w:tcPr>
          <w:p w14:paraId="1D56AFC2">
            <w:pPr>
              <w:adjustRightInd w:val="0"/>
              <w:snapToGrid w:val="0"/>
              <w:jc w:val="center"/>
              <w:rPr>
                <w:rFonts w:ascii="宋体" w:hAnsi="宋体" w:cs="宋体"/>
                <w:sz w:val="24"/>
                <w:szCs w:val="24"/>
              </w:rPr>
            </w:pPr>
            <w:r>
              <w:rPr>
                <w:rFonts w:hint="eastAsia" w:ascii="宋体" w:hAnsi="宋体" w:cs="宋体"/>
                <w:b/>
                <w:bCs/>
                <w:sz w:val="24"/>
                <w:szCs w:val="24"/>
              </w:rPr>
              <w:t>4.5</w:t>
            </w:r>
          </w:p>
        </w:tc>
        <w:tc>
          <w:tcPr>
            <w:tcW w:w="1283" w:type="dxa"/>
            <w:vMerge w:val="continue"/>
            <w:vAlign w:val="center"/>
          </w:tcPr>
          <w:p w14:paraId="21A16D43">
            <w:pPr>
              <w:adjustRightInd w:val="0"/>
              <w:snapToGrid w:val="0"/>
              <w:rPr>
                <w:rFonts w:ascii="宋体" w:hAnsi="宋体" w:cs="宋体"/>
                <w:sz w:val="24"/>
                <w:szCs w:val="24"/>
              </w:rPr>
            </w:pPr>
          </w:p>
        </w:tc>
        <w:tc>
          <w:tcPr>
            <w:tcW w:w="907" w:type="dxa"/>
            <w:vAlign w:val="center"/>
          </w:tcPr>
          <w:p w14:paraId="48E962C4">
            <w:pPr>
              <w:adjustRightInd w:val="0"/>
              <w:snapToGrid w:val="0"/>
              <w:jc w:val="center"/>
              <w:rPr>
                <w:rFonts w:ascii="宋体" w:hAnsi="宋体" w:cs="宋体"/>
                <w:sz w:val="24"/>
                <w:szCs w:val="24"/>
              </w:rPr>
            </w:pPr>
            <w:r>
              <w:rPr>
                <w:rFonts w:hint="eastAsia" w:ascii="宋体" w:hAnsi="宋体" w:cs="宋体"/>
                <w:sz w:val="24"/>
                <w:szCs w:val="24"/>
              </w:rPr>
              <w:t>系统安全</w:t>
            </w:r>
          </w:p>
        </w:tc>
        <w:tc>
          <w:tcPr>
            <w:tcW w:w="6232" w:type="dxa"/>
            <w:vAlign w:val="center"/>
          </w:tcPr>
          <w:p w14:paraId="3C7EDCF8">
            <w:pPr>
              <w:adjustRightInd w:val="0"/>
              <w:snapToGrid w:val="0"/>
              <w:rPr>
                <w:rFonts w:ascii="宋体" w:hAnsi="宋体" w:cs="宋体"/>
                <w:sz w:val="24"/>
                <w:szCs w:val="24"/>
              </w:rPr>
            </w:pPr>
            <w:r>
              <w:rPr>
                <w:rFonts w:hint="eastAsia" w:ascii="宋体" w:hAnsi="宋体" w:cs="宋体"/>
                <w:sz w:val="24"/>
                <w:szCs w:val="24"/>
              </w:rPr>
              <w:t>根据供应商提供的系统信息处理和网络安全防护情况进行评审，优于本项目需求的得2分；满足本项目需求的得1分；不满足项目需求的不得分。</w:t>
            </w:r>
          </w:p>
        </w:tc>
        <w:tc>
          <w:tcPr>
            <w:tcW w:w="815" w:type="dxa"/>
            <w:vAlign w:val="center"/>
          </w:tcPr>
          <w:p w14:paraId="69EFFD7E">
            <w:pPr>
              <w:adjustRightInd w:val="0"/>
              <w:snapToGrid w:val="0"/>
              <w:jc w:val="center"/>
              <w:rPr>
                <w:rFonts w:ascii="宋体" w:hAnsi="宋体" w:cs="宋体"/>
                <w:sz w:val="24"/>
                <w:szCs w:val="24"/>
              </w:rPr>
            </w:pPr>
            <w:r>
              <w:rPr>
                <w:rFonts w:hint="eastAsia" w:ascii="宋体" w:hAnsi="宋体" w:cs="宋体"/>
                <w:sz w:val="24"/>
                <w:szCs w:val="24"/>
              </w:rPr>
              <w:t>2</w:t>
            </w:r>
          </w:p>
        </w:tc>
      </w:tr>
      <w:tr w14:paraId="17027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33" w:hRule="atLeast"/>
        </w:trPr>
        <w:tc>
          <w:tcPr>
            <w:tcW w:w="723" w:type="dxa"/>
            <w:vAlign w:val="center"/>
          </w:tcPr>
          <w:p w14:paraId="4D7540BC">
            <w:pPr>
              <w:adjustRightInd w:val="0"/>
              <w:snapToGrid w:val="0"/>
              <w:jc w:val="center"/>
              <w:rPr>
                <w:rFonts w:ascii="宋体" w:hAnsi="宋体" w:cs="宋体"/>
                <w:sz w:val="24"/>
                <w:szCs w:val="24"/>
              </w:rPr>
            </w:pPr>
            <w:r>
              <w:rPr>
                <w:rFonts w:hint="eastAsia" w:ascii="宋体" w:hAnsi="宋体" w:cs="宋体"/>
                <w:b/>
                <w:bCs/>
                <w:sz w:val="24"/>
                <w:szCs w:val="24"/>
              </w:rPr>
              <w:t>5.1</w:t>
            </w:r>
          </w:p>
        </w:tc>
        <w:tc>
          <w:tcPr>
            <w:tcW w:w="1283" w:type="dxa"/>
            <w:vMerge w:val="restart"/>
            <w:vAlign w:val="center"/>
          </w:tcPr>
          <w:p w14:paraId="264157F9">
            <w:pPr>
              <w:adjustRightInd w:val="0"/>
              <w:snapToGrid w:val="0"/>
              <w:jc w:val="center"/>
              <w:rPr>
                <w:rFonts w:hint="eastAsia" w:ascii="宋体" w:hAnsi="宋体" w:eastAsia="宋体" w:cs="宋体"/>
                <w:sz w:val="24"/>
                <w:szCs w:val="24"/>
                <w:lang w:eastAsia="zh-CN"/>
              </w:rPr>
            </w:pPr>
            <w:r>
              <w:rPr>
                <w:rFonts w:hint="eastAsia" w:ascii="宋体" w:hAnsi="宋体" w:cs="宋体"/>
                <w:sz w:val="24"/>
                <w:szCs w:val="24"/>
              </w:rPr>
              <w:t>基础设施和综合实力情况</w:t>
            </w:r>
          </w:p>
        </w:tc>
        <w:tc>
          <w:tcPr>
            <w:tcW w:w="907" w:type="dxa"/>
            <w:vAlign w:val="center"/>
          </w:tcPr>
          <w:p w14:paraId="33D89F9C">
            <w:pPr>
              <w:adjustRightInd w:val="0"/>
              <w:snapToGrid w:val="0"/>
              <w:jc w:val="center"/>
              <w:rPr>
                <w:rFonts w:ascii="宋体" w:hAnsi="宋体" w:cs="宋体"/>
                <w:sz w:val="24"/>
                <w:szCs w:val="24"/>
              </w:rPr>
            </w:pPr>
            <w:r>
              <w:rPr>
                <w:rFonts w:hint="eastAsia" w:ascii="宋体" w:hAnsi="宋体" w:cs="宋体"/>
                <w:sz w:val="24"/>
                <w:szCs w:val="24"/>
              </w:rPr>
              <w:t>设备情况</w:t>
            </w:r>
          </w:p>
          <w:p w14:paraId="186FE756">
            <w:pPr>
              <w:adjustRightInd w:val="0"/>
              <w:snapToGrid w:val="0"/>
              <w:rPr>
                <w:rFonts w:ascii="宋体" w:hAnsi="宋体" w:cs="宋体"/>
                <w:sz w:val="24"/>
                <w:szCs w:val="24"/>
              </w:rPr>
            </w:pPr>
          </w:p>
        </w:tc>
        <w:tc>
          <w:tcPr>
            <w:tcW w:w="6232" w:type="dxa"/>
            <w:vAlign w:val="center"/>
          </w:tcPr>
          <w:p w14:paraId="180A828B">
            <w:pPr>
              <w:adjustRightInd w:val="0"/>
              <w:snapToGrid w:val="0"/>
              <w:rPr>
                <w:rFonts w:ascii="宋体" w:hAnsi="宋体" w:cs="宋体"/>
                <w:sz w:val="24"/>
                <w:szCs w:val="24"/>
              </w:rPr>
            </w:pPr>
            <w:r>
              <w:rPr>
                <w:rFonts w:hint="eastAsia" w:ascii="宋体" w:hAnsi="宋体" w:cs="宋体"/>
                <w:sz w:val="24"/>
                <w:szCs w:val="24"/>
              </w:rPr>
              <w:t>根据供应商提供的与完成本项目相关的自有设备情况评审，拥有防火防盗设备、监控报警设备、运输设备软件和网络、可在线查询订单、GPS等得8分，缺一项不得分；</w:t>
            </w:r>
          </w:p>
          <w:p w14:paraId="663EE017">
            <w:pPr>
              <w:adjustRightInd w:val="0"/>
              <w:snapToGrid w:val="0"/>
              <w:rPr>
                <w:rFonts w:ascii="宋体" w:hAnsi="宋体" w:cs="宋体"/>
                <w:sz w:val="24"/>
                <w:szCs w:val="24"/>
              </w:rPr>
            </w:pPr>
            <w:r>
              <w:rPr>
                <w:rFonts w:hint="eastAsia" w:ascii="宋体" w:hAnsi="宋体" w:cs="宋体"/>
                <w:sz w:val="24"/>
                <w:szCs w:val="24"/>
              </w:rPr>
              <w:t>有可以实时查询货物的动向和运输过程、客户相关的仓储电脑联网管理系统支持服务的得2分；没有不得分。</w:t>
            </w:r>
          </w:p>
          <w:p w14:paraId="1527CB25">
            <w:pPr>
              <w:adjustRightInd w:val="0"/>
              <w:snapToGrid w:val="0"/>
              <w:rPr>
                <w:rFonts w:ascii="宋体" w:hAnsi="宋体" w:cs="宋体"/>
                <w:sz w:val="24"/>
                <w:szCs w:val="24"/>
              </w:rPr>
            </w:pPr>
            <w:r>
              <w:rPr>
                <w:rFonts w:hint="eastAsia" w:ascii="宋体" w:hAnsi="宋体" w:cs="宋体"/>
                <w:sz w:val="24"/>
                <w:szCs w:val="24"/>
              </w:rPr>
              <w:t>【提供相关证明材料】</w:t>
            </w:r>
          </w:p>
        </w:tc>
        <w:tc>
          <w:tcPr>
            <w:tcW w:w="815" w:type="dxa"/>
            <w:vAlign w:val="center"/>
          </w:tcPr>
          <w:p w14:paraId="32A8F66D">
            <w:pPr>
              <w:adjustRightInd w:val="0"/>
              <w:snapToGrid w:val="0"/>
              <w:jc w:val="center"/>
              <w:rPr>
                <w:rFonts w:ascii="宋体" w:hAnsi="宋体" w:cs="宋体"/>
                <w:sz w:val="24"/>
                <w:szCs w:val="24"/>
              </w:rPr>
            </w:pPr>
            <w:r>
              <w:rPr>
                <w:rFonts w:hint="eastAsia" w:ascii="宋体" w:hAnsi="宋体" w:cs="宋体"/>
                <w:sz w:val="24"/>
                <w:szCs w:val="24"/>
              </w:rPr>
              <w:t>10</w:t>
            </w:r>
          </w:p>
        </w:tc>
      </w:tr>
      <w:tr w14:paraId="17F9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23" w:type="dxa"/>
            <w:vAlign w:val="center"/>
          </w:tcPr>
          <w:p w14:paraId="55CE0C51">
            <w:pPr>
              <w:adjustRightInd w:val="0"/>
              <w:snapToGrid w:val="0"/>
              <w:jc w:val="center"/>
              <w:rPr>
                <w:rFonts w:ascii="宋体" w:hAnsi="宋体" w:cs="宋体"/>
                <w:sz w:val="24"/>
                <w:szCs w:val="24"/>
              </w:rPr>
            </w:pPr>
            <w:r>
              <w:rPr>
                <w:rFonts w:hint="eastAsia" w:ascii="宋体" w:hAnsi="宋体" w:cs="宋体"/>
                <w:b/>
                <w:bCs/>
                <w:sz w:val="24"/>
                <w:szCs w:val="24"/>
              </w:rPr>
              <w:t>5.2</w:t>
            </w:r>
          </w:p>
        </w:tc>
        <w:tc>
          <w:tcPr>
            <w:tcW w:w="1283" w:type="dxa"/>
            <w:vMerge w:val="continue"/>
            <w:vAlign w:val="center"/>
          </w:tcPr>
          <w:p w14:paraId="5CBB74E9">
            <w:pPr>
              <w:adjustRightInd w:val="0"/>
              <w:snapToGrid w:val="0"/>
              <w:rPr>
                <w:rFonts w:ascii="宋体" w:hAnsi="宋体" w:cs="宋体"/>
                <w:sz w:val="24"/>
                <w:szCs w:val="24"/>
              </w:rPr>
            </w:pPr>
          </w:p>
        </w:tc>
        <w:tc>
          <w:tcPr>
            <w:tcW w:w="907" w:type="dxa"/>
            <w:vAlign w:val="center"/>
          </w:tcPr>
          <w:p w14:paraId="1E8107A8">
            <w:pPr>
              <w:adjustRightInd w:val="0"/>
              <w:snapToGrid w:val="0"/>
              <w:jc w:val="center"/>
              <w:rPr>
                <w:rFonts w:ascii="宋体" w:hAnsi="宋体" w:cs="宋体"/>
                <w:sz w:val="24"/>
                <w:szCs w:val="24"/>
              </w:rPr>
            </w:pPr>
            <w:r>
              <w:rPr>
                <w:rFonts w:hint="eastAsia" w:ascii="宋体" w:hAnsi="宋体" w:cs="宋体"/>
                <w:sz w:val="24"/>
                <w:szCs w:val="24"/>
              </w:rPr>
              <w:t>管理服务的专业性</w:t>
            </w:r>
          </w:p>
          <w:p w14:paraId="570F78EB">
            <w:pPr>
              <w:adjustRightInd w:val="0"/>
              <w:snapToGrid w:val="0"/>
              <w:rPr>
                <w:rFonts w:ascii="宋体" w:hAnsi="宋体" w:cs="宋体"/>
                <w:sz w:val="24"/>
                <w:szCs w:val="24"/>
              </w:rPr>
            </w:pPr>
          </w:p>
        </w:tc>
        <w:tc>
          <w:tcPr>
            <w:tcW w:w="6232" w:type="dxa"/>
            <w:vAlign w:val="center"/>
          </w:tcPr>
          <w:p w14:paraId="079EB4C1">
            <w:pPr>
              <w:adjustRightInd w:val="0"/>
              <w:snapToGrid w:val="0"/>
              <w:rPr>
                <w:rFonts w:ascii="宋体" w:hAnsi="宋体" w:cs="宋体"/>
                <w:sz w:val="24"/>
                <w:szCs w:val="24"/>
              </w:rPr>
            </w:pPr>
            <w:r>
              <w:rPr>
                <w:rFonts w:hint="eastAsia" w:ascii="宋体" w:hAnsi="宋体" w:cs="宋体"/>
                <w:sz w:val="24"/>
                <w:szCs w:val="24"/>
              </w:rPr>
              <w:t>根据供应商提供的为该项目配备的管理服务的专业性进行评审，管理团队专业性高、彩票业务及仓储物流工作经验丰富，团队人员配备合理、齐全，并有相应配套、完整的管理规章制度及流程的得6分；管理团队专业性高、彩票业务及仓储物流工作经验丰富，团队人员配备合理的得4分；管理团队专业性一般、有一定的彩票业务及仓储物流工作经验的得2分；管理团队方案缺失不得分。【提供相关证明材料】</w:t>
            </w:r>
          </w:p>
        </w:tc>
        <w:tc>
          <w:tcPr>
            <w:tcW w:w="815" w:type="dxa"/>
            <w:vAlign w:val="center"/>
          </w:tcPr>
          <w:p w14:paraId="6E88FA5F">
            <w:pPr>
              <w:adjustRightInd w:val="0"/>
              <w:snapToGrid w:val="0"/>
              <w:jc w:val="center"/>
              <w:rPr>
                <w:rFonts w:ascii="宋体" w:hAnsi="宋体" w:cs="宋体"/>
                <w:sz w:val="24"/>
                <w:szCs w:val="24"/>
              </w:rPr>
            </w:pPr>
            <w:r>
              <w:rPr>
                <w:rFonts w:hint="eastAsia" w:ascii="宋体" w:hAnsi="宋体" w:cs="宋体"/>
                <w:sz w:val="24"/>
                <w:szCs w:val="24"/>
              </w:rPr>
              <w:t>6</w:t>
            </w:r>
          </w:p>
        </w:tc>
      </w:tr>
      <w:tr w14:paraId="20C58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7" w:hRule="atLeast"/>
        </w:trPr>
        <w:tc>
          <w:tcPr>
            <w:tcW w:w="723" w:type="dxa"/>
            <w:vAlign w:val="center"/>
          </w:tcPr>
          <w:p w14:paraId="6BE2F8F4">
            <w:pPr>
              <w:adjustRightInd w:val="0"/>
              <w:snapToGrid w:val="0"/>
              <w:jc w:val="center"/>
              <w:rPr>
                <w:rFonts w:ascii="宋体" w:hAnsi="宋体" w:cs="宋体"/>
                <w:sz w:val="24"/>
                <w:szCs w:val="24"/>
              </w:rPr>
            </w:pPr>
            <w:r>
              <w:rPr>
                <w:rFonts w:hint="eastAsia" w:ascii="宋体" w:hAnsi="宋体" w:cs="宋体"/>
                <w:b/>
                <w:bCs/>
                <w:sz w:val="24"/>
                <w:szCs w:val="24"/>
              </w:rPr>
              <w:t>5.3</w:t>
            </w:r>
          </w:p>
        </w:tc>
        <w:tc>
          <w:tcPr>
            <w:tcW w:w="1283" w:type="dxa"/>
            <w:vMerge w:val="continue"/>
            <w:vAlign w:val="center"/>
          </w:tcPr>
          <w:p w14:paraId="7D759C7A">
            <w:pPr>
              <w:adjustRightInd w:val="0"/>
              <w:snapToGrid w:val="0"/>
              <w:rPr>
                <w:rFonts w:ascii="宋体" w:hAnsi="宋体" w:cs="宋体"/>
                <w:sz w:val="24"/>
                <w:szCs w:val="24"/>
              </w:rPr>
            </w:pPr>
          </w:p>
        </w:tc>
        <w:tc>
          <w:tcPr>
            <w:tcW w:w="907" w:type="dxa"/>
            <w:vAlign w:val="center"/>
          </w:tcPr>
          <w:p w14:paraId="2400EDA2">
            <w:pPr>
              <w:adjustRightInd w:val="0"/>
              <w:snapToGrid w:val="0"/>
              <w:jc w:val="center"/>
              <w:rPr>
                <w:rFonts w:ascii="宋体" w:hAnsi="宋体" w:cs="宋体"/>
                <w:sz w:val="24"/>
                <w:szCs w:val="24"/>
              </w:rPr>
            </w:pPr>
            <w:r>
              <w:rPr>
                <w:rFonts w:hint="eastAsia" w:ascii="宋体" w:hAnsi="宋体" w:cs="宋体"/>
                <w:sz w:val="24"/>
                <w:szCs w:val="24"/>
              </w:rPr>
              <w:t>配送能力</w:t>
            </w:r>
          </w:p>
          <w:p w14:paraId="52A91653">
            <w:pPr>
              <w:adjustRightInd w:val="0"/>
              <w:snapToGrid w:val="0"/>
              <w:rPr>
                <w:rFonts w:ascii="宋体" w:hAnsi="宋体" w:cs="宋体"/>
                <w:sz w:val="24"/>
                <w:szCs w:val="24"/>
              </w:rPr>
            </w:pPr>
          </w:p>
        </w:tc>
        <w:tc>
          <w:tcPr>
            <w:tcW w:w="6232" w:type="dxa"/>
            <w:vAlign w:val="center"/>
          </w:tcPr>
          <w:p w14:paraId="3BCA4A04">
            <w:pPr>
              <w:adjustRightInd w:val="0"/>
              <w:snapToGrid w:val="0"/>
              <w:rPr>
                <w:rFonts w:ascii="宋体" w:hAnsi="宋体" w:cs="宋体"/>
                <w:sz w:val="24"/>
                <w:szCs w:val="24"/>
              </w:rPr>
            </w:pPr>
            <w:r>
              <w:rPr>
                <w:rFonts w:hint="eastAsia" w:ascii="宋体" w:hAnsi="宋体" w:cs="宋体"/>
                <w:sz w:val="24"/>
                <w:szCs w:val="24"/>
              </w:rPr>
              <w:t>根据供应商提供的配送能力方案进行评审，建有完善的配送管理体系、运输能力强（包括但不限于自有运输车辆、配送范围、配送时间等方面）的得6分；建有配送管理体系、运输能力较强（包括但不限于自有运输车辆、配送范围、配送时间等方面）的得4分；建有配送管理体系、运输能力一般（包括但不限于自有运输车辆、配送范围、配送时间等方面）的得2分；其余不得分。</w:t>
            </w:r>
          </w:p>
          <w:p w14:paraId="5A864974">
            <w:pPr>
              <w:adjustRightInd w:val="0"/>
              <w:snapToGrid w:val="0"/>
              <w:rPr>
                <w:rFonts w:ascii="宋体" w:hAnsi="宋体" w:cs="宋体"/>
                <w:sz w:val="24"/>
                <w:szCs w:val="24"/>
              </w:rPr>
            </w:pPr>
            <w:r>
              <w:rPr>
                <w:rFonts w:hint="eastAsia" w:ascii="宋体" w:hAnsi="宋体" w:cs="宋体"/>
                <w:sz w:val="24"/>
                <w:szCs w:val="24"/>
              </w:rPr>
              <w:t>【提供相关证明材料】</w:t>
            </w:r>
          </w:p>
        </w:tc>
        <w:tc>
          <w:tcPr>
            <w:tcW w:w="815" w:type="dxa"/>
            <w:vAlign w:val="center"/>
          </w:tcPr>
          <w:p w14:paraId="6CBCC459">
            <w:pPr>
              <w:adjustRightInd w:val="0"/>
              <w:snapToGrid w:val="0"/>
              <w:jc w:val="center"/>
              <w:rPr>
                <w:rFonts w:ascii="宋体" w:hAnsi="宋体" w:cs="宋体"/>
                <w:sz w:val="24"/>
                <w:szCs w:val="24"/>
              </w:rPr>
            </w:pPr>
            <w:r>
              <w:rPr>
                <w:rFonts w:hint="eastAsia" w:ascii="宋体" w:hAnsi="宋体" w:cs="宋体"/>
                <w:sz w:val="24"/>
                <w:szCs w:val="24"/>
              </w:rPr>
              <w:t>6</w:t>
            </w:r>
          </w:p>
        </w:tc>
      </w:tr>
      <w:tr w14:paraId="53400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723" w:type="dxa"/>
            <w:vAlign w:val="center"/>
          </w:tcPr>
          <w:p w14:paraId="5526FE1A">
            <w:pPr>
              <w:adjustRightInd w:val="0"/>
              <w:snapToGrid w:val="0"/>
              <w:jc w:val="center"/>
              <w:rPr>
                <w:rFonts w:ascii="宋体" w:hAnsi="宋体" w:cs="宋体"/>
                <w:sz w:val="24"/>
                <w:szCs w:val="24"/>
              </w:rPr>
            </w:pPr>
            <w:r>
              <w:rPr>
                <w:rFonts w:hint="eastAsia" w:ascii="宋体" w:hAnsi="宋体" w:cs="宋体"/>
                <w:b/>
                <w:bCs/>
                <w:sz w:val="24"/>
                <w:szCs w:val="24"/>
              </w:rPr>
              <w:t>5.4</w:t>
            </w:r>
          </w:p>
        </w:tc>
        <w:tc>
          <w:tcPr>
            <w:tcW w:w="1283" w:type="dxa"/>
            <w:vMerge w:val="continue"/>
            <w:vAlign w:val="center"/>
          </w:tcPr>
          <w:p w14:paraId="53EF117F">
            <w:pPr>
              <w:adjustRightInd w:val="0"/>
              <w:snapToGrid w:val="0"/>
              <w:rPr>
                <w:rFonts w:ascii="宋体" w:hAnsi="宋体" w:cs="宋体"/>
                <w:sz w:val="24"/>
                <w:szCs w:val="24"/>
              </w:rPr>
            </w:pPr>
          </w:p>
        </w:tc>
        <w:tc>
          <w:tcPr>
            <w:tcW w:w="907" w:type="dxa"/>
            <w:vAlign w:val="center"/>
          </w:tcPr>
          <w:p w14:paraId="157F1E1D">
            <w:pPr>
              <w:adjustRightInd w:val="0"/>
              <w:snapToGrid w:val="0"/>
              <w:jc w:val="center"/>
              <w:rPr>
                <w:rFonts w:ascii="宋体" w:hAnsi="宋体" w:cs="宋体"/>
                <w:sz w:val="24"/>
                <w:szCs w:val="24"/>
              </w:rPr>
            </w:pPr>
            <w:r>
              <w:rPr>
                <w:rFonts w:hint="eastAsia" w:ascii="宋体" w:hAnsi="宋体" w:cs="宋体"/>
                <w:sz w:val="24"/>
                <w:szCs w:val="24"/>
              </w:rPr>
              <w:t>客服人员配置</w:t>
            </w:r>
          </w:p>
          <w:p w14:paraId="48B3045E">
            <w:pPr>
              <w:adjustRightInd w:val="0"/>
              <w:snapToGrid w:val="0"/>
              <w:rPr>
                <w:rFonts w:ascii="宋体" w:hAnsi="宋体" w:cs="宋体"/>
                <w:sz w:val="24"/>
                <w:szCs w:val="24"/>
              </w:rPr>
            </w:pPr>
          </w:p>
        </w:tc>
        <w:tc>
          <w:tcPr>
            <w:tcW w:w="6232" w:type="dxa"/>
            <w:vAlign w:val="center"/>
          </w:tcPr>
          <w:p w14:paraId="16BB6F14">
            <w:pPr>
              <w:adjustRightInd w:val="0"/>
              <w:snapToGrid w:val="0"/>
              <w:rPr>
                <w:rFonts w:ascii="宋体" w:hAnsi="宋体" w:cs="宋体"/>
                <w:sz w:val="24"/>
                <w:szCs w:val="24"/>
              </w:rPr>
            </w:pPr>
            <w:r>
              <w:rPr>
                <w:rFonts w:hint="eastAsia" w:ascii="宋体" w:hAnsi="宋体" w:cs="宋体"/>
                <w:sz w:val="24"/>
                <w:szCs w:val="24"/>
              </w:rPr>
              <w:t>根据供应商提供的客服人员配置情况进行评审，供应商为该项目配备的客服人员工作经验丰富、业务精通，配置人数等多方面进行综合比较，在满足本项目需求，提供的人员经验丰富、人数最多得4分；提供的人员经验较为丰富、人数较多得2分；提供服务人员数量最少（少于等于3人），人员经验情况一般或未提供不得分【提供相关证明材料】</w:t>
            </w:r>
          </w:p>
        </w:tc>
        <w:tc>
          <w:tcPr>
            <w:tcW w:w="815" w:type="dxa"/>
            <w:vAlign w:val="center"/>
          </w:tcPr>
          <w:p w14:paraId="2FA11F71">
            <w:pPr>
              <w:adjustRightInd w:val="0"/>
              <w:snapToGrid w:val="0"/>
              <w:jc w:val="center"/>
              <w:rPr>
                <w:rFonts w:ascii="宋体" w:hAnsi="宋体" w:cs="宋体"/>
                <w:sz w:val="24"/>
                <w:szCs w:val="24"/>
              </w:rPr>
            </w:pPr>
            <w:r>
              <w:rPr>
                <w:rFonts w:hint="eastAsia" w:ascii="宋体" w:hAnsi="宋体" w:cs="宋体"/>
                <w:sz w:val="24"/>
                <w:szCs w:val="24"/>
              </w:rPr>
              <w:t>4</w:t>
            </w:r>
          </w:p>
        </w:tc>
      </w:tr>
      <w:tr w14:paraId="145A0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trPr>
        <w:tc>
          <w:tcPr>
            <w:tcW w:w="9145" w:type="dxa"/>
            <w:gridSpan w:val="4"/>
            <w:vAlign w:val="center"/>
          </w:tcPr>
          <w:p w14:paraId="5B99358D">
            <w:pPr>
              <w:adjustRightInd w:val="0"/>
              <w:snapToGrid w:val="0"/>
              <w:rPr>
                <w:rFonts w:ascii="宋体" w:hAnsi="宋体" w:cs="宋体"/>
                <w:sz w:val="24"/>
                <w:szCs w:val="24"/>
              </w:rPr>
            </w:pPr>
            <w:r>
              <w:rPr>
                <w:rFonts w:hint="eastAsia" w:ascii="宋体" w:hAnsi="宋体" w:cs="宋体"/>
                <w:b/>
                <w:bCs/>
                <w:sz w:val="24"/>
                <w:szCs w:val="24"/>
              </w:rPr>
              <w:t>三、商务部分（12分）</w:t>
            </w:r>
          </w:p>
        </w:tc>
        <w:tc>
          <w:tcPr>
            <w:tcW w:w="815" w:type="dxa"/>
            <w:vAlign w:val="center"/>
          </w:tcPr>
          <w:p w14:paraId="1FA83DDD">
            <w:pPr>
              <w:adjustRightInd w:val="0"/>
              <w:snapToGrid w:val="0"/>
              <w:rPr>
                <w:rFonts w:ascii="宋体" w:hAnsi="宋体" w:cs="宋体"/>
                <w:sz w:val="24"/>
                <w:szCs w:val="24"/>
              </w:rPr>
            </w:pPr>
          </w:p>
        </w:tc>
      </w:tr>
      <w:tr w14:paraId="7252C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8" w:hRule="atLeast"/>
        </w:trPr>
        <w:tc>
          <w:tcPr>
            <w:tcW w:w="723" w:type="dxa"/>
            <w:vAlign w:val="center"/>
          </w:tcPr>
          <w:p w14:paraId="5BCD72D0">
            <w:pPr>
              <w:adjustRightInd w:val="0"/>
              <w:snapToGrid w:val="0"/>
              <w:jc w:val="center"/>
              <w:rPr>
                <w:rFonts w:ascii="宋体" w:hAnsi="宋体" w:cs="宋体"/>
                <w:sz w:val="24"/>
                <w:szCs w:val="24"/>
              </w:rPr>
            </w:pPr>
            <w:r>
              <w:rPr>
                <w:rFonts w:hint="eastAsia" w:ascii="宋体" w:hAnsi="宋体" w:cs="宋体"/>
                <w:b/>
                <w:bCs/>
                <w:sz w:val="24"/>
                <w:szCs w:val="24"/>
              </w:rPr>
              <w:t>6</w:t>
            </w:r>
          </w:p>
        </w:tc>
        <w:tc>
          <w:tcPr>
            <w:tcW w:w="1283" w:type="dxa"/>
            <w:vAlign w:val="center"/>
          </w:tcPr>
          <w:p w14:paraId="73BA6CC7">
            <w:pPr>
              <w:adjustRightInd w:val="0"/>
              <w:snapToGrid w:val="0"/>
              <w:jc w:val="center"/>
              <w:rPr>
                <w:rFonts w:ascii="宋体" w:hAnsi="宋体" w:cs="宋体"/>
                <w:sz w:val="24"/>
                <w:szCs w:val="24"/>
              </w:rPr>
            </w:pPr>
            <w:r>
              <w:rPr>
                <w:rFonts w:hint="eastAsia" w:ascii="宋体" w:hAnsi="宋体" w:cs="宋体"/>
                <w:sz w:val="24"/>
                <w:szCs w:val="24"/>
              </w:rPr>
              <w:t>企业业绩</w:t>
            </w:r>
          </w:p>
        </w:tc>
        <w:tc>
          <w:tcPr>
            <w:tcW w:w="7139" w:type="dxa"/>
            <w:gridSpan w:val="2"/>
            <w:vAlign w:val="center"/>
          </w:tcPr>
          <w:p w14:paraId="51EBF89E">
            <w:pPr>
              <w:adjustRightInd w:val="0"/>
              <w:snapToGrid w:val="0"/>
              <w:rPr>
                <w:rFonts w:ascii="宋体" w:hAnsi="宋体" w:cs="宋体"/>
                <w:sz w:val="24"/>
                <w:szCs w:val="24"/>
              </w:rPr>
            </w:pPr>
            <w:r>
              <w:rPr>
                <w:rFonts w:hint="eastAsia" w:ascii="宋体" w:hAnsi="宋体" w:cs="宋体"/>
                <w:sz w:val="24"/>
                <w:szCs w:val="24"/>
              </w:rPr>
              <w:t>自2023年1月1日以来，供应商承接的彩票行业或类似行业项目业绩，每提供一份证明材料得2分，满分6分；【类似行业指：证明材料中应能体现出保密、物流、仓储服务内容，提供证明材料包括但不限于合同、中标通知书等任意能体现评分要素的第三方证明材料】</w:t>
            </w:r>
          </w:p>
        </w:tc>
        <w:tc>
          <w:tcPr>
            <w:tcW w:w="815" w:type="dxa"/>
            <w:vAlign w:val="center"/>
          </w:tcPr>
          <w:p w14:paraId="64AD95A5">
            <w:pPr>
              <w:adjustRightInd w:val="0"/>
              <w:snapToGrid w:val="0"/>
              <w:jc w:val="center"/>
              <w:rPr>
                <w:rFonts w:ascii="宋体" w:hAnsi="宋体" w:cs="宋体"/>
                <w:sz w:val="24"/>
                <w:szCs w:val="24"/>
              </w:rPr>
            </w:pPr>
            <w:r>
              <w:rPr>
                <w:rFonts w:hint="eastAsia" w:ascii="宋体" w:hAnsi="宋体" w:cs="宋体"/>
                <w:sz w:val="24"/>
                <w:szCs w:val="24"/>
              </w:rPr>
              <w:t>6</w:t>
            </w:r>
          </w:p>
        </w:tc>
      </w:tr>
      <w:tr w14:paraId="500CC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3" w:hRule="atLeast"/>
        </w:trPr>
        <w:tc>
          <w:tcPr>
            <w:tcW w:w="723" w:type="dxa"/>
            <w:vAlign w:val="center"/>
          </w:tcPr>
          <w:p w14:paraId="6D04AAC3">
            <w:pPr>
              <w:adjustRightInd w:val="0"/>
              <w:snapToGrid w:val="0"/>
              <w:jc w:val="center"/>
              <w:rPr>
                <w:rFonts w:ascii="宋体" w:hAnsi="宋体" w:cs="宋体"/>
                <w:sz w:val="24"/>
                <w:szCs w:val="24"/>
              </w:rPr>
            </w:pPr>
            <w:r>
              <w:rPr>
                <w:rFonts w:hint="eastAsia" w:ascii="宋体" w:hAnsi="宋体" w:cs="宋体"/>
                <w:b/>
                <w:bCs/>
                <w:sz w:val="24"/>
                <w:szCs w:val="24"/>
              </w:rPr>
              <w:t>7</w:t>
            </w:r>
          </w:p>
        </w:tc>
        <w:tc>
          <w:tcPr>
            <w:tcW w:w="1283" w:type="dxa"/>
            <w:vAlign w:val="center"/>
          </w:tcPr>
          <w:p w14:paraId="6717E5E9">
            <w:pPr>
              <w:adjustRightInd w:val="0"/>
              <w:snapToGrid w:val="0"/>
              <w:jc w:val="center"/>
              <w:rPr>
                <w:rFonts w:ascii="宋体" w:hAnsi="宋体" w:cs="宋体"/>
                <w:sz w:val="24"/>
                <w:szCs w:val="24"/>
              </w:rPr>
            </w:pPr>
            <w:r>
              <w:rPr>
                <w:rFonts w:hint="eastAsia" w:ascii="宋体" w:hAnsi="宋体" w:cs="宋体"/>
                <w:sz w:val="24"/>
                <w:szCs w:val="24"/>
              </w:rPr>
              <w:t>企业履约能力</w:t>
            </w:r>
          </w:p>
        </w:tc>
        <w:tc>
          <w:tcPr>
            <w:tcW w:w="7139" w:type="dxa"/>
            <w:gridSpan w:val="2"/>
            <w:vAlign w:val="center"/>
          </w:tcPr>
          <w:p w14:paraId="1ADC0B37">
            <w:pPr>
              <w:adjustRightInd w:val="0"/>
              <w:snapToGrid w:val="0"/>
              <w:rPr>
                <w:rFonts w:ascii="宋体" w:hAnsi="宋体" w:cs="宋体"/>
                <w:sz w:val="24"/>
                <w:szCs w:val="24"/>
              </w:rPr>
            </w:pPr>
            <w:r>
              <w:rPr>
                <w:rFonts w:hint="eastAsia" w:ascii="宋体" w:hAnsi="宋体" w:cs="宋体"/>
                <w:sz w:val="24"/>
                <w:szCs w:val="24"/>
              </w:rPr>
              <w:t>供应商具有有效的GB/T19001/ISO9001质量管理体系认证证书、GB/T24001/ISO14001环境管理体系认证证书、GB/T45001/ISO45001职业健康安全管理体系认证证书，提供1个得2分，满分6分；【提供证书复印件加盖公章】</w:t>
            </w:r>
          </w:p>
        </w:tc>
        <w:tc>
          <w:tcPr>
            <w:tcW w:w="815" w:type="dxa"/>
            <w:vAlign w:val="center"/>
          </w:tcPr>
          <w:p w14:paraId="06A70238">
            <w:pPr>
              <w:adjustRightInd w:val="0"/>
              <w:snapToGrid w:val="0"/>
              <w:jc w:val="center"/>
              <w:rPr>
                <w:rFonts w:ascii="宋体" w:hAnsi="宋体" w:cs="宋体"/>
                <w:sz w:val="24"/>
                <w:szCs w:val="24"/>
              </w:rPr>
            </w:pPr>
            <w:r>
              <w:rPr>
                <w:rFonts w:hint="eastAsia" w:ascii="宋体" w:hAnsi="宋体" w:cs="宋体"/>
                <w:sz w:val="24"/>
                <w:szCs w:val="24"/>
              </w:rPr>
              <w:t>6</w:t>
            </w:r>
          </w:p>
        </w:tc>
      </w:tr>
      <w:tr w14:paraId="1D651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trPr>
        <w:tc>
          <w:tcPr>
            <w:tcW w:w="9145" w:type="dxa"/>
            <w:gridSpan w:val="4"/>
            <w:vAlign w:val="center"/>
          </w:tcPr>
          <w:p w14:paraId="15E8C1D4">
            <w:pPr>
              <w:adjustRightInd w:val="0"/>
              <w:snapToGrid w:val="0"/>
              <w:jc w:val="center"/>
              <w:rPr>
                <w:rFonts w:ascii="宋体" w:hAnsi="宋体" w:cs="宋体"/>
                <w:sz w:val="24"/>
                <w:szCs w:val="24"/>
              </w:rPr>
            </w:pPr>
            <w:r>
              <w:rPr>
                <w:rFonts w:hint="eastAsia" w:ascii="宋体" w:hAnsi="宋体" w:cs="宋体"/>
                <w:b/>
                <w:bCs/>
                <w:sz w:val="24"/>
                <w:szCs w:val="24"/>
              </w:rPr>
              <w:t>合计</w:t>
            </w:r>
          </w:p>
        </w:tc>
        <w:tc>
          <w:tcPr>
            <w:tcW w:w="815" w:type="dxa"/>
            <w:vAlign w:val="center"/>
          </w:tcPr>
          <w:p w14:paraId="1D6095F2">
            <w:pPr>
              <w:adjustRightInd w:val="0"/>
              <w:snapToGrid w:val="0"/>
              <w:jc w:val="center"/>
              <w:rPr>
                <w:rFonts w:ascii="宋体" w:hAnsi="宋体" w:cs="宋体"/>
                <w:sz w:val="24"/>
                <w:szCs w:val="24"/>
              </w:rPr>
            </w:pPr>
            <w:r>
              <w:rPr>
                <w:rFonts w:hint="eastAsia" w:ascii="宋体" w:hAnsi="宋体" w:cs="宋体"/>
                <w:sz w:val="24"/>
                <w:szCs w:val="24"/>
              </w:rPr>
              <w:t>100</w:t>
            </w:r>
          </w:p>
        </w:tc>
      </w:tr>
    </w:tbl>
    <w:p w14:paraId="49B06E26"/>
    <w:p w14:paraId="107E7848">
      <w:pPr>
        <w:spacing w:line="500" w:lineRule="exact"/>
        <w:ind w:firstLine="482" w:firstLineChars="200"/>
        <w:rPr>
          <w:b/>
          <w:bCs/>
          <w:sz w:val="24"/>
        </w:rPr>
      </w:pPr>
      <w:r>
        <w:rPr>
          <w:rFonts w:hint="eastAsia"/>
          <w:b/>
          <w:bCs/>
          <w:sz w:val="24"/>
        </w:rPr>
        <w:t>备注：</w:t>
      </w:r>
    </w:p>
    <w:p w14:paraId="5ED918C7">
      <w:pPr>
        <w:spacing w:line="500" w:lineRule="exact"/>
        <w:ind w:firstLine="482" w:firstLineChars="200"/>
        <w:rPr>
          <w:b/>
          <w:bCs/>
          <w:sz w:val="24"/>
        </w:rPr>
      </w:pPr>
      <w:r>
        <w:rPr>
          <w:rFonts w:hint="eastAsia"/>
          <w:b/>
          <w:bCs/>
          <w:sz w:val="24"/>
        </w:rPr>
        <w:t>1、</w:t>
      </w:r>
      <w:r>
        <w:rPr>
          <w:rFonts w:hint="eastAsia"/>
          <w:b/>
          <w:sz w:val="24"/>
          <w:szCs w:val="24"/>
        </w:rPr>
        <w:t>以上评分涉及到的证明文件须清晰可见相关内容，否则视为未提交。</w:t>
      </w:r>
    </w:p>
    <w:p w14:paraId="49987417">
      <w:pPr>
        <w:pStyle w:val="22"/>
        <w:spacing w:line="520" w:lineRule="exact"/>
        <w:ind w:firstLine="542" w:firstLineChars="225"/>
        <w:rPr>
          <w:rFonts w:hAnsi="宋体"/>
          <w:b/>
          <w:sz w:val="24"/>
          <w:szCs w:val="24"/>
        </w:rPr>
      </w:pPr>
      <w:r>
        <w:rPr>
          <w:rFonts w:hint="eastAsia"/>
          <w:b/>
          <w:bCs/>
          <w:sz w:val="24"/>
        </w:rPr>
        <w:t>2、以上</w:t>
      </w:r>
      <w:r>
        <w:rPr>
          <w:rFonts w:hAnsi="宋体"/>
          <w:b/>
          <w:sz w:val="24"/>
          <w:szCs w:val="24"/>
        </w:rPr>
        <w:t>评分中出现无证明资料或</w:t>
      </w:r>
      <w:r>
        <w:rPr>
          <w:rFonts w:hint="eastAsia" w:hAnsi="宋体"/>
          <w:b/>
          <w:sz w:val="24"/>
          <w:szCs w:val="24"/>
        </w:rPr>
        <w:t>评委会</w:t>
      </w:r>
      <w:r>
        <w:rPr>
          <w:rFonts w:hAnsi="宋体"/>
          <w:b/>
          <w:sz w:val="24"/>
          <w:szCs w:val="24"/>
        </w:rPr>
        <w:t>无法凭所提供资料判断是否得分的情况，一律作不得分处理。</w:t>
      </w:r>
    </w:p>
    <w:p w14:paraId="78AA8279">
      <w:pPr>
        <w:spacing w:line="520" w:lineRule="exact"/>
        <w:ind w:firstLine="482" w:firstLineChars="200"/>
        <w:rPr>
          <w:b/>
          <w:sz w:val="24"/>
          <w:szCs w:val="24"/>
        </w:rPr>
      </w:pPr>
      <w:r>
        <w:rPr>
          <w:b/>
          <w:sz w:val="24"/>
          <w:szCs w:val="24"/>
        </w:rPr>
        <w:t>三、政府采购政策功能落实价格扣除评审办法</w:t>
      </w:r>
    </w:p>
    <w:p w14:paraId="405C6048">
      <w:pPr>
        <w:spacing w:line="538" w:lineRule="exact"/>
        <w:ind w:firstLine="480" w:firstLineChars="200"/>
        <w:rPr>
          <w:bCs/>
          <w:sz w:val="24"/>
        </w:rPr>
      </w:pPr>
      <w:r>
        <w:rPr>
          <w:bCs/>
          <w:sz w:val="24"/>
        </w:rPr>
        <w:t>1、小微型企业价格扣除</w:t>
      </w:r>
    </w:p>
    <w:p w14:paraId="32E67B9B">
      <w:pPr>
        <w:spacing w:line="538" w:lineRule="exact"/>
        <w:ind w:firstLine="480" w:firstLineChars="200"/>
        <w:rPr>
          <w:bCs/>
          <w:sz w:val="24"/>
        </w:rPr>
      </w:pPr>
      <w:r>
        <w:rPr>
          <w:bCs/>
          <w:sz w:val="24"/>
        </w:rPr>
        <w:t>（1）本项目对小型和微型企业服务给予</w:t>
      </w:r>
      <w:r>
        <w:rPr>
          <w:rFonts w:hint="eastAsia"/>
          <w:bCs/>
          <w:sz w:val="24"/>
        </w:rPr>
        <w:t>10</w:t>
      </w:r>
      <w:r>
        <w:rPr>
          <w:bCs/>
          <w:sz w:val="24"/>
        </w:rPr>
        <w:t>%的扣除价格，用扣除后的价格参与评审。</w:t>
      </w:r>
    </w:p>
    <w:p w14:paraId="4F20ADCB">
      <w:pPr>
        <w:spacing w:line="538" w:lineRule="exact"/>
        <w:ind w:firstLine="480" w:firstLineChars="200"/>
        <w:rPr>
          <w:bCs/>
          <w:sz w:val="24"/>
        </w:rPr>
      </w:pPr>
      <w:r>
        <w:rPr>
          <w:bCs/>
          <w:sz w:val="24"/>
        </w:rPr>
        <w:t>（2）供应商需按照采购文件的要求提供相应的《中小企业声明函》。</w:t>
      </w:r>
    </w:p>
    <w:p w14:paraId="33B81F56">
      <w:pPr>
        <w:spacing w:line="538" w:lineRule="exact"/>
        <w:ind w:firstLine="480" w:firstLineChars="200"/>
        <w:rPr>
          <w:bCs/>
          <w:sz w:val="24"/>
        </w:rPr>
      </w:pPr>
      <w:r>
        <w:rPr>
          <w:bCs/>
          <w:sz w:val="24"/>
        </w:rPr>
        <w:t>（3）企业标准请参照《关于印发中小企业划型标准规定的通知》（工信部联企业[2011]300号）文件规定自行填写。</w:t>
      </w:r>
    </w:p>
    <w:p w14:paraId="3996F0DF">
      <w:pPr>
        <w:spacing w:line="538" w:lineRule="exact"/>
        <w:ind w:firstLine="480" w:firstLineChars="200"/>
        <w:rPr>
          <w:bCs/>
          <w:sz w:val="24"/>
        </w:rPr>
      </w:pPr>
      <w:r>
        <w:rPr>
          <w:bCs/>
          <w:sz w:val="24"/>
        </w:rPr>
        <w:t>2、残疾人福利单位价格扣除</w:t>
      </w:r>
    </w:p>
    <w:p w14:paraId="6EA3718D">
      <w:pPr>
        <w:spacing w:line="538" w:lineRule="exact"/>
        <w:ind w:firstLine="480" w:firstLineChars="200"/>
        <w:rPr>
          <w:bCs/>
          <w:sz w:val="24"/>
        </w:rPr>
      </w:pPr>
      <w:r>
        <w:rPr>
          <w:bCs/>
          <w:sz w:val="24"/>
        </w:rPr>
        <w:t>（1）本项目对残疾人福利性单位视同小型、微型企业，给予</w:t>
      </w:r>
      <w:r>
        <w:rPr>
          <w:rFonts w:hint="eastAsia"/>
          <w:bCs/>
          <w:sz w:val="24"/>
        </w:rPr>
        <w:t>10</w:t>
      </w:r>
      <w:r>
        <w:rPr>
          <w:bCs/>
          <w:sz w:val="24"/>
        </w:rPr>
        <w:t>%的价格扣除，用扣除后的价格参与评审。</w:t>
      </w:r>
    </w:p>
    <w:p w14:paraId="0F482690">
      <w:pPr>
        <w:spacing w:line="538" w:lineRule="exact"/>
        <w:ind w:firstLine="480" w:firstLineChars="200"/>
        <w:rPr>
          <w:bCs/>
          <w:sz w:val="24"/>
        </w:rPr>
      </w:pPr>
      <w:r>
        <w:rPr>
          <w:bCs/>
          <w:sz w:val="24"/>
        </w:rPr>
        <w:t>（2）残疾人福利单位需按照采购文件的要求提供《残疾人福利性单位声明函》。</w:t>
      </w:r>
    </w:p>
    <w:p w14:paraId="5DFC0AFF">
      <w:pPr>
        <w:spacing w:line="538" w:lineRule="exact"/>
        <w:ind w:firstLine="480" w:firstLineChars="200"/>
        <w:rPr>
          <w:bCs/>
          <w:sz w:val="24"/>
        </w:rPr>
      </w:pPr>
      <w:r>
        <w:rPr>
          <w:bCs/>
          <w:sz w:val="24"/>
        </w:rPr>
        <w:t>（3）残疾人福利单位标准请参照《关于促进残疾人就业政府采购政策的通知》（财库〔2017〕141号）。</w:t>
      </w:r>
    </w:p>
    <w:p w14:paraId="293ECAAE">
      <w:pPr>
        <w:spacing w:line="538" w:lineRule="exact"/>
        <w:ind w:firstLine="480" w:firstLineChars="200"/>
        <w:rPr>
          <w:bCs/>
          <w:sz w:val="24"/>
        </w:rPr>
      </w:pPr>
      <w:r>
        <w:rPr>
          <w:bCs/>
          <w:sz w:val="24"/>
        </w:rPr>
        <w:t>3、监狱和戒毒企业价格扣除</w:t>
      </w:r>
    </w:p>
    <w:p w14:paraId="68F23A38">
      <w:pPr>
        <w:spacing w:line="538" w:lineRule="exact"/>
        <w:ind w:firstLine="480" w:firstLineChars="200"/>
        <w:rPr>
          <w:bCs/>
          <w:sz w:val="24"/>
        </w:rPr>
      </w:pPr>
      <w:r>
        <w:rPr>
          <w:bCs/>
          <w:sz w:val="24"/>
        </w:rPr>
        <w:t>（1）本项目对监狱和戒毒企业（简称监狱企业）视同小型、微型企业，给予</w:t>
      </w:r>
      <w:r>
        <w:rPr>
          <w:rFonts w:hint="eastAsia"/>
          <w:bCs/>
          <w:sz w:val="24"/>
        </w:rPr>
        <w:t>10</w:t>
      </w:r>
      <w:r>
        <w:rPr>
          <w:bCs/>
          <w:sz w:val="24"/>
        </w:rPr>
        <w:t>%的价格扣除，用扣除后的价格参与评审。</w:t>
      </w:r>
    </w:p>
    <w:p w14:paraId="2FB05B59">
      <w:pPr>
        <w:spacing w:line="538" w:lineRule="exact"/>
        <w:ind w:firstLine="480" w:firstLineChars="200"/>
        <w:rPr>
          <w:bCs/>
          <w:sz w:val="24"/>
        </w:rPr>
      </w:pPr>
      <w:r>
        <w:rPr>
          <w:bCs/>
          <w:sz w:val="24"/>
        </w:rPr>
        <w:t>（2）监狱企业参加政府采购活动时，需提供由省级以上监狱管理局、戒毒管理局(含新疆生产建设兵团)出具的属于监狱企业的证明文件。供应商如不提供上述证明文件，价格将不做相应扣除。</w:t>
      </w:r>
    </w:p>
    <w:p w14:paraId="1BAD397B">
      <w:pPr>
        <w:spacing w:line="538" w:lineRule="exact"/>
        <w:ind w:firstLine="480" w:firstLineChars="200"/>
        <w:rPr>
          <w:bCs/>
          <w:sz w:val="24"/>
        </w:rPr>
      </w:pPr>
      <w:r>
        <w:rPr>
          <w:bCs/>
          <w:sz w:val="24"/>
        </w:rPr>
        <w:t>（3）监狱企业标准请参照《关于政府采购支持监狱企业发展有关问题的通知》（财库[2014]68号）。</w:t>
      </w:r>
    </w:p>
    <w:p w14:paraId="5F82D67C">
      <w:pPr>
        <w:pStyle w:val="22"/>
        <w:spacing w:line="520" w:lineRule="exact"/>
        <w:ind w:firstLine="540" w:firstLineChars="225"/>
        <w:rPr>
          <w:rFonts w:ascii="Times New Roman" w:hAnsi="Times New Roman" w:cs="Times New Roman"/>
          <w:b/>
          <w:sz w:val="24"/>
          <w:szCs w:val="24"/>
        </w:rPr>
      </w:pPr>
      <w:r>
        <w:rPr>
          <w:bCs/>
          <w:sz w:val="24"/>
        </w:rPr>
        <w:t>4、残疾人福利单位、监狱企业属于小型、微型企业的，不重复享受政策。</w:t>
      </w:r>
    </w:p>
    <w:p w14:paraId="396B32BB">
      <w:pPr>
        <w:pStyle w:val="22"/>
        <w:spacing w:line="520" w:lineRule="exact"/>
        <w:ind w:firstLine="542" w:firstLineChars="225"/>
        <w:rPr>
          <w:rFonts w:ascii="Times New Roman" w:hAnsi="Times New Roman" w:cs="Times New Roman"/>
          <w:b/>
          <w:sz w:val="24"/>
          <w:szCs w:val="24"/>
        </w:rPr>
      </w:pPr>
      <w:r>
        <w:rPr>
          <w:rFonts w:hint="eastAsia" w:ascii="Times New Roman" w:hAnsi="Times New Roman" w:cs="Times New Roman"/>
          <w:b/>
          <w:sz w:val="24"/>
          <w:szCs w:val="24"/>
        </w:rPr>
        <w:t>四、</w:t>
      </w:r>
      <w:r>
        <w:rPr>
          <w:rFonts w:ascii="Times New Roman" w:hAnsi="Times New Roman" w:cs="Times New Roman"/>
          <w:b/>
          <w:sz w:val="24"/>
          <w:szCs w:val="24"/>
        </w:rPr>
        <w:t>其他</w:t>
      </w:r>
    </w:p>
    <w:p w14:paraId="6086080C">
      <w:pPr>
        <w:spacing w:line="520" w:lineRule="exact"/>
        <w:ind w:firstLine="540" w:firstLineChars="225"/>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 xml:space="preserve">. </w:t>
      </w:r>
      <w:r>
        <w:rPr>
          <w:rFonts w:ascii="Times New Roman" w:hAnsi="Times New Roman"/>
          <w:sz w:val="24"/>
          <w:szCs w:val="24"/>
        </w:rPr>
        <w:t>评委会成员根据评分情况及时将结果填入“评分表”中。</w:t>
      </w:r>
    </w:p>
    <w:p w14:paraId="10EFA594">
      <w:pPr>
        <w:spacing w:line="520" w:lineRule="exact"/>
        <w:ind w:firstLine="540" w:firstLineChars="225"/>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 xml:space="preserve">. </w:t>
      </w:r>
      <w:r>
        <w:rPr>
          <w:rFonts w:ascii="Times New Roman" w:hAnsi="Times New Roman"/>
          <w:sz w:val="24"/>
          <w:szCs w:val="24"/>
        </w:rPr>
        <w:t>评委会成员将投标文件评价得分加总后，得出本次评标的最终得分。</w:t>
      </w:r>
    </w:p>
    <w:p w14:paraId="54AFE3D9">
      <w:pPr>
        <w:spacing w:line="520" w:lineRule="exact"/>
        <w:ind w:firstLine="540" w:firstLineChars="225"/>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 xml:space="preserve">. </w:t>
      </w:r>
      <w:r>
        <w:rPr>
          <w:rFonts w:ascii="Times New Roman" w:hAnsi="Times New Roman"/>
          <w:sz w:val="24"/>
          <w:szCs w:val="24"/>
        </w:rPr>
        <w:t>项目评分时，分值</w:t>
      </w:r>
      <w:r>
        <w:rPr>
          <w:rFonts w:ascii="Times New Roman" w:hAnsi="Times New Roman"/>
          <w:b/>
          <w:sz w:val="24"/>
          <w:szCs w:val="24"/>
        </w:rPr>
        <w:t>精确到小数点后两位</w:t>
      </w:r>
      <w:r>
        <w:rPr>
          <w:rFonts w:ascii="Times New Roman" w:hAnsi="Times New Roman"/>
          <w:sz w:val="24"/>
          <w:szCs w:val="24"/>
        </w:rPr>
        <w:t>。</w:t>
      </w:r>
    </w:p>
    <w:p w14:paraId="7AC4E7CD">
      <w:pPr>
        <w:spacing w:line="520" w:lineRule="exact"/>
        <w:ind w:firstLine="540" w:firstLineChars="225"/>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 xml:space="preserve">. </w:t>
      </w:r>
      <w:r>
        <w:rPr>
          <w:rFonts w:ascii="Times New Roman" w:hAnsi="Times New Roman"/>
          <w:sz w:val="24"/>
          <w:szCs w:val="24"/>
        </w:rPr>
        <w:t>供应商的最后得分为评委会成员所评</w:t>
      </w:r>
      <w:r>
        <w:rPr>
          <w:rFonts w:ascii="Times New Roman" w:hAnsi="Times New Roman"/>
          <w:b/>
          <w:sz w:val="24"/>
          <w:szCs w:val="24"/>
        </w:rPr>
        <w:t>分数的总分值</w:t>
      </w:r>
      <w:r>
        <w:rPr>
          <w:rFonts w:ascii="Times New Roman" w:hAnsi="Times New Roman"/>
          <w:sz w:val="24"/>
          <w:szCs w:val="24"/>
        </w:rPr>
        <w:t>。</w:t>
      </w:r>
    </w:p>
    <w:p w14:paraId="6EFD99DB">
      <w:pPr>
        <w:spacing w:line="520" w:lineRule="exact"/>
        <w:ind w:firstLine="540" w:firstLineChars="225"/>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 xml:space="preserve">. </w:t>
      </w:r>
      <w:r>
        <w:rPr>
          <w:rFonts w:ascii="Times New Roman" w:hAnsi="Times New Roman"/>
          <w:sz w:val="24"/>
          <w:szCs w:val="24"/>
        </w:rPr>
        <w:t>经评委会成员审查，得分按由高到低排列，</w:t>
      </w:r>
      <w:r>
        <w:rPr>
          <w:rFonts w:hint="eastAsia" w:ascii="Times New Roman" w:hAnsi="Times New Roman"/>
          <w:sz w:val="24"/>
          <w:szCs w:val="24"/>
        </w:rPr>
        <w:t>每包</w:t>
      </w:r>
      <w:r>
        <w:rPr>
          <w:rFonts w:ascii="Times New Roman" w:hAnsi="Times New Roman"/>
          <w:sz w:val="24"/>
          <w:szCs w:val="24"/>
        </w:rPr>
        <w:t>确定</w:t>
      </w:r>
      <w:r>
        <w:rPr>
          <w:rFonts w:hint="eastAsia" w:ascii="Times New Roman" w:hAnsi="Times New Roman"/>
          <w:sz w:val="24"/>
          <w:szCs w:val="24"/>
        </w:rPr>
        <w:t>1</w:t>
      </w:r>
      <w:r>
        <w:rPr>
          <w:rFonts w:hint="eastAsia"/>
          <w:sz w:val="24"/>
        </w:rPr>
        <w:t>名中标供应商</w:t>
      </w:r>
      <w:r>
        <w:rPr>
          <w:rFonts w:ascii="Times New Roman" w:hAnsi="Times New Roman"/>
          <w:sz w:val="24"/>
          <w:szCs w:val="24"/>
        </w:rPr>
        <w:t>。</w:t>
      </w:r>
    </w:p>
    <w:p w14:paraId="12046677">
      <w:pPr>
        <w:spacing w:line="520" w:lineRule="exact"/>
        <w:ind w:firstLine="540" w:firstLineChars="225"/>
        <w:rPr>
          <w:rFonts w:ascii="Times New Roman" w:hAnsi="Times New Roman"/>
          <w:sz w:val="24"/>
          <w:szCs w:val="24"/>
        </w:rPr>
      </w:pPr>
      <w:r>
        <w:rPr>
          <w:rFonts w:ascii="Times New Roman" w:hAnsi="Times New Roman"/>
          <w:sz w:val="24"/>
          <w:szCs w:val="24"/>
        </w:rPr>
        <w:t>6</w:t>
      </w:r>
      <w:r>
        <w:rPr>
          <w:rFonts w:hint="eastAsia" w:ascii="Times New Roman" w:hAnsi="Times New Roman"/>
          <w:sz w:val="24"/>
          <w:szCs w:val="24"/>
        </w:rPr>
        <w:t xml:space="preserve">. </w:t>
      </w:r>
      <w:r>
        <w:rPr>
          <w:rFonts w:ascii="Times New Roman" w:hAnsi="Times New Roman"/>
          <w:sz w:val="24"/>
          <w:szCs w:val="24"/>
        </w:rPr>
        <w:t>评委会成员没有向供应商解释评标过程的义务。</w:t>
      </w:r>
    </w:p>
    <w:p w14:paraId="4DDB991A">
      <w:pPr>
        <w:spacing w:line="520" w:lineRule="exact"/>
        <w:ind w:firstLine="540" w:firstLineChars="225"/>
        <w:rPr>
          <w:rFonts w:ascii="Times New Roman" w:hAnsi="Times New Roman"/>
          <w:sz w:val="24"/>
          <w:szCs w:val="24"/>
        </w:rPr>
      </w:pPr>
      <w:r>
        <w:rPr>
          <w:rFonts w:ascii="Times New Roman" w:hAnsi="Times New Roman"/>
          <w:sz w:val="24"/>
          <w:szCs w:val="24"/>
        </w:rPr>
        <w:t>7</w:t>
      </w:r>
      <w:r>
        <w:rPr>
          <w:rFonts w:hint="eastAsia" w:ascii="Times New Roman" w:hAnsi="Times New Roman"/>
          <w:sz w:val="24"/>
          <w:szCs w:val="24"/>
        </w:rPr>
        <w:t xml:space="preserve">. </w:t>
      </w:r>
      <w:r>
        <w:rPr>
          <w:rFonts w:ascii="Times New Roman" w:hAnsi="Times New Roman"/>
          <w:sz w:val="24"/>
          <w:szCs w:val="24"/>
        </w:rPr>
        <w:t>本规则的解释权在江苏省体育装备中心。</w:t>
      </w:r>
    </w:p>
    <w:p w14:paraId="7C8D6B49">
      <w:pPr>
        <w:spacing w:line="520" w:lineRule="exact"/>
        <w:ind w:firstLine="540" w:firstLineChars="225"/>
        <w:rPr>
          <w:rFonts w:ascii="Times New Roman" w:hAnsi="Times New Roman"/>
          <w:sz w:val="24"/>
          <w:szCs w:val="24"/>
        </w:rPr>
      </w:pPr>
      <w:r>
        <w:rPr>
          <w:rFonts w:ascii="Times New Roman" w:hAnsi="Times New Roman"/>
          <w:sz w:val="24"/>
          <w:szCs w:val="24"/>
        </w:rPr>
        <w:t>8</w:t>
      </w:r>
      <w:r>
        <w:rPr>
          <w:rFonts w:hint="eastAsia" w:ascii="Times New Roman" w:hAnsi="Times New Roman"/>
          <w:sz w:val="24"/>
          <w:szCs w:val="24"/>
        </w:rPr>
        <w:t xml:space="preserve">. </w:t>
      </w:r>
      <w:r>
        <w:rPr>
          <w:rFonts w:ascii="Times New Roman" w:hAnsi="Times New Roman"/>
          <w:sz w:val="24"/>
          <w:szCs w:val="24"/>
        </w:rPr>
        <w:t>遇到本规则未能考虑到的问题，由评委会成员会同采购人协商决定。</w:t>
      </w:r>
    </w:p>
    <w:p w14:paraId="5859BE7D">
      <w:pPr>
        <w:pStyle w:val="2"/>
        <w:rPr>
          <w:rFonts w:ascii="Times New Roman" w:eastAsia="黑体"/>
          <w:bCs/>
          <w:sz w:val="44"/>
        </w:rPr>
      </w:pPr>
      <w:r>
        <w:rPr>
          <w:rFonts w:ascii="Times New Roman" w:eastAsia="黑体"/>
          <w:bCs/>
          <w:sz w:val="44"/>
        </w:rPr>
        <w:br w:type="page"/>
      </w:r>
      <w:bookmarkStart w:id="193" w:name="_Toc481071971"/>
      <w:bookmarkStart w:id="194" w:name="_Toc511899517"/>
      <w:bookmarkStart w:id="195" w:name="_Toc121905580"/>
      <w:bookmarkStart w:id="196" w:name="_Toc481072017"/>
      <w:bookmarkStart w:id="197" w:name="_Toc475009301"/>
      <w:r>
        <w:rPr>
          <w:rFonts w:ascii="Times New Roman" w:eastAsia="黑体"/>
          <w:bCs/>
          <w:sz w:val="44"/>
        </w:rPr>
        <w:t>第六章  投标文件格式</w:t>
      </w:r>
      <w:bookmarkEnd w:id="193"/>
      <w:bookmarkEnd w:id="194"/>
      <w:bookmarkEnd w:id="195"/>
      <w:bookmarkEnd w:id="196"/>
      <w:bookmarkEnd w:id="197"/>
    </w:p>
    <w:p w14:paraId="05ED9BB4">
      <w:pPr>
        <w:spacing w:line="440" w:lineRule="exact"/>
        <w:rPr>
          <w:rFonts w:ascii="Times New Roman" w:hAnsi="Times New Roman"/>
        </w:rPr>
      </w:pPr>
    </w:p>
    <w:bookmarkEnd w:id="175"/>
    <w:bookmarkEnd w:id="176"/>
    <w:bookmarkEnd w:id="186"/>
    <w:bookmarkEnd w:id="187"/>
    <w:bookmarkEnd w:id="188"/>
    <w:bookmarkEnd w:id="189"/>
    <w:bookmarkEnd w:id="190"/>
    <w:bookmarkEnd w:id="191"/>
    <w:bookmarkEnd w:id="192"/>
    <w:p w14:paraId="077AF726">
      <w:pPr>
        <w:spacing w:line="520" w:lineRule="exact"/>
        <w:ind w:firstLine="480" w:firstLineChars="200"/>
        <w:rPr>
          <w:rFonts w:ascii="Times New Roman" w:hAnsi="Times New Roman"/>
          <w:sz w:val="24"/>
          <w:szCs w:val="24"/>
        </w:rPr>
      </w:pPr>
      <w:r>
        <w:rPr>
          <w:rFonts w:ascii="Times New Roman" w:hAnsi="Times New Roman"/>
          <w:sz w:val="24"/>
          <w:szCs w:val="24"/>
        </w:rPr>
        <w:t>说明：</w:t>
      </w:r>
    </w:p>
    <w:p w14:paraId="13682D79">
      <w:pPr>
        <w:spacing w:line="520" w:lineRule="exact"/>
        <w:ind w:firstLine="480" w:firstLineChars="200"/>
        <w:rPr>
          <w:rFonts w:ascii="Times New Roman" w:hAnsi="Times New Roman"/>
          <w:sz w:val="24"/>
          <w:szCs w:val="24"/>
        </w:rPr>
      </w:pPr>
      <w:r>
        <w:rPr>
          <w:rFonts w:ascii="Times New Roman" w:hAnsi="Times New Roman"/>
          <w:sz w:val="24"/>
          <w:szCs w:val="24"/>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1EA52512">
      <w:pPr>
        <w:jc w:val="center"/>
        <w:rPr>
          <w:rFonts w:ascii="Times New Roman" w:hAnsi="Times New Roman" w:eastAsia="黑体"/>
          <w:b/>
          <w:bCs/>
          <w:sz w:val="36"/>
        </w:rPr>
      </w:pPr>
    </w:p>
    <w:p w14:paraId="408BDA29">
      <w:pPr>
        <w:jc w:val="center"/>
        <w:rPr>
          <w:rFonts w:ascii="Times New Roman" w:hAnsi="Times New Roman" w:eastAsia="黑体"/>
          <w:b/>
          <w:sz w:val="72"/>
        </w:rPr>
      </w:pPr>
      <w:r>
        <w:rPr>
          <w:rFonts w:ascii="Times New Roman" w:hAnsi="Times New Roman" w:eastAsia="黑体"/>
          <w:b/>
          <w:bCs/>
          <w:sz w:val="36"/>
        </w:rPr>
        <w:br w:type="page"/>
      </w:r>
      <w:r>
        <w:rPr>
          <w:rFonts w:ascii="Times New Roman" w:hAnsi="Times New Roman" w:eastAsia="黑体"/>
          <w:b/>
          <w:sz w:val="72"/>
        </w:rPr>
        <w:t>投  标  文  件</w:t>
      </w:r>
    </w:p>
    <w:p w14:paraId="503D40B1">
      <w:pPr>
        <w:jc w:val="center"/>
        <w:rPr>
          <w:rFonts w:ascii="Times New Roman" w:hAnsi="Times New Roman"/>
          <w:b/>
          <w:sz w:val="72"/>
        </w:rPr>
      </w:pPr>
    </w:p>
    <w:p w14:paraId="58E7B26C">
      <w:pPr>
        <w:jc w:val="center"/>
        <w:rPr>
          <w:rFonts w:ascii="Times New Roman" w:hAnsi="Times New Roman" w:eastAsia="楷体_GB2312"/>
          <w:sz w:val="44"/>
          <w:szCs w:val="44"/>
        </w:rPr>
      </w:pPr>
      <w:r>
        <w:rPr>
          <w:rFonts w:ascii="Times New Roman" w:hAnsi="Times New Roman" w:eastAsia="楷体_GB2312"/>
          <w:sz w:val="44"/>
          <w:szCs w:val="44"/>
        </w:rPr>
        <w:t>【正/副本】</w:t>
      </w:r>
    </w:p>
    <w:p w14:paraId="4BB4B732">
      <w:pPr>
        <w:jc w:val="center"/>
        <w:rPr>
          <w:rFonts w:ascii="Times New Roman" w:hAnsi="Times New Roman"/>
          <w:b/>
          <w:sz w:val="36"/>
        </w:rPr>
      </w:pPr>
    </w:p>
    <w:p w14:paraId="6EE4CA75">
      <w:pPr>
        <w:jc w:val="center"/>
        <w:rPr>
          <w:rFonts w:ascii="Times New Roman" w:hAnsi="Times New Roman"/>
          <w:b/>
          <w:sz w:val="36"/>
        </w:rPr>
      </w:pPr>
    </w:p>
    <w:p w14:paraId="5A37EDC7">
      <w:pPr>
        <w:rPr>
          <w:rFonts w:ascii="Times New Roman" w:hAnsi="Times New Roman"/>
          <w:b/>
          <w:sz w:val="36"/>
        </w:rPr>
      </w:pPr>
    </w:p>
    <w:p w14:paraId="2EA9CE20">
      <w:pPr>
        <w:ind w:firstLine="1084" w:firstLineChars="300"/>
        <w:rPr>
          <w:rFonts w:ascii="Times New Roman" w:hAnsi="Times New Roman"/>
          <w:b/>
          <w:sz w:val="36"/>
        </w:rPr>
      </w:pPr>
      <w:r>
        <w:rPr>
          <w:rFonts w:ascii="Times New Roman" w:hAnsi="Times New Roman"/>
          <w:b/>
          <w:sz w:val="36"/>
        </w:rPr>
        <w:t>项 目 名 称：</w:t>
      </w:r>
      <w:r>
        <w:rPr>
          <w:rFonts w:ascii="Times New Roman" w:hAnsi="Times New Roman"/>
          <w:b/>
          <w:sz w:val="36"/>
          <w:u w:val="single"/>
        </w:rPr>
        <w:t xml:space="preserve">                      </w:t>
      </w:r>
      <w:r>
        <w:rPr>
          <w:rFonts w:ascii="Times New Roman" w:hAnsi="Times New Roman"/>
          <w:b/>
          <w:sz w:val="36"/>
        </w:rPr>
        <w:t xml:space="preserve">  </w:t>
      </w:r>
    </w:p>
    <w:p w14:paraId="43556B81">
      <w:pPr>
        <w:ind w:firstLine="1084" w:firstLineChars="300"/>
        <w:rPr>
          <w:rFonts w:ascii="Times New Roman" w:hAnsi="Times New Roman"/>
          <w:b/>
          <w:sz w:val="36"/>
        </w:rPr>
      </w:pPr>
    </w:p>
    <w:p w14:paraId="3F0A1173">
      <w:pPr>
        <w:ind w:firstLine="1084" w:firstLineChars="300"/>
        <w:rPr>
          <w:rFonts w:ascii="Times New Roman" w:hAnsi="Times New Roman"/>
          <w:b/>
          <w:sz w:val="36"/>
          <w:u w:val="single"/>
        </w:rPr>
      </w:pPr>
      <w:r>
        <w:rPr>
          <w:rFonts w:ascii="Times New Roman" w:hAnsi="Times New Roman"/>
          <w:b/>
          <w:sz w:val="36"/>
        </w:rPr>
        <w:t>招 标 编 号：</w:t>
      </w:r>
      <w:r>
        <w:rPr>
          <w:rFonts w:ascii="Times New Roman" w:hAnsi="Times New Roman"/>
          <w:b/>
          <w:sz w:val="36"/>
          <w:u w:val="single"/>
        </w:rPr>
        <w:t xml:space="preserve">                  </w:t>
      </w:r>
      <w:r>
        <w:rPr>
          <w:rFonts w:hint="eastAsia" w:ascii="Times New Roman" w:hAnsi="Times New Roman"/>
          <w:b/>
          <w:sz w:val="36"/>
          <w:u w:val="single"/>
        </w:rPr>
        <w:t xml:space="preserve">    </w:t>
      </w:r>
    </w:p>
    <w:p w14:paraId="004C3D9A">
      <w:pPr>
        <w:pStyle w:val="2"/>
        <w:rPr>
          <w:rFonts w:ascii="Times New Roman"/>
          <w:b/>
          <w:sz w:val="36"/>
          <w:u w:val="single"/>
        </w:rPr>
      </w:pPr>
    </w:p>
    <w:p w14:paraId="07E3E1BD">
      <w:pPr>
        <w:ind w:firstLine="1084" w:firstLineChars="300"/>
        <w:rPr>
          <w:rFonts w:ascii="Times New Roman" w:hAnsi="Times New Roman"/>
          <w:b/>
          <w:sz w:val="36"/>
          <w:u w:val="single"/>
        </w:rPr>
      </w:pPr>
      <w:r>
        <w:rPr>
          <w:rFonts w:ascii="Times New Roman" w:hAnsi="Times New Roman"/>
          <w:b/>
          <w:sz w:val="36"/>
        </w:rPr>
        <w:t>供应商名称 ：</w:t>
      </w:r>
      <w:r>
        <w:rPr>
          <w:rFonts w:hint="eastAsia" w:ascii="方正黑体_GBK" w:hAnsi="方正黑体_GBK" w:eastAsia="方正黑体_GBK" w:cs="方正黑体_GBK"/>
          <w:bCs/>
          <w:color w:val="000000"/>
          <w:sz w:val="28"/>
          <w:szCs w:val="28"/>
          <w:u w:val="single"/>
        </w:rPr>
        <w:t>（加盖CA电子公章）</w:t>
      </w:r>
    </w:p>
    <w:p w14:paraId="4C57CA41">
      <w:pPr>
        <w:ind w:firstLine="1084" w:firstLineChars="300"/>
        <w:rPr>
          <w:rFonts w:ascii="Times New Roman" w:hAnsi="Times New Roman"/>
          <w:b/>
          <w:sz w:val="36"/>
          <w:u w:val="single"/>
        </w:rPr>
      </w:pPr>
      <w:r>
        <w:rPr>
          <w:rFonts w:ascii="Times New Roman" w:hAnsi="Times New Roman"/>
          <w:b/>
          <w:sz w:val="36"/>
        </w:rPr>
        <w:t>地      址 ：</w:t>
      </w:r>
      <w:r>
        <w:rPr>
          <w:rFonts w:ascii="Times New Roman" w:hAnsi="Times New Roman"/>
          <w:b/>
          <w:sz w:val="36"/>
          <w:u w:val="single"/>
        </w:rPr>
        <w:t xml:space="preserve">                      </w:t>
      </w:r>
    </w:p>
    <w:p w14:paraId="5EF7097A">
      <w:pPr>
        <w:ind w:firstLine="1084" w:firstLineChars="300"/>
        <w:rPr>
          <w:rFonts w:ascii="Times New Roman" w:hAnsi="Times New Roman"/>
          <w:b/>
          <w:sz w:val="36"/>
          <w:u w:val="single"/>
        </w:rPr>
      </w:pPr>
    </w:p>
    <w:p w14:paraId="46337120">
      <w:pPr>
        <w:ind w:firstLine="1084" w:firstLineChars="300"/>
        <w:rPr>
          <w:rFonts w:ascii="Times New Roman" w:hAnsi="Times New Roman"/>
          <w:b/>
          <w:sz w:val="36"/>
          <w:u w:val="single"/>
        </w:rPr>
      </w:pPr>
      <w:r>
        <w:rPr>
          <w:rFonts w:ascii="Times New Roman" w:hAnsi="Times New Roman"/>
          <w:b/>
          <w:sz w:val="36"/>
        </w:rPr>
        <w:t>授 权 代 表：</w:t>
      </w:r>
      <w:r>
        <w:rPr>
          <w:rFonts w:ascii="Times New Roman" w:hAnsi="Times New Roman"/>
          <w:b/>
          <w:sz w:val="36"/>
          <w:u w:val="single"/>
        </w:rPr>
        <w:t xml:space="preserve">                      </w:t>
      </w:r>
    </w:p>
    <w:p w14:paraId="3E87B05E">
      <w:pPr>
        <w:ind w:firstLine="1084" w:firstLineChars="300"/>
        <w:rPr>
          <w:rFonts w:ascii="Times New Roman" w:hAnsi="Times New Roman"/>
          <w:b/>
          <w:sz w:val="36"/>
          <w:u w:val="single"/>
        </w:rPr>
      </w:pPr>
    </w:p>
    <w:p w14:paraId="7685D485">
      <w:pPr>
        <w:ind w:firstLine="1084" w:firstLineChars="300"/>
        <w:rPr>
          <w:rFonts w:ascii="Times New Roman" w:hAnsi="Times New Roman"/>
          <w:b/>
          <w:sz w:val="36"/>
        </w:rPr>
      </w:pPr>
      <w:r>
        <w:rPr>
          <w:rFonts w:ascii="Times New Roman" w:hAnsi="Times New Roman"/>
          <w:b/>
          <w:sz w:val="36"/>
        </w:rPr>
        <w:t>联 系 电 话：</w:t>
      </w:r>
      <w:r>
        <w:rPr>
          <w:rFonts w:ascii="Times New Roman" w:hAnsi="Times New Roman"/>
          <w:b/>
          <w:sz w:val="36"/>
          <w:u w:val="single"/>
        </w:rPr>
        <w:t xml:space="preserve">                      </w:t>
      </w:r>
    </w:p>
    <w:p w14:paraId="0736F25F">
      <w:pPr>
        <w:ind w:firstLine="1084" w:firstLineChars="300"/>
        <w:rPr>
          <w:rFonts w:ascii="Times New Roman" w:hAnsi="Times New Roman"/>
          <w:b/>
          <w:sz w:val="36"/>
        </w:rPr>
      </w:pPr>
    </w:p>
    <w:p w14:paraId="61FCEA52">
      <w:pPr>
        <w:ind w:firstLine="1084" w:firstLineChars="300"/>
        <w:rPr>
          <w:rFonts w:ascii="Times New Roman" w:hAnsi="Times New Roman"/>
          <w:b/>
          <w:sz w:val="36"/>
        </w:rPr>
      </w:pPr>
      <w:r>
        <w:rPr>
          <w:rFonts w:ascii="Times New Roman" w:hAnsi="Times New Roman"/>
          <w:b/>
          <w:sz w:val="36"/>
        </w:rPr>
        <w:t>日      期 ：</w:t>
      </w:r>
      <w:r>
        <w:rPr>
          <w:rFonts w:ascii="Times New Roman" w:hAnsi="Times New Roman"/>
          <w:b/>
          <w:sz w:val="36"/>
          <w:u w:val="single"/>
        </w:rPr>
        <w:t xml:space="preserve">                      </w:t>
      </w:r>
    </w:p>
    <w:p w14:paraId="3EB63464">
      <w:pPr>
        <w:spacing w:line="440" w:lineRule="exact"/>
        <w:jc w:val="center"/>
        <w:rPr>
          <w:rFonts w:ascii="Times New Roman" w:hAnsi="Times New Roman"/>
          <w:b/>
          <w:bCs/>
          <w:sz w:val="32"/>
          <w:szCs w:val="32"/>
        </w:rPr>
      </w:pPr>
      <w:r>
        <w:rPr>
          <w:rFonts w:ascii="Times New Roman" w:hAnsi="Times New Roman" w:eastAsia="黑体"/>
          <w:b/>
          <w:bCs/>
          <w:sz w:val="36"/>
        </w:rPr>
        <w:br w:type="page"/>
      </w:r>
      <w:bookmarkStart w:id="198" w:name="_Toc406861645"/>
      <w:bookmarkStart w:id="199" w:name="_Toc481072018"/>
      <w:bookmarkStart w:id="200" w:name="_Toc475009302"/>
      <w:bookmarkStart w:id="201" w:name="_Toc481071972"/>
      <w:r>
        <w:rPr>
          <w:rFonts w:ascii="Times New Roman" w:hAnsi="Times New Roman"/>
          <w:b/>
          <w:bCs/>
          <w:sz w:val="32"/>
          <w:szCs w:val="32"/>
        </w:rPr>
        <w:t>评分索引表</w:t>
      </w:r>
    </w:p>
    <w:tbl>
      <w:tblPr>
        <w:tblStyle w:val="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0"/>
        <w:gridCol w:w="4410"/>
      </w:tblGrid>
      <w:tr w14:paraId="768E7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4830" w:type="dxa"/>
            <w:vAlign w:val="center"/>
          </w:tcPr>
          <w:p w14:paraId="6F04A9AE">
            <w:pPr>
              <w:jc w:val="center"/>
              <w:rPr>
                <w:b/>
                <w:sz w:val="24"/>
                <w:lang w:bidi="en-US"/>
              </w:rPr>
            </w:pPr>
            <w:r>
              <w:rPr>
                <w:b/>
                <w:sz w:val="24"/>
                <w:lang w:bidi="en-US"/>
              </w:rPr>
              <w:t>评分项目</w:t>
            </w:r>
          </w:p>
        </w:tc>
        <w:tc>
          <w:tcPr>
            <w:tcW w:w="4410" w:type="dxa"/>
            <w:vAlign w:val="center"/>
          </w:tcPr>
          <w:p w14:paraId="20EE71BF">
            <w:pPr>
              <w:jc w:val="center"/>
              <w:rPr>
                <w:b/>
              </w:rPr>
            </w:pPr>
            <w:r>
              <w:rPr>
                <w:b/>
                <w:sz w:val="24"/>
                <w:lang w:bidi="en-US"/>
              </w:rPr>
              <w:t>在投标文件中的页码位置</w:t>
            </w:r>
          </w:p>
        </w:tc>
      </w:tr>
      <w:tr w14:paraId="606A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4830" w:type="dxa"/>
            <w:vAlign w:val="center"/>
          </w:tcPr>
          <w:p w14:paraId="52984992"/>
        </w:tc>
        <w:tc>
          <w:tcPr>
            <w:tcW w:w="4410" w:type="dxa"/>
            <w:vAlign w:val="center"/>
          </w:tcPr>
          <w:p w14:paraId="374B578E">
            <w:pPr>
              <w:rPr>
                <w:sz w:val="20"/>
                <w:lang w:bidi="en-US"/>
              </w:rPr>
            </w:pPr>
          </w:p>
        </w:tc>
      </w:tr>
      <w:tr w14:paraId="3EA0D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7ADC86FB"/>
        </w:tc>
        <w:tc>
          <w:tcPr>
            <w:tcW w:w="4410" w:type="dxa"/>
            <w:vAlign w:val="center"/>
          </w:tcPr>
          <w:p w14:paraId="79334311"/>
        </w:tc>
      </w:tr>
      <w:tr w14:paraId="2AF2B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3B17EAD1"/>
        </w:tc>
        <w:tc>
          <w:tcPr>
            <w:tcW w:w="4410" w:type="dxa"/>
            <w:vAlign w:val="center"/>
          </w:tcPr>
          <w:p w14:paraId="1F9825E6"/>
        </w:tc>
      </w:tr>
      <w:tr w14:paraId="68833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3C74C13F"/>
        </w:tc>
        <w:tc>
          <w:tcPr>
            <w:tcW w:w="4410" w:type="dxa"/>
            <w:vAlign w:val="center"/>
          </w:tcPr>
          <w:p w14:paraId="66265B23"/>
        </w:tc>
      </w:tr>
      <w:tr w14:paraId="641D7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0C20D249"/>
        </w:tc>
        <w:tc>
          <w:tcPr>
            <w:tcW w:w="4410" w:type="dxa"/>
            <w:vAlign w:val="center"/>
          </w:tcPr>
          <w:p w14:paraId="622FF02B"/>
        </w:tc>
      </w:tr>
      <w:tr w14:paraId="79CF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5A66ABEB"/>
        </w:tc>
        <w:tc>
          <w:tcPr>
            <w:tcW w:w="4410" w:type="dxa"/>
            <w:vAlign w:val="center"/>
          </w:tcPr>
          <w:p w14:paraId="2FDE2F76"/>
        </w:tc>
      </w:tr>
      <w:tr w14:paraId="0999D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2C6A225E"/>
        </w:tc>
        <w:tc>
          <w:tcPr>
            <w:tcW w:w="4410" w:type="dxa"/>
            <w:vAlign w:val="center"/>
          </w:tcPr>
          <w:p w14:paraId="7EB53AB3"/>
        </w:tc>
      </w:tr>
      <w:tr w14:paraId="0D9BB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6E720BF8"/>
        </w:tc>
        <w:tc>
          <w:tcPr>
            <w:tcW w:w="4410" w:type="dxa"/>
            <w:vAlign w:val="center"/>
          </w:tcPr>
          <w:p w14:paraId="28422BEC"/>
        </w:tc>
      </w:tr>
      <w:tr w14:paraId="7B0BA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4830" w:type="dxa"/>
            <w:vAlign w:val="center"/>
          </w:tcPr>
          <w:p w14:paraId="299E4F76"/>
        </w:tc>
        <w:tc>
          <w:tcPr>
            <w:tcW w:w="4410" w:type="dxa"/>
            <w:vAlign w:val="center"/>
          </w:tcPr>
          <w:p w14:paraId="395B34F7"/>
        </w:tc>
      </w:tr>
      <w:tr w14:paraId="1D6D0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trPr>
        <w:tc>
          <w:tcPr>
            <w:tcW w:w="4830" w:type="dxa"/>
            <w:vAlign w:val="center"/>
          </w:tcPr>
          <w:p w14:paraId="09D4D4D5"/>
        </w:tc>
        <w:tc>
          <w:tcPr>
            <w:tcW w:w="4410" w:type="dxa"/>
            <w:vAlign w:val="center"/>
          </w:tcPr>
          <w:p w14:paraId="44F59BF6"/>
        </w:tc>
      </w:tr>
    </w:tbl>
    <w:p w14:paraId="7B040BE1">
      <w:pPr>
        <w:spacing w:line="440" w:lineRule="exact"/>
        <w:rPr>
          <w:rFonts w:ascii="Times New Roman" w:hAnsi="Times New Roman"/>
          <w:b/>
          <w:bCs/>
          <w:sz w:val="32"/>
          <w:szCs w:val="32"/>
        </w:rPr>
      </w:pPr>
      <w:r>
        <w:rPr>
          <w:rFonts w:ascii="Times New Roman" w:hAnsi="Times New Roman"/>
          <w:b/>
          <w:bCs/>
          <w:sz w:val="32"/>
          <w:szCs w:val="32"/>
        </w:rPr>
        <w:t>本表由供应商填写，方便评委评审。</w:t>
      </w:r>
    </w:p>
    <w:p w14:paraId="6548AF39">
      <w:pPr>
        <w:spacing w:line="440" w:lineRule="exact"/>
        <w:jc w:val="center"/>
        <w:rPr>
          <w:rFonts w:ascii="Times New Roman" w:hAnsi="Times New Roman"/>
          <w:b/>
          <w:bCs/>
          <w:sz w:val="32"/>
          <w:szCs w:val="32"/>
        </w:rPr>
      </w:pPr>
      <w:r>
        <w:rPr>
          <w:rFonts w:ascii="Times New Roman" w:hAnsi="Times New Roman"/>
          <w:b/>
          <w:color w:val="000000"/>
          <w:szCs w:val="30"/>
        </w:rPr>
        <w:br w:type="page"/>
      </w:r>
      <w:r>
        <w:rPr>
          <w:rFonts w:ascii="Times New Roman" w:hAnsi="Times New Roman"/>
          <w:b/>
          <w:bCs/>
          <w:sz w:val="32"/>
          <w:szCs w:val="32"/>
        </w:rPr>
        <w:t>投标主要文件目录</w:t>
      </w:r>
    </w:p>
    <w:p w14:paraId="3076FA8B">
      <w:pPr>
        <w:spacing w:line="440" w:lineRule="exact"/>
        <w:jc w:val="center"/>
        <w:rPr>
          <w:rFonts w:ascii="Times New Roman" w:hAnsi="Times New Roman"/>
          <w:b/>
          <w:bCs/>
          <w:sz w:val="32"/>
          <w:szCs w:val="32"/>
        </w:rPr>
      </w:pPr>
    </w:p>
    <w:p w14:paraId="5F76825B">
      <w:pPr>
        <w:spacing w:line="520" w:lineRule="exact"/>
        <w:ind w:firstLine="480" w:firstLineChars="200"/>
        <w:rPr>
          <w:rFonts w:ascii="Times New Roman" w:hAnsi="Times New Roman"/>
          <w:sz w:val="24"/>
          <w:szCs w:val="24"/>
        </w:rPr>
      </w:pPr>
      <w:r>
        <w:rPr>
          <w:rFonts w:ascii="Times New Roman" w:hAnsi="Times New Roman"/>
          <w:sz w:val="24"/>
          <w:szCs w:val="24"/>
        </w:rPr>
        <w:t>一、资格性和符合性检查响应对照表</w:t>
      </w:r>
    </w:p>
    <w:p w14:paraId="6073D16C">
      <w:pPr>
        <w:spacing w:line="520" w:lineRule="exact"/>
        <w:ind w:firstLine="480" w:firstLineChars="200"/>
        <w:rPr>
          <w:rFonts w:ascii="Times New Roman" w:hAnsi="Times New Roman"/>
          <w:sz w:val="24"/>
          <w:szCs w:val="24"/>
        </w:rPr>
      </w:pPr>
      <w:r>
        <w:rPr>
          <w:rFonts w:ascii="Times New Roman" w:hAnsi="Times New Roman"/>
          <w:sz w:val="24"/>
          <w:szCs w:val="24"/>
        </w:rPr>
        <w:t>二、投标函</w:t>
      </w:r>
    </w:p>
    <w:p w14:paraId="5635F972">
      <w:pPr>
        <w:spacing w:line="520" w:lineRule="exact"/>
        <w:ind w:firstLine="480" w:firstLineChars="200"/>
        <w:rPr>
          <w:rFonts w:ascii="Times New Roman" w:hAnsi="Times New Roman"/>
          <w:sz w:val="24"/>
          <w:szCs w:val="24"/>
        </w:rPr>
      </w:pPr>
      <w:r>
        <w:rPr>
          <w:rFonts w:hint="eastAsia" w:ascii="Times New Roman" w:hAnsi="Times New Roman"/>
          <w:sz w:val="24"/>
          <w:szCs w:val="24"/>
        </w:rPr>
        <w:t>三</w:t>
      </w:r>
      <w:r>
        <w:rPr>
          <w:rFonts w:ascii="Times New Roman" w:hAnsi="Times New Roman"/>
          <w:sz w:val="24"/>
          <w:szCs w:val="24"/>
        </w:rPr>
        <w:t>、</w:t>
      </w:r>
      <w:r>
        <w:rPr>
          <w:rFonts w:hint="eastAsia" w:ascii="Times New Roman" w:hAnsi="Times New Roman"/>
          <w:sz w:val="24"/>
          <w:szCs w:val="24"/>
        </w:rPr>
        <w:t>投标</w:t>
      </w:r>
      <w:r>
        <w:rPr>
          <w:rFonts w:ascii="Times New Roman" w:hAnsi="Times New Roman"/>
          <w:sz w:val="24"/>
          <w:szCs w:val="24"/>
        </w:rPr>
        <w:t>分项报价表</w:t>
      </w:r>
    </w:p>
    <w:p w14:paraId="6FAF62C0">
      <w:pPr>
        <w:spacing w:line="520" w:lineRule="exact"/>
        <w:ind w:firstLine="480" w:firstLineChars="200"/>
        <w:rPr>
          <w:rFonts w:ascii="Times New Roman" w:hAnsi="Times New Roman"/>
          <w:sz w:val="24"/>
          <w:szCs w:val="24"/>
        </w:rPr>
      </w:pPr>
      <w:r>
        <w:rPr>
          <w:rFonts w:hint="eastAsia" w:ascii="Times New Roman" w:hAnsi="Times New Roman"/>
          <w:sz w:val="24"/>
          <w:szCs w:val="24"/>
        </w:rPr>
        <w:t>四</w:t>
      </w:r>
      <w:r>
        <w:rPr>
          <w:rFonts w:ascii="Times New Roman" w:hAnsi="Times New Roman"/>
          <w:sz w:val="24"/>
          <w:szCs w:val="24"/>
        </w:rPr>
        <w:t>、技术参数响应及偏离表</w:t>
      </w:r>
    </w:p>
    <w:p w14:paraId="366C65DF">
      <w:pPr>
        <w:spacing w:line="520" w:lineRule="exact"/>
        <w:ind w:firstLine="480" w:firstLineChars="200"/>
        <w:rPr>
          <w:rFonts w:ascii="Times New Roman" w:hAnsi="Times New Roman"/>
          <w:sz w:val="24"/>
          <w:szCs w:val="24"/>
        </w:rPr>
      </w:pPr>
      <w:r>
        <w:rPr>
          <w:rFonts w:hint="eastAsia" w:ascii="Times New Roman" w:hAnsi="Times New Roman"/>
          <w:sz w:val="24"/>
          <w:szCs w:val="24"/>
        </w:rPr>
        <w:t>五</w:t>
      </w:r>
      <w:r>
        <w:rPr>
          <w:rFonts w:ascii="Times New Roman" w:hAnsi="Times New Roman"/>
          <w:sz w:val="24"/>
          <w:szCs w:val="24"/>
        </w:rPr>
        <w:t>、商务条款响应及偏离表</w:t>
      </w:r>
    </w:p>
    <w:p w14:paraId="778CFB3E">
      <w:pPr>
        <w:spacing w:line="520" w:lineRule="exact"/>
        <w:ind w:firstLine="480" w:firstLineChars="200"/>
        <w:rPr>
          <w:rFonts w:ascii="Times New Roman" w:hAnsi="Times New Roman"/>
          <w:sz w:val="24"/>
          <w:szCs w:val="24"/>
        </w:rPr>
      </w:pPr>
      <w:r>
        <w:rPr>
          <w:rFonts w:hint="eastAsia" w:ascii="Times New Roman" w:hAnsi="Times New Roman"/>
          <w:sz w:val="24"/>
          <w:szCs w:val="24"/>
        </w:rPr>
        <w:t>六</w:t>
      </w:r>
      <w:r>
        <w:rPr>
          <w:rFonts w:ascii="Times New Roman" w:hAnsi="Times New Roman"/>
          <w:sz w:val="24"/>
          <w:szCs w:val="24"/>
        </w:rPr>
        <w:t>、服务承诺及项目实施方案</w:t>
      </w:r>
    </w:p>
    <w:p w14:paraId="768F748D">
      <w:pPr>
        <w:spacing w:line="520" w:lineRule="exact"/>
        <w:ind w:firstLine="480" w:firstLineChars="200"/>
        <w:rPr>
          <w:rFonts w:ascii="Times New Roman" w:hAnsi="Times New Roman"/>
          <w:sz w:val="24"/>
          <w:szCs w:val="24"/>
        </w:rPr>
      </w:pPr>
      <w:r>
        <w:rPr>
          <w:rFonts w:hint="eastAsia" w:ascii="Times New Roman" w:hAnsi="Times New Roman"/>
          <w:sz w:val="24"/>
          <w:szCs w:val="24"/>
        </w:rPr>
        <w:t>七</w:t>
      </w:r>
      <w:r>
        <w:rPr>
          <w:rFonts w:ascii="Times New Roman" w:hAnsi="Times New Roman"/>
          <w:sz w:val="24"/>
          <w:szCs w:val="24"/>
        </w:rPr>
        <w:t>、</w:t>
      </w:r>
      <w:r>
        <w:rPr>
          <w:rFonts w:hint="eastAsia" w:ascii="Times New Roman" w:hAnsi="Times New Roman"/>
          <w:sz w:val="24"/>
          <w:szCs w:val="24"/>
        </w:rPr>
        <w:t>本次招标供应商提供的其他证明文件及材料（若有）</w:t>
      </w:r>
    </w:p>
    <w:p w14:paraId="78774F50">
      <w:pPr>
        <w:spacing w:line="520" w:lineRule="exact"/>
        <w:ind w:firstLine="480" w:firstLineChars="200"/>
        <w:rPr>
          <w:rFonts w:ascii="Times New Roman" w:hAnsi="Times New Roman"/>
          <w:sz w:val="24"/>
          <w:szCs w:val="24"/>
        </w:rPr>
      </w:pPr>
      <w:r>
        <w:rPr>
          <w:rFonts w:hint="eastAsia" w:ascii="Times New Roman" w:hAnsi="Times New Roman"/>
          <w:sz w:val="24"/>
          <w:szCs w:val="24"/>
        </w:rPr>
        <w:t>八、</w:t>
      </w:r>
      <w:r>
        <w:rPr>
          <w:rFonts w:ascii="Times New Roman" w:hAnsi="Times New Roman"/>
          <w:sz w:val="24"/>
          <w:szCs w:val="24"/>
        </w:rPr>
        <w:t>开标一览表</w:t>
      </w:r>
    </w:p>
    <w:p w14:paraId="142AA747">
      <w:pPr>
        <w:pStyle w:val="4"/>
        <w:spacing w:before="0" w:after="0" w:line="538" w:lineRule="exact"/>
        <w:ind w:firstLine="482" w:firstLineChars="150"/>
        <w:jc w:val="center"/>
      </w:pPr>
      <w:r>
        <w:br w:type="page"/>
      </w:r>
      <w:bookmarkEnd w:id="198"/>
      <w:bookmarkEnd w:id="199"/>
      <w:bookmarkEnd w:id="200"/>
      <w:bookmarkEnd w:id="201"/>
      <w:bookmarkStart w:id="202" w:name="_Toc511899528"/>
      <w:bookmarkStart w:id="203" w:name="_Toc511305221"/>
      <w:bookmarkStart w:id="204" w:name="_Toc511385436"/>
      <w:r>
        <w:rPr>
          <w:rFonts w:hint="eastAsia"/>
        </w:rPr>
        <w:t>一、资格性响应审查对照表</w:t>
      </w:r>
    </w:p>
    <w:p w14:paraId="436001F8">
      <w:pPr>
        <w:ind w:firstLine="480" w:firstLineChars="200"/>
        <w:rPr>
          <w:sz w:val="24"/>
          <w:szCs w:val="24"/>
        </w:rPr>
      </w:pPr>
      <w:r>
        <w:rPr>
          <w:sz w:val="24"/>
          <w:szCs w:val="24"/>
        </w:rPr>
        <w:t>供应商全称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p>
    <w:p w14:paraId="55386341">
      <w:pPr>
        <w:ind w:firstLine="480" w:firstLineChars="200"/>
        <w:rPr>
          <w:sz w:val="24"/>
          <w:szCs w:val="24"/>
        </w:rPr>
      </w:pPr>
      <w:r>
        <w:rPr>
          <w:sz w:val="24"/>
          <w:szCs w:val="24"/>
        </w:rPr>
        <w:t>项目名称：</w:t>
      </w:r>
      <w:r>
        <w:rPr>
          <w:rFonts w:hint="eastAsia"/>
          <w:sz w:val="24"/>
          <w:szCs w:val="24"/>
        </w:rPr>
        <w:t xml:space="preserve">                           </w:t>
      </w:r>
    </w:p>
    <w:tbl>
      <w:tblPr>
        <w:tblStyle w:val="39"/>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820"/>
        <w:gridCol w:w="1843"/>
        <w:gridCol w:w="2220"/>
      </w:tblGrid>
      <w:tr w14:paraId="04C4F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5" w:hRule="atLeast"/>
        </w:trPr>
        <w:tc>
          <w:tcPr>
            <w:tcW w:w="747" w:type="dxa"/>
            <w:tcBorders>
              <w:top w:val="single" w:color="auto" w:sz="4" w:space="0"/>
              <w:left w:val="single" w:color="auto" w:sz="4" w:space="0"/>
              <w:bottom w:val="single" w:color="auto" w:sz="4" w:space="0"/>
              <w:right w:val="single" w:color="auto" w:sz="4" w:space="0"/>
            </w:tcBorders>
            <w:vAlign w:val="center"/>
          </w:tcPr>
          <w:p w14:paraId="6F449E7C">
            <w:pPr>
              <w:jc w:val="center"/>
              <w:rPr>
                <w:sz w:val="24"/>
                <w:szCs w:val="24"/>
              </w:rPr>
            </w:pPr>
            <w:r>
              <w:rPr>
                <w:sz w:val="24"/>
                <w:szCs w:val="24"/>
              </w:rPr>
              <w:t>序号</w:t>
            </w:r>
          </w:p>
        </w:tc>
        <w:tc>
          <w:tcPr>
            <w:tcW w:w="4820" w:type="dxa"/>
            <w:tcBorders>
              <w:top w:val="single" w:color="auto" w:sz="4" w:space="0"/>
              <w:left w:val="single" w:color="auto" w:sz="4" w:space="0"/>
              <w:bottom w:val="single" w:color="auto" w:sz="4" w:space="0"/>
              <w:right w:val="single" w:color="auto" w:sz="4" w:space="0"/>
            </w:tcBorders>
            <w:vAlign w:val="center"/>
          </w:tcPr>
          <w:p w14:paraId="3680EE23">
            <w:pPr>
              <w:jc w:val="center"/>
              <w:rPr>
                <w:sz w:val="24"/>
                <w:szCs w:val="24"/>
              </w:rPr>
            </w:pPr>
            <w:r>
              <w:rPr>
                <w:sz w:val="24"/>
                <w:szCs w:val="24"/>
              </w:rPr>
              <w:t>资格性</w:t>
            </w:r>
            <w:r>
              <w:rPr>
                <w:rFonts w:hint="eastAsia"/>
                <w:sz w:val="24"/>
                <w:szCs w:val="24"/>
              </w:rPr>
              <w:t>响应审</w:t>
            </w:r>
            <w:r>
              <w:rPr>
                <w:sz w:val="24"/>
                <w:szCs w:val="24"/>
              </w:rPr>
              <w:t>查内容</w:t>
            </w:r>
          </w:p>
        </w:tc>
        <w:tc>
          <w:tcPr>
            <w:tcW w:w="1843" w:type="dxa"/>
            <w:tcBorders>
              <w:top w:val="single" w:color="auto" w:sz="4" w:space="0"/>
              <w:left w:val="single" w:color="auto" w:sz="4" w:space="0"/>
              <w:bottom w:val="single" w:color="auto" w:sz="4" w:space="0"/>
              <w:right w:val="single" w:color="auto" w:sz="4" w:space="0"/>
            </w:tcBorders>
            <w:vAlign w:val="center"/>
          </w:tcPr>
          <w:p w14:paraId="0B3C8E8F">
            <w:pPr>
              <w:jc w:val="center"/>
              <w:rPr>
                <w:sz w:val="24"/>
                <w:szCs w:val="24"/>
              </w:rPr>
            </w:pPr>
            <w:r>
              <w:rPr>
                <w:sz w:val="24"/>
                <w:szCs w:val="24"/>
              </w:rPr>
              <w:t>是否响应</w:t>
            </w:r>
          </w:p>
          <w:p w14:paraId="2D35AF42">
            <w:pPr>
              <w:jc w:val="center"/>
              <w:rPr>
                <w:sz w:val="24"/>
                <w:szCs w:val="24"/>
              </w:rPr>
            </w:pPr>
            <w:r>
              <w:rPr>
                <w:sz w:val="24"/>
                <w:szCs w:val="24"/>
              </w:rPr>
              <w:t>（填是或者否）</w:t>
            </w:r>
          </w:p>
        </w:tc>
        <w:tc>
          <w:tcPr>
            <w:tcW w:w="2220" w:type="dxa"/>
            <w:tcBorders>
              <w:top w:val="single" w:color="auto" w:sz="4" w:space="0"/>
              <w:left w:val="single" w:color="auto" w:sz="4" w:space="0"/>
              <w:bottom w:val="single" w:color="auto" w:sz="4" w:space="0"/>
              <w:right w:val="single" w:color="auto" w:sz="4" w:space="0"/>
            </w:tcBorders>
            <w:vAlign w:val="center"/>
          </w:tcPr>
          <w:p w14:paraId="7F91505D">
            <w:pPr>
              <w:jc w:val="center"/>
              <w:rPr>
                <w:sz w:val="24"/>
                <w:szCs w:val="24"/>
              </w:rPr>
            </w:pPr>
            <w:r>
              <w:rPr>
                <w:sz w:val="24"/>
                <w:szCs w:val="24"/>
              </w:rPr>
              <w:t>供应商制作的</w:t>
            </w:r>
            <w:r>
              <w:rPr>
                <w:rFonts w:hint="eastAsia"/>
                <w:sz w:val="24"/>
                <w:szCs w:val="24"/>
              </w:rPr>
              <w:t>投标</w:t>
            </w:r>
            <w:r>
              <w:rPr>
                <w:sz w:val="24"/>
                <w:szCs w:val="24"/>
              </w:rPr>
              <w:t>文件中的页码位置</w:t>
            </w:r>
          </w:p>
        </w:tc>
      </w:tr>
      <w:tr w14:paraId="58C63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747" w:type="dxa"/>
            <w:vAlign w:val="center"/>
          </w:tcPr>
          <w:p w14:paraId="12DFD2A1">
            <w:pPr>
              <w:jc w:val="center"/>
              <w:rPr>
                <w:rFonts w:eastAsia="仿宋_GB2312"/>
                <w:b/>
                <w:sz w:val="24"/>
                <w:szCs w:val="24"/>
              </w:rPr>
            </w:pPr>
            <w:r>
              <w:rPr>
                <w:rFonts w:eastAsia="仿宋_GB2312"/>
                <w:sz w:val="24"/>
                <w:szCs w:val="24"/>
              </w:rPr>
              <w:t>1</w:t>
            </w:r>
          </w:p>
        </w:tc>
        <w:tc>
          <w:tcPr>
            <w:tcW w:w="4820" w:type="dxa"/>
            <w:vAlign w:val="center"/>
          </w:tcPr>
          <w:p w14:paraId="2FA03678">
            <w:pPr>
              <w:snapToGrid w:val="0"/>
              <w:rPr>
                <w:sz w:val="24"/>
              </w:rPr>
            </w:pPr>
            <w:r>
              <w:rPr>
                <w:rFonts w:hint="eastAsia"/>
                <w:sz w:val="24"/>
              </w:rPr>
              <w:t>法人或者其他组织的营业执照等证明文件，自然人的身份证明</w:t>
            </w:r>
            <w:r>
              <w:rPr>
                <w:sz w:val="24"/>
              </w:rPr>
              <w:t>（复印件）</w:t>
            </w:r>
          </w:p>
        </w:tc>
        <w:tc>
          <w:tcPr>
            <w:tcW w:w="1843" w:type="dxa"/>
            <w:vAlign w:val="center"/>
          </w:tcPr>
          <w:p w14:paraId="3056541D">
            <w:pPr>
              <w:ind w:firstLine="560"/>
              <w:jc w:val="center"/>
              <w:rPr>
                <w:rFonts w:eastAsia="仿宋_GB2312"/>
                <w:b/>
                <w:sz w:val="24"/>
                <w:szCs w:val="24"/>
              </w:rPr>
            </w:pPr>
          </w:p>
        </w:tc>
        <w:tc>
          <w:tcPr>
            <w:tcW w:w="2220" w:type="dxa"/>
            <w:vAlign w:val="center"/>
          </w:tcPr>
          <w:p w14:paraId="7AE5B10D">
            <w:pPr>
              <w:ind w:firstLine="560"/>
              <w:jc w:val="center"/>
              <w:rPr>
                <w:rFonts w:eastAsia="仿宋_GB2312"/>
                <w:b/>
                <w:sz w:val="24"/>
                <w:szCs w:val="24"/>
              </w:rPr>
            </w:pPr>
          </w:p>
        </w:tc>
      </w:tr>
      <w:tr w14:paraId="742F6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747" w:type="dxa"/>
            <w:vAlign w:val="center"/>
          </w:tcPr>
          <w:p w14:paraId="47EE4016">
            <w:pPr>
              <w:jc w:val="center"/>
              <w:rPr>
                <w:rFonts w:eastAsia="仿宋_GB2312"/>
                <w:sz w:val="24"/>
                <w:szCs w:val="24"/>
              </w:rPr>
            </w:pPr>
            <w:r>
              <w:rPr>
                <w:rFonts w:eastAsia="仿宋_GB2312"/>
                <w:sz w:val="24"/>
                <w:szCs w:val="24"/>
              </w:rPr>
              <w:t>2</w:t>
            </w:r>
          </w:p>
        </w:tc>
        <w:tc>
          <w:tcPr>
            <w:tcW w:w="4820" w:type="dxa"/>
            <w:vAlign w:val="center"/>
          </w:tcPr>
          <w:p w14:paraId="1A1D6CF4">
            <w:pPr>
              <w:snapToGrid w:val="0"/>
              <w:rPr>
                <w:sz w:val="24"/>
              </w:rPr>
            </w:pPr>
            <w:r>
              <w:rPr>
                <w:rFonts w:hint="eastAsia"/>
                <w:sz w:val="24"/>
              </w:rPr>
              <w:t>2025</w:t>
            </w:r>
            <w:r>
              <w:rPr>
                <w:sz w:val="24"/>
              </w:rPr>
              <w:t>年度财务状况报告（复印件，成立不满一年不需提供）</w:t>
            </w:r>
          </w:p>
        </w:tc>
        <w:tc>
          <w:tcPr>
            <w:tcW w:w="1843" w:type="dxa"/>
            <w:vAlign w:val="center"/>
          </w:tcPr>
          <w:p w14:paraId="75E981C3">
            <w:pPr>
              <w:ind w:firstLine="560"/>
              <w:jc w:val="center"/>
              <w:rPr>
                <w:rFonts w:eastAsia="仿宋_GB2312"/>
                <w:b/>
                <w:sz w:val="24"/>
                <w:szCs w:val="24"/>
              </w:rPr>
            </w:pPr>
          </w:p>
        </w:tc>
        <w:tc>
          <w:tcPr>
            <w:tcW w:w="2220" w:type="dxa"/>
            <w:vAlign w:val="center"/>
          </w:tcPr>
          <w:p w14:paraId="1A240DBA">
            <w:pPr>
              <w:ind w:firstLine="560"/>
              <w:jc w:val="center"/>
              <w:rPr>
                <w:rFonts w:eastAsia="仿宋_GB2312"/>
                <w:b/>
                <w:sz w:val="24"/>
                <w:szCs w:val="24"/>
              </w:rPr>
            </w:pPr>
          </w:p>
        </w:tc>
      </w:tr>
      <w:tr w14:paraId="6B92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591D10A5">
            <w:pPr>
              <w:jc w:val="center"/>
              <w:rPr>
                <w:rFonts w:eastAsia="仿宋_GB2312"/>
                <w:sz w:val="24"/>
                <w:szCs w:val="24"/>
              </w:rPr>
            </w:pPr>
            <w:r>
              <w:rPr>
                <w:rFonts w:eastAsia="仿宋_GB2312"/>
                <w:sz w:val="24"/>
                <w:szCs w:val="24"/>
              </w:rPr>
              <w:t>3</w:t>
            </w:r>
          </w:p>
        </w:tc>
        <w:tc>
          <w:tcPr>
            <w:tcW w:w="4820" w:type="dxa"/>
            <w:vAlign w:val="center"/>
          </w:tcPr>
          <w:p w14:paraId="4B147B75">
            <w:pPr>
              <w:snapToGrid w:val="0"/>
              <w:rPr>
                <w:sz w:val="24"/>
              </w:rPr>
            </w:pPr>
            <w:r>
              <w:rPr>
                <w:sz w:val="24"/>
              </w:rPr>
              <w:t>公告前六个月内任一月份的依法缴纳税收和社会保障资金的相关材料（提供相关主管部门证明、或官方网站打印或银行代扣证明，根据国家相关政策免缴或迟缴的需提供相关证明材料）（复印件）</w:t>
            </w:r>
          </w:p>
        </w:tc>
        <w:tc>
          <w:tcPr>
            <w:tcW w:w="1843" w:type="dxa"/>
            <w:vAlign w:val="center"/>
          </w:tcPr>
          <w:p w14:paraId="6BD11875">
            <w:pPr>
              <w:ind w:firstLine="560"/>
              <w:jc w:val="center"/>
              <w:rPr>
                <w:rFonts w:eastAsia="仿宋_GB2312"/>
                <w:b/>
                <w:sz w:val="24"/>
                <w:szCs w:val="24"/>
              </w:rPr>
            </w:pPr>
          </w:p>
        </w:tc>
        <w:tc>
          <w:tcPr>
            <w:tcW w:w="2220" w:type="dxa"/>
            <w:vAlign w:val="center"/>
          </w:tcPr>
          <w:p w14:paraId="4FA4425B">
            <w:pPr>
              <w:ind w:firstLine="560"/>
              <w:jc w:val="center"/>
              <w:rPr>
                <w:rFonts w:eastAsia="仿宋_GB2312"/>
                <w:b/>
                <w:sz w:val="24"/>
                <w:szCs w:val="24"/>
              </w:rPr>
            </w:pPr>
          </w:p>
        </w:tc>
      </w:tr>
      <w:tr w14:paraId="0BEE9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4" w:hRule="atLeast"/>
        </w:trPr>
        <w:tc>
          <w:tcPr>
            <w:tcW w:w="747" w:type="dxa"/>
            <w:vAlign w:val="center"/>
          </w:tcPr>
          <w:p w14:paraId="6BABF573">
            <w:pPr>
              <w:jc w:val="center"/>
              <w:rPr>
                <w:rFonts w:eastAsia="仿宋_GB2312"/>
                <w:sz w:val="24"/>
                <w:szCs w:val="24"/>
              </w:rPr>
            </w:pPr>
            <w:r>
              <w:rPr>
                <w:rFonts w:eastAsia="仿宋_GB2312"/>
                <w:sz w:val="24"/>
                <w:szCs w:val="24"/>
              </w:rPr>
              <w:t>4</w:t>
            </w:r>
          </w:p>
        </w:tc>
        <w:tc>
          <w:tcPr>
            <w:tcW w:w="4820" w:type="dxa"/>
            <w:vAlign w:val="center"/>
          </w:tcPr>
          <w:p w14:paraId="3EF4357D">
            <w:pPr>
              <w:snapToGrid w:val="0"/>
              <w:rPr>
                <w:sz w:val="24"/>
              </w:rPr>
            </w:pPr>
            <w:r>
              <w:rPr>
                <w:sz w:val="24"/>
              </w:rPr>
              <w:t>具备履行合同所必需的设备和专业技术能力的证明材料或书面声明（原件）</w:t>
            </w:r>
          </w:p>
        </w:tc>
        <w:tc>
          <w:tcPr>
            <w:tcW w:w="1843" w:type="dxa"/>
            <w:vAlign w:val="center"/>
          </w:tcPr>
          <w:p w14:paraId="39B4C7DD">
            <w:pPr>
              <w:ind w:firstLine="560"/>
              <w:jc w:val="center"/>
              <w:rPr>
                <w:rFonts w:eastAsia="仿宋_GB2312"/>
                <w:b/>
                <w:sz w:val="24"/>
                <w:szCs w:val="24"/>
              </w:rPr>
            </w:pPr>
          </w:p>
        </w:tc>
        <w:tc>
          <w:tcPr>
            <w:tcW w:w="2220" w:type="dxa"/>
            <w:vAlign w:val="center"/>
          </w:tcPr>
          <w:p w14:paraId="67643FC0">
            <w:pPr>
              <w:ind w:firstLine="560"/>
              <w:jc w:val="center"/>
              <w:rPr>
                <w:rFonts w:eastAsia="仿宋_GB2312"/>
                <w:b/>
                <w:sz w:val="24"/>
                <w:szCs w:val="24"/>
              </w:rPr>
            </w:pPr>
          </w:p>
        </w:tc>
      </w:tr>
      <w:tr w14:paraId="78278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trPr>
        <w:tc>
          <w:tcPr>
            <w:tcW w:w="747" w:type="dxa"/>
            <w:vAlign w:val="center"/>
          </w:tcPr>
          <w:p w14:paraId="5B9B43EB">
            <w:pPr>
              <w:jc w:val="center"/>
              <w:rPr>
                <w:rFonts w:eastAsia="仿宋_GB2312"/>
                <w:sz w:val="24"/>
                <w:szCs w:val="24"/>
              </w:rPr>
            </w:pPr>
            <w:r>
              <w:rPr>
                <w:rFonts w:eastAsia="仿宋_GB2312"/>
                <w:sz w:val="24"/>
                <w:szCs w:val="24"/>
              </w:rPr>
              <w:t>5</w:t>
            </w:r>
          </w:p>
        </w:tc>
        <w:tc>
          <w:tcPr>
            <w:tcW w:w="4820" w:type="dxa"/>
            <w:vAlign w:val="center"/>
          </w:tcPr>
          <w:p w14:paraId="6E897219">
            <w:pPr>
              <w:snapToGrid w:val="0"/>
              <w:rPr>
                <w:sz w:val="24"/>
              </w:rPr>
            </w:pPr>
            <w:r>
              <w:rPr>
                <w:sz w:val="24"/>
              </w:rPr>
              <w:t>参加政府采购活动前3年内在经营活动中没有重大违法记录的书面声明（原件）</w:t>
            </w:r>
          </w:p>
        </w:tc>
        <w:tc>
          <w:tcPr>
            <w:tcW w:w="1843" w:type="dxa"/>
            <w:vAlign w:val="center"/>
          </w:tcPr>
          <w:p w14:paraId="29EB2038">
            <w:pPr>
              <w:ind w:firstLine="560"/>
              <w:jc w:val="center"/>
              <w:rPr>
                <w:rFonts w:eastAsia="仿宋_GB2312"/>
                <w:b/>
                <w:sz w:val="24"/>
                <w:szCs w:val="24"/>
              </w:rPr>
            </w:pPr>
          </w:p>
        </w:tc>
        <w:tc>
          <w:tcPr>
            <w:tcW w:w="2220" w:type="dxa"/>
            <w:vAlign w:val="center"/>
          </w:tcPr>
          <w:p w14:paraId="3C3FD6FD">
            <w:pPr>
              <w:ind w:firstLine="560"/>
              <w:jc w:val="center"/>
              <w:rPr>
                <w:rFonts w:eastAsia="仿宋_GB2312"/>
                <w:b/>
                <w:sz w:val="24"/>
                <w:szCs w:val="24"/>
              </w:rPr>
            </w:pPr>
          </w:p>
        </w:tc>
      </w:tr>
      <w:tr w14:paraId="30853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747" w:type="dxa"/>
            <w:vAlign w:val="center"/>
          </w:tcPr>
          <w:p w14:paraId="20ABFD46">
            <w:pPr>
              <w:jc w:val="center"/>
              <w:rPr>
                <w:rFonts w:eastAsia="仿宋_GB2312"/>
                <w:sz w:val="24"/>
                <w:szCs w:val="24"/>
              </w:rPr>
            </w:pPr>
            <w:r>
              <w:rPr>
                <w:rFonts w:hint="eastAsia" w:eastAsia="仿宋_GB2312"/>
                <w:sz w:val="24"/>
                <w:szCs w:val="24"/>
              </w:rPr>
              <w:t>6</w:t>
            </w:r>
          </w:p>
        </w:tc>
        <w:tc>
          <w:tcPr>
            <w:tcW w:w="4820" w:type="dxa"/>
            <w:vAlign w:val="center"/>
          </w:tcPr>
          <w:p w14:paraId="01203722">
            <w:pPr>
              <w:snapToGrid w:val="0"/>
              <w:rPr>
                <w:sz w:val="24"/>
                <w:szCs w:val="24"/>
              </w:rPr>
            </w:pPr>
            <w:r>
              <w:rPr>
                <w:sz w:val="24"/>
                <w:szCs w:val="24"/>
              </w:rPr>
              <w:t>投标函</w:t>
            </w:r>
          </w:p>
        </w:tc>
        <w:tc>
          <w:tcPr>
            <w:tcW w:w="1843" w:type="dxa"/>
            <w:vAlign w:val="center"/>
          </w:tcPr>
          <w:p w14:paraId="4BEFB884">
            <w:pPr>
              <w:ind w:firstLine="560"/>
              <w:jc w:val="center"/>
              <w:rPr>
                <w:rFonts w:eastAsia="仿宋_GB2312"/>
                <w:sz w:val="24"/>
                <w:szCs w:val="24"/>
              </w:rPr>
            </w:pPr>
          </w:p>
        </w:tc>
        <w:tc>
          <w:tcPr>
            <w:tcW w:w="2220" w:type="dxa"/>
            <w:vAlign w:val="center"/>
          </w:tcPr>
          <w:p w14:paraId="46867D64">
            <w:pPr>
              <w:ind w:firstLine="560"/>
              <w:jc w:val="center"/>
              <w:rPr>
                <w:rFonts w:eastAsia="仿宋_GB2312"/>
                <w:sz w:val="24"/>
                <w:szCs w:val="24"/>
              </w:rPr>
            </w:pPr>
          </w:p>
        </w:tc>
      </w:tr>
      <w:tr w14:paraId="38D5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5" w:hRule="atLeast"/>
        </w:trPr>
        <w:tc>
          <w:tcPr>
            <w:tcW w:w="747" w:type="dxa"/>
            <w:vAlign w:val="center"/>
          </w:tcPr>
          <w:p w14:paraId="01B5B33B">
            <w:pPr>
              <w:spacing w:line="480" w:lineRule="exact"/>
              <w:jc w:val="center"/>
              <w:rPr>
                <w:sz w:val="24"/>
              </w:rPr>
            </w:pPr>
            <w:r>
              <w:rPr>
                <w:rFonts w:hint="eastAsia"/>
                <w:sz w:val="24"/>
              </w:rPr>
              <w:t>7</w:t>
            </w:r>
          </w:p>
        </w:tc>
        <w:tc>
          <w:tcPr>
            <w:tcW w:w="4820" w:type="dxa"/>
            <w:vAlign w:val="center"/>
          </w:tcPr>
          <w:p w14:paraId="32A98792">
            <w:pPr>
              <w:snapToGrid w:val="0"/>
              <w:rPr>
                <w:sz w:val="24"/>
              </w:rPr>
            </w:pPr>
            <w:r>
              <w:rPr>
                <w:sz w:val="24"/>
                <w:szCs w:val="24"/>
              </w:rPr>
              <w:t>不存在与参加本项目的其他供应商单位负责人为同一人或者存在直接控股、管理关系的承诺（原件）</w:t>
            </w:r>
          </w:p>
        </w:tc>
        <w:tc>
          <w:tcPr>
            <w:tcW w:w="1843" w:type="dxa"/>
            <w:vAlign w:val="center"/>
          </w:tcPr>
          <w:p w14:paraId="2CC2BB2B">
            <w:pPr>
              <w:ind w:firstLine="560"/>
              <w:jc w:val="center"/>
              <w:rPr>
                <w:rFonts w:eastAsia="仿宋_GB2312"/>
                <w:sz w:val="24"/>
                <w:szCs w:val="24"/>
              </w:rPr>
            </w:pPr>
          </w:p>
        </w:tc>
        <w:tc>
          <w:tcPr>
            <w:tcW w:w="2220" w:type="dxa"/>
            <w:vAlign w:val="center"/>
          </w:tcPr>
          <w:p w14:paraId="459323E8">
            <w:pPr>
              <w:ind w:firstLine="560"/>
              <w:jc w:val="center"/>
              <w:rPr>
                <w:rFonts w:eastAsia="仿宋_GB2312"/>
                <w:sz w:val="24"/>
                <w:szCs w:val="24"/>
              </w:rPr>
            </w:pPr>
          </w:p>
        </w:tc>
      </w:tr>
      <w:tr w14:paraId="34E2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6BD6106E">
            <w:pPr>
              <w:spacing w:line="480" w:lineRule="exact"/>
              <w:jc w:val="center"/>
              <w:rPr>
                <w:sz w:val="24"/>
              </w:rPr>
            </w:pPr>
            <w:r>
              <w:rPr>
                <w:rFonts w:hint="eastAsia"/>
                <w:sz w:val="24"/>
              </w:rPr>
              <w:t>8</w:t>
            </w:r>
          </w:p>
        </w:tc>
        <w:tc>
          <w:tcPr>
            <w:tcW w:w="4820" w:type="dxa"/>
            <w:vAlign w:val="center"/>
          </w:tcPr>
          <w:p w14:paraId="0E4142E0">
            <w:pPr>
              <w:snapToGrid w:val="0"/>
              <w:rPr>
                <w:sz w:val="24"/>
              </w:rPr>
            </w:pPr>
            <w:r>
              <w:rPr>
                <w:rFonts w:hint="eastAsia"/>
                <w:sz w:val="24"/>
                <w:szCs w:val="24"/>
              </w:rPr>
              <w:t>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投标文件中无需提供证明材料。</w:t>
            </w:r>
          </w:p>
        </w:tc>
        <w:tc>
          <w:tcPr>
            <w:tcW w:w="1843" w:type="dxa"/>
            <w:vAlign w:val="center"/>
          </w:tcPr>
          <w:p w14:paraId="78AF490A">
            <w:pPr>
              <w:ind w:firstLine="560"/>
              <w:jc w:val="center"/>
              <w:rPr>
                <w:rFonts w:eastAsia="仿宋_GB2312"/>
                <w:sz w:val="24"/>
                <w:szCs w:val="24"/>
              </w:rPr>
            </w:pPr>
          </w:p>
        </w:tc>
        <w:tc>
          <w:tcPr>
            <w:tcW w:w="2220" w:type="dxa"/>
            <w:vAlign w:val="center"/>
          </w:tcPr>
          <w:p w14:paraId="7791F147">
            <w:pPr>
              <w:ind w:firstLine="560"/>
              <w:jc w:val="center"/>
              <w:rPr>
                <w:rFonts w:eastAsia="仿宋_GB2312"/>
                <w:sz w:val="24"/>
                <w:szCs w:val="24"/>
              </w:rPr>
            </w:pPr>
          </w:p>
        </w:tc>
      </w:tr>
      <w:tr w14:paraId="2376D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6" w:hRule="atLeast"/>
        </w:trPr>
        <w:tc>
          <w:tcPr>
            <w:tcW w:w="747" w:type="dxa"/>
            <w:vAlign w:val="center"/>
          </w:tcPr>
          <w:p w14:paraId="60F22140">
            <w:pPr>
              <w:spacing w:line="480" w:lineRule="exact"/>
              <w:jc w:val="center"/>
              <w:rPr>
                <w:sz w:val="24"/>
              </w:rPr>
            </w:pPr>
            <w:r>
              <w:rPr>
                <w:rFonts w:hint="eastAsia"/>
                <w:sz w:val="24"/>
              </w:rPr>
              <w:t>9</w:t>
            </w:r>
          </w:p>
        </w:tc>
        <w:tc>
          <w:tcPr>
            <w:tcW w:w="4820" w:type="dxa"/>
            <w:vAlign w:val="center"/>
          </w:tcPr>
          <w:p w14:paraId="43F27283">
            <w:pPr>
              <w:snapToGrid w:val="0"/>
              <w:spacing w:line="480" w:lineRule="exact"/>
              <w:rPr>
                <w:sz w:val="24"/>
                <w:szCs w:val="24"/>
              </w:rPr>
            </w:pPr>
            <w:r>
              <w:rPr>
                <w:sz w:val="24"/>
              </w:rPr>
              <w:t>本项目不接受联合体参与</w:t>
            </w:r>
            <w:r>
              <w:rPr>
                <w:rFonts w:hint="eastAsia"/>
                <w:sz w:val="24"/>
              </w:rPr>
              <w:t>投标（原件）</w:t>
            </w:r>
          </w:p>
        </w:tc>
        <w:tc>
          <w:tcPr>
            <w:tcW w:w="1843" w:type="dxa"/>
            <w:vAlign w:val="center"/>
          </w:tcPr>
          <w:p w14:paraId="471FD266">
            <w:pPr>
              <w:ind w:firstLine="560"/>
              <w:jc w:val="center"/>
              <w:rPr>
                <w:rFonts w:eastAsia="仿宋_GB2312"/>
                <w:sz w:val="24"/>
                <w:szCs w:val="24"/>
              </w:rPr>
            </w:pPr>
          </w:p>
        </w:tc>
        <w:tc>
          <w:tcPr>
            <w:tcW w:w="2220" w:type="dxa"/>
            <w:vAlign w:val="center"/>
          </w:tcPr>
          <w:p w14:paraId="2AD75F7C">
            <w:pPr>
              <w:ind w:firstLine="560"/>
              <w:jc w:val="center"/>
              <w:rPr>
                <w:rFonts w:eastAsia="仿宋_GB2312"/>
                <w:sz w:val="24"/>
                <w:szCs w:val="24"/>
              </w:rPr>
            </w:pPr>
          </w:p>
        </w:tc>
      </w:tr>
      <w:tr w14:paraId="62CD5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6" w:hRule="atLeast"/>
        </w:trPr>
        <w:tc>
          <w:tcPr>
            <w:tcW w:w="747" w:type="dxa"/>
            <w:vAlign w:val="center"/>
          </w:tcPr>
          <w:p w14:paraId="20FD1340">
            <w:pPr>
              <w:spacing w:line="480" w:lineRule="exact"/>
              <w:jc w:val="center"/>
              <w:rPr>
                <w:sz w:val="24"/>
              </w:rPr>
            </w:pPr>
            <w:r>
              <w:rPr>
                <w:rFonts w:hint="eastAsia"/>
                <w:sz w:val="24"/>
              </w:rPr>
              <w:t>10</w:t>
            </w:r>
          </w:p>
        </w:tc>
        <w:tc>
          <w:tcPr>
            <w:tcW w:w="4820" w:type="dxa"/>
            <w:vAlign w:val="center"/>
          </w:tcPr>
          <w:p w14:paraId="27D82FC8">
            <w:pPr>
              <w:snapToGrid w:val="0"/>
              <w:rPr>
                <w:sz w:val="24"/>
              </w:rPr>
            </w:pPr>
            <w:r>
              <w:rPr>
                <w:rFonts w:hint="eastAsia"/>
                <w:sz w:val="24"/>
                <w:szCs w:val="24"/>
              </w:rPr>
              <w:t>供应商应具有</w:t>
            </w:r>
            <w:r>
              <w:rPr>
                <w:rFonts w:hint="eastAsia"/>
                <w:sz w:val="24"/>
                <w:szCs w:val="24"/>
                <w:lang w:val="zh-CN"/>
              </w:rPr>
              <w:t>经营公路运输业务的《道路运输经营许可证》，</w:t>
            </w:r>
            <w:r>
              <w:rPr>
                <w:rFonts w:hint="eastAsia"/>
                <w:sz w:val="24"/>
                <w:szCs w:val="24"/>
              </w:rPr>
              <w:t>提供证书</w:t>
            </w:r>
            <w:r>
              <w:rPr>
                <w:rFonts w:hint="eastAsia"/>
                <w:sz w:val="24"/>
                <w:szCs w:val="24"/>
                <w:lang w:val="zh-CN"/>
              </w:rPr>
              <w:t>【</w:t>
            </w:r>
            <w:r>
              <w:rPr>
                <w:rFonts w:hint="eastAsia"/>
                <w:sz w:val="24"/>
                <w:szCs w:val="24"/>
              </w:rPr>
              <w:t>复印件加盖公章</w:t>
            </w:r>
            <w:r>
              <w:rPr>
                <w:rFonts w:hint="eastAsia"/>
                <w:sz w:val="24"/>
                <w:szCs w:val="24"/>
                <w:lang w:val="zh-CN"/>
              </w:rPr>
              <w:t>】</w:t>
            </w:r>
          </w:p>
        </w:tc>
        <w:tc>
          <w:tcPr>
            <w:tcW w:w="1843" w:type="dxa"/>
            <w:vAlign w:val="center"/>
          </w:tcPr>
          <w:p w14:paraId="2BADC19B">
            <w:pPr>
              <w:ind w:firstLine="560"/>
              <w:jc w:val="center"/>
              <w:rPr>
                <w:rFonts w:eastAsia="仿宋_GB2312"/>
                <w:sz w:val="24"/>
                <w:szCs w:val="24"/>
              </w:rPr>
            </w:pPr>
          </w:p>
        </w:tc>
        <w:tc>
          <w:tcPr>
            <w:tcW w:w="2220" w:type="dxa"/>
            <w:vAlign w:val="center"/>
          </w:tcPr>
          <w:p w14:paraId="43E928C1">
            <w:pPr>
              <w:ind w:firstLine="560"/>
              <w:jc w:val="center"/>
              <w:rPr>
                <w:rFonts w:eastAsia="仿宋_GB2312"/>
                <w:sz w:val="24"/>
                <w:szCs w:val="24"/>
              </w:rPr>
            </w:pPr>
          </w:p>
        </w:tc>
      </w:tr>
    </w:tbl>
    <w:p w14:paraId="7BC0DDF4">
      <w:pPr>
        <w:snapToGrid w:val="0"/>
        <w:spacing w:before="50" w:after="145" w:afterLines="50" w:line="520" w:lineRule="exact"/>
        <w:jc w:val="left"/>
        <w:rPr>
          <w:b/>
          <w:sz w:val="24"/>
        </w:rPr>
      </w:pPr>
      <w:r>
        <w:rPr>
          <w:b/>
          <w:sz w:val="24"/>
        </w:rPr>
        <w:t>备注：1.</w:t>
      </w:r>
      <w:r>
        <w:rPr>
          <w:rFonts w:hint="eastAsia" w:ascii="宋体" w:hAnsi="宋体"/>
          <w:b/>
          <w:i/>
          <w:sz w:val="24"/>
          <w:szCs w:val="24"/>
          <w:u w:val="single"/>
        </w:rPr>
        <w:t xml:space="preserve"> 以上涉及到的资格证明文件（除文件8）须清晰可见相关内容，并加盖公章，否则视为无效响应。</w:t>
      </w:r>
    </w:p>
    <w:p w14:paraId="310FCAA2">
      <w:pPr>
        <w:snapToGrid w:val="0"/>
        <w:spacing w:before="50" w:after="145" w:afterLines="50" w:line="520" w:lineRule="exact"/>
        <w:ind w:firstLine="720" w:firstLineChars="300"/>
        <w:jc w:val="left"/>
        <w:rPr>
          <w:sz w:val="24"/>
          <w:szCs w:val="24"/>
        </w:rPr>
      </w:pPr>
      <w:r>
        <w:rPr>
          <w:sz w:val="24"/>
          <w:szCs w:val="24"/>
        </w:rPr>
        <w:t>2.上述是对供应商资格审查时，供应商必须提供的资格证明文件，如供应商未能提供上述资格证明文件以及供应商资质条件不符合</w:t>
      </w:r>
      <w:r>
        <w:rPr>
          <w:rFonts w:hint="eastAsia"/>
          <w:sz w:val="24"/>
          <w:szCs w:val="24"/>
        </w:rPr>
        <w:t>招标</w:t>
      </w:r>
      <w:r>
        <w:rPr>
          <w:sz w:val="24"/>
          <w:szCs w:val="24"/>
        </w:rPr>
        <w:t>文件要求的将取消其继续参加</w:t>
      </w:r>
      <w:r>
        <w:rPr>
          <w:rFonts w:hint="eastAsia"/>
          <w:sz w:val="24"/>
          <w:szCs w:val="24"/>
        </w:rPr>
        <w:t>评标</w:t>
      </w:r>
      <w:r>
        <w:rPr>
          <w:sz w:val="24"/>
          <w:szCs w:val="24"/>
        </w:rPr>
        <w:t>的资格。</w:t>
      </w:r>
    </w:p>
    <w:p w14:paraId="45DD7F65">
      <w:pPr>
        <w:spacing w:line="470" w:lineRule="exact"/>
        <w:ind w:firstLine="756" w:firstLineChars="315"/>
        <w:rPr>
          <w:sz w:val="24"/>
        </w:rPr>
      </w:pPr>
      <w:r>
        <w:rPr>
          <w:sz w:val="24"/>
          <w:szCs w:val="24"/>
        </w:rPr>
        <w:t>3.供应商所提供的资格证明材料应真实、有效，装备中心及采购人保留对供应商提供的资格证明材料进行核查的权利。如发现供应商提供虚假资格证明材料，一经查实作无效响应处理。</w:t>
      </w:r>
    </w:p>
    <w:p w14:paraId="5D6D17A9">
      <w:pPr>
        <w:spacing w:line="440" w:lineRule="exact"/>
        <w:jc w:val="center"/>
      </w:pPr>
    </w:p>
    <w:p w14:paraId="3D31A3A8">
      <w:pPr>
        <w:widowControl/>
        <w:jc w:val="left"/>
      </w:pPr>
    </w:p>
    <w:p w14:paraId="34604823">
      <w:pPr>
        <w:widowControl/>
        <w:jc w:val="left"/>
        <w:rPr>
          <w:b/>
          <w:sz w:val="32"/>
          <w:szCs w:val="24"/>
        </w:rPr>
      </w:pPr>
      <w:r>
        <w:rPr>
          <w:b/>
          <w:sz w:val="32"/>
          <w:szCs w:val="24"/>
        </w:rPr>
        <w:br w:type="page"/>
      </w:r>
    </w:p>
    <w:p w14:paraId="6CBC33F7">
      <w:pPr>
        <w:pStyle w:val="4"/>
        <w:spacing w:before="0" w:after="0" w:line="538" w:lineRule="exact"/>
        <w:ind w:firstLine="482" w:firstLineChars="150"/>
        <w:jc w:val="center"/>
      </w:pPr>
      <w:r>
        <w:rPr>
          <w:rFonts w:hint="eastAsia"/>
        </w:rPr>
        <w:t>符合性响应审查对照表</w:t>
      </w:r>
    </w:p>
    <w:p w14:paraId="0B226EFD">
      <w:pPr>
        <w:ind w:firstLine="480" w:firstLineChars="200"/>
        <w:rPr>
          <w:sz w:val="24"/>
          <w:szCs w:val="24"/>
        </w:rPr>
      </w:pPr>
      <w:r>
        <w:rPr>
          <w:sz w:val="24"/>
          <w:szCs w:val="24"/>
        </w:rPr>
        <w:t>供应商全称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p>
    <w:p w14:paraId="430894E2">
      <w:pPr>
        <w:ind w:firstLine="480" w:firstLineChars="200"/>
        <w:rPr>
          <w:sz w:val="24"/>
          <w:szCs w:val="24"/>
        </w:rPr>
      </w:pPr>
      <w:r>
        <w:rPr>
          <w:sz w:val="24"/>
          <w:szCs w:val="24"/>
        </w:rPr>
        <w:t>项目名称：</w:t>
      </w:r>
      <w:r>
        <w:rPr>
          <w:rFonts w:hint="eastAsia"/>
          <w:sz w:val="24"/>
          <w:szCs w:val="24"/>
        </w:rPr>
        <w:t xml:space="preserve">                 </w:t>
      </w:r>
    </w:p>
    <w:tbl>
      <w:tblPr>
        <w:tblStyle w:val="39"/>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820"/>
        <w:gridCol w:w="1843"/>
        <w:gridCol w:w="2220"/>
      </w:tblGrid>
      <w:tr w14:paraId="4377E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tcBorders>
              <w:top w:val="single" w:color="auto" w:sz="4" w:space="0"/>
              <w:left w:val="single" w:color="auto" w:sz="4" w:space="0"/>
              <w:bottom w:val="single" w:color="auto" w:sz="4" w:space="0"/>
              <w:right w:val="single" w:color="auto" w:sz="4" w:space="0"/>
            </w:tcBorders>
            <w:vAlign w:val="center"/>
          </w:tcPr>
          <w:p w14:paraId="3B448C0D">
            <w:pPr>
              <w:jc w:val="center"/>
              <w:rPr>
                <w:sz w:val="24"/>
                <w:szCs w:val="24"/>
              </w:rPr>
            </w:pPr>
            <w:r>
              <w:rPr>
                <w:sz w:val="24"/>
                <w:szCs w:val="24"/>
              </w:rPr>
              <w:t>序号</w:t>
            </w:r>
          </w:p>
        </w:tc>
        <w:tc>
          <w:tcPr>
            <w:tcW w:w="4820" w:type="dxa"/>
            <w:tcBorders>
              <w:top w:val="single" w:color="auto" w:sz="4" w:space="0"/>
              <w:left w:val="single" w:color="auto" w:sz="4" w:space="0"/>
              <w:bottom w:val="single" w:color="auto" w:sz="4" w:space="0"/>
              <w:right w:val="single" w:color="auto" w:sz="4" w:space="0"/>
            </w:tcBorders>
            <w:vAlign w:val="center"/>
          </w:tcPr>
          <w:p w14:paraId="4FBDA26B">
            <w:pPr>
              <w:jc w:val="center"/>
              <w:rPr>
                <w:sz w:val="24"/>
                <w:szCs w:val="24"/>
              </w:rPr>
            </w:pPr>
            <w:r>
              <w:rPr>
                <w:sz w:val="24"/>
                <w:szCs w:val="24"/>
              </w:rPr>
              <w:t>符合性响应</w:t>
            </w:r>
            <w:r>
              <w:rPr>
                <w:rFonts w:hint="eastAsia"/>
                <w:sz w:val="24"/>
                <w:szCs w:val="24"/>
              </w:rPr>
              <w:t>审</w:t>
            </w:r>
            <w:r>
              <w:rPr>
                <w:sz w:val="24"/>
                <w:szCs w:val="24"/>
              </w:rPr>
              <w:t>查内容</w:t>
            </w:r>
          </w:p>
        </w:tc>
        <w:tc>
          <w:tcPr>
            <w:tcW w:w="1843" w:type="dxa"/>
            <w:tcBorders>
              <w:top w:val="single" w:color="auto" w:sz="4" w:space="0"/>
              <w:left w:val="single" w:color="auto" w:sz="4" w:space="0"/>
              <w:bottom w:val="single" w:color="auto" w:sz="4" w:space="0"/>
              <w:right w:val="single" w:color="auto" w:sz="4" w:space="0"/>
            </w:tcBorders>
            <w:vAlign w:val="center"/>
          </w:tcPr>
          <w:p w14:paraId="390CB897">
            <w:pPr>
              <w:jc w:val="center"/>
              <w:rPr>
                <w:sz w:val="24"/>
                <w:szCs w:val="24"/>
              </w:rPr>
            </w:pPr>
            <w:r>
              <w:rPr>
                <w:sz w:val="24"/>
                <w:szCs w:val="24"/>
              </w:rPr>
              <w:t>是否响应</w:t>
            </w:r>
          </w:p>
          <w:p w14:paraId="38124AE7">
            <w:pPr>
              <w:jc w:val="center"/>
              <w:rPr>
                <w:sz w:val="24"/>
                <w:szCs w:val="24"/>
              </w:rPr>
            </w:pPr>
            <w:r>
              <w:rPr>
                <w:sz w:val="24"/>
                <w:szCs w:val="24"/>
              </w:rPr>
              <w:t>（填是或者否）</w:t>
            </w:r>
          </w:p>
        </w:tc>
        <w:tc>
          <w:tcPr>
            <w:tcW w:w="2220" w:type="dxa"/>
            <w:tcBorders>
              <w:top w:val="single" w:color="auto" w:sz="4" w:space="0"/>
              <w:left w:val="single" w:color="auto" w:sz="4" w:space="0"/>
              <w:bottom w:val="single" w:color="auto" w:sz="4" w:space="0"/>
              <w:right w:val="single" w:color="auto" w:sz="4" w:space="0"/>
            </w:tcBorders>
            <w:vAlign w:val="center"/>
          </w:tcPr>
          <w:p w14:paraId="30D055C9">
            <w:pPr>
              <w:jc w:val="center"/>
              <w:rPr>
                <w:sz w:val="24"/>
                <w:szCs w:val="24"/>
              </w:rPr>
            </w:pPr>
            <w:r>
              <w:rPr>
                <w:sz w:val="24"/>
                <w:szCs w:val="24"/>
              </w:rPr>
              <w:t>供应商制作的</w:t>
            </w:r>
            <w:r>
              <w:rPr>
                <w:rFonts w:hint="eastAsia"/>
                <w:sz w:val="24"/>
                <w:szCs w:val="24"/>
              </w:rPr>
              <w:t>投标</w:t>
            </w:r>
            <w:r>
              <w:rPr>
                <w:sz w:val="24"/>
                <w:szCs w:val="24"/>
              </w:rPr>
              <w:t>文件中的页码位置</w:t>
            </w:r>
          </w:p>
        </w:tc>
      </w:tr>
      <w:tr w14:paraId="779D6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vAlign w:val="center"/>
          </w:tcPr>
          <w:p w14:paraId="68D953FD">
            <w:pPr>
              <w:spacing w:line="480" w:lineRule="exact"/>
              <w:jc w:val="center"/>
              <w:rPr>
                <w:sz w:val="24"/>
                <w:szCs w:val="24"/>
              </w:rPr>
            </w:pPr>
            <w:r>
              <w:rPr>
                <w:sz w:val="24"/>
                <w:szCs w:val="24"/>
              </w:rPr>
              <w:t>1</w:t>
            </w:r>
          </w:p>
        </w:tc>
        <w:tc>
          <w:tcPr>
            <w:tcW w:w="4820" w:type="dxa"/>
            <w:vAlign w:val="center"/>
          </w:tcPr>
          <w:p w14:paraId="7477F1A4">
            <w:pPr>
              <w:snapToGrid w:val="0"/>
              <w:spacing w:line="480" w:lineRule="exact"/>
              <w:rPr>
                <w:sz w:val="24"/>
                <w:szCs w:val="24"/>
              </w:rPr>
            </w:pPr>
            <w:r>
              <w:rPr>
                <w:sz w:val="24"/>
                <w:szCs w:val="24"/>
              </w:rPr>
              <w:t>投标报价是固定唯一的</w:t>
            </w:r>
          </w:p>
        </w:tc>
        <w:tc>
          <w:tcPr>
            <w:tcW w:w="1843" w:type="dxa"/>
            <w:vAlign w:val="center"/>
          </w:tcPr>
          <w:p w14:paraId="387E0D86">
            <w:pPr>
              <w:ind w:firstLine="560"/>
              <w:jc w:val="center"/>
              <w:rPr>
                <w:rFonts w:eastAsia="仿宋_GB2312"/>
                <w:sz w:val="24"/>
                <w:szCs w:val="24"/>
              </w:rPr>
            </w:pPr>
          </w:p>
        </w:tc>
        <w:tc>
          <w:tcPr>
            <w:tcW w:w="2220" w:type="dxa"/>
            <w:vAlign w:val="center"/>
          </w:tcPr>
          <w:p w14:paraId="56D9ABB7">
            <w:pPr>
              <w:ind w:firstLine="560"/>
              <w:jc w:val="center"/>
              <w:rPr>
                <w:rFonts w:eastAsia="仿宋_GB2312"/>
                <w:sz w:val="24"/>
                <w:szCs w:val="24"/>
              </w:rPr>
            </w:pPr>
          </w:p>
        </w:tc>
      </w:tr>
      <w:tr w14:paraId="61663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vAlign w:val="center"/>
          </w:tcPr>
          <w:p w14:paraId="6C086F2D">
            <w:pPr>
              <w:snapToGrid w:val="0"/>
              <w:spacing w:line="480" w:lineRule="exact"/>
              <w:jc w:val="center"/>
              <w:rPr>
                <w:sz w:val="24"/>
                <w:szCs w:val="24"/>
              </w:rPr>
            </w:pPr>
            <w:r>
              <w:rPr>
                <w:sz w:val="24"/>
                <w:szCs w:val="24"/>
              </w:rPr>
              <w:t>2</w:t>
            </w:r>
          </w:p>
        </w:tc>
        <w:tc>
          <w:tcPr>
            <w:tcW w:w="4820" w:type="dxa"/>
            <w:vAlign w:val="center"/>
          </w:tcPr>
          <w:p w14:paraId="1A9DF4A1">
            <w:pPr>
              <w:snapToGrid w:val="0"/>
              <w:spacing w:line="480" w:lineRule="exact"/>
              <w:rPr>
                <w:sz w:val="24"/>
                <w:szCs w:val="24"/>
              </w:rPr>
            </w:pPr>
            <w:r>
              <w:rPr>
                <w:sz w:val="24"/>
                <w:szCs w:val="24"/>
              </w:rPr>
              <w:t>投标报价不超过采购预算（最高限价）</w:t>
            </w:r>
          </w:p>
        </w:tc>
        <w:tc>
          <w:tcPr>
            <w:tcW w:w="1843" w:type="dxa"/>
            <w:vAlign w:val="center"/>
          </w:tcPr>
          <w:p w14:paraId="38BE91E4">
            <w:pPr>
              <w:ind w:firstLine="560"/>
              <w:jc w:val="center"/>
              <w:rPr>
                <w:rFonts w:eastAsia="仿宋_GB2312"/>
                <w:sz w:val="24"/>
                <w:szCs w:val="24"/>
              </w:rPr>
            </w:pPr>
          </w:p>
        </w:tc>
        <w:tc>
          <w:tcPr>
            <w:tcW w:w="2220" w:type="dxa"/>
            <w:vAlign w:val="center"/>
          </w:tcPr>
          <w:p w14:paraId="01EFA3A9">
            <w:pPr>
              <w:ind w:firstLine="560"/>
              <w:jc w:val="center"/>
              <w:rPr>
                <w:rFonts w:eastAsia="仿宋_GB2312"/>
                <w:sz w:val="24"/>
                <w:szCs w:val="24"/>
              </w:rPr>
            </w:pPr>
          </w:p>
        </w:tc>
      </w:tr>
      <w:tr w14:paraId="3AC92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747" w:type="dxa"/>
            <w:vAlign w:val="center"/>
          </w:tcPr>
          <w:p w14:paraId="2957F196">
            <w:pPr>
              <w:snapToGrid w:val="0"/>
              <w:spacing w:line="480" w:lineRule="exact"/>
              <w:jc w:val="center"/>
              <w:rPr>
                <w:sz w:val="24"/>
                <w:szCs w:val="24"/>
              </w:rPr>
            </w:pPr>
            <w:r>
              <w:rPr>
                <w:sz w:val="24"/>
                <w:szCs w:val="24"/>
              </w:rPr>
              <w:t>3</w:t>
            </w:r>
          </w:p>
        </w:tc>
        <w:tc>
          <w:tcPr>
            <w:tcW w:w="4820" w:type="dxa"/>
            <w:vAlign w:val="center"/>
          </w:tcPr>
          <w:p w14:paraId="2DDBCD07">
            <w:pPr>
              <w:snapToGrid w:val="0"/>
              <w:spacing w:line="480" w:lineRule="exact"/>
              <w:rPr>
                <w:sz w:val="24"/>
                <w:szCs w:val="24"/>
              </w:rPr>
            </w:pPr>
            <w:r>
              <w:rPr>
                <w:sz w:val="24"/>
                <w:szCs w:val="24"/>
              </w:rPr>
              <w:t>投标有效期为</w:t>
            </w:r>
            <w:r>
              <w:rPr>
                <w:bCs/>
                <w:sz w:val="24"/>
              </w:rPr>
              <w:t>开标之日后</w:t>
            </w:r>
            <w:r>
              <w:rPr>
                <w:sz w:val="24"/>
                <w:szCs w:val="24"/>
              </w:rPr>
              <w:t>60天</w:t>
            </w:r>
          </w:p>
        </w:tc>
        <w:tc>
          <w:tcPr>
            <w:tcW w:w="1843" w:type="dxa"/>
            <w:vAlign w:val="center"/>
          </w:tcPr>
          <w:p w14:paraId="64554E99">
            <w:pPr>
              <w:ind w:firstLine="560"/>
              <w:jc w:val="center"/>
              <w:rPr>
                <w:rFonts w:eastAsia="仿宋_GB2312"/>
                <w:sz w:val="24"/>
                <w:szCs w:val="24"/>
              </w:rPr>
            </w:pPr>
          </w:p>
        </w:tc>
        <w:tc>
          <w:tcPr>
            <w:tcW w:w="2220" w:type="dxa"/>
            <w:vAlign w:val="center"/>
          </w:tcPr>
          <w:p w14:paraId="37B5213E">
            <w:pPr>
              <w:ind w:firstLine="560"/>
              <w:jc w:val="center"/>
              <w:rPr>
                <w:rFonts w:eastAsia="仿宋_GB2312"/>
                <w:sz w:val="24"/>
                <w:szCs w:val="24"/>
              </w:rPr>
            </w:pPr>
          </w:p>
        </w:tc>
      </w:tr>
      <w:tr w14:paraId="22A8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515C7B18">
            <w:pPr>
              <w:snapToGrid w:val="0"/>
              <w:spacing w:line="480" w:lineRule="exact"/>
              <w:jc w:val="center"/>
              <w:rPr>
                <w:sz w:val="24"/>
                <w:szCs w:val="24"/>
              </w:rPr>
            </w:pPr>
            <w:r>
              <w:rPr>
                <w:rFonts w:hint="eastAsia"/>
                <w:sz w:val="24"/>
                <w:szCs w:val="24"/>
              </w:rPr>
              <w:t>4</w:t>
            </w:r>
          </w:p>
        </w:tc>
        <w:tc>
          <w:tcPr>
            <w:tcW w:w="4820" w:type="dxa"/>
            <w:vAlign w:val="center"/>
          </w:tcPr>
          <w:p w14:paraId="63EB290C">
            <w:pPr>
              <w:snapToGrid w:val="0"/>
              <w:spacing w:line="480" w:lineRule="exact"/>
              <w:rPr>
                <w:sz w:val="24"/>
                <w:szCs w:val="24"/>
              </w:rPr>
            </w:pPr>
            <w:r>
              <w:rPr>
                <w:sz w:val="24"/>
                <w:szCs w:val="24"/>
              </w:rPr>
              <w:t>投标文件内容基本完整，无重大错漏，并按要求签署、盖章</w:t>
            </w:r>
          </w:p>
        </w:tc>
        <w:tc>
          <w:tcPr>
            <w:tcW w:w="1843" w:type="dxa"/>
            <w:vAlign w:val="center"/>
          </w:tcPr>
          <w:p w14:paraId="4F92AFB0">
            <w:pPr>
              <w:ind w:firstLine="560"/>
              <w:jc w:val="center"/>
              <w:rPr>
                <w:rFonts w:eastAsia="仿宋_GB2312"/>
                <w:sz w:val="24"/>
                <w:szCs w:val="24"/>
              </w:rPr>
            </w:pPr>
          </w:p>
        </w:tc>
        <w:tc>
          <w:tcPr>
            <w:tcW w:w="2220" w:type="dxa"/>
            <w:vAlign w:val="center"/>
          </w:tcPr>
          <w:p w14:paraId="496AD638">
            <w:pPr>
              <w:ind w:firstLine="560"/>
              <w:jc w:val="center"/>
              <w:rPr>
                <w:rFonts w:eastAsia="仿宋_GB2312"/>
                <w:sz w:val="24"/>
                <w:szCs w:val="24"/>
              </w:rPr>
            </w:pPr>
          </w:p>
        </w:tc>
      </w:tr>
      <w:tr w14:paraId="293F2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45FF5E58">
            <w:pPr>
              <w:snapToGrid w:val="0"/>
              <w:spacing w:line="480" w:lineRule="exact"/>
              <w:jc w:val="center"/>
              <w:rPr>
                <w:sz w:val="24"/>
                <w:szCs w:val="24"/>
              </w:rPr>
            </w:pPr>
            <w:r>
              <w:rPr>
                <w:rFonts w:hint="eastAsia"/>
                <w:sz w:val="24"/>
                <w:szCs w:val="24"/>
              </w:rPr>
              <w:t>5</w:t>
            </w:r>
          </w:p>
        </w:tc>
        <w:tc>
          <w:tcPr>
            <w:tcW w:w="4820" w:type="dxa"/>
            <w:vAlign w:val="center"/>
          </w:tcPr>
          <w:p w14:paraId="70D32D08">
            <w:pPr>
              <w:snapToGrid w:val="0"/>
              <w:spacing w:line="480" w:lineRule="exact"/>
              <w:rPr>
                <w:sz w:val="24"/>
              </w:rPr>
            </w:pPr>
            <w:r>
              <w:rPr>
                <w:sz w:val="24"/>
                <w:szCs w:val="24"/>
              </w:rPr>
              <w:t>法定代表人/负责人资格证明书或授权委托书，按对应格式文件签署、盖章，真实有效</w:t>
            </w:r>
          </w:p>
        </w:tc>
        <w:tc>
          <w:tcPr>
            <w:tcW w:w="1843" w:type="dxa"/>
            <w:vAlign w:val="center"/>
          </w:tcPr>
          <w:p w14:paraId="70738EA7">
            <w:pPr>
              <w:ind w:firstLine="560"/>
              <w:jc w:val="center"/>
              <w:rPr>
                <w:rFonts w:eastAsia="仿宋_GB2312"/>
                <w:sz w:val="24"/>
                <w:szCs w:val="24"/>
              </w:rPr>
            </w:pPr>
          </w:p>
        </w:tc>
        <w:tc>
          <w:tcPr>
            <w:tcW w:w="2220" w:type="dxa"/>
            <w:vAlign w:val="center"/>
          </w:tcPr>
          <w:p w14:paraId="1C349B86">
            <w:pPr>
              <w:ind w:firstLine="560"/>
              <w:jc w:val="center"/>
              <w:rPr>
                <w:rFonts w:eastAsia="仿宋_GB2312"/>
                <w:sz w:val="24"/>
                <w:szCs w:val="24"/>
              </w:rPr>
            </w:pPr>
          </w:p>
        </w:tc>
      </w:tr>
      <w:tr w14:paraId="6F80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7764C8CD">
            <w:pPr>
              <w:snapToGrid w:val="0"/>
              <w:spacing w:line="480" w:lineRule="exact"/>
              <w:jc w:val="center"/>
              <w:rPr>
                <w:sz w:val="24"/>
                <w:szCs w:val="24"/>
              </w:rPr>
            </w:pPr>
            <w:r>
              <w:rPr>
                <w:rFonts w:hint="eastAsia"/>
                <w:sz w:val="24"/>
                <w:szCs w:val="24"/>
              </w:rPr>
              <w:t>6</w:t>
            </w:r>
          </w:p>
        </w:tc>
        <w:tc>
          <w:tcPr>
            <w:tcW w:w="4820" w:type="dxa"/>
            <w:vAlign w:val="center"/>
          </w:tcPr>
          <w:p w14:paraId="70784A32">
            <w:pPr>
              <w:snapToGrid w:val="0"/>
              <w:spacing w:line="480" w:lineRule="exact"/>
              <w:rPr>
                <w:sz w:val="24"/>
                <w:szCs w:val="24"/>
              </w:rPr>
            </w:pPr>
            <w:r>
              <w:rPr>
                <w:sz w:val="24"/>
                <w:szCs w:val="24"/>
              </w:rPr>
              <w:t>投标文件实质性响应招标文件技术和商务条款要求（</w:t>
            </w:r>
            <w:r>
              <w:rPr>
                <w:i/>
                <w:sz w:val="24"/>
                <w:szCs w:val="24"/>
                <w:u w:val="single"/>
              </w:rPr>
              <w:t>即斜体下划线条款</w:t>
            </w:r>
            <w:r>
              <w:rPr>
                <w:sz w:val="24"/>
                <w:szCs w:val="24"/>
              </w:rPr>
              <w:t>）</w:t>
            </w:r>
            <w:r>
              <w:rPr>
                <w:rFonts w:hint="eastAsia"/>
                <w:sz w:val="24"/>
                <w:szCs w:val="24"/>
              </w:rPr>
              <w:t>（提供相关证明材料或加盖供应商公章的书面承诺）</w:t>
            </w:r>
          </w:p>
        </w:tc>
        <w:tc>
          <w:tcPr>
            <w:tcW w:w="1843" w:type="dxa"/>
            <w:vAlign w:val="center"/>
          </w:tcPr>
          <w:p w14:paraId="51C34564">
            <w:pPr>
              <w:ind w:firstLine="560"/>
              <w:jc w:val="center"/>
              <w:rPr>
                <w:rFonts w:eastAsia="仿宋_GB2312"/>
                <w:sz w:val="24"/>
                <w:szCs w:val="24"/>
              </w:rPr>
            </w:pPr>
          </w:p>
        </w:tc>
        <w:tc>
          <w:tcPr>
            <w:tcW w:w="2220" w:type="dxa"/>
            <w:vAlign w:val="center"/>
          </w:tcPr>
          <w:p w14:paraId="4B49F674">
            <w:pPr>
              <w:ind w:firstLine="560"/>
              <w:jc w:val="center"/>
              <w:rPr>
                <w:rFonts w:eastAsia="仿宋_GB2312"/>
                <w:sz w:val="24"/>
                <w:szCs w:val="24"/>
              </w:rPr>
            </w:pPr>
          </w:p>
        </w:tc>
      </w:tr>
      <w:tr w14:paraId="0709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vAlign w:val="center"/>
          </w:tcPr>
          <w:p w14:paraId="32B72E55">
            <w:pPr>
              <w:snapToGrid w:val="0"/>
              <w:spacing w:line="480" w:lineRule="exact"/>
              <w:jc w:val="center"/>
              <w:rPr>
                <w:sz w:val="24"/>
                <w:szCs w:val="24"/>
              </w:rPr>
            </w:pPr>
            <w:r>
              <w:rPr>
                <w:rFonts w:hint="eastAsia"/>
                <w:sz w:val="24"/>
                <w:szCs w:val="24"/>
              </w:rPr>
              <w:t>7</w:t>
            </w:r>
          </w:p>
        </w:tc>
        <w:tc>
          <w:tcPr>
            <w:tcW w:w="4820" w:type="dxa"/>
            <w:vAlign w:val="center"/>
          </w:tcPr>
          <w:p w14:paraId="387940E1">
            <w:pPr>
              <w:snapToGrid w:val="0"/>
              <w:spacing w:line="480" w:lineRule="exact"/>
              <w:rPr>
                <w:sz w:val="24"/>
                <w:szCs w:val="24"/>
              </w:rPr>
            </w:pPr>
            <w:r>
              <w:rPr>
                <w:sz w:val="24"/>
                <w:szCs w:val="24"/>
              </w:rPr>
              <w:t>无招标文件中规定的被视为无效响应的其它条款</w:t>
            </w:r>
          </w:p>
        </w:tc>
        <w:tc>
          <w:tcPr>
            <w:tcW w:w="1843" w:type="dxa"/>
            <w:vAlign w:val="center"/>
          </w:tcPr>
          <w:p w14:paraId="1EBAD4F4">
            <w:pPr>
              <w:ind w:firstLine="560"/>
              <w:jc w:val="center"/>
              <w:rPr>
                <w:rFonts w:eastAsia="仿宋_GB2312"/>
                <w:sz w:val="24"/>
                <w:szCs w:val="24"/>
              </w:rPr>
            </w:pPr>
          </w:p>
        </w:tc>
        <w:tc>
          <w:tcPr>
            <w:tcW w:w="2220" w:type="dxa"/>
            <w:vAlign w:val="center"/>
          </w:tcPr>
          <w:p w14:paraId="0088469F">
            <w:pPr>
              <w:ind w:firstLine="560"/>
              <w:jc w:val="center"/>
              <w:rPr>
                <w:rFonts w:eastAsia="仿宋_GB2312"/>
                <w:sz w:val="24"/>
                <w:szCs w:val="24"/>
              </w:rPr>
            </w:pPr>
          </w:p>
        </w:tc>
      </w:tr>
      <w:tr w14:paraId="6FF4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vAlign w:val="center"/>
          </w:tcPr>
          <w:p w14:paraId="24F50C9E">
            <w:pPr>
              <w:snapToGrid w:val="0"/>
              <w:spacing w:line="480" w:lineRule="exact"/>
              <w:jc w:val="center"/>
              <w:rPr>
                <w:sz w:val="24"/>
                <w:szCs w:val="24"/>
              </w:rPr>
            </w:pPr>
            <w:r>
              <w:rPr>
                <w:rFonts w:hint="eastAsia"/>
                <w:sz w:val="24"/>
                <w:szCs w:val="24"/>
              </w:rPr>
              <w:t>8</w:t>
            </w:r>
          </w:p>
        </w:tc>
        <w:tc>
          <w:tcPr>
            <w:tcW w:w="4820" w:type="dxa"/>
            <w:vAlign w:val="center"/>
          </w:tcPr>
          <w:p w14:paraId="67F1DBA1">
            <w:pPr>
              <w:snapToGrid w:val="0"/>
              <w:spacing w:line="480" w:lineRule="exact"/>
              <w:rPr>
                <w:sz w:val="24"/>
                <w:szCs w:val="24"/>
              </w:rPr>
            </w:pPr>
            <w:r>
              <w:rPr>
                <w:sz w:val="24"/>
                <w:szCs w:val="24"/>
              </w:rPr>
              <w:t>投标文件未含有采购人不能接受的附加条件</w:t>
            </w:r>
          </w:p>
        </w:tc>
        <w:tc>
          <w:tcPr>
            <w:tcW w:w="1843" w:type="dxa"/>
            <w:vAlign w:val="center"/>
          </w:tcPr>
          <w:p w14:paraId="4483A9F5">
            <w:pPr>
              <w:ind w:firstLine="560"/>
              <w:jc w:val="center"/>
              <w:rPr>
                <w:rFonts w:eastAsia="仿宋_GB2312"/>
                <w:sz w:val="24"/>
                <w:szCs w:val="24"/>
              </w:rPr>
            </w:pPr>
          </w:p>
        </w:tc>
        <w:tc>
          <w:tcPr>
            <w:tcW w:w="2220" w:type="dxa"/>
            <w:vAlign w:val="center"/>
          </w:tcPr>
          <w:p w14:paraId="0A1C04E8">
            <w:pPr>
              <w:ind w:firstLine="560"/>
              <w:jc w:val="center"/>
              <w:rPr>
                <w:rFonts w:eastAsia="仿宋_GB2312"/>
                <w:sz w:val="24"/>
                <w:szCs w:val="24"/>
              </w:rPr>
            </w:pPr>
          </w:p>
        </w:tc>
      </w:tr>
      <w:tr w14:paraId="6369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vAlign w:val="center"/>
          </w:tcPr>
          <w:p w14:paraId="23BA2F7E">
            <w:pPr>
              <w:snapToGrid w:val="0"/>
              <w:spacing w:line="480" w:lineRule="exact"/>
              <w:jc w:val="center"/>
              <w:rPr>
                <w:sz w:val="24"/>
                <w:szCs w:val="24"/>
              </w:rPr>
            </w:pPr>
            <w:r>
              <w:rPr>
                <w:rFonts w:hint="eastAsia"/>
                <w:sz w:val="24"/>
                <w:szCs w:val="24"/>
              </w:rPr>
              <w:t>9</w:t>
            </w:r>
          </w:p>
        </w:tc>
        <w:tc>
          <w:tcPr>
            <w:tcW w:w="4820" w:type="dxa"/>
            <w:vAlign w:val="center"/>
          </w:tcPr>
          <w:p w14:paraId="38BCC1BA">
            <w:pPr>
              <w:snapToGrid w:val="0"/>
              <w:spacing w:line="480" w:lineRule="exact"/>
              <w:rPr>
                <w:sz w:val="24"/>
                <w:szCs w:val="24"/>
              </w:rPr>
            </w:pPr>
            <w:r>
              <w:rPr>
                <w:sz w:val="24"/>
                <w:szCs w:val="24"/>
              </w:rPr>
              <w:t>符合法律、法规规定的其他实质性要求</w:t>
            </w:r>
          </w:p>
        </w:tc>
        <w:tc>
          <w:tcPr>
            <w:tcW w:w="1843" w:type="dxa"/>
            <w:vAlign w:val="center"/>
          </w:tcPr>
          <w:p w14:paraId="3C60C4F4">
            <w:pPr>
              <w:ind w:firstLine="560"/>
              <w:jc w:val="center"/>
              <w:rPr>
                <w:rFonts w:eastAsia="仿宋_GB2312"/>
                <w:sz w:val="24"/>
                <w:szCs w:val="24"/>
              </w:rPr>
            </w:pPr>
          </w:p>
        </w:tc>
        <w:tc>
          <w:tcPr>
            <w:tcW w:w="2220" w:type="dxa"/>
            <w:vAlign w:val="center"/>
          </w:tcPr>
          <w:p w14:paraId="677089F2">
            <w:pPr>
              <w:ind w:firstLine="560"/>
              <w:jc w:val="center"/>
              <w:rPr>
                <w:rFonts w:eastAsia="仿宋_GB2312"/>
                <w:sz w:val="24"/>
                <w:szCs w:val="24"/>
              </w:rPr>
            </w:pPr>
          </w:p>
        </w:tc>
      </w:tr>
    </w:tbl>
    <w:p w14:paraId="4FA97468">
      <w:pPr>
        <w:spacing w:line="440" w:lineRule="exact"/>
        <w:jc w:val="center"/>
        <w:rPr>
          <w:rFonts w:ascii="Times New Roman" w:hAnsi="Times New Roman"/>
          <w:b/>
          <w:bCs/>
          <w:sz w:val="32"/>
          <w:szCs w:val="32"/>
        </w:rPr>
      </w:pPr>
      <w:r>
        <w:br w:type="page"/>
      </w:r>
      <w:bookmarkStart w:id="205" w:name="_Toc475009306"/>
      <w:bookmarkStart w:id="206" w:name="_Toc481071976"/>
      <w:bookmarkStart w:id="207" w:name="_Toc481072022"/>
      <w:r>
        <w:rPr>
          <w:rFonts w:ascii="Times New Roman" w:hAnsi="Times New Roman"/>
          <w:b/>
          <w:bCs/>
          <w:sz w:val="32"/>
          <w:szCs w:val="32"/>
        </w:rPr>
        <w:t>具备履行合同所必需的设备和专业技术能力的书面声明</w:t>
      </w:r>
    </w:p>
    <w:p w14:paraId="32E39472">
      <w:pPr>
        <w:spacing w:line="460" w:lineRule="exact"/>
        <w:ind w:firstLine="492"/>
        <w:rPr>
          <w:rFonts w:ascii="Times New Roman" w:hAnsi="Times New Roman"/>
          <w:bCs/>
          <w:sz w:val="24"/>
        </w:rPr>
      </w:pPr>
    </w:p>
    <w:p w14:paraId="5FC2AB02">
      <w:pPr>
        <w:spacing w:line="460" w:lineRule="exact"/>
        <w:ind w:firstLine="492"/>
        <w:rPr>
          <w:rFonts w:ascii="Times New Roman" w:hAnsi="Times New Roman"/>
          <w:bCs/>
          <w:sz w:val="24"/>
        </w:rPr>
      </w:pPr>
      <w:r>
        <w:rPr>
          <w:rFonts w:ascii="Times New Roman" w:hAnsi="Times New Roman"/>
          <w:bCs/>
          <w:sz w:val="24"/>
        </w:rPr>
        <w:t>我单位郑重声明：我单位具备履行本项采购合同所必需的设备和专业技术能力，为履行本项采购合同我单位具备如下主要设备和主要专业技术能力：</w:t>
      </w:r>
    </w:p>
    <w:p w14:paraId="4A276483">
      <w:pPr>
        <w:spacing w:line="460" w:lineRule="exact"/>
        <w:ind w:firstLine="492"/>
        <w:rPr>
          <w:rFonts w:ascii="Times New Roman" w:hAnsi="Times New Roman"/>
          <w:bCs/>
          <w:sz w:val="24"/>
        </w:rPr>
      </w:pPr>
      <w:r>
        <w:rPr>
          <w:rFonts w:ascii="Times New Roman" w:hAnsi="Times New Roman"/>
          <w:bCs/>
          <w:sz w:val="24"/>
        </w:rPr>
        <w:t>主要设备有：  。</w:t>
      </w:r>
    </w:p>
    <w:p w14:paraId="6447C7EF">
      <w:pPr>
        <w:spacing w:line="460" w:lineRule="exact"/>
        <w:ind w:firstLine="492"/>
        <w:rPr>
          <w:rFonts w:ascii="Times New Roman" w:hAnsi="Times New Roman"/>
          <w:bCs/>
          <w:sz w:val="24"/>
        </w:rPr>
      </w:pPr>
      <w:r>
        <w:rPr>
          <w:rFonts w:ascii="Times New Roman" w:hAnsi="Times New Roman"/>
          <w:bCs/>
          <w:sz w:val="24"/>
        </w:rPr>
        <w:t>主要专业技术能力有：   。</w:t>
      </w:r>
    </w:p>
    <w:p w14:paraId="30CE0D91">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6BEB432C">
      <w:pPr>
        <w:spacing w:line="460" w:lineRule="exact"/>
        <w:rPr>
          <w:rFonts w:ascii="Times New Roman" w:hAnsi="Times New Roman"/>
          <w:bCs/>
          <w:sz w:val="24"/>
        </w:rPr>
      </w:pPr>
      <w:r>
        <w:rPr>
          <w:rFonts w:ascii="Times New Roman" w:hAnsi="Times New Roman"/>
          <w:bCs/>
          <w:sz w:val="24"/>
        </w:rPr>
        <w:t xml:space="preserve">                                     </w:t>
      </w:r>
    </w:p>
    <w:p w14:paraId="3B7CE479">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4155C89A">
      <w:pPr>
        <w:spacing w:line="440" w:lineRule="exact"/>
        <w:jc w:val="center"/>
        <w:rPr>
          <w:rFonts w:ascii="Times New Roman" w:hAnsi="Times New Roman"/>
          <w:b/>
          <w:bCs/>
          <w:sz w:val="32"/>
          <w:szCs w:val="32"/>
        </w:rPr>
      </w:pPr>
      <w:r>
        <w:rPr>
          <w:rFonts w:ascii="Times New Roman" w:hAnsi="Times New Roman"/>
          <w:bCs/>
          <w:sz w:val="24"/>
        </w:rPr>
        <w:br w:type="page"/>
      </w:r>
      <w:r>
        <w:rPr>
          <w:rFonts w:ascii="Times New Roman" w:hAnsi="Times New Roman"/>
          <w:b/>
          <w:bCs/>
          <w:sz w:val="32"/>
          <w:szCs w:val="32"/>
        </w:rPr>
        <w:t xml:space="preserve">参加政府采购活动前3年内在经营活动中没有重大违法记录的书面声明 </w:t>
      </w:r>
    </w:p>
    <w:p w14:paraId="12FDA333">
      <w:pPr>
        <w:pStyle w:val="114"/>
        <w:spacing w:before="0" w:after="0" w:line="420" w:lineRule="exact"/>
        <w:ind w:firstLine="0"/>
        <w:rPr>
          <w:rFonts w:ascii="Times New Roman" w:hAnsi="Times New Roman"/>
          <w:kern w:val="2"/>
          <w:szCs w:val="21"/>
        </w:rPr>
      </w:pPr>
    </w:p>
    <w:p w14:paraId="276A9A8B">
      <w:pPr>
        <w:pStyle w:val="114"/>
        <w:spacing w:before="0" w:after="0" w:line="420" w:lineRule="exact"/>
        <w:ind w:firstLine="0"/>
        <w:jc w:val="center"/>
        <w:rPr>
          <w:rFonts w:ascii="Times New Roman" w:hAnsi="Times New Roman"/>
          <w:b/>
          <w:kern w:val="2"/>
          <w:sz w:val="32"/>
          <w:szCs w:val="32"/>
        </w:rPr>
      </w:pPr>
      <w:r>
        <w:rPr>
          <w:rFonts w:ascii="Times New Roman" w:hAnsi="Times New Roman"/>
          <w:b/>
          <w:kern w:val="2"/>
          <w:sz w:val="32"/>
          <w:szCs w:val="32"/>
        </w:rPr>
        <w:t>声 明</w:t>
      </w:r>
    </w:p>
    <w:p w14:paraId="3FB7971F">
      <w:pPr>
        <w:pStyle w:val="114"/>
        <w:spacing w:before="0" w:after="0" w:line="420" w:lineRule="exact"/>
        <w:ind w:firstLine="475" w:firstLineChars="198"/>
        <w:rPr>
          <w:rFonts w:ascii="Times New Roman" w:hAnsi="Times New Roman"/>
          <w:kern w:val="2"/>
          <w:szCs w:val="21"/>
        </w:rPr>
      </w:pPr>
      <w:r>
        <w:rPr>
          <w:rFonts w:ascii="Times New Roman" w:hAnsi="Times New Roman"/>
          <w:kern w:val="2"/>
          <w:szCs w:val="21"/>
        </w:rPr>
        <w:t xml:space="preserve">我单位郑重声明：参加本次政府采购活动前3年内，我单位在经营活动中没有因违法经营受到刑事处罚或者责令停产停业、吊销许可证或者执照、较大数额罚款等行政处罚。 </w:t>
      </w:r>
    </w:p>
    <w:p w14:paraId="012D44D3">
      <w:pPr>
        <w:pStyle w:val="114"/>
        <w:spacing w:before="0" w:after="0" w:line="420" w:lineRule="exact"/>
        <w:ind w:firstLine="0"/>
        <w:jc w:val="right"/>
        <w:rPr>
          <w:rFonts w:ascii="Times New Roman" w:hAnsi="Times New Roman"/>
          <w:kern w:val="2"/>
          <w:szCs w:val="21"/>
        </w:rPr>
      </w:pPr>
    </w:p>
    <w:p w14:paraId="40B60DD9">
      <w:pPr>
        <w:pStyle w:val="114"/>
        <w:spacing w:before="0" w:after="0" w:line="420" w:lineRule="exact"/>
        <w:ind w:firstLine="0"/>
        <w:jc w:val="right"/>
        <w:rPr>
          <w:rFonts w:ascii="Times New Roman" w:hAnsi="Times New Roman"/>
          <w:kern w:val="2"/>
          <w:szCs w:val="21"/>
        </w:rPr>
      </w:pPr>
    </w:p>
    <w:p w14:paraId="233E0458">
      <w:pPr>
        <w:pStyle w:val="114"/>
        <w:spacing w:before="0" w:after="0" w:line="420" w:lineRule="exact"/>
        <w:ind w:firstLine="0"/>
        <w:jc w:val="right"/>
        <w:rPr>
          <w:rFonts w:ascii="Times New Roman" w:hAnsi="Times New Roman"/>
          <w:kern w:val="2"/>
          <w:szCs w:val="21"/>
        </w:rPr>
      </w:pPr>
    </w:p>
    <w:p w14:paraId="1D395FFD">
      <w:pPr>
        <w:pStyle w:val="114"/>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kern w:val="2"/>
          <w:szCs w:val="21"/>
        </w:rPr>
        <w:t xml:space="preserve">： </w:t>
      </w:r>
    </w:p>
    <w:p w14:paraId="3D243358">
      <w:pPr>
        <w:pStyle w:val="114"/>
        <w:spacing w:before="0" w:after="0" w:line="420" w:lineRule="exact"/>
        <w:ind w:firstLine="0"/>
        <w:jc w:val="right"/>
        <w:rPr>
          <w:rFonts w:ascii="Times New Roman" w:hAnsi="Times New Roman"/>
          <w:kern w:val="2"/>
          <w:szCs w:val="21"/>
        </w:rPr>
      </w:pPr>
    </w:p>
    <w:p w14:paraId="30D286EB">
      <w:pPr>
        <w:pStyle w:val="114"/>
        <w:spacing w:before="0" w:after="0" w:line="420" w:lineRule="exact"/>
        <w:ind w:right="600" w:firstLine="3360" w:firstLineChars="1400"/>
        <w:rPr>
          <w:rFonts w:ascii="Times New Roman" w:hAnsi="Times New Roman"/>
          <w:kern w:val="2"/>
          <w:szCs w:val="21"/>
        </w:rPr>
      </w:pPr>
      <w:r>
        <w:rPr>
          <w:rFonts w:ascii="Times New Roman" w:hAnsi="Times New Roman"/>
          <w:kern w:val="2"/>
          <w:szCs w:val="21"/>
        </w:rPr>
        <w:t xml:space="preserve">法定代表人（授权代表）签字： </w:t>
      </w:r>
    </w:p>
    <w:p w14:paraId="178EB7F2">
      <w:pPr>
        <w:pStyle w:val="114"/>
        <w:spacing w:before="0" w:after="0" w:line="420" w:lineRule="exact"/>
        <w:ind w:firstLine="0"/>
        <w:jc w:val="right"/>
        <w:rPr>
          <w:rFonts w:ascii="Times New Roman" w:hAnsi="Times New Roman"/>
          <w:kern w:val="2"/>
          <w:szCs w:val="21"/>
        </w:rPr>
      </w:pPr>
    </w:p>
    <w:p w14:paraId="593378D5">
      <w:pPr>
        <w:pStyle w:val="114"/>
        <w:spacing w:before="0" w:after="0" w:line="420" w:lineRule="exact"/>
        <w:ind w:firstLine="0"/>
        <w:jc w:val="right"/>
        <w:rPr>
          <w:rFonts w:ascii="Times New Roman" w:hAnsi="Times New Roman"/>
          <w:kern w:val="2"/>
          <w:szCs w:val="21"/>
        </w:rPr>
      </w:pPr>
    </w:p>
    <w:p w14:paraId="26AF6CE1">
      <w:pPr>
        <w:pStyle w:val="114"/>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32F0C3FD">
      <w:pPr>
        <w:spacing w:line="440" w:lineRule="exact"/>
        <w:jc w:val="center"/>
        <w:rPr>
          <w:b/>
          <w:bCs/>
          <w:sz w:val="32"/>
          <w:szCs w:val="32"/>
        </w:rPr>
      </w:pPr>
      <w:r>
        <w:rPr>
          <w:rFonts w:ascii="Times New Roman" w:hAnsi="Times New Roman"/>
          <w:sz w:val="32"/>
          <w:szCs w:val="32"/>
        </w:rPr>
        <w:br w:type="page"/>
      </w:r>
      <w:bookmarkStart w:id="208" w:name="_Toc511899520"/>
    </w:p>
    <w:p w14:paraId="599B88FD">
      <w:pPr>
        <w:spacing w:line="440" w:lineRule="exact"/>
        <w:jc w:val="center"/>
        <w:rPr>
          <w:b/>
          <w:bCs/>
          <w:sz w:val="32"/>
          <w:szCs w:val="32"/>
        </w:rPr>
      </w:pPr>
      <w:r>
        <w:rPr>
          <w:rFonts w:hint="eastAsia"/>
          <w:b/>
          <w:bCs/>
          <w:sz w:val="32"/>
          <w:szCs w:val="32"/>
        </w:rPr>
        <w:t>法定代表人（单位负责人）身份证明</w:t>
      </w:r>
    </w:p>
    <w:p w14:paraId="3EE34813">
      <w:pPr>
        <w:spacing w:line="640" w:lineRule="exact"/>
        <w:ind w:firstLine="560" w:firstLineChars="200"/>
        <w:rPr>
          <w:sz w:val="28"/>
        </w:rPr>
      </w:pPr>
    </w:p>
    <w:p w14:paraId="3050C58A">
      <w:pPr>
        <w:pStyle w:val="114"/>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25B7014C">
      <w:pPr>
        <w:pStyle w:val="114"/>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78B982FE">
      <w:pPr>
        <w:pStyle w:val="114"/>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7FE347ED">
      <w:pPr>
        <w:pStyle w:val="114"/>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w:t>
      </w:r>
      <w:r>
        <w:rPr>
          <w:rFonts w:hint="eastAsia" w:ascii="Times New Roman" w:hAnsi="Times New Roman"/>
          <w:kern w:val="2"/>
        </w:rPr>
        <w:t>投标</w:t>
      </w:r>
      <w:r>
        <w:rPr>
          <w:rFonts w:ascii="Times New Roman" w:hAnsi="Times New Roman"/>
          <w:kern w:val="2"/>
        </w:rPr>
        <w:t>文件、进行</w:t>
      </w:r>
      <w:r>
        <w:rPr>
          <w:rFonts w:hint="eastAsia" w:ascii="Times New Roman" w:hAnsi="Times New Roman"/>
          <w:kern w:val="2"/>
        </w:rPr>
        <w:t>投标</w:t>
      </w:r>
      <w:r>
        <w:rPr>
          <w:rFonts w:ascii="Times New Roman" w:hAnsi="Times New Roman"/>
          <w:kern w:val="2"/>
        </w:rPr>
        <w:t>、签署合同和处理与之有关的一切事务。</w:t>
      </w:r>
    </w:p>
    <w:p w14:paraId="4D4B4077">
      <w:pPr>
        <w:pStyle w:val="114"/>
        <w:spacing w:before="0" w:after="0" w:line="520" w:lineRule="exact"/>
        <w:ind w:firstLineChars="200"/>
        <w:rPr>
          <w:rFonts w:ascii="Times New Roman" w:hAnsi="Times New Roman"/>
          <w:kern w:val="2"/>
        </w:rPr>
      </w:pPr>
      <w:r>
        <w:rPr>
          <w:rFonts w:ascii="Times New Roman" w:hAnsi="Times New Roman"/>
          <w:kern w:val="2"/>
        </w:rPr>
        <w:t>特此证明。</w:t>
      </w:r>
    </w:p>
    <w:p w14:paraId="5AF4E853">
      <w:pPr>
        <w:pStyle w:val="16"/>
        <w:ind w:left="400"/>
      </w:pPr>
      <w:r>
        <w:rPr>
          <w:rFonts w:ascii="Times New Roman" w:hAnsi="Times New Roman" w:eastAsia="宋体"/>
          <w:sz w:val="24"/>
          <w:szCs w:val="24"/>
        </w:rPr>
        <w:t>附：法定代表人（单位负责人）</w:t>
      </w:r>
      <w:r>
        <w:rPr>
          <w:rFonts w:hint="eastAsia" w:ascii="Times New Roman" w:hAnsi="Times New Roman" w:eastAsia="宋体"/>
          <w:sz w:val="24"/>
          <w:szCs w:val="24"/>
        </w:rPr>
        <w:t>有效</w:t>
      </w:r>
      <w:r>
        <w:rPr>
          <w:rFonts w:ascii="Times New Roman" w:hAnsi="Times New Roman" w:eastAsia="宋体"/>
          <w:sz w:val="24"/>
          <w:szCs w:val="24"/>
        </w:rPr>
        <w:t>期内的身份证复印件</w:t>
      </w:r>
      <w:r>
        <w:rPr>
          <w:rFonts w:hint="eastAsia" w:ascii="Times New Roman" w:hAnsi="Times New Roman" w:eastAsia="宋体"/>
          <w:sz w:val="24"/>
          <w:szCs w:val="24"/>
        </w:rPr>
        <w:t>（正</w:t>
      </w:r>
      <w:r>
        <w:rPr>
          <w:rFonts w:ascii="Times New Roman" w:hAnsi="Times New Roman" w:eastAsia="宋体"/>
          <w:sz w:val="24"/>
          <w:szCs w:val="24"/>
        </w:rPr>
        <w:t>反</w:t>
      </w:r>
      <w:r>
        <w:rPr>
          <w:rFonts w:hint="eastAsia" w:ascii="Times New Roman" w:hAnsi="Times New Roman" w:eastAsia="宋体"/>
          <w:sz w:val="24"/>
          <w:szCs w:val="24"/>
        </w:rPr>
        <w:t>面）</w:t>
      </w:r>
    </w:p>
    <w:tbl>
      <w:tblPr>
        <w:tblStyle w:val="39"/>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08515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vAlign w:val="center"/>
          </w:tcPr>
          <w:p w14:paraId="0081A2DB">
            <w:pPr>
              <w:pStyle w:val="16"/>
              <w:jc w:val="center"/>
              <w:rPr>
                <w:i/>
                <w:sz w:val="20"/>
              </w:rPr>
            </w:pPr>
            <w:r>
              <w:rPr>
                <w:i/>
                <w:sz w:val="24"/>
              </w:rPr>
              <w:t>身份证正面</w:t>
            </w:r>
          </w:p>
        </w:tc>
      </w:tr>
    </w:tbl>
    <w:p w14:paraId="32BDC4B4">
      <w:pPr>
        <w:rPr>
          <w:vanish/>
        </w:rPr>
      </w:pPr>
    </w:p>
    <w:tbl>
      <w:tblPr>
        <w:tblStyle w:val="39"/>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0FB03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trPr>
        <w:tc>
          <w:tcPr>
            <w:tcW w:w="4646" w:type="dxa"/>
            <w:vAlign w:val="center"/>
          </w:tcPr>
          <w:p w14:paraId="35300EB0">
            <w:pPr>
              <w:pStyle w:val="16"/>
              <w:jc w:val="center"/>
              <w:rPr>
                <w:sz w:val="20"/>
              </w:rPr>
            </w:pPr>
            <w:r>
              <w:rPr>
                <w:i/>
                <w:sz w:val="24"/>
              </w:rPr>
              <w:t>身份证反面</w:t>
            </w:r>
          </w:p>
        </w:tc>
      </w:tr>
    </w:tbl>
    <w:p w14:paraId="7643F151">
      <w:pPr>
        <w:pStyle w:val="16"/>
        <w:rPr>
          <w:sz w:val="20"/>
        </w:rPr>
      </w:pPr>
    </w:p>
    <w:p w14:paraId="278DA3EE">
      <w:pPr>
        <w:spacing w:line="640" w:lineRule="exact"/>
        <w:ind w:firstLine="5600" w:firstLineChars="2000"/>
        <w:rPr>
          <w:sz w:val="28"/>
        </w:rPr>
      </w:pPr>
    </w:p>
    <w:p w14:paraId="7FD6A81D">
      <w:pPr>
        <w:pStyle w:val="114"/>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kern w:val="2"/>
          <w:szCs w:val="21"/>
        </w:rPr>
        <w:t>：</w:t>
      </w:r>
    </w:p>
    <w:p w14:paraId="68FC6BC0">
      <w:pPr>
        <w:pStyle w:val="114"/>
        <w:spacing w:before="0" w:after="0" w:line="420" w:lineRule="exact"/>
        <w:ind w:firstLine="0"/>
        <w:jc w:val="center"/>
        <w:rPr>
          <w:rFonts w:ascii="Times New Roman" w:hAnsi="Times New Roman"/>
          <w:kern w:val="2"/>
          <w:szCs w:val="21"/>
        </w:rPr>
      </w:pPr>
    </w:p>
    <w:p w14:paraId="36BE9179">
      <w:pPr>
        <w:pStyle w:val="114"/>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47DF97F0">
      <w:pPr>
        <w:spacing w:line="640" w:lineRule="exact"/>
        <w:ind w:firstLine="3204" w:firstLineChars="1140"/>
        <w:rPr>
          <w:b/>
          <w:bCs/>
          <w:sz w:val="28"/>
        </w:rPr>
      </w:pPr>
    </w:p>
    <w:p w14:paraId="67D4A8E1">
      <w:pPr>
        <w:pStyle w:val="114"/>
        <w:spacing w:before="0" w:after="0" w:line="520" w:lineRule="exact"/>
        <w:ind w:firstLineChars="200"/>
        <w:rPr>
          <w:rFonts w:ascii="Times New Roman" w:hAnsi="Times New Roman"/>
          <w:kern w:val="2"/>
        </w:rPr>
      </w:pPr>
    </w:p>
    <w:p w14:paraId="645F9FA5">
      <w:pPr>
        <w:spacing w:line="440" w:lineRule="exact"/>
        <w:jc w:val="center"/>
        <w:rPr>
          <w:b/>
          <w:bCs/>
          <w:sz w:val="32"/>
          <w:szCs w:val="32"/>
        </w:rPr>
      </w:pPr>
      <w:r>
        <w:rPr>
          <w:b/>
          <w:bCs/>
          <w:sz w:val="32"/>
          <w:szCs w:val="32"/>
        </w:rPr>
        <w:br w:type="page"/>
      </w:r>
      <w:r>
        <w:rPr>
          <w:rFonts w:hint="eastAsia"/>
          <w:b/>
          <w:bCs/>
          <w:sz w:val="32"/>
          <w:szCs w:val="32"/>
        </w:rPr>
        <w:t>法定代表人（单位负责人）</w:t>
      </w:r>
      <w:r>
        <w:rPr>
          <w:b/>
          <w:bCs/>
          <w:sz w:val="32"/>
          <w:szCs w:val="32"/>
        </w:rPr>
        <w:t>授权委托书</w:t>
      </w:r>
    </w:p>
    <w:p w14:paraId="437C69F6">
      <w:pPr>
        <w:pStyle w:val="114"/>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hint="eastAsia" w:ascii="Times New Roman" w:hAnsi="Times New Roman"/>
          <w:kern w:val="2"/>
        </w:rPr>
        <w:t xml:space="preserve">的在法定代表人（签字或盖章）处签字的 </w:t>
      </w:r>
      <w:r>
        <w:rPr>
          <w:rFonts w:hint="eastAsia" w:ascii="Times New Roman" w:hAnsi="Times New Roman"/>
          <w:kern w:val="2"/>
          <w:u w:val="single"/>
        </w:rPr>
        <w:t xml:space="preserve">  （法定代表人姓名、职务）   </w:t>
      </w:r>
      <w:r>
        <w:rPr>
          <w:rFonts w:hint="eastAsia" w:ascii="Times New Roman" w:hAnsi="Times New Roman"/>
          <w:kern w:val="2"/>
        </w:rPr>
        <w:t>代表本单位授权</w:t>
      </w:r>
      <w:r>
        <w:rPr>
          <w:rFonts w:hint="eastAsia" w:ascii="Times New Roman" w:hAnsi="Times New Roman"/>
          <w:kern w:val="2"/>
          <w:u w:val="single"/>
        </w:rPr>
        <w:t xml:space="preserve">      （单位名称）</w:t>
      </w:r>
      <w:r>
        <w:rPr>
          <w:rFonts w:hint="eastAsia" w:ascii="Times New Roman" w:hAnsi="Times New Roman"/>
          <w:kern w:val="2"/>
        </w:rPr>
        <w:t>的在授权代表（签字）处签字的</w:t>
      </w:r>
      <w:r>
        <w:rPr>
          <w:rFonts w:hint="eastAsia" w:ascii="Times New Roman" w:hAnsi="Times New Roman"/>
          <w:kern w:val="2"/>
          <w:u w:val="single"/>
        </w:rPr>
        <w:t>（授权代表的姓名、职务）（身份证号码：             ）</w:t>
      </w:r>
      <w:r>
        <w:rPr>
          <w:rFonts w:hint="eastAsia" w:ascii="Times New Roman" w:hAnsi="Times New Roman"/>
          <w:kern w:val="2"/>
        </w:rPr>
        <w:t>为本单位的合法代理人，就</w:t>
      </w:r>
      <w:r>
        <w:rPr>
          <w:rFonts w:hint="eastAsia" w:ascii="Times New Roman" w:hAnsi="Times New Roman"/>
          <w:kern w:val="2"/>
          <w:u w:val="single"/>
        </w:rPr>
        <w:t xml:space="preserve">          （项目名称、项目编号）         </w:t>
      </w:r>
      <w:r>
        <w:rPr>
          <w:rFonts w:hint="eastAsia" w:ascii="Times New Roman" w:hAnsi="Times New Roman"/>
          <w:kern w:val="2"/>
        </w:rPr>
        <w:t>，</w:t>
      </w:r>
      <w:r>
        <w:rPr>
          <w:rFonts w:ascii="Times New Roman" w:hAnsi="Times New Roman"/>
          <w:kern w:val="2"/>
        </w:rPr>
        <w:t>以我单位名义签署上述项目的</w:t>
      </w:r>
      <w:r>
        <w:rPr>
          <w:rFonts w:hint="eastAsia" w:ascii="Times New Roman" w:hAnsi="Times New Roman"/>
          <w:kern w:val="2"/>
        </w:rPr>
        <w:t>投标</w:t>
      </w:r>
      <w:r>
        <w:rPr>
          <w:rFonts w:ascii="Times New Roman" w:hAnsi="Times New Roman"/>
          <w:kern w:val="2"/>
        </w:rPr>
        <w:t>文件、进行</w:t>
      </w:r>
      <w:r>
        <w:rPr>
          <w:rFonts w:hint="eastAsia" w:ascii="Times New Roman" w:hAnsi="Times New Roman"/>
          <w:kern w:val="2"/>
        </w:rPr>
        <w:t>投标</w:t>
      </w:r>
      <w:r>
        <w:rPr>
          <w:rFonts w:ascii="Times New Roman" w:hAnsi="Times New Roman"/>
          <w:kern w:val="2"/>
        </w:rPr>
        <w:t>、签署合同和处理与之有关的一切事务。</w:t>
      </w:r>
    </w:p>
    <w:p w14:paraId="16F9E739">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0C283BEB">
      <w:pPr>
        <w:spacing w:line="520" w:lineRule="exact"/>
        <w:ind w:firstLine="480" w:firstLineChars="200"/>
        <w:rPr>
          <w:bCs/>
          <w:sz w:val="24"/>
        </w:rPr>
      </w:pPr>
      <w:r>
        <w:rPr>
          <w:bCs/>
          <w:sz w:val="24"/>
        </w:rPr>
        <w:t>委托期限：至上述事宜处理完毕止。</w:t>
      </w:r>
    </w:p>
    <w:p w14:paraId="7E8F6169">
      <w:pPr>
        <w:spacing w:line="520" w:lineRule="exact"/>
        <w:ind w:firstLine="480" w:firstLineChars="200"/>
        <w:rPr>
          <w:bCs/>
          <w:sz w:val="24"/>
        </w:rPr>
      </w:pPr>
      <w:r>
        <w:rPr>
          <w:rFonts w:hint="eastAsia"/>
          <w:bCs/>
          <w:sz w:val="24"/>
        </w:rPr>
        <w:t>本授权书于______年____月____日起生效，特此声明。</w:t>
      </w:r>
    </w:p>
    <w:p w14:paraId="5D98FE71">
      <w:pPr>
        <w:spacing w:line="520" w:lineRule="exact"/>
        <w:ind w:firstLine="480" w:firstLineChars="200"/>
        <w:rPr>
          <w:sz w:val="24"/>
          <w:szCs w:val="24"/>
        </w:rPr>
      </w:pPr>
      <w:r>
        <w:rPr>
          <w:sz w:val="24"/>
          <w:szCs w:val="24"/>
        </w:rPr>
        <w:t>供应商名称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szCs w:val="24"/>
        </w:rPr>
        <w:t xml:space="preserve">：  </w:t>
      </w:r>
      <w:r>
        <w:rPr>
          <w:sz w:val="24"/>
          <w:szCs w:val="24"/>
          <w:u w:val="single"/>
        </w:rPr>
        <w:t xml:space="preserve">                          </w:t>
      </w:r>
    </w:p>
    <w:p w14:paraId="51661449">
      <w:pPr>
        <w:spacing w:line="520" w:lineRule="exact"/>
        <w:ind w:firstLine="480" w:firstLineChars="200"/>
        <w:rPr>
          <w:sz w:val="24"/>
          <w:szCs w:val="24"/>
        </w:rPr>
      </w:pPr>
      <w:r>
        <w:rPr>
          <w:sz w:val="24"/>
          <w:szCs w:val="24"/>
        </w:rPr>
        <w:t>法定代表人（签字或盖章）：</w:t>
      </w:r>
      <w:r>
        <w:rPr>
          <w:sz w:val="24"/>
          <w:szCs w:val="24"/>
          <w:u w:val="single"/>
        </w:rPr>
        <w:t xml:space="preserve">                      </w:t>
      </w:r>
      <w:r>
        <w:rPr>
          <w:sz w:val="24"/>
          <w:szCs w:val="24"/>
        </w:rPr>
        <w:t xml:space="preserve"> </w:t>
      </w:r>
    </w:p>
    <w:p w14:paraId="54250930">
      <w:pPr>
        <w:spacing w:line="520" w:lineRule="exact"/>
        <w:ind w:firstLine="480" w:firstLineChars="200"/>
        <w:rPr>
          <w:sz w:val="24"/>
          <w:szCs w:val="24"/>
        </w:rPr>
      </w:pPr>
      <w:r>
        <w:rPr>
          <w:sz w:val="24"/>
          <w:szCs w:val="24"/>
        </w:rPr>
        <w:t>身份证号码：</w:t>
      </w:r>
      <w:r>
        <w:rPr>
          <w:sz w:val="24"/>
          <w:szCs w:val="24"/>
          <w:u w:val="single"/>
        </w:rPr>
        <w:t xml:space="preserve">                     </w:t>
      </w:r>
      <w:r>
        <w:rPr>
          <w:rFonts w:hint="eastAsia"/>
          <w:sz w:val="24"/>
          <w:szCs w:val="24"/>
          <w:u w:val="single"/>
        </w:rPr>
        <w:t xml:space="preserve">         </w:t>
      </w:r>
      <w:r>
        <w:rPr>
          <w:sz w:val="24"/>
          <w:szCs w:val="24"/>
          <w:u w:val="single"/>
        </w:rPr>
        <w:t xml:space="preserve">     </w:t>
      </w:r>
    </w:p>
    <w:p w14:paraId="2BDE5A05">
      <w:pPr>
        <w:spacing w:line="520" w:lineRule="exact"/>
        <w:ind w:firstLine="480" w:firstLineChars="200"/>
        <w:rPr>
          <w:sz w:val="24"/>
          <w:szCs w:val="24"/>
        </w:rPr>
      </w:pPr>
      <w:r>
        <w:rPr>
          <w:sz w:val="24"/>
          <w:szCs w:val="24"/>
        </w:rPr>
        <w:t>授权代表（签字）：</w:t>
      </w:r>
      <w:r>
        <w:rPr>
          <w:sz w:val="24"/>
          <w:szCs w:val="24"/>
          <w:u w:val="single"/>
        </w:rPr>
        <w:t xml:space="preserve">                 </w:t>
      </w:r>
      <w:r>
        <w:rPr>
          <w:rFonts w:hint="eastAsia"/>
          <w:sz w:val="24"/>
          <w:szCs w:val="24"/>
          <w:u w:val="single"/>
        </w:rPr>
        <w:t xml:space="preserve">    </w:t>
      </w:r>
      <w:r>
        <w:rPr>
          <w:sz w:val="24"/>
          <w:szCs w:val="24"/>
          <w:u w:val="single"/>
        </w:rPr>
        <w:t xml:space="preserve">         </w:t>
      </w:r>
    </w:p>
    <w:p w14:paraId="0C3034A8">
      <w:pPr>
        <w:spacing w:line="520" w:lineRule="exact"/>
        <w:ind w:firstLine="480" w:firstLineChars="200"/>
        <w:rPr>
          <w:sz w:val="24"/>
          <w:szCs w:val="24"/>
        </w:rPr>
      </w:pPr>
      <w:r>
        <w:rPr>
          <w:sz w:val="24"/>
          <w:szCs w:val="24"/>
        </w:rPr>
        <w:t>身份证号码：</w:t>
      </w:r>
      <w:r>
        <w:rPr>
          <w:sz w:val="24"/>
          <w:szCs w:val="24"/>
          <w:u w:val="single"/>
        </w:rPr>
        <w:t xml:space="preserve">                    </w:t>
      </w:r>
      <w:r>
        <w:rPr>
          <w:rFonts w:hint="eastAsia"/>
          <w:sz w:val="24"/>
          <w:szCs w:val="24"/>
          <w:u w:val="single"/>
        </w:rPr>
        <w:t xml:space="preserve">          </w:t>
      </w:r>
      <w:r>
        <w:rPr>
          <w:sz w:val="24"/>
          <w:szCs w:val="24"/>
          <w:u w:val="single"/>
        </w:rPr>
        <w:t xml:space="preserve">     </w:t>
      </w:r>
    </w:p>
    <w:p w14:paraId="3060C568">
      <w:pPr>
        <w:pStyle w:val="32"/>
        <w:spacing w:line="520" w:lineRule="exact"/>
        <w:jc w:val="left"/>
        <w:rPr>
          <w:rFonts w:ascii="宋体" w:hAnsi="宋体" w:eastAsia="宋体"/>
          <w:sz w:val="24"/>
          <w:szCs w:val="21"/>
        </w:rPr>
      </w:pPr>
      <w:r>
        <w:rPr>
          <w:rFonts w:ascii="宋体" w:hAnsi="宋体" w:eastAsia="宋体"/>
          <w:sz w:val="24"/>
          <w:szCs w:val="21"/>
        </w:rPr>
        <w:t>附：</w:t>
      </w:r>
    </w:p>
    <w:p w14:paraId="0B81FF5A">
      <w:pPr>
        <w:pStyle w:val="32"/>
        <w:spacing w:line="360" w:lineRule="auto"/>
        <w:jc w:val="left"/>
        <w:rPr>
          <w:rFonts w:ascii="宋体" w:hAnsi="宋体" w:eastAsia="宋体"/>
          <w:sz w:val="24"/>
          <w:szCs w:val="21"/>
        </w:rPr>
      </w:pPr>
      <w:r>
        <w:rPr>
          <w:rFonts w:ascii="宋体" w:hAnsi="宋体" w:eastAsia="宋体"/>
          <w:sz w:val="24"/>
          <w:szCs w:val="21"/>
        </w:rPr>
        <w:t>授权代表有效期内的身份证复印件（正反面）</w:t>
      </w:r>
    </w:p>
    <w:tbl>
      <w:tblPr>
        <w:tblStyle w:val="3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2E687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vAlign w:val="center"/>
          </w:tcPr>
          <w:p w14:paraId="152DC7A3">
            <w:pPr>
              <w:pStyle w:val="16"/>
              <w:jc w:val="center"/>
              <w:rPr>
                <w:i/>
                <w:sz w:val="20"/>
              </w:rPr>
            </w:pPr>
            <w:r>
              <w:rPr>
                <w:i/>
                <w:sz w:val="24"/>
              </w:rPr>
              <w:t>身份证正面</w:t>
            </w:r>
          </w:p>
        </w:tc>
        <w:tc>
          <w:tcPr>
            <w:tcW w:w="278" w:type="dxa"/>
            <w:tcBorders>
              <w:top w:val="nil"/>
              <w:bottom w:val="nil"/>
            </w:tcBorders>
          </w:tcPr>
          <w:p w14:paraId="18506493">
            <w:pPr>
              <w:widowControl/>
              <w:jc w:val="left"/>
              <w:rPr>
                <w:sz w:val="20"/>
              </w:rPr>
            </w:pPr>
          </w:p>
        </w:tc>
        <w:tc>
          <w:tcPr>
            <w:tcW w:w="4695" w:type="dxa"/>
            <w:vAlign w:val="center"/>
          </w:tcPr>
          <w:p w14:paraId="5F2F2342">
            <w:pPr>
              <w:widowControl/>
              <w:jc w:val="center"/>
              <w:rPr>
                <w:sz w:val="20"/>
              </w:rPr>
            </w:pPr>
            <w:r>
              <w:rPr>
                <w:i/>
                <w:sz w:val="24"/>
              </w:rPr>
              <w:t>身份证反面</w:t>
            </w:r>
          </w:p>
        </w:tc>
      </w:tr>
    </w:tbl>
    <w:p w14:paraId="7972DACB">
      <w:pPr>
        <w:pStyle w:val="114"/>
        <w:spacing w:before="0" w:after="0" w:line="420" w:lineRule="exact"/>
        <w:ind w:firstLineChars="200"/>
        <w:rPr>
          <w:rFonts w:ascii="Times New Roman" w:hAnsi="Times New Roman"/>
          <w:kern w:val="2"/>
        </w:rPr>
      </w:pPr>
    </w:p>
    <w:p w14:paraId="46408526">
      <w:pPr>
        <w:pStyle w:val="114"/>
        <w:spacing w:before="0" w:after="0" w:line="520" w:lineRule="exact"/>
        <w:ind w:firstLineChars="200"/>
        <w:rPr>
          <w:rFonts w:ascii="Times New Roman" w:hAnsi="Times New Roman"/>
          <w:kern w:val="2"/>
        </w:rPr>
      </w:pPr>
      <w:r>
        <w:rPr>
          <w:rFonts w:ascii="Times New Roman" w:hAnsi="Times New Roman"/>
          <w:kern w:val="2"/>
        </w:rPr>
        <w:t>注：供应商委托受托人参加</w:t>
      </w:r>
      <w:r>
        <w:rPr>
          <w:rFonts w:hint="eastAsia" w:ascii="Times New Roman" w:hAnsi="Times New Roman"/>
          <w:kern w:val="2"/>
        </w:rPr>
        <w:t>投标</w:t>
      </w:r>
      <w:r>
        <w:rPr>
          <w:rFonts w:ascii="Times New Roman" w:hAnsi="Times New Roman"/>
          <w:kern w:val="2"/>
        </w:rPr>
        <w:t>的，必须附受托人身份证复印件并加盖委托单位公章，参加</w:t>
      </w:r>
      <w:r>
        <w:rPr>
          <w:rFonts w:hint="eastAsia" w:ascii="Times New Roman" w:hAnsi="Times New Roman"/>
          <w:kern w:val="2"/>
        </w:rPr>
        <w:t>投标</w:t>
      </w:r>
      <w:r>
        <w:rPr>
          <w:rFonts w:ascii="Times New Roman" w:hAnsi="Times New Roman"/>
          <w:kern w:val="2"/>
        </w:rPr>
        <w:t>时受托人将身份证原件带至</w:t>
      </w:r>
      <w:r>
        <w:rPr>
          <w:rFonts w:hint="eastAsia" w:ascii="Times New Roman" w:hAnsi="Times New Roman"/>
          <w:kern w:val="2"/>
        </w:rPr>
        <w:t>投标</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投标</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3440CFC2">
      <w:pPr>
        <w:spacing w:line="440" w:lineRule="exact"/>
        <w:jc w:val="center"/>
        <w:rPr>
          <w:rFonts w:ascii="Times New Roman" w:hAnsi="Times New Roman"/>
        </w:rPr>
      </w:pPr>
    </w:p>
    <w:p w14:paraId="356F0DDC">
      <w:pPr>
        <w:spacing w:line="440" w:lineRule="exact"/>
        <w:jc w:val="center"/>
        <w:rPr>
          <w:rFonts w:ascii="Times New Roman" w:hAnsi="Times New Roman"/>
          <w:b/>
          <w:bCs/>
          <w:sz w:val="32"/>
          <w:szCs w:val="32"/>
        </w:rPr>
      </w:pPr>
      <w:r>
        <w:rPr>
          <w:rFonts w:ascii="Times New Roman" w:hAnsi="Times New Roman"/>
          <w:b/>
          <w:bCs/>
          <w:sz w:val="32"/>
          <w:szCs w:val="32"/>
        </w:rPr>
        <w:br w:type="page"/>
      </w:r>
      <w:r>
        <w:rPr>
          <w:rFonts w:ascii="Times New Roman" w:hAnsi="Times New Roman"/>
          <w:b/>
          <w:bCs/>
          <w:sz w:val="32"/>
          <w:szCs w:val="32"/>
        </w:rPr>
        <w:t>不存在与参加本项目的其他供应商单位负责人为同一人或者存在直接控股、管理关系的承诺</w:t>
      </w:r>
    </w:p>
    <w:p w14:paraId="0073763C">
      <w:pPr>
        <w:pStyle w:val="114"/>
        <w:spacing w:before="0" w:after="0" w:line="420" w:lineRule="exact"/>
        <w:ind w:firstLine="0"/>
        <w:rPr>
          <w:rFonts w:ascii="Times New Roman" w:hAnsi="Times New Roman"/>
          <w:kern w:val="2"/>
          <w:szCs w:val="21"/>
        </w:rPr>
      </w:pPr>
    </w:p>
    <w:p w14:paraId="688B8FF2">
      <w:pPr>
        <w:pStyle w:val="114"/>
        <w:spacing w:before="0" w:after="0" w:line="420" w:lineRule="exact"/>
        <w:ind w:firstLine="0"/>
        <w:rPr>
          <w:rFonts w:ascii="Times New Roman" w:hAnsi="Times New Roman"/>
          <w:kern w:val="2"/>
          <w:szCs w:val="21"/>
        </w:rPr>
      </w:pPr>
      <w:r>
        <w:rPr>
          <w:rFonts w:ascii="Times New Roman" w:hAnsi="Times New Roman"/>
          <w:kern w:val="2"/>
          <w:szCs w:val="21"/>
        </w:rPr>
        <w:t>致：江苏省体育装备中心</w:t>
      </w:r>
    </w:p>
    <w:p w14:paraId="4D1E20F0">
      <w:pPr>
        <w:spacing w:line="460" w:lineRule="exact"/>
        <w:ind w:firstLine="492"/>
        <w:rPr>
          <w:rFonts w:ascii="Times New Roman" w:hAnsi="Times New Roman"/>
          <w:bCs/>
          <w:sz w:val="24"/>
        </w:rPr>
      </w:pPr>
      <w:r>
        <w:rPr>
          <w:rFonts w:ascii="Times New Roman" w:hAnsi="Times New Roman"/>
          <w:bCs/>
          <w:sz w:val="24"/>
        </w:rPr>
        <w:t>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sz w:val="24"/>
          <w:szCs w:val="24"/>
        </w:rPr>
        <w:t>项目（项目编号：</w:t>
      </w:r>
      <w:r>
        <w:rPr>
          <w:rFonts w:ascii="Times New Roman" w:hAnsi="Times New Roman"/>
          <w:b/>
          <w:sz w:val="24"/>
          <w:szCs w:val="24"/>
          <w:u w:val="single"/>
        </w:rPr>
        <w:t xml:space="preserve">          </w:t>
      </w:r>
      <w:r>
        <w:rPr>
          <w:rFonts w:ascii="Times New Roman" w:hAnsi="Times New Roman"/>
          <w:sz w:val="24"/>
          <w:szCs w:val="24"/>
        </w:rPr>
        <w:t>）政府采购</w:t>
      </w:r>
      <w:r>
        <w:rPr>
          <w:rFonts w:ascii="Times New Roman" w:hAnsi="Times New Roman"/>
          <w:sz w:val="24"/>
          <w:szCs w:val="21"/>
        </w:rPr>
        <w:t>活动，郑</w:t>
      </w:r>
      <w:r>
        <w:rPr>
          <w:rFonts w:ascii="Times New Roman" w:hAnsi="Times New Roman"/>
          <w:bCs/>
          <w:sz w:val="24"/>
        </w:rPr>
        <w:t>重承诺：在参加本次政府采购活动不存在</w:t>
      </w:r>
      <w:r>
        <w:rPr>
          <w:rFonts w:ascii="Times New Roman" w:hAnsi="Times New Roman"/>
          <w:sz w:val="24"/>
          <w:szCs w:val="21"/>
        </w:rPr>
        <w:t>与参加本项目的其他供应商单位负责人为同一人或者存在直接控股、管理关系。本</w:t>
      </w:r>
      <w:r>
        <w:rPr>
          <w:rFonts w:ascii="Times New Roman" w:hAnsi="Times New Roman"/>
          <w:bCs/>
          <w:sz w:val="24"/>
        </w:rPr>
        <w:t>单位对上述承诺的真实性负责。如有虚假，将依法承担相应责任。</w:t>
      </w:r>
    </w:p>
    <w:p w14:paraId="17E27D51">
      <w:pPr>
        <w:spacing w:line="460" w:lineRule="exact"/>
        <w:ind w:firstLine="492"/>
        <w:rPr>
          <w:rFonts w:ascii="Times New Roman" w:hAnsi="Times New Roman"/>
          <w:bCs/>
          <w:sz w:val="24"/>
        </w:rPr>
      </w:pPr>
    </w:p>
    <w:p w14:paraId="66EE5601">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60664C70">
      <w:pPr>
        <w:spacing w:line="460" w:lineRule="exact"/>
        <w:rPr>
          <w:rFonts w:ascii="Times New Roman" w:hAnsi="Times New Roman"/>
          <w:bCs/>
          <w:sz w:val="24"/>
        </w:rPr>
      </w:pPr>
      <w:r>
        <w:rPr>
          <w:rFonts w:ascii="Times New Roman" w:hAnsi="Times New Roman"/>
          <w:bCs/>
          <w:sz w:val="24"/>
        </w:rPr>
        <w:t xml:space="preserve">                                     </w:t>
      </w:r>
    </w:p>
    <w:p w14:paraId="4F8F49FD">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47165EEE">
      <w:pPr>
        <w:spacing w:line="460" w:lineRule="exact"/>
        <w:rPr>
          <w:rFonts w:ascii="Times New Roman" w:hAnsi="Times New Roman"/>
          <w:b/>
          <w:bCs/>
          <w:sz w:val="32"/>
          <w:szCs w:val="32"/>
        </w:rPr>
      </w:pPr>
      <w:r>
        <w:rPr>
          <w:rFonts w:ascii="Times New Roman" w:hAnsi="Times New Roman"/>
          <w:bCs/>
          <w:sz w:val="24"/>
        </w:rPr>
        <w:br w:type="page"/>
      </w:r>
    </w:p>
    <w:p w14:paraId="40449924">
      <w:pPr>
        <w:spacing w:line="440" w:lineRule="exact"/>
        <w:jc w:val="center"/>
        <w:rPr>
          <w:rFonts w:ascii="Times New Roman" w:hAnsi="Times New Roman"/>
          <w:b/>
          <w:bCs/>
          <w:sz w:val="32"/>
          <w:szCs w:val="32"/>
        </w:rPr>
      </w:pPr>
      <w:r>
        <w:rPr>
          <w:rFonts w:ascii="Times New Roman" w:hAnsi="Times New Roman"/>
          <w:b/>
          <w:bCs/>
          <w:sz w:val="32"/>
          <w:szCs w:val="32"/>
        </w:rPr>
        <w:t>非联合体投标承诺函</w:t>
      </w:r>
    </w:p>
    <w:p w14:paraId="22B3DB43">
      <w:pPr>
        <w:pStyle w:val="114"/>
        <w:spacing w:before="0" w:after="0" w:line="420" w:lineRule="exact"/>
        <w:ind w:firstLine="0"/>
        <w:rPr>
          <w:rFonts w:ascii="Times New Roman" w:hAnsi="Times New Roman"/>
          <w:kern w:val="2"/>
          <w:szCs w:val="21"/>
        </w:rPr>
      </w:pPr>
    </w:p>
    <w:p w14:paraId="68EF635E">
      <w:pPr>
        <w:pStyle w:val="114"/>
        <w:spacing w:before="0" w:after="0" w:line="420" w:lineRule="exact"/>
        <w:ind w:firstLine="0"/>
        <w:rPr>
          <w:rFonts w:ascii="Times New Roman" w:hAnsi="Times New Roman"/>
          <w:kern w:val="2"/>
          <w:szCs w:val="21"/>
        </w:rPr>
      </w:pPr>
      <w:r>
        <w:rPr>
          <w:rFonts w:ascii="Times New Roman" w:hAnsi="Times New Roman"/>
          <w:kern w:val="2"/>
          <w:szCs w:val="21"/>
        </w:rPr>
        <w:t>致：江苏省体育装备中心</w:t>
      </w:r>
    </w:p>
    <w:p w14:paraId="42C3F8AC">
      <w:pPr>
        <w:spacing w:line="460" w:lineRule="exact"/>
        <w:ind w:firstLine="492"/>
        <w:rPr>
          <w:rFonts w:ascii="Times New Roman" w:hAnsi="Times New Roman"/>
          <w:bCs/>
          <w:sz w:val="24"/>
          <w:szCs w:val="24"/>
        </w:rPr>
      </w:pPr>
      <w:r>
        <w:rPr>
          <w:rFonts w:ascii="Times New Roman" w:hAnsi="Times New Roman"/>
          <w:bCs/>
          <w:sz w:val="24"/>
        </w:rPr>
        <w:t>我单位参加贵中心组织的</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w:t>
      </w:r>
      <w:r>
        <w:rPr>
          <w:rFonts w:ascii="Times New Roman" w:hAnsi="Times New Roman"/>
          <w:sz w:val="24"/>
          <w:szCs w:val="24"/>
        </w:rPr>
        <w:t>目（项目编号：</w:t>
      </w:r>
      <w:r>
        <w:rPr>
          <w:rFonts w:ascii="Times New Roman" w:hAnsi="Times New Roman"/>
          <w:b/>
          <w:sz w:val="24"/>
          <w:szCs w:val="24"/>
          <w:u w:val="single"/>
        </w:rPr>
        <w:t xml:space="preserve">          </w:t>
      </w:r>
      <w:r>
        <w:rPr>
          <w:rFonts w:ascii="Times New Roman" w:hAnsi="Times New Roman"/>
          <w:sz w:val="24"/>
          <w:szCs w:val="24"/>
        </w:rPr>
        <w:t>）政府采购活动，郑</w:t>
      </w:r>
      <w:r>
        <w:rPr>
          <w:rFonts w:ascii="Times New Roman" w:hAnsi="Times New Roman"/>
          <w:bCs/>
          <w:sz w:val="24"/>
          <w:szCs w:val="24"/>
        </w:rPr>
        <w:t>重承诺：非联合体参与投标。</w:t>
      </w:r>
    </w:p>
    <w:p w14:paraId="7327AB0F">
      <w:pPr>
        <w:spacing w:line="460" w:lineRule="exact"/>
        <w:ind w:firstLine="492"/>
        <w:rPr>
          <w:rFonts w:ascii="Times New Roman" w:hAnsi="Times New Roman"/>
          <w:bCs/>
          <w:sz w:val="24"/>
        </w:rPr>
      </w:pPr>
    </w:p>
    <w:p w14:paraId="53DA50B7">
      <w:pPr>
        <w:spacing w:line="460" w:lineRule="exact"/>
        <w:rPr>
          <w:rFonts w:ascii="Times New Roman" w:hAnsi="Times New Roman"/>
          <w:bCs/>
          <w:sz w:val="24"/>
        </w:rPr>
      </w:pPr>
      <w:r>
        <w:rPr>
          <w:rFonts w:ascii="Times New Roman" w:hAnsi="Times New Roman"/>
          <w:bCs/>
          <w:sz w:val="24"/>
        </w:rPr>
        <w:t xml:space="preserve">                                      </w:t>
      </w:r>
      <w:r>
        <w:rPr>
          <w:rFonts w:ascii="Times New Roman" w:hAnsi="Times New Roman"/>
          <w:sz w:val="24"/>
          <w:szCs w:val="24"/>
        </w:rPr>
        <w:t>供应商</w:t>
      </w:r>
      <w:r>
        <w:rPr>
          <w:rFonts w:ascii="Times New Roman" w:hAnsi="Times New Roman"/>
          <w:bCs/>
          <w:sz w:val="24"/>
        </w:rPr>
        <w:t>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bCs/>
          <w:sz w:val="24"/>
        </w:rPr>
        <w:t>：</w:t>
      </w:r>
    </w:p>
    <w:p w14:paraId="79575677">
      <w:pPr>
        <w:spacing w:line="460" w:lineRule="exact"/>
        <w:rPr>
          <w:rFonts w:ascii="Times New Roman" w:hAnsi="Times New Roman"/>
          <w:bCs/>
          <w:sz w:val="24"/>
        </w:rPr>
      </w:pPr>
      <w:r>
        <w:rPr>
          <w:rFonts w:ascii="Times New Roman" w:hAnsi="Times New Roman"/>
          <w:bCs/>
          <w:sz w:val="24"/>
        </w:rPr>
        <w:t xml:space="preserve">                                     </w:t>
      </w:r>
    </w:p>
    <w:p w14:paraId="269D1934">
      <w:pPr>
        <w:spacing w:line="460" w:lineRule="exact"/>
        <w:rPr>
          <w:rFonts w:ascii="Times New Roman" w:hAnsi="Times New Roman"/>
          <w:bCs/>
          <w:sz w:val="24"/>
        </w:rPr>
      </w:pPr>
      <w:r>
        <w:rPr>
          <w:rFonts w:ascii="Times New Roman" w:hAnsi="Times New Roman"/>
          <w:bCs/>
          <w:sz w:val="24"/>
        </w:rPr>
        <w:t xml:space="preserve">                                     日期：</w:t>
      </w:r>
      <w:r>
        <w:rPr>
          <w:rFonts w:ascii="Times New Roman" w:hAnsi="Times New Roman"/>
          <w:bCs/>
          <w:sz w:val="24"/>
          <w:u w:val="single"/>
        </w:rPr>
        <w:t xml:space="preserve">    </w:t>
      </w:r>
      <w:r>
        <w:rPr>
          <w:rFonts w:ascii="Times New Roman" w:hAnsi="Times New Roman"/>
          <w:bCs/>
          <w:sz w:val="24"/>
        </w:rPr>
        <w:t>年</w:t>
      </w:r>
      <w:r>
        <w:rPr>
          <w:rFonts w:ascii="Times New Roman" w:hAnsi="Times New Roman"/>
          <w:bCs/>
          <w:sz w:val="24"/>
          <w:u w:val="single"/>
        </w:rPr>
        <w:t xml:space="preserve">    </w:t>
      </w:r>
      <w:r>
        <w:rPr>
          <w:rFonts w:ascii="Times New Roman" w:hAnsi="Times New Roman"/>
          <w:bCs/>
          <w:sz w:val="24"/>
        </w:rPr>
        <w:t>月</w:t>
      </w:r>
      <w:r>
        <w:rPr>
          <w:rFonts w:ascii="Times New Roman" w:hAnsi="Times New Roman"/>
          <w:bCs/>
          <w:sz w:val="24"/>
          <w:u w:val="single"/>
        </w:rPr>
        <w:t xml:space="preserve">    </w:t>
      </w:r>
      <w:r>
        <w:rPr>
          <w:rFonts w:ascii="Times New Roman" w:hAnsi="Times New Roman"/>
          <w:bCs/>
          <w:sz w:val="24"/>
        </w:rPr>
        <w:t>日</w:t>
      </w:r>
    </w:p>
    <w:p w14:paraId="73DCB109">
      <w:pPr>
        <w:spacing w:line="440" w:lineRule="exact"/>
        <w:jc w:val="center"/>
        <w:rPr>
          <w:b/>
          <w:bCs/>
          <w:sz w:val="44"/>
          <w:szCs w:val="44"/>
        </w:rPr>
      </w:pPr>
      <w:r>
        <w:rPr>
          <w:rFonts w:ascii="Times New Roman" w:hAnsi="Times New Roman"/>
          <w:bCs/>
          <w:sz w:val="24"/>
        </w:rPr>
        <w:br w:type="page"/>
      </w:r>
      <w:bookmarkStart w:id="209" w:name="_Toc481071977"/>
      <w:bookmarkStart w:id="210" w:name="_Toc49090582"/>
      <w:bookmarkStart w:id="211" w:name="_Toc120614291"/>
      <w:bookmarkStart w:id="212" w:name="_Toc481072023"/>
      <w:bookmarkStart w:id="213" w:name="_Toc462564146"/>
      <w:bookmarkStart w:id="214" w:name="_Toc26554103"/>
      <w:bookmarkStart w:id="215" w:name="_Toc22356583"/>
      <w:bookmarkStart w:id="216" w:name="_Toc475009307"/>
      <w:bookmarkStart w:id="217" w:name="_Toc23828483"/>
      <w:bookmarkStart w:id="218" w:name="_Toc24878535"/>
      <w:bookmarkStart w:id="219" w:name="_Toc513029281"/>
      <w:bookmarkStart w:id="220" w:name="_Toc489283151"/>
      <w:r>
        <w:rPr>
          <w:b/>
          <w:bCs/>
          <w:sz w:val="44"/>
          <w:szCs w:val="44"/>
        </w:rPr>
        <w:t>非实质性资信证明文件</w:t>
      </w:r>
    </w:p>
    <w:p w14:paraId="74809B9B">
      <w:pPr>
        <w:spacing w:line="440" w:lineRule="exact"/>
        <w:rPr>
          <w:rFonts w:ascii="Times New Roman" w:hAnsi="Times New Roman"/>
          <w:b/>
          <w:bCs/>
          <w:sz w:val="32"/>
          <w:szCs w:val="32"/>
        </w:rPr>
      </w:pPr>
    </w:p>
    <w:p w14:paraId="04DE7489">
      <w:pPr>
        <w:spacing w:line="440" w:lineRule="exact"/>
        <w:jc w:val="center"/>
        <w:rPr>
          <w:b/>
          <w:bCs/>
          <w:sz w:val="32"/>
          <w:szCs w:val="32"/>
        </w:rPr>
      </w:pPr>
      <w:r>
        <w:rPr>
          <w:rFonts w:ascii="Times New Roman" w:hAnsi="Times New Roman"/>
          <w:b/>
          <w:bCs/>
          <w:sz w:val="32"/>
          <w:szCs w:val="32"/>
        </w:rPr>
        <w:t>格式</w:t>
      </w:r>
      <w:r>
        <w:rPr>
          <w:rFonts w:hint="eastAsia" w:ascii="Times New Roman" w:hAnsi="Times New Roman"/>
          <w:b/>
          <w:bCs/>
          <w:sz w:val="32"/>
          <w:szCs w:val="32"/>
        </w:rPr>
        <w:t>1</w:t>
      </w:r>
      <w:r>
        <w:rPr>
          <w:rFonts w:ascii="Times New Roman" w:hAnsi="Times New Roman"/>
          <w:b/>
          <w:bCs/>
          <w:sz w:val="32"/>
          <w:szCs w:val="32"/>
        </w:rPr>
        <w:t>、</w:t>
      </w:r>
      <w:r>
        <w:rPr>
          <w:b/>
          <w:bCs/>
          <w:sz w:val="32"/>
          <w:szCs w:val="32"/>
        </w:rPr>
        <w:t>中小企业声明函</w:t>
      </w:r>
      <w:r>
        <w:rPr>
          <w:rFonts w:hint="eastAsia"/>
          <w:b/>
          <w:bCs/>
          <w:sz w:val="32"/>
          <w:szCs w:val="32"/>
        </w:rPr>
        <w:t>（服务）</w:t>
      </w:r>
    </w:p>
    <w:p w14:paraId="65295C8C">
      <w:pPr>
        <w:spacing w:line="360" w:lineRule="auto"/>
        <w:ind w:firstLine="480" w:firstLineChars="200"/>
        <w:rPr>
          <w:sz w:val="24"/>
          <w:szCs w:val="24"/>
        </w:rPr>
      </w:pPr>
    </w:p>
    <w:p w14:paraId="7ED04A36">
      <w:pPr>
        <w:spacing w:line="560" w:lineRule="exact"/>
        <w:ind w:firstLine="424" w:firstLineChars="177"/>
        <w:rPr>
          <w:sz w:val="24"/>
        </w:rPr>
      </w:pPr>
      <w:r>
        <w:rPr>
          <w:sz w:val="24"/>
        </w:rPr>
        <w:t>本公司郑重声明，根据《政府采购促进中小</w:t>
      </w:r>
      <w:r>
        <w:rPr>
          <w:rFonts w:hint="eastAsia"/>
          <w:sz w:val="24"/>
        </w:rPr>
        <w:t>企业发展管理办法》（财库﹝2020﹞46 号）的规定，本公司参加</w:t>
      </w:r>
      <w:r>
        <w:rPr>
          <w:rFonts w:hint="eastAsia"/>
          <w:sz w:val="24"/>
          <w:u w:val="single"/>
        </w:rPr>
        <w:t xml:space="preserve">  </w:t>
      </w:r>
      <w:r>
        <w:rPr>
          <w:rFonts w:hint="eastAsia"/>
          <w:i/>
          <w:sz w:val="24"/>
          <w:szCs w:val="24"/>
          <w:u w:val="single"/>
        </w:rPr>
        <w:t>（单位名称）</w:t>
      </w:r>
      <w:r>
        <w:rPr>
          <w:rFonts w:hint="eastAsia"/>
          <w:sz w:val="24"/>
          <w:szCs w:val="24"/>
          <w:u w:val="single"/>
        </w:rPr>
        <w:t xml:space="preserve"> </w:t>
      </w:r>
      <w:r>
        <w:rPr>
          <w:rFonts w:hint="eastAsia"/>
          <w:sz w:val="24"/>
          <w:szCs w:val="24"/>
        </w:rPr>
        <w:t>的</w:t>
      </w:r>
      <w:r>
        <w:rPr>
          <w:rFonts w:hint="eastAsia"/>
          <w:sz w:val="24"/>
          <w:szCs w:val="24"/>
          <w:u w:val="single"/>
        </w:rPr>
        <w:t xml:space="preserve"> </w:t>
      </w:r>
      <w:r>
        <w:rPr>
          <w:rFonts w:hint="eastAsia"/>
          <w:i/>
          <w:sz w:val="24"/>
          <w:szCs w:val="24"/>
          <w:u w:val="single"/>
        </w:rPr>
        <w:t>（项目名称）</w:t>
      </w:r>
      <w:r>
        <w:rPr>
          <w:rFonts w:hint="eastAsia"/>
          <w:sz w:val="24"/>
        </w:rPr>
        <w:t>采购活动，服务全部由符合政策要求的中小企业承接。相关企业的具体情况如下：</w:t>
      </w:r>
    </w:p>
    <w:p w14:paraId="17BBF447">
      <w:pPr>
        <w:spacing w:line="560" w:lineRule="exact"/>
        <w:ind w:firstLine="424" w:firstLineChars="177"/>
        <w:rPr>
          <w:sz w:val="24"/>
        </w:rPr>
      </w:pPr>
      <w:r>
        <w:rPr>
          <w:rFonts w:hint="eastAsia"/>
          <w:i/>
          <w:sz w:val="24"/>
          <w:szCs w:val="24"/>
          <w:u w:val="single"/>
        </w:rPr>
        <w:t xml:space="preserve">（标的名称） </w:t>
      </w:r>
      <w:r>
        <w:rPr>
          <w:rFonts w:hint="eastAsia"/>
          <w:sz w:val="24"/>
        </w:rPr>
        <w:t>，属于</w:t>
      </w:r>
      <w:r>
        <w:rPr>
          <w:rFonts w:hint="eastAsia"/>
          <w:sz w:val="24"/>
          <w:u w:val="single"/>
        </w:rPr>
        <w:t xml:space="preserve"> </w:t>
      </w:r>
      <w:r>
        <w:rPr>
          <w:rFonts w:hint="eastAsia"/>
          <w:i/>
          <w:sz w:val="24"/>
          <w:szCs w:val="24"/>
          <w:u w:val="single"/>
        </w:rPr>
        <w:t>（采购文件中明确的所属行业）</w:t>
      </w:r>
      <w:r>
        <w:rPr>
          <w:rFonts w:hint="eastAsia"/>
          <w:sz w:val="24"/>
          <w:u w:val="single"/>
        </w:rPr>
        <w:t xml:space="preserve"> </w:t>
      </w:r>
      <w:r>
        <w:rPr>
          <w:rFonts w:hint="eastAsia"/>
          <w:sz w:val="24"/>
        </w:rPr>
        <w:t>；承接企业为</w:t>
      </w:r>
      <w:r>
        <w:rPr>
          <w:rFonts w:hint="eastAsia"/>
          <w:i/>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sz w:val="24"/>
          <w:u w:val="single"/>
        </w:rPr>
        <w:t>（中型企业、小型企业、微型企业）</w:t>
      </w:r>
      <w:r>
        <w:rPr>
          <w:rFonts w:hint="eastAsia"/>
          <w:sz w:val="24"/>
        </w:rPr>
        <w:t xml:space="preserve">； </w:t>
      </w:r>
    </w:p>
    <w:p w14:paraId="2097089C">
      <w:pPr>
        <w:spacing w:line="560" w:lineRule="exact"/>
        <w:ind w:firstLine="424" w:firstLineChars="177"/>
        <w:rPr>
          <w:sz w:val="24"/>
        </w:rPr>
      </w:pPr>
      <w:r>
        <w:rPr>
          <w:rFonts w:hint="eastAsia"/>
          <w:sz w:val="24"/>
        </w:rPr>
        <w:t>以上企业，不属于大企业的分支机构，不存在控股股东为大企业的情形，也不存在与大企业的负责人为同一人的情形。</w:t>
      </w:r>
    </w:p>
    <w:p w14:paraId="5D3200B7">
      <w:pPr>
        <w:spacing w:line="560" w:lineRule="exact"/>
        <w:ind w:firstLine="424" w:firstLineChars="177"/>
        <w:rPr>
          <w:sz w:val="24"/>
        </w:rPr>
      </w:pPr>
      <w:r>
        <w:rPr>
          <w:rFonts w:hint="eastAsia"/>
          <w:sz w:val="24"/>
        </w:rPr>
        <w:t xml:space="preserve">本企业对上述声明内容的真实性负责。如有虚假，将依法承担相应责任。 </w:t>
      </w:r>
    </w:p>
    <w:p w14:paraId="62526796">
      <w:pPr>
        <w:widowControl/>
        <w:jc w:val="right"/>
        <w:rPr>
          <w:rFonts w:ascii="仿宋" w:hAnsi="仿宋" w:eastAsia="仿宋" w:cs="仿宋"/>
          <w:color w:val="000000"/>
          <w:kern w:val="0"/>
          <w:sz w:val="31"/>
          <w:szCs w:val="31"/>
          <w:lang w:bidi="ar"/>
        </w:rPr>
      </w:pPr>
    </w:p>
    <w:p w14:paraId="0E5CD00B">
      <w:pPr>
        <w:spacing w:line="360" w:lineRule="auto"/>
        <w:ind w:firstLine="4920" w:firstLineChars="2050"/>
        <w:rPr>
          <w:sz w:val="24"/>
        </w:rPr>
      </w:pPr>
      <w:r>
        <w:rPr>
          <w:sz w:val="24"/>
        </w:rPr>
        <w:t>企业名称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sz w:val="24"/>
        </w:rPr>
        <w:t>：</w:t>
      </w:r>
    </w:p>
    <w:p w14:paraId="19A5F4B7">
      <w:pPr>
        <w:spacing w:line="440" w:lineRule="exact"/>
        <w:jc w:val="center"/>
        <w:rPr>
          <w:sz w:val="24"/>
          <w:szCs w:val="24"/>
        </w:rPr>
      </w:pPr>
      <w:r>
        <w:rPr>
          <w:rFonts w:hint="eastAsia"/>
          <w:sz w:val="24"/>
        </w:rPr>
        <w:t xml:space="preserve">                                       </w:t>
      </w:r>
      <w:r>
        <w:rPr>
          <w:sz w:val="24"/>
        </w:rPr>
        <w:t>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0EA9C53C">
      <w:pPr>
        <w:spacing w:line="360" w:lineRule="auto"/>
        <w:ind w:firstLine="480" w:firstLineChars="200"/>
        <w:rPr>
          <w:sz w:val="24"/>
          <w:szCs w:val="24"/>
        </w:rPr>
      </w:pPr>
    </w:p>
    <w:p w14:paraId="22003D7B">
      <w:pPr>
        <w:spacing w:line="360" w:lineRule="auto"/>
        <w:ind w:firstLine="480" w:firstLineChars="200"/>
        <w:rPr>
          <w:sz w:val="24"/>
          <w:szCs w:val="24"/>
        </w:rPr>
      </w:pPr>
    </w:p>
    <w:p w14:paraId="7E435160">
      <w:pPr>
        <w:spacing w:line="360" w:lineRule="auto"/>
        <w:ind w:firstLine="480" w:firstLineChars="200"/>
        <w:rPr>
          <w:sz w:val="24"/>
          <w:szCs w:val="24"/>
          <w:vertAlign w:val="superscript"/>
        </w:rPr>
      </w:pPr>
      <w:r>
        <w:rPr>
          <w:sz w:val="24"/>
        </w:rPr>
        <w:t>备注：</w:t>
      </w:r>
    </w:p>
    <w:p w14:paraId="7795CAD4">
      <w:pPr>
        <w:spacing w:line="360" w:lineRule="auto"/>
        <w:ind w:firstLine="480" w:firstLineChars="200"/>
        <w:rPr>
          <w:sz w:val="24"/>
          <w:szCs w:val="24"/>
        </w:rPr>
      </w:pPr>
      <w:r>
        <w:rPr>
          <w:rFonts w:hint="eastAsia"/>
          <w:sz w:val="24"/>
          <w:szCs w:val="24"/>
        </w:rPr>
        <w:t>1、从业人员、营业收入、资产总额填报上一年度数据，无上一年度数据的新成立企业可不填报。</w:t>
      </w:r>
    </w:p>
    <w:p w14:paraId="48932A11">
      <w:pPr>
        <w:spacing w:line="360" w:lineRule="auto"/>
        <w:ind w:firstLine="480" w:firstLineChars="200"/>
        <w:rPr>
          <w:sz w:val="24"/>
          <w:szCs w:val="24"/>
        </w:rPr>
      </w:pPr>
      <w:r>
        <w:rPr>
          <w:rFonts w:hint="eastAsia"/>
          <w:sz w:val="24"/>
          <w:szCs w:val="24"/>
        </w:rPr>
        <w:t>2、采购标的所属行业属于交通运输业。</w:t>
      </w:r>
    </w:p>
    <w:p w14:paraId="50C19C2D">
      <w:pPr>
        <w:spacing w:line="360" w:lineRule="auto"/>
        <w:ind w:firstLine="480" w:firstLineChars="200"/>
        <w:rPr>
          <w:sz w:val="24"/>
          <w:szCs w:val="24"/>
        </w:rPr>
      </w:pPr>
      <w:r>
        <w:rPr>
          <w:rFonts w:hint="eastAsia"/>
          <w:sz w:val="24"/>
          <w:szCs w:val="24"/>
        </w:rPr>
        <w:t>3、</w:t>
      </w:r>
      <w:r>
        <w:rPr>
          <w:sz w:val="24"/>
        </w:rPr>
        <w:t>供应商如不提供此声明函，价格将不做相应扣除。</w:t>
      </w:r>
    </w:p>
    <w:p w14:paraId="2E91478F">
      <w:pPr>
        <w:spacing w:line="440" w:lineRule="exact"/>
        <w:jc w:val="center"/>
        <w:rPr>
          <w:rFonts w:ascii="Times New Roman" w:hAnsi="Times New Roman"/>
          <w:b/>
          <w:bCs/>
          <w:sz w:val="32"/>
          <w:szCs w:val="32"/>
        </w:rPr>
      </w:pPr>
      <w:r>
        <w:rPr>
          <w:rFonts w:ascii="Times New Roman" w:hAnsi="Times New Roman"/>
          <w:sz w:val="24"/>
        </w:rPr>
        <w:br w:type="page"/>
      </w:r>
      <w:bookmarkEnd w:id="209"/>
      <w:bookmarkEnd w:id="210"/>
      <w:bookmarkEnd w:id="211"/>
      <w:bookmarkEnd w:id="212"/>
      <w:bookmarkEnd w:id="213"/>
      <w:bookmarkEnd w:id="214"/>
      <w:bookmarkEnd w:id="215"/>
      <w:bookmarkEnd w:id="216"/>
      <w:bookmarkEnd w:id="217"/>
      <w:bookmarkEnd w:id="218"/>
      <w:bookmarkEnd w:id="219"/>
      <w:bookmarkEnd w:id="220"/>
      <w:bookmarkStart w:id="221" w:name="OLE_LINK14"/>
      <w:bookmarkStart w:id="222" w:name="OLE_LINK13"/>
      <w:r>
        <w:rPr>
          <w:rFonts w:ascii="Times New Roman" w:hAnsi="Times New Roman"/>
          <w:b/>
          <w:bCs/>
          <w:sz w:val="32"/>
          <w:szCs w:val="32"/>
        </w:rPr>
        <w:t>格式</w:t>
      </w:r>
      <w:r>
        <w:rPr>
          <w:rFonts w:hint="eastAsia" w:ascii="Times New Roman" w:hAnsi="Times New Roman"/>
          <w:b/>
          <w:bCs/>
          <w:sz w:val="32"/>
          <w:szCs w:val="32"/>
        </w:rPr>
        <w:t>２</w:t>
      </w:r>
      <w:r>
        <w:rPr>
          <w:rFonts w:ascii="Times New Roman" w:hAnsi="Times New Roman"/>
          <w:b/>
          <w:bCs/>
          <w:sz w:val="32"/>
          <w:szCs w:val="32"/>
        </w:rPr>
        <w:t>、残疾人福利性单位声明函</w:t>
      </w:r>
    </w:p>
    <w:bookmarkEnd w:id="221"/>
    <w:bookmarkEnd w:id="222"/>
    <w:p w14:paraId="1673114B">
      <w:pPr>
        <w:spacing w:line="588" w:lineRule="exact"/>
        <w:rPr>
          <w:rFonts w:ascii="Times New Roman" w:hAnsi="Times New Roman" w:eastAsia="仿宋_GB2312"/>
          <w:b/>
          <w:spacing w:val="6"/>
          <w:sz w:val="30"/>
          <w:szCs w:val="30"/>
        </w:rPr>
      </w:pPr>
    </w:p>
    <w:p w14:paraId="576B23A4">
      <w:pPr>
        <w:spacing w:line="560" w:lineRule="exact"/>
        <w:ind w:firstLine="360" w:firstLineChars="150"/>
        <w:rPr>
          <w:rFonts w:ascii="Times New Roman" w:hAnsi="Times New Roman"/>
          <w:sz w:val="24"/>
        </w:rPr>
      </w:pPr>
      <w:r>
        <w:rPr>
          <w:rFonts w:ascii="Times New Roman" w:hAnsi="Times New Roman"/>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44329AA">
      <w:pPr>
        <w:spacing w:line="560" w:lineRule="exact"/>
        <w:ind w:firstLine="360" w:firstLineChars="150"/>
        <w:rPr>
          <w:rFonts w:ascii="Times New Roman" w:hAnsi="Times New Roman"/>
          <w:sz w:val="24"/>
        </w:rPr>
      </w:pPr>
      <w:r>
        <w:rPr>
          <w:rFonts w:ascii="Times New Roman" w:hAnsi="Times New Roman"/>
          <w:sz w:val="24"/>
        </w:rPr>
        <w:t>本单位对上述声明的真实性负责。如有虚假，将依法承担相应责任。</w:t>
      </w:r>
    </w:p>
    <w:p w14:paraId="5FA2257D">
      <w:pPr>
        <w:spacing w:line="560" w:lineRule="exact"/>
        <w:ind w:firstLine="360" w:firstLineChars="150"/>
        <w:rPr>
          <w:rFonts w:ascii="Times New Roman" w:hAnsi="Times New Roman"/>
          <w:sz w:val="24"/>
        </w:rPr>
      </w:pPr>
    </w:p>
    <w:p w14:paraId="6A85183B">
      <w:pPr>
        <w:spacing w:line="560" w:lineRule="exact"/>
        <w:ind w:firstLine="360" w:firstLineChars="150"/>
        <w:rPr>
          <w:rFonts w:ascii="Times New Roman" w:hAnsi="Times New Roman"/>
          <w:sz w:val="24"/>
        </w:rPr>
      </w:pPr>
    </w:p>
    <w:p w14:paraId="0EFF77E3">
      <w:pPr>
        <w:spacing w:line="360" w:lineRule="auto"/>
        <w:ind w:firstLine="4920" w:firstLineChars="2050"/>
        <w:rPr>
          <w:rFonts w:ascii="Times New Roman" w:hAnsi="Times New Roman"/>
          <w:sz w:val="24"/>
        </w:rPr>
      </w:pPr>
      <w:r>
        <w:rPr>
          <w:rFonts w:ascii="Times New Roman" w:hAnsi="Times New Roman"/>
          <w:sz w:val="24"/>
        </w:rPr>
        <w:t>企业名称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sz w:val="24"/>
        </w:rPr>
        <w:t>：</w:t>
      </w:r>
    </w:p>
    <w:p w14:paraId="79A6FAE1">
      <w:pPr>
        <w:spacing w:line="360" w:lineRule="auto"/>
        <w:ind w:firstLine="4920" w:firstLineChars="2050"/>
        <w:rPr>
          <w:rFonts w:ascii="Times New Roman" w:hAnsi="Times New Roman"/>
          <w:sz w:val="24"/>
        </w:rPr>
      </w:pPr>
      <w:r>
        <w:rPr>
          <w:rFonts w:ascii="Times New Roman" w:hAnsi="Times New Roman"/>
          <w:sz w:val="24"/>
        </w:rPr>
        <w:t>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15F38B84">
      <w:pPr>
        <w:spacing w:line="560" w:lineRule="exact"/>
        <w:rPr>
          <w:rFonts w:ascii="Times New Roman" w:hAnsi="Times New Roman"/>
          <w:i/>
          <w:sz w:val="24"/>
          <w:u w:val="single"/>
        </w:rPr>
      </w:pPr>
    </w:p>
    <w:p w14:paraId="3B3C1182">
      <w:pPr>
        <w:spacing w:line="560" w:lineRule="exact"/>
        <w:ind w:firstLine="240" w:firstLineChars="100"/>
        <w:rPr>
          <w:rFonts w:ascii="Times New Roman" w:hAnsi="Times New Roman"/>
          <w:sz w:val="24"/>
        </w:rPr>
      </w:pPr>
      <w:r>
        <w:rPr>
          <w:rFonts w:ascii="Times New Roman" w:hAnsi="Times New Roman"/>
          <w:sz w:val="24"/>
        </w:rPr>
        <w:t>（备注：供应商如不提供此声明函，价格将不做相应扣除）</w:t>
      </w:r>
    </w:p>
    <w:p w14:paraId="0A7877CE">
      <w:pPr>
        <w:pStyle w:val="84"/>
        <w:spacing w:after="145" w:afterLines="50" w:line="360" w:lineRule="auto"/>
        <w:ind w:left="0" w:firstLine="0"/>
        <w:jc w:val="center"/>
        <w:rPr>
          <w:rFonts w:ascii="Times New Roman" w:hAnsi="Times New Roman" w:eastAsia="宋体"/>
          <w:sz w:val="32"/>
          <w:szCs w:val="32"/>
        </w:rPr>
      </w:pPr>
      <w:r>
        <w:rPr>
          <w:rFonts w:ascii="Times New Roman" w:hAnsi="Times New Roman" w:eastAsia="宋体"/>
          <w:bCs/>
          <w:sz w:val="32"/>
          <w:szCs w:val="32"/>
        </w:rPr>
        <w:br w:type="page"/>
      </w:r>
      <w:r>
        <w:rPr>
          <w:rFonts w:hint="eastAsia" w:ascii="Times New Roman" w:hAnsi="Times New Roman" w:eastAsia="宋体"/>
          <w:sz w:val="32"/>
          <w:szCs w:val="32"/>
        </w:rPr>
        <w:t>二</w:t>
      </w:r>
      <w:r>
        <w:rPr>
          <w:rFonts w:ascii="Times New Roman" w:hAnsi="Times New Roman" w:eastAsia="宋体"/>
          <w:sz w:val="32"/>
          <w:szCs w:val="32"/>
        </w:rPr>
        <w:t>、投 标 函</w:t>
      </w:r>
      <w:bookmarkEnd w:id="205"/>
      <w:bookmarkEnd w:id="206"/>
      <w:bookmarkEnd w:id="207"/>
      <w:bookmarkEnd w:id="208"/>
    </w:p>
    <w:p w14:paraId="4A98C991">
      <w:pPr>
        <w:pStyle w:val="114"/>
        <w:spacing w:before="0" w:after="0" w:line="420" w:lineRule="exact"/>
        <w:ind w:firstLine="0"/>
        <w:rPr>
          <w:rFonts w:ascii="Times New Roman" w:hAnsi="Times New Roman"/>
          <w:kern w:val="2"/>
          <w:szCs w:val="21"/>
        </w:rPr>
      </w:pPr>
      <w:r>
        <w:rPr>
          <w:rFonts w:ascii="Times New Roman" w:hAnsi="Times New Roman"/>
          <w:kern w:val="2"/>
          <w:szCs w:val="21"/>
        </w:rPr>
        <w:t>致：江苏省体育装备中心</w:t>
      </w:r>
    </w:p>
    <w:p w14:paraId="62798E33">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根据贵方</w:t>
      </w:r>
      <w:r>
        <w:rPr>
          <w:rFonts w:ascii="Times New Roman" w:hAnsi="Times New Roman"/>
          <w:kern w:val="2"/>
          <w:szCs w:val="21"/>
          <w:u w:val="single"/>
        </w:rPr>
        <w:t xml:space="preserve">         </w:t>
      </w:r>
      <w:r>
        <w:rPr>
          <w:rFonts w:ascii="Times New Roman" w:hAnsi="Times New Roman"/>
          <w:kern w:val="2"/>
          <w:szCs w:val="21"/>
        </w:rPr>
        <w:t>号招标文件，正式授权下述签字人</w:t>
      </w:r>
      <w:r>
        <w:rPr>
          <w:rFonts w:ascii="Times New Roman" w:hAnsi="Times New Roman"/>
          <w:kern w:val="2"/>
          <w:szCs w:val="21"/>
          <w:u w:val="single"/>
        </w:rPr>
        <w:t xml:space="preserve">           </w:t>
      </w:r>
      <w:r>
        <w:rPr>
          <w:rFonts w:ascii="Times New Roman" w:hAnsi="Times New Roman"/>
          <w:kern w:val="2"/>
          <w:szCs w:val="21"/>
        </w:rPr>
        <w:t xml:space="preserve">  </w:t>
      </w:r>
      <w:r>
        <w:rPr>
          <w:rFonts w:hint="eastAsia" w:ascii="Times New Roman" w:hAnsi="Times New Roman"/>
          <w:kern w:val="2"/>
          <w:szCs w:val="21"/>
        </w:rPr>
        <w:t>（</w:t>
      </w:r>
      <w:r>
        <w:rPr>
          <w:rFonts w:ascii="Times New Roman" w:hAnsi="Times New Roman"/>
          <w:kern w:val="2"/>
          <w:szCs w:val="21"/>
        </w:rPr>
        <w:t>姓名和职务</w:t>
      </w:r>
      <w:r>
        <w:rPr>
          <w:rFonts w:hint="eastAsia" w:ascii="Times New Roman" w:hAnsi="Times New Roman"/>
          <w:kern w:val="2"/>
          <w:szCs w:val="21"/>
        </w:rPr>
        <w:t>）</w:t>
      </w:r>
      <w:r>
        <w:rPr>
          <w:rFonts w:ascii="Times New Roman" w:hAnsi="Times New Roman"/>
          <w:kern w:val="2"/>
          <w:szCs w:val="21"/>
        </w:rPr>
        <w:t>代表我方________（投标供应商名称），全权处理本次项目投标的有关事宜。</w:t>
      </w:r>
    </w:p>
    <w:p w14:paraId="6C512227">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据此函，</w:t>
      </w:r>
      <w:r>
        <w:rPr>
          <w:rFonts w:ascii="Times New Roman" w:hAnsi="Times New Roman"/>
          <w:kern w:val="2"/>
          <w:szCs w:val="21"/>
          <w:u w:val="single"/>
        </w:rPr>
        <w:t xml:space="preserve">           </w:t>
      </w:r>
      <w:r>
        <w:rPr>
          <w:rFonts w:ascii="Times New Roman" w:hAnsi="Times New Roman"/>
          <w:kern w:val="2"/>
          <w:szCs w:val="21"/>
        </w:rPr>
        <w:t>签字人兹宣布同意如下：</w:t>
      </w:r>
    </w:p>
    <w:p w14:paraId="7F981405">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1、按招标文件规定的各项要求，向采购人提供所需货物与服务。</w:t>
      </w:r>
    </w:p>
    <w:p w14:paraId="08450CB7">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2、我们同意向贵方提供贵方可能要求的与本次项目采购有关的任何证据或资料，并保证我方已提供和将要提供的文件是真实的、准确的。</w:t>
      </w:r>
    </w:p>
    <w:p w14:paraId="5C05768F">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3、我们完全理解贵方不一定将合同授予最低报价的供应商。</w:t>
      </w:r>
    </w:p>
    <w:p w14:paraId="58A240FC">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4、我们已详细审核全部招标文件及其有效补充文件，我们知道必须放弃提出含糊不清或误解问题的权利。</w:t>
      </w:r>
    </w:p>
    <w:p w14:paraId="63A3F91C">
      <w:pPr>
        <w:pStyle w:val="114"/>
        <w:spacing w:before="0" w:after="0" w:line="420" w:lineRule="exact"/>
        <w:rPr>
          <w:rFonts w:ascii="Times New Roman" w:hAnsi="Times New Roman"/>
          <w:kern w:val="2"/>
          <w:szCs w:val="21"/>
        </w:rPr>
      </w:pPr>
      <w:r>
        <w:rPr>
          <w:rFonts w:ascii="Times New Roman" w:hAnsi="Times New Roman"/>
          <w:kern w:val="2"/>
          <w:szCs w:val="21"/>
        </w:rPr>
        <w:t>5、我们同意从规定的开标日期起遵循本投标文件，并在规定的投标有效期（六十天）期满之前均具有约束力。</w:t>
      </w:r>
    </w:p>
    <w:p w14:paraId="249880CA">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6、一旦我方</w:t>
      </w:r>
      <w:r>
        <w:rPr>
          <w:rFonts w:hint="eastAsia" w:ascii="Times New Roman" w:hAnsi="Times New Roman"/>
          <w:kern w:val="2"/>
          <w:szCs w:val="21"/>
        </w:rPr>
        <w:t>中标</w:t>
      </w:r>
      <w:r>
        <w:rPr>
          <w:rFonts w:ascii="Times New Roman" w:hAnsi="Times New Roman"/>
          <w:kern w:val="2"/>
          <w:szCs w:val="21"/>
        </w:rPr>
        <w:t>，我方将根据招标文件的规定，严格履行合同的责任和义务，并保证在承诺的时间内完成项目，交付买方验收、使用。</w:t>
      </w:r>
    </w:p>
    <w:p w14:paraId="09918227">
      <w:pPr>
        <w:pStyle w:val="114"/>
        <w:spacing w:before="0" w:after="0" w:line="420" w:lineRule="exact"/>
        <w:ind w:firstLineChars="200"/>
        <w:rPr>
          <w:rFonts w:ascii="Times New Roman" w:hAnsi="Times New Roman"/>
          <w:kern w:val="2"/>
          <w:szCs w:val="21"/>
        </w:rPr>
      </w:pPr>
      <w:r>
        <w:rPr>
          <w:rFonts w:hint="eastAsia" w:ascii="Times New Roman" w:hAnsi="Times New Roman"/>
          <w:kern w:val="2"/>
          <w:szCs w:val="21"/>
        </w:rPr>
        <w:t>7</w:t>
      </w:r>
      <w:r>
        <w:rPr>
          <w:rFonts w:ascii="Times New Roman" w:hAnsi="Times New Roman"/>
          <w:kern w:val="2"/>
          <w:szCs w:val="21"/>
        </w:rPr>
        <w:t>、与本次投标有关的正式通讯地址为：</w:t>
      </w:r>
    </w:p>
    <w:p w14:paraId="2E3AD18F">
      <w:pPr>
        <w:pStyle w:val="114"/>
        <w:spacing w:before="0" w:after="0" w:line="420" w:lineRule="exact"/>
        <w:ind w:firstLineChars="200"/>
        <w:rPr>
          <w:rFonts w:ascii="Times New Roman" w:hAnsi="Times New Roman"/>
          <w:kern w:val="2"/>
          <w:szCs w:val="21"/>
        </w:rPr>
      </w:pPr>
      <w:bookmarkStart w:id="223" w:name="_Toc120614284"/>
      <w:r>
        <w:rPr>
          <w:rFonts w:ascii="Times New Roman" w:hAnsi="Times New Roman"/>
          <w:kern w:val="2"/>
          <w:szCs w:val="21"/>
        </w:rPr>
        <w:t>地        址：</w:t>
      </w:r>
      <w:r>
        <w:rPr>
          <w:rFonts w:ascii="Times New Roman" w:hAnsi="Times New Roman"/>
          <w:kern w:val="2"/>
          <w:szCs w:val="21"/>
          <w:u w:val="single"/>
        </w:rPr>
        <w:t xml:space="preserve">                              </w:t>
      </w:r>
    </w:p>
    <w:p w14:paraId="2186280D">
      <w:pPr>
        <w:pStyle w:val="114"/>
        <w:spacing w:before="0" w:after="0" w:line="420" w:lineRule="exact"/>
        <w:ind w:firstLineChars="200"/>
        <w:rPr>
          <w:rFonts w:ascii="Times New Roman" w:hAnsi="Times New Roman"/>
          <w:kern w:val="2"/>
          <w:szCs w:val="21"/>
          <w:u w:val="single"/>
        </w:rPr>
      </w:pPr>
      <w:r>
        <w:rPr>
          <w:rFonts w:ascii="Times New Roman" w:hAnsi="Times New Roman"/>
          <w:kern w:val="2"/>
          <w:szCs w:val="21"/>
        </w:rPr>
        <w:t>电        话：</w:t>
      </w:r>
      <w:r>
        <w:rPr>
          <w:rFonts w:ascii="Times New Roman" w:hAnsi="Times New Roman"/>
          <w:kern w:val="2"/>
          <w:szCs w:val="21"/>
          <w:u w:val="single"/>
        </w:rPr>
        <w:t xml:space="preserve">                              </w:t>
      </w:r>
    </w:p>
    <w:p w14:paraId="32BB510B">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传        真：</w:t>
      </w:r>
      <w:r>
        <w:rPr>
          <w:rFonts w:ascii="Times New Roman" w:hAnsi="Times New Roman"/>
          <w:kern w:val="2"/>
          <w:szCs w:val="21"/>
          <w:u w:val="single"/>
        </w:rPr>
        <w:t xml:space="preserve">                              </w:t>
      </w:r>
    </w:p>
    <w:p w14:paraId="5720D010">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 xml:space="preserve">邮        箱: </w:t>
      </w:r>
      <w:r>
        <w:rPr>
          <w:rFonts w:ascii="Times New Roman" w:hAnsi="Times New Roman"/>
          <w:kern w:val="2"/>
          <w:szCs w:val="21"/>
          <w:u w:val="single"/>
        </w:rPr>
        <w:t xml:space="preserve">                              </w:t>
      </w:r>
    </w:p>
    <w:p w14:paraId="20DAD114">
      <w:pPr>
        <w:pStyle w:val="114"/>
        <w:spacing w:before="0" w:after="0" w:line="420" w:lineRule="exact"/>
        <w:ind w:firstLineChars="200"/>
        <w:rPr>
          <w:rFonts w:ascii="Times New Roman" w:hAnsi="Times New Roman"/>
          <w:kern w:val="2"/>
          <w:szCs w:val="21"/>
          <w:u w:val="single"/>
        </w:rPr>
      </w:pPr>
      <w:r>
        <w:rPr>
          <w:rFonts w:ascii="Times New Roman" w:hAnsi="Times New Roman"/>
          <w:kern w:val="2"/>
          <w:szCs w:val="21"/>
        </w:rPr>
        <w:t>供应商开户行：</w:t>
      </w:r>
      <w:r>
        <w:rPr>
          <w:rFonts w:ascii="Times New Roman" w:hAnsi="Times New Roman"/>
          <w:kern w:val="2"/>
          <w:szCs w:val="21"/>
          <w:u w:val="single"/>
        </w:rPr>
        <w:t xml:space="preserve">                              </w:t>
      </w:r>
    </w:p>
    <w:p w14:paraId="0593A8E3">
      <w:pPr>
        <w:pStyle w:val="114"/>
        <w:spacing w:before="0" w:after="0" w:line="420" w:lineRule="exact"/>
        <w:ind w:firstLineChars="200"/>
        <w:rPr>
          <w:rFonts w:ascii="Times New Roman" w:hAnsi="Times New Roman"/>
          <w:kern w:val="2"/>
          <w:szCs w:val="21"/>
        </w:rPr>
      </w:pPr>
      <w:r>
        <w:rPr>
          <w:rFonts w:hint="eastAsia" w:ascii="Times New Roman" w:hAnsi="Times New Roman"/>
          <w:kern w:val="2"/>
          <w:szCs w:val="21"/>
        </w:rPr>
        <w:t>账</w:t>
      </w:r>
      <w:r>
        <w:rPr>
          <w:rFonts w:ascii="Times New Roman" w:hAnsi="Times New Roman"/>
          <w:kern w:val="2"/>
          <w:szCs w:val="21"/>
        </w:rPr>
        <w:t xml:space="preserve">        户：</w:t>
      </w:r>
      <w:r>
        <w:rPr>
          <w:rFonts w:ascii="Times New Roman" w:hAnsi="Times New Roman"/>
          <w:kern w:val="2"/>
          <w:szCs w:val="21"/>
          <w:u w:val="single"/>
        </w:rPr>
        <w:t xml:space="preserve">                              </w:t>
      </w:r>
    </w:p>
    <w:p w14:paraId="0CC2BDEC">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25FCB5B7">
      <w:pPr>
        <w:pStyle w:val="114"/>
        <w:spacing w:before="0" w:after="0" w:line="420" w:lineRule="exact"/>
        <w:ind w:firstLineChars="200"/>
        <w:rPr>
          <w:rFonts w:ascii="Times New Roman" w:hAnsi="Times New Roman"/>
          <w:kern w:val="2"/>
          <w:szCs w:val="21"/>
        </w:rPr>
      </w:pPr>
      <w:r>
        <w:rPr>
          <w:rFonts w:ascii="Times New Roman" w:hAnsi="Times New Roman"/>
          <w:kern w:val="2"/>
          <w:szCs w:val="21"/>
        </w:rPr>
        <w:t>供应商名称</w:t>
      </w:r>
      <w:r>
        <w:rPr>
          <w:rFonts w:ascii="Times New Roman" w:hAnsi="Times New Roman"/>
        </w:rPr>
        <w:t>（</w:t>
      </w:r>
      <w:r>
        <w:rPr>
          <w:rFonts w:hint="eastAsia" w:ascii="Times New Roman" w:hAnsi="Times New Roman"/>
        </w:rPr>
        <w:t>加盖CA电子签章</w:t>
      </w:r>
      <w:r>
        <w:rPr>
          <w:rFonts w:ascii="Times New Roman" w:hAnsi="Times New Roman"/>
        </w:rPr>
        <w:t>）</w:t>
      </w:r>
      <w:r>
        <w:rPr>
          <w:rFonts w:ascii="Times New Roman" w:hAnsi="Times New Roman"/>
          <w:kern w:val="2"/>
          <w:szCs w:val="21"/>
        </w:rPr>
        <w:t>：</w:t>
      </w:r>
      <w:r>
        <w:rPr>
          <w:rFonts w:ascii="Times New Roman" w:hAnsi="Times New Roman"/>
          <w:kern w:val="2"/>
          <w:szCs w:val="21"/>
          <w:u w:val="single"/>
        </w:rPr>
        <w:t xml:space="preserve">                         </w:t>
      </w:r>
    </w:p>
    <w:p w14:paraId="6AD4030C">
      <w:pPr>
        <w:spacing w:line="440" w:lineRule="exact"/>
        <w:jc w:val="center"/>
        <w:rPr>
          <w:rFonts w:ascii="Times New Roman" w:hAnsi="Times New Roman"/>
          <w:b/>
          <w:sz w:val="32"/>
          <w:szCs w:val="32"/>
        </w:rPr>
      </w:pPr>
      <w:r>
        <w:rPr>
          <w:rFonts w:ascii="Times New Roman" w:hAnsi="Times New Roman"/>
          <w:szCs w:val="21"/>
        </w:rPr>
        <w:t>日        期：</w:t>
      </w:r>
      <w:r>
        <w:rPr>
          <w:rFonts w:ascii="Times New Roman" w:hAnsi="Times New Roman"/>
          <w:szCs w:val="21"/>
          <w:u w:val="single"/>
        </w:rPr>
        <w:t xml:space="preserve">      </w:t>
      </w:r>
      <w:r>
        <w:rPr>
          <w:rFonts w:ascii="Times New Roman" w:hAnsi="Times New Roman"/>
          <w:szCs w:val="21"/>
        </w:rPr>
        <w:t xml:space="preserve"> 年</w:t>
      </w:r>
      <w:r>
        <w:rPr>
          <w:rFonts w:ascii="Times New Roman" w:hAnsi="Times New Roman"/>
          <w:szCs w:val="21"/>
          <w:u w:val="single"/>
        </w:rPr>
        <w:t xml:space="preserve">    </w:t>
      </w:r>
      <w:r>
        <w:rPr>
          <w:rFonts w:ascii="Times New Roman" w:hAnsi="Times New Roman"/>
          <w:szCs w:val="21"/>
        </w:rPr>
        <w:t>月</w:t>
      </w:r>
      <w:r>
        <w:rPr>
          <w:rFonts w:ascii="Times New Roman" w:hAnsi="Times New Roman"/>
          <w:szCs w:val="21"/>
          <w:u w:val="single"/>
        </w:rPr>
        <w:t xml:space="preserve">    </w:t>
      </w:r>
      <w:r>
        <w:rPr>
          <w:rFonts w:ascii="Times New Roman" w:hAnsi="Times New Roman"/>
          <w:szCs w:val="21"/>
        </w:rPr>
        <w:t>日</w:t>
      </w:r>
      <w:r>
        <w:rPr>
          <w:rFonts w:ascii="Times New Roman" w:hAnsi="Times New Roman"/>
          <w:sz w:val="24"/>
          <w:szCs w:val="24"/>
        </w:rPr>
        <w:br w:type="page"/>
      </w:r>
      <w:bookmarkStart w:id="224" w:name="_Toc511899522"/>
      <w:bookmarkStart w:id="225" w:name="_Toc481072025"/>
      <w:bookmarkStart w:id="226" w:name="_Toc475009309"/>
      <w:bookmarkStart w:id="227" w:name="_Toc481071979"/>
      <w:r>
        <w:rPr>
          <w:rFonts w:hint="eastAsia" w:ascii="Times New Roman" w:hAnsi="Times New Roman"/>
          <w:b/>
          <w:sz w:val="32"/>
          <w:szCs w:val="32"/>
        </w:rPr>
        <w:t>三、投标分项</w:t>
      </w:r>
      <w:r>
        <w:rPr>
          <w:rFonts w:ascii="Times New Roman" w:hAnsi="Times New Roman"/>
          <w:b/>
          <w:sz w:val="32"/>
          <w:szCs w:val="32"/>
        </w:rPr>
        <w:t>报价表</w:t>
      </w:r>
      <w:bookmarkEnd w:id="224"/>
    </w:p>
    <w:p w14:paraId="6285CDD5">
      <w:pPr>
        <w:rPr>
          <w:sz w:val="24"/>
          <w:u w:val="single"/>
        </w:rPr>
      </w:pPr>
      <w:r>
        <w:rPr>
          <w:sz w:val="24"/>
        </w:rPr>
        <w:t>项目名称：                               项目编号：</w:t>
      </w:r>
      <w:r>
        <w:rPr>
          <w:rFonts w:hint="eastAsia"/>
          <w:sz w:val="24"/>
          <w:u w:val="single"/>
        </w:rPr>
        <w:t xml:space="preserve"> </w:t>
      </w:r>
      <w:r>
        <w:rPr>
          <w:sz w:val="24"/>
          <w:u w:val="single"/>
        </w:rPr>
        <w:t xml:space="preserve">       　　　</w:t>
      </w:r>
      <w:r>
        <w:rPr>
          <w:rFonts w:hint="eastAsia"/>
          <w:sz w:val="24"/>
        </w:rPr>
        <w:t xml:space="preserve">                                </w:t>
      </w:r>
    </w:p>
    <w:p w14:paraId="42364290">
      <w:pPr>
        <w:tabs>
          <w:tab w:val="left" w:pos="5655"/>
        </w:tabs>
        <w:jc w:val="right"/>
        <w:rPr>
          <w:sz w:val="24"/>
          <w:szCs w:val="24"/>
        </w:rPr>
      </w:pPr>
      <w:r>
        <w:rPr>
          <w:sz w:val="24"/>
          <w:szCs w:val="24"/>
        </w:rPr>
        <w:t>价格单位：人民币元</w:t>
      </w:r>
    </w:p>
    <w:tbl>
      <w:tblPr>
        <w:tblStyle w:val="39"/>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2968"/>
        <w:gridCol w:w="1200"/>
        <w:gridCol w:w="1228"/>
        <w:gridCol w:w="1218"/>
        <w:gridCol w:w="1293"/>
        <w:gridCol w:w="1165"/>
      </w:tblGrid>
      <w:tr w14:paraId="5CD42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blHeader/>
          <w:jc w:val="center"/>
        </w:trPr>
        <w:tc>
          <w:tcPr>
            <w:tcW w:w="567" w:type="dxa"/>
            <w:vAlign w:val="center"/>
          </w:tcPr>
          <w:p w14:paraId="36A47484">
            <w:pPr>
              <w:widowControl/>
              <w:adjustRightInd w:val="0"/>
              <w:snapToGrid w:val="0"/>
              <w:jc w:val="center"/>
              <w:rPr>
                <w:sz w:val="24"/>
                <w:szCs w:val="24"/>
              </w:rPr>
            </w:pPr>
            <w:r>
              <w:rPr>
                <w:sz w:val="24"/>
                <w:szCs w:val="24"/>
              </w:rPr>
              <w:t>序号</w:t>
            </w:r>
          </w:p>
        </w:tc>
        <w:tc>
          <w:tcPr>
            <w:tcW w:w="2968" w:type="dxa"/>
            <w:vAlign w:val="center"/>
          </w:tcPr>
          <w:p w14:paraId="5E16BC80">
            <w:pPr>
              <w:widowControl/>
              <w:adjustRightInd w:val="0"/>
              <w:snapToGrid w:val="0"/>
              <w:jc w:val="center"/>
              <w:rPr>
                <w:sz w:val="24"/>
                <w:szCs w:val="24"/>
              </w:rPr>
            </w:pPr>
            <w:r>
              <w:rPr>
                <w:sz w:val="24"/>
                <w:szCs w:val="24"/>
              </w:rPr>
              <w:t>名      称</w:t>
            </w:r>
          </w:p>
        </w:tc>
        <w:tc>
          <w:tcPr>
            <w:tcW w:w="1200" w:type="dxa"/>
            <w:vAlign w:val="center"/>
          </w:tcPr>
          <w:p w14:paraId="294A5E75">
            <w:pPr>
              <w:widowControl/>
              <w:adjustRightInd w:val="0"/>
              <w:snapToGrid w:val="0"/>
              <w:jc w:val="center"/>
              <w:rPr>
                <w:b/>
                <w:bCs/>
                <w:sz w:val="24"/>
                <w:szCs w:val="24"/>
              </w:rPr>
            </w:pPr>
            <w:r>
              <w:rPr>
                <w:b/>
                <w:bCs/>
                <w:sz w:val="24"/>
                <w:szCs w:val="24"/>
              </w:rPr>
              <w:t>数量</w:t>
            </w:r>
          </w:p>
          <w:p w14:paraId="25166DD2">
            <w:pPr>
              <w:widowControl/>
              <w:adjustRightInd w:val="0"/>
              <w:snapToGrid w:val="0"/>
              <w:jc w:val="center"/>
              <w:rPr>
                <w:sz w:val="24"/>
                <w:szCs w:val="24"/>
              </w:rPr>
            </w:pPr>
            <w:r>
              <w:rPr>
                <w:rFonts w:hint="eastAsia"/>
                <w:b/>
                <w:bCs/>
                <w:sz w:val="24"/>
                <w:szCs w:val="24"/>
              </w:rPr>
              <w:t>（每年）</w:t>
            </w:r>
          </w:p>
        </w:tc>
        <w:tc>
          <w:tcPr>
            <w:tcW w:w="1228" w:type="dxa"/>
            <w:vAlign w:val="center"/>
          </w:tcPr>
          <w:p w14:paraId="687FD76B">
            <w:pPr>
              <w:widowControl/>
              <w:adjustRightInd w:val="0"/>
              <w:snapToGrid w:val="0"/>
              <w:jc w:val="center"/>
              <w:rPr>
                <w:sz w:val="24"/>
                <w:szCs w:val="24"/>
              </w:rPr>
            </w:pPr>
            <w:r>
              <w:rPr>
                <w:sz w:val="24"/>
                <w:szCs w:val="24"/>
              </w:rPr>
              <w:t>单价</w:t>
            </w:r>
            <w:r>
              <w:rPr>
                <w:rFonts w:hint="eastAsia"/>
                <w:sz w:val="24"/>
                <w:szCs w:val="24"/>
              </w:rPr>
              <w:t>单位</w:t>
            </w:r>
          </w:p>
        </w:tc>
        <w:tc>
          <w:tcPr>
            <w:tcW w:w="1218" w:type="dxa"/>
            <w:vAlign w:val="center"/>
          </w:tcPr>
          <w:p w14:paraId="0B7824AD">
            <w:pPr>
              <w:widowControl/>
              <w:adjustRightInd w:val="0"/>
              <w:snapToGrid w:val="0"/>
              <w:jc w:val="center"/>
              <w:rPr>
                <w:sz w:val="24"/>
                <w:szCs w:val="24"/>
              </w:rPr>
            </w:pPr>
            <w:r>
              <w:rPr>
                <w:rFonts w:hint="eastAsia"/>
                <w:sz w:val="24"/>
                <w:szCs w:val="24"/>
              </w:rPr>
              <w:t>单价</w:t>
            </w:r>
          </w:p>
        </w:tc>
        <w:tc>
          <w:tcPr>
            <w:tcW w:w="1293" w:type="dxa"/>
            <w:vAlign w:val="center"/>
          </w:tcPr>
          <w:p w14:paraId="1B23BD8B">
            <w:pPr>
              <w:widowControl/>
              <w:adjustRightInd w:val="0"/>
              <w:snapToGrid w:val="0"/>
              <w:jc w:val="center"/>
              <w:rPr>
                <w:b/>
                <w:bCs/>
                <w:sz w:val="24"/>
                <w:szCs w:val="24"/>
              </w:rPr>
            </w:pPr>
            <w:r>
              <w:rPr>
                <w:b/>
                <w:bCs/>
                <w:sz w:val="24"/>
                <w:szCs w:val="24"/>
              </w:rPr>
              <w:t>总价</w:t>
            </w:r>
          </w:p>
          <w:p w14:paraId="452B35EB">
            <w:pPr>
              <w:widowControl/>
              <w:adjustRightInd w:val="0"/>
              <w:snapToGrid w:val="0"/>
              <w:jc w:val="center"/>
              <w:rPr>
                <w:sz w:val="24"/>
                <w:szCs w:val="24"/>
              </w:rPr>
            </w:pPr>
            <w:r>
              <w:rPr>
                <w:rFonts w:hint="eastAsia"/>
                <w:b/>
                <w:bCs/>
                <w:sz w:val="24"/>
                <w:szCs w:val="24"/>
              </w:rPr>
              <w:t>（两年）</w:t>
            </w:r>
          </w:p>
        </w:tc>
        <w:tc>
          <w:tcPr>
            <w:tcW w:w="1165" w:type="dxa"/>
            <w:vAlign w:val="center"/>
          </w:tcPr>
          <w:p w14:paraId="25C04998">
            <w:pPr>
              <w:widowControl/>
              <w:adjustRightInd w:val="0"/>
              <w:snapToGrid w:val="0"/>
              <w:jc w:val="center"/>
              <w:rPr>
                <w:sz w:val="24"/>
                <w:szCs w:val="24"/>
              </w:rPr>
            </w:pPr>
            <w:r>
              <w:rPr>
                <w:bCs/>
                <w:sz w:val="24"/>
                <w:szCs w:val="24"/>
              </w:rPr>
              <w:t>备注</w:t>
            </w:r>
          </w:p>
        </w:tc>
      </w:tr>
      <w:tr w14:paraId="68EBA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567" w:type="dxa"/>
            <w:vAlign w:val="center"/>
          </w:tcPr>
          <w:p w14:paraId="512F65D8">
            <w:pPr>
              <w:widowControl/>
              <w:adjustRightInd w:val="0"/>
              <w:snapToGrid w:val="0"/>
              <w:jc w:val="center"/>
              <w:rPr>
                <w:sz w:val="24"/>
                <w:szCs w:val="24"/>
              </w:rPr>
            </w:pPr>
            <w:r>
              <w:rPr>
                <w:rFonts w:hint="eastAsia"/>
                <w:sz w:val="24"/>
                <w:szCs w:val="24"/>
              </w:rPr>
              <w:t>1</w:t>
            </w:r>
          </w:p>
        </w:tc>
        <w:tc>
          <w:tcPr>
            <w:tcW w:w="2968" w:type="dxa"/>
            <w:vAlign w:val="center"/>
          </w:tcPr>
          <w:p w14:paraId="2262FF57">
            <w:pPr>
              <w:adjustRightInd w:val="0"/>
              <w:snapToGrid w:val="0"/>
              <w:jc w:val="left"/>
              <w:rPr>
                <w:sz w:val="24"/>
                <w:szCs w:val="24"/>
              </w:rPr>
            </w:pPr>
            <w:r>
              <w:rPr>
                <w:rFonts w:hint="eastAsia" w:ascii="宋体" w:hAnsi="宋体" w:cs="宋体"/>
                <w:color w:val="000000"/>
                <w:sz w:val="24"/>
                <w:szCs w:val="24"/>
              </w:rPr>
              <w:t>库房租赁服务费用</w:t>
            </w:r>
          </w:p>
        </w:tc>
        <w:tc>
          <w:tcPr>
            <w:tcW w:w="1200" w:type="dxa"/>
            <w:vAlign w:val="center"/>
          </w:tcPr>
          <w:p w14:paraId="4AEA6759">
            <w:pPr>
              <w:adjustRightInd w:val="0"/>
              <w:snapToGrid w:val="0"/>
              <w:jc w:val="center"/>
              <w:rPr>
                <w:sz w:val="24"/>
                <w:szCs w:val="24"/>
              </w:rPr>
            </w:pPr>
            <w:r>
              <w:rPr>
                <w:rFonts w:hint="eastAsia" w:ascii="宋体" w:hAnsi="宋体" w:cs="宋体"/>
                <w:sz w:val="24"/>
                <w:szCs w:val="24"/>
              </w:rPr>
              <w:t>3500㎡</w:t>
            </w:r>
          </w:p>
        </w:tc>
        <w:tc>
          <w:tcPr>
            <w:tcW w:w="1228" w:type="dxa"/>
            <w:vAlign w:val="center"/>
          </w:tcPr>
          <w:p w14:paraId="1D8BAAC2">
            <w:pPr>
              <w:adjustRightInd w:val="0"/>
              <w:snapToGrid w:val="0"/>
              <w:jc w:val="center"/>
              <w:rPr>
                <w:sz w:val="24"/>
                <w:szCs w:val="24"/>
              </w:rPr>
            </w:pPr>
            <w:r>
              <w:rPr>
                <w:rFonts w:hint="eastAsia" w:ascii="宋体" w:hAnsi="宋体" w:cs="宋体"/>
                <w:sz w:val="24"/>
                <w:szCs w:val="24"/>
              </w:rPr>
              <w:t>元/月/m</w:t>
            </w:r>
            <w:r>
              <w:rPr>
                <w:rFonts w:hint="eastAsia" w:ascii="宋体" w:hAnsi="宋体" w:cs="宋体"/>
                <w:sz w:val="24"/>
                <w:szCs w:val="24"/>
                <w:vertAlign w:val="superscript"/>
              </w:rPr>
              <w:t>2</w:t>
            </w:r>
          </w:p>
        </w:tc>
        <w:tc>
          <w:tcPr>
            <w:tcW w:w="1218" w:type="dxa"/>
            <w:vAlign w:val="center"/>
          </w:tcPr>
          <w:p w14:paraId="12229DC2">
            <w:pPr>
              <w:adjustRightInd w:val="0"/>
              <w:snapToGrid w:val="0"/>
              <w:jc w:val="center"/>
              <w:rPr>
                <w:rFonts w:ascii="宋体" w:hAnsi="宋体" w:cs="宋体"/>
                <w:sz w:val="24"/>
                <w:szCs w:val="24"/>
              </w:rPr>
            </w:pPr>
          </w:p>
        </w:tc>
        <w:tc>
          <w:tcPr>
            <w:tcW w:w="1293" w:type="dxa"/>
            <w:vAlign w:val="center"/>
          </w:tcPr>
          <w:p w14:paraId="550AE7AD">
            <w:pPr>
              <w:widowControl/>
              <w:adjustRightInd w:val="0"/>
              <w:snapToGrid w:val="0"/>
              <w:jc w:val="center"/>
              <w:rPr>
                <w:sz w:val="24"/>
                <w:szCs w:val="24"/>
              </w:rPr>
            </w:pPr>
          </w:p>
        </w:tc>
        <w:tc>
          <w:tcPr>
            <w:tcW w:w="1165" w:type="dxa"/>
            <w:vAlign w:val="center"/>
          </w:tcPr>
          <w:p w14:paraId="1E66CDA3">
            <w:pPr>
              <w:widowControl/>
              <w:adjustRightInd w:val="0"/>
              <w:snapToGrid w:val="0"/>
              <w:jc w:val="center"/>
              <w:rPr>
                <w:sz w:val="24"/>
                <w:szCs w:val="24"/>
              </w:rPr>
            </w:pPr>
            <w:r>
              <w:rPr>
                <w:rFonts w:hint="eastAsia"/>
                <w:sz w:val="18"/>
                <w:szCs w:val="18"/>
              </w:rPr>
              <w:t>总价计算按24个月计</w:t>
            </w:r>
          </w:p>
        </w:tc>
      </w:tr>
      <w:tr w14:paraId="58E69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567" w:type="dxa"/>
            <w:vAlign w:val="center"/>
          </w:tcPr>
          <w:p w14:paraId="348D4948">
            <w:pPr>
              <w:widowControl/>
              <w:adjustRightInd w:val="0"/>
              <w:snapToGrid w:val="0"/>
              <w:jc w:val="center"/>
              <w:rPr>
                <w:sz w:val="24"/>
                <w:szCs w:val="24"/>
              </w:rPr>
            </w:pPr>
            <w:r>
              <w:rPr>
                <w:rFonts w:hint="eastAsia"/>
                <w:sz w:val="24"/>
                <w:szCs w:val="24"/>
              </w:rPr>
              <w:t>2</w:t>
            </w:r>
          </w:p>
        </w:tc>
        <w:tc>
          <w:tcPr>
            <w:tcW w:w="2968" w:type="dxa"/>
            <w:vAlign w:val="center"/>
          </w:tcPr>
          <w:p w14:paraId="2B410FAC">
            <w:pPr>
              <w:adjustRightInd w:val="0"/>
              <w:snapToGrid w:val="0"/>
              <w:jc w:val="left"/>
              <w:rPr>
                <w:sz w:val="24"/>
                <w:szCs w:val="24"/>
              </w:rPr>
            </w:pPr>
            <w:r>
              <w:rPr>
                <w:rFonts w:hint="eastAsia" w:ascii="宋体" w:hAnsi="宋体" w:cs="宋体"/>
                <w:color w:val="000000"/>
                <w:sz w:val="24"/>
                <w:szCs w:val="24"/>
              </w:rPr>
              <w:t>仓库作业服务费用（不含热敏纸）</w:t>
            </w:r>
          </w:p>
        </w:tc>
        <w:tc>
          <w:tcPr>
            <w:tcW w:w="1200" w:type="dxa"/>
            <w:vAlign w:val="center"/>
          </w:tcPr>
          <w:p w14:paraId="7A02FC04">
            <w:pPr>
              <w:adjustRightInd w:val="0"/>
              <w:snapToGrid w:val="0"/>
              <w:jc w:val="center"/>
              <w:rPr>
                <w:sz w:val="24"/>
                <w:szCs w:val="24"/>
              </w:rPr>
            </w:pPr>
            <w:r>
              <w:rPr>
                <w:rFonts w:hint="eastAsia" w:ascii="宋体" w:hAnsi="宋体" w:cs="宋体"/>
                <w:sz w:val="24"/>
                <w:szCs w:val="24"/>
              </w:rPr>
              <w:t>800000kg</w:t>
            </w:r>
          </w:p>
        </w:tc>
        <w:tc>
          <w:tcPr>
            <w:tcW w:w="1228" w:type="dxa"/>
            <w:vAlign w:val="center"/>
          </w:tcPr>
          <w:p w14:paraId="5F8B310B">
            <w:pPr>
              <w:adjustRightInd w:val="0"/>
              <w:snapToGrid w:val="0"/>
              <w:jc w:val="center"/>
              <w:rPr>
                <w:sz w:val="24"/>
                <w:szCs w:val="24"/>
              </w:rPr>
            </w:pPr>
            <w:r>
              <w:rPr>
                <w:rFonts w:hint="eastAsia" w:ascii="宋体" w:hAnsi="宋体" w:cs="宋体"/>
                <w:sz w:val="24"/>
                <w:szCs w:val="24"/>
              </w:rPr>
              <w:t>元/kg</w:t>
            </w:r>
          </w:p>
        </w:tc>
        <w:tc>
          <w:tcPr>
            <w:tcW w:w="1218" w:type="dxa"/>
            <w:vAlign w:val="center"/>
          </w:tcPr>
          <w:p w14:paraId="79E55C1E">
            <w:pPr>
              <w:adjustRightInd w:val="0"/>
              <w:snapToGrid w:val="0"/>
              <w:jc w:val="center"/>
              <w:rPr>
                <w:rFonts w:ascii="宋体" w:hAnsi="宋体" w:cs="宋体"/>
                <w:sz w:val="24"/>
                <w:szCs w:val="24"/>
              </w:rPr>
            </w:pPr>
          </w:p>
        </w:tc>
        <w:tc>
          <w:tcPr>
            <w:tcW w:w="1293" w:type="dxa"/>
            <w:vAlign w:val="center"/>
          </w:tcPr>
          <w:p w14:paraId="6F0BE507">
            <w:pPr>
              <w:widowControl/>
              <w:adjustRightInd w:val="0"/>
              <w:snapToGrid w:val="0"/>
              <w:jc w:val="center"/>
              <w:rPr>
                <w:sz w:val="24"/>
                <w:szCs w:val="24"/>
              </w:rPr>
            </w:pPr>
          </w:p>
        </w:tc>
        <w:tc>
          <w:tcPr>
            <w:tcW w:w="1165" w:type="dxa"/>
            <w:vAlign w:val="center"/>
          </w:tcPr>
          <w:p w14:paraId="365E40BE">
            <w:pPr>
              <w:widowControl/>
              <w:adjustRightInd w:val="0"/>
              <w:snapToGrid w:val="0"/>
              <w:jc w:val="center"/>
              <w:rPr>
                <w:sz w:val="24"/>
                <w:szCs w:val="24"/>
              </w:rPr>
            </w:pPr>
          </w:p>
        </w:tc>
      </w:tr>
      <w:tr w14:paraId="62420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20ED7657">
            <w:pPr>
              <w:widowControl/>
              <w:adjustRightInd w:val="0"/>
              <w:snapToGrid w:val="0"/>
              <w:jc w:val="center"/>
              <w:rPr>
                <w:sz w:val="24"/>
                <w:szCs w:val="24"/>
              </w:rPr>
            </w:pPr>
            <w:r>
              <w:rPr>
                <w:rFonts w:hint="eastAsia"/>
                <w:sz w:val="24"/>
                <w:szCs w:val="24"/>
              </w:rPr>
              <w:t>3</w:t>
            </w:r>
          </w:p>
        </w:tc>
        <w:tc>
          <w:tcPr>
            <w:tcW w:w="2968" w:type="dxa"/>
            <w:vAlign w:val="center"/>
          </w:tcPr>
          <w:p w14:paraId="50E19A55">
            <w:pPr>
              <w:adjustRightInd w:val="0"/>
              <w:snapToGrid w:val="0"/>
              <w:jc w:val="left"/>
              <w:rPr>
                <w:sz w:val="24"/>
                <w:szCs w:val="24"/>
              </w:rPr>
            </w:pPr>
            <w:r>
              <w:rPr>
                <w:rFonts w:hint="eastAsia" w:ascii="宋体" w:hAnsi="宋体" w:cs="宋体"/>
                <w:color w:val="000000"/>
                <w:sz w:val="24"/>
                <w:szCs w:val="24"/>
              </w:rPr>
              <w:t>整车运输服务（</w:t>
            </w:r>
            <w:r>
              <w:rPr>
                <w:rFonts w:hint="eastAsia" w:ascii="宋体" w:hAnsi="宋体" w:cs="宋体"/>
                <w:sz w:val="24"/>
                <w:szCs w:val="24"/>
              </w:rPr>
              <w:t>即开票</w:t>
            </w:r>
            <w:r>
              <w:rPr>
                <w:rFonts w:hint="eastAsia" w:ascii="宋体" w:hAnsi="宋体" w:cs="宋体"/>
                <w:color w:val="000000"/>
                <w:sz w:val="24"/>
                <w:szCs w:val="24"/>
              </w:rPr>
              <w:t>）</w:t>
            </w:r>
          </w:p>
        </w:tc>
        <w:tc>
          <w:tcPr>
            <w:tcW w:w="1200" w:type="dxa"/>
            <w:vAlign w:val="center"/>
          </w:tcPr>
          <w:p w14:paraId="79EA8797">
            <w:pPr>
              <w:adjustRightInd w:val="0"/>
              <w:snapToGrid w:val="0"/>
              <w:jc w:val="center"/>
              <w:rPr>
                <w:sz w:val="24"/>
                <w:szCs w:val="24"/>
              </w:rPr>
            </w:pPr>
            <w:r>
              <w:rPr>
                <w:rFonts w:hint="eastAsia" w:ascii="宋体" w:hAnsi="宋体" w:cs="宋体"/>
                <w:sz w:val="24"/>
                <w:szCs w:val="24"/>
              </w:rPr>
              <w:t>3000km</w:t>
            </w:r>
          </w:p>
        </w:tc>
        <w:tc>
          <w:tcPr>
            <w:tcW w:w="1228" w:type="dxa"/>
            <w:vAlign w:val="center"/>
          </w:tcPr>
          <w:p w14:paraId="3560AE75">
            <w:pPr>
              <w:adjustRightInd w:val="0"/>
              <w:snapToGrid w:val="0"/>
              <w:jc w:val="center"/>
              <w:rPr>
                <w:sz w:val="24"/>
                <w:szCs w:val="24"/>
              </w:rPr>
            </w:pPr>
            <w:r>
              <w:rPr>
                <w:rFonts w:hint="eastAsia" w:ascii="宋体" w:hAnsi="宋体" w:cs="宋体"/>
                <w:sz w:val="24"/>
                <w:szCs w:val="24"/>
              </w:rPr>
              <w:t>元/km</w:t>
            </w:r>
          </w:p>
        </w:tc>
        <w:tc>
          <w:tcPr>
            <w:tcW w:w="1218" w:type="dxa"/>
            <w:vAlign w:val="center"/>
          </w:tcPr>
          <w:p w14:paraId="5911890E">
            <w:pPr>
              <w:adjustRightInd w:val="0"/>
              <w:snapToGrid w:val="0"/>
              <w:jc w:val="center"/>
              <w:rPr>
                <w:rFonts w:ascii="宋体" w:hAnsi="宋体" w:cs="宋体"/>
                <w:sz w:val="24"/>
                <w:szCs w:val="24"/>
              </w:rPr>
            </w:pPr>
          </w:p>
        </w:tc>
        <w:tc>
          <w:tcPr>
            <w:tcW w:w="1293" w:type="dxa"/>
            <w:vAlign w:val="center"/>
          </w:tcPr>
          <w:p w14:paraId="10C3D407">
            <w:pPr>
              <w:widowControl/>
              <w:adjustRightInd w:val="0"/>
              <w:snapToGrid w:val="0"/>
              <w:jc w:val="center"/>
              <w:rPr>
                <w:sz w:val="24"/>
                <w:szCs w:val="24"/>
              </w:rPr>
            </w:pPr>
          </w:p>
        </w:tc>
        <w:tc>
          <w:tcPr>
            <w:tcW w:w="1165" w:type="dxa"/>
            <w:vAlign w:val="center"/>
          </w:tcPr>
          <w:p w14:paraId="43A9C046">
            <w:pPr>
              <w:widowControl/>
              <w:adjustRightInd w:val="0"/>
              <w:snapToGrid w:val="0"/>
              <w:jc w:val="center"/>
              <w:rPr>
                <w:sz w:val="24"/>
                <w:szCs w:val="24"/>
              </w:rPr>
            </w:pPr>
          </w:p>
        </w:tc>
      </w:tr>
      <w:tr w14:paraId="1712C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1AD17745">
            <w:pPr>
              <w:widowControl/>
              <w:adjustRightInd w:val="0"/>
              <w:snapToGrid w:val="0"/>
              <w:jc w:val="center"/>
              <w:rPr>
                <w:sz w:val="24"/>
                <w:szCs w:val="24"/>
              </w:rPr>
            </w:pPr>
            <w:r>
              <w:rPr>
                <w:rFonts w:hint="eastAsia"/>
                <w:sz w:val="24"/>
                <w:szCs w:val="24"/>
              </w:rPr>
              <w:t>4</w:t>
            </w:r>
          </w:p>
        </w:tc>
        <w:tc>
          <w:tcPr>
            <w:tcW w:w="2968" w:type="dxa"/>
            <w:vAlign w:val="center"/>
          </w:tcPr>
          <w:p w14:paraId="70D94D8F">
            <w:pPr>
              <w:adjustRightInd w:val="0"/>
              <w:snapToGrid w:val="0"/>
              <w:jc w:val="left"/>
              <w:rPr>
                <w:sz w:val="24"/>
                <w:szCs w:val="24"/>
              </w:rPr>
            </w:pPr>
            <w:r>
              <w:rPr>
                <w:rFonts w:hint="eastAsia" w:ascii="宋体" w:hAnsi="宋体" w:cs="宋体"/>
                <w:color w:val="000000"/>
                <w:sz w:val="24"/>
                <w:szCs w:val="24"/>
              </w:rPr>
              <w:t>南京市区零担运输费用1</w:t>
            </w:r>
          </w:p>
        </w:tc>
        <w:tc>
          <w:tcPr>
            <w:tcW w:w="1200" w:type="dxa"/>
            <w:vAlign w:val="center"/>
          </w:tcPr>
          <w:p w14:paraId="5B814954">
            <w:pPr>
              <w:adjustRightInd w:val="0"/>
              <w:snapToGrid w:val="0"/>
              <w:jc w:val="center"/>
              <w:rPr>
                <w:sz w:val="24"/>
                <w:szCs w:val="24"/>
              </w:rPr>
            </w:pPr>
            <w:r>
              <w:rPr>
                <w:rFonts w:hint="eastAsia" w:ascii="宋体" w:hAnsi="宋体" w:cs="宋体"/>
                <w:sz w:val="24"/>
                <w:szCs w:val="24"/>
              </w:rPr>
              <w:t>50票</w:t>
            </w:r>
          </w:p>
        </w:tc>
        <w:tc>
          <w:tcPr>
            <w:tcW w:w="1228" w:type="dxa"/>
            <w:vAlign w:val="center"/>
          </w:tcPr>
          <w:p w14:paraId="09E70864">
            <w:pPr>
              <w:adjustRightInd w:val="0"/>
              <w:snapToGrid w:val="0"/>
              <w:jc w:val="center"/>
              <w:rPr>
                <w:sz w:val="24"/>
                <w:szCs w:val="24"/>
              </w:rPr>
            </w:pPr>
            <w:r>
              <w:rPr>
                <w:rFonts w:hint="eastAsia" w:ascii="宋体" w:hAnsi="宋体" w:cs="宋体"/>
                <w:sz w:val="24"/>
                <w:szCs w:val="24"/>
              </w:rPr>
              <w:t>元/票</w:t>
            </w:r>
          </w:p>
        </w:tc>
        <w:tc>
          <w:tcPr>
            <w:tcW w:w="1218" w:type="dxa"/>
            <w:vAlign w:val="center"/>
          </w:tcPr>
          <w:p w14:paraId="7F3994E1">
            <w:pPr>
              <w:adjustRightInd w:val="0"/>
              <w:snapToGrid w:val="0"/>
              <w:jc w:val="center"/>
              <w:rPr>
                <w:rFonts w:ascii="宋体" w:hAnsi="宋体" w:cs="宋体"/>
                <w:sz w:val="24"/>
                <w:szCs w:val="24"/>
              </w:rPr>
            </w:pPr>
          </w:p>
        </w:tc>
        <w:tc>
          <w:tcPr>
            <w:tcW w:w="1293" w:type="dxa"/>
            <w:vAlign w:val="center"/>
          </w:tcPr>
          <w:p w14:paraId="5F11708D">
            <w:pPr>
              <w:widowControl/>
              <w:adjustRightInd w:val="0"/>
              <w:snapToGrid w:val="0"/>
              <w:jc w:val="center"/>
              <w:rPr>
                <w:sz w:val="24"/>
                <w:szCs w:val="24"/>
              </w:rPr>
            </w:pPr>
          </w:p>
        </w:tc>
        <w:tc>
          <w:tcPr>
            <w:tcW w:w="1165" w:type="dxa"/>
            <w:vAlign w:val="center"/>
          </w:tcPr>
          <w:p w14:paraId="3B17B1F5">
            <w:pPr>
              <w:widowControl/>
              <w:adjustRightInd w:val="0"/>
              <w:snapToGrid w:val="0"/>
              <w:jc w:val="center"/>
              <w:rPr>
                <w:sz w:val="24"/>
                <w:szCs w:val="24"/>
              </w:rPr>
            </w:pPr>
          </w:p>
        </w:tc>
      </w:tr>
      <w:tr w14:paraId="2EEBD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46F2BA61">
            <w:pPr>
              <w:widowControl/>
              <w:adjustRightInd w:val="0"/>
              <w:snapToGrid w:val="0"/>
              <w:jc w:val="center"/>
              <w:rPr>
                <w:sz w:val="24"/>
                <w:szCs w:val="24"/>
              </w:rPr>
            </w:pPr>
            <w:r>
              <w:rPr>
                <w:rFonts w:hint="eastAsia"/>
                <w:sz w:val="24"/>
                <w:szCs w:val="24"/>
              </w:rPr>
              <w:t>5</w:t>
            </w:r>
          </w:p>
        </w:tc>
        <w:tc>
          <w:tcPr>
            <w:tcW w:w="2968" w:type="dxa"/>
            <w:vAlign w:val="center"/>
          </w:tcPr>
          <w:p w14:paraId="68E4E591">
            <w:pPr>
              <w:adjustRightInd w:val="0"/>
              <w:snapToGrid w:val="0"/>
              <w:jc w:val="left"/>
              <w:rPr>
                <w:sz w:val="24"/>
                <w:szCs w:val="24"/>
              </w:rPr>
            </w:pPr>
            <w:r>
              <w:rPr>
                <w:rFonts w:hint="eastAsia" w:ascii="宋体" w:hAnsi="宋体" w:cs="宋体"/>
                <w:color w:val="000000"/>
                <w:sz w:val="24"/>
                <w:szCs w:val="24"/>
              </w:rPr>
              <w:t>南京市区零担运输费用2</w:t>
            </w:r>
          </w:p>
        </w:tc>
        <w:tc>
          <w:tcPr>
            <w:tcW w:w="1200" w:type="dxa"/>
            <w:vAlign w:val="center"/>
          </w:tcPr>
          <w:p w14:paraId="3047CCB6">
            <w:pPr>
              <w:adjustRightInd w:val="0"/>
              <w:snapToGrid w:val="0"/>
              <w:jc w:val="center"/>
              <w:rPr>
                <w:sz w:val="24"/>
                <w:szCs w:val="24"/>
              </w:rPr>
            </w:pPr>
            <w:r>
              <w:rPr>
                <w:rFonts w:hint="eastAsia" w:ascii="宋体" w:hAnsi="宋体" w:cs="宋体"/>
                <w:sz w:val="24"/>
                <w:szCs w:val="24"/>
              </w:rPr>
              <w:t>55000kg</w:t>
            </w:r>
          </w:p>
        </w:tc>
        <w:tc>
          <w:tcPr>
            <w:tcW w:w="1228" w:type="dxa"/>
            <w:vAlign w:val="center"/>
          </w:tcPr>
          <w:p w14:paraId="4D851E36">
            <w:pPr>
              <w:adjustRightInd w:val="0"/>
              <w:snapToGrid w:val="0"/>
              <w:jc w:val="center"/>
              <w:rPr>
                <w:sz w:val="24"/>
                <w:szCs w:val="24"/>
              </w:rPr>
            </w:pPr>
            <w:r>
              <w:rPr>
                <w:rFonts w:hint="eastAsia" w:ascii="宋体" w:hAnsi="宋体" w:cs="宋体"/>
                <w:sz w:val="24"/>
                <w:szCs w:val="24"/>
              </w:rPr>
              <w:t>元/kg</w:t>
            </w:r>
          </w:p>
        </w:tc>
        <w:tc>
          <w:tcPr>
            <w:tcW w:w="1218" w:type="dxa"/>
            <w:vAlign w:val="center"/>
          </w:tcPr>
          <w:p w14:paraId="06E4CB06">
            <w:pPr>
              <w:adjustRightInd w:val="0"/>
              <w:snapToGrid w:val="0"/>
              <w:jc w:val="center"/>
              <w:rPr>
                <w:rFonts w:ascii="宋体" w:hAnsi="宋体" w:cs="宋体"/>
                <w:sz w:val="24"/>
                <w:szCs w:val="24"/>
              </w:rPr>
            </w:pPr>
          </w:p>
        </w:tc>
        <w:tc>
          <w:tcPr>
            <w:tcW w:w="1293" w:type="dxa"/>
            <w:vAlign w:val="center"/>
          </w:tcPr>
          <w:p w14:paraId="124D4AA6">
            <w:pPr>
              <w:widowControl/>
              <w:adjustRightInd w:val="0"/>
              <w:snapToGrid w:val="0"/>
              <w:jc w:val="center"/>
              <w:rPr>
                <w:sz w:val="24"/>
                <w:szCs w:val="24"/>
              </w:rPr>
            </w:pPr>
          </w:p>
        </w:tc>
        <w:tc>
          <w:tcPr>
            <w:tcW w:w="1165" w:type="dxa"/>
            <w:vAlign w:val="center"/>
          </w:tcPr>
          <w:p w14:paraId="3A356EE3">
            <w:pPr>
              <w:widowControl/>
              <w:adjustRightInd w:val="0"/>
              <w:snapToGrid w:val="0"/>
              <w:jc w:val="center"/>
              <w:rPr>
                <w:sz w:val="24"/>
                <w:szCs w:val="24"/>
              </w:rPr>
            </w:pPr>
          </w:p>
        </w:tc>
      </w:tr>
      <w:tr w14:paraId="54276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28ACA0F7">
            <w:pPr>
              <w:widowControl/>
              <w:adjustRightInd w:val="0"/>
              <w:snapToGrid w:val="0"/>
              <w:jc w:val="center"/>
              <w:rPr>
                <w:sz w:val="24"/>
                <w:szCs w:val="24"/>
              </w:rPr>
            </w:pPr>
            <w:r>
              <w:rPr>
                <w:rFonts w:hint="eastAsia"/>
                <w:sz w:val="24"/>
                <w:szCs w:val="24"/>
              </w:rPr>
              <w:t>6</w:t>
            </w:r>
          </w:p>
        </w:tc>
        <w:tc>
          <w:tcPr>
            <w:tcW w:w="2968" w:type="dxa"/>
            <w:vAlign w:val="center"/>
          </w:tcPr>
          <w:p w14:paraId="01A7F5DB">
            <w:pPr>
              <w:adjustRightInd w:val="0"/>
              <w:snapToGrid w:val="0"/>
              <w:jc w:val="left"/>
              <w:rPr>
                <w:sz w:val="24"/>
                <w:szCs w:val="24"/>
              </w:rPr>
            </w:pPr>
            <w:r>
              <w:rPr>
                <w:rFonts w:hint="eastAsia" w:ascii="宋体" w:hAnsi="宋体" w:cs="宋体"/>
                <w:color w:val="000000"/>
                <w:sz w:val="24"/>
                <w:szCs w:val="24"/>
              </w:rPr>
              <w:t>地级市零担运输费用1</w:t>
            </w:r>
          </w:p>
        </w:tc>
        <w:tc>
          <w:tcPr>
            <w:tcW w:w="1200" w:type="dxa"/>
            <w:vAlign w:val="center"/>
          </w:tcPr>
          <w:p w14:paraId="238F8909">
            <w:pPr>
              <w:adjustRightInd w:val="0"/>
              <w:snapToGrid w:val="0"/>
              <w:jc w:val="center"/>
              <w:rPr>
                <w:sz w:val="24"/>
                <w:szCs w:val="24"/>
              </w:rPr>
            </w:pPr>
            <w:r>
              <w:rPr>
                <w:rFonts w:hint="eastAsia" w:ascii="宋体" w:hAnsi="宋体" w:cs="宋体"/>
                <w:sz w:val="24"/>
                <w:szCs w:val="24"/>
              </w:rPr>
              <w:t>300票</w:t>
            </w:r>
          </w:p>
        </w:tc>
        <w:tc>
          <w:tcPr>
            <w:tcW w:w="1228" w:type="dxa"/>
            <w:vAlign w:val="center"/>
          </w:tcPr>
          <w:p w14:paraId="5488D3C5">
            <w:pPr>
              <w:adjustRightInd w:val="0"/>
              <w:snapToGrid w:val="0"/>
              <w:jc w:val="center"/>
              <w:rPr>
                <w:sz w:val="24"/>
                <w:szCs w:val="24"/>
              </w:rPr>
            </w:pPr>
            <w:r>
              <w:rPr>
                <w:rFonts w:hint="eastAsia" w:ascii="宋体" w:hAnsi="宋体" w:cs="宋体"/>
                <w:sz w:val="24"/>
                <w:szCs w:val="24"/>
              </w:rPr>
              <w:t>元/票</w:t>
            </w:r>
          </w:p>
        </w:tc>
        <w:tc>
          <w:tcPr>
            <w:tcW w:w="1218" w:type="dxa"/>
            <w:vAlign w:val="center"/>
          </w:tcPr>
          <w:p w14:paraId="20310612">
            <w:pPr>
              <w:adjustRightInd w:val="0"/>
              <w:snapToGrid w:val="0"/>
              <w:jc w:val="center"/>
              <w:rPr>
                <w:rFonts w:ascii="宋体" w:hAnsi="宋体" w:cs="宋体"/>
                <w:sz w:val="24"/>
                <w:szCs w:val="24"/>
              </w:rPr>
            </w:pPr>
          </w:p>
        </w:tc>
        <w:tc>
          <w:tcPr>
            <w:tcW w:w="1293" w:type="dxa"/>
            <w:vAlign w:val="center"/>
          </w:tcPr>
          <w:p w14:paraId="13C2A613">
            <w:pPr>
              <w:widowControl/>
              <w:adjustRightInd w:val="0"/>
              <w:snapToGrid w:val="0"/>
              <w:jc w:val="center"/>
              <w:rPr>
                <w:sz w:val="24"/>
                <w:szCs w:val="24"/>
              </w:rPr>
            </w:pPr>
          </w:p>
        </w:tc>
        <w:tc>
          <w:tcPr>
            <w:tcW w:w="1165" w:type="dxa"/>
            <w:vAlign w:val="center"/>
          </w:tcPr>
          <w:p w14:paraId="2D69EFF5">
            <w:pPr>
              <w:widowControl/>
              <w:adjustRightInd w:val="0"/>
              <w:snapToGrid w:val="0"/>
              <w:jc w:val="center"/>
              <w:rPr>
                <w:sz w:val="24"/>
                <w:szCs w:val="24"/>
              </w:rPr>
            </w:pPr>
          </w:p>
        </w:tc>
      </w:tr>
      <w:tr w14:paraId="4FA89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06C0C08C">
            <w:pPr>
              <w:widowControl/>
              <w:adjustRightInd w:val="0"/>
              <w:snapToGrid w:val="0"/>
              <w:jc w:val="center"/>
              <w:rPr>
                <w:sz w:val="24"/>
                <w:szCs w:val="24"/>
              </w:rPr>
            </w:pPr>
            <w:r>
              <w:rPr>
                <w:rFonts w:hint="eastAsia"/>
                <w:sz w:val="24"/>
                <w:szCs w:val="24"/>
              </w:rPr>
              <w:t>7</w:t>
            </w:r>
          </w:p>
        </w:tc>
        <w:tc>
          <w:tcPr>
            <w:tcW w:w="2968" w:type="dxa"/>
            <w:vAlign w:val="center"/>
          </w:tcPr>
          <w:p w14:paraId="2BA781E5">
            <w:pPr>
              <w:adjustRightInd w:val="0"/>
              <w:snapToGrid w:val="0"/>
              <w:jc w:val="left"/>
              <w:rPr>
                <w:sz w:val="24"/>
                <w:szCs w:val="24"/>
              </w:rPr>
            </w:pPr>
            <w:r>
              <w:rPr>
                <w:rFonts w:hint="eastAsia" w:ascii="宋体" w:hAnsi="宋体" w:cs="宋体"/>
                <w:color w:val="000000"/>
                <w:sz w:val="24"/>
                <w:szCs w:val="24"/>
              </w:rPr>
              <w:t>地级市零担运输费用2</w:t>
            </w:r>
          </w:p>
        </w:tc>
        <w:tc>
          <w:tcPr>
            <w:tcW w:w="1200" w:type="dxa"/>
            <w:vAlign w:val="center"/>
          </w:tcPr>
          <w:p w14:paraId="542EE929">
            <w:pPr>
              <w:adjustRightInd w:val="0"/>
              <w:snapToGrid w:val="0"/>
              <w:jc w:val="center"/>
              <w:rPr>
                <w:sz w:val="24"/>
                <w:szCs w:val="24"/>
              </w:rPr>
            </w:pPr>
            <w:r>
              <w:rPr>
                <w:rFonts w:hint="eastAsia" w:ascii="宋体" w:hAnsi="宋体" w:cs="宋体"/>
                <w:sz w:val="24"/>
                <w:szCs w:val="24"/>
              </w:rPr>
              <w:t>250000kg</w:t>
            </w:r>
          </w:p>
        </w:tc>
        <w:tc>
          <w:tcPr>
            <w:tcW w:w="1228" w:type="dxa"/>
            <w:vAlign w:val="center"/>
          </w:tcPr>
          <w:p w14:paraId="26B3A1DD">
            <w:pPr>
              <w:adjustRightInd w:val="0"/>
              <w:snapToGrid w:val="0"/>
              <w:jc w:val="center"/>
              <w:rPr>
                <w:sz w:val="24"/>
                <w:szCs w:val="24"/>
              </w:rPr>
            </w:pPr>
            <w:r>
              <w:rPr>
                <w:rFonts w:hint="eastAsia" w:ascii="宋体" w:hAnsi="宋体" w:cs="宋体"/>
                <w:sz w:val="24"/>
                <w:szCs w:val="24"/>
              </w:rPr>
              <w:t>元/kg</w:t>
            </w:r>
          </w:p>
        </w:tc>
        <w:tc>
          <w:tcPr>
            <w:tcW w:w="1218" w:type="dxa"/>
            <w:vAlign w:val="center"/>
          </w:tcPr>
          <w:p w14:paraId="54555833">
            <w:pPr>
              <w:adjustRightInd w:val="0"/>
              <w:snapToGrid w:val="0"/>
              <w:jc w:val="center"/>
              <w:rPr>
                <w:rFonts w:ascii="宋体" w:hAnsi="宋体" w:cs="宋体"/>
                <w:sz w:val="24"/>
                <w:szCs w:val="24"/>
              </w:rPr>
            </w:pPr>
          </w:p>
        </w:tc>
        <w:tc>
          <w:tcPr>
            <w:tcW w:w="1293" w:type="dxa"/>
            <w:vAlign w:val="center"/>
          </w:tcPr>
          <w:p w14:paraId="69259037">
            <w:pPr>
              <w:widowControl/>
              <w:adjustRightInd w:val="0"/>
              <w:snapToGrid w:val="0"/>
              <w:jc w:val="center"/>
              <w:rPr>
                <w:sz w:val="24"/>
                <w:szCs w:val="24"/>
              </w:rPr>
            </w:pPr>
          </w:p>
        </w:tc>
        <w:tc>
          <w:tcPr>
            <w:tcW w:w="1165" w:type="dxa"/>
            <w:vAlign w:val="center"/>
          </w:tcPr>
          <w:p w14:paraId="611A7933">
            <w:pPr>
              <w:widowControl/>
              <w:adjustRightInd w:val="0"/>
              <w:snapToGrid w:val="0"/>
              <w:jc w:val="center"/>
              <w:rPr>
                <w:sz w:val="24"/>
                <w:szCs w:val="24"/>
              </w:rPr>
            </w:pPr>
          </w:p>
        </w:tc>
      </w:tr>
      <w:tr w14:paraId="5A5F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11B41165">
            <w:pPr>
              <w:widowControl/>
              <w:adjustRightInd w:val="0"/>
              <w:snapToGrid w:val="0"/>
              <w:jc w:val="center"/>
              <w:rPr>
                <w:sz w:val="24"/>
                <w:szCs w:val="24"/>
              </w:rPr>
            </w:pPr>
            <w:r>
              <w:rPr>
                <w:rFonts w:hint="eastAsia"/>
                <w:sz w:val="24"/>
                <w:szCs w:val="24"/>
              </w:rPr>
              <w:t>8</w:t>
            </w:r>
          </w:p>
        </w:tc>
        <w:tc>
          <w:tcPr>
            <w:tcW w:w="2968" w:type="dxa"/>
            <w:vAlign w:val="center"/>
          </w:tcPr>
          <w:p w14:paraId="440C01BE">
            <w:pPr>
              <w:adjustRightInd w:val="0"/>
              <w:snapToGrid w:val="0"/>
              <w:jc w:val="left"/>
              <w:rPr>
                <w:sz w:val="24"/>
                <w:szCs w:val="24"/>
              </w:rPr>
            </w:pPr>
            <w:r>
              <w:rPr>
                <w:rFonts w:hint="eastAsia" w:ascii="宋体" w:hAnsi="宋体" w:cs="宋体"/>
                <w:color w:val="000000"/>
                <w:sz w:val="24"/>
                <w:szCs w:val="24"/>
              </w:rPr>
              <w:t>县级市和县城零担运输费用1</w:t>
            </w:r>
          </w:p>
        </w:tc>
        <w:tc>
          <w:tcPr>
            <w:tcW w:w="1200" w:type="dxa"/>
            <w:vAlign w:val="center"/>
          </w:tcPr>
          <w:p w14:paraId="1BABBCC1">
            <w:pPr>
              <w:adjustRightInd w:val="0"/>
              <w:snapToGrid w:val="0"/>
              <w:jc w:val="center"/>
              <w:rPr>
                <w:sz w:val="24"/>
                <w:szCs w:val="24"/>
              </w:rPr>
            </w:pPr>
            <w:r>
              <w:rPr>
                <w:rFonts w:hint="eastAsia" w:ascii="宋体" w:hAnsi="宋体" w:cs="宋体"/>
                <w:sz w:val="24"/>
                <w:szCs w:val="24"/>
              </w:rPr>
              <w:t>400票</w:t>
            </w:r>
          </w:p>
        </w:tc>
        <w:tc>
          <w:tcPr>
            <w:tcW w:w="1228" w:type="dxa"/>
            <w:vAlign w:val="center"/>
          </w:tcPr>
          <w:p w14:paraId="2674ECB7">
            <w:pPr>
              <w:adjustRightInd w:val="0"/>
              <w:snapToGrid w:val="0"/>
              <w:jc w:val="center"/>
              <w:rPr>
                <w:sz w:val="24"/>
                <w:szCs w:val="24"/>
              </w:rPr>
            </w:pPr>
            <w:r>
              <w:rPr>
                <w:rFonts w:hint="eastAsia" w:ascii="宋体" w:hAnsi="宋体" w:cs="宋体"/>
                <w:sz w:val="24"/>
                <w:szCs w:val="24"/>
              </w:rPr>
              <w:t>元/票</w:t>
            </w:r>
          </w:p>
        </w:tc>
        <w:tc>
          <w:tcPr>
            <w:tcW w:w="1218" w:type="dxa"/>
            <w:vAlign w:val="center"/>
          </w:tcPr>
          <w:p w14:paraId="6EA9EF96">
            <w:pPr>
              <w:adjustRightInd w:val="0"/>
              <w:snapToGrid w:val="0"/>
              <w:jc w:val="center"/>
              <w:rPr>
                <w:rFonts w:ascii="宋体" w:hAnsi="宋体" w:cs="宋体"/>
                <w:sz w:val="24"/>
                <w:szCs w:val="24"/>
              </w:rPr>
            </w:pPr>
          </w:p>
        </w:tc>
        <w:tc>
          <w:tcPr>
            <w:tcW w:w="1293" w:type="dxa"/>
            <w:vAlign w:val="center"/>
          </w:tcPr>
          <w:p w14:paraId="085935CC">
            <w:pPr>
              <w:widowControl/>
              <w:adjustRightInd w:val="0"/>
              <w:snapToGrid w:val="0"/>
              <w:jc w:val="center"/>
              <w:rPr>
                <w:sz w:val="24"/>
                <w:szCs w:val="24"/>
              </w:rPr>
            </w:pPr>
          </w:p>
        </w:tc>
        <w:tc>
          <w:tcPr>
            <w:tcW w:w="1165" w:type="dxa"/>
            <w:vAlign w:val="center"/>
          </w:tcPr>
          <w:p w14:paraId="61718097">
            <w:pPr>
              <w:widowControl/>
              <w:adjustRightInd w:val="0"/>
              <w:snapToGrid w:val="0"/>
              <w:jc w:val="center"/>
              <w:rPr>
                <w:sz w:val="24"/>
                <w:szCs w:val="24"/>
              </w:rPr>
            </w:pPr>
          </w:p>
        </w:tc>
      </w:tr>
      <w:tr w14:paraId="1B50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0A3CDF66">
            <w:pPr>
              <w:widowControl/>
              <w:adjustRightInd w:val="0"/>
              <w:snapToGrid w:val="0"/>
              <w:jc w:val="center"/>
              <w:rPr>
                <w:sz w:val="24"/>
                <w:szCs w:val="24"/>
              </w:rPr>
            </w:pPr>
            <w:r>
              <w:rPr>
                <w:rFonts w:hint="eastAsia"/>
                <w:sz w:val="24"/>
                <w:szCs w:val="24"/>
              </w:rPr>
              <w:t>9</w:t>
            </w:r>
          </w:p>
        </w:tc>
        <w:tc>
          <w:tcPr>
            <w:tcW w:w="2968" w:type="dxa"/>
            <w:vAlign w:val="center"/>
          </w:tcPr>
          <w:p w14:paraId="5C52FC4F">
            <w:pPr>
              <w:adjustRightInd w:val="0"/>
              <w:snapToGrid w:val="0"/>
              <w:jc w:val="left"/>
              <w:rPr>
                <w:sz w:val="24"/>
                <w:szCs w:val="24"/>
              </w:rPr>
            </w:pPr>
            <w:r>
              <w:rPr>
                <w:rFonts w:hint="eastAsia" w:ascii="宋体" w:hAnsi="宋体" w:cs="宋体"/>
                <w:color w:val="000000"/>
                <w:sz w:val="24"/>
                <w:szCs w:val="24"/>
              </w:rPr>
              <w:t>县级市和县城零担运输费用2</w:t>
            </w:r>
          </w:p>
        </w:tc>
        <w:tc>
          <w:tcPr>
            <w:tcW w:w="1200" w:type="dxa"/>
            <w:vAlign w:val="center"/>
          </w:tcPr>
          <w:p w14:paraId="76A63BA3">
            <w:pPr>
              <w:adjustRightInd w:val="0"/>
              <w:snapToGrid w:val="0"/>
              <w:jc w:val="center"/>
              <w:rPr>
                <w:sz w:val="24"/>
                <w:szCs w:val="24"/>
              </w:rPr>
            </w:pPr>
            <w:r>
              <w:rPr>
                <w:rFonts w:hint="eastAsia" w:ascii="宋体" w:hAnsi="宋体" w:cs="宋体"/>
                <w:sz w:val="24"/>
                <w:szCs w:val="24"/>
              </w:rPr>
              <w:t>350000kg</w:t>
            </w:r>
          </w:p>
        </w:tc>
        <w:tc>
          <w:tcPr>
            <w:tcW w:w="1228" w:type="dxa"/>
            <w:vAlign w:val="center"/>
          </w:tcPr>
          <w:p w14:paraId="624ACD5B">
            <w:pPr>
              <w:adjustRightInd w:val="0"/>
              <w:snapToGrid w:val="0"/>
              <w:jc w:val="center"/>
              <w:rPr>
                <w:sz w:val="24"/>
                <w:szCs w:val="24"/>
              </w:rPr>
            </w:pPr>
            <w:r>
              <w:rPr>
                <w:rFonts w:hint="eastAsia" w:ascii="宋体" w:hAnsi="宋体" w:cs="宋体"/>
                <w:sz w:val="24"/>
                <w:szCs w:val="24"/>
              </w:rPr>
              <w:t>元/kg</w:t>
            </w:r>
          </w:p>
        </w:tc>
        <w:tc>
          <w:tcPr>
            <w:tcW w:w="1218" w:type="dxa"/>
            <w:vAlign w:val="center"/>
          </w:tcPr>
          <w:p w14:paraId="6AB500AF">
            <w:pPr>
              <w:adjustRightInd w:val="0"/>
              <w:snapToGrid w:val="0"/>
              <w:jc w:val="center"/>
              <w:rPr>
                <w:rFonts w:ascii="宋体" w:hAnsi="宋体" w:cs="宋体"/>
                <w:sz w:val="24"/>
                <w:szCs w:val="24"/>
              </w:rPr>
            </w:pPr>
          </w:p>
        </w:tc>
        <w:tc>
          <w:tcPr>
            <w:tcW w:w="1293" w:type="dxa"/>
            <w:vAlign w:val="center"/>
          </w:tcPr>
          <w:p w14:paraId="3CE8379B">
            <w:pPr>
              <w:widowControl/>
              <w:adjustRightInd w:val="0"/>
              <w:snapToGrid w:val="0"/>
              <w:jc w:val="center"/>
              <w:rPr>
                <w:sz w:val="24"/>
                <w:szCs w:val="24"/>
              </w:rPr>
            </w:pPr>
          </w:p>
        </w:tc>
        <w:tc>
          <w:tcPr>
            <w:tcW w:w="1165" w:type="dxa"/>
            <w:vAlign w:val="center"/>
          </w:tcPr>
          <w:p w14:paraId="33A9FCB7">
            <w:pPr>
              <w:widowControl/>
              <w:adjustRightInd w:val="0"/>
              <w:snapToGrid w:val="0"/>
              <w:jc w:val="center"/>
              <w:rPr>
                <w:sz w:val="24"/>
                <w:szCs w:val="24"/>
              </w:rPr>
            </w:pPr>
          </w:p>
        </w:tc>
      </w:tr>
      <w:tr w14:paraId="53583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567" w:type="dxa"/>
            <w:vAlign w:val="center"/>
          </w:tcPr>
          <w:p w14:paraId="0739BE9C">
            <w:pPr>
              <w:widowControl/>
              <w:adjustRightInd w:val="0"/>
              <w:snapToGrid w:val="0"/>
              <w:jc w:val="center"/>
              <w:rPr>
                <w:sz w:val="24"/>
                <w:szCs w:val="24"/>
              </w:rPr>
            </w:pPr>
            <w:r>
              <w:rPr>
                <w:rFonts w:hint="eastAsia"/>
                <w:sz w:val="24"/>
                <w:szCs w:val="24"/>
              </w:rPr>
              <w:t>10</w:t>
            </w:r>
          </w:p>
        </w:tc>
        <w:tc>
          <w:tcPr>
            <w:tcW w:w="2968" w:type="dxa"/>
            <w:vAlign w:val="center"/>
          </w:tcPr>
          <w:p w14:paraId="4D522576">
            <w:pPr>
              <w:adjustRightInd w:val="0"/>
              <w:snapToGrid w:val="0"/>
              <w:jc w:val="left"/>
              <w:rPr>
                <w:sz w:val="24"/>
                <w:szCs w:val="24"/>
              </w:rPr>
            </w:pPr>
            <w:r>
              <w:rPr>
                <w:rFonts w:hint="eastAsia" w:ascii="宋体" w:hAnsi="宋体" w:cs="宋体"/>
                <w:color w:val="000000"/>
                <w:sz w:val="24"/>
                <w:szCs w:val="24"/>
              </w:rPr>
              <w:t>热敏纸物流全包服务费</w:t>
            </w:r>
          </w:p>
        </w:tc>
        <w:tc>
          <w:tcPr>
            <w:tcW w:w="1200" w:type="dxa"/>
            <w:vAlign w:val="center"/>
          </w:tcPr>
          <w:p w14:paraId="637401F2">
            <w:pPr>
              <w:adjustRightInd w:val="0"/>
              <w:snapToGrid w:val="0"/>
              <w:jc w:val="center"/>
              <w:rPr>
                <w:sz w:val="24"/>
                <w:szCs w:val="24"/>
              </w:rPr>
            </w:pPr>
            <w:r>
              <w:rPr>
                <w:rFonts w:hint="eastAsia" w:ascii="宋体" w:hAnsi="宋体" w:cs="宋体"/>
                <w:sz w:val="24"/>
                <w:szCs w:val="24"/>
              </w:rPr>
              <w:t>130000箱</w:t>
            </w:r>
          </w:p>
        </w:tc>
        <w:tc>
          <w:tcPr>
            <w:tcW w:w="1228" w:type="dxa"/>
            <w:vAlign w:val="center"/>
          </w:tcPr>
          <w:p w14:paraId="747B9832">
            <w:pPr>
              <w:adjustRightInd w:val="0"/>
              <w:snapToGrid w:val="0"/>
              <w:jc w:val="center"/>
              <w:rPr>
                <w:sz w:val="24"/>
                <w:szCs w:val="24"/>
              </w:rPr>
            </w:pPr>
            <w:r>
              <w:rPr>
                <w:rFonts w:hint="eastAsia" w:ascii="宋体" w:hAnsi="宋体" w:cs="宋体"/>
                <w:sz w:val="24"/>
                <w:szCs w:val="24"/>
              </w:rPr>
              <w:t>元/箱</w:t>
            </w:r>
          </w:p>
        </w:tc>
        <w:tc>
          <w:tcPr>
            <w:tcW w:w="1218" w:type="dxa"/>
            <w:vAlign w:val="center"/>
          </w:tcPr>
          <w:p w14:paraId="448ABCF6">
            <w:pPr>
              <w:adjustRightInd w:val="0"/>
              <w:snapToGrid w:val="0"/>
              <w:jc w:val="center"/>
              <w:rPr>
                <w:rFonts w:ascii="宋体" w:hAnsi="宋体" w:cs="宋体"/>
                <w:sz w:val="24"/>
                <w:szCs w:val="24"/>
              </w:rPr>
            </w:pPr>
          </w:p>
        </w:tc>
        <w:tc>
          <w:tcPr>
            <w:tcW w:w="1293" w:type="dxa"/>
            <w:vAlign w:val="center"/>
          </w:tcPr>
          <w:p w14:paraId="197FFA84">
            <w:pPr>
              <w:widowControl/>
              <w:adjustRightInd w:val="0"/>
              <w:snapToGrid w:val="0"/>
              <w:jc w:val="center"/>
              <w:rPr>
                <w:sz w:val="24"/>
                <w:szCs w:val="24"/>
              </w:rPr>
            </w:pPr>
          </w:p>
        </w:tc>
        <w:tc>
          <w:tcPr>
            <w:tcW w:w="1165" w:type="dxa"/>
            <w:vAlign w:val="center"/>
          </w:tcPr>
          <w:p w14:paraId="5DBA68ED">
            <w:pPr>
              <w:widowControl/>
              <w:adjustRightInd w:val="0"/>
              <w:snapToGrid w:val="0"/>
              <w:jc w:val="center"/>
              <w:rPr>
                <w:sz w:val="24"/>
                <w:szCs w:val="24"/>
              </w:rPr>
            </w:pPr>
          </w:p>
        </w:tc>
      </w:tr>
    </w:tbl>
    <w:p w14:paraId="7A495C1C">
      <w:pPr>
        <w:pStyle w:val="5"/>
        <w:spacing w:line="500" w:lineRule="exact"/>
        <w:ind w:left="15" w:leftChars="-50" w:hanging="120" w:hangingChars="5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6B5FA929">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4FE98800">
      <w:pPr>
        <w:spacing w:line="500" w:lineRule="exact"/>
        <w:ind w:hanging="315"/>
        <w:jc w:val="right"/>
        <w:rPr>
          <w:sz w:val="24"/>
        </w:rPr>
      </w:pPr>
      <w:r>
        <w:rPr>
          <w:sz w:val="24"/>
          <w:szCs w:val="24"/>
        </w:rPr>
        <w:t xml:space="preserve">                               </w:t>
      </w: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D133673">
      <w:pPr>
        <w:rPr>
          <w:sz w:val="24"/>
          <w:szCs w:val="24"/>
        </w:rPr>
      </w:pPr>
      <w:r>
        <w:rPr>
          <w:sz w:val="24"/>
          <w:szCs w:val="24"/>
        </w:rPr>
        <w:t>填写说明：</w:t>
      </w:r>
    </w:p>
    <w:p w14:paraId="751CBA6F">
      <w:pPr>
        <w:spacing w:line="500" w:lineRule="exact"/>
        <w:jc w:val="left"/>
        <w:rPr>
          <w:sz w:val="24"/>
        </w:rPr>
      </w:pPr>
      <w:r>
        <w:rPr>
          <w:rFonts w:hint="eastAsia"/>
          <w:sz w:val="24"/>
          <w:szCs w:val="24"/>
        </w:rPr>
        <w:t>1、</w:t>
      </w:r>
      <w:r>
        <w:rPr>
          <w:rFonts w:hint="eastAsia"/>
          <w:b/>
          <w:bCs/>
          <w:sz w:val="24"/>
          <w:szCs w:val="24"/>
        </w:rPr>
        <w:t>每个子项必须填写单价，且不能超出预算单价（详见第四章项目需求）</w:t>
      </w:r>
      <w:r>
        <w:rPr>
          <w:sz w:val="24"/>
          <w:szCs w:val="24"/>
        </w:rPr>
        <w:t>。</w:t>
      </w:r>
    </w:p>
    <w:p w14:paraId="6A291A4D">
      <w:pPr>
        <w:spacing w:line="400" w:lineRule="exact"/>
        <w:rPr>
          <w:sz w:val="24"/>
          <w:szCs w:val="24"/>
        </w:rPr>
      </w:pPr>
      <w:r>
        <w:rPr>
          <w:rFonts w:hint="eastAsia"/>
          <w:sz w:val="24"/>
          <w:szCs w:val="24"/>
        </w:rPr>
        <w:t>2、</w:t>
      </w:r>
      <w:r>
        <w:rPr>
          <w:sz w:val="24"/>
          <w:szCs w:val="24"/>
        </w:rPr>
        <w:t>报价包括但不限于技术服务、人员经费等费用，以及已支付或将支付的营业税和</w:t>
      </w:r>
      <w:r>
        <w:rPr>
          <w:rFonts w:hint="eastAsia"/>
          <w:sz w:val="24"/>
          <w:szCs w:val="24"/>
        </w:rPr>
        <w:t>其他</w:t>
      </w:r>
      <w:r>
        <w:rPr>
          <w:sz w:val="24"/>
          <w:szCs w:val="24"/>
        </w:rPr>
        <w:t>税费；</w:t>
      </w:r>
    </w:p>
    <w:p w14:paraId="45E2DE0E">
      <w:pPr>
        <w:pStyle w:val="84"/>
        <w:spacing w:after="145" w:afterLines="50" w:line="360" w:lineRule="auto"/>
        <w:ind w:left="0" w:firstLine="0"/>
        <w:jc w:val="center"/>
        <w:rPr>
          <w:rFonts w:ascii="Times New Roman" w:hAnsi="Times New Roman" w:eastAsia="宋体"/>
          <w:sz w:val="32"/>
          <w:szCs w:val="32"/>
        </w:rPr>
      </w:pPr>
      <w:r>
        <w:rPr>
          <w:rFonts w:hint="eastAsia" w:eastAsia="宋体"/>
          <w:sz w:val="24"/>
          <w:szCs w:val="24"/>
        </w:rPr>
        <w:t>3</w:t>
      </w:r>
      <w:r>
        <w:rPr>
          <w:sz w:val="24"/>
          <w:szCs w:val="24"/>
        </w:rPr>
        <w:t>、分项报价中总价应与</w:t>
      </w:r>
      <w:r>
        <w:rPr>
          <w:rFonts w:hint="eastAsia"/>
          <w:sz w:val="24"/>
          <w:szCs w:val="24"/>
        </w:rPr>
        <w:t>开标一览表</w:t>
      </w:r>
      <w:r>
        <w:rPr>
          <w:sz w:val="24"/>
          <w:szCs w:val="24"/>
        </w:rPr>
        <w:t>相一致，如有不一致内容按</w:t>
      </w:r>
      <w:r>
        <w:rPr>
          <w:rFonts w:hint="eastAsia"/>
          <w:sz w:val="24"/>
          <w:szCs w:val="24"/>
        </w:rPr>
        <w:t>开标</w:t>
      </w:r>
      <w:r>
        <w:rPr>
          <w:sz w:val="24"/>
          <w:szCs w:val="24"/>
        </w:rPr>
        <w:t>一览表内容为准。</w:t>
      </w:r>
      <w:r>
        <w:rPr>
          <w:rFonts w:ascii="Times New Roman" w:hAnsi="Times New Roman" w:eastAsia="宋体"/>
          <w:sz w:val="32"/>
          <w:szCs w:val="32"/>
        </w:rPr>
        <w:br w:type="page"/>
      </w:r>
      <w:bookmarkStart w:id="228" w:name="_Toc481072027"/>
      <w:bookmarkStart w:id="229" w:name="_Toc475009311"/>
      <w:bookmarkStart w:id="230" w:name="_Toc511899524"/>
      <w:bookmarkStart w:id="231" w:name="_Toc481071981"/>
      <w:r>
        <w:rPr>
          <w:rFonts w:hint="eastAsia" w:ascii="Times New Roman" w:hAnsi="Times New Roman" w:eastAsia="宋体"/>
          <w:sz w:val="32"/>
          <w:szCs w:val="32"/>
        </w:rPr>
        <w:t>四</w:t>
      </w:r>
      <w:r>
        <w:rPr>
          <w:rFonts w:ascii="Times New Roman" w:hAnsi="Times New Roman" w:eastAsia="宋体"/>
          <w:sz w:val="32"/>
          <w:szCs w:val="32"/>
        </w:rPr>
        <w:t>、技术参数响应及偏离表</w:t>
      </w:r>
      <w:bookmarkEnd w:id="228"/>
      <w:bookmarkEnd w:id="229"/>
      <w:bookmarkEnd w:id="230"/>
      <w:bookmarkEnd w:id="231"/>
    </w:p>
    <w:p w14:paraId="2B6D9003">
      <w:pPr>
        <w:rPr>
          <w:sz w:val="24"/>
        </w:rPr>
      </w:pPr>
      <w:r>
        <w:rPr>
          <w:sz w:val="24"/>
        </w:rPr>
        <w:t xml:space="preserve">项目名称：                               </w:t>
      </w:r>
    </w:p>
    <w:p w14:paraId="253A7D29">
      <w:pPr>
        <w:jc w:val="left"/>
        <w:rPr>
          <w:rFonts w:ascii="Times New Roman" w:hAnsi="Times New Roman"/>
          <w:sz w:val="24"/>
          <w:szCs w:val="24"/>
        </w:rPr>
      </w:pPr>
      <w:r>
        <w:rPr>
          <w:sz w:val="24"/>
        </w:rPr>
        <w:t>项目编号：</w:t>
      </w:r>
      <w:r>
        <w:rPr>
          <w:rFonts w:hint="eastAsia"/>
          <w:sz w:val="24"/>
          <w:u w:val="single"/>
        </w:rPr>
        <w:t xml:space="preserve"> </w:t>
      </w:r>
      <w:r>
        <w:rPr>
          <w:sz w:val="24"/>
          <w:u w:val="single"/>
        </w:rPr>
        <w:t xml:space="preserve">       　　　</w:t>
      </w:r>
      <w:r>
        <w:rPr>
          <w:rFonts w:hint="eastAsia"/>
          <w:sz w:val="24"/>
        </w:rPr>
        <w:t xml:space="preserve"> </w:t>
      </w:r>
      <w:r>
        <w:rPr>
          <w:rFonts w:ascii="Times New Roman" w:hAnsi="Times New Roman"/>
          <w:sz w:val="24"/>
          <w:szCs w:val="24"/>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4"/>
        <w:gridCol w:w="2852"/>
        <w:gridCol w:w="2852"/>
        <w:gridCol w:w="1308"/>
        <w:gridCol w:w="1173"/>
      </w:tblGrid>
      <w:tr w14:paraId="43557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984" w:type="dxa"/>
            <w:vAlign w:val="center"/>
          </w:tcPr>
          <w:p w14:paraId="4FE05EF7">
            <w:pPr>
              <w:jc w:val="center"/>
              <w:rPr>
                <w:sz w:val="24"/>
                <w:szCs w:val="24"/>
              </w:rPr>
            </w:pPr>
            <w:r>
              <w:rPr>
                <w:sz w:val="24"/>
                <w:szCs w:val="24"/>
              </w:rPr>
              <w:t>序号</w:t>
            </w:r>
          </w:p>
        </w:tc>
        <w:tc>
          <w:tcPr>
            <w:tcW w:w="2852" w:type="dxa"/>
            <w:vAlign w:val="center"/>
          </w:tcPr>
          <w:p w14:paraId="6DA81819">
            <w:pPr>
              <w:jc w:val="center"/>
              <w:rPr>
                <w:sz w:val="24"/>
                <w:szCs w:val="24"/>
              </w:rPr>
            </w:pPr>
            <w:r>
              <w:rPr>
                <w:sz w:val="24"/>
                <w:szCs w:val="24"/>
              </w:rPr>
              <w:t>招标要求</w:t>
            </w:r>
          </w:p>
        </w:tc>
        <w:tc>
          <w:tcPr>
            <w:tcW w:w="2852" w:type="dxa"/>
            <w:vAlign w:val="center"/>
          </w:tcPr>
          <w:p w14:paraId="64B16646">
            <w:pPr>
              <w:jc w:val="center"/>
              <w:rPr>
                <w:sz w:val="24"/>
                <w:szCs w:val="24"/>
              </w:rPr>
            </w:pPr>
            <w:r>
              <w:rPr>
                <w:sz w:val="24"/>
                <w:szCs w:val="24"/>
              </w:rPr>
              <w:t>投标响应</w:t>
            </w:r>
          </w:p>
        </w:tc>
        <w:tc>
          <w:tcPr>
            <w:tcW w:w="1308" w:type="dxa"/>
            <w:vAlign w:val="center"/>
          </w:tcPr>
          <w:p w14:paraId="04AD7A8D">
            <w:pPr>
              <w:rPr>
                <w:sz w:val="24"/>
                <w:szCs w:val="24"/>
              </w:rPr>
            </w:pPr>
            <w:r>
              <w:rPr>
                <w:sz w:val="24"/>
                <w:szCs w:val="24"/>
              </w:rPr>
              <w:t>超出、符合或偏离</w:t>
            </w:r>
          </w:p>
        </w:tc>
        <w:tc>
          <w:tcPr>
            <w:tcW w:w="1173" w:type="dxa"/>
            <w:vAlign w:val="center"/>
          </w:tcPr>
          <w:p w14:paraId="0E433503">
            <w:pPr>
              <w:jc w:val="center"/>
              <w:rPr>
                <w:sz w:val="24"/>
                <w:szCs w:val="24"/>
              </w:rPr>
            </w:pPr>
            <w:r>
              <w:rPr>
                <w:sz w:val="24"/>
                <w:szCs w:val="24"/>
              </w:rPr>
              <w:t>原因</w:t>
            </w:r>
          </w:p>
        </w:tc>
      </w:tr>
      <w:tr w14:paraId="4395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1361789">
            <w:pPr>
              <w:jc w:val="center"/>
              <w:rPr>
                <w:sz w:val="24"/>
                <w:szCs w:val="24"/>
              </w:rPr>
            </w:pPr>
          </w:p>
        </w:tc>
        <w:tc>
          <w:tcPr>
            <w:tcW w:w="2852" w:type="dxa"/>
          </w:tcPr>
          <w:p w14:paraId="5331ABD3">
            <w:pPr>
              <w:jc w:val="center"/>
              <w:rPr>
                <w:sz w:val="24"/>
                <w:szCs w:val="24"/>
              </w:rPr>
            </w:pPr>
          </w:p>
        </w:tc>
        <w:tc>
          <w:tcPr>
            <w:tcW w:w="2852" w:type="dxa"/>
          </w:tcPr>
          <w:p w14:paraId="33999B50">
            <w:pPr>
              <w:jc w:val="center"/>
              <w:rPr>
                <w:sz w:val="24"/>
                <w:szCs w:val="24"/>
              </w:rPr>
            </w:pPr>
          </w:p>
        </w:tc>
        <w:tc>
          <w:tcPr>
            <w:tcW w:w="1308" w:type="dxa"/>
          </w:tcPr>
          <w:p w14:paraId="26E827DA">
            <w:pPr>
              <w:jc w:val="center"/>
              <w:rPr>
                <w:sz w:val="24"/>
                <w:szCs w:val="24"/>
              </w:rPr>
            </w:pPr>
          </w:p>
        </w:tc>
        <w:tc>
          <w:tcPr>
            <w:tcW w:w="1173" w:type="dxa"/>
          </w:tcPr>
          <w:p w14:paraId="334D9D3A">
            <w:pPr>
              <w:jc w:val="center"/>
              <w:rPr>
                <w:sz w:val="24"/>
                <w:szCs w:val="24"/>
              </w:rPr>
            </w:pPr>
          </w:p>
        </w:tc>
      </w:tr>
      <w:tr w14:paraId="65C3D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D779662">
            <w:pPr>
              <w:jc w:val="center"/>
              <w:rPr>
                <w:sz w:val="24"/>
                <w:szCs w:val="24"/>
              </w:rPr>
            </w:pPr>
          </w:p>
        </w:tc>
        <w:tc>
          <w:tcPr>
            <w:tcW w:w="2852" w:type="dxa"/>
          </w:tcPr>
          <w:p w14:paraId="4FD110E2">
            <w:pPr>
              <w:jc w:val="center"/>
              <w:rPr>
                <w:sz w:val="24"/>
                <w:szCs w:val="24"/>
              </w:rPr>
            </w:pPr>
          </w:p>
        </w:tc>
        <w:tc>
          <w:tcPr>
            <w:tcW w:w="2852" w:type="dxa"/>
          </w:tcPr>
          <w:p w14:paraId="22817B6E">
            <w:pPr>
              <w:jc w:val="center"/>
              <w:rPr>
                <w:sz w:val="24"/>
                <w:szCs w:val="24"/>
              </w:rPr>
            </w:pPr>
          </w:p>
        </w:tc>
        <w:tc>
          <w:tcPr>
            <w:tcW w:w="1308" w:type="dxa"/>
          </w:tcPr>
          <w:p w14:paraId="5C68EFD2">
            <w:pPr>
              <w:jc w:val="center"/>
              <w:rPr>
                <w:sz w:val="24"/>
                <w:szCs w:val="24"/>
              </w:rPr>
            </w:pPr>
          </w:p>
        </w:tc>
        <w:tc>
          <w:tcPr>
            <w:tcW w:w="1173" w:type="dxa"/>
          </w:tcPr>
          <w:p w14:paraId="40C5225B">
            <w:pPr>
              <w:jc w:val="center"/>
              <w:rPr>
                <w:sz w:val="24"/>
                <w:szCs w:val="24"/>
              </w:rPr>
            </w:pPr>
          </w:p>
        </w:tc>
      </w:tr>
      <w:tr w14:paraId="00CD6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2579C2D5">
            <w:pPr>
              <w:jc w:val="center"/>
              <w:rPr>
                <w:sz w:val="24"/>
                <w:szCs w:val="24"/>
              </w:rPr>
            </w:pPr>
          </w:p>
        </w:tc>
        <w:tc>
          <w:tcPr>
            <w:tcW w:w="2852" w:type="dxa"/>
          </w:tcPr>
          <w:p w14:paraId="4B3425BE">
            <w:pPr>
              <w:jc w:val="center"/>
              <w:rPr>
                <w:sz w:val="24"/>
                <w:szCs w:val="24"/>
              </w:rPr>
            </w:pPr>
          </w:p>
        </w:tc>
        <w:tc>
          <w:tcPr>
            <w:tcW w:w="2852" w:type="dxa"/>
          </w:tcPr>
          <w:p w14:paraId="2A98C4FD">
            <w:pPr>
              <w:jc w:val="center"/>
              <w:rPr>
                <w:sz w:val="24"/>
                <w:szCs w:val="24"/>
              </w:rPr>
            </w:pPr>
          </w:p>
        </w:tc>
        <w:tc>
          <w:tcPr>
            <w:tcW w:w="1308" w:type="dxa"/>
          </w:tcPr>
          <w:p w14:paraId="41C9E504">
            <w:pPr>
              <w:jc w:val="center"/>
              <w:rPr>
                <w:sz w:val="24"/>
                <w:szCs w:val="24"/>
              </w:rPr>
            </w:pPr>
          </w:p>
        </w:tc>
        <w:tc>
          <w:tcPr>
            <w:tcW w:w="1173" w:type="dxa"/>
          </w:tcPr>
          <w:p w14:paraId="7963B2C0">
            <w:pPr>
              <w:jc w:val="center"/>
              <w:rPr>
                <w:sz w:val="24"/>
                <w:szCs w:val="24"/>
              </w:rPr>
            </w:pPr>
          </w:p>
        </w:tc>
      </w:tr>
      <w:tr w14:paraId="6BB31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366BFBB">
            <w:pPr>
              <w:jc w:val="center"/>
              <w:rPr>
                <w:sz w:val="24"/>
                <w:szCs w:val="24"/>
              </w:rPr>
            </w:pPr>
          </w:p>
        </w:tc>
        <w:tc>
          <w:tcPr>
            <w:tcW w:w="2852" w:type="dxa"/>
          </w:tcPr>
          <w:p w14:paraId="77D66011">
            <w:pPr>
              <w:jc w:val="center"/>
              <w:rPr>
                <w:sz w:val="24"/>
                <w:szCs w:val="24"/>
              </w:rPr>
            </w:pPr>
          </w:p>
        </w:tc>
        <w:tc>
          <w:tcPr>
            <w:tcW w:w="2852" w:type="dxa"/>
          </w:tcPr>
          <w:p w14:paraId="7630707F">
            <w:pPr>
              <w:jc w:val="center"/>
              <w:rPr>
                <w:sz w:val="24"/>
                <w:szCs w:val="24"/>
              </w:rPr>
            </w:pPr>
          </w:p>
        </w:tc>
        <w:tc>
          <w:tcPr>
            <w:tcW w:w="1308" w:type="dxa"/>
          </w:tcPr>
          <w:p w14:paraId="3B58AFF3">
            <w:pPr>
              <w:jc w:val="center"/>
              <w:rPr>
                <w:sz w:val="24"/>
                <w:szCs w:val="24"/>
              </w:rPr>
            </w:pPr>
          </w:p>
        </w:tc>
        <w:tc>
          <w:tcPr>
            <w:tcW w:w="1173" w:type="dxa"/>
          </w:tcPr>
          <w:p w14:paraId="5462C1D6">
            <w:pPr>
              <w:jc w:val="center"/>
              <w:rPr>
                <w:sz w:val="24"/>
                <w:szCs w:val="24"/>
              </w:rPr>
            </w:pPr>
          </w:p>
        </w:tc>
      </w:tr>
      <w:tr w14:paraId="64AB1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4F85207B">
            <w:pPr>
              <w:jc w:val="center"/>
              <w:rPr>
                <w:sz w:val="24"/>
                <w:szCs w:val="24"/>
              </w:rPr>
            </w:pPr>
          </w:p>
        </w:tc>
        <w:tc>
          <w:tcPr>
            <w:tcW w:w="2852" w:type="dxa"/>
          </w:tcPr>
          <w:p w14:paraId="413BE5AD">
            <w:pPr>
              <w:jc w:val="center"/>
              <w:rPr>
                <w:sz w:val="24"/>
                <w:szCs w:val="24"/>
              </w:rPr>
            </w:pPr>
          </w:p>
        </w:tc>
        <w:tc>
          <w:tcPr>
            <w:tcW w:w="2852" w:type="dxa"/>
          </w:tcPr>
          <w:p w14:paraId="31E6F344">
            <w:pPr>
              <w:jc w:val="center"/>
              <w:rPr>
                <w:sz w:val="24"/>
                <w:szCs w:val="24"/>
              </w:rPr>
            </w:pPr>
          </w:p>
        </w:tc>
        <w:tc>
          <w:tcPr>
            <w:tcW w:w="1308" w:type="dxa"/>
          </w:tcPr>
          <w:p w14:paraId="040F543E">
            <w:pPr>
              <w:jc w:val="center"/>
              <w:rPr>
                <w:sz w:val="24"/>
                <w:szCs w:val="24"/>
              </w:rPr>
            </w:pPr>
          </w:p>
        </w:tc>
        <w:tc>
          <w:tcPr>
            <w:tcW w:w="1173" w:type="dxa"/>
          </w:tcPr>
          <w:p w14:paraId="5B1F8E83">
            <w:pPr>
              <w:jc w:val="center"/>
              <w:rPr>
                <w:sz w:val="24"/>
                <w:szCs w:val="24"/>
              </w:rPr>
            </w:pPr>
          </w:p>
        </w:tc>
      </w:tr>
      <w:tr w14:paraId="03DDA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127AB29E">
            <w:pPr>
              <w:jc w:val="center"/>
              <w:rPr>
                <w:sz w:val="24"/>
                <w:szCs w:val="24"/>
              </w:rPr>
            </w:pPr>
          </w:p>
        </w:tc>
        <w:tc>
          <w:tcPr>
            <w:tcW w:w="2852" w:type="dxa"/>
          </w:tcPr>
          <w:p w14:paraId="08231777">
            <w:pPr>
              <w:jc w:val="center"/>
              <w:rPr>
                <w:sz w:val="24"/>
                <w:szCs w:val="24"/>
              </w:rPr>
            </w:pPr>
          </w:p>
        </w:tc>
        <w:tc>
          <w:tcPr>
            <w:tcW w:w="2852" w:type="dxa"/>
          </w:tcPr>
          <w:p w14:paraId="4547EF52">
            <w:pPr>
              <w:jc w:val="center"/>
              <w:rPr>
                <w:sz w:val="24"/>
                <w:szCs w:val="24"/>
              </w:rPr>
            </w:pPr>
          </w:p>
        </w:tc>
        <w:tc>
          <w:tcPr>
            <w:tcW w:w="1308" w:type="dxa"/>
          </w:tcPr>
          <w:p w14:paraId="73B4F461">
            <w:pPr>
              <w:jc w:val="center"/>
              <w:rPr>
                <w:sz w:val="24"/>
                <w:szCs w:val="24"/>
              </w:rPr>
            </w:pPr>
          </w:p>
        </w:tc>
        <w:tc>
          <w:tcPr>
            <w:tcW w:w="1173" w:type="dxa"/>
          </w:tcPr>
          <w:p w14:paraId="0010140B">
            <w:pPr>
              <w:jc w:val="center"/>
              <w:rPr>
                <w:sz w:val="24"/>
                <w:szCs w:val="24"/>
              </w:rPr>
            </w:pPr>
          </w:p>
        </w:tc>
      </w:tr>
      <w:tr w14:paraId="1C360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69256EA9">
            <w:pPr>
              <w:jc w:val="center"/>
              <w:rPr>
                <w:sz w:val="24"/>
                <w:szCs w:val="24"/>
              </w:rPr>
            </w:pPr>
          </w:p>
        </w:tc>
        <w:tc>
          <w:tcPr>
            <w:tcW w:w="2852" w:type="dxa"/>
          </w:tcPr>
          <w:p w14:paraId="5C133FB9">
            <w:pPr>
              <w:jc w:val="center"/>
              <w:rPr>
                <w:sz w:val="24"/>
                <w:szCs w:val="24"/>
              </w:rPr>
            </w:pPr>
          </w:p>
        </w:tc>
        <w:tc>
          <w:tcPr>
            <w:tcW w:w="2852" w:type="dxa"/>
          </w:tcPr>
          <w:p w14:paraId="69808D46">
            <w:pPr>
              <w:jc w:val="center"/>
              <w:rPr>
                <w:sz w:val="24"/>
                <w:szCs w:val="24"/>
              </w:rPr>
            </w:pPr>
          </w:p>
        </w:tc>
        <w:tc>
          <w:tcPr>
            <w:tcW w:w="1308" w:type="dxa"/>
          </w:tcPr>
          <w:p w14:paraId="03B893F2">
            <w:pPr>
              <w:jc w:val="center"/>
              <w:rPr>
                <w:sz w:val="24"/>
                <w:szCs w:val="24"/>
              </w:rPr>
            </w:pPr>
          </w:p>
        </w:tc>
        <w:tc>
          <w:tcPr>
            <w:tcW w:w="1173" w:type="dxa"/>
          </w:tcPr>
          <w:p w14:paraId="5B105266">
            <w:pPr>
              <w:jc w:val="center"/>
              <w:rPr>
                <w:sz w:val="24"/>
                <w:szCs w:val="24"/>
              </w:rPr>
            </w:pPr>
          </w:p>
        </w:tc>
      </w:tr>
      <w:tr w14:paraId="2B9CB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984" w:type="dxa"/>
          </w:tcPr>
          <w:p w14:paraId="5FF84EE2">
            <w:pPr>
              <w:jc w:val="center"/>
              <w:rPr>
                <w:sz w:val="24"/>
                <w:szCs w:val="24"/>
              </w:rPr>
            </w:pPr>
          </w:p>
        </w:tc>
        <w:tc>
          <w:tcPr>
            <w:tcW w:w="2852" w:type="dxa"/>
          </w:tcPr>
          <w:p w14:paraId="53F7131C">
            <w:pPr>
              <w:jc w:val="center"/>
              <w:rPr>
                <w:sz w:val="24"/>
                <w:szCs w:val="24"/>
              </w:rPr>
            </w:pPr>
          </w:p>
        </w:tc>
        <w:tc>
          <w:tcPr>
            <w:tcW w:w="2852" w:type="dxa"/>
          </w:tcPr>
          <w:p w14:paraId="48A4FF4D">
            <w:pPr>
              <w:jc w:val="center"/>
              <w:rPr>
                <w:sz w:val="24"/>
                <w:szCs w:val="24"/>
              </w:rPr>
            </w:pPr>
          </w:p>
        </w:tc>
        <w:tc>
          <w:tcPr>
            <w:tcW w:w="1308" w:type="dxa"/>
          </w:tcPr>
          <w:p w14:paraId="7CE2F68D">
            <w:pPr>
              <w:jc w:val="center"/>
              <w:rPr>
                <w:sz w:val="24"/>
                <w:szCs w:val="24"/>
              </w:rPr>
            </w:pPr>
          </w:p>
        </w:tc>
        <w:tc>
          <w:tcPr>
            <w:tcW w:w="1173" w:type="dxa"/>
          </w:tcPr>
          <w:p w14:paraId="2A19674D">
            <w:pPr>
              <w:jc w:val="center"/>
              <w:rPr>
                <w:sz w:val="24"/>
                <w:szCs w:val="24"/>
              </w:rPr>
            </w:pPr>
          </w:p>
        </w:tc>
      </w:tr>
    </w:tbl>
    <w:p w14:paraId="35B1C189">
      <w:pPr>
        <w:pStyle w:val="5"/>
        <w:spacing w:line="500" w:lineRule="exact"/>
        <w:ind w:left="15" w:leftChars="-50" w:hanging="120" w:hangingChars="5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7F5A6953">
      <w:pPr>
        <w:pStyle w:val="5"/>
        <w:spacing w:line="500" w:lineRule="exact"/>
        <w:ind w:left="15" w:leftChars="-50" w:hanging="120" w:hangingChars="50"/>
        <w:rPr>
          <w:sz w:val="24"/>
          <w:szCs w:val="24"/>
        </w:rPr>
      </w:pPr>
    </w:p>
    <w:p w14:paraId="4A879D12">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4FA1A88F">
      <w:pPr>
        <w:spacing w:line="500" w:lineRule="exact"/>
        <w:ind w:hanging="315"/>
        <w:jc w:val="righ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07CC5ACE">
      <w:pPr>
        <w:pStyle w:val="5"/>
        <w:spacing w:line="500" w:lineRule="exact"/>
        <w:ind w:left="15" w:leftChars="-50" w:hanging="120" w:hangingChars="50"/>
        <w:rPr>
          <w:sz w:val="24"/>
          <w:szCs w:val="24"/>
        </w:rPr>
      </w:pPr>
      <w:r>
        <w:rPr>
          <w:rFonts w:hint="eastAsia"/>
          <w:sz w:val="24"/>
          <w:szCs w:val="24"/>
        </w:rPr>
        <w:t>填写说明：</w:t>
      </w:r>
    </w:p>
    <w:p w14:paraId="45C4570B">
      <w:pPr>
        <w:pStyle w:val="5"/>
        <w:spacing w:line="500" w:lineRule="exact"/>
        <w:ind w:leftChars="-50" w:hanging="105" w:hangingChars="50"/>
      </w:pPr>
      <w:r>
        <w:rPr>
          <w:rFonts w:hint="eastAsia"/>
        </w:rPr>
        <w:t>1、供应商须根据第四章《项目需求》要求填写此表，作为响应文件的组成部分。</w:t>
      </w:r>
    </w:p>
    <w:p w14:paraId="184C2268">
      <w:pPr>
        <w:pStyle w:val="5"/>
        <w:spacing w:line="500" w:lineRule="exact"/>
        <w:ind w:leftChars="-50" w:hanging="105" w:hangingChars="50"/>
      </w:pPr>
      <w:r>
        <w:rPr>
          <w:rFonts w:hint="eastAsia"/>
        </w:rPr>
        <w:t>2、所有偏离必须在本表中列出，未在本偏离表中列出偏离，将视为供应商已完全接受采购文件要求。</w:t>
      </w:r>
    </w:p>
    <w:p w14:paraId="3BD0A85A">
      <w:pPr>
        <w:pStyle w:val="5"/>
        <w:spacing w:line="500" w:lineRule="exact"/>
        <w:ind w:leftChars="-50" w:hanging="105" w:hangingChars="50"/>
      </w:pPr>
      <w:r>
        <w:rPr>
          <w:rFonts w:hint="eastAsia"/>
        </w:rPr>
        <w:t>3、偏离包括正、负偏离，正偏离指供应商的响应高于采购文件要求，负偏离指供应商的响应低于采购文件要求。</w:t>
      </w:r>
    </w:p>
    <w:p w14:paraId="4ED763DB">
      <w:pPr>
        <w:pStyle w:val="84"/>
        <w:spacing w:after="145" w:afterLines="50" w:line="360" w:lineRule="auto"/>
        <w:ind w:left="0" w:firstLine="0"/>
        <w:jc w:val="center"/>
        <w:rPr>
          <w:rFonts w:ascii="Times New Roman" w:hAnsi="Times New Roman" w:eastAsia="宋体"/>
          <w:sz w:val="32"/>
          <w:szCs w:val="32"/>
        </w:rPr>
      </w:pPr>
      <w:bookmarkStart w:id="232" w:name="_Hlt26955066"/>
      <w:bookmarkEnd w:id="232"/>
      <w:bookmarkStart w:id="233" w:name="_Hlt26955054"/>
      <w:bookmarkEnd w:id="233"/>
      <w:bookmarkStart w:id="234" w:name="_Hlt26955070"/>
      <w:bookmarkEnd w:id="234"/>
      <w:bookmarkStart w:id="235" w:name="_Hlt26671374"/>
      <w:bookmarkEnd w:id="235"/>
      <w:bookmarkStart w:id="236" w:name="_Hlt26671380"/>
      <w:bookmarkEnd w:id="236"/>
      <w:bookmarkStart w:id="237" w:name="_Hlt26609389"/>
      <w:bookmarkEnd w:id="237"/>
      <w:bookmarkStart w:id="238" w:name="_格式3__银行出具的资信证明"/>
      <w:bookmarkEnd w:id="238"/>
      <w:bookmarkStart w:id="239" w:name="_Toc481071982"/>
      <w:bookmarkStart w:id="240" w:name="_Toc511899525"/>
      <w:bookmarkStart w:id="241" w:name="_Toc475009312"/>
      <w:bookmarkStart w:id="242" w:name="_Toc481072028"/>
      <w:r>
        <w:rPr>
          <w:rFonts w:ascii="Times New Roman" w:hAnsi="Times New Roman" w:eastAsia="宋体"/>
          <w:sz w:val="32"/>
          <w:szCs w:val="32"/>
        </w:rPr>
        <w:br w:type="page"/>
      </w:r>
      <w:r>
        <w:rPr>
          <w:rFonts w:hint="eastAsia" w:ascii="Times New Roman" w:hAnsi="Times New Roman" w:eastAsia="宋体"/>
          <w:sz w:val="32"/>
          <w:szCs w:val="32"/>
        </w:rPr>
        <w:t>五</w:t>
      </w:r>
      <w:r>
        <w:rPr>
          <w:rFonts w:ascii="Times New Roman" w:hAnsi="Times New Roman" w:eastAsia="宋体"/>
          <w:sz w:val="32"/>
          <w:szCs w:val="32"/>
        </w:rPr>
        <w:t>、商务条款响应及偏离表</w:t>
      </w:r>
      <w:bookmarkEnd w:id="239"/>
      <w:bookmarkEnd w:id="240"/>
      <w:bookmarkEnd w:id="241"/>
      <w:bookmarkEnd w:id="242"/>
    </w:p>
    <w:p w14:paraId="381E9643">
      <w:pPr>
        <w:rPr>
          <w:sz w:val="24"/>
        </w:rPr>
      </w:pPr>
      <w:r>
        <w:rPr>
          <w:sz w:val="24"/>
        </w:rPr>
        <w:t xml:space="preserve">项目名称：                               </w:t>
      </w:r>
    </w:p>
    <w:p w14:paraId="087749AE">
      <w:r>
        <w:rPr>
          <w:sz w:val="24"/>
        </w:rPr>
        <w:t>项目编号：</w:t>
      </w:r>
      <w:r>
        <w:rPr>
          <w:rFonts w:hint="eastAsia"/>
          <w:sz w:val="24"/>
          <w:u w:val="single"/>
        </w:rPr>
        <w:t xml:space="preserve"> </w:t>
      </w:r>
      <w:r>
        <w:rPr>
          <w:sz w:val="24"/>
          <w:u w:val="single"/>
        </w:rPr>
        <w:t xml:space="preserve">       　　　</w:t>
      </w:r>
    </w:p>
    <w:tbl>
      <w:tblPr>
        <w:tblStyle w:val="39"/>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71A58C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vAlign w:val="center"/>
          </w:tcPr>
          <w:p w14:paraId="63525AAC">
            <w:pPr>
              <w:snapToGrid w:val="0"/>
              <w:spacing w:before="145" w:beforeLines="50"/>
              <w:jc w:val="center"/>
              <w:rPr>
                <w:sz w:val="24"/>
                <w:szCs w:val="24"/>
              </w:rPr>
            </w:pPr>
            <w:r>
              <w:rPr>
                <w:sz w:val="24"/>
                <w:szCs w:val="24"/>
              </w:rPr>
              <w:t>序号</w:t>
            </w:r>
          </w:p>
        </w:tc>
        <w:tc>
          <w:tcPr>
            <w:tcW w:w="2268" w:type="dxa"/>
            <w:tcBorders>
              <w:top w:val="single" w:color="auto" w:sz="4" w:space="0"/>
              <w:left w:val="single" w:color="auto" w:sz="4" w:space="0"/>
              <w:bottom w:val="single" w:color="auto" w:sz="4" w:space="0"/>
              <w:right w:val="single" w:color="auto" w:sz="4" w:space="0"/>
            </w:tcBorders>
            <w:vAlign w:val="center"/>
          </w:tcPr>
          <w:p w14:paraId="696D56BE">
            <w:pPr>
              <w:snapToGrid w:val="0"/>
              <w:spacing w:before="145" w:beforeLines="50"/>
              <w:jc w:val="center"/>
              <w:rPr>
                <w:sz w:val="24"/>
                <w:szCs w:val="24"/>
              </w:rPr>
            </w:pPr>
            <w:r>
              <w:rPr>
                <w:sz w:val="24"/>
                <w:szCs w:val="24"/>
              </w:rPr>
              <w:t>项目</w:t>
            </w:r>
          </w:p>
        </w:tc>
        <w:tc>
          <w:tcPr>
            <w:tcW w:w="2526" w:type="dxa"/>
            <w:tcBorders>
              <w:top w:val="single" w:color="auto" w:sz="4" w:space="0"/>
              <w:left w:val="single" w:color="auto" w:sz="4" w:space="0"/>
              <w:bottom w:val="single" w:color="auto" w:sz="4" w:space="0"/>
              <w:right w:val="single" w:color="auto" w:sz="4" w:space="0"/>
            </w:tcBorders>
            <w:vAlign w:val="center"/>
          </w:tcPr>
          <w:p w14:paraId="22A5A432">
            <w:pPr>
              <w:snapToGrid w:val="0"/>
              <w:spacing w:before="145" w:beforeLines="50"/>
              <w:jc w:val="center"/>
              <w:rPr>
                <w:sz w:val="24"/>
                <w:szCs w:val="24"/>
              </w:rPr>
            </w:pPr>
            <w:r>
              <w:rPr>
                <w:sz w:val="24"/>
                <w:szCs w:val="24"/>
              </w:rPr>
              <w:t>招标要求</w:t>
            </w:r>
          </w:p>
        </w:tc>
        <w:tc>
          <w:tcPr>
            <w:tcW w:w="1260" w:type="dxa"/>
            <w:tcBorders>
              <w:top w:val="single" w:color="auto" w:sz="4" w:space="0"/>
              <w:left w:val="single" w:color="auto" w:sz="4" w:space="0"/>
              <w:bottom w:val="single" w:color="auto" w:sz="4" w:space="0"/>
              <w:right w:val="single" w:color="auto" w:sz="4" w:space="0"/>
            </w:tcBorders>
            <w:vAlign w:val="center"/>
          </w:tcPr>
          <w:p w14:paraId="4798DE97">
            <w:pPr>
              <w:snapToGrid w:val="0"/>
              <w:spacing w:before="145" w:beforeLines="50"/>
              <w:jc w:val="center"/>
              <w:rPr>
                <w:sz w:val="24"/>
                <w:szCs w:val="24"/>
              </w:rPr>
            </w:pPr>
            <w:r>
              <w:rPr>
                <w:sz w:val="24"/>
                <w:szCs w:val="24"/>
              </w:rPr>
              <w:t>是否响应</w:t>
            </w:r>
          </w:p>
        </w:tc>
        <w:tc>
          <w:tcPr>
            <w:tcW w:w="1884" w:type="dxa"/>
            <w:tcBorders>
              <w:top w:val="single" w:color="auto" w:sz="4" w:space="0"/>
              <w:left w:val="single" w:color="auto" w:sz="4" w:space="0"/>
              <w:bottom w:val="single" w:color="auto" w:sz="4" w:space="0"/>
              <w:right w:val="single" w:color="auto" w:sz="4" w:space="0"/>
            </w:tcBorders>
          </w:tcPr>
          <w:p w14:paraId="4EA02B2F">
            <w:pPr>
              <w:snapToGrid w:val="0"/>
              <w:spacing w:before="145" w:beforeLines="50"/>
              <w:jc w:val="center"/>
              <w:rPr>
                <w:sz w:val="24"/>
                <w:szCs w:val="24"/>
              </w:rPr>
            </w:pPr>
            <w:r>
              <w:rPr>
                <w:sz w:val="24"/>
                <w:szCs w:val="24"/>
              </w:rPr>
              <w:t>供应商的承诺或说明</w:t>
            </w:r>
          </w:p>
        </w:tc>
      </w:tr>
      <w:tr w14:paraId="28A982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vAlign w:val="center"/>
          </w:tcPr>
          <w:p w14:paraId="77018B52">
            <w:pPr>
              <w:snapToGrid w:val="0"/>
              <w:spacing w:before="145" w:beforeLines="50"/>
              <w:jc w:val="center"/>
              <w:rPr>
                <w:sz w:val="24"/>
                <w:szCs w:val="24"/>
              </w:rPr>
            </w:pPr>
            <w:r>
              <w:rPr>
                <w:sz w:val="24"/>
                <w:szCs w:val="24"/>
              </w:rPr>
              <w:t>1</w:t>
            </w:r>
          </w:p>
        </w:tc>
        <w:tc>
          <w:tcPr>
            <w:tcW w:w="2268" w:type="dxa"/>
            <w:tcBorders>
              <w:top w:val="single" w:color="auto" w:sz="4" w:space="0"/>
              <w:left w:val="single" w:color="auto" w:sz="4" w:space="0"/>
              <w:bottom w:val="single" w:color="auto" w:sz="4" w:space="0"/>
              <w:right w:val="single" w:color="auto" w:sz="4" w:space="0"/>
            </w:tcBorders>
            <w:vAlign w:val="center"/>
          </w:tcPr>
          <w:p w14:paraId="114ACB8B">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7D6F459F">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30CED275">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096CA959">
            <w:pPr>
              <w:snapToGrid w:val="0"/>
              <w:spacing w:before="145" w:beforeLines="50"/>
              <w:rPr>
                <w:sz w:val="24"/>
                <w:szCs w:val="24"/>
              </w:rPr>
            </w:pPr>
          </w:p>
        </w:tc>
      </w:tr>
      <w:tr w14:paraId="329C33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vAlign w:val="center"/>
          </w:tcPr>
          <w:p w14:paraId="0A0C4A58">
            <w:pPr>
              <w:snapToGrid w:val="0"/>
              <w:spacing w:before="145" w:beforeLines="50"/>
              <w:jc w:val="center"/>
              <w:rPr>
                <w:sz w:val="24"/>
                <w:szCs w:val="24"/>
              </w:rPr>
            </w:pPr>
            <w:r>
              <w:rPr>
                <w:sz w:val="24"/>
                <w:szCs w:val="24"/>
              </w:rPr>
              <w:t>2</w:t>
            </w:r>
          </w:p>
        </w:tc>
        <w:tc>
          <w:tcPr>
            <w:tcW w:w="2268" w:type="dxa"/>
            <w:tcBorders>
              <w:top w:val="single" w:color="auto" w:sz="4" w:space="0"/>
              <w:left w:val="single" w:color="auto" w:sz="4" w:space="0"/>
              <w:bottom w:val="single" w:color="auto" w:sz="4" w:space="0"/>
              <w:right w:val="single" w:color="auto" w:sz="4" w:space="0"/>
            </w:tcBorders>
            <w:vAlign w:val="center"/>
          </w:tcPr>
          <w:p w14:paraId="148CD136">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7942C3C7">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115DAE38">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51F156CF">
            <w:pPr>
              <w:snapToGrid w:val="0"/>
              <w:spacing w:before="145" w:beforeLines="50"/>
              <w:rPr>
                <w:sz w:val="24"/>
                <w:szCs w:val="24"/>
              </w:rPr>
            </w:pPr>
          </w:p>
        </w:tc>
      </w:tr>
      <w:tr w14:paraId="325ED6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vAlign w:val="center"/>
          </w:tcPr>
          <w:p w14:paraId="2D6E53A3">
            <w:pPr>
              <w:snapToGrid w:val="0"/>
              <w:spacing w:before="145" w:beforeLines="50"/>
              <w:jc w:val="center"/>
              <w:rPr>
                <w:sz w:val="24"/>
                <w:szCs w:val="24"/>
              </w:rPr>
            </w:pPr>
            <w:r>
              <w:rPr>
                <w:sz w:val="24"/>
                <w:szCs w:val="24"/>
              </w:rPr>
              <w:t>3</w:t>
            </w:r>
          </w:p>
        </w:tc>
        <w:tc>
          <w:tcPr>
            <w:tcW w:w="2268" w:type="dxa"/>
            <w:tcBorders>
              <w:top w:val="single" w:color="auto" w:sz="4" w:space="0"/>
              <w:left w:val="single" w:color="auto" w:sz="4" w:space="0"/>
              <w:bottom w:val="single" w:color="auto" w:sz="4" w:space="0"/>
              <w:right w:val="single" w:color="auto" w:sz="4" w:space="0"/>
            </w:tcBorders>
            <w:vAlign w:val="center"/>
          </w:tcPr>
          <w:p w14:paraId="7C8B6908">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0B49496D">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15929545">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33753429">
            <w:pPr>
              <w:snapToGrid w:val="0"/>
              <w:spacing w:before="145" w:beforeLines="50"/>
              <w:rPr>
                <w:sz w:val="24"/>
                <w:szCs w:val="24"/>
              </w:rPr>
            </w:pPr>
          </w:p>
        </w:tc>
      </w:tr>
      <w:tr w14:paraId="7ED3AE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vAlign w:val="center"/>
          </w:tcPr>
          <w:p w14:paraId="7B4FED6F">
            <w:pPr>
              <w:snapToGrid w:val="0"/>
              <w:spacing w:before="145" w:beforeLines="50"/>
              <w:jc w:val="center"/>
              <w:rPr>
                <w:sz w:val="24"/>
                <w:szCs w:val="24"/>
              </w:rPr>
            </w:pPr>
            <w:r>
              <w:rPr>
                <w:sz w:val="24"/>
                <w:szCs w:val="24"/>
              </w:rPr>
              <w:t>4</w:t>
            </w:r>
          </w:p>
        </w:tc>
        <w:tc>
          <w:tcPr>
            <w:tcW w:w="2268" w:type="dxa"/>
            <w:tcBorders>
              <w:top w:val="single" w:color="auto" w:sz="4" w:space="0"/>
              <w:left w:val="single" w:color="auto" w:sz="4" w:space="0"/>
              <w:bottom w:val="single" w:color="auto" w:sz="4" w:space="0"/>
              <w:right w:val="single" w:color="auto" w:sz="4" w:space="0"/>
            </w:tcBorders>
            <w:vAlign w:val="center"/>
          </w:tcPr>
          <w:p w14:paraId="4454B4A2">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00A287B1">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763C46CC">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0174F47A">
            <w:pPr>
              <w:snapToGrid w:val="0"/>
              <w:spacing w:before="145" w:beforeLines="50"/>
              <w:rPr>
                <w:sz w:val="24"/>
                <w:szCs w:val="24"/>
              </w:rPr>
            </w:pPr>
          </w:p>
        </w:tc>
      </w:tr>
      <w:tr w14:paraId="3DB989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19E50CEB">
            <w:pPr>
              <w:snapToGrid w:val="0"/>
              <w:spacing w:before="145" w:beforeLines="50"/>
              <w:jc w:val="center"/>
              <w:rPr>
                <w:sz w:val="24"/>
                <w:szCs w:val="24"/>
              </w:rPr>
            </w:pPr>
            <w:r>
              <w:rPr>
                <w:sz w:val="24"/>
                <w:szCs w:val="24"/>
              </w:rPr>
              <w:t>5</w:t>
            </w:r>
          </w:p>
        </w:tc>
        <w:tc>
          <w:tcPr>
            <w:tcW w:w="2268" w:type="dxa"/>
            <w:tcBorders>
              <w:top w:val="single" w:color="auto" w:sz="4" w:space="0"/>
              <w:left w:val="single" w:color="auto" w:sz="4" w:space="0"/>
              <w:bottom w:val="single" w:color="auto" w:sz="4" w:space="0"/>
              <w:right w:val="single" w:color="auto" w:sz="4" w:space="0"/>
            </w:tcBorders>
            <w:vAlign w:val="center"/>
          </w:tcPr>
          <w:p w14:paraId="032D65B9">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7FA40F38">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53E8CD35">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25155062">
            <w:pPr>
              <w:snapToGrid w:val="0"/>
              <w:spacing w:before="145" w:beforeLines="50"/>
              <w:rPr>
                <w:sz w:val="24"/>
                <w:szCs w:val="24"/>
              </w:rPr>
            </w:pPr>
          </w:p>
        </w:tc>
      </w:tr>
      <w:tr w14:paraId="6EBD09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vAlign w:val="center"/>
          </w:tcPr>
          <w:p w14:paraId="11D091CA">
            <w:pPr>
              <w:snapToGrid w:val="0"/>
              <w:spacing w:before="145" w:beforeLines="50"/>
              <w:jc w:val="center"/>
              <w:rPr>
                <w:sz w:val="24"/>
                <w:szCs w:val="24"/>
              </w:rPr>
            </w:pPr>
            <w:r>
              <w:rPr>
                <w:sz w:val="24"/>
                <w:szCs w:val="24"/>
              </w:rPr>
              <w:t>6</w:t>
            </w:r>
          </w:p>
        </w:tc>
        <w:tc>
          <w:tcPr>
            <w:tcW w:w="2268" w:type="dxa"/>
            <w:tcBorders>
              <w:top w:val="single" w:color="auto" w:sz="4" w:space="0"/>
              <w:left w:val="single" w:color="auto" w:sz="4" w:space="0"/>
              <w:bottom w:val="single" w:color="auto" w:sz="4" w:space="0"/>
              <w:right w:val="single" w:color="auto" w:sz="4" w:space="0"/>
            </w:tcBorders>
            <w:vAlign w:val="center"/>
          </w:tcPr>
          <w:p w14:paraId="0975B154">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032086D0">
            <w:pPr>
              <w:snapToGrid w:val="0"/>
              <w:spacing w:before="145" w:beforeLines="50"/>
              <w:rPr>
                <w:sz w:val="24"/>
                <w:szCs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11E07BE2">
            <w:pPr>
              <w:snapToGrid w:val="0"/>
              <w:spacing w:before="145" w:beforeLines="50"/>
              <w:rPr>
                <w:sz w:val="24"/>
                <w:szCs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6BFD47EC">
            <w:pPr>
              <w:snapToGrid w:val="0"/>
              <w:spacing w:before="145" w:beforeLines="50"/>
              <w:rPr>
                <w:sz w:val="24"/>
                <w:szCs w:val="24"/>
              </w:rPr>
            </w:pPr>
          </w:p>
        </w:tc>
      </w:tr>
      <w:tr w14:paraId="5C1AB5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vAlign w:val="center"/>
          </w:tcPr>
          <w:p w14:paraId="652C86BB">
            <w:pPr>
              <w:snapToGrid w:val="0"/>
              <w:spacing w:before="145" w:beforeLines="50"/>
              <w:jc w:val="center"/>
              <w:rPr>
                <w:sz w:val="24"/>
                <w:szCs w:val="24"/>
              </w:rPr>
            </w:pPr>
            <w:r>
              <w:rPr>
                <w:sz w:val="24"/>
                <w:szCs w:val="24"/>
              </w:rPr>
              <w:t>7</w:t>
            </w:r>
          </w:p>
        </w:tc>
        <w:tc>
          <w:tcPr>
            <w:tcW w:w="2268" w:type="dxa"/>
            <w:tcBorders>
              <w:top w:val="single" w:color="auto" w:sz="4" w:space="0"/>
              <w:left w:val="single" w:color="auto" w:sz="4" w:space="0"/>
              <w:bottom w:val="single" w:color="auto" w:sz="4" w:space="0"/>
              <w:right w:val="single" w:color="auto" w:sz="4" w:space="0"/>
            </w:tcBorders>
          </w:tcPr>
          <w:p w14:paraId="7839AEBD">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57F17DB2">
            <w:pPr>
              <w:snapToGrid w:val="0"/>
              <w:spacing w:before="145" w:beforeLines="50"/>
              <w:rPr>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66700B60">
            <w:pPr>
              <w:snapToGrid w:val="0"/>
              <w:spacing w:before="145" w:beforeLines="50"/>
              <w:rPr>
                <w:sz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7371496C">
            <w:pPr>
              <w:snapToGrid w:val="0"/>
              <w:spacing w:before="145" w:beforeLines="50"/>
              <w:rPr>
                <w:sz w:val="24"/>
              </w:rPr>
            </w:pPr>
          </w:p>
        </w:tc>
      </w:tr>
      <w:tr w14:paraId="5EC26C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07B13CA1">
            <w:pPr>
              <w:snapToGrid w:val="0"/>
              <w:spacing w:before="145" w:beforeLines="50"/>
              <w:jc w:val="center"/>
              <w:rPr>
                <w:sz w:val="24"/>
                <w:szCs w:val="24"/>
              </w:rPr>
            </w:pPr>
            <w:r>
              <w:rPr>
                <w:sz w:val="24"/>
                <w:szCs w:val="24"/>
              </w:rPr>
              <w:t>8</w:t>
            </w:r>
          </w:p>
        </w:tc>
        <w:tc>
          <w:tcPr>
            <w:tcW w:w="2268" w:type="dxa"/>
            <w:tcBorders>
              <w:top w:val="single" w:color="auto" w:sz="4" w:space="0"/>
              <w:left w:val="single" w:color="auto" w:sz="4" w:space="0"/>
              <w:bottom w:val="single" w:color="auto" w:sz="4" w:space="0"/>
              <w:right w:val="single" w:color="auto" w:sz="4" w:space="0"/>
            </w:tcBorders>
          </w:tcPr>
          <w:p w14:paraId="356F9327">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146D0E85">
            <w:pPr>
              <w:snapToGrid w:val="0"/>
              <w:spacing w:before="145" w:beforeLines="50"/>
              <w:rPr>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36D2C581">
            <w:pPr>
              <w:snapToGrid w:val="0"/>
              <w:spacing w:before="145" w:beforeLines="50"/>
              <w:rPr>
                <w:sz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4EEFC0C0">
            <w:pPr>
              <w:snapToGrid w:val="0"/>
              <w:spacing w:before="145" w:beforeLines="50"/>
              <w:rPr>
                <w:sz w:val="24"/>
              </w:rPr>
            </w:pPr>
          </w:p>
        </w:tc>
      </w:tr>
      <w:tr w14:paraId="189EE8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vAlign w:val="center"/>
          </w:tcPr>
          <w:p w14:paraId="63BFBFAB">
            <w:pPr>
              <w:snapToGrid w:val="0"/>
              <w:spacing w:before="145" w:beforeLines="50"/>
              <w:jc w:val="center"/>
              <w:rPr>
                <w:sz w:val="24"/>
                <w:szCs w:val="24"/>
              </w:rPr>
            </w:pPr>
            <w:r>
              <w:rPr>
                <w:sz w:val="24"/>
                <w:szCs w:val="24"/>
              </w:rPr>
              <w:t>9</w:t>
            </w:r>
          </w:p>
        </w:tc>
        <w:tc>
          <w:tcPr>
            <w:tcW w:w="2268" w:type="dxa"/>
            <w:tcBorders>
              <w:top w:val="single" w:color="auto" w:sz="4" w:space="0"/>
              <w:left w:val="single" w:color="auto" w:sz="4" w:space="0"/>
              <w:bottom w:val="single" w:color="auto" w:sz="4" w:space="0"/>
              <w:right w:val="single" w:color="auto" w:sz="4" w:space="0"/>
            </w:tcBorders>
          </w:tcPr>
          <w:p w14:paraId="4E28FCF4">
            <w:pPr>
              <w:snapToGrid w:val="0"/>
              <w:spacing w:before="145" w:beforeLines="50"/>
              <w:rPr>
                <w:sz w:val="24"/>
              </w:rPr>
            </w:pPr>
          </w:p>
        </w:tc>
        <w:tc>
          <w:tcPr>
            <w:tcW w:w="2526" w:type="dxa"/>
            <w:tcBorders>
              <w:top w:val="single" w:color="auto" w:sz="4" w:space="0"/>
              <w:left w:val="single" w:color="auto" w:sz="4" w:space="0"/>
              <w:bottom w:val="single" w:color="auto" w:sz="4" w:space="0"/>
              <w:right w:val="single" w:color="auto" w:sz="4" w:space="0"/>
            </w:tcBorders>
            <w:vAlign w:val="center"/>
          </w:tcPr>
          <w:p w14:paraId="157D03D2">
            <w:pPr>
              <w:snapToGrid w:val="0"/>
              <w:spacing w:before="145" w:beforeLines="50"/>
              <w:rPr>
                <w:sz w:val="24"/>
              </w:rPr>
            </w:pPr>
          </w:p>
        </w:tc>
        <w:tc>
          <w:tcPr>
            <w:tcW w:w="1260" w:type="dxa"/>
            <w:tcBorders>
              <w:top w:val="single" w:color="auto" w:sz="4" w:space="0"/>
              <w:left w:val="single" w:color="auto" w:sz="4" w:space="0"/>
              <w:bottom w:val="single" w:color="auto" w:sz="4" w:space="0"/>
              <w:right w:val="single" w:color="auto" w:sz="4" w:space="0"/>
            </w:tcBorders>
            <w:vAlign w:val="center"/>
          </w:tcPr>
          <w:p w14:paraId="78084755">
            <w:pPr>
              <w:snapToGrid w:val="0"/>
              <w:spacing w:before="145" w:beforeLines="50"/>
              <w:rPr>
                <w:sz w:val="24"/>
              </w:rPr>
            </w:pPr>
          </w:p>
        </w:tc>
        <w:tc>
          <w:tcPr>
            <w:tcW w:w="1884" w:type="dxa"/>
            <w:tcBorders>
              <w:top w:val="single" w:color="auto" w:sz="4" w:space="0"/>
              <w:left w:val="single" w:color="auto" w:sz="4" w:space="0"/>
              <w:bottom w:val="single" w:color="auto" w:sz="4" w:space="0"/>
              <w:right w:val="single" w:color="auto" w:sz="4" w:space="0"/>
            </w:tcBorders>
            <w:vAlign w:val="center"/>
          </w:tcPr>
          <w:p w14:paraId="70A582FC">
            <w:pPr>
              <w:snapToGrid w:val="0"/>
              <w:spacing w:before="145" w:beforeLines="50"/>
              <w:rPr>
                <w:sz w:val="24"/>
              </w:rPr>
            </w:pPr>
          </w:p>
        </w:tc>
      </w:tr>
    </w:tbl>
    <w:p w14:paraId="233DA5BF">
      <w:pPr>
        <w:snapToGrid w:val="0"/>
        <w:spacing w:before="145" w:beforeLines="50"/>
        <w:rPr>
          <w:rFonts w:ascii="Times New Roman" w:hAnsi="Times New Roman"/>
          <w:sz w:val="24"/>
          <w:szCs w:val="24"/>
        </w:rPr>
      </w:pPr>
      <w:r>
        <w:rPr>
          <w:rFonts w:ascii="Times New Roman" w:hAnsi="Times New Roman"/>
          <w:sz w:val="24"/>
        </w:rPr>
        <w:t>供应商名称</w:t>
      </w:r>
      <w:r>
        <w:rPr>
          <w:rFonts w:ascii="Times New Roman" w:hAnsi="Times New Roman"/>
          <w:sz w:val="24"/>
          <w:szCs w:val="24"/>
        </w:rPr>
        <w:t>（</w:t>
      </w:r>
      <w:r>
        <w:rPr>
          <w:rFonts w:hint="eastAsia" w:ascii="Times New Roman" w:hAnsi="Times New Roman"/>
          <w:sz w:val="24"/>
          <w:szCs w:val="24"/>
        </w:rPr>
        <w:t>加盖CA电子签章</w:t>
      </w:r>
      <w:r>
        <w:rPr>
          <w:rFonts w:ascii="Times New Roman" w:hAnsi="Times New Roman"/>
          <w:sz w:val="24"/>
          <w:szCs w:val="24"/>
        </w:rPr>
        <w:t>）</w:t>
      </w:r>
      <w:r>
        <w:rPr>
          <w:rFonts w:ascii="Times New Roman" w:hAnsi="Times New Roman"/>
          <w:sz w:val="24"/>
        </w:rPr>
        <w:t>：</w:t>
      </w:r>
      <w:r>
        <w:rPr>
          <w:rFonts w:ascii="Times New Roman" w:hAnsi="Times New Roman"/>
          <w:sz w:val="24"/>
          <w:szCs w:val="24"/>
          <w:u w:val="single"/>
        </w:rPr>
        <w:t xml:space="preserve">                     </w:t>
      </w:r>
      <w:r>
        <w:rPr>
          <w:rFonts w:ascii="Times New Roman" w:hAnsi="Times New Roman"/>
          <w:sz w:val="24"/>
          <w:szCs w:val="24"/>
        </w:rPr>
        <w:t xml:space="preserve">    </w:t>
      </w:r>
    </w:p>
    <w:p w14:paraId="0F0C47FD">
      <w:pPr>
        <w:pStyle w:val="5"/>
        <w:spacing w:line="500" w:lineRule="exact"/>
        <w:ind w:left="15" w:leftChars="-50" w:hanging="120" w:hangingChars="50"/>
        <w:rPr>
          <w:sz w:val="24"/>
          <w:szCs w:val="24"/>
        </w:rPr>
      </w:pPr>
    </w:p>
    <w:p w14:paraId="65325FD8">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5893BE61">
      <w:pPr>
        <w:spacing w:line="500" w:lineRule="exact"/>
        <w:ind w:hanging="315"/>
        <w:jc w:val="right"/>
        <w:rPr>
          <w:rFonts w:ascii="Times New Roman" w:hAnsi="Times New Roman"/>
          <w:sz w:val="24"/>
        </w:rPr>
      </w:pPr>
      <w:r>
        <w:rPr>
          <w:rFonts w:ascii="Times New Roman" w:hAnsi="Times New Roman"/>
          <w:sz w:val="24"/>
          <w:szCs w:val="24"/>
        </w:rPr>
        <w:t xml:space="preserve">                                </w:t>
      </w:r>
      <w:r>
        <w:rPr>
          <w:rFonts w:ascii="Times New Roman" w:hAnsi="Times New Roman"/>
          <w:sz w:val="24"/>
        </w:rPr>
        <w:t xml:space="preserve">                                                                                        日期：</w:t>
      </w:r>
      <w:r>
        <w:rPr>
          <w:rFonts w:ascii="Times New Roman" w:hAnsi="Times New Roman"/>
          <w:sz w:val="24"/>
          <w:u w:val="single"/>
        </w:rPr>
        <w:t xml:space="preserve">     </w:t>
      </w:r>
      <w:r>
        <w:rPr>
          <w:rFonts w:ascii="Times New Roman" w:hAnsi="Times New Roman"/>
          <w:sz w:val="24"/>
        </w:rPr>
        <w:t xml:space="preserve"> 年</w:t>
      </w:r>
      <w:r>
        <w:rPr>
          <w:rFonts w:ascii="Times New Roman" w:hAnsi="Times New Roman"/>
          <w:sz w:val="24"/>
          <w:u w:val="single"/>
        </w:rPr>
        <w:t xml:space="preserve">     </w:t>
      </w:r>
      <w:r>
        <w:rPr>
          <w:rFonts w:ascii="Times New Roman" w:hAnsi="Times New Roman"/>
          <w:sz w:val="24"/>
        </w:rPr>
        <w:t>月</w:t>
      </w:r>
      <w:r>
        <w:rPr>
          <w:rFonts w:ascii="Times New Roman" w:hAnsi="Times New Roman"/>
          <w:sz w:val="24"/>
          <w:u w:val="single"/>
        </w:rPr>
        <w:t xml:space="preserve">     </w:t>
      </w:r>
      <w:r>
        <w:rPr>
          <w:rFonts w:ascii="Times New Roman" w:hAnsi="Times New Roman"/>
          <w:sz w:val="24"/>
        </w:rPr>
        <w:t>日</w:t>
      </w:r>
    </w:p>
    <w:p w14:paraId="36FB7212">
      <w:pPr>
        <w:rPr>
          <w:rFonts w:ascii="Times New Roman" w:hAnsi="Times New Roman" w:eastAsia="仿宋_GB2312"/>
          <w:sz w:val="24"/>
        </w:rPr>
      </w:pPr>
    </w:p>
    <w:p w14:paraId="6753E66B">
      <w:pPr>
        <w:pStyle w:val="72"/>
      </w:pPr>
    </w:p>
    <w:p w14:paraId="18BB7476">
      <w:pPr>
        <w:pStyle w:val="5"/>
        <w:spacing w:line="500" w:lineRule="exact"/>
        <w:ind w:left="15" w:leftChars="-50" w:hanging="120" w:hangingChars="50"/>
        <w:rPr>
          <w:sz w:val="24"/>
          <w:szCs w:val="24"/>
        </w:rPr>
      </w:pPr>
      <w:r>
        <w:rPr>
          <w:rFonts w:hint="eastAsia"/>
          <w:sz w:val="24"/>
          <w:szCs w:val="24"/>
        </w:rPr>
        <w:t>填写说明：</w:t>
      </w:r>
    </w:p>
    <w:p w14:paraId="6A6F8152">
      <w:pPr>
        <w:pStyle w:val="5"/>
        <w:spacing w:line="500" w:lineRule="exact"/>
        <w:ind w:left="15" w:leftChars="-50" w:hanging="120" w:hangingChars="50"/>
        <w:rPr>
          <w:sz w:val="24"/>
          <w:szCs w:val="24"/>
        </w:rPr>
      </w:pPr>
      <w:r>
        <w:rPr>
          <w:rFonts w:hint="eastAsia"/>
          <w:sz w:val="24"/>
          <w:szCs w:val="24"/>
        </w:rPr>
        <w:t>1、供应商须根据第四章《项目需求》要求填写此表，作为响应文件的组成部分。</w:t>
      </w:r>
    </w:p>
    <w:p w14:paraId="52C1184E">
      <w:pPr>
        <w:pStyle w:val="5"/>
        <w:spacing w:line="500" w:lineRule="exact"/>
        <w:ind w:left="15" w:leftChars="-50" w:hanging="120" w:hangingChars="50"/>
        <w:rPr>
          <w:sz w:val="24"/>
          <w:szCs w:val="24"/>
        </w:rPr>
      </w:pPr>
      <w:r>
        <w:rPr>
          <w:rFonts w:hint="eastAsia"/>
          <w:sz w:val="24"/>
          <w:szCs w:val="24"/>
        </w:rPr>
        <w:t>2、所有偏离必须在本表中列出，未在本偏离表中列出偏离，将视为供应商已完全接受采购文件要求。</w:t>
      </w:r>
    </w:p>
    <w:p w14:paraId="54CE494B">
      <w:pPr>
        <w:pStyle w:val="5"/>
        <w:spacing w:line="500" w:lineRule="exact"/>
        <w:ind w:left="15" w:leftChars="-50" w:hanging="120" w:hangingChars="50"/>
        <w:rPr>
          <w:sz w:val="24"/>
          <w:szCs w:val="24"/>
        </w:rPr>
      </w:pPr>
      <w:r>
        <w:rPr>
          <w:rFonts w:hint="eastAsia"/>
          <w:sz w:val="24"/>
          <w:szCs w:val="24"/>
        </w:rPr>
        <w:t>3、偏离包括正、负偏离，正偏离指供应商的响应高于采购文件要求，负偏离指供应商的响应低于采购文件要求。</w:t>
      </w:r>
    </w:p>
    <w:p w14:paraId="08DE9DBD">
      <w:pPr>
        <w:pStyle w:val="3"/>
        <w:ind w:right="-115"/>
        <w:rPr>
          <w:rFonts w:ascii="Times New Roman" w:hAnsi="Times New Roman" w:eastAsia="宋体" w:cs="Times New Roman"/>
          <w:bCs w:val="0"/>
          <w:sz w:val="32"/>
          <w:szCs w:val="32"/>
        </w:rPr>
      </w:pPr>
      <w:r>
        <w:rPr>
          <w:rFonts w:ascii="Times New Roman" w:hAnsi="Times New Roman" w:cs="Times New Roman"/>
        </w:rPr>
        <w:br w:type="page"/>
      </w:r>
      <w:bookmarkStart w:id="243" w:name="_Toc511899526"/>
      <w:r>
        <w:rPr>
          <w:rFonts w:hint="eastAsia" w:ascii="Times New Roman" w:hAnsi="Times New Roman" w:eastAsia="宋体" w:cs="Times New Roman"/>
          <w:sz w:val="32"/>
          <w:szCs w:val="32"/>
        </w:rPr>
        <w:t>六</w:t>
      </w:r>
      <w:r>
        <w:rPr>
          <w:rFonts w:ascii="Times New Roman" w:hAnsi="Times New Roman" w:eastAsia="宋体" w:cs="Times New Roman"/>
          <w:sz w:val="32"/>
          <w:szCs w:val="32"/>
        </w:rPr>
        <w:t>、</w:t>
      </w:r>
      <w:bookmarkStart w:id="244" w:name="_Toc507754071"/>
      <w:bookmarkStart w:id="245" w:name="_Toc509830008"/>
      <w:bookmarkStart w:id="246" w:name="_Toc485999731"/>
      <w:r>
        <w:rPr>
          <w:rFonts w:ascii="Times New Roman" w:hAnsi="Times New Roman" w:eastAsia="宋体" w:cs="Times New Roman"/>
          <w:bCs w:val="0"/>
          <w:sz w:val="32"/>
          <w:szCs w:val="32"/>
        </w:rPr>
        <w:t>服务承诺及项目方案</w:t>
      </w:r>
      <w:bookmarkEnd w:id="243"/>
      <w:bookmarkEnd w:id="244"/>
      <w:bookmarkEnd w:id="245"/>
    </w:p>
    <w:p w14:paraId="5F5606D1">
      <w:pPr>
        <w:rPr>
          <w:sz w:val="24"/>
        </w:rPr>
      </w:pPr>
      <w:r>
        <w:rPr>
          <w:sz w:val="24"/>
        </w:rPr>
        <w:t xml:space="preserve">项目名称：                               </w:t>
      </w:r>
    </w:p>
    <w:p w14:paraId="025071BF">
      <w:pPr>
        <w:spacing w:line="440" w:lineRule="exact"/>
        <w:jc w:val="left"/>
        <w:rPr>
          <w:rFonts w:ascii="Times New Roman" w:hAnsi="Times New Roman"/>
          <w:bCs/>
          <w:sz w:val="32"/>
          <w:szCs w:val="32"/>
        </w:rPr>
      </w:pPr>
      <w:r>
        <w:rPr>
          <w:sz w:val="24"/>
        </w:rPr>
        <w:t>项目编号：</w:t>
      </w:r>
      <w:r>
        <w:rPr>
          <w:rFonts w:hint="eastAsia"/>
          <w:sz w:val="24"/>
          <w:u w:val="single"/>
        </w:rPr>
        <w:t xml:space="preserve"> </w:t>
      </w:r>
      <w:r>
        <w:rPr>
          <w:sz w:val="24"/>
          <w:u w:val="single"/>
        </w:rPr>
        <w:t xml:space="preserve">       　　　</w:t>
      </w:r>
    </w:p>
    <w:p w14:paraId="63285C7D">
      <w:pPr>
        <w:spacing w:line="440" w:lineRule="exact"/>
        <w:jc w:val="center"/>
        <w:rPr>
          <w:rFonts w:ascii="Times New Roman" w:hAnsi="Times New Roman"/>
          <w:bCs/>
          <w:sz w:val="32"/>
          <w:szCs w:val="32"/>
        </w:rPr>
      </w:pPr>
      <w:r>
        <w:rPr>
          <w:rFonts w:ascii="Times New Roman" w:hAnsi="Times New Roman"/>
          <w:bCs/>
          <w:sz w:val="32"/>
          <w:szCs w:val="32"/>
        </w:rPr>
        <w:t>（格式自定）</w:t>
      </w:r>
      <w:bookmarkEnd w:id="246"/>
    </w:p>
    <w:p w14:paraId="1E7118C8">
      <w:pPr>
        <w:spacing w:line="360" w:lineRule="auto"/>
        <w:ind w:firstLine="480" w:firstLineChars="200"/>
        <w:rPr>
          <w:rFonts w:ascii="Times New Roman" w:hAnsi="Times New Roman"/>
          <w:sz w:val="24"/>
        </w:rPr>
      </w:pPr>
      <w:r>
        <w:rPr>
          <w:rFonts w:ascii="Times New Roman" w:hAnsi="Times New Roman"/>
          <w:sz w:val="24"/>
        </w:rPr>
        <w:t>注：供应商须充分响应招标文件要求，编制详细完整的项目进度计划、项目实施方案、项目实施质量控制及售后维修服务方案等。</w:t>
      </w:r>
    </w:p>
    <w:p w14:paraId="73D07450">
      <w:pPr>
        <w:spacing w:line="240" w:lineRule="atLeast"/>
        <w:jc w:val="center"/>
        <w:rPr>
          <w:b/>
          <w:sz w:val="32"/>
          <w:szCs w:val="24"/>
        </w:rPr>
      </w:pPr>
    </w:p>
    <w:p w14:paraId="1F0B2217">
      <w:pPr>
        <w:spacing w:line="240" w:lineRule="atLeast"/>
        <w:jc w:val="center"/>
        <w:rPr>
          <w:b/>
          <w:sz w:val="32"/>
          <w:szCs w:val="24"/>
        </w:rPr>
      </w:pPr>
    </w:p>
    <w:p w14:paraId="09279E1B">
      <w:pPr>
        <w:spacing w:line="240" w:lineRule="atLeast"/>
        <w:jc w:val="center"/>
        <w:rPr>
          <w:b/>
          <w:sz w:val="32"/>
          <w:szCs w:val="24"/>
        </w:rPr>
      </w:pPr>
    </w:p>
    <w:p w14:paraId="4FE92BCD">
      <w:pPr>
        <w:spacing w:line="240" w:lineRule="atLeast"/>
        <w:jc w:val="center"/>
        <w:rPr>
          <w:b/>
          <w:sz w:val="32"/>
          <w:szCs w:val="24"/>
        </w:rPr>
      </w:pPr>
    </w:p>
    <w:p w14:paraId="3F4247F1">
      <w:pPr>
        <w:spacing w:line="240" w:lineRule="atLeast"/>
        <w:jc w:val="center"/>
        <w:rPr>
          <w:b/>
          <w:sz w:val="32"/>
          <w:szCs w:val="24"/>
        </w:rPr>
      </w:pPr>
    </w:p>
    <w:p w14:paraId="6CCEB4AD">
      <w:pPr>
        <w:spacing w:line="240" w:lineRule="atLeast"/>
        <w:jc w:val="center"/>
        <w:rPr>
          <w:b/>
          <w:sz w:val="32"/>
          <w:szCs w:val="24"/>
        </w:rPr>
      </w:pPr>
      <w:r>
        <w:rPr>
          <w:rFonts w:hint="eastAsia"/>
          <w:b/>
          <w:sz w:val="32"/>
          <w:szCs w:val="24"/>
        </w:rPr>
        <w:t>七、本次招标供应商提供的其他证明文件及材料（若有）</w:t>
      </w:r>
    </w:p>
    <w:p w14:paraId="50F63FAA">
      <w:pPr>
        <w:pStyle w:val="84"/>
        <w:spacing w:after="145" w:afterLines="50" w:line="360" w:lineRule="auto"/>
        <w:ind w:left="0" w:firstLine="0"/>
        <w:jc w:val="center"/>
        <w:rPr>
          <w:rFonts w:ascii="Times New Roman" w:hAnsi="Times New Roman" w:eastAsia="宋体"/>
          <w:sz w:val="32"/>
          <w:szCs w:val="32"/>
        </w:rPr>
      </w:pPr>
      <w:r>
        <w:rPr>
          <w:rFonts w:ascii="Times New Roman" w:hAnsi="Times New Roman" w:eastAsia="宋体"/>
          <w:sz w:val="32"/>
          <w:szCs w:val="32"/>
        </w:rPr>
        <w:br w:type="page"/>
      </w:r>
      <w:bookmarkStart w:id="247" w:name="_Toc511899527"/>
      <w:r>
        <w:rPr>
          <w:rFonts w:hint="eastAsia" w:ascii="Times New Roman" w:hAnsi="Times New Roman" w:eastAsia="宋体"/>
          <w:sz w:val="32"/>
          <w:szCs w:val="32"/>
        </w:rPr>
        <w:t>八</w:t>
      </w:r>
      <w:r>
        <w:rPr>
          <w:rFonts w:ascii="Times New Roman" w:hAnsi="Times New Roman" w:eastAsia="宋体"/>
          <w:sz w:val="32"/>
          <w:szCs w:val="32"/>
        </w:rPr>
        <w:t>、开 标 一 览 表</w:t>
      </w:r>
      <w:bookmarkEnd w:id="225"/>
      <w:bookmarkEnd w:id="226"/>
      <w:bookmarkEnd w:id="227"/>
      <w:bookmarkEnd w:id="247"/>
    </w:p>
    <w:p w14:paraId="11F54F7A">
      <w:pPr>
        <w:rPr>
          <w:sz w:val="24"/>
        </w:rPr>
      </w:pPr>
      <w:r>
        <w:rPr>
          <w:sz w:val="24"/>
        </w:rPr>
        <w:t>项目名称：</w:t>
      </w:r>
      <w:r>
        <w:rPr>
          <w:rFonts w:hint="eastAsia"/>
          <w:sz w:val="24"/>
          <w:u w:val="single"/>
        </w:rPr>
        <w:t xml:space="preserve"> </w:t>
      </w:r>
      <w:r>
        <w:rPr>
          <w:sz w:val="24"/>
          <w:u w:val="single"/>
        </w:rPr>
        <w:t xml:space="preserve">       　　　</w:t>
      </w:r>
      <w:r>
        <w:rPr>
          <w:sz w:val="24"/>
        </w:rPr>
        <w:t xml:space="preserve">               </w:t>
      </w:r>
    </w:p>
    <w:p w14:paraId="0AF6B252">
      <w:pPr>
        <w:rPr>
          <w:sz w:val="24"/>
          <w:u w:val="single"/>
        </w:rPr>
      </w:pPr>
      <w:r>
        <w:rPr>
          <w:sz w:val="24"/>
        </w:rPr>
        <w:t>项目编号：</w:t>
      </w:r>
      <w:r>
        <w:rPr>
          <w:rFonts w:hint="eastAsia"/>
          <w:sz w:val="24"/>
          <w:u w:val="single"/>
        </w:rPr>
        <w:t xml:space="preserve"> </w:t>
      </w:r>
      <w:r>
        <w:rPr>
          <w:sz w:val="24"/>
          <w:u w:val="single"/>
        </w:rPr>
        <w:t xml:space="preserve">       　　　</w:t>
      </w:r>
      <w:r>
        <w:rPr>
          <w:rFonts w:hint="eastAsia"/>
          <w:sz w:val="24"/>
        </w:rPr>
        <w:t xml:space="preserve">                                </w:t>
      </w:r>
    </w:p>
    <w:tbl>
      <w:tblPr>
        <w:tblStyle w:val="39"/>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8"/>
        <w:gridCol w:w="6467"/>
      </w:tblGrid>
      <w:tr w14:paraId="1187E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2" w:hRule="atLeast"/>
          <w:jc w:val="center"/>
        </w:trPr>
        <w:tc>
          <w:tcPr>
            <w:tcW w:w="2698" w:type="dxa"/>
            <w:vAlign w:val="center"/>
          </w:tcPr>
          <w:p w14:paraId="3523B3B4">
            <w:pPr>
              <w:spacing w:before="120" w:after="120"/>
              <w:jc w:val="center"/>
              <w:rPr>
                <w:sz w:val="24"/>
              </w:rPr>
            </w:pPr>
            <w:r>
              <w:rPr>
                <w:rFonts w:hint="eastAsia"/>
                <w:sz w:val="24"/>
              </w:rPr>
              <w:t>投标</w:t>
            </w:r>
            <w:r>
              <w:rPr>
                <w:sz w:val="24"/>
              </w:rPr>
              <w:t>报价</w:t>
            </w:r>
            <w:r>
              <w:rPr>
                <w:rFonts w:hint="eastAsia"/>
                <w:sz w:val="24"/>
              </w:rPr>
              <w:t>（总价）</w:t>
            </w:r>
          </w:p>
        </w:tc>
        <w:tc>
          <w:tcPr>
            <w:tcW w:w="6467" w:type="dxa"/>
            <w:vAlign w:val="center"/>
          </w:tcPr>
          <w:p w14:paraId="35B1D7E8">
            <w:pPr>
              <w:spacing w:before="120" w:after="120"/>
              <w:rPr>
                <w:sz w:val="24"/>
              </w:rPr>
            </w:pPr>
            <w:r>
              <w:rPr>
                <w:sz w:val="24"/>
              </w:rPr>
              <w:t>大写：</w:t>
            </w:r>
          </w:p>
          <w:p w14:paraId="02B4BF1E">
            <w:pPr>
              <w:spacing w:before="120" w:after="120"/>
              <w:rPr>
                <w:sz w:val="24"/>
              </w:rPr>
            </w:pPr>
          </w:p>
          <w:p w14:paraId="6B14A196">
            <w:pPr>
              <w:spacing w:before="120" w:after="120"/>
              <w:rPr>
                <w:sz w:val="24"/>
              </w:rPr>
            </w:pPr>
            <w:r>
              <w:rPr>
                <w:sz w:val="24"/>
              </w:rPr>
              <w:t>小写：</w:t>
            </w:r>
          </w:p>
        </w:tc>
      </w:tr>
      <w:tr w14:paraId="2715F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52" w:hRule="atLeast"/>
          <w:jc w:val="center"/>
        </w:trPr>
        <w:tc>
          <w:tcPr>
            <w:tcW w:w="2698" w:type="dxa"/>
            <w:vAlign w:val="center"/>
          </w:tcPr>
          <w:p w14:paraId="24BB386F">
            <w:pPr>
              <w:spacing w:before="120" w:after="120"/>
              <w:jc w:val="center"/>
              <w:rPr>
                <w:sz w:val="24"/>
              </w:rPr>
            </w:pPr>
            <w:r>
              <w:rPr>
                <w:rFonts w:hint="eastAsia"/>
                <w:sz w:val="24"/>
              </w:rPr>
              <w:t>供应商是否是小微企业</w:t>
            </w:r>
          </w:p>
        </w:tc>
        <w:tc>
          <w:tcPr>
            <w:tcW w:w="6467" w:type="dxa"/>
            <w:vAlign w:val="center"/>
          </w:tcPr>
          <w:p w14:paraId="3D70AFD3">
            <w:pPr>
              <w:spacing w:before="120" w:after="120"/>
              <w:rPr>
                <w:sz w:val="24"/>
              </w:rPr>
            </w:pPr>
          </w:p>
        </w:tc>
      </w:tr>
    </w:tbl>
    <w:p w14:paraId="11FD86E2">
      <w:pPr>
        <w:pStyle w:val="5"/>
        <w:ind w:leftChars="-50" w:hanging="105" w:hangingChars="50"/>
      </w:pPr>
    </w:p>
    <w:p w14:paraId="462C3E14">
      <w:pPr>
        <w:rPr>
          <w:sz w:val="24"/>
          <w:szCs w:val="24"/>
        </w:rPr>
      </w:pPr>
    </w:p>
    <w:p w14:paraId="2A566507">
      <w:pPr>
        <w:pStyle w:val="5"/>
        <w:spacing w:line="500" w:lineRule="exact"/>
        <w:ind w:left="15" w:leftChars="-50" w:hanging="120" w:hangingChars="50"/>
        <w:rPr>
          <w:sz w:val="24"/>
          <w:szCs w:val="24"/>
        </w:rPr>
      </w:pPr>
      <w:r>
        <w:rPr>
          <w:sz w:val="24"/>
          <w:szCs w:val="24"/>
        </w:rPr>
        <w:t>供应商名称（</w:t>
      </w:r>
      <w:r>
        <w:rPr>
          <w:rFonts w:hint="eastAsia"/>
          <w:sz w:val="24"/>
          <w:szCs w:val="24"/>
        </w:rPr>
        <w:t>加盖CA电子签章</w:t>
      </w:r>
      <w:r>
        <w:rPr>
          <w:sz w:val="24"/>
          <w:szCs w:val="24"/>
        </w:rPr>
        <w:t>）：</w:t>
      </w:r>
      <w:r>
        <w:rPr>
          <w:sz w:val="24"/>
          <w:szCs w:val="24"/>
          <w:u w:val="single"/>
        </w:rPr>
        <w:t xml:space="preserve">                     </w:t>
      </w:r>
      <w:r>
        <w:rPr>
          <w:sz w:val="24"/>
          <w:szCs w:val="24"/>
        </w:rPr>
        <w:t xml:space="preserve">    </w:t>
      </w:r>
    </w:p>
    <w:p w14:paraId="4F6E7643">
      <w:pPr>
        <w:pStyle w:val="5"/>
        <w:spacing w:line="500" w:lineRule="exact"/>
        <w:ind w:left="15" w:leftChars="-50" w:hanging="120" w:hangingChars="50"/>
        <w:rPr>
          <w:sz w:val="24"/>
          <w:szCs w:val="24"/>
        </w:rPr>
      </w:pPr>
    </w:p>
    <w:p w14:paraId="5BBBD56F">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4FF7EF25">
      <w:pPr>
        <w:rPr>
          <w:sz w:val="24"/>
        </w:rPr>
      </w:pPr>
      <w:r>
        <w:rPr>
          <w:sz w:val="24"/>
          <w:szCs w:val="24"/>
        </w:rPr>
        <w:t xml:space="preserve">                                </w:t>
      </w: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759E46E3">
      <w:pPr>
        <w:rPr>
          <w:rFonts w:ascii="Times New Roman" w:hAnsi="Times New Roman"/>
          <w:sz w:val="24"/>
          <w:szCs w:val="24"/>
        </w:rPr>
      </w:pPr>
      <w:r>
        <w:rPr>
          <w:rFonts w:ascii="Times New Roman" w:hAnsi="Times New Roman"/>
          <w:sz w:val="24"/>
          <w:szCs w:val="24"/>
        </w:rPr>
        <w:t>填写说明：</w:t>
      </w:r>
    </w:p>
    <w:p w14:paraId="54127A9C">
      <w:pPr>
        <w:spacing w:line="400" w:lineRule="exact"/>
        <w:ind w:firstLine="480" w:firstLineChars="200"/>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投标报价</w:t>
      </w:r>
      <w:r>
        <w:rPr>
          <w:sz w:val="24"/>
          <w:szCs w:val="24"/>
        </w:rPr>
        <w:t>包括</w:t>
      </w:r>
      <w:r>
        <w:rPr>
          <w:bCs/>
          <w:sz w:val="24"/>
        </w:rPr>
        <w:t>但不限于</w:t>
      </w:r>
      <w:r>
        <w:rPr>
          <w:sz w:val="24"/>
          <w:szCs w:val="24"/>
        </w:rPr>
        <w:t>技术服务、人员经费等费用，以及已支付或将支付的营业税和</w:t>
      </w:r>
      <w:r>
        <w:rPr>
          <w:rFonts w:hint="eastAsia"/>
          <w:sz w:val="24"/>
          <w:szCs w:val="24"/>
        </w:rPr>
        <w:t>其他</w:t>
      </w:r>
      <w:r>
        <w:rPr>
          <w:sz w:val="24"/>
          <w:szCs w:val="24"/>
        </w:rPr>
        <w:t>税费</w:t>
      </w:r>
      <w:r>
        <w:rPr>
          <w:rFonts w:ascii="Times New Roman" w:hAnsi="Times New Roman"/>
          <w:sz w:val="24"/>
          <w:szCs w:val="24"/>
        </w:rPr>
        <w:t>；</w:t>
      </w:r>
    </w:p>
    <w:p w14:paraId="63F68E28">
      <w:pPr>
        <w:spacing w:line="400" w:lineRule="exact"/>
        <w:ind w:firstLine="480" w:firstLineChars="200"/>
        <w:rPr>
          <w:rFonts w:ascii="宋体" w:hAnsi="宋体"/>
          <w:sz w:val="24"/>
          <w:szCs w:val="24"/>
        </w:rPr>
      </w:pPr>
      <w:r>
        <w:rPr>
          <w:rFonts w:hint="eastAsia" w:ascii="宋体" w:hAnsi="宋体"/>
          <w:sz w:val="24"/>
          <w:szCs w:val="24"/>
        </w:rPr>
        <w:t>2、</w:t>
      </w:r>
      <w:r>
        <w:rPr>
          <w:rFonts w:hint="eastAsia" w:ascii="宋体" w:hAnsi="宋体"/>
          <w:b/>
          <w:i/>
          <w:sz w:val="24"/>
          <w:szCs w:val="24"/>
          <w:u w:val="single"/>
        </w:rPr>
        <w:t>此表是投标文件的必要文件，是投标文件的组成部分</w:t>
      </w:r>
      <w:r>
        <w:rPr>
          <w:rFonts w:ascii="宋体" w:hAnsi="宋体"/>
          <w:b/>
          <w:i/>
          <w:sz w:val="24"/>
          <w:szCs w:val="24"/>
          <w:u w:val="single"/>
        </w:rPr>
        <w:t>；</w:t>
      </w:r>
    </w:p>
    <w:p w14:paraId="04B88C6C">
      <w:pPr>
        <w:spacing w:line="400" w:lineRule="exact"/>
        <w:ind w:firstLine="480" w:firstLineChars="200"/>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、投标报价应与标书中分项报价中总价相一致，如有不一致内容按开标一览表内容为准；</w:t>
      </w:r>
    </w:p>
    <w:p w14:paraId="36EFB053">
      <w:pPr>
        <w:spacing w:line="400" w:lineRule="exact"/>
        <w:ind w:firstLine="480" w:firstLineChars="200"/>
        <w:rPr>
          <w:rFonts w:ascii="Times New Roman" w:hAnsi="Times New Roman"/>
          <w:sz w:val="24"/>
          <w:szCs w:val="24"/>
        </w:rPr>
      </w:pPr>
      <w:r>
        <w:rPr>
          <w:rFonts w:hint="eastAsia" w:ascii="Times New Roman" w:hAnsi="Times New Roman"/>
          <w:sz w:val="24"/>
          <w:szCs w:val="24"/>
        </w:rPr>
        <w:t>4</w:t>
      </w:r>
      <w:r>
        <w:rPr>
          <w:rFonts w:ascii="Times New Roman" w:hAnsi="Times New Roman"/>
          <w:sz w:val="24"/>
          <w:szCs w:val="24"/>
        </w:rPr>
        <w:t>、未按规定填报表中内容的，将不予唱标。</w:t>
      </w:r>
    </w:p>
    <w:p w14:paraId="244C369F">
      <w:pPr>
        <w:ind w:firstLine="480" w:firstLineChars="200"/>
        <w:rPr>
          <w:rFonts w:ascii="Times New Roman" w:hAnsi="Times New Roman"/>
          <w:sz w:val="24"/>
          <w:szCs w:val="24"/>
        </w:rPr>
      </w:pPr>
    </w:p>
    <w:p w14:paraId="1AD83CC4">
      <w:pPr>
        <w:jc w:val="center"/>
        <w:rPr>
          <w:rFonts w:ascii="Times New Roman" w:hAnsi="Times New Roman"/>
          <w:sz w:val="24"/>
          <w:szCs w:val="24"/>
        </w:rPr>
      </w:pPr>
    </w:p>
    <w:bookmarkEnd w:id="223"/>
    <w:p w14:paraId="749FFE39">
      <w:pPr>
        <w:pStyle w:val="84"/>
        <w:spacing w:after="145" w:afterLines="50" w:line="360" w:lineRule="auto"/>
        <w:ind w:left="0" w:firstLine="0"/>
        <w:rPr>
          <w:rFonts w:ascii="Times New Roman" w:hAnsi="Times New Roman" w:eastAsia="宋体"/>
        </w:rPr>
      </w:pPr>
      <w:r>
        <w:rPr>
          <w:rFonts w:ascii="Times New Roman" w:hAnsi="Times New Roman"/>
        </w:rPr>
        <w:br w:type="page"/>
      </w:r>
      <w:bookmarkEnd w:id="202"/>
      <w:bookmarkEnd w:id="203"/>
      <w:bookmarkEnd w:id="204"/>
      <w:bookmarkStart w:id="248" w:name="_Toc511899530"/>
      <w:bookmarkStart w:id="249" w:name="_Toc511385438"/>
      <w:bookmarkStart w:id="250" w:name="_Toc511305223"/>
      <w:r>
        <w:rPr>
          <w:rFonts w:ascii="Times New Roman" w:hAnsi="Times New Roman" w:eastAsia="宋体"/>
        </w:rPr>
        <w:t>附件</w:t>
      </w:r>
      <w:bookmarkEnd w:id="248"/>
      <w:bookmarkEnd w:id="249"/>
      <w:bookmarkEnd w:id="250"/>
    </w:p>
    <w:p w14:paraId="38E8B470">
      <w:pPr>
        <w:pStyle w:val="2"/>
        <w:spacing w:line="560" w:lineRule="exact"/>
        <w:rPr>
          <w:rFonts w:ascii="Times New Roman" w:eastAsia="黑体"/>
          <w:bCs/>
          <w:sz w:val="44"/>
        </w:rPr>
      </w:pPr>
      <w:bookmarkStart w:id="251" w:name="_Toc511305224"/>
      <w:bookmarkStart w:id="252" w:name="_Toc511899531"/>
      <w:bookmarkStart w:id="253" w:name="_Toc511385439"/>
      <w:bookmarkStart w:id="254" w:name="_Toc121905582"/>
      <w:r>
        <w:rPr>
          <w:rFonts w:ascii="Times New Roman" w:eastAsia="黑体"/>
          <w:bCs/>
          <w:sz w:val="44"/>
        </w:rPr>
        <w:t>质疑函范本</w:t>
      </w:r>
      <w:bookmarkEnd w:id="251"/>
      <w:bookmarkEnd w:id="252"/>
      <w:bookmarkEnd w:id="253"/>
      <w:bookmarkEnd w:id="254"/>
    </w:p>
    <w:p w14:paraId="525EFD89">
      <w:pPr>
        <w:adjustRightInd w:val="0"/>
        <w:snapToGrid w:val="0"/>
        <w:spacing w:before="290" w:beforeLines="100" w:line="510" w:lineRule="exact"/>
        <w:rPr>
          <w:rFonts w:ascii="Times New Roman" w:hAnsi="Times New Roman" w:eastAsia="黑体"/>
          <w:bCs/>
          <w:sz w:val="28"/>
          <w:szCs w:val="32"/>
        </w:rPr>
      </w:pPr>
      <w:r>
        <w:rPr>
          <w:rFonts w:ascii="Times New Roman" w:hAnsi="Times New Roman" w:eastAsia="黑体"/>
          <w:bCs/>
          <w:sz w:val="28"/>
          <w:szCs w:val="32"/>
        </w:rPr>
        <w:t>一、质疑供应商基本信息</w:t>
      </w:r>
    </w:p>
    <w:p w14:paraId="21314A3C">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质疑供应商：</w:t>
      </w:r>
      <w:r>
        <w:rPr>
          <w:rFonts w:ascii="Times New Roman" w:hAnsi="Times New Roman" w:eastAsia="仿宋"/>
          <w:sz w:val="28"/>
          <w:szCs w:val="32"/>
          <w:u w:val="dotted"/>
        </w:rPr>
        <w:t xml:space="preserve">                                        </w:t>
      </w:r>
    </w:p>
    <w:p w14:paraId="7AF9B4FD">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地址：</w:t>
      </w:r>
      <w:r>
        <w:rPr>
          <w:rFonts w:ascii="Times New Roman" w:hAnsi="Times New Roman" w:eastAsia="仿宋"/>
          <w:sz w:val="28"/>
          <w:szCs w:val="32"/>
          <w:u w:val="dotted"/>
        </w:rPr>
        <w:t xml:space="preserve">                          </w:t>
      </w:r>
      <w:r>
        <w:rPr>
          <w:rFonts w:ascii="Times New Roman" w:hAnsi="Times New Roman" w:eastAsia="仿宋"/>
          <w:sz w:val="28"/>
          <w:szCs w:val="32"/>
        </w:rPr>
        <w:t>邮编：</w:t>
      </w:r>
      <w:r>
        <w:rPr>
          <w:rFonts w:ascii="Times New Roman" w:hAnsi="Times New Roman" w:eastAsia="仿宋"/>
          <w:sz w:val="28"/>
          <w:szCs w:val="32"/>
          <w:u w:val="dotted"/>
        </w:rPr>
        <w:t xml:space="preserve">                                                   </w:t>
      </w:r>
    </w:p>
    <w:p w14:paraId="58A13BE7">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联系人：</w:t>
      </w:r>
      <w:r>
        <w:rPr>
          <w:rFonts w:ascii="Times New Roman" w:hAnsi="Times New Roman" w:eastAsia="仿宋"/>
          <w:sz w:val="28"/>
          <w:szCs w:val="32"/>
          <w:u w:val="dotted"/>
        </w:rPr>
        <w:t xml:space="preserve">                      </w:t>
      </w:r>
      <w:r>
        <w:rPr>
          <w:rFonts w:ascii="Times New Roman" w:hAnsi="Times New Roman" w:eastAsia="仿宋"/>
          <w:sz w:val="28"/>
          <w:szCs w:val="32"/>
        </w:rPr>
        <w:t>联系电话：</w:t>
      </w:r>
      <w:r>
        <w:rPr>
          <w:rFonts w:ascii="Times New Roman" w:hAnsi="Times New Roman" w:eastAsia="仿宋"/>
          <w:sz w:val="28"/>
          <w:szCs w:val="32"/>
          <w:u w:val="dotted"/>
        </w:rPr>
        <w:t xml:space="preserve">                              </w:t>
      </w:r>
    </w:p>
    <w:p w14:paraId="3C83FFA2">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授权代表：</w:t>
      </w:r>
      <w:r>
        <w:rPr>
          <w:rFonts w:ascii="Times New Roman" w:hAnsi="Times New Roman" w:eastAsia="仿宋"/>
          <w:sz w:val="28"/>
          <w:szCs w:val="32"/>
          <w:u w:val="dotted"/>
        </w:rPr>
        <w:t xml:space="preserve">                                          </w:t>
      </w:r>
    </w:p>
    <w:p w14:paraId="2EF2C737">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联系电话：</w:t>
      </w:r>
      <w:r>
        <w:rPr>
          <w:rFonts w:ascii="Times New Roman" w:hAnsi="Times New Roman" w:eastAsia="仿宋"/>
          <w:sz w:val="28"/>
          <w:szCs w:val="32"/>
          <w:u w:val="dotted"/>
        </w:rPr>
        <w:t xml:space="preserve">                                           </w:t>
      </w:r>
      <w:r>
        <w:rPr>
          <w:rFonts w:ascii="Times New Roman" w:hAnsi="Times New Roman" w:eastAsia="仿宋"/>
          <w:sz w:val="28"/>
          <w:szCs w:val="32"/>
        </w:rPr>
        <w:t xml:space="preserve"> </w:t>
      </w:r>
    </w:p>
    <w:p w14:paraId="32D148E5">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 xml:space="preserve">地址： </w:t>
      </w:r>
      <w:r>
        <w:rPr>
          <w:rFonts w:ascii="Times New Roman" w:hAnsi="Times New Roman" w:eastAsia="仿宋"/>
          <w:sz w:val="28"/>
          <w:szCs w:val="32"/>
          <w:u w:val="dotted"/>
        </w:rPr>
        <w:t xml:space="preserve">                        </w:t>
      </w:r>
      <w:r>
        <w:rPr>
          <w:rFonts w:ascii="Times New Roman" w:hAnsi="Times New Roman" w:eastAsia="仿宋"/>
          <w:sz w:val="28"/>
          <w:szCs w:val="32"/>
        </w:rPr>
        <w:t>邮编：</w:t>
      </w:r>
      <w:r>
        <w:rPr>
          <w:rFonts w:ascii="Times New Roman" w:hAnsi="Times New Roman" w:eastAsia="仿宋"/>
          <w:sz w:val="28"/>
          <w:szCs w:val="32"/>
          <w:u w:val="dotted"/>
        </w:rPr>
        <w:t xml:space="preserve">                                                </w:t>
      </w:r>
    </w:p>
    <w:p w14:paraId="21E650B6">
      <w:pPr>
        <w:adjustRightInd w:val="0"/>
        <w:snapToGrid w:val="0"/>
        <w:spacing w:line="510" w:lineRule="exact"/>
        <w:rPr>
          <w:rFonts w:ascii="Times New Roman" w:hAnsi="Times New Roman" w:eastAsia="黑体"/>
          <w:bCs/>
          <w:sz w:val="28"/>
          <w:szCs w:val="32"/>
        </w:rPr>
      </w:pPr>
      <w:r>
        <w:rPr>
          <w:rFonts w:ascii="Times New Roman" w:hAnsi="Times New Roman" w:eastAsia="黑体"/>
          <w:bCs/>
          <w:sz w:val="28"/>
          <w:szCs w:val="32"/>
        </w:rPr>
        <w:t>二、质疑项目基本情况</w:t>
      </w:r>
    </w:p>
    <w:p w14:paraId="1BB30F97">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质疑项目的名称：</w:t>
      </w:r>
      <w:r>
        <w:rPr>
          <w:rFonts w:ascii="Times New Roman" w:hAnsi="Times New Roman" w:eastAsia="仿宋"/>
          <w:sz w:val="28"/>
          <w:szCs w:val="32"/>
          <w:u w:val="dotted"/>
        </w:rPr>
        <w:t xml:space="preserve">                                      </w:t>
      </w:r>
    </w:p>
    <w:p w14:paraId="3F69D38B">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质疑项目的编号：</w:t>
      </w:r>
      <w:r>
        <w:rPr>
          <w:rFonts w:ascii="Times New Roman" w:hAnsi="Times New Roman" w:eastAsia="仿宋"/>
          <w:sz w:val="28"/>
          <w:szCs w:val="32"/>
          <w:u w:val="dotted"/>
        </w:rPr>
        <w:t xml:space="preserve">                                </w:t>
      </w:r>
    </w:p>
    <w:p w14:paraId="59E56478">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采购人名称：</w:t>
      </w:r>
      <w:r>
        <w:rPr>
          <w:rFonts w:ascii="Times New Roman" w:hAnsi="Times New Roman" w:eastAsia="仿宋"/>
          <w:sz w:val="28"/>
          <w:szCs w:val="32"/>
          <w:u w:val="dotted"/>
        </w:rPr>
        <w:t xml:space="preserve">                                         </w:t>
      </w:r>
    </w:p>
    <w:p w14:paraId="504C3BCA">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采购文件获取日期：</w:t>
      </w:r>
      <w:r>
        <w:rPr>
          <w:rFonts w:ascii="Times New Roman" w:hAnsi="Times New Roman" w:eastAsia="仿宋"/>
          <w:sz w:val="28"/>
          <w:szCs w:val="32"/>
          <w:u w:val="dotted"/>
        </w:rPr>
        <w:t xml:space="preserve">                                           </w:t>
      </w:r>
    </w:p>
    <w:p w14:paraId="179E9950">
      <w:pPr>
        <w:adjustRightInd w:val="0"/>
        <w:snapToGrid w:val="0"/>
        <w:spacing w:line="510" w:lineRule="exact"/>
        <w:rPr>
          <w:rFonts w:ascii="Times New Roman" w:hAnsi="Times New Roman" w:eastAsia="黑体"/>
          <w:bCs/>
          <w:sz w:val="28"/>
          <w:szCs w:val="32"/>
        </w:rPr>
      </w:pPr>
      <w:r>
        <w:rPr>
          <w:rFonts w:ascii="Times New Roman" w:hAnsi="Times New Roman" w:eastAsia="黑体"/>
          <w:bCs/>
          <w:sz w:val="28"/>
          <w:szCs w:val="32"/>
        </w:rPr>
        <w:t>三、质疑事项具体内容</w:t>
      </w:r>
    </w:p>
    <w:p w14:paraId="3A6C5F3D">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质疑事项1：</w:t>
      </w:r>
      <w:r>
        <w:rPr>
          <w:rFonts w:ascii="Times New Roman" w:hAnsi="Times New Roman" w:eastAsia="仿宋"/>
          <w:sz w:val="28"/>
          <w:szCs w:val="32"/>
          <w:u w:val="dotted"/>
        </w:rPr>
        <w:t xml:space="preserve">                                         </w:t>
      </w:r>
    </w:p>
    <w:p w14:paraId="6A8E8472">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事实依据：</w:t>
      </w:r>
      <w:r>
        <w:rPr>
          <w:rFonts w:ascii="Times New Roman" w:hAnsi="Times New Roman" w:eastAsia="仿宋"/>
          <w:sz w:val="28"/>
          <w:szCs w:val="32"/>
          <w:u w:val="dotted"/>
        </w:rPr>
        <w:t xml:space="preserve">                                          </w:t>
      </w:r>
    </w:p>
    <w:p w14:paraId="787BE8B8">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u w:val="dotted"/>
        </w:rPr>
        <w:t xml:space="preserve">                                                       </w:t>
      </w:r>
    </w:p>
    <w:p w14:paraId="449BDCD8">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法律依据：</w:t>
      </w:r>
      <w:r>
        <w:rPr>
          <w:rFonts w:ascii="Times New Roman" w:hAnsi="Times New Roman" w:eastAsia="仿宋"/>
          <w:sz w:val="28"/>
          <w:szCs w:val="32"/>
          <w:u w:val="dotted"/>
        </w:rPr>
        <w:t xml:space="preserve">                                          </w:t>
      </w:r>
    </w:p>
    <w:p w14:paraId="2A742A01">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u w:val="dotted"/>
        </w:rPr>
        <w:t xml:space="preserve">                                                     </w:t>
      </w:r>
    </w:p>
    <w:p w14:paraId="457C328B">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质疑事项2</w:t>
      </w:r>
    </w:p>
    <w:p w14:paraId="48ABD197">
      <w:pPr>
        <w:adjustRightInd w:val="0"/>
        <w:snapToGrid w:val="0"/>
        <w:spacing w:line="510" w:lineRule="exact"/>
        <w:rPr>
          <w:rFonts w:ascii="Times New Roman" w:hAnsi="Times New Roman" w:eastAsia="仿宋"/>
          <w:sz w:val="28"/>
          <w:szCs w:val="32"/>
        </w:rPr>
      </w:pPr>
      <w:r>
        <w:rPr>
          <w:rFonts w:ascii="Times New Roman" w:hAnsi="Times New Roman" w:eastAsia="仿宋"/>
          <w:sz w:val="28"/>
          <w:szCs w:val="32"/>
        </w:rPr>
        <w:t>……</w:t>
      </w:r>
    </w:p>
    <w:p w14:paraId="0294788F">
      <w:pPr>
        <w:adjustRightInd w:val="0"/>
        <w:snapToGrid w:val="0"/>
        <w:spacing w:line="510" w:lineRule="exact"/>
        <w:rPr>
          <w:rFonts w:ascii="Times New Roman" w:hAnsi="Times New Roman" w:eastAsia="黑体"/>
          <w:bCs/>
          <w:sz w:val="28"/>
          <w:szCs w:val="32"/>
        </w:rPr>
      </w:pPr>
      <w:r>
        <w:rPr>
          <w:rFonts w:ascii="Times New Roman" w:hAnsi="Times New Roman" w:eastAsia="黑体"/>
          <w:bCs/>
          <w:sz w:val="28"/>
          <w:szCs w:val="32"/>
        </w:rPr>
        <w:t>四、与质疑事项相关的质疑请求</w:t>
      </w:r>
    </w:p>
    <w:p w14:paraId="14E1AC3E">
      <w:pPr>
        <w:adjustRightInd w:val="0"/>
        <w:snapToGrid w:val="0"/>
        <w:spacing w:line="510" w:lineRule="exact"/>
        <w:rPr>
          <w:rFonts w:ascii="Times New Roman" w:hAnsi="Times New Roman" w:eastAsia="仿宋"/>
          <w:sz w:val="28"/>
          <w:szCs w:val="32"/>
          <w:u w:val="dotted"/>
        </w:rPr>
      </w:pPr>
      <w:r>
        <w:rPr>
          <w:rFonts w:ascii="Times New Roman" w:hAnsi="Times New Roman" w:eastAsia="仿宋"/>
          <w:sz w:val="28"/>
          <w:szCs w:val="32"/>
        </w:rPr>
        <w:t>请求：</w:t>
      </w:r>
      <w:r>
        <w:rPr>
          <w:rFonts w:ascii="Times New Roman" w:hAnsi="Times New Roman" w:eastAsia="仿宋"/>
          <w:sz w:val="28"/>
          <w:szCs w:val="32"/>
          <w:u w:val="dotted"/>
        </w:rPr>
        <w:t xml:space="preserve">                                               </w:t>
      </w:r>
    </w:p>
    <w:p w14:paraId="30997309">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签字(签章)：                   公章：                      </w:t>
      </w:r>
    </w:p>
    <w:p w14:paraId="09DEE6B5">
      <w:pPr>
        <w:spacing w:line="510" w:lineRule="exact"/>
        <w:rPr>
          <w:rFonts w:ascii="Times New Roman" w:hAnsi="Times New Roman" w:eastAsia="仿宋_GB2312"/>
          <w:sz w:val="28"/>
          <w:szCs w:val="30"/>
        </w:rPr>
      </w:pPr>
      <w:r>
        <w:rPr>
          <w:rFonts w:ascii="Times New Roman" w:hAnsi="Times New Roman" w:eastAsia="仿宋_GB2312"/>
          <w:sz w:val="28"/>
          <w:szCs w:val="30"/>
        </w:rPr>
        <w:t xml:space="preserve">日期：    </w:t>
      </w:r>
    </w:p>
    <w:p w14:paraId="47455757">
      <w:pPr>
        <w:rPr>
          <w:rFonts w:ascii="Times New Roman" w:hAnsi="Times New Roman" w:eastAsia="黑体"/>
          <w:b/>
          <w:sz w:val="32"/>
          <w:szCs w:val="32"/>
        </w:rPr>
      </w:pPr>
      <w:r>
        <w:rPr>
          <w:rFonts w:ascii="Times New Roman" w:hAnsi="Times New Roman" w:eastAsia="黑体"/>
          <w:b/>
          <w:sz w:val="32"/>
          <w:szCs w:val="32"/>
        </w:rPr>
        <w:t>质疑函制作说明：</w:t>
      </w:r>
    </w:p>
    <w:p w14:paraId="4A34772D">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1.供应商提出质疑时，应提交质疑函和必要的证明材料。</w:t>
      </w:r>
    </w:p>
    <w:p w14:paraId="59CCD9A1">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2.质疑供应商若委托代理人进行质疑的，质疑函应按要求列明“授权代表”的有关内容，并在附件中提交由质疑</w:t>
      </w:r>
      <w:r>
        <w:rPr>
          <w:rFonts w:ascii="Times New Roman" w:hAnsi="Times New Roman" w:eastAsia="仿宋_GB2312"/>
          <w:kern w:val="0"/>
          <w:sz w:val="32"/>
          <w:szCs w:val="32"/>
        </w:rPr>
        <w:t>供应商签署的授权委托书。授权委托书应载明代理人的姓名或者名称、代理事项、具体权限、期限和相关事项。</w:t>
      </w:r>
    </w:p>
    <w:p w14:paraId="22C5DEFD">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3.质疑供应商若对项目的某一分包进行质疑，质疑函中应列明具体分包号。</w:t>
      </w:r>
    </w:p>
    <w:p w14:paraId="1C086029">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4.质疑函的质疑事项应具体、明确，并有必要的事实依据和法律依据。</w:t>
      </w:r>
    </w:p>
    <w:p w14:paraId="085DCCFB">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5.质疑函的质疑请求应与质疑事项相关。</w:t>
      </w:r>
    </w:p>
    <w:p w14:paraId="118D629F">
      <w:pPr>
        <w:widowControl/>
        <w:ind w:firstLine="640" w:firstLineChars="200"/>
        <w:jc w:val="left"/>
        <w:rPr>
          <w:rFonts w:ascii="Times New Roman" w:hAnsi="Times New Roman" w:eastAsia="仿宋_GB2312"/>
          <w:sz w:val="32"/>
          <w:szCs w:val="32"/>
        </w:rPr>
      </w:pPr>
      <w:r>
        <w:rPr>
          <w:rFonts w:ascii="Times New Roman" w:hAnsi="Times New Roman" w:eastAsia="仿宋_GB2312"/>
          <w:sz w:val="32"/>
          <w:szCs w:val="32"/>
        </w:rPr>
        <w:t>6.质疑供应商为自然人的，质疑函应由本人签字；质疑供应商为法人或者其他组织的，质疑函应由法定代表人、主要负责人，或者其授权代表签字或者盖章，并加盖公章。</w:t>
      </w:r>
    </w:p>
    <w:p w14:paraId="780D3265">
      <w:pPr>
        <w:widowControl/>
        <w:ind w:firstLine="600" w:firstLineChars="200"/>
        <w:jc w:val="left"/>
        <w:rPr>
          <w:rFonts w:ascii="Times New Roman" w:hAnsi="Times New Roman" w:eastAsia="仿宋_GB2312"/>
          <w:sz w:val="30"/>
          <w:szCs w:val="30"/>
        </w:rPr>
      </w:pPr>
    </w:p>
    <w:p w14:paraId="2D533538">
      <w:pPr>
        <w:pStyle w:val="84"/>
        <w:spacing w:after="145" w:afterLines="50" w:line="360" w:lineRule="auto"/>
        <w:ind w:left="0" w:firstLine="0"/>
        <w:rPr>
          <w:rFonts w:ascii="Times New Roman" w:hAnsi="Times New Roman" w:eastAsia="宋体"/>
        </w:rPr>
      </w:pPr>
    </w:p>
    <w:p w14:paraId="6C2D67CE">
      <w:pPr>
        <w:jc w:val="center"/>
        <w:rPr>
          <w:rFonts w:ascii="Times New Roman" w:hAnsi="Times New Roman"/>
          <w:sz w:val="24"/>
          <w:szCs w:val="24"/>
        </w:rPr>
      </w:pPr>
    </w:p>
    <w:p w14:paraId="24F42819">
      <w:pPr>
        <w:pStyle w:val="84"/>
        <w:spacing w:after="145" w:afterLines="50" w:line="360" w:lineRule="auto"/>
        <w:ind w:left="0" w:firstLine="0"/>
        <w:rPr>
          <w:rFonts w:ascii="Times New Roman" w:hAnsi="Times New Roman"/>
        </w:rPr>
      </w:pPr>
    </w:p>
    <w:p w14:paraId="45B30E0A">
      <w:pPr>
        <w:pStyle w:val="84"/>
        <w:spacing w:after="145" w:afterLines="50" w:line="360" w:lineRule="auto"/>
        <w:ind w:left="0" w:firstLine="0"/>
        <w:rPr>
          <w:rFonts w:eastAsia="宋体"/>
          <w:sz w:val="24"/>
          <w:szCs w:val="24"/>
        </w:rPr>
      </w:pPr>
    </w:p>
    <w:p w14:paraId="012E7000">
      <w:pPr>
        <w:rPr>
          <w:rFonts w:ascii="Times New Roman" w:hAnsi="Times New Roman"/>
        </w:rPr>
      </w:pPr>
    </w:p>
    <w:sectPr>
      <w:footerReference r:id="rId5" w:type="first"/>
      <w:footerReference r:id="rId4" w:type="default"/>
      <w:pgSz w:w="11906" w:h="16838"/>
      <w:pgMar w:top="1418" w:right="1588" w:bottom="1418" w:left="1366" w:header="851" w:footer="907" w:gutter="0"/>
      <w:pgNumType w:start="1"/>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黑体_GBK">
    <w:altName w:val="微软雅黑"/>
    <w:panose1 w:val="00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script"/>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panose1 w:val="03000509000000000000"/>
    <w:charset w:val="86"/>
    <w:family w:val="script"/>
    <w:pitch w:val="default"/>
    <w:sig w:usb0="00000001" w:usb1="080E0000" w:usb2="00000000" w:usb3="00000000" w:csb0="00040000" w:csb1="00000000"/>
  </w:font>
  <w:font w:name="KSOFEC83043A">
    <w:panose1 w:val="020B0503020204020204"/>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D00AE8">
    <w:pPr>
      <w:pStyle w:val="26"/>
      <w:jc w:val="center"/>
      <w:rPr>
        <w:rFonts w:eastAsia="仿宋_GB2312"/>
        <w:b/>
        <w:sz w:val="22"/>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FBB13">
    <w:pPr>
      <w:pStyle w:val="26"/>
      <w:jc w:val="center"/>
      <w:rPr>
        <w:rFonts w:eastAsia="仿宋_GB2312"/>
        <w:b/>
        <w:sz w:val="22"/>
        <w:szCs w:val="21"/>
      </w:rPr>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3C872E">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58</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53C872E">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58</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4ADB7">
    <w:pPr>
      <w:pStyle w:val="2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CE34C">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58</w:t>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4FCE34C">
                    <w:pPr>
                      <w:pStyle w:val="26"/>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rPr>
                      <w:t>58</w:t>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1"/>
      <w:numFmt w:val="upperLetter"/>
      <w:pStyle w:val="123"/>
      <w:lvlText w:val="附录%1."/>
      <w:lvlJc w:val="left"/>
      <w:pPr>
        <w:tabs>
          <w:tab w:val="left" w:pos="907"/>
        </w:tabs>
        <w:ind w:left="907" w:hanging="907"/>
      </w:pPr>
      <w:rPr>
        <w:rFonts w:hint="eastAsia"/>
      </w:rPr>
    </w:lvl>
  </w:abstractNum>
  <w:abstractNum w:abstractNumId="1">
    <w:nsid w:val="0000000A"/>
    <w:multiLevelType w:val="multilevel"/>
    <w:tmpl w:val="0000000A"/>
    <w:lvl w:ilvl="0" w:tentative="0">
      <w:start w:val="3"/>
      <w:numFmt w:val="japaneseCounting"/>
      <w:lvlText w:val="第%1章"/>
      <w:lvlJc w:val="left"/>
      <w:pPr>
        <w:tabs>
          <w:tab w:val="left" w:pos="1755"/>
        </w:tabs>
        <w:ind w:left="1755" w:hanging="1755"/>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D"/>
    <w:multiLevelType w:val="multilevel"/>
    <w:tmpl w:val="0000000D"/>
    <w:lvl w:ilvl="0" w:tentative="0">
      <w:start w:val="1"/>
      <w:numFmt w:val="decimal"/>
      <w:pStyle w:val="9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10"/>
    <w:multiLevelType w:val="multilevel"/>
    <w:tmpl w:val="00000010"/>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iMjkxYzc3YTYyNTBjZGFjMTRkMmY1NDhkOGJiMWIifQ=="/>
    <w:docVar w:name="KGWebUrl" w:val="http://jszfcg.jscz.gov.cn/jszc/gateWay/joffice/office?access_token=bf19dd51-066d-460e-93e2-a699021c6a29"/>
  </w:docVars>
  <w:rsids>
    <w:rsidRoot w:val="00172A27"/>
    <w:rsid w:val="00000C26"/>
    <w:rsid w:val="00000E96"/>
    <w:rsid w:val="000017C8"/>
    <w:rsid w:val="00004735"/>
    <w:rsid w:val="00004929"/>
    <w:rsid w:val="00006F95"/>
    <w:rsid w:val="00010D55"/>
    <w:rsid w:val="00011312"/>
    <w:rsid w:val="000133EB"/>
    <w:rsid w:val="000158CE"/>
    <w:rsid w:val="000167CB"/>
    <w:rsid w:val="00023045"/>
    <w:rsid w:val="00025472"/>
    <w:rsid w:val="00026FC8"/>
    <w:rsid w:val="000276C5"/>
    <w:rsid w:val="000331C8"/>
    <w:rsid w:val="0003372B"/>
    <w:rsid w:val="00033C01"/>
    <w:rsid w:val="00034BE5"/>
    <w:rsid w:val="00034D6B"/>
    <w:rsid w:val="000371DF"/>
    <w:rsid w:val="00037B40"/>
    <w:rsid w:val="00041263"/>
    <w:rsid w:val="00041E67"/>
    <w:rsid w:val="0004211C"/>
    <w:rsid w:val="00050E7D"/>
    <w:rsid w:val="0005123F"/>
    <w:rsid w:val="000513A7"/>
    <w:rsid w:val="00052A8B"/>
    <w:rsid w:val="00054CF8"/>
    <w:rsid w:val="00055A6F"/>
    <w:rsid w:val="000569B5"/>
    <w:rsid w:val="000600CB"/>
    <w:rsid w:val="000646D4"/>
    <w:rsid w:val="000648C5"/>
    <w:rsid w:val="00064F67"/>
    <w:rsid w:val="000656B6"/>
    <w:rsid w:val="0006731D"/>
    <w:rsid w:val="00072D40"/>
    <w:rsid w:val="00073EEB"/>
    <w:rsid w:val="000779E3"/>
    <w:rsid w:val="000805FB"/>
    <w:rsid w:val="00080E7B"/>
    <w:rsid w:val="00082437"/>
    <w:rsid w:val="00082541"/>
    <w:rsid w:val="00082904"/>
    <w:rsid w:val="00084799"/>
    <w:rsid w:val="00084985"/>
    <w:rsid w:val="00087FCA"/>
    <w:rsid w:val="000903A2"/>
    <w:rsid w:val="000933CB"/>
    <w:rsid w:val="0009587A"/>
    <w:rsid w:val="00095EC7"/>
    <w:rsid w:val="0009632A"/>
    <w:rsid w:val="00096F56"/>
    <w:rsid w:val="000976AC"/>
    <w:rsid w:val="00097979"/>
    <w:rsid w:val="000A0B77"/>
    <w:rsid w:val="000A19E6"/>
    <w:rsid w:val="000A1A09"/>
    <w:rsid w:val="000A303A"/>
    <w:rsid w:val="000A34AA"/>
    <w:rsid w:val="000A429A"/>
    <w:rsid w:val="000A76C3"/>
    <w:rsid w:val="000B10C3"/>
    <w:rsid w:val="000B1ABF"/>
    <w:rsid w:val="000B2D19"/>
    <w:rsid w:val="000B5390"/>
    <w:rsid w:val="000B59B7"/>
    <w:rsid w:val="000B7CDD"/>
    <w:rsid w:val="000B7EF9"/>
    <w:rsid w:val="000C2464"/>
    <w:rsid w:val="000C366F"/>
    <w:rsid w:val="000C3CE3"/>
    <w:rsid w:val="000C40B6"/>
    <w:rsid w:val="000D0255"/>
    <w:rsid w:val="000D1277"/>
    <w:rsid w:val="000D189C"/>
    <w:rsid w:val="000D3742"/>
    <w:rsid w:val="000D3DEC"/>
    <w:rsid w:val="000D40D9"/>
    <w:rsid w:val="000D5435"/>
    <w:rsid w:val="000D58B6"/>
    <w:rsid w:val="000D650A"/>
    <w:rsid w:val="000D6F24"/>
    <w:rsid w:val="000D7E81"/>
    <w:rsid w:val="000E4973"/>
    <w:rsid w:val="000E54EB"/>
    <w:rsid w:val="000E68D8"/>
    <w:rsid w:val="000E7401"/>
    <w:rsid w:val="000E74CF"/>
    <w:rsid w:val="000F06EB"/>
    <w:rsid w:val="000F34FC"/>
    <w:rsid w:val="000F4359"/>
    <w:rsid w:val="000F64EC"/>
    <w:rsid w:val="000F6B6E"/>
    <w:rsid w:val="0010164F"/>
    <w:rsid w:val="00105888"/>
    <w:rsid w:val="00105F0D"/>
    <w:rsid w:val="0010635C"/>
    <w:rsid w:val="00107753"/>
    <w:rsid w:val="00110FAE"/>
    <w:rsid w:val="00112188"/>
    <w:rsid w:val="00113236"/>
    <w:rsid w:val="00116697"/>
    <w:rsid w:val="0012294F"/>
    <w:rsid w:val="00123E6B"/>
    <w:rsid w:val="00124174"/>
    <w:rsid w:val="00125BEA"/>
    <w:rsid w:val="0013154F"/>
    <w:rsid w:val="001328CE"/>
    <w:rsid w:val="001342E2"/>
    <w:rsid w:val="001345F1"/>
    <w:rsid w:val="00134F63"/>
    <w:rsid w:val="001418BE"/>
    <w:rsid w:val="00142036"/>
    <w:rsid w:val="00144316"/>
    <w:rsid w:val="001476D9"/>
    <w:rsid w:val="001509AF"/>
    <w:rsid w:val="001522DE"/>
    <w:rsid w:val="0015361E"/>
    <w:rsid w:val="00155705"/>
    <w:rsid w:val="00156714"/>
    <w:rsid w:val="00157DE6"/>
    <w:rsid w:val="00161919"/>
    <w:rsid w:val="00163E0F"/>
    <w:rsid w:val="00167F6D"/>
    <w:rsid w:val="001704DA"/>
    <w:rsid w:val="00171465"/>
    <w:rsid w:val="00172A27"/>
    <w:rsid w:val="00173222"/>
    <w:rsid w:val="001757AD"/>
    <w:rsid w:val="00176ABB"/>
    <w:rsid w:val="00176F89"/>
    <w:rsid w:val="00183F44"/>
    <w:rsid w:val="001852AC"/>
    <w:rsid w:val="00187F93"/>
    <w:rsid w:val="001957CD"/>
    <w:rsid w:val="00195B6F"/>
    <w:rsid w:val="00196D6D"/>
    <w:rsid w:val="00196F1B"/>
    <w:rsid w:val="001A1B42"/>
    <w:rsid w:val="001A4A24"/>
    <w:rsid w:val="001A5C77"/>
    <w:rsid w:val="001A6E31"/>
    <w:rsid w:val="001B0B54"/>
    <w:rsid w:val="001B1EC8"/>
    <w:rsid w:val="001B3446"/>
    <w:rsid w:val="001B3881"/>
    <w:rsid w:val="001C1358"/>
    <w:rsid w:val="001C1403"/>
    <w:rsid w:val="001C1456"/>
    <w:rsid w:val="001C244C"/>
    <w:rsid w:val="001C2A1A"/>
    <w:rsid w:val="001C3630"/>
    <w:rsid w:val="001C5904"/>
    <w:rsid w:val="001C64D7"/>
    <w:rsid w:val="001C706A"/>
    <w:rsid w:val="001C7849"/>
    <w:rsid w:val="001C7C6D"/>
    <w:rsid w:val="001D2CEE"/>
    <w:rsid w:val="001D48C8"/>
    <w:rsid w:val="001D69B5"/>
    <w:rsid w:val="001E1273"/>
    <w:rsid w:val="001E1A6C"/>
    <w:rsid w:val="001E300B"/>
    <w:rsid w:val="001E3C5C"/>
    <w:rsid w:val="001E4DD7"/>
    <w:rsid w:val="001E7297"/>
    <w:rsid w:val="001E7D66"/>
    <w:rsid w:val="001F4249"/>
    <w:rsid w:val="001F4D94"/>
    <w:rsid w:val="001F6E00"/>
    <w:rsid w:val="002010D3"/>
    <w:rsid w:val="00204685"/>
    <w:rsid w:val="00206B2C"/>
    <w:rsid w:val="0021046D"/>
    <w:rsid w:val="002170C6"/>
    <w:rsid w:val="00217542"/>
    <w:rsid w:val="0022009D"/>
    <w:rsid w:val="00224808"/>
    <w:rsid w:val="002262AA"/>
    <w:rsid w:val="002262F9"/>
    <w:rsid w:val="0022674A"/>
    <w:rsid w:val="002310E1"/>
    <w:rsid w:val="00237B19"/>
    <w:rsid w:val="002401C6"/>
    <w:rsid w:val="00240FE7"/>
    <w:rsid w:val="00241804"/>
    <w:rsid w:val="002440AB"/>
    <w:rsid w:val="00245814"/>
    <w:rsid w:val="00246FE1"/>
    <w:rsid w:val="00250D72"/>
    <w:rsid w:val="0025135B"/>
    <w:rsid w:val="002520B0"/>
    <w:rsid w:val="0025613E"/>
    <w:rsid w:val="00257EC1"/>
    <w:rsid w:val="0026171B"/>
    <w:rsid w:val="00265D8E"/>
    <w:rsid w:val="00267981"/>
    <w:rsid w:val="00273D72"/>
    <w:rsid w:val="00275583"/>
    <w:rsid w:val="00276014"/>
    <w:rsid w:val="002807F0"/>
    <w:rsid w:val="00282A68"/>
    <w:rsid w:val="002837DE"/>
    <w:rsid w:val="00283935"/>
    <w:rsid w:val="002848BC"/>
    <w:rsid w:val="00287FC7"/>
    <w:rsid w:val="002934CA"/>
    <w:rsid w:val="00295327"/>
    <w:rsid w:val="002973E3"/>
    <w:rsid w:val="002A13DE"/>
    <w:rsid w:val="002A1A20"/>
    <w:rsid w:val="002A3D27"/>
    <w:rsid w:val="002A516E"/>
    <w:rsid w:val="002A51B9"/>
    <w:rsid w:val="002A5364"/>
    <w:rsid w:val="002A5946"/>
    <w:rsid w:val="002B0FD9"/>
    <w:rsid w:val="002B13F5"/>
    <w:rsid w:val="002B4725"/>
    <w:rsid w:val="002B4803"/>
    <w:rsid w:val="002B487B"/>
    <w:rsid w:val="002B6EAE"/>
    <w:rsid w:val="002C1ADC"/>
    <w:rsid w:val="002C3517"/>
    <w:rsid w:val="002D2F04"/>
    <w:rsid w:val="002D31EE"/>
    <w:rsid w:val="002D3466"/>
    <w:rsid w:val="002D38EC"/>
    <w:rsid w:val="002D426A"/>
    <w:rsid w:val="002D468B"/>
    <w:rsid w:val="002D6C24"/>
    <w:rsid w:val="002D743E"/>
    <w:rsid w:val="002E1651"/>
    <w:rsid w:val="002E20E6"/>
    <w:rsid w:val="002E26C6"/>
    <w:rsid w:val="002E3EBC"/>
    <w:rsid w:val="002E495E"/>
    <w:rsid w:val="002E4DD1"/>
    <w:rsid w:val="002E5B4A"/>
    <w:rsid w:val="002E5E83"/>
    <w:rsid w:val="002F1CC7"/>
    <w:rsid w:val="002F269B"/>
    <w:rsid w:val="002F4CEB"/>
    <w:rsid w:val="002F51EC"/>
    <w:rsid w:val="002F57B2"/>
    <w:rsid w:val="002F5884"/>
    <w:rsid w:val="002F7226"/>
    <w:rsid w:val="0030127B"/>
    <w:rsid w:val="00301DE9"/>
    <w:rsid w:val="00302228"/>
    <w:rsid w:val="00304902"/>
    <w:rsid w:val="00305A4B"/>
    <w:rsid w:val="0031157C"/>
    <w:rsid w:val="00314362"/>
    <w:rsid w:val="003146CA"/>
    <w:rsid w:val="0032247C"/>
    <w:rsid w:val="00322AC7"/>
    <w:rsid w:val="003232DC"/>
    <w:rsid w:val="00325766"/>
    <w:rsid w:val="0032591C"/>
    <w:rsid w:val="00326301"/>
    <w:rsid w:val="003278E8"/>
    <w:rsid w:val="00330424"/>
    <w:rsid w:val="0033299E"/>
    <w:rsid w:val="00332E4F"/>
    <w:rsid w:val="003339D5"/>
    <w:rsid w:val="00333ABC"/>
    <w:rsid w:val="00335ED8"/>
    <w:rsid w:val="00340831"/>
    <w:rsid w:val="003450C4"/>
    <w:rsid w:val="003456FB"/>
    <w:rsid w:val="003458FD"/>
    <w:rsid w:val="00346C7A"/>
    <w:rsid w:val="0034705A"/>
    <w:rsid w:val="00350A6D"/>
    <w:rsid w:val="00350E8D"/>
    <w:rsid w:val="003513C4"/>
    <w:rsid w:val="00351748"/>
    <w:rsid w:val="00352154"/>
    <w:rsid w:val="003522E9"/>
    <w:rsid w:val="003540F4"/>
    <w:rsid w:val="0035565E"/>
    <w:rsid w:val="00360DDB"/>
    <w:rsid w:val="003614C7"/>
    <w:rsid w:val="00361E08"/>
    <w:rsid w:val="00365176"/>
    <w:rsid w:val="00367003"/>
    <w:rsid w:val="00367637"/>
    <w:rsid w:val="0037024E"/>
    <w:rsid w:val="00370E14"/>
    <w:rsid w:val="00373B1F"/>
    <w:rsid w:val="00374F20"/>
    <w:rsid w:val="0038102E"/>
    <w:rsid w:val="00384DF5"/>
    <w:rsid w:val="00387357"/>
    <w:rsid w:val="00391E6C"/>
    <w:rsid w:val="00393A92"/>
    <w:rsid w:val="00396E10"/>
    <w:rsid w:val="003A0FA2"/>
    <w:rsid w:val="003A49A8"/>
    <w:rsid w:val="003A576A"/>
    <w:rsid w:val="003A58CE"/>
    <w:rsid w:val="003B12F2"/>
    <w:rsid w:val="003B2D70"/>
    <w:rsid w:val="003B333E"/>
    <w:rsid w:val="003B4486"/>
    <w:rsid w:val="003B7ED4"/>
    <w:rsid w:val="003C1DCA"/>
    <w:rsid w:val="003C2107"/>
    <w:rsid w:val="003C2927"/>
    <w:rsid w:val="003C4E9D"/>
    <w:rsid w:val="003D10CB"/>
    <w:rsid w:val="003D12CD"/>
    <w:rsid w:val="003D3DBB"/>
    <w:rsid w:val="003D4C10"/>
    <w:rsid w:val="003D4DE4"/>
    <w:rsid w:val="003D4FBF"/>
    <w:rsid w:val="003D793D"/>
    <w:rsid w:val="003D79F4"/>
    <w:rsid w:val="003D7ACC"/>
    <w:rsid w:val="003D7E2F"/>
    <w:rsid w:val="003E0927"/>
    <w:rsid w:val="003E0C34"/>
    <w:rsid w:val="003E1BBF"/>
    <w:rsid w:val="003E4741"/>
    <w:rsid w:val="003E517E"/>
    <w:rsid w:val="003E5BEB"/>
    <w:rsid w:val="003E5ED6"/>
    <w:rsid w:val="003E64C5"/>
    <w:rsid w:val="003E66C8"/>
    <w:rsid w:val="003E6D60"/>
    <w:rsid w:val="003E6F18"/>
    <w:rsid w:val="003E7AA1"/>
    <w:rsid w:val="003F0175"/>
    <w:rsid w:val="003F09E5"/>
    <w:rsid w:val="003F11A2"/>
    <w:rsid w:val="003F16F9"/>
    <w:rsid w:val="003F3479"/>
    <w:rsid w:val="003F35E8"/>
    <w:rsid w:val="003F4702"/>
    <w:rsid w:val="00400DB7"/>
    <w:rsid w:val="00401711"/>
    <w:rsid w:val="00404563"/>
    <w:rsid w:val="004061E7"/>
    <w:rsid w:val="00407653"/>
    <w:rsid w:val="00410DF6"/>
    <w:rsid w:val="00411681"/>
    <w:rsid w:val="0041186F"/>
    <w:rsid w:val="0041276C"/>
    <w:rsid w:val="00413C17"/>
    <w:rsid w:val="00414A5B"/>
    <w:rsid w:val="00414A9F"/>
    <w:rsid w:val="004203A7"/>
    <w:rsid w:val="0042442F"/>
    <w:rsid w:val="00427A8B"/>
    <w:rsid w:val="00430A2E"/>
    <w:rsid w:val="004331E0"/>
    <w:rsid w:val="004341A4"/>
    <w:rsid w:val="004359DC"/>
    <w:rsid w:val="004442D9"/>
    <w:rsid w:val="00444522"/>
    <w:rsid w:val="004455DF"/>
    <w:rsid w:val="004517F3"/>
    <w:rsid w:val="00451AA1"/>
    <w:rsid w:val="00454719"/>
    <w:rsid w:val="004607B3"/>
    <w:rsid w:val="00461D65"/>
    <w:rsid w:val="0046324B"/>
    <w:rsid w:val="00463864"/>
    <w:rsid w:val="004651A0"/>
    <w:rsid w:val="004665ED"/>
    <w:rsid w:val="00466AD0"/>
    <w:rsid w:val="00473072"/>
    <w:rsid w:val="00474F94"/>
    <w:rsid w:val="00475895"/>
    <w:rsid w:val="004812AB"/>
    <w:rsid w:val="0048223B"/>
    <w:rsid w:val="004825FB"/>
    <w:rsid w:val="004837A0"/>
    <w:rsid w:val="00483E7E"/>
    <w:rsid w:val="00484DA3"/>
    <w:rsid w:val="004852D7"/>
    <w:rsid w:val="004864B3"/>
    <w:rsid w:val="004870BF"/>
    <w:rsid w:val="00490B9E"/>
    <w:rsid w:val="00491071"/>
    <w:rsid w:val="004948EA"/>
    <w:rsid w:val="004A0372"/>
    <w:rsid w:val="004A085E"/>
    <w:rsid w:val="004A0B0D"/>
    <w:rsid w:val="004A1DCA"/>
    <w:rsid w:val="004A3647"/>
    <w:rsid w:val="004A5080"/>
    <w:rsid w:val="004A56B3"/>
    <w:rsid w:val="004A7A52"/>
    <w:rsid w:val="004B1491"/>
    <w:rsid w:val="004B56A9"/>
    <w:rsid w:val="004B6A9B"/>
    <w:rsid w:val="004C163F"/>
    <w:rsid w:val="004C55B1"/>
    <w:rsid w:val="004C6047"/>
    <w:rsid w:val="004C7974"/>
    <w:rsid w:val="004C7B80"/>
    <w:rsid w:val="004D2DE7"/>
    <w:rsid w:val="004D3625"/>
    <w:rsid w:val="004D6856"/>
    <w:rsid w:val="004D6A33"/>
    <w:rsid w:val="004E0193"/>
    <w:rsid w:val="004E0CCF"/>
    <w:rsid w:val="004E1A13"/>
    <w:rsid w:val="004E3BF7"/>
    <w:rsid w:val="004E6B25"/>
    <w:rsid w:val="004E7CFD"/>
    <w:rsid w:val="004F1D96"/>
    <w:rsid w:val="004F3FA7"/>
    <w:rsid w:val="004F423A"/>
    <w:rsid w:val="004F603D"/>
    <w:rsid w:val="005016EB"/>
    <w:rsid w:val="005034AF"/>
    <w:rsid w:val="005049F6"/>
    <w:rsid w:val="00505112"/>
    <w:rsid w:val="005075FB"/>
    <w:rsid w:val="00511DAE"/>
    <w:rsid w:val="0051355B"/>
    <w:rsid w:val="00515DF8"/>
    <w:rsid w:val="00516306"/>
    <w:rsid w:val="00517327"/>
    <w:rsid w:val="005202EF"/>
    <w:rsid w:val="00520F56"/>
    <w:rsid w:val="00521DA9"/>
    <w:rsid w:val="0052265A"/>
    <w:rsid w:val="005245BF"/>
    <w:rsid w:val="005246F4"/>
    <w:rsid w:val="00525ACC"/>
    <w:rsid w:val="005269C0"/>
    <w:rsid w:val="00526E50"/>
    <w:rsid w:val="00526F77"/>
    <w:rsid w:val="00531100"/>
    <w:rsid w:val="00532339"/>
    <w:rsid w:val="00532876"/>
    <w:rsid w:val="005353E1"/>
    <w:rsid w:val="00535911"/>
    <w:rsid w:val="00537CF1"/>
    <w:rsid w:val="00541D7D"/>
    <w:rsid w:val="005433DC"/>
    <w:rsid w:val="0054348E"/>
    <w:rsid w:val="00545165"/>
    <w:rsid w:val="005451B4"/>
    <w:rsid w:val="00545278"/>
    <w:rsid w:val="00545536"/>
    <w:rsid w:val="00545F30"/>
    <w:rsid w:val="005513B2"/>
    <w:rsid w:val="0055187D"/>
    <w:rsid w:val="0055198E"/>
    <w:rsid w:val="00551FA7"/>
    <w:rsid w:val="005522E0"/>
    <w:rsid w:val="00553CFF"/>
    <w:rsid w:val="00560212"/>
    <w:rsid w:val="0056046B"/>
    <w:rsid w:val="00561FDC"/>
    <w:rsid w:val="00564A68"/>
    <w:rsid w:val="0056537B"/>
    <w:rsid w:val="0056667F"/>
    <w:rsid w:val="00570327"/>
    <w:rsid w:val="0057104B"/>
    <w:rsid w:val="0057119F"/>
    <w:rsid w:val="005729D5"/>
    <w:rsid w:val="005734BF"/>
    <w:rsid w:val="00573A64"/>
    <w:rsid w:val="0057425A"/>
    <w:rsid w:val="00586765"/>
    <w:rsid w:val="00586BC1"/>
    <w:rsid w:val="00590B11"/>
    <w:rsid w:val="00595D44"/>
    <w:rsid w:val="00595FA1"/>
    <w:rsid w:val="0059790D"/>
    <w:rsid w:val="00597D95"/>
    <w:rsid w:val="005A0BD3"/>
    <w:rsid w:val="005A1420"/>
    <w:rsid w:val="005A1B75"/>
    <w:rsid w:val="005A36DD"/>
    <w:rsid w:val="005A3AB6"/>
    <w:rsid w:val="005A3B0A"/>
    <w:rsid w:val="005A53DD"/>
    <w:rsid w:val="005A7469"/>
    <w:rsid w:val="005B27A5"/>
    <w:rsid w:val="005B3910"/>
    <w:rsid w:val="005B3ED3"/>
    <w:rsid w:val="005B415E"/>
    <w:rsid w:val="005B6D68"/>
    <w:rsid w:val="005B79C9"/>
    <w:rsid w:val="005C2B17"/>
    <w:rsid w:val="005C2B6F"/>
    <w:rsid w:val="005C2DFE"/>
    <w:rsid w:val="005C2FB7"/>
    <w:rsid w:val="005C3999"/>
    <w:rsid w:val="005C435D"/>
    <w:rsid w:val="005C499E"/>
    <w:rsid w:val="005C6274"/>
    <w:rsid w:val="005D3173"/>
    <w:rsid w:val="005D5534"/>
    <w:rsid w:val="005D5ED4"/>
    <w:rsid w:val="005D7970"/>
    <w:rsid w:val="005E2BA4"/>
    <w:rsid w:val="005E4E05"/>
    <w:rsid w:val="005E6826"/>
    <w:rsid w:val="005E6B0C"/>
    <w:rsid w:val="005F4FCA"/>
    <w:rsid w:val="00600BE7"/>
    <w:rsid w:val="00600F13"/>
    <w:rsid w:val="00601263"/>
    <w:rsid w:val="0060163D"/>
    <w:rsid w:val="00603162"/>
    <w:rsid w:val="006031B3"/>
    <w:rsid w:val="00603E38"/>
    <w:rsid w:val="00606222"/>
    <w:rsid w:val="006106E9"/>
    <w:rsid w:val="00612A7D"/>
    <w:rsid w:val="00620186"/>
    <w:rsid w:val="0062369E"/>
    <w:rsid w:val="006236DD"/>
    <w:rsid w:val="00624277"/>
    <w:rsid w:val="00625614"/>
    <w:rsid w:val="006256F7"/>
    <w:rsid w:val="00627318"/>
    <w:rsid w:val="006300B4"/>
    <w:rsid w:val="00631BED"/>
    <w:rsid w:val="00631F21"/>
    <w:rsid w:val="0063509D"/>
    <w:rsid w:val="00635B28"/>
    <w:rsid w:val="00637888"/>
    <w:rsid w:val="00637AD5"/>
    <w:rsid w:val="006430E4"/>
    <w:rsid w:val="0064609F"/>
    <w:rsid w:val="006502BC"/>
    <w:rsid w:val="00650F4B"/>
    <w:rsid w:val="00650FCE"/>
    <w:rsid w:val="006520FF"/>
    <w:rsid w:val="00653F54"/>
    <w:rsid w:val="00655555"/>
    <w:rsid w:val="00661577"/>
    <w:rsid w:val="006636DB"/>
    <w:rsid w:val="006660CB"/>
    <w:rsid w:val="00667FE3"/>
    <w:rsid w:val="00670202"/>
    <w:rsid w:val="00670750"/>
    <w:rsid w:val="00670EF5"/>
    <w:rsid w:val="006744D0"/>
    <w:rsid w:val="00676D74"/>
    <w:rsid w:val="006771B0"/>
    <w:rsid w:val="00681926"/>
    <w:rsid w:val="00682096"/>
    <w:rsid w:val="006826E0"/>
    <w:rsid w:val="006832B6"/>
    <w:rsid w:val="00683EE6"/>
    <w:rsid w:val="006931C2"/>
    <w:rsid w:val="00695A04"/>
    <w:rsid w:val="00695FBA"/>
    <w:rsid w:val="00696057"/>
    <w:rsid w:val="0069629E"/>
    <w:rsid w:val="00697C41"/>
    <w:rsid w:val="006A4909"/>
    <w:rsid w:val="006A6C35"/>
    <w:rsid w:val="006A717B"/>
    <w:rsid w:val="006B1060"/>
    <w:rsid w:val="006B3893"/>
    <w:rsid w:val="006B42C0"/>
    <w:rsid w:val="006C0430"/>
    <w:rsid w:val="006C2E8E"/>
    <w:rsid w:val="006C7AC7"/>
    <w:rsid w:val="006D03FA"/>
    <w:rsid w:val="006D22F5"/>
    <w:rsid w:val="006D26BF"/>
    <w:rsid w:val="006D55A3"/>
    <w:rsid w:val="006D5C1E"/>
    <w:rsid w:val="006D5E64"/>
    <w:rsid w:val="006D6ACA"/>
    <w:rsid w:val="006E13BA"/>
    <w:rsid w:val="006E7308"/>
    <w:rsid w:val="006F0681"/>
    <w:rsid w:val="006F0735"/>
    <w:rsid w:val="006F12FC"/>
    <w:rsid w:val="006F6B51"/>
    <w:rsid w:val="006F7E10"/>
    <w:rsid w:val="00700B4F"/>
    <w:rsid w:val="00702544"/>
    <w:rsid w:val="00702BFD"/>
    <w:rsid w:val="007044B8"/>
    <w:rsid w:val="00710530"/>
    <w:rsid w:val="007108F3"/>
    <w:rsid w:val="007111BB"/>
    <w:rsid w:val="007115B8"/>
    <w:rsid w:val="00712F9F"/>
    <w:rsid w:val="007151AA"/>
    <w:rsid w:val="00716A9D"/>
    <w:rsid w:val="00720964"/>
    <w:rsid w:val="00723C9A"/>
    <w:rsid w:val="00723E0C"/>
    <w:rsid w:val="00723F29"/>
    <w:rsid w:val="00723FFA"/>
    <w:rsid w:val="00724132"/>
    <w:rsid w:val="00726768"/>
    <w:rsid w:val="007302EF"/>
    <w:rsid w:val="007310CE"/>
    <w:rsid w:val="0073216B"/>
    <w:rsid w:val="0073332A"/>
    <w:rsid w:val="00734F67"/>
    <w:rsid w:val="007358AA"/>
    <w:rsid w:val="00735CA4"/>
    <w:rsid w:val="007362F6"/>
    <w:rsid w:val="00737587"/>
    <w:rsid w:val="00737926"/>
    <w:rsid w:val="00740977"/>
    <w:rsid w:val="00742D67"/>
    <w:rsid w:val="00744EFA"/>
    <w:rsid w:val="00751D90"/>
    <w:rsid w:val="007539F6"/>
    <w:rsid w:val="0075689F"/>
    <w:rsid w:val="00756D66"/>
    <w:rsid w:val="0075700C"/>
    <w:rsid w:val="00757C05"/>
    <w:rsid w:val="0076701C"/>
    <w:rsid w:val="00767B36"/>
    <w:rsid w:val="007706EE"/>
    <w:rsid w:val="00772FA5"/>
    <w:rsid w:val="0077390C"/>
    <w:rsid w:val="007745C6"/>
    <w:rsid w:val="0077463E"/>
    <w:rsid w:val="007748EE"/>
    <w:rsid w:val="0077557B"/>
    <w:rsid w:val="00775CBB"/>
    <w:rsid w:val="007761BC"/>
    <w:rsid w:val="00786441"/>
    <w:rsid w:val="00790746"/>
    <w:rsid w:val="0079425F"/>
    <w:rsid w:val="00796AFF"/>
    <w:rsid w:val="007A0C06"/>
    <w:rsid w:val="007A25C4"/>
    <w:rsid w:val="007A32E1"/>
    <w:rsid w:val="007A43B1"/>
    <w:rsid w:val="007A46A8"/>
    <w:rsid w:val="007A743C"/>
    <w:rsid w:val="007B13F5"/>
    <w:rsid w:val="007B19CB"/>
    <w:rsid w:val="007B3187"/>
    <w:rsid w:val="007B4E87"/>
    <w:rsid w:val="007C4245"/>
    <w:rsid w:val="007C42DC"/>
    <w:rsid w:val="007D02F3"/>
    <w:rsid w:val="007D0396"/>
    <w:rsid w:val="007D353D"/>
    <w:rsid w:val="007D5184"/>
    <w:rsid w:val="007D572F"/>
    <w:rsid w:val="007D5758"/>
    <w:rsid w:val="007E1156"/>
    <w:rsid w:val="007E1A03"/>
    <w:rsid w:val="007E2688"/>
    <w:rsid w:val="007E28AE"/>
    <w:rsid w:val="007E3E45"/>
    <w:rsid w:val="007E655F"/>
    <w:rsid w:val="007E68BA"/>
    <w:rsid w:val="007F0572"/>
    <w:rsid w:val="007F3C2B"/>
    <w:rsid w:val="007F3F5E"/>
    <w:rsid w:val="007F5766"/>
    <w:rsid w:val="007F5C90"/>
    <w:rsid w:val="007F5EC6"/>
    <w:rsid w:val="007F73E6"/>
    <w:rsid w:val="00800144"/>
    <w:rsid w:val="00800BFD"/>
    <w:rsid w:val="00801CC1"/>
    <w:rsid w:val="008028FC"/>
    <w:rsid w:val="00802A05"/>
    <w:rsid w:val="008049F0"/>
    <w:rsid w:val="00805503"/>
    <w:rsid w:val="008066F9"/>
    <w:rsid w:val="008067F6"/>
    <w:rsid w:val="00811B16"/>
    <w:rsid w:val="008125CC"/>
    <w:rsid w:val="0081351B"/>
    <w:rsid w:val="00814C67"/>
    <w:rsid w:val="00815C00"/>
    <w:rsid w:val="0082092A"/>
    <w:rsid w:val="00820D31"/>
    <w:rsid w:val="0082415C"/>
    <w:rsid w:val="00824E6D"/>
    <w:rsid w:val="0082541A"/>
    <w:rsid w:val="008310AA"/>
    <w:rsid w:val="00832FD1"/>
    <w:rsid w:val="008336A8"/>
    <w:rsid w:val="00833A03"/>
    <w:rsid w:val="008348DC"/>
    <w:rsid w:val="00836F29"/>
    <w:rsid w:val="008377BB"/>
    <w:rsid w:val="00847A96"/>
    <w:rsid w:val="00847E5E"/>
    <w:rsid w:val="00850BE1"/>
    <w:rsid w:val="0085215B"/>
    <w:rsid w:val="00852BEB"/>
    <w:rsid w:val="00854007"/>
    <w:rsid w:val="0085445F"/>
    <w:rsid w:val="008554B8"/>
    <w:rsid w:val="008568B9"/>
    <w:rsid w:val="008601B7"/>
    <w:rsid w:val="00860A27"/>
    <w:rsid w:val="00862310"/>
    <w:rsid w:val="008629E6"/>
    <w:rsid w:val="0086558A"/>
    <w:rsid w:val="008659B7"/>
    <w:rsid w:val="00865D13"/>
    <w:rsid w:val="00866EBD"/>
    <w:rsid w:val="00867A46"/>
    <w:rsid w:val="00870027"/>
    <w:rsid w:val="00870FCE"/>
    <w:rsid w:val="008743FC"/>
    <w:rsid w:val="0087462A"/>
    <w:rsid w:val="008750F1"/>
    <w:rsid w:val="00876325"/>
    <w:rsid w:val="00877E27"/>
    <w:rsid w:val="00880682"/>
    <w:rsid w:val="0088138C"/>
    <w:rsid w:val="00881CA7"/>
    <w:rsid w:val="00881DB3"/>
    <w:rsid w:val="008849F3"/>
    <w:rsid w:val="008858C8"/>
    <w:rsid w:val="00890D60"/>
    <w:rsid w:val="00891EBC"/>
    <w:rsid w:val="00893353"/>
    <w:rsid w:val="00893C93"/>
    <w:rsid w:val="00894536"/>
    <w:rsid w:val="00897726"/>
    <w:rsid w:val="008A0241"/>
    <w:rsid w:val="008A1715"/>
    <w:rsid w:val="008A2004"/>
    <w:rsid w:val="008A3A73"/>
    <w:rsid w:val="008A5DBA"/>
    <w:rsid w:val="008A63CA"/>
    <w:rsid w:val="008A67C7"/>
    <w:rsid w:val="008B009C"/>
    <w:rsid w:val="008B0C8C"/>
    <w:rsid w:val="008B3A75"/>
    <w:rsid w:val="008C01FF"/>
    <w:rsid w:val="008C0872"/>
    <w:rsid w:val="008C0B91"/>
    <w:rsid w:val="008C26C4"/>
    <w:rsid w:val="008C7AD4"/>
    <w:rsid w:val="008D31A4"/>
    <w:rsid w:val="008D3912"/>
    <w:rsid w:val="008D45EC"/>
    <w:rsid w:val="008D7834"/>
    <w:rsid w:val="008E0FE3"/>
    <w:rsid w:val="008E394E"/>
    <w:rsid w:val="008E40A8"/>
    <w:rsid w:val="008E4E05"/>
    <w:rsid w:val="008E5C1C"/>
    <w:rsid w:val="008F006C"/>
    <w:rsid w:val="008F1BCB"/>
    <w:rsid w:val="008F1E64"/>
    <w:rsid w:val="008F6706"/>
    <w:rsid w:val="00901754"/>
    <w:rsid w:val="009017C5"/>
    <w:rsid w:val="00901B88"/>
    <w:rsid w:val="00907618"/>
    <w:rsid w:val="0090796E"/>
    <w:rsid w:val="00914725"/>
    <w:rsid w:val="00915509"/>
    <w:rsid w:val="009159B0"/>
    <w:rsid w:val="00921167"/>
    <w:rsid w:val="00921F01"/>
    <w:rsid w:val="009221D9"/>
    <w:rsid w:val="0092478E"/>
    <w:rsid w:val="0092555E"/>
    <w:rsid w:val="00927980"/>
    <w:rsid w:val="009308A1"/>
    <w:rsid w:val="0093255C"/>
    <w:rsid w:val="00935D24"/>
    <w:rsid w:val="00936E96"/>
    <w:rsid w:val="00937F63"/>
    <w:rsid w:val="00942422"/>
    <w:rsid w:val="009424C4"/>
    <w:rsid w:val="009432ED"/>
    <w:rsid w:val="009436C4"/>
    <w:rsid w:val="00944923"/>
    <w:rsid w:val="00944B07"/>
    <w:rsid w:val="00946B55"/>
    <w:rsid w:val="00951D78"/>
    <w:rsid w:val="00951E4E"/>
    <w:rsid w:val="0095209E"/>
    <w:rsid w:val="009562D3"/>
    <w:rsid w:val="009566A9"/>
    <w:rsid w:val="009566D6"/>
    <w:rsid w:val="009619AC"/>
    <w:rsid w:val="00962D81"/>
    <w:rsid w:val="00963893"/>
    <w:rsid w:val="00964828"/>
    <w:rsid w:val="00964BD6"/>
    <w:rsid w:val="0096643B"/>
    <w:rsid w:val="00967D7E"/>
    <w:rsid w:val="009710DF"/>
    <w:rsid w:val="009712C5"/>
    <w:rsid w:val="00974EA5"/>
    <w:rsid w:val="009801B5"/>
    <w:rsid w:val="00981426"/>
    <w:rsid w:val="009830E1"/>
    <w:rsid w:val="00983CE6"/>
    <w:rsid w:val="009868D3"/>
    <w:rsid w:val="0098785C"/>
    <w:rsid w:val="0099081C"/>
    <w:rsid w:val="009934B5"/>
    <w:rsid w:val="00993AD4"/>
    <w:rsid w:val="00993FCA"/>
    <w:rsid w:val="009A35EA"/>
    <w:rsid w:val="009A55EB"/>
    <w:rsid w:val="009B02D1"/>
    <w:rsid w:val="009B0A33"/>
    <w:rsid w:val="009B16A3"/>
    <w:rsid w:val="009C0D29"/>
    <w:rsid w:val="009C0E97"/>
    <w:rsid w:val="009C10EB"/>
    <w:rsid w:val="009C34AE"/>
    <w:rsid w:val="009C75BE"/>
    <w:rsid w:val="009D0EA5"/>
    <w:rsid w:val="009D1387"/>
    <w:rsid w:val="009D14A3"/>
    <w:rsid w:val="009D16AD"/>
    <w:rsid w:val="009D2DFE"/>
    <w:rsid w:val="009D5368"/>
    <w:rsid w:val="009D7C43"/>
    <w:rsid w:val="009E14D0"/>
    <w:rsid w:val="009E6FDB"/>
    <w:rsid w:val="009F1358"/>
    <w:rsid w:val="009F165C"/>
    <w:rsid w:val="009F1FEC"/>
    <w:rsid w:val="00A03D4C"/>
    <w:rsid w:val="00A050CF"/>
    <w:rsid w:val="00A10FBC"/>
    <w:rsid w:val="00A12820"/>
    <w:rsid w:val="00A15140"/>
    <w:rsid w:val="00A1526E"/>
    <w:rsid w:val="00A15A5A"/>
    <w:rsid w:val="00A1661D"/>
    <w:rsid w:val="00A2114E"/>
    <w:rsid w:val="00A211AB"/>
    <w:rsid w:val="00A219A3"/>
    <w:rsid w:val="00A2312D"/>
    <w:rsid w:val="00A23E7A"/>
    <w:rsid w:val="00A26386"/>
    <w:rsid w:val="00A303C2"/>
    <w:rsid w:val="00A30F7A"/>
    <w:rsid w:val="00A311E1"/>
    <w:rsid w:val="00A31317"/>
    <w:rsid w:val="00A32A02"/>
    <w:rsid w:val="00A32A8E"/>
    <w:rsid w:val="00A3489C"/>
    <w:rsid w:val="00A353BE"/>
    <w:rsid w:val="00A40483"/>
    <w:rsid w:val="00A413BB"/>
    <w:rsid w:val="00A43D37"/>
    <w:rsid w:val="00A52849"/>
    <w:rsid w:val="00A53413"/>
    <w:rsid w:val="00A536F6"/>
    <w:rsid w:val="00A539AC"/>
    <w:rsid w:val="00A562E1"/>
    <w:rsid w:val="00A5738E"/>
    <w:rsid w:val="00A60FF4"/>
    <w:rsid w:val="00A62BAD"/>
    <w:rsid w:val="00A63FCD"/>
    <w:rsid w:val="00A643B1"/>
    <w:rsid w:val="00A66CBA"/>
    <w:rsid w:val="00A67DAA"/>
    <w:rsid w:val="00A67F0E"/>
    <w:rsid w:val="00A708E6"/>
    <w:rsid w:val="00A72865"/>
    <w:rsid w:val="00A72DDE"/>
    <w:rsid w:val="00A75B74"/>
    <w:rsid w:val="00A767AC"/>
    <w:rsid w:val="00A80850"/>
    <w:rsid w:val="00A81200"/>
    <w:rsid w:val="00A8190E"/>
    <w:rsid w:val="00A819C6"/>
    <w:rsid w:val="00A81E74"/>
    <w:rsid w:val="00A82260"/>
    <w:rsid w:val="00A83632"/>
    <w:rsid w:val="00A84397"/>
    <w:rsid w:val="00A85629"/>
    <w:rsid w:val="00A87880"/>
    <w:rsid w:val="00A90490"/>
    <w:rsid w:val="00A92760"/>
    <w:rsid w:val="00A95273"/>
    <w:rsid w:val="00A964DE"/>
    <w:rsid w:val="00A96EC0"/>
    <w:rsid w:val="00AA0ADA"/>
    <w:rsid w:val="00AA0AE4"/>
    <w:rsid w:val="00AA7DDE"/>
    <w:rsid w:val="00AB0A4A"/>
    <w:rsid w:val="00AB1FA4"/>
    <w:rsid w:val="00AB3016"/>
    <w:rsid w:val="00AB3ED9"/>
    <w:rsid w:val="00AB4F88"/>
    <w:rsid w:val="00AB6328"/>
    <w:rsid w:val="00AC19C7"/>
    <w:rsid w:val="00AC3250"/>
    <w:rsid w:val="00AC71E1"/>
    <w:rsid w:val="00AD19BC"/>
    <w:rsid w:val="00AD2B6A"/>
    <w:rsid w:val="00AD3E2C"/>
    <w:rsid w:val="00AD4839"/>
    <w:rsid w:val="00AD6EDA"/>
    <w:rsid w:val="00AE4CA6"/>
    <w:rsid w:val="00AE761D"/>
    <w:rsid w:val="00AF1715"/>
    <w:rsid w:val="00AF3DE5"/>
    <w:rsid w:val="00AF4410"/>
    <w:rsid w:val="00AF5788"/>
    <w:rsid w:val="00B0166B"/>
    <w:rsid w:val="00B05F69"/>
    <w:rsid w:val="00B06032"/>
    <w:rsid w:val="00B07FB5"/>
    <w:rsid w:val="00B10230"/>
    <w:rsid w:val="00B104A0"/>
    <w:rsid w:val="00B10D68"/>
    <w:rsid w:val="00B11F7A"/>
    <w:rsid w:val="00B120AB"/>
    <w:rsid w:val="00B133A7"/>
    <w:rsid w:val="00B21008"/>
    <w:rsid w:val="00B212D0"/>
    <w:rsid w:val="00B249BC"/>
    <w:rsid w:val="00B340B8"/>
    <w:rsid w:val="00B36A97"/>
    <w:rsid w:val="00B36AD7"/>
    <w:rsid w:val="00B420C8"/>
    <w:rsid w:val="00B42508"/>
    <w:rsid w:val="00B44D21"/>
    <w:rsid w:val="00B462AA"/>
    <w:rsid w:val="00B47C9E"/>
    <w:rsid w:val="00B47EE0"/>
    <w:rsid w:val="00B508C3"/>
    <w:rsid w:val="00B50971"/>
    <w:rsid w:val="00B535EF"/>
    <w:rsid w:val="00B53652"/>
    <w:rsid w:val="00B544D9"/>
    <w:rsid w:val="00B54581"/>
    <w:rsid w:val="00B57F0D"/>
    <w:rsid w:val="00B60E5F"/>
    <w:rsid w:val="00B61E74"/>
    <w:rsid w:val="00B61EAC"/>
    <w:rsid w:val="00B65AE3"/>
    <w:rsid w:val="00B66C2C"/>
    <w:rsid w:val="00B66E3B"/>
    <w:rsid w:val="00B67078"/>
    <w:rsid w:val="00B67AD9"/>
    <w:rsid w:val="00B712CF"/>
    <w:rsid w:val="00B7386E"/>
    <w:rsid w:val="00B73A0A"/>
    <w:rsid w:val="00B73F48"/>
    <w:rsid w:val="00B7466C"/>
    <w:rsid w:val="00B76BB3"/>
    <w:rsid w:val="00B77100"/>
    <w:rsid w:val="00B77EAA"/>
    <w:rsid w:val="00B810D3"/>
    <w:rsid w:val="00B83C61"/>
    <w:rsid w:val="00B840BC"/>
    <w:rsid w:val="00B86E93"/>
    <w:rsid w:val="00B87533"/>
    <w:rsid w:val="00B905CE"/>
    <w:rsid w:val="00B90FDC"/>
    <w:rsid w:val="00B91E2F"/>
    <w:rsid w:val="00B96758"/>
    <w:rsid w:val="00B96922"/>
    <w:rsid w:val="00B96D82"/>
    <w:rsid w:val="00B97575"/>
    <w:rsid w:val="00BA0508"/>
    <w:rsid w:val="00BA3FAE"/>
    <w:rsid w:val="00BA5007"/>
    <w:rsid w:val="00BA516A"/>
    <w:rsid w:val="00BA5CE5"/>
    <w:rsid w:val="00BB0AAE"/>
    <w:rsid w:val="00BB1BF7"/>
    <w:rsid w:val="00BB2E60"/>
    <w:rsid w:val="00BB4516"/>
    <w:rsid w:val="00BB498A"/>
    <w:rsid w:val="00BB55C7"/>
    <w:rsid w:val="00BB59EF"/>
    <w:rsid w:val="00BB6E2F"/>
    <w:rsid w:val="00BB6FC1"/>
    <w:rsid w:val="00BB75CF"/>
    <w:rsid w:val="00BB76A6"/>
    <w:rsid w:val="00BC0275"/>
    <w:rsid w:val="00BC0ACB"/>
    <w:rsid w:val="00BC0ACE"/>
    <w:rsid w:val="00BC2760"/>
    <w:rsid w:val="00BC49ED"/>
    <w:rsid w:val="00BC4E2B"/>
    <w:rsid w:val="00BC5895"/>
    <w:rsid w:val="00BC5A11"/>
    <w:rsid w:val="00BC5C1B"/>
    <w:rsid w:val="00BC6838"/>
    <w:rsid w:val="00BC6F1A"/>
    <w:rsid w:val="00BD17FC"/>
    <w:rsid w:val="00BD199E"/>
    <w:rsid w:val="00BD2206"/>
    <w:rsid w:val="00BD2D18"/>
    <w:rsid w:val="00BD40D7"/>
    <w:rsid w:val="00BD4213"/>
    <w:rsid w:val="00BD45A9"/>
    <w:rsid w:val="00BD4E7B"/>
    <w:rsid w:val="00BD5BCF"/>
    <w:rsid w:val="00BD659B"/>
    <w:rsid w:val="00BD7E3D"/>
    <w:rsid w:val="00BE23E3"/>
    <w:rsid w:val="00BE2F82"/>
    <w:rsid w:val="00BE3C26"/>
    <w:rsid w:val="00BE6A22"/>
    <w:rsid w:val="00BF0B58"/>
    <w:rsid w:val="00BF1220"/>
    <w:rsid w:val="00BF3422"/>
    <w:rsid w:val="00BF3A7A"/>
    <w:rsid w:val="00BF46B0"/>
    <w:rsid w:val="00BF5279"/>
    <w:rsid w:val="00BF75BC"/>
    <w:rsid w:val="00C011F9"/>
    <w:rsid w:val="00C012F0"/>
    <w:rsid w:val="00C02BA2"/>
    <w:rsid w:val="00C04520"/>
    <w:rsid w:val="00C057AE"/>
    <w:rsid w:val="00C0612D"/>
    <w:rsid w:val="00C06174"/>
    <w:rsid w:val="00C07C2B"/>
    <w:rsid w:val="00C118AB"/>
    <w:rsid w:val="00C1231C"/>
    <w:rsid w:val="00C1429D"/>
    <w:rsid w:val="00C14CDC"/>
    <w:rsid w:val="00C14F00"/>
    <w:rsid w:val="00C15F39"/>
    <w:rsid w:val="00C17174"/>
    <w:rsid w:val="00C20B00"/>
    <w:rsid w:val="00C20B37"/>
    <w:rsid w:val="00C25DD7"/>
    <w:rsid w:val="00C316E8"/>
    <w:rsid w:val="00C319F0"/>
    <w:rsid w:val="00C32A87"/>
    <w:rsid w:val="00C350F0"/>
    <w:rsid w:val="00C3514B"/>
    <w:rsid w:val="00C35939"/>
    <w:rsid w:val="00C36BDE"/>
    <w:rsid w:val="00C36CDC"/>
    <w:rsid w:val="00C4142A"/>
    <w:rsid w:val="00C417AE"/>
    <w:rsid w:val="00C44FC6"/>
    <w:rsid w:val="00C4795E"/>
    <w:rsid w:val="00C515DD"/>
    <w:rsid w:val="00C53377"/>
    <w:rsid w:val="00C57261"/>
    <w:rsid w:val="00C60EFE"/>
    <w:rsid w:val="00C61919"/>
    <w:rsid w:val="00C61992"/>
    <w:rsid w:val="00C61A0A"/>
    <w:rsid w:val="00C61D9C"/>
    <w:rsid w:val="00C70713"/>
    <w:rsid w:val="00C72AC8"/>
    <w:rsid w:val="00C73A48"/>
    <w:rsid w:val="00C747C3"/>
    <w:rsid w:val="00C75D8B"/>
    <w:rsid w:val="00C77766"/>
    <w:rsid w:val="00C830E3"/>
    <w:rsid w:val="00C84DEF"/>
    <w:rsid w:val="00C87A56"/>
    <w:rsid w:val="00C9471C"/>
    <w:rsid w:val="00C95197"/>
    <w:rsid w:val="00C952A5"/>
    <w:rsid w:val="00CA0218"/>
    <w:rsid w:val="00CA4594"/>
    <w:rsid w:val="00CA5826"/>
    <w:rsid w:val="00CA5BB6"/>
    <w:rsid w:val="00CB0E0F"/>
    <w:rsid w:val="00CC1D66"/>
    <w:rsid w:val="00CC2FE1"/>
    <w:rsid w:val="00CC45B3"/>
    <w:rsid w:val="00CC68FA"/>
    <w:rsid w:val="00CC701C"/>
    <w:rsid w:val="00CC7120"/>
    <w:rsid w:val="00CD0C7C"/>
    <w:rsid w:val="00CD1F56"/>
    <w:rsid w:val="00CD3C76"/>
    <w:rsid w:val="00CD482E"/>
    <w:rsid w:val="00CD4A75"/>
    <w:rsid w:val="00CD60AC"/>
    <w:rsid w:val="00CD738D"/>
    <w:rsid w:val="00CD78DE"/>
    <w:rsid w:val="00CE00ED"/>
    <w:rsid w:val="00CE0FD4"/>
    <w:rsid w:val="00CE213C"/>
    <w:rsid w:val="00CE502F"/>
    <w:rsid w:val="00CE5408"/>
    <w:rsid w:val="00CE57E6"/>
    <w:rsid w:val="00CE5C0D"/>
    <w:rsid w:val="00CE6059"/>
    <w:rsid w:val="00CE6658"/>
    <w:rsid w:val="00CE6ACD"/>
    <w:rsid w:val="00CE71CC"/>
    <w:rsid w:val="00CF2687"/>
    <w:rsid w:val="00CF7D3C"/>
    <w:rsid w:val="00D000B5"/>
    <w:rsid w:val="00D00800"/>
    <w:rsid w:val="00D02200"/>
    <w:rsid w:val="00D02503"/>
    <w:rsid w:val="00D02E25"/>
    <w:rsid w:val="00D032B5"/>
    <w:rsid w:val="00D04CB4"/>
    <w:rsid w:val="00D05CEB"/>
    <w:rsid w:val="00D0792F"/>
    <w:rsid w:val="00D07A0F"/>
    <w:rsid w:val="00D10347"/>
    <w:rsid w:val="00D11041"/>
    <w:rsid w:val="00D146A6"/>
    <w:rsid w:val="00D172EF"/>
    <w:rsid w:val="00D17536"/>
    <w:rsid w:val="00D17967"/>
    <w:rsid w:val="00D2264F"/>
    <w:rsid w:val="00D25B89"/>
    <w:rsid w:val="00D263AB"/>
    <w:rsid w:val="00D302AD"/>
    <w:rsid w:val="00D31019"/>
    <w:rsid w:val="00D31525"/>
    <w:rsid w:val="00D33721"/>
    <w:rsid w:val="00D4034E"/>
    <w:rsid w:val="00D408C5"/>
    <w:rsid w:val="00D41C8A"/>
    <w:rsid w:val="00D434F9"/>
    <w:rsid w:val="00D44850"/>
    <w:rsid w:val="00D459DC"/>
    <w:rsid w:val="00D45FEE"/>
    <w:rsid w:val="00D467B8"/>
    <w:rsid w:val="00D469F6"/>
    <w:rsid w:val="00D504B0"/>
    <w:rsid w:val="00D529A0"/>
    <w:rsid w:val="00D558A6"/>
    <w:rsid w:val="00D55F54"/>
    <w:rsid w:val="00D613D6"/>
    <w:rsid w:val="00D6628F"/>
    <w:rsid w:val="00D66B69"/>
    <w:rsid w:val="00D66D68"/>
    <w:rsid w:val="00D6741F"/>
    <w:rsid w:val="00D72EC7"/>
    <w:rsid w:val="00D75E34"/>
    <w:rsid w:val="00D81F76"/>
    <w:rsid w:val="00D84ECB"/>
    <w:rsid w:val="00D856E1"/>
    <w:rsid w:val="00D91025"/>
    <w:rsid w:val="00D927D8"/>
    <w:rsid w:val="00D96690"/>
    <w:rsid w:val="00DA3124"/>
    <w:rsid w:val="00DA6D60"/>
    <w:rsid w:val="00DA6D6E"/>
    <w:rsid w:val="00DA73EA"/>
    <w:rsid w:val="00DB3A95"/>
    <w:rsid w:val="00DB6362"/>
    <w:rsid w:val="00DC07F2"/>
    <w:rsid w:val="00DC25BC"/>
    <w:rsid w:val="00DC2A67"/>
    <w:rsid w:val="00DD0025"/>
    <w:rsid w:val="00DD1AC4"/>
    <w:rsid w:val="00DD44FD"/>
    <w:rsid w:val="00DD65F6"/>
    <w:rsid w:val="00DE0134"/>
    <w:rsid w:val="00DE0B25"/>
    <w:rsid w:val="00DE4DEE"/>
    <w:rsid w:val="00DE5F23"/>
    <w:rsid w:val="00DE67B4"/>
    <w:rsid w:val="00DE699B"/>
    <w:rsid w:val="00DF1F01"/>
    <w:rsid w:val="00DF28F4"/>
    <w:rsid w:val="00DF401C"/>
    <w:rsid w:val="00DF5247"/>
    <w:rsid w:val="00E02BC9"/>
    <w:rsid w:val="00E02D91"/>
    <w:rsid w:val="00E03AB1"/>
    <w:rsid w:val="00E03BC5"/>
    <w:rsid w:val="00E03F88"/>
    <w:rsid w:val="00E06E50"/>
    <w:rsid w:val="00E10D2F"/>
    <w:rsid w:val="00E12AA6"/>
    <w:rsid w:val="00E14911"/>
    <w:rsid w:val="00E14F5D"/>
    <w:rsid w:val="00E1596C"/>
    <w:rsid w:val="00E15A7F"/>
    <w:rsid w:val="00E15FED"/>
    <w:rsid w:val="00E20B59"/>
    <w:rsid w:val="00E232CE"/>
    <w:rsid w:val="00E25817"/>
    <w:rsid w:val="00E2626C"/>
    <w:rsid w:val="00E26A34"/>
    <w:rsid w:val="00E302BD"/>
    <w:rsid w:val="00E30B11"/>
    <w:rsid w:val="00E317CF"/>
    <w:rsid w:val="00E33254"/>
    <w:rsid w:val="00E358E0"/>
    <w:rsid w:val="00E35A65"/>
    <w:rsid w:val="00E40D5B"/>
    <w:rsid w:val="00E4143B"/>
    <w:rsid w:val="00E42E35"/>
    <w:rsid w:val="00E43641"/>
    <w:rsid w:val="00E52FF3"/>
    <w:rsid w:val="00E55526"/>
    <w:rsid w:val="00E564F4"/>
    <w:rsid w:val="00E569A9"/>
    <w:rsid w:val="00E606E3"/>
    <w:rsid w:val="00E60EA2"/>
    <w:rsid w:val="00E60F7F"/>
    <w:rsid w:val="00E7125F"/>
    <w:rsid w:val="00E72417"/>
    <w:rsid w:val="00E7262F"/>
    <w:rsid w:val="00E72806"/>
    <w:rsid w:val="00E73D0F"/>
    <w:rsid w:val="00E74438"/>
    <w:rsid w:val="00E76169"/>
    <w:rsid w:val="00E76CCF"/>
    <w:rsid w:val="00E77E08"/>
    <w:rsid w:val="00E821F2"/>
    <w:rsid w:val="00E853B4"/>
    <w:rsid w:val="00E85A77"/>
    <w:rsid w:val="00E90770"/>
    <w:rsid w:val="00E90BB8"/>
    <w:rsid w:val="00E93F54"/>
    <w:rsid w:val="00E95035"/>
    <w:rsid w:val="00E96B68"/>
    <w:rsid w:val="00E97499"/>
    <w:rsid w:val="00E977D5"/>
    <w:rsid w:val="00EA1959"/>
    <w:rsid w:val="00EA2C34"/>
    <w:rsid w:val="00EA3A01"/>
    <w:rsid w:val="00EA518D"/>
    <w:rsid w:val="00EB4354"/>
    <w:rsid w:val="00EB48AE"/>
    <w:rsid w:val="00EB4D3B"/>
    <w:rsid w:val="00EB55A5"/>
    <w:rsid w:val="00EB6AB8"/>
    <w:rsid w:val="00EB724E"/>
    <w:rsid w:val="00EC02D7"/>
    <w:rsid w:val="00EC114A"/>
    <w:rsid w:val="00EC2DF6"/>
    <w:rsid w:val="00EC3342"/>
    <w:rsid w:val="00EC4B66"/>
    <w:rsid w:val="00EC7DFE"/>
    <w:rsid w:val="00ED2D12"/>
    <w:rsid w:val="00ED33C1"/>
    <w:rsid w:val="00ED3D0D"/>
    <w:rsid w:val="00ED43EE"/>
    <w:rsid w:val="00ED5248"/>
    <w:rsid w:val="00ED5713"/>
    <w:rsid w:val="00ED6786"/>
    <w:rsid w:val="00EE1505"/>
    <w:rsid w:val="00EE588D"/>
    <w:rsid w:val="00EF1CBC"/>
    <w:rsid w:val="00EF65F2"/>
    <w:rsid w:val="00F02490"/>
    <w:rsid w:val="00F0380A"/>
    <w:rsid w:val="00F054A4"/>
    <w:rsid w:val="00F1068E"/>
    <w:rsid w:val="00F10843"/>
    <w:rsid w:val="00F1168C"/>
    <w:rsid w:val="00F16149"/>
    <w:rsid w:val="00F1644B"/>
    <w:rsid w:val="00F178FC"/>
    <w:rsid w:val="00F20669"/>
    <w:rsid w:val="00F21914"/>
    <w:rsid w:val="00F231A4"/>
    <w:rsid w:val="00F24DC8"/>
    <w:rsid w:val="00F25054"/>
    <w:rsid w:val="00F2525D"/>
    <w:rsid w:val="00F31641"/>
    <w:rsid w:val="00F32680"/>
    <w:rsid w:val="00F3280F"/>
    <w:rsid w:val="00F335E7"/>
    <w:rsid w:val="00F33BAA"/>
    <w:rsid w:val="00F36F16"/>
    <w:rsid w:val="00F36F53"/>
    <w:rsid w:val="00F37A09"/>
    <w:rsid w:val="00F41735"/>
    <w:rsid w:val="00F43A73"/>
    <w:rsid w:val="00F4430D"/>
    <w:rsid w:val="00F45E5C"/>
    <w:rsid w:val="00F463DF"/>
    <w:rsid w:val="00F50F65"/>
    <w:rsid w:val="00F51369"/>
    <w:rsid w:val="00F52C8A"/>
    <w:rsid w:val="00F53E44"/>
    <w:rsid w:val="00F5414D"/>
    <w:rsid w:val="00F543D7"/>
    <w:rsid w:val="00F54A61"/>
    <w:rsid w:val="00F55866"/>
    <w:rsid w:val="00F559C1"/>
    <w:rsid w:val="00F56574"/>
    <w:rsid w:val="00F56627"/>
    <w:rsid w:val="00F61905"/>
    <w:rsid w:val="00F636D0"/>
    <w:rsid w:val="00F643EB"/>
    <w:rsid w:val="00F64FA2"/>
    <w:rsid w:val="00F65A77"/>
    <w:rsid w:val="00F66C03"/>
    <w:rsid w:val="00F66D4D"/>
    <w:rsid w:val="00F671A4"/>
    <w:rsid w:val="00F674B1"/>
    <w:rsid w:val="00F677DC"/>
    <w:rsid w:val="00F824E3"/>
    <w:rsid w:val="00F83900"/>
    <w:rsid w:val="00F865C3"/>
    <w:rsid w:val="00F867A7"/>
    <w:rsid w:val="00F86B53"/>
    <w:rsid w:val="00F879E0"/>
    <w:rsid w:val="00F9083C"/>
    <w:rsid w:val="00F95CFC"/>
    <w:rsid w:val="00F9748F"/>
    <w:rsid w:val="00FA197C"/>
    <w:rsid w:val="00FA2194"/>
    <w:rsid w:val="00FA3721"/>
    <w:rsid w:val="00FA435F"/>
    <w:rsid w:val="00FA6616"/>
    <w:rsid w:val="00FB04CB"/>
    <w:rsid w:val="00FB1DFA"/>
    <w:rsid w:val="00FB38B3"/>
    <w:rsid w:val="00FB3FB8"/>
    <w:rsid w:val="00FB43B4"/>
    <w:rsid w:val="00FB49ED"/>
    <w:rsid w:val="00FB5119"/>
    <w:rsid w:val="00FC1E90"/>
    <w:rsid w:val="00FC3249"/>
    <w:rsid w:val="00FC4A01"/>
    <w:rsid w:val="00FC4EB2"/>
    <w:rsid w:val="00FD18A8"/>
    <w:rsid w:val="00FD18C8"/>
    <w:rsid w:val="00FD196D"/>
    <w:rsid w:val="00FD1D09"/>
    <w:rsid w:val="00FD2051"/>
    <w:rsid w:val="00FD45B6"/>
    <w:rsid w:val="00FD474A"/>
    <w:rsid w:val="00FD5D01"/>
    <w:rsid w:val="00FD754A"/>
    <w:rsid w:val="00FE1B7E"/>
    <w:rsid w:val="00FE31AB"/>
    <w:rsid w:val="00FE515F"/>
    <w:rsid w:val="00FE51CF"/>
    <w:rsid w:val="00FE5C5A"/>
    <w:rsid w:val="00FE6441"/>
    <w:rsid w:val="00FF0332"/>
    <w:rsid w:val="00FF10BE"/>
    <w:rsid w:val="00FF1C6C"/>
    <w:rsid w:val="00FF325C"/>
    <w:rsid w:val="00FF39FF"/>
    <w:rsid w:val="00FF75F3"/>
    <w:rsid w:val="015B674C"/>
    <w:rsid w:val="02026C26"/>
    <w:rsid w:val="02303BC1"/>
    <w:rsid w:val="02421D02"/>
    <w:rsid w:val="02483BDC"/>
    <w:rsid w:val="025C4769"/>
    <w:rsid w:val="02CC30EC"/>
    <w:rsid w:val="03675EC4"/>
    <w:rsid w:val="03757E97"/>
    <w:rsid w:val="037C1244"/>
    <w:rsid w:val="038F541B"/>
    <w:rsid w:val="03A569EC"/>
    <w:rsid w:val="03A67BD0"/>
    <w:rsid w:val="03E759F6"/>
    <w:rsid w:val="044827BC"/>
    <w:rsid w:val="04511CDD"/>
    <w:rsid w:val="04ED21FD"/>
    <w:rsid w:val="05364BD9"/>
    <w:rsid w:val="053E2EE8"/>
    <w:rsid w:val="05F81055"/>
    <w:rsid w:val="05FB615F"/>
    <w:rsid w:val="068154EF"/>
    <w:rsid w:val="07481817"/>
    <w:rsid w:val="07AC15DD"/>
    <w:rsid w:val="07DC0503"/>
    <w:rsid w:val="08585DDB"/>
    <w:rsid w:val="085C48E0"/>
    <w:rsid w:val="08DE70E6"/>
    <w:rsid w:val="08F972F8"/>
    <w:rsid w:val="090D12BC"/>
    <w:rsid w:val="091A3B11"/>
    <w:rsid w:val="09546F1F"/>
    <w:rsid w:val="095E2327"/>
    <w:rsid w:val="09B92753"/>
    <w:rsid w:val="0A5B0BBF"/>
    <w:rsid w:val="0A6767AA"/>
    <w:rsid w:val="0A7F66C4"/>
    <w:rsid w:val="0B0E42E3"/>
    <w:rsid w:val="0C741652"/>
    <w:rsid w:val="0C886EAB"/>
    <w:rsid w:val="0C9D5047"/>
    <w:rsid w:val="0CCC4FEA"/>
    <w:rsid w:val="0DDC1E79"/>
    <w:rsid w:val="0E3422FD"/>
    <w:rsid w:val="0E51617F"/>
    <w:rsid w:val="0EFB6CCB"/>
    <w:rsid w:val="0FD3043D"/>
    <w:rsid w:val="0FDD306A"/>
    <w:rsid w:val="1082242A"/>
    <w:rsid w:val="108F0808"/>
    <w:rsid w:val="10CD6A2A"/>
    <w:rsid w:val="10D601E5"/>
    <w:rsid w:val="10E243C3"/>
    <w:rsid w:val="110E736D"/>
    <w:rsid w:val="115E01DA"/>
    <w:rsid w:val="117E57CD"/>
    <w:rsid w:val="11916802"/>
    <w:rsid w:val="124451B1"/>
    <w:rsid w:val="129F7F65"/>
    <w:rsid w:val="139D4FEA"/>
    <w:rsid w:val="13A638A2"/>
    <w:rsid w:val="14BA5FDE"/>
    <w:rsid w:val="157306F8"/>
    <w:rsid w:val="15AC7CFD"/>
    <w:rsid w:val="16C50799"/>
    <w:rsid w:val="16CF3EAC"/>
    <w:rsid w:val="16DE1BA1"/>
    <w:rsid w:val="170773AB"/>
    <w:rsid w:val="182A4EC1"/>
    <w:rsid w:val="18A74072"/>
    <w:rsid w:val="18BC198A"/>
    <w:rsid w:val="1923700E"/>
    <w:rsid w:val="193F5BFC"/>
    <w:rsid w:val="19656805"/>
    <w:rsid w:val="1A034039"/>
    <w:rsid w:val="1AC013E5"/>
    <w:rsid w:val="1AE45BF4"/>
    <w:rsid w:val="1B7B2467"/>
    <w:rsid w:val="1C171E7E"/>
    <w:rsid w:val="1CB44893"/>
    <w:rsid w:val="1D5744D2"/>
    <w:rsid w:val="1D692060"/>
    <w:rsid w:val="1DCF29B4"/>
    <w:rsid w:val="1DD04C16"/>
    <w:rsid w:val="1DD7245C"/>
    <w:rsid w:val="1E053855"/>
    <w:rsid w:val="1E862121"/>
    <w:rsid w:val="1E9B5775"/>
    <w:rsid w:val="1EC65D3D"/>
    <w:rsid w:val="1EF67376"/>
    <w:rsid w:val="1F215FE3"/>
    <w:rsid w:val="1F264A2D"/>
    <w:rsid w:val="1F58270D"/>
    <w:rsid w:val="1F8479EA"/>
    <w:rsid w:val="1F8C6741"/>
    <w:rsid w:val="1FE2748A"/>
    <w:rsid w:val="20A622B5"/>
    <w:rsid w:val="211E52E9"/>
    <w:rsid w:val="217A0AE1"/>
    <w:rsid w:val="2190618E"/>
    <w:rsid w:val="239F7C5D"/>
    <w:rsid w:val="23DC56BB"/>
    <w:rsid w:val="24194213"/>
    <w:rsid w:val="24466FD8"/>
    <w:rsid w:val="2530780E"/>
    <w:rsid w:val="25722E52"/>
    <w:rsid w:val="25790933"/>
    <w:rsid w:val="259F0733"/>
    <w:rsid w:val="26414594"/>
    <w:rsid w:val="264B24E8"/>
    <w:rsid w:val="26AA58FC"/>
    <w:rsid w:val="26AE6283"/>
    <w:rsid w:val="26E75C7A"/>
    <w:rsid w:val="279F35CF"/>
    <w:rsid w:val="27B923E1"/>
    <w:rsid w:val="280F3F39"/>
    <w:rsid w:val="284E3083"/>
    <w:rsid w:val="286B52E0"/>
    <w:rsid w:val="289B1FE8"/>
    <w:rsid w:val="289B776E"/>
    <w:rsid w:val="28E31299"/>
    <w:rsid w:val="29656E8C"/>
    <w:rsid w:val="2A3D0B65"/>
    <w:rsid w:val="2B76788E"/>
    <w:rsid w:val="2C250022"/>
    <w:rsid w:val="2C437A62"/>
    <w:rsid w:val="2C853F11"/>
    <w:rsid w:val="2D562E88"/>
    <w:rsid w:val="2D5775CB"/>
    <w:rsid w:val="2D5A518E"/>
    <w:rsid w:val="2D9B7144"/>
    <w:rsid w:val="2DB37590"/>
    <w:rsid w:val="2E2C723F"/>
    <w:rsid w:val="2E7806D6"/>
    <w:rsid w:val="2E8B6E4B"/>
    <w:rsid w:val="2E9A1E93"/>
    <w:rsid w:val="2F59450F"/>
    <w:rsid w:val="30133F8A"/>
    <w:rsid w:val="305F6B65"/>
    <w:rsid w:val="310B120E"/>
    <w:rsid w:val="31172DC7"/>
    <w:rsid w:val="312A519F"/>
    <w:rsid w:val="314978EC"/>
    <w:rsid w:val="31A56EAE"/>
    <w:rsid w:val="31DA09FD"/>
    <w:rsid w:val="321A353F"/>
    <w:rsid w:val="325D030E"/>
    <w:rsid w:val="32B3288D"/>
    <w:rsid w:val="33242123"/>
    <w:rsid w:val="33383B4A"/>
    <w:rsid w:val="337616F8"/>
    <w:rsid w:val="337B409B"/>
    <w:rsid w:val="33993F10"/>
    <w:rsid w:val="339C04F7"/>
    <w:rsid w:val="33BF443E"/>
    <w:rsid w:val="340B3B60"/>
    <w:rsid w:val="34AA3AF4"/>
    <w:rsid w:val="34D003C0"/>
    <w:rsid w:val="34FB152E"/>
    <w:rsid w:val="360B4AD9"/>
    <w:rsid w:val="36C10A15"/>
    <w:rsid w:val="36DA2793"/>
    <w:rsid w:val="378571E0"/>
    <w:rsid w:val="37EB4955"/>
    <w:rsid w:val="37FF425B"/>
    <w:rsid w:val="387D727B"/>
    <w:rsid w:val="39912CD5"/>
    <w:rsid w:val="39BC210B"/>
    <w:rsid w:val="39DD41FD"/>
    <w:rsid w:val="39FF4846"/>
    <w:rsid w:val="3A706705"/>
    <w:rsid w:val="3A92237E"/>
    <w:rsid w:val="3AA40077"/>
    <w:rsid w:val="3AC9576E"/>
    <w:rsid w:val="3B3911ED"/>
    <w:rsid w:val="3B870981"/>
    <w:rsid w:val="3BEA07E6"/>
    <w:rsid w:val="3C07357A"/>
    <w:rsid w:val="3CEC5B03"/>
    <w:rsid w:val="3D215BB7"/>
    <w:rsid w:val="3D9717AA"/>
    <w:rsid w:val="3D9A7321"/>
    <w:rsid w:val="3D9D0A09"/>
    <w:rsid w:val="3DB919A7"/>
    <w:rsid w:val="3E355273"/>
    <w:rsid w:val="3E5E074C"/>
    <w:rsid w:val="3EDA6D49"/>
    <w:rsid w:val="3F504BCE"/>
    <w:rsid w:val="3F942F91"/>
    <w:rsid w:val="3FC02ECB"/>
    <w:rsid w:val="3FC45529"/>
    <w:rsid w:val="40866C82"/>
    <w:rsid w:val="40D72FB1"/>
    <w:rsid w:val="411434DA"/>
    <w:rsid w:val="417465BA"/>
    <w:rsid w:val="421021BD"/>
    <w:rsid w:val="42663814"/>
    <w:rsid w:val="42A561C7"/>
    <w:rsid w:val="42A930FC"/>
    <w:rsid w:val="42DD405D"/>
    <w:rsid w:val="437454B8"/>
    <w:rsid w:val="43A45D39"/>
    <w:rsid w:val="43DB36F4"/>
    <w:rsid w:val="44F0189E"/>
    <w:rsid w:val="45E66ABF"/>
    <w:rsid w:val="463E5127"/>
    <w:rsid w:val="46A11D57"/>
    <w:rsid w:val="46DD1A9B"/>
    <w:rsid w:val="46F446E8"/>
    <w:rsid w:val="47040901"/>
    <w:rsid w:val="470D0EF5"/>
    <w:rsid w:val="473302F3"/>
    <w:rsid w:val="474C67E6"/>
    <w:rsid w:val="47AA1392"/>
    <w:rsid w:val="47AA234B"/>
    <w:rsid w:val="48884680"/>
    <w:rsid w:val="48D56BF5"/>
    <w:rsid w:val="48E15513"/>
    <w:rsid w:val="498D150F"/>
    <w:rsid w:val="49AA39E1"/>
    <w:rsid w:val="49B701BD"/>
    <w:rsid w:val="4A8C3E48"/>
    <w:rsid w:val="4AA743C5"/>
    <w:rsid w:val="4AAA17BF"/>
    <w:rsid w:val="4AB80EF1"/>
    <w:rsid w:val="4ADA02F6"/>
    <w:rsid w:val="4B0762B7"/>
    <w:rsid w:val="4B534ADE"/>
    <w:rsid w:val="4B5F3196"/>
    <w:rsid w:val="4BDE4FE9"/>
    <w:rsid w:val="4BED0452"/>
    <w:rsid w:val="4C0B142A"/>
    <w:rsid w:val="4C4038F0"/>
    <w:rsid w:val="4C7B78B7"/>
    <w:rsid w:val="4C853456"/>
    <w:rsid w:val="4CDE5035"/>
    <w:rsid w:val="4D5E6621"/>
    <w:rsid w:val="4E3F71E0"/>
    <w:rsid w:val="4E684145"/>
    <w:rsid w:val="4F442265"/>
    <w:rsid w:val="4F90367A"/>
    <w:rsid w:val="500945AE"/>
    <w:rsid w:val="50103DE1"/>
    <w:rsid w:val="50CE7F89"/>
    <w:rsid w:val="51347BD0"/>
    <w:rsid w:val="51573E76"/>
    <w:rsid w:val="51A759B5"/>
    <w:rsid w:val="51FF6894"/>
    <w:rsid w:val="521F697C"/>
    <w:rsid w:val="5302663C"/>
    <w:rsid w:val="53113E22"/>
    <w:rsid w:val="53254E69"/>
    <w:rsid w:val="53DF24DA"/>
    <w:rsid w:val="54411E49"/>
    <w:rsid w:val="54442645"/>
    <w:rsid w:val="545B6249"/>
    <w:rsid w:val="54833B28"/>
    <w:rsid w:val="54AB273B"/>
    <w:rsid w:val="54CA13DC"/>
    <w:rsid w:val="54ED4B73"/>
    <w:rsid w:val="55311979"/>
    <w:rsid w:val="558824A7"/>
    <w:rsid w:val="56226FF5"/>
    <w:rsid w:val="56235FF4"/>
    <w:rsid w:val="56737851"/>
    <w:rsid w:val="56A67E9E"/>
    <w:rsid w:val="57593B0B"/>
    <w:rsid w:val="58257AFE"/>
    <w:rsid w:val="585F64F9"/>
    <w:rsid w:val="589B33A9"/>
    <w:rsid w:val="58ED488E"/>
    <w:rsid w:val="58FA1781"/>
    <w:rsid w:val="590E1035"/>
    <w:rsid w:val="5A3612C1"/>
    <w:rsid w:val="5A447A54"/>
    <w:rsid w:val="5A8C717C"/>
    <w:rsid w:val="5AF56A87"/>
    <w:rsid w:val="5B1F5E39"/>
    <w:rsid w:val="5B653FE1"/>
    <w:rsid w:val="5B6E411E"/>
    <w:rsid w:val="5B6F4CBD"/>
    <w:rsid w:val="5BBE839A"/>
    <w:rsid w:val="5C3C5634"/>
    <w:rsid w:val="5C550E7E"/>
    <w:rsid w:val="5CAE778C"/>
    <w:rsid w:val="5D6271B7"/>
    <w:rsid w:val="5D801542"/>
    <w:rsid w:val="5D8F4F70"/>
    <w:rsid w:val="5D9131E9"/>
    <w:rsid w:val="5DC563CE"/>
    <w:rsid w:val="5E457D25"/>
    <w:rsid w:val="5EBD3D5F"/>
    <w:rsid w:val="5F874ED1"/>
    <w:rsid w:val="5FE6602D"/>
    <w:rsid w:val="60097209"/>
    <w:rsid w:val="609A4358"/>
    <w:rsid w:val="60B62814"/>
    <w:rsid w:val="6124336C"/>
    <w:rsid w:val="6145422F"/>
    <w:rsid w:val="625467BC"/>
    <w:rsid w:val="629D7564"/>
    <w:rsid w:val="62DF3560"/>
    <w:rsid w:val="63D96028"/>
    <w:rsid w:val="63E63410"/>
    <w:rsid w:val="64010387"/>
    <w:rsid w:val="64B259E8"/>
    <w:rsid w:val="64CD3F73"/>
    <w:rsid w:val="64E04304"/>
    <w:rsid w:val="657B5EAC"/>
    <w:rsid w:val="66F05FF5"/>
    <w:rsid w:val="67AF0E73"/>
    <w:rsid w:val="67D11A02"/>
    <w:rsid w:val="68021F70"/>
    <w:rsid w:val="68032FD2"/>
    <w:rsid w:val="68674FD7"/>
    <w:rsid w:val="68FC3EC2"/>
    <w:rsid w:val="69037A50"/>
    <w:rsid w:val="691F0BAC"/>
    <w:rsid w:val="69DF751C"/>
    <w:rsid w:val="6A07766D"/>
    <w:rsid w:val="6A225E74"/>
    <w:rsid w:val="6A415567"/>
    <w:rsid w:val="6A457688"/>
    <w:rsid w:val="6A765FC2"/>
    <w:rsid w:val="6AA926A4"/>
    <w:rsid w:val="6AD761A9"/>
    <w:rsid w:val="6B44797C"/>
    <w:rsid w:val="6B5E5141"/>
    <w:rsid w:val="6CAF619F"/>
    <w:rsid w:val="6CDB1437"/>
    <w:rsid w:val="6CE259E9"/>
    <w:rsid w:val="6DA5211F"/>
    <w:rsid w:val="6DB41AFE"/>
    <w:rsid w:val="6DD912B6"/>
    <w:rsid w:val="6DDE7A63"/>
    <w:rsid w:val="6DDF784E"/>
    <w:rsid w:val="6E011F24"/>
    <w:rsid w:val="6E587601"/>
    <w:rsid w:val="6EED6E59"/>
    <w:rsid w:val="6F081D86"/>
    <w:rsid w:val="6F5C4EEC"/>
    <w:rsid w:val="6FAC62A8"/>
    <w:rsid w:val="6FF46638"/>
    <w:rsid w:val="6FFA703E"/>
    <w:rsid w:val="701D6A70"/>
    <w:rsid w:val="702366AF"/>
    <w:rsid w:val="705B6F34"/>
    <w:rsid w:val="70861C0E"/>
    <w:rsid w:val="70BC105E"/>
    <w:rsid w:val="717209D9"/>
    <w:rsid w:val="72365EE2"/>
    <w:rsid w:val="7258372B"/>
    <w:rsid w:val="72D431C1"/>
    <w:rsid w:val="731D17F8"/>
    <w:rsid w:val="73600DF5"/>
    <w:rsid w:val="73BB4C69"/>
    <w:rsid w:val="7476119F"/>
    <w:rsid w:val="74A013B9"/>
    <w:rsid w:val="74D03F39"/>
    <w:rsid w:val="74FE366A"/>
    <w:rsid w:val="75C37BFC"/>
    <w:rsid w:val="75CC60A4"/>
    <w:rsid w:val="760A0EAA"/>
    <w:rsid w:val="762F50EB"/>
    <w:rsid w:val="76A52BBD"/>
    <w:rsid w:val="77081940"/>
    <w:rsid w:val="772C2BCD"/>
    <w:rsid w:val="77CB499F"/>
    <w:rsid w:val="78827754"/>
    <w:rsid w:val="78874D6A"/>
    <w:rsid w:val="78B43864"/>
    <w:rsid w:val="78BD3F18"/>
    <w:rsid w:val="78E91B70"/>
    <w:rsid w:val="790E548B"/>
    <w:rsid w:val="793331D2"/>
    <w:rsid w:val="795E3E9C"/>
    <w:rsid w:val="798D23B3"/>
    <w:rsid w:val="79B34413"/>
    <w:rsid w:val="7AA90E26"/>
    <w:rsid w:val="7AAD666F"/>
    <w:rsid w:val="7B031548"/>
    <w:rsid w:val="7B613FD3"/>
    <w:rsid w:val="7C1B2990"/>
    <w:rsid w:val="7C1C73AB"/>
    <w:rsid w:val="7C5227E7"/>
    <w:rsid w:val="7EFF578B"/>
    <w:rsid w:val="7F9F4B72"/>
    <w:rsid w:val="7FD9225D"/>
    <w:rsid w:val="FF3F00B0"/>
    <w:rsid w:val="FF8FA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46"/>
    <w:qFormat/>
    <w:uiPriority w:val="0"/>
    <w:pPr>
      <w:keepNext/>
      <w:jc w:val="center"/>
      <w:outlineLvl w:val="0"/>
    </w:pPr>
    <w:rPr>
      <w:rFonts w:ascii="楷体_GB2312" w:hAnsi="Times New Roman" w:eastAsia="楷体_GB2312"/>
      <w:sz w:val="28"/>
      <w:szCs w:val="28"/>
    </w:rPr>
  </w:style>
  <w:style w:type="paragraph" w:styleId="3">
    <w:name w:val="heading 2"/>
    <w:basedOn w:val="1"/>
    <w:next w:val="1"/>
    <w:link w:val="47"/>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4">
    <w:name w:val="heading 3"/>
    <w:basedOn w:val="1"/>
    <w:next w:val="5"/>
    <w:link w:val="49"/>
    <w:qFormat/>
    <w:uiPriority w:val="0"/>
    <w:pPr>
      <w:keepNext/>
      <w:keepLines/>
      <w:spacing w:before="260" w:after="260" w:line="416" w:lineRule="auto"/>
      <w:outlineLvl w:val="2"/>
    </w:pPr>
    <w:rPr>
      <w:rFonts w:ascii="Times New Roman" w:hAnsi="Times New Roman"/>
      <w:b/>
      <w:bCs/>
      <w:sz w:val="32"/>
      <w:szCs w:val="32"/>
    </w:rPr>
  </w:style>
  <w:style w:type="paragraph" w:styleId="6">
    <w:name w:val="heading 4"/>
    <w:basedOn w:val="1"/>
    <w:next w:val="5"/>
    <w:link w:val="5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5"/>
    <w:link w:val="51"/>
    <w:qFormat/>
    <w:uiPriority w:val="0"/>
    <w:pPr>
      <w:keepNext/>
      <w:autoSpaceDE w:val="0"/>
      <w:autoSpaceDN w:val="0"/>
      <w:adjustRightInd w:val="0"/>
      <w:outlineLvl w:val="4"/>
    </w:pPr>
    <w:rPr>
      <w:rFonts w:ascii="宋体" w:hAnsi="Times New Roman"/>
      <w:color w:val="000000"/>
      <w:kern w:val="0"/>
      <w:sz w:val="28"/>
      <w:szCs w:val="28"/>
    </w:rPr>
  </w:style>
  <w:style w:type="paragraph" w:styleId="8">
    <w:name w:val="heading 6"/>
    <w:basedOn w:val="1"/>
    <w:next w:val="1"/>
    <w:link w:val="5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53"/>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styleId="10">
    <w:name w:val="heading 8"/>
    <w:basedOn w:val="1"/>
    <w:next w:val="1"/>
    <w:link w:val="5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55"/>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48"/>
    <w:qFormat/>
    <w:uiPriority w:val="0"/>
    <w:pPr>
      <w:ind w:firstLine="420"/>
    </w:pPr>
    <w:rPr>
      <w:rFonts w:ascii="Times New Roman" w:hAnsi="Times New Roman"/>
      <w:szCs w:val="21"/>
    </w:rPr>
  </w:style>
  <w:style w:type="paragraph" w:styleId="12">
    <w:name w:val="List 3"/>
    <w:basedOn w:val="1"/>
    <w:qFormat/>
    <w:uiPriority w:val="0"/>
    <w:pPr>
      <w:ind w:left="100" w:leftChars="400" w:hanging="200" w:hangingChars="200"/>
    </w:pPr>
    <w:rPr>
      <w:rFonts w:ascii="Times New Roman" w:hAnsi="Times New Roman"/>
      <w:szCs w:val="21"/>
    </w:rPr>
  </w:style>
  <w:style w:type="paragraph" w:styleId="13">
    <w:name w:val="Document Map"/>
    <w:basedOn w:val="1"/>
    <w:link w:val="56"/>
    <w:qFormat/>
    <w:uiPriority w:val="0"/>
    <w:pPr>
      <w:shd w:val="clear" w:color="auto" w:fill="000080"/>
    </w:pPr>
    <w:rPr>
      <w:rFonts w:ascii="Times New Roman" w:hAnsi="Times New Roman"/>
      <w:szCs w:val="21"/>
    </w:rPr>
  </w:style>
  <w:style w:type="paragraph" w:styleId="14">
    <w:name w:val="annotation text"/>
    <w:basedOn w:val="1"/>
    <w:unhideWhenUsed/>
    <w:qFormat/>
    <w:uiPriority w:val="99"/>
    <w:rPr>
      <w:szCs w:val="22"/>
    </w:rPr>
  </w:style>
  <w:style w:type="paragraph" w:styleId="15">
    <w:name w:val="Body Text 3"/>
    <w:basedOn w:val="1"/>
    <w:link w:val="57"/>
    <w:qFormat/>
    <w:uiPriority w:val="0"/>
    <w:rPr>
      <w:rFonts w:ascii="仿宋_GB2312" w:hAnsi="Arial" w:eastAsia="仿宋_GB2312"/>
      <w:sz w:val="32"/>
      <w:szCs w:val="32"/>
    </w:rPr>
  </w:style>
  <w:style w:type="paragraph" w:styleId="16">
    <w:name w:val="Body Text"/>
    <w:basedOn w:val="1"/>
    <w:link w:val="58"/>
    <w:qFormat/>
    <w:uiPriority w:val="0"/>
    <w:rPr>
      <w:rFonts w:ascii="楷体_GB2312" w:hAnsi="Arial" w:eastAsia="楷体_GB2312"/>
      <w:sz w:val="28"/>
      <w:szCs w:val="28"/>
    </w:rPr>
  </w:style>
  <w:style w:type="paragraph" w:styleId="17">
    <w:name w:val="Body Text Indent"/>
    <w:basedOn w:val="1"/>
    <w:next w:val="18"/>
    <w:link w:val="59"/>
    <w:qFormat/>
    <w:uiPriority w:val="0"/>
    <w:pPr>
      <w:spacing w:after="120"/>
      <w:ind w:left="420" w:leftChars="200"/>
    </w:pPr>
    <w:rPr>
      <w:rFonts w:ascii="Times New Roman" w:hAnsi="Times New Roman"/>
      <w:szCs w:val="21"/>
    </w:rPr>
  </w:style>
  <w:style w:type="paragraph" w:styleId="18">
    <w:name w:val="envelope return"/>
    <w:basedOn w:val="1"/>
    <w:qFormat/>
    <w:uiPriority w:val="0"/>
    <w:pPr>
      <w:snapToGrid w:val="0"/>
    </w:pPr>
    <w:rPr>
      <w:rFonts w:ascii="Arial" w:hAnsi="Arial" w:cs="Arial"/>
      <w:szCs w:val="24"/>
    </w:rPr>
  </w:style>
  <w:style w:type="paragraph" w:styleId="19">
    <w:name w:val="List 2"/>
    <w:basedOn w:val="1"/>
    <w:qFormat/>
    <w:uiPriority w:val="0"/>
    <w:pPr>
      <w:ind w:left="100" w:leftChars="200" w:hanging="200" w:hangingChars="200"/>
    </w:pPr>
    <w:rPr>
      <w:rFonts w:ascii="Times New Roman" w:hAnsi="Times New Roman"/>
      <w:szCs w:val="21"/>
    </w:rPr>
  </w:style>
  <w:style w:type="paragraph" w:styleId="20">
    <w:name w:val="index 4"/>
    <w:basedOn w:val="1"/>
    <w:next w:val="1"/>
    <w:qFormat/>
    <w:uiPriority w:val="0"/>
    <w:pPr>
      <w:ind w:left="1260"/>
    </w:pPr>
    <w:rPr>
      <w:rFonts w:ascii="Times New Roman" w:hAnsi="Times New Roman"/>
    </w:rPr>
  </w:style>
  <w:style w:type="paragraph" w:styleId="21">
    <w:name w:val="toc 3"/>
    <w:basedOn w:val="1"/>
    <w:next w:val="1"/>
    <w:qFormat/>
    <w:uiPriority w:val="0"/>
    <w:pPr>
      <w:ind w:left="420"/>
      <w:jc w:val="left"/>
    </w:pPr>
    <w:rPr>
      <w:i/>
      <w:iCs/>
      <w:sz w:val="20"/>
    </w:rPr>
  </w:style>
  <w:style w:type="paragraph" w:styleId="22">
    <w:name w:val="Plain Text"/>
    <w:basedOn w:val="1"/>
    <w:link w:val="60"/>
    <w:qFormat/>
    <w:uiPriority w:val="0"/>
    <w:rPr>
      <w:rFonts w:ascii="宋体" w:hAnsi="Courier New" w:cs="Courier New"/>
      <w:szCs w:val="21"/>
    </w:rPr>
  </w:style>
  <w:style w:type="paragraph" w:styleId="23">
    <w:name w:val="Date"/>
    <w:basedOn w:val="1"/>
    <w:next w:val="1"/>
    <w:link w:val="61"/>
    <w:qFormat/>
    <w:uiPriority w:val="0"/>
    <w:rPr>
      <w:rFonts w:ascii="Times New Roman" w:hAnsi="Times New Roman"/>
      <w:sz w:val="24"/>
      <w:szCs w:val="24"/>
    </w:rPr>
  </w:style>
  <w:style w:type="paragraph" w:styleId="24">
    <w:name w:val="Body Text Indent 2"/>
    <w:basedOn w:val="1"/>
    <w:link w:val="62"/>
    <w:qFormat/>
    <w:uiPriority w:val="0"/>
    <w:pPr>
      <w:ind w:left="630" w:firstLine="645"/>
    </w:pPr>
    <w:rPr>
      <w:rFonts w:ascii="Arial" w:hAnsi="Arial" w:eastAsia="仿宋_GB2312"/>
      <w:sz w:val="32"/>
      <w:szCs w:val="32"/>
    </w:rPr>
  </w:style>
  <w:style w:type="paragraph" w:styleId="25">
    <w:name w:val="Balloon Text"/>
    <w:basedOn w:val="1"/>
    <w:link w:val="63"/>
    <w:unhideWhenUsed/>
    <w:qFormat/>
    <w:uiPriority w:val="99"/>
    <w:rPr>
      <w:rFonts w:ascii="Times New Roman" w:hAnsi="Times New Roman"/>
      <w:sz w:val="18"/>
      <w:szCs w:val="18"/>
    </w:rPr>
  </w:style>
  <w:style w:type="paragraph" w:styleId="26">
    <w:name w:val="footer"/>
    <w:basedOn w:val="1"/>
    <w:link w:val="64"/>
    <w:qFormat/>
    <w:uiPriority w:val="0"/>
    <w:pPr>
      <w:tabs>
        <w:tab w:val="center" w:pos="4153"/>
        <w:tab w:val="right" w:pos="8306"/>
      </w:tabs>
      <w:snapToGrid w:val="0"/>
      <w:jc w:val="left"/>
    </w:pPr>
    <w:rPr>
      <w:rFonts w:ascii="Times New Roman" w:hAnsi="Times New Roman"/>
      <w:sz w:val="18"/>
    </w:rPr>
  </w:style>
  <w:style w:type="paragraph" w:styleId="27">
    <w:name w:val="header"/>
    <w:basedOn w:val="1"/>
    <w:link w:val="6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8">
    <w:name w:val="toc 1"/>
    <w:basedOn w:val="1"/>
    <w:next w:val="1"/>
    <w:qFormat/>
    <w:uiPriority w:val="39"/>
    <w:pPr>
      <w:spacing w:before="120" w:after="120"/>
      <w:jc w:val="left"/>
    </w:pPr>
    <w:rPr>
      <w:b/>
      <w:bCs/>
      <w:caps/>
      <w:sz w:val="20"/>
    </w:rPr>
  </w:style>
  <w:style w:type="paragraph" w:styleId="29">
    <w:name w:val="List"/>
    <w:basedOn w:val="1"/>
    <w:qFormat/>
    <w:uiPriority w:val="0"/>
    <w:pPr>
      <w:ind w:left="200" w:hanging="200" w:hangingChars="200"/>
    </w:pPr>
    <w:rPr>
      <w:rFonts w:ascii="Times New Roman" w:hAnsi="Times New Roman"/>
      <w:szCs w:val="21"/>
    </w:rPr>
  </w:style>
  <w:style w:type="paragraph" w:styleId="30">
    <w:name w:val="Body Text Indent 3"/>
    <w:basedOn w:val="1"/>
    <w:link w:val="66"/>
    <w:qFormat/>
    <w:uiPriority w:val="0"/>
    <w:pPr>
      <w:ind w:left="645" w:firstLine="645"/>
    </w:pPr>
    <w:rPr>
      <w:rFonts w:ascii="Arial" w:hAnsi="Arial" w:eastAsia="仿宋_GB2312"/>
      <w:color w:val="FFFF00"/>
      <w:sz w:val="32"/>
      <w:szCs w:val="32"/>
    </w:rPr>
  </w:style>
  <w:style w:type="paragraph" w:styleId="31">
    <w:name w:val="toc 2"/>
    <w:basedOn w:val="1"/>
    <w:next w:val="1"/>
    <w:qFormat/>
    <w:uiPriority w:val="0"/>
    <w:pPr>
      <w:ind w:left="210"/>
      <w:jc w:val="left"/>
    </w:pPr>
    <w:rPr>
      <w:smallCaps/>
      <w:sz w:val="20"/>
    </w:rPr>
  </w:style>
  <w:style w:type="paragraph" w:styleId="32">
    <w:name w:val="Body Text 2"/>
    <w:basedOn w:val="1"/>
    <w:link w:val="67"/>
    <w:qFormat/>
    <w:uiPriority w:val="0"/>
    <w:pPr>
      <w:widowControl/>
      <w:jc w:val="center"/>
    </w:pPr>
    <w:rPr>
      <w:rFonts w:ascii="楷体_GB2312" w:hAnsi="Times New Roman" w:eastAsia="楷体_GB2312"/>
      <w:sz w:val="28"/>
      <w:szCs w:val="28"/>
    </w:rPr>
  </w:style>
  <w:style w:type="paragraph" w:styleId="33">
    <w:name w:val="HTML Preformatted"/>
    <w:basedOn w:val="1"/>
    <w:link w:val="6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kern w:val="0"/>
      <w:sz w:val="24"/>
      <w:szCs w:val="24"/>
    </w:rPr>
  </w:style>
  <w:style w:type="paragraph" w:styleId="34">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35">
    <w:name w:val="index 1"/>
    <w:basedOn w:val="1"/>
    <w:next w:val="1"/>
    <w:qFormat/>
    <w:uiPriority w:val="0"/>
    <w:pPr>
      <w:spacing w:line="240" w:lineRule="atLeast"/>
    </w:pPr>
    <w:rPr>
      <w:rFonts w:ascii="Times New Roman" w:hAnsi="Times New Roman"/>
      <w:b/>
      <w:bCs/>
      <w:szCs w:val="21"/>
    </w:rPr>
  </w:style>
  <w:style w:type="paragraph" w:styleId="36">
    <w:name w:val="Title"/>
    <w:basedOn w:val="1"/>
    <w:link w:val="69"/>
    <w:qFormat/>
    <w:uiPriority w:val="0"/>
    <w:pPr>
      <w:spacing w:before="240" w:after="60"/>
      <w:jc w:val="center"/>
      <w:outlineLvl w:val="0"/>
    </w:pPr>
    <w:rPr>
      <w:rFonts w:ascii="Arial" w:hAnsi="Arial"/>
      <w:b/>
      <w:bCs/>
      <w:sz w:val="32"/>
      <w:szCs w:val="32"/>
    </w:rPr>
  </w:style>
  <w:style w:type="paragraph" w:styleId="37">
    <w:name w:val="Body Text First Indent"/>
    <w:basedOn w:val="16"/>
    <w:link w:val="70"/>
    <w:qFormat/>
    <w:uiPriority w:val="0"/>
    <w:pPr>
      <w:spacing w:line="360" w:lineRule="auto"/>
      <w:ind w:firstLine="200" w:firstLineChars="200"/>
    </w:pPr>
    <w:rPr>
      <w:rFonts w:ascii="仿宋_GB2312" w:hAnsi="Times New Roman" w:eastAsia="仿宋_GB2312"/>
      <w:sz w:val="30"/>
      <w:szCs w:val="30"/>
    </w:rPr>
  </w:style>
  <w:style w:type="paragraph" w:styleId="38">
    <w:name w:val="Body Text First Indent 2"/>
    <w:basedOn w:val="17"/>
    <w:link w:val="71"/>
    <w:qFormat/>
    <w:uiPriority w:val="0"/>
    <w:pPr>
      <w:spacing w:after="0" w:line="360" w:lineRule="auto"/>
      <w:ind w:left="0" w:leftChars="0" w:firstLine="420" w:firstLineChars="200"/>
    </w:pPr>
    <w:rPr>
      <w:rFonts w:ascii="宋体" w:hAnsi="宋体"/>
    </w:rPr>
  </w:style>
  <w:style w:type="table" w:styleId="40">
    <w:name w:val="Table Grid"/>
    <w:basedOn w:val="3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2">
    <w:name w:val="Strong"/>
    <w:basedOn w:val="41"/>
    <w:qFormat/>
    <w:uiPriority w:val="0"/>
    <w:rPr>
      <w:rFonts w:ascii="Times New Roman" w:hAnsi="Times New Roman" w:eastAsia="宋体" w:cs="Times New Roman"/>
      <w:b/>
      <w:bCs/>
    </w:rPr>
  </w:style>
  <w:style w:type="character" w:styleId="43">
    <w:name w:val="page number"/>
    <w:qFormat/>
    <w:uiPriority w:val="0"/>
    <w:rPr>
      <w:rFonts w:ascii="Times New Roman" w:hAnsi="Times New Roman" w:eastAsia="宋体" w:cs="Times New Roman"/>
    </w:rPr>
  </w:style>
  <w:style w:type="character" w:styleId="44">
    <w:name w:val="FollowedHyperlink"/>
    <w:qFormat/>
    <w:uiPriority w:val="0"/>
    <w:rPr>
      <w:rFonts w:ascii="Times New Roman" w:hAnsi="Times New Roman" w:eastAsia="宋体" w:cs="Times New Roman"/>
      <w:color w:val="800080"/>
      <w:u w:val="single"/>
    </w:rPr>
  </w:style>
  <w:style w:type="character" w:styleId="45">
    <w:name w:val="Hyperlink"/>
    <w:qFormat/>
    <w:uiPriority w:val="99"/>
    <w:rPr>
      <w:rFonts w:ascii="Times New Roman" w:hAnsi="Times New Roman" w:eastAsia="宋体" w:cs="Times New Roman"/>
      <w:color w:val="0000FF"/>
      <w:u w:val="single"/>
    </w:rPr>
  </w:style>
  <w:style w:type="character" w:customStyle="1" w:styleId="46">
    <w:name w:val="标题 1 字符"/>
    <w:link w:val="2"/>
    <w:qFormat/>
    <w:uiPriority w:val="9"/>
    <w:rPr>
      <w:rFonts w:ascii="楷体_GB2312" w:hAnsi="Times New Roman" w:eastAsia="楷体_GB2312" w:cs="Times New Roman"/>
      <w:kern w:val="2"/>
      <w:sz w:val="28"/>
      <w:szCs w:val="28"/>
    </w:rPr>
  </w:style>
  <w:style w:type="character" w:customStyle="1" w:styleId="47">
    <w:name w:val="标题 2 字符"/>
    <w:link w:val="3"/>
    <w:qFormat/>
    <w:uiPriority w:val="0"/>
    <w:rPr>
      <w:rFonts w:ascii="Arial" w:hAnsi="Arial" w:eastAsia="幼圆" w:cs="Arial"/>
      <w:b/>
      <w:bCs/>
      <w:kern w:val="2"/>
      <w:sz w:val="44"/>
      <w:szCs w:val="44"/>
      <w:lang w:val="en-US" w:eastAsia="zh-CN" w:bidi="ar-SA"/>
    </w:rPr>
  </w:style>
  <w:style w:type="character" w:customStyle="1" w:styleId="48">
    <w:name w:val="正文缩进 字符"/>
    <w:link w:val="5"/>
    <w:qFormat/>
    <w:uiPriority w:val="0"/>
    <w:rPr>
      <w:rFonts w:ascii="Times New Roman" w:hAnsi="Times New Roman" w:eastAsia="宋体" w:cs="Times New Roman"/>
      <w:kern w:val="2"/>
      <w:sz w:val="21"/>
      <w:szCs w:val="21"/>
      <w:lang w:val="en-US" w:eastAsia="zh-CN" w:bidi="ar-SA"/>
    </w:rPr>
  </w:style>
  <w:style w:type="character" w:customStyle="1" w:styleId="49">
    <w:name w:val="标题 3 字符"/>
    <w:link w:val="4"/>
    <w:qFormat/>
    <w:uiPriority w:val="0"/>
    <w:rPr>
      <w:rFonts w:ascii="Times New Roman" w:hAnsi="Times New Roman" w:eastAsia="宋体" w:cs="Times New Roman"/>
      <w:b/>
      <w:bCs/>
      <w:kern w:val="2"/>
      <w:sz w:val="32"/>
      <w:szCs w:val="32"/>
      <w:lang w:val="en-US" w:eastAsia="zh-CN" w:bidi="ar-SA"/>
    </w:rPr>
  </w:style>
  <w:style w:type="character" w:customStyle="1" w:styleId="50">
    <w:name w:val="标题 4 字符"/>
    <w:link w:val="6"/>
    <w:qFormat/>
    <w:uiPriority w:val="0"/>
    <w:rPr>
      <w:rFonts w:ascii="Arial" w:hAnsi="Arial" w:eastAsia="黑体" w:cs="Arial"/>
      <w:b/>
      <w:bCs/>
      <w:kern w:val="2"/>
      <w:sz w:val="28"/>
      <w:szCs w:val="28"/>
    </w:rPr>
  </w:style>
  <w:style w:type="character" w:customStyle="1" w:styleId="51">
    <w:name w:val="标题 5 字符"/>
    <w:link w:val="7"/>
    <w:qFormat/>
    <w:uiPriority w:val="0"/>
    <w:rPr>
      <w:rFonts w:ascii="宋体" w:hAnsi="Times New Roman" w:eastAsia="宋体" w:cs="Times New Roman"/>
      <w:color w:val="000000"/>
      <w:sz w:val="28"/>
      <w:szCs w:val="28"/>
    </w:rPr>
  </w:style>
  <w:style w:type="character" w:customStyle="1" w:styleId="52">
    <w:name w:val="标题 6 字符"/>
    <w:link w:val="8"/>
    <w:qFormat/>
    <w:uiPriority w:val="0"/>
    <w:rPr>
      <w:rFonts w:ascii="Arial" w:hAnsi="Arial" w:eastAsia="黑体" w:cs="Times New Roman"/>
      <w:b/>
      <w:bCs/>
      <w:kern w:val="2"/>
      <w:sz w:val="24"/>
      <w:szCs w:val="24"/>
    </w:rPr>
  </w:style>
  <w:style w:type="character" w:customStyle="1" w:styleId="53">
    <w:name w:val="标题 7 字符"/>
    <w:link w:val="9"/>
    <w:qFormat/>
    <w:uiPriority w:val="0"/>
    <w:rPr>
      <w:rFonts w:ascii="Times New Roman" w:hAnsi="Times New Roman" w:eastAsia="宋体" w:cs="Times New Roman"/>
      <w:b/>
      <w:bCs/>
      <w:kern w:val="2"/>
      <w:sz w:val="24"/>
      <w:szCs w:val="24"/>
    </w:rPr>
  </w:style>
  <w:style w:type="character" w:customStyle="1" w:styleId="54">
    <w:name w:val="标题 8 字符"/>
    <w:link w:val="10"/>
    <w:qFormat/>
    <w:uiPriority w:val="0"/>
    <w:rPr>
      <w:rFonts w:ascii="Arial" w:hAnsi="Arial" w:eastAsia="黑体" w:cs="Times New Roman"/>
      <w:kern w:val="2"/>
      <w:sz w:val="24"/>
      <w:szCs w:val="24"/>
    </w:rPr>
  </w:style>
  <w:style w:type="character" w:customStyle="1" w:styleId="55">
    <w:name w:val="标题 9 字符"/>
    <w:link w:val="11"/>
    <w:qFormat/>
    <w:uiPriority w:val="0"/>
    <w:rPr>
      <w:rFonts w:ascii="Arial" w:hAnsi="Arial" w:eastAsia="黑体" w:cs="Times New Roman"/>
      <w:kern w:val="2"/>
      <w:sz w:val="21"/>
      <w:szCs w:val="21"/>
    </w:rPr>
  </w:style>
  <w:style w:type="character" w:customStyle="1" w:styleId="56">
    <w:name w:val="文档结构图 字符"/>
    <w:link w:val="13"/>
    <w:qFormat/>
    <w:uiPriority w:val="0"/>
    <w:rPr>
      <w:rFonts w:ascii="Times New Roman" w:hAnsi="Times New Roman" w:eastAsia="宋体" w:cs="Times New Roman"/>
      <w:kern w:val="2"/>
      <w:sz w:val="21"/>
      <w:szCs w:val="21"/>
      <w:shd w:val="clear" w:color="auto" w:fill="000080"/>
    </w:rPr>
  </w:style>
  <w:style w:type="character" w:customStyle="1" w:styleId="57">
    <w:name w:val="正文文本 3 字符"/>
    <w:link w:val="15"/>
    <w:qFormat/>
    <w:uiPriority w:val="0"/>
    <w:rPr>
      <w:rFonts w:ascii="仿宋_GB2312" w:hAnsi="Arial" w:eastAsia="仿宋_GB2312" w:cs="Times New Roman"/>
      <w:kern w:val="2"/>
      <w:sz w:val="32"/>
      <w:szCs w:val="32"/>
    </w:rPr>
  </w:style>
  <w:style w:type="character" w:customStyle="1" w:styleId="58">
    <w:name w:val="正文文本 字符"/>
    <w:link w:val="16"/>
    <w:qFormat/>
    <w:uiPriority w:val="0"/>
    <w:rPr>
      <w:rFonts w:ascii="楷体_GB2312" w:hAnsi="Arial" w:eastAsia="楷体_GB2312" w:cs="Times New Roman"/>
      <w:kern w:val="2"/>
      <w:sz w:val="28"/>
      <w:szCs w:val="28"/>
    </w:rPr>
  </w:style>
  <w:style w:type="character" w:customStyle="1" w:styleId="59">
    <w:name w:val="正文文本缩进 字符"/>
    <w:link w:val="17"/>
    <w:qFormat/>
    <w:uiPriority w:val="0"/>
    <w:rPr>
      <w:rFonts w:ascii="Times New Roman" w:hAnsi="Times New Roman" w:eastAsia="宋体" w:cs="Times New Roman"/>
      <w:kern w:val="2"/>
      <w:sz w:val="21"/>
      <w:szCs w:val="21"/>
    </w:rPr>
  </w:style>
  <w:style w:type="character" w:customStyle="1" w:styleId="60">
    <w:name w:val="纯文本 字符"/>
    <w:link w:val="22"/>
    <w:qFormat/>
    <w:uiPriority w:val="0"/>
    <w:rPr>
      <w:rFonts w:ascii="宋体" w:hAnsi="Courier New" w:eastAsia="宋体" w:cs="Courier New"/>
      <w:kern w:val="2"/>
      <w:sz w:val="21"/>
      <w:szCs w:val="21"/>
      <w:lang w:val="en-US" w:eastAsia="zh-CN" w:bidi="ar-SA"/>
    </w:rPr>
  </w:style>
  <w:style w:type="character" w:customStyle="1" w:styleId="61">
    <w:name w:val="日期 字符"/>
    <w:link w:val="23"/>
    <w:qFormat/>
    <w:uiPriority w:val="0"/>
    <w:rPr>
      <w:rFonts w:ascii="Times New Roman" w:hAnsi="Times New Roman" w:eastAsia="宋体" w:cs="Times New Roman"/>
      <w:kern w:val="2"/>
      <w:sz w:val="24"/>
      <w:szCs w:val="24"/>
    </w:rPr>
  </w:style>
  <w:style w:type="character" w:customStyle="1" w:styleId="62">
    <w:name w:val="正文文本缩进 2 字符"/>
    <w:link w:val="24"/>
    <w:qFormat/>
    <w:uiPriority w:val="0"/>
    <w:rPr>
      <w:rFonts w:ascii="Arial" w:hAnsi="Arial" w:eastAsia="仿宋_GB2312" w:cs="Arial"/>
      <w:kern w:val="2"/>
      <w:sz w:val="32"/>
      <w:szCs w:val="32"/>
    </w:rPr>
  </w:style>
  <w:style w:type="character" w:customStyle="1" w:styleId="63">
    <w:name w:val="批注框文本 字符"/>
    <w:link w:val="25"/>
    <w:semiHidden/>
    <w:qFormat/>
    <w:uiPriority w:val="99"/>
    <w:rPr>
      <w:rFonts w:ascii="Times New Roman" w:hAnsi="Times New Roman" w:eastAsia="宋体" w:cs="Times New Roman"/>
      <w:kern w:val="2"/>
      <w:sz w:val="18"/>
      <w:szCs w:val="18"/>
    </w:rPr>
  </w:style>
  <w:style w:type="character" w:customStyle="1" w:styleId="64">
    <w:name w:val="页脚 字符"/>
    <w:link w:val="26"/>
    <w:qFormat/>
    <w:uiPriority w:val="0"/>
    <w:rPr>
      <w:rFonts w:ascii="Times New Roman" w:hAnsi="Times New Roman" w:eastAsia="宋体" w:cs="Times New Roman"/>
      <w:kern w:val="2"/>
      <w:sz w:val="18"/>
      <w:lang w:val="en-US" w:eastAsia="zh-CN" w:bidi="ar-SA"/>
    </w:rPr>
  </w:style>
  <w:style w:type="character" w:customStyle="1" w:styleId="65">
    <w:name w:val="页眉 字符"/>
    <w:link w:val="27"/>
    <w:qFormat/>
    <w:uiPriority w:val="0"/>
    <w:rPr>
      <w:rFonts w:ascii="Times New Roman" w:hAnsi="Times New Roman" w:eastAsia="宋体" w:cs="Times New Roman"/>
      <w:kern w:val="2"/>
      <w:sz w:val="18"/>
    </w:rPr>
  </w:style>
  <w:style w:type="character" w:customStyle="1" w:styleId="66">
    <w:name w:val="正文文本缩进 3 字符"/>
    <w:link w:val="30"/>
    <w:qFormat/>
    <w:uiPriority w:val="0"/>
    <w:rPr>
      <w:rFonts w:ascii="Arial" w:hAnsi="Arial" w:eastAsia="仿宋_GB2312" w:cs="Arial"/>
      <w:color w:val="FFFF00"/>
      <w:kern w:val="2"/>
      <w:sz w:val="32"/>
      <w:szCs w:val="32"/>
    </w:rPr>
  </w:style>
  <w:style w:type="character" w:customStyle="1" w:styleId="67">
    <w:name w:val="正文文本 2 字符"/>
    <w:link w:val="32"/>
    <w:qFormat/>
    <w:uiPriority w:val="0"/>
    <w:rPr>
      <w:rFonts w:ascii="楷体_GB2312" w:hAnsi="Times New Roman" w:eastAsia="楷体_GB2312" w:cs="Times New Roman"/>
      <w:kern w:val="2"/>
      <w:sz w:val="28"/>
      <w:szCs w:val="28"/>
    </w:rPr>
  </w:style>
  <w:style w:type="character" w:customStyle="1" w:styleId="68">
    <w:name w:val="HTML 预设格式 字符"/>
    <w:link w:val="33"/>
    <w:qFormat/>
    <w:uiPriority w:val="0"/>
    <w:rPr>
      <w:rFonts w:ascii="微软雅黑" w:hAnsi="微软雅黑" w:eastAsia="宋体" w:cs="Arial"/>
      <w:sz w:val="24"/>
      <w:szCs w:val="24"/>
    </w:rPr>
  </w:style>
  <w:style w:type="character" w:customStyle="1" w:styleId="69">
    <w:name w:val="标题 字符"/>
    <w:link w:val="36"/>
    <w:qFormat/>
    <w:uiPriority w:val="0"/>
    <w:rPr>
      <w:rFonts w:ascii="Arial" w:hAnsi="Arial" w:eastAsia="宋体" w:cs="Arial"/>
      <w:b/>
      <w:bCs/>
      <w:kern w:val="2"/>
      <w:sz w:val="32"/>
      <w:szCs w:val="32"/>
    </w:rPr>
  </w:style>
  <w:style w:type="character" w:customStyle="1" w:styleId="70">
    <w:name w:val="正文文本首行缩进 字符"/>
    <w:link w:val="37"/>
    <w:qFormat/>
    <w:uiPriority w:val="0"/>
    <w:rPr>
      <w:rFonts w:ascii="仿宋_GB2312" w:hAnsi="Times New Roman" w:eastAsia="仿宋_GB2312" w:cs="Times New Roman"/>
      <w:kern w:val="2"/>
      <w:sz w:val="30"/>
      <w:szCs w:val="30"/>
    </w:rPr>
  </w:style>
  <w:style w:type="character" w:customStyle="1" w:styleId="71">
    <w:name w:val="正文文本首行缩进 2 字符"/>
    <w:link w:val="38"/>
    <w:qFormat/>
    <w:uiPriority w:val="0"/>
    <w:rPr>
      <w:rFonts w:ascii="宋体" w:hAnsi="宋体" w:eastAsia="宋体" w:cs="Times New Roman"/>
      <w:kern w:val="2"/>
      <w:sz w:val="21"/>
      <w:szCs w:val="21"/>
    </w:rPr>
  </w:style>
  <w:style w:type="paragraph" w:customStyle="1" w:styleId="72">
    <w:name w:val="_Style 3"/>
    <w:next w:val="30"/>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73">
    <w:name w:val="正文缩进 Char"/>
    <w:qFormat/>
    <w:uiPriority w:val="0"/>
    <w:rPr>
      <w:rFonts w:ascii="Times New Roman" w:hAnsi="Times New Roman" w:eastAsia="宋体" w:cs="Times New Roman"/>
      <w:kern w:val="2"/>
      <w:sz w:val="21"/>
      <w:lang w:val="en-US" w:eastAsia="zh-CN" w:bidi="ar-SA"/>
    </w:rPr>
  </w:style>
  <w:style w:type="character" w:customStyle="1" w:styleId="74">
    <w:name w:val="纯文本 Char Char1"/>
    <w:qFormat/>
    <w:uiPriority w:val="0"/>
    <w:rPr>
      <w:rFonts w:ascii="宋体" w:hAnsi="Courier New" w:eastAsia="宋体" w:cs="Times New Roman"/>
      <w:kern w:val="2"/>
      <w:sz w:val="21"/>
      <w:szCs w:val="21"/>
      <w:lang w:bidi="ar-SA"/>
    </w:rPr>
  </w:style>
  <w:style w:type="character" w:customStyle="1" w:styleId="75">
    <w:name w:val="ALT+Z Char"/>
    <w:qFormat/>
    <w:uiPriority w:val="0"/>
    <w:rPr>
      <w:rFonts w:ascii="Times New Roman" w:hAnsi="Times New Roman" w:eastAsia="宋体" w:cs="Times New Roman"/>
      <w:kern w:val="2"/>
      <w:sz w:val="21"/>
      <w:szCs w:val="21"/>
      <w:lang w:bidi="ar-SA"/>
    </w:rPr>
  </w:style>
  <w:style w:type="character" w:customStyle="1" w:styleId="76">
    <w:name w:val="style21"/>
    <w:qFormat/>
    <w:uiPriority w:val="0"/>
    <w:rPr>
      <w:rFonts w:hint="eastAsia" w:ascii="宋体" w:hAnsi="宋体" w:eastAsia="宋体" w:cs="Times New Roman"/>
      <w:b/>
      <w:bCs/>
      <w:color w:val="000000"/>
      <w:sz w:val="33"/>
      <w:szCs w:val="33"/>
    </w:rPr>
  </w:style>
  <w:style w:type="character" w:customStyle="1" w:styleId="77">
    <w:name w:val="Char Char5"/>
    <w:qFormat/>
    <w:uiPriority w:val="0"/>
    <w:rPr>
      <w:rFonts w:ascii="Times New Roman" w:hAnsi="Times New Roman" w:eastAsia="宋体" w:cs="Times New Roman"/>
      <w:sz w:val="18"/>
      <w:lang w:bidi="ar-SA"/>
    </w:rPr>
  </w:style>
  <w:style w:type="character" w:customStyle="1" w:styleId="78">
    <w:name w:val="H2 Char"/>
    <w:qFormat/>
    <w:uiPriority w:val="0"/>
    <w:rPr>
      <w:rFonts w:ascii="Arial" w:hAnsi="Arial" w:eastAsia="幼圆" w:cs="Arial"/>
      <w:b/>
      <w:bCs/>
      <w:kern w:val="2"/>
      <w:sz w:val="44"/>
      <w:szCs w:val="44"/>
      <w:lang w:val="en-US" w:eastAsia="zh-CN" w:bidi="ar-SA"/>
    </w:rPr>
  </w:style>
  <w:style w:type="character" w:customStyle="1" w:styleId="79">
    <w:name w:val="普通文字 Char Char2"/>
    <w:qFormat/>
    <w:uiPriority w:val="0"/>
    <w:rPr>
      <w:rFonts w:ascii="宋体" w:hAnsi="Courier New" w:eastAsia="宋体" w:cs="Courier New"/>
      <w:kern w:val="2"/>
      <w:sz w:val="21"/>
      <w:szCs w:val="21"/>
    </w:rPr>
  </w:style>
  <w:style w:type="character" w:customStyle="1" w:styleId="80">
    <w:name w:val="H3 Char"/>
    <w:qFormat/>
    <w:uiPriority w:val="0"/>
    <w:rPr>
      <w:rFonts w:ascii="Times New Roman" w:hAnsi="Times New Roman" w:eastAsia="宋体" w:cs="Times New Roman"/>
      <w:b/>
      <w:bCs/>
      <w:kern w:val="2"/>
      <w:sz w:val="32"/>
      <w:szCs w:val="32"/>
      <w:lang w:bidi="ar-SA"/>
    </w:rPr>
  </w:style>
  <w:style w:type="character" w:customStyle="1" w:styleId="81">
    <w:name w:val="标题 3 Char"/>
    <w:qFormat/>
    <w:uiPriority w:val="0"/>
    <w:rPr>
      <w:rFonts w:ascii="Times New Roman" w:hAnsi="Times New Roman" w:eastAsia="宋体" w:cs="Times New Roman"/>
      <w:b/>
      <w:bCs/>
      <w:kern w:val="2"/>
      <w:sz w:val="32"/>
      <w:szCs w:val="32"/>
      <w:lang w:val="en-US" w:eastAsia="zh-CN" w:bidi="ar-SA"/>
    </w:rPr>
  </w:style>
  <w:style w:type="character" w:customStyle="1" w:styleId="82">
    <w:name w:val="Char Char14"/>
    <w:qFormat/>
    <w:uiPriority w:val="0"/>
    <w:rPr>
      <w:rFonts w:ascii="宋体" w:hAnsi="Courier New" w:eastAsia="宋体" w:cs="Times New Roman"/>
      <w:kern w:val="2"/>
      <w:sz w:val="21"/>
      <w:lang w:val="en-US" w:eastAsia="zh-CN" w:bidi="ar-SA"/>
    </w:rPr>
  </w:style>
  <w:style w:type="character" w:customStyle="1" w:styleId="83">
    <w:name w:val="二级目录 Char Char"/>
    <w:link w:val="84"/>
    <w:qFormat/>
    <w:uiPriority w:val="0"/>
    <w:rPr>
      <w:rFonts w:eastAsia="Times New Roman"/>
      <w:b/>
      <w:kern w:val="2"/>
      <w:sz w:val="30"/>
      <w:szCs w:val="28"/>
      <w:lang w:val="en-US" w:eastAsia="zh-CN" w:bidi="ar-SA"/>
    </w:rPr>
  </w:style>
  <w:style w:type="paragraph" w:customStyle="1" w:styleId="84">
    <w:name w:val="二级目录"/>
    <w:next w:val="1"/>
    <w:link w:val="83"/>
    <w:qFormat/>
    <w:uiPriority w:val="0"/>
    <w:pPr>
      <w:tabs>
        <w:tab w:val="left" w:pos="720"/>
      </w:tabs>
      <w:ind w:left="567" w:hanging="567"/>
      <w:outlineLvl w:val="1"/>
    </w:pPr>
    <w:rPr>
      <w:rFonts w:ascii="Calibri" w:hAnsi="Calibri" w:eastAsia="Times New Roman" w:cs="Times New Roman"/>
      <w:b/>
      <w:kern w:val="2"/>
      <w:sz w:val="30"/>
      <w:szCs w:val="28"/>
      <w:lang w:val="en-US" w:eastAsia="zh-CN" w:bidi="ar-SA"/>
    </w:rPr>
  </w:style>
  <w:style w:type="character" w:customStyle="1" w:styleId="85">
    <w:name w:val="标题 2 Char"/>
    <w:qFormat/>
    <w:uiPriority w:val="0"/>
    <w:rPr>
      <w:rFonts w:ascii="Arial" w:hAnsi="Arial" w:eastAsia="幼圆" w:cs="Arial"/>
      <w:b/>
      <w:bCs/>
      <w:kern w:val="2"/>
      <w:sz w:val="44"/>
      <w:szCs w:val="44"/>
      <w:lang w:val="en-US" w:eastAsia="zh-CN" w:bidi="ar-SA"/>
    </w:rPr>
  </w:style>
  <w:style w:type="character" w:customStyle="1" w:styleId="86">
    <w:name w:val="Char Char"/>
    <w:qFormat/>
    <w:uiPriority w:val="0"/>
    <w:rPr>
      <w:rFonts w:ascii="Times New Roman" w:hAnsi="Times New Roman" w:eastAsia="宋体" w:cs="Times New Roman"/>
      <w:kern w:val="2"/>
      <w:sz w:val="18"/>
      <w:lang w:val="en-US" w:eastAsia="zh-CN" w:bidi="ar-SA"/>
    </w:rPr>
  </w:style>
  <w:style w:type="character" w:customStyle="1" w:styleId="87">
    <w:name w:val="style11"/>
    <w:qFormat/>
    <w:uiPriority w:val="0"/>
    <w:rPr>
      <w:rFonts w:ascii="Times New Roman" w:hAnsi="Times New Roman" w:eastAsia="宋体" w:cs="Times New Roman"/>
    </w:rPr>
  </w:style>
  <w:style w:type="character" w:customStyle="1" w:styleId="88">
    <w:name w:val="font5 Char"/>
    <w:qFormat/>
    <w:uiPriority w:val="0"/>
    <w:rPr>
      <w:rFonts w:ascii="宋体" w:hAnsi="宋体" w:eastAsia="宋体" w:cs="Times New Roman"/>
      <w:sz w:val="28"/>
      <w:szCs w:val="28"/>
      <w:lang w:val="en-US" w:eastAsia="zh-CN" w:bidi="ar-SA"/>
    </w:rPr>
  </w:style>
  <w:style w:type="character" w:customStyle="1" w:styleId="89">
    <w:name w:val="Char Char3"/>
    <w:qFormat/>
    <w:uiPriority w:val="0"/>
    <w:rPr>
      <w:rFonts w:ascii="Times New Roman" w:hAnsi="Times New Roman" w:eastAsia="宋体" w:cs="Times New Roman"/>
      <w:kern w:val="2"/>
      <w:sz w:val="21"/>
      <w:szCs w:val="21"/>
      <w:lang w:val="en-US" w:eastAsia="zh-CN" w:bidi="ar-SA"/>
    </w:rPr>
  </w:style>
  <w:style w:type="character" w:customStyle="1" w:styleId="90">
    <w:name w:val="NormalCharacter"/>
    <w:qFormat/>
    <w:uiPriority w:val="0"/>
  </w:style>
  <w:style w:type="paragraph" w:customStyle="1" w:styleId="91">
    <w:name w:val="table_lines"/>
    <w:basedOn w:val="1"/>
    <w:qFormat/>
    <w:uiPriority w:val="0"/>
    <w:pPr>
      <w:widowControl/>
      <w:jc w:val="left"/>
    </w:pPr>
    <w:rPr>
      <w:rFonts w:ascii="Times New Roman" w:hAnsi="Times New Roman"/>
      <w:kern w:val="0"/>
      <w:sz w:val="20"/>
      <w:lang w:val="de-DE" w:eastAsia="de-DE"/>
    </w:rPr>
  </w:style>
  <w:style w:type="paragraph" w:customStyle="1" w:styleId="92">
    <w:name w:val="纯文本1"/>
    <w:basedOn w:val="1"/>
    <w:qFormat/>
    <w:uiPriority w:val="0"/>
    <w:rPr>
      <w:rFonts w:ascii="宋体" w:hAnsi="Courier New" w:cs="Courier New"/>
      <w:kern w:val="0"/>
      <w:sz w:val="20"/>
      <w:szCs w:val="21"/>
    </w:rPr>
  </w:style>
  <w:style w:type="paragraph" w:customStyle="1" w:styleId="93">
    <w:name w:val="p0"/>
    <w:basedOn w:val="1"/>
    <w:qFormat/>
    <w:uiPriority w:val="0"/>
    <w:pPr>
      <w:widowControl/>
    </w:pPr>
    <w:rPr>
      <w:rFonts w:hint="eastAsia" w:ascii="Times New Roman" w:hAnsi="Times New Roman"/>
      <w:szCs w:val="21"/>
    </w:rPr>
  </w:style>
  <w:style w:type="paragraph" w:customStyle="1" w:styleId="94">
    <w:name w:val="4"/>
    <w:basedOn w:val="1"/>
    <w:next w:val="30"/>
    <w:qFormat/>
    <w:uiPriority w:val="0"/>
    <w:pPr>
      <w:spacing w:line="360" w:lineRule="auto"/>
      <w:ind w:firstLine="420"/>
    </w:pPr>
    <w:rPr>
      <w:rFonts w:ascii="Times New Roman" w:hAnsi="Times New Roman"/>
      <w:color w:val="FF0000"/>
      <w:sz w:val="24"/>
      <w:szCs w:val="24"/>
    </w:rPr>
  </w:style>
  <w:style w:type="paragraph" w:customStyle="1" w:styleId="95">
    <w:name w:val="Char Char Char Char"/>
    <w:basedOn w:val="13"/>
    <w:qFormat/>
    <w:uiPriority w:val="0"/>
    <w:pPr>
      <w:adjustRightInd w:val="0"/>
      <w:snapToGrid w:val="0"/>
      <w:spacing w:line="360" w:lineRule="auto"/>
    </w:pPr>
    <w:rPr>
      <w:rFonts w:ascii="Tahoma" w:hAnsi="Tahoma"/>
      <w:sz w:val="24"/>
      <w:szCs w:val="24"/>
    </w:rPr>
  </w:style>
  <w:style w:type="paragraph" w:customStyle="1" w:styleId="96">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styleId="97">
    <w:name w:val="List Paragraph"/>
    <w:basedOn w:val="1"/>
    <w:qFormat/>
    <w:uiPriority w:val="0"/>
    <w:pPr>
      <w:widowControl/>
      <w:ind w:left="720"/>
      <w:contextualSpacing/>
      <w:jc w:val="left"/>
    </w:pPr>
    <w:rPr>
      <w:kern w:val="0"/>
      <w:sz w:val="24"/>
      <w:szCs w:val="24"/>
      <w:lang w:eastAsia="en-US" w:bidi="en-US"/>
    </w:rPr>
  </w:style>
  <w:style w:type="paragraph" w:customStyle="1" w:styleId="98">
    <w:name w:val="样式1"/>
    <w:basedOn w:val="1"/>
    <w:qFormat/>
    <w:uiPriority w:val="0"/>
    <w:pPr>
      <w:numPr>
        <w:ilvl w:val="0"/>
        <w:numId w:val="2"/>
      </w:numPr>
      <w:adjustRightInd w:val="0"/>
      <w:textAlignment w:val="baseline"/>
    </w:pPr>
    <w:rPr>
      <w:rFonts w:ascii="宋体" w:hAnsi="宋体"/>
      <w:kern w:val="0"/>
      <w:szCs w:val="21"/>
    </w:rPr>
  </w:style>
  <w:style w:type="paragraph" w:customStyle="1" w:styleId="99">
    <w:name w:val="Blockquote"/>
    <w:basedOn w:val="1"/>
    <w:qFormat/>
    <w:uiPriority w:val="0"/>
    <w:pPr>
      <w:autoSpaceDE w:val="0"/>
      <w:autoSpaceDN w:val="0"/>
      <w:adjustRightInd w:val="0"/>
      <w:spacing w:before="100" w:after="100"/>
      <w:ind w:left="360" w:right="360"/>
      <w:jc w:val="left"/>
    </w:pPr>
    <w:rPr>
      <w:rFonts w:ascii="Times New Roman" w:hAnsi="Times New Roman"/>
      <w:kern w:val="0"/>
      <w:sz w:val="24"/>
    </w:rPr>
  </w:style>
  <w:style w:type="paragraph" w:customStyle="1" w:styleId="100">
    <w:name w:val="标题3"/>
    <w:basedOn w:val="1"/>
    <w:next w:val="1"/>
    <w:qFormat/>
    <w:uiPriority w:val="0"/>
    <w:pPr>
      <w:autoSpaceDE w:val="0"/>
      <w:autoSpaceDN w:val="0"/>
      <w:snapToGrid w:val="0"/>
      <w:spacing w:line="590" w:lineRule="atLeast"/>
      <w:ind w:firstLine="624"/>
    </w:pPr>
    <w:rPr>
      <w:rFonts w:ascii="方正黑体_GBK" w:hAnsi="Times New Roman" w:eastAsia="方正黑体_GBK"/>
      <w:kern w:val="0"/>
      <w:sz w:val="32"/>
      <w:szCs w:val="32"/>
    </w:rPr>
  </w:style>
  <w:style w:type="paragraph" w:customStyle="1" w:styleId="101">
    <w:name w:val="table_1stline"/>
    <w:basedOn w:val="1"/>
    <w:qFormat/>
    <w:uiPriority w:val="0"/>
    <w:pPr>
      <w:widowControl/>
      <w:spacing w:before="120"/>
      <w:jc w:val="left"/>
    </w:pPr>
    <w:rPr>
      <w:rFonts w:ascii="Times New Roman" w:hAnsi="Times New Roman"/>
      <w:bCs/>
      <w:kern w:val="0"/>
      <w:sz w:val="20"/>
      <w:lang w:val="de-DE" w:eastAsia="de-DE"/>
    </w:rPr>
  </w:style>
  <w:style w:type="paragraph" w:customStyle="1" w:styleId="102">
    <w:name w:val="_Style 100"/>
    <w:basedOn w:val="2"/>
    <w:next w:val="1"/>
    <w:qFormat/>
    <w:uiPriority w:val="0"/>
    <w:pPr>
      <w:keepLines/>
      <w:widowControl/>
      <w:spacing w:before="480" w:line="276" w:lineRule="auto"/>
      <w:jc w:val="left"/>
      <w:outlineLvl w:val="9"/>
    </w:pPr>
    <w:rPr>
      <w:rFonts w:ascii="Cambria" w:hAnsi="Cambria" w:eastAsia="宋体"/>
      <w:b/>
      <w:bCs/>
      <w:color w:val="365F91"/>
      <w:kern w:val="0"/>
    </w:rPr>
  </w:style>
  <w:style w:type="paragraph" w:customStyle="1" w:styleId="103">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04">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7">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108">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1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11">
    <w:name w:val="样式 标题 3 + (中文) 黑体 小四 非加粗 段前: 7.8 磅 段后: 0 磅 行距: 固定值 20 磅"/>
    <w:basedOn w:val="4"/>
    <w:qFormat/>
    <w:uiPriority w:val="0"/>
    <w:pPr>
      <w:spacing w:before="0" w:after="0" w:line="400" w:lineRule="exact"/>
    </w:pPr>
    <w:rPr>
      <w:rFonts w:hint="eastAsia" w:eastAsia="黑体"/>
      <w:b w:val="0"/>
      <w:bCs w:val="0"/>
      <w:sz w:val="24"/>
      <w:szCs w:val="21"/>
    </w:rPr>
  </w:style>
  <w:style w:type="paragraph" w:customStyle="1" w:styleId="112">
    <w:name w:val="Body Text(ch)"/>
    <w:basedOn w:val="1"/>
    <w:next w:val="16"/>
    <w:qFormat/>
    <w:uiPriority w:val="0"/>
    <w:pPr>
      <w:spacing w:after="120"/>
    </w:pPr>
    <w:rPr>
      <w:rFonts w:ascii="宋体" w:hAnsi="Arial"/>
      <w:bCs/>
      <w:iCs/>
      <w:szCs w:val="24"/>
    </w:rPr>
  </w:style>
  <w:style w:type="paragraph" w:customStyle="1" w:styleId="113">
    <w:name w:val="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114">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15">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hAnsi="Times New Roman" w:eastAsia="仿宋_GB2312"/>
      <w:kern w:val="0"/>
      <w:sz w:val="24"/>
    </w:rPr>
  </w:style>
  <w:style w:type="paragraph" w:customStyle="1" w:styleId="11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7">
    <w:name w:val="Char Char Char Char1"/>
    <w:basedOn w:val="13"/>
    <w:qFormat/>
    <w:uiPriority w:val="0"/>
    <w:pPr>
      <w:adjustRightInd w:val="0"/>
      <w:snapToGrid w:val="0"/>
      <w:spacing w:line="360" w:lineRule="auto"/>
    </w:pPr>
    <w:rPr>
      <w:rFonts w:ascii="Tahoma" w:hAnsi="Tahoma"/>
      <w:sz w:val="24"/>
      <w:szCs w:val="24"/>
    </w:rPr>
  </w:style>
  <w:style w:type="paragraph" w:customStyle="1" w:styleId="118">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hAnsi="Times New Roman" w:eastAsia="方正小标宋_GBK"/>
      <w:kern w:val="0"/>
      <w:sz w:val="44"/>
    </w:rPr>
  </w:style>
  <w:style w:type="paragraph" w:customStyle="1" w:styleId="119">
    <w:name w:val="Char Char Char Char Char Char Char Char1"/>
    <w:basedOn w:val="1"/>
    <w:qFormat/>
    <w:uiPriority w:val="0"/>
    <w:pPr>
      <w:widowControl/>
      <w:spacing w:after="160" w:line="240" w:lineRule="exact"/>
      <w:jc w:val="left"/>
    </w:pPr>
    <w:rPr>
      <w:rFonts w:ascii="Verdana" w:hAnsi="Verdana"/>
      <w:kern w:val="0"/>
      <w:sz w:val="20"/>
      <w:lang w:eastAsia="en-US"/>
    </w:rPr>
  </w:style>
  <w:style w:type="paragraph" w:customStyle="1" w:styleId="120">
    <w:name w:val="Char"/>
    <w:basedOn w:val="13"/>
    <w:qFormat/>
    <w:uiPriority w:val="0"/>
    <w:rPr>
      <w:rFonts w:ascii="Tahoma" w:hAnsi="Tahoma"/>
      <w:sz w:val="24"/>
      <w:szCs w:val="24"/>
    </w:rPr>
  </w:style>
  <w:style w:type="paragraph" w:customStyle="1" w:styleId="12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22">
    <w:name w:val="Char1"/>
    <w:basedOn w:val="1"/>
    <w:qFormat/>
    <w:uiPriority w:val="0"/>
    <w:pPr>
      <w:tabs>
        <w:tab w:val="left" w:pos="360"/>
      </w:tabs>
    </w:pPr>
    <w:rPr>
      <w:rFonts w:ascii="Times New Roman" w:hAnsi="Times New Roman"/>
      <w:sz w:val="24"/>
      <w:szCs w:val="24"/>
    </w:rPr>
  </w:style>
  <w:style w:type="paragraph" w:customStyle="1" w:styleId="123">
    <w:name w:val="附录1"/>
    <w:qFormat/>
    <w:uiPriority w:val="0"/>
    <w:pPr>
      <w:numPr>
        <w:ilvl w:val="0"/>
        <w:numId w:val="3"/>
      </w:numPr>
      <w:snapToGrid w:val="0"/>
      <w:spacing w:before="240" w:line="600" w:lineRule="atLeast"/>
    </w:pPr>
    <w:rPr>
      <w:rFonts w:ascii="Calibri" w:hAnsi="Calibri" w:eastAsia="宋体" w:cs="Times New Roman"/>
      <w:b/>
      <w:i/>
      <w:sz w:val="28"/>
      <w:lang w:val="en-US" w:eastAsia="zh-CN" w:bidi="ar-SA"/>
    </w:rPr>
  </w:style>
  <w:style w:type="paragraph" w:customStyle="1" w:styleId="124">
    <w:name w:val="普通 (Web)"/>
    <w:basedOn w:val="1"/>
    <w:qFormat/>
    <w:uiPriority w:val="0"/>
    <w:pPr>
      <w:widowControl/>
      <w:spacing w:before="100" w:beforeAutospacing="1" w:after="100" w:afterAutospacing="1"/>
      <w:jc w:val="left"/>
    </w:pPr>
    <w:rPr>
      <w:rFonts w:ascii="宋体" w:hAnsi="宋体"/>
      <w:kern w:val="0"/>
      <w:sz w:val="24"/>
      <w:szCs w:val="24"/>
    </w:rPr>
  </w:style>
  <w:style w:type="character" w:customStyle="1" w:styleId="125">
    <w:name w:val="font41"/>
    <w:basedOn w:val="41"/>
    <w:qFormat/>
    <w:uiPriority w:val="0"/>
    <w:rPr>
      <w:rFonts w:ascii="宋体" w:hAnsi="宋体" w:eastAsia="宋体" w:cs="宋体"/>
      <w:color w:val="000000"/>
      <w:sz w:val="28"/>
      <w:szCs w:val="28"/>
      <w:u w:val="none"/>
    </w:rPr>
  </w:style>
  <w:style w:type="character" w:customStyle="1" w:styleId="126">
    <w:name w:val="font11"/>
    <w:basedOn w:val="41"/>
    <w:qFormat/>
    <w:uiPriority w:val="0"/>
    <w:rPr>
      <w:rFonts w:hint="eastAsia" w:ascii="宋体" w:hAnsi="宋体" w:eastAsia="宋体" w:cs="宋体"/>
      <w:color w:val="000000"/>
      <w:sz w:val="28"/>
      <w:szCs w:val="28"/>
      <w:u w:val="none"/>
    </w:rPr>
  </w:style>
  <w:style w:type="paragraph" w:customStyle="1" w:styleId="127">
    <w:name w:val="Body text|1"/>
    <w:basedOn w:val="1"/>
    <w:qFormat/>
    <w:uiPriority w:val="0"/>
    <w:pPr>
      <w:shd w:val="clear" w:color="auto" w:fill="FFFFFF"/>
      <w:spacing w:line="425" w:lineRule="auto"/>
      <w:ind w:firstLine="400"/>
      <w:jc w:val="left"/>
    </w:pPr>
    <w:rPr>
      <w:rFonts w:ascii="MingLiU" w:hAnsi="MingLiU" w:eastAsia="MingLiU" w:cs="MingLiU"/>
      <w:sz w:val="22"/>
      <w:lang w:val="zh-CN" w:bidi="zh-CN"/>
    </w:rPr>
  </w:style>
  <w:style w:type="paragraph" w:customStyle="1" w:styleId="128">
    <w:name w:val="AONormal"/>
    <w:qFormat/>
    <w:uiPriority w:val="0"/>
    <w:pPr>
      <w:spacing w:line="260" w:lineRule="atLeast"/>
    </w:pPr>
    <w:rPr>
      <w:rFonts w:ascii="Times New Roman" w:hAnsi="Times New Roman" w:eastAsia="宋体" w:cs="Times New Roman"/>
      <w:sz w:val="22"/>
      <w:szCs w:val="22"/>
      <w:lang w:val="en-GB" w:eastAsia="en-US" w:bidi="ar-SA"/>
    </w:rPr>
  </w:style>
  <w:style w:type="character" w:customStyle="1" w:styleId="129">
    <w:name w:val="font61"/>
    <w:qFormat/>
    <w:uiPriority w:val="0"/>
    <w:rPr>
      <w:rFonts w:hint="eastAsia" w:ascii="宋体" w:hAnsi="宋体" w:eastAsia="宋体" w:cs="宋体"/>
      <w:color w:val="000000"/>
      <w:kern w:val="2"/>
      <w:sz w:val="21"/>
      <w:szCs w:val="21"/>
    </w:rPr>
  </w:style>
  <w:style w:type="paragraph" w:customStyle="1" w:styleId="130">
    <w:name w:val="正文-公1"/>
    <w:basedOn w:val="1"/>
    <w:qFormat/>
    <w:uiPriority w:val="0"/>
    <w:pPr>
      <w:ind w:firstLine="200" w:firstLineChars="200"/>
    </w:pPr>
    <w:rPr>
      <w:szCs w:val="22"/>
    </w:rPr>
  </w:style>
  <w:style w:type="character" w:customStyle="1" w:styleId="131">
    <w:name w:val="15"/>
    <w:basedOn w:val="41"/>
    <w:qFormat/>
    <w:uiPriority w:val="0"/>
    <w:rPr>
      <w:rFonts w:hint="default" w:ascii="Times New Roman" w:hAnsi="Times New Roman" w:cs="Times New Roman"/>
      <w:b/>
    </w:rPr>
  </w:style>
  <w:style w:type="paragraph" w:styleId="132">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133">
    <w:name w:val="纯文本11"/>
    <w:basedOn w:val="1"/>
    <w:qFormat/>
    <w:uiPriority w:val="99"/>
    <w:rPr>
      <w:rFonts w:ascii="宋体" w:hAnsi="Courier New"/>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dafce906-3008-4147-9468-88c704a3b5a3</errorID>
      <errorWord>，</errorWord>
      <group>L1_Word</group>
      <groupName>字词问题</groupName>
      <ability>L2_Typo</ability>
      <abilityName>字词错误</abilityName>
      <candidateList>
        <item>，并</item>
      </candidateList>
      <explain/>
      <paraID>7FD6F927</paraID>
      <start>39</start>
      <end>40</end>
      <status>unmodified</status>
      <modifiedWord/>
      <trackRevisions>false</trackRevisions>
    </reviewItem>
    <reviewItem>
      <errorID>bd5c0169-fc1b-429b-b9b3-b48ead429f64</errorID>
      <errorWord>（</errorWord>
      <group>L1_Punc</group>
      <groupName>标点问题</groupName>
      <ability>L2_Punc_CN</ability>
      <abilityName>标点符号问题</abilityName>
      <candidateList/>
      <explain>同一形式括号套用。</explain>
      <paraID>6DEACBB0</paraID>
      <start>50</start>
      <end>51</end>
      <status>unmodified</status>
      <modifiedWord/>
      <trackRevisions>false</trackRevisions>
    </reviewItem>
    <reviewItem>
      <errorID>6bb8beb5-a0c8-443d-aadc-c70be53041b6</errorID>
      <errorWord>）</errorWord>
      <group>L1_Punc</group>
      <groupName>标点问题</groupName>
      <ability>L2_Punc_CN</ability>
      <abilityName>标点符号问题</abilityName>
      <candidateList/>
      <explain>同一形式括号套用。</explain>
      <paraID>6DEACBB0</paraID>
      <start>61</start>
      <end>62</end>
      <status>unmodified</status>
      <modifiedWord/>
      <trackRevisions>false</trackRevisions>
    </reviewItem>
    <reviewItem>
      <errorID>de3cc4b5-ea31-453c-8fec-bebbf87f8697</errorID>
      <errorWord>【2024】20号</errorWord>
      <group>L1_Knowledge</group>
      <groupName>知识性问题</groupName>
      <ability>L2_Knowledge</ability>
      <abilityName>其他知识</abilityName>
      <candidateList>
        <item>〔2024〕20号</item>
      </candidateList>
      <explain>发文字号格式错误。</explain>
      <paraID>25FA086E</paraID>
      <start>25</start>
      <end>34</end>
      <status>unmodified</status>
      <modifiedWord/>
      <trackRevisions>false</trackRevisions>
    </reviewItem>
    <reviewItem>
      <errorID>e5cd396c-4bed-4a8a-8e0f-0a4bd8eb030b</errorID>
      <errorWord>间</errorWord>
      <group>L1_Word</group>
      <groupName>字词问题</groupName>
      <ability>L2_Typo</ability>
      <abilityName>字词错误</abilityName>
      <candidateList>
        <item>间之</item>
      </candidateList>
      <explain/>
      <paraID>7B383B63</paraID>
      <start>10</start>
      <end>11</end>
      <status>unmodified</status>
      <modifiedWord/>
      <trackRevisions>false</trackRevisions>
    </reviewItem>
    <reviewItem>
      <errorID>88f9b92e-2112-4bae-bc63-f8d24501fe26</errorID>
      <errorWord>法律、法规</errorWord>
      <group>L1_Word</group>
      <groupName>字词问题</groupName>
      <ability>L2_Typo</ability>
      <abilityName>字词错误</abilityName>
      <candidateList>
        <item>法律法规</item>
      </candidateList>
      <explain/>
      <paraID>6D3442E8</paraID>
      <start>11</start>
      <end>16</end>
      <status>unmodified</status>
      <modifiedWord/>
      <trackRevisions>false</trackRevisions>
    </reviewItem>
    <reviewItem>
      <errorID>c09a0348-fc2d-480b-9fbb-68ea14b9de0b</errorID>
      <errorWord>保持通讯畅通</errorWord>
      <group>L1_Word</group>
      <groupName>字词问题</groupName>
      <ability>L2_Typo</ability>
      <abilityName>字词错误</abilityName>
      <candidateList>
        <item>保持通信畅通</item>
      </candidateList>
      <explain/>
      <paraID>3729D43B</paraID>
      <start>17</start>
      <end>23</end>
      <status>unmodified</status>
      <modifiedWord/>
      <trackRevisions>false</trackRevisions>
    </reviewItem>
    <reviewItem>
      <errorID>4f0272c1-64cf-497c-8bfa-1a098ae9259d</errorID>
      <errorWord>&lt;</errorWord>
      <group>L1_Format</group>
      <groupName>格式问题</groupName>
      <ability>L2_HalfPunc_CN</ability>
      <abilityName>全半角问题</abilityName>
      <candidateList>
        <item>〈</item>
      </candidateList>
      <explain>文本全半角错误。</explain>
      <paraID>199C05E0</paraID>
      <start>38</start>
      <end>39</end>
      <status>unmodified</status>
      <modifiedWord/>
      <trackRevisions>false</trackRevisions>
    </reviewItem>
    <reviewItem>
      <errorID>1461cbf8-9b8e-4e31-b39d-ede3c52b14c8</errorID>
      <errorWord>&lt;</errorWord>
      <group>L1_Format</group>
      <groupName>格式问题</groupName>
      <ability>L2_HalfPunc_CN</ability>
      <abilityName>全半角问题</abilityName>
      <candidateList>
        <item>〈</item>
      </candidateList>
      <explain>文本全半角错误。</explain>
      <paraID>5D27180D</paraID>
      <start>38</start>
      <end>39</end>
      <status>unmodified</status>
      <modifiedWord/>
      <trackRevisions>false</trackRevisions>
    </reviewItem>
    <reviewItem>
      <errorID>e086d382-b4d0-4ccf-9169-dc7793423722</errorID>
      <errorWord>&lt;</errorWord>
      <group>L1_Format</group>
      <groupName>格式问题</groupName>
      <ability>L2_HalfPunc_CN</ability>
      <abilityName>全半角问题</abilityName>
      <candidateList>
        <item>〈</item>
      </candidateList>
      <explain>文本全半角错误。</explain>
      <paraID> 2FAEC43</paraID>
      <start>27</start>
      <end>28</end>
      <status>unmodified</status>
      <modifiedWord/>
      <trackRevisions>false</trackRevisions>
    </reviewItem>
    <reviewItem>
      <errorID>5cdae1bd-fd71-4074-8762-e9f30eb9114c</errorID>
      <errorWord>法律、法规</errorWord>
      <group>L1_Word</group>
      <groupName>字词问题</groupName>
      <ability>L2_Typo</ability>
      <abilityName>字词错误</abilityName>
      <candidateList>
        <item>法律法规</item>
      </candidateList>
      <explain/>
      <paraID>5B4D9624</paraID>
      <start>9</start>
      <end>14</end>
      <status>unmodified</status>
      <modifiedWord/>
      <trackRevisions>false</trackRevisions>
    </reviewItem>
    <reviewItem>
      <errorID>00a2c477-81c4-42f2-8643-707532d154c5</errorID>
      <errorWord>属</errorWord>
      <group>L1_Word</group>
      <groupName>字词问题</groupName>
      <ability>L2_Typo</ability>
      <abilityName>字词错误</abilityName>
      <candidateList>
        <item>属于</item>
      </candidateList>
      <explain/>
      <paraID>5B4D9624</paraID>
      <start>23</start>
      <end>24</end>
      <status>unmodified</status>
      <modifiedWord/>
      <trackRevisions>false</trackRevisions>
    </reviewItem>
    <reviewItem>
      <errorID>35c2feaa-a979-4b1b-a89b-47204669e808</errorID>
      <errorWord>[2020]46号</errorWord>
      <group>L1_Knowledge</group>
      <groupName>知识性问题</groupName>
      <ability>L2_Knowledge</ability>
      <abilityName>其他知识</abilityName>
      <candidateList>
        <item>〔2020〕46号</item>
      </candidateList>
      <explain>发文字号格式错误。</explain>
      <paraID> D387EA9</paraID>
      <start>25</start>
      <end>34</end>
      <status>unmodified</status>
      <modifiedWord/>
      <trackRevisions>false</trackRevisions>
    </reviewItem>
    <reviewItem>
      <errorID>28a99b3f-44d7-455a-9e08-a3ea0a142d54</errorID>
      <errorWord>[2014]68号</errorWord>
      <group>L1_Knowledge</group>
      <groupName>知识性问题</groupName>
      <ability>L2_Knowledge</ability>
      <abilityName>其他知识</abilityName>
      <candidateList>
        <item>〔2014〕68号</item>
      </candidateList>
      <explain>发文字号格式错误。</explain>
      <paraID>6F4511FF</paraID>
      <start>30</start>
      <end>39</end>
      <status>unmodified</status>
      <modifiedWord/>
      <trackRevisions>false</trackRevisions>
    </reviewItem>
    <reviewItem>
      <errorID>195a87c7-331b-4199-9f60-665d7a0bd38f</errorID>
      <errorWord>[2017]141号</errorWord>
      <group>L1_Knowledge</group>
      <groupName>知识性问题</groupName>
      <ability>L2_Knowledge</ability>
      <abilityName>其他知识</abilityName>
      <candidateList>
        <item>〔2017〕141号</item>
      </candidateList>
      <explain>发文字号格式错误。</explain>
      <paraID>355145DC</paraID>
      <start>27</start>
      <end>37</end>
      <status>unmodified</status>
      <modifiedWord/>
      <trackRevisions>false</trackRevisions>
    </reviewItem>
    <reviewItem>
      <errorID>71148e63-df68-4619-9b5d-4c9bbd10d6df</errorID>
      <errorWord>[2019] 9号</errorWord>
      <group>L1_Knowledge</group>
      <groupName>知识性问题</groupName>
      <ability>L2_Knowledge</ability>
      <abilityName>其他知识</abilityName>
      <candidateList>
        <item>〔2019〕9号</item>
      </candidateList>
      <explain>发文字号格式错误。</explain>
      <paraID>7DE42C59</paraID>
      <start>38</start>
      <end>47</end>
      <status>unmodified</status>
      <modifiedWord/>
      <trackRevisions>false</trackRevisions>
    </reviewItem>
    <reviewItem>
      <errorID>ce53b96b-4144-4f12-8f84-78e950b045bb</errorID>
      <errorWord>[2019] 18号</errorWord>
      <group>L1_Knowledge</group>
      <groupName>知识性问题</groupName>
      <ability>L2_Knowledge</ability>
      <abilityName>其他知识</abilityName>
      <candidateList>
        <item>〔2019〕18号</item>
      </candidateList>
      <explain>发文字号格式错误。</explain>
      <paraID>6851F816</paraID>
      <start>31</start>
      <end>41</end>
      <status>unmodified</status>
      <modifiedWord/>
      <trackRevisions>false</trackRevisions>
    </reviewItem>
    <reviewItem>
      <errorID>b39f20f9-38e1-4e0b-bc56-370467a6911f</errorID>
      <errorWord>[2019] 19号</errorWord>
      <group>L1_Knowledge</group>
      <groupName>知识性问题</groupName>
      <ability>L2_Knowledge</ability>
      <abilityName>其他知识</abilityName>
      <candidateList>
        <item>〔2019〕19号</item>
      </candidateList>
      <explain>发文字号格式错误。</explain>
      <paraID>74FD79D5</paraID>
      <start>29</start>
      <end>39</end>
      <status>unmodified</status>
      <modifiedWord/>
      <trackRevisions>false</trackRevisions>
    </reviewItem>
    <reviewItem>
      <errorID>11b04f13-6272-4d5f-97d7-36904954e04b</errorID>
      <errorWord>[2020]52号</errorWord>
      <group>L1_Knowledge</group>
      <groupName>知识性问题</groupName>
      <ability>L2_Knowledge</ability>
      <abilityName>其他知识</abilityName>
      <candidateList>
        <item>〔2020〕52号</item>
      </candidateList>
      <explain>发文字号格式错误。</explain>
      <paraID>420F6DEC</paraID>
      <start>31</start>
      <end>40</end>
      <status>unmodified</status>
      <modifiedWord/>
      <trackRevisions>false</trackRevisions>
    </reviewItem>
    <reviewItem>
      <errorID>12fe0ae3-0b45-43e7-a0fd-67315c14e56a</errorID>
      <errorWord>&lt;</errorWord>
      <group>L1_Format</group>
      <groupName>格式问题</groupName>
      <ability>L2_HalfPunc_CN</ability>
      <abilityName>全半角问题</abilityName>
      <candidateList>
        <item>〈</item>
      </candidateList>
      <explain>文本全半角错误。</explain>
      <paraID>7FDBD4DD</paraID>
      <start>12</start>
      <end>13</end>
      <status>unmodified</status>
      <modifiedWord/>
      <trackRevisions>false</trackRevisions>
    </reviewItem>
    <reviewItem>
      <errorID>f93df05c-3073-4e4e-bda2-986b0a8886ab</errorID>
      <errorWord>&gt;</errorWord>
      <group>L1_Format</group>
      <groupName>格式问题</groupName>
      <ability>L2_HalfPunc_CN</ability>
      <abilityName>全半角问题</abilityName>
      <candidateList>
        <item>〉</item>
      </candidateList>
      <explain>文本全半角错误。</explain>
      <paraID>7FDBD4DD</paraID>
      <start>43</start>
      <end>44</end>
      <status>unmodified</status>
      <modifiedWord/>
      <trackRevisions>false</trackRevisions>
    </reviewItem>
    <reviewItem>
      <errorID>75e279c5-c1a0-4c70-a464-2e875d3048a5</errorID>
      <errorWord>须</errorWord>
      <group>L1_Word</group>
      <groupName>字词问题</groupName>
      <ability>L2_Typo</ability>
      <abilityName>字词错误</abilityName>
      <candidateList>
        <item>需</item>
      </candidateList>
      <explain>存在发音相同字词的误用。</explain>
      <paraID>7553484E</paraID>
      <start>21</start>
      <end>22</end>
      <status>unmodified</status>
      <modifiedWord/>
      <trackRevisions>false</trackRevisions>
    </reviewItem>
    <reviewItem>
      <errorID>0c67543b-0e03-4f8a-8fe0-31aa444196e6</errorID>
      <errorWord>2-3天</errorWord>
      <group>L1_Word</group>
      <groupName>字词问题</groupName>
      <ability>L2_Typo</ability>
      <abilityName>字词错误</abilityName>
      <candidateList>
        <item>2～3天</item>
      </candidateList>
      <explain/>
      <paraID> 8B59629</paraID>
      <start>60</start>
      <end>64</end>
      <status>unmodified</status>
      <modifiedWord/>
      <trackRevisions>false</trackRevisions>
    </reviewItem>
    <reviewItem>
      <errorID>aa61f527-63fe-472c-87a2-f55420a7ffb7</errorID>
      <errorWord>2-3天</errorWord>
      <group>L1_Word</group>
      <groupName>字词问题</groupName>
      <ability>L2_Typo</ability>
      <abilityName>字词错误</abilityName>
      <candidateList>
        <item>2～3天</item>
      </candidateList>
      <explain/>
      <paraID>2006FADA</paraID>
      <start>78</start>
      <end>82</end>
      <status>unmodified</status>
      <modifiedWord/>
      <trackRevisions>false</trackRevisions>
    </reviewItem>
    <reviewItem>
      <errorID>34b2c80c-9622-4e4c-96d4-7dc9b81a0eda</errorID>
      <errorWord>予</errorWord>
      <group>L1_Word</group>
      <groupName>字词问题</groupName>
      <ability>L2_Typo</ability>
      <abilityName>字词错误</abilityName>
      <candidateList>
        <item>予以</item>
      </candidateList>
      <explain/>
      <paraID>607E5833</paraID>
      <start>76</start>
      <end>77</end>
      <status>unmodified</status>
      <modifiedWord/>
      <trackRevisions>false</trackRevisions>
    </reviewItem>
    <reviewItem>
      <errorID>a2d8cd37-3866-4de6-94b9-80246e97d0ed</errorID>
      <errorWord>预定</errorWord>
      <group>L1_Word</group>
      <groupName>字词问题</groupName>
      <ability>L2_Typo</ability>
      <abilityName>字词错误</abilityName>
      <candidateList>
        <item>预订</item>
      </candidateList>
      <explain/>
      <paraID>30C487E7</paraID>
      <start>10</start>
      <end>12</end>
      <status>unmodified</status>
      <modifiedWord/>
      <trackRevisions>false</trackRevisions>
    </reviewItem>
    <reviewItem>
      <errorID>85d35649-e6eb-44d3-864e-9d0b59edcb4f</errorID>
      <errorWord>括</errorWord>
      <group>L1_Word</group>
      <groupName>字词问题</groupName>
      <ability>L2_Typo</ability>
      <abilityName>字词错误</abilityName>
      <candidateList>
        <item>括但</item>
      </candidateList>
      <explain/>
      <paraID>30C487E7</paraID>
      <start>16</start>
      <end>17</end>
      <status>unmodified</status>
      <modifiedWord/>
      <trackRevisions>false</trackRevisions>
    </reviewItem>
    <reviewItem>
      <errorID>3246b239-1045-4301-bcab-a6d607ec82b8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5202A3F7</paraID>
      <start>31</start>
      <end>34</end>
      <status>unmodified</status>
      <modifiedWord/>
      <trackRevisions>false</trackRevisions>
    </reviewItem>
    <reviewItem>
      <errorID>24f21146-774b-49f6-8b31-54458380c879</errorID>
      <errorWord>要</errorWord>
      <group>L1_Word</group>
      <groupName>字词问题</groupName>
      <ability>L2_Typo</ability>
      <abilityName>字词错误</abilityName>
      <candidateList>
        <item>要的</item>
      </candidateList>
      <explain/>
      <paraID>18E53928</paraID>
      <start>23</start>
      <end>24</end>
      <status>unmodified</status>
      <modifiedWord/>
      <trackRevisions>false</trackRevisions>
    </reviewItem>
    <reviewItem>
      <errorID>53a07cd3-b80e-4640-acc0-ec3c96b5d4b1</errorID>
      <errorWord>因为</errorWord>
      <group>L1_Word</group>
      <groupName>字词问题</groupName>
      <ability>L2_Typo</ability>
      <abilityName>字词错误</abilityName>
      <candidateList>
        <item>因</item>
      </candidateList>
      <explain/>
      <paraID>42E50737</paraID>
      <start>4</start>
      <end>6</end>
      <status>unmodified</status>
      <modifiedWord/>
      <trackRevisions>false</trackRevisions>
    </reviewItem>
    <reviewItem>
      <errorID>a10c031d-4883-4a63-a26f-0aa5b4c5f374</errorID>
      <errorWord>,</errorWord>
      <group>L1_Format</group>
      <groupName>格式问题</groupName>
      <ability>L2_HalfPunc_CN</ability>
      <abilityName>全半角问题</abilityName>
      <candidateList>
        <item>，</item>
      </candidateList>
      <explain>文本全半角错误。</explain>
      <paraID>6630406E</paraID>
      <start>39</start>
      <end>40</end>
      <status>unmodified</status>
      <modifiedWord/>
      <trackRevisions>false</trackRevisions>
    </reviewItem>
    <reviewItem>
      <errorID>3e18e265-369a-4bde-9da4-0d00d239df67</errorID>
      <errorWord>《民法典》</errorWord>
      <group>L1_Word</group>
      <groupName>字词问题</groupName>
      <ability>L2_Typo</ability>
      <abilityName>字词错误</abilityName>
      <candidateList>
        <item>《中华人民共和国民法典》</item>
      </candidateList>
      <explain/>
      <paraID>7E420FA1</paraID>
      <start>89</start>
      <end>94</end>
      <status>unmodified</status>
      <modifiedWord/>
      <trackRevisions>false</trackRevisions>
    </reviewItem>
    <reviewItem>
      <errorID>f950b565-ae8f-47fe-a5e3-c5069e8beb8f</errorID>
      <errorWord>,</errorWord>
      <group>L1_Format</group>
      <groupName>格式问题</groupName>
      <ability>L2_HalfPunc_CN</ability>
      <abilityName>全半角问题</abilityName>
      <candidateList>
        <item>，</item>
      </candidateList>
      <explain>文本全半角错误。</explain>
      <paraID>7E420FA1</paraID>
      <start>122</start>
      <end>123</end>
      <status>unmodified</status>
      <modifiedWord/>
      <trackRevisions>false</trackRevisions>
    </reviewItem>
    <reviewItem>
      <errorID>8ca7c082-a7e7-4813-971a-f543af8ff618</errorID>
      <errorWord>额额</errorWord>
      <group>L1_Word</group>
      <groupName>字词问题</groupName>
      <ability>L2_Typo</ability>
      <abilityName>字词错误</abilityName>
      <candidateList>
        <item>额</item>
      </candidateList>
      <explain/>
      <paraID>7077EEA5</paraID>
      <start>38</start>
      <end>40</end>
      <status>unmodified</status>
      <modifiedWord/>
      <trackRevisions>false</trackRevisions>
    </reviewItem>
    <reviewItem>
      <errorID>1edfa67f-73cf-4898-82b5-a3ebdcc58c83</errorID>
      <errorWord>《民法典》</errorWord>
      <group>L1_Word</group>
      <groupName>字词问题</groupName>
      <ability>L2_Typo</ability>
      <abilityName>字词错误</abilityName>
      <candidateList>
        <item>《中华人民共和国民法典》</item>
      </candidateList>
      <explain/>
      <paraID>5CF30BEE</paraID>
      <start>14</start>
      <end>19</end>
      <status>unmodified</status>
      <modifiedWord/>
      <trackRevisions>false</trackRevisions>
    </reviewItem>
    <reviewItem>
      <errorID>91f22538-eb76-4004-bedd-fbb8ce735b48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6FB31C84</paraID>
      <start>0</start>
      <end>2</end>
      <status>unmodified</status>
      <modifiedWord/>
      <trackRevisions>false</trackRevisions>
    </reviewItem>
    <reviewItem>
      <errorID>a7d6ff91-2146-4a0a-a1e8-834935fe033d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25B1A0CD</paraID>
      <start>0</start>
      <end>2</end>
      <status>unmodified</status>
      <modifiedWord/>
      <trackRevisions>false</trackRevisions>
    </reviewItem>
    <reviewItem>
      <errorID>67e6e449-61d5-4a20-ba77-84e3e2e04ffb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205F7246</paraID>
      <start>0</start>
      <end>2</end>
      <status>unmodified</status>
      <modifiedWord/>
      <trackRevisions>false</trackRevisions>
    </reviewItem>
    <reviewItem>
      <errorID>f7a4afab-7b93-4cb4-b38b-85b20401411b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3FB523</paraID>
      <start>0</start>
      <end>3</end>
      <status>unmodified</status>
      <modifiedWord/>
      <trackRevisions>false</trackRevisions>
    </reviewItem>
    <reviewItem>
      <errorID>a583925d-4596-4e2d-900b-7b41277ab7ec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6C032457</paraID>
      <start>0</start>
      <end>3</end>
      <status>unmodified</status>
      <modifiedWord/>
      <trackRevisions>false</trackRevisions>
    </reviewItem>
    <reviewItem>
      <errorID>6cb823cc-73a9-46aa-97f9-2be331f6f398</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44949D00</paraID>
      <start>0</start>
      <end>3</end>
      <status>unmodified</status>
      <modifiedWord/>
      <trackRevisions>false</trackRevisions>
    </reviewItem>
    <reviewItem>
      <errorID>7b9540ec-8cd4-4a6e-b636-215700e90b4f</errorID>
      <errorWord>即时</errorWord>
      <group>L1_Word</group>
      <groupName>字词问题</groupName>
      <ability>L2_Typo</ability>
      <abilityName>字词错误</abilityName>
      <candidateList>
        <item>及时</item>
      </candidateList>
      <explain>存在发音相同字词的误用。</explain>
      <paraID>44949D00</paraID>
      <start>18</start>
      <end>20</end>
      <status>unmodified</status>
      <modifiedWord/>
      <trackRevisions>false</trackRevisions>
    </reviewItem>
    <reviewItem>
      <errorID>3fe4e994-f67d-4842-8ff6-29a2c57540da</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368CE5C9</paraID>
      <start>0</start>
      <end>3</end>
      <status>unmodified</status>
      <modifiedWord/>
      <trackRevisions>false</trackRevisions>
    </reviewItem>
    <reviewItem>
      <errorID>b40bdc06-df16-43a1-a2e9-8894cf1fd179</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335031E4</paraID>
      <start>0</start>
      <end>3</end>
      <status>unmodified</status>
      <modifiedWord/>
      <trackRevisions>false</trackRevisions>
    </reviewItem>
    <reviewItem>
      <errorID>8acb5be2-aa1f-479f-849a-12cb367ba0f2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1A51D8E</paraID>
      <start>0</start>
      <end>3</end>
      <status>unmodified</status>
      <modifiedWord/>
      <trackRevisions>false</trackRevisions>
    </reviewItem>
    <reviewItem>
      <errorID>7bebd58e-5bab-43f1-a598-71284a44fad1</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4910837F</paraID>
      <start>0</start>
      <end>3</end>
      <status>unmodified</status>
      <modifiedWord/>
      <trackRevisions>false</trackRevisions>
    </reviewItem>
    <reviewItem>
      <errorID>a9d3a68b-e953-4f21-86f9-8c4e2e049f87</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7A6A0126</paraID>
      <start>0</start>
      <end>3</end>
      <status>unmodified</status>
      <modifiedWord/>
      <trackRevisions>false</trackRevisions>
    </reviewItem>
    <reviewItem>
      <errorID>4739ceb4-541a-4817-80be-37c4a6b65133</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7BB2AC37</paraID>
      <start>0</start>
      <end>3</end>
      <status>unmodified</status>
      <modifiedWord/>
      <trackRevisions>false</trackRevisions>
    </reviewItem>
    <reviewItem>
      <errorID>cf17fcff-6c14-46d2-8245-6d8d94b77618</errorID>
      <errorWord>人民法院提起诉讼解决</errorWord>
      <group>L1_Knowledge</group>
      <groupName>知识性问题</groupName>
      <ability>L2_Knowledge</ability>
      <abilityName>其他知识</abilityName>
      <candidateList>
        <item>人民法院提起诉讼</item>
      </candidateList>
      <explain/>
      <paraID> 6FF6444</paraID>
      <start>38</start>
      <end>48</end>
      <status>unmodified</status>
      <modifiedWord/>
      <trackRevisions>false</trackRevisions>
    </reviewItem>
    <reviewItem>
      <errorID>dd88765f-6c88-4093-894b-85cf51f09664</errorID>
      <errorWord>，</errorWord>
      <group>L1_Word</group>
      <groupName>字词问题</groupName>
      <ability>L2_Typo</ability>
      <abilityName>字词错误</abilityName>
      <candidateList>
        <item>，本</item>
      </candidateList>
      <explain/>
      <paraID>201433FA</paraID>
      <start>23</start>
      <end>24</end>
      <status>unmodified</status>
      <modifiedWord/>
      <trackRevisions>false</trackRevisions>
    </reviewItem>
    <reviewItem>
      <errorID>16670e2f-fb45-4bac-afb2-0425e1e5158e</errorID>
      <errorWord>一式二份</errorWord>
      <group>L1_Word</group>
      <groupName>字词问题</groupName>
      <ability>L2_Typo</ability>
      <abilityName>字词错误</abilityName>
      <candidateList>
        <item>一式两份</item>
      </candidateList>
      <explain/>
      <paraID>151C9526</paraID>
      <start>6</start>
      <end>10</end>
      <status>unmodified</status>
      <modifiedWord/>
      <trackRevisions>false</trackRevisions>
    </reviewItem>
    <reviewItem>
      <errorID>6d6e1183-10c5-4d8a-b4e4-06c9a10073c4</errorID>
      <errorWord>、或</errorWord>
      <group>L1_Word</group>
      <groupName>字词问题</groupName>
      <ability>L2_Typo</ability>
      <abilityName>字词错误</abilityName>
      <candidateList>
        <item>或</item>
      </candidateList>
      <explain/>
      <paraID>3452D516</paraID>
      <start>95</start>
      <end>97</end>
      <status>unmodified</status>
      <modifiedWord/>
      <trackRevisions>false</trackRevisions>
    </reviewItem>
    <reviewItem>
      <errorID>543885aa-23da-4da8-9f70-c20dbd36e12e</errorID>
      <errorWord>鉴此</errorWord>
      <group>L1_Word</group>
      <groupName>字词问题</groupName>
      <ability>L2_Typo</ability>
      <abilityName>字词错误</abilityName>
      <candidateList>
        <item>鉴（之）于此</item>
      </candidateList>
      <explain/>
      <paraID>3FAD661E</paraID>
      <start>0</start>
      <end>2</end>
      <status>unmodified</status>
      <modifiedWord/>
      <trackRevisions>false</trackRevisions>
    </reviewItem>
    <reviewItem>
      <errorID>c1305bd4-fd59-491d-a73a-bf5877d6e02d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51B6D797</paraID>
      <start>0</start>
      <end>2</end>
      <status>unmodified</status>
      <modifiedWord/>
      <trackRevisions>false</trackRevisions>
    </reviewItem>
    <reviewItem>
      <errorID>0cf67980-43f9-46a5-a7d4-8ade2eb1ebd0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3AC58738</paraID>
      <start>0</start>
      <end>2</end>
      <status>unmodified</status>
      <modifiedWord/>
      <trackRevisions>false</trackRevisions>
    </reviewItem>
    <reviewItem>
      <errorID>b29abea7-5c4a-4f73-8b39-9cccbfaed49e</errorID>
      <errorWord>、以及</errorWord>
      <group>L1_Punc</group>
      <groupName>标点问题</groupName>
      <ability>L2_Punc_CN</ability>
      <abilityName>标点符号问题</abilityName>
      <candidateList>
        <item>，以及</item>
      </candidateList>
      <explain>连接词前后不宜使用顿号，建议使用逗号。</explain>
      <paraID>3AC58738</paraID>
      <start>38</start>
      <end>41</end>
      <status>unmodified</status>
      <modifiedWord/>
      <trackRevisions>false</trackRevisions>
    </reviewItem>
    <reviewItem>
      <errorID>5f49de97-9da4-4558-aeae-484c8d5b386e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5B1D66CD</paraID>
      <start>0</start>
      <end>2</end>
      <status>unmodified</status>
      <modifiedWord/>
      <trackRevisions>false</trackRevisions>
    </reviewItem>
    <reviewItem>
      <errorID>29ba9ff4-077a-4c05-8775-af65b6ce923c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14FE5E2B</paraID>
      <start>0</start>
      <end>2</end>
      <status>unmodified</status>
      <modifiedWord/>
      <trackRevisions>false</trackRevisions>
    </reviewItem>
    <reviewItem>
      <errorID>30510d02-d26b-46d1-ae9c-f14fe7a588c8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3566002C</paraID>
      <start>0</start>
      <end>2</end>
      <status>unmodified</status>
      <modifiedWord/>
      <trackRevisions>false</trackRevisions>
    </reviewItem>
    <reviewItem>
      <errorID>573f6baa-6d59-4f7a-af81-413077629e1e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73D803A5</paraID>
      <start>0</start>
      <end>2</end>
      <status>unmodified</status>
      <modifiedWord/>
      <trackRevisions>false</trackRevisions>
    </reviewItem>
    <reviewItem>
      <errorID>82e590c3-8652-4452-a9e9-5476cc538e1d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43FC60E8</paraID>
      <start>0</start>
      <end>2</end>
      <status>unmodified</status>
      <modifiedWord/>
      <trackRevisions>false</trackRevisions>
    </reviewItem>
    <reviewItem>
      <errorID>cf478810-ba4f-40db-909b-4a680c387012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27C73CFA</paraID>
      <start>0</start>
      <end>2</end>
      <status>unmodified</status>
      <modifiedWord/>
      <trackRevisions>false</trackRevisions>
    </reviewItem>
    <reviewItem>
      <errorID>3ab7b187-2bd9-41db-bf95-9741927582eb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119C9579</paraID>
      <start>0</start>
      <end>2</end>
      <status>unmodified</status>
      <modifiedWord/>
      <trackRevisions>false</trackRevisions>
    </reviewItem>
    <reviewItem>
      <errorID>b1d892cc-e84c-4c87-8c6d-2f693f04f65c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7A2BF009</paraID>
      <start>0</start>
      <end>2</end>
      <status>unmodified</status>
      <modifiedWord/>
      <trackRevisions>false</trackRevisions>
    </reviewItem>
    <reviewItem>
      <errorID>cea3b84f-0b1e-4cd5-bf29-0d442202c01c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57416CE0</paraID>
      <start>0</start>
      <end>2</end>
      <status>unmodified</status>
      <modifiedWord/>
      <trackRevisions>false</trackRevisions>
    </reviewItem>
    <reviewItem>
      <errorID>24b22412-b749-4b02-a4e8-a29d5213a8cc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3790106B</paraID>
      <start>0</start>
      <end>2</end>
      <status>unmodified</status>
      <modifiedWord/>
      <trackRevisions>false</trackRevisions>
    </reviewItem>
    <reviewItem>
      <errorID>93f0844b-6c98-440f-ae15-dbf69ad434e3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6D06604F</paraID>
      <start>0</start>
      <end>2</end>
      <status>unmodified</status>
      <modifiedWord/>
      <trackRevisions>false</trackRevisions>
    </reviewItem>
    <reviewItem>
      <errorID>ac7a74eb-c946-4b9a-b933-ab575d7d1216</errorID>
      <errorWord>须</errorWord>
      <group>L1_Word</group>
      <groupName>字词问题</groupName>
      <ability>L2_Typo</ability>
      <abilityName>字词错误</abilityName>
      <candidateList>
        <item>需</item>
      </candidateList>
      <explain>存在发音相同字词的误用。</explain>
      <paraID>6D06604F</paraID>
      <start>19</start>
      <end>20</end>
      <status>unmodified</status>
      <modifiedWord/>
      <trackRevisions>false</trackRevisions>
    </reviewItem>
    <reviewItem>
      <errorID>77323b0e-a5c8-41c6-a688-0f6ab134fae4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19C97E46</paraID>
      <start>0</start>
      <end>2</end>
      <status>unmodified</status>
      <modifiedWord/>
      <trackRevisions>false</trackRevisions>
    </reviewItem>
    <reviewItem>
      <errorID>5ef04232-751c-4152-b123-2877957fb930</errorID>
      <errorWord>2-3天</errorWord>
      <group>L1_Word</group>
      <groupName>字词问题</groupName>
      <ability>L2_Typo</ability>
      <abilityName>字词错误</abilityName>
      <candidateList>
        <item>2～3天</item>
      </candidateList>
      <explain/>
      <paraID> E1CC8EC</paraID>
      <start>60</start>
      <end>64</end>
      <status>unmodified</status>
      <modifiedWord/>
      <trackRevisions>false</trackRevisions>
    </reviewItem>
    <reviewItem>
      <errorID>f010640c-411c-4e4d-87f1-1a7ccfc94554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E4F4F90</paraID>
      <start>0</start>
      <end>2</end>
      <status>unmodified</status>
      <modifiedWord/>
      <trackRevisions>false</trackRevisions>
    </reviewItem>
    <reviewItem>
      <errorID>348f634d-abf8-4329-9740-f1dbbe4521e5</errorID>
      <errorWord>2-3天</errorWord>
      <group>L1_Word</group>
      <groupName>字词问题</groupName>
      <ability>L2_Typo</ability>
      <abilityName>字词错误</abilityName>
      <candidateList>
        <item>2～3天</item>
      </candidateList>
      <explain/>
      <paraID>776752BE</paraID>
      <start>78</start>
      <end>82</end>
      <status>unmodified</status>
      <modifiedWord/>
      <trackRevisions>false</trackRevisions>
    </reviewItem>
    <reviewItem>
      <errorID>8576d4a3-7a2a-4fbd-81de-7ba731d9b184</errorID>
      <errorWord>予</errorWord>
      <group>L1_Word</group>
      <groupName>字词问题</groupName>
      <ability>L2_Typo</ability>
      <abilityName>字词错误</abilityName>
      <candidateList>
        <item>予以</item>
      </candidateList>
      <explain/>
      <paraID>13D8B740</paraID>
      <start>76</start>
      <end>77</end>
      <status>unmodified</status>
      <modifiedWord/>
      <trackRevisions>false</trackRevisions>
    </reviewItem>
    <reviewItem>
      <errorID>2cbfd3c9-9f52-416d-9862-fa23c118da45</errorID>
      <errorWord>预定</errorWord>
      <group>L1_Word</group>
      <groupName>字词问题</groupName>
      <ability>L2_Typo</ability>
      <abilityName>字词错误</abilityName>
      <candidateList>
        <item>预订</item>
      </candidateList>
      <explain/>
      <paraID>1D49E022</paraID>
      <start>10</start>
      <end>12</end>
      <status>unmodified</status>
      <modifiedWord/>
      <trackRevisions>false</trackRevisions>
    </reviewItem>
    <reviewItem>
      <errorID>3b853446-b29a-4712-9cea-89fe6482d58b</errorID>
      <errorWord>括</errorWord>
      <group>L1_Word</group>
      <groupName>字词问题</groupName>
      <ability>L2_Typo</ability>
      <abilityName>字词错误</abilityName>
      <candidateList>
        <item>括但</item>
      </candidateList>
      <explain/>
      <paraID>1D49E022</paraID>
      <start>16</start>
      <end>17</end>
      <status>unmodified</status>
      <modifiedWord/>
      <trackRevisions>false</trackRevisions>
    </reviewItem>
    <reviewItem>
      <errorID>2fd0b796-4bf0-49ec-a93c-997fcad4129e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4223C6C0</paraID>
      <start>31</start>
      <end>34</end>
      <status>unmodified</status>
      <modifiedWord/>
      <trackRevisions>false</trackRevisions>
    </reviewItem>
    <reviewItem>
      <errorID>c3f40a2a-f268-4f02-a5f6-ca3436add5a6</errorID>
      <errorWord>要</errorWord>
      <group>L1_Word</group>
      <groupName>字词问题</groupName>
      <ability>L2_Typo</ability>
      <abilityName>字词错误</abilityName>
      <candidateList>
        <item>要的</item>
      </candidateList>
      <explain/>
      <paraID>380A53E7</paraID>
      <start>23</start>
      <end>24</end>
      <status>unmodified</status>
      <modifiedWord/>
      <trackRevisions>false</trackRevisions>
    </reviewItem>
    <reviewItem>
      <errorID>42b07964-c2eb-4eb7-a997-18999af08bc0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313C6527</paraID>
      <start>0</start>
      <end>2</end>
      <status>unmodified</status>
      <modifiedWord/>
      <trackRevisions>false</trackRevisions>
    </reviewItem>
    <reviewItem>
      <errorID>c919a2e2-f4a7-4676-8965-ad0541c5943a</errorID>
      <errorWord>因为</errorWord>
      <group>L1_Word</group>
      <groupName>字词问题</groupName>
      <ability>L2_Typo</ability>
      <abilityName>字词错误</abilityName>
      <candidateList>
        <item>因</item>
      </candidateList>
      <explain/>
      <paraID>313C6527</paraID>
      <start>2</start>
      <end>4</end>
      <status>unmodified</status>
      <modifiedWord/>
      <trackRevisions>false</trackRevisions>
    </reviewItem>
    <reviewItem>
      <errorID>cc565d2a-8cb6-4a5d-ae87-abcdf1e1abd3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2B9AF43C</paraID>
      <start>0</start>
      <end>2</end>
      <status>unmodified</status>
      <modifiedWord/>
      <trackRevisions>false</trackRevisions>
    </reviewItem>
    <reviewItem>
      <errorID>3aef49c0-c746-4b3a-8c41-7b0e29b8d93e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78514151</paraID>
      <start>0</start>
      <end>2</end>
      <status>unmodified</status>
      <modifiedWord/>
      <trackRevisions>false</trackRevisions>
    </reviewItem>
    <reviewItem>
      <errorID>5052251f-4f5d-49ee-9b3d-5529a84110f7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5C7BBD9D</paraID>
      <start>0</start>
      <end>2</end>
      <status>unmodified</status>
      <modifiedWord/>
      <trackRevisions>false</trackRevisions>
    </reviewItem>
    <reviewItem>
      <errorID>3c732dad-d72d-47b6-8b77-97a5c6a104b7</errorID>
      <errorWord>(</errorWord>
      <group>L1_Format</group>
      <groupName>格式问题</groupName>
      <ability>L2_HalfPunc_CN</ability>
      <abilityName>全半角问题</abilityName>
      <candidateList>
        <item>（</item>
      </candidateList>
      <explain>文本全半角错误。</explain>
      <paraID>54D99FAA</paraID>
      <start>6</start>
      <end>7</end>
      <status>unmodified</status>
      <modifiedWord/>
      <trackRevisions>false</trackRevisions>
    </reviewItem>
    <reviewItem>
      <errorID>2c9d3b83-ab54-4b13-b2b1-b95eff2efef2</errorID>
      <errorWord>，</errorWord>
      <group>L1_Word</group>
      <groupName>字词问题</groupName>
      <ability>L2_Typo</ability>
      <abilityName>字词错误</abilityName>
      <candidateList>
        <item>，在</item>
      </candidateList>
      <explain/>
      <paraID>5B86D219</paraID>
      <start>46</start>
      <end>47</end>
      <status>unmodified</status>
      <modifiedWord/>
      <trackRevisions>false</trackRevisions>
    </reviewItem>
    <reviewItem>
      <errorID>78ea1cc2-0bbc-4c92-bfe6-4afe42574357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78E8F2C7</paraID>
      <start>0</start>
      <end>2</end>
      <status>unmodified</status>
      <modifiedWord/>
      <trackRevisions>false</trackRevisions>
    </reviewItem>
    <reviewItem>
      <errorID>967a9f64-ed58-4f6b-a44e-a3cee431e540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78E8F2C7</paraID>
      <start>6</start>
      <end>9</end>
      <status>unmodified</status>
      <modifiedWord/>
      <trackRevisions>false</trackRevisions>
    </reviewItem>
    <reviewItem>
      <errorID>5c7d9acd-44ec-4860-a7f9-0f7df85a3106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5F89BD71</paraID>
      <start>0</start>
      <end>2</end>
      <status>unmodified</status>
      <modifiedWord/>
      <trackRevisions>false</trackRevisions>
    </reviewItem>
    <reviewItem>
      <errorID>ee6c781b-044a-46c5-9d27-f51a2fae1ccc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2ADE2E86</paraID>
      <start>0</start>
      <end>2</end>
      <status>unmodified</status>
      <modifiedWord/>
      <trackRevisions>false</trackRevisions>
    </reviewItem>
    <reviewItem>
      <errorID>d7852fbc-b6a1-4e90-a61b-9bf6cf780f51</errorID>
      <errorWord>[2011]300号</errorWord>
      <group>L1_Knowledge</group>
      <groupName>知识性问题</groupName>
      <ability>L2_Knowledge</ability>
      <abilityName>其他知识</abilityName>
      <candidateList>
        <item>〔2011〕300号</item>
      </candidateList>
      <explain>发文字号格式错误。</explain>
      <paraID>76216DDD</paraID>
      <start>36</start>
      <end>46</end>
      <status>unmodified</status>
      <modifiedWord/>
      <trackRevisions>false</trackRevisions>
    </reviewItem>
    <reviewItem>
      <errorID>8d09df1d-5519-4ab8-8bad-820270cda220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3CAD7DE6</paraID>
      <start>0</start>
      <end>2</end>
      <status>unmodified</status>
      <modifiedWord/>
      <trackRevisions>false</trackRevisions>
    </reviewItem>
    <reviewItem>
      <errorID>b5ac1c0c-613b-49e0-90ba-f3081376816e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5AEE3133</paraID>
      <start>0</start>
      <end>2</end>
      <status>unmodified</status>
      <modifiedWord/>
      <trackRevisions>false</trackRevisions>
    </reviewItem>
    <reviewItem>
      <errorID>01a93658-9abd-4ad5-a073-c1931a994139</errorID>
      <errorWord>(</errorWord>
      <group>L1_Format</group>
      <groupName>格式问题</groupName>
      <ability>L2_HalfPunc_CN</ability>
      <abilityName>全半角问题</abilityName>
      <candidateList>
        <item>（</item>
      </candidateList>
      <explain>文本全半角错误。</explain>
      <paraID>74BD0CE8</paraID>
      <start>36</start>
      <end>37</end>
      <status>unmodified</status>
      <modifiedWord/>
      <trackRevisions>false</trackRevisions>
    </reviewItem>
    <reviewItem>
      <errorID>c4faa1b6-cc85-4bdf-b118-6f8781f18991</errorID>
      <errorWord>)</errorWord>
      <group>L1_Format</group>
      <groupName>格式问题</groupName>
      <ability>L2_HalfPunc_CN</ability>
      <abilityName>全半角问题</abilityName>
      <candidateList>
        <item>）</item>
      </candidateList>
      <explain>文本全半角错误。</explain>
      <paraID>74BD0CE8</paraID>
      <start>46</start>
      <end>47</end>
      <status>unmodified</status>
      <modifiedWord/>
      <trackRevisions>false</trackRevisions>
    </reviewItem>
    <reviewItem>
      <errorID>37510e2b-3deb-4806-84ec-9296a5355f34</errorID>
      <errorWord>[2014]68号</errorWord>
      <group>L1_Knowledge</group>
      <groupName>知识性问题</groupName>
      <ability>L2_Knowledge</ability>
      <abilityName>其他知识</abilityName>
      <candidateList>
        <item>〔2014〕68号</item>
      </candidateList>
      <explain>发文字号格式错误。</explain>
      <paraID>5D3884AD</paraID>
      <start>38</start>
      <end>47</end>
      <status>unmodified</status>
      <modifiedWord/>
      <trackRevisions>false</trackRevisions>
    </reviewItem>
    <reviewItem>
      <errorID>6b35326d-aa64-48c2-9503-ad6dec1ada77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2E94AEE7</paraID>
      <start>0</start>
      <end>2</end>
      <status>unmodified</status>
      <modifiedWord/>
      <trackRevisions>false</trackRevisions>
    </reviewItem>
    <reviewItem>
      <errorID>f985b7d5-233b-4802-9a34-788f4d3b425d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4137FDC2</paraID>
      <start>56</start>
      <end>59</end>
      <status>unmodified</status>
      <modifiedWord/>
      <trackRevisions>false</trackRevisions>
    </reviewItem>
    <reviewItem>
      <errorID>6b06adb4-5f6d-4f5d-94f0-f5055b06fa06</errorID>
      <errorWord>、或</errorWord>
      <group>L1_Word</group>
      <groupName>字词问题</groupName>
      <ability>L2_Typo</ability>
      <abilityName>字词错误</abilityName>
      <candidateList>
        <item>或</item>
      </candidateList>
      <explain/>
      <paraID>107C5C87</paraID>
      <start>41</start>
      <end>43</end>
      <status>unmodified</status>
      <modifiedWord/>
      <trackRevisions>false</trackRevisions>
    </reviewItem>
    <reviewItem>
      <errorID>7e568a68-c101-4411-83f9-407f21999aaa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543C2DA7</paraID>
      <start>20</start>
      <end>23</end>
      <status>unmodified</status>
      <modifiedWord/>
      <trackRevisions>false</trackRevisions>
    </reviewItem>
    <reviewItem>
      <errorID>fdeffa86-1a9f-42dd-9d18-7d63107c7069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F88775C</paraID>
      <start>8</start>
      <end>11</end>
      <status>unmodified</status>
      <modifiedWord/>
      <trackRevisions>false</trackRevisions>
    </reviewItem>
    <reviewItem>
      <errorID>9e3dd33f-b0af-49e8-a23a-c2e9a68ac3c4</errorID>
      <errorWord>其它</errorWord>
      <group>L1_Word</group>
      <groupName>字词问题</groupName>
      <ability>L2_Alias</ability>
      <abilityName>也作/曾用词</abilityName>
      <candidateList>
        <item>其他</item>
      </candidateList>
      <explain>词汇[其它]为不规范表述或旧称，其规范书面表述为[其他]。</explain>
      <paraID>15719AC4</paraID>
      <start>17</start>
      <end>19</end>
      <status>unmodified</status>
      <modifiedWord/>
      <trackRevisions>false</trackRevisions>
    </reviewItem>
    <reviewItem>
      <errorID>86a5c815-de7a-41a9-920e-7b784d235a20</errorID>
      <errorWord>法律、法规</errorWord>
      <group>L1_Word</group>
      <groupName>字词问题</groupName>
      <ability>L2_Typo</ability>
      <abilityName>字词错误</abilityName>
      <candidateList>
        <item>法律法规</item>
      </candidateList>
      <explain/>
      <paraID>65E416A5</paraID>
      <start>2</start>
      <end>7</end>
      <status>unmodified</status>
      <modifiedWord/>
      <trackRevisions>false</trackRevisions>
    </reviewItem>
    <reviewItem>
      <errorID>b9ac334b-3d74-4d36-a9ff-631400e3c8e3</errorID>
      <errorWord>动</errorWord>
      <group>L1_Word</group>
      <groupName>字词问题</groupName>
      <ability>L2_Typo</ability>
      <abilityName>字词错误</abilityName>
      <candidateList>
        <item>动中</item>
      </candidateList>
      <explain/>
      <paraID> E335A32</paraID>
      <start>61</start>
      <end>62</end>
      <status>unmodified</status>
      <modifiedWord/>
      <trackRevisions>false</trackRevisions>
    </reviewItem>
    <reviewItem>
      <errorID>a9c598f8-02b5-4bd8-9aab-c862815b3c8a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38539C0E</paraID>
      <start>0</start>
      <end>2</end>
      <status>unmodified</status>
      <modifiedWord/>
      <trackRevisions>false</trackRevisions>
    </reviewItem>
    <reviewItem>
      <errorID>f41ddb54-fe1b-46d0-a235-a0d2b0702a3d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5958A6FE</paraID>
      <start>0</start>
      <end>2</end>
      <status>unmodified</status>
      <modifiedWord/>
      <trackRevisions>false</trackRevisions>
    </reviewItem>
    <reviewItem>
      <errorID>5a6243e7-b9df-4126-92e5-64510b37017d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29A268D2</paraID>
      <start>0</start>
      <end>2</end>
      <status>unmodified</status>
      <modifiedWord/>
      <trackRevisions>false</trackRevisions>
    </reviewItem>
    <reviewItem>
      <errorID>03422f6e-39a0-413a-b92b-1476828d49f6</errorID>
      <errorWord>２</errorWord>
      <group>L1_Format</group>
      <groupName>格式问题</groupName>
      <ability>L2_HalfPunc_CN</ability>
      <abilityName>全半角问题</abilityName>
      <candidateList>
        <item>2</item>
      </candidateList>
      <explain>文本全半角错误。</explain>
      <paraID>48B67783</paraID>
      <start>3</start>
      <end>4</end>
      <status>unmodified</status>
      <modifiedWord/>
      <trackRevisions>false</trackRevisions>
    </reviewItem>
    <reviewItem>
      <errorID>97c392b3-1ceb-4bf3-a567-56526cc4507c</errorID>
      <errorWord>〔2017〕 141号</errorWord>
      <group>L1_Knowledge</group>
      <groupName>知识性问题</groupName>
      <ability>L2_Knowledge</ability>
      <abilityName>其他知识</abilityName>
      <candidateList>
        <item>〔2017〕141号</item>
      </candidateList>
      <explain>发文字号格式错误。</explain>
      <paraID>3E84A261</paraID>
      <start>49</start>
      <end>60</end>
      <status>unmodified</status>
      <modifiedWord/>
      <trackRevisions>false</trackRevisions>
    </reviewItem>
    <reviewItem>
      <errorID>54c3210d-97cb-44c8-b4e4-8afb9097dba7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149A105F</paraID>
      <start>0</start>
      <end>2</end>
      <status>unmodified</status>
      <modifiedWord/>
      <trackRevisions>false</trackRevisions>
    </reviewItem>
    <reviewItem>
      <errorID>41f0f5bb-1277-4a6b-b036-beeb3ae9c2f5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2D180DD</paraID>
      <start>0</start>
      <end>2</end>
      <status>unmodified</status>
      <modifiedWord/>
      <trackRevisions>false</trackRevisions>
    </reviewItem>
    <reviewItem>
      <errorID>20ba4008-f9e8-417b-bc7b-0005d46b5fa5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137BCA2D</paraID>
      <start>0</start>
      <end>2</end>
      <status>unmodified</status>
      <modifiedWord/>
      <trackRevisions>false</trackRevisions>
    </reviewItem>
    <reviewItem>
      <errorID>4bebbc3b-9445-4ce7-9a9b-cf007e56c655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4738D264</paraID>
      <start>0</start>
      <end>2</end>
      <status>unmodified</status>
      <modifiedWord/>
      <trackRevisions>false</trackRevisions>
    </reviewItem>
    <reviewItem>
      <errorID>577d5dc9-9a62-4df6-93b1-635bac466e54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300A0A79</paraID>
      <start>0</start>
      <end>2</end>
      <status>unmodified</status>
      <modifiedWord/>
      <trackRevisions>false</trackRevisions>
    </reviewItem>
    <reviewItem>
      <errorID>34ad803e-fa24-4b29-8ef0-738c76dba6ac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6E56CD44</paraID>
      <start>0</start>
      <end>2</end>
      <status>unmodified</status>
      <modifiedWord/>
      <trackRevisions>false</trackRevisions>
    </reviewItem>
    <reviewItem>
      <errorID>581d87f8-aeb2-428d-9748-1bbef41ebb03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6D3FC7AF</paraID>
      <start>0</start>
      <end>2</end>
      <status>unmodified</status>
      <modifiedWord/>
      <trackRevisions>false</trackRevisions>
    </reviewItem>
    <reviewItem>
      <errorID>14a2a9e2-d0d9-41ba-b7b3-eb7aa34c9a31</errorID>
      <errorWord>:</errorWord>
      <group>L1_Format</group>
      <groupName>格式问题</groupName>
      <ability>L2_HalfPunc_CN</ability>
      <abilityName>全半角问题</abilityName>
      <candidateList>
        <item>：</item>
      </candidateList>
      <explain>文本全半角错误。</explain>
      <paraID>709ED284</paraID>
      <start>10</start>
      <end>11</end>
      <status>unmodified</status>
      <modifiedWord/>
      <trackRevisions>false</trackRevisions>
    </reviewItem>
    <reviewItem>
      <errorID>d7849297-1803-4158-a889-731c233e4f06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2147DF5E</paraID>
      <start>0</start>
      <end>2</end>
      <status>unmodified</status>
      <modifiedWord/>
      <trackRevisions>false</trackRevisions>
    </reviewItem>
    <reviewItem>
      <errorID>3e1adfd5-d211-48aa-9d85-6cbe7223b724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459B89D1</paraID>
      <start>0</start>
      <end>2</end>
      <status>unmodified</status>
      <modifiedWord/>
      <trackRevisions>false</trackRevisions>
    </reviewItem>
    <reviewItem>
      <errorID>0dd24416-5ee2-47ad-8886-f51a95d636cb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4E8E4130</paraID>
      <start>0</start>
      <end>2</end>
      <status>unmodified</status>
      <modifiedWord/>
      <trackRevisions>false</trackRevisions>
    </reviewItem>
    <reviewItem>
      <errorID>53b371c6-3ee0-42ac-99c6-ab033ef545ce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A5FAF6A</paraID>
      <start>0</start>
      <end>2</end>
      <status>unmodified</status>
      <modifiedWord/>
      <trackRevisions>false</trackRevisions>
    </reviewItem>
    <reviewItem>
      <errorID>464a6ffe-9399-4f1e-a3ce-c1316ced1152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4F98B606</paraID>
      <start>0</start>
      <end>2</end>
      <status>unmodified</status>
      <modifiedWord/>
      <trackRevisions>false</trackRevisions>
    </reviewItem>
    <reviewItem>
      <errorID>eaf5bd6f-e4cf-485b-86f9-5d96f5f655d4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6F53ED82</paraID>
      <start>0</start>
      <end>2</end>
      <status>unmodified</status>
      <modifiedWord/>
      <trackRevisions>false</trackRevisions>
    </reviewItem>
    <reviewItem>
      <errorID>328ff839-fe02-47ef-b6e3-80cf40a770a5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1A05D91</paraID>
      <start>0</start>
      <end>2</end>
      <status>unmodified</status>
      <modifiedWord/>
      <trackRevisions>false</trackRevisions>
    </reviewItem>
    <reviewItem>
      <errorID>11c69adf-8729-4f64-877c-3b99c6741a97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7CDD079A</paraID>
      <start>0</start>
      <end>2</end>
      <status>unmodified</status>
      <modifiedWord/>
      <trackRevisions>false</trackRevisions>
    </reviewItem>
    <reviewItem>
      <errorID>084d8638-2e24-4c3f-95ac-ecded386aec1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5912641</paraID>
      <start>0</start>
      <end>2</end>
      <status>unmodified</status>
      <modifiedWord/>
      <trackRevisions>false</trackRevisions>
    </reviewItem>
    <reviewItem>
      <errorID>0e2bb536-0aa9-468b-a656-ff2aa6c8fae3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439C6B3</paraID>
      <start>0</start>
      <end>2</end>
      <status>unmodified</status>
      <modifiedWord/>
      <trackRevisions>false</trackRevisions>
    </reviewItem>
    <reviewItem>
      <errorID>d1ec87b8-b8f7-4b56-9224-9e2d6a12760a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71169338</paraID>
      <start>0</start>
      <end>2</end>
      <status>unmodified</status>
      <modifiedWord/>
      <trackRevisions>false</trackRevisions>
    </reviewItem>
    <reviewItem>
      <errorID>c9043967-20f8-471a-ac0c-820075fd908d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5AAF9EEF</paraID>
      <start>0</start>
      <end>2</end>
      <status>unmodified</status>
      <modifiedWord/>
      <trackRevisions>false</trackRevisions>
    </reviewItem>
    <reviewItem>
      <errorID>39c2c1ce-8fe5-4c0d-b132-28367eaf600b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25E5F52</paraID>
      <start>0</start>
      <end>2</end>
      <status>unmodified</status>
      <modifiedWord/>
      <trackRevisions>false</trackRevisions>
    </reviewItem>
    <reviewItem>
      <errorID>35ee14fc-26a7-46cf-b298-1cb6aa1465ac</errorID>
      <errorWord>(</errorWord>
      <group>L1_Format</group>
      <groupName>格式问题</groupName>
      <ability>L2_HalfPunc_CN</ability>
      <abilityName>全半角问题</abilityName>
      <candidateList>
        <item>（</item>
      </candidateList>
      <explain>文本全半角错误。</explain>
      <paraID>57A97EBC</paraID>
      <start>2</start>
      <end>3</end>
      <status>unmodified</status>
      <modifiedWord/>
      <trackRevisions>false</trackRevisions>
    </reviewItem>
    <reviewItem>
      <errorID>947a53c4-64fb-4aa5-a0e2-26f0f303a287</errorID>
      <errorWord>)</errorWord>
      <group>L1_Format</group>
      <groupName>格式问题</groupName>
      <ability>L2_HalfPunc_CN</ability>
      <abilityName>全半角问题</abilityName>
      <candidateList>
        <item>）</item>
      </candidateList>
      <explain>文本全半角错误。</explain>
      <paraID>57A97EBC</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15E79E0-4647-4B6E-9A36-74A1372A3EF1}">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60</Pages>
  <Words>3560</Words>
  <Characters>3949</Characters>
  <Lines>255</Lines>
  <Paragraphs>71</Paragraphs>
  <TotalTime>25</TotalTime>
  <ScaleCrop>false</ScaleCrop>
  <LinksUpToDate>false</LinksUpToDate>
  <CharactersWithSpaces>4054</CharactersWithSpaces>
  <Application>WPS Office_12.1.0.28040_F1E327BC-269C-435d-A152-05C5408002CA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2023-06-15T03:19:00Z</dcterms:created>
  <dc:creator>田长山</dc:creator>
  <cp:lastModifiedBy>田长山</cp:lastModifiedBy>
  <cp:lastPrinted>2026-07-17T09:25:00Z</cp:lastPrinted>
  <dcterms:modified xsi:type="dcterms:W3CDTF">2026-07-27T06:59:39Z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2052-12.1.0.28040</vt:lpwstr>
  </property>
  <property fmtid="{D5CDD505-2E9C-101B-9397-08002B2CF9AE}" pid="3" name="ICV">
    <vt:lpwstr>7C1FA32B570E4BA18413E4FA6961A0C5_13</vt:lpwstr>
  </property>
  <property fmtid="{D5CDD505-2E9C-101B-9397-08002B2CF9AE}" pid="4" name="KSOTemplateDocerSaveRecord">
    <vt:lpwstr>eyJoZGlkIjoiZjFkYmY1Nzk1ZGEwNGY0Yzk5NDlkODRlNzQ3N2ZlYWUiLCJ1c2VySWQiOiIzMDA0MjAwNDQifQ==</vt:lpwstr>
  </property>
</Properties>
</file>