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南通市崇川区卫生健康委员会多普勒彩超采购项目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政府采购招标文件</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政府采购项目编号：</w:t>
        <w:tab/>
        <w:t xml:space="preserve">JSZC-320613-JSHY-C2026-0103</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2" w:right="12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1"/>
          <w:sz w:val="44"/>
        </w:rPr>
        <w:t xml:space="preserve"> </w:t>
      </w:r>
      <w:r/>
    </w:p>
    <w:p>
      <w:pPr>
        <w:ind w:left="-2" w:right="12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1"/>
          <w:sz w:val="36"/>
        </w:rPr>
        <w:t xml:space="preserve">江苏弘业国际技术工程有限公司</w:t>
      </w:r>
      <w:r/>
    </w:p>
    <w:p>
      <w:pPr>
        <w:ind w:left="-2" w:right="12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2" w:right="12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二〇二六年六月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rPr>
          <w:rFonts w:ascii="Times New Roman" w:hAnsi="Times New Roman" w:eastAsia="Times New Roman" w:cs="Times New Roman"/>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总目录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23"/>
        </w:numPr>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磋商邀请</w:t>
      </w:r>
      <w:r/>
    </w:p>
    <w:p>
      <w:pPr>
        <w:numPr>
          <w:ilvl w:val="0"/>
          <w:numId w:val="23"/>
        </w:numPr>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 </w:t>
      </w:r>
      <w:r/>
    </w:p>
    <w:p>
      <w:pPr>
        <w:numPr>
          <w:ilvl w:val="0"/>
          <w:numId w:val="23"/>
        </w:numPr>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23"/>
        </w:numPr>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23"/>
        </w:numPr>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评审方法与评审标准</w:t>
      </w:r>
      <w:r/>
    </w:p>
    <w:p>
      <w:pPr>
        <w:numPr>
          <w:ilvl w:val="0"/>
          <w:numId w:val="23"/>
        </w:numPr>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第一章磋商邀请</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崇川区卫生健康委员会]的委托，江苏弘业国际技术工程有限公司就[南通市崇川区卫生健康委员会多普勒彩超采购项目]([JSZC-320613-JSHY-C2026-0103])项目进行竞争性磋商采购，欢迎符合条件的供应商参加磋商。</w:t>
      </w:r>
      <w:r/>
    </w:p>
    <w:p>
      <w:pPr>
        <w:ind w:left="0" w:right="0" w:firstLine="480"/>
        <w:spacing w:before="0" w:after="0" w:line="418"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418"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南通市崇川区卫生健康委员会多普勒彩超采购项目竞争性磋商项目的潜在供应商可在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磋商文件，并于</w:t>
      </w:r>
      <w:r>
        <w:rPr>
          <w:rFonts w:ascii="SimSun" w:hAnsi="SimSun" w:eastAsia="SimSun" w:cs="SimSun"/>
          <w:color w:val="000000"/>
          <w:sz w:val="24"/>
          <w:u w:val="single"/>
        </w:rPr>
        <w:t xml:space="preserve">2026年7月1日9点00分（</w:t>
      </w:r>
      <w:r>
        <w:rPr>
          <w:rFonts w:ascii="SimSun" w:hAnsi="SimSun" w:eastAsia="SimSun" w:cs="SimSun"/>
          <w:color w:val="000000"/>
          <w:sz w:val="24"/>
        </w:rPr>
        <w:t xml:space="preserve">北京时间）前递交响应文件。</w:t>
      </w:r>
      <w:r/>
    </w:p>
    <w:p>
      <w:pPr>
        <w:ind w:left="0" w:right="0" w:firstLine="498"/>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1.项目编号：JSZC-320613-JSHY-C2026-0103</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2.项目名称：南通市崇川区卫生健康委员会多普勒彩超采购项目</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3.项目类型：货物</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4.项目行业：工业</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5.预算金额：包1：80万元；包2：80万元</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6.最高限价：包1：80万元；包2：:80万元（供应商投标报价不得超过上述限价金额，否则将作无效标处理）</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7.采购需求：</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0"/>
        <w:gridCol w:w="2108"/>
        <w:gridCol w:w="790"/>
        <w:gridCol w:w="1128"/>
        <w:gridCol w:w="1235"/>
        <w:gridCol w:w="1210"/>
      </w:tblGrid>
      <w:tr>
        <w:trPr/>
        <w:tc>
          <w:tcPr>
            <w:tcBorders>
              <w:top w:val="single" w:color="000000" w:sz="8" w:space="0"/>
              <w:left w:val="single" w:color="000000" w:sz="8" w:space="0"/>
              <w:bottom w:val="single" w:color="000000" w:sz="8" w:space="0"/>
              <w:right w:val="single" w:color="000000" w:sz="8" w:space="0"/>
            </w:tcBorders>
            <w:tcMar>
              <w:left w:w="102" w:type="dxa"/>
              <w:top w:w="80" w:type="dxa"/>
              <w:right w:w="102" w:type="dxa"/>
              <w:bottom w:w="80" w:type="dxa"/>
            </w:tcMar>
            <w:tcW w:w="6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包号</w:t>
            </w:r>
            <w:r/>
          </w:p>
        </w:tc>
        <w:tc>
          <w:tcPr>
            <w:tcBorders>
              <w:top w:val="single" w:color="000000" w:sz="8" w:space="0"/>
              <w:left w:val="single" w:color="000000" w:sz="8" w:space="0"/>
              <w:bottom w:val="single" w:color="000000" w:sz="8" w:space="0"/>
              <w:right w:val="single" w:color="000000" w:sz="8" w:space="0"/>
            </w:tcBorders>
            <w:tcMar>
              <w:left w:w="102" w:type="dxa"/>
              <w:top w:w="80" w:type="dxa"/>
              <w:right w:w="102" w:type="dxa"/>
              <w:bottom w:w="80" w:type="dxa"/>
            </w:tcMar>
            <w:tcW w:w="21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2" w:type="dxa"/>
              <w:top w:w="80" w:type="dxa"/>
              <w:right w:w="102" w:type="dxa"/>
              <w:bottom w:w="80" w:type="dxa"/>
            </w:tcMar>
            <w:tcW w:w="7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2" w:type="dxa"/>
              <w:top w:w="80" w:type="dxa"/>
              <w:right w:w="102" w:type="dxa"/>
              <w:bottom w:w="80" w:type="dxa"/>
            </w:tcMar>
            <w:tcW w:w="11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预算金额（万元）</w:t>
            </w:r>
            <w:r/>
          </w:p>
        </w:tc>
        <w:tc>
          <w:tcPr>
            <w:tcBorders>
              <w:top w:val="single" w:color="000000" w:sz="8" w:space="0"/>
              <w:left w:val="single" w:color="000000" w:sz="8" w:space="0"/>
              <w:bottom w:val="single" w:color="000000" w:sz="8" w:space="0"/>
              <w:right w:val="single" w:color="000000" w:sz="8" w:space="0"/>
            </w:tcBorders>
            <w:tcMar>
              <w:left w:w="102" w:type="dxa"/>
              <w:top w:w="80" w:type="dxa"/>
              <w:right w:w="102" w:type="dxa"/>
              <w:bottom w:w="80" w:type="dxa"/>
            </w:tcMar>
            <w:tcW w:w="12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最高限价（万元）</w:t>
            </w:r>
            <w:r/>
          </w:p>
        </w:tc>
        <w:tc>
          <w:tcPr>
            <w:tcBorders>
              <w:top w:val="single" w:color="000000" w:sz="8" w:space="0"/>
              <w:left w:val="single" w:color="000000" w:sz="8" w:space="0"/>
              <w:bottom w:val="single" w:color="000000" w:sz="8" w:space="0"/>
              <w:right w:val="single" w:color="000000" w:sz="8" w:space="0"/>
            </w:tcBorders>
            <w:tcMar>
              <w:left w:w="102" w:type="dxa"/>
              <w:top w:w="80" w:type="dxa"/>
              <w:right w:w="102" w:type="dxa"/>
              <w:bottom w:w="80" w:type="dxa"/>
            </w:tcMar>
            <w:tcW w:w="1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是否接受进口产品投标</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2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陈桥中心多普勒彩超</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6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2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文峰中心多普勒彩超</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w:t>
            </w:r>
            <w:r/>
          </w:p>
        </w:tc>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1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bl>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详细内容见本采购文件第三章，请仔细研究。</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8.合同履行期限：详见采购需求。</w:t>
      </w:r>
      <w:r/>
    </w:p>
    <w:p>
      <w:pPr>
        <w:ind w:left="0" w:right="0" w:firstLine="482"/>
        <w:spacing w:before="240" w:after="240"/>
        <w:tabs>
          <w:tab w:val="left" w:pos="9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numPr>
          <w:ilvl w:val="0"/>
          <w:numId w:val="24"/>
        </w:numPr>
        <w:spacing w:before="240" w:after="240"/>
        <w:tabs>
          <w:tab w:val="left" w:pos="12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满足《中华人民共和国政府采购法》第二十二条规定：</w:t>
      </w:r>
      <w:r/>
    </w:p>
    <w:p>
      <w:pPr>
        <w:numPr>
          <w:ilvl w:val="0"/>
          <w:numId w:val="25"/>
        </w:numPr>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具有独立承担民事责任的能力；（提供法人或者其他组织的营业执照等证明文件，自然人的身份证明）</w:t>
      </w:r>
      <w:r/>
    </w:p>
    <w:p>
      <w:pPr>
        <w:numPr>
          <w:ilvl w:val="0"/>
          <w:numId w:val="25"/>
        </w:numPr>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具有良好的商业信誉和健全的财务会计制度；（提供</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年度或</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年度的财务状况报告，至少包含资产负债表、利润表，成立不满一年的无须提供成立不满一年不需提供）</w:t>
      </w:r>
      <w:r/>
    </w:p>
    <w:p>
      <w:pPr>
        <w:numPr>
          <w:ilvl w:val="0"/>
          <w:numId w:val="25"/>
        </w:numPr>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依法纳税凭据：提供参加政府采购活动前</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个月内任意一个月依法纳税的凭据，如完税凭证或税务机关开具的完税证明（个人所得税除外）；缴纳社会保险的凭据：提供参加政府采购活动前</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内任意一个月缴纳社会保险的凭据，如专用收据或社会保险缴纳清单；依法免税或不需要缴纳社会保障资金的证明文件。如果供应商依法免税或不需要缴纳社会保障资金，则须提供相应的证明文件，以说明其免税或无需缴纳的依据和情况</w:t>
      </w:r>
      <w:r>
        <w:rPr>
          <w:rFonts w:ascii="Times New Roman" w:hAnsi="Times New Roman" w:eastAsia="Times New Roman" w:cs="Times New Roman"/>
          <w:color w:val="000000"/>
          <w:sz w:val="24"/>
        </w:rPr>
        <w:t xml:space="preserve">]</w:t>
      </w:r>
      <w:r/>
    </w:p>
    <w:p>
      <w:pPr>
        <w:numPr>
          <w:ilvl w:val="0"/>
          <w:numId w:val="25"/>
        </w:numPr>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具有履行合同所必需的设备和专业技术能力；（提供书面声明）</w:t>
      </w:r>
      <w:r/>
    </w:p>
    <w:p>
      <w:pPr>
        <w:numPr>
          <w:ilvl w:val="0"/>
          <w:numId w:val="25"/>
        </w:numPr>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年内在经营活动中没有重大违法记录；（提供书面声明）</w:t>
      </w:r>
      <w:r/>
    </w:p>
    <w:p>
      <w:pPr>
        <w:numPr>
          <w:ilvl w:val="0"/>
          <w:numId w:val="24"/>
        </w:numPr>
        <w:spacing w:before="240" w:after="240"/>
        <w:tabs>
          <w:tab w:val="left" w:pos="12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落实政府采购政策需满足的资格要求：</w:t>
      </w:r>
      <w:r/>
    </w:p>
    <w:p>
      <w:pPr>
        <w:ind w:left="0" w:right="0" w:firstLine="480"/>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numPr>
          <w:ilvl w:val="0"/>
          <w:numId w:val="24"/>
        </w:numPr>
        <w:spacing w:before="240" w:after="240"/>
        <w:tabs>
          <w:tab w:val="left" w:pos="12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本项目的特定资格要求：</w:t>
      </w:r>
      <w:r/>
    </w:p>
    <w:p>
      <w:pPr>
        <w:numPr>
          <w:ilvl w:val="0"/>
          <w:numId w:val="26"/>
        </w:numPr>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numPr>
          <w:ilvl w:val="0"/>
          <w:numId w:val="26"/>
        </w:numPr>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投标人须根据投标产品的类别，提供有效的《医疗器械经营许可证》或者其他相关经营许可文件（扫描件）；</w:t>
      </w:r>
      <w:r/>
    </w:p>
    <w:p>
      <w:pPr>
        <w:numPr>
          <w:ilvl w:val="0"/>
          <w:numId w:val="26"/>
        </w:numPr>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投标人须提供投标产品的有效期内的《医疗器械注册证》（扫描件）；</w:t>
      </w:r>
      <w:r/>
    </w:p>
    <w:p>
      <w:pPr>
        <w:numPr>
          <w:ilvl w:val="0"/>
          <w:numId w:val="26"/>
        </w:numPr>
        <w:spacing w:before="240" w:after="120" w:line="360" w:lineRule="atLeast"/>
        <w:tabs>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本项目不接受进口产品投标。</w:t>
      </w:r>
      <w:r/>
    </w:p>
    <w:p>
      <w:pPr>
        <w:ind w:left="0" w:right="0" w:firstLine="498"/>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三、获取磋商文件</w:t>
      </w:r>
      <w:r/>
    </w:p>
    <w:p>
      <w:pPr>
        <w:ind w:left="0" w:right="0" w:firstLine="54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1.时间：自公告发布之日起至2026年6月29日（提供期限自本公告发布之日起不得少于5个工作日）。</w:t>
      </w:r>
      <w:r/>
    </w:p>
    <w:p>
      <w:pPr>
        <w:ind w:left="0" w:right="0" w:firstLine="54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2.方式：在“江苏政府采购网”自行免费下载磋商文件。</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3.获取方式：本项目采用网上注册登记方式。</w:t>
      </w:r>
      <w:r/>
    </w:p>
    <w:p>
      <w:pPr>
        <w:ind w:left="0" w:right="0" w:firstLine="54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3.1潜在供应商访问电子招标响应交易平台的网络地址和方法：</w:t>
      </w:r>
      <w:r/>
    </w:p>
    <w:p>
      <w:pPr>
        <w:ind w:left="0" w:right="0" w:firstLine="54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54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3.2潜在供应商访问“苏采云”系统的网络地址和方法：“苏采云”系统的网址：http://jszfcg.jsczt.cn/。</w:t>
      </w:r>
      <w:r/>
    </w:p>
    <w:p>
      <w:pPr>
        <w:ind w:left="0" w:right="0" w:firstLine="54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3.3“CA数字证书”的获取：</w:t>
      </w:r>
      <w:r/>
    </w:p>
    <w:p>
      <w:pPr>
        <w:ind w:left="0" w:right="0" w:firstLine="54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 数字证书”，CA办理指南及“苏采云”操作手册可至江苏省政府采购网—办事指南-资料下载中心下载。</w:t>
      </w:r>
      <w:r/>
    </w:p>
    <w:p>
      <w:pPr>
        <w:ind w:left="0" w:right="0" w:firstLine="54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3.4采购文件（后缀名为“.kedt”）、供应商操作手册及政府采购客户端工具可通过“苏采云”系统--已报名项目--报名详情页面内相应链接进行下载。</w:t>
      </w:r>
      <w:r/>
    </w:p>
    <w:p>
      <w:pPr>
        <w:ind w:left="0" w:right="0" w:firstLine="54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3.5招标代理机构（采购代理机构）将数据电文形式的采购文件加载至“苏采云”系统，供潜在供应商下载或者查阅。  </w:t>
      </w:r>
      <w:r/>
    </w:p>
    <w:p>
      <w:pPr>
        <w:ind w:left="0" w:right="0" w:firstLine="54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3.6请潜在供应商提前安装相应的控件（详见《江苏省政府采购管理交易系统（苏采云）供应商操作手册》）并使用谷歌浏览器登录“苏采云”系统参与不见面开评标。</w:t>
      </w:r>
      <w:r/>
    </w:p>
    <w:p>
      <w:pPr>
        <w:ind w:left="0" w:right="0" w:firstLine="498"/>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1.2026年7月1日9点00分</w:t>
      </w:r>
      <w:r>
        <w:rPr>
          <w:rFonts w:ascii="SimSun" w:hAnsi="SimSun" w:eastAsia="SimSun" w:cs="SimSun"/>
          <w:color w:val="000000"/>
          <w:sz w:val="24"/>
        </w:rPr>
        <w:t xml:space="preserve">（北京时间）。（自磋商文件开始发出之日起至供应商提交响应文件截止之日止，不得少于10日。）</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2"/>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注：各供应商请关注开标大厅交流区，在开标结束后，请勿离开开标大厅，待资格审查完毕，磋商小组发出报价指令后须在15分钟内完成系统报价。</w:t>
      </w:r>
      <w:r>
        <w:rPr>
          <w:rFonts w:ascii="SimSun" w:hAnsi="SimSun" w:eastAsia="SimSun" w:cs="SimSun"/>
          <w:color w:val="000000"/>
          <w:sz w:val="24"/>
        </w:rPr>
        <w:t xml:space="preserve">供应商未在磋商小组规定的时间内在苏采云系统中提交最后报价的视为放弃磋商，其响应文件按无效响应处理。</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的解密：开标当天各供应商及时登录不见面开标大厅，响应文件递交截止时间后，采购代理机构将在系统内公布响应供应商名单，然后通过开标会议区发出响应文件解密的指令，供应商在开标室按规定时间自行实施远程解密，</w:t>
      </w:r>
      <w:r>
        <w:rPr>
          <w:rFonts w:ascii="SimSun" w:hAnsi="SimSun" w:eastAsia="SimSun" w:cs="SimSun"/>
          <w:b/>
          <w:color w:val="000000"/>
          <w:sz w:val="24"/>
        </w:rPr>
        <w:t xml:space="preserve">供应商解密限定在开标后30分钟之内完成</w:t>
      </w:r>
      <w:r>
        <w:rPr>
          <w:rFonts w:ascii="SimSun" w:hAnsi="SimSun" w:eastAsia="SimSun" w:cs="SimSun"/>
          <w:color w:val="000000"/>
          <w:sz w:val="24"/>
        </w:rPr>
        <w:t xml:space="preserve">。</w:t>
      </w:r>
      <w:r>
        <w:rPr>
          <w:rFonts w:ascii="SimSun" w:hAnsi="SimSun" w:eastAsia="SimSun" w:cs="SimSun"/>
          <w:color w:val="000000"/>
          <w:sz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ascii="SimSun" w:hAnsi="SimSun" w:eastAsia="SimSun" w:cs="SimSun"/>
          <w:color w:val="000000"/>
          <w:sz w:val="24"/>
        </w:rPr>
        <w:t xml:space="preserve">；因采购人（或采购代理机构）原因或网上招投标平台发生故障，导致无法按时完成响应文件解密或开、评标工作无法进行的，可根据实际情况相应延迟解密时间或调整开、评标时间。</w:t>
      </w:r>
      <w:r/>
    </w:p>
    <w:p>
      <w:pPr>
        <w:ind w:left="0" w:right="0" w:firstLine="498"/>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磋商公告及磋商文件公告期限为自本公告发布之日起5个工作日。</w:t>
      </w:r>
      <w:r/>
    </w:p>
    <w:p>
      <w:pPr>
        <w:ind w:left="0" w:right="0" w:firstLine="498"/>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1.投标保证金：免收</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2.项目开标活动模式：不见面远程开标模式，供应商在各自地点通过“苏采云”政府采购交易系统参加磋商活动。</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3.项目演示、样品、答辩等（如有请描述）：无</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6.有关本次磋商的事项若存在变动或修改，敬请及时关注采购人在“江苏政府采购网”发布的更正公告。</w:t>
      </w:r>
      <w:r/>
    </w:p>
    <w:p>
      <w:pPr>
        <w:ind w:left="0" w:right="0" w:firstLine="498"/>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七、本次磋商联系方式</w:t>
      </w:r>
      <w:r/>
    </w:p>
    <w:p>
      <w:pPr>
        <w:ind w:left="0" w:right="0" w:firstLine="72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72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名称：南通市崇川区卫生健康委员会</w:t>
      </w:r>
      <w:r/>
    </w:p>
    <w:p>
      <w:pPr>
        <w:ind w:left="0" w:right="0" w:firstLine="72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地址：南通市崇川区长康路26号 </w:t>
      </w:r>
      <w:r/>
    </w:p>
    <w:p>
      <w:pPr>
        <w:ind w:left="0" w:right="0" w:firstLine="72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联系人：季老师</w:t>
      </w:r>
      <w:r/>
    </w:p>
    <w:p>
      <w:pPr>
        <w:ind w:left="0" w:right="0" w:firstLine="72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 0513-85609003</w:t>
      </w:r>
      <w:r/>
    </w:p>
    <w:p>
      <w:pPr>
        <w:ind w:left="0" w:right="0" w:firstLine="72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72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名称：江苏弘业国际技术工程有限公司</w:t>
      </w:r>
      <w:r/>
    </w:p>
    <w:p>
      <w:pPr>
        <w:ind w:left="0" w:right="0" w:firstLine="72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地址：南京市中华路50号弘业大厦10楼</w:t>
      </w:r>
      <w:r/>
    </w:p>
    <w:p>
      <w:pPr>
        <w:ind w:left="0" w:right="0" w:firstLine="72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联系人：王老师、茅老师</w:t>
      </w:r>
      <w:r/>
    </w:p>
    <w:p>
      <w:pPr>
        <w:ind w:left="0" w:right="0" w:firstLine="72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联系方式：18352665859</w:t>
      </w:r>
      <w:r/>
    </w:p>
    <w:p>
      <w:pPr>
        <w:ind w:left="0" w:right="0" w:firstLine="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3.软件技术支持：0519-86722801</w:t>
      </w:r>
      <w:r/>
    </w:p>
    <w:p>
      <w:pPr>
        <w:ind w:left="0" w:right="0" w:firstLine="72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72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1.招标文件</w:t>
      </w:r>
      <w:r/>
    </w:p>
    <w:p>
      <w:pPr>
        <w:ind w:left="0" w:right="0" w:firstLine="72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2.采购人信用承诺</w:t>
      </w:r>
      <w:r/>
    </w:p>
    <w:p>
      <w:pPr>
        <w:ind w:left="0" w:right="0" w:firstLine="72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3.公平竞争审查二维码</w:t>
      </w:r>
      <w:r/>
    </w:p>
    <w:p>
      <w:pPr>
        <w:ind w:left="0" w:right="0" w:firstLine="72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4.办理政采贷和履约保函（保险）告知函</w:t>
      </w:r>
      <w:r/>
    </w:p>
    <w:p>
      <w:pPr>
        <w:ind w:left="0" w:right="0" w:firstLine="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第二章供应商须知</w:t>
      </w:r>
      <w:r/>
    </w:p>
    <w:p>
      <w:pPr>
        <w:ind w:left="0" w:right="0" w:firstLine="498"/>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采购方式</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1.1本次政府采购活动采取竞争性磋商(以下简称磋商)方式，本磋商文件仅适用于磋商公告中所述项目。</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合格的供应商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2.2满足本磋商文件实质性要求和条件的规定。</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3.1本次磋商及由此产生的合同受中华人民共和国有关的法律法规制约和保护。</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磋商费用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4.1供应商应自行承担所有与参加本次磋商有关的费用，无论磋商过程中的做法和结果如何，采购人和采购代理机构在任何情况下均无义务和责任承担这些费用。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4.2本次磋商不收取标书工本费。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4.3本项目中标服务费由采购人支付，服务费率根据成交金额参照【苏招协〔2022〕002号】所规定的收费标准的80%计取。</w:t>
      </w:r>
      <w:r/>
    </w:p>
    <w:p>
      <w:pPr>
        <w:ind w:left="0" w:right="0" w:firstLine="301"/>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color w:val="000000"/>
          <w:sz w:val="28"/>
        </w:rPr>
        <w:t xml:space="preserve">磋商文件的约束力</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321"/>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磋商文件构成</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（3）采购需求</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（4）评审方法与评审标准</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（5）响应文件格式</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（6）附件（如有）</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请仔细检查磋商文件是否齐全，如有缺漏请立即与采购人或采购代理机构联系解决。</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磋商文件的澄清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7.1任何要求对磋商文件进行澄清的供应商，应在磋商截止期5日前按磋商公告中的通讯地址，以书面形式通知采购人或采购代理机构。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7.2采购人视情组织答疑会。</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磋商文件的澄清和修改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响应文件提交截止时间前，采购人或采购代理机构可以对磋商文件进行澄清和修改,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更正公告内容将作为磋商文件的组成部分，并对供应商具有约束力。不足5日的，采购人或采购代理机构将顺延提交首次响应文件截止时间。</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响应文件的语言及度量衡单位</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9.1供应商提交的响应文件以及供应商与采购人或采购代理机构就有关磋商的所有来往通知、函件和文件均应使用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9.2除技术性能另有规定外，响应文件所使用的度量衡单位，均须采用国家法定计量单位。</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响应文件构成</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10.1供应商编写的响应文件应包括资格证明文件、符合性证明文件、分项报价表、技术要求响应及偏离表、商务要求响应及偏离表、其他证明文件、磋商响应函等部分。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10.2如标书制作工具中格式和内容与“江苏政府采购网”发布的磋商文件不一致，请以“江苏政府采购网”发布的磋商文件为准。</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证明磋商响应标的符合磋商文件规定的文件</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11.1供应商应按照磋商文件要求提交证明文件，证明其及磋商响应标的符合磋商文件规定。</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分项报价表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13.1供应商需对磋商文件中的技术要求与商务要求逐项作出响应或偏离，并说明原因。</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14.1供应商需根据磋商文件要求提供有关售后服务的管理制度，售后服务机构的分布情况，售后服务人员的数量、素质、技术水平及售后服务的反应能力等。</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14.2供应商需根据磋商文件要求提供培训计划。</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14.3供应商需根据磋商文件要求提供磋商响应标的的主要组成部分、功能设计、实现思路及关键技术等。</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磋商响应函</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15.1供应商应按照磋商文件中提供的格式完整、正确填写磋商响应函。</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磋商有效期</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16.1磋商有效期为采购人规定的提交响应文件截止之日后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。磋商有效期比规定短的将被视为非实质性响应磋商文件而予以拒绝。</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磋商有效期的延长</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电子磋商响应文件的递交</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提交响应文件截止时间</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w:t>
      </w:r>
      <w:r>
        <w:rPr>
          <w:rFonts w:ascii="SimSun" w:hAnsi="SimSun" w:eastAsia="SimSun" w:cs="SimSun"/>
          <w:b/>
          <w:color w:val="000000"/>
          <w:sz w:val="24"/>
          <w:u w:val="single"/>
        </w:rPr>
        <w:t xml:space="preserve">供应商上传电子响应文件的时间不得迟于磋商公告中规定的提交响应文件截止时间。</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19.2采购人可以按照规定，通过修改磋商文件酌情延长提交响应文件截止日期，在此情况下，供应商的所有权利和义务以及供应商受制的截止日期均应以延长后新的截止日期为准。</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响应文件的拒收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采购代理机构拒绝接收在其规定的提交响应文件截止时间后上传的任何电子响应文件。</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响应文件的撤回和修改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21.3在提交响应文件截止时间之后，供应商不得对其电子响应文件作任何修改。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21.4在提交响应文件截止时间至磋商文件中规定的磋商有效期满之间的这段时间内，供应商不得撤回其响应文件。</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响应文件解密</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22.1供应商应当按照《操作手册》规定，在苏采云系统规定的时间内对磋商响应文件进行解密。</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磋商小组</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23.1采购代理机构将组织磋商小组对响应文件进行评审。磋商小组由采购人代表和有关技术、经济等方面的专家组成，且人员构成符合政府采购有关规定。</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23.2磋商小组独立工作，负责评审所有响应文件并确定成交候选人。</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24.评审过程的保密与公正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24.1磋商小组、采购人和采购代理机构工作人员、相关监督人员等与评审工作有关的人员，对评审情况以及在评审过程中获悉的国家秘密、商业秘密负有保密责任。</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24.2在评审过程中，供应商不得以任何行为影响磋商评审过程，否则其响应文件将被作为无效响应文件。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24.3在项目评审期间，采购代理机构将设专门人员与供应商联系。</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24.4采购人和磋商小组不向未成交的供应商解释未成交原因，也不公布评审过程中的相关细节。</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评审过程中的澄清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25.3接到磋商小组澄清、说明和更正要求的供应商如未按规定做出澄清、说明和更正，其风险由供应商自行承担。</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对响应文件的审查</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26.1.1资格审查：由磋商小组依据法律法规和磋商文件的规定，对响应文件中的资格证明文件进行审查，以确定供应商是否具备参加磋商的资格。</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26.1.2符合性审查：依据磋商文件的规定，由磋商小组从响应文件的有效性、完整性和对磋商文件的响应程度进行审查，以确定是否对磋商文件的实质性要求作出响应。</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26.1.3未通过资格审查或符合性审查的供应商，采购代理机构将在苏采云系统中告知未通过资格审查或符合性审查的原因，评审结束后，采购代理机构将不再告知未通过资格审查或符合性审查的原因。</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26.3未实质性响应磋商文件的情形</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26.3.4供应商不具备磋商文件中规定的资格要求。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26.3.6不符合磋商文件中规定的实质性要求和条件的。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26.3.8响应文件含有采购人不能接受的附加条件的。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26.3.10响应文件未按照磋商文件要求加盖CA电子公章的。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26.6磋商小组将对确定为实质性响应的文件进行进一步审核，看其是否有计算上或累加上的算术错误，修正错误的原则如下：</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（1）响应文件中报价总表内容与响应文件中相应内容不一致的，以报价总表为准。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（3）单价金额小数点或者百分比有明显错位的，以报价总表的总价为准，并修改单价。</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（4）总价金额与按单价汇总金额不一致的，以按单价汇总金额计算结果为准。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26.7供应商在项目评审全过程中应保持通讯畅通，并安排专人与采购代理机构及磋商小组联系。</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磋商程序及评审方法和评审标准</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48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27.1.3关于异常低价的审查：</w:t>
      </w:r>
      <w:r/>
    </w:p>
    <w:p>
      <w:pPr>
        <w:ind w:left="0" w:right="0" w:firstLine="48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评审过程中出现下列情形之一的评审委员会应当启动异常低价投标（响应）审查程序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供应商未在磋商小组规定的时间内在苏采云系统中提交最后报价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28.确定成交单位</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28.2采购人应根据磋商小组推荐的成交候选供应商确定成交供应商。采购人确定成交供应商后，采购代理机构将在“江苏政府采购网”发布成交结果公告，公告期限为1个工作日。</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28.3.2与评审专家、采购人、其他供应商或者采购代理机构工作人员恶意串通的。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28.3.3向评审专家、采购人或采购代理机构工作人员行贿或者提供其他不正当利益的。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29.2.2对采购过程提出质疑的，为各采购程序环节结束之日。</w:t>
        <w:br/>
        <w:t xml:space="preserve">29.2.3对成交结果提出质疑的，为成交结果公告期限届满之日。</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含潜在供应商）对采购方式、采购文件中采购需求、供应商资格条件、评审方法和评审标准、合同文本及资格审查结果的询问、质疑请向采购人提出，由采购人负责答复。关于评审方面的质疑，采购人可以组织原评审委员会协助答复质疑。</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采购人或采购代理机构只接收以纸质原件形式送达的质疑,建议供应商尽量通过邮寄方式提交质疑（采购人或采购代理机构不接受未填写快递运单的快件）。</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采购人及采购代理机构质疑接收人及联系方式见本采购文件第一章。</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29.5以下情形的质疑不予受理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29.5.1内容不符合《政府采购质疑和投诉办法》第十二条规定的质疑。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31.签订合同</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31.l成交供应商应当在成交通知书发出之日起三十日内，按照磋商文件确定的事项与采购人签订政府采购合同。</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31.2磋商文件、成交供应商的响应文件及磋商过程中有关澄清、承诺文件均应作为合同附件。</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b/>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33.政府采购履约资金扶持政策</w:t>
      </w:r>
      <w:r/>
    </w:p>
    <w:p>
      <w:pPr>
        <w:ind w:left="0" w:right="0" w:firstLine="55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55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采购需求</w:t>
      </w:r>
      <w:r/>
    </w:p>
    <w:p>
      <w:pPr>
        <w:ind w:left="0" w:right="0" w:firstLine="562"/>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482"/>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在制作投标文件时仔细研究项目需求说明。项目需求包括技术要求和商务要求：技术要求是指对采购标的功能和质量要求，包括性能、质量、材料、结构、外观、安全，或者服务内容和标准等；商务要求是指取得采购标的的时间、地点、财务和服务要求，包括交付（实施）的时间（期限）、方式、地点（范围），付款条件（进度和方法），包装和运输，售后服务，保险等。</w:t>
      </w:r>
      <w:r/>
    </w:p>
    <w:p>
      <w:pPr>
        <w:ind w:left="0" w:right="0" w:firstLine="482"/>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不能简单照搬照抄招标文件项目需求说明中的技术、商务要求，必须实事求是地响应。如投标人提供的货物和服务同采购人提出的项目需求说明中的技术、商务要求不同的，必须在《商务部分正负偏离表》和《技术部分正负偏离表》上明示，</w:t>
      </w:r>
      <w:r>
        <w:rPr>
          <w:rFonts w:ascii="SimSun" w:hAnsi="SimSun" w:eastAsia="SimSun" w:cs="SimSun"/>
          <w:b/>
          <w:color w:val="000000"/>
          <w:sz w:val="24"/>
          <w:u w:val="single"/>
        </w:rPr>
        <w:t xml:space="preserve">本章节带有下划线及加“</w:t>
      </w:r>
      <w:r>
        <w:rPr>
          <w:rFonts w:ascii="Times New Roman" w:hAnsi="Times New Roman" w:eastAsia="Times New Roman" w:cs="Times New Roman"/>
          <w:color w:val="000000"/>
          <w:sz w:val="24"/>
          <w:u w:val="single"/>
        </w:rPr>
        <w:t xml:space="preserve">★</w:t>
      </w:r>
      <w:r>
        <w:rPr>
          <w:rFonts w:ascii="SimSun" w:hAnsi="SimSun" w:eastAsia="SimSun" w:cs="SimSun"/>
          <w:b/>
          <w:color w:val="000000"/>
          <w:sz w:val="24"/>
          <w:u w:val="single"/>
        </w:rPr>
        <w:t xml:space="preserve">”的内容为实质性要求，有任意一条负偏离的均按无效投标处理</w:t>
      </w:r>
      <w:r>
        <w:rPr>
          <w:rFonts w:ascii="SimSun" w:hAnsi="SimSun" w:eastAsia="SimSun" w:cs="SimSun"/>
          <w:b/>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一、★采购需求一览表</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39"/>
        <w:gridCol w:w="928"/>
        <w:gridCol w:w="1711"/>
        <w:gridCol w:w="1898"/>
        <w:gridCol w:w="1419"/>
      </w:tblGrid>
      <w:tr>
        <w:trPr/>
        <w:tc>
          <w:tcPr>
            <w:tcBorders>
              <w:top w:val="single" w:color="000000" w:sz="8" w:space="0"/>
              <w:left w:val="single" w:color="000000" w:sz="8" w:space="0"/>
              <w:bottom w:val="single" w:color="000000" w:sz="8" w:space="0"/>
              <w:right w:val="single" w:color="000000" w:sz="8" w:space="0"/>
            </w:tcBorders>
            <w:tcMar>
              <w:left w:w="102" w:type="dxa"/>
              <w:top w:w="80" w:type="dxa"/>
              <w:right w:w="102" w:type="dxa"/>
              <w:bottom w:w="80" w:type="dxa"/>
            </w:tcMar>
            <w:tcW w:w="1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2" w:type="dxa"/>
              <w:top w:w="80" w:type="dxa"/>
              <w:right w:w="102" w:type="dxa"/>
              <w:bottom w:w="80" w:type="dxa"/>
            </w:tcMar>
            <w:tcW w:w="9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2" w:type="dxa"/>
              <w:top w:w="80" w:type="dxa"/>
              <w:right w:w="102" w:type="dxa"/>
              <w:bottom w:w="8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交货期</w:t>
            </w:r>
            <w:r/>
          </w:p>
        </w:tc>
        <w:tc>
          <w:tcPr>
            <w:tcBorders>
              <w:top w:val="single" w:color="000000" w:sz="8" w:space="0"/>
              <w:left w:val="none" w:color="000000" w:sz="4" w:space="0"/>
              <w:bottom w:val="single" w:color="000000" w:sz="8" w:space="0"/>
              <w:right w:val="single" w:color="000000" w:sz="8" w:space="0"/>
            </w:tcBorders>
            <w:tcMar>
              <w:left w:w="102" w:type="dxa"/>
              <w:top w:w="80" w:type="dxa"/>
              <w:right w:w="102" w:type="dxa"/>
              <w:bottom w:w="80" w:type="dxa"/>
            </w:tcMar>
            <w:tcW w:w="1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交货地点</w:t>
            </w:r>
            <w:r/>
          </w:p>
        </w:tc>
        <w:tc>
          <w:tcPr>
            <w:tcBorders>
              <w:top w:val="single" w:color="000000" w:sz="8" w:space="0"/>
              <w:left w:val="none" w:color="000000" w:sz="4" w:space="0"/>
              <w:bottom w:val="single" w:color="000000" w:sz="8" w:space="0"/>
              <w:right w:val="single" w:color="000000" w:sz="8" w:space="0"/>
            </w:tcBorders>
            <w:tcMar>
              <w:left w:w="102" w:type="dxa"/>
              <w:top w:w="80" w:type="dxa"/>
              <w:right w:w="102" w:type="dxa"/>
              <w:bottom w:w="80"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免费保修期</w:t>
            </w:r>
            <w:r/>
          </w:p>
        </w:tc>
      </w:tr>
      <w:tr>
        <w:trPr/>
        <w:tc>
          <w:tcPr>
            <w:tcBorders>
              <w:top w:val="none" w:color="000000" w:sz="4" w:space="0"/>
              <w:left w:val="single" w:color="000000" w:sz="8" w:space="0"/>
              <w:bottom w:val="single" w:color="000000" w:sz="8" w:space="0"/>
              <w:right w:val="single" w:color="000000" w:sz="8" w:space="0"/>
            </w:tcBorders>
            <w:tcMar>
              <w:left w:w="102" w:type="dxa"/>
              <w:top w:w="80" w:type="dxa"/>
              <w:right w:w="102" w:type="dxa"/>
              <w:bottom w:w="80" w:type="dxa"/>
            </w:tcMar>
            <w:tcW w:w="1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多普勒彩超</w:t>
            </w:r>
            <w:r/>
          </w:p>
        </w:tc>
        <w:tc>
          <w:tcPr>
            <w:tcBorders>
              <w:top w:val="none" w:color="000000" w:sz="4" w:space="0"/>
              <w:left w:val="none" w:color="000000" w:sz="4" w:space="0"/>
              <w:bottom w:val="single" w:color="000000" w:sz="8" w:space="0"/>
              <w:right w:val="single" w:color="000000" w:sz="8" w:space="0"/>
            </w:tcBorders>
            <w:tcMar>
              <w:left w:w="102" w:type="dxa"/>
              <w:top w:w="80" w:type="dxa"/>
              <w:right w:w="102" w:type="dxa"/>
              <w:bottom w:w="80" w:type="dxa"/>
            </w:tcMar>
            <w:tcW w:w="9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各1套</w:t>
            </w:r>
            <w:r/>
          </w:p>
        </w:tc>
        <w:tc>
          <w:tcPr>
            <w:tcBorders>
              <w:top w:val="none" w:color="000000" w:sz="4" w:space="0"/>
              <w:left w:val="none" w:color="000000" w:sz="4" w:space="0"/>
              <w:bottom w:val="single" w:color="000000" w:sz="8" w:space="0"/>
              <w:right w:val="single" w:color="000000" w:sz="8" w:space="0"/>
            </w:tcBorders>
            <w:tcMar>
              <w:left w:w="102" w:type="dxa"/>
              <w:top w:w="80" w:type="dxa"/>
              <w:right w:w="102" w:type="dxa"/>
              <w:bottom w:w="8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合同生效后60日历天内交货</w:t>
            </w:r>
            <w:r/>
          </w:p>
        </w:tc>
        <w:tc>
          <w:tcPr>
            <w:tcBorders>
              <w:top w:val="none" w:color="000000" w:sz="4" w:space="0"/>
              <w:left w:val="none" w:color="000000" w:sz="4" w:space="0"/>
              <w:bottom w:val="single" w:color="000000" w:sz="8" w:space="0"/>
              <w:right w:val="single" w:color="000000" w:sz="8" w:space="0"/>
            </w:tcBorders>
            <w:tcMar>
              <w:left w:w="102" w:type="dxa"/>
              <w:top w:w="80" w:type="dxa"/>
              <w:right w:w="102" w:type="dxa"/>
              <w:bottom w:w="80" w:type="dxa"/>
            </w:tcMar>
            <w:tcW w:w="1898" w:type="dxa"/>
            <w:vAlign w:val="center"/>
            <w:textDirection w:val="lrTb"/>
            <w:noWrap w:val="false"/>
          </w:tcPr>
          <w:p>
            <w:pPr>
              <w:ind w:left="0" w:right="0" w:firstLine="0"/>
              <w:jc w:val="center"/>
              <w:spacing w:before="0" w:after="0"/>
              <w:tabs>
                <w:tab w:val="left" w:pos="11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南通市崇川区卫生健康委员会指定地点</w:t>
            </w:r>
            <w:r/>
          </w:p>
        </w:tc>
        <w:tc>
          <w:tcPr>
            <w:tcBorders>
              <w:top w:val="none" w:color="000000" w:sz="4" w:space="0"/>
              <w:left w:val="none" w:color="000000" w:sz="4" w:space="0"/>
              <w:bottom w:val="single" w:color="000000" w:sz="8" w:space="0"/>
              <w:right w:val="single" w:color="000000" w:sz="8" w:space="0"/>
            </w:tcBorders>
            <w:tcMar>
              <w:left w:w="102" w:type="dxa"/>
              <w:top w:w="80" w:type="dxa"/>
              <w:right w:w="102" w:type="dxa"/>
              <w:bottom w:w="80"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≥5年</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二、政府采购中实施本国产品标准及相关政策:</w:t>
      </w:r>
      <w:r/>
    </w:p>
    <w:p>
      <w:pPr>
        <w:ind w:left="0" w:right="0" w:firstLine="482"/>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本项目对采购本国产品给予政策支持。</w:t>
      </w:r>
      <w:r/>
    </w:p>
    <w:p>
      <w:pPr>
        <w:ind w:left="0" w:right="0" w:firstLine="482"/>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2"/>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三、项目需求</w:t>
      </w:r>
      <w:r/>
    </w:p>
    <w:p>
      <w:pPr>
        <w:ind w:left="0" w:right="0" w:firstLine="0"/>
        <w:spacing w:before="21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第一包：陈桥中心多普勒彩超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1、要求为2023年或以后首次注册最新版本及最新机型，具有用户现场升级能力，可满足将来临床应用扩展需求（提供注册证证明材料）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2、显示器≥21英寸，无闪烁，分辨率≥1920×1080，液晶触摸屏≥13英寸，可与显示器同步显示超声实时图像（附图），支持滑动翻页功能，触摸屏支持前后仰角调节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3、触摸屏可显示自动记忆的最近使用过的检查探头及模式，具备一键切换探头及模式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4、▲主机探头接口6个，大小一致，全部激活可以互换使用（非拓展外接，不包含笔式探头接口）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5、主机一体化耦合剂加热器，温度≥两档可调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6、斑点噪声抑制技术，可分级调节≥7 级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7、梯形扩展成像技术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8、数字化二维灰阶成像单元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9、数字化彩色多普勒成像单元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10、数字化频谱多普勒显示和分析单元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11、数字化能量多普勒成像单元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12、数字化组织多普勒成像和分析单元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13、宽景成像技术：扫描长度≥100cm，支持所有成像探头，可与空间复合成像功能联合使用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14、具有声速匹配技术：可根据人体组织情况，自动匹配至最佳成像声速，提高组织细节及边界显示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15、多模态图像一键优化功能：通过一键操作，迅速优化二维、彩色、多普勒频谱图像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16、解剖M型技术≥3 条取样线，可360度任意旋转M型取样线角度方便准确的进行测量，支持曲线解剖M型 。具有M型+彩色多普勒模式。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17、控制面板可自定义物理按键≥5个，自定义功能按键名称可直接显示在显示器上。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18、穿刺针增强技术，具有双屏双实时对比显示，增强前后效果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19、多参数自动优化成像技术，可实时无间断优化成像参数，维持图像均匀一致性，改进工作流程、提升诊断效率。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20、▲具备机器内置甲状腺、乳腺智能扫查技术（非外接其他设备实现），可实时自动识别占位病变并自动包络病变轮廓自动测量计算，可在机进行Ti-RADS\Bi-RADS分级评估（须提供视频证明）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21、机器内置肝脏智能扫查技术，实时扫查时自动检测并提示单个或多个病灶位置，冻结后自动测量可疑病灶大小，对于肝脏弥漫性病变和局灶性病变均可予以提示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22、机器内置胆囊智能扫查技术，实时扫查时自动检测并提示病灶位置，冻结后自动测量可疑病灶大小，可检测胆囊常见病变，包括胆囊结石、胆囊息肉样病变、胆泥淤积等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23、颈动脉斑块自动智能扫查技术，实时扫查时自动检测并提示斑块位置，冻结后自动测量斑块大小， 并可提示斑块位置，斑块回声类型，斑块形态，斑块稳定性等特征信息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24、具备自动肝肾比测量功能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25、支持前盆腔自动测量和肛提肌裂孔自动测量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26、▲操作面板物理TGC时间增益补偿≥10段，有利于临床调节超声图像的均匀度，方便临床诊断（须提供图片证明）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27、自动心功能测量功能，对冻结的心脏图像，一次按键，机器自动识别左心室的舒张末期和收缩末期，并且以左右双幅图像显示，自动得出 EF、SV等测量数值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28、具备二维立体血流成像技术，通过对二维彩色多普勒进行立体渲染，增强血流边界的显示及可视化效果，可以彩色血流、彩色能量、高精细血流、超微细血流联合使用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29、具备B模式局部 ROI 区域高分辨率显示技术，具备全局图像与局部高清图像的同屏左右双幅双实时显示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30、支持血管内中膜实时自动测量，无需冻结图像，可实时自动获取及更新≥6项颈动脉内中膜厚度相关测量值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31、支持语音备注功能，连接外接话筒，可在图像和视频上添加一段语音备注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32、▲多门多普勒，在同一心动周期内，可实时获取2个取样点的多普勒频谱（非冻结状态），为临床提供更多同心动周期实时血流动力学诊断信息。（须提供图片证明）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33、衰减成像功能，可对肝脏组织的衰减系数进行测量及可视化显示，用于脂肪肝和肝纤维化的量化评估诊断。能够提供客观量化指标、规避人为因素影响造影成像和造影定量分析功能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34、小儿髋关节自动测量功能，超声主机可自动识别组织结构，自动计算α角,β角，自动进行临床分型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35、应变式弹性成像：具备成像质量监控色棒和操作动作曲线，指导医生操作。可支持凸阵、线阵、腔内探头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具备剪切波弹性成像：具有质控稳定性指数、质控图、质控指数等质控形式，可自动生成剪切波弹性检查数据报告，报告中包含最大值、最小值、平均值、标准差、中位数、深度、面积、比值、质控参数、四分位数等量化数据，并且提供临床阈值供临床参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37、具备高分辨率局部图像放大功能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38、具备电影回放及剪辑功能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39、内置以太网、USB、HDMI、VGA及S端子输入及输出端口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40、有远程图像通讯功能，超声机器内置≥2种登录功能，可将图像或视频发送至远程云端，手机和电脑等终端可以查看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41、最大显示深度:≥38cm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42、动态范围≥280 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43、取样容积: 0.5-30mm ,支持所有探头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44、▲内置双硬盘设计（非外接，包括固态硬盘≥120GB 和机械硬盘≥1TB），两个硬盘独立运行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45、主机可支持单晶体探头数量≥3把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46、可支持线阵探头阵元数≥256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47、频率：超宽频变频探头，支持超高频探头，显示频率最高可达23MHz，以满足科室未来发展需求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48、探头：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线阵探头1把：频率范围6-14MHz；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单晶体腹部凸阵探头1把：频率范围1.5-6.5MHz；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甲乳探头1把：频率范围6-14MHz；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腔内探头1把：频率范围5-11MHz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49、设备使用年限≥10年(提供主机贴标证明）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第二包：文峰中心多普勒彩超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1.探头规格按照各单位实际需求提供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2.所配软件为投标机型最新软件版本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3.配置探头所对应的功能模块须全部提供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4.整机设计使用寿命≥10年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5.具有甲乳高频线阵探头:频率范围覆盖5.0-12.0MHz;单晶体相控阵探头:频率范围覆盖1.5-4.5MHz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6.具有单晶体凸阵腹部探头:频率范围覆盖2.0-5.0MHz;腔内凸阵探头:频率范围覆盖4.0-9.0 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7.具有立体血流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★8.具有单晶体腹部容积探头:频率范围覆盖2.0-8.0MHz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9.电子线阵探头有效阵元数≥256，电子凸阵探头有效阵元数≥192，电子经腹容积探头有效阵元数≥192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▲10.主机高分辨率屏幕≥23英寸，触摸屏≥15英寸(提供技术规格书或主机照片证明)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11.支持原始数据存储，主机内置固态硬盘≥1TB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12.时间增益补偿≥8段，侧向增益补偿≥8段或具有全场增益补偿功能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13.系统动态范围≥320dB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14.最大扫描深度≥40cm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15.最低血流测量速度:≤1mm/s(非噪音信号);最高血流测量速度:PW:血流速度最大≥9m/s，CW:血流速度最大≥21m/s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16.取样宽度及位置范围:宽度1mm至20mm多级可调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▲17.通用成像探头接口≥5个，可全部激活相互通用，支持中央刹车系统(提供主机图片证明)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18.支持单晶体探头种类≥3种，至少包含单晶腹部探头，单晶心脏探头及单品腹部容积探头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19.频率:超宽频带探头，最高频率≥12MHz，从1MHz到12MHz，二维图像与多普勒可选择不同频率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20.超宽视野成像扫描技术，可与复合成像等技术结合使用，具有测量和电影回</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放功能，扫查长度≥60cm，线阵、凸阵及容积探头都具备。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21.所有成像探头均为宽频变频探头，二维，谐波，彩色，多普勒频率独立可调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22.支持B、Color、PW、CW、彩色M型、解剖M型、TDI等多种成像模式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23.具有智能聚焦技术:不同模式切换后，聚焦区域保持原有模式深度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24.具有实时图像优化技术:实时自动优化图像中的每一个像素，自动优化远场图像，自动补偿声影后方图像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25.具有实时组织多普勒定量技术:支持≥3种组织多普勒成像模式，可对室壁的速度、应变等参数进行定量测量与分析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26.具有应变弹性成像及定量分析功能，具备质量控制指标，以提高弹性成像的准确性及可重复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▲27.具有实时剪切波弹性成像技术:具有灰阶、彩色多普勒等多种显像方式，支持探头包括凸阵及线阵探头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▲28.具有肝脏剪切波定量技术:无创评估肝组织弹性，可以结合常规超声图像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检测特定区域组织的弹性硬度</w:t>
      </w:r>
      <w:r/>
    </w:p>
    <w:p>
      <w:pPr>
        <w:numPr>
          <w:ilvl w:val="0"/>
          <w:numId w:val="27"/>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具有血管内中膜自动测量技术:可自动测量血管前、后壁内中膜厚度</w:t>
      </w:r>
      <w:r/>
    </w:p>
    <w:p>
      <w:pPr>
        <w:numPr>
          <w:ilvl w:val="0"/>
          <w:numId w:val="27"/>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具有血流参数定量分析技术:可对感兴趣区彩色血流像素等多参数进行定量分析，测量结果需包含VI/FI/VF</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31.具有声速匹配技术:可根据人体组织情况，自动匹配至最佳成像声速，提高组织细节及边界显示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32.具有扫查专家技术:规范检查流程，自动检查记录及自动模式切换，自动加标注及体表标志，极大提高检查效率和检查的规范性。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四、★商务条款</w:t>
      </w:r>
      <w:r/>
    </w:p>
    <w:p>
      <w:pPr>
        <w:numPr>
          <w:ilvl w:val="0"/>
          <w:numId w:val="28"/>
        </w:numPr>
        <w:jc w:val="both"/>
        <w:spacing w:before="0" w:after="12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设备生产日期：不早于设备到货日期前</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w:t>
      </w:r>
      <w:r/>
    </w:p>
    <w:p>
      <w:pPr>
        <w:numPr>
          <w:ilvl w:val="0"/>
          <w:numId w:val="28"/>
        </w:numPr>
        <w:jc w:val="both"/>
        <w:spacing w:before="0" w:after="12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交货期：合同签订之日起</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日内。</w:t>
      </w:r>
      <w:r/>
    </w:p>
    <w:p>
      <w:pPr>
        <w:numPr>
          <w:ilvl w:val="0"/>
          <w:numId w:val="28"/>
        </w:numPr>
        <w:jc w:val="both"/>
        <w:spacing w:before="0" w:after="12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交货地点：南通市崇川区卫生健康委员会院内指定地点。</w:t>
      </w:r>
      <w:r/>
    </w:p>
    <w:p>
      <w:pPr>
        <w:numPr>
          <w:ilvl w:val="0"/>
          <w:numId w:val="28"/>
        </w:numPr>
        <w:jc w:val="both"/>
        <w:spacing w:before="0" w:after="12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质量保证及售后服务要求：</w:t>
      </w:r>
      <w:r/>
    </w:p>
    <w:p>
      <w:pPr>
        <w:ind w:left="0" w:right="0" w:firstLine="0"/>
        <w:jc w:val="both"/>
        <w:spacing w:before="0" w:after="120" w:line="85"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免费质保期：自设备验收之日起，原厂质保≥</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年。投标人须承诺在中标后提供原厂出具的售后服务函（格式自拟）。投标人应在验收时提供符合采购人要求的原厂质保证明材料，否则不予验收。</w:t>
      </w:r>
      <w:r/>
    </w:p>
    <w:p>
      <w:pPr>
        <w:ind w:left="0" w:right="0" w:firstLine="0"/>
        <w:jc w:val="both"/>
        <w:spacing w:before="0" w:after="12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投标文件中承诺的质保期长于招标文件要求的，以投标文件承诺的质保期为准。在产品质保期内，中标人对所供产品的质量负全部责任，包括但不限于免费维修、免费更换和经每年维修达两次仍不能正常使用时及时退货等。</w:t>
      </w:r>
      <w:r/>
    </w:p>
    <w:p>
      <w:pPr>
        <w:ind w:left="0" w:right="0" w:firstLine="0"/>
        <w:jc w:val="both"/>
        <w:spacing w:before="0" w:after="120" w:line="85"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质保范围：合同项目下所有货物，包括配套附件、软件等所出现的任何故障及性能偏差。确保设备保修期内开机率为95%，如设备故障停机率超过5%（一年按365天计算，每年18天），每超过一天，保修期延长两周。</w:t>
      </w:r>
      <w:r/>
    </w:p>
    <w:p>
      <w:pPr>
        <w:ind w:left="0" w:right="0" w:firstLine="0"/>
        <w:jc w:val="both"/>
        <w:spacing w:before="0" w:after="120" w:line="85"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w:t>
      </w:r>
      <w:r>
        <w:rPr>
          <w:rFonts w:ascii="SimSun" w:hAnsi="SimSun" w:eastAsia="SimSun" w:cs="SimSun"/>
          <w:color w:val="000000"/>
          <w:sz w:val="24"/>
        </w:rPr>
        <w:t xml:space="preserve">质保期内如设备发生故障，供应商在接到甲方报修电话后2小时内予以响应，否则甲方可自行采取必要的措施，由此产生的风险和费用由乙方承担。供应商应采取必要的措施保证充足的备件，确保故障设备在接到采购人报修电话</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小时内现场修复。供应商另须提供每年不少于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次全面的维护保养，每次维护保养后提供设备维修、保养详细工作报告单。</w:t>
      </w:r>
      <w:r/>
    </w:p>
    <w:p>
      <w:pPr>
        <w:ind w:left="0" w:right="0" w:firstLine="0"/>
        <w:jc w:val="both"/>
        <w:spacing w:before="0" w:after="120" w:line="85"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4.4</w:t>
      </w:r>
      <w:r>
        <w:rPr>
          <w:rFonts w:ascii="SimSun" w:hAnsi="SimSun" w:eastAsia="SimSun" w:cs="SimSun"/>
          <w:color w:val="000000"/>
          <w:sz w:val="24"/>
        </w:rPr>
        <w:t xml:space="preserve">质保期外如需更换配件，投标人保证先维修后收费，所更换的配件保修不少于一年。供应商保证零配件供应时间不少于厂家对设备限定的使用年限。</w:t>
      </w:r>
      <w:r/>
    </w:p>
    <w:p>
      <w:pPr>
        <w:ind w:left="0" w:right="0" w:firstLine="0"/>
        <w:jc w:val="both"/>
        <w:spacing w:before="0" w:after="120" w:line="85"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需返厂维修的设备，投标人承担拆卸、包装、运输及再安装等费用。</w:t>
      </w:r>
      <w:r/>
    </w:p>
    <w:p>
      <w:pPr>
        <w:ind w:left="0" w:right="0" w:firstLine="0"/>
        <w:jc w:val="both"/>
        <w:spacing w:before="0" w:after="120" w:line="85"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投标人应在交货时免费提供维修手册、专业工具等设备运行、维护、维修等必需的资料、材料。</w:t>
      </w:r>
      <w:r/>
    </w:p>
    <w:p>
      <w:pPr>
        <w:ind w:left="0" w:right="0" w:firstLine="0"/>
        <w:jc w:val="both"/>
        <w:spacing w:before="0" w:after="120" w:line="85"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4.7</w:t>
      </w:r>
      <w:r>
        <w:rPr>
          <w:rFonts w:ascii="SimSun" w:hAnsi="SimSun" w:eastAsia="SimSun" w:cs="SimSun"/>
          <w:color w:val="000000"/>
          <w:sz w:val="24"/>
        </w:rPr>
        <w:t xml:space="preserve">上述条款需经设备厂商或厂商指定的售后服务机构另行书面确认或直接加盖公章确认并在最终验收前提交给采购人。如涉及其他厂商产品则须得到该厂商的售后服务保证。</w:t>
      </w:r>
      <w:r/>
    </w:p>
    <w:p>
      <w:pPr>
        <w:ind w:left="0" w:right="0" w:firstLine="0"/>
        <w:jc w:val="both"/>
        <w:spacing w:before="0" w:after="120" w:line="85"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配套软件免费升级。</w:t>
      </w:r>
      <w:r/>
    </w:p>
    <w:p>
      <w:pPr>
        <w:numPr>
          <w:ilvl w:val="0"/>
          <w:numId w:val="28"/>
        </w:numPr>
        <w:jc w:val="both"/>
        <w:spacing w:before="0" w:after="12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卖方负责对买方的操作、维修人员在项目所在地进行业务培训。培训应达到能熟练操作，并能排除常见故障的标准。</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5.2卖方负责提供数据分析软件和信息管理软件所需的操作培训，技术支持，并协助数据库建立和服务器管理，24小时在线响应。</w:t>
      </w:r>
      <w:r/>
    </w:p>
    <w:p>
      <w:pPr>
        <w:numPr>
          <w:ilvl w:val="0"/>
          <w:numId w:val="28"/>
        </w:numPr>
        <w:jc w:val="both"/>
        <w:spacing w:before="0" w:after="12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设备验收方式及标准</w:t>
      </w:r>
      <w:r/>
    </w:p>
    <w:p>
      <w:pPr>
        <w:ind w:left="0" w:right="0" w:firstLine="0"/>
        <w:jc w:val="both"/>
        <w:spacing w:before="0" w:after="120" w:line="85" w:lineRule="atLeast"/>
        <w:tabs>
          <w:tab w:val="left" w:pos="7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验收方式</w:t>
      </w:r>
      <w:r/>
    </w:p>
    <w:p>
      <w:pPr>
        <w:numPr>
          <w:ilvl w:val="0"/>
          <w:numId w:val="29"/>
        </w:numPr>
        <w:jc w:val="both"/>
        <w:spacing w:before="0" w:after="12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交货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r/>
    </w:p>
    <w:p>
      <w:pPr>
        <w:numPr>
          <w:ilvl w:val="0"/>
          <w:numId w:val="29"/>
        </w:numPr>
        <w:jc w:val="both"/>
        <w:spacing w:before="0" w:after="12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投标人负责货物的安装、调试、试用过程中的现场安全管理，若安装、调试及试用过程中发生安全事故，投标人应承担全部责任。</w:t>
      </w:r>
      <w:r/>
    </w:p>
    <w:p>
      <w:pPr>
        <w:numPr>
          <w:ilvl w:val="0"/>
          <w:numId w:val="29"/>
        </w:numPr>
        <w:jc w:val="both"/>
        <w:spacing w:before="0" w:after="12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买卖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r/>
    </w:p>
    <w:p>
      <w:pPr>
        <w:numPr>
          <w:ilvl w:val="0"/>
          <w:numId w:val="29"/>
        </w:numPr>
        <w:jc w:val="both"/>
        <w:spacing w:before="0" w:after="12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试用结束后双方应及时对货物进行最终验收，验收合格后双方共同签署验收文件；验收时投标人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r/>
    </w:p>
    <w:p>
      <w:pPr>
        <w:numPr>
          <w:ilvl w:val="0"/>
          <w:numId w:val="29"/>
        </w:numPr>
        <w:jc w:val="both"/>
        <w:spacing w:before="0" w:after="12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对货物的最终验收在采购人所在地进行，该验收只表明对货物外观质量的初步认可，并不代表采购人对内在质量的最终确认，即验收合格不排除采购人在质保期内外提出质量异议。质量异议期限为</w:t>
      </w:r>
      <w:r>
        <w:rPr>
          <w:rFonts w:ascii="Times New Roman" w:hAnsi="Times New Roman" w:eastAsia="Times New Roman" w:cs="Times New Roman"/>
          <w:color w:val="000000"/>
          <w:sz w:val="24"/>
        </w:rPr>
        <w:t xml:space="preserve">180</w:t>
      </w:r>
      <w:r>
        <w:rPr>
          <w:rFonts w:ascii="SimSun" w:hAnsi="SimSun" w:eastAsia="SimSun" w:cs="SimSun"/>
          <w:color w:val="000000"/>
          <w:sz w:val="24"/>
        </w:rPr>
        <w:t xml:space="preserve">天，自验收合格之次日起计算，如果在质量异议期内如投标人提供的产品未能达到采购人的参数要求、合同约定的要求或者质量标准及因设备本身原因出现故障两次及以上，投标人则必须无条件换货或退货，由此引起的一切损失由投标人承担。</w:t>
      </w:r>
      <w:r/>
    </w:p>
    <w:p>
      <w:pPr>
        <w:ind w:left="0" w:right="0" w:firstLine="0"/>
        <w:jc w:val="both"/>
        <w:spacing w:before="0" w:after="120" w:line="85"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 </w:t>
      </w:r>
      <w:r>
        <w:rPr>
          <w:rFonts w:ascii="SimSun" w:hAnsi="SimSun" w:eastAsia="SimSun" w:cs="SimSun"/>
          <w:color w:val="000000"/>
          <w:sz w:val="24"/>
        </w:rPr>
        <w:t xml:space="preserve">验收标准</w:t>
      </w:r>
      <w:r/>
    </w:p>
    <w:p>
      <w:pPr>
        <w:numPr>
          <w:ilvl w:val="0"/>
          <w:numId w:val="30"/>
        </w:numPr>
        <w:jc w:val="both"/>
        <w:spacing w:before="0" w:after="12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招标文件、中标人投标文件、采购合同、产品说明书及技术规格书中明确的标准和技术要求；</w:t>
      </w:r>
      <w:r/>
    </w:p>
    <w:p>
      <w:pPr>
        <w:numPr>
          <w:ilvl w:val="0"/>
          <w:numId w:val="30"/>
        </w:numPr>
        <w:jc w:val="both"/>
        <w:spacing w:before="0" w:after="12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与合同货物有关的最新版本的中华人民共和国国家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国际标准和部颁标准；</w:t>
      </w:r>
      <w:r/>
    </w:p>
    <w:p>
      <w:pPr>
        <w:numPr>
          <w:ilvl w:val="0"/>
          <w:numId w:val="30"/>
        </w:numPr>
        <w:jc w:val="both"/>
        <w:spacing w:before="0" w:after="12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卖方随投标文件提供货物制造国的制造及验收的官方标准或货物验收大纲，经买方确认后，将作为对货物的验收依据之一。</w:t>
      </w:r>
      <w:r/>
    </w:p>
    <w:p>
      <w:pPr>
        <w:numPr>
          <w:ilvl w:val="0"/>
          <w:numId w:val="30"/>
        </w:numPr>
        <w:jc w:val="both"/>
        <w:spacing w:before="0" w:after="12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卖方在澄清投标文件时作出的承诺，经买方确认后，将作为对货物的验收依据之一。</w:t>
      </w:r>
      <w:r/>
    </w:p>
    <w:p>
      <w:pPr>
        <w:numPr>
          <w:ilvl w:val="0"/>
          <w:numId w:val="30"/>
        </w:numPr>
        <w:jc w:val="both"/>
        <w:spacing w:before="0" w:after="12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双方签订的合同条款规定的其他产品配置与技术指标。</w:t>
      </w:r>
      <w:r/>
    </w:p>
    <w:p>
      <w:pPr>
        <w:numPr>
          <w:ilvl w:val="0"/>
          <w:numId w:val="28"/>
        </w:numPr>
        <w:jc w:val="both"/>
        <w:spacing w:before="0" w:after="12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与调试：卖方应派有经验、有资格的人员及时对货物及全系统进行调试。若在合同规定的日期前未完成调试，或买方对调试情况不满意，则买方有权要求货物原制造厂派员前来调试，卖方不得拒绝，所发生的费用由卖方承担，安装调试的费用由卖方承担。</w:t>
      </w:r>
      <w:r/>
    </w:p>
    <w:p>
      <w:pPr>
        <w:numPr>
          <w:ilvl w:val="0"/>
          <w:numId w:val="28"/>
        </w:numPr>
        <w:jc w:val="both"/>
        <w:spacing w:before="0" w:after="12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付款方式：货到验收合格后支付合同总额的90%，验收合格后一年期满无质量问题付清余款(如有)。成交总价已经含税，甲方要求乙方应当在付款前提交正式税务发票。否则，甲方有权拒绝付款。</w:t>
      </w:r>
      <w:r/>
    </w:p>
    <w:p>
      <w:pPr>
        <w:numPr>
          <w:ilvl w:val="0"/>
          <w:numId w:val="28"/>
        </w:numPr>
        <w:jc w:val="both"/>
        <w:spacing w:before="0" w:after="12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设备如需使用专用耗材、试剂或在维修保养中需要专用工具、易损件、维修配件，则应在合同签订时提供耗材配件供货清单及报价表。</w:t>
      </w:r>
      <w:r/>
    </w:p>
    <w:p>
      <w:pPr>
        <w:numPr>
          <w:ilvl w:val="0"/>
          <w:numId w:val="28"/>
        </w:numPr>
        <w:jc w:val="both"/>
        <w:spacing w:before="0" w:after="12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商品包装环保要求：应当按《关于印发〈商品包装政府采购需求标准（试行）〉、〈快递包装政府采购需求标准（试行）〉的通知》（财办库〔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号）文件执行。（</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）商品包装层数不得超过</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层，空隙率不大于</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）商品包装尽可能使用单一材质的包装材料，如因功能需求必须使用不同材质，不同材质间应便于分离；（</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）商品包装中铅、汞、镉、六价铬的总含量应不大于</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）商品包装印刷使用的油墨中挥发性有机化合物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）塑料材质商品包装上呈现的印刷颜色不得超过</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色；（</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）纸质商品包装应使用</w:t>
      </w:r>
      <w:r>
        <w:rPr>
          <w:rFonts w:ascii="Times New Roman" w:hAnsi="Times New Roman" w:eastAsia="Times New Roman" w:cs="Times New Roman"/>
          <w:color w:val="000000"/>
          <w:sz w:val="24"/>
        </w:rPr>
        <w:t xml:space="preserve">75%</w:t>
      </w:r>
      <w:r>
        <w:rPr>
          <w:rFonts w:ascii="SimSun" w:hAnsi="SimSun" w:eastAsia="SimSun" w:cs="SimSun"/>
          <w:color w:val="000000"/>
          <w:sz w:val="24"/>
        </w:rPr>
        <w:t xml:space="preserve">以上的可再生纤维原料生产；（</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）木质商品包装的原料应来源于可持续性森林。</w:t>
      </w:r>
      <w:r/>
    </w:p>
    <w:p>
      <w:pPr>
        <w:numPr>
          <w:ilvl w:val="0"/>
          <w:numId w:val="28"/>
        </w:numPr>
        <w:jc w:val="both"/>
        <w:spacing w:before="0" w:after="12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快递包装环保要求：（</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）快递包装中重金属（铅、汞、镉、六价铬）总量应不大于</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）快递包装印刷使用的油墨中不应添加邻苯二甲酸酯，其挥发性有机化合物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）快递包装中使用纸基材的包装材料，纸基材中的有机氯的含量应不大于</w:t>
      </w:r>
      <w:r>
        <w:rPr>
          <w:rFonts w:ascii="Times New Roman" w:hAnsi="Times New Roman" w:eastAsia="Times New Roman" w:cs="Times New Roman"/>
          <w:color w:val="000000"/>
          <w:sz w:val="24"/>
        </w:rPr>
        <w:t xml:space="preserve">150mg/kg</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）快递包装中使用塑料基材的包装材料不得使用邻苯二甲酸二异壬酯、邻苯二甲酸二正辛酯、邻苯二甲酸二</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己酯、邻苯二甲酸二异癸酯、邻苯二甲酸丁基苄基酯、邻苯二甲酸二丁酯等作为增塑剂；（</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）快递中使用的塑料包装袋不得使用聚氯乙烯作为原料，且原料应为单一材质制成，生物分解率大于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）快递中使用的充气类填充物不得使用聚氯乙烯作为原料，且原料为单一材质制成，生物分解率大于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）快递中使用的集装袋应为单一材质制成，其重复使用次数应不小于</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次；（</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）快递中应使用幅宽不大于</w:t>
      </w:r>
      <w:r>
        <w:rPr>
          <w:rFonts w:ascii="Times New Roman" w:hAnsi="Times New Roman" w:eastAsia="Times New Roman" w:cs="Times New Roman"/>
          <w:color w:val="000000"/>
          <w:sz w:val="24"/>
        </w:rPr>
        <w:t xml:space="preserve">45mm</w:t>
      </w:r>
      <w:r>
        <w:rPr>
          <w:rFonts w:ascii="SimSun" w:hAnsi="SimSun" w:eastAsia="SimSun" w:cs="SimSun"/>
          <w:color w:val="000000"/>
          <w:sz w:val="24"/>
        </w:rPr>
        <w:t xml:space="preserve">的生物降解胶带；（</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）快递包装中不得使用溶剂型胶粘剂；（</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）快递应使用电子面单；（</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）直接使用商品包装作为快递包装的商品，其商品包装满足《商品包装政府采购需求标准（试行）》即可；（</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）快递包装产品质量和封装方式应符合相关国家或行业标准技术指标要求。</w:t>
      </w:r>
      <w:r/>
    </w:p>
    <w:p>
      <w:pPr>
        <w:numPr>
          <w:ilvl w:val="0"/>
          <w:numId w:val="28"/>
        </w:numPr>
        <w:jc w:val="both"/>
        <w:spacing w:before="0" w:after="12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低挥发性有机化合物产品：本项目中如有涉及涂料、胶黏剂、油墨、清洗剂等挥发性有机物产品的，属于强制性标准的，供应商应当执行国家和我省</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限制标准。供应商提供符合推荐性标准的涂料、胶黏剂、油墨、清洗剂等挥发性有机物产品的，予以评审优惠。在通用类货物、家具、印刷、公务车辆维修等采购项目中，供应商应优先使用低挥发性原辅材料，将使用低</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含量的涂料、胶黏剂等纳入合同条款。</w:t>
      </w:r>
      <w:r/>
    </w:p>
    <w:p>
      <w:pPr>
        <w:numPr>
          <w:ilvl w:val="0"/>
          <w:numId w:val="28"/>
        </w:numPr>
        <w:jc w:val="both"/>
        <w:spacing w:before="0" w:after="12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对投标产品属于《节能产品政府采购清单》或《环境标志产品政府采购清单》的，在评审时给予</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的价格扣除，用扣除后的价格参与评审。若同一产品同时符合节能和环保要求，不重复扣除。投标人须提供：① 国家认可的节能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环境标志产品认证证书 ② 产品在最新政府采购清单中的截图或官方查询结果。</w:t>
      </w:r>
      <w:r/>
    </w:p>
    <w:p>
      <w:pPr>
        <w:numPr>
          <w:ilvl w:val="0"/>
          <w:numId w:val="28"/>
        </w:numPr>
        <w:jc w:val="both"/>
        <w:spacing w:before="0" w:after="12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政府采购中实施本国产品标准及相关政策</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本项目对采购本国产品给予政策支持。</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第四章合同文本</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注：本合同仅为合同的参考文本，合同签订双方可根据项目的具体要求进行修订，但不得更改实质性要求。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b/>
          <w:color w:val="000000"/>
          <w:sz w:val="30"/>
        </w:rPr>
        <w:t xml:space="preserve">医疗设备合同</w:t>
      </w:r>
      <w:r/>
    </w:p>
    <w:p>
      <w:pPr>
        <w:ind w:left="6360" w:right="0" w:hanging="63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6360" w:right="0" w:hanging="6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甲方：南通市崇川区卫生健康委员会</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项目编号：</w:t>
      </w:r>
      <w:r/>
    </w:p>
    <w:p>
      <w:pPr>
        <w:ind w:left="6360" w:right="0" w:hanging="6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项目名称：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ab/>
      </w:r>
      <w:r>
        <w:rPr>
          <w:rFonts w:ascii="SimSun" w:hAnsi="SimSun" w:eastAsia="SimSun" w:cs="SimSun"/>
          <w:color w:val="000000"/>
          <w:sz w:val="24"/>
        </w:rPr>
        <w:t xml:space="preserve">甲乙双方根据《中华人民共和国民法典》的相关规定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在平等互利、协商一致的基础上，就乙方销售给甲方设备，特订立本合同。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一、设备名称、型号、数量和价格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货币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人民币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9"/>
        <w:gridCol w:w="2631"/>
        <w:gridCol w:w="701"/>
        <w:gridCol w:w="1999"/>
        <w:gridCol w:w="380"/>
        <w:gridCol w:w="488"/>
        <w:gridCol w:w="487"/>
        <w:gridCol w:w="6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1"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成交总价</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7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总计（大写）：人民币</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二、设备详细配置清单、售后服务承诺书见附件。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三、付款方式：设备安装、调试、验收合格后凭验收合格报告三个月付设备货款</w:t>
      </w:r>
      <w:r>
        <w:rPr>
          <w:rFonts w:ascii="Times New Roman" w:hAnsi="Times New Roman" w:eastAsia="Times New Roman" w:cs="Times New Roman"/>
          <w:b/>
          <w:color w:val="000000"/>
          <w:sz w:val="24"/>
          <w:u w:val="single"/>
        </w:rPr>
        <w:t xml:space="preserve"> 90 %</w:t>
      </w:r>
      <w:r>
        <w:rPr>
          <w:rFonts w:ascii="SimSun" w:hAnsi="SimSun" w:eastAsia="SimSun" w:cs="SimSun"/>
          <w:color w:val="000000"/>
          <w:sz w:val="24"/>
        </w:rPr>
        <w:t xml:space="preserve">计人民币</w:t>
      </w:r>
      <w:r>
        <w:rPr>
          <w:rFonts w:ascii="Times New Roman" w:hAnsi="Times New Roman" w:eastAsia="Times New Roman" w:cs="Times New Roman"/>
          <w:b/>
          <w:color w:val="000000"/>
          <w:sz w:val="24"/>
          <w:u w:val="single"/>
        </w:rPr>
        <w:t xml:space="preserve">    </w:t>
      </w:r>
      <w:r>
        <w:rPr>
          <w:rFonts w:ascii="SimSun" w:hAnsi="SimSun" w:eastAsia="SimSun" w:cs="SimSun"/>
          <w:b/>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验收合格后一年期满无质量问题付清余款</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如有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。成交总价已经含税，甲方要求乙方应当在付款前提交正式税务发票。否则，甲方有权拒绝付款。</w:t>
      </w:r>
      <w:r/>
    </w:p>
    <w:p>
      <w:pPr>
        <w:numPr>
          <w:ilvl w:val="0"/>
          <w:numId w:val="31"/>
        </w:numPr>
        <w:spacing w:before="0" w:after="0" w:line="85" w:lineRule="atLeast"/>
        <w:tabs>
          <w:tab w:val="left" w:pos="9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交货期：乙方在合同生效之日起</w:t>
      </w:r>
      <w:r>
        <w:rPr>
          <w:rFonts w:ascii="Times New Roman" w:hAnsi="Times New Roman" w:eastAsia="Times New Roman" w:cs="Times New Roman"/>
          <w:b/>
          <w:color w:val="000000"/>
          <w:sz w:val="24"/>
          <w:u w:val="single"/>
        </w:rPr>
        <w:t xml:space="preserve">   </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天</w:t>
      </w:r>
      <w:r>
        <w:rPr>
          <w:rFonts w:ascii="SimSun" w:hAnsi="SimSun" w:eastAsia="SimSun" w:cs="SimSun"/>
          <w:color w:val="000000"/>
          <w:sz w:val="24"/>
        </w:rPr>
        <w:t xml:space="preserve">内将设备运抵甲方指定地点。</w:t>
      </w:r>
      <w:r/>
    </w:p>
    <w:p>
      <w:pPr>
        <w:numPr>
          <w:ilvl w:val="0"/>
          <w:numId w:val="31"/>
        </w:numPr>
        <w:spacing w:before="0" w:after="0" w:line="85" w:lineRule="atLeast"/>
        <w:tabs>
          <w:tab w:val="left" w:pos="9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交货地点：南通市崇川区卫生健康委员会内甲方指定地点。</w:t>
      </w:r>
      <w:r/>
    </w:p>
    <w:p>
      <w:pPr>
        <w:numPr>
          <w:ilvl w:val="0"/>
          <w:numId w:val="31"/>
        </w:numPr>
        <w:spacing w:before="0" w:after="0" w:line="85" w:lineRule="atLeast"/>
        <w:tabs>
          <w:tab w:val="left" w:pos="9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质保期：上述设备免费保修</w:t>
      </w:r>
      <w:r>
        <w:rPr>
          <w:rFonts w:ascii="Times New Roman" w:hAnsi="Times New Roman" w:eastAsia="Times New Roman" w:cs="Times New Roman"/>
          <w:b/>
          <w:color w:val="000000"/>
          <w:sz w:val="24"/>
          <w:u w:val="single"/>
        </w:rPr>
        <w:t xml:space="preserve">   </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年</w:t>
      </w:r>
      <w:r>
        <w:rPr>
          <w:rFonts w:ascii="SimSun" w:hAnsi="SimSun" w:eastAsia="SimSun" w:cs="SimSun"/>
          <w:color w:val="000000"/>
          <w:sz w:val="24"/>
        </w:rPr>
        <w:t xml:space="preserve">；乙方应按生产厂家的保修规定和投标文件说明的服务承诺做好免费保修等服务；保修期内免收材料及人工等一切费用。保修期满后，维修方须终身提供维修服务且只收取维修材料成本费，免收其它一切费用。</w:t>
      </w:r>
      <w:r/>
    </w:p>
    <w:p>
      <w:pPr>
        <w:numPr>
          <w:ilvl w:val="0"/>
          <w:numId w:val="31"/>
        </w:numPr>
        <w:spacing w:before="0" w:after="0" w:line="85" w:lineRule="atLeast"/>
        <w:tabs>
          <w:tab w:val="left" w:pos="9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资质、质量要求及技术标准：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．特别提醒条款：</w:t>
      </w:r>
      <w:r>
        <w:rPr>
          <w:rFonts w:ascii="Times New Roman" w:hAnsi="Times New Roman" w:eastAsia="Times New Roman" w:cs="Times New Roman"/>
          <w:b/>
          <w:color w:val="000000"/>
          <w:sz w:val="24"/>
        </w:rPr>
        <w:t xml:space="preserve">a</w:t>
      </w:r>
      <w:r>
        <w:rPr>
          <w:rFonts w:ascii="SimSun" w:hAnsi="SimSun" w:eastAsia="SimSun" w:cs="SimSun"/>
          <w:b/>
          <w:color w:val="000000"/>
          <w:sz w:val="24"/>
        </w:rPr>
        <w:t xml:space="preserve">、所提供医疗器械产品注册证必须真实有效；</w:t>
      </w:r>
      <w:r>
        <w:rPr>
          <w:rFonts w:ascii="Times New Roman" w:hAnsi="Times New Roman" w:eastAsia="Times New Roman" w:cs="Times New Roman"/>
          <w:b/>
          <w:color w:val="000000"/>
          <w:sz w:val="24"/>
        </w:rPr>
        <w:t xml:space="preserve">b</w:t>
      </w:r>
      <w:r>
        <w:rPr>
          <w:rFonts w:ascii="SimSun" w:hAnsi="SimSun" w:eastAsia="SimSun" w:cs="SimSun"/>
          <w:b/>
          <w:color w:val="000000"/>
          <w:sz w:val="24"/>
        </w:rPr>
        <w:t xml:space="preserve">、所提供设备上的中文品名、型号及产品说明书所注适用范围必须与医疗器械产品注册证所标明的完全一致；</w:t>
      </w:r>
      <w:r>
        <w:rPr>
          <w:rFonts w:ascii="Times New Roman" w:hAnsi="Times New Roman" w:eastAsia="Times New Roman" w:cs="Times New Roman"/>
          <w:b/>
          <w:color w:val="000000"/>
          <w:sz w:val="24"/>
        </w:rPr>
        <w:t xml:space="preserve">c</w:t>
      </w:r>
      <w:r>
        <w:rPr>
          <w:rFonts w:ascii="SimSun" w:hAnsi="SimSun" w:eastAsia="SimSun" w:cs="SimSun"/>
          <w:b/>
          <w:color w:val="000000"/>
          <w:sz w:val="24"/>
        </w:rPr>
        <w:t xml:space="preserve">、国产医疗设备上的铭牌必须标注医疗器械注册证号。</w:t>
      </w:r>
      <w:r>
        <w:rPr>
          <w:rFonts w:ascii="Times New Roman" w:hAnsi="Times New Roman" w:eastAsia="Times New Roman" w:cs="Times New Roman"/>
          <w:b/>
          <w:color w:val="000000"/>
          <w:sz w:val="24"/>
        </w:rPr>
        <w:t xml:space="preserve">d</w:t>
      </w:r>
      <w:r>
        <w:rPr>
          <w:rFonts w:ascii="SimSun" w:hAnsi="SimSun" w:eastAsia="SimSun" w:cs="SimSun"/>
          <w:b/>
          <w:color w:val="000000"/>
          <w:sz w:val="24"/>
        </w:rPr>
        <w:t xml:space="preserve">、发票上所列品名与型号必须与合同所列品名与型号完全一致；</w:t>
      </w:r>
      <w:r>
        <w:rPr>
          <w:rFonts w:ascii="Times New Roman" w:hAnsi="Times New Roman" w:eastAsia="Times New Roman" w:cs="Times New Roman"/>
          <w:b/>
          <w:color w:val="000000"/>
          <w:sz w:val="24"/>
        </w:rPr>
        <w:t xml:space="preserve">e</w:t>
      </w:r>
      <w:r>
        <w:rPr>
          <w:rFonts w:ascii="SimSun" w:hAnsi="SimSun" w:eastAsia="SimSun" w:cs="SimSun"/>
          <w:b/>
          <w:color w:val="000000"/>
          <w:sz w:val="24"/>
        </w:rPr>
        <w:t xml:space="preserve">、甲方所购设备及设备相关应用软件享有应用软件使用权，操作系统及数据库完善和稳定升级，新增功能软件除外。</w:t>
      </w:r>
      <w:r>
        <w:rPr>
          <w:rFonts w:ascii="Times New Roman" w:hAnsi="Times New Roman" w:eastAsia="Times New Roman" w:cs="Times New Roman"/>
          <w:b/>
          <w:color w:val="000000"/>
          <w:sz w:val="24"/>
        </w:rPr>
        <w:t xml:space="preserve">f</w:t>
      </w:r>
      <w:r>
        <w:rPr>
          <w:rFonts w:ascii="SimSun" w:hAnsi="SimSun" w:eastAsia="SimSun" w:cs="SimSun"/>
          <w:b/>
          <w:color w:val="000000"/>
          <w:sz w:val="24"/>
        </w:rPr>
        <w:t xml:space="preserve">、其他未提及事项必须符合国家食品药品监督管理局的相关规定。以上条款必须满足，否则由此引起的一切责任由乙方负责。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．乙方保证向甲方提供的设备满足中国国家标准或相关行业标准。根据国家规定，如需要提供相关认证证书和标记的设备及有关配置，必须提供上述证书和标记。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．乙方保证所供设备型号是最新的技术成熟之产品，且是用上等材料和工艺制成，并严格保持原包装，使用安全可靠，否则造成的一切损失由乙方负全部责任。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．乙方所供设备如验收不合格，根据甲方的要求，乙方必须无条件换货或退货，由此引起的一切损失由乙方承担。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乙方应保证甲方在使用、接受本合同货物（包含与货物相关的服务）或其任何一部分时不受第三方提出侵犯其专利权、版权、商标权和工业设计权等知识产权的起诉。甲方如遭受第三方纠纷或起诉，乙方应当采取措施补救，并对甲方遭受的名誉受损等实际损失承担赔偿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乙方保证所交付的货物（包含与货物相关的服务）的所有权完全属于乙方且无任何抵押、查封等产权瑕疵。</w:t>
      </w:r>
      <w:r/>
    </w:p>
    <w:p>
      <w:pPr>
        <w:numPr>
          <w:ilvl w:val="0"/>
          <w:numId w:val="31"/>
        </w:numPr>
        <w:spacing w:before="0" w:after="0" w:line="85" w:lineRule="atLeast"/>
        <w:tabs>
          <w:tab w:val="left" w:pos="9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设备到货、安装和验收要求：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．乙方确保设备安全无损地运抵甲方指定现场，并承担设备的运费、保险费、装卸费等费用。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设备到货时间，请乙方提前一周通知甲方，以便甲方安排好接收工作，乙方人员需到现场一起接收，并负责送到甲方指定位置。设备到货后，甲方及时通知乙方，乙方接到通知一周内到达现场，负责设备的免费安装和调试并做好培训工作。甲乙双方根据配置清单对设备进行开箱清点检查，如果发现数量不足或有质量、技术等问题，乙方应在</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天内按照甲方的要求，采取补足、更换或退货等处理措施，并承担由此发生的一切损失和费用。由于乙方原因未能如期交货，对甲方医疗业务造成不良影响的，甲方有权就此向乙方索赔。设备安装时，乙方必须事先与甲方医院设备处联系，并与设备处工程师共同参与安装及验收，否则引起的一切责任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．如乙方提供的设备设有维修软件密码，乙方应保证无条件地为甲方永久免费打开。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．设备安装、调试、培训结束，甲方对设备试用后进行验收（时间由甲、乙双方商定），乙方免费派工程师到达现场协助验收工作，填好相应的安装、调试、培训及验收等相关表格并签字。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．乙方应派专业技术人员在现场对甲方医院使用人员进行培训指导，在使用一段时间后可根据医院及科室的要求另行安排培训计划。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．保修期自甲方医院验收合格之日算起，保修期外只收配件费，免收人工费。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．乙方提供设备安装和维修所需的专业工具和辅助材料</w:t>
      </w:r>
      <w:r/>
    </w:p>
    <w:p>
      <w:pPr>
        <w:numPr>
          <w:ilvl w:val="0"/>
          <w:numId w:val="31"/>
        </w:numPr>
        <w:spacing w:before="0" w:after="0" w:line="85" w:lineRule="atLeast"/>
        <w:tabs>
          <w:tab w:val="left" w:pos="9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．确保设备保修期内开机率为</w:t>
      </w:r>
      <w:r>
        <w:rPr>
          <w:rFonts w:ascii="Times New Roman" w:hAnsi="Times New Roman" w:eastAsia="Times New Roman" w:cs="Times New Roman"/>
          <w:color w:val="000000"/>
          <w:sz w:val="24"/>
        </w:rPr>
        <w:t xml:space="preserve">95%</w:t>
      </w:r>
      <w:r>
        <w:rPr>
          <w:rFonts w:ascii="SimSun" w:hAnsi="SimSun" w:eastAsia="SimSun" w:cs="SimSun"/>
          <w:color w:val="000000"/>
          <w:sz w:val="24"/>
        </w:rPr>
        <w:t xml:space="preserve">，如设备故障停机率超过</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（一年按</w:t>
      </w:r>
      <w:r>
        <w:rPr>
          <w:rFonts w:ascii="Times New Roman" w:hAnsi="Times New Roman" w:eastAsia="Times New Roman" w:cs="Times New Roman"/>
          <w:color w:val="000000"/>
          <w:sz w:val="24"/>
        </w:rPr>
        <w:t xml:space="preserve">365</w:t>
      </w:r>
      <w:r>
        <w:rPr>
          <w:rFonts w:ascii="SimSun" w:hAnsi="SimSun" w:eastAsia="SimSun" w:cs="SimSun"/>
          <w:color w:val="000000"/>
          <w:sz w:val="24"/>
        </w:rPr>
        <w:t xml:space="preserve">天计算，每年</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天），每超过一天，保修期延长两周。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．如设备发生故障，乙方在接到甲方报修电话后</w:t>
      </w:r>
      <w:r>
        <w:rPr>
          <w:rFonts w:ascii="Times New Roman" w:hAnsi="Times New Roman" w:eastAsia="Times New Roman" w:cs="Times New Roman"/>
          <w:b/>
          <w:color w:val="000000"/>
          <w:sz w:val="24"/>
          <w:u w:val="single"/>
        </w:rPr>
        <w:t xml:space="preserve">   </w:t>
      </w:r>
      <w:r>
        <w:rPr>
          <w:rFonts w:ascii="SimSun" w:hAnsi="SimSun" w:eastAsia="SimSun" w:cs="SimSun"/>
          <w:b/>
          <w:color w:val="000000"/>
          <w:sz w:val="24"/>
        </w:rPr>
        <w:t xml:space="preserve">小时</w:t>
      </w:r>
      <w:r>
        <w:rPr>
          <w:rFonts w:ascii="SimSun" w:hAnsi="SimSun" w:eastAsia="SimSun" w:cs="SimSun"/>
          <w:color w:val="000000"/>
          <w:sz w:val="24"/>
        </w:rPr>
        <w:t xml:space="preserve">内予以响应，否则甲方可自行采取必要的措施，由此产生的风险和费用由乙方承担。如有特殊情况，乙方应立即电话通知甲方不能响应的原因，在获得甲方同意后，方可推迟响应时间。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无论在保修期内还是保修期外，乙方必须上门维修，乙方工程师来甲方医院维修本设备，必须事先与甲方医院设备处取得联系；在维修过程中与甲方工程师共同完成维修工作。否则由此引起的一切责任由乙方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．乙方免费提供全套技术资料（维修说明书包括详细电路图、操作说明书及光盘），如技术资料不全，甲方有权不支付货款。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十、技术培训：</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在安装过程中或安装结束后，乙方工程师或有关人员有义务对甲方工程师和操作人员进行现场维修、保养、操作培训，解答甲方人员提出的问题。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十一、双方的违约责任：</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．如果乙方没有按照合同规定的时间内交货（不可抗力除外），甲方可要求乙方支付违约金。违约金按设备全款每日</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计收。违约时间不超过</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天，逾期甲方有权解除合同</w:t>
      </w:r>
      <w:r>
        <w:rPr>
          <w:rFonts w:ascii="SimSun" w:hAnsi="SimSun" w:eastAsia="SimSun" w:cs="SimSun"/>
          <w:color w:val="000000"/>
          <w:sz w:val="24"/>
          <w:u w:val="none"/>
        </w:rPr>
        <w:t xml:space="preserve">，同时乙方向甲方支付设备全款</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的违约金。</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．如果甲方没有按照合同约定履行支付义务（不可抗力除外），乙方可要求甲方支付违约金。违约金按设备全款每日</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计收。违约时间不超过</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天，逾期乙方有权解除合同，同时甲方向乙方支付设备全款</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的违约金。（如因甲方财务安排方面原因，可酌情延后付款）</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．乙方所交物品品种、数量、规格、质量不符合国家法律法规和合同规定的，由乙方负责包修、包换或退货，并承担由此而支付的实际费用。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给甲方造成损失的，乙方应当全额赔偿。</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甲方因使用、接受货物受到第三方提起诉讼的，有权要求乙方支付设备全款</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的违约金。如造成甲方损失超过违约金的，超出部分由乙方继续承担赔偿责任。</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如甲方发现乙方产品上存在抵押、查封等产权瑕疵，甲方有权要求乙方支付设备全款</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的违约金，甲方有权解除合同，并要求乙方退款，乙方及时解除相应瑕疵的除外。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十二、争议的解决：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．因货物的质量问题发生争议，由法律及有关规章规定的技术单位进行质量鉴定，双方无条件服从该鉴定的结论；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．本合同在履行过程中如发生争议由双方协商解决，如协商不成则提交合同签订地人民法院裁决。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本合同一式四份，甲方执三份，乙方执一份。</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3</w:t>
      </w:r>
      <w:r>
        <w:rPr>
          <w:rFonts w:ascii="SimSun" w:hAnsi="SimSun" w:eastAsia="SimSun" w:cs="SimSun"/>
          <w:color w:val="000000"/>
          <w:sz w:val="24"/>
        </w:rPr>
        <w:t xml:space="preserve">．本合同于签订之日起生效。</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4.</w:t>
      </w:r>
      <w:r>
        <w:rPr>
          <w:rFonts w:ascii="SimSun" w:hAnsi="SimSun" w:eastAsia="SimSun" w:cs="SimSun"/>
          <w:color w:val="000000"/>
          <w:sz w:val="24"/>
        </w:rPr>
        <w:t xml:space="preserve">合同附件是合同不可分割的组成部分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与合同具有同等的法律效力。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协议签署地点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南通市崇川区。</w:t>
      </w:r>
      <w:r/>
    </w:p>
    <w:p>
      <w:pPr>
        <w:ind w:left="6360" w:right="0" w:hanging="6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甲方：南通市崇川区卫生健康委员会</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乙方：</w:t>
      </w:r>
      <w:r/>
    </w:p>
    <w:p>
      <w:pPr>
        <w:ind w:left="6360" w:right="0" w:hanging="6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地址：</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甲方代表（签字）：</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乙方代表（签字）：</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使用科室：</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开户行：</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账号：</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日</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附件一：配置清单</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：售后服务承诺书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1055"/>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055"/>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第五章评审方法与评审标准</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评委在认真审阅响应文件的基础上，根据各响应文件的响应程度独立评判，不得统一打分。</w:t>
      </w:r>
      <w:r/>
    </w:p>
    <w:p>
      <w:pPr>
        <w:ind w:left="0" w:right="0" w:firstLine="482"/>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（一）采购人（代表）对供应商资格进行审查。</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供应商资格不合格的，其响应文件判定为无效响应文件。</w:t>
      </w:r>
      <w:r/>
    </w:p>
    <w:p>
      <w:pPr>
        <w:ind w:left="0" w:right="0" w:firstLine="482"/>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（二）磋商小组对符合资格供应商的响应文件进行符合性审查。</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未通过符合性审查的响应文件，将被判为不满足磋商文件实质性要求。 </w:t>
      </w:r>
      <w:r/>
    </w:p>
    <w:p>
      <w:pPr>
        <w:ind w:left="0" w:right="0" w:firstLine="482"/>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（三）价格分：30分，商务技术分：70分</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各供应商得分为磋商小组成员评分的算术平均分，分值保留小数点后两位。</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6"/>
        <w:gridCol w:w="1340"/>
        <w:gridCol w:w="883"/>
        <w:gridCol w:w="6195"/>
      </w:tblGrid>
      <w:tr>
        <w:trPr>
          <w:trHeight w:val="4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评审标准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功能参数及商务要求等响应情况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评委根据投标人提供的《技术需求响应情况》对招标文件第三部分项目需求中技术参数部分的响应情况进行打分，最低得0分，最多得43分。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评委根据投标文件中《技术规格响应/偏离表》，结合投标文件提供的佐证材料等进行评审（43分）：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技术参数全部满足采购文件用户需求书中的技术参数的，得基本分43分；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加注“★”符号的关键条款不得偏离，否则投标无效；加注“▲”符号的重要参数每有一条负偏离的，扣2.5分；每有一条一般技术参数负偏离的，扣1分。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全部“▲”参数及招标文件第三部分要求提供佐证材料的非“▲”参数的响应需按要求提供证明材料。如招标文件第三部分无特别说明，证明材料可以为：设备制造商公开印刷发行的带有技术参数说明的产品彩页或产品说明书扫描件、设备制造商官方网站发布或下载的宣传材料（须同时提供网址链接）、产品实物照片、具备资质的第三方检测机构出具的检测报告。供应商提供的证明材料无法充分证明所投产品满足招标文件所列技术需求的、需提供证明材料而未提供材料、未能准确标示证明材料位置及内容的，评标委员会经评审后，可以对其做负偏离处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2.所有参数均须逐条响应。</w:t>
            </w:r>
            <w:r/>
          </w:p>
        </w:tc>
      </w:tr>
      <w:tr>
        <w:trPr>
          <w:trHeight w:val="115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根据投标人质保期内售后服务（响应时间，回访巡检方案、故障解决措施、技术人员保障、备品配件价格等）、驻地服务方案（服务网点、维修网点设置情况以及技术人员安排情况）、增值服务等服务内容，</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售后方案内容详实、科学、合理，考虑周全，对产品质量管控措施要求全面到位，相关服务承诺内容详实，人员配备齐全，分工明确、岗位设置科学合理，人员配备齐全、零配件配备齐全，技术培训保障完善，提供的增值服务具备实际价值的得9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2）售后方案内容较详细、较科学合理，对产品质量管控措施要求较到位，相关服务承诺内容具体，人员配备较齐全、零配件配备较齐全、技术培训保障较完善，提供的增值服务较有实际价值的得6分；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3）售后方案内容简单，产品质量管控措施要求较低，相关服务承诺内容简单，人员配备、零配件保障不完善，且未提供增值服务的得3分；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4）未提供服务方案的不得分。</w:t>
            </w:r>
            <w:r/>
          </w:p>
        </w:tc>
      </w:tr>
      <w:tr>
        <w:trPr>
          <w:trHeight w:val="6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对用户的操作培训、业务功能培训等相关培训计划方案，技术培训保障方案内容详实、科学、合理，培训计划针对性强、内容详实，培训人员配备齐全、技术水平高、分工明确、岗位设置科学合理，培训率承诺高，得8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技术培训保障方案内容较详实、较科学合理，培训计划较具体，培训人员较齐全，培训率承诺较高，得5分。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技术培训保障方案表述简单，培训计划简单、培训人员较少，培训率承诺一般，得2分。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未提供方案或方案无可行性不得分。</w:t>
            </w:r>
            <w:r/>
          </w:p>
        </w:tc>
      </w:tr>
      <w:tr>
        <w:trPr>
          <w:trHeight w:val="21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运输安装调试方案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各投标人针对本项目拟定的运输安装调试方案（包括但不限于a设备出厂、运输及装卸保障措施、b设备安装及初始化调试、c设备验收检查流程、d技术人员配置及各流程交接方案等）进行评审：完全涵盖以上内容，完全响应且符合采购人需求的得8分，与本项目符合性进行评定，基本满足技术指标的得5分,不完全响应采购文件技术要求，可行性较强的得3分；于采购文件技术指标相差较大，可行性不强的及不提供不得分。</w:t>
            </w:r>
            <w:r/>
          </w:p>
        </w:tc>
      </w:tr>
      <w:tr>
        <w:trPr>
          <w:trHeight w:val="9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5" w:type="dxa"/>
            <w:vAlign w:val="center"/>
            <w:textDirection w:val="lrTb"/>
            <w:noWrap w:val="false"/>
          </w:tcPr>
          <w:p>
            <w:pPr>
              <w:ind w:left="0" w:right="0" w:firstLine="420"/>
              <w:jc w:val="both"/>
              <w:spacing w:before="24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投标人具有2022年1月1日以来核心产品供货及安装业绩的，每提供1份得1分，最多得2分（必须提供有效合同复印件，复印件需清晰可见内容主体）。</w:t>
            </w:r>
            <w:r/>
          </w:p>
        </w:tc>
      </w:tr>
    </w:tbl>
    <w:p>
      <w:pPr>
        <w:numPr>
          <w:ilvl w:val="0"/>
          <w:numId w:val="23"/>
        </w:numPr>
        <w:spacing w:before="240" w:after="120" w:line="360" w:lineRule="atLeast"/>
        <w:tabs>
          <w:tab w:val="left" w:pos="12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（四）价格分：</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分</w:t>
      </w:r>
      <w:r/>
    </w:p>
    <w:p>
      <w:pPr>
        <w:ind w:left="0" w:right="0" w:firstLine="480"/>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价格分统一采用低价优先法计算，即满足招标文件要求且投标价格最低的投标报价为评标基准价，其价格分为满分。其他投标人的价格分统一按照下列公式计算：</w:t>
      </w:r>
      <w:r/>
    </w:p>
    <w:p>
      <w:pPr>
        <w:ind w:left="0" w:right="0" w:firstLine="480"/>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（评标基准价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投标报价）×价格权值×</w:t>
      </w:r>
      <w:r>
        <w:rPr>
          <w:rFonts w:ascii="Times New Roman" w:hAnsi="Times New Roman" w:eastAsia="Times New Roman" w:cs="Times New Roman"/>
          <w:color w:val="000000"/>
          <w:sz w:val="24"/>
        </w:rPr>
        <w:t xml:space="preserve">100</w:t>
      </w:r>
      <w:r/>
    </w:p>
    <w:p>
      <w:pPr>
        <w:ind w:left="0" w:right="0" w:firstLine="480"/>
        <w:spacing w:before="24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评审过程中出现下列情形之一的，评审委员会应当启动异常低价投标（响应）审查程序：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2"/>
        <w:spacing w:before="0" w:after="0" w:line="55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w:t>
      </w:r>
      <w:r>
        <w:rPr>
          <w:rFonts w:ascii="SimSun" w:hAnsi="SimSun" w:eastAsia="SimSun" w:cs="SimSun"/>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2"/>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（五）政府采购政策功能落实</w:t>
      </w:r>
      <w:r/>
    </w:p>
    <w:p>
      <w:pPr>
        <w:ind w:left="0" w:right="0" w:firstLine="57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57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（1）对小型和微型企业产品给予10%的扣除价格，用扣除后的价格参与评审。</w:t>
      </w:r>
      <w:r/>
    </w:p>
    <w:p>
      <w:pPr>
        <w:ind w:left="0" w:right="0" w:firstLine="57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（2）供应商需按照《政府采购促进中小企业发展管理办法》（财库﹝2020﹞46 号）的规定提供相应的《中小企业声明函》。</w:t>
      </w:r>
      <w:r/>
    </w:p>
    <w:p>
      <w:pPr>
        <w:ind w:left="0" w:right="0" w:firstLine="57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57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57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（1）对残疾人福利性单位，给予10%的价格扣除，用扣除后的价格参与评审。</w:t>
      </w:r>
      <w:r/>
    </w:p>
    <w:p>
      <w:pPr>
        <w:ind w:left="0" w:right="0" w:firstLine="57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57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57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57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（1）对监狱和戒毒企业（简称监狱企业）给予10%的价格扣除，用扣除后的价格参与评审。</w:t>
      </w:r>
      <w:r/>
    </w:p>
    <w:p>
      <w:pPr>
        <w:ind w:left="0" w:right="0" w:firstLine="57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57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57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57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57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57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7、对国家认定的节能产品和环保产品分别给予投标价的5%价格扣除，用扣除后的价格参与评审（特别说明：节能、环保产品必须纳入“中国政府采购网</w:t>
      </w:r>
      <w:hyperlink r:id="rId12" w:tooltip="http://www.ccgp.gov.xn--cn-x2tdb125vh72c39b87qfhr7i0a1zf426bs7u6pby4md1im5bowoj7hhj7c/" w:history="1">
        <w:r>
          <w:rPr>
            <w:rStyle w:val="758"/>
            <w:rFonts w:ascii="SimSun" w:hAnsi="SimSun" w:eastAsia="SimSun" w:cs="SimSun"/>
            <w:color w:val="0000ee"/>
            <w:sz w:val="24"/>
            <w:u w:val="single"/>
          </w:rPr>
          <w:t xml:space="preserve">http://www.ccgp.gov.cn”等官方网站“节能、环保产品查询系统”</w:t>
        </w:r>
      </w:hyperlink>
      <w:r>
        <w:rPr>
          <w:rFonts w:ascii="SimSun" w:hAnsi="SimSun" w:eastAsia="SimSun" w:cs="SimSun"/>
          <w:color w:val="000000"/>
          <w:sz w:val="24"/>
        </w:rPr>
        <w:t xml:space="preserve">，且以提供的证书复印件为准）</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8、依据《江苏省财政厅关于加强政府绿色采购有关事项的通知》（苏财购〔2023〕65 号），供应商提供符合推荐性标准的涂料、胶黏剂、油墨、清洗剂等挥发性有机物产品的或者在通用类货物、家具、印刷、公务车辆维修等采购项目中，优先使用低挥发性原辅材料的加1 分（投标时须提供相应使用低 VOCs 含量的有效证明材料，否则不得分）。</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9、专门面向中小企业采购的项目或者采购包，不再执行价格评审优惠的扶持政策。</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10、采购本国产品的支持政策</w:t>
      </w:r>
      <w:r/>
    </w:p>
    <w:p>
      <w:pPr>
        <w:ind w:left="0" w:right="-1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本项目政府采购活动中既有本国产品又有非本国产品参与竞争的，依法对本国产品给予价格评审优惠，对本国产品的报价给予20%的价格扣除，用扣除后的价格参与评审。</w:t>
      </w:r>
      <w:r/>
    </w:p>
    <w:p>
      <w:pPr>
        <w:ind w:left="0" w:right="-1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1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供应商需按照采购文件的要求提供《关于符合本国产品标准的声明函》（以下简称《声明函》），如不提供将不享受本国产品价格评审优惠。</w:t>
      </w:r>
      <w:r/>
    </w:p>
    <w:p>
      <w:pPr>
        <w:ind w:left="0" w:right="-1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供应商需在《声明函》中逐一、准确填写产品名称、厂名、生产厂址三项信息（《声明函》中用横线</w:t>
      </w:r>
      <w:r>
        <w:rPr>
          <w:rFonts w:ascii="SimSun" w:hAnsi="SimSun" w:eastAsia="SimSun" w:cs="SimSun"/>
          <w:strike/>
          <w:color w:val="000000"/>
          <w:sz w:val="24"/>
        </w:rPr>
        <w:t xml:space="preserve">     </w:t>
      </w:r>
      <w:r>
        <w:rPr>
          <w:rFonts w:ascii="SimSun" w:hAnsi="SimSun" w:eastAsia="SimSun" w:cs="SimSun"/>
          <w:color w:val="000000"/>
          <w:sz w:val="24"/>
        </w:rPr>
        <w:t xml:space="preserve">划除的地方无需填写），三项信息中任意一项未填写的视为该项产品不符合本国产品标准，不享受本国产品价格评审优惠。</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40" w:after="120" w:line="360" w:lineRule="atLeast"/>
        <w:tabs>
          <w:tab w:val="left" w:pos="12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（六）成交供应商的确定</w:t>
      </w:r>
      <w:r/>
    </w:p>
    <w:p>
      <w:pPr>
        <w:ind w:left="0" w:right="0" w:firstLine="480"/>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评委会汇总各评委评分后，按照得分从高到低的顺序推荐一名成交候选人，并编写评标报告。</w:t>
      </w:r>
      <w:r/>
    </w:p>
    <w:p>
      <w:pPr>
        <w:ind w:left="0" w:right="0" w:firstLine="480"/>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采购人应根据评标委员会推荐的成交候选人确定成交供应商。</w:t>
      </w:r>
      <w:r/>
    </w:p>
    <w:p>
      <w:pPr>
        <w:ind w:left="0" w:right="0" w:firstLine="482"/>
        <w:spacing w:before="240" w:after="120" w:line="360" w:lineRule="atLeast"/>
        <w:tabs>
          <w:tab w:val="left" w:pos="12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（七）采购人代表宣布评标结果</w:t>
      </w:r>
      <w:r/>
    </w:p>
    <w:p>
      <w:pPr>
        <w:ind w:left="0" w:right="0" w:firstLine="482"/>
        <w:spacing w:before="240" w:after="120" w:line="360" w:lineRule="atLeast"/>
        <w:tabs>
          <w:tab w:val="left" w:pos="12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（八）公告成交结果</w:t>
      </w:r>
      <w:r/>
    </w:p>
    <w:p>
      <w:pPr>
        <w:ind w:left="0" w:right="0" w:firstLine="480"/>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自确定中标人之日起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个工作日内，在江苏政府采购网公告成交结果，公告期限为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2"/>
        <w:spacing w:before="240" w:after="120" w:line="360" w:lineRule="atLeast"/>
        <w:tabs>
          <w:tab w:val="left" w:pos="12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（九）发放成交通知书</w:t>
      </w:r>
      <w:r/>
    </w:p>
    <w:p>
      <w:pPr>
        <w:ind w:left="0" w:right="0" w:firstLine="480"/>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公告成交结果的同时，采购代理机构向成交供应商发放中标通知书。成交通知书发出后，采购人不得违法改变成交结果，成交供应商无正当理由不得放弃成交。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中标人须在领取中标通知书前提供叁份纸质版投标文件正本至采购代理机构。</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第六章响应文件格式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响应文件目录</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、磋商申请及声明</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、报价一览表</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、特定资格要求的证明文件</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、法人授权书</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、中小企业声明函及残疾人福利性单位声明函</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、关于符合本国产品标准的声明函</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、分项报价表</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、商务、技术要求响应及偏离表</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、企业业绩</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、磋商所需其他材料</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响应声明及承诺函</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（采购代理机构名称）：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根据已收到的项目编号为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项目的竞争性磋商文件，我单位在参加本项目竞争性磋商活动中，特做出如下承诺：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一、我方具备《中华人民共和国政府采购法》第二十二条第一款规定的6项条件；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三、我方按磋商文件要求提交响应文件，响应磋商文件规定的响应有效期；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四、如果我方的响应文件被接受，我方将按《中华人民共和国民法典（第三编合同） 》及其他有关法律、法规的规定，按期、按质、按量交付采购单位，全面做到履约守信；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五、我方若违背本声明及承诺约定，经查实，自愿接受采购人及相关主管部门相应的规定处理，并依法承担相应的法律责任。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六、我方同意采购人、采购代理机构将本声明及承诺函上网公开。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 </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二、报价一览表</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磋商报价表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                                        货币单位：人民币元</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项目编号：项目编号  </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38"/>
        <w:gridCol w:w="2591"/>
        <w:gridCol w:w="3980"/>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73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59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98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73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9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98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元</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73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57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 </w:t>
            </w:r>
            <w:r/>
          </w:p>
        </w:tc>
      </w:tr>
    </w:tbl>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3、如最后报价未列明单价，则最后所报各项单价计算方法为：（最后报价/ 最初报价）* 各项最初报价的单价。</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三、特定资格要求的证明文件</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四、法人授权书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法人授权书</w:t>
      </w:r>
      <w:r/>
    </w:p>
    <w:p>
      <w:pPr>
        <w:ind w:left="0" w:right="0" w:firstLine="480"/>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1200"/>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80"/>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商依法享受缓缴、免缴社会保障资金的提供证明材料，如若因成立时间未进行缴纳社会保障资金的，需提供说明。</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五、中小企业声明函（货物）</w:t>
      </w:r>
      <w:r/>
    </w:p>
    <w:p>
      <w:pPr>
        <w:ind w:left="0" w:right="0" w:firstLine="321"/>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中小企业声明函（货物）</w:t>
      </w:r>
      <w:r/>
    </w:p>
    <w:p>
      <w:pPr>
        <w:ind w:left="0" w:right="0" w:firstLine="36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（采购单位名称）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采购活动，提供的货物全部由符合政策要求的中小企业制造。相关企业（含联合体中的中小企业、签订分包意向协议的中小企业） 的具体情况如下：</w:t>
      </w:r>
      <w:r/>
    </w:p>
    <w:p>
      <w:pPr>
        <w:ind w:left="0" w:right="0" w:firstLine="36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36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（标的名称） ，属于（采购文件中明确的所属行业）行业；制造商为（企业名称），从业人员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36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36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备注：从业人员、营业收入、资产总额填报上一年度数据，无上一年度数据的新成立企业可不填报。</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残疾人福利性单位声明函</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1560" w:firstLine="624"/>
        <w:jc w:val="center"/>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六、关于符合本国产品标准的声明函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关于符合本国产品标准的声明函（采购包号：**）</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60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Arial" w:hAnsi="Arial" w:eastAsia="Arial" w:cs="Arial"/>
          <w:color w:val="000000"/>
          <w:sz w:val="24"/>
          <w:u w:val="single"/>
        </w:rPr>
        <w:t xml:space="preserve">（产品名称1）</w:t>
      </w:r>
      <w:r>
        <w:rPr>
          <w:rFonts w:ascii="Arial" w:hAnsi="Arial" w:eastAsia="Arial" w:cs="Arial"/>
          <w:color w:val="000000"/>
          <w:sz w:val="20"/>
          <w:vertAlign w:val="superscript"/>
        </w:rPr>
        <w:t xml:space="preserve">1</w:t>
      </w:r>
      <w:r>
        <w:rPr>
          <w:rFonts w:ascii="Arial" w:hAnsi="Arial" w:eastAsia="Arial" w:cs="Arial"/>
          <w:color w:val="000000"/>
          <w:sz w:val="24"/>
        </w:rPr>
        <w:t xml:space="preserve">，生产厂为</w:t>
      </w:r>
      <w:r>
        <w:rPr>
          <w:rFonts w:ascii="Arial" w:hAnsi="Arial" w:eastAsia="Arial" w:cs="Arial"/>
          <w:color w:val="000000"/>
          <w:sz w:val="24"/>
          <w:u w:val="single"/>
        </w:rPr>
        <w:t xml:space="preserve">（厂名）</w:t>
      </w:r>
      <w:r>
        <w:rPr>
          <w:rFonts w:ascii="Arial" w:hAnsi="Arial" w:eastAsia="Arial" w:cs="Arial"/>
          <w:color w:val="000000"/>
          <w:sz w:val="20"/>
          <w:vertAlign w:val="superscript"/>
        </w:rPr>
        <w:t xml:space="preserve">2</w:t>
      </w:r>
      <w:r>
        <w:rPr>
          <w:rFonts w:ascii="Arial" w:hAnsi="Arial" w:eastAsia="Arial" w:cs="Arial"/>
          <w:color w:val="000000"/>
          <w:sz w:val="24"/>
        </w:rPr>
        <w:t xml:space="preserve">，厂址为</w:t>
      </w:r>
      <w:r>
        <w:rPr>
          <w:rFonts w:ascii="Arial" w:hAnsi="Arial" w:eastAsia="Arial" w:cs="Arial"/>
          <w:color w:val="000000"/>
          <w:sz w:val="24"/>
          <w:u w:val="single"/>
        </w:rPr>
        <w:t xml:space="preserve">（生产厂址）</w:t>
      </w:r>
      <w:r>
        <w:rPr>
          <w:rFonts w:ascii="Arial" w:hAnsi="Arial" w:eastAsia="Arial" w:cs="Arial"/>
          <w:color w:val="000000"/>
          <w:sz w:val="24"/>
        </w:rPr>
        <w:t xml:space="preserve">。</w:t>
      </w:r>
      <w:r>
        <w:rPr>
          <w:rFonts w:ascii="Arial" w:hAnsi="Arial" w:eastAsia="Arial" w:cs="Arial"/>
          <w:color w:val="000000"/>
          <w:sz w:val="24"/>
          <w:u w:val="single"/>
        </w:rPr>
        <w:t xml:space="preserve"> （产品名称1） </w:t>
      </w:r>
      <w:r>
        <w:rPr>
          <w:rFonts w:ascii="Arial" w:hAnsi="Arial" w:eastAsia="Arial" w:cs="Arial"/>
          <w:color w:val="000000"/>
          <w:sz w:val="24"/>
        </w:rPr>
        <w:t xml:space="preserve">的中国境内生产的组件成本占比≥</w:t>
      </w:r>
      <w:r>
        <w:rPr>
          <w:rFonts w:ascii="Arial" w:hAnsi="Arial" w:eastAsia="Arial" w:cs="Arial"/>
          <w:color w:val="000000"/>
          <w:sz w:val="24"/>
          <w:u w:val="single"/>
        </w:rPr>
        <w:t xml:space="preserve">（规定比例）</w:t>
      </w:r>
      <w:r>
        <w:rPr>
          <w:rFonts w:ascii="Arial" w:hAnsi="Arial" w:eastAsia="Arial" w:cs="Arial"/>
          <w:color w:val="000000"/>
          <w:sz w:val="20"/>
          <w:vertAlign w:val="superscript"/>
        </w:rPr>
        <w:t xml:space="preserve">3</w:t>
      </w:r>
      <w:r>
        <w:rPr>
          <w:rFonts w:ascii="Arial" w:hAnsi="Arial" w:eastAsia="Arial" w:cs="Arial"/>
          <w:color w:val="000000"/>
          <w:sz w:val="24"/>
        </w:rPr>
        <w:t xml:space="preserve">。</w:t>
      </w:r>
      <w:r>
        <w:rPr>
          <w:rFonts w:ascii="Arial" w:hAnsi="Arial" w:eastAsia="Arial" w:cs="Arial"/>
          <w:color w:val="000000"/>
          <w:sz w:val="24"/>
          <w:u w:val="single"/>
        </w:rPr>
        <w:t xml:space="preserve">（产品名称1）</w:t>
      </w:r>
      <w:r>
        <w:rPr>
          <w:rFonts w:ascii="Arial" w:hAnsi="Arial" w:eastAsia="Arial" w:cs="Arial"/>
          <w:color w:val="000000"/>
          <w:sz w:val="24"/>
        </w:rPr>
        <w:t xml:space="preserve">的</w:t>
      </w:r>
      <w:r>
        <w:rPr>
          <w:rFonts w:ascii="Arial" w:hAnsi="Arial" w:eastAsia="Arial" w:cs="Arial"/>
          <w:color w:val="000000"/>
          <w:sz w:val="24"/>
          <w:u w:val="single"/>
        </w:rPr>
        <w:t xml:space="preserve">（关键组件）</w:t>
      </w:r>
      <w:r>
        <w:rPr>
          <w:rFonts w:ascii="Arial" w:hAnsi="Arial" w:eastAsia="Arial" w:cs="Arial"/>
          <w:color w:val="000000"/>
          <w:sz w:val="20"/>
          <w:vertAlign w:val="superscript"/>
        </w:rPr>
        <w:t xml:space="preserve">4</w:t>
      </w:r>
      <w:r>
        <w:rPr>
          <w:rFonts w:ascii="Arial" w:hAnsi="Arial" w:eastAsia="Arial" w:cs="Arial"/>
          <w:color w:val="000000"/>
          <w:sz w:val="24"/>
        </w:rPr>
        <w:t xml:space="preserve">在中国境内生产。</w:t>
      </w:r>
      <w:r>
        <w:rPr>
          <w:rFonts w:ascii="Arial" w:hAnsi="Arial" w:eastAsia="Arial" w:cs="Arial"/>
          <w:color w:val="000000"/>
          <w:sz w:val="24"/>
          <w:u w:val="single"/>
        </w:rPr>
        <w:t xml:space="preserve">（产品名称1）</w:t>
      </w:r>
      <w:r>
        <w:rPr>
          <w:rFonts w:ascii="Arial" w:hAnsi="Arial" w:eastAsia="Arial" w:cs="Arial"/>
          <w:color w:val="000000"/>
          <w:sz w:val="24"/>
        </w:rPr>
        <w:t xml:space="preserve">的</w:t>
      </w:r>
      <w:r>
        <w:rPr>
          <w:rFonts w:ascii="Arial" w:hAnsi="Arial" w:eastAsia="Arial" w:cs="Arial"/>
          <w:color w:val="000000"/>
          <w:sz w:val="24"/>
          <w:u w:val="single"/>
        </w:rPr>
        <w:t xml:space="preserve">（关键工序）</w:t>
      </w:r>
      <w:r>
        <w:rPr>
          <w:rFonts w:ascii="Arial" w:hAnsi="Arial" w:eastAsia="Arial" w:cs="Arial"/>
          <w:color w:val="000000"/>
          <w:sz w:val="20"/>
          <w:vertAlign w:val="superscript"/>
        </w:rPr>
        <w:t xml:space="preserve">5</w:t>
      </w:r>
      <w:r>
        <w:rPr>
          <w:rFonts w:ascii="Arial" w:hAnsi="Arial" w:eastAsia="Arial" w:cs="Arial"/>
          <w:color w:val="000000"/>
          <w:sz w:val="24"/>
        </w:rPr>
        <w:t xml:space="preserve">在中国境内完成。</w:t>
      </w:r>
      <w:r/>
    </w:p>
    <w:p>
      <w:pPr>
        <w:ind w:left="0" w:right="0" w:firstLine="60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Arial" w:hAnsi="Arial" w:eastAsia="Arial" w:cs="Arial"/>
          <w:color w:val="000000"/>
          <w:sz w:val="24"/>
          <w:u w:val="single"/>
        </w:rPr>
        <w:t xml:space="preserve">（产品名称2）</w:t>
      </w:r>
      <w:r>
        <w:rPr>
          <w:rFonts w:ascii="Arial" w:hAnsi="Arial" w:eastAsia="Arial" w:cs="Arial"/>
          <w:color w:val="000000"/>
          <w:sz w:val="24"/>
        </w:rPr>
        <w:t xml:space="preserve">，生产厂为</w:t>
      </w:r>
      <w:r>
        <w:rPr>
          <w:rFonts w:ascii="Arial" w:hAnsi="Arial" w:eastAsia="Arial" w:cs="Arial"/>
          <w:color w:val="000000"/>
          <w:sz w:val="24"/>
          <w:u w:val="single"/>
        </w:rPr>
        <w:t xml:space="preserve">（厂名）</w:t>
      </w:r>
      <w:r>
        <w:rPr>
          <w:rFonts w:ascii="Arial" w:hAnsi="Arial" w:eastAsia="Arial" w:cs="Arial"/>
          <w:color w:val="000000"/>
          <w:sz w:val="24"/>
        </w:rPr>
        <w:t xml:space="preserve">，厂址为</w:t>
      </w:r>
      <w:r>
        <w:rPr>
          <w:rFonts w:ascii="Arial" w:hAnsi="Arial" w:eastAsia="Arial" w:cs="Arial"/>
          <w:color w:val="000000"/>
          <w:sz w:val="24"/>
          <w:u w:val="single"/>
        </w:rPr>
        <w:t xml:space="preserve">（生产厂址）</w:t>
      </w:r>
      <w:r>
        <w:rPr>
          <w:rFonts w:ascii="Arial" w:hAnsi="Arial" w:eastAsia="Arial" w:cs="Arial"/>
          <w:color w:val="000000"/>
          <w:sz w:val="24"/>
        </w:rPr>
        <w:t xml:space="preserve">。</w:t>
      </w:r>
      <w:r>
        <w:rPr>
          <w:rFonts w:ascii="Arial" w:hAnsi="Arial" w:eastAsia="Arial" w:cs="Arial"/>
          <w:color w:val="000000"/>
          <w:sz w:val="24"/>
          <w:u w:val="single"/>
        </w:rPr>
        <w:t xml:space="preserve">（产品名称2）</w:t>
      </w:r>
      <w:r>
        <w:rPr>
          <w:rFonts w:ascii="Arial" w:hAnsi="Arial" w:eastAsia="Arial" w:cs="Arial"/>
          <w:color w:val="000000"/>
          <w:sz w:val="24"/>
        </w:rPr>
        <w:t xml:space="preserve">的中国境内生产的组件成本占比≥</w:t>
      </w:r>
      <w:r>
        <w:rPr>
          <w:rFonts w:ascii="Arial" w:hAnsi="Arial" w:eastAsia="Arial" w:cs="Arial"/>
          <w:color w:val="000000"/>
          <w:sz w:val="24"/>
          <w:u w:val="single"/>
        </w:rPr>
        <w:t xml:space="preserve">（规定比例）</w:t>
      </w:r>
      <w:r>
        <w:rPr>
          <w:rFonts w:ascii="Arial" w:hAnsi="Arial" w:eastAsia="Arial" w:cs="Arial"/>
          <w:color w:val="000000"/>
          <w:sz w:val="24"/>
        </w:rPr>
        <w:t xml:space="preserve">。</w:t>
      </w:r>
      <w:r>
        <w:rPr>
          <w:rFonts w:ascii="Arial" w:hAnsi="Arial" w:eastAsia="Arial" w:cs="Arial"/>
          <w:color w:val="000000"/>
          <w:sz w:val="24"/>
          <w:u w:val="single"/>
        </w:rPr>
        <w:t xml:space="preserve">（产品名称2）</w:t>
      </w:r>
      <w:r>
        <w:rPr>
          <w:rFonts w:ascii="Arial" w:hAnsi="Arial" w:eastAsia="Arial" w:cs="Arial"/>
          <w:color w:val="000000"/>
          <w:sz w:val="24"/>
        </w:rPr>
        <w:t xml:space="preserve">的</w:t>
      </w:r>
      <w:r>
        <w:rPr>
          <w:rFonts w:ascii="Arial" w:hAnsi="Arial" w:eastAsia="Arial" w:cs="Arial"/>
          <w:color w:val="000000"/>
          <w:sz w:val="24"/>
          <w:u w:val="single"/>
        </w:rPr>
        <w:t xml:space="preserve">（关键组件）</w:t>
      </w:r>
      <w:r>
        <w:rPr>
          <w:rFonts w:ascii="Arial" w:hAnsi="Arial" w:eastAsia="Arial" w:cs="Arial"/>
          <w:color w:val="000000"/>
          <w:sz w:val="24"/>
        </w:rPr>
        <w:t xml:space="preserve">在中国境内生产。</w:t>
      </w:r>
      <w:r>
        <w:rPr>
          <w:rFonts w:ascii="Arial" w:hAnsi="Arial" w:eastAsia="Arial" w:cs="Arial"/>
          <w:color w:val="000000"/>
          <w:sz w:val="24"/>
          <w:u w:val="single"/>
        </w:rPr>
        <w:t xml:space="preserve">（产品名称1）</w:t>
      </w:r>
      <w:r>
        <w:rPr>
          <w:rFonts w:ascii="Arial" w:hAnsi="Arial" w:eastAsia="Arial" w:cs="Arial"/>
          <w:color w:val="000000"/>
          <w:sz w:val="24"/>
        </w:rPr>
        <w:t xml:space="preserve">的</w:t>
      </w:r>
      <w:r>
        <w:rPr>
          <w:rFonts w:ascii="Arial" w:hAnsi="Arial" w:eastAsia="Arial" w:cs="Arial"/>
          <w:color w:val="000000"/>
          <w:sz w:val="24"/>
          <w:u w:val="single"/>
        </w:rPr>
        <w:t xml:space="preserve">（关键工序）</w:t>
      </w:r>
      <w:r>
        <w:rPr>
          <w:rFonts w:ascii="Arial" w:hAnsi="Arial" w:eastAsia="Arial" w:cs="Arial"/>
          <w:color w:val="000000"/>
          <w:sz w:val="24"/>
        </w:rPr>
        <w:t xml:space="preserve">在中国境内完成。</w:t>
      </w:r>
      <w:r/>
    </w:p>
    <w:p>
      <w:pPr>
        <w:ind w:left="0" w:right="0" w:firstLine="60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p>
    <w:p>
      <w:pPr>
        <w:ind w:left="0" w:right="0" w:firstLine="60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本公司（单位）对上述声明内容的真实性负责。如有虚假，愿承担相应法律责任。</w:t>
      </w:r>
      <w:r/>
    </w:p>
    <w:p>
      <w:pPr>
        <w:ind w:left="0" w:right="0" w:firstLine="60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480" w:firstLine="240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公司（单位）名称（加盖CA电子公章）：　        </w:t>
      </w:r>
      <w:r/>
    </w:p>
    <w:p>
      <w:pPr>
        <w:ind w:left="0" w:right="0" w:firstLine="600"/>
        <w:jc w:val="center"/>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日期：　   年　  月　  日         </w:t>
      </w:r>
      <w:r/>
    </w:p>
    <w:p>
      <w:pPr>
        <w:ind w:left="0" w:right="0" w:firstLine="60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__________________</w:t>
      </w:r>
      <w:r/>
    </w:p>
    <w:p>
      <w:pPr>
        <w:ind w:left="0" w:right="0" w:firstLine="44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1.产品如有型号，请在“产品名称”栏一并填写。</w:t>
      </w:r>
      <w:r/>
    </w:p>
    <w:p>
      <w:pPr>
        <w:ind w:left="0" w:right="0" w:firstLine="44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2.生产厂名与厂址应与生产厂营业执照载明的相关信息保持一致。</w:t>
      </w:r>
      <w:r/>
    </w:p>
    <w:p>
      <w:pPr>
        <w:ind w:left="0" w:right="0" w:firstLine="44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3.该产品的中国境内生产的组件成本占比相关要求实施前，“规定比例”栏可不填，下同。</w:t>
      </w:r>
      <w:r/>
    </w:p>
    <w:p>
      <w:pPr>
        <w:ind w:left="0" w:right="0" w:firstLine="44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4.该产品的关键组件要求实施前，“关键组件”栏可不填，下同。</w:t>
      </w:r>
      <w:r/>
    </w:p>
    <w:p>
      <w:pPr>
        <w:ind w:left="0" w:right="0" w:firstLine="44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5.该产品的关键工序要求实施前，“关键工序”栏可不填，下同。</w:t>
      </w:r>
      <w:r/>
    </w:p>
    <w:p>
      <w:pPr>
        <w:ind w:left="0" w:right="0" w:firstLine="440"/>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6.用斜线划除的地方无需填写。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七、分项报价表（货物类）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w:t>
      </w:r>
      <w:r>
        <w:rPr>
          <w:rFonts w:ascii="SimSun" w:hAnsi="SimSun" w:eastAsia="SimSun" w:cs="SimSun"/>
          <w:color w:val="000000"/>
          <w:sz w:val="24"/>
        </w:rPr>
        <w:t xml:space="preserve">加盖CA电子公章</w:t>
      </w:r>
      <w:r>
        <w:rPr>
          <w:rFonts w:ascii="FangSong" w:hAnsi="FangSong" w:eastAsia="FangSong" w:cs="FangSong"/>
          <w:color w:val="000000"/>
          <w:sz w:val="28"/>
        </w:rPr>
        <w:t xml:space="preserve">）：                 日期：年月日</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9"/>
        <w:gridCol w:w="1307"/>
        <w:gridCol w:w="956"/>
        <w:gridCol w:w="562"/>
        <w:gridCol w:w="565"/>
        <w:gridCol w:w="742"/>
        <w:gridCol w:w="871"/>
        <w:gridCol w:w="871"/>
        <w:gridCol w:w="1370"/>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105"/>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备注（是否为主要标的）</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79"/>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总报价（人民币：元）</w:t>
            </w:r>
            <w:r/>
          </w:p>
        </w:tc>
      </w:tr>
      <w:tr>
        <w:trPr>
          <w:trHeight w:val="53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3" w:type="dxa"/>
            <w:vAlign w:val="center"/>
            <w:textDirection w:val="lrTb"/>
            <w:noWrap w:val="false"/>
          </w:tcPr>
          <w:p>
            <w:pPr>
              <w:ind w:left="0" w:right="0" w:firstLine="480"/>
              <w:spacing w:before="0" w:after="0"/>
              <w:tabs>
                <w:tab w:val="left" w:pos="10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本采购包中提供的符合本国产品标准的产品成本之和占该采购包提供的全部产品成本之和的比例为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tc>
      </w:tr>
    </w:tbl>
    <w:p>
      <w:pPr>
        <w:ind w:left="984" w:right="0" w:hanging="984"/>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注：1.供应商必须详细报出采购清单中各个子项的名称、品牌型号、数量、单价、总价、制造商/产地、备注中的内容（是否为主要标的）。且本表各分项报价合计应当与磋商报价表报价合计相等。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磋商报价采用总承包方式，供应商的“总报价”应包括采购人需求的服务（包含与服务相关的产品）价格、培训费用及售后服务费用，项目在指定地点、环境交付、安装、调试、验收所需费用和所有相关税金费用及为完成整个项目所产生的其它所有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八、商务、技术要求响应及偏离表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商务部分正负偏离表</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3"/>
        <w:gridCol w:w="2300"/>
        <w:gridCol w:w="2008"/>
        <w:gridCol w:w="2591"/>
        <w:gridCol w:w="1427"/>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427"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27"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27"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27"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9"/>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427"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w:t>
      </w:r>
      <w:r>
        <w:rPr>
          <w:rFonts w:ascii="SimSun" w:hAnsi="SimSun" w:eastAsia="SimSun" w:cs="SimSun"/>
          <w:color w:val="000000"/>
          <w:sz w:val="24"/>
        </w:rPr>
        <w:t xml:space="preserve">（加盖CA电子公章）</w:t>
      </w:r>
      <w:r>
        <w:rPr>
          <w:rFonts w:ascii="FangSong" w:hAnsi="FangSong" w:eastAsia="FangSong" w:cs="FangSong"/>
          <w:color w:val="000000"/>
          <w:sz w:val="28"/>
        </w:rPr>
        <w:t xml:space="preserve">：</w:t>
      </w:r>
      <w:r/>
    </w:p>
    <w:p>
      <w:pPr>
        <w:ind w:left="0" w:right="0" w:firstLine="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p>
    <w:p>
      <w:pPr>
        <w:ind w:left="0" w:right="0" w:firstLine="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1.供应商提交的响应文件中与磋商文件第三章“项目需求”中的商务部分的要求，应逐条填列在偏离表中。</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“偏离说明”一栏选择</w:t>
      </w:r>
      <w:r>
        <w:rPr>
          <w:rFonts w:ascii="SimSun" w:hAnsi="SimSun" w:eastAsia="SimSun" w:cs="SimSun"/>
          <w:b/>
          <w:color w:val="000000"/>
          <w:sz w:val="24"/>
        </w:rPr>
        <w:t xml:space="preserve">“正偏离”、“无偏离”、“负偏离”</w:t>
      </w:r>
      <w:r>
        <w:rPr>
          <w:rFonts w:ascii="SimSun" w:hAnsi="SimSun" w:eastAsia="SimSun" w:cs="SimSun"/>
          <w:color w:val="000000"/>
          <w:sz w:val="24"/>
        </w:rPr>
        <w:t xml:space="preserve">进行填写。正偏离、无偏离、负偏离的确认，由磋商小组认定。★本项目商务部分不允许负偏离，有任一条负偏离视为无效响应！</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3.供应商若提供其他增值服务，可以在表中自行据实填写。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技术部分正负偏离表</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3"/>
        <w:gridCol w:w="2300"/>
        <w:gridCol w:w="2008"/>
        <w:gridCol w:w="2591"/>
        <w:gridCol w:w="1427"/>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磋商文件要求的技术要求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427"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27"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27"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27"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9"/>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843"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30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59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427"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w:t>
      </w:r>
      <w:r>
        <w:rPr>
          <w:rFonts w:ascii="SimSun" w:hAnsi="SimSun" w:eastAsia="SimSun" w:cs="SimSun"/>
          <w:color w:val="000000"/>
          <w:sz w:val="24"/>
        </w:rPr>
        <w:t xml:space="preserve">（加盖CA电子公章）</w:t>
      </w:r>
      <w:r>
        <w:rPr>
          <w:rFonts w:ascii="FangSong" w:hAnsi="FangSong" w:eastAsia="FangSong" w:cs="FangSong"/>
          <w:color w:val="000000"/>
          <w:sz w:val="28"/>
        </w:rPr>
        <w:t xml:space="preserve">：</w:t>
      </w:r>
      <w:r/>
    </w:p>
    <w:p>
      <w:pPr>
        <w:ind w:left="0" w:right="0" w:firstLine="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p>
    <w:p>
      <w:pPr>
        <w:ind w:left="0" w:right="0" w:firstLine="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1.供应商提交的响应文件中与磋商文件第三章“项目需求”中的技术部分的要求，应逐条填列在偏离表中。</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“偏离说明”一栏选择</w:t>
      </w:r>
      <w:r>
        <w:rPr>
          <w:rFonts w:ascii="SimSun" w:hAnsi="SimSun" w:eastAsia="SimSun" w:cs="SimSun"/>
          <w:b/>
          <w:color w:val="000000"/>
          <w:sz w:val="24"/>
        </w:rPr>
        <w:t xml:space="preserve">“正偏离”、“无偏离”、“负偏离”</w:t>
      </w:r>
      <w:r>
        <w:rPr>
          <w:rFonts w:ascii="SimSun" w:hAnsi="SimSun" w:eastAsia="SimSun" w:cs="SimSun"/>
          <w:color w:val="000000"/>
          <w:sz w:val="24"/>
        </w:rPr>
        <w:t xml:space="preserve">进行填写。正偏离、无偏离的确认和负偏离的是否响应采购文件，由磋商小组认定。</w:t>
      </w:r>
      <w:r/>
    </w:p>
    <w:p>
      <w:pPr>
        <w:ind w:left="0" w:right="0" w:firstLine="480"/>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3.供应商若提供其他增值服务，可以在表中自行据实填写。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九、企业业绩（如适用）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供应商承担类似项目业绩一览表</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5"/>
        <w:gridCol w:w="2650"/>
        <w:gridCol w:w="2467"/>
        <w:gridCol w:w="1300"/>
        <w:gridCol w:w="1785"/>
      </w:tblGrid>
      <w:tr>
        <w:trPr>
          <w:trHeight w:val="75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8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50"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46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设备名称及型号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8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联系人及电话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5" w:type="dxa"/>
            <w:vAlign w:val="top"/>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50"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6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5" w:type="dxa"/>
            <w:vAlign w:val="top"/>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50"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6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5" w:type="dxa"/>
            <w:vAlign w:val="top"/>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50"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6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5" w:type="dxa"/>
            <w:vAlign w:val="top"/>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50"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6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00"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85"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注：请填写此表，并按要求上传业绩资料电子件。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十、磋商所需其他材料</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请在此文档中增加磋商所需其他相关内容（包括评分索引表（格式自拟）、采购需求中涉及的证件证明及其它供应商认为有必要提供的资料），如没有请将此空文档上传。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990" w:right="-6" w:firstLine="0"/>
        <w:spacing w:before="0" w:after="0" w:line="600" w:lineRule="atLeast"/>
        <w:pBdr>
          <w:top w:val="none" w:color="000000" w:sz="4" w:space="0"/>
          <w:left w:val="none" w:color="000000" w:sz="4" w:space="0"/>
          <w:bottom w:val="none" w:color="000000" w:sz="4" w:space="0"/>
          <w:right w:val="none" w:color="000000" w:sz="4" w:space="0"/>
        </w:pBdr>
      </w:pPr>
      <w:r>
        <w:br w:type="page" w:clear="all"/>
      </w:r>
      <w:r/>
    </w:p>
    <w:p>
      <w:pPr>
        <w:ind w:left="990" w:right="-6" w:firstLine="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资格证明文件</w:t>
      </w:r>
      <w:r/>
    </w:p>
    <w:p>
      <w:pPr>
        <w:ind w:left="0" w:right="-6" w:firstLine="482"/>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（说明：供应商须按“磋商邀请”要求，并按下列格式提供相应的资格证明文件）　　　</w:t>
      </w:r>
      <w:r/>
    </w:p>
    <w:p>
      <w:pPr>
        <w:ind w:left="0" w:right="-6" w:firstLine="48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格式一：资格性检查响应对照表</w:t>
      </w:r>
      <w:r/>
    </w:p>
    <w:p>
      <w:pPr>
        <w:ind w:left="0" w:right="0" w:firstLine="7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格式二：法人或者其他组织的营业执照等证明文件，自然人的身份证明</w:t>
      </w:r>
      <w:r/>
    </w:p>
    <w:p>
      <w:pPr>
        <w:ind w:left="0" w:right="0" w:firstLine="7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格式三：上一年度的财务状况报告（提供上一年度的财务状况报告或提供近两年中任意一个年度的会计师事务所出具的审计报告，成立不满一年的需提供银行资信证明）</w:t>
      </w:r>
      <w:r/>
    </w:p>
    <w:p>
      <w:pPr>
        <w:ind w:left="0" w:right="0" w:firstLine="7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格式四：依法缴纳税收和社会保障资金的相关材料</w:t>
      </w:r>
      <w:r/>
    </w:p>
    <w:p>
      <w:pPr>
        <w:ind w:left="0" w:right="0" w:firstLine="7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格式五：具备履行合同所必需的设备和专业技术能力的书面声明</w:t>
      </w:r>
      <w:r/>
    </w:p>
    <w:p>
      <w:pPr>
        <w:ind w:left="0" w:right="0" w:firstLine="7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格式六：参加政府采购活动前3年内在经营活动中没有重大违法记录的书面声明</w:t>
      </w:r>
      <w:r/>
    </w:p>
    <w:p>
      <w:pPr>
        <w:ind w:left="0" w:right="0" w:firstLine="7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格式七：供应商及响应产品（货物/服务）资质证书（复印件）</w:t>
      </w:r>
      <w:r/>
    </w:p>
    <w:p>
      <w:pPr>
        <w:ind w:left="0" w:right="0" w:firstLine="7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格式八  *****（本项目要求的其他资格条件）</w:t>
      </w:r>
      <w:r/>
    </w:p>
    <w:p>
      <w:pPr>
        <w:ind w:left="2026" w:right="0" w:hanging="1205"/>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资格性检查响应对照表</w:t>
      </w:r>
      <w:r/>
    </w:p>
    <w:p>
      <w:pPr>
        <w:ind w:left="0" w:right="0" w:firstLine="30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0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供应商全称（加盖CA电子公章）：</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6"/>
        <w:gridCol w:w="4991"/>
        <w:gridCol w:w="1417"/>
        <w:gridCol w:w="1418"/>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页码位置</w:t>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采购文件中的其他实质性要求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格式二</w:t>
      </w:r>
      <w:r/>
    </w:p>
    <w:p>
      <w:pPr>
        <w:ind w:left="0" w:right="0" w:firstLine="9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法人或者其他组织的营业执照等证明文件，自然人的身份证明</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格式三</w:t>
      </w:r>
      <w:r/>
    </w:p>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上一年度的财务状况报告（模板）</w:t>
      </w:r>
      <w:r/>
    </w:p>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（提供上一年度的财务状况报告或提供近两年中任意一个年度的</w:t>
      </w:r>
      <w:r/>
    </w:p>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会计师事务所出具的审计报告，成立不满一年的需提供银行资信证明）</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单位：万元</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7"/>
        <w:gridCol w:w="3346"/>
        <w:gridCol w:w="1715"/>
        <w:gridCol w:w="1715"/>
        <w:gridCol w:w="1715"/>
      </w:tblGrid>
      <w:tr>
        <w:trPr>
          <w:trHeight w:val="6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年份</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实收资本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全部资产总值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固定资产总值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流动资产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平均流动资产余额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速动资产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流动负债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年末所有者权益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现金净流量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流动比率%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（流动资产/流动负债）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速动比率%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（速动资产/流动负债）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资产负债率%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（总负债/总资产）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应收账款周转率%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（收入总额/平均应收账款）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存货周转率%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（销售成本/平均存货）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资产报酬率%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（收入/资产）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净资产收益率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（净利润/平均净资产）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供应商授权代表（签字）：</w:t>
      </w:r>
      <w:r>
        <w:rPr>
          <w:rFonts w:ascii="SimSun" w:hAnsi="SimSun" w:eastAsia="SimSun" w:cs="SimSun"/>
          <w:color w:val="000000"/>
          <w:sz w:val="24"/>
          <w:u w:val="single"/>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tab/>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格式四</w:t>
      </w:r>
      <w:r/>
    </w:p>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w:t>
      </w:r>
      <w:r>
        <w:rPr>
          <w:rFonts w:ascii="SimSun" w:hAnsi="SimSun" w:eastAsia="SimSun" w:cs="SimSun"/>
          <w:b/>
          <w:color w:val="000000"/>
          <w:sz w:val="24"/>
          <w:u w:val="single"/>
        </w:rPr>
        <w:t xml:space="preserve">缴纳税收” </w:t>
      </w:r>
      <w:r>
        <w:rPr>
          <w:rFonts w:ascii="SimSun" w:hAnsi="SimSun" w:eastAsia="SimSun" w:cs="SimSun"/>
          <w:color w:val="000000"/>
          <w:sz w:val="24"/>
        </w:rPr>
        <w:t xml:space="preserve">和 “</w:t>
      </w:r>
      <w:r>
        <w:rPr>
          <w:rFonts w:ascii="SimSun" w:hAnsi="SimSun" w:eastAsia="SimSun" w:cs="SimSun"/>
          <w:b/>
          <w:color w:val="000000"/>
          <w:sz w:val="24"/>
          <w:u w:val="single"/>
        </w:rPr>
        <w:t xml:space="preserve">社会保障资金”</w:t>
      </w:r>
      <w:r>
        <w:rPr>
          <w:rFonts w:ascii="SimSun" w:hAnsi="SimSun" w:eastAsia="SimSun" w:cs="SimSun"/>
          <w:color w:val="000000"/>
          <w:sz w:val="24"/>
        </w:rPr>
        <w:t xml:space="preserve">的相关材料</w:t>
      </w:r>
      <w:r/>
    </w:p>
    <w:p>
      <w:pPr>
        <w:ind w:left="0" w:right="-5"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提供供应商参加本次政府采购活动前6个月内至少一个月缴纳税收及缴纳社会保障资金的证明材料。供应商依法享受缓缴、免缴税收、社会保障资金的提供证明材料；</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格式五</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具备履行合同所必需的设备和专业技术能力的书面声明</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供应商名称（加盖CA电子公章）：</w:t>
      </w:r>
      <w:r/>
    </w:p>
    <w:p>
      <w:pPr>
        <w:ind w:left="0" w:right="48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格式六</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 3 年内在经营活动中没有重大违法记录的书面声明</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供应商名称（加盖CA电子公章）：</w:t>
      </w:r>
      <w:r/>
    </w:p>
    <w:p>
      <w:pPr>
        <w:ind w:left="0" w:right="0" w:firstLine="16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5"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5"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格式七</w:t>
      </w:r>
      <w:r/>
    </w:p>
    <w:p>
      <w:pPr>
        <w:ind w:left="0" w:right="0" w:firstLine="7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资质证书（复印件）</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格式八其他要求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2"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482"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482"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482"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482"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482"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482"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482"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482"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482"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482"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482" w:right="0" w:firstLine="0"/>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center"/>
    </w:pPr>
    <w:r>
      <w:fldChar w:fldCharType="begin"/>
    </w:r>
    <w:r>
      <w:instrText xml:space="preserve"> PAGE   \* MERGEFORMAT </w:instrText>
    </w:r>
    <w:r>
      <w:fldChar w:fldCharType="separate"/>
    </w:r>
    <w:r>
      <w:rPr>
        <w:rFonts w:hint="eastAsia"/>
        <w:lang w:val="zh-CN"/>
      </w:rPr>
      <w:t xml:space="preserve">５</w:t>
    </w:r>
    <w:r>
      <w:fldChar w:fldCharType="end"/>
    </w:r>
    <w:r/>
  </w:p>
  <w:p>
    <w:pPr>
      <w:pStyle w:val="811"/>
      <w:jc w:val="center"/>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rPr>
        <w:rStyle w:val="854"/>
      </w:rPr>
      <w:framePr w:wrap="around" w:vAnchor="text" w:hAnchor="margin" w:xAlign="center" w:y="1"/>
    </w:pPr>
    <w:r>
      <w:fldChar w:fldCharType="begin"/>
    </w:r>
    <w:r>
      <w:rPr>
        <w:rStyle w:val="854"/>
      </w:rPr>
      <w:instrText xml:space="preserve">PAGE  </w:instrText>
    </w:r>
    <w:r>
      <w:fldChar w:fldCharType="separate"/>
    </w:r>
    <w:r>
      <w:rPr>
        <w:rStyle w:val="854"/>
      </w:rPr>
      <w:t xml:space="preserve">1</w:t>
    </w:r>
    <w:r>
      <w:fldChar w:fldCharType="end"/>
    </w:r>
    <w:r/>
  </w:p>
  <w:p>
    <w:pPr>
      <w:pStyle w:val="8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31"/>
      <w:isLgl w:val="false"/>
      <w:suff w:val="nothing"/>
      <w:lvlText w:val=""/>
      <w:lvlJc w:val="left"/>
      <w:pPr>
        <w:ind w:left="0" w:firstLine="0"/>
      </w:pPr>
      <w:rPr>
        <w:rFonts w:hint="eastAsia"/>
      </w:rPr>
    </w:lvl>
    <w:lvl w:ilvl="6">
      <w:start w:val="1"/>
      <w:numFmt w:val="decimal"/>
      <w:pStyle w:val="829"/>
      <w:isLgl w:val="false"/>
      <w:suff w:val="nothing"/>
      <w:lvlText w:val=""/>
      <w:lvlJc w:val="left"/>
      <w:pPr>
        <w:ind w:left="0" w:firstLine="0"/>
      </w:pPr>
      <w:rPr>
        <w:rFonts w:hint="eastAsia"/>
      </w:rPr>
    </w:lvl>
    <w:lvl w:ilvl="7">
      <w:start w:val="1"/>
      <w:numFmt w:val="decimal"/>
      <w:pStyle w:val="827"/>
      <w:isLgl w:val="false"/>
      <w:suff w:val="nothing"/>
      <w:lvlText w:val=""/>
      <w:lvlJc w:val="left"/>
      <w:pPr>
        <w:ind w:left="0" w:firstLine="0"/>
      </w:pPr>
      <w:rPr>
        <w:rFonts w:hint="eastAsia"/>
      </w:rPr>
    </w:lvl>
    <w:lvl w:ilvl="8">
      <w:start w:val="1"/>
      <w:numFmt w:val="decimal"/>
      <w:pStyle w:val="825"/>
      <w:isLgl w:val="false"/>
      <w:suff w:val="nothing"/>
      <w:lvlText w:val=""/>
      <w:lvlJc w:val="left"/>
      <w:pPr>
        <w:ind w:left="0" w:firstLine="0"/>
      </w:pPr>
      <w:rPr>
        <w:rFonts w:hint="eastAsia"/>
      </w:rPr>
    </w:lvl>
  </w:abstractNum>
  <w:abstractNum w:abstractNumId="2">
    <w:multiLevelType w:val="hybridMultilevel"/>
    <w:lvl w:ilvl="0">
      <w:start w:val="1"/>
      <w:numFmt w:val="upperLetter"/>
      <w:pStyle w:val="79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0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tab"/>
      <w:lvlText w:val="%1."/>
      <w:lvlJc w:val="left"/>
      <w:pPr>
        <w:ind w:left="0" w:firstLine="480"/>
        <w:tabs>
          <w:tab w:val="left" w:pos="210" w:leader="none"/>
        </w:tabs>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48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8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480"/>
      </w:pPr>
      <w:rPr>
        <w:sz w:val="24"/>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48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48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1">
    <w:multiLevelType w:val="hybridMultilevel"/>
    <w:lvl w:ilvl="0">
      <w:start w:val="1"/>
      <w:numFmt w:val="upperLetter"/>
      <w:isLgl w:val="false"/>
      <w:suff w:val="tab"/>
      <w:lvlText w:val="附录%1."/>
      <w:lvlJc w:val="left"/>
      <w:pPr>
        <w:ind w:left="907" w:hanging="907"/>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48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48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6">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0" w:firstLine="480"/>
      </w:pPr>
      <w:rPr>
        <w:sz w:val="24"/>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0" w:firstLine="48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0" w:firstLine="48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0">
    <w:multiLevelType w:val="hybridMultilevel"/>
    <w:lvl w:ilvl="0">
      <w:start w:val="1"/>
      <w:numFmt w:val="upperLetter"/>
      <w:isLgl w:val="false"/>
      <w:suff w:val="tab"/>
      <w:lvlText w:val="附录%1."/>
      <w:lvlJc w:val="left"/>
      <w:pPr>
        <w:ind w:left="907" w:hanging="907"/>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1"/>
  </w:num>
  <w:num w:numId="3">
    <w:abstractNumId w:val="8"/>
  </w:num>
  <w:num w:numId="4">
    <w:abstractNumId w:val="0"/>
  </w:num>
  <w:num w:numId="5">
    <w:abstractNumId w:val="10"/>
  </w:num>
  <w:num w:numId="6">
    <w:abstractNumId w:val="6"/>
  </w:num>
  <w:num w:numId="7">
    <w:abstractNumId w:val="3"/>
  </w:num>
  <w:num w:numId="8">
    <w:abstractNumId w:val="9"/>
  </w:num>
  <w:num w:numId="9">
    <w:abstractNumId w:val="12"/>
  </w:num>
  <w:num w:numId="10">
    <w:abstractNumId w:val="4"/>
  </w:num>
  <w:num w:numId="11">
    <w:abstractNumId w:val="7"/>
  </w:num>
  <w:num w:numId="12">
    <w:abstractNumId w:val="11"/>
  </w:num>
  <w:num w:numId="13">
    <w:abstractNumId w:val="5"/>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link w:val="866"/>
    <w:uiPriority w:val="0"/>
    <w:qFormat/>
    <w:rPr>
      <w:rFonts w:hint="default" w:ascii="Times New Roman" w:hAnsi="Times New Roman" w:eastAsia="宋体" w:cs="Times New Roman"/>
      <w:sz w:val="24"/>
      <w:szCs w:val="24"/>
    </w:rPr>
  </w:style>
  <w:style w:type="paragraph" w:styleId="725">
    <w:name w:val="Heading 1"/>
    <w:basedOn w:val="724"/>
    <w:next w:val="724"/>
    <w:link w:val="859"/>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847"/>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853"/>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846"/>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864"/>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871"/>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845"/>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865"/>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right="0" w:firstLine="0"/>
      <w:spacing w:after="57"/>
    </w:pPr>
  </w:style>
  <w:style w:type="paragraph" w:styleId="737">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Body Text"/>
    <w:basedOn w:val="724"/>
    <w:next w:val="724"/>
    <w:uiPriority w:val="0"/>
    <w:qFormat/>
    <w:pPr>
      <w:ind w:firstLine="420"/>
      <w:spacing w:after="120" w:line="360" w:lineRule="auto"/>
    </w:pPr>
    <w:rPr>
      <w:sz w:val="24"/>
    </w:rPr>
  </w:style>
  <w:style w:type="paragraph" w:styleId="739">
    <w:name w:val="toc 5"/>
    <w:basedOn w:val="724"/>
    <w:next w:val="724"/>
    <w:uiPriority w:val="39"/>
    <w:unhideWhenUsed/>
    <w:qFormat/>
    <w:pPr>
      <w:ind w:left="1134" w:right="0" w:firstLine="0"/>
      <w:spacing w:after="57"/>
    </w:pPr>
  </w:style>
  <w:style w:type="paragraph" w:styleId="740">
    <w:name w:val="toc 3"/>
    <w:basedOn w:val="724"/>
    <w:next w:val="724"/>
    <w:uiPriority w:val="39"/>
    <w:unhideWhenUsed/>
    <w:pPr>
      <w:ind w:left="567" w:right="0" w:firstLine="0"/>
      <w:spacing w:after="57"/>
    </w:pPr>
  </w:style>
  <w:style w:type="paragraph" w:styleId="741">
    <w:name w:val="toc 8"/>
    <w:basedOn w:val="724"/>
    <w:next w:val="724"/>
    <w:uiPriority w:val="39"/>
    <w:unhideWhenUsed/>
    <w:pPr>
      <w:ind w:left="1984" w:right="0" w:firstLine="0"/>
      <w:spacing w:after="57"/>
    </w:pPr>
  </w:style>
  <w:style w:type="paragraph" w:styleId="742">
    <w:name w:val="endnote text"/>
    <w:basedOn w:val="724"/>
    <w:uiPriority w:val="99"/>
    <w:semiHidden/>
    <w:unhideWhenUsed/>
    <w:qFormat/>
    <w:pPr>
      <w:spacing w:after="0" w:line="240" w:lineRule="auto"/>
    </w:pPr>
    <w:rPr>
      <w:sz w:val="20"/>
    </w:rPr>
  </w:style>
  <w:style w:type="paragraph" w:styleId="743">
    <w:name w:val="Footer"/>
    <w:basedOn w:val="724"/>
    <w:uiPriority w:val="99"/>
    <w:unhideWhenUsed/>
    <w:pPr>
      <w:spacing w:after="0" w:line="240" w:lineRule="auto"/>
      <w:tabs>
        <w:tab w:val="center" w:pos="7143" w:leader="none"/>
        <w:tab w:val="right" w:pos="14287" w:leader="none"/>
      </w:tabs>
    </w:pPr>
  </w:style>
  <w:style w:type="paragraph" w:styleId="744">
    <w:name w:val="Header"/>
    <w:basedOn w:val="724"/>
    <w:uiPriority w:val="99"/>
    <w:unhideWhenUsed/>
    <w:pPr>
      <w:spacing w:after="0" w:line="240" w:lineRule="auto"/>
      <w:tabs>
        <w:tab w:val="center" w:pos="7143" w:leader="none"/>
        <w:tab w:val="right" w:pos="14287" w:leader="none"/>
      </w:tabs>
    </w:pPr>
  </w:style>
  <w:style w:type="paragraph" w:styleId="745">
    <w:name w:val="toc 1"/>
    <w:basedOn w:val="724"/>
    <w:next w:val="724"/>
    <w:uiPriority w:val="39"/>
    <w:unhideWhenUsed/>
    <w:qFormat/>
    <w:pPr>
      <w:ind w:left="0" w:right="0" w:firstLine="0"/>
      <w:spacing w:after="57"/>
    </w:pPr>
  </w:style>
  <w:style w:type="paragraph" w:styleId="746">
    <w:name w:val="toc 4"/>
    <w:basedOn w:val="724"/>
    <w:next w:val="724"/>
    <w:uiPriority w:val="39"/>
    <w:unhideWhenUsed/>
    <w:qFormat/>
    <w:pPr>
      <w:ind w:left="850" w:right="0" w:firstLine="0"/>
      <w:spacing w:after="57"/>
    </w:pPr>
  </w:style>
  <w:style w:type="paragraph" w:styleId="747">
    <w:name w:val="Subtitle"/>
    <w:basedOn w:val="724"/>
    <w:next w:val="724"/>
    <w:uiPriority w:val="11"/>
    <w:qFormat/>
    <w:pPr>
      <w:spacing w:before="200" w:after="200"/>
    </w:pPr>
    <w:rPr>
      <w:sz w:val="24"/>
      <w:szCs w:val="24"/>
    </w:rPr>
  </w:style>
  <w:style w:type="paragraph" w:styleId="748">
    <w:name w:val="footnote text"/>
    <w:basedOn w:val="724"/>
    <w:uiPriority w:val="99"/>
    <w:semiHidden/>
    <w:unhideWhenUsed/>
    <w:pPr>
      <w:spacing w:after="40" w:line="240" w:lineRule="auto"/>
    </w:pPr>
    <w:rPr>
      <w:sz w:val="18"/>
    </w:rPr>
  </w:style>
  <w:style w:type="paragraph" w:styleId="749">
    <w:name w:val="toc 6"/>
    <w:basedOn w:val="724"/>
    <w:next w:val="724"/>
    <w:uiPriority w:val="39"/>
    <w:unhideWhenUsed/>
    <w:pPr>
      <w:ind w:left="1417" w:right="0" w:firstLine="0"/>
      <w:spacing w:after="57"/>
    </w:pPr>
  </w:style>
  <w:style w:type="paragraph" w:styleId="750">
    <w:name w:val="table of figures"/>
    <w:basedOn w:val="724"/>
    <w:next w:val="724"/>
    <w:uiPriority w:val="99"/>
    <w:unhideWhenUsed/>
    <w:pPr>
      <w:spacing w:after="0" w:afterAutospacing="0"/>
    </w:pPr>
  </w:style>
  <w:style w:type="paragraph" w:styleId="751">
    <w:name w:val="toc 2"/>
    <w:basedOn w:val="724"/>
    <w:next w:val="724"/>
    <w:uiPriority w:val="39"/>
    <w:unhideWhenUsed/>
    <w:pPr>
      <w:ind w:left="283" w:right="0" w:firstLine="0"/>
      <w:spacing w:after="57"/>
    </w:pPr>
  </w:style>
  <w:style w:type="paragraph" w:styleId="752">
    <w:name w:val="toc 9"/>
    <w:basedOn w:val="724"/>
    <w:next w:val="724"/>
    <w:uiPriority w:val="39"/>
    <w:unhideWhenUsed/>
    <w:pPr>
      <w:ind w:left="2268" w:right="0" w:firstLine="0"/>
      <w:spacing w:after="57"/>
    </w:pPr>
  </w:style>
  <w:style w:type="paragraph" w:styleId="753">
    <w:name w:val="Normal (Web)"/>
    <w:basedOn w:val="724"/>
    <w:uiPriority w:val="0"/>
    <w:qFormat/>
    <w:pPr>
      <w:jc w:val="left"/>
      <w:spacing w:before="100" w:beforeAutospacing="1" w:after="100" w:afterAutospacing="1"/>
      <w:widowControl/>
    </w:pPr>
    <w:rPr>
      <w:rFonts w:ascii="宋体" w:hAnsi="宋体"/>
      <w:color w:val="000000"/>
      <w:sz w:val="24"/>
    </w:rPr>
  </w:style>
  <w:style w:type="paragraph" w:styleId="754">
    <w:name w:val="Title"/>
    <w:basedOn w:val="724"/>
    <w:next w:val="724"/>
    <w:uiPriority w:val="10"/>
    <w:qFormat/>
    <w:pPr>
      <w:contextualSpacing/>
      <w:spacing w:before="300" w:after="200"/>
    </w:pPr>
    <w:rPr>
      <w:sz w:val="48"/>
      <w:szCs w:val="48"/>
    </w:rPr>
  </w:style>
  <w:style w:type="paragraph" w:styleId="755">
    <w:name w:val="Body Text First Indent"/>
    <w:basedOn w:val="738"/>
    <w:next w:val="724"/>
    <w:uiPriority w:val="0"/>
    <w:qFormat/>
    <w:rPr>
      <w:sz w:val="21"/>
      <w:lang w:val="zh-CN"/>
    </w:rPr>
  </w:style>
  <w:style w:type="table" w:styleId="756">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endnote reference"/>
    <w:uiPriority w:val="99"/>
    <w:semiHidden/>
    <w:unhideWhenUsed/>
    <w:rPr>
      <w:vertAlign w:val="superscript"/>
    </w:rPr>
  </w:style>
  <w:style w:type="character" w:styleId="758">
    <w:name w:val="Hyperlink"/>
    <w:uiPriority w:val="99"/>
    <w:unhideWhenUsed/>
    <w:rPr>
      <w:color w:val="0000ff" w:themeColor="hyperlink"/>
      <w:u w:val="single"/>
      <w14:textFill>
        <w14:solidFill>
          <w14:schemeClr w14:val="hlink"/>
        </w14:solidFill>
      </w14:textFill>
    </w:rPr>
  </w:style>
  <w:style w:type="character" w:styleId="759">
    <w:name w:val="footnote reference"/>
    <w:uiPriority w:val="99"/>
    <w:unhideWhenUsed/>
    <w:qFormat/>
    <w:rPr>
      <w:vertAlign w:val="superscript"/>
    </w:rPr>
  </w:style>
  <w:style w:type="paragraph" w:styleId="760" w:customStyle="1">
    <w:name w:val="标题 111"/>
    <w:basedOn w:val="724"/>
    <w:next w:val="724"/>
    <w:uiPriority w:val="0"/>
    <w:qFormat/>
    <w:pPr>
      <w:jc w:val="center"/>
      <w:keepNext/>
      <w:outlineLvl w:val="0"/>
    </w:pPr>
    <w:rPr>
      <w:rFonts w:ascii="楷体_GB2312" w:eastAsia="楷体_GB2312"/>
      <w:position w:val="0"/>
      <w:sz w:val="28"/>
      <w:szCs w:val="28"/>
    </w:rPr>
  </w:style>
  <w:style w:type="character" w:styleId="761" w:customStyle="1">
    <w:name w:val="默认段落字体11"/>
    <w:link w:val="724"/>
    <w:uiPriority w:val="1"/>
    <w:unhideWhenUsed/>
  </w:style>
  <w:style w:type="table" w:styleId="762" w:customStyle="1">
    <w:name w:val="普通表格11"/>
    <w:uiPriority w:val="99"/>
    <w:unhideWhenUsed/>
    <w:qFormat/>
    <w:tblPr/>
  </w:style>
  <w:style w:type="paragraph" w:styleId="763" w:customStyle="1">
    <w:name w:val="目录 711"/>
    <w:basedOn w:val="724"/>
    <w:next w:val="724"/>
    <w:uiPriority w:val="39"/>
    <w:unhideWhenUsed/>
    <w:qFormat/>
    <w:pPr>
      <w:ind w:left="1701" w:right="0" w:firstLine="0"/>
      <w:spacing w:after="57"/>
    </w:pPr>
  </w:style>
  <w:style w:type="paragraph" w:styleId="764" w:customStyle="1">
    <w:name w:val="正文文本111"/>
    <w:basedOn w:val="724"/>
    <w:next w:val="724"/>
    <w:uiPriority w:val="0"/>
    <w:qFormat/>
    <w:rPr>
      <w:rFonts w:ascii="楷体_GB2312" w:hAnsi="Arial"/>
      <w:sz w:val="28"/>
    </w:rPr>
  </w:style>
  <w:style w:type="paragraph" w:styleId="765" w:customStyle="1">
    <w:name w:val="目录 511"/>
    <w:basedOn w:val="724"/>
    <w:next w:val="724"/>
    <w:uiPriority w:val="39"/>
    <w:unhideWhenUsed/>
    <w:pPr>
      <w:ind w:left="1134" w:right="0" w:firstLine="0"/>
      <w:spacing w:after="57"/>
    </w:pPr>
  </w:style>
  <w:style w:type="paragraph" w:styleId="766" w:customStyle="1">
    <w:name w:val="目录 311"/>
    <w:basedOn w:val="724"/>
    <w:next w:val="724"/>
    <w:uiPriority w:val="39"/>
    <w:unhideWhenUsed/>
    <w:qFormat/>
    <w:pPr>
      <w:ind w:left="567" w:right="0" w:firstLine="0"/>
      <w:spacing w:after="57"/>
    </w:pPr>
  </w:style>
  <w:style w:type="paragraph" w:styleId="767" w:customStyle="1">
    <w:name w:val="目录 811"/>
    <w:basedOn w:val="724"/>
    <w:next w:val="724"/>
    <w:uiPriority w:val="39"/>
    <w:unhideWhenUsed/>
    <w:pPr>
      <w:ind w:left="1984" w:right="0" w:firstLine="0"/>
      <w:spacing w:after="57"/>
    </w:pPr>
  </w:style>
  <w:style w:type="paragraph" w:styleId="768" w:customStyle="1">
    <w:name w:val="尾注文本1"/>
    <w:basedOn w:val="724"/>
    <w:link w:val="769"/>
    <w:uiPriority w:val="99"/>
    <w:unhideWhenUsed/>
    <w:pPr>
      <w:spacing w:after="0" w:line="240" w:lineRule="auto"/>
    </w:pPr>
    <w:rPr>
      <w:sz w:val="20"/>
    </w:rPr>
  </w:style>
  <w:style w:type="character" w:styleId="769" w:customStyle="1">
    <w:name w:val="Endnote Text Char"/>
    <w:link w:val="768"/>
    <w:uiPriority w:val="99"/>
    <w:rPr>
      <w:sz w:val="20"/>
    </w:rPr>
  </w:style>
  <w:style w:type="paragraph" w:styleId="770" w:customStyle="1">
    <w:name w:val="页脚11"/>
    <w:basedOn w:val="724"/>
    <w:uiPriority w:val="0"/>
    <w:qFormat/>
    <w:pPr>
      <w:jc w:val="left"/>
      <w:tabs>
        <w:tab w:val="center" w:pos="4153" w:leader="none"/>
        <w:tab w:val="right" w:pos="8306" w:leader="none"/>
      </w:tabs>
    </w:pPr>
    <w:rPr>
      <w:rFonts w:ascii="Times New Roman" w:hAnsi="Times New Roman"/>
      <w:sz w:val="18"/>
      <w:szCs w:val="18"/>
    </w:rPr>
  </w:style>
  <w:style w:type="paragraph" w:styleId="771" w:customStyle="1">
    <w:name w:val="页眉11"/>
    <w:basedOn w:val="724"/>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72" w:customStyle="1">
    <w:name w:val="目录 111"/>
    <w:basedOn w:val="724"/>
    <w:next w:val="724"/>
    <w:uiPriority w:val="39"/>
    <w:unhideWhenUsed/>
    <w:qFormat/>
    <w:pPr>
      <w:ind w:left="0" w:right="0" w:firstLine="0"/>
      <w:spacing w:after="57"/>
    </w:pPr>
  </w:style>
  <w:style w:type="paragraph" w:styleId="773" w:customStyle="1">
    <w:name w:val="目录 411"/>
    <w:basedOn w:val="724"/>
    <w:next w:val="724"/>
    <w:uiPriority w:val="39"/>
    <w:unhideWhenUsed/>
    <w:qFormat/>
    <w:pPr>
      <w:ind w:left="850" w:right="0" w:firstLine="0"/>
      <w:spacing w:after="57"/>
    </w:pPr>
  </w:style>
  <w:style w:type="paragraph" w:styleId="774" w:customStyle="1">
    <w:name w:val="副标题1"/>
    <w:basedOn w:val="724"/>
    <w:next w:val="724"/>
    <w:link w:val="775"/>
    <w:uiPriority w:val="11"/>
    <w:qFormat/>
    <w:pPr>
      <w:spacing w:before="200" w:after="200"/>
    </w:pPr>
    <w:rPr>
      <w:sz w:val="24"/>
      <w:szCs w:val="24"/>
    </w:rPr>
  </w:style>
  <w:style w:type="character" w:styleId="775" w:customStyle="1">
    <w:name w:val="Subtitle Char"/>
    <w:link w:val="774"/>
    <w:uiPriority w:val="11"/>
    <w:qFormat/>
    <w:rPr>
      <w:sz w:val="24"/>
      <w:szCs w:val="24"/>
    </w:rPr>
  </w:style>
  <w:style w:type="paragraph" w:styleId="776" w:customStyle="1">
    <w:name w:val="脚注文本1"/>
    <w:basedOn w:val="724"/>
    <w:link w:val="777"/>
    <w:uiPriority w:val="99"/>
    <w:unhideWhenUsed/>
    <w:qFormat/>
    <w:pPr>
      <w:spacing w:after="40" w:line="240" w:lineRule="auto"/>
    </w:pPr>
    <w:rPr>
      <w:sz w:val="18"/>
    </w:rPr>
  </w:style>
  <w:style w:type="character" w:styleId="777" w:customStyle="1">
    <w:name w:val="Footnote Text Char"/>
    <w:link w:val="776"/>
    <w:uiPriority w:val="99"/>
    <w:qFormat/>
    <w:rPr>
      <w:sz w:val="18"/>
    </w:rPr>
  </w:style>
  <w:style w:type="paragraph" w:styleId="778" w:customStyle="1">
    <w:name w:val="目录 611"/>
    <w:basedOn w:val="724"/>
    <w:next w:val="724"/>
    <w:uiPriority w:val="39"/>
    <w:unhideWhenUsed/>
    <w:qFormat/>
    <w:pPr>
      <w:ind w:left="1417" w:right="0" w:firstLine="0"/>
      <w:spacing w:after="57"/>
    </w:pPr>
  </w:style>
  <w:style w:type="paragraph" w:styleId="779" w:customStyle="1">
    <w:name w:val="图表目录11"/>
    <w:basedOn w:val="724"/>
    <w:next w:val="724"/>
    <w:uiPriority w:val="99"/>
    <w:unhideWhenUsed/>
    <w:qFormat/>
    <w:pPr>
      <w:spacing w:after="0" w:afterAutospacing="0"/>
    </w:pPr>
  </w:style>
  <w:style w:type="paragraph" w:styleId="780" w:customStyle="1">
    <w:name w:val="目录 211"/>
    <w:basedOn w:val="724"/>
    <w:next w:val="724"/>
    <w:uiPriority w:val="39"/>
    <w:unhideWhenUsed/>
    <w:qFormat/>
    <w:pPr>
      <w:ind w:left="283" w:right="0" w:firstLine="0"/>
      <w:spacing w:after="57"/>
    </w:pPr>
  </w:style>
  <w:style w:type="paragraph" w:styleId="781" w:customStyle="1">
    <w:name w:val="目录 911"/>
    <w:basedOn w:val="724"/>
    <w:next w:val="724"/>
    <w:uiPriority w:val="39"/>
    <w:unhideWhenUsed/>
    <w:qFormat/>
    <w:pPr>
      <w:ind w:left="2268" w:right="0" w:firstLine="0"/>
      <w:spacing w:after="57"/>
    </w:pPr>
  </w:style>
  <w:style w:type="paragraph" w:styleId="782" w:customStyle="1">
    <w:name w:val="普通(网站)11"/>
    <w:basedOn w:val="724"/>
    <w:uiPriority w:val="0"/>
    <w:qFormat/>
    <w:pPr>
      <w:spacing w:before="100" w:beforeAutospacing="1" w:after="100" w:afterAutospacing="1"/>
    </w:pPr>
    <w:rPr>
      <w:rFonts w:hAnsi="宋体" w:cs="宋体"/>
    </w:rPr>
  </w:style>
  <w:style w:type="paragraph" w:styleId="783" w:customStyle="1">
    <w:name w:val="标题11"/>
    <w:basedOn w:val="724"/>
    <w:next w:val="724"/>
    <w:link w:val="784"/>
    <w:uiPriority w:val="10"/>
    <w:qFormat/>
    <w:pPr>
      <w:contextualSpacing/>
      <w:spacing w:before="300" w:after="200"/>
    </w:pPr>
    <w:rPr>
      <w:sz w:val="48"/>
      <w:szCs w:val="48"/>
    </w:rPr>
  </w:style>
  <w:style w:type="character" w:styleId="784" w:customStyle="1">
    <w:name w:val="Title Char"/>
    <w:link w:val="783"/>
    <w:uiPriority w:val="10"/>
    <w:qFormat/>
    <w:rPr>
      <w:sz w:val="48"/>
      <w:szCs w:val="48"/>
    </w:rPr>
  </w:style>
  <w:style w:type="table" w:styleId="785" w:customStyle="1">
    <w:name w:val="网格型11"/>
    <w:uiPriority w:val="59"/>
    <w:qFormat/>
    <w:pPr>
      <w:spacing w:after="0" w:line="240" w:lineRule="auto"/>
    </w:pPr>
    <w:tblPr/>
  </w:style>
  <w:style w:type="character" w:styleId="786" w:customStyle="1">
    <w:name w:val="尾注引用1"/>
    <w:link w:val="724"/>
    <w:uiPriority w:val="99"/>
    <w:unhideWhenUsed/>
    <w:qFormat/>
    <w:rPr>
      <w:vertAlign w:val="superscript"/>
    </w:rPr>
  </w:style>
  <w:style w:type="character" w:styleId="787" w:customStyle="1">
    <w:name w:val="强调1"/>
    <w:link w:val="724"/>
    <w:uiPriority w:val="0"/>
    <w:qFormat/>
    <w:rPr>
      <w:i/>
    </w:rPr>
  </w:style>
  <w:style w:type="character" w:styleId="788" w:customStyle="1">
    <w:name w:val="超链接11"/>
    <w:link w:val="724"/>
    <w:uiPriority w:val="99"/>
    <w:unhideWhenUsed/>
    <w:qFormat/>
    <w:rPr>
      <w:color w:val="0000ff"/>
      <w:u w:val="single"/>
    </w:rPr>
  </w:style>
  <w:style w:type="character" w:styleId="789" w:customStyle="1">
    <w:name w:val="脚注引用1"/>
    <w:link w:val="724"/>
    <w:uiPriority w:val="99"/>
    <w:unhideWhenUsed/>
    <w:qFormat/>
    <w:rPr>
      <w:vertAlign w:val="superscript"/>
    </w:rPr>
  </w:style>
  <w:style w:type="character" w:styleId="790" w:customStyle="1">
    <w:name w:val="列出段落 Char"/>
    <w:link w:val="791"/>
    <w:uiPriority w:val="0"/>
    <w:qFormat/>
    <w:rPr>
      <w:rFonts w:ascii="Calibri" w:hAnsi="Calibri" w:eastAsia="宋体" w:cs="Times New Roman"/>
      <w:sz w:val="24"/>
      <w:szCs w:val="24"/>
      <w:lang w:eastAsia="en-US" w:bidi="en-US"/>
    </w:rPr>
  </w:style>
  <w:style w:type="paragraph" w:styleId="791" w:customStyle="1">
    <w:name w:val="列出段落1"/>
    <w:basedOn w:val="724"/>
    <w:link w:val="790"/>
    <w:uiPriority w:val="0"/>
    <w:qFormat/>
    <w:pPr>
      <w:contextualSpacing/>
      <w:ind w:left="720"/>
      <w:jc w:val="left"/>
      <w:widowControl/>
    </w:pPr>
    <w:rPr>
      <w:rFonts w:ascii="Times New Roman" w:hAnsi="Times New Roman" w:eastAsia="宋体" w:cs="Times New Roman"/>
      <w:sz w:val="24"/>
      <w:szCs w:val="24"/>
      <w:lang w:eastAsia="en-US" w:bidi="en-US"/>
    </w:rPr>
  </w:style>
  <w:style w:type="character" w:styleId="792" w:customStyle="1">
    <w:name w:val="二级目录 Char"/>
    <w:link w:val="793"/>
    <w:uiPriority w:val="0"/>
    <w:qFormat/>
    <w:rPr>
      <w:rFonts w:ascii="Times New Roman" w:hAnsi="Times New Roman" w:eastAsia="宋体" w:cs="Times New Roman"/>
      <w:b/>
      <w:sz w:val="30"/>
      <w:szCs w:val="28"/>
      <w:lang w:val="en-US" w:eastAsia="zh-CN" w:bidi="ar-SA"/>
    </w:rPr>
  </w:style>
  <w:style w:type="paragraph" w:styleId="793" w:customStyle="1">
    <w:name w:val="二级目录"/>
    <w:next w:val="724"/>
    <w:link w:val="792"/>
    <w:uiPriority w:val="0"/>
    <w:qFormat/>
    <w:pPr>
      <w:numPr>
        <w:ilvl w:val="0"/>
        <w:numId w:val="1"/>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794" w:customStyle="1">
    <w:name w:val="font5 Char"/>
    <w:link w:val="724"/>
    <w:uiPriority w:val="0"/>
    <w:qFormat/>
    <w:rPr>
      <w:rFonts w:ascii="宋体" w:hAnsi="宋体" w:eastAsia="宋体" w:cs="Times New Roman"/>
      <w:sz w:val="28"/>
      <w:szCs w:val="28"/>
      <w:lang w:val="en-US" w:eastAsia="zh-CN" w:bidi="ar-SA"/>
    </w:rPr>
  </w:style>
  <w:style w:type="character" w:styleId="795" w:customStyle="1">
    <w:name w:val="批注引用1"/>
    <w:link w:val="724"/>
    <w:uiPriority w:val="0"/>
    <w:qFormat/>
    <w:rPr>
      <w:rFonts w:ascii="Times New Roman" w:hAnsi="Times New Roman" w:eastAsia="宋体" w:cs="Times New Roman"/>
      <w:sz w:val="21"/>
      <w:szCs w:val="21"/>
    </w:rPr>
  </w:style>
  <w:style w:type="character" w:styleId="796" w:customStyle="1">
    <w:name w:val="超链接1"/>
    <w:link w:val="724"/>
    <w:uiPriority w:val="0"/>
    <w:qFormat/>
    <w:rPr>
      <w:rFonts w:ascii="Times New Roman" w:hAnsi="Times New Roman" w:eastAsia="宋体" w:cs="Times New Roman"/>
      <w:color w:val="0000ff"/>
      <w:u w:val="single"/>
    </w:rPr>
  </w:style>
  <w:style w:type="character" w:styleId="797" w:customStyle="1">
    <w:name w:val="要点1"/>
    <w:link w:val="724"/>
    <w:uiPriority w:val="0"/>
    <w:qFormat/>
    <w:rPr>
      <w:rFonts w:ascii="Times New Roman" w:hAnsi="Times New Roman" w:eastAsia="宋体" w:cs="Times New Roman"/>
      <w:b/>
      <w:bCs/>
    </w:rPr>
  </w:style>
  <w:style w:type="character" w:styleId="798" w:customStyle="1">
    <w:name w:val="正文首行缩进 2 Char"/>
    <w:link w:val="799"/>
    <w:uiPriority w:val="0"/>
    <w:qFormat/>
    <w:rPr>
      <w:rFonts w:ascii="宋体" w:hAnsi="宋体" w:eastAsia="宋体" w:cs="Times New Roman"/>
      <w:szCs w:val="20"/>
    </w:rPr>
  </w:style>
  <w:style w:type="paragraph" w:styleId="799" w:customStyle="1">
    <w:name w:val="正文首行缩进 21"/>
    <w:basedOn w:val="800"/>
    <w:link w:val="798"/>
    <w:uiPriority w:val="0"/>
    <w:qFormat/>
    <w:pPr>
      <w:ind w:left="0" w:firstLine="420"/>
      <w:spacing w:after="0" w:line="360" w:lineRule="auto"/>
    </w:pPr>
    <w:rPr>
      <w:rFonts w:ascii="宋体" w:hAnsi="宋体" w:eastAsia="宋体" w:cs="Times New Roman"/>
      <w:sz w:val="20"/>
      <w:szCs w:val="20"/>
    </w:rPr>
  </w:style>
  <w:style w:type="paragraph" w:styleId="800" w:customStyle="1">
    <w:name w:val="正文文本缩进1"/>
    <w:basedOn w:val="724"/>
    <w:link w:val="801"/>
    <w:uiPriority w:val="0"/>
    <w:qFormat/>
    <w:pPr>
      <w:ind w:left="420"/>
      <w:spacing w:after="120"/>
    </w:pPr>
    <w:rPr>
      <w:rFonts w:ascii="Times New Roman" w:hAnsi="Times New Roman" w:eastAsia="宋体" w:cs="Times New Roman"/>
    </w:rPr>
  </w:style>
  <w:style w:type="character" w:styleId="801" w:customStyle="1">
    <w:name w:val="正文文本缩进 Char"/>
    <w:basedOn w:val="802"/>
    <w:link w:val="800"/>
    <w:uiPriority w:val="0"/>
    <w:qFormat/>
    <w:rPr>
      <w:rFonts w:ascii="Times New Roman" w:hAnsi="Times New Roman" w:eastAsia="宋体" w:cs="Times New Roman"/>
    </w:rPr>
  </w:style>
  <w:style w:type="character" w:styleId="802" w:customStyle="1">
    <w:name w:val="默认段落字体1"/>
    <w:link w:val="724"/>
    <w:uiPriority w:val="0"/>
    <w:qFormat/>
    <w:rPr>
      <w:rFonts w:ascii="Times New Roman" w:hAnsi="Times New Roman" w:eastAsia="宋体" w:cs="Times New Roman"/>
    </w:rPr>
  </w:style>
  <w:style w:type="paragraph" w:styleId="803" w:customStyle="1">
    <w:name w:val="寄信人地址1"/>
    <w:basedOn w:val="724"/>
    <w:uiPriority w:val="0"/>
    <w:qFormat/>
    <w:rPr>
      <w:rFonts w:ascii="Arial" w:hAnsi="Arial" w:eastAsia="宋体" w:cs="Times New Roman"/>
    </w:rPr>
  </w:style>
  <w:style w:type="character" w:styleId="804" w:customStyle="1">
    <w:name w:val="正文首行缩进 Char"/>
    <w:link w:val="805"/>
    <w:uiPriority w:val="0"/>
    <w:qFormat/>
    <w:rPr>
      <w:rFonts w:ascii="仿宋_GB2312" w:hAnsi="Times New Roman" w:eastAsia="仿宋_GB2312" w:cs="Times New Roman"/>
      <w:sz w:val="30"/>
      <w:szCs w:val="30"/>
    </w:rPr>
  </w:style>
  <w:style w:type="paragraph" w:styleId="805" w:customStyle="1">
    <w:name w:val="正文首行缩进1"/>
    <w:basedOn w:val="724"/>
    <w:link w:val="804"/>
    <w:uiPriority w:val="0"/>
    <w:qFormat/>
    <w:pPr>
      <w:ind w:firstLine="200"/>
      <w:spacing w:line="360" w:lineRule="auto"/>
    </w:pPr>
    <w:rPr>
      <w:rFonts w:ascii="仿宋_GB2312" w:hAnsi="Times New Roman" w:eastAsia="仿宋_GB2312" w:cs="Times New Roman"/>
      <w:sz w:val="30"/>
      <w:szCs w:val="30"/>
    </w:rPr>
  </w:style>
  <w:style w:type="character" w:styleId="806" w:customStyle="1">
    <w:name w:val="正文文本缩进 3 Char"/>
    <w:link w:val="807"/>
    <w:uiPriority w:val="0"/>
    <w:qFormat/>
    <w:rPr>
      <w:rFonts w:ascii="Arial" w:hAnsi="Arial" w:eastAsia="仿宋_GB2312" w:cs="Arial"/>
      <w:color w:val="ffff00"/>
      <w:sz w:val="32"/>
      <w:szCs w:val="32"/>
    </w:rPr>
  </w:style>
  <w:style w:type="paragraph" w:styleId="807" w:customStyle="1">
    <w:name w:val="正文文本缩进 31"/>
    <w:basedOn w:val="724"/>
    <w:link w:val="806"/>
    <w:uiPriority w:val="0"/>
    <w:qFormat/>
    <w:pPr>
      <w:ind w:left="645" w:firstLine="645"/>
    </w:pPr>
    <w:rPr>
      <w:rFonts w:ascii="Arial" w:hAnsi="Arial" w:eastAsia="仿宋_GB2312" w:cs="Times New Roman"/>
      <w:color w:val="ffff00"/>
      <w:sz w:val="32"/>
      <w:szCs w:val="32"/>
    </w:rPr>
  </w:style>
  <w:style w:type="character" w:styleId="808" w:customStyle="1">
    <w:name w:val="页眉 Char"/>
    <w:link w:val="809"/>
    <w:uiPriority w:val="0"/>
    <w:qFormat/>
    <w:rPr>
      <w:rFonts w:ascii="Times New Roman" w:hAnsi="Times New Roman" w:eastAsia="宋体" w:cs="Times New Roman"/>
      <w:sz w:val="18"/>
      <w:szCs w:val="18"/>
    </w:rPr>
  </w:style>
  <w:style w:type="paragraph" w:styleId="809" w:customStyle="1">
    <w:name w:val="页眉1"/>
    <w:basedOn w:val="724"/>
    <w:link w:val="80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10" w:customStyle="1">
    <w:name w:val="页脚 Char"/>
    <w:link w:val="811"/>
    <w:uiPriority w:val="0"/>
    <w:qFormat/>
    <w:rPr>
      <w:rFonts w:ascii="Times New Roman" w:hAnsi="Times New Roman" w:eastAsia="宋体" w:cs="Times New Roman"/>
      <w:sz w:val="18"/>
      <w:szCs w:val="18"/>
    </w:rPr>
  </w:style>
  <w:style w:type="paragraph" w:styleId="811" w:customStyle="1">
    <w:name w:val="页脚1"/>
    <w:basedOn w:val="724"/>
    <w:link w:val="810"/>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12" w:customStyle="1">
    <w:name w:val="正文文本缩进 2 Char"/>
    <w:link w:val="813"/>
    <w:uiPriority w:val="0"/>
    <w:qFormat/>
    <w:rPr>
      <w:rFonts w:ascii="Arial" w:hAnsi="Arial" w:eastAsia="仿宋_GB2312" w:cs="Arial"/>
      <w:sz w:val="32"/>
      <w:szCs w:val="32"/>
    </w:rPr>
  </w:style>
  <w:style w:type="paragraph" w:styleId="813" w:customStyle="1">
    <w:name w:val="正文文本缩进 21"/>
    <w:basedOn w:val="724"/>
    <w:link w:val="812"/>
    <w:uiPriority w:val="0"/>
    <w:qFormat/>
    <w:pPr>
      <w:ind w:left="630" w:firstLine="645"/>
    </w:pPr>
    <w:rPr>
      <w:rFonts w:ascii="Arial" w:hAnsi="Arial" w:eastAsia="仿宋_GB2312" w:cs="Times New Roman"/>
      <w:sz w:val="32"/>
      <w:szCs w:val="32"/>
    </w:rPr>
  </w:style>
  <w:style w:type="character" w:styleId="814" w:customStyle="1">
    <w:name w:val="日期 Char"/>
    <w:link w:val="815"/>
    <w:uiPriority w:val="0"/>
    <w:qFormat/>
    <w:rPr>
      <w:rFonts w:ascii="Times New Roman" w:hAnsi="Times New Roman" w:eastAsia="宋体" w:cs="Times New Roman"/>
      <w:sz w:val="24"/>
      <w:szCs w:val="24"/>
    </w:rPr>
  </w:style>
  <w:style w:type="paragraph" w:styleId="815" w:customStyle="1">
    <w:name w:val="日期1"/>
    <w:basedOn w:val="724"/>
    <w:next w:val="724"/>
    <w:link w:val="814"/>
    <w:uiPriority w:val="0"/>
    <w:qFormat/>
    <w:rPr>
      <w:rFonts w:ascii="Times New Roman" w:hAnsi="Times New Roman" w:eastAsia="宋体" w:cs="Times New Roman"/>
      <w:sz w:val="24"/>
      <w:szCs w:val="24"/>
    </w:rPr>
  </w:style>
  <w:style w:type="character" w:styleId="816" w:customStyle="1">
    <w:name w:val="纯文本 Char"/>
    <w:link w:val="817"/>
    <w:uiPriority w:val="0"/>
    <w:qFormat/>
    <w:rPr>
      <w:rFonts w:ascii="宋体" w:hAnsi="Courier New" w:eastAsia="宋体" w:cs="Courier New"/>
      <w:szCs w:val="21"/>
    </w:rPr>
  </w:style>
  <w:style w:type="paragraph" w:styleId="817" w:customStyle="1">
    <w:name w:val="纯文本1"/>
    <w:basedOn w:val="724"/>
    <w:link w:val="816"/>
    <w:uiPriority w:val="0"/>
    <w:qFormat/>
    <w:rPr>
      <w:rFonts w:ascii="宋体" w:hAnsi="Courier New" w:eastAsia="宋体" w:cs="Times New Roman"/>
      <w:sz w:val="20"/>
      <w:szCs w:val="21"/>
    </w:rPr>
  </w:style>
  <w:style w:type="character" w:styleId="818" w:customStyle="1">
    <w:name w:val="正文文本 3 Char"/>
    <w:link w:val="819"/>
    <w:uiPriority w:val="0"/>
    <w:qFormat/>
    <w:rPr>
      <w:rFonts w:ascii="仿宋_GB2312" w:hAnsi="Arial" w:eastAsia="仿宋_GB2312" w:cs="Times New Roman"/>
      <w:sz w:val="32"/>
      <w:szCs w:val="32"/>
    </w:rPr>
  </w:style>
  <w:style w:type="paragraph" w:styleId="819" w:customStyle="1">
    <w:name w:val="正文文本 31"/>
    <w:basedOn w:val="724"/>
    <w:link w:val="818"/>
    <w:uiPriority w:val="0"/>
    <w:qFormat/>
    <w:rPr>
      <w:rFonts w:ascii="仿宋_GB2312" w:hAnsi="Arial" w:eastAsia="仿宋_GB2312" w:cs="Times New Roman"/>
      <w:sz w:val="32"/>
      <w:szCs w:val="32"/>
    </w:rPr>
  </w:style>
  <w:style w:type="character" w:styleId="820" w:customStyle="1">
    <w:name w:val="批注文字 Char"/>
    <w:basedOn w:val="802"/>
    <w:link w:val="821"/>
    <w:uiPriority w:val="0"/>
    <w:qFormat/>
    <w:rPr>
      <w:rFonts w:ascii="Times New Roman" w:hAnsi="Times New Roman" w:eastAsia="宋体" w:cs="Times New Roman"/>
    </w:rPr>
  </w:style>
  <w:style w:type="paragraph" w:styleId="821" w:customStyle="1">
    <w:name w:val="批注文字1"/>
    <w:basedOn w:val="724"/>
    <w:link w:val="820"/>
    <w:uiPriority w:val="0"/>
    <w:qFormat/>
    <w:pPr>
      <w:jc w:val="left"/>
    </w:pPr>
    <w:rPr>
      <w:rFonts w:ascii="Times New Roman" w:hAnsi="Times New Roman" w:eastAsia="宋体" w:cs="Times New Roman"/>
    </w:rPr>
  </w:style>
  <w:style w:type="character" w:styleId="822" w:customStyle="1">
    <w:name w:val="文档结构图 Char"/>
    <w:link w:val="823"/>
    <w:uiPriority w:val="0"/>
    <w:qFormat/>
    <w:rPr>
      <w:rFonts w:ascii="Times New Roman" w:hAnsi="Times New Roman" w:eastAsia="宋体" w:cs="Times New Roman"/>
      <w:szCs w:val="21"/>
      <w:shd w:val="clear" w:color="auto" w:fill="000080"/>
    </w:rPr>
  </w:style>
  <w:style w:type="paragraph" w:styleId="823" w:customStyle="1">
    <w:name w:val="文档结构图1"/>
    <w:basedOn w:val="724"/>
    <w:link w:val="822"/>
    <w:uiPriority w:val="0"/>
    <w:qFormat/>
    <w:pPr>
      <w:shd w:val="clear" w:color="auto" w:fill="000080"/>
    </w:pPr>
    <w:rPr>
      <w:rFonts w:ascii="Times New Roman" w:hAnsi="Times New Roman" w:eastAsia="宋体" w:cs="Times New Roman"/>
      <w:sz w:val="20"/>
      <w:szCs w:val="21"/>
    </w:rPr>
  </w:style>
  <w:style w:type="character" w:styleId="824" w:customStyle="1">
    <w:name w:val="标题 9 Char"/>
    <w:link w:val="825"/>
    <w:uiPriority w:val="0"/>
    <w:qFormat/>
    <w:rPr>
      <w:rFonts w:ascii="Arial" w:hAnsi="Arial" w:eastAsia="黑体" w:cs="Times New Roman"/>
      <w:szCs w:val="21"/>
    </w:rPr>
  </w:style>
  <w:style w:type="paragraph" w:styleId="825" w:customStyle="1">
    <w:name w:val="标题 91"/>
    <w:basedOn w:val="724"/>
    <w:next w:val="724"/>
    <w:link w:val="824"/>
    <w:uiPriority w:val="0"/>
    <w:qFormat/>
    <w:pPr>
      <w:numPr>
        <w:ilvl w:val="8"/>
        <w:numId w:val="2"/>
      </w:numPr>
      <w:keepLines/>
      <w:keepNext/>
      <w:spacing w:before="240" w:after="64" w:line="320" w:lineRule="auto"/>
      <w:outlineLvl w:val="8"/>
    </w:pPr>
    <w:rPr>
      <w:rFonts w:ascii="Arial" w:hAnsi="Arial" w:eastAsia="黑体" w:cs="Times New Roman"/>
      <w:sz w:val="20"/>
      <w:szCs w:val="21"/>
    </w:rPr>
  </w:style>
  <w:style w:type="character" w:styleId="826" w:customStyle="1">
    <w:name w:val="标题 8 Char"/>
    <w:link w:val="827"/>
    <w:uiPriority w:val="0"/>
    <w:qFormat/>
    <w:rPr>
      <w:rFonts w:ascii="Arial" w:hAnsi="Arial" w:eastAsia="黑体" w:cs="Times New Roman"/>
      <w:sz w:val="24"/>
      <w:szCs w:val="24"/>
    </w:rPr>
  </w:style>
  <w:style w:type="paragraph" w:styleId="827" w:customStyle="1">
    <w:name w:val="标题 81"/>
    <w:basedOn w:val="724"/>
    <w:next w:val="724"/>
    <w:link w:val="826"/>
    <w:uiPriority w:val="0"/>
    <w:qFormat/>
    <w:pPr>
      <w:numPr>
        <w:ilvl w:val="7"/>
        <w:numId w:val="2"/>
      </w:numPr>
      <w:keepLines/>
      <w:keepNext/>
      <w:spacing w:before="240" w:after="64" w:line="320" w:lineRule="auto"/>
      <w:outlineLvl w:val="7"/>
    </w:pPr>
    <w:rPr>
      <w:rFonts w:ascii="Arial" w:hAnsi="Arial" w:eastAsia="黑体" w:cs="Times New Roman"/>
      <w:sz w:val="24"/>
      <w:szCs w:val="24"/>
    </w:rPr>
  </w:style>
  <w:style w:type="character" w:styleId="828" w:customStyle="1">
    <w:name w:val="标题 7 Char"/>
    <w:link w:val="829"/>
    <w:uiPriority w:val="0"/>
    <w:qFormat/>
    <w:rPr>
      <w:rFonts w:ascii="Times New Roman" w:hAnsi="Times New Roman" w:eastAsia="宋体" w:cs="Times New Roman"/>
      <w:b/>
      <w:bCs/>
      <w:sz w:val="24"/>
      <w:szCs w:val="24"/>
    </w:rPr>
  </w:style>
  <w:style w:type="paragraph" w:styleId="829" w:customStyle="1">
    <w:name w:val="标题 71"/>
    <w:basedOn w:val="724"/>
    <w:next w:val="724"/>
    <w:link w:val="828"/>
    <w:uiPriority w:val="0"/>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character" w:styleId="830" w:customStyle="1">
    <w:name w:val="标题 6 Char"/>
    <w:link w:val="831"/>
    <w:uiPriority w:val="0"/>
    <w:qFormat/>
    <w:rPr>
      <w:rFonts w:ascii="Arial" w:hAnsi="Arial" w:eastAsia="黑体" w:cs="Times New Roman"/>
      <w:b/>
      <w:bCs/>
      <w:sz w:val="24"/>
      <w:szCs w:val="24"/>
    </w:rPr>
  </w:style>
  <w:style w:type="paragraph" w:styleId="831" w:customStyle="1">
    <w:name w:val="标题 61"/>
    <w:basedOn w:val="724"/>
    <w:next w:val="724"/>
    <w:link w:val="830"/>
    <w:uiPriority w:val="0"/>
    <w:qFormat/>
    <w:pPr>
      <w:numPr>
        <w:ilvl w:val="5"/>
        <w:numId w:val="2"/>
      </w:numPr>
      <w:keepLines/>
      <w:keepNext/>
      <w:spacing w:before="240" w:after="64" w:line="320" w:lineRule="auto"/>
      <w:outlineLvl w:val="5"/>
    </w:pPr>
    <w:rPr>
      <w:rFonts w:ascii="Arial" w:hAnsi="Arial" w:eastAsia="黑体" w:cs="Times New Roman"/>
      <w:b/>
      <w:bCs/>
      <w:sz w:val="24"/>
      <w:szCs w:val="24"/>
    </w:rPr>
  </w:style>
  <w:style w:type="character" w:styleId="832" w:customStyle="1">
    <w:name w:val="标题 5 Char"/>
    <w:link w:val="833"/>
    <w:uiPriority w:val="0"/>
    <w:qFormat/>
    <w:rPr>
      <w:rFonts w:ascii="宋体" w:hAnsi="Times New Roman" w:eastAsia="宋体" w:cs="Times New Roman"/>
      <w:color w:val="000000"/>
      <w:sz w:val="28"/>
      <w:szCs w:val="28"/>
    </w:rPr>
  </w:style>
  <w:style w:type="paragraph" w:styleId="833" w:customStyle="1">
    <w:name w:val="标题 51"/>
    <w:basedOn w:val="724"/>
    <w:next w:val="834"/>
    <w:link w:val="832"/>
    <w:uiPriority w:val="0"/>
    <w:qFormat/>
    <w:pPr>
      <w:keepNext/>
      <w:outlineLvl w:val="4"/>
    </w:pPr>
    <w:rPr>
      <w:rFonts w:ascii="宋体" w:hAnsi="Times New Roman" w:eastAsia="宋体" w:cs="Times New Roman"/>
      <w:color w:val="000000"/>
      <w:sz w:val="28"/>
      <w:szCs w:val="28"/>
    </w:rPr>
  </w:style>
  <w:style w:type="paragraph" w:styleId="834" w:customStyle="1">
    <w:name w:val="正文缩进1"/>
    <w:basedOn w:val="724"/>
    <w:link w:val="835"/>
    <w:uiPriority w:val="0"/>
    <w:qFormat/>
    <w:pPr>
      <w:ind w:firstLine="420"/>
    </w:pPr>
    <w:rPr>
      <w:rFonts w:ascii="Times New Roman" w:hAnsi="Times New Roman" w:eastAsia="宋体" w:cs="Times New Roman"/>
      <w:sz w:val="20"/>
      <w:szCs w:val="21"/>
    </w:rPr>
  </w:style>
  <w:style w:type="character" w:styleId="835" w:customStyle="1">
    <w:name w:val="正文缩进 Char"/>
    <w:link w:val="834"/>
    <w:uiPriority w:val="0"/>
    <w:qFormat/>
    <w:rPr>
      <w:rFonts w:ascii="Times New Roman" w:hAnsi="Times New Roman" w:eastAsia="宋体" w:cs="Times New Roman"/>
      <w:szCs w:val="21"/>
    </w:rPr>
  </w:style>
  <w:style w:type="character" w:styleId="836" w:customStyle="1">
    <w:name w:val="标题 4 Char"/>
    <w:link w:val="837"/>
    <w:uiPriority w:val="0"/>
    <w:qFormat/>
    <w:rPr>
      <w:rFonts w:ascii="Arial" w:hAnsi="Arial" w:eastAsia="黑体" w:cs="Arial"/>
      <w:b/>
      <w:bCs/>
      <w:sz w:val="28"/>
      <w:szCs w:val="28"/>
    </w:rPr>
  </w:style>
  <w:style w:type="paragraph" w:styleId="837" w:customStyle="1">
    <w:name w:val="标题 41"/>
    <w:basedOn w:val="724"/>
    <w:next w:val="834"/>
    <w:link w:val="836"/>
    <w:uiPriority w:val="0"/>
    <w:qFormat/>
    <w:pPr>
      <w:keepLines/>
      <w:keepNext/>
      <w:spacing w:before="280" w:after="290" w:line="376" w:lineRule="auto"/>
      <w:outlineLvl w:val="3"/>
    </w:pPr>
    <w:rPr>
      <w:rFonts w:ascii="Arial" w:hAnsi="Arial" w:eastAsia="黑体" w:cs="Times New Roman"/>
      <w:b/>
      <w:bCs/>
      <w:sz w:val="28"/>
      <w:szCs w:val="28"/>
    </w:rPr>
  </w:style>
  <w:style w:type="character" w:styleId="838" w:customStyle="1">
    <w:name w:val="标题 1 Char"/>
    <w:link w:val="839"/>
    <w:uiPriority w:val="0"/>
    <w:qFormat/>
    <w:rPr>
      <w:rFonts w:ascii="楷体_GB2312" w:hAnsi="Times New Roman" w:eastAsia="楷体_GB2312" w:cs="Times New Roman"/>
      <w:sz w:val="28"/>
      <w:szCs w:val="28"/>
    </w:rPr>
  </w:style>
  <w:style w:type="paragraph" w:styleId="839" w:customStyle="1">
    <w:name w:val="标题 11"/>
    <w:basedOn w:val="724"/>
    <w:next w:val="724"/>
    <w:link w:val="838"/>
    <w:uiPriority w:val="0"/>
    <w:qFormat/>
    <w:pPr>
      <w:jc w:val="center"/>
      <w:keepNext/>
      <w:outlineLvl w:val="0"/>
    </w:pPr>
    <w:rPr>
      <w:rFonts w:ascii="楷体_GB2312" w:hAnsi="Times New Roman" w:eastAsia="楷体_GB2312" w:cs="Times New Roman"/>
      <w:sz w:val="28"/>
      <w:szCs w:val="28"/>
    </w:rPr>
  </w:style>
  <w:style w:type="character" w:styleId="840" w:customStyle="1">
    <w:name w:val="Footer Char"/>
    <w:link w:val="724"/>
    <w:uiPriority w:val="99"/>
    <w:qFormat/>
  </w:style>
  <w:style w:type="character" w:styleId="841" w:customStyle="1">
    <w:name w:val="Caption Char"/>
    <w:link w:val="842"/>
    <w:uiPriority w:val="99"/>
    <w:qFormat/>
  </w:style>
  <w:style w:type="paragraph" w:styleId="842" w:customStyle="1">
    <w:name w:val="Footer1"/>
    <w:basedOn w:val="724"/>
    <w:link w:val="841"/>
    <w:uiPriority w:val="99"/>
    <w:unhideWhenUsed/>
    <w:qFormat/>
    <w:pPr>
      <w:spacing w:after="0" w:line="240" w:lineRule="auto"/>
      <w:tabs>
        <w:tab w:val="center" w:pos="7143" w:leader="none"/>
        <w:tab w:val="right" w:pos="14287" w:leader="none"/>
      </w:tabs>
    </w:pPr>
  </w:style>
  <w:style w:type="character" w:styleId="843" w:customStyle="1">
    <w:name w:val="Quote Char"/>
    <w:link w:val="844"/>
    <w:uiPriority w:val="29"/>
    <w:qFormat/>
    <w:rPr>
      <w:i/>
    </w:rPr>
  </w:style>
  <w:style w:type="paragraph" w:styleId="844">
    <w:name w:val="Quote"/>
    <w:basedOn w:val="724"/>
    <w:next w:val="724"/>
    <w:link w:val="843"/>
    <w:uiPriority w:val="29"/>
    <w:qFormat/>
    <w:pPr>
      <w:ind w:left="720" w:right="720"/>
    </w:pPr>
    <w:rPr>
      <w:i/>
    </w:rPr>
  </w:style>
  <w:style w:type="character" w:styleId="845" w:customStyle="1">
    <w:name w:val="Heading 8 Char"/>
    <w:link w:val="732"/>
    <w:uiPriority w:val="9"/>
    <w:qFormat/>
    <w:rPr>
      <w:rFonts w:ascii="Arial" w:hAnsi="Arial" w:eastAsia="Arial" w:cs="Arial"/>
      <w:i/>
      <w:iCs/>
      <w:sz w:val="22"/>
      <w:szCs w:val="22"/>
    </w:rPr>
  </w:style>
  <w:style w:type="character" w:styleId="846" w:customStyle="1">
    <w:name w:val="Heading 4 Char"/>
    <w:link w:val="728"/>
    <w:uiPriority w:val="9"/>
    <w:qFormat/>
    <w:rPr>
      <w:rFonts w:ascii="Arial" w:hAnsi="Arial" w:eastAsia="Arial" w:cs="Arial"/>
      <w:b/>
      <w:bCs/>
      <w:sz w:val="26"/>
      <w:szCs w:val="26"/>
    </w:rPr>
  </w:style>
  <w:style w:type="character" w:styleId="847" w:customStyle="1">
    <w:name w:val="Heading 2 Char"/>
    <w:link w:val="726"/>
    <w:uiPriority w:val="9"/>
    <w:qFormat/>
    <w:rPr>
      <w:rFonts w:ascii="Arial" w:hAnsi="Arial" w:eastAsia="Arial" w:cs="Arial"/>
      <w:sz w:val="34"/>
    </w:rPr>
  </w:style>
  <w:style w:type="character" w:styleId="848" w:customStyle="1">
    <w:name w:val="Heading 7 Char"/>
    <w:link w:val="731"/>
    <w:uiPriority w:val="9"/>
    <w:qFormat/>
    <w:rPr>
      <w:rFonts w:ascii="Arial" w:hAnsi="Arial" w:eastAsia="Arial" w:cs="Arial"/>
      <w:b/>
      <w:bCs/>
      <w:i/>
      <w:iCs/>
      <w:sz w:val="22"/>
      <w:szCs w:val="22"/>
    </w:rPr>
  </w:style>
  <w:style w:type="character" w:styleId="849" w:customStyle="1">
    <w:name w:val="正文文本 Char"/>
    <w:link w:val="850"/>
    <w:uiPriority w:val="0"/>
    <w:qFormat/>
    <w:rPr>
      <w:rFonts w:ascii="楷体_GB2312" w:hAnsi="Arial" w:eastAsia="楷体_GB2312" w:cs="Times New Roman"/>
      <w:sz w:val="28"/>
      <w:szCs w:val="28"/>
    </w:rPr>
  </w:style>
  <w:style w:type="paragraph" w:styleId="850" w:customStyle="1">
    <w:name w:val="正文文本1"/>
    <w:basedOn w:val="724"/>
    <w:next w:val="724"/>
    <w:link w:val="849"/>
    <w:uiPriority w:val="0"/>
    <w:rPr>
      <w:rFonts w:ascii="楷体_GB2312" w:hAnsi="Arial" w:eastAsia="楷体_GB2312" w:cs="Times New Roman"/>
      <w:sz w:val="28"/>
      <w:szCs w:val="28"/>
    </w:rPr>
  </w:style>
  <w:style w:type="character" w:styleId="851" w:customStyle="1">
    <w:name w:val="Header Char"/>
    <w:link w:val="852"/>
    <w:uiPriority w:val="99"/>
    <w:qFormat/>
  </w:style>
  <w:style w:type="paragraph" w:styleId="852" w:customStyle="1">
    <w:name w:val="Header1"/>
    <w:basedOn w:val="724"/>
    <w:link w:val="851"/>
    <w:uiPriority w:val="99"/>
    <w:unhideWhenUsed/>
    <w:qFormat/>
    <w:pPr>
      <w:spacing w:after="0" w:line="240" w:lineRule="auto"/>
      <w:tabs>
        <w:tab w:val="center" w:pos="7143" w:leader="none"/>
        <w:tab w:val="right" w:pos="14287" w:leader="none"/>
      </w:tabs>
    </w:pPr>
  </w:style>
  <w:style w:type="character" w:styleId="853" w:customStyle="1">
    <w:name w:val="Heading 3 Char"/>
    <w:link w:val="727"/>
    <w:uiPriority w:val="9"/>
    <w:qFormat/>
    <w:rPr>
      <w:rFonts w:ascii="Arial" w:hAnsi="Arial" w:eastAsia="Arial" w:cs="Arial"/>
      <w:sz w:val="30"/>
      <w:szCs w:val="30"/>
    </w:rPr>
  </w:style>
  <w:style w:type="character" w:styleId="854" w:customStyle="1">
    <w:name w:val="页码1"/>
    <w:link w:val="724"/>
    <w:uiPriority w:val="0"/>
    <w:qFormat/>
    <w:rPr>
      <w:rFonts w:ascii="Times New Roman" w:hAnsi="Times New Roman" w:eastAsia="宋体" w:cs="Times New Roman"/>
    </w:rPr>
  </w:style>
  <w:style w:type="character" w:styleId="855" w:customStyle="1">
    <w:name w:val="批注框文本 Char"/>
    <w:link w:val="856"/>
    <w:uiPriority w:val="0"/>
    <w:qFormat/>
    <w:rPr>
      <w:rFonts w:ascii="Times New Roman" w:hAnsi="Times New Roman" w:eastAsia="宋体" w:cs="Times New Roman"/>
      <w:sz w:val="18"/>
      <w:szCs w:val="18"/>
    </w:rPr>
  </w:style>
  <w:style w:type="paragraph" w:styleId="856" w:customStyle="1">
    <w:name w:val="批注框文本1"/>
    <w:basedOn w:val="724"/>
    <w:link w:val="855"/>
    <w:uiPriority w:val="0"/>
    <w:qFormat/>
    <w:rPr>
      <w:rFonts w:ascii="Times New Roman" w:hAnsi="Times New Roman" w:eastAsia="宋体" w:cs="Times New Roman"/>
      <w:sz w:val="18"/>
      <w:szCs w:val="18"/>
    </w:rPr>
  </w:style>
  <w:style w:type="character" w:styleId="857" w:customStyle="1">
    <w:name w:val="标题 3 Char"/>
    <w:link w:val="858"/>
    <w:uiPriority w:val="0"/>
    <w:qFormat/>
    <w:rPr>
      <w:rFonts w:ascii="Times New Roman" w:hAnsi="Times New Roman" w:eastAsia="宋体" w:cs="Times New Roman"/>
      <w:b/>
      <w:bCs/>
      <w:sz w:val="32"/>
      <w:szCs w:val="32"/>
    </w:rPr>
  </w:style>
  <w:style w:type="paragraph" w:styleId="858" w:customStyle="1">
    <w:name w:val="标题 31"/>
    <w:basedOn w:val="724"/>
    <w:next w:val="834"/>
    <w:link w:val="857"/>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859" w:customStyle="1">
    <w:name w:val="Heading 1 Char"/>
    <w:link w:val="725"/>
    <w:uiPriority w:val="9"/>
    <w:qFormat/>
    <w:rPr>
      <w:rFonts w:ascii="Arial" w:hAnsi="Arial" w:eastAsia="Arial" w:cs="Arial"/>
      <w:sz w:val="40"/>
      <w:szCs w:val="40"/>
    </w:rPr>
  </w:style>
  <w:style w:type="character" w:styleId="860" w:customStyle="1">
    <w:name w:val="标题 2 Char"/>
    <w:link w:val="861"/>
    <w:uiPriority w:val="0"/>
    <w:qFormat/>
    <w:rPr>
      <w:rFonts w:ascii="Arial" w:hAnsi="Arial" w:eastAsia="幼圆" w:cs="Arial"/>
      <w:b/>
      <w:bCs/>
      <w:sz w:val="44"/>
      <w:szCs w:val="44"/>
    </w:rPr>
  </w:style>
  <w:style w:type="paragraph" w:styleId="861" w:customStyle="1">
    <w:name w:val="标题 21"/>
    <w:basedOn w:val="724"/>
    <w:next w:val="724"/>
    <w:link w:val="860"/>
    <w:uiPriority w:val="0"/>
    <w:qFormat/>
    <w:pPr>
      <w:jc w:val="center"/>
      <w:keepLines/>
      <w:keepNext/>
      <w:spacing w:before="260" w:after="260" w:line="416" w:lineRule="auto"/>
      <w:outlineLvl w:val="1"/>
    </w:pPr>
    <w:rPr>
      <w:rFonts w:ascii="Arial" w:hAnsi="Arial" w:eastAsia="幼圆" w:cs="Times New Roman"/>
      <w:b/>
      <w:bCs/>
      <w:sz w:val="44"/>
      <w:szCs w:val="44"/>
    </w:rPr>
  </w:style>
  <w:style w:type="character" w:styleId="862" w:customStyle="1">
    <w:name w:val="正文文本 2 Char"/>
    <w:link w:val="863"/>
    <w:uiPriority w:val="0"/>
    <w:qFormat/>
    <w:rPr>
      <w:rFonts w:ascii="楷体_GB2312" w:hAnsi="Times New Roman" w:eastAsia="楷体_GB2312" w:cs="Times New Roman"/>
      <w:sz w:val="28"/>
      <w:szCs w:val="28"/>
    </w:rPr>
  </w:style>
  <w:style w:type="paragraph" w:styleId="863" w:customStyle="1">
    <w:name w:val="正文文本 21"/>
    <w:basedOn w:val="724"/>
    <w:link w:val="862"/>
    <w:uiPriority w:val="0"/>
    <w:pPr>
      <w:jc w:val="center"/>
      <w:widowControl/>
    </w:pPr>
    <w:rPr>
      <w:rFonts w:ascii="楷体_GB2312" w:hAnsi="Times New Roman" w:eastAsia="楷体_GB2312" w:cs="Times New Roman"/>
      <w:sz w:val="28"/>
      <w:szCs w:val="28"/>
    </w:rPr>
  </w:style>
  <w:style w:type="character" w:styleId="864" w:customStyle="1">
    <w:name w:val="Heading 5 Char"/>
    <w:link w:val="729"/>
    <w:uiPriority w:val="9"/>
    <w:rPr>
      <w:rFonts w:ascii="Arial" w:hAnsi="Arial" w:eastAsia="Arial" w:cs="Arial"/>
      <w:b/>
      <w:bCs/>
      <w:sz w:val="24"/>
      <w:szCs w:val="24"/>
    </w:rPr>
  </w:style>
  <w:style w:type="character" w:styleId="865" w:customStyle="1">
    <w:name w:val="Heading 9 Char"/>
    <w:link w:val="733"/>
    <w:uiPriority w:val="9"/>
    <w:rPr>
      <w:rFonts w:ascii="Arial" w:hAnsi="Arial" w:eastAsia="Arial" w:cs="Arial"/>
      <w:i/>
      <w:iCs/>
      <w:sz w:val="21"/>
      <w:szCs w:val="21"/>
    </w:rPr>
  </w:style>
  <w:style w:type="character" w:styleId="866" w:customStyle="1">
    <w:name w:val="已访问的超链接1"/>
    <w:link w:val="724"/>
    <w:uiPriority w:val="0"/>
    <w:qFormat/>
    <w:rPr>
      <w:rFonts w:ascii="Times New Roman" w:hAnsi="Times New Roman" w:eastAsia="宋体" w:cs="Times New Roman"/>
      <w:color w:val="800080"/>
      <w:u w:val="single"/>
    </w:rPr>
  </w:style>
  <w:style w:type="character" w:styleId="867" w:customStyle="1">
    <w:name w:val="Intense Quote Char"/>
    <w:link w:val="868"/>
    <w:uiPriority w:val="30"/>
    <w:qFormat/>
    <w:rPr>
      <w:i/>
    </w:rPr>
  </w:style>
  <w:style w:type="paragraph" w:styleId="868">
    <w:name w:val="Intense Quote"/>
    <w:basedOn w:val="724"/>
    <w:next w:val="724"/>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批注主题 Char"/>
    <w:link w:val="870"/>
    <w:uiPriority w:val="0"/>
    <w:qFormat/>
    <w:rPr>
      <w:rFonts w:ascii="Times New Roman" w:hAnsi="Times New Roman" w:eastAsia="宋体" w:cs="Times New Roman"/>
      <w:b/>
      <w:bCs/>
      <w:szCs w:val="21"/>
    </w:rPr>
  </w:style>
  <w:style w:type="paragraph" w:styleId="870" w:customStyle="1">
    <w:name w:val="批注主题1"/>
    <w:basedOn w:val="821"/>
    <w:next w:val="821"/>
    <w:link w:val="869"/>
    <w:uiPriority w:val="0"/>
    <w:qFormat/>
    <w:rPr>
      <w:rFonts w:ascii="Times New Roman" w:hAnsi="Times New Roman" w:eastAsia="宋体" w:cs="Times New Roman"/>
      <w:b/>
      <w:bCs/>
      <w:sz w:val="20"/>
      <w:szCs w:val="21"/>
    </w:rPr>
  </w:style>
  <w:style w:type="character" w:styleId="871" w:customStyle="1">
    <w:name w:val="Heading 6 Char"/>
    <w:link w:val="730"/>
    <w:uiPriority w:val="9"/>
    <w:qFormat/>
    <w:rPr>
      <w:rFonts w:ascii="Arial" w:hAnsi="Arial" w:eastAsia="Arial" w:cs="Arial"/>
      <w:b/>
      <w:bCs/>
      <w:sz w:val="22"/>
      <w:szCs w:val="22"/>
    </w:rPr>
  </w:style>
  <w:style w:type="paragraph" w:styleId="872" w:customStyle="1">
    <w:name w:val="p16"/>
    <w:basedOn w:val="724"/>
    <w:uiPriority w:val="0"/>
    <w:qFormat/>
    <w:pPr>
      <w:jc w:val="left"/>
      <w:widowControl/>
    </w:pPr>
    <w:rPr>
      <w:sz w:val="24"/>
      <w:szCs w:val="24"/>
    </w:rPr>
  </w:style>
  <w:style w:type="paragraph" w:styleId="873" w:customStyle="1">
    <w:name w:val="Table Text"/>
    <w:basedOn w:val="724"/>
    <w:uiPriority w:val="0"/>
    <w:semiHidden/>
    <w:qFormat/>
    <w:pPr>
      <w:spacing w:line="360" w:lineRule="auto"/>
      <w:widowControl/>
    </w:pPr>
    <w:rPr>
      <w:rFonts w:ascii="宋体" w:hAnsi="宋体" w:cs="宋体"/>
      <w:color w:val="000000"/>
      <w:szCs w:val="21"/>
    </w:rPr>
  </w:style>
  <w:style w:type="paragraph" w:styleId="874" w:customStyle="1">
    <w:name w:val="无间隔"/>
    <w:uiPriority w:val="0"/>
    <w:qFormat/>
    <w:pPr>
      <w:jc w:val="both"/>
      <w:widowControl w:val="off"/>
    </w:pPr>
    <w:rPr>
      <w:rFonts w:hint="default" w:ascii="Times New Roman" w:hAnsi="Times New Roman" w:eastAsia="宋体" w:cs="Times New Roman"/>
      <w:sz w:val="21"/>
      <w:szCs w:val="21"/>
      <w:lang w:eastAsia="zh-CN"/>
    </w:rPr>
  </w:style>
  <w:style w:type="paragraph" w:styleId="875" w:customStyle="1">
    <w:name w:val="修订"/>
    <w:uiPriority w:val="0"/>
    <w:qFormat/>
    <w:rPr>
      <w:rFonts w:hint="default" w:ascii="Times New Roman" w:hAnsi="Times New Roman" w:eastAsia="宋体" w:cs="Times New Roman"/>
      <w:sz w:val="21"/>
      <w:szCs w:val="21"/>
      <w:lang w:eastAsia="zh-CN"/>
    </w:rPr>
  </w:style>
  <w:style w:type="paragraph" w:styleId="876" w:customStyle="1">
    <w:name w:val="标题1"/>
    <w:basedOn w:val="724"/>
    <w:next w:val="72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77" w:customStyle="1">
    <w:name w:val="table_1stline"/>
    <w:basedOn w:val="724"/>
    <w:uiPriority w:val="0"/>
    <w:qFormat/>
    <w:pPr>
      <w:jc w:val="left"/>
      <w:spacing w:before="120"/>
      <w:widowControl/>
    </w:pPr>
    <w:rPr>
      <w:rFonts w:ascii="Times New Roman" w:hAnsi="Times New Roman" w:eastAsia="宋体" w:cs="Times New Roman"/>
      <w:bCs/>
      <w:sz w:val="20"/>
      <w:szCs w:val="20"/>
      <w:lang w:val="de-DE" w:eastAsia="de-DE"/>
    </w:rPr>
  </w:style>
  <w:style w:type="paragraph" w:styleId="878" w:customStyle="1">
    <w:name w:val="Char Char Char Char"/>
    <w:basedOn w:val="823"/>
    <w:uiPriority w:val="0"/>
    <w:qFormat/>
    <w:pPr>
      <w:spacing w:line="360" w:lineRule="auto"/>
    </w:pPr>
    <w:rPr>
      <w:rFonts w:ascii="Tahoma" w:hAnsi="Tahoma" w:eastAsia="宋体" w:cs="Times New Roman"/>
      <w:sz w:val="24"/>
      <w:szCs w:val="24"/>
    </w:rPr>
  </w:style>
  <w:style w:type="paragraph" w:styleId="879" w:customStyle="1">
    <w:name w:val="xl30"/>
    <w:basedOn w:val="72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880" w:customStyle="1">
    <w:name w:val=" Char Char Char Char Char Char Char Char"/>
    <w:basedOn w:val="724"/>
    <w:uiPriority w:val="0"/>
    <w:qFormat/>
    <w:pPr>
      <w:jc w:val="left"/>
      <w:spacing w:after="160" w:line="240" w:lineRule="exact"/>
      <w:widowControl/>
    </w:pPr>
    <w:rPr>
      <w:rFonts w:ascii="Verdana" w:hAnsi="Verdana" w:eastAsia="宋体" w:cs="Times New Roman"/>
      <w:sz w:val="20"/>
      <w:szCs w:val="20"/>
      <w:lang w:eastAsia="en-US"/>
    </w:rPr>
  </w:style>
  <w:style w:type="paragraph" w:styleId="881" w:customStyle="1">
    <w:name w:val="xl2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82" w:customStyle="1">
    <w:name w:val="Char Char Char Char Char Char Char Char"/>
    <w:basedOn w:val="724"/>
    <w:uiPriority w:val="0"/>
    <w:qFormat/>
    <w:pPr>
      <w:jc w:val="left"/>
      <w:spacing w:after="160" w:line="240" w:lineRule="exact"/>
      <w:widowControl/>
    </w:pPr>
    <w:rPr>
      <w:rFonts w:ascii="Verdana" w:hAnsi="Verdana" w:eastAsia="宋体" w:cs="Times New Roman"/>
      <w:sz w:val="20"/>
      <w:szCs w:val="20"/>
      <w:lang w:eastAsia="en-US"/>
    </w:rPr>
  </w:style>
  <w:style w:type="paragraph" w:styleId="883" w:customStyle="1">
    <w:name w:val="xl29"/>
    <w:basedOn w:val="724"/>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84" w:customStyle="1">
    <w:name w:val="标题3"/>
    <w:basedOn w:val="724"/>
    <w:next w:val="724"/>
    <w:uiPriority w:val="0"/>
    <w:qFormat/>
    <w:pPr>
      <w:ind w:firstLine="624"/>
      <w:spacing w:line="590" w:lineRule="atLeast"/>
    </w:pPr>
    <w:rPr>
      <w:rFonts w:ascii="方正黑体_GBK" w:hAnsi="Times New Roman" w:eastAsia="方正黑体_GBK" w:cs="Times New Roman"/>
      <w:sz w:val="32"/>
      <w:szCs w:val="32"/>
    </w:rPr>
  </w:style>
  <w:style w:type="paragraph" w:styleId="885" w:customStyle="1">
    <w:name w:val="图标"/>
    <w:basedOn w:val="724"/>
    <w:next w:val="72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86" w:customStyle="1">
    <w:name w:val="font6"/>
    <w:basedOn w:val="724"/>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887" w:customStyle="1">
    <w:name w:val="普通 (Web)"/>
    <w:basedOn w:val="724"/>
    <w:uiPriority w:val="0"/>
    <w:qFormat/>
    <w:pPr>
      <w:jc w:val="left"/>
      <w:spacing w:before="100" w:beforeAutospacing="1" w:after="100" w:afterAutospacing="1"/>
      <w:widowControl/>
    </w:pPr>
    <w:rPr>
      <w:rFonts w:ascii="宋体" w:hAnsi="宋体" w:eastAsia="宋体" w:cs="Times New Roman"/>
      <w:sz w:val="24"/>
      <w:szCs w:val="24"/>
    </w:rPr>
  </w:style>
  <w:style w:type="paragraph" w:styleId="888" w:customStyle="1">
    <w:name w:val=" Char Char Char Char"/>
    <w:basedOn w:val="823"/>
    <w:uiPriority w:val="0"/>
    <w:pPr>
      <w:spacing w:line="360" w:lineRule="auto"/>
    </w:pPr>
    <w:rPr>
      <w:rFonts w:ascii="Tahoma" w:hAnsi="Tahoma" w:eastAsia="宋体" w:cs="Times New Roman"/>
      <w:sz w:val="24"/>
      <w:szCs w:val="24"/>
    </w:rPr>
  </w:style>
  <w:style w:type="paragraph" w:styleId="889" w:customStyle="1">
    <w:name w:val="font7"/>
    <w:basedOn w:val="724"/>
    <w:uiPriority w:val="0"/>
    <w:pPr>
      <w:jc w:val="left"/>
      <w:spacing w:before="100" w:beforeAutospacing="1" w:after="100" w:afterAutospacing="1"/>
      <w:widowControl/>
    </w:pPr>
    <w:rPr>
      <w:rFonts w:hint="eastAsia" w:ascii="宋体" w:hAnsi="宋体" w:eastAsia="宋体" w:cs="Times New Roman"/>
      <w:sz w:val="18"/>
      <w:szCs w:val="18"/>
    </w:rPr>
  </w:style>
  <w:style w:type="paragraph" w:styleId="890" w:customStyle="1">
    <w:name w:val="附录1"/>
    <w:uiPriority w:val="0"/>
    <w:pPr>
      <w:numPr>
        <w:ilvl w:val="0"/>
        <w:numId w:val="1"/>
      </w:numPr>
      <w:ind w:left="907" w:hanging="907"/>
      <w:spacing w:before="240" w:line="600" w:lineRule="atLeast"/>
    </w:pPr>
    <w:rPr>
      <w:rFonts w:hint="default" w:ascii="Times New Roman" w:hAnsi="Times New Roman" w:eastAsia="宋体" w:cs="Times New Roman"/>
      <w:b/>
      <w:i/>
      <w:sz w:val="28"/>
      <w:lang w:eastAsia="zh-CN"/>
    </w:rPr>
  </w:style>
  <w:style w:type="paragraph" w:styleId="891" w:customStyle="1">
    <w:name w:val="table_lines"/>
    <w:basedOn w:val="724"/>
    <w:uiPriority w:val="0"/>
    <w:pPr>
      <w:jc w:val="left"/>
      <w:widowControl/>
    </w:pPr>
    <w:rPr>
      <w:rFonts w:ascii="Times New Roman" w:hAnsi="Times New Roman" w:eastAsia="宋体" w:cs="Times New Roman"/>
      <w:sz w:val="20"/>
      <w:szCs w:val="20"/>
      <w:lang w:val="de-DE" w:eastAsia="de-DE"/>
    </w:rPr>
  </w:style>
  <w:style w:type="paragraph" w:styleId="892" w:customStyle="1">
    <w:name w:val="普通正文"/>
    <w:basedOn w:val="724"/>
    <w:uiPriority w:val="0"/>
    <w:pPr>
      <w:ind w:firstLine="480"/>
      <w:jc w:val="left"/>
      <w:spacing w:before="120" w:after="120" w:line="360" w:lineRule="auto"/>
    </w:pPr>
    <w:rPr>
      <w:rFonts w:ascii="Arial" w:hAnsi="Arial" w:eastAsia="宋体" w:cs="Times New Roman"/>
      <w:sz w:val="24"/>
      <w:szCs w:val="24"/>
    </w:rPr>
  </w:style>
  <w:style w:type="paragraph" w:styleId="893" w:customStyle="1">
    <w:name w:val=" Char"/>
    <w:basedOn w:val="823"/>
    <w:uiPriority w:val="0"/>
    <w:rPr>
      <w:rFonts w:ascii="Tahoma" w:hAnsi="Tahoma" w:eastAsia="宋体" w:cs="Times New Roman"/>
      <w:sz w:val="24"/>
      <w:szCs w:val="24"/>
    </w:rPr>
  </w:style>
  <w:style w:type="paragraph" w:styleId="894" w:customStyle="1">
    <w:name w:val="Char"/>
    <w:basedOn w:val="724"/>
    <w:uiPriority w:val="0"/>
    <w:pPr>
      <w:ind w:firstLine="200"/>
      <w:tabs>
        <w:tab w:val="left" w:pos="360" w:leader="none"/>
      </w:tabs>
    </w:pPr>
    <w:rPr>
      <w:rFonts w:ascii="Times New Roman" w:hAnsi="Times New Roman" w:eastAsia="宋体" w:cs="Times New Roman"/>
      <w:sz w:val="28"/>
      <w:szCs w:val="30"/>
    </w:rPr>
  </w:style>
  <w:style w:type="paragraph" w:styleId="895" w:customStyle="1">
    <w:name w:val="xl27"/>
    <w:basedOn w:val="72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96" w:customStyle="1">
    <w:name w:val="Body Text(ch)"/>
    <w:basedOn w:val="724"/>
    <w:next w:val="850"/>
    <w:uiPriority w:val="0"/>
    <w:pPr>
      <w:spacing w:after="120"/>
    </w:pPr>
    <w:rPr>
      <w:rFonts w:ascii="宋体" w:hAnsi="Arial" w:eastAsia="宋体" w:cs="Times New Roman"/>
      <w:bCs/>
      <w:iCs/>
      <w:szCs w:val="24"/>
    </w:rPr>
  </w:style>
  <w:style w:type="paragraph" w:styleId="897" w:customStyle="1">
    <w:name w:val="xl25"/>
    <w:basedOn w:val="72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98" w:customStyle="1">
    <w:name w:val="彩色列表1"/>
    <w:basedOn w:val="724"/>
    <w:uiPriority w:val="0"/>
    <w:pPr>
      <w:ind w:firstLine="420"/>
    </w:pPr>
    <w:rPr>
      <w:rFonts w:ascii="Times New Roman" w:hAnsi="Times New Roman" w:eastAsia="宋体" w:cs="Times New Roman"/>
      <w:szCs w:val="24"/>
    </w:rPr>
  </w:style>
  <w:style w:type="paragraph" w:styleId="899" w:customStyle="1">
    <w:name w:val="正文文本11"/>
    <w:basedOn w:val="724"/>
    <w:next w:val="724"/>
    <w:uiPriority w:val="0"/>
    <w:rPr>
      <w:rFonts w:ascii="楷体_GB2312" w:hAnsi="Arial" w:eastAsia="楷体_GB2312" w:cs="Times New Roman"/>
      <w:sz w:val="28"/>
      <w:szCs w:val="28"/>
    </w:rPr>
  </w:style>
  <w:style w:type="paragraph" w:styleId="900" w:customStyle="1">
    <w:name w:val="样式1"/>
    <w:basedOn w:val="724"/>
    <w:next w:val="724"/>
    <w:uiPriority w:val="0"/>
    <w:pPr>
      <w:numPr>
        <w:ilvl w:val="0"/>
        <w:numId w:val="3"/>
      </w:numPr>
    </w:pPr>
    <w:rPr>
      <w:rFonts w:ascii="宋体" w:hAnsi="宋体" w:eastAsia="宋体" w:cs="Times New Roman"/>
      <w:szCs w:val="21"/>
    </w:rPr>
  </w:style>
  <w:style w:type="paragraph" w:styleId="901" w:customStyle="1">
    <w:name w:val="索引 11"/>
    <w:basedOn w:val="724"/>
    <w:next w:val="724"/>
    <w:uiPriority w:val="0"/>
    <w:pPr>
      <w:spacing w:line="240" w:lineRule="atLeast"/>
    </w:pPr>
    <w:rPr>
      <w:rFonts w:ascii="Times New Roman" w:hAnsi="Times New Roman" w:eastAsia="宋体" w:cs="Times New Roman"/>
      <w:b/>
      <w:bCs/>
      <w:szCs w:val="21"/>
    </w:rPr>
  </w:style>
  <w:style w:type="paragraph" w:styleId="902" w:customStyle="1">
    <w:name w:val="普通(网站)1"/>
    <w:basedOn w:val="724"/>
    <w:uiPriority w:val="0"/>
    <w:pPr>
      <w:jc w:val="left"/>
      <w:spacing w:before="100" w:beforeAutospacing="1" w:after="100" w:afterAutospacing="1"/>
      <w:widowControl/>
    </w:pPr>
    <w:rPr>
      <w:rFonts w:ascii="宋体" w:hAnsi="宋体" w:eastAsia="宋体" w:cs="宋体"/>
      <w:sz w:val="24"/>
      <w:szCs w:val="24"/>
    </w:rPr>
  </w:style>
  <w:style w:type="paragraph" w:styleId="903" w:customStyle="1">
    <w:name w:val="目录 91"/>
    <w:basedOn w:val="724"/>
    <w:next w:val="724"/>
    <w:uiPriority w:val="0"/>
    <w:pPr>
      <w:ind w:left="1680"/>
      <w:jc w:val="left"/>
    </w:pPr>
    <w:rPr>
      <w:rFonts w:ascii="Times New Roman" w:hAnsi="Times New Roman" w:eastAsia="宋体" w:cs="Times New Roman"/>
      <w:szCs w:val="21"/>
    </w:rPr>
  </w:style>
  <w:style w:type="paragraph" w:styleId="904" w:customStyle="1">
    <w:name w:val="目录 21"/>
    <w:basedOn w:val="724"/>
    <w:next w:val="724"/>
    <w:uiPriority w:val="0"/>
    <w:pPr>
      <w:ind w:left="210"/>
      <w:jc w:val="left"/>
    </w:pPr>
    <w:rPr>
      <w:rFonts w:ascii="Times New Roman" w:hAnsi="Times New Roman" w:eastAsia="宋体" w:cs="Times New Roman"/>
      <w:smallCaps/>
      <w:szCs w:val="24"/>
    </w:rPr>
  </w:style>
  <w:style w:type="paragraph" w:styleId="905" w:customStyle="1">
    <w:name w:val="列表1"/>
    <w:basedOn w:val="724"/>
    <w:uiPriority w:val="0"/>
    <w:pPr>
      <w:ind w:left="200" w:hanging="200"/>
    </w:pPr>
    <w:rPr>
      <w:rFonts w:ascii="Times New Roman" w:hAnsi="Times New Roman" w:eastAsia="宋体" w:cs="Times New Roman"/>
      <w:szCs w:val="21"/>
    </w:rPr>
  </w:style>
  <w:style w:type="paragraph" w:styleId="906" w:customStyle="1">
    <w:name w:val="目录 41"/>
    <w:basedOn w:val="724"/>
    <w:next w:val="724"/>
    <w:uiPriority w:val="0"/>
    <w:pPr>
      <w:ind w:left="630"/>
      <w:jc w:val="left"/>
    </w:pPr>
    <w:rPr>
      <w:rFonts w:ascii="Times New Roman" w:hAnsi="Times New Roman" w:eastAsia="宋体" w:cs="Times New Roman"/>
      <w:szCs w:val="21"/>
    </w:rPr>
  </w:style>
  <w:style w:type="paragraph" w:styleId="907" w:customStyle="1">
    <w:name w:val="目录 11"/>
    <w:basedOn w:val="724"/>
    <w:next w:val="724"/>
    <w:uiPriority w:val="0"/>
    <w:pPr>
      <w:jc w:val="left"/>
      <w:spacing w:before="120" w:after="120" w:line="400" w:lineRule="exact"/>
      <w:tabs>
        <w:tab w:val="right" w:pos="8720" w:leader="dot"/>
      </w:tabs>
    </w:pPr>
    <w:rPr>
      <w:rFonts w:ascii="宋体" w:hAnsi="宋体" w:eastAsia="宋体" w:cs="Times New Roman"/>
      <w:caps/>
      <w:sz w:val="24"/>
      <w:szCs w:val="24"/>
    </w:rPr>
  </w:style>
  <w:style w:type="paragraph" w:styleId="908" w:customStyle="1">
    <w:name w:val="xl24"/>
    <w:basedOn w:val="72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09" w:customStyle="1">
    <w:name w:val="目录 81"/>
    <w:basedOn w:val="724"/>
    <w:next w:val="724"/>
    <w:uiPriority w:val="0"/>
    <w:pPr>
      <w:ind w:left="1470"/>
      <w:jc w:val="left"/>
    </w:pPr>
    <w:rPr>
      <w:rFonts w:ascii="Times New Roman" w:hAnsi="Times New Roman" w:eastAsia="宋体" w:cs="Times New Roman"/>
      <w:szCs w:val="21"/>
    </w:rPr>
  </w:style>
  <w:style w:type="paragraph" w:styleId="910" w:customStyle="1">
    <w:name w:val="xl26"/>
    <w:basedOn w:val="72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1" w:customStyle="1">
    <w:name w:val="目录 31"/>
    <w:basedOn w:val="724"/>
    <w:next w:val="724"/>
    <w:uiPriority w:val="0"/>
    <w:pPr>
      <w:ind w:left="420"/>
      <w:jc w:val="left"/>
    </w:pPr>
    <w:rPr>
      <w:rFonts w:ascii="Times New Roman" w:hAnsi="Times New Roman" w:eastAsia="宋体" w:cs="Times New Roman"/>
      <w:i/>
      <w:iCs/>
      <w:szCs w:val="24"/>
    </w:rPr>
  </w:style>
  <w:style w:type="paragraph" w:styleId="912" w:customStyle="1">
    <w:name w:val="目录 51"/>
    <w:basedOn w:val="724"/>
    <w:next w:val="724"/>
    <w:uiPriority w:val="0"/>
    <w:pPr>
      <w:ind w:left="840"/>
      <w:jc w:val="left"/>
    </w:pPr>
    <w:rPr>
      <w:rFonts w:ascii="Times New Roman" w:hAnsi="Times New Roman" w:eastAsia="宋体" w:cs="Times New Roman"/>
      <w:szCs w:val="21"/>
    </w:rPr>
  </w:style>
  <w:style w:type="paragraph" w:styleId="913" w:customStyle="1">
    <w:name w:val="列出段落"/>
    <w:basedOn w:val="724"/>
    <w:uiPriority w:val="0"/>
    <w:pPr>
      <w:contextualSpacing/>
      <w:ind w:left="720"/>
      <w:jc w:val="left"/>
      <w:widowControl/>
    </w:pPr>
    <w:rPr>
      <w:rFonts w:ascii="Calibri" w:hAnsi="Calibri" w:eastAsia="宋体" w:cs="Times New Roman"/>
      <w:sz w:val="24"/>
      <w:szCs w:val="24"/>
      <w:lang w:eastAsia="en-US" w:bidi="en-US"/>
    </w:rPr>
  </w:style>
  <w:style w:type="paragraph" w:styleId="914" w:customStyle="1">
    <w:name w:val="列表 21"/>
    <w:basedOn w:val="724"/>
    <w:uiPriority w:val="0"/>
    <w:pPr>
      <w:ind w:left="100" w:hanging="200"/>
    </w:pPr>
    <w:rPr>
      <w:rFonts w:ascii="Times New Roman" w:hAnsi="Times New Roman" w:eastAsia="宋体" w:cs="Times New Roman"/>
      <w:szCs w:val="21"/>
    </w:rPr>
  </w:style>
  <w:style w:type="paragraph" w:styleId="915" w:customStyle="1">
    <w:name w:val="目录 71"/>
    <w:basedOn w:val="724"/>
    <w:next w:val="724"/>
    <w:uiPriority w:val="0"/>
    <w:pPr>
      <w:ind w:left="1260"/>
      <w:jc w:val="left"/>
    </w:pPr>
    <w:rPr>
      <w:rFonts w:ascii="Times New Roman" w:hAnsi="Times New Roman" w:eastAsia="宋体" w:cs="Times New Roman"/>
      <w:szCs w:val="21"/>
    </w:rPr>
  </w:style>
  <w:style w:type="paragraph" w:styleId="916" w:customStyle="1">
    <w:name w:val="目录 61"/>
    <w:basedOn w:val="724"/>
    <w:next w:val="724"/>
    <w:uiPriority w:val="0"/>
    <w:pPr>
      <w:ind w:left="1050"/>
      <w:jc w:val="left"/>
    </w:pPr>
    <w:rPr>
      <w:rFonts w:ascii="Times New Roman" w:hAnsi="Times New Roman" w:eastAsia="宋体" w:cs="Times New Roman"/>
      <w:szCs w:val="21"/>
    </w:rPr>
  </w:style>
  <w:style w:type="paragraph" w:styleId="917" w:customStyle="1">
    <w:name w:val="列表 31"/>
    <w:basedOn w:val="724"/>
    <w:uiPriority w:val="0"/>
    <w:pPr>
      <w:ind w:left="100" w:hanging="200"/>
    </w:pPr>
    <w:rPr>
      <w:rFonts w:ascii="Times New Roman" w:hAnsi="Times New Roman" w:eastAsia="宋体" w:cs="Times New Roman"/>
      <w:szCs w:val="21"/>
    </w:rPr>
  </w:style>
  <w:style w:type="paragraph" w:styleId="918" w:customStyle="1">
    <w:name w:val=" Char Char Char Char Char Char Char Char Char Char"/>
    <w:basedOn w:val="724"/>
    <w:uiPriority w:val="0"/>
    <w:pPr>
      <w:spacing w:line="360" w:lineRule="auto"/>
    </w:pPr>
    <w:rPr>
      <w:rFonts w:ascii="Times New Roman" w:hAnsi="Times New Roman" w:eastAsia="宋体" w:cs="Times New Roman"/>
      <w:sz w:val="24"/>
      <w:szCs w:val="20"/>
    </w:rPr>
  </w:style>
  <w:style w:type="paragraph" w:styleId="919" w:customStyle="1">
    <w:name w:val="TOC Heading"/>
    <w:uiPriority w:val="39"/>
    <w:unhideWhenUsed/>
    <w:qFormat/>
    <w:rPr>
      <w:rFonts w:hint="default" w:ascii="Times New Roman" w:hAnsi="Times New Roman" w:eastAsia="宋体" w:cs="Times New Roman"/>
    </w:rPr>
  </w:style>
  <w:style w:type="paragraph" w:styleId="920" w:customStyle="1">
    <w:name w:val="Caption1"/>
    <w:basedOn w:val="724"/>
    <w:next w:val="724"/>
    <w:uiPriority w:val="35"/>
    <w:unhideWhenUsed/>
    <w:qFormat/>
    <w:pPr>
      <w:spacing w:line="276" w:lineRule="auto"/>
    </w:pPr>
    <w:rPr>
      <w:b/>
      <w:bCs/>
      <w:color w:val="4f81bd"/>
      <w:sz w:val="18"/>
      <w:szCs w:val="18"/>
    </w:rPr>
  </w:style>
  <w:style w:type="paragraph" w:styleId="921">
    <w:name w:val="No Spacing"/>
    <w:uiPriority w:val="1"/>
    <w:qFormat/>
    <w:pPr>
      <w:spacing w:before="0" w:after="0" w:line="240" w:lineRule="auto"/>
    </w:pPr>
    <w:rPr>
      <w:rFonts w:hint="default" w:ascii="Times New Roman" w:hAnsi="Times New Roman" w:eastAsia="宋体" w:cs="Times New Roman"/>
    </w:rPr>
  </w:style>
  <w:style w:type="paragraph" w:styleId="922">
    <w:name w:val="List Paragraph"/>
    <w:basedOn w:val="724"/>
    <w:uiPriority w:val="34"/>
    <w:qFormat/>
    <w:pPr>
      <w:contextualSpacing/>
      <w:ind w:left="720"/>
    </w:pPr>
  </w:style>
  <w:style w:type="paragraph" w:styleId="923" w:customStyle="1">
    <w:name w:val="图表目录1"/>
    <w:basedOn w:val="724"/>
    <w:next w:val="724"/>
    <w:uiPriority w:val="0"/>
    <w:qFormat/>
    <w:pPr>
      <w:ind w:left="840" w:hanging="420"/>
    </w:pPr>
    <w:rPr>
      <w:rFonts w:ascii="Times New Roman" w:hAnsi="Times New Roman" w:eastAsia="宋体" w:cs="Times New Roman"/>
      <w:szCs w:val="21"/>
    </w:rPr>
  </w:style>
  <w:style w:type="paragraph" w:styleId="924" w:customStyle="1">
    <w:name w:val="font5"/>
    <w:basedOn w:val="72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25" w:customStyle="1">
    <w:name w:val="Normal_17_1"/>
    <w:uiPriority w:val="0"/>
    <w:qFormat/>
    <w:pPr>
      <w:jc w:val="both"/>
      <w:widowControl w:val="off"/>
    </w:pPr>
    <w:rPr>
      <w:rFonts w:hint="default" w:ascii="Calibri" w:hAnsi="Calibri" w:eastAsia="宋体" w:cs="Times New Roman"/>
      <w:sz w:val="21"/>
      <w:szCs w:val="22"/>
    </w:rPr>
  </w:style>
  <w:style w:type="paragraph" w:styleId="926" w:customStyle="1">
    <w:name w:val="4"/>
    <w:basedOn w:val="724"/>
    <w:next w:val="807"/>
    <w:uiPriority w:val="0"/>
    <w:qFormat/>
    <w:pPr>
      <w:ind w:firstLine="420"/>
      <w:spacing w:line="360" w:lineRule="auto"/>
    </w:pPr>
    <w:rPr>
      <w:rFonts w:ascii="Times New Roman" w:hAnsi="Times New Roman" w:eastAsia="宋体" w:cs="Times New Roman"/>
      <w:color w:val="ff0000"/>
      <w:sz w:val="24"/>
      <w:szCs w:val="24"/>
    </w:rPr>
  </w:style>
  <w:style w:type="table" w:styleId="927" w:customStyle="1">
    <w:name w:val="网格型1"/>
    <w:basedOn w:val="928"/>
    <w:uiPriority w:val="0"/>
    <w:qFormat/>
    <w:pPr>
      <w:jc w:val="both"/>
      <w:widowControl w:val="off"/>
    </w:pPr>
    <w:rPr>
      <w:rFonts w:ascii="Times New Roman" w:hAnsi="Times New Roman" w:eastAsia="宋体" w:cs="Times New Roman"/>
      <w:sz w:val="20"/>
      <w:szCs w:val="20"/>
    </w:rPr>
    <w:tblPr/>
  </w:style>
  <w:style w:type="table" w:styleId="928" w:customStyle="1">
    <w:name w:val="普通表格1"/>
    <w:uiPriority w:val="0"/>
    <w:qFormat/>
    <w:rPr>
      <w:rFonts w:ascii="Times New Roman" w:hAnsi="Times New Roman" w:eastAsia="宋体" w:cs="Times New Roman"/>
    </w:rPr>
    <w:tblPr/>
  </w:style>
  <w:style w:type="table" w:styleId="929" w:customStyle="1">
    <w:name w:val="Bordered - Accent 3"/>
    <w:uiPriority w:val="99"/>
    <w:qFormat/>
    <w:pPr>
      <w:spacing w:after="0" w:line="240" w:lineRule="auto"/>
    </w:pPr>
    <w:tblPr/>
  </w:style>
  <w:style w:type="table" w:styleId="930" w:customStyle="1">
    <w:name w:val="Bordered"/>
    <w:uiPriority w:val="99"/>
    <w:qFormat/>
    <w:pPr>
      <w:spacing w:after="0" w:line="240" w:lineRule="auto"/>
    </w:pPr>
    <w:tblPr/>
  </w:style>
  <w:style w:type="table" w:styleId="931" w:customStyle="1">
    <w:name w:val="Bordered &amp; Lined - Accent 6"/>
    <w:uiPriority w:val="99"/>
    <w:qFormat/>
    <w:pPr>
      <w:spacing w:after="0" w:line="240" w:lineRule="auto"/>
    </w:pPr>
    <w:rPr>
      <w:color w:val="404040"/>
    </w:rPr>
    <w:tblPr/>
  </w:style>
  <w:style w:type="table" w:styleId="932" w:customStyle="1">
    <w:name w:val="Bordered &amp; Lined - Accent 5"/>
    <w:uiPriority w:val="99"/>
    <w:qFormat/>
    <w:pPr>
      <w:spacing w:after="0" w:line="240" w:lineRule="auto"/>
    </w:pPr>
    <w:rPr>
      <w:color w:val="404040"/>
    </w:rPr>
    <w:tblPr/>
  </w:style>
  <w:style w:type="table" w:styleId="933" w:customStyle="1">
    <w:name w:val="Bordered &amp; Lined - Accent 3"/>
    <w:uiPriority w:val="99"/>
    <w:qFormat/>
    <w:pPr>
      <w:spacing w:after="0" w:line="240" w:lineRule="auto"/>
    </w:pPr>
    <w:rPr>
      <w:color w:val="404040"/>
    </w:rPr>
    <w:tblPr/>
  </w:style>
  <w:style w:type="table" w:styleId="934" w:customStyle="1">
    <w:name w:val="Bordered &amp; Lined - Accent"/>
    <w:uiPriority w:val="99"/>
    <w:qFormat/>
    <w:pPr>
      <w:spacing w:after="0" w:line="240" w:lineRule="auto"/>
    </w:pPr>
    <w:rPr>
      <w:color w:val="404040"/>
    </w:rPr>
    <w:tblPr/>
  </w:style>
  <w:style w:type="table" w:styleId="935" w:customStyle="1">
    <w:name w:val="Lined - Accent 4"/>
    <w:uiPriority w:val="99"/>
    <w:qFormat/>
    <w:pPr>
      <w:spacing w:after="0" w:line="240" w:lineRule="auto"/>
    </w:pPr>
    <w:rPr>
      <w:color w:val="404040"/>
    </w:rPr>
    <w:tblPr/>
  </w:style>
  <w:style w:type="table" w:styleId="936" w:customStyle="1">
    <w:name w:val="Lined - Accent 3"/>
    <w:uiPriority w:val="99"/>
    <w:qFormat/>
    <w:pPr>
      <w:spacing w:after="0" w:line="240" w:lineRule="auto"/>
    </w:pPr>
    <w:rPr>
      <w:color w:val="404040"/>
    </w:rPr>
    <w:tblPr/>
  </w:style>
  <w:style w:type="table" w:styleId="937" w:customStyle="1">
    <w:name w:val="Lined - Accent 2"/>
    <w:uiPriority w:val="99"/>
    <w:qFormat/>
    <w:pPr>
      <w:spacing w:after="0" w:line="240" w:lineRule="auto"/>
    </w:pPr>
    <w:rPr>
      <w:color w:val="404040"/>
    </w:rPr>
    <w:tblPr/>
  </w:style>
  <w:style w:type="table" w:styleId="938" w:customStyle="1">
    <w:name w:val="Lined - Accent 1"/>
    <w:uiPriority w:val="99"/>
    <w:qFormat/>
    <w:pPr>
      <w:spacing w:after="0" w:line="240" w:lineRule="auto"/>
    </w:pPr>
    <w:rPr>
      <w:color w:val="404040"/>
    </w:rPr>
    <w:tblPr/>
  </w:style>
  <w:style w:type="table" w:styleId="939" w:customStyle="1">
    <w:name w:val="List Table 7 Colorful - Accent 6"/>
    <w:uiPriority w:val="99"/>
    <w:qFormat/>
    <w:pPr>
      <w:spacing w:after="0" w:line="240" w:lineRule="auto"/>
    </w:pPr>
    <w:tblPr/>
  </w:style>
  <w:style w:type="table" w:styleId="940" w:customStyle="1">
    <w:name w:val="List Table 7 Colorful - Accent 2"/>
    <w:uiPriority w:val="99"/>
    <w:qFormat/>
    <w:pPr>
      <w:spacing w:after="0" w:line="240" w:lineRule="auto"/>
    </w:pPr>
    <w:tblPr/>
  </w:style>
  <w:style w:type="table" w:styleId="941" w:customStyle="1">
    <w:name w:val="List Table 7 Colorful - Accent 1"/>
    <w:uiPriority w:val="99"/>
    <w:qFormat/>
    <w:pPr>
      <w:spacing w:after="0" w:line="240" w:lineRule="auto"/>
    </w:pPr>
    <w:tblPr/>
  </w:style>
  <w:style w:type="table" w:styleId="942" w:customStyle="1">
    <w:name w:val="List Table 7 Colorful"/>
    <w:uiPriority w:val="99"/>
    <w:qFormat/>
    <w:pPr>
      <w:spacing w:after="0" w:line="240" w:lineRule="auto"/>
    </w:pPr>
    <w:tblPr/>
  </w:style>
  <w:style w:type="table" w:styleId="943" w:customStyle="1">
    <w:name w:val="List Table 6 Colorful - Accent 3"/>
    <w:uiPriority w:val="99"/>
    <w:qFormat/>
    <w:pPr>
      <w:spacing w:after="0" w:line="240" w:lineRule="auto"/>
    </w:pPr>
    <w:tblPr/>
  </w:style>
  <w:style w:type="table" w:styleId="944" w:customStyle="1">
    <w:name w:val="List Table 6 Colorful - Accent 2"/>
    <w:uiPriority w:val="99"/>
    <w:qFormat/>
    <w:pPr>
      <w:spacing w:after="0" w:line="240" w:lineRule="auto"/>
    </w:pPr>
    <w:tblPr/>
  </w:style>
  <w:style w:type="table" w:styleId="945" w:customStyle="1">
    <w:name w:val="List Table 6 Colorful - Accent 1"/>
    <w:uiPriority w:val="99"/>
    <w:qFormat/>
    <w:pPr>
      <w:spacing w:after="0" w:line="240" w:lineRule="auto"/>
    </w:pPr>
    <w:tblPr/>
  </w:style>
  <w:style w:type="table" w:styleId="946" w:customStyle="1">
    <w:name w:val="List Table 6 Colorful"/>
    <w:uiPriority w:val="99"/>
    <w:qFormat/>
    <w:pPr>
      <w:spacing w:after="0" w:line="240" w:lineRule="auto"/>
    </w:pPr>
    <w:tblPr/>
  </w:style>
  <w:style w:type="table" w:styleId="947" w:customStyle="1">
    <w:name w:val="List Table 5 Dark - Accent 5"/>
    <w:uiPriority w:val="99"/>
    <w:qFormat/>
    <w:pPr>
      <w:spacing w:after="0" w:line="240" w:lineRule="auto"/>
    </w:pPr>
    <w:tblPr/>
  </w:style>
  <w:style w:type="table" w:styleId="948" w:customStyle="1">
    <w:name w:val="List Table 4 - Accent 6"/>
    <w:uiPriority w:val="99"/>
    <w:qFormat/>
    <w:pPr>
      <w:spacing w:after="0" w:line="240" w:lineRule="auto"/>
    </w:pPr>
    <w:tblPr/>
  </w:style>
  <w:style w:type="table" w:styleId="949" w:customStyle="1">
    <w:name w:val="List Table 4 - Accent 5"/>
    <w:uiPriority w:val="99"/>
    <w:qFormat/>
    <w:pPr>
      <w:spacing w:after="0" w:line="240" w:lineRule="auto"/>
    </w:pPr>
    <w:tblPr/>
  </w:style>
  <w:style w:type="table" w:styleId="950" w:customStyle="1">
    <w:name w:val="List Table 4 - Accent 2"/>
    <w:uiPriority w:val="99"/>
    <w:qFormat/>
    <w:pPr>
      <w:spacing w:after="0" w:line="240" w:lineRule="auto"/>
    </w:pPr>
    <w:tblPr/>
  </w:style>
  <w:style w:type="table" w:styleId="951" w:customStyle="1">
    <w:name w:val="List Table 4 - Accent 1"/>
    <w:uiPriority w:val="99"/>
    <w:qFormat/>
    <w:pPr>
      <w:spacing w:after="0" w:line="240" w:lineRule="auto"/>
    </w:pPr>
    <w:tblPr/>
  </w:style>
  <w:style w:type="table" w:styleId="952" w:customStyle="1">
    <w:name w:val="List Table 3 - Accent 6"/>
    <w:uiPriority w:val="99"/>
    <w:qFormat/>
    <w:pPr>
      <w:spacing w:after="0" w:line="240" w:lineRule="auto"/>
    </w:pPr>
    <w:tblPr/>
  </w:style>
  <w:style w:type="table" w:styleId="953" w:customStyle="1">
    <w:name w:val="List Table 3 - Accent 3"/>
    <w:uiPriority w:val="99"/>
    <w:qFormat/>
    <w:pPr>
      <w:spacing w:after="0" w:line="240" w:lineRule="auto"/>
    </w:pPr>
    <w:tblPr/>
  </w:style>
  <w:style w:type="table" w:styleId="954" w:customStyle="1">
    <w:name w:val="List Table 3 - Accent 2"/>
    <w:uiPriority w:val="99"/>
    <w:pPr>
      <w:spacing w:after="0" w:line="240" w:lineRule="auto"/>
    </w:pPr>
    <w:tblPr/>
  </w:style>
  <w:style w:type="table" w:styleId="955" w:customStyle="1">
    <w:name w:val="List Table 4 - Accent 3"/>
    <w:uiPriority w:val="99"/>
    <w:pPr>
      <w:spacing w:after="0" w:line="240" w:lineRule="auto"/>
    </w:pPr>
    <w:tblPr/>
  </w:style>
  <w:style w:type="table" w:styleId="956" w:customStyle="1">
    <w:name w:val="List Table 3 - Accent 1"/>
    <w:uiPriority w:val="99"/>
    <w:pPr>
      <w:spacing w:after="0" w:line="240" w:lineRule="auto"/>
    </w:pPr>
    <w:tblPr/>
  </w:style>
  <w:style w:type="table" w:styleId="957" w:customStyle="1">
    <w:name w:val="List Table 3"/>
    <w:uiPriority w:val="99"/>
    <w:pPr>
      <w:spacing w:after="0" w:line="240" w:lineRule="auto"/>
    </w:pPr>
    <w:tblPr/>
  </w:style>
  <w:style w:type="table" w:styleId="958" w:customStyle="1">
    <w:name w:val="List Table 2 - Accent 6"/>
    <w:uiPriority w:val="99"/>
    <w:pPr>
      <w:spacing w:after="0" w:line="240" w:lineRule="auto"/>
    </w:pPr>
    <w:tblPr/>
  </w:style>
  <w:style w:type="table" w:styleId="959" w:customStyle="1">
    <w:name w:val="List Table 2 - Accent 5"/>
    <w:uiPriority w:val="99"/>
    <w:pPr>
      <w:spacing w:after="0" w:line="240" w:lineRule="auto"/>
    </w:pPr>
    <w:tblPr/>
  </w:style>
  <w:style w:type="table" w:styleId="960" w:customStyle="1">
    <w:name w:val="List Table 2 - Accent 3"/>
    <w:uiPriority w:val="99"/>
    <w:pPr>
      <w:spacing w:after="0" w:line="240" w:lineRule="auto"/>
    </w:pPr>
    <w:tblPr/>
  </w:style>
  <w:style w:type="table" w:styleId="961" w:customStyle="1">
    <w:name w:val="List Table 2 - Accent 2"/>
    <w:uiPriority w:val="99"/>
    <w:pPr>
      <w:spacing w:after="0" w:line="240" w:lineRule="auto"/>
    </w:pPr>
    <w:tblPr/>
  </w:style>
  <w:style w:type="table" w:styleId="962" w:customStyle="1">
    <w:name w:val="List Table 1 Light - Accent 6"/>
    <w:uiPriority w:val="99"/>
    <w:pPr>
      <w:spacing w:after="0" w:line="240" w:lineRule="auto"/>
    </w:pPr>
    <w:tblPr/>
  </w:style>
  <w:style w:type="table" w:styleId="963" w:customStyle="1">
    <w:name w:val="List Table 1 Light - Accent 2"/>
    <w:uiPriority w:val="99"/>
    <w:pPr>
      <w:spacing w:after="0" w:line="240" w:lineRule="auto"/>
    </w:pPr>
    <w:tblPr/>
  </w:style>
  <w:style w:type="table" w:styleId="964" w:customStyle="1">
    <w:name w:val="List Table 7 Colorful - Accent 4"/>
    <w:uiPriority w:val="99"/>
    <w:pPr>
      <w:spacing w:after="0" w:line="240" w:lineRule="auto"/>
    </w:pPr>
    <w:tblPr/>
  </w:style>
  <w:style w:type="table" w:styleId="965" w:customStyle="1">
    <w:name w:val="Grid Table 7 Colorful - Accent 5"/>
    <w:uiPriority w:val="99"/>
    <w:pPr>
      <w:spacing w:after="0" w:line="240" w:lineRule="auto"/>
    </w:pPr>
    <w:tblPr/>
  </w:style>
  <w:style w:type="table" w:styleId="966" w:customStyle="1">
    <w:name w:val="Grid Table 7 Colorful - Accent 4"/>
    <w:uiPriority w:val="99"/>
    <w:pPr>
      <w:spacing w:after="0" w:line="240" w:lineRule="auto"/>
    </w:pPr>
    <w:tblPr/>
  </w:style>
  <w:style w:type="table" w:styleId="967" w:customStyle="1">
    <w:name w:val="Grid Table 7 Colorful - Accent 1"/>
    <w:uiPriority w:val="99"/>
    <w:pPr>
      <w:spacing w:after="0" w:line="240" w:lineRule="auto"/>
    </w:pPr>
    <w:tblPr/>
  </w:style>
  <w:style w:type="table" w:styleId="968" w:customStyle="1">
    <w:name w:val="Grid Table 6 Colorful - Accent 6"/>
    <w:uiPriority w:val="99"/>
    <w:pPr>
      <w:spacing w:after="0" w:line="240" w:lineRule="auto"/>
    </w:pPr>
    <w:tblPr/>
  </w:style>
  <w:style w:type="table" w:styleId="969" w:customStyle="1">
    <w:name w:val="Grid Table 6 Colorful - Accent 1"/>
    <w:uiPriority w:val="99"/>
    <w:pPr>
      <w:spacing w:after="0" w:line="240" w:lineRule="auto"/>
    </w:pPr>
    <w:tblPr/>
  </w:style>
  <w:style w:type="table" w:styleId="970" w:customStyle="1">
    <w:name w:val="Grid Table 5 Dark - Accent 6"/>
    <w:uiPriority w:val="99"/>
    <w:qFormat/>
    <w:pPr>
      <w:spacing w:after="0" w:line="240" w:lineRule="auto"/>
    </w:pPr>
    <w:tblPr/>
  </w:style>
  <w:style w:type="table" w:styleId="971" w:customStyle="1">
    <w:name w:val="Grid Table 5 Dark - Accent 5"/>
    <w:uiPriority w:val="99"/>
    <w:pPr>
      <w:spacing w:after="0" w:line="240" w:lineRule="auto"/>
    </w:pPr>
    <w:tblPr/>
  </w:style>
  <w:style w:type="table" w:styleId="972" w:customStyle="1">
    <w:name w:val="Grid Table 5 Dark- Accent 4"/>
    <w:uiPriority w:val="99"/>
    <w:pPr>
      <w:spacing w:after="0" w:line="240" w:lineRule="auto"/>
    </w:pPr>
    <w:tblPr/>
  </w:style>
  <w:style w:type="table" w:styleId="973" w:customStyle="1">
    <w:name w:val="Grid Table 5 Dark- Accent 1"/>
    <w:uiPriority w:val="99"/>
    <w:qFormat/>
    <w:pPr>
      <w:spacing w:after="0" w:line="240" w:lineRule="auto"/>
    </w:pPr>
    <w:tblPr/>
  </w:style>
  <w:style w:type="table" w:styleId="974" w:customStyle="1">
    <w:name w:val="Grid Table 5 Dark"/>
    <w:uiPriority w:val="99"/>
    <w:pPr>
      <w:spacing w:after="0" w:line="240" w:lineRule="auto"/>
    </w:pPr>
    <w:tblPr/>
  </w:style>
  <w:style w:type="table" w:styleId="975" w:customStyle="1">
    <w:name w:val="Lined - Accent 5"/>
    <w:uiPriority w:val="99"/>
    <w:pPr>
      <w:spacing w:after="0" w:line="240" w:lineRule="auto"/>
    </w:pPr>
    <w:rPr>
      <w:color w:val="404040"/>
    </w:rPr>
    <w:tblPr/>
  </w:style>
  <w:style w:type="table" w:styleId="976" w:customStyle="1">
    <w:name w:val="Grid Table 4 - Accent 6"/>
    <w:uiPriority w:val="59"/>
    <w:pPr>
      <w:spacing w:after="0" w:line="240" w:lineRule="auto"/>
    </w:pPr>
    <w:tblPr/>
  </w:style>
  <w:style w:type="table" w:styleId="977" w:customStyle="1">
    <w:name w:val="Grid Table 4 - Accent 5"/>
    <w:uiPriority w:val="59"/>
    <w:pPr>
      <w:spacing w:after="0" w:line="240" w:lineRule="auto"/>
    </w:pPr>
    <w:tblPr/>
  </w:style>
  <w:style w:type="table" w:styleId="978" w:customStyle="1">
    <w:name w:val="List Table 2 - Accent 4"/>
    <w:uiPriority w:val="99"/>
    <w:pPr>
      <w:spacing w:after="0" w:line="240" w:lineRule="auto"/>
    </w:pPr>
    <w:tblPr/>
  </w:style>
  <w:style w:type="table" w:styleId="979" w:customStyle="1">
    <w:name w:val="Grid Table 4 - Accent 3"/>
    <w:uiPriority w:val="59"/>
    <w:pPr>
      <w:spacing w:after="0" w:line="240" w:lineRule="auto"/>
    </w:pPr>
    <w:tblPr/>
  </w:style>
  <w:style w:type="table" w:styleId="980" w:customStyle="1">
    <w:name w:val="List Table 1 Light - Accent 3"/>
    <w:uiPriority w:val="99"/>
    <w:pPr>
      <w:spacing w:after="0" w:line="240" w:lineRule="auto"/>
    </w:pPr>
    <w:tblPr/>
  </w:style>
  <w:style w:type="table" w:styleId="981" w:customStyle="1">
    <w:name w:val="Grid Table 4 - Accent 2"/>
    <w:uiPriority w:val="59"/>
    <w:pPr>
      <w:spacing w:after="0" w:line="240" w:lineRule="auto"/>
    </w:pPr>
    <w:tblPr/>
  </w:style>
  <w:style w:type="table" w:styleId="982" w:customStyle="1">
    <w:name w:val="Grid Table 4"/>
    <w:uiPriority w:val="59"/>
    <w:pPr>
      <w:spacing w:after="0" w:line="240" w:lineRule="auto"/>
    </w:pPr>
    <w:tblPr/>
  </w:style>
  <w:style w:type="table" w:styleId="983" w:customStyle="1">
    <w:name w:val="Grid Table 7 Colorful - Accent 2"/>
    <w:uiPriority w:val="99"/>
    <w:pPr>
      <w:spacing w:after="0" w:line="240" w:lineRule="auto"/>
    </w:pPr>
    <w:tblPr/>
  </w:style>
  <w:style w:type="table" w:styleId="984" w:customStyle="1">
    <w:name w:val="Grid Table 3 - Accent 5"/>
    <w:uiPriority w:val="99"/>
    <w:pPr>
      <w:spacing w:after="0" w:line="240" w:lineRule="auto"/>
    </w:pPr>
    <w:tblPr/>
  </w:style>
  <w:style w:type="table" w:styleId="985" w:customStyle="1">
    <w:name w:val="List Table 5 Dark - Accent 3"/>
    <w:uiPriority w:val="99"/>
    <w:qFormat/>
    <w:pPr>
      <w:spacing w:after="0" w:line="240" w:lineRule="auto"/>
    </w:pPr>
    <w:tblPr/>
  </w:style>
  <w:style w:type="table" w:styleId="986" w:customStyle="1">
    <w:name w:val="Grid Table 3 - Accent 2"/>
    <w:uiPriority w:val="99"/>
    <w:qFormat/>
    <w:pPr>
      <w:spacing w:after="0" w:line="240" w:lineRule="auto"/>
    </w:pPr>
    <w:tblPr/>
  </w:style>
  <w:style w:type="table" w:styleId="987" w:customStyle="1">
    <w:name w:val="Grid Table 3"/>
    <w:uiPriority w:val="99"/>
    <w:qFormat/>
    <w:pPr>
      <w:spacing w:after="0" w:line="240" w:lineRule="auto"/>
    </w:pPr>
    <w:tblPr/>
  </w:style>
  <w:style w:type="table" w:styleId="988" w:customStyle="1">
    <w:name w:val="List Table 1 Light"/>
    <w:uiPriority w:val="99"/>
    <w:qFormat/>
    <w:pPr>
      <w:spacing w:after="0" w:line="240" w:lineRule="auto"/>
    </w:pPr>
    <w:tblPr/>
  </w:style>
  <w:style w:type="table" w:styleId="989" w:customStyle="1">
    <w:name w:val="Grid Table 2 - Accent 6"/>
    <w:uiPriority w:val="99"/>
    <w:qFormat/>
    <w:pPr>
      <w:spacing w:after="0" w:line="240" w:lineRule="auto"/>
    </w:pPr>
    <w:tblPr/>
  </w:style>
  <w:style w:type="table" w:styleId="990" w:customStyle="1">
    <w:name w:val="Grid Table 2 - Accent 4"/>
    <w:uiPriority w:val="99"/>
    <w:pPr>
      <w:spacing w:after="0" w:line="240" w:lineRule="auto"/>
    </w:pPr>
    <w:tblPr/>
  </w:style>
  <w:style w:type="table" w:styleId="991" w:customStyle="1">
    <w:name w:val="List Table 7 Colorful - Accent 5"/>
    <w:uiPriority w:val="99"/>
    <w:pPr>
      <w:spacing w:after="0" w:line="240" w:lineRule="auto"/>
    </w:pPr>
    <w:tblPr/>
  </w:style>
  <w:style w:type="table" w:styleId="992" w:customStyle="1">
    <w:name w:val="Grid Table 2 - Accent 3"/>
    <w:uiPriority w:val="99"/>
    <w:pPr>
      <w:spacing w:after="0" w:line="240" w:lineRule="auto"/>
    </w:pPr>
    <w:tblPr/>
  </w:style>
  <w:style w:type="table" w:styleId="993" w:customStyle="1">
    <w:name w:val="Bordered - Accent 4"/>
    <w:uiPriority w:val="99"/>
    <w:pPr>
      <w:spacing w:after="0" w:line="240" w:lineRule="auto"/>
    </w:pPr>
    <w:tblPr/>
  </w:style>
  <w:style w:type="table" w:styleId="994" w:customStyle="1">
    <w:name w:val="Bordered - Accent 2"/>
    <w:uiPriority w:val="99"/>
    <w:qFormat/>
    <w:pPr>
      <w:spacing w:after="0" w:line="240" w:lineRule="auto"/>
    </w:pPr>
    <w:tblPr/>
  </w:style>
  <w:style w:type="table" w:styleId="995" w:customStyle="1">
    <w:name w:val="Grid Table 2 - Accent 2"/>
    <w:uiPriority w:val="99"/>
    <w:pPr>
      <w:spacing w:after="0" w:line="240" w:lineRule="auto"/>
    </w:pPr>
    <w:tblPr/>
  </w:style>
  <w:style w:type="table" w:styleId="996" w:customStyle="1">
    <w:name w:val="Grid Table 2 - Accent 1"/>
    <w:uiPriority w:val="99"/>
    <w:pPr>
      <w:spacing w:after="0" w:line="240" w:lineRule="auto"/>
    </w:pPr>
    <w:tblPr/>
  </w:style>
  <w:style w:type="table" w:styleId="997" w:customStyle="1">
    <w:name w:val="Grid Table 2"/>
    <w:uiPriority w:val="99"/>
    <w:qFormat/>
    <w:pPr>
      <w:spacing w:after="0" w:line="240" w:lineRule="auto"/>
    </w:pPr>
    <w:tblPr/>
  </w:style>
  <w:style w:type="table" w:styleId="998" w:customStyle="1">
    <w:name w:val="Grid Table 1 Light - Accent 6"/>
    <w:uiPriority w:val="99"/>
    <w:qFormat/>
    <w:pPr>
      <w:spacing w:after="0" w:line="240" w:lineRule="auto"/>
    </w:pPr>
    <w:tblPr/>
  </w:style>
  <w:style w:type="table" w:styleId="999" w:customStyle="1">
    <w:name w:val="Grid Table 6 Colorful - Accent 2"/>
    <w:uiPriority w:val="99"/>
    <w:pPr>
      <w:spacing w:after="0" w:line="240" w:lineRule="auto"/>
    </w:pPr>
    <w:tblPr/>
  </w:style>
  <w:style w:type="table" w:styleId="1000" w:customStyle="1">
    <w:name w:val="Grid Table 1 Light - Accent 4"/>
    <w:uiPriority w:val="99"/>
    <w:qFormat/>
    <w:pPr>
      <w:spacing w:after="0" w:line="240" w:lineRule="auto"/>
    </w:pPr>
    <w:tblPr/>
  </w:style>
  <w:style w:type="table" w:styleId="1001" w:customStyle="1">
    <w:name w:val="Bordered - Accent 6"/>
    <w:uiPriority w:val="99"/>
    <w:qFormat/>
    <w:pPr>
      <w:spacing w:after="0" w:line="240" w:lineRule="auto"/>
    </w:pPr>
    <w:tblPr/>
  </w:style>
  <w:style w:type="table" w:styleId="1002" w:customStyle="1">
    <w:name w:val="Grid Table 1 Light - Accent 2"/>
    <w:uiPriority w:val="99"/>
    <w:pPr>
      <w:spacing w:after="0" w:line="240" w:lineRule="auto"/>
    </w:pPr>
    <w:tblPr/>
  </w:style>
  <w:style w:type="table" w:styleId="1003" w:customStyle="1">
    <w:name w:val="Grid Table 1 Light - Accent 1"/>
    <w:uiPriority w:val="99"/>
    <w:pPr>
      <w:spacing w:after="0" w:line="240" w:lineRule="auto"/>
    </w:pPr>
    <w:tblPr/>
  </w:style>
  <w:style w:type="table" w:styleId="1004" w:customStyle="1">
    <w:name w:val="Grid Table 1 Light"/>
    <w:uiPriority w:val="99"/>
    <w:pPr>
      <w:spacing w:after="0" w:line="240" w:lineRule="auto"/>
    </w:pPr>
    <w:tblPr/>
  </w:style>
  <w:style w:type="table" w:styleId="1005" w:customStyle="1">
    <w:name w:val="Plain Table 3"/>
    <w:uiPriority w:val="99"/>
    <w:qFormat/>
    <w:pPr>
      <w:spacing w:after="0" w:line="240" w:lineRule="auto"/>
    </w:pPr>
    <w:tblPr/>
  </w:style>
  <w:style w:type="table" w:styleId="1006" w:customStyle="1">
    <w:name w:val="Plain Table 1"/>
    <w:uiPriority w:val="59"/>
    <w:pPr>
      <w:spacing w:after="0" w:line="240" w:lineRule="auto"/>
    </w:pPr>
    <w:tblPr/>
  </w:style>
  <w:style w:type="table" w:styleId="1007" w:customStyle="1">
    <w:name w:val="Table Grid Light"/>
    <w:uiPriority w:val="59"/>
    <w:pPr>
      <w:spacing w:after="0" w:line="240" w:lineRule="auto"/>
    </w:pPr>
    <w:tblPr/>
  </w:style>
  <w:style w:type="table" w:styleId="1008" w:customStyle="1">
    <w:name w:val="List Table 1 Light - Accent 1"/>
    <w:uiPriority w:val="99"/>
    <w:qFormat/>
    <w:pPr>
      <w:spacing w:after="0" w:line="240" w:lineRule="auto"/>
    </w:pPr>
    <w:tblPr/>
  </w:style>
  <w:style w:type="table" w:styleId="1009" w:customStyle="1">
    <w:name w:val="Grid Table 6 Colorful - Accent 5"/>
    <w:uiPriority w:val="99"/>
    <w:qFormat/>
    <w:pPr>
      <w:spacing w:after="0" w:line="240" w:lineRule="auto"/>
    </w:pPr>
    <w:tblPr/>
  </w:style>
  <w:style w:type="table" w:styleId="1010" w:customStyle="1">
    <w:name w:val="Grid Table 6 Colorful - Accent 3"/>
    <w:uiPriority w:val="99"/>
    <w:qFormat/>
    <w:pPr>
      <w:spacing w:after="0" w:line="240" w:lineRule="auto"/>
    </w:pPr>
    <w:tblPr/>
  </w:style>
  <w:style w:type="table" w:styleId="1011" w:customStyle="1">
    <w:name w:val="Grid Table 7 Colorful"/>
    <w:uiPriority w:val="99"/>
    <w:qFormat/>
    <w:pPr>
      <w:spacing w:after="0" w:line="240" w:lineRule="auto"/>
    </w:pPr>
    <w:tblPr/>
  </w:style>
  <w:style w:type="table" w:styleId="1012" w:customStyle="1">
    <w:name w:val="Grid Table 2 - Accent 5"/>
    <w:uiPriority w:val="99"/>
    <w:qFormat/>
    <w:pPr>
      <w:spacing w:after="0" w:line="240" w:lineRule="auto"/>
    </w:pPr>
    <w:tblPr/>
  </w:style>
  <w:style w:type="table" w:styleId="1013" w:customStyle="1">
    <w:name w:val="List Table 5 Dark - Accent 4"/>
    <w:uiPriority w:val="99"/>
    <w:qFormat/>
    <w:pPr>
      <w:spacing w:after="0" w:line="240" w:lineRule="auto"/>
    </w:pPr>
    <w:tblPr/>
  </w:style>
  <w:style w:type="table" w:styleId="1014" w:customStyle="1">
    <w:name w:val="Grid Table 7 Colorful - Accent 6"/>
    <w:uiPriority w:val="99"/>
    <w:qFormat/>
    <w:pPr>
      <w:spacing w:after="0" w:line="240" w:lineRule="auto"/>
    </w:pPr>
    <w:tblPr/>
  </w:style>
  <w:style w:type="table" w:styleId="1015" w:customStyle="1">
    <w:name w:val="Table Normal"/>
    <w:uiPriority w:val="0"/>
    <w:unhideWhenUsed/>
    <w:qFormat/>
    <w:tblPr/>
  </w:style>
  <w:style w:type="table" w:styleId="1016" w:customStyle="1">
    <w:name w:val="Bordered - Accent 1"/>
    <w:uiPriority w:val="99"/>
    <w:qFormat/>
    <w:pPr>
      <w:spacing w:after="0" w:line="240" w:lineRule="auto"/>
    </w:pPr>
    <w:tblPr/>
  </w:style>
  <w:style w:type="table" w:styleId="1017" w:customStyle="1">
    <w:name w:val="Grid Table 3 - Accent 6"/>
    <w:uiPriority w:val="99"/>
    <w:qFormat/>
    <w:pPr>
      <w:spacing w:after="0" w:line="240" w:lineRule="auto"/>
    </w:pPr>
    <w:tblPr/>
  </w:style>
  <w:style w:type="table" w:styleId="1018" w:customStyle="1">
    <w:name w:val="List Table 5 Dark - Accent 2"/>
    <w:uiPriority w:val="99"/>
    <w:qFormat/>
    <w:pPr>
      <w:spacing w:after="0" w:line="240" w:lineRule="auto"/>
    </w:pPr>
    <w:tblPr/>
  </w:style>
  <w:style w:type="table" w:styleId="1019" w:customStyle="1">
    <w:name w:val="Grid Table 3 - Accent 4"/>
    <w:uiPriority w:val="99"/>
    <w:qFormat/>
    <w:pPr>
      <w:spacing w:after="0" w:line="240" w:lineRule="auto"/>
    </w:pPr>
    <w:tblPr/>
  </w:style>
  <w:style w:type="table" w:styleId="1020" w:customStyle="1">
    <w:name w:val="Bordered &amp; Lined - Accent 4"/>
    <w:uiPriority w:val="99"/>
    <w:qFormat/>
    <w:pPr>
      <w:spacing w:after="0" w:line="240" w:lineRule="auto"/>
    </w:pPr>
    <w:rPr>
      <w:color w:val="404040"/>
    </w:rPr>
    <w:tblPr/>
  </w:style>
  <w:style w:type="table" w:styleId="1021" w:customStyle="1">
    <w:name w:val="List Table 6 Colorful - Accent 5"/>
    <w:uiPriority w:val="99"/>
    <w:qFormat/>
    <w:pPr>
      <w:spacing w:after="0" w:line="240" w:lineRule="auto"/>
    </w:pPr>
    <w:tblPr/>
  </w:style>
  <w:style w:type="table" w:styleId="1022" w:customStyle="1">
    <w:name w:val="Plain Table 5"/>
    <w:uiPriority w:val="99"/>
    <w:qFormat/>
    <w:pPr>
      <w:spacing w:after="0" w:line="240" w:lineRule="auto"/>
    </w:pPr>
    <w:tblPr/>
  </w:style>
  <w:style w:type="table" w:styleId="1023" w:customStyle="1">
    <w:name w:val="List Table 4"/>
    <w:uiPriority w:val="99"/>
    <w:qFormat/>
    <w:pPr>
      <w:spacing w:after="0" w:line="240" w:lineRule="auto"/>
    </w:pPr>
    <w:tblPr/>
  </w:style>
  <w:style w:type="table" w:styleId="1024" w:customStyle="1">
    <w:name w:val="List Table 3 - Accent 4"/>
    <w:uiPriority w:val="99"/>
    <w:qFormat/>
    <w:pPr>
      <w:spacing w:after="0" w:line="240" w:lineRule="auto"/>
    </w:pPr>
    <w:tblPr/>
  </w:style>
  <w:style w:type="table" w:styleId="1025" w:customStyle="1">
    <w:name w:val="Grid Table 1 Light - Accent 3"/>
    <w:uiPriority w:val="99"/>
    <w:qFormat/>
    <w:pPr>
      <w:spacing w:after="0" w:line="240" w:lineRule="auto"/>
    </w:pPr>
    <w:tblPr/>
  </w:style>
  <w:style w:type="table" w:styleId="1026" w:customStyle="1">
    <w:name w:val="Grid Table 6 Colorful - Accent 4"/>
    <w:uiPriority w:val="99"/>
    <w:qFormat/>
    <w:pPr>
      <w:spacing w:after="0" w:line="240" w:lineRule="auto"/>
    </w:pPr>
    <w:tblPr/>
  </w:style>
  <w:style w:type="table" w:styleId="1027" w:customStyle="1">
    <w:name w:val="Lined - Accent 6"/>
    <w:uiPriority w:val="99"/>
    <w:qFormat/>
    <w:pPr>
      <w:spacing w:after="0" w:line="240" w:lineRule="auto"/>
    </w:pPr>
    <w:rPr>
      <w:color w:val="404040"/>
    </w:rPr>
    <w:tblPr/>
  </w:style>
  <w:style w:type="table" w:styleId="1028" w:customStyle="1">
    <w:name w:val="List Table 6 Colorful - Accent 6"/>
    <w:uiPriority w:val="99"/>
    <w:qFormat/>
    <w:pPr>
      <w:spacing w:after="0" w:line="240" w:lineRule="auto"/>
    </w:pPr>
    <w:tblPr/>
  </w:style>
  <w:style w:type="table" w:styleId="1029" w:customStyle="1">
    <w:name w:val="List Table 5 Dark - Accent 1"/>
    <w:uiPriority w:val="99"/>
    <w:qFormat/>
    <w:pPr>
      <w:spacing w:after="0" w:line="240" w:lineRule="auto"/>
    </w:pPr>
    <w:tblPr/>
  </w:style>
  <w:style w:type="table" w:styleId="1030" w:customStyle="1">
    <w:name w:val="Grid Table 1 Light - Accent 5"/>
    <w:uiPriority w:val="99"/>
    <w:qFormat/>
    <w:pPr>
      <w:spacing w:after="0" w:line="240" w:lineRule="auto"/>
    </w:pPr>
    <w:tblPr/>
  </w:style>
  <w:style w:type="table" w:styleId="1031" w:customStyle="1">
    <w:name w:val="List Table 5 Dark"/>
    <w:uiPriority w:val="99"/>
    <w:qFormat/>
    <w:pPr>
      <w:spacing w:after="0" w:line="240" w:lineRule="auto"/>
    </w:pPr>
    <w:tblPr/>
  </w:style>
  <w:style w:type="table" w:styleId="1032" w:customStyle="1">
    <w:name w:val="List Table 1 Light - Accent 4"/>
    <w:uiPriority w:val="99"/>
    <w:qFormat/>
    <w:pPr>
      <w:spacing w:after="0" w:line="240" w:lineRule="auto"/>
    </w:pPr>
    <w:tblPr/>
  </w:style>
  <w:style w:type="table" w:styleId="1033" w:customStyle="1">
    <w:name w:val="Bordered &amp; Lined - Accent 2"/>
    <w:uiPriority w:val="99"/>
    <w:qFormat/>
    <w:pPr>
      <w:spacing w:after="0" w:line="240" w:lineRule="auto"/>
    </w:pPr>
    <w:rPr>
      <w:color w:val="404040"/>
    </w:rPr>
    <w:tblPr/>
  </w:style>
  <w:style w:type="table" w:styleId="1034" w:customStyle="1">
    <w:name w:val="Grid Table 7 Colorful - Accent 3"/>
    <w:uiPriority w:val="99"/>
    <w:qFormat/>
    <w:pPr>
      <w:spacing w:after="0" w:line="240" w:lineRule="auto"/>
    </w:pPr>
    <w:tblPr/>
  </w:style>
  <w:style w:type="table" w:styleId="1035" w:customStyle="1">
    <w:name w:val="List Table 3 - Accent 5"/>
    <w:uiPriority w:val="99"/>
    <w:qFormat/>
    <w:pPr>
      <w:spacing w:after="0" w:line="240" w:lineRule="auto"/>
    </w:pPr>
    <w:tblPr/>
  </w:style>
  <w:style w:type="table" w:styleId="1036" w:customStyle="1">
    <w:name w:val="Grid Table 4 - Accent 4"/>
    <w:uiPriority w:val="59"/>
    <w:qFormat/>
    <w:pPr>
      <w:spacing w:after="0" w:line="240" w:lineRule="auto"/>
    </w:pPr>
    <w:tblPr/>
  </w:style>
  <w:style w:type="table" w:styleId="1037" w:customStyle="1">
    <w:name w:val="Grid Table 6 Colorful"/>
    <w:uiPriority w:val="99"/>
    <w:qFormat/>
    <w:pPr>
      <w:spacing w:after="0" w:line="240" w:lineRule="auto"/>
    </w:pPr>
    <w:tblPr/>
  </w:style>
  <w:style w:type="table" w:styleId="1038" w:customStyle="1">
    <w:name w:val="List Table 1 Light - Accent 5"/>
    <w:uiPriority w:val="99"/>
    <w:qFormat/>
    <w:pPr>
      <w:spacing w:after="0" w:line="240" w:lineRule="auto"/>
    </w:pPr>
    <w:tblPr/>
  </w:style>
  <w:style w:type="table" w:styleId="1039" w:customStyle="1">
    <w:name w:val="List Table 6 Colorful - Accent 4"/>
    <w:uiPriority w:val="99"/>
    <w:qFormat/>
    <w:pPr>
      <w:spacing w:after="0" w:line="240" w:lineRule="auto"/>
    </w:pPr>
    <w:tblPr/>
  </w:style>
  <w:style w:type="table" w:styleId="1040" w:customStyle="1">
    <w:name w:val="List Table 2 - Accent 1"/>
    <w:uiPriority w:val="99"/>
    <w:qFormat/>
    <w:pPr>
      <w:spacing w:after="0" w:line="240" w:lineRule="auto"/>
    </w:pPr>
    <w:tblPr/>
  </w:style>
  <w:style w:type="table" w:styleId="1041" w:customStyle="1">
    <w:name w:val="Grid Table 5 Dark - Accent 3"/>
    <w:uiPriority w:val="99"/>
    <w:qFormat/>
    <w:pPr>
      <w:spacing w:after="0" w:line="240" w:lineRule="auto"/>
    </w:pPr>
    <w:tblPr/>
  </w:style>
  <w:style w:type="table" w:styleId="1042" w:customStyle="1">
    <w:name w:val="List Table 2"/>
    <w:uiPriority w:val="99"/>
    <w:qFormat/>
    <w:pPr>
      <w:spacing w:after="0" w:line="240" w:lineRule="auto"/>
    </w:pPr>
    <w:tblPr/>
  </w:style>
  <w:style w:type="table" w:styleId="1043" w:customStyle="1">
    <w:name w:val="Grid Table 3 - Accent 1"/>
    <w:uiPriority w:val="99"/>
    <w:qFormat/>
    <w:pPr>
      <w:spacing w:after="0" w:line="240" w:lineRule="auto"/>
    </w:pPr>
    <w:tblPr/>
  </w:style>
  <w:style w:type="table" w:styleId="1044" w:customStyle="1">
    <w:name w:val="Grid Table 4 - Accent 1"/>
    <w:uiPriority w:val="59"/>
    <w:qFormat/>
    <w:pPr>
      <w:spacing w:after="0" w:line="240" w:lineRule="auto"/>
    </w:pPr>
    <w:tblPr/>
  </w:style>
  <w:style w:type="table" w:styleId="1045" w:customStyle="1">
    <w:name w:val="Grid Table 3 - Accent 3"/>
    <w:uiPriority w:val="99"/>
    <w:qFormat/>
    <w:pPr>
      <w:spacing w:after="0" w:line="240" w:lineRule="auto"/>
    </w:pPr>
    <w:tblPr/>
  </w:style>
  <w:style w:type="table" w:styleId="1046" w:customStyle="1">
    <w:name w:val="Plain Table 2"/>
    <w:uiPriority w:val="59"/>
    <w:qFormat/>
    <w:pPr>
      <w:spacing w:after="0" w:line="240" w:lineRule="auto"/>
    </w:pPr>
    <w:tblPr/>
  </w:style>
  <w:style w:type="table" w:styleId="1047" w:customStyle="1">
    <w:name w:val="List Table 7 Colorful - Accent 3"/>
    <w:uiPriority w:val="99"/>
    <w:qFormat/>
    <w:pPr>
      <w:spacing w:after="0" w:line="240" w:lineRule="auto"/>
    </w:pPr>
    <w:tblPr/>
  </w:style>
  <w:style w:type="table" w:styleId="1048" w:customStyle="1">
    <w:name w:val="Bordered &amp; Lined - Accent 1"/>
    <w:uiPriority w:val="99"/>
    <w:qFormat/>
    <w:pPr>
      <w:spacing w:after="0" w:line="240" w:lineRule="auto"/>
    </w:pPr>
    <w:rPr>
      <w:color w:val="404040"/>
    </w:rPr>
    <w:tblPr/>
  </w:style>
  <w:style w:type="table" w:styleId="1049" w:customStyle="1">
    <w:name w:val="Lined - Accent"/>
    <w:uiPriority w:val="99"/>
    <w:qFormat/>
    <w:pPr>
      <w:spacing w:after="0" w:line="240" w:lineRule="auto"/>
    </w:pPr>
    <w:rPr>
      <w:color w:val="404040"/>
    </w:rPr>
    <w:tblPr/>
  </w:style>
  <w:style w:type="table" w:styleId="1050" w:customStyle="1">
    <w:name w:val="Grid Table 5 Dark - Accent 2"/>
    <w:uiPriority w:val="99"/>
    <w:qFormat/>
    <w:pPr>
      <w:spacing w:after="0" w:line="240" w:lineRule="auto"/>
    </w:pPr>
    <w:tblPr/>
  </w:style>
  <w:style w:type="table" w:styleId="1051" w:customStyle="1">
    <w:name w:val="List Table 4 - Accent 4"/>
    <w:uiPriority w:val="99"/>
    <w:qFormat/>
    <w:pPr>
      <w:spacing w:after="0" w:line="240" w:lineRule="auto"/>
    </w:pPr>
    <w:tblPr/>
  </w:style>
  <w:style w:type="table" w:styleId="1052" w:customStyle="1">
    <w:name w:val="Bordered - Accent 5"/>
    <w:uiPriority w:val="99"/>
    <w:qFormat/>
    <w:pPr>
      <w:spacing w:after="0" w:line="240" w:lineRule="auto"/>
    </w:pPr>
    <w:tblPr/>
  </w:style>
  <w:style w:type="table" w:styleId="1053" w:customStyle="1">
    <w:name w:val="List Table 5 Dark - Accent 6"/>
    <w:uiPriority w:val="99"/>
    <w:pPr>
      <w:spacing w:after="0" w:line="240" w:lineRule="auto"/>
    </w:pPr>
    <w:tblPr/>
  </w:style>
  <w:style w:type="table" w:styleId="1054" w:customStyle="1">
    <w:name w:val="Plain Table 4"/>
    <w:uiPriority w:val="99"/>
    <w:qFormat/>
    <w:pPr>
      <w:spacing w:after="0" w:line="240" w:lineRule="auto"/>
    </w:pPr>
    <w:tblPr/>
  </w:style>
  <w:style w:type="paragraph" w:styleId="1055" w:customStyle="1">
    <w:name w:val="Heading 1"/>
    <w:next w:val="724"/>
    <w:uiPriority w:val="0"/>
    <w:qFormat/>
    <w:pPr>
      <w:spacing w:before="240" w:after="120" w:line="360" w:lineRule="auto"/>
      <w:widowControl w:val="off"/>
      <w:outlineLvl w:val="0"/>
    </w:pPr>
    <w:rPr>
      <w:rFonts w:hint="default" w:ascii="宋体" w:hAnsi="宋体" w:eastAsia="宋体" w:cs="宋体"/>
      <w:b/>
      <w:bCs/>
      <w:sz w:val="24"/>
      <w:szCs w:val="30"/>
    </w:rPr>
  </w:style>
  <w:style w:type="paragraph" w:styleId="1056" w:customStyle="1">
    <w:name w:val="Heading 2"/>
    <w:basedOn w:val="724"/>
    <w:next w:val="724"/>
    <w:uiPriority w:val="0"/>
    <w:qFormat/>
    <w:pPr>
      <w:spacing w:after="120" w:line="360" w:lineRule="auto"/>
      <w:outlineLvl w:val="1"/>
    </w:pPr>
    <w:rPr>
      <w:b/>
      <w:sz w:val="24"/>
    </w:rPr>
  </w:style>
  <w:style w:type="numbering" w:styleId="1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www.ccgp.gov.xn--cn-x2tdb125vh72c39b87qfhr7i0a1zf426bs7u6pby4md1im5bowoj7hhj7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王苏琪</cp:lastModifiedBy>
  <cp:revision>8</cp:revision>
  <dcterms:created xsi:type="dcterms:W3CDTF">2023-12-07T06:21:00Z</dcterms:created>
  <dcterms:modified xsi:type="dcterms:W3CDTF">2026-06-18T07:43:50Z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eyJoZGlkIjoiN2U0ZTE2OTBlOTcyMTAxOGE0NzkxNmQyNTBiNzA2YmEiLCJ1c2VySWQiOiIzMjcwMDg0NDkifQ==</vt:lpwstr>
  </property>
  <property fmtid="{D5CDD505-2E9C-101B-9397-08002B2CF9AE}" pid="3" name="KSOProductBuildVer">
    <vt:lpwstr>2052-12.1.0.26895</vt:lpwstr>
  </property>
  <property fmtid="{D5CDD505-2E9C-101B-9397-08002B2CF9AE}" pid="4" name="ICV">
    <vt:lpwstr>FCC577CAFAD4459299159795490721B4_13</vt:lpwstr>
  </property>
</Properties>
</file>