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rPr>
        <w:t xml:space="preserve">南通市经济技术开发区2026年-2028年自然资源和规划测绘服务单位采购项目</w:t>
      </w:r>
      <w:r/>
    </w:p>
    <w:p>
      <w:pPr>
        <w:pStyle w:val="734"/>
        <w:spacing w:line="360" w:lineRule="auto"/>
        <w:rPr>
          <w:rFonts w:hint="eastAsia" w:ascii="黑体" w:hAnsi="黑体" w:eastAsia="黑体" w:cs="黑体"/>
          <w:color w:val="auto"/>
          <w:highlight w:val="none"/>
        </w:rPr>
      </w:pPr>
      <w:r>
        <w:rPr>
          <w:rFonts w:hint="eastAsia" w:ascii="黑体" w:hAnsi="黑体" w:eastAsia="黑体" w:cs="黑体"/>
          <w:color w:val="auto"/>
          <w:highlight w:val="none"/>
        </w:rPr>
      </w:r>
      <w:r/>
    </w:p>
    <w:p>
      <w:pPr>
        <w:jc w:val="center"/>
        <w:spacing w:line="360" w:lineRule="auto"/>
        <w:rPr>
          <w:rFonts w:hint="eastAsia" w:ascii="黑体" w:hAnsi="黑体" w:eastAsia="黑体" w:cs="黑体"/>
          <w:bCs/>
          <w:color w:val="auto"/>
          <w:sz w:val="52"/>
          <w:szCs w:val="52"/>
          <w:highlight w:val="none"/>
        </w:rPr>
      </w:pPr>
      <w:r>
        <w:rPr>
          <w:rFonts w:hint="eastAsia" w:ascii="黑体" w:hAnsi="黑体" w:eastAsia="黑体" w:cs="黑体"/>
          <w:bCs/>
          <w:color w:val="auto"/>
          <w:sz w:val="52"/>
          <w:szCs w:val="52"/>
          <w:highlight w:val="none"/>
        </w:rPr>
        <w:t xml:space="preserve">政府采购招标文件</w:t>
      </w:r>
      <w:r/>
    </w:p>
    <w:p>
      <w:pPr>
        <w:pStyle w:val="932"/>
        <w:spacing w:line="360" w:lineRule="auto"/>
        <w:rPr>
          <w:rFonts w:hint="eastAsia" w:ascii="黑体" w:hAnsi="黑体" w:eastAsia="黑体" w:cs="黑体"/>
          <w:b w:val="0"/>
          <w:bCs/>
          <w:color w:val="auto"/>
          <w:sz w:val="36"/>
          <w:szCs w:val="36"/>
          <w:highlight w:val="none"/>
        </w:rPr>
      </w:pPr>
      <w:r>
        <w:rPr>
          <w:rFonts w:hint="eastAsia" w:ascii="黑体" w:hAnsi="黑体" w:eastAsia="黑体" w:cs="黑体"/>
          <w:b w:val="0"/>
          <w:bCs/>
          <w:color w:val="auto"/>
          <w:sz w:val="36"/>
          <w:szCs w:val="36"/>
          <w:highlight w:val="none"/>
        </w:rPr>
      </w:r>
      <w:r/>
    </w:p>
    <w:p>
      <w:pPr>
        <w:pStyle w:val="932"/>
        <w:ind w:firstLine="1440"/>
        <w:jc w:val="both"/>
        <w:spacing w:line="360" w:lineRule="auto"/>
        <w:rPr>
          <w:rFonts w:hint="eastAsia" w:ascii="黑体" w:hAnsi="黑体" w:eastAsia="黑体" w:cs="黑体"/>
          <w:b w:val="0"/>
          <w:bCs/>
          <w:color w:val="auto"/>
          <w:sz w:val="36"/>
          <w:szCs w:val="36"/>
          <w:highlight w:val="none"/>
        </w:rPr>
      </w:pPr>
      <w:r>
        <w:rPr>
          <w:rFonts w:hint="eastAsia" w:ascii="黑体" w:hAnsi="黑体" w:eastAsia="黑体" w:cs="黑体"/>
          <w:b w:val="0"/>
          <w:bCs/>
          <w:color w:val="auto"/>
          <w:sz w:val="36"/>
          <w:szCs w:val="36"/>
          <w:highlight w:val="none"/>
        </w:rPr>
        <w:t xml:space="preserve">项目编号：JSZC-320690-NTRT-G2026-0004</w:t>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47.0pt;mso-position-horizontal:absolute;mso-position-vertical-relative:text;margin-top:25.2pt;mso-position-vertical:absolute;width:183.8pt;height:140.9pt;mso-wrap-distance-left:9.0pt;mso-wrap-distance-top:0.0pt;mso-wrap-distance-right:9.0pt;mso-wrap-distance-bottom:0.0pt;" filled="f" stroked="f">
            <v:path textboxrect="0,0,0,0"/>
            <w10:wrap type="topAndBottom"/>
            <v:imagedata r:id="rId12" o:title=""/>
          </v:shape>
          <o:OLEObject DrawAspect="Content" r:id="rId13" ObjectID="_1525041" ProgID="MS_ClipArt_Gallery" ShapeID="_x0000_i1" Type="Embed"/>
        </w:object>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pacing w:val="-12"/>
          <w:sz w:val="28"/>
          <w:szCs w:val="28"/>
          <w:highlight w:val="none"/>
        </w:rPr>
      </w:pPr>
      <w:r>
        <w:rPr>
          <w:rFonts w:hint="eastAsia" w:ascii="黑体" w:hAnsi="黑体" w:eastAsia="黑体" w:cs="黑体"/>
          <w:bCs/>
          <w:color w:val="auto"/>
          <w:spacing w:val="-12"/>
          <w:sz w:val="28"/>
          <w:szCs w:val="28"/>
          <w:highlight w:val="none"/>
        </w:rPr>
      </w:r>
      <w:r/>
    </w:p>
    <w:p>
      <w:pPr>
        <w:ind w:firstLine="1792"/>
        <w:spacing w:line="360" w:lineRule="auto"/>
        <w:rPr>
          <w:rFonts w:hint="eastAsia" w:ascii="黑体" w:hAnsi="黑体" w:eastAsia="黑体" w:cs="黑体"/>
          <w:bCs/>
          <w:color w:val="auto"/>
          <w:spacing w:val="-12"/>
          <w:sz w:val="28"/>
          <w:szCs w:val="28"/>
          <w:highlight w:val="none"/>
        </w:rPr>
      </w:pPr>
      <w:r>
        <w:rPr>
          <w:rFonts w:hint="eastAsia" w:ascii="黑体" w:hAnsi="黑体" w:eastAsia="黑体" w:cs="黑体"/>
          <w:bCs/>
          <w:color w:val="auto"/>
          <w:spacing w:val="-12"/>
          <w:sz w:val="28"/>
          <w:szCs w:val="28"/>
          <w:highlight w:val="none"/>
        </w:rPr>
        <w:t xml:space="preserve">采购人: 南通市自然资源和规划局开发区分局</w:t>
      </w:r>
      <w:r/>
    </w:p>
    <w:p>
      <w:pPr>
        <w:ind w:firstLine="1792"/>
        <w:spacing w:line="360" w:lineRule="auto"/>
        <w:rPr>
          <w:rFonts w:hint="eastAsia" w:ascii="黑体" w:hAnsi="黑体" w:eastAsia="黑体" w:cs="黑体"/>
          <w:bCs/>
          <w:color w:val="auto"/>
          <w:spacing w:val="-12"/>
          <w:sz w:val="28"/>
          <w:szCs w:val="28"/>
          <w:highlight w:val="none"/>
        </w:rPr>
      </w:pPr>
      <w:r>
        <w:rPr>
          <w:rFonts w:hint="eastAsia" w:ascii="黑体" w:hAnsi="黑体" w:eastAsia="黑体" w:cs="黑体"/>
          <w:bCs/>
          <w:color w:val="auto"/>
          <w:spacing w:val="-12"/>
          <w:sz w:val="28"/>
          <w:szCs w:val="28"/>
          <w:highlight w:val="none"/>
        </w:rPr>
        <w:t xml:space="preserve">招标代理机构:南通润通项目管理有限公司  </w:t>
      </w:r>
      <w:r/>
    </w:p>
    <w:p>
      <w:pPr>
        <w:ind w:firstLine="1792"/>
        <w:spacing w:line="360" w:lineRule="auto"/>
        <w:rPr>
          <w:rFonts w:hint="eastAsia" w:ascii="黑体" w:hAnsi="黑体" w:eastAsia="黑体" w:cs="黑体"/>
          <w:bCs/>
          <w:color w:val="auto"/>
          <w:sz w:val="28"/>
          <w:szCs w:val="28"/>
          <w:highlight w:val="none"/>
          <w:u w:val="single"/>
        </w:rPr>
      </w:pPr>
      <w:r>
        <w:rPr>
          <w:rFonts w:hint="eastAsia" w:ascii="黑体" w:hAnsi="黑体" w:eastAsia="黑体" w:cs="黑体"/>
          <w:bCs/>
          <w:color w:val="auto"/>
          <w:spacing w:val="-12"/>
          <w:sz w:val="28"/>
          <w:szCs w:val="28"/>
          <w:highlight w:val="none"/>
        </w:rPr>
        <w:t xml:space="preserve">日         期 : 2026年</w:t>
      </w:r>
      <w:r>
        <w:rPr>
          <w:rFonts w:hint="eastAsia" w:ascii="黑体" w:hAnsi="黑体" w:eastAsia="黑体" w:cs="黑体"/>
          <w:bCs/>
          <w:color w:val="auto"/>
          <w:spacing w:val="-12"/>
          <w:sz w:val="28"/>
          <w:szCs w:val="28"/>
          <w:highlight w:val="none"/>
          <w:lang w:val="en-US" w:eastAsia="zh-CN"/>
        </w:rPr>
        <w:t xml:space="preserve">6</w:t>
      </w:r>
      <w:r>
        <w:rPr>
          <w:rFonts w:hint="eastAsia" w:ascii="黑体" w:hAnsi="黑体" w:eastAsia="黑体" w:cs="黑体"/>
          <w:bCs/>
          <w:color w:val="auto"/>
          <w:spacing w:val="-12"/>
          <w:sz w:val="28"/>
          <w:szCs w:val="28"/>
          <w:highlight w:val="none"/>
        </w:rPr>
        <w:t xml:space="preserve">月</w:t>
      </w:r>
      <w:r>
        <w:rPr>
          <w:rFonts w:hint="eastAsia" w:ascii="黑体" w:hAnsi="黑体" w:eastAsia="黑体" w:cs="黑体"/>
          <w:bCs/>
          <w:color w:val="auto"/>
          <w:spacing w:val="-12"/>
          <w:sz w:val="28"/>
          <w:szCs w:val="28"/>
          <w:highlight w:val="none"/>
        </w:rPr>
        <w:t xml:space="preserve">5日</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br w:type="page" w:clear="all"/>
      </w:r>
      <w:r>
        <w:rPr>
          <w:rFonts w:hint="eastAsia" w:ascii="黑体" w:hAnsi="黑体" w:eastAsia="黑体" w:cs="黑体"/>
          <w:bCs/>
          <w:color w:val="auto"/>
          <w:sz w:val="28"/>
          <w:szCs w:val="28"/>
          <w:highlight w:val="none"/>
        </w:rPr>
        <mc:AlternateContent>
          <mc:Choice Requires="wpg">
            <w:drawing>
              <wp:inline xmlns:wp="http://schemas.openxmlformats.org/drawingml/2006/wordprocessingDrawing" distT="0" distB="0" distL="0" distR="0">
                <wp:extent cx="5944870" cy="7879715"/>
                <wp:effectExtent l="0" t="0" r="0" b="0"/>
                <wp:docPr id="3" name="图片 1" descr="2dee678136226cfa11a087d480448d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dee678136226cfa11a087d480448d7e"/>
                        <pic:cNvPicPr>
                          <a:picLocks noChangeAspect="1"/>
                        </pic:cNvPicPr>
                        <pic:nvPr/>
                      </pic:nvPicPr>
                      <pic:blipFill>
                        <a:blip r:embed="rId14"/>
                        <a:srcRect l="863" t="547" r="2998" b="3903"/>
                        <a:stretch/>
                      </pic:blipFill>
                      <pic:spPr bwMode="auto">
                        <a:xfrm>
                          <a:off x="0" y="0"/>
                          <a:ext cx="5944870" cy="78797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8.1pt;height:620.4pt;mso-wrap-distance-left:0.0pt;mso-wrap-distance-top:0.0pt;mso-wrap-distance-right:0.0pt;mso-wrap-distance-bottom:0.0pt;" stroked="false">
                <v:path textboxrect="0,0,0,0"/>
                <v:imagedata r:id="rId14" o:title=""/>
              </v:shape>
            </w:pict>
          </mc:Fallback>
        </mc:AlternateContent>
      </w:r>
      <w:r>
        <w:rPr>
          <w:rFonts w:hint="eastAsia" w:ascii="黑体" w:hAnsi="黑体" w:eastAsia="黑体" w:cs="黑体"/>
          <w:bCs/>
          <w:color w:val="auto"/>
          <w:sz w:val="28"/>
          <w:szCs w:val="28"/>
          <w:highlight w:val="none"/>
        </w:rPr>
        <w:br w:type="page" w:clear="all"/>
      </w:r>
      <w:r/>
    </w:p>
    <w:p>
      <w:pPr>
        <w:jc w:val="center"/>
        <w:spacing w:line="360" w:lineRule="auto"/>
        <w:rPr>
          <w:rFonts w:hint="eastAsia" w:ascii="黑体" w:hAnsi="黑体" w:eastAsia="黑体" w:cs="黑体"/>
          <w:bCs/>
          <w:color w:val="auto"/>
          <w:sz w:val="36"/>
          <w:szCs w:val="36"/>
          <w:highlight w:val="none"/>
        </w:rPr>
      </w:pPr>
      <w:r>
        <w:rPr>
          <w:rFonts w:hint="eastAsia" w:ascii="黑体" w:hAnsi="黑体" w:eastAsia="黑体" w:cs="黑体"/>
          <w:bCs/>
          <w:color w:val="auto"/>
          <w:sz w:val="36"/>
          <w:szCs w:val="36"/>
          <w:highlight w:val="none"/>
        </w:rPr>
        <w:t xml:space="preserve">目 录</w:t>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ind w:firstLine="640"/>
        <w:spacing w:line="360" w:lineRule="auto"/>
        <w:tabs>
          <w:tab w:val="left" w:pos="7740" w:leader="none"/>
        </w:tabs>
        <w:rPr>
          <w:rFonts w:hint="eastAsia" w:ascii="黑体" w:hAnsi="黑体" w:eastAsia="黑体" w:cs="黑体"/>
          <w:bCs/>
          <w:color w:val="auto"/>
          <w:spacing w:val="2"/>
          <w:sz w:val="28"/>
          <w:szCs w:val="28"/>
          <w:highlight w:val="none"/>
        </w:rPr>
      </w:pPr>
      <w:r>
        <w:rPr>
          <w:rFonts w:hint="eastAsia" w:ascii="黑体" w:hAnsi="黑体" w:eastAsia="黑体" w:cs="黑体"/>
          <w:bCs/>
          <w:color w:val="auto"/>
          <w:sz w:val="28"/>
          <w:szCs w:val="28"/>
          <w:highlight w:val="none"/>
        </w:rPr>
        <w:t xml:space="preserve">第一部分  投标邀请</w:t>
      </w:r>
      <w:r/>
    </w:p>
    <w:p>
      <w:pPr>
        <w:ind w:firstLine="640"/>
        <w:spacing w:line="360" w:lineRule="auto"/>
        <w:tabs>
          <w:tab w:val="left" w:pos="7740" w:leader="none"/>
        </w:tabs>
        <w:rPr>
          <w:rFonts w:hint="eastAsia" w:ascii="黑体" w:hAnsi="黑体" w:eastAsia="黑体" w:cs="黑体"/>
          <w:bCs/>
          <w:color w:val="auto"/>
          <w:spacing w:val="2"/>
          <w:sz w:val="28"/>
          <w:szCs w:val="28"/>
          <w:highlight w:val="none"/>
        </w:rPr>
      </w:pPr>
      <w:r>
        <w:rPr>
          <w:rFonts w:hint="eastAsia" w:ascii="黑体" w:hAnsi="黑体" w:eastAsia="黑体" w:cs="黑体"/>
          <w:bCs/>
          <w:color w:val="auto"/>
          <w:sz w:val="28"/>
          <w:szCs w:val="28"/>
          <w:highlight w:val="none"/>
        </w:rPr>
        <w:t xml:space="preserve">第二部分  投标须知</w:t>
      </w:r>
      <w:r/>
    </w:p>
    <w:p>
      <w:pPr>
        <w:ind w:firstLine="640"/>
        <w:spacing w:line="360" w:lineRule="auto"/>
        <w:tabs>
          <w:tab w:val="left" w:pos="7740" w:leader="none"/>
        </w:tabs>
        <w:rPr>
          <w:rFonts w:hint="eastAsia" w:ascii="黑体" w:hAnsi="黑体" w:eastAsia="黑体" w:cs="黑体"/>
          <w:bCs/>
          <w:color w:val="auto"/>
          <w:spacing w:val="2"/>
          <w:sz w:val="28"/>
          <w:szCs w:val="28"/>
          <w:highlight w:val="none"/>
        </w:rPr>
      </w:pPr>
      <w:r>
        <w:rPr>
          <w:rFonts w:hint="eastAsia" w:ascii="黑体" w:hAnsi="黑体" w:eastAsia="黑体" w:cs="黑体"/>
          <w:bCs/>
          <w:color w:val="auto"/>
          <w:sz w:val="28"/>
          <w:szCs w:val="28"/>
          <w:highlight w:val="none"/>
        </w:rPr>
        <w:t xml:space="preserve">第三部分  项目需求</w:t>
      </w:r>
      <w:r/>
    </w:p>
    <w:p>
      <w:pPr>
        <w:ind w:firstLine="640"/>
        <w:spacing w:line="360" w:lineRule="auto"/>
        <w:tabs>
          <w:tab w:val="left" w:pos="7740" w:leader="none"/>
        </w:tabs>
        <w:rPr>
          <w:rFonts w:hint="eastAsia" w:ascii="黑体" w:hAnsi="黑体" w:eastAsia="黑体" w:cs="黑体"/>
          <w:bCs/>
          <w:color w:val="auto"/>
          <w:spacing w:val="2"/>
          <w:sz w:val="28"/>
          <w:szCs w:val="28"/>
          <w:highlight w:val="none"/>
        </w:rPr>
      </w:pPr>
      <w:r>
        <w:rPr>
          <w:rFonts w:hint="eastAsia" w:ascii="黑体" w:hAnsi="黑体" w:eastAsia="黑体" w:cs="黑体"/>
          <w:bCs/>
          <w:color w:val="auto"/>
          <w:sz w:val="28"/>
          <w:szCs w:val="28"/>
          <w:highlight w:val="none"/>
        </w:rPr>
        <w:t xml:space="preserve">第四部分  开标和评标</w:t>
      </w:r>
      <w:r/>
    </w:p>
    <w:p>
      <w:pPr>
        <w:ind w:firstLine="640"/>
        <w:spacing w:line="360" w:lineRule="auto"/>
        <w:tabs>
          <w:tab w:val="left" w:pos="7740" w:leader="none"/>
        </w:tabs>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第五部分  投标文件组成</w:t>
      </w:r>
      <w:r/>
    </w:p>
    <w:p>
      <w:pPr>
        <w:ind w:firstLine="640"/>
        <w:spacing w:line="360" w:lineRule="auto"/>
        <w:tabs>
          <w:tab w:val="left" w:pos="7740" w:leader="none"/>
        </w:tabs>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第六部分  政府采购合同</w:t>
      </w:r>
      <w:r/>
    </w:p>
    <w:p>
      <w:pPr>
        <w:ind w:firstLine="640"/>
        <w:spacing w:line="360" w:lineRule="auto"/>
        <w:tabs>
          <w:tab w:val="left" w:pos="7740" w:leader="none"/>
        </w:tabs>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spacing w:line="360" w:lineRule="auto"/>
        <w:tabs>
          <w:tab w:val="left" w:pos="7740" w:leader="none"/>
        </w:tabs>
        <w:rPr>
          <w:rFonts w:hint="eastAsia" w:ascii="黑体" w:hAnsi="黑体" w:eastAsia="黑体" w:cs="黑体"/>
          <w:bCs/>
          <w:color w:val="auto"/>
          <w:spacing w:val="2"/>
          <w:sz w:val="28"/>
          <w:szCs w:val="28"/>
          <w:highlight w:val="none"/>
        </w:rPr>
      </w:pPr>
      <w:r>
        <w:rPr>
          <w:rFonts w:hint="eastAsia" w:ascii="黑体" w:hAnsi="黑体" w:eastAsia="黑体" w:cs="黑体"/>
          <w:bCs/>
          <w:color w:val="auto"/>
          <w:spacing w:val="2"/>
          <w:sz w:val="28"/>
          <w:szCs w:val="28"/>
          <w:highlight w:val="none"/>
        </w:rPr>
      </w:r>
      <w:r/>
    </w:p>
    <w:p>
      <w:pPr>
        <w:spacing w:line="360" w:lineRule="auto"/>
        <w:tabs>
          <w:tab w:val="left" w:pos="7740" w:leader="none"/>
        </w:tabs>
        <w:rPr>
          <w:rFonts w:hint="eastAsia" w:ascii="黑体" w:hAnsi="黑体" w:eastAsia="黑体" w:cs="黑体"/>
          <w:bCs/>
          <w:color w:val="auto"/>
          <w:spacing w:val="2"/>
          <w:sz w:val="28"/>
          <w:szCs w:val="28"/>
          <w:highlight w:val="none"/>
        </w:rPr>
      </w:pPr>
      <w:r>
        <w:rPr>
          <w:rFonts w:hint="eastAsia" w:ascii="黑体" w:hAnsi="黑体" w:eastAsia="黑体" w:cs="黑体"/>
          <w:bCs/>
          <w:color w:val="auto"/>
          <w:spacing w:val="2"/>
          <w:sz w:val="28"/>
          <w:szCs w:val="28"/>
          <w:highlight w:val="none"/>
        </w:rPr>
      </w:r>
      <w:r/>
    </w:p>
    <w:p>
      <w:pPr>
        <w:spacing w:line="360" w:lineRule="auto"/>
        <w:tabs>
          <w:tab w:val="left" w:pos="7740" w:leader="none"/>
        </w:tabs>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outlineLvl w:val="0"/>
      </w:pPr>
      <w:r>
        <w:rPr>
          <w:rFonts w:hint="eastAsia" w:ascii="黑体" w:hAnsi="黑体" w:eastAsia="黑体" w:cs="黑体"/>
          <w:bCs/>
          <w:color w:val="auto"/>
          <w:sz w:val="28"/>
          <w:szCs w:val="28"/>
          <w:highlight w:val="none"/>
        </w:rPr>
      </w:r>
      <w:r/>
    </w:p>
    <w:p>
      <w:pPr>
        <w:jc w:val="center"/>
        <w:spacing w:line="360" w:lineRule="auto"/>
        <w:rPr>
          <w:rFonts w:hint="eastAsia" w:ascii="黑体" w:hAnsi="黑体" w:eastAsia="黑体" w:cs="黑体"/>
          <w:bCs/>
          <w:color w:val="auto"/>
          <w:sz w:val="36"/>
          <w:szCs w:val="36"/>
          <w:highlight w:val="none"/>
        </w:rPr>
        <w:outlineLvl w:val="0"/>
      </w:pPr>
      <w:r>
        <w:rPr>
          <w:rFonts w:hint="eastAsia" w:ascii="黑体" w:hAnsi="黑体" w:eastAsia="黑体" w:cs="黑体"/>
          <w:bCs/>
          <w:color w:val="auto"/>
          <w:sz w:val="28"/>
          <w:szCs w:val="28"/>
          <w:highlight w:val="none"/>
        </w:rPr>
        <w:br w:type="page" w:clear="all"/>
      </w:r>
      <w:r>
        <w:rPr>
          <w:rFonts w:hint="eastAsia" w:ascii="黑体" w:hAnsi="黑体" w:eastAsia="黑体" w:cs="黑体"/>
          <w:bCs/>
          <w:color w:val="auto"/>
          <w:sz w:val="36"/>
          <w:szCs w:val="36"/>
          <w:highlight w:val="none"/>
        </w:rPr>
        <w:t xml:space="preserve">第一部分  </w:t>
      </w:r>
      <w:bookmarkStart w:id="0" w:name="OLE_LINK7"/>
      <w:r/>
      <w:bookmarkStart w:id="1" w:name="OLE_LINK5"/>
      <w:r>
        <w:rPr>
          <w:rFonts w:hint="eastAsia" w:ascii="黑体" w:hAnsi="黑体" w:eastAsia="黑体" w:cs="黑体"/>
          <w:bCs/>
          <w:color w:val="auto"/>
          <w:sz w:val="36"/>
          <w:szCs w:val="36"/>
          <w:highlight w:val="none"/>
        </w:rPr>
        <w:t xml:space="preserve">投标邀请</w:t>
      </w:r>
      <w:r/>
    </w:p>
    <w:p>
      <w:pPr>
        <w:ind w:firstLine="560"/>
        <w:jc w:val="left"/>
        <w:spacing w:line="360" w:lineRule="auto"/>
        <w:rPr>
          <w:rFonts w:hint="eastAsia" w:ascii="黑体" w:hAnsi="黑体" w:eastAsia="黑体" w:cs="黑体"/>
          <w:bCs/>
          <w:color w:val="auto"/>
          <w:sz w:val="28"/>
          <w:szCs w:val="28"/>
          <w:highlight w:val="none"/>
        </w:rPr>
      </w:pPr>
      <w:r/>
      <w:bookmarkStart w:id="2" w:name="OLE_LINK6"/>
      <w:r>
        <w:rPr>
          <w:rFonts w:hint="eastAsia" w:ascii="黑体" w:hAnsi="黑体" w:eastAsia="黑体" w:cs="黑体"/>
          <w:bCs/>
          <w:color w:val="auto"/>
          <w:sz w:val="28"/>
          <w:szCs w:val="28"/>
          <w:highlight w:val="none"/>
        </w:rPr>
        <w:t xml:space="preserve">受南通市自然资源和规划局开发区分局的委托，南通润通项目管理有限公司就南通市经济技术开发区2026年-2028年自然资源和规划测绘服务单位采购项目(项目编号:JSZC-320690-NTRT-G2026-0004)进行公开招标采购，欢迎符合条件的投标单位投标。</w:t>
      </w:r>
      <w:r/>
    </w:p>
    <w:p>
      <w:pPr>
        <w:ind w:firstLine="560"/>
        <w:spacing w:line="360" w:lineRule="auto"/>
        <w:rPr>
          <w:rFonts w:hint="eastAsia" w:ascii="黑体" w:hAnsi="黑体" w:eastAsia="黑体" w:cs="黑体"/>
          <w:bCs/>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bCs/>
          <w:color w:val="auto"/>
          <w:sz w:val="28"/>
          <w:szCs w:val="28"/>
          <w:highlight w:val="none"/>
        </w:rPr>
        <w:t xml:space="preserve">项目概况</w:t>
      </w:r>
      <w:r/>
    </w:p>
    <w:p>
      <w:pPr>
        <w:ind w:firstLine="560"/>
        <w:spacing w:line="360" w:lineRule="auto"/>
        <w:rPr>
          <w:rFonts w:hint="eastAsia" w:ascii="黑体" w:hAnsi="黑体" w:eastAsia="黑体" w:cs="黑体"/>
          <w:bCs/>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bCs/>
          <w:color w:val="auto"/>
          <w:sz w:val="28"/>
          <w:szCs w:val="28"/>
          <w:highlight w:val="none"/>
        </w:rPr>
        <w:t xml:space="preserve">南通市经济技术开发区2026年-2028年自然资源和规划测绘服务单位采购项目的潜在投标人应在江苏政府采购网获取招标文件，并于2026</w:t>
      </w:r>
      <w:r>
        <w:rPr>
          <w:rFonts w:hint="eastAsia" w:ascii="黑体" w:hAnsi="黑体" w:eastAsia="黑体" w:cs="黑体"/>
          <w:bCs/>
          <w:color w:val="auto"/>
          <w:sz w:val="28"/>
          <w:szCs w:val="28"/>
          <w:highlight w:val="none"/>
        </w:rPr>
        <w:t xml:space="preserve">年7月1日9点30分（北京时间）前递交投标文件。</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一、项目基本情况</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1、项目编号：JSZC-320690-NTRT-G2026-0004   </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2、项目名称：南通市经济技术开发区2026年-2028年自然资源和规划测绘服务单位采购项目</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3、采购方式：公开招标</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4、项目类型：服务</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5、所属行业：其他未列明行业</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6、预算金额：50.00万元/年*3年</w:t>
      </w:r>
      <w:r/>
    </w:p>
    <w:p>
      <w:pPr>
        <w:pStyle w:val="724"/>
        <w:ind w:firstLine="560"/>
        <w:spacing w:before="0" w:after="0"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7、最高限价：本项目按单价报价，单项最高限价为： 0.10 元/㎡，投标报价超过最高限价单价的为无效报价，按照无效投标处理。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8、采购需求：</w:t>
      </w:r>
      <w:bookmarkStart w:id="3" w:name="OLE_LINK20"/>
      <w:r>
        <w:rPr>
          <w:rFonts w:hint="eastAsia" w:ascii="黑体" w:hAnsi="黑体" w:eastAsia="黑体" w:cs="黑体"/>
          <w:bCs/>
          <w:color w:val="auto"/>
          <w:sz w:val="28"/>
          <w:szCs w:val="28"/>
          <w:highlight w:val="none"/>
        </w:rPr>
        <w:t xml:space="preserve">详见项目需求</w:t>
      </w:r>
      <w:bookmarkEnd w:id="3"/>
      <w:r>
        <w:rPr>
          <w:rFonts w:hint="eastAsia" w:ascii="黑体" w:hAnsi="黑体" w:eastAsia="黑体" w:cs="黑体"/>
          <w:bCs/>
          <w:color w:val="auto"/>
          <w:sz w:val="28"/>
          <w:szCs w:val="28"/>
          <w:highlight w:val="none"/>
        </w:rPr>
        <w:t xml:space="preserve">。</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9、合同履行期限：自合同签订起叁年。若成交单位在合同期限内未达到采购方的要求及标准，采购人有权取消合同。</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10、本项目是否接受联合体：不接受。</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11、本项目不接受分包。</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二、申请人的资格要求</w:t>
      </w:r>
      <w:r/>
    </w:p>
    <w:p>
      <w:pPr>
        <w:ind w:firstLine="560"/>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1、满足《中华人民共和国政府采购法》第二十二条规定；</w:t>
      </w:r>
      <w:r/>
    </w:p>
    <w:p>
      <w:pPr>
        <w:ind w:firstLine="560"/>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2、落实政府采购政策需满足的资格要求：本项目为专门面向中小微企业采购项目（须按照财库〔2020〕46号文要求提供中小企业声明函，格式见附件）</w:t>
      </w:r>
      <w:r/>
    </w:p>
    <w:p>
      <w:pPr>
        <w:ind w:firstLine="560"/>
        <w:spacing w:line="360" w:lineRule="auto"/>
        <w:rPr>
          <w:rFonts w:hint="eastAsia" w:ascii="黑体" w:hAnsi="黑体" w:eastAsia="黑体" w:cs="黑体"/>
          <w:color w:val="auto"/>
          <w:sz w:val="28"/>
          <w:szCs w:val="28"/>
          <w:highlight w:val="none"/>
          <w:shd w:val="clear" w:color="auto" w:fill="ffffff"/>
        </w:rPr>
      </w:pPr>
      <w:r>
        <w:rPr>
          <w:rFonts w:hint="eastAsia" w:ascii="黑体" w:hAnsi="黑体" w:eastAsia="黑体" w:cs="黑体"/>
          <w:bCs/>
          <w:color w:val="auto"/>
          <w:sz w:val="28"/>
          <w:szCs w:val="28"/>
          <w:highlight w:val="none"/>
        </w:rPr>
        <w:t xml:space="preserve">本项目采购标的对应的中小企业划分标准所属行业</w:t>
      </w:r>
      <w:r>
        <w:rPr>
          <w:rFonts w:hint="eastAsia" w:ascii="黑体" w:hAnsi="黑体" w:eastAsia="黑体" w:cs="黑体"/>
          <w:bCs/>
          <w:color w:val="auto"/>
          <w:sz w:val="28"/>
          <w:szCs w:val="28"/>
          <w:highlight w:val="none"/>
          <w:u w:val="single"/>
        </w:rPr>
        <w:t xml:space="preserve">为其他未列明行业</w:t>
      </w:r>
      <w:r>
        <w:rPr>
          <w:rFonts w:hint="eastAsia" w:ascii="黑体" w:hAnsi="黑体" w:eastAsia="黑体" w:cs="黑体"/>
          <w:bCs/>
          <w:color w:val="auto"/>
          <w:sz w:val="28"/>
          <w:szCs w:val="28"/>
          <w:highlight w:val="none"/>
        </w:rPr>
        <w:t xml:space="preserve">，</w:t>
      </w:r>
      <w:r>
        <w:rPr>
          <w:rFonts w:hint="eastAsia" w:ascii="黑体" w:hAnsi="黑体" w:eastAsia="黑体" w:cs="黑体"/>
          <w:color w:val="auto"/>
          <w:sz w:val="28"/>
          <w:szCs w:val="28"/>
          <w:highlight w:val="none"/>
          <w:shd w:val="clear" w:color="auto" w:fill="ffffff"/>
        </w:rPr>
        <w:t xml:space="preserve">从业人员300人以下的为中小微型企业。其中，从业人员100人及以上的为中型企业；从业人员10人及以上的为小型企业；从业人员10人以下的为微型企业。</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注明：（1）中小企业应当按照财库（2020）46号文《政府采购促进中小企业发展管理办法》和“工信部联企业〔2011〕300号通知中的《中小企业划型标准规定》为准。如实填写并提交《中小企业声明函》。</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（2）残疾人福利性单位按照《关于促进残疾人就业政府采购政策的通知》（财库〔2017〕141号）有关规定执行。</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（3）监狱企业按照《关于政府采购支持监狱企业发展有关问题的通知》（财库【2014】68号）有关规定执行。</w:t>
      </w:r>
      <w:r/>
    </w:p>
    <w:p>
      <w:pPr>
        <w:ind w:firstLine="562"/>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备注：本项目专门面向中小企业，不享受价格扣除优惠政策。</w:t>
      </w:r>
      <w:r/>
    </w:p>
    <w:p>
      <w:pPr>
        <w:ind w:firstLine="560"/>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投标单位法定代表人参加的，必须提供法定代表人身份证明及法定代表人本人身份证扫描件格式按第五部分）；非法定代表人参加的，必须提供法定代表人签字或盖章的授权委托书及法定代表人、被授权人的两人身份证的扫描件（格式按第五部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4、在“信用中国”网站（https://www.creditchina.gov.cn）查询，无被列入</w:t>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"https://zxgk.court.gov.cn/shixin/" </w:instrText>
      </w:r>
      <w:r>
        <w:rPr>
          <w:rFonts w:hint="eastAsia" w:ascii="黑体" w:hAnsi="黑体" w:eastAsia="黑体" w:cs="黑体"/>
          <w:color w:val="auto"/>
          <w:highlight w:val="none"/>
        </w:rPr>
        <w:fldChar w:fldCharType="separate"/>
      </w:r>
      <w:r>
        <w:rPr>
          <w:rFonts w:hint="eastAsia" w:ascii="黑体" w:hAnsi="黑体" w:eastAsia="黑体" w:cs="黑体"/>
          <w:bCs/>
          <w:color w:val="auto"/>
          <w:sz w:val="28"/>
          <w:szCs w:val="28"/>
          <w:highlight w:val="none"/>
        </w:rPr>
        <w:t xml:space="preserve">失信被执行人</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"https://www.creditchina.gov.cn/zhuanxiangchaxun/zhongdashuishouweifaanjian/" </w:instrText>
      </w:r>
      <w:r>
        <w:rPr>
          <w:color w:val="auto"/>
          <w:highlight w:val="none"/>
        </w:rPr>
        <w:fldChar w:fldCharType="separate"/>
      </w:r>
      <w:r>
        <w:rPr>
          <w:rFonts w:hint="eastAsia" w:ascii="黑体" w:hAnsi="黑体" w:eastAsia="黑体" w:cs="黑体"/>
          <w:bCs/>
          <w:color w:val="auto"/>
          <w:sz w:val="28"/>
          <w:szCs w:val="28"/>
          <w:highlight w:val="none"/>
        </w:rPr>
        <w:t xml:space="preserve">重大税收违法失信主体名单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"https://www.creditchina.gov.cn/zhuanxiangchaxun/zhengfucaigouyanzhongweifashixinmingdan/" </w:instrText>
      </w:r>
      <w:r>
        <w:rPr>
          <w:color w:val="auto"/>
          <w:highlight w:val="none"/>
        </w:rPr>
        <w:fldChar w:fldCharType="separate"/>
      </w:r>
      <w:r>
        <w:rPr>
          <w:rFonts w:hint="eastAsia" w:ascii="黑体" w:hAnsi="黑体" w:eastAsia="黑体" w:cs="黑体"/>
          <w:bCs/>
          <w:color w:val="auto"/>
          <w:sz w:val="28"/>
          <w:szCs w:val="28"/>
          <w:highlight w:val="none"/>
        </w:rPr>
        <w:t xml:space="preserve">政府采购严重违法失信行为记录名单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"https://www.creditchina.gov.cn/xinxigongshi/shixinheimingdan/" </w:instrText>
      </w:r>
      <w:r>
        <w:rPr>
          <w:color w:val="auto"/>
          <w:highlight w:val="none"/>
        </w:rPr>
        <w:fldChar w:fldCharType="separate"/>
      </w:r>
      <w:r>
        <w:rPr>
          <w:rFonts w:hint="eastAsia" w:ascii="黑体" w:hAnsi="黑体" w:eastAsia="黑体" w:cs="黑体"/>
          <w:bCs/>
          <w:color w:val="auto"/>
          <w:sz w:val="28"/>
          <w:szCs w:val="28"/>
          <w:highlight w:val="none"/>
        </w:rPr>
        <w:t xml:space="preserve">严重失信主体名单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"https://www.creditchina.gov.cn/xinxigongshi/zhongdianguanzhushixinmingdan/" </w:instrText>
      </w:r>
      <w:r>
        <w:rPr>
          <w:color w:val="auto"/>
          <w:highlight w:val="none"/>
        </w:rPr>
        <w:fldChar w:fldCharType="separate"/>
      </w:r>
      <w:r>
        <w:rPr>
          <w:rFonts w:hint="eastAsia" w:ascii="黑体" w:hAnsi="黑体" w:eastAsia="黑体" w:cs="黑体"/>
          <w:bCs/>
          <w:color w:val="auto"/>
          <w:sz w:val="28"/>
          <w:szCs w:val="28"/>
          <w:highlight w:val="none"/>
        </w:rPr>
        <w:t xml:space="preserve">经营（活动）异常名录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及其他不符合《中华人民共和国政府采购法》第二十二条规定条件的信用记录。（投标文件中无需提供证明材料）。</w:t>
      </w:r>
      <w:r/>
    </w:p>
    <w:p>
      <w:pPr>
        <w:pStyle w:val="734"/>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5、本项目的特定资格要求：</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投标单位须具有有效的行政部门颁发有效的乙级及以上测绘（须含工程测量专业）资质证书。</w:t>
      </w:r>
      <w:r/>
    </w:p>
    <w:p>
      <w:pPr>
        <w:ind w:firstLine="562"/>
        <w:jc w:val="left"/>
        <w:spacing w:line="360" w:lineRule="auto"/>
        <w:widowControl/>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6、</w:t>
      </w:r>
      <w:r>
        <w:rPr>
          <w:rFonts w:hint="eastAsia" w:ascii="黑体" w:hAnsi="黑体" w:eastAsia="黑体" w:cs="黑体"/>
          <w:b/>
          <w:bCs/>
          <w:color w:val="auto"/>
          <w:sz w:val="28"/>
          <w:szCs w:val="28"/>
          <w:highlight w:val="none"/>
        </w:rPr>
        <w:t xml:space="preserve">拒绝以下投标单位参与投标</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投标单位之间存在下列互为关联关系的情形之一的，不得同时参加本项目投标：</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（1）法定代表人为同一个人的两个及两个以上法人，母公司、全资子公司及其控股公司，都不得在同一采购项目相同标段中同时投标，一经发现，将视同围标处理。</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（2）单位负责人为同一人或者存在直接控股、管理关系的不同投标单位，不得参加同一合同项下的采购活动。</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（3）为采购项目提供整体设计、规范编制或者项目管理、监理、检测等服务的投标单位，不得再参加该采购项目的其他采购活动。</w:t>
      </w:r>
      <w:r/>
    </w:p>
    <w:p>
      <w:pPr>
        <w:ind w:firstLine="560"/>
        <w:jc w:val="left"/>
        <w:spacing w:line="360" w:lineRule="auto"/>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黑体" w:hAnsi="黑体" w:eastAsia="黑体" w:cs="黑体"/>
          <w:bCs/>
          <w:color w:val="auto"/>
          <w:sz w:val="28"/>
          <w:szCs w:val="28"/>
          <w:highlight w:val="none"/>
        </w:rPr>
      </w:pPr>
      <w:r>
        <w:rPr>
          <w:rFonts w:hint="eastAsia" w:ascii="黑体" w:hAnsi="黑体" w:eastAsia="黑体" w:cs="黑体"/>
          <w:color w:val="auto"/>
          <w:sz w:val="28"/>
          <w:szCs w:val="28"/>
          <w:highlight w:val="none"/>
        </w:rPr>
        <w:t xml:space="preserve">投标单位投标时提供本单位、营业执照、公司股东股权资料，若经核实有同一人在两家及以上投标本项目的投标单位有股份或同为单位法定代表人（或负责人的），将作无效投标处理；未提供以上材料或提供不全的，经核实作无效投标处理。</w:t>
      </w:r>
      <w:r/>
    </w:p>
    <w:p>
      <w:pPr>
        <w:pStyle w:val="778"/>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
          <w:color w:val="auto"/>
          <w:sz w:val="28"/>
          <w:szCs w:val="28"/>
          <w:highlight w:val="none"/>
        </w:rPr>
        <w:t xml:space="preserve">以上未详尽部分见招标文件第五部分</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三、获取采购文件</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1.时间：自招标文件公告发布之日起5个工作日</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2.地点：网上注册登记成功后系统内免费下载</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3.获取方式：本项目采用网上注册登记方式。</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3.1潜在投标单位访问电子招标响应交易平台的网络地址和方法：</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投标单位操作手册》。</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3.2潜在投标单位访问“苏采云”系统的网络地址和方法：“苏采云”系统的网址：http://jszfcg.jsczt.cn/。</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3.3“CA数字证书”的获取：</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单位需办理CA锁，“苏采云”系统目前仅支持政务CA、方正签章，省内各地区办理的用于“苏采云”平台的政务CA、方正签章全省通用。“CA数字证书”的办理方法详见江苏政府采购网—资料下载中《江苏省政府采购数字证书（投标单位）CA及电子签章办理指南》。</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3.4采购文件（后缀名为“.kedt”）、投标单位操作手册及政府采购客户端工具可通过“苏采云”系统--已报名项目--报名详情页面内相应链接进行下载。</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3.5招标代理机构（采购代理机构）将数据电文形式的采购文件加载至“苏采云”系统，供潜在投标单位下载或者查阅。</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3.6请潜在投标单位提前安装相应的控件（详见《江苏省政府采购管理交易系统（苏采云）投标单位操作手册》）并使用谷歌浏览器登录“苏采云”系统参与不见面开评标。</w:t>
      </w:r>
      <w:r/>
    </w:p>
    <w:p>
      <w:pPr>
        <w:ind w:firstLine="48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注：如潜在投标单位未按上述要求操作，将自行承担所产生的风险。</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四、提交响应文件截止时间、投标时间和地点</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1.2026年</w:t>
      </w:r>
      <w:r>
        <w:rPr>
          <w:rFonts w:hint="eastAsia" w:ascii="黑体" w:hAnsi="黑体" w:eastAsia="黑体" w:cs="黑体"/>
          <w:bCs/>
          <w:color w:val="auto"/>
          <w:sz w:val="28"/>
          <w:szCs w:val="28"/>
          <w:highlight w:val="none"/>
        </w:rPr>
        <w:t xml:space="preserve">7月1日9点30分（北京时间）。逾时，交易系统将拒绝接受上传响应文件电子文档。</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注：各投标单位请关注开标大厅交流区，在开标结束后，请勿离开开标大厅。</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2.线上开标地点：“苏采云”系统（网址：http://jszfcg.jsczt.cn/）“开标大厅”。</w:t>
      </w:r>
      <w:r/>
    </w:p>
    <w:p>
      <w:pPr>
        <w:ind w:firstLine="480"/>
        <w:spacing w:line="360" w:lineRule="auto"/>
        <w:rPr>
          <w:rFonts w:hint="eastAsia" w:ascii="黑体" w:hAnsi="黑体" w:eastAsia="黑体" w:cs="黑体"/>
          <w:bCs/>
          <w:i/>
          <w:color w:val="auto"/>
          <w:sz w:val="28"/>
          <w:szCs w:val="28"/>
          <w:highlight w:val="none"/>
        </w:rPr>
      </w:pPr>
      <w:r>
        <w:rPr>
          <w:rFonts w:hint="eastAsia" w:ascii="黑体" w:hAnsi="黑体" w:eastAsia="黑体" w:cs="黑体"/>
          <w:bCs/>
          <w:color w:val="auto"/>
          <w:sz w:val="28"/>
          <w:szCs w:val="28"/>
          <w:highlight w:val="none"/>
        </w:rPr>
        <w:t xml:space="preserve">3.响应文件的解密：开标当天各投标单位及时登录不见面开标大厅，响应文件递交截止时间后，采购人将在系统内公布投标投标单位名单，然后通过开标会议区发出响应文件解密的指令，投标投标单位在开标室按规定时间自行实施远程解密，投标投标单位解密限定在开标后30分钟之内完成。</w:t>
      </w:r>
      <w:r>
        <w:rPr>
          <w:rFonts w:hint="eastAsia" w:ascii="黑体" w:hAnsi="黑体" w:eastAsia="黑体" w:cs="黑体"/>
          <w:bCs/>
          <w:color w:val="auto"/>
          <w:sz w:val="28"/>
          <w:szCs w:val="28"/>
          <w:highlight w:val="none"/>
          <w:u w:val="single"/>
        </w:rPr>
        <w:t xml:space="preserve">因投标投标单位网络与电源不稳定、未按操作手册要求配置软硬件、解密锁发生故障或用错、故意不在要求时限内完成解密等自身原因，导致响应文件在规定时间内未能解密、解密失败或解密超时，视为投标投标单位撤销其响应文件，系统内响应文件将被退回</w:t>
      </w:r>
      <w:r>
        <w:rPr>
          <w:rFonts w:hint="eastAsia" w:ascii="黑体" w:hAnsi="黑体" w:eastAsia="黑体" w:cs="黑体"/>
          <w:bCs/>
          <w:color w:val="auto"/>
          <w:sz w:val="28"/>
          <w:szCs w:val="28"/>
          <w:highlight w:val="none"/>
        </w:rPr>
        <w:t xml:space="preserve">；因采购人原因或网上招投标平台发生故障，导致无法按时完成响应文件解密或开、评标工作无法进行的，可根据实际情况相应延迟解密时间或调整开、评标时间。</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五、公告期限</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自本公告发布之日起5个工作日。</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六、其他补充事宜</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1.投标保证金：免收。</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2.项目开标活动模式：不见面远程开标模式，投标人在各自地点通过不见面交易系统参加开标会。</w:t>
      </w:r>
      <w:r/>
    </w:p>
    <w:p>
      <w:pPr>
        <w:ind w:firstLine="560"/>
        <w:spacing w:line="360" w:lineRule="auto"/>
        <w:rPr>
          <w:rFonts w:hint="eastAsia" w:ascii="黑体" w:hAnsi="黑体" w:eastAsia="黑体" w:cs="黑体"/>
          <w:bCs/>
          <w:color w:val="auto"/>
          <w:sz w:val="28"/>
          <w:szCs w:val="28"/>
          <w:highlight w:val="none"/>
          <w:lang w:bidi="ar"/>
        </w:rPr>
      </w:pPr>
      <w:r>
        <w:rPr>
          <w:rFonts w:hint="eastAsia" w:ascii="黑体" w:hAnsi="黑体" w:eastAsia="黑体" w:cs="黑体"/>
          <w:bCs/>
          <w:color w:val="auto"/>
          <w:sz w:val="28"/>
          <w:szCs w:val="28"/>
          <w:highlight w:val="none"/>
        </w:rPr>
        <w:t xml:space="preserve">3.项目样品：无</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对项目需求部分（投标单位资格要求、项目需求）的询问、质疑请向采购人提出，由采购人负责答复；对项目招标文件其它部分的询问请向招标文件制作人或项目开标评标经办人提出；对在“电子交易平台”操作阶段的询问请向交易系统软件维护人员提出。</w:t>
      </w:r>
      <w:r/>
    </w:p>
    <w:p>
      <w:pPr>
        <w:ind w:firstLine="560"/>
        <w:spacing w:line="360" w:lineRule="auto"/>
        <w:rPr>
          <w:rFonts w:hint="eastAsia" w:ascii="黑体" w:hAnsi="黑体" w:eastAsia="黑体" w:cs="黑体"/>
          <w:bCs/>
          <w:color w:val="auto"/>
          <w:sz w:val="28"/>
          <w:szCs w:val="28"/>
          <w:highlight w:val="none"/>
        </w:rPr>
        <w:pBdr>
          <w:top w:val="none" w:color="000000" w:sz="0" w:space="0"/>
          <w:left w:val="none" w:color="000000" w:sz="0" w:space="0"/>
          <w:bottom w:val="none" w:color="000000" w:sz="0" w:space="0"/>
          <w:right w:val="none" w:color="000000" w:sz="0" w:space="0"/>
        </w:pBdr>
        <w:outlineLvl w:val="2"/>
      </w:pPr>
      <w:r>
        <w:rPr>
          <w:rFonts w:hint="eastAsia" w:ascii="黑体" w:hAnsi="黑体" w:eastAsia="黑体" w:cs="黑体"/>
          <w:bCs/>
          <w:color w:val="auto"/>
          <w:sz w:val="28"/>
          <w:szCs w:val="28"/>
          <w:highlight w:val="none"/>
        </w:rPr>
        <w:t xml:space="preserve">5.有关本次采购的事项若存在变动或修改，敬请及时关注“江苏政府采购网”发布的信息更正公告。</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投标单位应依照规定提交各类声明函、承诺函，不再同时提供原件备查或提供有关部门出具的相关证明文件。但中标投标单位应做好提交声明函、承诺函相应原件的核查准备；核查后发现虚假或违背承诺的，依照相关法律法规规定处理。</w:t>
      </w:r>
      <w:r/>
    </w:p>
    <w:p>
      <w:pPr>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投标单位认为招标文件使自己的权益受到损害的，可以自获取招标文件之日或者招标公告期限届满之日(公告期限届满后获取招标文件的，以公告期限届满之日为准)起7个工作日内，对招标文件需求的以书面形式向采购人提出质疑，对其他内容的以书面形式向采购人和代理机构提出质疑。质疑函范本详见本招标文件后附格式。</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七、对本次招标提出询问，请按以下方式联系。</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1.采购人信息</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名    称：南通市自然资源和规划局开发区分局   </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地    址：南通市经济技术开发区宏兴路9号 </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 系 方 式：俞先生 0513-85989908</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2.采购代理机构信息</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名    称：南通润通项目管理有限公司</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地   址：开发区长通路9号（飞马国际中心A座）</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 系 方 式：19812255667　　</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3.软件技术支持：0519-86722801。</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附件:1.招标文件</w:t>
      </w:r>
      <w:r/>
    </w:p>
    <w:p>
      <w:pPr>
        <w:ind w:firstLine="11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2、采购人信用承诺</w:t>
      </w:r>
      <w:r/>
    </w:p>
    <w:p>
      <w:pPr>
        <w:ind w:firstLine="11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3、“苏采云”系统投标单位操作手册</w:t>
      </w:r>
      <w:r/>
    </w:p>
    <w:p>
      <w:pPr>
        <w:ind w:firstLine="1120"/>
        <w:spacing w:line="360" w:lineRule="auto"/>
        <w:rPr>
          <w:rFonts w:hint="eastAsia" w:ascii="黑体" w:hAnsi="黑体" w:eastAsia="黑体" w:cs="黑体"/>
          <w:bCs/>
          <w:color w:val="auto"/>
          <w:sz w:val="36"/>
          <w:szCs w:val="36"/>
          <w:highlight w:val="none"/>
        </w:rPr>
      </w:pPr>
      <w:r>
        <w:rPr>
          <w:rFonts w:hint="eastAsia" w:ascii="黑体" w:hAnsi="黑体" w:eastAsia="黑体" w:cs="黑体"/>
          <w:bCs/>
          <w:color w:val="auto"/>
          <w:sz w:val="28"/>
          <w:szCs w:val="28"/>
          <w:highlight w:val="none"/>
        </w:rPr>
        <w:t xml:space="preserve">4、政采贷和履约保函（保险）告知函</w:t>
      </w:r>
      <w:r>
        <w:rPr>
          <w:rFonts w:hint="eastAsia" w:ascii="黑体" w:hAnsi="黑体" w:eastAsia="黑体" w:cs="黑体"/>
          <w:bCs/>
          <w:color w:val="auto"/>
          <w:sz w:val="28"/>
          <w:szCs w:val="28"/>
          <w:highlight w:val="none"/>
        </w:rPr>
        <w:br w:type="page" w:clear="all"/>
      </w:r>
      <w:r>
        <w:rPr>
          <w:rFonts w:hint="eastAsia" w:ascii="黑体" w:hAnsi="黑体" w:eastAsia="黑体" w:cs="黑体"/>
          <w:bCs/>
          <w:color w:val="auto"/>
          <w:sz w:val="28"/>
          <w:szCs w:val="28"/>
          <w:highlight w:val="none"/>
        </w:rPr>
        <w:t xml:space="preserve">                     </w:t>
      </w:r>
      <w:r>
        <w:rPr>
          <w:rFonts w:hint="eastAsia" w:ascii="黑体" w:hAnsi="黑体" w:eastAsia="黑体" w:cs="黑体"/>
          <w:bCs/>
          <w:color w:val="auto"/>
          <w:sz w:val="36"/>
          <w:szCs w:val="36"/>
          <w:highlight w:val="none"/>
        </w:rPr>
        <w:t xml:space="preserve">第二部分  投标须知</w:t>
      </w:r>
      <w:r/>
    </w:p>
    <w:p>
      <w:pPr>
        <w:pStyle w:val="929"/>
        <w:spacing w:before="0" w:after="0" w:line="360" w:lineRule="auto"/>
        <w:rPr>
          <w:rFonts w:hint="eastAsia" w:ascii="黑体" w:hAnsi="黑体" w:eastAsia="黑体" w:cs="黑体"/>
          <w:b w:val="0"/>
          <w:color w:val="auto"/>
          <w:sz w:val="28"/>
          <w:szCs w:val="28"/>
          <w:highlight w:val="none"/>
        </w:rPr>
      </w:pPr>
      <w:r/>
      <w:bookmarkStart w:id="4" w:name="_Toc20823275"/>
      <w:r/>
      <w:bookmarkStart w:id="5" w:name="_Toc513029203"/>
      <w:r/>
      <w:bookmarkStart w:id="6" w:name="_Toc16938519"/>
      <w:r/>
      <w:bookmarkStart w:id="7" w:name="_Toc120614214"/>
      <w:r>
        <w:rPr>
          <w:rFonts w:hint="eastAsia" w:ascii="黑体" w:hAnsi="黑体" w:eastAsia="黑体" w:cs="黑体"/>
          <w:b w:val="0"/>
          <w:color w:val="auto"/>
          <w:sz w:val="28"/>
          <w:szCs w:val="28"/>
          <w:highlight w:val="none"/>
        </w:rPr>
        <w:t xml:space="preserve">（一）总则</w:t>
      </w:r>
      <w:bookmarkEnd w:id="4"/>
      <w:r/>
      <w:bookmarkEnd w:id="5"/>
      <w:r/>
      <w:bookmarkEnd w:id="6"/>
      <w:r/>
      <w:bookmarkEnd w:id="7"/>
      <w:r/>
      <w:r/>
    </w:p>
    <w:p>
      <w:pPr>
        <w:pStyle w:val="930"/>
        <w:ind w:firstLine="560"/>
        <w:jc w:val="both"/>
        <w:spacing w:line="360" w:lineRule="auto"/>
        <w:rPr>
          <w:rFonts w:hint="eastAsia" w:ascii="黑体" w:hAnsi="黑体" w:eastAsia="黑体" w:cs="黑体"/>
          <w:bCs/>
          <w:color w:val="auto"/>
          <w:sz w:val="28"/>
          <w:szCs w:val="28"/>
          <w:highlight w:val="none"/>
        </w:rPr>
      </w:pPr>
      <w:r/>
      <w:bookmarkStart w:id="8" w:name="_Hlt16619475"/>
      <w:r/>
      <w:bookmarkEnd w:id="8"/>
      <w:r/>
      <w:bookmarkStart w:id="9" w:name="_Toc458694821"/>
      <w:r/>
      <w:bookmarkStart w:id="10" w:name="_Toc513029204"/>
      <w:r/>
      <w:bookmarkStart w:id="11" w:name="_Toc20823276"/>
      <w:r/>
      <w:bookmarkStart w:id="12" w:name="_Toc16938520"/>
      <w:r>
        <w:rPr>
          <w:rFonts w:hint="eastAsia" w:ascii="黑体" w:hAnsi="黑体" w:eastAsia="黑体" w:cs="黑体"/>
          <w:bCs/>
          <w:color w:val="auto"/>
          <w:sz w:val="28"/>
          <w:szCs w:val="28"/>
          <w:highlight w:val="none"/>
        </w:rPr>
        <w:t xml:space="preserve">1</w:t>
      </w:r>
      <w:bookmarkEnd w:id="9"/>
      <w:r>
        <w:rPr>
          <w:rFonts w:hint="eastAsia" w:ascii="黑体" w:hAnsi="黑体" w:eastAsia="黑体" w:cs="黑体"/>
          <w:bCs/>
          <w:color w:val="auto"/>
          <w:sz w:val="28"/>
          <w:szCs w:val="28"/>
          <w:highlight w:val="none"/>
        </w:rPr>
        <w:t xml:space="preserve">.招标方式</w:t>
      </w:r>
      <w:bookmarkEnd w:id="10"/>
      <w:r/>
      <w:bookmarkEnd w:id="11"/>
      <w:r/>
      <w:bookmarkEnd w:id="12"/>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 本次招标采取公开招标方式，本招标文件仅适用于招标公告中所述项目。</w:t>
      </w:r>
      <w:r/>
    </w:p>
    <w:p>
      <w:pPr>
        <w:pStyle w:val="930"/>
        <w:ind w:firstLine="560"/>
        <w:jc w:val="both"/>
        <w:spacing w:line="360" w:lineRule="auto"/>
        <w:rPr>
          <w:rFonts w:hint="eastAsia" w:ascii="黑体" w:hAnsi="黑体" w:eastAsia="黑体" w:cs="黑体"/>
          <w:bCs/>
          <w:color w:val="auto"/>
          <w:sz w:val="28"/>
          <w:szCs w:val="28"/>
          <w:highlight w:val="none"/>
        </w:rPr>
      </w:pPr>
      <w:r/>
      <w:bookmarkStart w:id="13" w:name="_Toc513029205"/>
      <w:r/>
      <w:bookmarkStart w:id="14" w:name="_Toc16938521"/>
      <w:r/>
      <w:bookmarkStart w:id="15" w:name="_Toc20823277"/>
      <w:r>
        <w:rPr>
          <w:rFonts w:hint="eastAsia" w:ascii="黑体" w:hAnsi="黑体" w:eastAsia="黑体" w:cs="黑体"/>
          <w:bCs/>
          <w:color w:val="auto"/>
          <w:sz w:val="28"/>
          <w:szCs w:val="28"/>
          <w:highlight w:val="none"/>
        </w:rPr>
        <w:t xml:space="preserve">2.合格的投标人</w:t>
      </w:r>
      <w:bookmarkEnd w:id="13"/>
      <w:r/>
      <w:bookmarkEnd w:id="14"/>
      <w:r/>
      <w:bookmarkEnd w:id="15"/>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2.1满足招标公告中投标单位的资格要求的规定。</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 满足本文件实质性条款的规定。</w:t>
      </w:r>
      <w:r/>
    </w:p>
    <w:p>
      <w:pPr>
        <w:pStyle w:val="930"/>
        <w:ind w:firstLine="560"/>
        <w:jc w:val="both"/>
        <w:spacing w:line="360" w:lineRule="auto"/>
        <w:rPr>
          <w:rFonts w:hint="eastAsia" w:ascii="黑体" w:hAnsi="黑体" w:eastAsia="黑体" w:cs="黑体"/>
          <w:bCs/>
          <w:color w:val="auto"/>
          <w:sz w:val="28"/>
          <w:szCs w:val="28"/>
          <w:highlight w:val="none"/>
        </w:rPr>
      </w:pPr>
      <w:r/>
      <w:bookmarkStart w:id="16" w:name="_Toc20823278"/>
      <w:r/>
      <w:bookmarkStart w:id="17" w:name="_Toc16938522"/>
      <w:r/>
      <w:bookmarkStart w:id="18" w:name="_Toc513029206"/>
      <w:r>
        <w:rPr>
          <w:rFonts w:hint="eastAsia" w:ascii="黑体" w:hAnsi="黑体" w:eastAsia="黑体" w:cs="黑体"/>
          <w:bCs/>
          <w:color w:val="auto"/>
          <w:sz w:val="28"/>
          <w:szCs w:val="28"/>
          <w:highlight w:val="none"/>
        </w:rPr>
        <w:t xml:space="preserve">3.适用法律</w:t>
      </w:r>
      <w:bookmarkEnd w:id="16"/>
      <w:r/>
      <w:bookmarkEnd w:id="17"/>
      <w:r/>
      <w:bookmarkEnd w:id="18"/>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 本次招标及由此产生的合同受中华人民共和国有关的法律法规制约和保护。</w:t>
      </w:r>
      <w:r/>
    </w:p>
    <w:p>
      <w:pPr>
        <w:pStyle w:val="930"/>
        <w:ind w:firstLine="560"/>
        <w:jc w:val="both"/>
        <w:spacing w:line="360" w:lineRule="auto"/>
        <w:rPr>
          <w:rFonts w:hint="eastAsia" w:ascii="黑体" w:hAnsi="黑体" w:eastAsia="黑体" w:cs="黑体"/>
          <w:bCs/>
          <w:color w:val="auto"/>
          <w:sz w:val="28"/>
          <w:szCs w:val="28"/>
          <w:highlight w:val="none"/>
        </w:rPr>
      </w:pPr>
      <w:r/>
      <w:bookmarkStart w:id="19" w:name="_Toc20823279"/>
      <w:r/>
      <w:bookmarkStart w:id="20" w:name="_Toc462564067"/>
      <w:r/>
      <w:bookmarkStart w:id="21" w:name="_Toc16938523"/>
      <w:r/>
      <w:bookmarkStart w:id="22" w:name="_Toc513029207"/>
      <w:r>
        <w:rPr>
          <w:rFonts w:hint="eastAsia" w:ascii="黑体" w:hAnsi="黑体" w:eastAsia="黑体" w:cs="黑体"/>
          <w:bCs/>
          <w:color w:val="auto"/>
          <w:sz w:val="28"/>
          <w:szCs w:val="28"/>
          <w:highlight w:val="none"/>
        </w:rPr>
        <w:t xml:space="preserve">4.投标费用</w:t>
      </w:r>
      <w:bookmarkEnd w:id="19"/>
      <w:r/>
      <w:bookmarkEnd w:id="20"/>
      <w:r/>
      <w:bookmarkEnd w:id="21"/>
      <w:r/>
      <w:bookmarkEnd w:id="22"/>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4.1 投标单位应自行承担所有与参加招标有关的费用，无论招标过程中的做法和结果如何，采购人在任何情况下均无义务和责任承担这些费用。</w:t>
      </w:r>
      <w:r/>
    </w:p>
    <w:p>
      <w:pPr>
        <w:contextualSpacing/>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4.2开发区2026年-2028年自然资源和规划测绘服务单位采购项目采购代理服务费按照苏政采协[2024]20号文标准计收，此费用包含在投标报价中，不单独列项，投标单位报价时应综合考虑（不单列）。代理费由成交投标单位在定标后支付给代理机构，如因成交投标单位原因导致本项目流标或改变中标结果或其被取消中标资格的，代理费不予退还。</w:t>
      </w:r>
      <w:r/>
    </w:p>
    <w:p>
      <w:pPr>
        <w:pStyle w:val="930"/>
        <w:ind w:firstLine="560"/>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5.招标文件的约束力</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 投标人一旦参加本项目采购活动，即被认为接受了本招标文件的规定和约束。</w:t>
      </w:r>
      <w:r/>
    </w:p>
    <w:p>
      <w:pPr>
        <w:pStyle w:val="930"/>
        <w:ind w:firstLine="560"/>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6.招标文件的解释</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6.1招标文件需求部分（投标单位资格要求、项目需求）由采购人解释，其它部分由采购代理机构解释。</w:t>
      </w:r>
      <w:r/>
    </w:p>
    <w:p>
      <w:pPr>
        <w:pStyle w:val="929"/>
        <w:spacing w:before="0" w:after="0" w:line="360" w:lineRule="auto"/>
        <w:rPr>
          <w:rFonts w:hint="eastAsia" w:ascii="黑体" w:hAnsi="黑体" w:eastAsia="黑体" w:cs="黑体"/>
          <w:b w:val="0"/>
          <w:color w:val="auto"/>
          <w:sz w:val="28"/>
          <w:szCs w:val="28"/>
          <w:highlight w:val="none"/>
        </w:rPr>
      </w:pPr>
      <w:r/>
      <w:bookmarkStart w:id="23" w:name="_Toc20823281"/>
      <w:r/>
      <w:bookmarkStart w:id="24" w:name="_Toc16938525"/>
      <w:r/>
      <w:bookmarkStart w:id="25" w:name="_Toc120614215"/>
      <w:r/>
      <w:bookmarkStart w:id="26" w:name="_Toc513029209"/>
      <w:r>
        <w:rPr>
          <w:rFonts w:hint="eastAsia" w:ascii="黑体" w:hAnsi="黑体" w:eastAsia="黑体" w:cs="黑体"/>
          <w:b w:val="0"/>
          <w:color w:val="auto"/>
          <w:sz w:val="28"/>
          <w:szCs w:val="28"/>
          <w:highlight w:val="none"/>
        </w:rPr>
        <w:t xml:space="preserve">（二）招标文件</w:t>
      </w:r>
      <w:bookmarkEnd w:id="23"/>
      <w:r/>
      <w:bookmarkEnd w:id="24"/>
      <w:r/>
      <w:bookmarkEnd w:id="25"/>
      <w:r/>
      <w:bookmarkEnd w:id="26"/>
      <w:r/>
      <w:r/>
    </w:p>
    <w:p>
      <w:pPr>
        <w:pStyle w:val="930"/>
        <w:ind w:firstLine="560"/>
        <w:jc w:val="both"/>
        <w:spacing w:line="360" w:lineRule="auto"/>
        <w:rPr>
          <w:rFonts w:hint="eastAsia" w:ascii="黑体" w:hAnsi="黑体" w:eastAsia="黑体" w:cs="黑体"/>
          <w:bCs/>
          <w:color w:val="auto"/>
          <w:sz w:val="28"/>
          <w:szCs w:val="28"/>
          <w:highlight w:val="none"/>
        </w:rPr>
      </w:pPr>
      <w:r/>
      <w:bookmarkStart w:id="27" w:name="_Toc16938526"/>
      <w:r/>
      <w:bookmarkStart w:id="28" w:name="_Toc513029210"/>
      <w:r/>
      <w:bookmarkStart w:id="29" w:name="_Toc20823282"/>
      <w:r>
        <w:rPr>
          <w:rFonts w:hint="eastAsia" w:ascii="黑体" w:hAnsi="黑体" w:eastAsia="黑体" w:cs="黑体"/>
          <w:bCs/>
          <w:color w:val="auto"/>
          <w:sz w:val="28"/>
          <w:szCs w:val="28"/>
          <w:highlight w:val="none"/>
        </w:rPr>
        <w:t xml:space="preserve">1.招标文件构成</w:t>
      </w:r>
      <w:bookmarkEnd w:id="27"/>
      <w:r/>
      <w:bookmarkEnd w:id="28"/>
      <w:r/>
      <w:bookmarkEnd w:id="29"/>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 招标文件由以下部分组成：</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（1）投标邀请</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（2）投标须知</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（3）项目需求</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（4）开标和评标</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（5）投标文件组成</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（6）附件（如有）</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请仔细检查招标文件是否齐全，如有缺漏请立即与采购人或采购代理机构联系解决。</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0"/>
        <w:ind w:firstLine="560"/>
        <w:jc w:val="both"/>
        <w:spacing w:line="360" w:lineRule="auto"/>
        <w:rPr>
          <w:rFonts w:hint="eastAsia" w:ascii="黑体" w:hAnsi="黑体" w:eastAsia="黑体" w:cs="黑体"/>
          <w:bCs/>
          <w:color w:val="auto"/>
          <w:sz w:val="28"/>
          <w:szCs w:val="28"/>
          <w:highlight w:val="none"/>
        </w:rPr>
      </w:pPr>
      <w:r/>
      <w:bookmarkStart w:id="30" w:name="_Toc20823283"/>
      <w:r/>
      <w:bookmarkStart w:id="31" w:name="_Toc16938527"/>
      <w:r/>
      <w:bookmarkStart w:id="32" w:name="_Toc462564070"/>
      <w:r/>
      <w:bookmarkStart w:id="33" w:name="_Toc513029211"/>
      <w:r>
        <w:rPr>
          <w:rFonts w:hint="eastAsia" w:ascii="黑体" w:hAnsi="黑体" w:eastAsia="黑体" w:cs="黑体"/>
          <w:bCs/>
          <w:color w:val="auto"/>
          <w:sz w:val="28"/>
          <w:szCs w:val="28"/>
          <w:highlight w:val="none"/>
        </w:rPr>
        <w:t xml:space="preserve">2.招标文件的澄清</w:t>
      </w:r>
      <w:bookmarkEnd w:id="30"/>
      <w:r/>
      <w:bookmarkEnd w:id="31"/>
      <w:r/>
      <w:bookmarkEnd w:id="32"/>
      <w:r/>
      <w:bookmarkEnd w:id="33"/>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任何要求对招标文件进行澄清的投标人，应在投标截止期十日前按招标公告中的通讯地址，以书面形式通知采购人。采购人有权对发出的招标文件进行必要的澄清或修改</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2.2采购人视情组织答疑会</w:t>
      </w:r>
      <w:r/>
    </w:p>
    <w:p>
      <w:pPr>
        <w:pStyle w:val="930"/>
        <w:ind w:firstLine="560"/>
        <w:jc w:val="both"/>
        <w:spacing w:line="360" w:lineRule="auto"/>
        <w:rPr>
          <w:rFonts w:hint="eastAsia" w:ascii="黑体" w:hAnsi="黑体" w:eastAsia="黑体" w:cs="黑体"/>
          <w:bCs/>
          <w:color w:val="auto"/>
          <w:sz w:val="28"/>
          <w:szCs w:val="28"/>
          <w:highlight w:val="none"/>
        </w:rPr>
      </w:pPr>
      <w:r/>
      <w:bookmarkStart w:id="34" w:name="_Toc513029212"/>
      <w:r/>
      <w:bookmarkStart w:id="35" w:name="_Toc20823284"/>
      <w:r/>
      <w:bookmarkStart w:id="36" w:name="_Toc462564071"/>
      <w:r/>
      <w:bookmarkStart w:id="37" w:name="_Toc16938528"/>
      <w:r>
        <w:rPr>
          <w:rFonts w:hint="eastAsia" w:ascii="黑体" w:hAnsi="黑体" w:eastAsia="黑体" w:cs="黑体"/>
          <w:bCs/>
          <w:color w:val="auto"/>
          <w:sz w:val="28"/>
          <w:szCs w:val="28"/>
          <w:highlight w:val="none"/>
        </w:rPr>
        <w:t xml:space="preserve">3.招标文件的修改</w:t>
      </w:r>
      <w:bookmarkEnd w:id="34"/>
      <w:r/>
      <w:bookmarkEnd w:id="35"/>
      <w:r/>
      <w:bookmarkEnd w:id="36"/>
      <w:r/>
      <w:bookmarkEnd w:id="37"/>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 在投标截止时间前，采购人或采购代理机构可以对招标文件进行修改。</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 采购人或采购代理机构有权按照法定的要求推迟投标截止日期和开标日期。</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 招标文件的修改将在江苏政府采购网公布，补充文件将作为招标文件的组成部分，并对投标人具有约束力。</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投标人。发布本项目的“更正（澄清）公告”后采购代理机构已尽通知义务。敬请各潜投标人关注本项目的“更正（澄清）公告”，并通过“苏采云”系统重新下载更正（澄清）后的采购文件（后缀名为“.kedt”），离线编制响应文件，否则，将自行承担相应的风险。</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5.投标人对采购人提供的采购文件所做出的推论、解释和结论，采购人概不负责。投标单位由于对采购文件的任何推论和误解以及采购人对有关问题的口头解释所造成的后果，均由各潜在投标人自负。</w:t>
      </w:r>
      <w:r/>
    </w:p>
    <w:p>
      <w:pPr>
        <w:pStyle w:val="929"/>
        <w:spacing w:before="0" w:after="0" w:line="360" w:lineRule="auto"/>
        <w:rPr>
          <w:rFonts w:hint="eastAsia" w:ascii="黑体" w:hAnsi="黑体" w:eastAsia="黑体" w:cs="黑体"/>
          <w:b w:val="0"/>
          <w:color w:val="auto"/>
          <w:sz w:val="28"/>
          <w:szCs w:val="28"/>
          <w:highlight w:val="none"/>
        </w:rPr>
      </w:pPr>
      <w:r/>
      <w:bookmarkStart w:id="38" w:name="_Toc16938529"/>
      <w:r/>
      <w:bookmarkStart w:id="39" w:name="_Toc513029213"/>
      <w:r/>
      <w:bookmarkStart w:id="40" w:name="_Toc120614216"/>
      <w:r/>
      <w:bookmarkStart w:id="41" w:name="_Toc462564072"/>
      <w:r/>
      <w:bookmarkStart w:id="42" w:name="_Toc20823285"/>
      <w:r>
        <w:rPr>
          <w:rFonts w:hint="eastAsia" w:ascii="黑体" w:hAnsi="黑体" w:eastAsia="黑体" w:cs="黑体"/>
          <w:b w:val="0"/>
          <w:color w:val="auto"/>
          <w:sz w:val="28"/>
          <w:szCs w:val="28"/>
          <w:highlight w:val="none"/>
        </w:rPr>
        <w:t xml:space="preserve">（三）投标文件的编制</w:t>
      </w:r>
      <w:bookmarkEnd w:id="38"/>
      <w:r/>
      <w:bookmarkEnd w:id="39"/>
      <w:r/>
      <w:bookmarkEnd w:id="40"/>
      <w:r/>
      <w:bookmarkEnd w:id="41"/>
      <w:r/>
      <w:bookmarkEnd w:id="42"/>
      <w:r/>
      <w:r/>
    </w:p>
    <w:p>
      <w:pPr>
        <w:pStyle w:val="930"/>
        <w:ind w:firstLine="560"/>
        <w:jc w:val="both"/>
        <w:spacing w:line="360" w:lineRule="auto"/>
        <w:rPr>
          <w:rFonts w:hint="eastAsia" w:ascii="黑体" w:hAnsi="黑体" w:eastAsia="黑体" w:cs="黑体"/>
          <w:bCs/>
          <w:color w:val="auto"/>
          <w:sz w:val="28"/>
          <w:szCs w:val="28"/>
          <w:highlight w:val="none"/>
        </w:rPr>
      </w:pPr>
      <w:r/>
      <w:bookmarkStart w:id="43" w:name="_Toc20823286"/>
      <w:r/>
      <w:bookmarkStart w:id="44" w:name="_Toc513029214"/>
      <w:r/>
      <w:bookmarkStart w:id="45" w:name="_Toc462564073"/>
      <w:r/>
      <w:bookmarkStart w:id="46" w:name="_Toc16938530"/>
      <w:r>
        <w:rPr>
          <w:rFonts w:hint="eastAsia" w:ascii="黑体" w:hAnsi="黑体" w:eastAsia="黑体" w:cs="黑体"/>
          <w:bCs/>
          <w:color w:val="auto"/>
          <w:sz w:val="28"/>
          <w:szCs w:val="28"/>
          <w:highlight w:val="none"/>
        </w:rPr>
        <w:t xml:space="preserve">1.投标文件的语言及度量衡单位</w:t>
      </w:r>
      <w:bookmarkEnd w:id="43"/>
      <w:r/>
      <w:bookmarkEnd w:id="44"/>
      <w:r/>
      <w:bookmarkEnd w:id="45"/>
      <w:r/>
      <w:bookmarkEnd w:id="46"/>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 投标人提交的投标文件以及投标人与采购人或采购代理机构就有关投标的所有来往通知、函件和文件均应使用简体中文。</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 除技术性能另有规定外，投标文件所使用的度量衡单位，均须采用国家法定计量单位。</w:t>
      </w:r>
      <w:r/>
    </w:p>
    <w:p>
      <w:pPr>
        <w:pStyle w:val="930"/>
        <w:ind w:firstLine="560"/>
        <w:jc w:val="both"/>
        <w:spacing w:line="360" w:lineRule="auto"/>
        <w:rPr>
          <w:rFonts w:hint="eastAsia" w:ascii="黑体" w:hAnsi="黑体" w:eastAsia="黑体" w:cs="黑体"/>
          <w:bCs/>
          <w:color w:val="auto"/>
          <w:sz w:val="28"/>
          <w:szCs w:val="28"/>
          <w:highlight w:val="none"/>
        </w:rPr>
      </w:pPr>
      <w:r/>
      <w:bookmarkStart w:id="47" w:name="_Toc462564074"/>
      <w:r/>
      <w:bookmarkStart w:id="48" w:name="_Toc20823287"/>
      <w:r/>
      <w:bookmarkStart w:id="49" w:name="_Toc513029215"/>
      <w:r/>
      <w:bookmarkStart w:id="50" w:name="_Toc16938531"/>
      <w:r>
        <w:rPr>
          <w:rFonts w:hint="eastAsia" w:ascii="黑体" w:hAnsi="黑体" w:eastAsia="黑体" w:cs="黑体"/>
          <w:bCs/>
          <w:color w:val="auto"/>
          <w:sz w:val="28"/>
          <w:szCs w:val="28"/>
          <w:highlight w:val="none"/>
        </w:rPr>
        <w:t xml:space="preserve">2.投标文件构成</w:t>
      </w:r>
      <w:bookmarkEnd w:id="47"/>
      <w:r/>
      <w:bookmarkEnd w:id="48"/>
      <w:r/>
      <w:bookmarkEnd w:id="49"/>
      <w:r/>
      <w:bookmarkEnd w:id="50"/>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投标人编写的投标文件应包括资格审查证明材料文件，符合性审查材料文件、商务、技术标文件，价格标文件。投标单位按“第五部分 投标文件组成”要求编写投标文件</w:t>
      </w:r>
      <w:r/>
    </w:p>
    <w:p>
      <w:pPr>
        <w:pStyle w:val="930"/>
        <w:ind w:firstLine="560"/>
        <w:jc w:val="both"/>
        <w:spacing w:line="360" w:lineRule="auto"/>
        <w:rPr>
          <w:rFonts w:hint="eastAsia" w:ascii="黑体" w:hAnsi="黑体" w:eastAsia="黑体" w:cs="黑体"/>
          <w:bCs/>
          <w:color w:val="auto"/>
          <w:sz w:val="28"/>
          <w:szCs w:val="28"/>
          <w:highlight w:val="none"/>
        </w:rPr>
      </w:pPr>
      <w:r/>
      <w:bookmarkStart w:id="51" w:name="_Hlt26670360"/>
      <w:r/>
      <w:bookmarkEnd w:id="51"/>
      <w:r/>
      <w:bookmarkStart w:id="52" w:name="_Hlt26954838"/>
      <w:r/>
      <w:bookmarkEnd w:id="52"/>
      <w:r/>
      <w:bookmarkStart w:id="53" w:name="_Hlt26668975"/>
      <w:r/>
      <w:bookmarkEnd w:id="53"/>
      <w:r/>
      <w:bookmarkStart w:id="54" w:name="_Toc14577360"/>
      <w:r/>
      <w:bookmarkStart w:id="55" w:name="_Toc49090511"/>
      <w:r>
        <w:rPr>
          <w:rFonts w:hint="eastAsia" w:ascii="黑体" w:hAnsi="黑体" w:eastAsia="黑体" w:cs="黑体"/>
          <w:bCs/>
          <w:color w:val="auto"/>
          <w:sz w:val="28"/>
          <w:szCs w:val="28"/>
          <w:highlight w:val="none"/>
        </w:rPr>
        <w:t xml:space="preserve">3.投标有效期</w:t>
      </w:r>
      <w:bookmarkEnd w:id="54"/>
      <w:r/>
      <w:bookmarkEnd w:id="55"/>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3.1投标有效期为招标文件规定的开标之日后</w:t>
      </w:r>
      <w:r>
        <w:rPr>
          <w:rFonts w:hint="eastAsia" w:ascii="黑体" w:hAnsi="黑体" w:eastAsia="黑体" w:cs="黑体"/>
          <w:bCs/>
          <w:color w:val="auto"/>
          <w:sz w:val="28"/>
          <w:szCs w:val="28"/>
          <w:highlight w:val="none"/>
          <w:u w:val="single"/>
        </w:rPr>
        <w:t xml:space="preserve">六十（60）天</w:t>
      </w:r>
      <w:r>
        <w:rPr>
          <w:rFonts w:hint="eastAsia" w:ascii="黑体" w:hAnsi="黑体" w:eastAsia="黑体" w:cs="黑体"/>
          <w:bCs/>
          <w:color w:val="auto"/>
          <w:sz w:val="28"/>
          <w:szCs w:val="28"/>
          <w:highlight w:val="none"/>
        </w:rPr>
        <w:t xml:space="preserve">。投标有效期比规定短的将被视为非响应性投标而予以拒绝。</w:t>
      </w:r>
      <w:r/>
    </w:p>
    <w:p>
      <w:pPr>
        <w:pStyle w:val="930"/>
        <w:ind w:firstLine="560"/>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4.投标有效期的延长</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5.电子响应文件其他要求</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5.1电子招标投标交易平台（即“苏采云”系统）相关要求是本采购文件的组成部分。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5.2投标人应对CA证书妥善保管，如被他人盗用投标，因此带来的结果均由投标单位自行承担。</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5.3投标人应当对采购文件提出的实质性要求和条件作出实质性响应，并在电子投标系统逐条应答。</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6.投标人应当在采购文件要求提交投标文件的截止时间前，将投标文件提交至“苏采云”系统，逾期提交的投标文件，“苏采云”系统将自动拒收。各投标人应在规定时间内凭CA证书进行网上解密。</w:t>
      </w:r>
      <w:r/>
    </w:p>
    <w:p>
      <w:pPr>
        <w:pStyle w:val="929"/>
        <w:spacing w:before="0" w:after="0" w:line="360" w:lineRule="auto"/>
        <w:rPr>
          <w:rFonts w:hint="eastAsia" w:ascii="黑体" w:hAnsi="黑体" w:eastAsia="黑体" w:cs="黑体"/>
          <w:b w:val="0"/>
          <w:color w:val="auto"/>
          <w:sz w:val="28"/>
          <w:szCs w:val="28"/>
          <w:highlight w:val="none"/>
        </w:rPr>
      </w:pPr>
      <w:r/>
      <w:bookmarkStart w:id="56" w:name="_Hlt26954739"/>
      <w:r/>
      <w:bookmarkEnd w:id="56"/>
      <w:r/>
      <w:bookmarkStart w:id="57" w:name="_Hlt26954852"/>
      <w:r/>
      <w:bookmarkEnd w:id="57"/>
      <w:r/>
      <w:bookmarkStart w:id="58" w:name="_Toc513029224"/>
      <w:r/>
      <w:bookmarkStart w:id="59" w:name="_Toc120614217"/>
      <w:r/>
      <w:bookmarkStart w:id="60" w:name="_Toc16938540"/>
      <w:r/>
      <w:bookmarkStart w:id="61" w:name="_Toc20823296"/>
      <w:r>
        <w:rPr>
          <w:rFonts w:hint="eastAsia" w:ascii="黑体" w:hAnsi="黑体" w:eastAsia="黑体" w:cs="黑体"/>
          <w:b w:val="0"/>
          <w:color w:val="auto"/>
          <w:sz w:val="28"/>
          <w:szCs w:val="28"/>
          <w:highlight w:val="none"/>
        </w:rPr>
        <w:t xml:space="preserve">（四）投标文件的递交</w:t>
      </w:r>
      <w:bookmarkEnd w:id="58"/>
      <w:r/>
      <w:bookmarkEnd w:id="59"/>
      <w:r/>
      <w:bookmarkEnd w:id="60"/>
      <w:r/>
      <w:bookmarkEnd w:id="61"/>
      <w:r/>
      <w:r/>
    </w:p>
    <w:p>
      <w:pPr>
        <w:pStyle w:val="930"/>
        <w:ind w:firstLine="560"/>
        <w:jc w:val="both"/>
        <w:spacing w:line="360" w:lineRule="auto"/>
        <w:rPr>
          <w:rFonts w:hint="eastAsia" w:ascii="黑体" w:hAnsi="黑体" w:eastAsia="黑体" w:cs="黑体"/>
          <w:bCs/>
          <w:color w:val="auto"/>
          <w:sz w:val="28"/>
          <w:szCs w:val="28"/>
          <w:highlight w:val="none"/>
        </w:rPr>
      </w:pPr>
      <w:r/>
      <w:bookmarkStart w:id="62" w:name="_Toc16938541"/>
      <w:r/>
      <w:bookmarkStart w:id="63" w:name="_Toc513029225"/>
      <w:r/>
      <w:bookmarkStart w:id="64" w:name="_Toc462564084"/>
      <w:r/>
      <w:bookmarkStart w:id="65" w:name="_Toc20823297"/>
      <w:r>
        <w:rPr>
          <w:rFonts w:hint="eastAsia" w:ascii="黑体" w:hAnsi="黑体" w:eastAsia="黑体" w:cs="黑体"/>
          <w:bCs/>
          <w:color w:val="auto"/>
          <w:sz w:val="28"/>
          <w:szCs w:val="28"/>
          <w:highlight w:val="none"/>
        </w:rPr>
        <w:t xml:space="preserve">1.投标文件</w:t>
      </w:r>
      <w:bookmarkEnd w:id="62"/>
      <w:r/>
      <w:bookmarkEnd w:id="63"/>
      <w:r/>
      <w:bookmarkEnd w:id="64"/>
      <w:r/>
      <w:bookmarkEnd w:id="65"/>
      <w:r>
        <w:rPr>
          <w:rFonts w:hint="eastAsia" w:ascii="黑体" w:hAnsi="黑体" w:eastAsia="黑体" w:cs="黑体"/>
          <w:bCs/>
          <w:color w:val="auto"/>
          <w:sz w:val="28"/>
          <w:szCs w:val="28"/>
          <w:highlight w:val="none"/>
        </w:rPr>
        <w:t xml:space="preserve">的递交</w:t>
      </w:r>
      <w:r/>
    </w:p>
    <w:p>
      <w:pPr>
        <w:ind w:firstLine="556"/>
        <w:spacing w:line="360" w:lineRule="auto"/>
        <w:rPr>
          <w:rFonts w:hint="eastAsia" w:ascii="黑体" w:hAnsi="黑体" w:eastAsia="黑体" w:cs="黑体"/>
          <w:bCs/>
          <w:color w:val="auto"/>
          <w:sz w:val="28"/>
          <w:szCs w:val="28"/>
          <w:highlight w:val="none"/>
        </w:rPr>
      </w:pPr>
      <w:r/>
      <w:bookmarkStart w:id="66" w:name="_Toc513029226"/>
      <w:r/>
      <w:bookmarkStart w:id="67" w:name="_Toc16938542"/>
      <w:r/>
      <w:bookmarkStart w:id="68" w:name="_Toc20823298"/>
      <w:r>
        <w:rPr>
          <w:rFonts w:hint="eastAsia" w:ascii="黑体" w:hAnsi="黑体" w:eastAsia="黑体" w:cs="黑体"/>
          <w:bCs/>
          <w:color w:val="auto"/>
          <w:sz w:val="28"/>
          <w:szCs w:val="28"/>
          <w:highlight w:val="none"/>
        </w:rPr>
        <w:t xml:space="preserve">1.1线上提交与接收地点：投标单位应当通过“苏采云”系统提交数据电文形式的响应文件（即电子投标），“苏采云”系统自动接收。</w:t>
      </w:r>
      <w:r/>
    </w:p>
    <w:p>
      <w:pPr>
        <w:ind w:firstLine="556"/>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2.投标截止日期</w:t>
      </w:r>
      <w:bookmarkEnd w:id="66"/>
      <w:r/>
      <w:bookmarkEnd w:id="67"/>
      <w:r/>
      <w:bookmarkEnd w:id="68"/>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投标人上传电子投标文件的时间不得迟于招标公告中规定的投标截止时间。</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 采购人或采购代理机构可以按照规定，通过修改招标文件酌情延长投标截止日期，在此情况下，投标人的所有权利和义务以及投标人受制的截止日期均应以延长后新的截止日期为准。</w:t>
      </w:r>
      <w:bookmarkStart w:id="69" w:name="_Toc20823299"/>
      <w:r/>
      <w:bookmarkStart w:id="70" w:name="_Toc513029227"/>
      <w:r/>
      <w:bookmarkStart w:id="71" w:name="_Toc16938543"/>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3.投标文件的密封（加密）要求：</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3.1投标人应当按照采购文件和“苏采云”系统的要求编制并加密响应文件。本项目投标人须通过“苏采云”系统提供的政府采购客户端工具（使用“CA数字证书”）对其数据电文形式的投标文件加密。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3.2投标人须通过“苏采云”系统提供的政府采购客户端工具（使用“CA数字证书”）加盖电子签章。</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说明：投标人应在用CA数字证书以及自备的能够登录“苏采云”系统的笔记本电脑，在达到开标时间后，使用CA数字证书解密各自投标文件。</w:t>
      </w:r>
      <w:r/>
    </w:p>
    <w:p>
      <w:pPr>
        <w:pStyle w:val="930"/>
        <w:ind w:firstLine="560"/>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3.3投标人未按规定加密的投标文件，“苏采云”系统应当拒收并提示。</w:t>
      </w:r>
      <w:r/>
    </w:p>
    <w:p>
      <w:pPr>
        <w:pStyle w:val="930"/>
        <w:ind w:firstLine="560"/>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4.投标文件</w:t>
      </w:r>
      <w:bookmarkEnd w:id="69"/>
      <w:r/>
      <w:bookmarkEnd w:id="70"/>
      <w:r/>
      <w:bookmarkEnd w:id="71"/>
      <w:r>
        <w:rPr>
          <w:rFonts w:hint="eastAsia" w:ascii="黑体" w:hAnsi="黑体" w:eastAsia="黑体" w:cs="黑体"/>
          <w:bCs/>
          <w:color w:val="auto"/>
          <w:sz w:val="28"/>
          <w:szCs w:val="28"/>
          <w:highlight w:val="none"/>
        </w:rPr>
        <w:t xml:space="preserve">的拒收</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4.1 采购人或采购代理机构拒绝接收在其规定的投标截止时间后上传的任何投标文件。</w:t>
      </w:r>
      <w:r/>
    </w:p>
    <w:p>
      <w:pPr>
        <w:pStyle w:val="930"/>
        <w:ind w:firstLine="560"/>
        <w:jc w:val="both"/>
        <w:spacing w:line="360" w:lineRule="auto"/>
        <w:rPr>
          <w:rFonts w:hint="eastAsia" w:ascii="黑体" w:hAnsi="黑体" w:eastAsia="黑体" w:cs="黑体"/>
          <w:bCs/>
          <w:color w:val="auto"/>
          <w:sz w:val="28"/>
          <w:szCs w:val="28"/>
          <w:highlight w:val="none"/>
        </w:rPr>
      </w:pPr>
      <w:r/>
      <w:bookmarkStart w:id="72" w:name="_Toc16938544"/>
      <w:r/>
      <w:bookmarkStart w:id="73" w:name="_Toc20823300"/>
      <w:r/>
      <w:bookmarkStart w:id="74" w:name="_Toc513029228"/>
      <w:r>
        <w:rPr>
          <w:rFonts w:hint="eastAsia" w:ascii="黑体" w:hAnsi="黑体" w:eastAsia="黑体" w:cs="黑体"/>
          <w:bCs/>
          <w:color w:val="auto"/>
          <w:sz w:val="28"/>
          <w:szCs w:val="28"/>
          <w:highlight w:val="none"/>
        </w:rPr>
        <w:t xml:space="preserve">5.投标文件的撤回和修改</w:t>
      </w:r>
      <w:bookmarkEnd w:id="72"/>
      <w:r/>
      <w:bookmarkEnd w:id="73"/>
      <w:r/>
      <w:bookmarkEnd w:id="74"/>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 投标文件的撤回</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5.1.1 电子投标文件的撤回</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投标人可在投标截止时间前，撤回其电子投标文件，具体操作方法见《江苏省政府采购（投标单位）CA数字证书及电子签章办理指南》。</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5.1.2 投标人撤回电子投标文件，则认为其不再参与本项目投标活动。</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5.2 投标文件的修改</w:t>
      </w:r>
      <w:r/>
    </w:p>
    <w:p>
      <w:pPr>
        <w:ind w:firstLine="555"/>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投标人可在投标截止时间前，对其电子投标文件进行修改》。</w:t>
      </w:r>
      <w:r/>
    </w:p>
    <w:p>
      <w:pPr>
        <w:ind w:firstLine="555"/>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5.3 在投标截止时间之后，投标人不得对其电子投标文件作任何修改。</w:t>
      </w:r>
      <w:r/>
    </w:p>
    <w:p>
      <w:pPr>
        <w:ind w:firstLine="555"/>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5.4 在投标截止时间至招标文件中规定的投标有效期满之间的这段时间内，投标人不得撤回其投标。</w:t>
      </w:r>
      <w:r/>
    </w:p>
    <w:p>
      <w:pPr>
        <w:pStyle w:val="929"/>
        <w:spacing w:before="0" w:after="0" w:line="360" w:lineRule="auto"/>
        <w:rPr>
          <w:rFonts w:hint="eastAsia" w:ascii="黑体" w:hAnsi="黑体" w:eastAsia="黑体" w:cs="黑体"/>
          <w:b w:val="0"/>
          <w:color w:val="auto"/>
          <w:sz w:val="28"/>
          <w:szCs w:val="28"/>
          <w:highlight w:val="none"/>
        </w:rPr>
      </w:pPr>
      <w:r/>
      <w:bookmarkStart w:id="75" w:name="_Toc513029229"/>
      <w:r/>
      <w:bookmarkStart w:id="76" w:name="_Toc16938545"/>
      <w:r/>
      <w:bookmarkStart w:id="77" w:name="_Toc120614218"/>
      <w:r/>
      <w:bookmarkStart w:id="78" w:name="_Toc20823301"/>
      <w:r>
        <w:rPr>
          <w:rFonts w:hint="eastAsia" w:ascii="黑体" w:hAnsi="黑体" w:eastAsia="黑体" w:cs="黑体"/>
          <w:b w:val="0"/>
          <w:color w:val="auto"/>
          <w:sz w:val="28"/>
          <w:szCs w:val="28"/>
          <w:highlight w:val="none"/>
        </w:rPr>
        <w:t xml:space="preserve">（五）开标与评标</w:t>
      </w:r>
      <w:bookmarkEnd w:id="75"/>
      <w:r/>
      <w:bookmarkEnd w:id="76"/>
      <w:r/>
      <w:bookmarkEnd w:id="77"/>
      <w:r/>
      <w:bookmarkEnd w:id="78"/>
      <w:r/>
      <w:r/>
    </w:p>
    <w:p>
      <w:pPr>
        <w:pStyle w:val="930"/>
        <w:ind w:firstLine="560"/>
        <w:jc w:val="both"/>
        <w:spacing w:line="360" w:lineRule="auto"/>
        <w:rPr>
          <w:rFonts w:hint="eastAsia" w:ascii="黑体" w:hAnsi="黑体" w:eastAsia="黑体" w:cs="黑体"/>
          <w:bCs/>
          <w:color w:val="auto"/>
          <w:sz w:val="28"/>
          <w:szCs w:val="28"/>
          <w:highlight w:val="none"/>
        </w:rPr>
      </w:pPr>
      <w:r/>
      <w:bookmarkStart w:id="79" w:name="_Toc513029230"/>
      <w:r/>
      <w:bookmarkStart w:id="80" w:name="_Toc16938546"/>
      <w:r/>
      <w:bookmarkStart w:id="81" w:name="_Toc20823302"/>
      <w:r>
        <w:rPr>
          <w:rFonts w:hint="eastAsia" w:ascii="黑体" w:hAnsi="黑体" w:eastAsia="黑体" w:cs="黑体"/>
          <w:bCs/>
          <w:color w:val="auto"/>
          <w:sz w:val="28"/>
          <w:szCs w:val="28"/>
          <w:highlight w:val="none"/>
        </w:rPr>
        <w:t xml:space="preserve">1.开标</w:t>
      </w:r>
      <w:bookmarkEnd w:id="79"/>
      <w:r/>
      <w:bookmarkEnd w:id="80"/>
      <w:r/>
      <w:bookmarkEnd w:id="81"/>
      <w:r/>
      <w:r/>
    </w:p>
    <w:p>
      <w:pPr>
        <w:ind w:firstLine="556"/>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 采购人或采购代理机构将在招标公告中规定的时间和地点组织公开开标。</w:t>
      </w:r>
      <w:r/>
    </w:p>
    <w:p>
      <w:pPr>
        <w:ind w:firstLine="556"/>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开标当天投标人及时登录不见面开标大厅，投标文件递交截止时间后，采购</w:t>
      </w:r>
      <w:r>
        <w:rPr>
          <w:rFonts w:hint="eastAsia" w:ascii="黑体" w:hAnsi="黑体" w:eastAsia="黑体" w:cs="黑体"/>
          <w:bCs/>
          <w:color w:val="auto"/>
          <w:sz w:val="28"/>
          <w:szCs w:val="28"/>
          <w:highlight w:val="none"/>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1.2开标仪式由招标代理机构组织，在不见面交易系统中进行开标，并公布各投标人的《开标一览表》。</w:t>
      </w:r>
      <w:r/>
    </w:p>
    <w:p>
      <w:pPr>
        <w:pStyle w:val="930"/>
        <w:ind w:firstLine="560"/>
        <w:jc w:val="both"/>
        <w:spacing w:line="360" w:lineRule="auto"/>
        <w:rPr>
          <w:rFonts w:hint="eastAsia" w:ascii="黑体" w:hAnsi="黑体" w:eastAsia="黑体" w:cs="黑体"/>
          <w:bCs/>
          <w:color w:val="auto"/>
          <w:sz w:val="28"/>
          <w:szCs w:val="28"/>
          <w:highlight w:val="none"/>
        </w:rPr>
      </w:pPr>
      <w:r/>
      <w:bookmarkStart w:id="82" w:name="_Toc20823303"/>
      <w:r/>
      <w:bookmarkStart w:id="83" w:name="_Toc513029231"/>
      <w:r/>
      <w:bookmarkStart w:id="84" w:name="_Toc16938547"/>
      <w:r>
        <w:rPr>
          <w:rFonts w:hint="eastAsia" w:ascii="黑体" w:hAnsi="黑体" w:eastAsia="黑体" w:cs="黑体"/>
          <w:bCs/>
          <w:color w:val="auto"/>
          <w:sz w:val="28"/>
          <w:szCs w:val="28"/>
          <w:highlight w:val="none"/>
        </w:rPr>
        <w:t xml:space="preserve">2.评标委员会</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开标后，采购人或采购代理机构将立即组织评标委员会（以下简称评委会）进行评标。</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 评委会由有关技术、经济等方面的专家组成，且人员构成符合政府采购有关规定。</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2.3评委会独立工作，负责评审所有投标文件并确定中标侯选人。</w:t>
      </w:r>
      <w:r/>
    </w:p>
    <w:p>
      <w:pPr>
        <w:pStyle w:val="930"/>
        <w:ind w:firstLine="560"/>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3.评标过程的保密与公正</w:t>
      </w:r>
      <w:bookmarkEnd w:id="82"/>
      <w:r/>
      <w:bookmarkEnd w:id="83"/>
      <w:r/>
      <w:bookmarkEnd w:id="84"/>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3.1公开开标后，直至向中标的投标人授予合同时止，凡是与审查、澄清、评价和比较投标的有关资料以及授标建议等，采购人、评委、采购代理机构均不得向投标人或与评标无关的其他人员透露。</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3.2在评标过程中，投标人不得以任何行为影响评标过程，否则其投标文件将被作为无效投标文件。</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3.3在评标期间，采购代理机构将设专门人员与投标人联系。</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3.4采购人或采购代理机构和评标委员会不向未中标的投标人解释未中标原因，也不公布评标过程中的相关细节。</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3.5采用综合评分法的项目，公布评标结果时一并公布所有投标人的评审得分及排序情况。</w:t>
      </w:r>
      <w:r/>
    </w:p>
    <w:p>
      <w:pPr>
        <w:pStyle w:val="930"/>
        <w:ind w:firstLine="560"/>
        <w:jc w:val="both"/>
        <w:spacing w:line="360" w:lineRule="auto"/>
        <w:rPr>
          <w:rFonts w:hint="eastAsia" w:ascii="黑体" w:hAnsi="黑体" w:eastAsia="黑体" w:cs="黑体"/>
          <w:bCs/>
          <w:color w:val="auto"/>
          <w:sz w:val="28"/>
          <w:szCs w:val="28"/>
          <w:highlight w:val="none"/>
        </w:rPr>
      </w:pPr>
      <w:r/>
      <w:bookmarkStart w:id="85" w:name="_Toc513029232"/>
      <w:r/>
      <w:bookmarkStart w:id="86" w:name="_Toc20823304"/>
      <w:r/>
      <w:bookmarkStart w:id="87" w:name="_Toc16938548"/>
      <w:r>
        <w:rPr>
          <w:rFonts w:hint="eastAsia" w:ascii="黑体" w:hAnsi="黑体" w:eastAsia="黑体" w:cs="黑体"/>
          <w:bCs/>
          <w:color w:val="auto"/>
          <w:sz w:val="28"/>
          <w:szCs w:val="28"/>
          <w:highlight w:val="none"/>
        </w:rPr>
        <w:t xml:space="preserve">4.投标的澄清</w:t>
      </w:r>
      <w:bookmarkEnd w:id="85"/>
      <w:r/>
      <w:bookmarkEnd w:id="86"/>
      <w:r/>
      <w:bookmarkEnd w:id="87"/>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4.1评标期间，为有助于对投标文件的审查、评价和比较，评委会有权以电子函件形式要求投标人对其投标文件进行澄清，但并非对每个投标人都作澄清要求。</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4.3 接到评委会澄清要求的投标人如未按规定做出澄清，其风险由投标人自行承担。</w:t>
      </w:r>
      <w:r/>
    </w:p>
    <w:p>
      <w:pPr>
        <w:pStyle w:val="930"/>
        <w:ind w:firstLine="560"/>
        <w:jc w:val="both"/>
        <w:spacing w:line="360" w:lineRule="auto"/>
        <w:rPr>
          <w:rFonts w:hint="eastAsia" w:ascii="黑体" w:hAnsi="黑体" w:eastAsia="黑体" w:cs="黑体"/>
          <w:bCs/>
          <w:color w:val="auto"/>
          <w:sz w:val="28"/>
          <w:szCs w:val="28"/>
          <w:highlight w:val="none"/>
        </w:rPr>
      </w:pPr>
      <w:r/>
      <w:bookmarkStart w:id="88" w:name="_Toc513029233"/>
      <w:r/>
      <w:bookmarkStart w:id="89" w:name="_Toc16938549"/>
      <w:r/>
      <w:bookmarkStart w:id="90" w:name="_Toc20823305"/>
      <w:r>
        <w:rPr>
          <w:rFonts w:hint="eastAsia" w:ascii="黑体" w:hAnsi="黑体" w:eastAsia="黑体" w:cs="黑体"/>
          <w:bCs/>
          <w:color w:val="auto"/>
          <w:sz w:val="28"/>
          <w:szCs w:val="28"/>
          <w:highlight w:val="none"/>
        </w:rPr>
        <w:t xml:space="preserve">5.对投标文件的初审</w:t>
      </w:r>
      <w:bookmarkEnd w:id="88"/>
      <w:r/>
      <w:bookmarkEnd w:id="89"/>
      <w:r/>
      <w:bookmarkEnd w:id="90"/>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5.1投标文件初审分为资格审查和符合性审查。</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5.1.1 资格审查：依据法律法规和招标文件的规定，由采购人对投标文件中的资格证明文件进行审查。资格审查的结论，采购人以书面形式向评委会进行反馈。</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采购人在进行资格性审查的同时，评标委员会从“信用中国”网站查询投标单位的信用记录，以确定投标单位是否具备资格。</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接受联合体的项目，两个以上的自然人、法人或者其他组织组成一个联合体，以一个投标单位的身份共同参加政府采购活动的,联合体成员中任何一方存在不良信用记录的，视同联合体存在不良应用记录。</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5.1.3 未通过资格审查或符合性审查的投标人，采购人或采购代理机构告知未通过资格审查或符合性审查的原因，评审结束后，采购人或采购代理机构将不再告知未通过资格审查或符合性审查的原因。</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5.3如果投标文件实质上没有响应招标文件的要求，评委会将予以拒绝，投标人不得通过修改或撤销不合要求的偏离或保留而使其投标成为实质性响应的投标。</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5.4评委会将对确定为实质性响应的投标进行进一步审核，看其是否有计算上或累加上的算术错误，修正错误的原则如下：</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（1）投标文件中开标一览表内容与投标文件中相应内容不一致的，以开标一览表为准。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（2）大写金额和小写金额不一致的，以大写金额为准。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（3）单价金额小数点或者百分比有明显错位的，以开标一览表的总价为准，并修改单价。</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（4）总价金额与按单价汇总金额不一致的，以单价金额计算结果为准。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同时出现两种以上错误的，按照前款规定的顺序修正。</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5.5评委会将按上述修正错误的方法调整投标文件中的投标报价，并告知投标人，调整后的价格应对投标人具有约束力。如果投标人不接受修正后的价格，则其投标将被拒绝。</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5.6评委会将允许修正投标文件中不构成重大偏离的、微小的、非正规的、不一致的或不规则的地方，但这些修改不能影响任何投标人相应的名次排列。</w:t>
      </w:r>
      <w:r/>
    </w:p>
    <w:p>
      <w:pPr>
        <w:ind w:firstLine="560"/>
        <w:spacing w:line="360" w:lineRule="auto"/>
        <w:rPr>
          <w:rFonts w:hint="eastAsia" w:ascii="黑体" w:hAnsi="黑体" w:eastAsia="黑体" w:cs="黑体"/>
          <w:bCs/>
          <w:color w:val="auto"/>
          <w:sz w:val="28"/>
          <w:szCs w:val="28"/>
          <w:highlight w:val="none"/>
        </w:rPr>
      </w:pPr>
      <w:r/>
      <w:bookmarkStart w:id="91" w:name="_Toc20823306"/>
      <w:r/>
      <w:bookmarkStart w:id="92" w:name="_Toc16938550"/>
      <w:r/>
      <w:bookmarkStart w:id="93" w:name="_Toc513029234"/>
      <w:r>
        <w:rPr>
          <w:rFonts w:hint="eastAsia" w:ascii="黑体" w:hAnsi="黑体" w:eastAsia="黑体" w:cs="黑体"/>
          <w:bCs/>
          <w:color w:val="auto"/>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5.8 投标人在开、评标全过程中应保持通讯畅通，并安排专人与采购人或采购代理机构及评标委员会联系。</w:t>
      </w:r>
      <w:bookmarkEnd w:id="91"/>
      <w:r/>
      <w:bookmarkEnd w:id="92"/>
      <w:r/>
      <w:bookmarkEnd w:id="93"/>
      <w:r/>
      <w:r/>
    </w:p>
    <w:p>
      <w:pPr>
        <w:pStyle w:val="930"/>
        <w:ind w:firstLine="560"/>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6.无效投标条款和废标条款</w:t>
      </w:r>
      <w:r/>
    </w:p>
    <w:p>
      <w:pPr>
        <w:ind w:firstLine="560"/>
        <w:spacing w:line="360" w:lineRule="auto"/>
        <w:rPr>
          <w:rFonts w:hint="eastAsia" w:ascii="黑体" w:hAnsi="黑体" w:eastAsia="黑体" w:cs="黑体"/>
          <w:bCs/>
          <w:color w:val="auto"/>
          <w:sz w:val="28"/>
          <w:szCs w:val="28"/>
          <w:highlight w:val="none"/>
        </w:rPr>
      </w:pPr>
      <w:r/>
      <w:bookmarkStart w:id="94" w:name="_Toc20823307"/>
      <w:r/>
      <w:bookmarkStart w:id="95" w:name="_Toc16938551"/>
      <w:r/>
      <w:bookmarkStart w:id="96" w:name="_Toc513029235"/>
      <w:r>
        <w:rPr>
          <w:rFonts w:hint="eastAsia" w:ascii="黑体" w:hAnsi="黑体" w:eastAsia="黑体" w:cs="黑体"/>
          <w:bCs/>
          <w:color w:val="auto"/>
          <w:sz w:val="28"/>
          <w:szCs w:val="28"/>
          <w:highlight w:val="none"/>
        </w:rPr>
        <w:t xml:space="preserve">6.1无效投标条款</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 投标人在规定的时间内未成功解密电子投标文件的。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6.1.2 投标人未按照招标文件要求上传电子投标文件的。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6.1.3同一投标人提交两个（含两个）以上不同的投标报价的。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6.1.4投标人不具备招标文件中规定资格要求的。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6.1.5投标人的报价超过了采购预算或最高限价的。</w:t>
      </w:r>
      <w:r/>
    </w:p>
    <w:p>
      <w:pPr>
        <w:ind w:firstLine="560"/>
        <w:spacing w:line="360" w:lineRule="auto"/>
        <w:rPr>
          <w:rFonts w:hint="eastAsia" w:ascii="黑体" w:hAnsi="黑体" w:eastAsia="黑体" w:cs="黑体"/>
          <w:bCs/>
          <w:i/>
          <w:color w:val="auto"/>
          <w:sz w:val="28"/>
          <w:szCs w:val="28"/>
          <w:highlight w:val="none"/>
          <w:u w:val="single"/>
        </w:rPr>
      </w:pPr>
      <w:r>
        <w:rPr>
          <w:rFonts w:hint="eastAsia" w:ascii="黑体" w:hAnsi="黑体" w:eastAsia="黑体" w:cs="黑体"/>
          <w:bCs/>
          <w:color w:val="auto"/>
          <w:sz w:val="28"/>
          <w:szCs w:val="28"/>
          <w:highlight w:val="none"/>
        </w:rPr>
        <w:t xml:space="preserve">6.1.6未通过符合性检查的。</w:t>
      </w:r>
      <w:r/>
    </w:p>
    <w:p>
      <w:pPr>
        <w:ind w:firstLine="420"/>
        <w:spacing w:line="360" w:lineRule="auto"/>
        <w:rPr>
          <w:rFonts w:hint="eastAsia" w:ascii="黑体" w:hAnsi="黑体" w:eastAsia="黑体" w:cs="黑体"/>
          <w:bCs/>
          <w:i/>
          <w:color w:val="auto"/>
          <w:sz w:val="28"/>
          <w:szCs w:val="28"/>
          <w:highlight w:val="none"/>
          <w:u w:val="single"/>
        </w:rPr>
      </w:pPr>
      <w:r>
        <w:rPr>
          <w:rFonts w:hint="eastAsia" w:ascii="黑体" w:hAnsi="黑体" w:eastAsia="黑体" w:cs="黑体"/>
          <w:bCs/>
          <w:color w:val="auto"/>
          <w:sz w:val="28"/>
          <w:szCs w:val="28"/>
          <w:highlight w:val="none"/>
        </w:rPr>
        <w:t xml:space="preserve"> 6.1.7不符合招标文件中规定的其他实质性要求和条件的。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6.1.8 在“信用中国”网站（https://www.creditchina.gov.cn）查询，被列入</w:t>
      </w:r>
      <w:r>
        <w:rPr>
          <w:rFonts w:hint="eastAsia" w:ascii="黑体" w:hAnsi="黑体" w:eastAsia="黑体" w:cs="黑体"/>
          <w:color w:val="auto"/>
          <w:highlight w:val="none"/>
        </w:rPr>
        <w:fldChar w:fldCharType="begin"/>
      </w:r>
      <w:r>
        <w:rPr>
          <w:rFonts w:hint="eastAsia" w:ascii="黑体" w:hAnsi="黑体" w:eastAsia="黑体" w:cs="黑体"/>
          <w:color w:val="auto"/>
          <w:highlight w:val="none"/>
        </w:rPr>
        <w:instrText xml:space="preserve"> HYPERLINK "https://zxgk.court.gov.cn/shixin/" </w:instrText>
      </w:r>
      <w:r>
        <w:rPr>
          <w:rFonts w:hint="eastAsia" w:ascii="黑体" w:hAnsi="黑体" w:eastAsia="黑体" w:cs="黑体"/>
          <w:color w:val="auto"/>
          <w:highlight w:val="none"/>
        </w:rPr>
        <w:fldChar w:fldCharType="separate"/>
      </w:r>
      <w:r>
        <w:rPr>
          <w:rFonts w:hint="eastAsia" w:ascii="黑体" w:hAnsi="黑体" w:eastAsia="黑体" w:cs="黑体"/>
          <w:bCs/>
          <w:color w:val="auto"/>
          <w:sz w:val="28"/>
          <w:szCs w:val="28"/>
          <w:highlight w:val="none"/>
        </w:rPr>
        <w:t xml:space="preserve">失信被执行人</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"https://www.creditchina.gov.cn/zhuanxiangchaxun/zhongdashuishouweifaanjian/" </w:instrText>
      </w:r>
      <w:r>
        <w:rPr>
          <w:color w:val="auto"/>
          <w:highlight w:val="none"/>
        </w:rPr>
        <w:fldChar w:fldCharType="separate"/>
      </w:r>
      <w:r>
        <w:rPr>
          <w:rFonts w:hint="eastAsia" w:ascii="黑体" w:hAnsi="黑体" w:eastAsia="黑体" w:cs="黑体"/>
          <w:bCs/>
          <w:color w:val="auto"/>
          <w:sz w:val="28"/>
          <w:szCs w:val="28"/>
          <w:highlight w:val="none"/>
        </w:rPr>
        <w:t xml:space="preserve">重大税收违法失信主体名单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"https://www.creditchina.gov.cn/zhuanxiangchaxun/zhengfucaigouyanzhongweifashixinmingdan/" </w:instrText>
      </w:r>
      <w:r>
        <w:rPr>
          <w:color w:val="auto"/>
          <w:highlight w:val="none"/>
        </w:rPr>
        <w:fldChar w:fldCharType="separate"/>
      </w:r>
      <w:r>
        <w:rPr>
          <w:rFonts w:hint="eastAsia" w:ascii="黑体" w:hAnsi="黑体" w:eastAsia="黑体" w:cs="黑体"/>
          <w:bCs/>
          <w:color w:val="auto"/>
          <w:sz w:val="28"/>
          <w:szCs w:val="28"/>
          <w:highlight w:val="none"/>
        </w:rPr>
        <w:t xml:space="preserve">政府采购严重违法失信行为记录名单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"https://www.creditchina.gov.cn/xinxigongshi/shixinheimingdan/" </w:instrText>
      </w:r>
      <w:r>
        <w:rPr>
          <w:color w:val="auto"/>
          <w:highlight w:val="none"/>
        </w:rPr>
        <w:fldChar w:fldCharType="separate"/>
      </w:r>
      <w:r>
        <w:rPr>
          <w:rFonts w:hint="eastAsia" w:ascii="黑体" w:hAnsi="黑体" w:eastAsia="黑体" w:cs="黑体"/>
          <w:bCs/>
          <w:color w:val="auto"/>
          <w:sz w:val="28"/>
          <w:szCs w:val="28"/>
          <w:highlight w:val="none"/>
        </w:rPr>
        <w:t xml:space="preserve">严重失信主体名单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w:t>
      </w:r>
      <w:r>
        <w:rPr>
          <w:color w:val="auto"/>
          <w:highlight w:val="none"/>
        </w:rPr>
        <w:fldChar w:fldCharType="begin"/>
      </w:r>
      <w:r>
        <w:rPr>
          <w:color w:val="auto"/>
          <w:highlight w:val="none"/>
        </w:rPr>
        <w:instrText xml:space="preserve"> HYPERLINK "https://www.creditchina.gov.cn/xinxigongshi/zhongdianguanzhushixinmingdan/" </w:instrText>
      </w:r>
      <w:r>
        <w:rPr>
          <w:color w:val="auto"/>
          <w:highlight w:val="none"/>
        </w:rPr>
        <w:fldChar w:fldCharType="separate"/>
      </w:r>
      <w:r>
        <w:rPr>
          <w:rFonts w:hint="eastAsia" w:ascii="黑体" w:hAnsi="黑体" w:eastAsia="黑体" w:cs="黑体"/>
          <w:bCs/>
          <w:color w:val="auto"/>
          <w:sz w:val="28"/>
          <w:szCs w:val="28"/>
          <w:highlight w:val="none"/>
        </w:rPr>
        <w:t xml:space="preserve">经营（活动）异常名录</w:t>
      </w:r>
      <w:r>
        <w:rPr>
          <w:rFonts w:hint="eastAsia" w:ascii="黑体" w:hAnsi="黑体" w:eastAsia="黑体" w:cs="黑体"/>
          <w:bCs/>
          <w:color w:val="auto"/>
          <w:sz w:val="28"/>
          <w:szCs w:val="28"/>
          <w:highlight w:val="none"/>
        </w:rPr>
        <w:fldChar w:fldCharType="end"/>
      </w:r>
      <w:r>
        <w:rPr>
          <w:rFonts w:hint="eastAsia" w:ascii="黑体" w:hAnsi="黑体" w:eastAsia="黑体" w:cs="黑体"/>
          <w:bCs/>
          <w:color w:val="auto"/>
          <w:sz w:val="28"/>
          <w:szCs w:val="28"/>
          <w:highlight w:val="none"/>
        </w:rPr>
        <w:t xml:space="preserve">及其他不符合《中华人民共和国政府采购法》第二十二条规定条件的信用记录。（投标文件中无需提供证明材料）。</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6.1.9 投标文件含有采购人不能接受的附加条件的。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6.1.10投标文件未按照招标文件要求加盖电子签章。</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6.1.11不同的投标人投标文件制作机器码、文件创建标识码一致的。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6.1.12投标人的商务、技术部分得分相差悬殊，评标委员会认为得分畸低者没有实质性响应的。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6.1.13其他法律、法规及本招标文件规定的属无效投标的情形。</w:t>
      </w:r>
      <w:r/>
    </w:p>
    <w:p>
      <w:pPr>
        <w:pStyle w:val="761"/>
        <w:ind w:firstLine="560"/>
        <w:spacing w:before="0" w:beforeAutospacing="0" w:after="0" w:afterAutospacing="0" w:line="360" w:lineRule="auto"/>
        <w:rPr>
          <w:rFonts w:hint="eastAsia" w:ascii="黑体" w:hAnsi="黑体" w:eastAsia="黑体" w:cs="黑体"/>
          <w:b/>
          <w:bCs/>
          <w:color w:val="auto"/>
          <w:sz w:val="28"/>
          <w:szCs w:val="28"/>
          <w:highlight w:val="none"/>
        </w:rPr>
      </w:pPr>
      <w:r>
        <w:rPr>
          <w:rFonts w:hint="eastAsia" w:ascii="黑体" w:hAnsi="黑体" w:eastAsia="黑体" w:cs="黑体"/>
          <w:bCs/>
          <w:color w:val="auto"/>
          <w:sz w:val="28"/>
          <w:szCs w:val="28"/>
          <w:highlight w:val="none"/>
        </w:rPr>
        <w:t xml:space="preserve">6.1.14</w:t>
      </w:r>
      <w:r>
        <w:rPr>
          <w:rFonts w:hint="eastAsia" w:ascii="黑体" w:hAnsi="黑体" w:eastAsia="黑体" w:cs="黑体"/>
          <w:b/>
          <w:bCs/>
          <w:color w:val="auto"/>
          <w:sz w:val="28"/>
          <w:szCs w:val="28"/>
          <w:highlight w:val="none"/>
        </w:rPr>
        <w:t xml:space="preserve">评标小组认为投标单位的报价出现（财库〔2026〕2号文）规定的异常低价情 形之一的，将通过“不见面交易系统 ”启动异常低价投标（响应）审查程序，应当要求相关投标单位在评审现场合理的时间内对投标（响应）价格作出解释，提供项目具体成本测算等与报价合理性相关的书面说明及必要的证明材料，包括但不限于原材料成本、人工成本、制造费用等，给予相关投标单位的合理时间一般不少于30分钟。其中，属于第3项情形，投标单位已随投标（响应）文件一并提交相关书面说明及必要的证明材料的，在评审现场可不再重复提交。</w:t>
      </w:r>
      <w:r/>
    </w:p>
    <w:p>
      <w:pPr>
        <w:pStyle w:val="761"/>
        <w:ind w:firstLine="646"/>
        <w:jc w:val="both"/>
        <w:spacing w:before="0" w:beforeAutospacing="0" w:after="0" w:afterAutospacing="0" w:line="360" w:lineRule="auto"/>
        <w:rPr>
          <w:rFonts w:hint="eastAsia" w:ascii="黑体" w:hAnsi="黑体" w:eastAsia="黑体" w:cs="黑体"/>
          <w:color w:val="auto"/>
          <w:highlight w:val="none"/>
        </w:rPr>
      </w:pPr>
      <w:r>
        <w:rPr>
          <w:rFonts w:hint="eastAsia" w:ascii="黑体" w:hAnsi="黑体" w:eastAsia="黑体" w:cs="黑体"/>
          <w:b/>
          <w:bCs/>
          <w:color w:val="auto"/>
          <w:sz w:val="28"/>
          <w:szCs w:val="28"/>
          <w:highlight w:val="none"/>
        </w:rPr>
        <w:t xml:space="preserve">评标小组依据专业经验，参考同类项目中标（成交）价格、类似产品市场价格水平、行业人工费用标准、国家有关部门指导行业协会发布的行业平均成本等情况，对报价合理性进行判断。投标（响应）投标单位不能提供书面说明、证明材料，或者提供的书面说明、证明材料不能证明其报价合理性的，评标小组应当将其作为无效投标（响应）处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6.2废标条款：</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6.2.1符合专业条件的投标单位或者对招标文件作实质响应的投标单位不足三家的。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6.2.2出现影响采购公正的违法、违规行为的。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6.2.3因重大变故，采购任务取消的。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6.2.4评标委员会认定招标文件存在歧义、重大缺陷导致评审工作无法进行。</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6.2.5 因系统故障原因造成开标不成功的。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6.3 投标截止时间结束后参加投标的投标单位不足三家的处理：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6.3.1如出现投标截止时间结束后参加投标的投标单位或者在评标期间对招标文件做出实质响应的投标单位不足三家情况，按政府采购相关规定执行。</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7.投标文件线上格式要求</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7.1投标人应当通过“苏采云”系统提交数据电文形式的投标文件（即电子投标）。</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7.2通过“苏采云”系统提交政府采购客户端工具导出加密的投标文件（后缀名为zip）。投标文件不得超过150M！</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7.3本项目采用线上投标，即投标人的投标文件从政府采购客户端工具制作通过“苏采云”系统提交，未提供线上投标文件的，投标无效。</w:t>
      </w:r>
      <w:bookmarkEnd w:id="94"/>
      <w:r/>
      <w:bookmarkEnd w:id="95"/>
      <w:r/>
      <w:bookmarkEnd w:id="96"/>
      <w:r/>
      <w:r/>
    </w:p>
    <w:p>
      <w:pPr>
        <w:pStyle w:val="929"/>
        <w:spacing w:before="0" w:after="0" w:line="360" w:lineRule="auto"/>
        <w:rPr>
          <w:rFonts w:hint="eastAsia" w:ascii="黑体" w:hAnsi="黑体" w:eastAsia="黑体" w:cs="黑体"/>
          <w:b w:val="0"/>
          <w:color w:val="auto"/>
          <w:sz w:val="28"/>
          <w:szCs w:val="28"/>
          <w:highlight w:val="none"/>
        </w:rPr>
      </w:pPr>
      <w:r/>
      <w:bookmarkStart w:id="97" w:name="_Toc120614219"/>
      <w:r>
        <w:rPr>
          <w:rFonts w:hint="eastAsia" w:ascii="黑体" w:hAnsi="黑体" w:eastAsia="黑体" w:cs="黑体"/>
          <w:b w:val="0"/>
          <w:color w:val="auto"/>
          <w:sz w:val="28"/>
          <w:szCs w:val="28"/>
          <w:highlight w:val="none"/>
        </w:rPr>
        <w:t xml:space="preserve">（六）定标</w:t>
      </w:r>
      <w:bookmarkEnd w:id="97"/>
      <w:r/>
      <w:r/>
    </w:p>
    <w:p>
      <w:pPr>
        <w:pStyle w:val="930"/>
        <w:ind w:firstLine="560"/>
        <w:jc w:val="both"/>
        <w:spacing w:line="360" w:lineRule="auto"/>
        <w:rPr>
          <w:rFonts w:hint="eastAsia" w:ascii="黑体" w:hAnsi="黑体" w:eastAsia="黑体" w:cs="黑体"/>
          <w:bCs/>
          <w:color w:val="auto"/>
          <w:sz w:val="28"/>
          <w:szCs w:val="28"/>
          <w:highlight w:val="none"/>
        </w:rPr>
      </w:pPr>
      <w:r/>
      <w:bookmarkStart w:id="98" w:name="_Toc16938554"/>
      <w:r/>
      <w:bookmarkStart w:id="99" w:name="_Toc20823310"/>
      <w:r>
        <w:rPr>
          <w:rFonts w:hint="eastAsia" w:ascii="黑体" w:hAnsi="黑体" w:eastAsia="黑体" w:cs="黑体"/>
          <w:bCs/>
          <w:color w:val="auto"/>
          <w:sz w:val="28"/>
          <w:szCs w:val="28"/>
          <w:highlight w:val="none"/>
        </w:rPr>
        <w:t xml:space="preserve">1.确定</w:t>
      </w:r>
      <w:bookmarkEnd w:id="98"/>
      <w:r/>
      <w:bookmarkEnd w:id="99"/>
      <w:r>
        <w:rPr>
          <w:rFonts w:hint="eastAsia" w:ascii="黑体" w:hAnsi="黑体" w:eastAsia="黑体" w:cs="黑体"/>
          <w:bCs/>
          <w:color w:val="auto"/>
          <w:sz w:val="28"/>
          <w:szCs w:val="28"/>
          <w:highlight w:val="none"/>
        </w:rPr>
        <w:t xml:space="preserve">中标单位</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1.1中标候选人的选取原则和数量见招标文件第四部分规定。 </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1.2采购人应根据评标委员会推荐的中标候选投标单位确定中标单位。</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1.3 采购人或采购代理机构将在“江苏政府采购网”发布中标公告，公告期限为1个工作日。</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1.4若有充分证据证明，中标人出现下列情况之一的，一经查实，将被取消中标资格：</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1.4.1提供虚假材料谋取中标的。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1.4.2向采购人或采购代理机构行贿或者评审专家提供其他不正当利益的。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1.4.3恶意竞争，投标总报价明显低于其自身合理成本且又无法提供证明的。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1.4.4属于本文件规定的无效条件，但在评标过程中又未被评委会发现的。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1.4.5与采购人或者其他投标单位恶意串通的。</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1.4.6采取不正当手段诋毁、排挤其他投标单位的。</w:t>
      </w:r>
      <w:r/>
    </w:p>
    <w:p>
      <w:pPr>
        <w:ind w:firstLine="560"/>
        <w:spacing w:line="360" w:lineRule="auto"/>
        <w:rPr>
          <w:rFonts w:hint="eastAsia" w:ascii="黑体" w:hAnsi="黑体" w:eastAsia="黑体" w:cs="黑体"/>
          <w:bCs/>
          <w:color w:val="auto"/>
          <w:sz w:val="28"/>
          <w:szCs w:val="28"/>
          <w:highlight w:val="none"/>
        </w:rPr>
      </w:pPr>
      <w:r/>
      <w:bookmarkStart w:id="100" w:name="_Toc200451960"/>
      <w:r>
        <w:rPr>
          <w:rFonts w:hint="eastAsia" w:ascii="黑体" w:hAnsi="黑体" w:eastAsia="黑体" w:cs="黑体"/>
          <w:bCs/>
          <w:color w:val="auto"/>
          <w:sz w:val="28"/>
          <w:szCs w:val="28"/>
          <w:highlight w:val="none"/>
        </w:rPr>
        <w:t xml:space="preserve">1.5有下列情形之一的，视为投标人串通投标，投标无效：</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1.5.1不同投标人的投标文件由同一单位或者个人编制；</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1.5.2不同投标人委托同一单位或者个人办理投标事宜；</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1.5.3不同投标人的投标文件载明的项目管理成员或者联系人员为同一人；</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1.5.4不同投标人的投标文件异常一致或者投标报价呈规律性差异；</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1.5.5不同投标人的投标文件相互混装；</w:t>
      </w:r>
      <w:r/>
    </w:p>
    <w:p>
      <w:pPr>
        <w:pStyle w:val="930"/>
        <w:ind w:firstLine="560"/>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2.质疑处理</w:t>
      </w:r>
      <w:bookmarkEnd w:id="100"/>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 提出质疑的投标单位应当是参与所质疑项目采购活动的投标单位。潜在投标单位依法获取其可质疑的采购文件的，可以对采购文件提出质疑。</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投标单位认为采购文件、采购过程和采购结果使自己的权益受到损害的，可以在知道或应知其权益受到损害之日起七个工作日内，以书面形式向采购人或采购代理机构提出质疑。上述应知其权益受到损害之日，是指：</w:t>
      </w:r>
      <w:r>
        <w:rPr>
          <w:rFonts w:hint="eastAsia" w:ascii="黑体" w:hAnsi="黑体" w:eastAsia="黑体" w:cs="黑体"/>
          <w:color w:val="auto"/>
          <w:sz w:val="28"/>
          <w:szCs w:val="28"/>
          <w:highlight w:val="none"/>
        </w:rPr>
        <w:t xml:space="preserve">（</w:t>
      </w:r>
      <w:r>
        <w:rPr>
          <w:rFonts w:hint="eastAsia" w:ascii="黑体" w:hAnsi="黑体" w:eastAsia="黑体" w:cs="黑体"/>
          <w:b/>
          <w:bCs/>
          <w:color w:val="auto"/>
          <w:sz w:val="28"/>
          <w:szCs w:val="28"/>
          <w:highlight w:val="none"/>
          <w:u w:val="single"/>
        </w:rPr>
        <w:t xml:space="preserve">本项目招标公告期限届满后获取招标文件的，以公告期限届满之日为准）</w:t>
      </w:r>
      <w:r/>
    </w:p>
    <w:p>
      <w:pPr>
        <w:ind w:firstLine="560"/>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2.2.1对可以质疑的采购文件提出质疑的，为收到采购文件之日或者采购文件公告期限届满之日；</w:t>
      </w:r>
      <w:r/>
    </w:p>
    <w:p>
      <w:pPr>
        <w:ind w:firstLine="560"/>
        <w:jc w:val="left"/>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注明：本项目5个工作日后仍可下载招标文件，但不作为投标投标单位权益受到损害的证明材料和依据。</w:t>
      </w:r>
      <w:r/>
    </w:p>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2.2.2对采购过程提出质疑的，为各采购程序环节结束之日；</w:t>
      </w:r>
      <w:r/>
    </w:p>
    <w:p>
      <w:pPr>
        <w:ind w:firstLine="560"/>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2.2.3对中标或者成交结果提出质疑的，为中标或者成交结果公告期限届满之日。</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投标单位应当在法定质疑期内一次性提出针对同一采购程序环节的质疑。</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2.3质疑函必须按照本招标文件中《质疑函范本》要求的格式和内容进行填写。投标单位如组成联合体参加投标，则《质疑函范本》中要求签字、盖章、加盖公章之处，联合体各方均须按要求签字、盖章、加盖公章。</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2.4质疑答复依据《政府采购质疑和投诉办法》（财政部令第94号）。</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采购人质疑接收人及联系方式，见招标文件第一部分。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2.5以下情形的质疑不予受理</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2.5.1内容不符合《政府采购质疑和投诉办法》第十二条规定的质疑。</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2.5.2超出政府采购法定期限的质疑。</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2.5.3未参加投标活动的投标单位或在投标活动中自身权益未受到损害的投标单位所提出的质疑。</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2.5.4投标单位组成联合体参加投标，联合体中任何一方或多方未按要求签字、盖章、加盖公章的质疑。</w:t>
      </w:r>
      <w:r/>
    </w:p>
    <w:p>
      <w:pPr>
        <w:ind w:firstLine="546"/>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2.6投标单位提出书面质疑必须有理、有据，不得捏造事实、提供虚假材料进行恶意质疑。否则，一经查实，采购人或采购代理机构有权依据政府采购的有关规定，报请政府采购监管部门对该投标单位进行相应的行政处罚和记录该投标单位的失信信息。</w:t>
      </w:r>
      <w:r/>
    </w:p>
    <w:p>
      <w:pPr>
        <w:pStyle w:val="930"/>
        <w:ind w:firstLine="560"/>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3.中标通知书</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3.l 中标结果确定后，采购人或采购代理机构将向中标投标单位发出中标通知书。</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3.2中标通知书将是合同的一个组成部分。对采购人和中标投标单位均具有法律效力。中标通知书发出后，采购人改变中标结果的，或者中标投标单位放弃中标项目的，应当依法承担法律责任。</w:t>
      </w:r>
      <w:r/>
    </w:p>
    <w:p>
      <w:pPr>
        <w:pStyle w:val="929"/>
        <w:spacing w:before="0" w:after="0" w:line="360" w:lineRule="auto"/>
        <w:rPr>
          <w:rFonts w:hint="eastAsia" w:ascii="黑体" w:hAnsi="黑体" w:eastAsia="黑体" w:cs="黑体"/>
          <w:b w:val="0"/>
          <w:color w:val="auto"/>
          <w:sz w:val="28"/>
          <w:szCs w:val="28"/>
          <w:highlight w:val="none"/>
        </w:rPr>
      </w:pPr>
      <w:r/>
      <w:bookmarkStart w:id="101" w:name="_Toc16938552"/>
      <w:r/>
      <w:bookmarkStart w:id="102" w:name="_Toc120614220"/>
      <w:r/>
      <w:bookmarkStart w:id="103" w:name="_Toc20823308"/>
      <w:r/>
      <w:bookmarkStart w:id="104" w:name="_Toc513029236"/>
      <w:r>
        <w:rPr>
          <w:rFonts w:hint="eastAsia" w:ascii="黑体" w:hAnsi="黑体" w:eastAsia="黑体" w:cs="黑体"/>
          <w:b w:val="0"/>
          <w:color w:val="auto"/>
          <w:sz w:val="28"/>
          <w:szCs w:val="28"/>
          <w:highlight w:val="none"/>
        </w:rPr>
        <w:t xml:space="preserve">（七）授予合同</w:t>
      </w:r>
      <w:bookmarkEnd w:id="101"/>
      <w:r/>
      <w:bookmarkEnd w:id="102"/>
      <w:r/>
      <w:bookmarkEnd w:id="103"/>
      <w:r/>
      <w:bookmarkEnd w:id="104"/>
      <w:r/>
      <w:r/>
    </w:p>
    <w:p>
      <w:pPr>
        <w:pStyle w:val="930"/>
        <w:ind w:firstLine="560"/>
        <w:jc w:val="both"/>
        <w:spacing w:line="360" w:lineRule="auto"/>
        <w:rPr>
          <w:rFonts w:hint="eastAsia" w:ascii="黑体" w:hAnsi="黑体" w:eastAsia="黑体" w:cs="黑体"/>
          <w:bCs/>
          <w:color w:val="auto"/>
          <w:sz w:val="28"/>
          <w:szCs w:val="28"/>
          <w:highlight w:val="none"/>
        </w:rPr>
      </w:pPr>
      <w:r/>
      <w:bookmarkStart w:id="105" w:name="_Toc20823309"/>
      <w:r/>
      <w:bookmarkStart w:id="106" w:name="_Toc16938553"/>
      <w:r/>
      <w:bookmarkStart w:id="107" w:name="_Toc513029237"/>
      <w:r>
        <w:rPr>
          <w:rFonts w:hint="eastAsia" w:ascii="黑体" w:hAnsi="黑体" w:eastAsia="黑体" w:cs="黑体"/>
          <w:bCs/>
          <w:color w:val="auto"/>
          <w:sz w:val="28"/>
          <w:szCs w:val="28"/>
          <w:highlight w:val="none"/>
        </w:rPr>
        <w:t xml:space="preserve">1.签订合同</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1.l中标人应当在中标通知书发出之日起三十日内，按照招标文件确定的事项与采购人签订政府采购合同。</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1.2招标文件、中标人的投标文件及招标过程中有关澄清、承诺文件均应作为合同附件。</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中标单位就采购项目和分包项目向采购人负责，分包投标单位就分包项目承担责任。转包或分包造成采购人损失的，中标人应承担相应赔偿责任。</w:t>
      </w:r>
      <w:r/>
    </w:p>
    <w:p>
      <w:pPr>
        <w:pStyle w:val="930"/>
        <w:ind w:firstLine="560"/>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2.货物和服务的追加、减少和添购。</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5"/>
      <w:r/>
      <w:bookmarkEnd w:id="106"/>
      <w:r/>
      <w:bookmarkEnd w:id="107"/>
      <w:r/>
      <w:r/>
    </w:p>
    <w:p>
      <w:pPr>
        <w:pStyle w:val="930"/>
        <w:ind w:firstLine="562"/>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3.政府采购履约保证资金、合同信用融资扶持政策</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3.1中标投标单位如需获得履约保证金支持，可在江苏政府采购网直接线上办理线上履约保证保险申请，详情请见江苏政府采购网首页 “易企服”综合服务平台-金融产品全周期-履约保证保险专栏。</w:t>
      </w:r>
      <w:r/>
    </w:p>
    <w:p>
      <w:pPr>
        <w:pStyle w:val="930"/>
        <w:ind w:firstLine="551"/>
        <w:jc w:val="both"/>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3.2根据《</w:t>
      </w:r>
      <w:r>
        <w:rPr>
          <w:rFonts w:hint="eastAsia" w:ascii="黑体" w:hAnsi="黑体" w:eastAsia="黑体" w:cs="黑体"/>
          <w:bCs/>
          <w:color w:val="auto"/>
          <w:sz w:val="28"/>
          <w:szCs w:val="28"/>
          <w:highlight w:val="none"/>
        </w:rPr>
        <w:t xml:space="preserve">关于转发江苏省财政厅、中国人民银行南京分行&lt;关于深入推进政府采购线上合同信用融资工作的通知&gt;的通知》（通财购〔2021〕41号），对政府采购中标投标单位提出“政采贷”融资申请的，采购人应当依法按时在“苏采云”系统中录入并公开政府采购合同信息，勾选“融资贷款”选项，并在合同签订、验收付款、账号维护等环节提供必要便利，持续降低参与政府采购的中小企业融资成本。中标投标单位如需获得合同信用融资支持，可凭政府采购合同办理“政采贷”融资贷款，详情请见江苏政府采购网 “易企服”综合服务平台-金融产品全周期-贷款产品专栏。</w:t>
      </w:r>
      <w:r/>
    </w:p>
    <w:p>
      <w:pPr>
        <w:ind w:firstLine="42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根据《关于深入开展南通市政府采购线上合同信用融资业务的通知》（通财购〔2022〕68号），中标（成交）投标单位可通过中征应收账款融资服务平台（简称“中征平台”）办理“政采贷”融资贷款，具体业务操作流程如下： </w:t>
      </w:r>
      <w:r/>
    </w:p>
    <w:p>
      <w:pPr>
        <w:ind w:firstLine="42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3.3.1确定融资意向。中标(成交) 投标单位取得中标 (成交 ) 通知书后，联系意向金融机构，商治融资事项，确定融资意向。</w:t>
      </w:r>
      <w:r/>
    </w:p>
    <w:p>
      <w:pPr>
        <w:ind w:firstLine="42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3.3.2签订采购合同。中标(成交 ) 投标单位与采购人签订政府采购合同时，应将自身融资需求告知采购人或其委托的采购代理机构，提醒 (或协助 ) 其当天在“苏采云”上传合同的同时将“投标单位是否融资”选为“是”</w:t>
      </w:r>
      <w:r/>
    </w:p>
    <w:p>
      <w:pPr>
        <w:ind w:firstLine="42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3.3.3提交融资申请。中标(成交) 投标单位登录“中征平台”进行用户注册，查看“政采贷”融资产品，向确定合作的金融机构提交融资申请。</w:t>
      </w:r>
      <w:r/>
    </w:p>
    <w:p>
      <w:pPr>
        <w:ind w:firstLine="42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3.3.4确认回款账户。金融机构填写需要锁定的回款账户信息后中标(成交)投标单位应登录“中征平台”确认账户信息，以实现回款账户的锁定。</w:t>
      </w:r>
      <w:r/>
    </w:p>
    <w:p>
      <w:pPr>
        <w:jc w:val="center"/>
        <w:spacing w:line="360" w:lineRule="auto"/>
        <w:rPr>
          <w:rFonts w:hint="eastAsia" w:ascii="黑体" w:hAnsi="黑体" w:eastAsia="黑体" w:cs="黑体"/>
          <w:color w:val="auto"/>
          <w:highlight w:val="none"/>
        </w:rPr>
        <w:outlineLvl w:val="0"/>
      </w:pPr>
      <w:r>
        <w:rPr>
          <w:rFonts w:hint="eastAsia" w:ascii="黑体" w:hAnsi="黑体" w:eastAsia="黑体" w:cs="黑体"/>
          <w:bCs/>
          <w:color w:val="auto"/>
          <w:sz w:val="28"/>
          <w:szCs w:val="28"/>
          <w:highlight w:val="none"/>
        </w:rPr>
        <w:br w:type="page" w:clear="all"/>
      </w:r>
      <w:r>
        <w:rPr>
          <w:rFonts w:hint="eastAsia" w:ascii="黑体" w:hAnsi="黑体" w:eastAsia="黑体" w:cs="黑体"/>
          <w:b/>
          <w:color w:val="auto"/>
          <w:sz w:val="36"/>
          <w:szCs w:val="36"/>
          <w:highlight w:val="none"/>
        </w:rPr>
        <w:t xml:space="preserve">第三部分 项目需求</w:t>
      </w:r>
      <w:r/>
    </w:p>
    <w:p>
      <w:pPr>
        <w:ind w:firstLine="562"/>
        <w:spacing w:line="360" w:lineRule="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360" w:lineRule="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281"/>
        <w:jc w:val="left"/>
        <w:spacing w:line="360" w:lineRule="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一、采购标的需实现的功能或者目标, 以及为落实政府采购政策需满足的要求：</w:t>
      </w:r>
      <w:r/>
    </w:p>
    <w:p>
      <w:pPr>
        <w:ind w:firstLine="599"/>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为满足区内土地征用、规划及资料归档等工作之需，及时有效地为招商引资及日常管理工作提供服务，按照相关法律、法规及文件要求，需开展2026—2028年日常勘测定界测绘工作，根据当前自然资源和规划基础业务需求，日常勘测定界测绘包括征地成片开发、农转用及土地征收、临时用地、土地供应、卫片执法等日常勘测定界以及基于征供地勘界、变更调查等成果数据进一步分析、利用的技术服务工作。</w:t>
      </w:r>
      <w:r/>
    </w:p>
    <w:p>
      <w:pPr>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二、采购标的需执行的国家相关标准、行业标准、地方标准或者其他标准、规范：</w:t>
      </w:r>
      <w:r/>
    </w:p>
    <w:p>
      <w:pPr>
        <w:ind w:firstLine="599"/>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本项目各环节均须遵循国家相关法律法规、江苏省地方及相关行业的规范标准、采购文件的技术规范的有关要求执行，如果在合同履行过程中有新的国家或行业（部）规范和标准出台的，则投标单位应确保其合同标的物达到并符合新的国家或行业（部）规范和标准，因此而增加的费用及风险由投标单位自行承担。</w:t>
      </w:r>
      <w:r/>
    </w:p>
    <w:p>
      <w:pPr>
        <w:spacing w:line="360" w:lineRule="auto"/>
        <w:rPr>
          <w:rFonts w:hint="eastAsia" w:ascii="黑体" w:hAnsi="黑体" w:eastAsia="黑体" w:cs="黑体"/>
          <w:color w:val="auto"/>
          <w:highlight w:val="none"/>
        </w:rPr>
      </w:pPr>
      <w:r>
        <w:rPr>
          <w:rFonts w:hint="eastAsia" w:ascii="黑体" w:hAnsi="黑体" w:eastAsia="黑体" w:cs="黑体"/>
          <w:b/>
          <w:bCs/>
          <w:color w:val="auto"/>
          <w:sz w:val="28"/>
          <w:szCs w:val="28"/>
          <w:highlight w:val="none"/>
        </w:rPr>
        <w:t xml:space="preserve">三、采购标的需满足的质量、安全、技术规格、物理特性等要求。</w:t>
      </w:r>
      <w:r/>
    </w:p>
    <w:p>
      <w:pPr>
        <w:ind w:firstLine="599"/>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服务内容：用地勘测定界。具体为农转用及土地征收、土地供应、登记发证等勘测定界的技术服务工作。</w:t>
      </w:r>
      <w:r/>
    </w:p>
    <w:p>
      <w:pPr>
        <w:ind w:firstLine="599"/>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采购人将用地红线图等相关资料交给成交投标单位，成交投标单位即时提供红线范围界址点坐标（2000国家大地坐标系），交给采购人审核是否符合国土空间规划等相关规划。对经采购人审核符合要求的地块，成交投标单位即时到实地勘测。</w:t>
      </w:r>
      <w:r/>
    </w:p>
    <w:p>
      <w:pPr>
        <w:ind w:firstLine="599"/>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（2）成交投标单位实地勘测，同时配合调查土地权属、地类、面积。成交投标单位需保证勘测定界图的现势性。</w:t>
      </w:r>
      <w:r/>
    </w:p>
    <w:p>
      <w:pPr>
        <w:ind w:firstLine="599"/>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（3）成交投标单位实地勘测后将地块实地调查的土地权属地类面积表、标示地块位置的土地利用现状图等材料交给采购人审核。</w:t>
      </w:r>
      <w:r/>
    </w:p>
    <w:p>
      <w:pPr>
        <w:ind w:firstLine="599"/>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（4）成交投标单位根据采购人审核意见修改土地勘测定界技术报告。</w:t>
      </w:r>
      <w:r/>
    </w:p>
    <w:p>
      <w:pPr>
        <w:ind w:firstLine="599"/>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（5）成交投标单位根据采购人需求，录入勘测定界数据成果，制作勘测定界技术报告及勘测定界图、土地利用现状图、规划图等材料。</w:t>
      </w:r>
      <w:r/>
    </w:p>
    <w:p>
      <w:pPr>
        <w:ind w:firstLine="599"/>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（7）成交投标单位根据时限要求，对成交后的地块进行交地放桩。</w:t>
      </w:r>
      <w:r/>
    </w:p>
    <w:p>
      <w:pPr>
        <w:ind w:firstLine="599"/>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（8）其他涉及土地征收、临时用地、土地供应过程中测绘技术服务工作。</w:t>
      </w:r>
      <w:r/>
    </w:p>
    <w:p>
      <w:pPr>
        <w:jc w:val="left"/>
        <w:spacing w:line="360" w:lineRule="auto"/>
        <w:widowControl/>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四、采购标的数量、采购项目交付或者实施的时间和地点。</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color w:val="auto"/>
          <w:sz w:val="28"/>
          <w:szCs w:val="28"/>
          <w:highlight w:val="none"/>
        </w:rPr>
        <w:t xml:space="preserve">1、服务时间：</w:t>
      </w:r>
      <w:r>
        <w:rPr>
          <w:rFonts w:hint="eastAsia" w:ascii="黑体" w:hAnsi="黑体" w:eastAsia="黑体" w:cs="黑体"/>
          <w:bCs/>
          <w:color w:val="auto"/>
          <w:sz w:val="28"/>
          <w:szCs w:val="28"/>
          <w:highlight w:val="none"/>
        </w:rPr>
        <w:t xml:space="preserve">自合同签订起叁年。若成交投标单位在合同期限内未达到采购方的要求及标准，采购人有权取消合同。</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2、服务地点：采购人指定的地点</w:t>
      </w:r>
      <w:r/>
    </w:p>
    <w:p>
      <w:pPr>
        <w:spacing w:line="360" w:lineRule="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五、采购标的需满足的服务标准、期限、效率等要求。</w:t>
      </w:r>
      <w:r/>
    </w:p>
    <w:p>
      <w:pPr>
        <w:pStyle w:val="764"/>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 xml:space="preserve">国家、省、市对于测绘成果的规范性文件要求和技术标准。</w:t>
      </w:r>
      <w:r/>
    </w:p>
    <w:p>
      <w:pPr>
        <w:pStyle w:val="757"/>
        <w:ind w:left="0"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常驻采购人单位熟悉本项目业务的人员需参照采购人工作管理，服从采购人日常工作作风、纪律制度要求。</w:t>
      </w:r>
      <w:r/>
    </w:p>
    <w:p>
      <w:pPr>
        <w:spacing w:line="360" w:lineRule="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六、验收标准及考核标准</w:t>
      </w:r>
      <w:r/>
    </w:p>
    <w:p>
      <w:pPr>
        <w:ind w:firstLine="560"/>
        <w:jc w:val="left"/>
        <w:spacing w:line="360" w:lineRule="auto"/>
        <w:tabs>
          <w:tab w:val="left" w:pos="2669" w:leader="none"/>
        </w:tabs>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 成交投标单位必须在南通市经济技术开发区设立日常办公地点，且有4名固定工作人员，其中1名熟悉本项目业务的人员常驻采购人单位，2-3名外业工作人员在开发区范围内随时待命，保证接到测绘任务通知后2个小时内派技术人员到达现场开展测绘任务，在3个有效工作日内完成宗地测量工作，在采购人规定的时限内完成其他测绘工作，并提交全部成果资料。否则，采购人有权单方面解除合同。</w:t>
      </w:r>
      <w:r/>
    </w:p>
    <w:p>
      <w:pPr>
        <w:ind w:firstLine="560"/>
        <w:jc w:val="left"/>
        <w:spacing w:line="360" w:lineRule="auto"/>
        <w:tabs>
          <w:tab w:val="left" w:pos="1756" w:leader="none"/>
          <w:tab w:val="left" w:pos="2655" w:leader="none"/>
        </w:tabs>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2、成交投标单位必须保证测绘成果按采购人要求100%准确无误，采购人将不定期对成交投标单位成果进行抽查，成交投标单位予以积极配合。</w:t>
      </w:r>
      <w:r/>
    </w:p>
    <w:p>
      <w:pPr>
        <w:ind w:firstLine="560"/>
        <w:jc w:val="left"/>
        <w:spacing w:line="360" w:lineRule="auto"/>
        <w:tabs>
          <w:tab w:val="left" w:pos="1756" w:leader="none"/>
        </w:tabs>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3、对于采购人提供的图纸和技术资料以及属于采购人的测绘成果，成交投标单位有义务保密，不得向第三方转让，否则，采购人有权对因此造成的损失追加责任。</w:t>
      </w:r>
      <w:r/>
    </w:p>
    <w:p>
      <w:pPr>
        <w:pStyle w:val="734"/>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4、若成交投标单位提供的测绘成果，质量不合格，应负责无偿给予重测或采用补救措施，以达到质量要求 。因测绘成果质量不符合合同规定的要求（而由非采购人提供的图纸及资料原因所致）造成后果时，成交投标单位应对此造成的直接损失负赔偿责任，并承担相应的法律责任（由于采购人提供的图纸及资料原因产生的责任由采购人负责）。</w:t>
      </w:r>
      <w:r/>
    </w:p>
    <w:p>
      <w:pPr>
        <w:pStyle w:val="734"/>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5、因成交投标单位工作失误，造成不良影响的， 采购人有权单方面解除合同。</w:t>
      </w:r>
      <w:r/>
    </w:p>
    <w:p>
      <w:pPr>
        <w:pStyle w:val="734"/>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6、成交投标单位不得将采购人委托的测绘业务转包给第三方，一经发现，本合同立即终止，并且成交投标单位必须承担相应的责任。</w:t>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b/>
          <w:bCs/>
          <w:color w:val="auto"/>
          <w:sz w:val="28"/>
          <w:szCs w:val="28"/>
          <w:highlight w:val="none"/>
        </w:rPr>
        <w:t xml:space="preserve">七、采购标的其他技术、服务等要求。</w:t>
      </w:r>
      <w:r>
        <w:rPr>
          <w:rFonts w:hint="eastAsia" w:ascii="黑体" w:hAnsi="黑体" w:eastAsia="黑体" w:cs="黑体"/>
          <w:color w:val="auto"/>
          <w:sz w:val="28"/>
          <w:szCs w:val="28"/>
          <w:highlight w:val="none"/>
        </w:rPr>
        <w:t xml:space="preserve"> </w:t>
      </w:r>
      <w:r/>
    </w:p>
    <w:p>
      <w:pPr>
        <w:ind w:firstLine="562"/>
        <w:jc w:val="left"/>
        <w:spacing w:line="360" w:lineRule="auto"/>
        <w:rPr>
          <w:rFonts w:hint="eastAsia" w:ascii="黑体" w:hAnsi="黑体" w:eastAsia="黑体" w:cs="黑体"/>
          <w:color w:val="auto"/>
          <w:sz w:val="28"/>
          <w:szCs w:val="28"/>
          <w:highlight w:val="none"/>
        </w:rPr>
      </w:pPr>
      <w:r>
        <w:rPr>
          <w:rFonts w:hint="eastAsia" w:ascii="黑体" w:hAnsi="黑体" w:eastAsia="黑体" w:cs="黑体"/>
          <w:b/>
          <w:bCs/>
          <w:color w:val="auto"/>
          <w:sz w:val="28"/>
          <w:szCs w:val="28"/>
          <w:highlight w:val="none"/>
        </w:rPr>
        <w:t xml:space="preserve">1、</w:t>
      </w:r>
      <w:r>
        <w:rPr>
          <w:rFonts w:hint="eastAsia" w:ascii="黑体" w:hAnsi="黑体" w:eastAsia="黑体" w:cs="黑体"/>
          <w:color w:val="auto"/>
          <w:sz w:val="28"/>
          <w:szCs w:val="28"/>
          <w:highlight w:val="none"/>
        </w:rPr>
        <w:t xml:space="preserve">服务要求：</w:t>
      </w:r>
      <w:r/>
    </w:p>
    <w:p>
      <w:pPr>
        <w:ind w:firstLine="281"/>
        <w:jc w:val="left"/>
        <w:spacing w:line="360" w:lineRule="auto"/>
        <w:rPr>
          <w:rFonts w:hint="eastAsia" w:ascii="黑体" w:hAnsi="黑体" w:eastAsia="黑体" w:cs="黑体"/>
          <w:color w:val="auto"/>
          <w:sz w:val="28"/>
          <w:szCs w:val="28"/>
          <w:highlight w:val="none"/>
        </w:rPr>
      </w:pPr>
      <w:r>
        <w:rPr>
          <w:rFonts w:hint="eastAsia" w:ascii="黑体" w:hAnsi="黑体" w:eastAsia="黑体" w:cs="黑体"/>
          <w:b/>
          <w:bCs/>
          <w:color w:val="auto"/>
          <w:sz w:val="28"/>
          <w:szCs w:val="28"/>
          <w:highlight w:val="none"/>
        </w:rPr>
        <w:t xml:space="preserve">（1）一般技术要求</w:t>
      </w:r>
      <w:r/>
    </w:p>
    <w:p>
      <w:pPr>
        <w:ind w:firstLine="28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①根据采购人要求采用 1994 年南通城市坐标系或2000国家大地坐标系， 高程系统采用1985 国家高程基准。</w:t>
      </w:r>
      <w:r/>
    </w:p>
    <w:p>
      <w:pPr>
        <w:ind w:firstLine="28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②土地勘测 定界或宗地测绘比例尺为1: 500, 地形测绘按1: 500 或 1: 1000 比例尺测绘，根据幅面出图。</w:t>
      </w:r>
      <w:r/>
    </w:p>
    <w:p>
      <w:pPr>
        <w:ind w:firstLine="281"/>
        <w:spacing w:line="360" w:lineRule="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（2）成果要求：</w:t>
      </w:r>
      <w:r/>
    </w:p>
    <w:p>
      <w:pPr>
        <w:ind w:firstLine="42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土地勘测定界成果满足项目报批或不动产登记发证的要求。</w:t>
      </w:r>
      <w:r/>
    </w:p>
    <w:p>
      <w:pPr>
        <w:pStyle w:val="764"/>
        <w:ind w:firstLine="186"/>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（3）工作要求：</w:t>
      </w:r>
      <w:r/>
    </w:p>
    <w:p>
      <w:pPr>
        <w:ind w:left="21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①客观性和公正性原则：测绘人员应当没有偏见，在最小主观判断情形下，按照双方相互认可的测绘方案开展。</w:t>
      </w:r>
      <w:r/>
    </w:p>
    <w:p>
      <w:pPr>
        <w:ind w:left="21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②保密原则：在测绘过程中，需严格遵循保密原则，双方签订保密协议，对服务过程中涉及到的任何用户信息未经允许不向其他任何第三方泄漏，以及不得利用这些信息损害采购方利益。</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zh-CN"/>
        </w:rPr>
        <w:t xml:space="preserve">★</w:t>
      </w:r>
      <w:r>
        <w:rPr>
          <w:rFonts w:hint="eastAsia" w:ascii="黑体" w:hAnsi="黑体" w:eastAsia="黑体" w:cs="黑体"/>
          <w:b/>
          <w:bCs/>
          <w:color w:val="auto"/>
          <w:sz w:val="28"/>
          <w:szCs w:val="28"/>
          <w:highlight w:val="none"/>
        </w:rPr>
        <w:t xml:space="preserve">2、人员要求</w:t>
      </w:r>
      <w:r/>
    </w:p>
    <w:p>
      <w:pPr>
        <w:ind w:firstLine="48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投标单位须提供拟派本项目负责人1人，具有测绘</w:t>
      </w:r>
      <w:r>
        <w:rPr>
          <w:rFonts w:hint="eastAsia" w:ascii="黑体" w:hAnsi="黑体" w:eastAsia="黑体" w:cs="黑体"/>
          <w:b/>
          <w:bCs/>
          <w:color w:val="auto"/>
          <w:sz w:val="28"/>
          <w:szCs w:val="28"/>
          <w:highlight w:val="none"/>
        </w:rPr>
        <w:t xml:space="preserve">中级</w:t>
      </w:r>
      <w:r>
        <w:rPr>
          <w:rFonts w:hint="eastAsia" w:ascii="黑体" w:hAnsi="黑体" w:eastAsia="黑体" w:cs="黑体"/>
          <w:color w:val="auto"/>
          <w:sz w:val="28"/>
          <w:szCs w:val="28"/>
          <w:highlight w:val="none"/>
        </w:rPr>
        <w:t xml:space="preserve">工程师及以上职称证书， 同时提供社会保障部门出具的最近三个月（2026年</w:t>
      </w:r>
      <w:r>
        <w:rPr>
          <w:rFonts w:hint="eastAsia" w:ascii="黑体" w:hAnsi="黑体" w:eastAsia="黑体" w:cs="黑体"/>
          <w:color w:val="auto"/>
          <w:sz w:val="28"/>
          <w:szCs w:val="28"/>
          <w:highlight w:val="none"/>
          <w:lang w:val="en-US" w:eastAsia="zh-CN"/>
        </w:rPr>
        <w:t xml:space="preserve">3</w:t>
      </w:r>
      <w:r>
        <w:rPr>
          <w:rFonts w:hint="eastAsia" w:ascii="黑体" w:hAnsi="黑体" w:eastAsia="黑体" w:cs="黑体"/>
          <w:color w:val="auto"/>
          <w:sz w:val="28"/>
          <w:szCs w:val="28"/>
          <w:highlight w:val="none"/>
        </w:rPr>
        <w:t xml:space="preserve">月-2026年</w:t>
      </w:r>
      <w:r>
        <w:rPr>
          <w:rFonts w:hint="eastAsia" w:ascii="黑体" w:hAnsi="黑体" w:eastAsia="黑体" w:cs="黑体"/>
          <w:color w:val="auto"/>
          <w:sz w:val="28"/>
          <w:szCs w:val="28"/>
          <w:highlight w:val="none"/>
          <w:lang w:val="en-US" w:eastAsia="zh-CN"/>
        </w:rPr>
        <w:t xml:space="preserve">5</w:t>
      </w:r>
      <w:r>
        <w:rPr>
          <w:rFonts w:hint="eastAsia" w:ascii="黑体" w:hAnsi="黑体" w:eastAsia="黑体" w:cs="黑体"/>
          <w:color w:val="auto"/>
          <w:sz w:val="28"/>
          <w:szCs w:val="28"/>
          <w:highlight w:val="none"/>
        </w:rPr>
        <w:t xml:space="preserve">月）中任意一个月在本单位缴纳社会养老保险的缴费清单，可提供官网打印的具有二维码或验证码的缴费清单扫描件。   </w:t>
      </w:r>
      <w:r/>
    </w:p>
    <w:p>
      <w:pPr>
        <w:ind w:firstLine="480"/>
        <w:spacing w:line="360" w:lineRule="auto"/>
        <w:rPr>
          <w:rStyle w:val="770"/>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其他成员不少于3人（包含常驻人员在内，不包含项目负责人），具有测绘</w:t>
      </w:r>
      <w:r>
        <w:rPr>
          <w:rFonts w:hint="eastAsia" w:ascii="黑体" w:hAnsi="黑体" w:eastAsia="黑体" w:cs="黑体"/>
          <w:b/>
          <w:bCs/>
          <w:color w:val="auto"/>
          <w:sz w:val="28"/>
          <w:szCs w:val="28"/>
          <w:highlight w:val="none"/>
        </w:rPr>
        <w:t xml:space="preserve">初级</w:t>
      </w:r>
      <w:r>
        <w:rPr>
          <w:rFonts w:hint="eastAsia" w:ascii="黑体" w:hAnsi="黑体" w:eastAsia="黑体" w:cs="黑体"/>
          <w:color w:val="auto"/>
          <w:sz w:val="28"/>
          <w:szCs w:val="28"/>
          <w:highlight w:val="none"/>
        </w:rPr>
        <w:t xml:space="preserve">工程师及以上职称证书，</w:t>
      </w:r>
      <w:r>
        <w:rPr>
          <w:rFonts w:hint="eastAsia" w:ascii="黑体" w:hAnsi="黑体" w:eastAsia="黑体" w:cs="黑体"/>
          <w:color w:val="auto"/>
          <w:sz w:val="28"/>
          <w:szCs w:val="28"/>
          <w:highlight w:val="none"/>
          <w:lang w:val="zh-CN"/>
        </w:rPr>
        <w:t xml:space="preserve">同时提供社会保障部门出具的最近三个月（202</w:t>
      </w:r>
      <w:r>
        <w:rPr>
          <w:rFonts w:hint="eastAsia" w:ascii="黑体" w:hAnsi="黑体" w:eastAsia="黑体" w:cs="黑体"/>
          <w:color w:val="auto"/>
          <w:sz w:val="28"/>
          <w:szCs w:val="28"/>
          <w:highlight w:val="none"/>
        </w:rPr>
        <w:t xml:space="preserve">6</w:t>
      </w:r>
      <w:r>
        <w:rPr>
          <w:rFonts w:hint="eastAsia" w:ascii="黑体" w:hAnsi="黑体" w:eastAsia="黑体" w:cs="黑体"/>
          <w:color w:val="auto"/>
          <w:sz w:val="28"/>
          <w:szCs w:val="28"/>
          <w:highlight w:val="none"/>
          <w:lang w:val="zh-CN"/>
        </w:rPr>
        <w:t xml:space="preserve">年</w:t>
      </w:r>
      <w:r>
        <w:rPr>
          <w:rFonts w:hint="eastAsia" w:ascii="黑体" w:hAnsi="黑体" w:eastAsia="黑体" w:cs="黑体"/>
          <w:color w:val="auto"/>
          <w:sz w:val="28"/>
          <w:szCs w:val="28"/>
          <w:highlight w:val="none"/>
          <w:lang w:val="en-US" w:eastAsia="zh-CN"/>
        </w:rPr>
        <w:t xml:space="preserve">3</w:t>
      </w:r>
      <w:r>
        <w:rPr>
          <w:rFonts w:hint="eastAsia" w:ascii="黑体" w:hAnsi="黑体" w:eastAsia="黑体" w:cs="黑体"/>
          <w:color w:val="auto"/>
          <w:sz w:val="28"/>
          <w:szCs w:val="28"/>
          <w:highlight w:val="none"/>
          <w:lang w:val="zh-CN"/>
        </w:rPr>
        <w:t xml:space="preserve">月-2026年</w:t>
      </w:r>
      <w:r>
        <w:rPr>
          <w:rFonts w:hint="eastAsia" w:ascii="黑体" w:hAnsi="黑体" w:eastAsia="黑体" w:cs="黑体"/>
          <w:color w:val="auto"/>
          <w:sz w:val="28"/>
          <w:szCs w:val="28"/>
          <w:highlight w:val="none"/>
          <w:lang w:val="en-US" w:eastAsia="zh-CN"/>
        </w:rPr>
        <w:t xml:space="preserve">5</w:t>
      </w:r>
      <w:r>
        <w:rPr>
          <w:rFonts w:hint="eastAsia" w:ascii="黑体" w:hAnsi="黑体" w:eastAsia="黑体" w:cs="黑体"/>
          <w:color w:val="auto"/>
          <w:sz w:val="28"/>
          <w:szCs w:val="28"/>
          <w:highlight w:val="none"/>
          <w:lang w:val="zh-CN"/>
        </w:rPr>
        <w:t xml:space="preserve">月）中任意一个月在本单位缴纳社会养老保险的缴费清单，可提供官网打印的具有二维码或验证码的缴费清单扫描件</w:t>
      </w:r>
      <w:r>
        <w:rPr>
          <w:rStyle w:val="770"/>
          <w:rFonts w:hint="eastAsia" w:ascii="黑体" w:hAnsi="黑体" w:eastAsia="黑体" w:cs="黑体"/>
          <w:color w:val="auto"/>
          <w:sz w:val="28"/>
          <w:szCs w:val="28"/>
          <w:highlight w:val="none"/>
        </w:rPr>
        <w:t xml:space="preserve">。</w:t>
      </w:r>
      <w:r/>
    </w:p>
    <w:p>
      <w:pPr>
        <w:ind w:firstLine="480"/>
        <w:spacing w:line="360" w:lineRule="auto"/>
        <w:rPr>
          <w:rFonts w:hint="eastAsia" w:ascii="黑体" w:hAnsi="黑体" w:eastAsia="黑体" w:cs="黑体"/>
          <w:b/>
          <w:bCs/>
          <w:color w:val="auto"/>
          <w:sz w:val="28"/>
          <w:szCs w:val="28"/>
          <w:highlight w:val="none"/>
          <w:lang w:val="zh-CN"/>
        </w:rPr>
      </w:pPr>
      <w:r>
        <w:rPr>
          <w:rFonts w:hint="eastAsia" w:ascii="黑体" w:hAnsi="黑体" w:eastAsia="黑体" w:cs="黑体"/>
          <w:b/>
          <w:bCs/>
          <w:color w:val="auto"/>
          <w:sz w:val="28"/>
          <w:szCs w:val="28"/>
          <w:highlight w:val="none"/>
          <w:lang w:val="zh-CN"/>
        </w:rPr>
        <w:t xml:space="preserve">注：提供项目组人员名单以及上述需要提供职称证书人员的证明材料</w:t>
      </w:r>
      <w:r>
        <w:rPr>
          <w:rFonts w:hint="eastAsia" w:ascii="黑体" w:hAnsi="黑体" w:eastAsia="黑体" w:cs="黑体"/>
          <w:b/>
          <w:bCs/>
          <w:color w:val="auto"/>
          <w:sz w:val="28"/>
          <w:szCs w:val="28"/>
          <w:highlight w:val="none"/>
        </w:rPr>
        <w:t xml:space="preserve">及</w:t>
      </w:r>
      <w:r>
        <w:rPr>
          <w:rFonts w:hint="eastAsia" w:ascii="黑体" w:hAnsi="黑体" w:eastAsia="黑体" w:cs="黑体"/>
          <w:b/>
          <w:bCs/>
          <w:color w:val="auto"/>
          <w:sz w:val="28"/>
          <w:szCs w:val="28"/>
          <w:highlight w:val="none"/>
          <w:lang w:val="zh-CN"/>
        </w:rPr>
        <w:t xml:space="preserve">社会养老保险的缴费清单，投标时上传至符合性材料中，未提供或提供不全者</w:t>
      </w:r>
      <w:r>
        <w:rPr>
          <w:rFonts w:hint="eastAsia" w:ascii="黑体" w:hAnsi="黑体" w:eastAsia="黑体" w:cs="黑体"/>
          <w:b/>
          <w:bCs/>
          <w:color w:val="auto"/>
          <w:sz w:val="28"/>
          <w:szCs w:val="28"/>
          <w:highlight w:val="none"/>
        </w:rPr>
        <w:t xml:space="preserve">或不符合要求的</w:t>
      </w:r>
      <w:r>
        <w:rPr>
          <w:rFonts w:hint="eastAsia" w:ascii="黑体" w:hAnsi="黑体" w:eastAsia="黑体" w:cs="黑体"/>
          <w:b/>
          <w:bCs/>
          <w:color w:val="auto"/>
          <w:sz w:val="28"/>
          <w:szCs w:val="28"/>
          <w:highlight w:val="none"/>
          <w:lang w:val="zh-CN"/>
        </w:rPr>
        <w:t xml:space="preserve">按无效投标处理。</w:t>
      </w:r>
      <w:r/>
    </w:p>
    <w:p>
      <w:pPr>
        <w:jc w:val="left"/>
        <w:spacing w:line="360" w:lineRule="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八、付款方式</w:t>
      </w:r>
      <w:r/>
    </w:p>
    <w:p>
      <w:pPr>
        <w:ind w:firstLine="281"/>
        <w:spacing w:line="360" w:lineRule="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成交投标单位每年完成所有工作并向采购人提交符合要求的成果后,经采购人或上级部门检查验收通过后按成交单价*实际面积进行支付当年服务费用。</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zh-CN"/>
        </w:rPr>
        <w:t xml:space="preserve">付款前，</w:t>
      </w:r>
      <w:r>
        <w:rPr>
          <w:rFonts w:hint="eastAsia" w:ascii="黑体" w:hAnsi="黑体" w:eastAsia="黑体" w:cs="黑体"/>
          <w:color w:val="auto"/>
          <w:sz w:val="28"/>
          <w:szCs w:val="28"/>
          <w:highlight w:val="none"/>
        </w:rPr>
        <w:t xml:space="preserve">中标单位须</w:t>
      </w:r>
      <w:r>
        <w:rPr>
          <w:rFonts w:hint="eastAsia" w:ascii="黑体" w:hAnsi="黑体" w:eastAsia="黑体" w:cs="黑体"/>
          <w:color w:val="auto"/>
          <w:sz w:val="28"/>
          <w:szCs w:val="28"/>
          <w:highlight w:val="none"/>
          <w:lang w:val="zh-CN"/>
        </w:rPr>
        <w:t xml:space="preserve">提供与待付款金额一致的增值税发票</w:t>
      </w:r>
      <w:r>
        <w:rPr>
          <w:rFonts w:hint="eastAsia" w:ascii="黑体" w:hAnsi="黑体" w:eastAsia="黑体" w:cs="黑体"/>
          <w:color w:val="auto"/>
          <w:sz w:val="28"/>
          <w:szCs w:val="28"/>
          <w:highlight w:val="none"/>
        </w:rPr>
        <w:t xml:space="preserve">及相应的收款账户信息</w:t>
      </w:r>
      <w:r>
        <w:rPr>
          <w:rFonts w:hint="eastAsia" w:ascii="黑体" w:hAnsi="黑体" w:eastAsia="黑体" w:cs="黑体"/>
          <w:color w:val="auto"/>
          <w:sz w:val="28"/>
          <w:szCs w:val="28"/>
          <w:highlight w:val="none"/>
          <w:lang w:val="zh-CN"/>
        </w:rPr>
        <w:t xml:space="preserve">，如因</w:t>
      </w:r>
      <w:r>
        <w:rPr>
          <w:rFonts w:hint="eastAsia" w:ascii="黑体" w:hAnsi="黑体" w:eastAsia="黑体" w:cs="黑体"/>
          <w:color w:val="auto"/>
          <w:sz w:val="28"/>
          <w:szCs w:val="28"/>
          <w:highlight w:val="none"/>
        </w:rPr>
        <w:t xml:space="preserve">中标单位</w:t>
      </w:r>
      <w:r>
        <w:rPr>
          <w:rFonts w:hint="eastAsia" w:ascii="黑体" w:hAnsi="黑体" w:eastAsia="黑体" w:cs="黑体"/>
          <w:color w:val="auto"/>
          <w:sz w:val="28"/>
          <w:szCs w:val="28"/>
          <w:highlight w:val="none"/>
          <w:lang w:val="zh-CN"/>
        </w:rPr>
        <w:t xml:space="preserve">未及时提供发票或提供的信息有误或提供虚假发票，</w:t>
      </w:r>
      <w:r>
        <w:rPr>
          <w:rFonts w:hint="eastAsia" w:ascii="黑体" w:hAnsi="黑体" w:eastAsia="黑体" w:cs="黑体"/>
          <w:color w:val="auto"/>
          <w:sz w:val="28"/>
          <w:szCs w:val="28"/>
          <w:highlight w:val="none"/>
        </w:rPr>
        <w:t xml:space="preserve">采购人</w:t>
      </w:r>
      <w:r>
        <w:rPr>
          <w:rFonts w:hint="eastAsia" w:ascii="黑体" w:hAnsi="黑体" w:eastAsia="黑体" w:cs="黑体"/>
          <w:color w:val="auto"/>
          <w:sz w:val="28"/>
          <w:szCs w:val="28"/>
          <w:highlight w:val="none"/>
          <w:lang w:val="zh-CN"/>
        </w:rPr>
        <w:t xml:space="preserve">有权对发票金额等值货款拒绝支付且不承担任何责任。</w:t>
      </w:r>
      <w:r/>
    </w:p>
    <w:p>
      <w:pPr>
        <w:ind w:firstLine="562"/>
        <w:jc w:val="left"/>
        <w:spacing w:line="360" w:lineRule="auto"/>
        <w:rPr>
          <w:rFonts w:hint="eastAsia" w:ascii="黑体" w:hAnsi="黑体" w:eastAsia="黑体" w:cs="黑体"/>
          <w:color w:val="auto"/>
          <w:sz w:val="28"/>
          <w:szCs w:val="28"/>
          <w:highlight w:val="none"/>
        </w:rPr>
      </w:pPr>
      <w:r>
        <w:rPr>
          <w:rFonts w:hint="eastAsia" w:ascii="黑体" w:hAnsi="黑体" w:eastAsia="黑体" w:cs="黑体"/>
          <w:b/>
          <w:bCs/>
          <w:color w:val="auto"/>
          <w:sz w:val="28"/>
          <w:szCs w:val="28"/>
          <w:highlight w:val="none"/>
        </w:rPr>
        <w:t xml:space="preserve">注明：对报价触发异常低价投标（响应）审查程序后仍中标（成交）的投标单位，采购人要重点关注其履约承诺、实际履约情况等。对可以分期实施的采购项目，实行分期考核、分期验收、分期支付，及时掌握投标单位履约进展。如投标单位中标（成交）后无正当理由拒不签订本项目采购合同的，依法予以处理；如投标单位不履行合同或者未按合同约定履行合同导致验收不合格的，采购人应当依法追究其违约责任。</w:t>
      </w:r>
      <w:r/>
    </w:p>
    <w:p>
      <w:pPr>
        <w:jc w:val="left"/>
        <w:spacing w:line="360" w:lineRule="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九、履约保证金：</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本项目不收取履约保证金</w:t>
      </w:r>
      <w:r/>
    </w:p>
    <w:p>
      <w:pPr>
        <w:jc w:val="left"/>
        <w:spacing w:line="360" w:lineRule="auto"/>
        <w:rPr>
          <w:rFonts w:hint="eastAsia" w:ascii="黑体" w:hAnsi="黑体" w:eastAsia="黑体" w:cs="黑体"/>
          <w:b/>
          <w:bCs/>
          <w:color w:val="auto"/>
          <w:sz w:val="28"/>
          <w:szCs w:val="28"/>
          <w:highlight w:val="none"/>
        </w:rPr>
      </w:pPr>
      <w:r>
        <w:rPr>
          <w:rFonts w:hint="eastAsia" w:ascii="黑体" w:hAnsi="黑体" w:eastAsia="黑体" w:cs="黑体"/>
          <w:b/>
          <w:bCs/>
          <w:color w:val="auto"/>
          <w:spacing w:val="-6"/>
          <w:sz w:val="28"/>
          <w:szCs w:val="28"/>
          <w:highlight w:val="none"/>
        </w:rPr>
        <w:t xml:space="preserve">十</w:t>
      </w:r>
      <w:r>
        <w:rPr>
          <w:rFonts w:hint="eastAsia" w:ascii="黑体" w:hAnsi="黑体" w:eastAsia="黑体" w:cs="黑体"/>
          <w:b/>
          <w:bCs/>
          <w:color w:val="auto"/>
          <w:sz w:val="28"/>
          <w:szCs w:val="28"/>
          <w:highlight w:val="none"/>
        </w:rPr>
        <w:t xml:space="preserve">、投标报价</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投标单位的报价（人民币）按综合单价报价，报价（以人民币计价）应包括从事本项目服务所需的一切费用，包括但不仅限于场地勘察、收集资料费、测绘费、人员费（含周末及节假日加班费）、交通费、办公设备费、食宿费、风险费、保险费、税金、利润等政策性文件规定及合同包含的所有风险、责任等各项应有费用，即招标物服务周期结束前的所有费用且包含招标文件要求的所有费用。</w:t>
      </w:r>
      <w:r/>
    </w:p>
    <w:p>
      <w:pPr>
        <w:ind w:firstLine="560"/>
        <w:jc w:val="left"/>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2、本项目实行综合成交单价（元/平方米）*实际面积进行结算，本项目实际工作未完成的应继续完成并不再额外支付任何费用，请投标报价时合理考虑。</w:t>
      </w:r>
      <w:r/>
    </w:p>
    <w:p>
      <w:pPr>
        <w:ind w:firstLine="562"/>
        <w:jc w:val="left"/>
        <w:spacing w:line="360" w:lineRule="auto"/>
        <w:rPr>
          <w:rFonts w:hint="eastAsia" w:ascii="黑体" w:hAnsi="黑体" w:eastAsia="黑体" w:cs="黑体"/>
          <w:bCs/>
          <w:color w:val="auto"/>
          <w:sz w:val="36"/>
          <w:szCs w:val="36"/>
          <w:highlight w:val="none"/>
        </w:rPr>
      </w:pPr>
      <w:r>
        <w:rPr>
          <w:rFonts w:hint="eastAsia" w:ascii="黑体" w:hAnsi="黑体" w:eastAsia="黑体" w:cs="黑体"/>
          <w:b/>
          <w:bCs/>
          <w:color w:val="auto"/>
          <w:sz w:val="28"/>
          <w:szCs w:val="28"/>
          <w:highlight w:val="none"/>
        </w:rPr>
        <w:t xml:space="preserve">注明：本项目需求中涉及到加</w:t>
      </w:r>
      <w:r>
        <w:rPr>
          <w:rFonts w:hint="eastAsia" w:ascii="黑体" w:hAnsi="黑体" w:eastAsia="黑体" w:cs="黑体"/>
          <w:b/>
          <w:bCs/>
          <w:color w:val="auto"/>
          <w:sz w:val="28"/>
          <w:szCs w:val="28"/>
          <w:highlight w:val="none"/>
          <w:lang w:val="zh-CN"/>
        </w:rPr>
        <w:t xml:space="preserve">★</w:t>
      </w:r>
      <w:r>
        <w:rPr>
          <w:rFonts w:hint="eastAsia" w:ascii="黑体" w:hAnsi="黑体" w:eastAsia="黑体" w:cs="黑体"/>
          <w:b/>
          <w:bCs/>
          <w:color w:val="auto"/>
          <w:sz w:val="28"/>
          <w:szCs w:val="28"/>
          <w:highlight w:val="none"/>
        </w:rPr>
        <w:t xml:space="preserve">条款的所有内容响应投标单位未能在符合性条款中提交符合以上要求的人员相关证书和相关承诺书等佐证材料的，经评标委员会核实将被判为不满足招标文件实质性要求，作为无效投标处理。</w:t>
      </w:r>
      <w:bookmarkEnd w:id="0"/>
      <w:r/>
      <w:bookmarkEnd w:id="1"/>
      <w:r/>
      <w:bookmarkEnd w:id="2"/>
      <w:r/>
      <w:r/>
    </w:p>
    <w:p>
      <w:pPr>
        <w:jc w:val="center"/>
        <w:spacing w:line="360" w:lineRule="auto"/>
        <w:rPr>
          <w:rFonts w:hint="eastAsia" w:ascii="黑体" w:hAnsi="黑体" w:eastAsia="黑体" w:cs="黑体"/>
          <w:bCs/>
          <w:color w:val="auto"/>
          <w:sz w:val="36"/>
          <w:szCs w:val="36"/>
          <w:highlight w:val="none"/>
        </w:rPr>
        <w:outlineLvl w:val="0"/>
      </w:pPr>
      <w:r>
        <w:rPr>
          <w:rFonts w:hint="eastAsia" w:ascii="黑体" w:hAnsi="黑体" w:eastAsia="黑体" w:cs="黑体"/>
          <w:bCs/>
          <w:color w:val="auto"/>
          <w:sz w:val="36"/>
          <w:szCs w:val="36"/>
          <w:highlight w:val="none"/>
        </w:rPr>
      </w:r>
      <w:r/>
    </w:p>
    <w:p>
      <w:pPr>
        <w:jc w:val="center"/>
        <w:spacing w:line="360" w:lineRule="auto"/>
        <w:rPr>
          <w:rFonts w:hint="eastAsia" w:ascii="黑体" w:hAnsi="黑体" w:eastAsia="黑体" w:cs="黑体"/>
          <w:bCs/>
          <w:color w:val="auto"/>
          <w:sz w:val="36"/>
          <w:szCs w:val="36"/>
          <w:highlight w:val="none"/>
        </w:rPr>
        <w:outlineLvl w:val="0"/>
      </w:pPr>
      <w:r>
        <w:rPr>
          <w:rFonts w:hint="eastAsia" w:ascii="黑体" w:hAnsi="黑体" w:eastAsia="黑体" w:cs="黑体"/>
          <w:bCs/>
          <w:color w:val="auto"/>
          <w:sz w:val="36"/>
          <w:szCs w:val="36"/>
          <w:highlight w:val="none"/>
        </w:rPr>
      </w:r>
      <w:r/>
    </w:p>
    <w:p>
      <w:pPr>
        <w:jc w:val="center"/>
        <w:spacing w:line="360" w:lineRule="auto"/>
        <w:rPr>
          <w:rFonts w:hint="eastAsia" w:ascii="黑体" w:hAnsi="黑体" w:eastAsia="黑体" w:cs="黑体"/>
          <w:bCs/>
          <w:color w:val="auto"/>
          <w:sz w:val="36"/>
          <w:szCs w:val="36"/>
          <w:highlight w:val="none"/>
        </w:rPr>
        <w:outlineLvl w:val="0"/>
      </w:pPr>
      <w:r>
        <w:rPr>
          <w:rFonts w:hint="eastAsia" w:ascii="黑体" w:hAnsi="黑体" w:eastAsia="黑体" w:cs="黑体"/>
          <w:bCs/>
          <w:color w:val="auto"/>
          <w:sz w:val="36"/>
          <w:szCs w:val="36"/>
          <w:highlight w:val="none"/>
        </w:rPr>
      </w:r>
      <w:r/>
    </w:p>
    <w:p>
      <w:pPr>
        <w:jc w:val="center"/>
        <w:spacing w:line="360" w:lineRule="auto"/>
        <w:rPr>
          <w:rFonts w:hint="eastAsia" w:ascii="黑体" w:hAnsi="黑体" w:eastAsia="黑体" w:cs="黑体"/>
          <w:bCs/>
          <w:color w:val="auto"/>
          <w:sz w:val="36"/>
          <w:szCs w:val="36"/>
          <w:highlight w:val="none"/>
        </w:rPr>
        <w:outlineLvl w:val="0"/>
      </w:pPr>
      <w:r>
        <w:rPr>
          <w:rFonts w:hint="eastAsia" w:ascii="黑体" w:hAnsi="黑体" w:eastAsia="黑体" w:cs="黑体"/>
          <w:bCs/>
          <w:color w:val="auto"/>
          <w:sz w:val="36"/>
          <w:szCs w:val="36"/>
          <w:highlight w:val="none"/>
        </w:rPr>
        <w:t xml:space="preserve">第四部分  开标和评标</w:t>
      </w:r>
      <w:r/>
    </w:p>
    <w:p>
      <w:pPr>
        <w:pStyle w:val="997"/>
        <w:ind w:left="0" w:right="0" w:firstLine="562"/>
        <w:jc w:val="left"/>
        <w:spacing w:before="0" w:after="0"/>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一、开标</w:t>
      </w:r>
      <w:r/>
    </w:p>
    <w:p>
      <w:pPr>
        <w:ind w:firstLine="537"/>
        <w:spacing w:line="360" w:lineRule="auto"/>
        <w:tabs>
          <w:tab w:val="left" w:pos="3585" w:leader="none"/>
        </w:tabs>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不见面远程开标模式：投标单位在各自地点通过“苏采云”不见面交易系统参加开标会。</w:t>
      </w:r>
      <w:r/>
    </w:p>
    <w:p>
      <w:pPr>
        <w:pStyle w:val="997"/>
        <w:ind w:left="0" w:right="0" w:firstLine="562"/>
        <w:jc w:val="left"/>
        <w:spacing w:before="0" w:after="0"/>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二、评标流程和评标标准</w:t>
      </w:r>
      <w:r/>
    </w:p>
    <w:p>
      <w:pPr>
        <w:ind w:firstLine="555"/>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采用综合评分法。分资格审查、符合性审查、商务技术标、价格标四部分评审，总分值为100分，加分和减分因素除外。</w:t>
      </w:r>
      <w:r/>
    </w:p>
    <w:p>
      <w:pPr>
        <w:ind w:firstLine="555"/>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首先由采购人对投标单位资格进行审查，然后评标委员会对符合资格的投标单位的投标文件进行符合性审查，最后评标委员会对符合性审查合格的投标文件商务、技术部分进行评估，综合比较与评价。待商务技术标评审结束后，进行价格标的评审。投标单位商务、技术部分和价格部分的合计分值，为该投标单位的评标总得分。</w:t>
      </w:r>
      <w:r/>
    </w:p>
    <w:p>
      <w:pPr>
        <w:ind w:firstLine="555"/>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评标结果按评审后总得分由高到低顺序排列，确定中标候选人名单并按顺序确定中标人。得分相同的，按投标报价由低到高顺序排列，得分且投标报价相同的并列。</w:t>
      </w:r>
      <w:r/>
    </w:p>
    <w:p>
      <w:pPr>
        <w:pStyle w:val="761"/>
        <w:ind w:firstLine="562"/>
        <w:jc w:val="both"/>
        <w:spacing w:before="0" w:beforeAutospacing="0" w:after="0" w:afterAutospacing="0" w:line="360" w:lineRule="auto"/>
        <w:rPr>
          <w:rFonts w:hint="eastAsia"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（一）本项目如出现以下情形的，评标小组将启动政府采购启动异常低价投标（响应）审查程序：</w:t>
      </w:r>
      <w:r/>
    </w:p>
    <w:p>
      <w:pPr>
        <w:pStyle w:val="761"/>
        <w:ind w:firstLine="646"/>
        <w:jc w:val="both"/>
        <w:spacing w:before="0" w:beforeAutospacing="0" w:after="0" w:afterAutospacing="0" w:line="360" w:lineRule="auto"/>
        <w:rPr>
          <w:rFonts w:hint="eastAsia"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1.投标（响应）报价低于全部通过符合性审查投标单位投标（响应）报价平均值50%的，即投标（响应）报价&lt;全部通过符合性审查投标单位投标（响应）报价平均值×50%；</w:t>
      </w:r>
      <w:r/>
    </w:p>
    <w:p>
      <w:pPr>
        <w:pStyle w:val="761"/>
        <w:ind w:firstLine="646"/>
        <w:jc w:val="both"/>
        <w:spacing w:before="0" w:beforeAutospacing="0" w:after="0" w:afterAutospacing="0" w:line="360" w:lineRule="auto"/>
        <w:rPr>
          <w:rFonts w:hint="eastAsia"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2.投标（响应）报价低于通过符合性审查的次低报价投标单位投标（响应）报价50%的，即投标（响应）报价&lt;通过符合性审查的次低报价投标单位投标（响应）报价×50%；</w:t>
      </w:r>
      <w:r/>
    </w:p>
    <w:p>
      <w:pPr>
        <w:pStyle w:val="761"/>
        <w:ind w:firstLine="646"/>
        <w:jc w:val="both"/>
        <w:spacing w:before="0" w:beforeAutospacing="0" w:after="0" w:afterAutospacing="0" w:line="360" w:lineRule="auto"/>
        <w:rPr>
          <w:rFonts w:hint="eastAsia"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3.投标（响应）报价低于采购项目最高限价45%的，即投标（响应）报价&lt;采购项目最高限价×45%；</w:t>
      </w:r>
      <w:r/>
    </w:p>
    <w:p>
      <w:pPr>
        <w:pStyle w:val="761"/>
        <w:ind w:firstLine="646"/>
        <w:jc w:val="both"/>
        <w:spacing w:before="0" w:beforeAutospacing="0" w:after="0" w:afterAutospacing="0" w:line="360" w:lineRule="auto"/>
        <w:rPr>
          <w:rFonts w:hint="eastAsia"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4.评审委员会基于专业判断，认为投标单位报价过低，有可能影响产品质量或者不能诚信履约的其他情形。</w:t>
      </w:r>
      <w:r/>
    </w:p>
    <w:p>
      <w:pPr>
        <w:pStyle w:val="761"/>
        <w:ind w:firstLine="646"/>
        <w:jc w:val="both"/>
        <w:spacing w:before="0" w:beforeAutospacing="0" w:after="0" w:afterAutospacing="0" w:line="360" w:lineRule="auto"/>
        <w:rPr>
          <w:rFonts w:hint="eastAsia"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二）评审委员会启动异常低价投标（响应）审查后，属于前述第1项至第4项情形的，应当要求相关投标单位在评审现场合理的时间内对投标（响应）价格作出解释，提供项目具体成本测算等与报价合理性相关的书面说明及必要的证明材料，包括但不限于原材料成本、人工成本、制造费用等，给予相关投标单位的合理时间一般不少于30分钟。其中，属于第3项情形，投标单位已随投标（响应）文件一并提交相关书面说明及必要的证明材料的，在评审现场可不再重复提交。</w:t>
      </w:r>
      <w:r/>
    </w:p>
    <w:p>
      <w:pPr>
        <w:pStyle w:val="761"/>
        <w:ind w:firstLine="646"/>
        <w:jc w:val="both"/>
        <w:spacing w:before="0" w:beforeAutospacing="0" w:after="0" w:afterAutospacing="0" w:line="360" w:lineRule="auto"/>
        <w:rPr>
          <w:rFonts w:hint="eastAsia" w:ascii="黑体" w:hAnsi="黑体" w:eastAsia="黑体" w:cs="黑体"/>
          <w:b/>
          <w:color w:val="auto"/>
          <w:sz w:val="28"/>
          <w:szCs w:val="28"/>
          <w:highlight w:val="none"/>
          <w:u w:val="single"/>
        </w:rPr>
      </w:pPr>
      <w:r>
        <w:rPr>
          <w:rFonts w:hint="eastAsia" w:ascii="黑体" w:hAnsi="黑体" w:eastAsia="黑体" w:cs="黑体"/>
          <w:b/>
          <w:color w:val="auto"/>
          <w:sz w:val="28"/>
          <w:szCs w:val="28"/>
          <w:highlight w:val="none"/>
          <w:u w:val="single"/>
        </w:rPr>
        <w:t xml:space="preserve">评审委员会依据专业经验，参考同类项目中标（成交）价格、类似产品市场价格水平、行业人工费用标准、国家有关部门指导行业协会发布的行业平均成本等情况，对报价合理性进行判断。投标（响应）投标单位不能提供书面说明、证明材料，或者提供的书面说明、证明材料不能证明其报价合理性的，评审委员会应当将其作为无效投标（响应）处理。</w:t>
      </w:r>
      <w:r/>
    </w:p>
    <w:p>
      <w:pPr>
        <w:pStyle w:val="761"/>
        <w:ind w:firstLine="646"/>
        <w:jc w:val="both"/>
        <w:spacing w:before="0" w:beforeAutospacing="0" w:after="0" w:afterAutospacing="0"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61"/>
        <w:ind w:firstLine="646"/>
        <w:jc w:val="both"/>
        <w:spacing w:before="0" w:beforeAutospacing="0" w:after="0" w:afterAutospacing="0"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异常低价投标（响应）审查的启动原因、审查意见和审查结果应当在评审报告中记录，并随投标单位提供的相关书面说明及证明材料，以及评审委员会有关互联网浏览、查询历史一并归档。</w:t>
      </w:r>
      <w:r/>
    </w:p>
    <w:p>
      <w:pPr>
        <w:pStyle w:val="761"/>
        <w:ind w:firstLine="646"/>
        <w:jc w:val="both"/>
        <w:spacing w:before="0" w:beforeAutospacing="0" w:after="0" w:afterAutospacing="0" w:line="360" w:lineRule="auto"/>
        <w:rPr>
          <w:rFonts w:hint="eastAsia" w:ascii="黑体" w:hAnsi="黑体" w:eastAsia="黑体" w:cs="黑体"/>
          <w:color w:val="auto"/>
          <w:sz w:val="28"/>
          <w:szCs w:val="28"/>
          <w:highlight w:val="none"/>
        </w:rPr>
      </w:pPr>
      <w:r>
        <w:rPr>
          <w:rFonts w:hint="eastAsia" w:ascii="黑体" w:hAnsi="黑体" w:eastAsia="黑体" w:cs="黑体"/>
          <w:b/>
          <w:color w:val="auto"/>
          <w:sz w:val="28"/>
          <w:szCs w:val="28"/>
          <w:highlight w:val="none"/>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555"/>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三、评委在认真审阅投标文件的基础上，根据各投标文件的响应程度独立评判，不得统一打分。</w:t>
      </w:r>
      <w:r/>
    </w:p>
    <w:p>
      <w:pPr>
        <w:ind w:firstLine="413"/>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（一）采购人（代表）对投标单位资格进行审查。</w:t>
      </w:r>
      <w:r/>
    </w:p>
    <w:p>
      <w:pPr>
        <w:pStyle w:val="1001"/>
        <w:ind w:firstLine="577"/>
        <w:spacing w:line="360" w:lineRule="auto"/>
        <w:rPr>
          <w:rFonts w:hint="eastAsia" w:ascii="黑体" w:hAnsi="黑体" w:eastAsia="黑体" w:cs="黑体"/>
          <w:bCs/>
          <w:color w:val="auto"/>
          <w:sz w:val="28"/>
          <w:highlight w:val="none"/>
        </w:rPr>
      </w:pPr>
      <w:r>
        <w:rPr>
          <w:rFonts w:hint="eastAsia" w:ascii="黑体" w:hAnsi="黑体" w:eastAsia="黑体" w:cs="黑体"/>
          <w:bCs/>
          <w:color w:val="auto"/>
          <w:sz w:val="28"/>
          <w:highlight w:val="none"/>
        </w:rPr>
        <w:t xml:space="preserve">投标单位资格不合格的，其投标文件判定为无效投标文件。</w:t>
      </w:r>
      <w:r/>
    </w:p>
    <w:p>
      <w:pPr>
        <w:ind w:firstLine="413"/>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（二）评标委员会对符合资格投标单位的投标文件进行符合性审查。</w:t>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符合性审查要求</w:t>
      </w:r>
      <w:r/>
    </w:p>
    <w:tbl>
      <w:tblPr>
        <w:tblStyle w:val="733"/>
        <w:tblW w:w="75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4"/>
      </w:tblGrid>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没有《招标文件》不允许的附加条件。</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zh-CN"/>
              </w:rPr>
              <w:t xml:space="preserve">按《招标文件》要求</w:t>
            </w:r>
            <w:r>
              <w:rPr>
                <w:rFonts w:hint="eastAsia" w:ascii="黑体" w:hAnsi="黑体" w:eastAsia="黑体" w:cs="黑体"/>
                <w:bCs/>
                <w:color w:val="auto"/>
                <w:sz w:val="28"/>
                <w:szCs w:val="28"/>
                <w:highlight w:val="none"/>
              </w:rPr>
              <w:t xml:space="preserve">提供承诺书</w:t>
            </w:r>
            <w:r>
              <w:rPr>
                <w:rFonts w:hint="eastAsia" w:ascii="黑体" w:hAnsi="黑体" w:eastAsia="黑体" w:cs="黑体"/>
                <w:bCs/>
                <w:color w:val="auto"/>
                <w:sz w:val="28"/>
                <w:szCs w:val="28"/>
                <w:highlight w:val="none"/>
                <w:lang w:val="zh-CN"/>
              </w:rPr>
              <w:t xml:space="preserve">。</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
                <w:color w:val="auto"/>
                <w:sz w:val="28"/>
                <w:szCs w:val="28"/>
                <w:highlight w:val="none"/>
                <w:lang w:val="zh-CN"/>
              </w:rPr>
              <w:t xml:space="preserve">满足《</w:t>
            </w:r>
            <w:r>
              <w:rPr>
                <w:rFonts w:hint="eastAsia" w:ascii="黑体" w:hAnsi="黑体" w:eastAsia="黑体" w:cs="黑体"/>
                <w:b/>
                <w:color w:val="auto"/>
                <w:sz w:val="28"/>
                <w:szCs w:val="28"/>
                <w:highlight w:val="none"/>
              </w:rPr>
              <w:t xml:space="preserve">招标</w:t>
            </w:r>
            <w:r>
              <w:rPr>
                <w:rFonts w:hint="eastAsia" w:ascii="黑体" w:hAnsi="黑体" w:eastAsia="黑体" w:cs="黑体"/>
                <w:b/>
                <w:color w:val="auto"/>
                <w:sz w:val="28"/>
                <w:szCs w:val="28"/>
                <w:highlight w:val="none"/>
                <w:lang w:val="zh-CN"/>
              </w:rPr>
              <w:t xml:space="preserve">文件》以“★”标明的全部实质性条款要求。</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没有无效投标条款。</w:t>
            </w:r>
            <w:r/>
          </w:p>
        </w:tc>
      </w:tr>
      <w:tr>
        <w:trPr>
          <w:jc w:val="center"/>
          <w:trHeight w:val="217"/>
        </w:trPr>
        <w:tc>
          <w:tcPr>
            <w:tcBorders>
              <w:top w:val="single" w:color="auto" w:sz="4" w:space="0"/>
              <w:left w:val="single" w:color="auto" w:sz="4" w:space="0"/>
              <w:bottom w:val="single" w:color="auto" w:sz="4" w:space="0"/>
              <w:right w:val="single" w:color="auto" w:sz="4" w:space="0"/>
            </w:tcBorders>
            <w:tcW w:w="7554" w:type="dxa"/>
            <w:vAlign w:val="center"/>
            <w:textDirection w:val="lrTb"/>
            <w:noWrap w:val="false"/>
          </w:tcPr>
          <w:p>
            <w:pPr>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没有串通投标情形。</w:t>
            </w:r>
            <w:r/>
          </w:p>
        </w:tc>
      </w:tr>
    </w:tbl>
    <w:p>
      <w:pPr>
        <w:pStyle w:val="1001"/>
        <w:ind w:firstLine="577"/>
        <w:spacing w:line="360" w:lineRule="auto"/>
        <w:rPr>
          <w:rFonts w:hint="eastAsia" w:ascii="黑体" w:hAnsi="黑体" w:eastAsia="黑体" w:cs="黑体"/>
          <w:b/>
          <w:color w:val="auto"/>
          <w:sz w:val="28"/>
          <w:highlight w:val="none"/>
          <w:u w:val="single"/>
        </w:rPr>
      </w:pPr>
      <w:r>
        <w:rPr>
          <w:rFonts w:hint="eastAsia" w:ascii="黑体" w:hAnsi="黑体" w:eastAsia="黑体" w:cs="黑体"/>
          <w:b/>
          <w:color w:val="auto"/>
          <w:sz w:val="28"/>
          <w:highlight w:val="none"/>
          <w:u w:val="single"/>
          <w:lang w:val="zh-CN"/>
        </w:rPr>
        <w:t xml:space="preserve">本</w:t>
      </w:r>
      <w:r>
        <w:rPr>
          <w:rFonts w:hint="eastAsia" w:ascii="黑体" w:hAnsi="黑体" w:eastAsia="黑体" w:cs="黑体"/>
          <w:b/>
          <w:color w:val="auto"/>
          <w:sz w:val="28"/>
          <w:highlight w:val="none"/>
          <w:u w:val="single"/>
        </w:rPr>
        <w:t xml:space="preserve">招标</w:t>
      </w:r>
      <w:r>
        <w:rPr>
          <w:rFonts w:hint="eastAsia" w:ascii="黑体" w:hAnsi="黑体" w:eastAsia="黑体" w:cs="黑体"/>
          <w:b/>
          <w:color w:val="auto"/>
          <w:sz w:val="28"/>
          <w:highlight w:val="none"/>
          <w:u w:val="single"/>
          <w:lang w:val="zh-CN"/>
        </w:rPr>
        <w:t xml:space="preserve">文件有“★”标明的条款，请各投标单位仔细研读且作为符合性审查要求，未通过符合性审查的响应文件，经</w:t>
      </w:r>
      <w:r>
        <w:rPr>
          <w:rFonts w:hint="eastAsia" w:ascii="黑体" w:hAnsi="黑体" w:eastAsia="黑体" w:cs="黑体"/>
          <w:b/>
          <w:color w:val="auto"/>
          <w:sz w:val="28"/>
          <w:highlight w:val="none"/>
          <w:u w:val="single"/>
        </w:rPr>
        <w:t xml:space="preserve">评标</w:t>
      </w:r>
      <w:r>
        <w:rPr>
          <w:rFonts w:hint="eastAsia" w:ascii="黑体" w:hAnsi="黑体" w:eastAsia="黑体" w:cs="黑体"/>
          <w:b/>
          <w:color w:val="auto"/>
          <w:sz w:val="28"/>
          <w:highlight w:val="none"/>
          <w:u w:val="single"/>
          <w:lang w:val="zh-CN"/>
        </w:rPr>
        <w:t xml:space="preserve">小组核实将被判为不满足</w:t>
      </w:r>
      <w:r>
        <w:rPr>
          <w:rFonts w:hint="eastAsia" w:ascii="黑体" w:hAnsi="黑体" w:eastAsia="黑体" w:cs="黑体"/>
          <w:b/>
          <w:color w:val="auto"/>
          <w:sz w:val="28"/>
          <w:highlight w:val="none"/>
          <w:u w:val="single"/>
        </w:rPr>
        <w:t xml:space="preserve">招标</w:t>
      </w:r>
      <w:r>
        <w:rPr>
          <w:rFonts w:hint="eastAsia" w:ascii="黑体" w:hAnsi="黑体" w:eastAsia="黑体" w:cs="黑体"/>
          <w:b/>
          <w:color w:val="auto"/>
          <w:sz w:val="28"/>
          <w:highlight w:val="none"/>
          <w:u w:val="single"/>
          <w:lang w:val="zh-CN"/>
        </w:rPr>
        <w:t xml:space="preserve">文件实质性要求，</w:t>
      </w:r>
      <w:r>
        <w:rPr>
          <w:rFonts w:hint="eastAsia" w:ascii="黑体" w:hAnsi="黑体" w:eastAsia="黑体" w:cs="黑体"/>
          <w:b/>
          <w:color w:val="auto"/>
          <w:sz w:val="28"/>
          <w:highlight w:val="none"/>
          <w:u w:val="single"/>
        </w:rPr>
        <w:t xml:space="preserve">作无效投标处理。符合性审查资料请放置在符合性资料中，若因投标单位提供的资料混乱、不清晰导致符合性审查未能通过的，由投标单位自行承担后果。</w:t>
      </w:r>
      <w:r/>
    </w:p>
    <w:p>
      <w:pPr>
        <w:pStyle w:val="1030"/>
        <w:ind w:firstLine="280"/>
        <w:spacing w:before="0" w:beforeAutospacing="0" w:after="0" w:afterAutospacing="0" w:line="360" w:lineRule="auto"/>
        <w:rPr>
          <w:rFonts w:hint="eastAsia" w:ascii="黑体" w:hAnsi="黑体" w:eastAsia="黑体" w:cs="黑体"/>
          <w:bCs/>
          <w:color w:val="auto"/>
          <w:sz w:val="28"/>
          <w:szCs w:val="28"/>
          <w:highlight w:val="none"/>
          <w:lang w:eastAsia="en-US"/>
        </w:rPr>
      </w:pPr>
      <w:r>
        <w:rPr>
          <w:rFonts w:hint="eastAsia" w:ascii="黑体" w:hAnsi="黑体" w:eastAsia="黑体" w:cs="黑体"/>
          <w:bCs/>
          <w:color w:val="auto"/>
          <w:sz w:val="28"/>
          <w:szCs w:val="28"/>
          <w:highlight w:val="none"/>
        </w:rPr>
        <w:t xml:space="preserve">四</w:t>
      </w:r>
      <w:r>
        <w:rPr>
          <w:rFonts w:hint="eastAsia" w:ascii="黑体" w:hAnsi="黑体" w:eastAsia="黑体" w:cs="黑体"/>
          <w:bCs/>
          <w:color w:val="auto"/>
          <w:sz w:val="28"/>
          <w:szCs w:val="28"/>
          <w:highlight w:val="none"/>
          <w:lang w:eastAsia="en-US"/>
        </w:rPr>
        <w:t xml:space="preserve">、综合评分评审标准</w:t>
      </w:r>
      <w:r/>
    </w:p>
    <w:tbl>
      <w:tblPr>
        <w:tblStyle w:val="733"/>
        <w:tblW w:w="9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1378"/>
        <w:gridCol w:w="1284"/>
        <w:gridCol w:w="5643"/>
      </w:tblGrid>
      <w:tr>
        <w:trPr>
          <w:jc w:val="center"/>
          <w:trHeight w:val="626"/>
        </w:trPr>
        <w:tc>
          <w:tcPr>
            <w:gridSpan w:val="3"/>
            <w:tcW w:w="3816" w:type="dxa"/>
            <w:vAlign w:val="center"/>
            <w:textDirection w:val="lrTb"/>
            <w:noWrap w:val="false"/>
          </w:tcPr>
          <w:p>
            <w:pPr>
              <w:ind w:left="695"/>
              <w:jc w:val="center"/>
              <w:spacing w:line="3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分值构成（100分）</w:t>
            </w:r>
            <w:r/>
          </w:p>
        </w:tc>
        <w:tc>
          <w:tcPr>
            <w:tcBorders>
              <w:left w:val="none" w:color="000000" w:sz="4" w:space="0"/>
            </w:tcBorders>
            <w:tcW w:w="5643" w:type="dxa"/>
            <w:vAlign w:val="center"/>
            <w:textDirection w:val="lrTb"/>
            <w:noWrap w:val="false"/>
          </w:tcPr>
          <w:p>
            <w:pPr>
              <w:ind w:left="695"/>
              <w:spacing w:line="3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商务技术标90分，报价标10分</w:t>
            </w:r>
            <w:r/>
          </w:p>
        </w:tc>
      </w:tr>
      <w:tr>
        <w:trPr>
          <w:jc w:val="center"/>
          <w:trHeight w:val="647"/>
        </w:trPr>
        <w:tc>
          <w:tcPr>
            <w:tcW w:w="1154" w:type="dxa"/>
            <w:vAlign w:val="center"/>
            <w:textDirection w:val="lrTb"/>
            <w:noWrap w:val="false"/>
          </w:tcPr>
          <w:p>
            <w:pPr>
              <w:spacing w:line="360" w:lineRule="exact"/>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序号</w:t>
            </w:r>
            <w:r/>
          </w:p>
        </w:tc>
        <w:tc>
          <w:tcPr>
            <w:tcBorders>
              <w:left w:val="none" w:color="000000" w:sz="4" w:space="0"/>
            </w:tcBorders>
            <w:tcW w:w="1378" w:type="dxa"/>
            <w:vAlign w:val="center"/>
            <w:textDirection w:val="lrTb"/>
            <w:noWrap w:val="false"/>
          </w:tcPr>
          <w:p>
            <w:pPr>
              <w:spacing w:line="360" w:lineRule="exact"/>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评分因素</w:t>
            </w:r>
            <w:r/>
          </w:p>
        </w:tc>
        <w:tc>
          <w:tcPr>
            <w:gridSpan w:val="2"/>
            <w:tcBorders>
              <w:left w:val="none" w:color="000000" w:sz="4" w:space="0"/>
            </w:tcBorders>
            <w:tcW w:w="6927" w:type="dxa"/>
            <w:vAlign w:val="center"/>
            <w:textDirection w:val="lrTb"/>
            <w:noWrap w:val="false"/>
          </w:tcPr>
          <w:p>
            <w:pPr>
              <w:ind w:left="695" w:firstLine="1200"/>
              <w:spacing w:line="360" w:lineRule="exact"/>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评分标准</w:t>
            </w:r>
            <w:r/>
          </w:p>
        </w:tc>
      </w:tr>
      <w:tr>
        <w:trPr>
          <w:jc w:val="center"/>
          <w:trHeight w:val="989"/>
        </w:trPr>
        <w:tc>
          <w:tcPr>
            <w:tcW w:w="1154" w:type="dxa"/>
            <w:vAlign w:val="center"/>
            <w:textDirection w:val="lrTb"/>
            <w:noWrap w:val="false"/>
          </w:tcPr>
          <w:p>
            <w:pPr>
              <w:ind w:firstLine="240"/>
              <w:jc w:val="center"/>
              <w:spacing w:line="360" w:lineRule="exact"/>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1</w:t>
            </w:r>
            <w:r/>
          </w:p>
        </w:tc>
        <w:tc>
          <w:tcPr>
            <w:tcBorders>
              <w:left w:val="none" w:color="000000" w:sz="4" w:space="0"/>
            </w:tcBorders>
            <w:tcW w:w="1378" w:type="dxa"/>
            <w:vAlign w:val="center"/>
            <w:textDirection w:val="lrTb"/>
            <w:noWrap w:val="false"/>
          </w:tcPr>
          <w:p>
            <w:pPr>
              <w:spacing w:line="3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类似业绩（15分）</w:t>
            </w:r>
            <w:r/>
          </w:p>
        </w:tc>
        <w:tc>
          <w:tcPr>
            <w:gridSpan w:val="2"/>
            <w:shd w:val="clear" w:color="auto" w:fill="auto"/>
            <w:tcBorders>
              <w:left w:val="none" w:color="000000" w:sz="4" w:space="0"/>
            </w:tcBorders>
            <w:tcW w:w="6927" w:type="dxa"/>
            <w:textDirection w:val="lrTb"/>
            <w:noWrap w:val="false"/>
          </w:tcPr>
          <w:p>
            <w:pPr>
              <w:pStyle w:val="1066"/>
              <w:ind w:left="0" w:right="96"/>
              <w:jc w:val="left"/>
              <w:spacing w:before="6" w:line="3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2023年1月1日（以合同签订时间为准）以来承担过自然资源（国土）部门勘测定界测绘服务业绩的，有一个得5分，最多得15分。</w:t>
            </w:r>
            <w:r/>
          </w:p>
          <w:p>
            <w:pPr>
              <w:pStyle w:val="1066"/>
              <w:ind w:left="0" w:right="96"/>
              <w:jc w:val="left"/>
              <w:spacing w:before="6" w:line="3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lang w:val="zh-CN"/>
              </w:rPr>
              <w:t xml:space="preserve">注：</w:t>
            </w:r>
            <w:r>
              <w:rPr>
                <w:rFonts w:hint="eastAsia" w:ascii="黑体" w:hAnsi="黑体" w:eastAsia="黑体" w:cs="黑体"/>
                <w:color w:val="auto"/>
                <w:sz w:val="24"/>
                <w:highlight w:val="none"/>
              </w:rPr>
              <w:t xml:space="preserve">与同一采购人多次签订的合同，以一个合同计分，分包或转包合同不予得分。</w:t>
            </w:r>
            <w:r>
              <w:rPr>
                <w:rFonts w:hint="eastAsia" w:ascii="黑体" w:hAnsi="黑体" w:eastAsia="黑体" w:cs="黑体"/>
                <w:color w:val="auto"/>
                <w:sz w:val="24"/>
                <w:highlight w:val="none"/>
                <w:lang w:val="zh-CN"/>
              </w:rPr>
              <w:t xml:space="preserve">提供中标通知书和</w:t>
            </w:r>
            <w:r>
              <w:rPr>
                <w:rFonts w:hint="eastAsia" w:ascii="黑体" w:hAnsi="黑体" w:eastAsia="黑体" w:cs="黑体"/>
                <w:color w:val="auto"/>
                <w:sz w:val="24"/>
                <w:highlight w:val="none"/>
              </w:rPr>
              <w:t xml:space="preserve">合同原件扫描件，缺一不予得分。</w:t>
            </w:r>
            <w:r/>
          </w:p>
        </w:tc>
      </w:tr>
      <w:tr>
        <w:trPr>
          <w:jc w:val="center"/>
          <w:trHeight w:val="647"/>
        </w:trPr>
        <w:tc>
          <w:tcPr>
            <w:tcW w:w="1154" w:type="dxa"/>
            <w:vAlign w:val="center"/>
            <w:textDirection w:val="lrTb"/>
            <w:noWrap w:val="false"/>
          </w:tcPr>
          <w:p>
            <w:pPr>
              <w:ind w:firstLine="240"/>
              <w:jc w:val="center"/>
              <w:spacing w:line="360" w:lineRule="exact"/>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2</w:t>
            </w:r>
            <w:r/>
          </w:p>
        </w:tc>
        <w:tc>
          <w:tcPr>
            <w:tcBorders>
              <w:left w:val="none" w:color="000000" w:sz="4" w:space="0"/>
            </w:tcBorders>
            <w:tcW w:w="1378" w:type="dxa"/>
            <w:vAlign w:val="center"/>
            <w:textDirection w:val="lrTb"/>
            <w:noWrap w:val="false"/>
          </w:tcPr>
          <w:p>
            <w:pPr>
              <w:spacing w:line="360" w:lineRule="exact"/>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技术力量（22分）</w:t>
            </w:r>
            <w:r/>
          </w:p>
          <w:p>
            <w:pPr>
              <w:spacing w:line="360" w:lineRule="exact"/>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r>
            <w:r/>
          </w:p>
        </w:tc>
        <w:tc>
          <w:tcPr>
            <w:gridSpan w:val="2"/>
            <w:shd w:val="clear" w:color="auto" w:fill="auto"/>
            <w:tcBorders>
              <w:left w:val="none" w:color="000000" w:sz="4" w:space="0"/>
            </w:tcBorders>
            <w:tcW w:w="6927" w:type="dxa"/>
            <w:textDirection w:val="lrTb"/>
            <w:noWrap w:val="false"/>
          </w:tcPr>
          <w:p>
            <w:pPr>
              <w:pStyle w:val="1066"/>
              <w:ind w:left="0" w:right="96"/>
              <w:spacing w:before="6" w:line="3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1、项目负责人在满足项目需求中基本要求的基础上：</w:t>
            </w:r>
            <w:r/>
          </w:p>
          <w:p>
            <w:pPr>
              <w:pStyle w:val="1066"/>
              <w:ind w:left="0" w:right="96"/>
              <w:spacing w:before="6" w:line="3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具有测绘专业高级工程师职称的得3分，具有注册测绘师的得3分；本项累计最高得6分。</w:t>
            </w:r>
            <w:r/>
          </w:p>
          <w:p>
            <w:pPr>
              <w:pStyle w:val="1066"/>
              <w:ind w:left="0" w:right="96"/>
              <w:spacing w:before="6" w:line="3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2.投标单位拟派本项目的项目组成员（除项目负责人）在满足项目需求基本要求的基础上：（1）具有测绘专业</w:t>
            </w:r>
            <w:r>
              <w:rPr>
                <w:rFonts w:hint="eastAsia" w:ascii="黑体" w:hAnsi="黑体" w:eastAsia="黑体" w:cs="黑体"/>
                <w:bCs/>
                <w:color w:val="auto"/>
                <w:sz w:val="24"/>
                <w:highlight w:val="none"/>
              </w:rPr>
              <w:t xml:space="preserve">中级</w:t>
            </w:r>
            <w:r>
              <w:rPr>
                <w:rFonts w:hint="eastAsia" w:ascii="黑体" w:hAnsi="黑体" w:eastAsia="黑体" w:cs="黑体"/>
                <w:color w:val="auto"/>
                <w:sz w:val="24"/>
                <w:highlight w:val="none"/>
              </w:rPr>
              <w:t xml:space="preserve">工程师及以上职称的得2分，最高得8分；（2）具有注册测绘师的得3分，最高得6分；（3）具有省级行政部门颁发的测绘地理信息质检人员培训合格证书，有一个得2分，最多得2分。（同一人不同证书可重复计分）。</w:t>
            </w:r>
            <w:r/>
          </w:p>
          <w:p>
            <w:pPr>
              <w:spacing w:line="3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注：以上1-2条款人员根据不同的评分要求须提供相关证书原件扫描件，同时</w:t>
            </w:r>
            <w:r>
              <w:rPr>
                <w:rFonts w:hint="eastAsia" w:ascii="黑体" w:hAnsi="黑体" w:eastAsia="黑体" w:cs="黑体"/>
                <w:color w:val="auto"/>
                <w:sz w:val="24"/>
                <w:highlight w:val="none"/>
                <w:lang w:val="zh-CN"/>
              </w:rPr>
              <w:t xml:space="preserve">提供社会保障部门出具的最近三个月（2</w:t>
            </w:r>
            <w:r>
              <w:rPr>
                <w:rFonts w:hint="eastAsia" w:ascii="黑体" w:hAnsi="黑体" w:eastAsia="黑体" w:cs="黑体"/>
                <w:color w:val="auto"/>
                <w:sz w:val="24"/>
                <w:highlight w:val="none"/>
              </w:rPr>
              <w:t xml:space="preserve">026</w:t>
            </w:r>
            <w:r>
              <w:rPr>
                <w:rFonts w:hint="eastAsia" w:ascii="黑体" w:hAnsi="黑体" w:eastAsia="黑体" w:cs="黑体"/>
                <w:color w:val="auto"/>
                <w:sz w:val="24"/>
                <w:highlight w:val="none"/>
                <w:lang w:val="zh-CN"/>
              </w:rPr>
              <w:t xml:space="preserve">年</w:t>
            </w:r>
            <w:r>
              <w:rPr>
                <w:rFonts w:hint="eastAsia" w:ascii="黑体" w:hAnsi="黑体" w:eastAsia="黑体" w:cs="黑体"/>
                <w:color w:val="auto"/>
                <w:sz w:val="24"/>
                <w:highlight w:val="none"/>
                <w:lang w:val="en-US" w:eastAsia="zh-CN"/>
              </w:rPr>
              <w:t xml:space="preserve">3</w:t>
            </w:r>
            <w:r>
              <w:rPr>
                <w:rFonts w:hint="eastAsia" w:ascii="黑体" w:hAnsi="黑体" w:eastAsia="黑体" w:cs="黑体"/>
                <w:color w:val="auto"/>
                <w:sz w:val="24"/>
                <w:highlight w:val="none"/>
                <w:lang w:val="zh-CN"/>
              </w:rPr>
              <w:t xml:space="preserve">月-2026年</w:t>
            </w:r>
            <w:r>
              <w:rPr>
                <w:rFonts w:hint="eastAsia" w:ascii="黑体" w:hAnsi="黑体" w:eastAsia="黑体" w:cs="黑体"/>
                <w:color w:val="auto"/>
                <w:sz w:val="24"/>
                <w:highlight w:val="none"/>
                <w:lang w:val="en-US" w:eastAsia="zh-CN"/>
              </w:rPr>
              <w:t xml:space="preserve">5</w:t>
            </w:r>
            <w:r>
              <w:rPr>
                <w:rFonts w:hint="eastAsia" w:ascii="黑体" w:hAnsi="黑体" w:eastAsia="黑体" w:cs="黑体"/>
                <w:color w:val="auto"/>
                <w:sz w:val="24"/>
                <w:highlight w:val="none"/>
                <w:lang w:val="zh-CN"/>
              </w:rPr>
              <w:t xml:space="preserve">月）中任意一个月在本单位缴纳社会养老保险的缴费清单，可提供官网打印的具有二维码或验证码的缴费清单扫描件</w:t>
            </w:r>
            <w:r>
              <w:rPr>
                <w:rFonts w:hint="eastAsia" w:ascii="黑体" w:hAnsi="黑体" w:eastAsia="黑体" w:cs="黑体"/>
                <w:color w:val="auto"/>
                <w:sz w:val="24"/>
                <w:highlight w:val="none"/>
              </w:rPr>
              <w:t xml:space="preserve">。</w:t>
            </w:r>
            <w:r/>
          </w:p>
        </w:tc>
      </w:tr>
      <w:tr>
        <w:trPr>
          <w:jc w:val="center"/>
          <w:trHeight w:val="330"/>
        </w:trPr>
        <w:tc>
          <w:tcPr>
            <w:tcW w:w="1154" w:type="dxa"/>
            <w:vAlign w:val="center"/>
            <w:textDirection w:val="lrTb"/>
            <w:noWrap w:val="false"/>
          </w:tcPr>
          <w:p>
            <w:pPr>
              <w:ind w:firstLine="480"/>
              <w:spacing w:line="360" w:lineRule="exact"/>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3</w:t>
            </w:r>
            <w:r/>
          </w:p>
        </w:tc>
        <w:tc>
          <w:tcPr>
            <w:shd w:val="clear" w:color="auto" w:fill="auto"/>
            <w:tcBorders>
              <w:left w:val="none" w:color="000000" w:sz="4" w:space="0"/>
            </w:tcBorders>
            <w:tcW w:w="1378" w:type="dxa"/>
            <w:vAlign w:val="center"/>
            <w:textDirection w:val="lrTb"/>
            <w:noWrap w:val="false"/>
          </w:tcPr>
          <w:p>
            <w:pPr>
              <w:jc w:val="left"/>
              <w:spacing w:line="320" w:lineRule="exac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设备投入（6分）</w:t>
            </w:r>
            <w:r/>
          </w:p>
        </w:tc>
        <w:tc>
          <w:tcPr>
            <w:gridSpan w:val="2"/>
            <w:shd w:val="clear" w:color="auto" w:fill="auto"/>
            <w:tcBorders>
              <w:left w:val="none" w:color="000000" w:sz="4" w:space="0"/>
            </w:tcBorders>
            <w:tcW w:w="6927" w:type="dxa"/>
            <w:vAlign w:val="center"/>
            <w:textDirection w:val="lrTb"/>
            <w:noWrap w:val="false"/>
          </w:tcPr>
          <w:p>
            <w:pPr>
              <w:jc w:val="left"/>
              <w:spacing w:line="320" w:lineRule="exac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1.拟投入GNSS接收机不少于2台，得1分，超过</w:t>
            </w:r>
            <w:r>
              <w:rPr>
                <w:rFonts w:hint="eastAsia" w:ascii="黑体" w:hAnsi="黑体" w:eastAsia="黑体" w:cs="黑体"/>
                <w:color w:val="auto"/>
                <w:sz w:val="24"/>
                <w:highlight w:val="none"/>
                <w:lang w:val="en-US" w:eastAsia="zh-CN"/>
              </w:rPr>
              <w:t xml:space="preserve">2</w:t>
            </w:r>
            <w:r>
              <w:rPr>
                <w:rFonts w:hint="eastAsia" w:ascii="黑体" w:hAnsi="黑体" w:eastAsia="黑体" w:cs="黑体"/>
                <w:color w:val="auto"/>
                <w:sz w:val="24"/>
                <w:highlight w:val="none"/>
              </w:rPr>
              <w:t xml:space="preserve">台（</w:t>
            </w:r>
            <w:r>
              <w:rPr>
                <w:rFonts w:hint="eastAsia" w:ascii="黑体" w:hAnsi="黑体" w:eastAsia="黑体" w:cs="黑体"/>
                <w:color w:val="auto"/>
                <w:sz w:val="24"/>
                <w:highlight w:val="none"/>
                <w:lang w:val="en-US" w:eastAsia="zh-CN"/>
              </w:rPr>
              <w:t xml:space="preserve">不</w:t>
            </w:r>
            <w:r>
              <w:rPr>
                <w:rFonts w:hint="eastAsia" w:ascii="黑体" w:hAnsi="黑体" w:eastAsia="黑体" w:cs="黑体"/>
                <w:color w:val="auto"/>
                <w:sz w:val="24"/>
                <w:highlight w:val="none"/>
              </w:rPr>
              <w:t xml:space="preserve">含）得2分；</w:t>
            </w:r>
            <w:r/>
          </w:p>
          <w:p>
            <w:pPr>
              <w:jc w:val="left"/>
              <w:spacing w:line="320" w:lineRule="exac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2.拟投入全站仪不少于2台，得1分，超过2台（</w:t>
            </w:r>
            <w:r>
              <w:rPr>
                <w:rFonts w:hint="eastAsia" w:ascii="黑体" w:hAnsi="黑体" w:eastAsia="黑体" w:cs="黑体"/>
                <w:color w:val="auto"/>
                <w:sz w:val="24"/>
                <w:highlight w:val="none"/>
                <w:lang w:val="en-US" w:eastAsia="zh-CN"/>
              </w:rPr>
              <w:t xml:space="preserve">不</w:t>
            </w:r>
            <w:r>
              <w:rPr>
                <w:rFonts w:hint="eastAsia" w:ascii="黑体" w:hAnsi="黑体" w:eastAsia="黑体" w:cs="黑体"/>
                <w:color w:val="auto"/>
                <w:sz w:val="24"/>
                <w:highlight w:val="none"/>
              </w:rPr>
              <w:t xml:space="preserve">含）得2分；</w:t>
            </w:r>
            <w:r/>
          </w:p>
          <w:p>
            <w:pPr>
              <w:jc w:val="left"/>
              <w:spacing w:line="320" w:lineRule="exac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3.具有测量无人机，得2分。</w:t>
            </w:r>
            <w:r/>
          </w:p>
          <w:p>
            <w:pPr>
              <w:jc w:val="left"/>
              <w:spacing w:line="320" w:lineRule="exact"/>
              <w:widowControl/>
              <w:rPr>
                <w:rFonts w:hint="eastAsia" w:ascii="黑体" w:hAnsi="黑体" w:eastAsia="黑体" w:cs="黑体"/>
                <w:color w:val="auto"/>
                <w:sz w:val="24"/>
                <w:highlight w:val="none"/>
                <w:lang w:val="zh-CN"/>
              </w:rPr>
            </w:pPr>
            <w:r>
              <w:rPr>
                <w:rFonts w:hint="eastAsia" w:ascii="黑体" w:hAnsi="黑体" w:eastAsia="黑体" w:cs="黑体"/>
                <w:b/>
                <w:bCs/>
                <w:color w:val="auto"/>
                <w:sz w:val="24"/>
                <w:highlight w:val="none"/>
              </w:rPr>
              <w:t xml:space="preserve">注：</w:t>
            </w:r>
            <w:r>
              <w:rPr>
                <w:rFonts w:hint="eastAsia" w:ascii="黑体" w:hAnsi="黑体" w:eastAsia="黑体" w:cs="黑体"/>
                <w:color w:val="auto"/>
                <w:sz w:val="24"/>
                <w:highlight w:val="none"/>
              </w:rPr>
              <w:t xml:space="preserve">GNSS接收机</w:t>
            </w:r>
            <w:r>
              <w:rPr>
                <w:rFonts w:hint="eastAsia" w:ascii="黑体" w:hAnsi="黑体" w:eastAsia="黑体" w:cs="黑体"/>
                <w:b/>
                <w:bCs/>
                <w:color w:val="auto"/>
                <w:sz w:val="24"/>
                <w:highlight w:val="none"/>
              </w:rPr>
              <w:t xml:space="preserve">、全站仪须提供投标单位有效期内仪器检定证书原件扫描件，无人机须提供投标单位的购买发票原件扫描件，否则不得分。</w:t>
            </w:r>
            <w:r/>
          </w:p>
        </w:tc>
      </w:tr>
      <w:tr>
        <w:trPr>
          <w:jc w:val="center"/>
          <w:trHeight w:val="561"/>
        </w:trPr>
        <w:tc>
          <w:tcPr>
            <w:tcBorders>
              <w:top w:val="none" w:color="000000" w:sz="4" w:space="0"/>
            </w:tcBorders>
            <w:tcW w:w="1154" w:type="dxa"/>
            <w:vAlign w:val="center"/>
            <w:textDirection w:val="lrTb"/>
            <w:noWrap w:val="false"/>
          </w:tcPr>
          <w:p>
            <w:pPr>
              <w:ind w:firstLine="480"/>
              <w:spacing w:line="3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4</w:t>
            </w:r>
            <w:r/>
          </w:p>
        </w:tc>
        <w:tc>
          <w:tcPr>
            <w:tcBorders>
              <w:left w:val="none" w:color="000000" w:sz="4" w:space="0"/>
            </w:tcBorders>
            <w:tcW w:w="1378" w:type="dxa"/>
            <w:vAlign w:val="center"/>
            <w:textDirection w:val="lrTb"/>
            <w:noWrap w:val="false"/>
          </w:tcPr>
          <w:p>
            <w:pPr>
              <w:contextualSpacing/>
              <w:spacing w:line="3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对招标项目的理解（7分）</w:t>
            </w:r>
            <w:r/>
          </w:p>
        </w:tc>
        <w:tc>
          <w:tcPr>
            <w:gridSpan w:val="2"/>
            <w:tcBorders>
              <w:left w:val="none" w:color="000000" w:sz="4" w:space="0"/>
            </w:tcBorders>
            <w:tcW w:w="6927" w:type="dxa"/>
            <w:vAlign w:val="center"/>
            <w:textDirection w:val="lrTb"/>
            <w:noWrap w:val="false"/>
          </w:tcPr>
          <w:p>
            <w:pPr>
              <w:pStyle w:val="776"/>
              <w:ind w:firstLine="0"/>
              <w:spacing w:line="360" w:lineRule="exact"/>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val="zh-CN"/>
              </w:rPr>
              <w:t xml:space="preserve">根据对项目背景及现状的了解，形成较为准确的对项目</w:t>
            </w:r>
            <w:r>
              <w:rPr>
                <w:rFonts w:hint="eastAsia" w:ascii="黑体" w:hAnsi="黑体" w:eastAsia="黑体" w:cs="黑体"/>
                <w:color w:val="auto"/>
                <w:sz w:val="24"/>
                <w:szCs w:val="24"/>
                <w:highlight w:val="none"/>
              </w:rPr>
              <w:t xml:space="preserve">测绘</w:t>
            </w:r>
            <w:r>
              <w:rPr>
                <w:rFonts w:hint="eastAsia" w:ascii="黑体" w:hAnsi="黑体" w:eastAsia="黑体" w:cs="黑体"/>
                <w:color w:val="auto"/>
                <w:sz w:val="24"/>
                <w:szCs w:val="24"/>
                <w:highlight w:val="none"/>
                <w:lang w:val="zh-CN"/>
              </w:rPr>
              <w:t xml:space="preserve">内容及重点的基本判断。内容准确，判断精准的得</w:t>
            </w:r>
            <w:r>
              <w:rPr>
                <w:rFonts w:hint="eastAsia" w:ascii="黑体" w:hAnsi="黑体" w:eastAsia="黑体" w:cs="黑体"/>
                <w:color w:val="auto"/>
                <w:sz w:val="24"/>
                <w:szCs w:val="24"/>
                <w:highlight w:val="none"/>
              </w:rPr>
              <w:t xml:space="preserve">7</w:t>
            </w:r>
            <w:r>
              <w:rPr>
                <w:rFonts w:hint="eastAsia" w:ascii="黑体" w:hAnsi="黑体" w:eastAsia="黑体" w:cs="黑体"/>
                <w:color w:val="auto"/>
                <w:sz w:val="24"/>
                <w:szCs w:val="24"/>
                <w:highlight w:val="none"/>
                <w:lang w:val="zh-CN"/>
              </w:rPr>
              <w:t xml:space="preserve">分；内容较为准确，判断较为精准的</w:t>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lang w:val="zh-CN"/>
              </w:rPr>
              <w:t xml:space="preserve">分；内容准确、判断</w:t>
            </w:r>
            <w:r>
              <w:rPr>
                <w:rFonts w:hint="eastAsia" w:ascii="黑体" w:hAnsi="黑体" w:eastAsia="黑体" w:cs="黑体"/>
                <w:color w:val="auto"/>
                <w:sz w:val="24"/>
                <w:szCs w:val="24"/>
                <w:highlight w:val="none"/>
              </w:rPr>
              <w:t xml:space="preserve">一般</w:t>
            </w:r>
            <w:r>
              <w:rPr>
                <w:rFonts w:hint="eastAsia" w:ascii="黑体" w:hAnsi="黑体" w:eastAsia="黑体" w:cs="黑体"/>
                <w:color w:val="auto"/>
                <w:sz w:val="24"/>
                <w:szCs w:val="24"/>
                <w:highlight w:val="none"/>
                <w:lang w:val="zh-CN"/>
              </w:rPr>
              <w:t xml:space="preserve">但不影响项目实施的得</w:t>
            </w: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lang w:val="zh-CN"/>
              </w:rPr>
              <w:t xml:space="preserve">分；</w:t>
            </w:r>
            <w:r>
              <w:rPr>
                <w:rFonts w:hint="eastAsia" w:ascii="黑体" w:hAnsi="黑体" w:eastAsia="黑体" w:cs="黑体"/>
                <w:color w:val="auto"/>
                <w:sz w:val="24"/>
                <w:szCs w:val="24"/>
                <w:highlight w:val="none"/>
              </w:rPr>
              <w:t xml:space="preserve">有</w:t>
            </w:r>
            <w:r>
              <w:rPr>
                <w:rFonts w:hint="eastAsia" w:ascii="黑体" w:hAnsi="黑体" w:eastAsia="黑体" w:cs="黑体"/>
                <w:color w:val="auto"/>
                <w:sz w:val="24"/>
                <w:szCs w:val="24"/>
                <w:highlight w:val="none"/>
                <w:lang w:val="zh-CN"/>
              </w:rPr>
              <w:t xml:space="preserve">内容</w:t>
            </w:r>
            <w:r>
              <w:rPr>
                <w:rFonts w:hint="eastAsia" w:ascii="黑体" w:hAnsi="黑体" w:eastAsia="黑体" w:cs="黑体"/>
                <w:color w:val="auto"/>
                <w:sz w:val="24"/>
                <w:szCs w:val="24"/>
                <w:highlight w:val="none"/>
              </w:rPr>
              <w:t xml:space="preserve">但有较欠缺</w:t>
            </w:r>
            <w:r>
              <w:rPr>
                <w:rFonts w:hint="eastAsia" w:ascii="黑体" w:hAnsi="黑体" w:eastAsia="黑体" w:cs="黑体"/>
                <w:color w:val="auto"/>
                <w:sz w:val="24"/>
                <w:szCs w:val="24"/>
                <w:highlight w:val="none"/>
                <w:lang w:val="zh-CN"/>
              </w:rPr>
              <w:t xml:space="preserve">的得</w:t>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lang w:val="zh-CN"/>
              </w:rPr>
              <w:t xml:space="preserve">分；未提供或与提供本项目需求无关的不得分。</w:t>
            </w:r>
            <w:r/>
          </w:p>
        </w:tc>
      </w:tr>
      <w:tr>
        <w:trPr>
          <w:jc w:val="center"/>
          <w:trHeight w:val="1920"/>
        </w:trPr>
        <w:tc>
          <w:tcPr>
            <w:tcBorders>
              <w:top w:val="none" w:color="000000" w:sz="4" w:space="0"/>
            </w:tcBorders>
            <w:tcW w:w="1154" w:type="dxa"/>
            <w:vAlign w:val="center"/>
            <w:textDirection w:val="lrTb"/>
            <w:noWrap w:val="false"/>
          </w:tcPr>
          <w:p>
            <w:pPr>
              <w:ind w:firstLine="480"/>
              <w:spacing w:line="3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w:t>
            </w:r>
            <w:r/>
          </w:p>
        </w:tc>
        <w:tc>
          <w:tcPr>
            <w:tcBorders>
              <w:left w:val="none" w:color="000000" w:sz="4" w:space="0"/>
            </w:tcBorders>
            <w:tcW w:w="1378" w:type="dxa"/>
            <w:vAlign w:val="center"/>
            <w:textDirection w:val="lrTb"/>
            <w:noWrap w:val="false"/>
          </w:tcPr>
          <w:p>
            <w:pPr>
              <w:contextualSpacing/>
              <w:spacing w:line="3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投标人组织设置、制度管理方案（7分）</w:t>
            </w:r>
            <w:r/>
          </w:p>
        </w:tc>
        <w:tc>
          <w:tcPr>
            <w:gridSpan w:val="2"/>
            <w:tcBorders>
              <w:left w:val="none" w:color="000000" w:sz="4" w:space="0"/>
            </w:tcBorders>
            <w:tcW w:w="6927" w:type="dxa"/>
            <w:vAlign w:val="center"/>
            <w:textDirection w:val="lrTb"/>
            <w:noWrap w:val="false"/>
          </w:tcPr>
          <w:p>
            <w:pPr>
              <w:contextualSpacing/>
              <w:spacing w:line="3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lang w:val="zh-CN"/>
              </w:rPr>
              <w:t xml:space="preserve">投标人组织设置、制度管理方案：合理性、全面性强的得7分；合理性、全面性较好的得3分；合理性、全面性一般得1分；未提供或与提供本项目需求无关的不得分。</w:t>
            </w:r>
            <w:r/>
          </w:p>
        </w:tc>
      </w:tr>
      <w:tr>
        <w:trPr>
          <w:jc w:val="center"/>
          <w:trHeight w:val="377"/>
        </w:trPr>
        <w:tc>
          <w:tcPr>
            <w:tcW w:w="1154" w:type="dxa"/>
            <w:vAlign w:val="center"/>
            <w:textDirection w:val="lrTb"/>
            <w:noWrap w:val="false"/>
          </w:tcPr>
          <w:p>
            <w:pPr>
              <w:ind w:firstLine="480"/>
              <w:spacing w:line="360" w:lineRule="exac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6</w:t>
            </w:r>
            <w:r/>
          </w:p>
        </w:tc>
        <w:tc>
          <w:tcPr>
            <w:shd w:val="clear" w:color="auto" w:fill="auto"/>
            <w:tcBorders>
              <w:left w:val="none" w:color="000000" w:sz="4" w:space="0"/>
            </w:tcBorders>
            <w:tcW w:w="1378" w:type="dxa"/>
            <w:vAlign w:val="center"/>
            <w:textDirection w:val="lrTb"/>
            <w:noWrap w:val="false"/>
          </w:tcPr>
          <w:p>
            <w:pPr>
              <w:jc w:val="left"/>
              <w:spacing w:line="3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lang w:val="zh-CN"/>
              </w:rPr>
              <w:t xml:space="preserve">工作思路、技术方法（</w:t>
            </w:r>
            <w:r>
              <w:rPr>
                <w:rFonts w:hint="eastAsia" w:ascii="黑体" w:hAnsi="黑体" w:eastAsia="黑体" w:cs="黑体"/>
                <w:color w:val="auto"/>
                <w:sz w:val="24"/>
                <w:highlight w:val="none"/>
              </w:rPr>
              <w:t xml:space="preserve">7</w:t>
            </w:r>
            <w:r>
              <w:rPr>
                <w:rFonts w:hint="eastAsia" w:ascii="黑体" w:hAnsi="黑体" w:eastAsia="黑体" w:cs="黑体"/>
                <w:color w:val="auto"/>
                <w:sz w:val="24"/>
                <w:highlight w:val="none"/>
                <w:lang w:val="zh-CN"/>
              </w:rPr>
              <w:t xml:space="preserve">分）</w:t>
            </w:r>
            <w:r/>
          </w:p>
        </w:tc>
        <w:tc>
          <w:tcPr>
            <w:gridSpan w:val="2"/>
            <w:shd w:val="clear" w:color="auto" w:fill="auto"/>
            <w:tcBorders>
              <w:left w:val="none" w:color="000000" w:sz="4" w:space="0"/>
            </w:tcBorders>
            <w:tcW w:w="6927" w:type="dxa"/>
            <w:textDirection w:val="lrTb"/>
            <w:noWrap w:val="false"/>
          </w:tcPr>
          <w:p>
            <w:pPr>
              <w:jc w:val="left"/>
              <w:spacing w:line="3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lang w:val="zh-CN"/>
              </w:rPr>
              <w:t xml:space="preserve">根据投标人的工作方案合理性及可行性、工作思路的完整性、可行性、可实施性等情况进行评定。方案实施说明与描述分析合理程度均全面：</w:t>
            </w:r>
            <w:r>
              <w:rPr>
                <w:rFonts w:hint="eastAsia" w:ascii="黑体" w:hAnsi="黑体" w:eastAsia="黑体" w:cs="黑体"/>
                <w:color w:val="auto"/>
                <w:sz w:val="24"/>
                <w:highlight w:val="none"/>
              </w:rPr>
              <w:t xml:space="preserve">7</w:t>
            </w:r>
            <w:r>
              <w:rPr>
                <w:rFonts w:hint="eastAsia" w:ascii="黑体" w:hAnsi="黑体" w:eastAsia="黑体" w:cs="黑体"/>
                <w:color w:val="auto"/>
                <w:sz w:val="24"/>
                <w:highlight w:val="none"/>
                <w:lang w:val="zh-CN"/>
              </w:rPr>
              <w:t xml:space="preserve">分；方案实施说明与描述分析的较全面、合理的：</w:t>
            </w:r>
            <w:r>
              <w:rPr>
                <w:rFonts w:hint="eastAsia" w:ascii="黑体" w:hAnsi="黑体" w:eastAsia="黑体" w:cs="黑体"/>
                <w:color w:val="auto"/>
                <w:sz w:val="24"/>
                <w:highlight w:val="none"/>
              </w:rPr>
              <w:t xml:space="preserve">5</w:t>
            </w:r>
            <w:r>
              <w:rPr>
                <w:rFonts w:hint="eastAsia" w:ascii="黑体" w:hAnsi="黑体" w:eastAsia="黑体" w:cs="黑体"/>
                <w:color w:val="auto"/>
                <w:sz w:val="24"/>
                <w:highlight w:val="none"/>
                <w:lang w:val="zh-CN"/>
              </w:rPr>
              <w:t xml:space="preserve">分；有方案实施说明与描述的，但</w:t>
            </w:r>
            <w:r>
              <w:rPr>
                <w:rFonts w:hint="eastAsia" w:ascii="黑体" w:hAnsi="黑体" w:eastAsia="黑体" w:cs="黑体"/>
                <w:color w:val="auto"/>
                <w:sz w:val="24"/>
                <w:highlight w:val="none"/>
              </w:rPr>
              <w:t xml:space="preserve">内容稍有欠缺</w:t>
            </w:r>
            <w:r>
              <w:rPr>
                <w:rFonts w:hint="eastAsia" w:ascii="黑体" w:hAnsi="黑体" w:eastAsia="黑体" w:cs="黑体"/>
                <w:color w:val="auto"/>
                <w:sz w:val="24"/>
                <w:highlight w:val="none"/>
                <w:lang w:val="zh-CN"/>
              </w:rPr>
              <w:t xml:space="preserve">的：</w:t>
            </w:r>
            <w:r>
              <w:rPr>
                <w:rFonts w:hint="eastAsia" w:ascii="黑体" w:hAnsi="黑体" w:eastAsia="黑体" w:cs="黑体"/>
                <w:color w:val="auto"/>
                <w:sz w:val="24"/>
                <w:highlight w:val="none"/>
              </w:rPr>
              <w:t xml:space="preserve">3</w:t>
            </w:r>
            <w:r>
              <w:rPr>
                <w:rFonts w:hint="eastAsia" w:ascii="黑体" w:hAnsi="黑体" w:eastAsia="黑体" w:cs="黑体"/>
                <w:color w:val="auto"/>
                <w:sz w:val="24"/>
                <w:highlight w:val="none"/>
                <w:lang w:val="zh-CN"/>
              </w:rPr>
              <w:t xml:space="preserve">分；有方案实施说明与描述的，但分析不清晰、合理的</w:t>
            </w:r>
            <w:r>
              <w:rPr>
                <w:rFonts w:hint="eastAsia" w:ascii="黑体" w:hAnsi="黑体" w:eastAsia="黑体" w:cs="黑体"/>
                <w:color w:val="auto"/>
                <w:sz w:val="24"/>
                <w:highlight w:val="none"/>
              </w:rPr>
              <w:t xml:space="preserve">得1</w:t>
            </w:r>
            <w:r>
              <w:rPr>
                <w:rFonts w:hint="eastAsia" w:ascii="黑体" w:hAnsi="黑体" w:eastAsia="黑体" w:cs="黑体"/>
                <w:color w:val="auto"/>
                <w:sz w:val="24"/>
                <w:highlight w:val="none"/>
                <w:lang w:val="zh-CN"/>
              </w:rPr>
              <w:t xml:space="preserve">分；未提供或与提供本项目需求无关的不得分。</w:t>
            </w:r>
            <w:r/>
          </w:p>
        </w:tc>
      </w:tr>
      <w:tr>
        <w:trPr>
          <w:jc w:val="center"/>
          <w:trHeight w:val="377"/>
        </w:trPr>
        <w:tc>
          <w:tcPr>
            <w:tcW w:w="1154" w:type="dxa"/>
            <w:vAlign w:val="center"/>
            <w:textDirection w:val="lrTb"/>
            <w:noWrap w:val="false"/>
          </w:tcPr>
          <w:p>
            <w:pPr>
              <w:ind w:firstLine="480"/>
              <w:spacing w:line="360" w:lineRule="exac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7</w:t>
            </w:r>
            <w:r/>
          </w:p>
        </w:tc>
        <w:tc>
          <w:tcPr>
            <w:shd w:val="clear" w:color="auto" w:fill="auto"/>
            <w:tcBorders>
              <w:left w:val="none" w:color="000000" w:sz="4" w:space="0"/>
            </w:tcBorders>
            <w:tcW w:w="1378" w:type="dxa"/>
            <w:vAlign w:val="center"/>
            <w:textDirection w:val="lrTb"/>
            <w:noWrap w:val="false"/>
          </w:tcPr>
          <w:p>
            <w:pPr>
              <w:jc w:val="left"/>
              <w:spacing w:line="3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lang w:val="zh-CN"/>
              </w:rPr>
              <w:t xml:space="preserve">项目重难点的认识及对策措施（</w:t>
            </w:r>
            <w:r>
              <w:rPr>
                <w:rFonts w:hint="eastAsia" w:ascii="黑体" w:hAnsi="黑体" w:eastAsia="黑体" w:cs="黑体"/>
                <w:color w:val="auto"/>
                <w:sz w:val="24"/>
                <w:highlight w:val="none"/>
              </w:rPr>
              <w:t xml:space="preserve">7</w:t>
            </w:r>
            <w:r>
              <w:rPr>
                <w:rFonts w:hint="eastAsia" w:ascii="黑体" w:hAnsi="黑体" w:eastAsia="黑体" w:cs="黑体"/>
                <w:color w:val="auto"/>
                <w:sz w:val="24"/>
                <w:highlight w:val="none"/>
                <w:lang w:val="zh-CN"/>
              </w:rPr>
              <w:t xml:space="preserve">分）</w:t>
            </w:r>
            <w:r/>
          </w:p>
        </w:tc>
        <w:tc>
          <w:tcPr>
            <w:gridSpan w:val="2"/>
            <w:shd w:val="clear" w:color="auto" w:fill="auto"/>
            <w:tcBorders>
              <w:left w:val="none" w:color="000000" w:sz="4" w:space="0"/>
            </w:tcBorders>
            <w:tcW w:w="6927" w:type="dxa"/>
            <w:textDirection w:val="lrTb"/>
            <w:noWrap w:val="false"/>
          </w:tcPr>
          <w:p>
            <w:pPr>
              <w:jc w:val="left"/>
              <w:spacing w:line="3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lang w:val="zh-CN"/>
              </w:rPr>
              <w:t xml:space="preserve">根据投标人对本项目的重难点分析认识、提出的对策措施等情况进行评定。重难点分析认识全面，提供的对策准确的得</w:t>
            </w:r>
            <w:r>
              <w:rPr>
                <w:rFonts w:hint="eastAsia" w:ascii="黑体" w:hAnsi="黑体" w:eastAsia="黑体" w:cs="黑体"/>
                <w:color w:val="auto"/>
                <w:sz w:val="24"/>
                <w:highlight w:val="none"/>
              </w:rPr>
              <w:t xml:space="preserve">7</w:t>
            </w:r>
            <w:r>
              <w:rPr>
                <w:rFonts w:hint="eastAsia" w:ascii="黑体" w:hAnsi="黑体" w:eastAsia="黑体" w:cs="黑体"/>
                <w:color w:val="auto"/>
                <w:sz w:val="24"/>
                <w:highlight w:val="none"/>
                <w:lang w:val="zh-CN"/>
              </w:rPr>
              <w:t xml:space="preserve">分；重难点分析认识较为全面，提供的对策较为准确的得</w:t>
            </w:r>
            <w:r>
              <w:rPr>
                <w:rFonts w:hint="eastAsia" w:ascii="黑体" w:hAnsi="黑体" w:eastAsia="黑体" w:cs="黑体"/>
                <w:color w:val="auto"/>
                <w:sz w:val="24"/>
                <w:highlight w:val="none"/>
              </w:rPr>
              <w:t xml:space="preserve">5</w:t>
            </w:r>
            <w:r>
              <w:rPr>
                <w:rFonts w:hint="eastAsia" w:ascii="黑体" w:hAnsi="黑体" w:eastAsia="黑体" w:cs="黑体"/>
                <w:color w:val="auto"/>
                <w:sz w:val="24"/>
                <w:highlight w:val="none"/>
                <w:lang w:val="zh-CN"/>
              </w:rPr>
              <w:t xml:space="preserve">分；重难点分析认识全面性，提供的对策准确性欠缺的得</w:t>
            </w:r>
            <w:r>
              <w:rPr>
                <w:rFonts w:hint="eastAsia" w:ascii="黑体" w:hAnsi="黑体" w:eastAsia="黑体" w:cs="黑体"/>
                <w:color w:val="auto"/>
                <w:sz w:val="24"/>
                <w:highlight w:val="none"/>
              </w:rPr>
              <w:t xml:space="preserve">3</w:t>
            </w:r>
            <w:r>
              <w:rPr>
                <w:rFonts w:hint="eastAsia" w:ascii="黑体" w:hAnsi="黑体" w:eastAsia="黑体" w:cs="黑体"/>
                <w:color w:val="auto"/>
                <w:sz w:val="24"/>
                <w:highlight w:val="none"/>
                <w:lang w:val="zh-CN"/>
              </w:rPr>
              <w:t xml:space="preserve">分；</w:t>
            </w:r>
            <w:r>
              <w:rPr>
                <w:rFonts w:hint="eastAsia" w:ascii="黑体" w:hAnsi="黑体" w:eastAsia="黑体" w:cs="黑体"/>
                <w:color w:val="auto"/>
                <w:sz w:val="24"/>
                <w:highlight w:val="none"/>
              </w:rPr>
              <w:t xml:space="preserve">有对策内容但不清晰、不合理的得1分；</w:t>
            </w:r>
            <w:r>
              <w:rPr>
                <w:rFonts w:hint="eastAsia" w:ascii="黑体" w:hAnsi="黑体" w:eastAsia="黑体" w:cs="黑体"/>
                <w:color w:val="auto"/>
                <w:sz w:val="24"/>
                <w:highlight w:val="none"/>
                <w:lang w:val="zh-CN"/>
              </w:rPr>
              <w:t xml:space="preserve">未提供或与提供本项目需求无关的不得分。</w:t>
            </w:r>
            <w:r/>
          </w:p>
        </w:tc>
      </w:tr>
      <w:tr>
        <w:trPr>
          <w:jc w:val="center"/>
          <w:trHeight w:val="377"/>
        </w:trPr>
        <w:tc>
          <w:tcPr>
            <w:tcW w:w="1154" w:type="dxa"/>
            <w:vAlign w:val="center"/>
            <w:textDirection w:val="lrTb"/>
            <w:noWrap w:val="false"/>
          </w:tcPr>
          <w:p>
            <w:pPr>
              <w:ind w:firstLine="480"/>
              <w:spacing w:line="360" w:lineRule="exac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8</w:t>
            </w:r>
            <w:r/>
          </w:p>
        </w:tc>
        <w:tc>
          <w:tcPr>
            <w:shd w:val="clear" w:color="auto" w:fill="auto"/>
            <w:tcBorders>
              <w:left w:val="none" w:color="000000" w:sz="4" w:space="0"/>
            </w:tcBorders>
            <w:tcW w:w="1378" w:type="dxa"/>
            <w:vAlign w:val="center"/>
            <w:textDirection w:val="lrTb"/>
            <w:noWrap w:val="false"/>
          </w:tcPr>
          <w:p>
            <w:pPr>
              <w:jc w:val="left"/>
              <w:spacing w:line="3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lang w:val="zh-CN"/>
              </w:rPr>
              <w:t xml:space="preserve">保障措施（</w:t>
            </w:r>
            <w:r>
              <w:rPr>
                <w:rFonts w:hint="eastAsia" w:ascii="黑体" w:hAnsi="黑体" w:eastAsia="黑体" w:cs="黑体"/>
                <w:color w:val="auto"/>
                <w:sz w:val="24"/>
                <w:highlight w:val="none"/>
              </w:rPr>
              <w:t xml:space="preserve">7</w:t>
            </w:r>
            <w:r>
              <w:rPr>
                <w:rFonts w:hint="eastAsia" w:ascii="黑体" w:hAnsi="黑体" w:eastAsia="黑体" w:cs="黑体"/>
                <w:color w:val="auto"/>
                <w:sz w:val="24"/>
                <w:highlight w:val="none"/>
                <w:lang w:val="zh-CN"/>
              </w:rPr>
              <w:t xml:space="preserve">分）</w:t>
            </w:r>
            <w:r/>
          </w:p>
        </w:tc>
        <w:tc>
          <w:tcPr>
            <w:gridSpan w:val="2"/>
            <w:shd w:val="clear" w:color="auto" w:fill="auto"/>
            <w:tcBorders>
              <w:left w:val="none" w:color="000000" w:sz="4" w:space="0"/>
            </w:tcBorders>
            <w:tcW w:w="6927" w:type="dxa"/>
            <w:textDirection w:val="lrTb"/>
            <w:noWrap w:val="false"/>
          </w:tcPr>
          <w:p>
            <w:pPr>
              <w:jc w:val="left"/>
              <w:spacing w:line="3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lang w:val="zh-CN"/>
              </w:rPr>
              <w:t xml:space="preserve">工作进度及保障措施：从工作服务目标、进度安排、服务质量，以及进度、质量保证措施等方面进行评定，工作进度安排科学合理，质量保证措施全面合理</w:t>
            </w:r>
            <w:r>
              <w:rPr>
                <w:rFonts w:hint="eastAsia" w:ascii="黑体" w:hAnsi="黑体" w:eastAsia="黑体" w:cs="黑体"/>
                <w:color w:val="auto"/>
                <w:sz w:val="24"/>
                <w:highlight w:val="none"/>
              </w:rPr>
              <w:t xml:space="preserve">7</w:t>
            </w:r>
            <w:r>
              <w:rPr>
                <w:rFonts w:hint="eastAsia" w:ascii="黑体" w:hAnsi="黑体" w:eastAsia="黑体" w:cs="黑体"/>
                <w:color w:val="auto"/>
                <w:sz w:val="24"/>
                <w:highlight w:val="none"/>
                <w:lang w:val="zh-CN"/>
              </w:rPr>
              <w:t xml:space="preserve">分；工作进度安排较为科学合理，质量保证措施较为全面合理的得</w:t>
            </w:r>
            <w:r>
              <w:rPr>
                <w:rFonts w:hint="eastAsia" w:ascii="黑体" w:hAnsi="黑体" w:eastAsia="黑体" w:cs="黑体"/>
                <w:color w:val="auto"/>
                <w:sz w:val="24"/>
                <w:highlight w:val="none"/>
              </w:rPr>
              <w:t xml:space="preserve">5</w:t>
            </w:r>
            <w:r>
              <w:rPr>
                <w:rFonts w:hint="eastAsia" w:ascii="黑体" w:hAnsi="黑体" w:eastAsia="黑体" w:cs="黑体"/>
                <w:color w:val="auto"/>
                <w:sz w:val="24"/>
                <w:highlight w:val="none"/>
                <w:lang w:val="zh-CN"/>
              </w:rPr>
              <w:t xml:space="preserve">分；工作进度安排较为科学合理，质量保证措施</w:t>
            </w:r>
            <w:r>
              <w:rPr>
                <w:rFonts w:hint="eastAsia" w:ascii="黑体" w:hAnsi="黑体" w:eastAsia="黑体" w:cs="黑体"/>
                <w:color w:val="auto"/>
                <w:sz w:val="24"/>
                <w:highlight w:val="none"/>
              </w:rPr>
              <w:t xml:space="preserve">一般</w:t>
            </w:r>
            <w:r>
              <w:rPr>
                <w:rFonts w:hint="eastAsia" w:ascii="黑体" w:hAnsi="黑体" w:eastAsia="黑体" w:cs="黑体"/>
                <w:color w:val="auto"/>
                <w:sz w:val="24"/>
                <w:highlight w:val="none"/>
                <w:lang w:val="zh-CN"/>
              </w:rPr>
              <w:t xml:space="preserve">的得</w:t>
            </w:r>
            <w:r>
              <w:rPr>
                <w:rFonts w:hint="eastAsia" w:ascii="黑体" w:hAnsi="黑体" w:eastAsia="黑体" w:cs="黑体"/>
                <w:color w:val="auto"/>
                <w:sz w:val="24"/>
                <w:highlight w:val="none"/>
              </w:rPr>
              <w:t xml:space="preserve">3</w:t>
            </w:r>
            <w:r>
              <w:rPr>
                <w:rFonts w:hint="eastAsia" w:ascii="黑体" w:hAnsi="黑体" w:eastAsia="黑体" w:cs="黑体"/>
                <w:color w:val="auto"/>
                <w:sz w:val="24"/>
                <w:highlight w:val="none"/>
                <w:lang w:val="zh-CN"/>
              </w:rPr>
              <w:t xml:space="preserve">分；工作进度安排科学合理性、质量保证措施全面合理性</w:t>
            </w:r>
            <w:r>
              <w:rPr>
                <w:rFonts w:hint="eastAsia" w:ascii="黑体" w:hAnsi="黑体" w:eastAsia="黑体" w:cs="黑体"/>
                <w:color w:val="auto"/>
                <w:sz w:val="24"/>
                <w:highlight w:val="none"/>
              </w:rPr>
              <w:t xml:space="preserve">都一般的</w:t>
            </w:r>
            <w:r>
              <w:rPr>
                <w:rFonts w:hint="eastAsia" w:ascii="黑体" w:hAnsi="黑体" w:eastAsia="黑体" w:cs="黑体"/>
                <w:color w:val="auto"/>
                <w:sz w:val="24"/>
                <w:highlight w:val="none"/>
                <w:lang w:val="zh-CN"/>
              </w:rPr>
              <w:t xml:space="preserve">得1分；未提供或与提供本项目需求无关的不得分。</w:t>
            </w:r>
            <w:r/>
          </w:p>
        </w:tc>
      </w:tr>
      <w:tr>
        <w:trPr>
          <w:jc w:val="center"/>
          <w:trHeight w:val="1477"/>
        </w:trPr>
        <w:tc>
          <w:tcPr>
            <w:tcW w:w="1154" w:type="dxa"/>
            <w:vAlign w:val="center"/>
            <w:textDirection w:val="lrTb"/>
            <w:noWrap w:val="false"/>
          </w:tcPr>
          <w:p>
            <w:pPr>
              <w:ind w:firstLine="480"/>
              <w:spacing w:line="360" w:lineRule="exac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9</w:t>
            </w:r>
            <w:r/>
          </w:p>
        </w:tc>
        <w:tc>
          <w:tcPr>
            <w:shd w:val="clear" w:color="auto" w:fill="auto"/>
            <w:tcBorders>
              <w:left w:val="none" w:color="000000" w:sz="4" w:space="0"/>
            </w:tcBorders>
            <w:tcW w:w="1378" w:type="dxa"/>
            <w:vAlign w:val="center"/>
            <w:textDirection w:val="lrTb"/>
            <w:noWrap w:val="false"/>
          </w:tcPr>
          <w:p>
            <w:pPr>
              <w:jc w:val="left"/>
              <w:spacing w:line="360" w:lineRule="exac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本项目安全责任制度和保密措施方案（7分）</w:t>
            </w:r>
            <w:r/>
          </w:p>
        </w:tc>
        <w:tc>
          <w:tcPr>
            <w:gridSpan w:val="2"/>
            <w:shd w:val="clear" w:color="auto" w:fill="auto"/>
            <w:tcBorders>
              <w:left w:val="none" w:color="000000" w:sz="4" w:space="0"/>
            </w:tcBorders>
            <w:tcW w:w="6927" w:type="dxa"/>
            <w:textDirection w:val="lrTb"/>
            <w:noWrap w:val="false"/>
          </w:tcPr>
          <w:p>
            <w:pPr>
              <w:jc w:val="left"/>
              <w:spacing w:line="360" w:lineRule="exac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从投标单位提供的安全责任制度和数据资料保密制度方面进行评定，</w:t>
            </w:r>
            <w:r/>
          </w:p>
          <w:p>
            <w:pPr>
              <w:jc w:val="left"/>
              <w:spacing w:line="360" w:lineRule="exac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安全责任制度及数据资料保密制度明确、完善性强的得7分；安全责任制度及数据资料保密制度明确、完善性较强的得3分；安全责任制度及数据资料保密制度明确、完善性一般的得1分；未提供或与本项目需求无关的不得分。</w:t>
            </w:r>
            <w:r/>
          </w:p>
        </w:tc>
      </w:tr>
      <w:tr>
        <w:trPr>
          <w:jc w:val="center"/>
          <w:trHeight w:val="377"/>
        </w:trPr>
        <w:tc>
          <w:tcPr>
            <w:tcW w:w="1154" w:type="dxa"/>
            <w:vAlign w:val="center"/>
            <w:textDirection w:val="lrTb"/>
            <w:noWrap w:val="false"/>
          </w:tcPr>
          <w:p>
            <w:pPr>
              <w:ind w:firstLine="480"/>
              <w:spacing w:line="360" w:lineRule="exact"/>
              <w:widowControl/>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10</w:t>
            </w:r>
            <w:r/>
          </w:p>
        </w:tc>
        <w:tc>
          <w:tcPr>
            <w:shd w:val="clear" w:color="auto" w:fill="auto"/>
            <w:tcBorders>
              <w:left w:val="none" w:color="000000" w:sz="4" w:space="0"/>
            </w:tcBorders>
            <w:tcW w:w="1378" w:type="dxa"/>
            <w:vAlign w:val="center"/>
            <w:textDirection w:val="lrTb"/>
            <w:noWrap w:val="false"/>
          </w:tcPr>
          <w:p>
            <w:pPr>
              <w:jc w:val="left"/>
              <w:spacing w:line="3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lang w:val="zh-CN"/>
              </w:rPr>
              <w:t xml:space="preserve">后续服务承诺（</w:t>
            </w:r>
            <w:r>
              <w:rPr>
                <w:rFonts w:hint="eastAsia" w:ascii="黑体" w:hAnsi="黑体" w:eastAsia="黑体" w:cs="黑体"/>
                <w:color w:val="auto"/>
                <w:sz w:val="24"/>
                <w:highlight w:val="none"/>
              </w:rPr>
              <w:t xml:space="preserve">5</w:t>
            </w:r>
            <w:r>
              <w:rPr>
                <w:rFonts w:hint="eastAsia" w:ascii="黑体" w:hAnsi="黑体" w:eastAsia="黑体" w:cs="黑体"/>
                <w:color w:val="auto"/>
                <w:sz w:val="24"/>
                <w:highlight w:val="none"/>
                <w:lang w:val="zh-CN"/>
              </w:rPr>
              <w:t xml:space="preserve">分）</w:t>
            </w:r>
            <w:r/>
          </w:p>
        </w:tc>
        <w:tc>
          <w:tcPr>
            <w:gridSpan w:val="2"/>
            <w:shd w:val="clear" w:color="auto" w:fill="auto"/>
            <w:tcBorders>
              <w:left w:val="none" w:color="000000" w:sz="4" w:space="0"/>
            </w:tcBorders>
            <w:tcW w:w="6927" w:type="dxa"/>
            <w:textDirection w:val="lrTb"/>
            <w:noWrap w:val="false"/>
          </w:tcPr>
          <w:p>
            <w:pPr>
              <w:jc w:val="left"/>
              <w:spacing w:line="3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lang w:val="zh-CN"/>
              </w:rPr>
              <w:t xml:space="preserve">根据投标人对本项目后续服务承诺等方面进行评定，后续服务承诺内容全面科学的得</w:t>
            </w:r>
            <w:r>
              <w:rPr>
                <w:rFonts w:hint="eastAsia" w:ascii="黑体" w:hAnsi="黑体" w:eastAsia="黑体" w:cs="黑体"/>
                <w:color w:val="auto"/>
                <w:sz w:val="24"/>
                <w:highlight w:val="none"/>
              </w:rPr>
              <w:t xml:space="preserve">5</w:t>
            </w:r>
            <w:r>
              <w:rPr>
                <w:rFonts w:hint="eastAsia" w:ascii="黑体" w:hAnsi="黑体" w:eastAsia="黑体" w:cs="黑体"/>
                <w:color w:val="auto"/>
                <w:sz w:val="24"/>
                <w:highlight w:val="none"/>
                <w:lang w:val="zh-CN"/>
              </w:rPr>
              <w:t xml:space="preserve">分；后续服务承诺内容较为全面科学的得</w:t>
            </w:r>
            <w:r>
              <w:rPr>
                <w:rFonts w:hint="eastAsia" w:ascii="黑体" w:hAnsi="黑体" w:eastAsia="黑体" w:cs="黑体"/>
                <w:color w:val="auto"/>
                <w:sz w:val="24"/>
                <w:highlight w:val="none"/>
              </w:rPr>
              <w:t xml:space="preserve">3</w:t>
            </w:r>
            <w:r>
              <w:rPr>
                <w:rFonts w:hint="eastAsia" w:ascii="黑体" w:hAnsi="黑体" w:eastAsia="黑体" w:cs="黑体"/>
                <w:color w:val="auto"/>
                <w:sz w:val="24"/>
                <w:highlight w:val="none"/>
                <w:lang w:val="zh-CN"/>
              </w:rPr>
              <w:t xml:space="preserve">分；后续服务承诺内容全面</w:t>
            </w:r>
            <w:r>
              <w:rPr>
                <w:rFonts w:hint="eastAsia" w:ascii="黑体" w:hAnsi="黑体" w:eastAsia="黑体" w:cs="黑体"/>
                <w:color w:val="auto"/>
                <w:sz w:val="24"/>
                <w:highlight w:val="none"/>
              </w:rPr>
              <w:t xml:space="preserve">性一般</w:t>
            </w:r>
            <w:r>
              <w:rPr>
                <w:rFonts w:hint="eastAsia" w:ascii="黑体" w:hAnsi="黑体" w:eastAsia="黑体" w:cs="黑体"/>
                <w:color w:val="auto"/>
                <w:sz w:val="24"/>
                <w:highlight w:val="none"/>
                <w:lang w:val="zh-CN"/>
              </w:rPr>
              <w:t xml:space="preserve">的得</w:t>
            </w:r>
            <w:r>
              <w:rPr>
                <w:rFonts w:hint="eastAsia" w:ascii="黑体" w:hAnsi="黑体" w:eastAsia="黑体" w:cs="黑体"/>
                <w:color w:val="auto"/>
                <w:sz w:val="24"/>
                <w:highlight w:val="none"/>
              </w:rPr>
              <w:t xml:space="preserve">1</w:t>
            </w:r>
            <w:r>
              <w:rPr>
                <w:rFonts w:hint="eastAsia" w:ascii="黑体" w:hAnsi="黑体" w:eastAsia="黑体" w:cs="黑体"/>
                <w:color w:val="auto"/>
                <w:sz w:val="24"/>
                <w:highlight w:val="none"/>
                <w:lang w:val="zh-CN"/>
              </w:rPr>
              <w:t xml:space="preserve">分；未提供或与提供本项目需求无关的不得分。</w:t>
            </w:r>
            <w:r/>
          </w:p>
        </w:tc>
      </w:tr>
      <w:tr>
        <w:trPr>
          <w:jc w:val="center"/>
          <w:trHeight w:val="377"/>
        </w:trPr>
        <w:tc>
          <w:tcPr>
            <w:gridSpan w:val="4"/>
            <w:tcW w:w="9459" w:type="dxa"/>
            <w:vAlign w:val="center"/>
            <w:textDirection w:val="lrTb"/>
            <w:noWrap w:val="false"/>
          </w:tcPr>
          <w:p>
            <w:pPr>
              <w:pStyle w:val="739"/>
              <w:numPr>
                <w:ilvl w:val="255"/>
                <w:numId w:val="0"/>
              </w:numPr>
              <w:spacing w:line="3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注：①上述</w:t>
            </w:r>
            <w:r>
              <w:rPr>
                <w:rFonts w:hint="eastAsia" w:ascii="黑体" w:hAnsi="黑体" w:eastAsia="黑体" w:cs="黑体"/>
                <w:color w:val="auto"/>
                <w:sz w:val="24"/>
                <w:highlight w:val="none"/>
              </w:rPr>
              <w:t xml:space="preserve">商务技术标</w:t>
            </w:r>
            <w:r>
              <w:rPr>
                <w:rFonts w:hint="eastAsia" w:ascii="黑体" w:hAnsi="黑体" w:eastAsia="黑体" w:cs="黑体"/>
                <w:b/>
                <w:bCs/>
                <w:color w:val="auto"/>
                <w:sz w:val="24"/>
                <w:highlight w:val="none"/>
              </w:rPr>
              <w:t xml:space="preserve">的投标单位响应所有佐证材料需提供原件扫描件并加盖单位公章，无原件扫描件或未响应上述要求未提供完整或不清晰的均不予得分；</w:t>
            </w:r>
            <w:r/>
          </w:p>
        </w:tc>
      </w:tr>
      <w:tr>
        <w:trPr>
          <w:jc w:val="center"/>
          <w:trHeight w:val="377"/>
        </w:trPr>
        <w:tc>
          <w:tcPr>
            <w:shd w:val="clear" w:color="auto" w:fill="auto"/>
            <w:tcW w:w="1154" w:type="dxa"/>
            <w:vAlign w:val="center"/>
            <w:textDirection w:val="lrTb"/>
            <w:noWrap w:val="false"/>
          </w:tcPr>
          <w:p>
            <w:pPr>
              <w:spacing w:line="360" w:lineRule="exact"/>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报价标</w:t>
            </w:r>
            <w:r/>
          </w:p>
          <w:p>
            <w:pPr>
              <w:spacing w:line="360" w:lineRule="exact"/>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10分</w:t>
            </w:r>
            <w:r/>
          </w:p>
        </w:tc>
        <w:tc>
          <w:tcPr>
            <w:shd w:val="clear" w:color="auto" w:fill="auto"/>
            <w:tcBorders>
              <w:left w:val="none" w:color="000000" w:sz="4" w:space="0"/>
            </w:tcBorders>
            <w:tcW w:w="1378" w:type="dxa"/>
            <w:vAlign w:val="center"/>
            <w:textDirection w:val="lrTb"/>
            <w:noWrap w:val="false"/>
          </w:tcPr>
          <w:p>
            <w:pPr>
              <w:jc w:val="center"/>
              <w:spacing w:line="360" w:lineRule="exact"/>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磋商基准价</w:t>
            </w:r>
            <w:r/>
          </w:p>
        </w:tc>
        <w:tc>
          <w:tcPr>
            <w:gridSpan w:val="2"/>
            <w:shd w:val="clear" w:color="auto" w:fill="auto"/>
            <w:tcBorders>
              <w:left w:val="none" w:color="000000" w:sz="4" w:space="0"/>
            </w:tcBorders>
            <w:tcW w:w="6927" w:type="dxa"/>
            <w:vAlign w:val="center"/>
            <w:textDirection w:val="lrTb"/>
            <w:noWrap w:val="false"/>
          </w:tcPr>
          <w:p>
            <w:pPr>
              <w:ind w:firstLine="480"/>
              <w:spacing w:line="360" w:lineRule="exact"/>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满足磋商文件要求且响应价格最低的响应报价为评标基准价，其价格分为满分（10分），其他磋商磋商投标单位的价格分统一按照下列公式计算：</w:t>
            </w:r>
            <w:r/>
          </w:p>
          <w:p>
            <w:pPr>
              <w:ind w:firstLine="480"/>
              <w:spacing w:line="360" w:lineRule="exact"/>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响应报价得分=(响应评标基准价／响应报价)×10%*100</w:t>
            </w:r>
            <w:r/>
          </w:p>
        </w:tc>
      </w:tr>
    </w:tbl>
    <w:p>
      <w:pPr>
        <w:pStyle w:val="997"/>
        <w:ind w:left="0" w:right="0" w:firstLine="560"/>
        <w:jc w:val="both"/>
        <w:spacing w:before="0" w:after="0"/>
        <w:rPr>
          <w:rFonts w:hint="eastAsia" w:ascii="黑体" w:hAnsi="黑体" w:eastAsia="黑体" w:cs="黑体"/>
          <w:b/>
          <w:color w:val="auto"/>
          <w:sz w:val="28"/>
          <w:szCs w:val="28"/>
          <w:highlight w:val="none"/>
        </w:rPr>
      </w:pPr>
      <w:r>
        <w:rPr>
          <w:rFonts w:hint="eastAsia" w:ascii="黑体" w:hAnsi="黑体" w:eastAsia="黑体" w:cs="黑体"/>
          <w:bCs/>
          <w:color w:val="auto"/>
          <w:sz w:val="28"/>
          <w:szCs w:val="28"/>
          <w:highlight w:val="none"/>
        </w:rPr>
        <w:t xml:space="preserve">五、政府采购政策功能落实</w:t>
      </w:r>
      <w:r/>
    </w:p>
    <w:p>
      <w:pPr>
        <w:pStyle w:val="997"/>
        <w:ind w:left="0" w:right="0" w:firstLine="560"/>
        <w:jc w:val="both"/>
        <w:spacing w:before="0" w:after="0"/>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1、专门面向中小企业采购的项目或者采购包，不再执行价格评审优惠的扶持政策。</w:t>
      </w:r>
      <w:r>
        <w:rPr>
          <w:rFonts w:hint="eastAsia" w:ascii="黑体" w:hAnsi="黑体" w:eastAsia="黑体" w:cs="黑体"/>
          <w:b/>
          <w:color w:val="auto"/>
          <w:sz w:val="28"/>
          <w:szCs w:val="28"/>
          <w:highlight w:val="none"/>
        </w:rPr>
        <w:t xml:space="preserve">（本项目专门面向中小企业，不享受价格扣除政策）</w:t>
      </w:r>
      <w:r/>
    </w:p>
    <w:p>
      <w:pPr>
        <w:ind w:firstLine="57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2、根据《江苏省政府采购信用管理暂行办法》的规定，投标单位信用评价结果为三星的扣2分，评价结果为二星的扣3分，评价结果为一星的扣4分。</w:t>
      </w:r>
      <w:r/>
    </w:p>
    <w:p>
      <w:pPr>
        <w:ind w:firstLine="57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六、中标人的确定</w:t>
      </w:r>
      <w:r/>
    </w:p>
    <w:p>
      <w:pPr>
        <w:ind w:firstLine="57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评委会汇总各评委评分后，按照得分从高到低的顺序推荐三名中标候选人，并编写评标报告。</w:t>
      </w:r>
      <w:r/>
    </w:p>
    <w:p>
      <w:pPr>
        <w:ind w:firstLine="57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采购人委托评标委员会直接确定排名第一的中标候选人为中标人。</w:t>
      </w:r>
      <w:r/>
    </w:p>
    <w:p>
      <w:pPr>
        <w:ind w:firstLine="557"/>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七、采购人代表宣布评标结果。</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八、公告中标结果</w:t>
      </w:r>
      <w:r/>
    </w:p>
    <w:p>
      <w:pPr>
        <w:ind w:firstLine="57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自确定中标人之日起2个工作日内，在江苏政府采购网公告中标结果，公告期限为1个工作日。</w:t>
      </w:r>
      <w:r/>
    </w:p>
    <w:p>
      <w:pPr>
        <w:ind w:firstLine="56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九、发放中标通知书</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公告中标结果的同时，采购人或采购代理机构向中标投标单位发放中标通知书。</w:t>
      </w:r>
      <w:r/>
    </w:p>
    <w:p>
      <w:pPr>
        <w:ind w:firstLine="57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中标通知书发出后，采购人不得违法改变中标结果，中标投标单位无正当理由不得放弃中标。</w:t>
      </w:r>
      <w:r/>
    </w:p>
    <w:p>
      <w:pPr>
        <w:ind w:firstLine="554"/>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中标单位在中标公示期后、领取中标通知书前必须按要求提供纸质响应文件（资格审查材料、技术标、报价标）叁份及电子格式投标文件（光盘贰份），以供存档。纸质响应文件应使用CA系统打印，且必须保证与评标时的电子标书完全一致，否则不予签订合同。</w:t>
      </w:r>
      <w:r/>
    </w:p>
    <w:p>
      <w:pPr>
        <w:pStyle w:val="746"/>
        <w:ind w:firstLine="560"/>
        <w:spacing w:line="360" w:lineRule="auto"/>
        <w:widowControl/>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（十）其他</w:t>
      </w:r>
      <w:r/>
    </w:p>
    <w:p>
      <w:pPr>
        <w:pStyle w:val="746"/>
        <w:ind w:firstLine="560"/>
        <w:spacing w:line="360" w:lineRule="auto"/>
        <w:widowControl/>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当排名第一的中标候选人无正当理由放弃中标，被查实存在影响中标结果的违法行为等情形，采购人有权按照政府采购相关法律法规的规定对其采取惩戒措施，包含但不限于列入采购失信人黑名单等措施。</w:t>
      </w:r>
      <w:r/>
    </w:p>
    <w:p>
      <w:pPr>
        <w:pStyle w:val="746"/>
        <w:ind w:firstLine="560"/>
        <w:spacing w:line="360" w:lineRule="auto"/>
        <w:widowControl/>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当排名第一的中标候选人放弃中标、因不可抗力不能履行合同，或者被查实存在影响中标结果的违法行为等情形，不符合中标条件的，采购人可以按照评标委员会提出的中标候选人名单排序（按照综合得分由高到低顺序）依次确定其他中标候选人为成交投标单位，也可以重新招标。</w:t>
      </w:r>
      <w:r/>
    </w:p>
    <w:p>
      <w:pPr>
        <w:ind w:firstLine="554"/>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center"/>
        <w:spacing w:line="360" w:lineRule="auto"/>
        <w:rPr>
          <w:rFonts w:hint="eastAsia" w:ascii="黑体" w:hAnsi="黑体" w:eastAsia="黑体" w:cs="黑体"/>
          <w:bCs/>
          <w:color w:val="auto"/>
          <w:sz w:val="36"/>
          <w:szCs w:val="36"/>
          <w:highlight w:val="none"/>
        </w:rPr>
        <w:outlineLvl w:val="0"/>
      </w:pPr>
      <w:r>
        <w:rPr>
          <w:rFonts w:hint="eastAsia" w:ascii="黑体" w:hAnsi="黑体" w:eastAsia="黑体" w:cs="黑体"/>
          <w:bCs/>
          <w:color w:val="auto"/>
          <w:sz w:val="28"/>
          <w:szCs w:val="28"/>
          <w:highlight w:val="none"/>
        </w:rPr>
        <w:br w:type="page" w:clear="all"/>
      </w:r>
      <w:r>
        <w:rPr>
          <w:rFonts w:hint="eastAsia" w:ascii="黑体" w:hAnsi="黑体" w:eastAsia="黑体" w:cs="黑体"/>
          <w:bCs/>
          <w:color w:val="auto"/>
          <w:sz w:val="36"/>
          <w:szCs w:val="36"/>
          <w:highlight w:val="none"/>
        </w:rPr>
        <w:t xml:space="preserve">第五部分  投标文件组成</w:t>
      </w:r>
      <w:r/>
    </w:p>
    <w:p>
      <w:pPr>
        <w:ind w:firstLine="555"/>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投标文件由资格审查证明材料、符合性审查材料、商务技术标、价格标、四部分组成。</w:t>
      </w:r>
      <w:r>
        <w:rPr>
          <w:rFonts w:hint="eastAsia" w:ascii="黑体" w:hAnsi="黑体" w:eastAsia="黑体" w:cs="黑体"/>
          <w:bCs/>
          <w:color w:val="auto"/>
          <w:sz w:val="28"/>
          <w:szCs w:val="28"/>
          <w:highlight w:val="none"/>
          <w:lang w:val="zh-CN"/>
        </w:rPr>
        <w:t xml:space="preserve">请投标单位根据本招标文件的要求在以上</w:t>
      </w:r>
      <w:r>
        <w:rPr>
          <w:rFonts w:hint="eastAsia" w:ascii="黑体" w:hAnsi="黑体" w:eastAsia="黑体" w:cs="黑体"/>
          <w:bCs/>
          <w:color w:val="auto"/>
          <w:sz w:val="28"/>
          <w:szCs w:val="28"/>
          <w:highlight w:val="none"/>
        </w:rPr>
        <w:t xml:space="preserve">四部分中</w:t>
      </w:r>
      <w:r>
        <w:rPr>
          <w:rFonts w:hint="eastAsia" w:ascii="黑体" w:hAnsi="黑体" w:eastAsia="黑体" w:cs="黑体"/>
          <w:bCs/>
          <w:color w:val="auto"/>
          <w:sz w:val="28"/>
          <w:szCs w:val="28"/>
          <w:highlight w:val="none"/>
          <w:lang w:val="zh-CN"/>
        </w:rPr>
        <w:t xml:space="preserve">分别上传响应的投标材料。</w:t>
      </w:r>
      <w:r/>
    </w:p>
    <w:p>
      <w:pPr>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一、资格审查证明材料</w:t>
      </w:r>
      <w:r/>
    </w:p>
    <w:p>
      <w:pPr>
        <w:ind w:firstLine="56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1.投标人符合《政府采购法》第二十二条规定条件的承诺函（格式见附件）；</w:t>
      </w:r>
      <w:r/>
    </w:p>
    <w:p>
      <w:pPr>
        <w:ind w:firstLine="56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2.法定代表人身份证明书</w:t>
      </w:r>
      <w:r>
        <w:rPr>
          <w:rFonts w:hint="eastAsia" w:ascii="黑体" w:hAnsi="黑体" w:eastAsia="黑体" w:cs="黑体"/>
          <w:bCs/>
          <w:color w:val="auto"/>
          <w:sz w:val="28"/>
          <w:szCs w:val="28"/>
          <w:highlight w:val="none"/>
        </w:rPr>
        <w:t xml:space="preserve">及法定代表人身份证扫描件</w:t>
      </w:r>
      <w:r>
        <w:rPr>
          <w:rFonts w:hint="eastAsia" w:ascii="黑体" w:hAnsi="黑体" w:eastAsia="黑体" w:cs="黑体"/>
          <w:bCs/>
          <w:color w:val="auto"/>
          <w:sz w:val="28"/>
          <w:szCs w:val="28"/>
          <w:highlight w:val="none"/>
          <w:lang w:val="zh-CN"/>
        </w:rPr>
        <w:t xml:space="preserve">（格式见附件）；</w:t>
      </w:r>
      <w:r/>
    </w:p>
    <w:p>
      <w:pPr>
        <w:ind w:firstLine="56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3.法定代表人授权委托书原件，</w:t>
      </w:r>
      <w:r>
        <w:rPr>
          <w:rFonts w:hint="eastAsia" w:ascii="黑体" w:hAnsi="黑体" w:eastAsia="黑体" w:cs="黑体"/>
          <w:bCs/>
          <w:color w:val="auto"/>
          <w:sz w:val="28"/>
          <w:szCs w:val="28"/>
          <w:highlight w:val="none"/>
        </w:rPr>
        <w:t xml:space="preserve">投标</w:t>
      </w:r>
      <w:r>
        <w:rPr>
          <w:rFonts w:hint="eastAsia" w:ascii="黑体" w:hAnsi="黑体" w:eastAsia="黑体" w:cs="黑体"/>
          <w:bCs/>
          <w:color w:val="auto"/>
          <w:sz w:val="28"/>
          <w:szCs w:val="28"/>
          <w:highlight w:val="none"/>
          <w:lang w:val="zh-CN"/>
        </w:rPr>
        <w:t xml:space="preserve">代表本人身份证扫描件（格式见附件）；</w:t>
      </w:r>
      <w:r/>
    </w:p>
    <w:p>
      <w:pPr>
        <w:ind w:firstLine="56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4</w:t>
      </w:r>
      <w:r>
        <w:rPr>
          <w:rFonts w:hint="eastAsia" w:ascii="黑体" w:hAnsi="黑体" w:eastAsia="黑体" w:cs="黑体"/>
          <w:bCs/>
          <w:color w:val="auto"/>
          <w:sz w:val="28"/>
          <w:szCs w:val="28"/>
          <w:highlight w:val="none"/>
          <w:lang w:val="zh-CN"/>
        </w:rPr>
        <w:t xml:space="preserve">.投标投标单位</w:t>
      </w:r>
      <w:r>
        <w:rPr>
          <w:rFonts w:hint="eastAsia" w:ascii="黑体" w:hAnsi="黑体" w:eastAsia="黑体" w:cs="黑体"/>
          <w:bCs/>
          <w:color w:val="auto"/>
          <w:sz w:val="28"/>
          <w:szCs w:val="28"/>
          <w:highlight w:val="none"/>
        </w:rPr>
        <w:t xml:space="preserve">未</w:t>
      </w:r>
      <w:r>
        <w:rPr>
          <w:rFonts w:hint="eastAsia" w:ascii="黑体" w:hAnsi="黑体" w:eastAsia="黑体" w:cs="黑体"/>
          <w:bCs/>
          <w:color w:val="auto"/>
          <w:sz w:val="28"/>
          <w:szCs w:val="28"/>
          <w:highlight w:val="none"/>
          <w:lang w:val="zh-CN"/>
        </w:rPr>
        <w:t xml:space="preserve">被“信用中国”网站列入失信被执行人或重大税收违法案件当事人名单或政府采购严重失信行为记录名单，或查询“信用中国”网站后发现投标投标单位</w:t>
      </w:r>
      <w:r>
        <w:rPr>
          <w:rFonts w:hint="eastAsia" w:ascii="黑体" w:hAnsi="黑体" w:eastAsia="黑体" w:cs="黑体"/>
          <w:bCs/>
          <w:color w:val="auto"/>
          <w:sz w:val="28"/>
          <w:szCs w:val="28"/>
          <w:highlight w:val="none"/>
        </w:rPr>
        <w:t xml:space="preserve">不</w:t>
      </w:r>
      <w:r>
        <w:rPr>
          <w:rFonts w:hint="eastAsia" w:ascii="黑体" w:hAnsi="黑体" w:eastAsia="黑体" w:cs="黑体"/>
          <w:bCs/>
          <w:color w:val="auto"/>
          <w:sz w:val="28"/>
          <w:szCs w:val="28"/>
          <w:highlight w:val="none"/>
          <w:lang w:val="zh-CN"/>
        </w:rPr>
        <w:t xml:space="preserve">存在其他不符合资格条件规定的信用记录的。</w:t>
      </w:r>
      <w:r/>
    </w:p>
    <w:p>
      <w:pPr>
        <w:ind w:firstLine="56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5</w:t>
      </w:r>
      <w:r>
        <w:rPr>
          <w:rFonts w:hint="eastAsia" w:ascii="黑体" w:hAnsi="黑体" w:eastAsia="黑体" w:cs="黑体"/>
          <w:bCs/>
          <w:color w:val="auto"/>
          <w:sz w:val="28"/>
          <w:szCs w:val="28"/>
          <w:highlight w:val="none"/>
          <w:lang w:val="zh-CN"/>
        </w:rPr>
        <w:t xml:space="preserve">.提供中小企业声明函（格式见附件）或残疾人福利性单位声明函（格式见附件）或监狱或戒毒企业证明材料（格式见附件）</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6.投标单位信用承诺书（格式见</w:t>
      </w:r>
      <w:r>
        <w:rPr>
          <w:rFonts w:hint="eastAsia" w:ascii="黑体" w:hAnsi="黑体" w:eastAsia="黑体" w:cs="黑体"/>
          <w:bCs/>
          <w:color w:val="auto"/>
          <w:sz w:val="28"/>
          <w:szCs w:val="28"/>
          <w:highlight w:val="none"/>
          <w:lang w:val="zh-CN"/>
        </w:rPr>
        <w:t xml:space="preserve">附件</w:t>
      </w:r>
      <w:r>
        <w:rPr>
          <w:rFonts w:hint="eastAsia" w:ascii="黑体" w:hAnsi="黑体" w:eastAsia="黑体" w:cs="黑体"/>
          <w:bCs/>
          <w:color w:val="auto"/>
          <w:sz w:val="28"/>
          <w:szCs w:val="28"/>
          <w:highlight w:val="none"/>
        </w:rPr>
        <w:t xml:space="preserve">）</w:t>
      </w:r>
      <w:r/>
    </w:p>
    <w:p>
      <w:pPr>
        <w:pStyle w:val="734"/>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7.本项目的特定资格要求</w:t>
      </w:r>
      <w:r>
        <w:rPr>
          <w:rFonts w:hint="eastAsia" w:ascii="黑体" w:hAnsi="黑体" w:eastAsia="黑体" w:cs="黑体"/>
          <w:bCs/>
          <w:color w:val="auto"/>
          <w:sz w:val="24"/>
          <w:highlight w:val="none"/>
        </w:rPr>
        <w:t xml:space="preserve">：</w:t>
      </w:r>
      <w:r>
        <w:rPr>
          <w:rFonts w:hint="eastAsia" w:ascii="黑体" w:hAnsi="黑体" w:eastAsia="黑体" w:cs="黑体"/>
          <w:bCs/>
          <w:color w:val="auto"/>
          <w:sz w:val="28"/>
          <w:szCs w:val="28"/>
          <w:highlight w:val="none"/>
        </w:rPr>
        <w:t xml:space="preserve">响应投标单位须具有有效的行政部门颁发的有效的乙级及以上测绘（须含工程测量专业）资质证书。</w:t>
      </w:r>
      <w:r/>
    </w:p>
    <w:p>
      <w:pPr>
        <w:ind w:firstLine="280"/>
        <w:spacing w:line="360" w:lineRule="auto"/>
        <w:rPr>
          <w:rFonts w:hint="eastAsia" w:ascii="黑体" w:hAnsi="黑体" w:eastAsia="黑体" w:cs="黑体"/>
          <w:bCs/>
          <w:color w:val="auto"/>
          <w:sz w:val="28"/>
          <w:szCs w:val="28"/>
          <w:highlight w:val="none"/>
        </w:rPr>
      </w:pPr>
      <w:r>
        <w:rPr>
          <w:rFonts w:hint="eastAsia" w:ascii="黑体" w:hAnsi="黑体" w:eastAsia="黑体" w:cs="黑体"/>
          <w:color w:val="auto"/>
          <w:sz w:val="28"/>
          <w:szCs w:val="28"/>
          <w:highlight w:val="none"/>
        </w:rPr>
        <w:t xml:space="preserve">8.投标单位未同时在其他投标单位为股东或法定代表人（或负责人）的佐证材料：投标单位投标时提供本单位、营业执照、公司股东股权资料，若经核实有同一人在两家及以上投标本项目的投标单位有股份或同为单位法定代表人（或负责人的），将作无效响应处理；未提供以上材料或提供不全的，经核实作无效响应处理。</w:t>
      </w:r>
      <w:r/>
    </w:p>
    <w:p>
      <w:pPr>
        <w:ind w:firstLine="56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9</w:t>
      </w:r>
      <w:r>
        <w:rPr>
          <w:rFonts w:hint="eastAsia" w:ascii="黑体" w:hAnsi="黑体" w:eastAsia="黑体" w:cs="黑体"/>
          <w:bCs/>
          <w:color w:val="auto"/>
          <w:sz w:val="28"/>
          <w:szCs w:val="28"/>
          <w:highlight w:val="none"/>
          <w:lang w:val="zh-CN"/>
        </w:rPr>
        <w:t xml:space="preserve">.招标公告资格要求提供相应的佐证材料；</w:t>
      </w:r>
      <w:r/>
    </w:p>
    <w:p>
      <w:pPr>
        <w:ind w:firstLine="56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10</w:t>
      </w:r>
      <w:r>
        <w:rPr>
          <w:rFonts w:hint="eastAsia" w:ascii="黑体" w:hAnsi="黑体" w:eastAsia="黑体" w:cs="黑体"/>
          <w:bCs/>
          <w:color w:val="auto"/>
          <w:sz w:val="28"/>
          <w:szCs w:val="28"/>
          <w:highlight w:val="none"/>
          <w:lang w:val="zh-CN"/>
        </w:rPr>
        <w:t xml:space="preserve">.其它需要提交的资格审查证明材料。</w:t>
      </w:r>
      <w:r/>
    </w:p>
    <w:p>
      <w:pPr>
        <w:ind w:firstLine="56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w:t>
      </w:r>
      <w:r>
        <w:rPr>
          <w:rFonts w:hint="eastAsia" w:ascii="黑体" w:hAnsi="黑体" w:eastAsia="黑体" w:cs="黑体"/>
          <w:bCs/>
          <w:color w:val="auto"/>
          <w:sz w:val="28"/>
          <w:szCs w:val="28"/>
          <w:highlight w:val="none"/>
        </w:rPr>
        <w:t xml:space="preserve">如采购</w:t>
      </w:r>
      <w:r>
        <w:rPr>
          <w:rFonts w:hint="eastAsia" w:ascii="黑体" w:hAnsi="黑体" w:eastAsia="黑体" w:cs="黑体"/>
          <w:bCs/>
          <w:color w:val="auto"/>
          <w:sz w:val="28"/>
          <w:szCs w:val="28"/>
          <w:highlight w:val="none"/>
          <w:lang w:val="zh-CN"/>
        </w:rPr>
        <w:t xml:space="preserve">文件要求提供的资格审查证明材料中没有对应的接口上传的资料，可以在本部分的其他材料的接口中上传）</w:t>
      </w:r>
      <w:r/>
    </w:p>
    <w:p>
      <w:pPr>
        <w:numPr>
          <w:ilvl w:val="0"/>
          <w:numId w:val="2"/>
        </w:num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lang w:val="zh-CN"/>
        </w:rPr>
        <w:t xml:space="preserve">符合性审查</w:t>
      </w:r>
      <w:r/>
    </w:p>
    <w:p>
      <w:pPr>
        <w:ind w:firstLine="562"/>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28"/>
          <w:szCs w:val="28"/>
          <w:highlight w:val="none"/>
        </w:rPr>
        <w:t xml:space="preserve">1、</w:t>
      </w:r>
      <w:r>
        <w:rPr>
          <w:rFonts w:hint="eastAsia" w:ascii="黑体" w:hAnsi="黑体" w:eastAsia="黑体" w:cs="黑体"/>
          <w:bCs/>
          <w:color w:val="auto"/>
          <w:sz w:val="28"/>
          <w:szCs w:val="28"/>
          <w:highlight w:val="none"/>
          <w:lang w:val="zh-CN"/>
        </w:rPr>
        <w:t xml:space="preserve">商务部分正负偏离表；（格式见附件）</w:t>
      </w:r>
      <w:r/>
    </w:p>
    <w:p>
      <w:pPr>
        <w:ind w:firstLine="56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w:t>
      </w:r>
      <w:r>
        <w:rPr>
          <w:rFonts w:hint="eastAsia" w:ascii="黑体" w:hAnsi="黑体" w:eastAsia="黑体" w:cs="黑体"/>
          <w:bCs/>
          <w:color w:val="auto"/>
          <w:sz w:val="28"/>
          <w:szCs w:val="28"/>
          <w:highlight w:val="none"/>
        </w:rPr>
        <w:t xml:space="preserve">2</w:t>
      </w:r>
      <w:r>
        <w:rPr>
          <w:rFonts w:hint="eastAsia" w:ascii="黑体" w:hAnsi="黑体" w:eastAsia="黑体" w:cs="黑体"/>
          <w:bCs/>
          <w:color w:val="auto"/>
          <w:sz w:val="28"/>
          <w:szCs w:val="28"/>
          <w:highlight w:val="none"/>
          <w:lang w:val="zh-CN"/>
        </w:rPr>
        <w:t xml:space="preserve">、技术部分正负偏离表；（格式见附件）</w:t>
      </w:r>
      <w:r/>
    </w:p>
    <w:p>
      <w:pPr>
        <w:pStyle w:val="734"/>
        <w:ind w:firstLine="560"/>
        <w:spacing w:line="360" w:lineRule="auto"/>
        <w:rPr>
          <w:rFonts w:hint="eastAsia" w:ascii="黑体" w:hAnsi="黑体" w:eastAsia="黑体" w:cs="黑体"/>
          <w:color w:val="auto"/>
          <w:highlight w:val="none"/>
          <w:lang w:val="zh-CN"/>
        </w:rPr>
      </w:pPr>
      <w:r>
        <w:rPr>
          <w:rFonts w:hint="eastAsia" w:ascii="黑体" w:hAnsi="黑体" w:eastAsia="黑体" w:cs="黑体"/>
          <w:bCs/>
          <w:color w:val="auto"/>
          <w:sz w:val="28"/>
          <w:szCs w:val="28"/>
          <w:highlight w:val="none"/>
          <w:lang w:val="zh-CN"/>
        </w:rPr>
        <w:t xml:space="preserve">★</w:t>
      </w:r>
      <w:r>
        <w:rPr>
          <w:rFonts w:hint="eastAsia" w:ascii="黑体" w:hAnsi="黑体" w:eastAsia="黑体" w:cs="黑体"/>
          <w:bCs/>
          <w:color w:val="auto"/>
          <w:sz w:val="28"/>
          <w:szCs w:val="28"/>
          <w:highlight w:val="none"/>
        </w:rPr>
        <w:t xml:space="preserve">3、相关承诺书</w:t>
      </w:r>
      <w:r>
        <w:rPr>
          <w:rFonts w:hint="eastAsia" w:ascii="黑体" w:hAnsi="黑体" w:eastAsia="黑体" w:cs="黑体"/>
          <w:b/>
          <w:bCs/>
          <w:color w:val="auto"/>
          <w:sz w:val="28"/>
          <w:szCs w:val="28"/>
          <w:highlight w:val="none"/>
        </w:rPr>
        <w:t xml:space="preserve">：</w:t>
      </w:r>
      <w:r>
        <w:rPr>
          <w:rFonts w:hint="eastAsia" w:ascii="黑体" w:hAnsi="黑体" w:eastAsia="黑体" w:cs="黑体"/>
          <w:bCs/>
          <w:color w:val="auto"/>
          <w:sz w:val="28"/>
          <w:szCs w:val="28"/>
          <w:highlight w:val="none"/>
        </w:rPr>
        <w:t xml:space="preserve">本项目需求中涉及到加</w:t>
      </w:r>
      <w:r>
        <w:rPr>
          <w:rFonts w:hint="eastAsia" w:ascii="黑体" w:hAnsi="黑体" w:eastAsia="黑体" w:cs="黑体"/>
          <w:bCs/>
          <w:color w:val="auto"/>
          <w:sz w:val="28"/>
          <w:szCs w:val="28"/>
          <w:highlight w:val="none"/>
          <w:lang w:val="zh-CN"/>
        </w:rPr>
        <w:t xml:space="preserve">★</w:t>
      </w:r>
      <w:r>
        <w:rPr>
          <w:rFonts w:hint="eastAsia" w:ascii="黑体" w:hAnsi="黑体" w:eastAsia="黑体" w:cs="黑体"/>
          <w:bCs/>
          <w:color w:val="auto"/>
          <w:sz w:val="28"/>
          <w:szCs w:val="28"/>
          <w:highlight w:val="none"/>
        </w:rPr>
        <w:t xml:space="preserve">条款的所有内容，投标单位未能在符合性条款中提交相关佐证材料或相关承诺书的</w:t>
      </w:r>
      <w:r>
        <w:rPr>
          <w:rFonts w:hint="eastAsia" w:ascii="黑体" w:hAnsi="黑体" w:eastAsia="黑体" w:cs="黑体"/>
          <w:bCs/>
          <w:color w:val="auto"/>
          <w:sz w:val="28"/>
          <w:szCs w:val="28"/>
          <w:highlight w:val="none"/>
          <w:lang w:val="zh-CN"/>
        </w:rPr>
        <w:t xml:space="preserve">（</w:t>
      </w:r>
      <w:r>
        <w:rPr>
          <w:rFonts w:hint="eastAsia" w:ascii="黑体" w:hAnsi="黑体" w:eastAsia="黑体" w:cs="黑体"/>
          <w:bCs/>
          <w:color w:val="auto"/>
          <w:sz w:val="28"/>
          <w:szCs w:val="28"/>
          <w:highlight w:val="none"/>
        </w:rPr>
        <w:t xml:space="preserve">承诺书格式自拟</w:t>
      </w:r>
      <w:r>
        <w:rPr>
          <w:rFonts w:hint="eastAsia" w:ascii="黑体" w:hAnsi="黑体" w:eastAsia="黑体" w:cs="黑体"/>
          <w:bCs/>
          <w:color w:val="auto"/>
          <w:sz w:val="28"/>
          <w:szCs w:val="28"/>
          <w:highlight w:val="none"/>
          <w:lang w:val="zh-CN"/>
        </w:rPr>
        <w:t xml:space="preserve">）</w:t>
      </w:r>
      <w:r>
        <w:rPr>
          <w:rFonts w:hint="eastAsia" w:ascii="黑体" w:hAnsi="黑体" w:eastAsia="黑体" w:cs="黑体"/>
          <w:bCs/>
          <w:color w:val="auto"/>
          <w:sz w:val="28"/>
          <w:szCs w:val="28"/>
          <w:highlight w:val="none"/>
        </w:rPr>
        <w:t xml:space="preserve">，经评标小组核实将被判为不满足招标文件实质性要求，作为无效投标处理。</w:t>
      </w:r>
      <w:r/>
    </w:p>
    <w:p>
      <w:pPr>
        <w:ind w:firstLine="281"/>
        <w:spacing w:line="360" w:lineRule="auto"/>
        <w:rPr>
          <w:rFonts w:hint="eastAsia" w:ascii="黑体" w:hAnsi="黑体" w:eastAsia="黑体" w:cs="黑体"/>
          <w:color w:val="auto"/>
          <w:highlight w:val="none"/>
        </w:rPr>
      </w:pPr>
      <w:r>
        <w:rPr>
          <w:rFonts w:hint="eastAsia" w:ascii="黑体" w:hAnsi="黑体" w:eastAsia="黑体" w:cs="黑体"/>
          <w:b/>
          <w:color w:val="auto"/>
          <w:sz w:val="24"/>
          <w:highlight w:val="none"/>
          <w:u w:val="single"/>
        </w:rPr>
        <w:t xml:space="preserve">注明：（上述1-3条款材料为符合性检查项，未提供或不符合要求均按无效处理）</w:t>
      </w:r>
      <w:r/>
    </w:p>
    <w:p>
      <w:pPr>
        <w:pStyle w:val="743"/>
        <w:ind w:left="0" w:firstLine="56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上述材料为符合性检查项，未提供或不符合要求均按无效标处理。</w:t>
      </w:r>
      <w:r/>
    </w:p>
    <w:p>
      <w:pPr>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rPr>
        <w:t xml:space="preserve">三</w:t>
      </w:r>
      <w:r>
        <w:rPr>
          <w:rFonts w:hint="eastAsia" w:ascii="黑体" w:hAnsi="黑体" w:eastAsia="黑体" w:cs="黑体"/>
          <w:bCs/>
          <w:color w:val="auto"/>
          <w:sz w:val="28"/>
          <w:szCs w:val="28"/>
          <w:highlight w:val="none"/>
          <w:lang w:val="zh-CN"/>
        </w:rPr>
        <w:t xml:space="preserve">、价格标</w:t>
      </w:r>
      <w:r/>
    </w:p>
    <w:p>
      <w:pPr>
        <w:ind w:firstLine="560"/>
        <w:spacing w:line="360" w:lineRule="auto"/>
        <w:rPr>
          <w:rFonts w:hint="eastAsia" w:ascii="黑体" w:hAnsi="黑体" w:eastAsia="黑体" w:cs="黑体"/>
          <w:color w:val="auto"/>
          <w:highlight w:val="none"/>
        </w:rPr>
      </w:pPr>
      <w:r>
        <w:rPr>
          <w:rFonts w:hint="eastAsia" w:ascii="黑体" w:hAnsi="黑体" w:eastAsia="黑体" w:cs="黑体"/>
          <w:bCs/>
          <w:color w:val="auto"/>
          <w:sz w:val="28"/>
          <w:szCs w:val="28"/>
          <w:highlight w:val="none"/>
          <w:lang w:val="zh-CN"/>
        </w:rPr>
        <w:t xml:space="preserve">1.开标一览表（格式见附件）；</w:t>
      </w:r>
      <w:r/>
    </w:p>
    <w:p>
      <w:pPr>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t xml:space="preserve">（如招标文件要求提供的价格标资料中没有对应的接口上传的资料可以在本部分的其他材料的接口中上传）</w:t>
      </w:r>
      <w:r/>
    </w:p>
    <w:p>
      <w:pPr>
        <w:contextualSpacing/>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br w:type="page" w:clear="all"/>
      </w:r>
      <w:r/>
    </w:p>
    <w:p>
      <w:pPr>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附件</w:t>
      </w:r>
      <w:r/>
    </w:p>
    <w:p>
      <w:pPr>
        <w:jc w:val="center"/>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投标人符合《中华人民共和国政府采购法》第二十二条规定条件的声明函</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p>
    <w:p>
      <w:pPr>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我单位参加</w:t>
      </w:r>
      <w:r>
        <w:rPr>
          <w:rFonts w:hint="eastAsia" w:ascii="黑体" w:hAnsi="黑体" w:eastAsia="黑体" w:cs="黑体"/>
          <w:bCs/>
          <w:color w:val="auto"/>
          <w:sz w:val="28"/>
          <w:szCs w:val="28"/>
          <w:highlight w:val="none"/>
          <w:u w:val="single"/>
        </w:rPr>
        <w:t xml:space="preserve">________________ _</w:t>
      </w:r>
      <w:r>
        <w:rPr>
          <w:rFonts w:hint="eastAsia" w:ascii="黑体" w:hAnsi="黑体" w:eastAsia="黑体" w:cs="黑体"/>
          <w:bCs/>
          <w:color w:val="auto"/>
          <w:sz w:val="28"/>
          <w:szCs w:val="28"/>
          <w:highlight w:val="none"/>
        </w:rPr>
        <w:t xml:space="preserve">（项目名称），</w:t>
      </w:r>
      <w:r>
        <w:rPr>
          <w:rFonts w:hint="eastAsia" w:ascii="黑体" w:hAnsi="黑体" w:eastAsia="黑体" w:cs="黑体"/>
          <w:bCs/>
          <w:color w:val="auto"/>
          <w:sz w:val="28"/>
          <w:szCs w:val="28"/>
          <w:highlight w:val="none"/>
          <w:u w:val="single"/>
        </w:rPr>
        <w:t xml:space="preserve">_______ __________</w:t>
      </w:r>
      <w:r>
        <w:rPr>
          <w:rFonts w:hint="eastAsia" w:ascii="黑体" w:hAnsi="黑体" w:eastAsia="黑体" w:cs="黑体"/>
          <w:bCs/>
          <w:color w:val="auto"/>
          <w:sz w:val="28"/>
          <w:szCs w:val="28"/>
          <w:highlight w:val="none"/>
        </w:rPr>
        <w:t xml:space="preserve">（项目编号）投标活动。针对《中华人民共和国政府采购法》第二十二条规定做出如下声明：</w:t>
      </w:r>
      <w:r/>
    </w:p>
    <w:p>
      <w:pPr>
        <w:ind w:firstLine="48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1.我单位具有独立承担民事责任的能力；</w:t>
      </w:r>
      <w:r/>
    </w:p>
    <w:p>
      <w:pPr>
        <w:ind w:firstLine="48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2.我单位具有良好的商业信誉和健全的财务会计制度；</w:t>
      </w:r>
      <w:r/>
    </w:p>
    <w:p>
      <w:pPr>
        <w:ind w:firstLine="48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3.我单位具有履行合同所必需的设备和专业技术能力；</w:t>
      </w:r>
      <w:r/>
    </w:p>
    <w:p>
      <w:pPr>
        <w:ind w:firstLine="48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4.我单位有依法缴纳税收和社会保障资金的良好记录；</w:t>
      </w:r>
      <w:r/>
    </w:p>
    <w:p>
      <w:pPr>
        <w:ind w:firstLine="48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我单位参加政府采购活动前三年内，在经营活动中没有重大违法记录；（1.投标单位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6.我单位满足法律、行政法规规定的其他条件。</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承诺人名称（公章）：</w:t>
      </w:r>
      <w:r/>
    </w:p>
    <w:p>
      <w:pPr>
        <w:jc w:val="righ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p>
    <w:p>
      <w:pPr>
        <w:jc w:val="righ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日期：</w:t>
      </w:r>
      <w:r>
        <w:rPr>
          <w:rFonts w:hint="eastAsia" w:ascii="黑体" w:hAnsi="黑体" w:eastAsia="黑体" w:cs="黑体"/>
          <w:bCs/>
          <w:color w:val="auto"/>
          <w:sz w:val="28"/>
          <w:szCs w:val="28"/>
          <w:highlight w:val="none"/>
          <w:u w:val="single"/>
        </w:rPr>
        <w:t xml:space="preserve">______</w:t>
      </w:r>
      <w:r>
        <w:rPr>
          <w:rFonts w:hint="eastAsia" w:ascii="黑体" w:hAnsi="黑体" w:eastAsia="黑体" w:cs="黑体"/>
          <w:bCs/>
          <w:color w:val="auto"/>
          <w:sz w:val="28"/>
          <w:szCs w:val="28"/>
          <w:highlight w:val="none"/>
        </w:rPr>
        <w:t xml:space="preserve">年</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日</w:t>
      </w:r>
      <w:r/>
    </w:p>
    <w:p>
      <w:pPr>
        <w:contextualSpacing/>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jc w:val="center"/>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r>
      <w:r/>
    </w:p>
    <w:p>
      <w:pPr>
        <w:contextualSpacing/>
        <w:jc w:val="center"/>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r>
      <w:r/>
    </w:p>
    <w:p>
      <w:pPr>
        <w:contextualSpacing/>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r>
      <w:r/>
    </w:p>
    <w:p>
      <w:pPr>
        <w:contextualSpacing/>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r>
      <w:r/>
    </w:p>
    <w:p>
      <w:pPr>
        <w:contextualSpacing/>
        <w:jc w:val="center"/>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法定代表人身份证明</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先生/女士： 现任我单位</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职务，为法定代表人，特此证明。</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身份证号码：</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联系方式：</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pStyle w:val="1041"/>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注：提供法定代表人的身份证扫描件盖公章。</w:t>
      </w:r>
      <w:r/>
    </w:p>
    <w:p>
      <w:pPr>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p>
    <w:p>
      <w:pPr>
        <w:contextualSpacing/>
        <w:ind w:firstLine="54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contextualSpacing/>
        <w:ind w:firstLine="540"/>
        <w:spacing w:line="360" w:lineRule="auto"/>
        <w:rPr>
          <w:rFonts w:hint="eastAsia" w:ascii="黑体" w:hAnsi="黑体" w:eastAsia="黑体" w:cs="黑体"/>
          <w:bCs/>
          <w:color w:val="auto"/>
          <w:sz w:val="28"/>
          <w:szCs w:val="28"/>
          <w:highlight w:val="none"/>
          <w:lang w:val="zh-CN"/>
        </w:rPr>
      </w:pPr>
      <w:r>
        <w:rPr>
          <w:rFonts w:hint="eastAsia" w:ascii="黑体" w:hAnsi="黑体" w:eastAsia="黑体" w:cs="黑体"/>
          <w:bCs/>
          <w:color w:val="auto"/>
          <w:sz w:val="28"/>
          <w:szCs w:val="28"/>
          <w:highlight w:val="none"/>
          <w:lang w:val="zh-CN"/>
        </w:rPr>
      </w:r>
      <w:r/>
    </w:p>
    <w:p>
      <w:pPr>
        <w:jc w:val="center"/>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r>
      <w:r/>
    </w:p>
    <w:p>
      <w:pPr>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r>
      <w:r/>
    </w:p>
    <w:p>
      <w:pPr>
        <w:pStyle w:val="734"/>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r>
      <w:r/>
    </w:p>
    <w:p>
      <w:pPr>
        <w:rPr>
          <w:rFonts w:hint="eastAsia"/>
        </w:rPr>
      </w:pPr>
      <w:r>
        <w:rPr>
          <w:rFonts w:hint="eastAsia"/>
        </w:rPr>
      </w:r>
      <w:r/>
    </w:p>
    <w:p>
      <w:pPr>
        <w:jc w:val="center"/>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法定代表人授权委托书</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本人 </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（姓名）系</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（授权单位名称）的法定代表人，现委托</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（姓名）（身份证号</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）为我方代理人，以我方名义全权处理与本次采购项目（编号：</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）有关的一切事务，其法律后果由我方承担。</w:t>
      </w:r>
      <w:r/>
    </w:p>
    <w:p>
      <w:pPr>
        <w:ind w:firstLine="56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本授权书于</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年</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日起生效。代理人无转委托权。</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代理人(被授权人): </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。联系方式：</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      </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授权单位名称（盖章）：</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w:t>
      </w:r>
      <w:r/>
    </w:p>
    <w:p>
      <w:pPr>
        <w:ind w:firstLine="42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授权单位法定代表人（签字或盖章）：</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w:t>
      </w:r>
      <w:r/>
    </w:p>
    <w:p>
      <w:pPr>
        <w:jc w:val="righ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righ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年</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月</w:t>
      </w:r>
      <w:r>
        <w:rPr>
          <w:rFonts w:hint="eastAsia" w:ascii="黑体" w:hAnsi="黑体" w:eastAsia="黑体" w:cs="黑体"/>
          <w:bCs/>
          <w:color w:val="auto"/>
          <w:sz w:val="28"/>
          <w:szCs w:val="28"/>
          <w:highlight w:val="none"/>
          <w:u w:val="single"/>
        </w:rPr>
        <w:t xml:space="preserve">   </w:t>
      </w:r>
      <w:r>
        <w:rPr>
          <w:rFonts w:hint="eastAsia" w:ascii="黑体" w:hAnsi="黑体" w:eastAsia="黑体" w:cs="黑体"/>
          <w:bCs/>
          <w:color w:val="auto"/>
          <w:sz w:val="28"/>
          <w:szCs w:val="28"/>
          <w:highlight w:val="none"/>
        </w:rPr>
        <w:t xml:space="preserve">日</w:t>
      </w:r>
      <w:r/>
    </w:p>
    <w:p>
      <w:pPr>
        <w:contextualSpacing/>
        <w:ind w:firstLine="54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注：提供投标代表本人身份证扫描件盖公章。</w:t>
      </w:r>
      <w:r/>
    </w:p>
    <w:p>
      <w:pPr>
        <w:contextualSpacing/>
        <w:ind w:firstLine="54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jc w:val="center"/>
        <w:spacing w:line="360" w:lineRule="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777"/>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777"/>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777"/>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777"/>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740"/>
        <w:spacing w:line="360" w:lineRule="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741"/>
        <w:spacing w:line="360" w:lineRule="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pStyle w:val="741"/>
        <w:spacing w:line="360" w:lineRule="auto"/>
        <w:rPr>
          <w:rFonts w:hint="eastAsia" w:ascii="黑体" w:hAnsi="黑体" w:eastAsia="黑体" w:cs="黑体"/>
          <w:b/>
          <w:color w:val="auto"/>
          <w:sz w:val="28"/>
          <w:szCs w:val="28"/>
          <w:highlight w:val="none"/>
          <w:lang w:val="zh-CN"/>
        </w:rPr>
      </w:pPr>
      <w:r>
        <w:rPr>
          <w:rFonts w:hint="eastAsia" w:ascii="黑体" w:hAnsi="黑体" w:eastAsia="黑体" w:cs="黑体"/>
          <w:b/>
          <w:color w:val="auto"/>
          <w:sz w:val="28"/>
          <w:szCs w:val="28"/>
          <w:highlight w:val="none"/>
          <w:lang w:val="zh-CN"/>
        </w:rPr>
      </w:r>
      <w:r/>
    </w:p>
    <w:p>
      <w:pPr>
        <w:contextualSpacing/>
        <w:jc w:val="center"/>
        <w:spacing w:line="360" w:lineRule="auto"/>
        <w:rPr>
          <w:rFonts w:hint="eastAsia" w:ascii="黑体" w:hAnsi="黑体" w:eastAsia="黑体" w:cs="黑体"/>
          <w:b/>
          <w:bCs/>
          <w:color w:val="auto"/>
          <w:sz w:val="28"/>
          <w:szCs w:val="28"/>
          <w:highlight w:val="none"/>
          <w:lang w:bidi="zh-CN"/>
        </w:rPr>
      </w:pPr>
      <w:r>
        <w:rPr>
          <w:rFonts w:hint="eastAsia" w:ascii="黑体" w:hAnsi="黑体" w:eastAsia="黑体" w:cs="黑体"/>
          <w:b/>
          <w:bCs/>
          <w:color w:val="auto"/>
          <w:sz w:val="28"/>
          <w:szCs w:val="28"/>
          <w:highlight w:val="none"/>
        </w:rPr>
        <w:t xml:space="preserve">中小企业声明函（服务）</w:t>
      </w:r>
      <w:r/>
    </w:p>
    <w:p>
      <w:pPr>
        <w:ind w:firstLine="560"/>
        <w:spacing w:line="360" w:lineRule="auto"/>
        <w:rPr>
          <w:rFonts w:hint="eastAsia" w:ascii="黑体" w:hAnsi="黑体" w:eastAsia="黑体" w:cs="黑体"/>
          <w:color w:val="auto"/>
          <w:sz w:val="28"/>
          <w:szCs w:val="28"/>
          <w:highlight w:val="none"/>
          <w:lang w:bidi="zh-CN"/>
        </w:rPr>
        <w:outlineLvl w:val="0"/>
      </w:pPr>
      <w:r>
        <w:rPr>
          <w:rFonts w:hint="eastAsia" w:ascii="黑体" w:hAnsi="黑体" w:eastAsia="黑体" w:cs="黑体"/>
          <w:color w:val="auto"/>
          <w:sz w:val="28"/>
          <w:szCs w:val="28"/>
          <w:highlight w:val="none"/>
          <w:lang w:bidi="zh-CN"/>
        </w:rPr>
        <w:t xml:space="preserve">本公司（联合体）郑重声明，根据《政府采购促进中小企业发展管理办法》（财库﹝2020﹞46 号）的规定，本公司（联合体）参加</w:t>
      </w:r>
      <w:r>
        <w:rPr>
          <w:rFonts w:hint="eastAsia" w:ascii="黑体" w:hAnsi="黑体" w:eastAsia="黑体" w:cs="黑体"/>
          <w:color w:val="auto"/>
          <w:sz w:val="28"/>
          <w:szCs w:val="28"/>
          <w:highlight w:val="none"/>
          <w:u w:val="single"/>
          <w:lang w:bidi="zh-CN"/>
        </w:rPr>
        <w:t xml:space="preserve">（单位名称）</w:t>
      </w:r>
      <w:r>
        <w:rPr>
          <w:rFonts w:hint="eastAsia" w:ascii="黑体" w:hAnsi="黑体" w:eastAsia="黑体" w:cs="黑体"/>
          <w:color w:val="auto"/>
          <w:sz w:val="28"/>
          <w:szCs w:val="28"/>
          <w:highlight w:val="none"/>
          <w:lang w:bidi="zh-CN"/>
        </w:rPr>
        <w:t xml:space="preserve">的</w:t>
      </w:r>
      <w:r>
        <w:rPr>
          <w:rFonts w:hint="eastAsia" w:ascii="黑体" w:hAnsi="黑体" w:eastAsia="黑体" w:cs="黑体"/>
          <w:color w:val="auto"/>
          <w:sz w:val="28"/>
          <w:szCs w:val="28"/>
          <w:highlight w:val="none"/>
          <w:u w:val="single"/>
          <w:lang w:bidi="zh-CN"/>
        </w:rPr>
        <w:t xml:space="preserve">（项目名称）</w:t>
      </w:r>
      <w:r>
        <w:rPr>
          <w:rFonts w:hint="eastAsia" w:ascii="黑体" w:hAnsi="黑体" w:eastAsia="黑体" w:cs="黑体"/>
          <w:color w:val="auto"/>
          <w:sz w:val="28"/>
          <w:szCs w:val="28"/>
          <w:highlight w:val="none"/>
          <w:lang w:bidi="zh-CN"/>
        </w:rPr>
        <w:t xml:space="preserve">采购活动，服务全部由符合政策要求的中小企业承接）。相关企业（含联合 体中的中小企业、签订分包意向协议的中小企业）的具体情况如下：</w:t>
      </w:r>
      <w:r/>
    </w:p>
    <w:p>
      <w:pPr>
        <w:jc w:val="left"/>
        <w:spacing w:line="360" w:lineRule="auto"/>
        <w:rPr>
          <w:rFonts w:hint="eastAsia" w:ascii="黑体" w:hAnsi="黑体" w:eastAsia="黑体" w:cs="黑体"/>
          <w:color w:val="auto"/>
          <w:sz w:val="28"/>
          <w:szCs w:val="28"/>
          <w:highlight w:val="none"/>
          <w:lang w:bidi="zh-CN"/>
        </w:rPr>
        <w:outlineLvl w:val="0"/>
      </w:pPr>
      <w:r>
        <w:rPr>
          <w:rFonts w:hint="eastAsia" w:ascii="黑体" w:hAnsi="黑体" w:eastAsia="黑体" w:cs="黑体"/>
          <w:color w:val="auto"/>
          <w:sz w:val="28"/>
          <w:szCs w:val="28"/>
          <w:highlight w:val="none"/>
          <w:lang w:bidi="zh-CN"/>
        </w:rPr>
        <w:t xml:space="preserve">1.</w:t>
      </w:r>
      <w:r>
        <w:rPr>
          <w:rFonts w:hint="eastAsia" w:ascii="黑体" w:hAnsi="黑体" w:eastAsia="黑体" w:cs="黑体"/>
          <w:color w:val="auto"/>
          <w:sz w:val="28"/>
          <w:szCs w:val="28"/>
          <w:highlight w:val="none"/>
          <w:u w:val="single"/>
          <w:lang w:bidi="zh-CN"/>
        </w:rPr>
        <w:t xml:space="preserve">（标的名称）</w:t>
      </w:r>
      <w:r>
        <w:rPr>
          <w:rFonts w:hint="eastAsia" w:ascii="黑体" w:hAnsi="黑体" w:eastAsia="黑体" w:cs="黑体"/>
          <w:color w:val="auto"/>
          <w:sz w:val="28"/>
          <w:szCs w:val="28"/>
          <w:highlight w:val="none"/>
          <w:lang w:bidi="zh-CN"/>
        </w:rPr>
        <w:t xml:space="preserve">，属于</w:t>
      </w:r>
      <w:r>
        <w:rPr>
          <w:rFonts w:hint="eastAsia" w:ascii="黑体" w:hAnsi="黑体" w:eastAsia="黑体" w:cs="黑体"/>
          <w:color w:val="auto"/>
          <w:sz w:val="28"/>
          <w:szCs w:val="28"/>
          <w:highlight w:val="none"/>
          <w:u w:val="single"/>
          <w:lang w:bidi="zh-CN"/>
        </w:rPr>
        <w:t xml:space="preserve">其他未列明行业</w:t>
      </w:r>
      <w:r>
        <w:rPr>
          <w:rFonts w:hint="eastAsia" w:ascii="黑体" w:hAnsi="黑体" w:eastAsia="黑体" w:cs="黑体"/>
          <w:color w:val="auto"/>
          <w:sz w:val="28"/>
          <w:szCs w:val="28"/>
          <w:highlight w:val="none"/>
          <w:lang w:bidi="zh-CN"/>
        </w:rPr>
        <w:t xml:space="preserve">（</w:t>
      </w:r>
      <w:r>
        <w:rPr>
          <w:rFonts w:hint="eastAsia" w:ascii="黑体" w:hAnsi="黑体" w:eastAsia="黑体" w:cs="黑体"/>
          <w:color w:val="auto"/>
          <w:sz w:val="28"/>
          <w:szCs w:val="28"/>
          <w:highlight w:val="none"/>
          <w:u w:val="single"/>
          <w:lang w:bidi="zh-CN"/>
        </w:rPr>
        <w:t xml:space="preserve">采购文件中明确的所属行业）</w:t>
      </w:r>
      <w:r>
        <w:rPr>
          <w:rFonts w:hint="eastAsia" w:ascii="黑体" w:hAnsi="黑体" w:eastAsia="黑体" w:cs="黑体"/>
          <w:color w:val="auto"/>
          <w:sz w:val="28"/>
          <w:szCs w:val="28"/>
          <w:highlight w:val="none"/>
          <w:lang w:bidi="zh-CN"/>
        </w:rPr>
        <w:t xml:space="preserve">；承建（承接）企业为</w:t>
      </w:r>
      <w:r>
        <w:rPr>
          <w:rFonts w:hint="eastAsia" w:ascii="黑体" w:hAnsi="黑体" w:eastAsia="黑体" w:cs="黑体"/>
          <w:color w:val="auto"/>
          <w:sz w:val="28"/>
          <w:szCs w:val="28"/>
          <w:highlight w:val="none"/>
          <w:u w:val="single"/>
          <w:lang w:bidi="zh-CN"/>
        </w:rPr>
        <w:t xml:space="preserve">（企业名称）</w:t>
      </w:r>
      <w:r>
        <w:rPr>
          <w:rFonts w:hint="eastAsia" w:ascii="黑体" w:hAnsi="黑体" w:eastAsia="黑体" w:cs="黑体"/>
          <w:color w:val="auto"/>
          <w:sz w:val="28"/>
          <w:szCs w:val="28"/>
          <w:highlight w:val="none"/>
          <w:lang w:bidi="zh-CN"/>
        </w:rPr>
        <w:t xml:space="preserve">，从业人员</w:t>
      </w:r>
      <w:r>
        <w:rPr>
          <w:rFonts w:hint="eastAsia" w:ascii="黑体" w:hAnsi="黑体" w:eastAsia="黑体" w:cs="黑体"/>
          <w:color w:val="auto"/>
          <w:sz w:val="28"/>
          <w:szCs w:val="28"/>
          <w:highlight w:val="none"/>
          <w:u w:val="single"/>
          <w:lang w:bidi="zh-CN"/>
        </w:rPr>
        <w:tab/>
      </w:r>
      <w:r>
        <w:rPr>
          <w:rFonts w:hint="eastAsia" w:ascii="黑体" w:hAnsi="黑体" w:eastAsia="黑体" w:cs="黑体"/>
          <w:color w:val="auto"/>
          <w:sz w:val="28"/>
          <w:szCs w:val="28"/>
          <w:highlight w:val="none"/>
          <w:lang w:bidi="zh-CN"/>
        </w:rPr>
        <w:t xml:space="preserve">人，营业收入为</w:t>
      </w:r>
      <w:r>
        <w:rPr>
          <w:rFonts w:hint="eastAsia" w:ascii="黑体" w:hAnsi="黑体" w:eastAsia="黑体" w:cs="黑体"/>
          <w:color w:val="auto"/>
          <w:sz w:val="28"/>
          <w:szCs w:val="28"/>
          <w:highlight w:val="none"/>
          <w:u w:val="single"/>
          <w:lang w:bidi="zh-CN"/>
        </w:rPr>
        <w:tab/>
      </w:r>
      <w:r>
        <w:rPr>
          <w:rFonts w:hint="eastAsia" w:ascii="黑体" w:hAnsi="黑体" w:eastAsia="黑体" w:cs="黑体"/>
          <w:color w:val="auto"/>
          <w:sz w:val="28"/>
          <w:szCs w:val="28"/>
          <w:highlight w:val="none"/>
          <w:lang w:bidi="zh-CN"/>
        </w:rPr>
        <w:t xml:space="preserve">万元，资产总额为</w:t>
      </w:r>
      <w:r>
        <w:rPr>
          <w:rFonts w:hint="eastAsia" w:ascii="黑体" w:hAnsi="黑体" w:eastAsia="黑体" w:cs="黑体"/>
          <w:color w:val="auto"/>
          <w:sz w:val="28"/>
          <w:szCs w:val="28"/>
          <w:highlight w:val="none"/>
          <w:u w:val="single"/>
          <w:lang w:bidi="zh-CN"/>
        </w:rPr>
        <w:tab/>
      </w:r>
      <w:r>
        <w:rPr>
          <w:rFonts w:hint="eastAsia" w:ascii="黑体" w:hAnsi="黑体" w:eastAsia="黑体" w:cs="黑体"/>
          <w:color w:val="auto"/>
          <w:sz w:val="28"/>
          <w:szCs w:val="28"/>
          <w:highlight w:val="none"/>
          <w:lang w:bidi="zh-CN"/>
        </w:rPr>
        <w:t xml:space="preserve">万元，属于</w:t>
      </w:r>
      <w:r>
        <w:rPr>
          <w:rFonts w:hint="eastAsia" w:ascii="黑体" w:hAnsi="黑体" w:eastAsia="黑体" w:cs="黑体"/>
          <w:color w:val="auto"/>
          <w:sz w:val="28"/>
          <w:szCs w:val="28"/>
          <w:highlight w:val="none"/>
          <w:u w:val="single"/>
          <w:lang w:bidi="zh-CN"/>
        </w:rPr>
        <w:t xml:space="preserve">（□中型企业 □小型企业 □微型企业）</w:t>
      </w:r>
      <w:r>
        <w:rPr>
          <w:rFonts w:hint="eastAsia" w:ascii="黑体" w:hAnsi="黑体" w:eastAsia="黑体" w:cs="黑体"/>
          <w:color w:val="auto"/>
          <w:sz w:val="28"/>
          <w:szCs w:val="28"/>
          <w:highlight w:val="none"/>
          <w:lang w:bidi="zh-CN"/>
        </w:rPr>
        <w:t xml:space="preserve">；</w:t>
      </w:r>
      <w:r/>
    </w:p>
    <w:p>
      <w:pPr>
        <w:jc w:val="left"/>
        <w:spacing w:line="360" w:lineRule="auto"/>
        <w:rPr>
          <w:rFonts w:hint="eastAsia" w:ascii="黑体" w:hAnsi="黑体" w:eastAsia="黑体" w:cs="黑体"/>
          <w:color w:val="auto"/>
          <w:sz w:val="28"/>
          <w:szCs w:val="28"/>
          <w:highlight w:val="none"/>
          <w:lang w:bidi="zh-CN"/>
        </w:rPr>
        <w:outlineLvl w:val="0"/>
      </w:pPr>
      <w:r>
        <w:rPr>
          <w:rFonts w:hint="eastAsia" w:ascii="黑体" w:hAnsi="黑体" w:eastAsia="黑体" w:cs="黑体"/>
          <w:color w:val="auto"/>
          <w:sz w:val="28"/>
          <w:szCs w:val="28"/>
          <w:highlight w:val="none"/>
          <w:lang w:bidi="zh-CN"/>
        </w:rPr>
        <w:t xml:space="preserve">2.</w:t>
      </w:r>
      <w:r>
        <w:rPr>
          <w:rFonts w:hint="eastAsia" w:ascii="黑体" w:hAnsi="黑体" w:eastAsia="黑体" w:cs="黑体"/>
          <w:color w:val="auto"/>
          <w:sz w:val="28"/>
          <w:szCs w:val="28"/>
          <w:highlight w:val="none"/>
          <w:u w:val="single"/>
          <w:lang w:bidi="zh-CN"/>
        </w:rPr>
        <w:t xml:space="preserve">（标的名称）</w:t>
      </w:r>
      <w:r>
        <w:rPr>
          <w:rFonts w:hint="eastAsia" w:ascii="黑体" w:hAnsi="黑体" w:eastAsia="黑体" w:cs="黑体"/>
          <w:color w:val="auto"/>
          <w:sz w:val="28"/>
          <w:szCs w:val="28"/>
          <w:highlight w:val="none"/>
          <w:lang w:bidi="zh-CN"/>
        </w:rPr>
        <w:t xml:space="preserve">，属于</w:t>
      </w:r>
      <w:r>
        <w:rPr>
          <w:rFonts w:hint="eastAsia" w:ascii="黑体" w:hAnsi="黑体" w:eastAsia="黑体" w:cs="黑体"/>
          <w:color w:val="auto"/>
          <w:sz w:val="28"/>
          <w:szCs w:val="28"/>
          <w:highlight w:val="none"/>
          <w:u w:val="single"/>
          <w:lang w:bidi="zh-CN"/>
        </w:rPr>
        <w:t xml:space="preserve">其他未列明行业</w:t>
      </w:r>
      <w:r>
        <w:rPr>
          <w:rFonts w:hint="eastAsia" w:ascii="黑体" w:hAnsi="黑体" w:eastAsia="黑体" w:cs="黑体"/>
          <w:color w:val="auto"/>
          <w:sz w:val="28"/>
          <w:szCs w:val="28"/>
          <w:highlight w:val="none"/>
          <w:lang w:bidi="zh-CN"/>
        </w:rPr>
        <w:t xml:space="preserve">（</w:t>
      </w:r>
      <w:r>
        <w:rPr>
          <w:rFonts w:hint="eastAsia" w:ascii="黑体" w:hAnsi="黑体" w:eastAsia="黑体" w:cs="黑体"/>
          <w:color w:val="auto"/>
          <w:sz w:val="28"/>
          <w:szCs w:val="28"/>
          <w:highlight w:val="none"/>
          <w:u w:val="single"/>
          <w:lang w:bidi="zh-CN"/>
        </w:rPr>
        <w:t xml:space="preserve">采购文件中明确的所属行业）</w:t>
      </w:r>
      <w:r>
        <w:rPr>
          <w:rFonts w:hint="eastAsia" w:ascii="黑体" w:hAnsi="黑体" w:eastAsia="黑体" w:cs="黑体"/>
          <w:color w:val="auto"/>
          <w:sz w:val="28"/>
          <w:szCs w:val="28"/>
          <w:highlight w:val="none"/>
          <w:lang w:bidi="zh-CN"/>
        </w:rPr>
        <w:t xml:space="preserve">；承建（承接）企业为</w:t>
      </w:r>
      <w:r>
        <w:rPr>
          <w:rFonts w:hint="eastAsia" w:ascii="黑体" w:hAnsi="黑体" w:eastAsia="黑体" w:cs="黑体"/>
          <w:color w:val="auto"/>
          <w:sz w:val="28"/>
          <w:szCs w:val="28"/>
          <w:highlight w:val="none"/>
          <w:u w:val="single"/>
          <w:lang w:bidi="zh-CN"/>
        </w:rPr>
        <w:t xml:space="preserve">（企业名称）</w:t>
      </w:r>
      <w:r>
        <w:rPr>
          <w:rFonts w:hint="eastAsia" w:ascii="黑体" w:hAnsi="黑体" w:eastAsia="黑体" w:cs="黑体"/>
          <w:color w:val="auto"/>
          <w:sz w:val="28"/>
          <w:szCs w:val="28"/>
          <w:highlight w:val="none"/>
          <w:lang w:bidi="zh-CN"/>
        </w:rPr>
        <w:t xml:space="preserve">，从业人员</w:t>
      </w:r>
      <w:r>
        <w:rPr>
          <w:rFonts w:hint="eastAsia" w:ascii="黑体" w:hAnsi="黑体" w:eastAsia="黑体" w:cs="黑体"/>
          <w:color w:val="auto"/>
          <w:sz w:val="28"/>
          <w:szCs w:val="28"/>
          <w:highlight w:val="none"/>
          <w:u w:val="single"/>
          <w:lang w:bidi="zh-CN"/>
        </w:rPr>
        <w:tab/>
      </w:r>
      <w:r>
        <w:rPr>
          <w:rFonts w:hint="eastAsia" w:ascii="黑体" w:hAnsi="黑体" w:eastAsia="黑体" w:cs="黑体"/>
          <w:color w:val="auto"/>
          <w:sz w:val="28"/>
          <w:szCs w:val="28"/>
          <w:highlight w:val="none"/>
          <w:lang w:bidi="zh-CN"/>
        </w:rPr>
        <w:t xml:space="preserve">人，营业收入为</w:t>
      </w:r>
      <w:r>
        <w:rPr>
          <w:rFonts w:hint="eastAsia" w:ascii="黑体" w:hAnsi="黑体" w:eastAsia="黑体" w:cs="黑体"/>
          <w:color w:val="auto"/>
          <w:sz w:val="28"/>
          <w:szCs w:val="28"/>
          <w:highlight w:val="none"/>
          <w:u w:val="single"/>
          <w:lang w:bidi="zh-CN"/>
        </w:rPr>
        <w:tab/>
      </w:r>
      <w:r>
        <w:rPr>
          <w:rFonts w:hint="eastAsia" w:ascii="黑体" w:hAnsi="黑体" w:eastAsia="黑体" w:cs="黑体"/>
          <w:color w:val="auto"/>
          <w:sz w:val="28"/>
          <w:szCs w:val="28"/>
          <w:highlight w:val="none"/>
          <w:lang w:bidi="zh-CN"/>
        </w:rPr>
        <w:t xml:space="preserve">万元，资产总额为</w:t>
      </w:r>
      <w:r>
        <w:rPr>
          <w:rFonts w:hint="eastAsia" w:ascii="黑体" w:hAnsi="黑体" w:eastAsia="黑体" w:cs="黑体"/>
          <w:color w:val="auto"/>
          <w:sz w:val="28"/>
          <w:szCs w:val="28"/>
          <w:highlight w:val="none"/>
          <w:u w:val="single"/>
          <w:lang w:bidi="zh-CN"/>
        </w:rPr>
        <w:tab/>
      </w:r>
      <w:r>
        <w:rPr>
          <w:rFonts w:hint="eastAsia" w:ascii="黑体" w:hAnsi="黑体" w:eastAsia="黑体" w:cs="黑体"/>
          <w:color w:val="auto"/>
          <w:sz w:val="28"/>
          <w:szCs w:val="28"/>
          <w:highlight w:val="none"/>
          <w:lang w:bidi="zh-CN"/>
        </w:rPr>
        <w:t xml:space="preserve">万元，属于 </w:t>
      </w:r>
      <w:r>
        <w:rPr>
          <w:rFonts w:hint="eastAsia" w:ascii="黑体" w:hAnsi="黑体" w:eastAsia="黑体" w:cs="黑体"/>
          <w:color w:val="auto"/>
          <w:sz w:val="28"/>
          <w:szCs w:val="28"/>
          <w:highlight w:val="none"/>
          <w:u w:val="single"/>
          <w:lang w:bidi="zh-CN"/>
        </w:rPr>
        <w:t xml:space="preserve">（□中型企业 □小型企业 □微型企业）</w:t>
      </w:r>
      <w:r>
        <w:rPr>
          <w:rFonts w:hint="eastAsia" w:ascii="黑体" w:hAnsi="黑体" w:eastAsia="黑体" w:cs="黑体"/>
          <w:color w:val="auto"/>
          <w:sz w:val="28"/>
          <w:szCs w:val="28"/>
          <w:highlight w:val="none"/>
          <w:lang w:bidi="zh-CN"/>
        </w:rPr>
        <w:t xml:space="preserve">；</w:t>
      </w:r>
      <w:r/>
    </w:p>
    <w:p>
      <w:pPr>
        <w:jc w:val="left"/>
        <w:spacing w:line="360" w:lineRule="auto"/>
        <w:rPr>
          <w:rFonts w:hint="eastAsia" w:ascii="黑体" w:hAnsi="黑体" w:eastAsia="黑体" w:cs="黑体"/>
          <w:color w:val="auto"/>
          <w:sz w:val="28"/>
          <w:szCs w:val="28"/>
          <w:highlight w:val="none"/>
          <w:lang w:bidi="zh-CN"/>
        </w:rPr>
        <w:outlineLvl w:val="0"/>
      </w:pPr>
      <w:r>
        <w:rPr>
          <w:rFonts w:hint="eastAsia" w:ascii="黑体" w:hAnsi="黑体" w:eastAsia="黑体" w:cs="黑体"/>
          <w:color w:val="auto"/>
          <w:sz w:val="28"/>
          <w:szCs w:val="28"/>
          <w:highlight w:val="none"/>
          <w:lang w:bidi="zh-CN"/>
        </w:rPr>
        <w:t xml:space="preserve">……</w:t>
      </w:r>
      <w:r/>
    </w:p>
    <w:p>
      <w:pPr>
        <w:ind w:firstLine="560"/>
        <w:spacing w:line="360" w:lineRule="auto"/>
        <w:rPr>
          <w:rFonts w:hint="eastAsia" w:ascii="黑体" w:hAnsi="黑体" w:eastAsia="黑体" w:cs="黑体"/>
          <w:color w:val="auto"/>
          <w:sz w:val="28"/>
          <w:szCs w:val="28"/>
          <w:highlight w:val="none"/>
          <w:lang w:bidi="zh-CN"/>
        </w:rPr>
        <w:outlineLvl w:val="0"/>
      </w:pPr>
      <w:r>
        <w:rPr>
          <w:rFonts w:hint="eastAsia" w:ascii="黑体" w:hAnsi="黑体" w:eastAsia="黑体" w:cs="黑体"/>
          <w:color w:val="auto"/>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黑体" w:hAnsi="黑体" w:eastAsia="黑体" w:cs="黑体"/>
          <w:color w:val="auto"/>
          <w:sz w:val="28"/>
          <w:szCs w:val="28"/>
          <w:highlight w:val="none"/>
          <w:lang w:bidi="zh-CN"/>
        </w:rPr>
        <w:outlineLvl w:val="0"/>
      </w:pPr>
      <w:r>
        <w:rPr>
          <w:rFonts w:hint="eastAsia" w:ascii="黑体" w:hAnsi="黑体" w:eastAsia="黑体" w:cs="黑体"/>
          <w:color w:val="auto"/>
          <w:sz w:val="28"/>
          <w:szCs w:val="28"/>
          <w:highlight w:val="none"/>
          <w:lang w:bidi="zh-CN"/>
        </w:rPr>
        <w:t xml:space="preserve">本企业对上述声明内容的真实性负责。如有虚假，将依法承担相应责任。</w:t>
      </w:r>
      <w:r/>
    </w:p>
    <w:p>
      <w:pPr>
        <w:spacing w:line="360" w:lineRule="auto"/>
        <w:rPr>
          <w:rFonts w:hint="eastAsia" w:ascii="黑体" w:hAnsi="黑体" w:eastAsia="黑体" w:cs="黑体"/>
          <w:color w:val="auto"/>
          <w:sz w:val="28"/>
          <w:szCs w:val="28"/>
          <w:highlight w:val="none"/>
          <w:lang w:bidi="zh-CN"/>
        </w:rPr>
        <w:outlineLvl w:val="0"/>
      </w:pPr>
      <w:r>
        <w:rPr>
          <w:rFonts w:hint="eastAsia" w:ascii="黑体" w:hAnsi="黑体" w:eastAsia="黑体" w:cs="黑体"/>
          <w:color w:val="auto"/>
          <w:sz w:val="28"/>
          <w:szCs w:val="28"/>
          <w:highlight w:val="none"/>
          <w:lang w:bidi="zh-CN"/>
        </w:rPr>
      </w:r>
      <w:r/>
    </w:p>
    <w:p>
      <w:pPr>
        <w:ind w:firstLine="4900"/>
        <w:spacing w:line="360" w:lineRule="auto"/>
        <w:rPr>
          <w:rFonts w:hint="eastAsia" w:ascii="黑体" w:hAnsi="黑体" w:eastAsia="黑体" w:cs="黑体"/>
          <w:color w:val="auto"/>
          <w:sz w:val="28"/>
          <w:szCs w:val="28"/>
          <w:highlight w:val="none"/>
          <w:lang w:bidi="zh-CN"/>
        </w:rPr>
        <w:outlineLvl w:val="0"/>
      </w:pPr>
      <w:r>
        <w:rPr>
          <w:rFonts w:hint="eastAsia" w:ascii="黑体" w:hAnsi="黑体" w:eastAsia="黑体" w:cs="黑体"/>
          <w:color w:val="auto"/>
          <w:sz w:val="28"/>
          <w:szCs w:val="28"/>
          <w:highlight w:val="none"/>
          <w:lang w:bidi="zh-CN"/>
        </w:rPr>
        <w:t xml:space="preserve">企业名称（盖章）：</w:t>
      </w:r>
      <w:r/>
    </w:p>
    <w:p>
      <w:pPr>
        <w:ind w:firstLine="4900"/>
        <w:spacing w:line="360" w:lineRule="auto"/>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lang w:bidi="zh-CN"/>
        </w:rPr>
        <w:t xml:space="preserve">日期：</w:t>
      </w:r>
      <w:r/>
    </w:p>
    <w:p>
      <w:pPr>
        <w:ind w:firstLine="480"/>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备注：</w:t>
      </w:r>
      <w:r/>
    </w:p>
    <w:p>
      <w:pPr>
        <w:ind w:firstLine="480"/>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1.从业人员、营业收入、资产总额填报上一年度数据，无上一年度数据的新成立企业可不填报。</w:t>
      </w:r>
      <w:r/>
    </w:p>
    <w:p>
      <w:pPr>
        <w:ind w:firstLine="482"/>
        <w:spacing w:line="360" w:lineRule="auto"/>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2.专门面向中小微型企业采购的项目，投标单位如不提供此声明函，则不能通过资格审查；非专门面向中小微型企业采购的项目，小微企业投标单位如不提供此声明函，价格将不做相应扣除。</w:t>
      </w:r>
      <w:r/>
    </w:p>
    <w:p>
      <w:pPr>
        <w:ind w:firstLine="480"/>
        <w:spacing w:line="360" w:lineRule="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3.投标单位自行勾选承接企业的企业规模类型。</w:t>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br w:type="page" w:clear="all"/>
      </w:r>
      <w:r/>
    </w:p>
    <w:p>
      <w:pPr>
        <w:ind w:firstLine="1405"/>
        <w:jc w:val="center"/>
        <w:spacing w:line="360" w:lineRule="auto"/>
        <w:rPr>
          <w:rFonts w:hint="eastAsia"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残疾人福利性单位声明函</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本单位对上述声明的真实性负责。如有虚假，将依法承担相应责任。</w:t>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注：1.投标单位如不提供此声明函，价格将不做相应扣除。 </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中标单位为残疾人福利单位的，此声明函将随成交结果同时公告，接受社会监督。投标单位按照本办法规定提供声明函内容不实的，属于提供虚假材料谋取中标、成交，依照《中华人民共和国政府采购法》等国家有关规定追究相应责任。</w:t>
      </w:r>
      <w:r/>
    </w:p>
    <w:p>
      <w:pPr>
        <w:ind w:firstLine="584"/>
        <w:spacing w:line="360" w:lineRule="auto"/>
        <w:rPr>
          <w:rFonts w:hint="eastAsia"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r>
      <w:r/>
    </w:p>
    <w:p>
      <w:pPr>
        <w:spacing w:line="360" w:lineRule="auto"/>
        <w:rPr>
          <w:rFonts w:hint="eastAsia" w:ascii="黑体" w:hAnsi="黑体" w:eastAsia="黑体" w:cs="黑体"/>
          <w:color w:val="auto"/>
          <w:spacing w:val="6"/>
          <w:sz w:val="28"/>
          <w:szCs w:val="28"/>
          <w:highlight w:val="none"/>
        </w:rPr>
      </w:pPr>
      <w:r>
        <w:rPr>
          <w:rFonts w:hint="eastAsia" w:ascii="黑体" w:hAnsi="黑体" w:eastAsia="黑体" w:cs="黑体"/>
          <w:color w:val="auto"/>
          <w:spacing w:val="6"/>
          <w:sz w:val="28"/>
          <w:szCs w:val="28"/>
          <w:highlight w:val="none"/>
        </w:rPr>
      </w:r>
      <w:r/>
    </w:p>
    <w:p>
      <w:pPr>
        <w:ind w:right="1560" w:firstLine="584"/>
        <w:jc w:val="center"/>
        <w:spacing w:line="360" w:lineRule="auto"/>
        <w:tabs>
          <w:tab w:val="left" w:pos="4860" w:leader="none"/>
        </w:tabs>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           投标单位全称（盖章）：</w:t>
      </w:r>
      <w:r/>
    </w:p>
    <w:p>
      <w:pPr>
        <w:ind w:right="1560" w:firstLine="560"/>
        <w:jc w:val="center"/>
        <w:spacing w:line="360" w:lineRule="auto"/>
        <w:tabs>
          <w:tab w:val="left" w:pos="4860" w:leader="none"/>
        </w:tabs>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              日  期：</w:t>
      </w:r>
      <w:r/>
    </w:p>
    <w:p>
      <w:pPr>
        <w:ind w:firstLine="42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br w:type="page" w:clear="all"/>
      </w:r>
      <w:r/>
    </w:p>
    <w:p>
      <w:pPr>
        <w:ind w:firstLine="1400"/>
        <w:jc w:val="cente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监狱和戒毒企业证明材料</w:t>
      </w:r>
      <w:r/>
    </w:p>
    <w:p>
      <w:pPr>
        <w:ind w:firstLine="5720"/>
        <w:spacing w:line="360" w:lineRule="auto"/>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（格式自拟）</w:t>
      </w:r>
      <w:r/>
    </w:p>
    <w:p>
      <w:pPr>
        <w:ind w:firstLine="495"/>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ind w:firstLine="6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投标单位属于监狱企业的证明文件。</w:t>
      </w:r>
      <w:r/>
    </w:p>
    <w:p>
      <w:pPr>
        <w:spacing w:line="360" w:lineRule="auto"/>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注：1.投标单位如不提供此声明函，价格将不做相应扣除。 </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中标单位为监狱企业的，此声明函将随成交结果同时公告，接受社会监督。投标单位按照本办法规定提供声明函内容不实的，属于提供虚假材料谋取中标、成交，依照《中华人民共和国政府采购法》等国家有关规定追究相应责任。</w:t>
      </w:r>
      <w:r/>
    </w:p>
    <w:p>
      <w:pPr>
        <w:spacing w:line="360" w:lineRule="auto"/>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r>
      <w:r/>
    </w:p>
    <w:p>
      <w:pPr>
        <w:spacing w:line="360" w:lineRule="auto"/>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r>
      <w:r/>
    </w:p>
    <w:p>
      <w:pPr>
        <w:spacing w:line="360" w:lineRule="auto"/>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r>
      <w:r/>
    </w:p>
    <w:p>
      <w:pPr>
        <w:spacing w:line="360" w:lineRule="auto"/>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r>
      <w:r/>
    </w:p>
    <w:p>
      <w:pPr>
        <w:spacing w:line="360" w:lineRule="auto"/>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r>
      <w:r/>
    </w:p>
    <w:p>
      <w:pPr>
        <w:spacing w:line="360" w:lineRule="auto"/>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r>
      <w:r/>
    </w:p>
    <w:p>
      <w:pPr>
        <w:spacing w:line="360" w:lineRule="auto"/>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r>
      <w:r/>
    </w:p>
    <w:p>
      <w:pPr>
        <w:spacing w:line="360" w:lineRule="auto"/>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r>
      <w:r/>
    </w:p>
    <w:p>
      <w:pPr>
        <w:spacing w:line="360" w:lineRule="auto"/>
        <w:rPr>
          <w:rFonts w:hint="eastAsia" w:ascii="黑体" w:hAnsi="黑体" w:eastAsia="黑体" w:cs="黑体"/>
          <w:color w:val="auto"/>
          <w:sz w:val="28"/>
          <w:szCs w:val="28"/>
          <w:highlight w:val="none"/>
        </w:rPr>
        <w:outlineLvl w:val="0"/>
      </w:pPr>
      <w:r>
        <w:rPr>
          <w:rFonts w:hint="eastAsia" w:ascii="黑体" w:hAnsi="黑体" w:eastAsia="黑体" w:cs="黑体"/>
          <w:color w:val="auto"/>
          <w:sz w:val="28"/>
          <w:szCs w:val="28"/>
          <w:highlight w:val="none"/>
        </w:rPr>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br w:type="page" w:clear="all"/>
      </w:r>
      <w:r/>
    </w:p>
    <w:p>
      <w:pPr>
        <w:jc w:val="center"/>
        <w:spacing w:before="240" w:line="360" w:lineRule="auto"/>
        <w:rPr>
          <w:rFonts w:hint="eastAsia" w:ascii="黑体" w:hAnsi="黑体" w:eastAsia="黑体" w:cs="黑体"/>
          <w:b/>
          <w:color w:val="auto"/>
          <w:sz w:val="30"/>
          <w:szCs w:val="30"/>
          <w:highlight w:val="none"/>
          <w:lang w:bidi="ar"/>
        </w:rPr>
      </w:pPr>
      <w:r>
        <w:rPr>
          <w:rFonts w:hint="eastAsia" w:ascii="黑体" w:hAnsi="黑体" w:eastAsia="黑体" w:cs="黑体"/>
          <w:b/>
          <w:color w:val="auto"/>
          <w:sz w:val="30"/>
          <w:szCs w:val="30"/>
          <w:highlight w:val="none"/>
          <w:lang w:bidi="ar"/>
        </w:rPr>
        <w:t xml:space="preserve">投标单位信用承诺书</w:t>
      </w:r>
      <w:r/>
    </w:p>
    <w:p>
      <w:pPr>
        <w:ind w:firstLine="482"/>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为营造公开、公平、公正的公共资源交易环境，树立诚信守法的投标人形象，本人代表本单位作出以下承诺：</w:t>
      </w:r>
      <w:r/>
    </w:p>
    <w:p>
      <w:pPr>
        <w:ind w:firstLine="482"/>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2"/>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二、严格依照国家和省、市、县关于政府采购等方面的法律、法规、规章、规范性文件，参加公共资源交易招标投标活动；积极履行社会责任，促进廉政建设；</w:t>
      </w:r>
      <w:r/>
    </w:p>
    <w:p>
      <w:pPr>
        <w:ind w:firstLine="482"/>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三、严格遵守即时信息公示规定，及时更新公共资源交易中心主体信息库中信息；</w:t>
      </w:r>
      <w:r/>
    </w:p>
    <w:p>
      <w:pPr>
        <w:ind w:firstLine="482"/>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482"/>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2"/>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六、自觉接受政府部门、行业组织、社会公众、新闻舆论等监督；</w:t>
      </w:r>
      <w:r/>
    </w:p>
    <w:p>
      <w:pPr>
        <w:ind w:firstLine="482"/>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七、上述承诺已向本单位员工作了宣传教育；</w:t>
      </w:r>
      <w:r/>
    </w:p>
    <w:p>
      <w:pPr>
        <w:ind w:firstLine="482"/>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如有违反上述承诺的不良行为，本单位同意将其予以上网公示。</w:t>
      </w:r>
      <w:r/>
    </w:p>
    <w:p>
      <w:pPr>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r>
      <w:r/>
    </w:p>
    <w:p>
      <w:pPr>
        <w:ind w:firstLine="4555"/>
        <w:jc w:val="left"/>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投标投标单位全称(盖公章)：</w:t>
      </w:r>
      <w:r/>
    </w:p>
    <w:p>
      <w:pPr>
        <w:ind w:firstLine="4555"/>
        <w:jc w:val="left"/>
        <w:spacing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28"/>
          <w:szCs w:val="28"/>
          <w:highlight w:val="none"/>
          <w:lang w:val="zh-CN"/>
        </w:rPr>
        <w:t xml:space="preserve">法定代表人（签字或盖章）：</w:t>
      </w:r>
      <w:r/>
    </w:p>
    <w:p>
      <w:pPr>
        <w:ind w:firstLine="4555"/>
        <w:jc w:val="left"/>
        <w:spacing w:line="360" w:lineRule="auto"/>
        <w:rPr>
          <w:rFonts w:hint="eastAsia" w:ascii="黑体" w:hAnsi="黑体" w:eastAsia="黑体" w:cs="黑体"/>
          <w:b/>
          <w:color w:val="auto"/>
          <w:sz w:val="28"/>
          <w:szCs w:val="28"/>
          <w:highlight w:val="none"/>
          <w:lang w:val="zh-CN"/>
        </w:rPr>
      </w:pPr>
      <w:r>
        <w:rPr>
          <w:rFonts w:hint="eastAsia" w:ascii="黑体" w:hAnsi="黑体" w:eastAsia="黑体" w:cs="黑体"/>
          <w:color w:val="auto"/>
          <w:sz w:val="28"/>
          <w:szCs w:val="28"/>
          <w:highlight w:val="none"/>
          <w:lang w:val="zh-CN"/>
        </w:rPr>
        <w:t xml:space="preserve">时间：  年  月   日</w:t>
      </w:r>
      <w:r/>
    </w:p>
    <w:p>
      <w:pPr>
        <w:contextualSpacing/>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28"/>
          <w:szCs w:val="28"/>
          <w:highlight w:val="none"/>
        </w:rPr>
        <w:t xml:space="preserve">商务部分正负偏离表</w:t>
      </w:r>
      <w:r/>
    </w:p>
    <w:p>
      <w:pPr>
        <w:ind w:firstLine="560"/>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（由投标人据实填写，表格不够自行添加）</w:t>
      </w:r>
      <w:r/>
    </w:p>
    <w:tbl>
      <w:tblPr>
        <w:tblStyle w:val="733"/>
        <w:tblW w:w="5000" w:type="pct"/>
        <w:tblInd w:w="-3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81"/>
        <w:gridCol w:w="2481"/>
        <w:gridCol w:w="2166"/>
        <w:gridCol w:w="2795"/>
        <w:gridCol w:w="1539"/>
      </w:tblGrid>
      <w:tr>
        <w:trPr>
          <w:trHeight w:val="994"/>
        </w:trPr>
        <w:tc>
          <w:tcPr>
            <w:tcW w:w="460" w:type="dxa"/>
            <w:vAlign w:val="center"/>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序号</w:t>
            </w:r>
            <w:r/>
          </w:p>
        </w:tc>
        <w:tc>
          <w:tcPr>
            <w:tcW w:w="1254" w:type="dxa"/>
            <w:vAlign w:val="center"/>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货物或服务名称</w:t>
            </w:r>
            <w:r/>
          </w:p>
        </w:tc>
        <w:tc>
          <w:tcPr>
            <w:tcW w:w="1095" w:type="dxa"/>
            <w:vAlign w:val="center"/>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招标文件要求的商务条款</w:t>
            </w:r>
            <w:r/>
          </w:p>
        </w:tc>
        <w:tc>
          <w:tcPr>
            <w:tcW w:w="1413" w:type="dxa"/>
            <w:vAlign w:val="center"/>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投标文件响应情况</w:t>
            </w:r>
            <w:r/>
          </w:p>
        </w:tc>
        <w:tc>
          <w:tcPr>
            <w:tcW w:w="778" w:type="dxa"/>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偏离说明</w:t>
            </w:r>
            <w:r/>
          </w:p>
        </w:tc>
      </w:tr>
      <w:tr>
        <w:trPr>
          <w:trHeight w:val="414"/>
        </w:trPr>
        <w:tc>
          <w:tcPr>
            <w:tcW w:w="460" w:type="dxa"/>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w:t>
            </w:r>
            <w:r/>
          </w:p>
        </w:tc>
        <w:tc>
          <w:tcPr>
            <w:tcW w:w="1254"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r>
        <w:trPr>
          <w:trHeight w:val="548"/>
        </w:trPr>
        <w:tc>
          <w:tcPr>
            <w:tcW w:w="460" w:type="dxa"/>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w:t>
            </w:r>
            <w:r/>
          </w:p>
        </w:tc>
        <w:tc>
          <w:tcPr>
            <w:tcW w:w="1254"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r>
        <w:trPr>
          <w:trHeight w:val="400"/>
        </w:trPr>
        <w:tc>
          <w:tcPr>
            <w:tcW w:w="460" w:type="dxa"/>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w:t>
            </w:r>
            <w:r/>
          </w:p>
        </w:tc>
        <w:tc>
          <w:tcPr>
            <w:tcW w:w="1254"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r>
        <w:trPr>
          <w:trHeight w:val="419"/>
        </w:trPr>
        <w:tc>
          <w:tcPr>
            <w:tcW w:w="460" w:type="dxa"/>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w:t>
            </w:r>
            <w:r/>
          </w:p>
        </w:tc>
        <w:tc>
          <w:tcPr>
            <w:tcW w:w="1254"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bl>
    <w:p>
      <w:pPr>
        <w:contextualSpacing/>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w:t>
      </w:r>
      <w:r/>
    </w:p>
    <w:p>
      <w:pPr>
        <w:contextualSpacing/>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1.投标人提交的投标文件中与招标文件第三部分“项目需求”中的商务部分的要求，应逐条填列在偏离表中。</w:t>
      </w:r>
      <w:r/>
    </w:p>
    <w:p>
      <w:pPr>
        <w:contextualSpacing/>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2.“偏离说明”一栏选择“正偏离”、“无偏离”、“负偏离”进行填写。正偏离、无偏离的确认和负偏离的是否响应招标文件，由评委认定。</w:t>
      </w:r>
      <w:r/>
    </w:p>
    <w:p>
      <w:pPr>
        <w:contextualSpacing/>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3.投标人如果虚假响应，将被暂停参加采购人组织的政府采购活动。</w:t>
      </w:r>
      <w:r/>
    </w:p>
    <w:p>
      <w:pPr>
        <w:contextualSpacing/>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4.投标单位若提供其他增值服务，可以在表中自行据实填写。</w:t>
      </w:r>
      <w:r/>
    </w:p>
    <w:p>
      <w:pPr>
        <w:contextualSpacing/>
        <w:ind w:firstLine="54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41"/>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41"/>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41"/>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41"/>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41"/>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41"/>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41"/>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741"/>
        <w:spacing w:line="360" w:lineRule="auto"/>
        <w:rPr>
          <w:rFonts w:hint="eastAsia" w:ascii="黑体" w:hAnsi="黑体" w:eastAsia="黑体" w:cs="黑体"/>
          <w:bCs/>
          <w:color w:val="auto"/>
          <w:sz w:val="28"/>
          <w:szCs w:val="28"/>
          <w:highlight w:val="none"/>
        </w:rPr>
      </w:pPr>
      <w:r/>
      <w:bookmarkStart w:id="108" w:name="_GoBack"/>
      <w:r/>
      <w:bookmarkEnd w:id="108"/>
      <w:r/>
      <w:r/>
    </w:p>
    <w:p>
      <w:pPr>
        <w:contextualSpacing/>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
          <w:color w:val="auto"/>
          <w:sz w:val="28"/>
          <w:szCs w:val="28"/>
          <w:highlight w:val="none"/>
          <w:lang w:val="zh-CN"/>
        </w:rPr>
        <w:t xml:space="preserve">★</w:t>
      </w:r>
      <w:r>
        <w:rPr>
          <w:rFonts w:hint="eastAsia" w:ascii="黑体" w:hAnsi="黑体" w:eastAsia="黑体" w:cs="黑体"/>
          <w:bCs/>
          <w:color w:val="auto"/>
          <w:sz w:val="28"/>
          <w:szCs w:val="28"/>
          <w:highlight w:val="none"/>
        </w:rPr>
        <w:t xml:space="preserve">技术部分正负偏离表</w:t>
      </w:r>
      <w:r/>
    </w:p>
    <w:p>
      <w:pPr>
        <w:ind w:firstLine="560"/>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（由投标人据实填写，表格不够自行添加）</w:t>
      </w:r>
      <w:r/>
    </w:p>
    <w:tbl>
      <w:tblPr>
        <w:tblStyle w:val="733"/>
        <w:tblW w:w="5000" w:type="pct"/>
        <w:tblInd w:w="-3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81"/>
        <w:gridCol w:w="2481"/>
        <w:gridCol w:w="2166"/>
        <w:gridCol w:w="2795"/>
        <w:gridCol w:w="1539"/>
      </w:tblGrid>
      <w:tr>
        <w:trPr>
          <w:trHeight w:val="994"/>
        </w:trPr>
        <w:tc>
          <w:tcPr>
            <w:tcW w:w="460" w:type="dxa"/>
            <w:vAlign w:val="center"/>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序号</w:t>
            </w:r>
            <w:r/>
          </w:p>
        </w:tc>
        <w:tc>
          <w:tcPr>
            <w:tcW w:w="1254" w:type="dxa"/>
            <w:vAlign w:val="center"/>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货物或服务名称</w:t>
            </w:r>
            <w:r/>
          </w:p>
        </w:tc>
        <w:tc>
          <w:tcPr>
            <w:tcW w:w="1095" w:type="dxa"/>
            <w:vAlign w:val="center"/>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招标文件要求的技术要求</w:t>
            </w:r>
            <w:r/>
          </w:p>
        </w:tc>
        <w:tc>
          <w:tcPr>
            <w:tcW w:w="1413" w:type="dxa"/>
            <w:vAlign w:val="center"/>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投标文件响应情况</w:t>
            </w:r>
            <w:r/>
          </w:p>
        </w:tc>
        <w:tc>
          <w:tcPr>
            <w:tcW w:w="778" w:type="dxa"/>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偏离说明</w:t>
            </w:r>
            <w:r/>
          </w:p>
        </w:tc>
      </w:tr>
      <w:tr>
        <w:trPr>
          <w:trHeight w:val="414"/>
        </w:trPr>
        <w:tc>
          <w:tcPr>
            <w:tcW w:w="460" w:type="dxa"/>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w:t>
            </w:r>
            <w:r/>
          </w:p>
        </w:tc>
        <w:tc>
          <w:tcPr>
            <w:tcW w:w="1254"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r>
        <w:trPr>
          <w:trHeight w:val="548"/>
        </w:trPr>
        <w:tc>
          <w:tcPr>
            <w:tcW w:w="460" w:type="dxa"/>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w:t>
            </w:r>
            <w:r/>
          </w:p>
        </w:tc>
        <w:tc>
          <w:tcPr>
            <w:tcW w:w="1254"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r>
        <w:trPr>
          <w:trHeight w:val="400"/>
        </w:trPr>
        <w:tc>
          <w:tcPr>
            <w:tcW w:w="460" w:type="dxa"/>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w:t>
            </w:r>
            <w:r/>
          </w:p>
        </w:tc>
        <w:tc>
          <w:tcPr>
            <w:tcW w:w="1254"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r>
        <w:trPr>
          <w:trHeight w:val="419"/>
        </w:trPr>
        <w:tc>
          <w:tcPr>
            <w:tcW w:w="460" w:type="dxa"/>
            <w:textDirection w:val="lrTb"/>
            <w:noWrap w:val="false"/>
          </w:tcPr>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w:t>
            </w:r>
            <w:r/>
          </w:p>
        </w:tc>
        <w:tc>
          <w:tcPr>
            <w:tcW w:w="1254"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095"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1413" w:type="dxa"/>
            <w:vAlign w:val="center"/>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c>
          <w:tcPr>
            <w:tcW w:w="778" w:type="dxa"/>
            <w:textDirection w:val="lrTb"/>
            <w:noWrap w:val="false"/>
          </w:tcPr>
          <w:p>
            <w:pPr>
              <w:jc w:val="left"/>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tc>
      </w:tr>
    </w:tbl>
    <w:p>
      <w:pPr>
        <w:contextualSpacing/>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注：</w:t>
      </w:r>
      <w:r/>
    </w:p>
    <w:p>
      <w:pPr>
        <w:contextualSpacing/>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1.投标人提交的投标文件中与招标文件第三部分“项目需求”中的技术部分的要求，应逐条填列在偏离表中。</w:t>
      </w:r>
      <w:r/>
    </w:p>
    <w:p>
      <w:pPr>
        <w:contextualSpacing/>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 “偏离说明”一栏选择“正偏离”、“无偏离”、“负偏离”进行填写。正偏离、无偏离的确认和负偏离的是否响应招标文件，由评委认定。</w:t>
      </w:r>
      <w:r/>
    </w:p>
    <w:p>
      <w:pPr>
        <w:contextualSpacing/>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3.投标人如果虚假响应，将被暂停参加采购人组织的政府采购活动。</w:t>
      </w:r>
      <w:r/>
    </w:p>
    <w:p>
      <w:pPr>
        <w:contextualSpacing/>
        <w:ind w:firstLine="4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4.投标单位若提供其他增值服务，可以在表中自行据实填写。</w:t>
      </w:r>
      <w:r/>
    </w:p>
    <w:p>
      <w:pPr>
        <w:contextualSpacing/>
        <w:ind w:firstLine="54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contextualSpacing/>
        <w:ind w:firstLine="54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rPr>
          <w:rStyle w:val="980"/>
          <w:rFonts w:hint="eastAsia" w:ascii="黑体" w:hAnsi="黑体" w:eastAsia="黑体" w:cs="黑体"/>
          <w:b w:val="0"/>
          <w:color w:val="auto"/>
          <w:sz w:val="28"/>
          <w:szCs w:val="28"/>
          <w:highlight w:val="none"/>
        </w:rPr>
      </w:pPr>
      <w:r>
        <w:rPr>
          <w:rStyle w:val="980"/>
          <w:rFonts w:hint="eastAsia" w:ascii="黑体" w:hAnsi="黑体" w:eastAsia="黑体" w:cs="黑体"/>
          <w:b w:val="0"/>
          <w:color w:val="auto"/>
          <w:sz w:val="28"/>
          <w:szCs w:val="28"/>
          <w:highlight w:val="none"/>
        </w:rPr>
        <w:br w:type="page" w:clear="all"/>
      </w:r>
      <w:r/>
    </w:p>
    <w:p>
      <w:pPr>
        <w:jc w:val="center"/>
        <w:spacing w:line="360" w:lineRule="auto"/>
        <w:rPr>
          <w:rFonts w:hint="eastAsia" w:ascii="黑体" w:hAnsi="黑体" w:eastAsia="黑体" w:cs="黑体"/>
          <w:color w:val="auto"/>
          <w:sz w:val="28"/>
          <w:szCs w:val="28"/>
          <w:highlight w:val="none"/>
        </w:rPr>
      </w:pPr>
      <w:r>
        <w:rPr>
          <w:rStyle w:val="980"/>
          <w:rFonts w:hint="eastAsia" w:ascii="黑体" w:hAnsi="黑体" w:eastAsia="黑体" w:cs="黑体"/>
          <w:b w:val="0"/>
          <w:color w:val="auto"/>
          <w:sz w:val="28"/>
          <w:szCs w:val="28"/>
          <w:highlight w:val="none"/>
        </w:rPr>
        <w:t xml:space="preserve">开标一览表</w:t>
      </w:r>
      <w:r/>
    </w:p>
    <w:p>
      <w:pPr>
        <w:pStyle w:val="976"/>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项目编号： </w:t>
      </w:r>
      <w:r/>
    </w:p>
    <w:p>
      <w:pPr>
        <w:pStyle w:val="976"/>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投标人名称：                                           </w:t>
      </w:r>
      <w:r/>
    </w:p>
    <w:p>
      <w:pPr>
        <w:pStyle w:val="976"/>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货币单位：人民币元</w:t>
      </w:r>
      <w:r/>
    </w:p>
    <w:tbl>
      <w:tblPr>
        <w:tblStyle w:val="733"/>
        <w:tblW w:w="0" w:type="auto"/>
        <w:tblCellSpacing w:w="15" w:type="dxa"/>
        <w:tblInd w:w="-19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98"/>
      </w:tblGrid>
      <w:tr>
        <w:trPr>
          <w:tblCellSpacing w:w="15" w:type="dxa"/>
        </w:trPr>
        <w:tc>
          <w:tcPr>
            <w:tcW w:w="2892" w:type="dxa"/>
            <w:vAlign w:val="center"/>
            <w:textDirection w:val="lrTb"/>
            <w:noWrap w:val="false"/>
          </w:tcPr>
          <w:p>
            <w:pPr>
              <w:pStyle w:val="976"/>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项目名称</w:t>
            </w:r>
            <w:r/>
          </w:p>
        </w:tc>
        <w:tc>
          <w:tcPr>
            <w:tcW w:w="2700" w:type="dxa"/>
            <w:vAlign w:val="center"/>
            <w:textDirection w:val="lrTb"/>
            <w:noWrap w:val="false"/>
          </w:tcPr>
          <w:p>
            <w:pPr>
              <w:pStyle w:val="976"/>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项目内容</w:t>
            </w:r>
            <w:r/>
          </w:p>
        </w:tc>
        <w:tc>
          <w:tcPr>
            <w:tcW w:w="3453" w:type="dxa"/>
            <w:vAlign w:val="center"/>
            <w:textDirection w:val="lrTb"/>
            <w:noWrap w:val="false"/>
          </w:tcPr>
          <w:p>
            <w:pPr>
              <w:pStyle w:val="976"/>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单价（小写）元/平方米</w:t>
            </w:r>
            <w:r/>
          </w:p>
        </w:tc>
      </w:tr>
      <w:tr>
        <w:trPr>
          <w:tblCellSpacing w:w="15" w:type="dxa"/>
        </w:trPr>
        <w:tc>
          <w:tcPr>
            <w:tcW w:w="2892" w:type="dxa"/>
            <w:vAlign w:val="center"/>
            <w:textDirection w:val="lrTb"/>
            <w:noWrap w:val="false"/>
          </w:tcPr>
          <w:p>
            <w:pPr>
              <w:pStyle w:val="976"/>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项目名称 </w:t>
            </w:r>
            <w:r/>
          </w:p>
        </w:tc>
        <w:tc>
          <w:tcPr>
            <w:tcW w:w="2700" w:type="dxa"/>
            <w:vAlign w:val="center"/>
            <w:textDirection w:val="lrTb"/>
            <w:noWrap w:val="false"/>
          </w:tcPr>
          <w:p>
            <w:pPr>
              <w:pStyle w:val="976"/>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详见投标文件</w:t>
            </w:r>
            <w:r/>
          </w:p>
        </w:tc>
        <w:tc>
          <w:tcPr>
            <w:tcW w:w="3453" w:type="dxa"/>
            <w:vAlign w:val="center"/>
            <w:textDirection w:val="lrTb"/>
            <w:noWrap w:val="false"/>
          </w:tcPr>
          <w:p>
            <w:pPr>
              <w:pStyle w:val="976"/>
              <w:ind w:firstLine="140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元/平方米</w:t>
            </w:r>
            <w:r/>
          </w:p>
        </w:tc>
      </w:tr>
      <w:tr>
        <w:trPr>
          <w:tblCellSpacing w:w="15" w:type="dxa"/>
        </w:trPr>
        <w:tc>
          <w:tcPr>
            <w:tcW w:w="2892" w:type="dxa"/>
            <w:vAlign w:val="center"/>
            <w:textDirection w:val="lrTb"/>
            <w:noWrap w:val="false"/>
          </w:tcPr>
          <w:p>
            <w:pPr>
              <w:pStyle w:val="976"/>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单价（大写）：</w:t>
            </w:r>
            <w:r/>
          </w:p>
        </w:tc>
        <w:tc>
          <w:tcPr>
            <w:gridSpan w:val="2"/>
            <w:tcW w:w="6183" w:type="dxa"/>
            <w:vAlign w:val="center"/>
            <w:textDirection w:val="lrTb"/>
            <w:noWrap w:val="false"/>
          </w:tcPr>
          <w:p>
            <w:pPr>
              <w:pStyle w:val="976"/>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大写 </w:t>
            </w:r>
            <w:r/>
          </w:p>
        </w:tc>
      </w:tr>
    </w:tbl>
    <w:p>
      <w:pPr>
        <w:pStyle w:val="976"/>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p>
    <w:p>
      <w:pPr>
        <w:pStyle w:val="976"/>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盖章（公章）：</w:t>
      </w:r>
      <w:r/>
    </w:p>
    <w:p>
      <w:pPr>
        <w:pStyle w:val="976"/>
        <w:spacing w:line="360" w:lineRule="auto"/>
        <w:rPr>
          <w:rFonts w:hint="eastAsia" w:ascii="黑体" w:hAnsi="黑体" w:eastAsia="黑体" w:cs="黑体"/>
          <w:b/>
          <w:color w:val="auto"/>
          <w:highlight w:val="none"/>
        </w:rPr>
      </w:pPr>
      <w:r>
        <w:rPr>
          <w:rFonts w:hint="eastAsia" w:ascii="黑体" w:hAnsi="黑体" w:eastAsia="黑体" w:cs="黑体"/>
          <w:b/>
          <w:color w:val="auto"/>
          <w:highlight w:val="none"/>
        </w:rPr>
        <w:t xml:space="preserve">注明：</w:t>
      </w:r>
      <w:r/>
    </w:p>
    <w:p>
      <w:pPr>
        <w:pStyle w:val="976"/>
        <w:numPr>
          <w:ilvl w:val="0"/>
          <w:numId w:val="3"/>
        </w:numPr>
        <w:spacing w:line="360" w:lineRule="auto"/>
        <w:rPr>
          <w:rFonts w:hint="eastAsia" w:ascii="黑体" w:hAnsi="黑体" w:eastAsia="黑体" w:cs="黑体"/>
          <w:b/>
          <w:color w:val="auto"/>
          <w:highlight w:val="none"/>
        </w:rPr>
      </w:pPr>
      <w:r>
        <w:rPr>
          <w:rFonts w:hint="eastAsia" w:ascii="黑体" w:hAnsi="黑体" w:eastAsia="黑体" w:cs="黑体"/>
          <w:b/>
          <w:color w:val="auto"/>
          <w:highlight w:val="none"/>
        </w:rPr>
        <w:t xml:space="preserve">本项目按单价报价。系统中报价单位显示的是元，视为元/平方米。</w:t>
      </w:r>
      <w:r/>
    </w:p>
    <w:p>
      <w:pPr>
        <w:pStyle w:val="976"/>
        <w:numPr>
          <w:ilvl w:val="0"/>
          <w:numId w:val="3"/>
        </w:numPr>
        <w:spacing w:line="360" w:lineRule="auto"/>
        <w:rPr>
          <w:rFonts w:hint="eastAsia" w:ascii="黑体" w:hAnsi="黑体" w:eastAsia="黑体" w:cs="黑体"/>
          <w:b/>
          <w:color w:val="auto"/>
          <w:highlight w:val="none"/>
        </w:rPr>
      </w:pPr>
      <w:r>
        <w:rPr>
          <w:rFonts w:hint="eastAsia" w:ascii="黑体" w:hAnsi="黑体" w:eastAsia="黑体" w:cs="黑体"/>
          <w:b/>
          <w:color w:val="auto"/>
          <w:highlight w:val="none"/>
        </w:rPr>
        <w:t xml:space="preserve">2、投标单位的报价（人民币）按综合单价报价，报价（以人民币计价）应包括从事本项目服务所需的一切费用，包括但不仅限于场地勘察、收集资料费、测绘费、人员费（含周末及节假日加班费）、交通费、办公设备费、食宿费、风险费、保险费、税金、利润等政策性文件规定及合同包含的所有风险、责任等各项应有费用，即招标物服务周期结束前的所有费用且包含招标文件要求的所有费用。</w:t>
      </w:r>
      <w:r/>
    </w:p>
    <w:p>
      <w:pPr>
        <w:pStyle w:val="976"/>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pStyle w:val="976"/>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br w:type="page" w:clear="all"/>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质疑函范本</w:t>
      </w:r>
      <w:r/>
    </w:p>
    <w:p>
      <w:pPr>
        <w:spacing w:before="312"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一、质疑投标单位基本信息</w:t>
      </w:r>
      <w:r/>
    </w:p>
    <w:p>
      <w:pPr>
        <w:spacing w:line="360" w:lineRule="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质疑投标单位：</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地址：邮编：</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联系人：联系电话：</w:t>
      </w:r>
      <w:r/>
    </w:p>
    <w:p>
      <w:pPr>
        <w:spacing w:line="360" w:lineRule="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授权代表：</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联系电话：</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地址：邮编：</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二、质疑项目基本情况</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质疑项目的名称：</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质疑项目的编号：包号：</w:t>
      </w:r>
      <w:r/>
    </w:p>
    <w:p>
      <w:pPr>
        <w:spacing w:line="360" w:lineRule="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采购人名称：</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采购文件获取日期：</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三、质疑事项具体内容</w:t>
      </w:r>
      <w:r/>
    </w:p>
    <w:p>
      <w:pPr>
        <w:spacing w:line="360" w:lineRule="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质疑事项1：</w:t>
      </w:r>
      <w:r/>
    </w:p>
    <w:p>
      <w:pPr>
        <w:spacing w:line="360" w:lineRule="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事实依据：</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法律依据：</w:t>
      </w:r>
      <w:r/>
    </w:p>
    <w:p>
      <w:pPr>
        <w:spacing w:line="360" w:lineRule="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u w:val="single"/>
        </w:rPr>
      </w:r>
      <w:r/>
    </w:p>
    <w:p>
      <w:pPr>
        <w:spacing w:line="360" w:lineRule="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质疑事项2</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四、与质疑事项相关的质疑请求</w:t>
      </w:r>
      <w:r/>
    </w:p>
    <w:p>
      <w:pPr>
        <w:spacing w:line="360" w:lineRule="auto"/>
        <w:rPr>
          <w:rFonts w:hint="eastAsia" w:ascii="黑体" w:hAnsi="黑体" w:eastAsia="黑体" w:cs="黑体"/>
          <w:bCs/>
          <w:color w:val="auto"/>
          <w:sz w:val="28"/>
          <w:szCs w:val="28"/>
          <w:highlight w:val="none"/>
          <w:u w:val="single"/>
        </w:rPr>
      </w:pPr>
      <w:r>
        <w:rPr>
          <w:rFonts w:hint="eastAsia" w:ascii="黑体" w:hAnsi="黑体" w:eastAsia="黑体" w:cs="黑体"/>
          <w:bCs/>
          <w:color w:val="auto"/>
          <w:sz w:val="28"/>
          <w:szCs w:val="28"/>
          <w:highlight w:val="none"/>
        </w:rPr>
        <w:t xml:space="preserve">请求：</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签字(签章)：                   公章：                      </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日期：    </w:t>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质疑函制作说明：</w:t>
      </w:r>
      <w:r/>
    </w:p>
    <w:p>
      <w:pPr>
        <w:ind w:firstLine="640"/>
        <w:jc w:val="left"/>
        <w:spacing w:line="360" w:lineRule="auto"/>
        <w:widowControl/>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1.投标单位提出质疑时，应提交质疑函和必要的证明材料。</w:t>
      </w:r>
      <w:r/>
    </w:p>
    <w:p>
      <w:pPr>
        <w:ind w:firstLine="640"/>
        <w:jc w:val="left"/>
        <w:spacing w:line="360" w:lineRule="auto"/>
        <w:widowControl/>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质疑投标单位若委托代理人进行质疑的，质疑函应按要求列明“授权代表”的有关内容，并在附件中提交由质疑投标单位签署的授权委托书。授权委托书应载明代理人的姓名或者名称、代理事项、具体权限、期限和相关事项。</w:t>
      </w:r>
      <w:r/>
    </w:p>
    <w:p>
      <w:pPr>
        <w:ind w:firstLine="640"/>
        <w:jc w:val="left"/>
        <w:spacing w:line="360" w:lineRule="auto"/>
        <w:widowControl/>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3.质疑投标单位若对项目的某一分包进行质疑，质疑函中应列明具体分包号。</w:t>
      </w:r>
      <w:r/>
    </w:p>
    <w:p>
      <w:pPr>
        <w:ind w:firstLine="640"/>
        <w:jc w:val="left"/>
        <w:spacing w:line="360" w:lineRule="auto"/>
        <w:widowControl/>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4.质疑函的质疑事项应具体、明确，并有必要的事实依据和法律依据。</w:t>
      </w:r>
      <w:r/>
    </w:p>
    <w:p>
      <w:pPr>
        <w:ind w:firstLine="640"/>
        <w:jc w:val="left"/>
        <w:spacing w:line="360" w:lineRule="auto"/>
        <w:widowControl/>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5.质疑函的质疑请求应与质疑事项相关。</w:t>
      </w:r>
      <w:r/>
    </w:p>
    <w:p>
      <w:pPr>
        <w:ind w:firstLine="640"/>
        <w:jc w:val="left"/>
        <w:spacing w:line="360" w:lineRule="auto"/>
        <w:widowControl/>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6.质疑投标单位为自然人的，质疑函应由本人签字；质疑投标单位为法人或者其他组织的，质疑函应由法定代表人、主要负责人，或者其授权代表签字或者盖章，并加盖公章。</w:t>
      </w:r>
      <w:r/>
    </w:p>
    <w:p>
      <w:pPr>
        <w:jc w:val="center"/>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 </w:t>
      </w:r>
      <w:r/>
    </w:p>
    <w:p>
      <w:pPr>
        <w:spacing w:line="360" w:lineRule="auto"/>
        <w:rPr>
          <w:rFonts w:hint="eastAsia" w:ascii="黑体" w:hAnsi="黑体" w:eastAsia="黑体" w:cs="黑体"/>
          <w:color w:val="auto"/>
          <w:highlight w:val="none"/>
        </w:rPr>
      </w:pPr>
      <w:r>
        <w:rPr>
          <w:rFonts w:hint="eastAsia" w:ascii="黑体" w:hAnsi="黑体" w:eastAsia="黑体" w:cs="黑体"/>
          <w:bCs/>
          <w:color w:val="auto"/>
          <w:sz w:val="28"/>
          <w:szCs w:val="28"/>
          <w:highlight w:val="none"/>
        </w:rPr>
        <w:br w:type="page" w:clear="all"/>
      </w:r>
      <w:r/>
    </w:p>
    <w:p>
      <w:pPr>
        <w:ind w:right="105"/>
        <w:jc w:val="center"/>
        <w:spacing w:before="240" w:line="360" w:lineRule="auto"/>
        <w:rPr>
          <w:rFonts w:hint="eastAsia" w:ascii="黑体" w:hAnsi="黑体" w:eastAsia="黑体" w:cs="黑体"/>
          <w:bCs/>
          <w:color w:val="auto"/>
          <w:sz w:val="72"/>
          <w:szCs w:val="72"/>
          <w:highlight w:val="none"/>
        </w:rPr>
      </w:pPr>
      <w:r>
        <w:rPr>
          <w:rFonts w:hint="eastAsia" w:ascii="黑体" w:hAnsi="黑体" w:eastAsia="黑体" w:cs="黑体"/>
          <w:bCs/>
          <w:color w:val="auto"/>
          <w:sz w:val="72"/>
          <w:szCs w:val="72"/>
          <w:highlight w:val="none"/>
        </w:rPr>
      </w:r>
      <w:r/>
    </w:p>
    <w:p>
      <w:pPr>
        <w:ind w:right="105"/>
        <w:jc w:val="center"/>
        <w:spacing w:before="240" w:line="360" w:lineRule="auto"/>
        <w:rPr>
          <w:rFonts w:hint="eastAsia" w:ascii="黑体" w:hAnsi="黑体" w:eastAsia="黑体" w:cs="黑体"/>
          <w:bCs/>
          <w:color w:val="auto"/>
          <w:sz w:val="52"/>
          <w:szCs w:val="52"/>
          <w:highlight w:val="none"/>
        </w:rPr>
      </w:pPr>
      <w:r>
        <w:rPr>
          <w:rFonts w:hint="eastAsia" w:ascii="黑体" w:hAnsi="黑体" w:eastAsia="黑体" w:cs="黑体"/>
          <w:bCs/>
          <w:color w:val="auto"/>
          <w:sz w:val="52"/>
          <w:szCs w:val="52"/>
          <w:highlight w:val="none"/>
        </w:rPr>
        <w:t xml:space="preserve">政府采购合同</w:t>
      </w:r>
      <w:r/>
    </w:p>
    <w:p>
      <w:pPr>
        <w:ind w:firstLine="1300"/>
        <w:spacing w:line="360" w:lineRule="auto"/>
        <w:rPr>
          <w:rFonts w:hint="eastAsia" w:ascii="黑体" w:hAnsi="黑体" w:eastAsia="黑体" w:cs="黑体"/>
          <w:bCs/>
          <w:color w:val="auto"/>
          <w:sz w:val="52"/>
          <w:szCs w:val="52"/>
          <w:highlight w:val="none"/>
        </w:rPr>
      </w:pPr>
      <w:r>
        <w:rPr>
          <w:rFonts w:hint="eastAsia" w:ascii="黑体" w:hAnsi="黑体" w:eastAsia="黑体" w:cs="黑体"/>
          <w:bCs/>
          <w:color w:val="auto"/>
          <w:sz w:val="52"/>
          <w:szCs w:val="52"/>
          <w:highlight w:val="none"/>
        </w:rPr>
      </w:r>
      <w:r/>
    </w:p>
    <w:p>
      <w:pPr>
        <w:ind w:left="960"/>
        <w:spacing w:before="120"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ind w:left="960"/>
        <w:spacing w:before="120"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pStyle w:val="734"/>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pStyle w:val="734"/>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pStyle w:val="734"/>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pStyle w:val="734"/>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pStyle w:val="734"/>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ind w:firstLine="560"/>
        <w:spacing w:before="120"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项目名称：南通市经济技术开发区2026年-2028年自然资源和规划测绘服务单位采购项目</w:t>
      </w:r>
      <w:r/>
    </w:p>
    <w:p>
      <w:pPr>
        <w:ind w:firstLine="560"/>
        <w:spacing w:before="120"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甲    方：南通市自然资源和规划局开发区分局</w:t>
      </w:r>
      <w:r/>
    </w:p>
    <w:p>
      <w:pPr>
        <w:ind w:firstLine="560"/>
        <w:spacing w:before="120"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乙    方：</w:t>
      </w:r>
      <w:r/>
    </w:p>
    <w:p>
      <w:pPr>
        <w:ind w:firstLine="560"/>
        <w:spacing w:before="120" w:line="360" w:lineRule="auto"/>
        <w:rPr>
          <w:rFonts w:hint="eastAsia" w:ascii="黑体" w:hAnsi="黑体" w:eastAsia="黑体" w:cs="黑体"/>
          <w:color w:val="auto"/>
          <w:sz w:val="28"/>
          <w:szCs w:val="28"/>
          <w:highlight w:val="none"/>
          <w:u w:val="single"/>
        </w:rPr>
      </w:pPr>
      <w:r>
        <w:rPr>
          <w:rFonts w:hint="eastAsia" w:ascii="黑体" w:hAnsi="黑体" w:eastAsia="黑体" w:cs="黑体"/>
          <w:color w:val="auto"/>
          <w:sz w:val="28"/>
          <w:szCs w:val="28"/>
          <w:highlight w:val="none"/>
        </w:rPr>
        <w:t xml:space="preserve">签 订 地：</w:t>
      </w:r>
      <w:r/>
    </w:p>
    <w:p>
      <w:pPr>
        <w:ind w:firstLine="560"/>
        <w:spacing w:before="120"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签订日期：   年   月  日</w:t>
      </w:r>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br w:type="page" w:clear="all"/>
      </w:r>
      <w:r/>
    </w:p>
    <w:p>
      <w:pPr>
        <w:pStyle w:val="777"/>
        <w:rPr>
          <w:rFonts w:hint="eastAsia" w:ascii="黑体" w:hAnsi="黑体" w:eastAsia="黑体" w:cs="黑体"/>
          <w:color w:val="auto"/>
          <w:highlight w:val="none"/>
        </w:rPr>
      </w:pPr>
      <w:r>
        <w:rPr>
          <w:rFonts w:hint="eastAsia" w:ascii="黑体" w:hAnsi="黑体" w:eastAsia="黑体" w:cs="黑体"/>
          <w:color w:val="auto"/>
          <w:highlight w:val="none"/>
        </w:rPr>
      </w:r>
      <w:r/>
    </w:p>
    <w:p>
      <w:pPr>
        <w:spacing w:line="460" w:lineRule="exact"/>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rPr>
        <w:t xml:space="preserve">委托方（甲方）：</w:t>
      </w:r>
      <w:r/>
    </w:p>
    <w:p>
      <w:pPr>
        <w:spacing w:line="460" w:lineRule="exact"/>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rPr>
        <w:t xml:space="preserve">承揽方（乙方）：</w:t>
      </w:r>
      <w:r/>
    </w:p>
    <w:p>
      <w:pPr>
        <w:ind w:firstLine="480"/>
        <w:spacing w:line="4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根据《中华人民共和国民法典》及其他有关法律、行政法规，遵守平等、自愿、公平和诚信原则，双方就</w:t>
      </w:r>
      <w:r>
        <w:rPr>
          <w:rFonts w:hint="eastAsia" w:ascii="黑体" w:hAnsi="黑体" w:eastAsia="黑体" w:cs="黑体"/>
          <w:color w:val="auto"/>
          <w:sz w:val="24"/>
          <w:highlight w:val="none"/>
          <w:u w:val="single"/>
        </w:rPr>
        <w:t xml:space="preserve">  </w:t>
      </w:r>
      <w:r>
        <w:rPr>
          <w:rFonts w:hint="eastAsia" w:ascii="黑体" w:hAnsi="黑体" w:eastAsia="黑体" w:cs="黑体"/>
          <w:color w:val="auto"/>
          <w:sz w:val="24"/>
          <w:highlight w:val="none"/>
        </w:rPr>
        <w:t xml:space="preserve">协商一致，签订本合同。</w:t>
      </w:r>
      <w:r/>
    </w:p>
    <w:p>
      <w:pPr>
        <w:ind w:firstLine="480"/>
        <w:spacing w:line="4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第一条 项目概况</w:t>
      </w:r>
      <w:r/>
    </w:p>
    <w:p>
      <w:pPr>
        <w:ind w:firstLine="480"/>
        <w:jc w:val="left"/>
        <w:spacing w:line="360" w:lineRule="auto"/>
        <w:rPr>
          <w:rFonts w:hint="eastAsia" w:ascii="黑体" w:hAnsi="黑体" w:eastAsia="黑体" w:cs="黑体"/>
          <w:color w:val="auto"/>
          <w:sz w:val="24"/>
          <w:highlight w:val="none"/>
          <w:u w:val="single"/>
          <w:lang w:val="zh-CN"/>
        </w:rPr>
      </w:pPr>
      <w:r>
        <w:rPr>
          <w:rFonts w:hint="eastAsia" w:ascii="黑体" w:hAnsi="黑体" w:eastAsia="黑体" w:cs="黑体"/>
          <w:color w:val="auto"/>
          <w:sz w:val="24"/>
          <w:highlight w:val="none"/>
        </w:rPr>
        <w:t xml:space="preserve">项目名称：南通市经济技术开发区2026年-2028年自然资源和规划测绘服务单位采购项目</w:t>
      </w:r>
      <w:r/>
    </w:p>
    <w:p>
      <w:pPr>
        <w:ind w:firstLine="480"/>
        <w:spacing w:line="460" w:lineRule="exact"/>
        <w:rPr>
          <w:rFonts w:hint="eastAsia" w:ascii="黑体" w:hAnsi="黑体" w:eastAsia="黑体" w:cs="黑体"/>
          <w:color w:val="auto"/>
          <w:sz w:val="24"/>
          <w:highlight w:val="none"/>
          <w:u w:val="single"/>
        </w:rPr>
      </w:pPr>
      <w:r>
        <w:rPr>
          <w:rFonts w:hint="eastAsia" w:ascii="黑体" w:hAnsi="黑体" w:eastAsia="黑体" w:cs="黑体"/>
          <w:color w:val="auto"/>
          <w:sz w:val="24"/>
          <w:highlight w:val="none"/>
        </w:rPr>
        <w:t xml:space="preserve">建设地点：</w:t>
      </w:r>
      <w:r/>
    </w:p>
    <w:p>
      <w:pPr>
        <w:ind w:firstLine="480"/>
        <w:spacing w:line="4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第二条  工作内容</w:t>
      </w:r>
      <w:r/>
    </w:p>
    <w:p>
      <w:pPr>
        <w:ind w:firstLine="480"/>
        <w:spacing w:line="4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为满足区内土地征用、规划及资料归档等工作之需，及时有效地为招商引资及日常管理工作提供服务，按照相关法律、法规及文件要求，需开展2026—2028年日常勘测定界测绘工作，根据当前自然资源和规划基础业务需求，日常勘测定界测绘包括征地成片开发、农转用及土地征收、临时用地、土地供应、卫片执法等日常勘测定界以及基于征供地勘界、变更调查等成果数据进一步分析、利用的技术服务工作。</w:t>
      </w:r>
      <w:r/>
    </w:p>
    <w:p>
      <w:pPr>
        <w:ind w:firstLine="480"/>
        <w:spacing w:line="4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第三条  服务费及服务期限、支付方式、服务要求</w:t>
      </w:r>
      <w:r/>
    </w:p>
    <w:p>
      <w:pPr>
        <w:ind w:firstLine="480"/>
        <w:spacing w:line="460" w:lineRule="exact"/>
        <w:rPr>
          <w:rFonts w:hint="eastAsia" w:ascii="黑体" w:hAnsi="黑体" w:eastAsia="黑体" w:cs="黑体"/>
          <w:bCs/>
          <w:color w:val="auto"/>
          <w:sz w:val="24"/>
          <w:highlight w:val="none"/>
        </w:rPr>
      </w:pPr>
      <w:r>
        <w:rPr>
          <w:rFonts w:hint="eastAsia" w:ascii="黑体" w:hAnsi="黑体" w:eastAsia="黑体" w:cs="黑体"/>
          <w:color w:val="auto"/>
          <w:sz w:val="24"/>
          <w:highlight w:val="none"/>
        </w:rPr>
        <w:t xml:space="preserve">（1）</w:t>
      </w:r>
      <w:r>
        <w:rPr>
          <w:rFonts w:hint="eastAsia" w:ascii="黑体" w:hAnsi="黑体" w:eastAsia="黑体" w:cs="黑体"/>
          <w:bCs/>
          <w:color w:val="auto"/>
          <w:sz w:val="24"/>
          <w:highlight w:val="none"/>
        </w:rPr>
        <w:t xml:space="preserve">服务费计（人民币大写）：     /平方米，小写（¥）：   /㎡。</w:t>
      </w:r>
      <w:r/>
    </w:p>
    <w:p>
      <w:pPr>
        <w:ind w:firstLine="482"/>
        <w:spacing w:line="460" w:lineRule="exact"/>
        <w:rPr>
          <w:rFonts w:hint="eastAsia" w:ascii="黑体" w:hAnsi="黑体" w:eastAsia="黑体" w:cs="黑体"/>
          <w:color w:val="auto"/>
          <w:sz w:val="24"/>
          <w:highlight w:val="none"/>
          <w:u w:val="single"/>
        </w:rPr>
      </w:pPr>
      <w:r>
        <w:rPr>
          <w:rFonts w:hint="eastAsia" w:ascii="黑体" w:hAnsi="黑体" w:eastAsia="黑体" w:cs="黑体"/>
          <w:b/>
          <w:bCs/>
          <w:color w:val="auto"/>
          <w:sz w:val="24"/>
          <w:highlight w:val="none"/>
        </w:rPr>
        <w:t xml:space="preserve">（2）服务期限：</w:t>
      </w:r>
      <w:r>
        <w:rPr>
          <w:rFonts w:hint="eastAsia" w:ascii="黑体" w:hAnsi="黑体" w:eastAsia="黑体" w:cs="黑体"/>
          <w:color w:val="auto"/>
          <w:sz w:val="24"/>
          <w:highlight w:val="none"/>
        </w:rPr>
        <w:t xml:space="preserve">自202  年  月  日至202   年  月  日 止。</w:t>
      </w:r>
      <w:r/>
    </w:p>
    <w:p>
      <w:pPr>
        <w:ind w:firstLine="482"/>
        <w:spacing w:line="4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（3）支付方式：</w:t>
      </w:r>
      <w:r/>
    </w:p>
    <w:p>
      <w:pPr>
        <w:ind w:firstLine="480"/>
        <w:spacing w:line="4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乙方每年完成所有工作并向甲方提交符合要求的成果后,经甲方或上级部门检查验收通过后按成交单价*实际面积进行支付当年服务费用。</w:t>
      </w:r>
      <w:r/>
    </w:p>
    <w:p>
      <w:pPr>
        <w:ind w:firstLine="480"/>
        <w:spacing w:line="4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lang w:val="zh-CN"/>
        </w:rPr>
        <w:t xml:space="preserve">付款前，</w:t>
      </w:r>
      <w:r>
        <w:rPr>
          <w:rFonts w:hint="eastAsia" w:ascii="黑体" w:hAnsi="黑体" w:eastAsia="黑体" w:cs="黑体"/>
          <w:color w:val="auto"/>
          <w:sz w:val="24"/>
          <w:highlight w:val="none"/>
        </w:rPr>
        <w:t xml:space="preserve">乙方须</w:t>
      </w:r>
      <w:r>
        <w:rPr>
          <w:rFonts w:hint="eastAsia" w:ascii="黑体" w:hAnsi="黑体" w:eastAsia="黑体" w:cs="黑体"/>
          <w:color w:val="auto"/>
          <w:sz w:val="24"/>
          <w:highlight w:val="none"/>
          <w:lang w:val="zh-CN"/>
        </w:rPr>
        <w:t xml:space="preserve">提供与待付款金额一致的增值税发票</w:t>
      </w:r>
      <w:r>
        <w:rPr>
          <w:rFonts w:hint="eastAsia" w:ascii="黑体" w:hAnsi="黑体" w:eastAsia="黑体" w:cs="黑体"/>
          <w:color w:val="auto"/>
          <w:sz w:val="24"/>
          <w:highlight w:val="none"/>
        </w:rPr>
        <w:t xml:space="preserve">及相应的收款账户信息</w:t>
      </w:r>
      <w:r>
        <w:rPr>
          <w:rFonts w:hint="eastAsia" w:ascii="黑体" w:hAnsi="黑体" w:eastAsia="黑体" w:cs="黑体"/>
          <w:color w:val="auto"/>
          <w:sz w:val="24"/>
          <w:highlight w:val="none"/>
          <w:lang w:val="zh-CN"/>
        </w:rPr>
        <w:t xml:space="preserve">，如因</w:t>
      </w:r>
      <w:r>
        <w:rPr>
          <w:rFonts w:hint="eastAsia" w:ascii="黑体" w:hAnsi="黑体" w:eastAsia="黑体" w:cs="黑体"/>
          <w:color w:val="auto"/>
          <w:sz w:val="24"/>
          <w:highlight w:val="none"/>
        </w:rPr>
        <w:t xml:space="preserve">乙方</w:t>
      </w:r>
      <w:r>
        <w:rPr>
          <w:rFonts w:hint="eastAsia" w:ascii="黑体" w:hAnsi="黑体" w:eastAsia="黑体" w:cs="黑体"/>
          <w:color w:val="auto"/>
          <w:sz w:val="24"/>
          <w:highlight w:val="none"/>
          <w:lang w:val="zh-CN"/>
        </w:rPr>
        <w:t xml:space="preserve">未及时提供发票或提供的信息有误或提供虚假发票，</w:t>
      </w:r>
      <w:r>
        <w:rPr>
          <w:rFonts w:hint="eastAsia" w:ascii="黑体" w:hAnsi="黑体" w:eastAsia="黑体" w:cs="黑体"/>
          <w:color w:val="auto"/>
          <w:sz w:val="24"/>
          <w:highlight w:val="none"/>
        </w:rPr>
        <w:t xml:space="preserve">甲方</w:t>
      </w:r>
      <w:r>
        <w:rPr>
          <w:rFonts w:hint="eastAsia" w:ascii="黑体" w:hAnsi="黑体" w:eastAsia="黑体" w:cs="黑体"/>
          <w:color w:val="auto"/>
          <w:sz w:val="24"/>
          <w:highlight w:val="none"/>
          <w:lang w:val="zh-CN"/>
        </w:rPr>
        <w:t xml:space="preserve">有权对发票金额等值货款拒绝支付且不承担任何责任。</w:t>
      </w:r>
      <w:r/>
    </w:p>
    <w:p>
      <w:pPr>
        <w:ind w:firstLine="482"/>
        <w:spacing w:line="460" w:lineRule="exact"/>
        <w:rPr>
          <w:rFonts w:hint="eastAsia" w:ascii="黑体" w:hAnsi="黑体" w:eastAsia="黑体" w:cs="黑体"/>
          <w:color w:val="auto"/>
          <w:sz w:val="24"/>
          <w:highlight w:val="none"/>
          <w:lang w:val="zh-CN"/>
        </w:rPr>
      </w:pPr>
      <w:r>
        <w:rPr>
          <w:rFonts w:hint="eastAsia" w:ascii="黑体" w:hAnsi="黑体" w:eastAsia="黑体" w:cs="黑体"/>
          <w:b/>
          <w:bCs/>
          <w:color w:val="auto"/>
          <w:sz w:val="24"/>
          <w:highlight w:val="none"/>
          <w:lang w:val="zh-CN"/>
        </w:rPr>
        <w:t xml:space="preserve">（4）服务内容：</w:t>
      </w:r>
      <w:r>
        <w:rPr>
          <w:rFonts w:hint="eastAsia" w:ascii="黑体" w:hAnsi="黑体" w:eastAsia="黑体" w:cs="黑体"/>
          <w:color w:val="auto"/>
          <w:sz w:val="24"/>
          <w:highlight w:val="none"/>
          <w:lang w:val="zh-CN"/>
        </w:rPr>
        <w:t xml:space="preserve">用地勘测定界。具体为农转用及土地征收、土地供应、登记发证等勘测定界的技术服务工作。</w:t>
      </w:r>
      <w:r/>
    </w:p>
    <w:p>
      <w:pPr>
        <w:ind w:firstLine="480"/>
        <w:spacing w:line="460" w:lineRule="exac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①甲方将用地红线图等相关资料交给乙方，乙方即时提供红线范围界址点坐标（2000国家大地坐标系），交给甲方审核是否符合国土空间规划等相关规划。对经甲方审核符合要求的地块，乙方即时到实地勘测。</w:t>
      </w:r>
      <w:r/>
    </w:p>
    <w:p>
      <w:pPr>
        <w:ind w:firstLine="480"/>
        <w:spacing w:line="460" w:lineRule="exac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②乙方实地勘测，同时配合调查土地权属、地类、面积。乙方需保证勘测定界图的现势性。</w:t>
      </w:r>
      <w:r/>
    </w:p>
    <w:p>
      <w:pPr>
        <w:ind w:firstLine="480"/>
        <w:spacing w:line="460" w:lineRule="exac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③乙方实地勘测后将地块实地调查的土地权属地类面积表、标示地块位置的土地利用现状图等材料交给甲方审核。</w:t>
      </w:r>
      <w:r/>
    </w:p>
    <w:p>
      <w:pPr>
        <w:ind w:firstLine="480"/>
        <w:spacing w:line="460" w:lineRule="exac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④乙方根据甲方审核意见修改土地勘测定界技术报告。</w:t>
      </w:r>
      <w:r/>
    </w:p>
    <w:p>
      <w:pPr>
        <w:ind w:firstLine="480"/>
        <w:spacing w:line="460" w:lineRule="exac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⑤乙方根据甲方需求，录入勘测定界数据成果，制作勘测定界技术报告及勘测定界图、土地利用现状图、规划图等材料。</w:t>
      </w:r>
      <w:r/>
    </w:p>
    <w:p>
      <w:pPr>
        <w:ind w:firstLine="480"/>
        <w:spacing w:line="460" w:lineRule="exac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⑥乙方根据时限要求，对成交后的地块进行交地放桩。</w:t>
      </w:r>
      <w:r/>
    </w:p>
    <w:p>
      <w:pPr>
        <w:ind w:firstLine="480"/>
        <w:spacing w:line="4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lang w:val="zh-CN"/>
        </w:rPr>
        <w:t xml:space="preserve">⑦其他涉及土地征收、临时用地、土地供应过程中测绘技术服务工作。</w:t>
      </w:r>
      <w:r/>
    </w:p>
    <w:p>
      <w:pPr>
        <w:pStyle w:val="748"/>
        <w:ind w:firstLine="482"/>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（5）服务要求</w:t>
      </w:r>
      <w:r/>
    </w:p>
    <w:p>
      <w:pPr>
        <w:ind w:firstLine="480"/>
        <w:spacing w:line="460" w:lineRule="exac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一般技术要求</w:t>
      </w:r>
      <w:r/>
    </w:p>
    <w:p>
      <w:pPr>
        <w:ind w:firstLine="480"/>
        <w:spacing w:line="460" w:lineRule="exac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①根据甲方要求采用 1994 年南通城市坐标系或2000国家大地坐标系， 高程系统采用1985 国家高程基准。</w:t>
      </w:r>
      <w:r/>
    </w:p>
    <w:p>
      <w:pPr>
        <w:ind w:firstLine="480"/>
        <w:spacing w:line="460" w:lineRule="exac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②土地勘测 定界或宗地测绘比例尺为1: 500, 地形测绘按1: 500 或 1: 1000 比例尺测绘，根据幅面出图。</w:t>
      </w:r>
      <w:r/>
    </w:p>
    <w:p>
      <w:pPr>
        <w:ind w:firstLine="480"/>
        <w:spacing w:line="460" w:lineRule="exac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成果要求：</w:t>
      </w:r>
      <w:r/>
    </w:p>
    <w:p>
      <w:pPr>
        <w:ind w:firstLine="480"/>
        <w:spacing w:line="460" w:lineRule="exac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土地勘测定界成果满足项目报批或不动产登记发证的要求。</w:t>
      </w:r>
      <w:r/>
    </w:p>
    <w:p>
      <w:pPr>
        <w:ind w:firstLine="480"/>
        <w:spacing w:line="460" w:lineRule="exac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工作要求：</w:t>
      </w:r>
      <w:r/>
    </w:p>
    <w:p>
      <w:pPr>
        <w:ind w:firstLine="480"/>
        <w:spacing w:line="460" w:lineRule="exac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①客观性和公正性原则：测绘人员应当没有偏见，在最小主观判断情形下，按照双方相互认可的测绘方案开展。</w:t>
      </w:r>
      <w:r/>
    </w:p>
    <w:p>
      <w:pPr>
        <w:ind w:firstLine="480"/>
        <w:spacing w:line="460" w:lineRule="exac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lang w:val="zh-CN"/>
        </w:rPr>
        <w:t xml:space="preserve">②保密原则：在测绘过程中，需严格遵循保密原则，双方签订保密协议，对服务过程中涉及到的任何用户信息未经允许不向其他任何第三方泄漏，以及不得利用这些信息损害采购方利益。</w:t>
      </w:r>
      <w:r/>
    </w:p>
    <w:p>
      <w:pPr>
        <w:ind w:firstLine="482"/>
        <w:spacing w:line="460" w:lineRule="exact"/>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lang w:val="zh-CN"/>
        </w:rPr>
        <w:t xml:space="preserve">（</w:t>
      </w:r>
      <w:r>
        <w:rPr>
          <w:rFonts w:hint="eastAsia" w:ascii="黑体" w:hAnsi="黑体" w:eastAsia="黑体" w:cs="黑体"/>
          <w:b/>
          <w:bCs/>
          <w:color w:val="auto"/>
          <w:sz w:val="24"/>
          <w:highlight w:val="none"/>
        </w:rPr>
        <w:t xml:space="preserve">6</w:t>
      </w:r>
      <w:r>
        <w:rPr>
          <w:rFonts w:hint="eastAsia" w:ascii="黑体" w:hAnsi="黑体" w:eastAsia="黑体" w:cs="黑体"/>
          <w:b/>
          <w:bCs/>
          <w:color w:val="auto"/>
          <w:sz w:val="24"/>
          <w:highlight w:val="none"/>
          <w:lang w:val="zh-CN"/>
        </w:rPr>
        <w:t xml:space="preserve">）</w:t>
      </w:r>
      <w:r>
        <w:rPr>
          <w:rFonts w:hint="eastAsia" w:ascii="黑体" w:hAnsi="黑体" w:eastAsia="黑体" w:cs="黑体"/>
          <w:b/>
          <w:bCs/>
          <w:color w:val="auto"/>
          <w:sz w:val="24"/>
          <w:highlight w:val="none"/>
        </w:rPr>
        <w:t xml:space="preserve">验收标准及考核标准</w:t>
      </w:r>
      <w:r/>
    </w:p>
    <w:p>
      <w:pPr>
        <w:ind w:firstLine="480"/>
        <w:spacing w:line="4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① 乙方必须在南通市经济技术开发区设立日常办公地点，且有4名固定工作人员，其中1名熟悉本项目业务的人员常驻甲方单位，2-3名外业工作人员在开发区范围内随时待命，保证接到测绘任务通知后2个小时内派技术人员到达现场开展测绘任务，在3个有效工作日内完成宗地测量工作，在甲方规定的时限内完成其他测绘工作，并提交全部成果资料。否则，甲方有权单方面解除合同。</w:t>
      </w:r>
      <w:r/>
    </w:p>
    <w:p>
      <w:pPr>
        <w:ind w:firstLine="480"/>
        <w:spacing w:line="460" w:lineRule="exac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rPr>
        <w:t xml:space="preserve">②</w:t>
      </w:r>
      <w:r>
        <w:rPr>
          <w:rFonts w:hint="eastAsia" w:ascii="黑体" w:hAnsi="黑体" w:eastAsia="黑体" w:cs="黑体"/>
          <w:color w:val="auto"/>
          <w:sz w:val="24"/>
          <w:highlight w:val="none"/>
          <w:lang w:val="zh-CN"/>
        </w:rPr>
        <w:t xml:space="preserve">乙方必须保证测绘成果按甲方要求100%准确无误，甲方将不定期对乙方成果进行抽查，乙方予以积极配合。</w:t>
      </w:r>
      <w:r/>
    </w:p>
    <w:p>
      <w:pPr>
        <w:ind w:firstLine="480"/>
        <w:spacing w:line="460" w:lineRule="exac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rPr>
        <w:t xml:space="preserve">③</w:t>
      </w:r>
      <w:r>
        <w:rPr>
          <w:rFonts w:hint="eastAsia" w:ascii="黑体" w:hAnsi="黑体" w:eastAsia="黑体" w:cs="黑体"/>
          <w:color w:val="auto"/>
          <w:sz w:val="24"/>
          <w:highlight w:val="none"/>
          <w:lang w:val="zh-CN"/>
        </w:rPr>
        <w:t xml:space="preserve">对于甲方提供的图纸和技术资料以及属于甲方的测绘成果，乙方有义务保密，不得向第三方转让，否则，甲方有权对因此造成的损失追加责任。</w:t>
      </w:r>
      <w:r/>
    </w:p>
    <w:p>
      <w:pPr>
        <w:ind w:firstLine="480"/>
        <w:spacing w:line="460" w:lineRule="exac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rPr>
        <w:t xml:space="preserve">④</w:t>
      </w:r>
      <w:r>
        <w:rPr>
          <w:rFonts w:hint="eastAsia" w:ascii="黑体" w:hAnsi="黑体" w:eastAsia="黑体" w:cs="黑体"/>
          <w:color w:val="auto"/>
          <w:sz w:val="24"/>
          <w:highlight w:val="none"/>
          <w:lang w:val="zh-CN"/>
        </w:rPr>
        <w:t xml:space="preserve">若乙方提供的测绘成果，质量不合格，应负责无偿给予重测或采用补救措施，以达到质量要求 。因测绘成果质量不符合合同规定的要求（而由非甲方提供的图纸及资料原因所致）造成后果时，乙方应对此造成的直接损失负赔偿责任，并承担相应的法律责任（由于甲方提供的图纸及资料原因产生的责任由甲方负责）。</w:t>
      </w:r>
      <w:r/>
    </w:p>
    <w:p>
      <w:pPr>
        <w:ind w:firstLine="480"/>
        <w:spacing w:line="460" w:lineRule="exact"/>
        <w:rPr>
          <w:rFonts w:hint="eastAsia" w:ascii="黑体" w:hAnsi="黑体" w:eastAsia="黑体" w:cs="黑体"/>
          <w:color w:val="auto"/>
          <w:sz w:val="24"/>
          <w:highlight w:val="none"/>
          <w:lang w:val="zh-CN"/>
        </w:rPr>
      </w:pPr>
      <w:r>
        <w:rPr>
          <w:rFonts w:hint="eastAsia" w:ascii="黑体" w:hAnsi="黑体" w:eastAsia="黑体" w:cs="黑体"/>
          <w:color w:val="auto"/>
          <w:sz w:val="24"/>
          <w:highlight w:val="none"/>
        </w:rPr>
        <w:t xml:space="preserve">⑤</w:t>
      </w:r>
      <w:r>
        <w:rPr>
          <w:rFonts w:hint="eastAsia" w:ascii="黑体" w:hAnsi="黑体" w:eastAsia="黑体" w:cs="黑体"/>
          <w:color w:val="auto"/>
          <w:sz w:val="24"/>
          <w:highlight w:val="none"/>
          <w:lang w:val="zh-CN"/>
        </w:rPr>
        <w:t xml:space="preserve">因乙方工作失误，造成不良影响的， 甲方有权单方面解除合同。</w:t>
      </w:r>
      <w:r/>
    </w:p>
    <w:p>
      <w:pPr>
        <w:ind w:firstLine="480"/>
        <w:spacing w:line="4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⑥</w:t>
      </w:r>
      <w:r>
        <w:rPr>
          <w:rFonts w:hint="eastAsia" w:ascii="黑体" w:hAnsi="黑体" w:eastAsia="黑体" w:cs="黑体"/>
          <w:color w:val="auto"/>
          <w:sz w:val="24"/>
          <w:highlight w:val="none"/>
          <w:lang w:val="zh-CN"/>
        </w:rPr>
        <w:t xml:space="preserve">乙方不得将甲方委托的测绘业务转包给第三方，一经发现，本合同立即终止，并且乙方必须承担相应的责任。</w:t>
      </w:r>
      <w:r/>
    </w:p>
    <w:p>
      <w:pPr>
        <w:ind w:firstLine="480"/>
        <w:spacing w:line="4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第四条  权利义务</w:t>
      </w:r>
      <w:r/>
    </w:p>
    <w:p>
      <w:pPr>
        <w:ind w:firstLine="482"/>
        <w:spacing w:line="460" w:lineRule="exact"/>
        <w:tabs>
          <w:tab w:val="left" w:pos="2472" w:leader="none"/>
        </w:tabs>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（1）双方权利</w:t>
      </w:r>
      <w:r/>
    </w:p>
    <w:p>
      <w:pPr>
        <w:ind w:firstLine="482"/>
        <w:spacing w:line="460" w:lineRule="exact"/>
        <w:tabs>
          <w:tab w:val="left" w:pos="2472" w:leader="none"/>
        </w:tabs>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1．甲方权利</w:t>
      </w:r>
      <w:r/>
    </w:p>
    <w:p>
      <w:pPr>
        <w:ind w:firstLine="480"/>
        <w:spacing w:line="460" w:lineRule="exact"/>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（1）资料成果的所有权、著作权，除甲、乙双方另有约定外，归属甲方；</w:t>
      </w:r>
      <w:r/>
    </w:p>
    <w:p>
      <w:pPr>
        <w:ind w:firstLine="480"/>
        <w:spacing w:line="460" w:lineRule="exact"/>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（2）甲方有权对乙方的工作进行监督，并要求乙方在约定期限内完成工作。</w:t>
      </w:r>
      <w:r/>
    </w:p>
    <w:p>
      <w:pPr>
        <w:ind w:firstLine="482"/>
        <w:spacing w:line="460" w:lineRule="exact"/>
        <w:tabs>
          <w:tab w:val="left" w:pos="2472" w:leader="none"/>
        </w:tabs>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2．乙方权利</w:t>
      </w:r>
      <w:r/>
    </w:p>
    <w:p>
      <w:pPr>
        <w:ind w:firstLine="480"/>
        <w:spacing w:line="460" w:lineRule="exact"/>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（1）乙方有权要求甲方按照合同规定时间支付项目服务费用。</w:t>
      </w:r>
      <w:r/>
    </w:p>
    <w:p>
      <w:pPr>
        <w:ind w:firstLine="480"/>
        <w:spacing w:line="460" w:lineRule="exact"/>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（2）乙方整理内业资料、开展外业工作，甲方应配合。</w:t>
      </w:r>
      <w:r/>
    </w:p>
    <w:p>
      <w:pPr>
        <w:ind w:firstLine="482"/>
        <w:spacing w:line="460" w:lineRule="exact"/>
        <w:tabs>
          <w:tab w:val="left" w:pos="2472" w:leader="none"/>
        </w:tabs>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（2）双方义务</w:t>
      </w:r>
      <w:r/>
    </w:p>
    <w:p>
      <w:pPr>
        <w:ind w:firstLine="482"/>
        <w:spacing w:line="460" w:lineRule="exact"/>
        <w:tabs>
          <w:tab w:val="left" w:pos="2472" w:leader="none"/>
        </w:tabs>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1．甲方义务</w:t>
      </w:r>
      <w:r/>
    </w:p>
    <w:p>
      <w:pPr>
        <w:ind w:firstLine="480"/>
        <w:spacing w:line="460" w:lineRule="exact"/>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（1）合同签订生效后，甲方向乙方提供项目的基础资料；</w:t>
      </w:r>
      <w:r/>
    </w:p>
    <w:p>
      <w:pPr>
        <w:ind w:firstLine="480"/>
        <w:spacing w:line="460" w:lineRule="exact"/>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（2）甲方在项目进展的实时阶段，及时通知乙方进场技术作业；</w:t>
      </w:r>
      <w:r/>
    </w:p>
    <w:p>
      <w:pPr>
        <w:ind w:firstLine="480"/>
        <w:spacing w:line="460" w:lineRule="exact"/>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（3）甲方保证乙方工作人员顺利开展工作，并提供必要的生产安全保障条件；</w:t>
      </w:r>
      <w:r/>
    </w:p>
    <w:p>
      <w:pPr>
        <w:ind w:firstLine="482"/>
        <w:spacing w:line="460" w:lineRule="exact"/>
        <w:tabs>
          <w:tab w:val="left" w:pos="2472" w:leader="none"/>
        </w:tabs>
        <w:rPr>
          <w:rFonts w:hint="eastAsia" w:ascii="黑体" w:hAnsi="黑体" w:eastAsia="黑体" w:cs="黑体"/>
          <w:b/>
          <w:color w:val="auto"/>
          <w:sz w:val="24"/>
          <w:highlight w:val="none"/>
        </w:rPr>
      </w:pPr>
      <w:r>
        <w:rPr>
          <w:rFonts w:hint="eastAsia" w:ascii="黑体" w:hAnsi="黑体" w:eastAsia="黑体" w:cs="黑体"/>
          <w:b/>
          <w:color w:val="auto"/>
          <w:sz w:val="24"/>
          <w:highlight w:val="none"/>
        </w:rPr>
        <w:t xml:space="preserve">2．乙方义务</w:t>
      </w:r>
      <w:r/>
    </w:p>
    <w:p>
      <w:pPr>
        <w:ind w:firstLine="480"/>
        <w:spacing w:line="460" w:lineRule="exact"/>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（1）当甲方已提供项目所需的资料，且项目满足相应阶段的进场要求后，按甲方通知的日期组织工作人员进场作业；</w:t>
      </w:r>
      <w:r/>
    </w:p>
    <w:p>
      <w:pPr>
        <w:ind w:firstLine="480"/>
        <w:spacing w:line="460" w:lineRule="exact"/>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（2）按时完成任务并向甲方提交合格的成果；</w:t>
      </w:r>
      <w:r/>
    </w:p>
    <w:p>
      <w:pPr>
        <w:ind w:firstLine="480"/>
        <w:spacing w:line="460" w:lineRule="exact"/>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（3）乙方确保技术过程及成果不侵犯第三方合法权益；</w:t>
      </w:r>
      <w:r/>
    </w:p>
    <w:p>
      <w:pPr>
        <w:ind w:firstLine="480"/>
        <w:spacing w:line="460" w:lineRule="exact"/>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（4）乙方保证本项目负责人、作业人员均为本单位的正式工作人员；</w:t>
      </w:r>
      <w:r/>
    </w:p>
    <w:p>
      <w:pPr>
        <w:ind w:firstLine="480"/>
        <w:spacing w:line="460" w:lineRule="exact"/>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（5）乙方应当保证项目技术服务过程合法合规进行，保障己方人员的人身安全；</w:t>
      </w:r>
      <w:r/>
    </w:p>
    <w:p>
      <w:pPr>
        <w:ind w:firstLine="240"/>
        <w:spacing w:line="360" w:lineRule="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（6）对于甲方提供的资料以及属于甲方的成果，乙方有保密义务，除法律规定或合同另有约定外，不得向第三方透露或转让。</w:t>
      </w:r>
      <w:r/>
    </w:p>
    <w:p>
      <w:pPr>
        <w:ind w:firstLine="241"/>
        <w:spacing w:line="360" w:lineRule="auto"/>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第五条保密条款供参考：</w:t>
      </w:r>
      <w:r/>
    </w:p>
    <w:p>
      <w:pPr>
        <w:pStyle w:val="734"/>
        <w:ind w:right="96" w:firstLine="240"/>
        <w:jc w:val="left"/>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5.1.本合同所指的“保密信息”包括但不限于：</w:t>
      </w:r>
      <w:r/>
    </w:p>
    <w:p>
      <w:pPr>
        <w:pStyle w:val="734"/>
        <w:ind w:right="96" w:firstLine="240"/>
        <w:jc w:val="left"/>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5.1.1.甲方（采购方）在采购过程和合同履行过程中向乙方（投标单位）提供的所有技术资料、商业信息、数据、图纸、规格、预算、计划等，无论其以书面、口头、电子或其他任何形式存在；</w:t>
      </w:r>
      <w:r/>
    </w:p>
    <w:p>
      <w:pPr>
        <w:pStyle w:val="734"/>
        <w:ind w:right="96" w:firstLine="240"/>
        <w:jc w:val="left"/>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5.1.2.为履行本合同乙方可能接触到的甲方及其上级单位、关联单位的任何未公开的信息；</w:t>
      </w:r>
      <w:r/>
    </w:p>
    <w:p>
      <w:pPr>
        <w:pStyle w:val="734"/>
        <w:ind w:right="96" w:firstLine="240"/>
        <w:jc w:val="left"/>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5.1.3.本合同本身的内容、条款及合同金额；</w:t>
      </w:r>
      <w:r/>
    </w:p>
    <w:p>
      <w:pPr>
        <w:pStyle w:val="734"/>
        <w:ind w:right="96" w:firstLine="240"/>
        <w:jc w:val="left"/>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5.1.4.双方在合同履行过程中共同知悉的、标明为“保密”或虽未标明但根据其性质应被合理认定为保密的信息。</w:t>
      </w:r>
      <w:r/>
    </w:p>
    <w:p>
      <w:pPr>
        <w:pStyle w:val="734"/>
        <w:ind w:right="96" w:firstLine="240"/>
        <w:jc w:val="left"/>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5.2.保密义务</w:t>
      </w:r>
      <w:r/>
    </w:p>
    <w:p>
      <w:pPr>
        <w:pStyle w:val="734"/>
        <w:ind w:right="96" w:firstLine="240"/>
        <w:jc w:val="left"/>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5.2.1.乙方应对其员工、代理人、分包商等所有可能接触保密信息的人员（以下简称“乙方人员”）承担同等的保密义务，并采取一切必要的保密措施，防止保密信息泄露。</w:t>
      </w:r>
      <w:r/>
    </w:p>
    <w:p>
      <w:pPr>
        <w:pStyle w:val="734"/>
        <w:ind w:right="96" w:firstLine="240"/>
        <w:jc w:val="left"/>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5.2.2.未经甲方事先书面同意，乙方不得以任何形式（包括但不限于复制、记录、披露、使用、转让）向任何第三方泄露本条款所述的任何保密信息。</w:t>
      </w:r>
      <w:r/>
    </w:p>
    <w:p>
      <w:pPr>
        <w:pStyle w:val="734"/>
        <w:ind w:right="96" w:firstLine="240"/>
        <w:jc w:val="left"/>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5.2.3.乙方应在本合同履行完毕后，将形成的所有成果全部移交给甲方，不得擅自留存；乙方的保密义务不因本合同的终止、解除、无效或履行完毕而失效。</w:t>
      </w:r>
      <w:r/>
    </w:p>
    <w:p>
      <w:pPr>
        <w:pStyle w:val="734"/>
        <w:ind w:right="96" w:firstLine="240"/>
        <w:jc w:val="left"/>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5.3.保密期限</w:t>
      </w:r>
      <w:r/>
    </w:p>
    <w:p>
      <w:pPr>
        <w:pStyle w:val="734"/>
        <w:ind w:right="96"/>
        <w:jc w:val="left"/>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乙方的保密义务自乙方知悉保密信息之日起开始，持续有效，直至该信息由甲方通过合法途径公开或实际上已进入公知领域为止。</w:t>
      </w:r>
      <w:r/>
    </w:p>
    <w:p>
      <w:pPr>
        <w:pStyle w:val="734"/>
        <w:ind w:right="96" w:firstLine="240"/>
        <w:jc w:val="left"/>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5.4.例外情况</w:t>
      </w:r>
      <w:r/>
    </w:p>
    <w:p>
      <w:pPr>
        <w:pStyle w:val="734"/>
        <w:ind w:right="96"/>
        <w:jc w:val="left"/>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本条款规定的保密义务不适用于以下信息：     </w:t>
      </w:r>
      <w:r/>
    </w:p>
    <w:p>
      <w:pPr>
        <w:pStyle w:val="734"/>
        <w:ind w:right="96" w:firstLine="240"/>
        <w:jc w:val="left"/>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5.4.1.在甲方披露之前，已为乙方合法拥有且无保密义务的信息；    </w:t>
      </w:r>
      <w:r/>
    </w:p>
    <w:p>
      <w:pPr>
        <w:pStyle w:val="734"/>
        <w:ind w:right="96" w:firstLine="240"/>
        <w:jc w:val="left"/>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5.4.2.非因乙方过错已进入公知领域的信息；      </w:t>
      </w:r>
      <w:r/>
    </w:p>
    <w:p>
      <w:pPr>
        <w:pStyle w:val="734"/>
        <w:ind w:right="96" w:firstLine="240"/>
        <w:jc w:val="left"/>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5.4.3.乙方在未违反本合同的情况下，独立开发获得的信息；       </w:t>
      </w:r>
      <w:r/>
    </w:p>
    <w:p>
      <w:pPr>
        <w:pStyle w:val="734"/>
        <w:ind w:right="96" w:firstLine="240"/>
        <w:jc w:val="left"/>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5.4.4.根据法律、法规或有权政府机关、司法机构的要求必须披露的信息。但在披露前，乙方应尽可能及时通知甲方，以便甲方采取保护措施。</w:t>
      </w:r>
      <w:r/>
    </w:p>
    <w:p>
      <w:pPr>
        <w:pStyle w:val="734"/>
        <w:ind w:right="96" w:firstLine="240"/>
        <w:jc w:val="left"/>
        <w:spacing w:line="44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5.5.如乙方违反本保密条款的规定，甲方有权立即终止本合同，并要求乙方承担由此给甲方造成的一切直接和间接经济损失。乙方的违约责任包括但不限于赔偿损失、支付违约金等。构成犯罪的，依法移交司法机关追究刑事责任。</w:t>
      </w:r>
      <w:r/>
    </w:p>
    <w:p>
      <w:pPr>
        <w:spacing w:line="480" w:lineRule="exact"/>
        <w:tabs>
          <w:tab w:val="left" w:pos="425" w:leader="none"/>
          <w:tab w:val="left" w:pos="540" w:leader="none"/>
          <w:tab w:val="left" w:pos="709" w:leader="none"/>
        </w:tabs>
        <w:rPr>
          <w:rFonts w:hint="eastAsia" w:ascii="黑体" w:hAnsi="黑体" w:eastAsia="黑体" w:cs="黑体"/>
          <w:b/>
          <w:bCs/>
          <w:color w:val="auto"/>
          <w:sz w:val="24"/>
          <w:highlight w:val="none"/>
        </w:rPr>
      </w:pPr>
      <w:r>
        <w:rPr>
          <w:rFonts w:hint="eastAsia" w:ascii="黑体" w:hAnsi="黑体" w:eastAsia="黑体" w:cs="黑体"/>
          <w:b/>
          <w:bCs/>
          <w:color w:val="auto"/>
          <w:sz w:val="24"/>
          <w:highlight w:val="none"/>
        </w:rPr>
        <w:t xml:space="preserve">第六条廉政建设条款</w:t>
      </w:r>
      <w:r/>
    </w:p>
    <w:p>
      <w:pPr>
        <w:ind w:firstLine="480"/>
        <w:spacing w:line="480" w:lineRule="exact"/>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6.1廉政承诺</w:t>
      </w:r>
      <w:r/>
    </w:p>
    <w:p>
      <w:pPr>
        <w:ind w:firstLine="480"/>
        <w:spacing w:line="480" w:lineRule="exact"/>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1、双方应严格遵守《中华人民共和国政府采购法》、《中华人民共和国反不正当竞争法》等国家有关法律法规关于廉政建设的各项规定。</w:t>
      </w:r>
      <w:r/>
    </w:p>
    <w:p>
      <w:pPr>
        <w:ind w:firstLine="480"/>
        <w:spacing w:line="480" w:lineRule="exact"/>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2、乙方承诺不得以任何形式向甲方单位、甲方工作人员及其亲属进行贿赂、提供回扣、赠送礼品礼金、有价证券、支付凭证或提供其他不正当利益。</w:t>
      </w:r>
      <w:r/>
    </w:p>
    <w:p>
      <w:pPr>
        <w:ind w:firstLine="480"/>
        <w:spacing w:line="480" w:lineRule="exact"/>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6.2乙方及其工作人员在合同签订及履行过程中，严格禁止以下行为：     </w:t>
      </w:r>
      <w:r/>
    </w:p>
    <w:p>
      <w:pPr>
        <w:ind w:firstLine="480"/>
        <w:spacing w:line="480" w:lineRule="exact"/>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1、向甲方工作人员行贿或馈赠礼品、礼金、购物卡、有价证券等；       </w:t>
      </w:r>
      <w:r/>
    </w:p>
    <w:p>
      <w:pPr>
        <w:ind w:firstLine="480"/>
        <w:spacing w:line="480" w:lineRule="exact"/>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2、为甲方工作人员报销应由其个人支付的费用；   </w:t>
      </w:r>
      <w:r/>
    </w:p>
    <w:p>
      <w:pPr>
        <w:ind w:firstLine="480"/>
        <w:spacing w:line="480" w:lineRule="exact"/>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3、邀请甲方工作人员参加可能影响公正执行公务的宴请、旅游、健身、娱乐等活动；       </w:t>
      </w:r>
      <w:r/>
    </w:p>
    <w:p>
      <w:pPr>
        <w:ind w:firstLine="480"/>
        <w:spacing w:line="480" w:lineRule="exact"/>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4、为甲方工作人员购置通讯工具、交通工具、家电等物品；    </w:t>
      </w:r>
      <w:r/>
    </w:p>
    <w:p>
      <w:pPr>
        <w:ind w:firstLine="480"/>
        <w:spacing w:line="480" w:lineRule="exact"/>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5、与甲方工作人员就合同价格、数量、质量、履行期限等实质性内容进行私下商谈或者达成默契，损害国家利益； </w:t>
      </w:r>
      <w:r/>
    </w:p>
    <w:p>
      <w:pPr>
        <w:ind w:firstLine="480"/>
        <w:spacing w:line="480" w:lineRule="exact"/>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6、其他可能影响合同公正履行的不正当行为。</w:t>
      </w:r>
      <w:r/>
    </w:p>
    <w:p>
      <w:pPr>
        <w:ind w:firstLine="480"/>
        <w:spacing w:line="480" w:lineRule="exact"/>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6.3甲方的监督与检查</w:t>
      </w:r>
      <w:r/>
    </w:p>
    <w:p>
      <w:pPr>
        <w:ind w:firstLine="480"/>
        <w:spacing w:line="480" w:lineRule="exact"/>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1、甲方有权对乙方履行本合同廉政条款的情况进行监督和检查。</w:t>
      </w:r>
      <w:r/>
    </w:p>
    <w:p>
      <w:pPr>
        <w:ind w:firstLine="480"/>
        <w:spacing w:line="480" w:lineRule="exact"/>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2、乙方应积极配合甲方的监督检查，如实提供相关材料和信息。</w:t>
      </w:r>
      <w:r/>
    </w:p>
    <w:p>
      <w:pPr>
        <w:ind w:firstLine="480"/>
        <w:spacing w:line="480" w:lineRule="exact"/>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6.4乙方的违约责任</w:t>
      </w:r>
      <w:r/>
    </w:p>
    <w:p>
      <w:pPr>
        <w:ind w:firstLine="480"/>
        <w:spacing w:line="480" w:lineRule="exact"/>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1、乙方如发生本条款所述的任何禁止行为，均被视为严重违约。</w:t>
      </w:r>
      <w:r/>
    </w:p>
    <w:p>
      <w:pPr>
        <w:ind w:firstLine="480"/>
        <w:jc w:val="left"/>
        <w:spacing w:line="480" w:lineRule="exact"/>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2、甲方有权根据情节轻重，对乙方采取以下一项或多项措施：</w:t>
      </w:r>
      <w:r/>
    </w:p>
    <w:p>
      <w:pPr>
        <w:ind w:firstLine="480"/>
        <w:jc w:val="left"/>
        <w:spacing w:line="480" w:lineRule="exact"/>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（1）要求乙方限期纠正；</w:t>
      </w:r>
      <w:r/>
    </w:p>
    <w:p>
      <w:pPr>
        <w:ind w:firstLine="480"/>
        <w:jc w:val="left"/>
        <w:spacing w:line="480" w:lineRule="exact"/>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（2）扣除合同总价款 5%-10% 的违约金；</w:t>
      </w:r>
      <w:r/>
    </w:p>
    <w:p>
      <w:pPr>
        <w:ind w:firstLine="480"/>
        <w:jc w:val="left"/>
        <w:spacing w:line="480" w:lineRule="exact"/>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（3）单方面立即解除本合同，并无偿终止项目；</w:t>
      </w:r>
      <w:r/>
    </w:p>
    <w:p>
      <w:pPr>
        <w:ind w:firstLine="480"/>
        <w:jc w:val="left"/>
        <w:spacing w:line="480" w:lineRule="exact"/>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（4）将乙方列入政府采购不良行为记录名单或“黑名单”，一至三年内禁止其参加甲方所有政府采购活动；</w:t>
      </w:r>
      <w:r/>
    </w:p>
    <w:p>
      <w:pPr>
        <w:ind w:firstLine="480"/>
        <w:jc w:val="left"/>
        <w:spacing w:line="480" w:lineRule="exact"/>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（5）要求乙方赔偿甲方因此遭受的一切损失；</w:t>
      </w:r>
      <w:r/>
    </w:p>
    <w:p>
      <w:pPr>
        <w:ind w:firstLine="480"/>
        <w:jc w:val="left"/>
        <w:spacing w:line="480" w:lineRule="exact"/>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   （6）向纪检监察机关举报或向司法机关报案。</w:t>
      </w:r>
      <w:r/>
    </w:p>
    <w:p>
      <w:pPr>
        <w:ind w:firstLine="480"/>
        <w:spacing w:line="480" w:lineRule="exact"/>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6.5甲方的廉洁责任 </w:t>
      </w:r>
      <w:r/>
    </w:p>
    <w:p>
      <w:pPr>
        <w:ind w:firstLine="480"/>
        <w:spacing w:line="480" w:lineRule="exact"/>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甲方工作人员应恪守职业道德，保持廉洁，不得以任何形式向乙方索要或收受好处，不得刁难乙方。甲方如发现工作人员有违纪违法行为，将依法依规严肃处理。</w:t>
      </w:r>
      <w:r/>
    </w:p>
    <w:p>
      <w:pPr>
        <w:ind w:firstLine="480"/>
        <w:spacing w:line="480" w:lineRule="exact"/>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6.6廉政举报</w:t>
      </w:r>
      <w:r/>
    </w:p>
    <w:p>
      <w:pPr>
        <w:ind w:firstLine="480"/>
        <w:spacing w:line="480" w:lineRule="exact"/>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乙方如发现甲方工作人员有索贿、刁难等行为，有权向以下渠道实名或匿名举报。</w:t>
      </w:r>
      <w:r/>
    </w:p>
    <w:p>
      <w:pPr>
        <w:ind w:firstLine="480"/>
        <w:spacing w:line="480" w:lineRule="exact"/>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举报电话：0513-85989900</w:t>
      </w:r>
      <w:r/>
    </w:p>
    <w:p>
      <w:pPr>
        <w:ind w:firstLine="480"/>
        <w:spacing w:line="480" w:lineRule="exact"/>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举报邮箱：ntzgkfq@163.com  </w:t>
      </w:r>
      <w:r/>
    </w:p>
    <w:p>
      <w:pPr>
        <w:ind w:firstLine="480"/>
        <w:spacing w:line="480" w:lineRule="exact"/>
        <w:tabs>
          <w:tab w:val="left" w:pos="425" w:leader="none"/>
          <w:tab w:val="left" w:pos="540" w:leader="none"/>
          <w:tab w:val="left" w:pos="709" w:leader="none"/>
        </w:tabs>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举报地址：南通市经济技术开发区宏兴路9号能达大厦1605室  邮编：226009</w:t>
      </w:r>
      <w:r/>
    </w:p>
    <w:p>
      <w:pPr>
        <w:ind w:firstLine="480"/>
        <w:spacing w:line="460" w:lineRule="exact"/>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r>
      <w:r/>
    </w:p>
    <w:p>
      <w:pPr>
        <w:pStyle w:val="729"/>
        <w:ind w:firstLine="482"/>
        <w:keepLines w:val="0"/>
        <w:keepNext w:val="0"/>
        <w:spacing w:before="0" w:line="500" w:lineRule="exact"/>
        <w:rPr>
          <w:rFonts w:hint="eastAsia" w:ascii="黑体" w:hAnsi="黑体" w:eastAsia="黑体" w:cs="黑体"/>
          <w:color w:val="auto"/>
          <w:highlight w:val="none"/>
        </w:rPr>
      </w:pPr>
      <w:r>
        <w:rPr>
          <w:rFonts w:hint="eastAsia" w:ascii="黑体" w:hAnsi="黑体" w:eastAsia="黑体" w:cs="黑体"/>
          <w:color w:val="auto"/>
          <w:sz w:val="24"/>
          <w:highlight w:val="none"/>
        </w:rPr>
        <w:t xml:space="preserve">第七条</w:t>
      </w:r>
      <w:r>
        <w:rPr>
          <w:rFonts w:hint="eastAsia" w:ascii="黑体" w:hAnsi="黑体" w:eastAsia="黑体" w:cs="黑体"/>
          <w:color w:val="auto"/>
          <w:highlight w:val="none"/>
        </w:rPr>
        <w:t xml:space="preserve">违约条款</w:t>
      </w:r>
      <w:r/>
    </w:p>
    <w:p>
      <w:pPr>
        <w:pStyle w:val="734"/>
        <w:ind w:firstLine="480"/>
        <w:jc w:val="left"/>
        <w:spacing w:line="50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1.乙方不按期完成合同约定的内容，应向甲方支付违约金，除甲方或不可抗力造成原因外，每延迟交付一天，按合同总价款的0.5%支付违约金，违约金可直接</w:t>
      </w:r>
      <w:r>
        <w:rPr>
          <w:rFonts w:hint="eastAsia" w:ascii="黑体" w:hAnsi="黑体" w:eastAsia="黑体" w:cs="黑体"/>
          <w:color w:val="auto"/>
          <w:spacing w:val="-111"/>
          <w:sz w:val="24"/>
          <w:highlight w:val="none"/>
        </w:rPr>
        <w:t xml:space="preserve"> </w:t>
      </w:r>
      <w:r>
        <w:rPr>
          <w:rFonts w:hint="eastAsia" w:ascii="黑体" w:hAnsi="黑体" w:eastAsia="黑体" w:cs="黑体"/>
          <w:color w:val="auto"/>
          <w:sz w:val="24"/>
          <w:highlight w:val="none"/>
        </w:rPr>
        <w:t xml:space="preserve">从合同款中扣除; 延期超过3日，甲方有权强制解除合同。</w:t>
      </w:r>
      <w:r/>
    </w:p>
    <w:p>
      <w:pPr>
        <w:pStyle w:val="734"/>
        <w:ind w:firstLine="480"/>
        <w:jc w:val="left"/>
        <w:spacing w:line="50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2.本项目不得转让分包，如有发生，无条件清理退场，所造成的一切损失由乙方负责。</w:t>
      </w:r>
      <w:r/>
    </w:p>
    <w:p>
      <w:pPr>
        <w:pStyle w:val="734"/>
        <w:ind w:firstLine="480"/>
        <w:jc w:val="left"/>
        <w:spacing w:line="50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3.</w:t>
      </w:r>
      <w:r>
        <w:rPr>
          <w:rFonts w:hint="eastAsia" w:ascii="黑体" w:hAnsi="黑体" w:eastAsia="黑体" w:cs="黑体"/>
          <w:color w:val="auto"/>
          <w:sz w:val="24"/>
          <w:highlight w:val="none"/>
          <w:lang w:val="zh-CN"/>
        </w:rPr>
        <w:t xml:space="preserve">甲方</w:t>
      </w:r>
      <w:r>
        <w:rPr>
          <w:rFonts w:hint="eastAsia" w:ascii="黑体" w:hAnsi="黑体" w:eastAsia="黑体" w:cs="黑体"/>
          <w:color w:val="auto"/>
          <w:sz w:val="24"/>
          <w:highlight w:val="none"/>
        </w:rPr>
        <w:t xml:space="preserve">未按照约定期限付款的，除向乙方支付货款外，须按照中国人民银行同期同类贷款基本利率支付逾期利息。</w:t>
      </w:r>
      <w:r/>
    </w:p>
    <w:p>
      <w:pPr>
        <w:pStyle w:val="734"/>
        <w:ind w:firstLine="476"/>
        <w:spacing w:line="500" w:lineRule="exact"/>
        <w:rPr>
          <w:rFonts w:hint="eastAsia" w:ascii="黑体" w:hAnsi="黑体" w:eastAsia="黑体" w:cs="黑体"/>
          <w:color w:val="auto"/>
          <w:sz w:val="24"/>
          <w:highlight w:val="none"/>
        </w:rPr>
      </w:pPr>
      <w:r>
        <w:rPr>
          <w:rFonts w:hint="eastAsia" w:ascii="黑体" w:hAnsi="黑体" w:eastAsia="黑体" w:cs="黑体"/>
          <w:color w:val="auto"/>
          <w:spacing w:val="-1"/>
          <w:sz w:val="24"/>
          <w:highlight w:val="none"/>
        </w:rPr>
        <w:t xml:space="preserve">4.甲乙双方应当对本协议的内容、因履行本协议或在本协议获得或收到的对方的</w:t>
      </w:r>
      <w:r>
        <w:rPr>
          <w:rFonts w:hint="eastAsia" w:ascii="黑体" w:hAnsi="黑体" w:eastAsia="黑体" w:cs="黑体"/>
          <w:color w:val="auto"/>
          <w:spacing w:val="-2"/>
          <w:sz w:val="24"/>
          <w:highlight w:val="none"/>
        </w:rPr>
        <w:t xml:space="preserve">商务、财务、技术等资料承担保密义务，未经对方事先书面同意，不得向本协议以外</w:t>
      </w:r>
      <w:r>
        <w:rPr>
          <w:rFonts w:hint="eastAsia" w:ascii="黑体" w:hAnsi="黑体" w:eastAsia="黑体" w:cs="黑体"/>
          <w:color w:val="auto"/>
          <w:spacing w:val="-84"/>
          <w:sz w:val="24"/>
          <w:highlight w:val="none"/>
        </w:rPr>
        <w:t xml:space="preserve"> </w:t>
      </w:r>
      <w:r>
        <w:rPr>
          <w:rFonts w:hint="eastAsia" w:ascii="黑体" w:hAnsi="黑体" w:eastAsia="黑体" w:cs="黑体"/>
          <w:color w:val="auto"/>
          <w:sz w:val="24"/>
          <w:highlight w:val="none"/>
        </w:rPr>
        <w:t xml:space="preserve">的任何第三方披露。否则，由此所造成的一切损失由违约方负责。</w:t>
      </w:r>
      <w:r/>
    </w:p>
    <w:p>
      <w:pPr>
        <w:pStyle w:val="734"/>
        <w:ind w:firstLine="480"/>
        <w:spacing w:line="50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5.乙方在合同期内违反本合同的任一项，已发生的相关款项不予支付，甲方有权追回本合同的预付款，且三年内拒绝乙方参与本单位的所有项目，甲方如造成经济损失及不良影响的，依法追究其经济赔偿责任和法律责任。</w:t>
      </w:r>
      <w:r/>
    </w:p>
    <w:p>
      <w:pPr>
        <w:pStyle w:val="734"/>
        <w:ind w:firstLine="480"/>
        <w:spacing w:line="50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6.项目组成员不得随意更换，有必要更换的须经过甲方同意后方才可更换，否则一经发现，甲方有权终止合同，且扣除全部的履约保证金。</w:t>
      </w:r>
      <w:r/>
    </w:p>
    <w:p>
      <w:pPr>
        <w:ind w:firstLine="480"/>
        <w:spacing w:line="4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第八条  不可抗力</w:t>
      </w:r>
      <w:r/>
    </w:p>
    <w:p>
      <w:pPr>
        <w:ind w:firstLine="480"/>
        <w:spacing w:line="460" w:lineRule="exact"/>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在合同有效期内，任何一方因不可抗力事件导致不能履行合同，则合同履行期可延长，其延长期与不可抗力影响期相同。不可抗力事件发生后，应立即通知对方，并寄送有关权威机构出具的证明。</w:t>
      </w:r>
      <w:r/>
    </w:p>
    <w:p>
      <w:pPr>
        <w:ind w:firstLine="480"/>
        <w:spacing w:line="460" w:lineRule="exact"/>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不可抗力发生后，甲乙双方均应采取措施尽量避免和减少损失的扩大，任何一方当事人没有采取有效措施导致损失扩大的，应对扩大的损失承担责任。</w:t>
      </w:r>
      <w:r/>
    </w:p>
    <w:p>
      <w:pPr>
        <w:ind w:firstLine="480"/>
        <w:spacing w:line="4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第九条  协议补充</w:t>
      </w:r>
      <w:r/>
    </w:p>
    <w:p>
      <w:pPr>
        <w:ind w:firstLine="480"/>
        <w:spacing w:line="460" w:lineRule="exact"/>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本合同执行过程中的未尽事宜，双方应本着实事求是、友好协商的态度加以解决。如遇特殊情况（如设计变更、工作量变化、不可抗力因素等），双方在协商一致的基础上，再签订补充协议。补充协议与本合同具有同等法律效力。</w:t>
      </w:r>
      <w:r/>
    </w:p>
    <w:p>
      <w:pPr>
        <w:ind w:firstLine="480"/>
        <w:spacing w:line="4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第十条  纠纷解决</w:t>
      </w:r>
      <w:r/>
    </w:p>
    <w:p>
      <w:pPr>
        <w:ind w:firstLine="480"/>
        <w:spacing w:line="460" w:lineRule="exact"/>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双方在合同执行过程中发生纠纷的，可由双方协商解决，若达不成协议的，双方同意就本合同产生的纠纷向合同签订地法院起诉。</w:t>
      </w:r>
      <w:r/>
    </w:p>
    <w:p>
      <w:pPr>
        <w:ind w:firstLine="480"/>
        <w:spacing w:line="460" w:lineRule="exact"/>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第十一条  附则</w:t>
      </w:r>
      <w:r/>
    </w:p>
    <w:p>
      <w:pPr>
        <w:ind w:firstLine="480"/>
        <w:spacing w:line="460" w:lineRule="exact"/>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（一）本合同经双方法定代表人或委托代理人签字并加盖单位公章后生效。全部成果交接完毕和全部费用结算完成后终止。</w:t>
      </w:r>
      <w:r/>
    </w:p>
    <w:p>
      <w:pPr>
        <w:ind w:firstLine="480"/>
        <w:spacing w:line="460" w:lineRule="exact"/>
        <w:tabs>
          <w:tab w:val="left" w:pos="2472" w:leader="none"/>
        </w:tabs>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（二）本合同未尽事宜，遵照《中华人民共和国民法典》有关条文执行。</w:t>
      </w:r>
      <w:r/>
    </w:p>
    <w:p>
      <w:pPr>
        <w:ind w:firstLine="456"/>
        <w:spacing w:line="480" w:lineRule="exact"/>
        <w:tabs>
          <w:tab w:val="left" w:pos="2472" w:leader="none"/>
        </w:tabs>
        <w:rPr>
          <w:rFonts w:hint="eastAsia" w:ascii="黑体" w:hAnsi="黑体" w:eastAsia="黑体" w:cs="黑体"/>
          <w:bCs/>
          <w:color w:val="auto"/>
          <w:spacing w:val="-6"/>
          <w:sz w:val="24"/>
          <w:highlight w:val="none"/>
        </w:rPr>
      </w:pPr>
      <w:r>
        <w:rPr>
          <w:rFonts w:hint="eastAsia" w:ascii="黑体" w:hAnsi="黑体" w:eastAsia="黑体" w:cs="黑体"/>
          <w:bCs/>
          <w:color w:val="auto"/>
          <w:spacing w:val="-6"/>
          <w:sz w:val="24"/>
          <w:highlight w:val="none"/>
        </w:rPr>
      </w:r>
      <w:r/>
    </w:p>
    <w:p>
      <w:pPr>
        <w:ind w:firstLine="456"/>
        <w:spacing w:line="480" w:lineRule="exact"/>
        <w:tabs>
          <w:tab w:val="left" w:pos="2472" w:leader="none"/>
        </w:tabs>
        <w:rPr>
          <w:rFonts w:hint="eastAsia" w:ascii="黑体" w:hAnsi="黑体" w:eastAsia="黑体" w:cs="黑体"/>
          <w:bCs/>
          <w:color w:val="auto"/>
          <w:spacing w:val="-6"/>
          <w:sz w:val="24"/>
          <w:highlight w:val="none"/>
        </w:rPr>
      </w:pPr>
      <w:r>
        <w:rPr>
          <w:rFonts w:hint="eastAsia" w:ascii="黑体" w:hAnsi="黑体" w:eastAsia="黑体" w:cs="黑体"/>
          <w:bCs/>
          <w:color w:val="auto"/>
          <w:spacing w:val="-6"/>
          <w:sz w:val="24"/>
          <w:highlight w:val="none"/>
        </w:rPr>
      </w:r>
      <w:r/>
    </w:p>
    <w:p>
      <w:pPr>
        <w:ind w:firstLine="456"/>
        <w:spacing w:line="480" w:lineRule="exact"/>
        <w:tabs>
          <w:tab w:val="left" w:pos="2472" w:leader="none"/>
        </w:tabs>
        <w:rPr>
          <w:rFonts w:hint="eastAsia" w:ascii="黑体" w:hAnsi="黑体" w:eastAsia="黑体" w:cs="黑体"/>
          <w:bCs/>
          <w:color w:val="auto"/>
          <w:spacing w:val="-6"/>
          <w:sz w:val="24"/>
          <w:highlight w:val="none"/>
        </w:rPr>
      </w:pPr>
      <w:r>
        <w:rPr>
          <w:rFonts w:hint="eastAsia" w:ascii="黑体" w:hAnsi="黑体" w:eastAsia="黑体" w:cs="黑体"/>
          <w:bCs/>
          <w:color w:val="auto"/>
          <w:spacing w:val="-6"/>
          <w:sz w:val="24"/>
          <w:highlight w:val="none"/>
        </w:rPr>
      </w:r>
      <w:r/>
    </w:p>
    <w:p>
      <w:pPr>
        <w:ind w:firstLine="456"/>
        <w:spacing w:line="480" w:lineRule="exact"/>
        <w:tabs>
          <w:tab w:val="left" w:pos="2472" w:leader="none"/>
        </w:tabs>
        <w:rPr>
          <w:rFonts w:hint="eastAsia" w:ascii="黑体" w:hAnsi="黑体" w:eastAsia="黑体" w:cs="黑体"/>
          <w:bCs/>
          <w:color w:val="auto"/>
          <w:spacing w:val="-6"/>
          <w:sz w:val="24"/>
          <w:highlight w:val="none"/>
        </w:rPr>
      </w:pPr>
      <w:r>
        <w:rPr>
          <w:rFonts w:hint="eastAsia" w:ascii="黑体" w:hAnsi="黑体" w:eastAsia="黑体" w:cs="黑体"/>
          <w:bCs/>
          <w:color w:val="auto"/>
          <w:spacing w:val="-6"/>
          <w:sz w:val="24"/>
          <w:highlight w:val="none"/>
        </w:rPr>
        <w:t xml:space="preserve">委托方（甲方）：                        承揽方（乙方）:    </w:t>
      </w:r>
      <w:r/>
    </w:p>
    <w:p>
      <w:pPr>
        <w:ind w:firstLine="456"/>
        <w:spacing w:line="480" w:lineRule="exact"/>
        <w:tabs>
          <w:tab w:val="left" w:pos="2472" w:leader="none"/>
        </w:tabs>
        <w:rPr>
          <w:rFonts w:hint="eastAsia" w:ascii="黑体" w:hAnsi="黑体" w:eastAsia="黑体" w:cs="黑体"/>
          <w:bCs/>
          <w:color w:val="auto"/>
          <w:spacing w:val="-6"/>
          <w:sz w:val="24"/>
          <w:highlight w:val="none"/>
        </w:rPr>
      </w:pPr>
      <w:r>
        <w:rPr>
          <w:rFonts w:hint="eastAsia" w:ascii="黑体" w:hAnsi="黑体" w:eastAsia="黑体" w:cs="黑体"/>
          <w:bCs/>
          <w:color w:val="auto"/>
          <w:spacing w:val="-6"/>
          <w:sz w:val="24"/>
          <w:highlight w:val="none"/>
        </w:rPr>
        <w:t xml:space="preserve">法定代表人：                            法定代表人：</w:t>
      </w:r>
      <w:r/>
    </w:p>
    <w:p>
      <w:pPr>
        <w:ind w:firstLine="456"/>
        <w:spacing w:line="480" w:lineRule="exact"/>
        <w:tabs>
          <w:tab w:val="left" w:pos="2472" w:leader="none"/>
        </w:tabs>
        <w:rPr>
          <w:rFonts w:hint="eastAsia" w:ascii="黑体" w:hAnsi="黑体" w:eastAsia="黑体" w:cs="黑体"/>
          <w:bCs/>
          <w:color w:val="auto"/>
          <w:spacing w:val="-6"/>
          <w:sz w:val="24"/>
          <w:highlight w:val="none"/>
        </w:rPr>
      </w:pPr>
      <w:r>
        <w:rPr>
          <w:rFonts w:hint="eastAsia" w:ascii="黑体" w:hAnsi="黑体" w:eastAsia="黑体" w:cs="黑体"/>
          <w:bCs/>
          <w:color w:val="auto"/>
          <w:spacing w:val="-6"/>
          <w:sz w:val="24"/>
          <w:highlight w:val="none"/>
        </w:rPr>
        <w:t xml:space="preserve">委托代理人：                            委托代理人：</w:t>
      </w:r>
      <w:r/>
    </w:p>
    <w:p>
      <w:pPr>
        <w:ind w:firstLine="456"/>
        <w:spacing w:line="480" w:lineRule="exact"/>
        <w:tabs>
          <w:tab w:val="left" w:pos="2472" w:leader="none"/>
        </w:tabs>
        <w:rPr>
          <w:rFonts w:hint="eastAsia" w:ascii="黑体" w:hAnsi="黑体" w:eastAsia="黑体" w:cs="黑体"/>
          <w:bCs/>
          <w:color w:val="auto"/>
          <w:spacing w:val="-6"/>
          <w:sz w:val="24"/>
          <w:highlight w:val="none"/>
        </w:rPr>
      </w:pPr>
      <w:r>
        <w:rPr>
          <w:rFonts w:hint="eastAsia" w:ascii="黑体" w:hAnsi="黑体" w:eastAsia="黑体" w:cs="黑体"/>
          <w:bCs/>
          <w:color w:val="auto"/>
          <w:spacing w:val="-6"/>
          <w:sz w:val="24"/>
          <w:highlight w:val="none"/>
        </w:rPr>
        <w:t xml:space="preserve">联系电话：                              联系电话：</w:t>
      </w:r>
      <w:r/>
    </w:p>
    <w:p>
      <w:pPr>
        <w:ind w:firstLine="456"/>
        <w:spacing w:line="480" w:lineRule="exact"/>
        <w:tabs>
          <w:tab w:val="left" w:pos="2472" w:leader="none"/>
        </w:tabs>
        <w:rPr>
          <w:rFonts w:hint="eastAsia" w:ascii="黑体" w:hAnsi="黑体" w:eastAsia="黑体" w:cs="黑体"/>
          <w:bCs/>
          <w:color w:val="auto"/>
          <w:spacing w:val="-6"/>
          <w:sz w:val="24"/>
          <w:highlight w:val="none"/>
        </w:rPr>
      </w:pPr>
      <w:r>
        <w:rPr>
          <w:rFonts w:hint="eastAsia" w:ascii="黑体" w:hAnsi="黑体" w:eastAsia="黑体" w:cs="黑体"/>
          <w:bCs/>
          <w:color w:val="auto"/>
          <w:spacing w:val="-6"/>
          <w:sz w:val="24"/>
          <w:highlight w:val="none"/>
        </w:rPr>
        <w:t xml:space="preserve">开户银行：                              开户银行：</w:t>
      </w:r>
      <w:r/>
    </w:p>
    <w:p>
      <w:pPr>
        <w:ind w:firstLine="456"/>
        <w:spacing w:line="480" w:lineRule="exact"/>
        <w:tabs>
          <w:tab w:val="left" w:pos="2472" w:leader="none"/>
        </w:tabs>
        <w:rPr>
          <w:rFonts w:hint="eastAsia" w:ascii="黑体" w:hAnsi="黑体" w:eastAsia="黑体" w:cs="黑体"/>
          <w:bCs/>
          <w:color w:val="auto"/>
          <w:spacing w:val="-6"/>
          <w:sz w:val="24"/>
          <w:highlight w:val="none"/>
        </w:rPr>
      </w:pPr>
      <w:r>
        <w:rPr>
          <w:rFonts w:hint="eastAsia" w:ascii="黑体" w:hAnsi="黑体" w:eastAsia="黑体" w:cs="黑体"/>
          <w:bCs/>
          <w:color w:val="auto"/>
          <w:spacing w:val="-6"/>
          <w:sz w:val="24"/>
          <w:highlight w:val="none"/>
        </w:rPr>
        <w:t xml:space="preserve">银行账号：                              银行账号：</w:t>
      </w:r>
      <w:r/>
    </w:p>
    <w:p>
      <w:pPr>
        <w:ind w:firstLine="456"/>
        <w:spacing w:line="480" w:lineRule="exact"/>
        <w:tabs>
          <w:tab w:val="left" w:pos="2472" w:leader="none"/>
        </w:tabs>
        <w:rPr>
          <w:rFonts w:hint="eastAsia" w:ascii="黑体" w:hAnsi="黑体" w:eastAsia="黑体" w:cs="黑体"/>
          <w:bCs/>
          <w:color w:val="auto"/>
          <w:spacing w:val="-6"/>
          <w:sz w:val="24"/>
          <w:highlight w:val="none"/>
        </w:rPr>
      </w:pPr>
      <w:r>
        <w:rPr>
          <w:rFonts w:hint="eastAsia" w:ascii="黑体" w:hAnsi="黑体" w:eastAsia="黑体" w:cs="黑体"/>
          <w:bCs/>
          <w:color w:val="auto"/>
          <w:spacing w:val="-6"/>
          <w:sz w:val="24"/>
          <w:highlight w:val="none"/>
        </w:rPr>
      </w:r>
      <w:r/>
    </w:p>
    <w:p>
      <w:pPr>
        <w:ind w:firstLine="456"/>
        <w:spacing w:line="480" w:lineRule="exact"/>
        <w:tabs>
          <w:tab w:val="left" w:pos="2472" w:leader="none"/>
        </w:tabs>
        <w:rPr>
          <w:rFonts w:hint="eastAsia" w:ascii="黑体" w:hAnsi="黑体" w:eastAsia="黑体" w:cs="黑体"/>
          <w:color w:val="auto"/>
          <w:sz w:val="24"/>
          <w:highlight w:val="none"/>
        </w:rPr>
      </w:pPr>
      <w:r>
        <w:rPr>
          <w:rFonts w:hint="eastAsia" w:ascii="黑体" w:hAnsi="黑体" w:eastAsia="黑体" w:cs="黑体"/>
          <w:bCs/>
          <w:color w:val="auto"/>
          <w:spacing w:val="-6"/>
          <w:sz w:val="24"/>
          <w:highlight w:val="none"/>
        </w:rPr>
        <w:t xml:space="preserve">签订日期：        年     月     日</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注明：甲方保留对合同修改和完善的权利</w:t>
      </w:r>
      <w:r/>
    </w:p>
    <w:p>
      <w:pPr>
        <w:ind w:firstLine="2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p>
      <w:pPr>
        <w:rPr>
          <w:color w:val="auto"/>
          <w:highlight w:val="none"/>
        </w:rPr>
      </w:pPr>
      <w:r>
        <w:rPr>
          <w:color w:val="auto"/>
          <w:highlight w:val="none"/>
        </w:rPr>
      </w:r>
      <w:r/>
    </w:p>
    <w:p>
      <w:pPr>
        <w:ind w:firstLine="280"/>
        <w:spacing w:line="360" w:lineRule="auto"/>
        <w:rPr>
          <w:rFonts w:hint="eastAsia"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r>
      <w:r/>
    </w:p>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MS Gothic">
    <w:panose1 w:val="020B0609070205080204"/>
  </w:font>
  <w:font w:name="仿宋">
    <w:panose1 w:val="02010609060101010101"/>
  </w:font>
  <w:font w:name="等线">
    <w:panose1 w:val="02010600030101010101"/>
  </w:font>
  <w:font w:name="华文细黑">
    <w:panose1 w:val="02010600040101010101"/>
  </w:font>
  <w:font w:name="Tahoma">
    <w:panose1 w:val="020B0604030504040204"/>
  </w:font>
  <w:font w:name="Symbol">
    <w:panose1 w:val="05050102010706020507"/>
  </w:font>
  <w:font w:name="新宋体">
    <w:panose1 w:val="02010609030101010101"/>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ˎ̥">
    <w:panose1 w:val="020B0503020202020204"/>
  </w:font>
  <w:font w:name="微软雅黑">
    <w:panose1 w:val="020B0503020204020204"/>
  </w:font>
  <w:font w:name="Calibri">
    <w:panose1 w:val="020F050202020403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1"/>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1"/>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38"/>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5">
    <w:name w:val="Heading 1 Char"/>
    <w:basedOn w:val="732"/>
    <w:link w:val="723"/>
    <w:uiPriority w:val="9"/>
    <w:rPr>
      <w:rFonts w:ascii="Arial" w:hAnsi="Arial" w:eastAsia="Arial" w:cs="Arial"/>
      <w:sz w:val="40"/>
      <w:szCs w:val="40"/>
    </w:rPr>
  </w:style>
  <w:style w:type="character" w:styleId="686">
    <w:name w:val="Heading 2 Char"/>
    <w:basedOn w:val="732"/>
    <w:link w:val="724"/>
    <w:uiPriority w:val="9"/>
    <w:rPr>
      <w:rFonts w:ascii="Arial" w:hAnsi="Arial" w:eastAsia="Arial" w:cs="Arial"/>
      <w:sz w:val="34"/>
    </w:rPr>
  </w:style>
  <w:style w:type="character" w:styleId="687">
    <w:name w:val="Heading 3 Char"/>
    <w:basedOn w:val="732"/>
    <w:link w:val="725"/>
    <w:uiPriority w:val="9"/>
    <w:rPr>
      <w:rFonts w:ascii="Arial" w:hAnsi="Arial" w:eastAsia="Arial" w:cs="Arial"/>
      <w:sz w:val="30"/>
      <w:szCs w:val="30"/>
    </w:rPr>
  </w:style>
  <w:style w:type="character" w:styleId="688">
    <w:name w:val="Heading 4 Char"/>
    <w:basedOn w:val="732"/>
    <w:link w:val="726"/>
    <w:uiPriority w:val="9"/>
    <w:rPr>
      <w:rFonts w:ascii="Arial" w:hAnsi="Arial" w:eastAsia="Arial" w:cs="Arial"/>
      <w:b/>
      <w:bCs/>
      <w:sz w:val="26"/>
      <w:szCs w:val="26"/>
    </w:rPr>
  </w:style>
  <w:style w:type="character" w:styleId="689">
    <w:name w:val="Heading 5 Char"/>
    <w:basedOn w:val="732"/>
    <w:link w:val="727"/>
    <w:uiPriority w:val="9"/>
    <w:rPr>
      <w:rFonts w:ascii="Arial" w:hAnsi="Arial" w:eastAsia="Arial" w:cs="Arial"/>
      <w:b/>
      <w:bCs/>
      <w:sz w:val="24"/>
      <w:szCs w:val="24"/>
    </w:rPr>
  </w:style>
  <w:style w:type="character" w:styleId="690">
    <w:name w:val="Heading 6 Char"/>
    <w:basedOn w:val="732"/>
    <w:link w:val="728"/>
    <w:uiPriority w:val="9"/>
    <w:rPr>
      <w:rFonts w:ascii="Arial" w:hAnsi="Arial" w:eastAsia="Arial" w:cs="Arial"/>
      <w:b/>
      <w:bCs/>
      <w:sz w:val="22"/>
      <w:szCs w:val="22"/>
    </w:rPr>
  </w:style>
  <w:style w:type="character" w:styleId="691">
    <w:name w:val="Heading 7 Char"/>
    <w:basedOn w:val="732"/>
    <w:link w:val="729"/>
    <w:uiPriority w:val="9"/>
    <w:rPr>
      <w:rFonts w:ascii="Arial" w:hAnsi="Arial" w:eastAsia="Arial" w:cs="Arial"/>
      <w:b/>
      <w:bCs/>
      <w:i/>
      <w:iCs/>
      <w:sz w:val="22"/>
      <w:szCs w:val="22"/>
    </w:rPr>
  </w:style>
  <w:style w:type="character" w:styleId="692">
    <w:name w:val="Heading 8 Char"/>
    <w:basedOn w:val="732"/>
    <w:link w:val="730"/>
    <w:uiPriority w:val="9"/>
    <w:rPr>
      <w:rFonts w:ascii="Arial" w:hAnsi="Arial" w:eastAsia="Arial" w:cs="Arial"/>
      <w:i/>
      <w:iCs/>
      <w:sz w:val="22"/>
      <w:szCs w:val="22"/>
    </w:rPr>
  </w:style>
  <w:style w:type="character" w:styleId="693">
    <w:name w:val="Heading 9 Char"/>
    <w:basedOn w:val="732"/>
    <w:link w:val="731"/>
    <w:uiPriority w:val="9"/>
    <w:rPr>
      <w:rFonts w:ascii="Arial" w:hAnsi="Arial" w:eastAsia="Arial" w:cs="Arial"/>
      <w:i/>
      <w:iCs/>
      <w:sz w:val="21"/>
      <w:szCs w:val="21"/>
    </w:rPr>
  </w:style>
  <w:style w:type="character" w:styleId="694">
    <w:name w:val="Title Char"/>
    <w:basedOn w:val="732"/>
    <w:link w:val="762"/>
    <w:uiPriority w:val="10"/>
    <w:rPr>
      <w:sz w:val="48"/>
      <w:szCs w:val="48"/>
    </w:rPr>
  </w:style>
  <w:style w:type="character" w:styleId="695">
    <w:name w:val="Subtitle Char"/>
    <w:basedOn w:val="732"/>
    <w:link w:val="755"/>
    <w:uiPriority w:val="11"/>
    <w:rPr>
      <w:sz w:val="24"/>
      <w:szCs w:val="24"/>
    </w:rPr>
  </w:style>
  <w:style w:type="character" w:styleId="696">
    <w:name w:val="Quote Char"/>
    <w:link w:val="792"/>
    <w:uiPriority w:val="29"/>
    <w:rPr>
      <w:i/>
    </w:rPr>
  </w:style>
  <w:style w:type="character" w:styleId="697">
    <w:name w:val="Intense Quote Char"/>
    <w:link w:val="794"/>
    <w:uiPriority w:val="30"/>
    <w:rPr>
      <w:i/>
    </w:rPr>
  </w:style>
  <w:style w:type="character" w:styleId="698">
    <w:name w:val="Header Char"/>
    <w:basedOn w:val="732"/>
    <w:link w:val="752"/>
    <w:uiPriority w:val="99"/>
  </w:style>
  <w:style w:type="character" w:styleId="699">
    <w:name w:val="Caption Char"/>
    <w:basedOn w:val="738"/>
    <w:link w:val="751"/>
    <w:uiPriority w:val="99"/>
  </w:style>
  <w:style w:type="table" w:styleId="700">
    <w:name w:val="Plain Table 1"/>
    <w:basedOn w:val="7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7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7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2"/>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3"/>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basedOn w:val="7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5 Dark"/>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6 Colorful"/>
    <w:basedOn w:val="7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7 Colorful"/>
    <w:basedOn w:val="7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2">
    <w:name w:val="List Table 1 Light"/>
    <w:basedOn w:val="7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3">
    <w:name w:val="List Table 2"/>
    <w:basedOn w:val="7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4">
    <w:name w:val="List Table 3"/>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4"/>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5 Dark"/>
    <w:basedOn w:val="7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7">
    <w:name w:val="List Table 6 Colorful"/>
    <w:basedOn w:val="7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8">
    <w:name w:val="List Table 7 Colorful"/>
    <w:basedOn w:val="7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9">
    <w:name w:val="Footnote Text Char"/>
    <w:link w:val="756"/>
    <w:uiPriority w:val="99"/>
    <w:rPr>
      <w:sz w:val="18"/>
    </w:rPr>
  </w:style>
  <w:style w:type="character" w:styleId="720">
    <w:name w:val="Endnote Text Char"/>
    <w:link w:val="749"/>
    <w:uiPriority w:val="99"/>
    <w:rPr>
      <w:sz w:val="20"/>
    </w:rPr>
  </w:style>
  <w:style w:type="paragraph" w:styleId="721">
    <w:name w:val="TOC Heading"/>
    <w:uiPriority w:val="39"/>
    <w:unhideWhenUsed/>
  </w:style>
  <w:style w:type="paragraph" w:styleId="722" w:default="1">
    <w:name w:val="Normal"/>
    <w:next w:val="734"/>
    <w:uiPriority w:val="0"/>
    <w:qFormat/>
    <w:pPr>
      <w:jc w:val="both"/>
      <w:widowControl w:val="off"/>
    </w:pPr>
    <w:rPr>
      <w:rFonts w:ascii="Times New Roman" w:hAnsi="Times New Roman" w:eastAsia="宋体" w:cs="Times New Roman"/>
      <w:sz w:val="21"/>
      <w:szCs w:val="24"/>
      <w:lang w:val="en-US" w:eastAsia="zh-CN" w:bidi="ar-SA"/>
    </w:rPr>
  </w:style>
  <w:style w:type="paragraph" w:styleId="723">
    <w:name w:val="Heading 1"/>
    <w:basedOn w:val="722"/>
    <w:next w:val="722"/>
    <w:link w:val="779"/>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link w:val="780"/>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link w:val="781"/>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link w:val="782"/>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783"/>
    <w:uiPriority w:val="9"/>
    <w:unhideWhenUsed/>
    <w:qFormat/>
    <w:pPr>
      <w:keepLines/>
      <w:keepNext/>
      <w:spacing w:before="320" w:after="200"/>
      <w:outlineLvl w:val="4"/>
    </w:pPr>
    <w:rPr>
      <w:rFonts w:ascii="Arial" w:hAnsi="Arial" w:eastAsia="Arial" w:cs="Arial"/>
      <w:b/>
      <w:bCs/>
      <w:sz w:val="24"/>
    </w:rPr>
  </w:style>
  <w:style w:type="paragraph" w:styleId="728">
    <w:name w:val="Heading 6"/>
    <w:basedOn w:val="722"/>
    <w:next w:val="722"/>
    <w:link w:val="784"/>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link w:val="786"/>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link w:val="787"/>
    <w:uiPriority w:val="9"/>
    <w:unhideWhenUsed/>
    <w:qFormat/>
    <w:pPr>
      <w:keepLines/>
      <w:keepNext/>
      <w:spacing w:before="320" w:after="200"/>
      <w:outlineLvl w:val="8"/>
    </w:pPr>
    <w:rPr>
      <w:rFonts w:ascii="Arial" w:hAnsi="Arial" w:eastAsia="Arial" w:cs="Arial"/>
      <w:i/>
      <w:iCs/>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Body Text"/>
    <w:basedOn w:val="722"/>
    <w:next w:val="722"/>
    <w:uiPriority w:val="0"/>
    <w:qFormat/>
    <w:pPr>
      <w:spacing w:after="120"/>
    </w:pPr>
  </w:style>
  <w:style w:type="paragraph" w:styleId="735">
    <w:name w:val="toc 7"/>
    <w:basedOn w:val="722"/>
    <w:next w:val="722"/>
    <w:uiPriority w:val="39"/>
    <w:unhideWhenUsed/>
    <w:qFormat/>
    <w:pPr>
      <w:ind w:left="1701"/>
      <w:spacing w:after="57"/>
    </w:pPr>
  </w:style>
  <w:style w:type="paragraph" w:styleId="736">
    <w:name w:val="table of authorities"/>
    <w:basedOn w:val="722"/>
    <w:next w:val="722"/>
    <w:uiPriority w:val="0"/>
    <w:qFormat/>
    <w:pPr>
      <w:ind w:left="420"/>
      <w:spacing w:line="300" w:lineRule="auto"/>
    </w:pPr>
    <w:rPr>
      <w:rFonts w:ascii="Calibri" w:hAnsi="Calibri"/>
    </w:rPr>
  </w:style>
  <w:style w:type="paragraph" w:styleId="737">
    <w:name w:val="Normal Indent"/>
    <w:basedOn w:val="722"/>
    <w:uiPriority w:val="0"/>
    <w:qFormat/>
    <w:pPr>
      <w:ind w:firstLine="420"/>
      <w:jc w:val="left"/>
    </w:pPr>
    <w:rPr>
      <w:rFonts w:eastAsia="楷体_GB2312"/>
      <w:sz w:val="24"/>
    </w:rPr>
  </w:style>
  <w:style w:type="paragraph" w:styleId="738">
    <w:name w:val="Caption"/>
    <w:basedOn w:val="722"/>
    <w:next w:val="7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9">
    <w:name w:val="annotation text"/>
    <w:basedOn w:val="722"/>
    <w:link w:val="1055"/>
    <w:uiPriority w:val="0"/>
    <w:qFormat/>
    <w:pPr>
      <w:jc w:val="left"/>
    </w:pPr>
  </w:style>
  <w:style w:type="paragraph" w:styleId="740">
    <w:name w:val="Body Text Indent"/>
    <w:basedOn w:val="722"/>
    <w:next w:val="741"/>
    <w:uiPriority w:val="0"/>
    <w:qFormat/>
    <w:pPr>
      <w:ind w:left="420"/>
      <w:spacing w:after="120"/>
    </w:pPr>
  </w:style>
  <w:style w:type="paragraph" w:styleId="741">
    <w:name w:val="envelope return"/>
    <w:basedOn w:val="722"/>
    <w:uiPriority w:val="99"/>
    <w:unhideWhenUsed/>
    <w:qFormat/>
    <w:rPr>
      <w:rFonts w:ascii="Arial" w:hAnsi="Arial"/>
    </w:rPr>
  </w:style>
  <w:style w:type="paragraph" w:styleId="742">
    <w:name w:val="Block Text"/>
    <w:basedOn w:val="722"/>
    <w:uiPriority w:val="99"/>
    <w:unhideWhenUsed/>
    <w:qFormat/>
    <w:pPr>
      <w:ind w:left="1440" w:right="700"/>
    </w:pPr>
    <w:rPr>
      <w:rFonts w:ascii="Verdana" w:hAnsi="Verdana"/>
      <w:szCs w:val="20"/>
    </w:rPr>
  </w:style>
  <w:style w:type="paragraph" w:styleId="743">
    <w:name w:val="index 4"/>
    <w:basedOn w:val="722"/>
    <w:next w:val="722"/>
    <w:uiPriority w:val="99"/>
    <w:unhideWhenUsed/>
    <w:qFormat/>
    <w:pPr>
      <w:ind w:left="600"/>
    </w:pPr>
  </w:style>
  <w:style w:type="paragraph" w:styleId="744">
    <w:name w:val="toc 5"/>
    <w:basedOn w:val="722"/>
    <w:next w:val="722"/>
    <w:uiPriority w:val="39"/>
    <w:unhideWhenUsed/>
    <w:qFormat/>
    <w:pPr>
      <w:ind w:left="1134"/>
      <w:spacing w:after="57"/>
    </w:pPr>
  </w:style>
  <w:style w:type="paragraph" w:styleId="745">
    <w:name w:val="toc 3"/>
    <w:basedOn w:val="722"/>
    <w:next w:val="722"/>
    <w:uiPriority w:val="39"/>
    <w:unhideWhenUsed/>
    <w:qFormat/>
    <w:pPr>
      <w:ind w:left="567"/>
      <w:spacing w:after="57"/>
    </w:pPr>
  </w:style>
  <w:style w:type="paragraph" w:styleId="746">
    <w:name w:val="Plain Text"/>
    <w:basedOn w:val="722"/>
    <w:uiPriority w:val="0"/>
    <w:qFormat/>
    <w:rPr>
      <w:rFonts w:ascii="宋体" w:hAnsi="Courier New" w:cs="Courier New"/>
      <w:szCs w:val="21"/>
    </w:rPr>
  </w:style>
  <w:style w:type="paragraph" w:styleId="747">
    <w:name w:val="toc 8"/>
    <w:basedOn w:val="722"/>
    <w:next w:val="722"/>
    <w:uiPriority w:val="39"/>
    <w:unhideWhenUsed/>
    <w:qFormat/>
    <w:pPr>
      <w:ind w:left="1984"/>
      <w:spacing w:after="57"/>
    </w:pPr>
  </w:style>
  <w:style w:type="paragraph" w:styleId="748">
    <w:name w:val="Body Text Indent 2"/>
    <w:basedOn w:val="722"/>
    <w:uiPriority w:val="0"/>
    <w:semiHidden/>
    <w:unhideWhenUsed/>
    <w:qFormat/>
    <w:pPr>
      <w:ind w:firstLine="560"/>
      <w:spacing w:line="500" w:lineRule="exact"/>
    </w:pPr>
    <w:rPr>
      <w:rFonts w:eastAsia="仿宋_GB2312"/>
      <w:sz w:val="28"/>
      <w:szCs w:val="20"/>
    </w:rPr>
  </w:style>
  <w:style w:type="paragraph" w:styleId="749">
    <w:name w:val="endnote text"/>
    <w:basedOn w:val="722"/>
    <w:link w:val="925"/>
    <w:uiPriority w:val="99"/>
    <w:semiHidden/>
    <w:unhideWhenUsed/>
    <w:qFormat/>
    <w:rPr>
      <w:sz w:val="20"/>
    </w:rPr>
  </w:style>
  <w:style w:type="paragraph" w:styleId="750">
    <w:name w:val="Balloon Text"/>
    <w:basedOn w:val="722"/>
    <w:link w:val="1054"/>
    <w:uiPriority w:val="99"/>
    <w:semiHidden/>
    <w:unhideWhenUsed/>
    <w:qFormat/>
    <w:rPr>
      <w:sz w:val="18"/>
      <w:szCs w:val="18"/>
    </w:rPr>
  </w:style>
  <w:style w:type="paragraph" w:styleId="751">
    <w:name w:val="Footer"/>
    <w:basedOn w:val="722"/>
    <w:link w:val="798"/>
    <w:uiPriority w:val="99"/>
    <w:unhideWhenUsed/>
    <w:qFormat/>
    <w:pPr>
      <w:tabs>
        <w:tab w:val="center" w:pos="7143" w:leader="none"/>
        <w:tab w:val="right" w:pos="14287" w:leader="none"/>
      </w:tabs>
    </w:pPr>
  </w:style>
  <w:style w:type="paragraph" w:styleId="752">
    <w:name w:val="Header"/>
    <w:basedOn w:val="722"/>
    <w:link w:val="796"/>
    <w:uiPriority w:val="99"/>
    <w:unhideWhenUsed/>
    <w:qFormat/>
    <w:pPr>
      <w:tabs>
        <w:tab w:val="center" w:pos="7143" w:leader="none"/>
        <w:tab w:val="right" w:pos="14287" w:leader="none"/>
      </w:tabs>
    </w:pPr>
  </w:style>
  <w:style w:type="paragraph" w:styleId="753">
    <w:name w:val="toc 1"/>
    <w:basedOn w:val="722"/>
    <w:next w:val="722"/>
    <w:uiPriority w:val="39"/>
    <w:unhideWhenUsed/>
    <w:qFormat/>
    <w:pPr>
      <w:spacing w:after="57"/>
    </w:pPr>
  </w:style>
  <w:style w:type="paragraph" w:styleId="754">
    <w:name w:val="toc 4"/>
    <w:basedOn w:val="722"/>
    <w:next w:val="722"/>
    <w:uiPriority w:val="39"/>
    <w:unhideWhenUsed/>
    <w:qFormat/>
    <w:pPr>
      <w:ind w:left="850"/>
      <w:spacing w:after="57"/>
    </w:pPr>
  </w:style>
  <w:style w:type="paragraph" w:styleId="755">
    <w:name w:val="Subtitle"/>
    <w:basedOn w:val="722"/>
    <w:next w:val="722"/>
    <w:link w:val="791"/>
    <w:uiPriority w:val="11"/>
    <w:qFormat/>
    <w:pPr>
      <w:spacing w:before="200" w:after="200"/>
    </w:pPr>
    <w:rPr>
      <w:sz w:val="24"/>
    </w:rPr>
  </w:style>
  <w:style w:type="paragraph" w:styleId="756">
    <w:name w:val="footnote text"/>
    <w:basedOn w:val="722"/>
    <w:link w:val="924"/>
    <w:uiPriority w:val="99"/>
    <w:semiHidden/>
    <w:unhideWhenUsed/>
    <w:qFormat/>
    <w:pPr>
      <w:spacing w:after="40"/>
    </w:pPr>
    <w:rPr>
      <w:sz w:val="18"/>
    </w:rPr>
  </w:style>
  <w:style w:type="paragraph" w:styleId="757">
    <w:name w:val="toc 6"/>
    <w:basedOn w:val="722"/>
    <w:next w:val="722"/>
    <w:uiPriority w:val="39"/>
    <w:unhideWhenUsed/>
    <w:qFormat/>
    <w:pPr>
      <w:ind w:left="1417"/>
      <w:spacing w:after="57"/>
    </w:pPr>
  </w:style>
  <w:style w:type="paragraph" w:styleId="758">
    <w:name w:val="table of figures"/>
    <w:basedOn w:val="722"/>
    <w:next w:val="722"/>
    <w:uiPriority w:val="99"/>
    <w:unhideWhenUsed/>
    <w:qFormat/>
  </w:style>
  <w:style w:type="paragraph" w:styleId="759">
    <w:name w:val="toc 2"/>
    <w:basedOn w:val="722"/>
    <w:next w:val="722"/>
    <w:uiPriority w:val="39"/>
    <w:unhideWhenUsed/>
    <w:qFormat/>
    <w:pPr>
      <w:ind w:left="283"/>
      <w:spacing w:after="57"/>
    </w:pPr>
  </w:style>
  <w:style w:type="paragraph" w:styleId="760">
    <w:name w:val="toc 9"/>
    <w:basedOn w:val="722"/>
    <w:next w:val="722"/>
    <w:uiPriority w:val="39"/>
    <w:unhideWhenUsed/>
    <w:qFormat/>
    <w:pPr>
      <w:ind w:left="2268"/>
      <w:spacing w:after="57"/>
    </w:pPr>
  </w:style>
  <w:style w:type="paragraph" w:styleId="761">
    <w:name w:val="Normal (Web)"/>
    <w:basedOn w:val="722"/>
    <w:uiPriority w:val="99"/>
    <w:unhideWhenUsed/>
    <w:qFormat/>
    <w:pPr>
      <w:jc w:val="left"/>
      <w:spacing w:before="100" w:beforeAutospacing="1" w:after="100" w:afterAutospacing="1"/>
      <w:widowControl/>
    </w:pPr>
    <w:rPr>
      <w:rFonts w:ascii="宋体" w:hAnsi="宋体" w:cs="宋体"/>
      <w:sz w:val="24"/>
    </w:rPr>
  </w:style>
  <w:style w:type="paragraph" w:styleId="762">
    <w:name w:val="Title"/>
    <w:basedOn w:val="722"/>
    <w:next w:val="722"/>
    <w:link w:val="790"/>
    <w:uiPriority w:val="10"/>
    <w:qFormat/>
    <w:pPr>
      <w:contextualSpacing/>
      <w:spacing w:before="300" w:after="200"/>
    </w:pPr>
    <w:rPr>
      <w:sz w:val="48"/>
      <w:szCs w:val="48"/>
    </w:rPr>
  </w:style>
  <w:style w:type="paragraph" w:styleId="763">
    <w:name w:val="annotation subject"/>
    <w:basedOn w:val="739"/>
    <w:next w:val="739"/>
    <w:link w:val="1056"/>
    <w:uiPriority w:val="99"/>
    <w:semiHidden/>
    <w:unhideWhenUsed/>
    <w:qFormat/>
    <w:rPr>
      <w:b/>
      <w:bCs/>
    </w:rPr>
  </w:style>
  <w:style w:type="paragraph" w:styleId="764">
    <w:name w:val="Body Text First Indent"/>
    <w:basedOn w:val="734"/>
    <w:next w:val="757"/>
    <w:uiPriority w:val="0"/>
    <w:qFormat/>
    <w:pPr>
      <w:ind w:firstLine="482"/>
      <w:spacing w:line="360" w:lineRule="auto"/>
    </w:pPr>
    <w:rPr>
      <w:b/>
      <w:sz w:val="24"/>
    </w:rPr>
  </w:style>
  <w:style w:type="paragraph" w:styleId="765">
    <w:name w:val="Body Text First Indent 2"/>
    <w:basedOn w:val="740"/>
    <w:next w:val="722"/>
    <w:uiPriority w:val="99"/>
    <w:unhideWhenUsed/>
    <w:qFormat/>
    <w:pPr>
      <w:ind w:firstLine="200"/>
    </w:pPr>
  </w:style>
  <w:style w:type="table" w:styleId="76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Strong"/>
    <w:basedOn w:val="732"/>
    <w:uiPriority w:val="22"/>
    <w:qFormat/>
    <w:rPr>
      <w:b/>
    </w:r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themeColor="hyperlink"/>
      <w:u w:val="single"/>
      <w14:textFill>
        <w14:solidFill>
          <w14:schemeClr w14:val="hlink"/>
        </w14:solidFill>
      </w14:textFill>
    </w:rPr>
  </w:style>
  <w:style w:type="character" w:styleId="770">
    <w:name w:val="annotation reference"/>
    <w:basedOn w:val="732"/>
    <w:uiPriority w:val="99"/>
    <w:semiHidden/>
    <w:unhideWhenUsed/>
    <w:qFormat/>
    <w:rPr>
      <w:sz w:val="21"/>
      <w:szCs w:val="21"/>
    </w:rPr>
  </w:style>
  <w:style w:type="character" w:styleId="771">
    <w:name w:val="footnote reference"/>
    <w:uiPriority w:val="99"/>
    <w:unhideWhenUsed/>
    <w:qFormat/>
    <w:rPr>
      <w:vertAlign w:val="superscript"/>
    </w:rPr>
  </w:style>
  <w:style w:type="paragraph" w:styleId="772" w:customStyle="1">
    <w:name w:val="正文文本1"/>
    <w:basedOn w:val="773"/>
    <w:next w:val="722"/>
    <w:link w:val="954"/>
    <w:uiPriority w:val="0"/>
    <w:qFormat/>
    <w:rPr>
      <w:rFonts w:ascii="仿宋_GB2312" w:eastAsia="仿宋_GB2312"/>
      <w:sz w:val="24"/>
      <w:szCs w:val="20"/>
    </w:rPr>
  </w:style>
  <w:style w:type="paragraph" w:styleId="773" w:customStyle="1">
    <w:name w:val="正文11"/>
    <w:next w:val="772"/>
    <w:uiPriority w:val="99"/>
    <w:qFormat/>
    <w:pPr>
      <w:jc w:val="both"/>
      <w:widowControl w:val="off"/>
    </w:pPr>
    <w:rPr>
      <w:rFonts w:ascii="Calibri" w:hAnsi="Calibri" w:eastAsia="宋体" w:cs="Times New Roman"/>
      <w:sz w:val="21"/>
      <w:szCs w:val="21"/>
      <w:lang w:val="en-US" w:eastAsia="zh-CN" w:bidi="ar-SA"/>
    </w:rPr>
  </w:style>
  <w:style w:type="paragraph" w:styleId="774" w:customStyle="1">
    <w:name w:val="一级条标题"/>
    <w:basedOn w:val="775"/>
    <w:next w:val="776"/>
    <w:uiPriority w:val="0"/>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775" w:customStyle="1">
    <w:name w:val="章标题"/>
    <w:next w:val="722"/>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776" w:customStyle="1">
    <w:name w:val="段"/>
    <w:next w:val="722"/>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777" w:customStyle="1">
    <w:name w:val="正文首行缩进1"/>
    <w:basedOn w:val="772"/>
    <w:link w:val="978"/>
    <w:uiPriority w:val="0"/>
    <w:qFormat/>
    <w:pPr>
      <w:ind w:firstLine="420"/>
      <w:spacing w:after="120"/>
    </w:pPr>
    <w:rPr>
      <w:rFonts w:ascii="Times New Roman" w:eastAsia="宋体"/>
      <w:szCs w:val="24"/>
    </w:rPr>
  </w:style>
  <w:style w:type="paragraph" w:styleId="778" w:customStyle="1">
    <w:name w:val="Default"/>
    <w:uiPriority w:val="0"/>
    <w:qFormat/>
    <w:pPr>
      <w:widowControl w:val="off"/>
    </w:pPr>
    <w:rPr>
      <w:rFonts w:ascii="宋体" w:hAnsi="宋体" w:eastAsia="宋体" w:cs="宋体"/>
      <w:color w:val="000000"/>
      <w:sz w:val="24"/>
      <w:szCs w:val="24"/>
      <w:lang w:val="en-US" w:eastAsia="zh-CN" w:bidi="ar-SA"/>
    </w:rPr>
  </w:style>
  <w:style w:type="character" w:styleId="779" w:customStyle="1">
    <w:name w:val="标题 1 字符1"/>
    <w:link w:val="723"/>
    <w:uiPriority w:val="9"/>
    <w:qFormat/>
    <w:rPr>
      <w:rFonts w:ascii="Arial" w:hAnsi="Arial" w:eastAsia="Arial" w:cs="Arial"/>
      <w:sz w:val="40"/>
      <w:szCs w:val="40"/>
    </w:rPr>
  </w:style>
  <w:style w:type="character" w:styleId="780" w:customStyle="1">
    <w:name w:val="标题 2 字符1"/>
    <w:link w:val="724"/>
    <w:uiPriority w:val="9"/>
    <w:qFormat/>
    <w:rPr>
      <w:rFonts w:ascii="Arial" w:hAnsi="Arial" w:eastAsia="Arial" w:cs="Arial"/>
      <w:sz w:val="34"/>
    </w:rPr>
  </w:style>
  <w:style w:type="character" w:styleId="781" w:customStyle="1">
    <w:name w:val="标题 3 字符1"/>
    <w:link w:val="725"/>
    <w:uiPriority w:val="9"/>
    <w:qFormat/>
    <w:rPr>
      <w:rFonts w:ascii="Arial" w:hAnsi="Arial" w:eastAsia="Arial" w:cs="Arial"/>
      <w:sz w:val="30"/>
      <w:szCs w:val="30"/>
    </w:rPr>
  </w:style>
  <w:style w:type="character" w:styleId="782" w:customStyle="1">
    <w:name w:val="标题 4 字符1"/>
    <w:link w:val="726"/>
    <w:uiPriority w:val="9"/>
    <w:qFormat/>
    <w:rPr>
      <w:rFonts w:ascii="Arial" w:hAnsi="Arial" w:eastAsia="Arial" w:cs="Arial"/>
      <w:b/>
      <w:bCs/>
      <w:sz w:val="26"/>
      <w:szCs w:val="26"/>
    </w:rPr>
  </w:style>
  <w:style w:type="character" w:styleId="783" w:customStyle="1">
    <w:name w:val="标题 5 字符1"/>
    <w:link w:val="727"/>
    <w:uiPriority w:val="9"/>
    <w:qFormat/>
    <w:rPr>
      <w:rFonts w:ascii="Arial" w:hAnsi="Arial" w:eastAsia="Arial" w:cs="Arial"/>
      <w:b/>
      <w:bCs/>
      <w:sz w:val="24"/>
      <w:szCs w:val="24"/>
    </w:rPr>
  </w:style>
  <w:style w:type="character" w:styleId="784" w:customStyle="1">
    <w:name w:val="标题 6 字符1"/>
    <w:link w:val="728"/>
    <w:uiPriority w:val="9"/>
    <w:qFormat/>
    <w:rPr>
      <w:rFonts w:ascii="Arial" w:hAnsi="Arial" w:eastAsia="Arial" w:cs="Arial"/>
      <w:b/>
      <w:bCs/>
      <w:sz w:val="22"/>
      <w:szCs w:val="22"/>
    </w:rPr>
  </w:style>
  <w:style w:type="character" w:styleId="785" w:customStyle="1">
    <w:name w:val="标题 7 字符1"/>
    <w:link w:val="729"/>
    <w:uiPriority w:val="9"/>
    <w:qFormat/>
    <w:rPr>
      <w:rFonts w:ascii="Arial" w:hAnsi="Arial" w:eastAsia="Arial" w:cs="Arial"/>
      <w:b/>
      <w:bCs/>
      <w:i/>
      <w:iCs/>
      <w:sz w:val="22"/>
      <w:szCs w:val="22"/>
    </w:rPr>
  </w:style>
  <w:style w:type="character" w:styleId="786" w:customStyle="1">
    <w:name w:val="标题 8 字符1"/>
    <w:link w:val="730"/>
    <w:uiPriority w:val="9"/>
    <w:qFormat/>
    <w:rPr>
      <w:rFonts w:ascii="Arial" w:hAnsi="Arial" w:eastAsia="Arial" w:cs="Arial"/>
      <w:i/>
      <w:iCs/>
      <w:sz w:val="22"/>
      <w:szCs w:val="22"/>
    </w:rPr>
  </w:style>
  <w:style w:type="character" w:styleId="787" w:customStyle="1">
    <w:name w:val="标题 9 字符1"/>
    <w:link w:val="731"/>
    <w:uiPriority w:val="9"/>
    <w:qFormat/>
    <w:rPr>
      <w:rFonts w:ascii="Arial" w:hAnsi="Arial" w:eastAsia="Arial" w:cs="Arial"/>
      <w:i/>
      <w:iCs/>
      <w:sz w:val="21"/>
      <w:szCs w:val="21"/>
    </w:rPr>
  </w:style>
  <w:style w:type="paragraph" w:styleId="788">
    <w:name w:val="List Paragraph"/>
    <w:basedOn w:val="722"/>
    <w:uiPriority w:val="34"/>
    <w:qFormat/>
    <w:pPr>
      <w:contextualSpacing/>
      <w:ind w:left="720"/>
    </w:pPr>
  </w:style>
  <w:style w:type="paragraph" w:styleId="789">
    <w:name w:val="No Spacing"/>
    <w:uiPriority w:val="1"/>
    <w:qFormat/>
    <w:rPr>
      <w:rFonts w:ascii="Times New Roman" w:hAnsi="Times New Roman" w:eastAsia="宋体" w:cs="Times New Roman"/>
      <w:lang w:val="en-US" w:eastAsia="zh-CN" w:bidi="ar-SA"/>
    </w:rPr>
  </w:style>
  <w:style w:type="character" w:styleId="790" w:customStyle="1">
    <w:name w:val="标题 字符"/>
    <w:link w:val="762"/>
    <w:uiPriority w:val="10"/>
    <w:qFormat/>
    <w:rPr>
      <w:sz w:val="48"/>
      <w:szCs w:val="48"/>
    </w:rPr>
  </w:style>
  <w:style w:type="character" w:styleId="791" w:customStyle="1">
    <w:name w:val="副标题 字符"/>
    <w:link w:val="755"/>
    <w:uiPriority w:val="11"/>
    <w:qFormat/>
    <w:rPr>
      <w:sz w:val="24"/>
      <w:szCs w:val="24"/>
    </w:rPr>
  </w:style>
  <w:style w:type="paragraph" w:styleId="792">
    <w:name w:val="Quote"/>
    <w:basedOn w:val="722"/>
    <w:next w:val="722"/>
    <w:link w:val="793"/>
    <w:uiPriority w:val="29"/>
    <w:qFormat/>
    <w:pPr>
      <w:ind w:left="720" w:right="720"/>
    </w:pPr>
    <w:rPr>
      <w:i/>
    </w:rPr>
  </w:style>
  <w:style w:type="character" w:styleId="793" w:customStyle="1">
    <w:name w:val="引用 字符"/>
    <w:link w:val="792"/>
    <w:uiPriority w:val="29"/>
    <w:qFormat/>
    <w:rPr>
      <w:i/>
    </w:rPr>
  </w:style>
  <w:style w:type="paragraph" w:styleId="794">
    <w:name w:val="Intense Quote"/>
    <w:basedOn w:val="722"/>
    <w:next w:val="722"/>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明显引用 字符"/>
    <w:link w:val="794"/>
    <w:uiPriority w:val="30"/>
    <w:qFormat/>
    <w:rPr>
      <w:i/>
    </w:rPr>
  </w:style>
  <w:style w:type="character" w:styleId="796" w:customStyle="1">
    <w:name w:val="页眉 字符1"/>
    <w:link w:val="752"/>
    <w:uiPriority w:val="99"/>
    <w:qFormat/>
  </w:style>
  <w:style w:type="character" w:styleId="797" w:customStyle="1">
    <w:name w:val="Footer Char"/>
    <w:uiPriority w:val="99"/>
    <w:qFormat/>
  </w:style>
  <w:style w:type="character" w:styleId="798" w:customStyle="1">
    <w:name w:val="页脚 字符1"/>
    <w:link w:val="751"/>
    <w:uiPriority w:val="99"/>
    <w:qFormat/>
  </w:style>
  <w:style w:type="table" w:styleId="79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脚注文本 字符"/>
    <w:link w:val="756"/>
    <w:uiPriority w:val="99"/>
    <w:qFormat/>
    <w:rPr>
      <w:sz w:val="18"/>
    </w:rPr>
  </w:style>
  <w:style w:type="character" w:styleId="925" w:customStyle="1">
    <w:name w:val="尾注文本 字符"/>
    <w:link w:val="749"/>
    <w:uiPriority w:val="99"/>
    <w:qFormat/>
    <w:rPr>
      <w:sz w:val="20"/>
    </w:rPr>
  </w:style>
  <w:style w:type="paragraph" w:styleId="926" w:customStyle="1">
    <w:name w:val="TOC 标题1"/>
    <w:uiPriority w:val="39"/>
    <w:unhideWhenUsed/>
    <w:qFormat/>
    <w:rPr>
      <w:rFonts w:ascii="Times New Roman" w:hAnsi="Times New Roman" w:eastAsia="宋体" w:cs="Times New Roman"/>
      <w:lang w:val="en-US" w:eastAsia="zh-CN" w:bidi="ar-SA"/>
    </w:rPr>
  </w:style>
  <w:style w:type="paragraph" w:styleId="927" w:customStyle="1">
    <w:name w:val="标题 11"/>
    <w:basedOn w:val="722"/>
    <w:next w:val="722"/>
    <w:link w:val="939"/>
    <w:uiPriority w:val="0"/>
    <w:qFormat/>
    <w:pPr>
      <w:keepLines/>
      <w:keepNext/>
      <w:spacing w:before="340" w:after="330" w:line="578" w:lineRule="auto"/>
      <w:outlineLvl w:val="0"/>
    </w:pPr>
    <w:rPr>
      <w:b/>
      <w:bCs/>
      <w:sz w:val="44"/>
      <w:szCs w:val="44"/>
    </w:rPr>
  </w:style>
  <w:style w:type="paragraph" w:styleId="928" w:customStyle="1">
    <w:name w:val="标题 21"/>
    <w:basedOn w:val="722"/>
    <w:next w:val="722"/>
    <w:link w:val="940"/>
    <w:uiPriority w:val="0"/>
    <w:qFormat/>
    <w:pPr>
      <w:keepLines/>
      <w:keepNext/>
      <w:spacing w:before="260" w:after="260" w:line="416" w:lineRule="auto"/>
      <w:outlineLvl w:val="1"/>
    </w:pPr>
    <w:rPr>
      <w:rFonts w:ascii="Arial" w:hAnsi="Arial" w:eastAsia="黑体"/>
      <w:b/>
      <w:bCs/>
      <w:sz w:val="32"/>
      <w:szCs w:val="32"/>
    </w:rPr>
  </w:style>
  <w:style w:type="paragraph" w:styleId="929" w:customStyle="1">
    <w:name w:val="标题 31"/>
    <w:basedOn w:val="722"/>
    <w:next w:val="722"/>
    <w:link w:val="941"/>
    <w:uiPriority w:val="0"/>
    <w:qFormat/>
    <w:pPr>
      <w:keepLines/>
      <w:keepNext/>
      <w:spacing w:before="260" w:after="260" w:line="416" w:lineRule="auto"/>
      <w:outlineLvl w:val="2"/>
    </w:pPr>
    <w:rPr>
      <w:b/>
      <w:bCs/>
      <w:sz w:val="32"/>
      <w:szCs w:val="32"/>
    </w:rPr>
  </w:style>
  <w:style w:type="paragraph" w:styleId="930" w:customStyle="1">
    <w:name w:val="标题 41"/>
    <w:basedOn w:val="722"/>
    <w:next w:val="722"/>
    <w:link w:val="942"/>
    <w:uiPriority w:val="0"/>
    <w:qFormat/>
    <w:pPr>
      <w:jc w:val="center"/>
      <w:keepNext/>
      <w:outlineLvl w:val="3"/>
    </w:pPr>
    <w:rPr>
      <w:rFonts w:eastAsia="新宋体"/>
      <w:sz w:val="30"/>
      <w:szCs w:val="21"/>
    </w:rPr>
  </w:style>
  <w:style w:type="paragraph" w:styleId="931" w:customStyle="1">
    <w:name w:val="标题 51"/>
    <w:basedOn w:val="722"/>
    <w:next w:val="722"/>
    <w:link w:val="943"/>
    <w:uiPriority w:val="0"/>
    <w:qFormat/>
    <w:pPr>
      <w:keepLines/>
      <w:keepNext/>
      <w:spacing w:before="280" w:after="290" w:line="376" w:lineRule="auto"/>
      <w:outlineLvl w:val="4"/>
    </w:pPr>
    <w:rPr>
      <w:b/>
      <w:bCs/>
      <w:sz w:val="28"/>
      <w:szCs w:val="28"/>
    </w:rPr>
  </w:style>
  <w:style w:type="paragraph" w:styleId="932" w:customStyle="1">
    <w:name w:val="标题 61"/>
    <w:basedOn w:val="722"/>
    <w:next w:val="933"/>
    <w:link w:val="944"/>
    <w:uiPriority w:val="0"/>
    <w:qFormat/>
    <w:pPr>
      <w:jc w:val="center"/>
      <w:keepNext/>
      <w:outlineLvl w:val="5"/>
    </w:pPr>
    <w:rPr>
      <w:b/>
      <w:sz w:val="44"/>
      <w:szCs w:val="20"/>
    </w:rPr>
  </w:style>
  <w:style w:type="paragraph" w:styleId="933" w:customStyle="1">
    <w:name w:val="正文缩进1"/>
    <w:basedOn w:val="722"/>
    <w:link w:val="945"/>
    <w:uiPriority w:val="0"/>
    <w:qFormat/>
    <w:pPr>
      <w:ind w:firstLine="420"/>
    </w:pPr>
    <w:rPr>
      <w:sz w:val="20"/>
      <w:szCs w:val="20"/>
    </w:rPr>
  </w:style>
  <w:style w:type="paragraph" w:styleId="934" w:customStyle="1">
    <w:name w:val="标题 71"/>
    <w:basedOn w:val="722"/>
    <w:next w:val="722"/>
    <w:link w:val="946"/>
    <w:uiPriority w:val="0"/>
    <w:qFormat/>
    <w:pPr>
      <w:keepLines/>
      <w:keepNext/>
      <w:spacing w:before="240" w:after="64" w:line="320" w:lineRule="auto"/>
      <w:outlineLvl w:val="6"/>
    </w:pPr>
    <w:rPr>
      <w:b/>
      <w:bCs/>
      <w:sz w:val="24"/>
    </w:rPr>
  </w:style>
  <w:style w:type="paragraph" w:styleId="935" w:customStyle="1">
    <w:name w:val="标题 81"/>
    <w:basedOn w:val="722"/>
    <w:next w:val="722"/>
    <w:link w:val="947"/>
    <w:uiPriority w:val="0"/>
    <w:qFormat/>
    <w:pPr>
      <w:keepLines/>
      <w:keepNext/>
      <w:spacing w:before="240" w:after="64" w:line="320" w:lineRule="auto"/>
      <w:outlineLvl w:val="7"/>
    </w:pPr>
    <w:rPr>
      <w:rFonts w:ascii="Arial" w:hAnsi="Arial" w:eastAsia="黑体"/>
      <w:sz w:val="24"/>
    </w:rPr>
  </w:style>
  <w:style w:type="paragraph" w:styleId="936" w:customStyle="1">
    <w:name w:val="标题 91"/>
    <w:basedOn w:val="722"/>
    <w:next w:val="722"/>
    <w:link w:val="948"/>
    <w:uiPriority w:val="0"/>
    <w:qFormat/>
    <w:pPr>
      <w:keepLines/>
      <w:keepNext/>
      <w:spacing w:before="240" w:after="64" w:line="320" w:lineRule="auto"/>
      <w:outlineLvl w:val="8"/>
    </w:pPr>
    <w:rPr>
      <w:rFonts w:ascii="Arial" w:hAnsi="Arial" w:eastAsia="黑体"/>
      <w:sz w:val="24"/>
      <w:szCs w:val="21"/>
    </w:rPr>
  </w:style>
  <w:style w:type="character" w:styleId="937" w:customStyle="1">
    <w:name w:val="默认段落字体1"/>
    <w:uiPriority w:val="1"/>
    <w:unhideWhenUsed/>
    <w:qFormat/>
  </w:style>
  <w:style w:type="table" w:styleId="938" w:customStyle="1">
    <w:name w:val="普通表格1"/>
    <w:uiPriority w:val="99"/>
    <w:unhideWhenUsed/>
    <w:qFormat/>
    <w:tblPr>
      <w:tblCellMar>
        <w:left w:w="0" w:type="dxa"/>
        <w:top w:w="0" w:type="dxa"/>
        <w:right w:w="0" w:type="dxa"/>
        <w:bottom w:w="0" w:type="dxa"/>
      </w:tblCellMar>
    </w:tblPr>
  </w:style>
  <w:style w:type="character" w:styleId="939" w:customStyle="1">
    <w:name w:val="标题 1 字符"/>
    <w:link w:val="927"/>
    <w:uiPriority w:val="0"/>
    <w:qFormat/>
    <w:rPr>
      <w:rFonts w:ascii="Times New Roman" w:hAnsi="Times New Roman" w:eastAsia="宋体" w:cs="Times New Roman"/>
      <w:b/>
      <w:bCs/>
      <w:sz w:val="44"/>
      <w:szCs w:val="44"/>
    </w:rPr>
  </w:style>
  <w:style w:type="character" w:styleId="940" w:customStyle="1">
    <w:name w:val="标题 2 字符"/>
    <w:link w:val="928"/>
    <w:uiPriority w:val="0"/>
    <w:qFormat/>
    <w:rPr>
      <w:rFonts w:ascii="Arial" w:hAnsi="Arial" w:eastAsia="黑体" w:cs="Times New Roman"/>
      <w:b/>
      <w:bCs/>
      <w:sz w:val="32"/>
      <w:szCs w:val="32"/>
    </w:rPr>
  </w:style>
  <w:style w:type="character" w:styleId="941" w:customStyle="1">
    <w:name w:val="标题 3 字符"/>
    <w:link w:val="929"/>
    <w:uiPriority w:val="0"/>
    <w:qFormat/>
    <w:rPr>
      <w:rFonts w:ascii="Times New Roman" w:hAnsi="Times New Roman" w:eastAsia="宋体" w:cs="Times New Roman"/>
      <w:b/>
      <w:bCs/>
      <w:sz w:val="32"/>
      <w:szCs w:val="32"/>
    </w:rPr>
  </w:style>
  <w:style w:type="character" w:styleId="942" w:customStyle="1">
    <w:name w:val="标题 4 字符"/>
    <w:link w:val="930"/>
    <w:uiPriority w:val="0"/>
    <w:qFormat/>
    <w:rPr>
      <w:rFonts w:ascii="Times New Roman" w:hAnsi="Times New Roman" w:eastAsia="新宋体" w:cs="Times New Roman"/>
      <w:sz w:val="30"/>
      <w:szCs w:val="21"/>
    </w:rPr>
  </w:style>
  <w:style w:type="character" w:styleId="943" w:customStyle="1">
    <w:name w:val="标题 5 字符"/>
    <w:link w:val="931"/>
    <w:uiPriority w:val="0"/>
    <w:qFormat/>
    <w:rPr>
      <w:rFonts w:ascii="Times New Roman" w:hAnsi="Times New Roman" w:eastAsia="宋体" w:cs="Times New Roman"/>
      <w:b/>
      <w:bCs/>
      <w:sz w:val="28"/>
      <w:szCs w:val="28"/>
    </w:rPr>
  </w:style>
  <w:style w:type="character" w:styleId="944" w:customStyle="1">
    <w:name w:val="标题 6 字符"/>
    <w:link w:val="932"/>
    <w:uiPriority w:val="0"/>
    <w:qFormat/>
    <w:rPr>
      <w:rFonts w:ascii="Times New Roman" w:hAnsi="Times New Roman" w:eastAsia="宋体" w:cs="Times New Roman"/>
      <w:b/>
      <w:sz w:val="44"/>
      <w:szCs w:val="20"/>
    </w:rPr>
  </w:style>
  <w:style w:type="character" w:styleId="945" w:customStyle="1">
    <w:name w:val="正文缩进 字符"/>
    <w:link w:val="933"/>
    <w:uiPriority w:val="0"/>
    <w:qFormat/>
    <w:rPr>
      <w:rFonts w:ascii="Times New Roman" w:hAnsi="Times New Roman" w:eastAsia="宋体" w:cs="Times New Roman"/>
      <w:sz w:val="20"/>
      <w:szCs w:val="20"/>
    </w:rPr>
  </w:style>
  <w:style w:type="character" w:styleId="946" w:customStyle="1">
    <w:name w:val="标题 7 字符"/>
    <w:link w:val="934"/>
    <w:uiPriority w:val="0"/>
    <w:qFormat/>
    <w:rPr>
      <w:rFonts w:ascii="Times New Roman" w:hAnsi="Times New Roman" w:eastAsia="宋体" w:cs="Times New Roman"/>
      <w:b/>
      <w:bCs/>
      <w:sz w:val="24"/>
      <w:szCs w:val="24"/>
    </w:rPr>
  </w:style>
  <w:style w:type="character" w:styleId="947" w:customStyle="1">
    <w:name w:val="标题 8 字符"/>
    <w:link w:val="935"/>
    <w:uiPriority w:val="0"/>
    <w:qFormat/>
    <w:rPr>
      <w:rFonts w:ascii="Arial" w:hAnsi="Arial" w:eastAsia="黑体" w:cs="Times New Roman"/>
      <w:sz w:val="24"/>
      <w:szCs w:val="24"/>
    </w:rPr>
  </w:style>
  <w:style w:type="character" w:styleId="948" w:customStyle="1">
    <w:name w:val="标题 9 字符"/>
    <w:link w:val="936"/>
    <w:uiPriority w:val="0"/>
    <w:qFormat/>
    <w:rPr>
      <w:rFonts w:ascii="Arial" w:hAnsi="Arial" w:eastAsia="黑体" w:cs="Times New Roman"/>
      <w:sz w:val="24"/>
      <w:szCs w:val="21"/>
    </w:rPr>
  </w:style>
  <w:style w:type="paragraph" w:styleId="949" w:customStyle="1">
    <w:name w:val="文档结构图1"/>
    <w:basedOn w:val="722"/>
    <w:link w:val="950"/>
    <w:uiPriority w:val="0"/>
    <w:semiHidden/>
    <w:qFormat/>
    <w:pPr>
      <w:shd w:val="clear" w:color="auto" w:fill="000080"/>
    </w:pPr>
    <w:rPr>
      <w:sz w:val="20"/>
    </w:rPr>
  </w:style>
  <w:style w:type="character" w:styleId="950" w:customStyle="1">
    <w:name w:val="文档结构图 字符"/>
    <w:link w:val="949"/>
    <w:uiPriority w:val="0"/>
    <w:semiHidden/>
    <w:qFormat/>
    <w:rPr>
      <w:szCs w:val="24"/>
      <w:shd w:val="clear" w:color="auto" w:fill="000080"/>
    </w:rPr>
  </w:style>
  <w:style w:type="paragraph" w:styleId="951" w:customStyle="1">
    <w:name w:val="正文文本 31"/>
    <w:basedOn w:val="722"/>
    <w:link w:val="952"/>
    <w:uiPriority w:val="0"/>
    <w:qFormat/>
    <w:pPr>
      <w:spacing w:after="120"/>
    </w:pPr>
    <w:rPr>
      <w:sz w:val="16"/>
      <w:szCs w:val="16"/>
    </w:rPr>
  </w:style>
  <w:style w:type="character" w:styleId="952" w:customStyle="1">
    <w:name w:val="正文文本 3 字符"/>
    <w:link w:val="951"/>
    <w:uiPriority w:val="0"/>
    <w:qFormat/>
    <w:rPr>
      <w:rFonts w:ascii="Times New Roman" w:hAnsi="Times New Roman" w:eastAsia="宋体" w:cs="Times New Roman"/>
      <w:sz w:val="16"/>
      <w:szCs w:val="16"/>
    </w:rPr>
  </w:style>
  <w:style w:type="paragraph" w:styleId="953" w:customStyle="1">
    <w:name w:val="正文文本 21"/>
    <w:basedOn w:val="722"/>
    <w:next w:val="772"/>
    <w:link w:val="955"/>
    <w:uiPriority w:val="0"/>
    <w:qFormat/>
    <w:rPr>
      <w:b/>
      <w:bCs/>
      <w:sz w:val="18"/>
    </w:rPr>
  </w:style>
  <w:style w:type="character" w:styleId="954" w:customStyle="1">
    <w:name w:val="正文文本 字符"/>
    <w:link w:val="772"/>
    <w:uiPriority w:val="0"/>
    <w:qFormat/>
    <w:rPr>
      <w:rFonts w:ascii="仿宋_GB2312" w:hAnsi="Times New Roman" w:eastAsia="仿宋_GB2312" w:cs="Times New Roman"/>
      <w:sz w:val="24"/>
      <w:szCs w:val="20"/>
    </w:rPr>
  </w:style>
  <w:style w:type="character" w:styleId="955" w:customStyle="1">
    <w:name w:val="正文文本 2 字符"/>
    <w:link w:val="953"/>
    <w:uiPriority w:val="0"/>
    <w:qFormat/>
    <w:rPr>
      <w:rFonts w:ascii="Times New Roman" w:hAnsi="Times New Roman" w:eastAsia="宋体" w:cs="Times New Roman"/>
      <w:b/>
      <w:bCs/>
      <w:sz w:val="18"/>
      <w:szCs w:val="24"/>
    </w:rPr>
  </w:style>
  <w:style w:type="paragraph" w:styleId="956" w:customStyle="1">
    <w:name w:val="正文文本缩进1"/>
    <w:basedOn w:val="722"/>
    <w:next w:val="957"/>
    <w:link w:val="958"/>
    <w:uiPriority w:val="0"/>
    <w:qFormat/>
    <w:pPr>
      <w:ind w:left="765"/>
    </w:pPr>
    <w:rPr>
      <w:rFonts w:ascii="仿宋_GB2312" w:eastAsia="仿宋_GB2312"/>
      <w:sz w:val="28"/>
      <w:szCs w:val="20"/>
    </w:rPr>
  </w:style>
  <w:style w:type="paragraph" w:styleId="957" w:customStyle="1">
    <w:name w:val="寄信人地址1"/>
    <w:basedOn w:val="722"/>
    <w:uiPriority w:val="99"/>
    <w:unhideWhenUsed/>
    <w:qFormat/>
    <w:rPr>
      <w:rFonts w:ascii="Arial" w:hAnsi="Arial"/>
    </w:rPr>
  </w:style>
  <w:style w:type="character" w:styleId="958" w:customStyle="1">
    <w:name w:val="正文文本缩进 字符"/>
    <w:link w:val="956"/>
    <w:uiPriority w:val="0"/>
    <w:qFormat/>
    <w:rPr>
      <w:rFonts w:ascii="仿宋_GB2312" w:hAnsi="Times New Roman" w:eastAsia="仿宋_GB2312" w:cs="Times New Roman"/>
      <w:sz w:val="28"/>
      <w:szCs w:val="20"/>
    </w:rPr>
  </w:style>
  <w:style w:type="paragraph" w:styleId="959" w:customStyle="1">
    <w:name w:val="纯文本1"/>
    <w:basedOn w:val="722"/>
    <w:link w:val="960"/>
    <w:uiPriority w:val="0"/>
    <w:qFormat/>
    <w:rPr>
      <w:rFonts w:ascii="宋体" w:hAnsi="Courier New"/>
      <w:sz w:val="20"/>
      <w:szCs w:val="21"/>
    </w:rPr>
  </w:style>
  <w:style w:type="character" w:styleId="960" w:customStyle="1">
    <w:name w:val="纯文本 字符"/>
    <w:link w:val="959"/>
    <w:uiPriority w:val="0"/>
    <w:qFormat/>
    <w:rPr>
      <w:rFonts w:ascii="宋体" w:hAnsi="Courier New" w:eastAsia="宋体" w:cs="Courier New"/>
      <w:szCs w:val="21"/>
    </w:rPr>
  </w:style>
  <w:style w:type="paragraph" w:styleId="961" w:customStyle="1">
    <w:name w:val="日期1"/>
    <w:basedOn w:val="722"/>
    <w:next w:val="722"/>
    <w:link w:val="962"/>
    <w:uiPriority w:val="0"/>
    <w:qFormat/>
    <w:rPr>
      <w:sz w:val="24"/>
      <w:szCs w:val="20"/>
    </w:rPr>
  </w:style>
  <w:style w:type="character" w:styleId="962" w:customStyle="1">
    <w:name w:val="日期 字符"/>
    <w:link w:val="961"/>
    <w:uiPriority w:val="0"/>
    <w:qFormat/>
    <w:rPr>
      <w:rFonts w:ascii="Times New Roman" w:hAnsi="Times New Roman" w:eastAsia="宋体" w:cs="Times New Roman"/>
      <w:sz w:val="24"/>
      <w:szCs w:val="20"/>
    </w:rPr>
  </w:style>
  <w:style w:type="paragraph" w:styleId="963" w:customStyle="1">
    <w:name w:val="正文文本缩进 21"/>
    <w:basedOn w:val="722"/>
    <w:link w:val="964"/>
    <w:uiPriority w:val="0"/>
    <w:qFormat/>
    <w:pPr>
      <w:ind w:firstLine="560"/>
      <w:spacing w:line="500" w:lineRule="exact"/>
    </w:pPr>
    <w:rPr>
      <w:rFonts w:eastAsia="仿宋_GB2312"/>
      <w:sz w:val="28"/>
      <w:szCs w:val="20"/>
    </w:rPr>
  </w:style>
  <w:style w:type="character" w:styleId="964" w:customStyle="1">
    <w:name w:val="正文文本缩进 2 字符"/>
    <w:link w:val="963"/>
    <w:uiPriority w:val="0"/>
    <w:qFormat/>
    <w:rPr>
      <w:rFonts w:ascii="Times New Roman" w:hAnsi="Times New Roman" w:eastAsia="仿宋_GB2312" w:cs="Times New Roman"/>
      <w:sz w:val="28"/>
      <w:szCs w:val="20"/>
    </w:rPr>
  </w:style>
  <w:style w:type="paragraph" w:styleId="965" w:customStyle="1">
    <w:name w:val="批注框文本1"/>
    <w:basedOn w:val="722"/>
    <w:link w:val="966"/>
    <w:uiPriority w:val="0"/>
    <w:semiHidden/>
    <w:qFormat/>
    <w:rPr>
      <w:sz w:val="18"/>
      <w:szCs w:val="18"/>
    </w:rPr>
  </w:style>
  <w:style w:type="character" w:styleId="966" w:customStyle="1">
    <w:name w:val="批注框文本 字符"/>
    <w:link w:val="965"/>
    <w:uiPriority w:val="0"/>
    <w:semiHidden/>
    <w:qFormat/>
    <w:rPr>
      <w:sz w:val="18"/>
      <w:szCs w:val="18"/>
    </w:rPr>
  </w:style>
  <w:style w:type="paragraph" w:styleId="967" w:customStyle="1">
    <w:name w:val="页脚1"/>
    <w:basedOn w:val="722"/>
    <w:link w:val="968"/>
    <w:uiPriority w:val="99"/>
    <w:qFormat/>
    <w:pPr>
      <w:jc w:val="left"/>
      <w:tabs>
        <w:tab w:val="center" w:pos="4153" w:leader="none"/>
        <w:tab w:val="right" w:pos="8306" w:leader="none"/>
      </w:tabs>
    </w:pPr>
    <w:rPr>
      <w:sz w:val="18"/>
      <w:szCs w:val="20"/>
    </w:rPr>
  </w:style>
  <w:style w:type="character" w:styleId="968" w:customStyle="1">
    <w:name w:val="页脚 字符"/>
    <w:link w:val="967"/>
    <w:uiPriority w:val="99"/>
    <w:qFormat/>
    <w:rPr>
      <w:rFonts w:ascii="Times New Roman" w:hAnsi="Times New Roman" w:eastAsia="宋体" w:cs="Times New Roman"/>
      <w:sz w:val="18"/>
      <w:szCs w:val="20"/>
    </w:rPr>
  </w:style>
  <w:style w:type="paragraph" w:styleId="969" w:customStyle="1">
    <w:name w:val="页眉1"/>
    <w:basedOn w:val="722"/>
    <w:link w:val="970"/>
    <w:uiPriority w:val="0"/>
    <w:qFormat/>
    <w:pPr>
      <w:jc w:val="center"/>
      <w:tabs>
        <w:tab w:val="center" w:pos="4153" w:leader="none"/>
        <w:tab w:val="right" w:pos="8306" w:leader="none"/>
      </w:tabs>
      <w:pBdr>
        <w:bottom w:val="single" w:color="000000" w:sz="6" w:space="1"/>
      </w:pBdr>
    </w:pPr>
    <w:rPr>
      <w:sz w:val="18"/>
      <w:szCs w:val="18"/>
    </w:rPr>
  </w:style>
  <w:style w:type="character" w:styleId="970" w:customStyle="1">
    <w:name w:val="页眉 字符"/>
    <w:link w:val="969"/>
    <w:uiPriority w:val="0"/>
    <w:qFormat/>
    <w:rPr>
      <w:rFonts w:ascii="Times New Roman" w:hAnsi="Times New Roman" w:eastAsia="宋体" w:cs="Times New Roman"/>
      <w:sz w:val="18"/>
      <w:szCs w:val="18"/>
    </w:rPr>
  </w:style>
  <w:style w:type="paragraph" w:styleId="971" w:customStyle="1">
    <w:name w:val="目录 11"/>
    <w:basedOn w:val="722"/>
    <w:next w:val="722"/>
    <w:uiPriority w:val="0"/>
    <w:semiHidden/>
    <w:qFormat/>
    <w:rPr>
      <w:sz w:val="24"/>
    </w:rPr>
  </w:style>
  <w:style w:type="paragraph" w:styleId="972" w:customStyle="1">
    <w:name w:val="列表1"/>
    <w:basedOn w:val="722"/>
    <w:uiPriority w:val="0"/>
    <w:qFormat/>
    <w:pPr>
      <w:ind w:left="200" w:hanging="200"/>
    </w:pPr>
  </w:style>
  <w:style w:type="paragraph" w:styleId="973" w:customStyle="1">
    <w:name w:val="脚注文本1"/>
    <w:basedOn w:val="722"/>
    <w:uiPriority w:val="99"/>
    <w:unhideWhenUsed/>
    <w:qFormat/>
    <w:pPr>
      <w:jc w:val="left"/>
    </w:pPr>
    <w:rPr>
      <w:sz w:val="18"/>
      <w:szCs w:val="18"/>
    </w:rPr>
  </w:style>
  <w:style w:type="paragraph" w:styleId="974" w:customStyle="1">
    <w:name w:val="正文文本缩进 31"/>
    <w:basedOn w:val="722"/>
    <w:link w:val="975"/>
    <w:uiPriority w:val="0"/>
    <w:qFormat/>
    <w:pPr>
      <w:ind w:left="420"/>
      <w:spacing w:after="120"/>
    </w:pPr>
    <w:rPr>
      <w:sz w:val="16"/>
      <w:szCs w:val="16"/>
    </w:rPr>
  </w:style>
  <w:style w:type="character" w:styleId="975" w:customStyle="1">
    <w:name w:val="正文文本缩进 3 字符"/>
    <w:link w:val="974"/>
    <w:uiPriority w:val="0"/>
    <w:qFormat/>
    <w:rPr>
      <w:rFonts w:ascii="Times New Roman" w:hAnsi="Times New Roman" w:eastAsia="宋体" w:cs="Times New Roman"/>
      <w:sz w:val="16"/>
      <w:szCs w:val="16"/>
    </w:rPr>
  </w:style>
  <w:style w:type="paragraph" w:styleId="976" w:customStyle="1">
    <w:name w:val="普通(网站)1"/>
    <w:basedOn w:val="722"/>
    <w:uiPriority w:val="0"/>
    <w:qFormat/>
    <w:pPr>
      <w:jc w:val="left"/>
      <w:spacing w:before="100" w:beforeAutospacing="1" w:after="100" w:afterAutospacing="1"/>
      <w:widowControl/>
    </w:pPr>
    <w:rPr>
      <w:rFonts w:ascii="宋体" w:hAnsi="宋体"/>
      <w:color w:val="000000"/>
      <w:sz w:val="24"/>
    </w:rPr>
  </w:style>
  <w:style w:type="paragraph" w:styleId="977" w:customStyle="1">
    <w:name w:val="正文文本11"/>
    <w:basedOn w:val="722"/>
    <w:uiPriority w:val="99"/>
    <w:qFormat/>
    <w:rPr>
      <w:rFonts w:ascii="楷体_GB2312" w:hAnsi="Arial" w:eastAsia="楷体_GB2312"/>
      <w:sz w:val="28"/>
      <w:szCs w:val="20"/>
    </w:rPr>
  </w:style>
  <w:style w:type="character" w:styleId="978" w:customStyle="1">
    <w:name w:val="正文首行缩进 字符"/>
    <w:link w:val="777"/>
    <w:uiPriority w:val="0"/>
    <w:qFormat/>
    <w:rPr>
      <w:rFonts w:ascii="Times New Roman" w:hAnsi="Times New Roman" w:eastAsia="宋体" w:cs="Times New Roman"/>
      <w:sz w:val="24"/>
      <w:szCs w:val="24"/>
    </w:rPr>
  </w:style>
  <w:style w:type="table" w:styleId="979" w:customStyle="1">
    <w:name w:val="网格型11"/>
    <w:basedOn w:val="938"/>
    <w:uiPriority w:val="59"/>
    <w:qFormat/>
    <w:tblPr/>
  </w:style>
  <w:style w:type="character" w:styleId="980" w:customStyle="1">
    <w:name w:val="要点1"/>
    <w:uiPriority w:val="0"/>
    <w:qFormat/>
    <w:rPr>
      <w:b/>
      <w:bCs/>
    </w:rPr>
  </w:style>
  <w:style w:type="character" w:styleId="981" w:customStyle="1">
    <w:name w:val="页码1"/>
    <w:uiPriority w:val="0"/>
    <w:qFormat/>
  </w:style>
  <w:style w:type="character" w:styleId="982" w:customStyle="1">
    <w:name w:val="已访问的超链接1"/>
    <w:uiPriority w:val="0"/>
    <w:qFormat/>
    <w:rPr>
      <w:color w:val="800080"/>
      <w:u w:val="none"/>
    </w:rPr>
  </w:style>
  <w:style w:type="character" w:styleId="983" w:customStyle="1">
    <w:name w:val="强调1"/>
    <w:uiPriority w:val="20"/>
    <w:qFormat/>
    <w:rPr>
      <w:b/>
      <w:bCs/>
    </w:rPr>
  </w:style>
  <w:style w:type="character" w:styleId="984" w:customStyle="1">
    <w:name w:val="HTML 定义1"/>
    <w:uiPriority w:val="99"/>
    <w:unhideWhenUsed/>
    <w:qFormat/>
  </w:style>
  <w:style w:type="character" w:styleId="985" w:customStyle="1">
    <w:name w:val="HTML 打字机1"/>
    <w:uiPriority w:val="99"/>
    <w:unhideWhenUsed/>
    <w:qFormat/>
    <w:rPr>
      <w:rFonts w:ascii="monospace" w:hAnsi="monospace" w:eastAsia="monospace" w:cs="monospace"/>
      <w:sz w:val="20"/>
    </w:rPr>
  </w:style>
  <w:style w:type="character" w:styleId="986" w:customStyle="1">
    <w:name w:val="HTML 缩写1"/>
    <w:uiPriority w:val="99"/>
    <w:unhideWhenUsed/>
    <w:qFormat/>
  </w:style>
  <w:style w:type="character" w:styleId="987" w:customStyle="1">
    <w:name w:val="HTML 变量1"/>
    <w:uiPriority w:val="99"/>
    <w:unhideWhenUsed/>
    <w:qFormat/>
  </w:style>
  <w:style w:type="character" w:styleId="988" w:customStyle="1">
    <w:name w:val="超链接1"/>
    <w:uiPriority w:val="0"/>
    <w:qFormat/>
    <w:rPr>
      <w:color w:val="0000ff"/>
      <w:u w:val="none"/>
    </w:rPr>
  </w:style>
  <w:style w:type="character" w:styleId="989" w:customStyle="1">
    <w:name w:val="HTML 代码1"/>
    <w:uiPriority w:val="99"/>
    <w:unhideWhenUsed/>
    <w:qFormat/>
    <w:rPr>
      <w:rFonts w:ascii="monospace" w:hAnsi="monospace" w:eastAsia="monospace" w:cs="monospace"/>
      <w:sz w:val="20"/>
    </w:rPr>
  </w:style>
  <w:style w:type="character" w:styleId="990" w:customStyle="1">
    <w:name w:val="HTML 引文1"/>
    <w:uiPriority w:val="99"/>
    <w:unhideWhenUsed/>
    <w:qFormat/>
  </w:style>
  <w:style w:type="character" w:styleId="991" w:customStyle="1">
    <w:name w:val="HTML 键盘1"/>
    <w:uiPriority w:val="99"/>
    <w:unhideWhenUsed/>
    <w:qFormat/>
    <w:rPr>
      <w:rFonts w:ascii="monospace" w:hAnsi="monospace" w:eastAsia="monospace" w:cs="monospace"/>
      <w:sz w:val="20"/>
    </w:rPr>
  </w:style>
  <w:style w:type="character" w:styleId="992" w:customStyle="1">
    <w:name w:val="HTML 样本1"/>
    <w:uiPriority w:val="99"/>
    <w:unhideWhenUsed/>
    <w:qFormat/>
    <w:rPr>
      <w:rFonts w:ascii="monospace" w:hAnsi="monospace" w:eastAsia="monospace" w:cs="monospace"/>
    </w:rPr>
  </w:style>
  <w:style w:type="character" w:styleId="993" w:customStyle="1">
    <w:name w:val="列出段落 字符"/>
    <w:link w:val="994"/>
    <w:uiPriority w:val="99"/>
    <w:qFormat/>
  </w:style>
  <w:style w:type="paragraph" w:styleId="994" w:customStyle="1">
    <w:name w:val="列出段落1"/>
    <w:basedOn w:val="722"/>
    <w:link w:val="993"/>
    <w:uiPriority w:val="99"/>
    <w:qFormat/>
    <w:pPr>
      <w:ind w:firstLine="420"/>
    </w:pPr>
    <w:rPr>
      <w:sz w:val="20"/>
      <w:szCs w:val="20"/>
    </w:rPr>
  </w:style>
  <w:style w:type="character" w:styleId="995" w:customStyle="1">
    <w:name w:val="文档结构图 Char1"/>
    <w:uiPriority w:val="99"/>
    <w:semiHidden/>
    <w:qFormat/>
    <w:rPr>
      <w:rFonts w:ascii="宋体" w:hAnsi="Times New Roman" w:eastAsia="宋体" w:cs="Times New Roman"/>
      <w:sz w:val="18"/>
      <w:szCs w:val="18"/>
    </w:rPr>
  </w:style>
  <w:style w:type="character" w:styleId="996" w:customStyle="1">
    <w:name w:val="普通正文 Char"/>
    <w:link w:val="997"/>
    <w:uiPriority w:val="0"/>
    <w:qFormat/>
    <w:rPr>
      <w:rFonts w:ascii="Arial" w:hAnsi="Arial"/>
      <w:sz w:val="24"/>
      <w:szCs w:val="24"/>
    </w:rPr>
  </w:style>
  <w:style w:type="paragraph" w:styleId="997" w:customStyle="1">
    <w:name w:val="普通正文"/>
    <w:basedOn w:val="722"/>
    <w:link w:val="996"/>
    <w:uiPriority w:val="0"/>
    <w:qFormat/>
    <w:pPr>
      <w:ind w:left="-2" w:right="120" w:firstLine="480"/>
      <w:jc w:val="center"/>
      <w:spacing w:before="120" w:after="120" w:line="360" w:lineRule="auto"/>
    </w:pPr>
    <w:rPr>
      <w:rFonts w:ascii="Arial" w:hAnsi="Arial"/>
      <w:sz w:val="24"/>
    </w:rPr>
  </w:style>
  <w:style w:type="character" w:styleId="998" w:customStyle="1">
    <w:name w:val="FA正文 Char"/>
    <w:link w:val="999"/>
    <w:uiPriority w:val="0"/>
    <w:qFormat/>
    <w:rPr>
      <w:rFonts w:ascii="宋体" w:hAnsi="宋体" w:eastAsia="宋体" w:cs="Times New Roman"/>
      <w:sz w:val="28"/>
      <w:szCs w:val="28"/>
    </w:rPr>
  </w:style>
  <w:style w:type="paragraph" w:styleId="999" w:customStyle="1">
    <w:name w:val="FA正文"/>
    <w:basedOn w:val="722"/>
    <w:link w:val="998"/>
    <w:uiPriority w:val="0"/>
    <w:qFormat/>
    <w:pPr>
      <w:ind w:firstLine="538"/>
      <w:spacing w:line="440" w:lineRule="atLeast"/>
      <w:tabs>
        <w:tab w:val="left" w:pos="3375" w:leader="none"/>
      </w:tabs>
    </w:pPr>
    <w:rPr>
      <w:rFonts w:ascii="宋体" w:hAnsi="宋体"/>
      <w:sz w:val="28"/>
      <w:szCs w:val="28"/>
    </w:rPr>
  </w:style>
  <w:style w:type="character" w:styleId="1000" w:customStyle="1">
    <w:name w:val="正文缩进2格 Char"/>
    <w:link w:val="1001"/>
    <w:uiPriority w:val="0"/>
    <w:qFormat/>
    <w:rPr>
      <w:rFonts w:ascii="仿宋_GB2312" w:hAnsi="宋体" w:eastAsia="仿宋_GB2312" w:cs="Times New Roman"/>
      <w:sz w:val="31"/>
      <w:szCs w:val="28"/>
    </w:rPr>
  </w:style>
  <w:style w:type="paragraph" w:styleId="1001" w:customStyle="1">
    <w:name w:val="正文缩进2格"/>
    <w:basedOn w:val="722"/>
    <w:link w:val="1000"/>
    <w:uiPriority w:val="0"/>
    <w:qFormat/>
    <w:pPr>
      <w:ind w:firstLine="639"/>
      <w:spacing w:line="600" w:lineRule="exact"/>
    </w:pPr>
    <w:rPr>
      <w:rFonts w:ascii="仿宋_GB2312" w:hAnsi="宋体" w:eastAsia="仿宋_GB2312"/>
      <w:sz w:val="31"/>
      <w:szCs w:val="28"/>
    </w:rPr>
  </w:style>
  <w:style w:type="character" w:styleId="1002" w:customStyle="1">
    <w:name w:val="cn_text1"/>
    <w:uiPriority w:val="0"/>
    <w:qFormat/>
    <w:rPr>
      <w:rFonts w:ascii="ˎ̥" w:hAnsi="ˎ̥"/>
      <w:color w:val="003399"/>
      <w:spacing w:val="15"/>
      <w:sz w:val="18"/>
      <w:szCs w:val="18"/>
    </w:rPr>
  </w:style>
  <w:style w:type="character" w:styleId="1003" w:customStyle="1">
    <w:name w:val="ssss Char"/>
    <w:uiPriority w:val="0"/>
    <w:qFormat/>
    <w:rPr>
      <w:rFonts w:eastAsia="宋体"/>
      <w:sz w:val="24"/>
      <w:szCs w:val="24"/>
      <w:lang w:val="en-US" w:eastAsia="zh-CN" w:bidi="ar-SA"/>
    </w:rPr>
  </w:style>
  <w:style w:type="character" w:styleId="1004" w:customStyle="1">
    <w:name w:val="ssss Char1"/>
    <w:link w:val="1005"/>
    <w:uiPriority w:val="0"/>
    <w:qFormat/>
    <w:rPr>
      <w:rFonts w:ascii="Times New Roman" w:hAnsi="Times New Roman" w:eastAsia="宋体" w:cs="Times New Roman"/>
      <w:sz w:val="24"/>
      <w:szCs w:val="24"/>
    </w:rPr>
  </w:style>
  <w:style w:type="paragraph" w:styleId="1005" w:customStyle="1">
    <w:name w:val="ssss"/>
    <w:basedOn w:val="722"/>
    <w:link w:val="1004"/>
    <w:uiPriority w:val="0"/>
    <w:qFormat/>
    <w:pPr>
      <w:ind w:firstLine="480"/>
      <w:spacing w:line="360" w:lineRule="auto"/>
    </w:pPr>
    <w:rPr>
      <w:sz w:val="24"/>
    </w:rPr>
  </w:style>
  <w:style w:type="character" w:styleId="1006" w:customStyle="1">
    <w:name w:val="标题 4 Char1"/>
    <w:uiPriority w:val="0"/>
    <w:qFormat/>
    <w:rPr>
      <w:rFonts w:ascii="Arial" w:hAnsi="Arial" w:eastAsia="黑体"/>
      <w:b/>
      <w:bCs/>
      <w:sz w:val="28"/>
      <w:szCs w:val="28"/>
      <w:lang w:val="en-US" w:eastAsia="zh-CN" w:bidi="ar-SA"/>
    </w:rPr>
  </w:style>
  <w:style w:type="character" w:styleId="1007" w:customStyle="1">
    <w:name w:val="列表段落 字符"/>
    <w:uiPriority w:val="34"/>
    <w:qFormat/>
    <w:rPr>
      <w:rFonts w:ascii="Calibri" w:hAnsi="Calibri"/>
      <w:sz w:val="21"/>
      <w:szCs w:val="22"/>
    </w:rPr>
  </w:style>
  <w:style w:type="character" w:styleId="1008" w:customStyle="1">
    <w:name w:val="批注框文本 Char1"/>
    <w:uiPriority w:val="99"/>
    <w:semiHidden/>
    <w:qFormat/>
    <w:rPr>
      <w:rFonts w:ascii="Times New Roman" w:hAnsi="Times New Roman" w:eastAsia="宋体" w:cs="Times New Roman"/>
      <w:sz w:val="18"/>
      <w:szCs w:val="18"/>
    </w:rPr>
  </w:style>
  <w:style w:type="character" w:styleId="1009" w:customStyle="1">
    <w:name w:val="样式 ssss + 宋体 五号1 Char"/>
    <w:link w:val="1010"/>
    <w:uiPriority w:val="0"/>
    <w:qFormat/>
    <w:rPr>
      <w:rFonts w:ascii="宋体" w:hAnsi="宋体" w:eastAsia="宋体" w:cs="Times New Roman"/>
      <w:sz w:val="24"/>
      <w:szCs w:val="24"/>
    </w:rPr>
  </w:style>
  <w:style w:type="paragraph" w:styleId="1010" w:customStyle="1">
    <w:name w:val="样式 ssss + 宋体 五号1"/>
    <w:basedOn w:val="1005"/>
    <w:link w:val="1009"/>
    <w:uiPriority w:val="0"/>
    <w:qFormat/>
    <w:rPr>
      <w:rFonts w:ascii="宋体" w:hAnsi="宋体"/>
    </w:rPr>
  </w:style>
  <w:style w:type="character" w:styleId="1011" w:customStyle="1">
    <w:name w:val="point_normal1"/>
    <w:uiPriority w:val="0"/>
    <w:qFormat/>
    <w:rPr>
      <w:rFonts w:ascii="Arial" w:hAnsi="Arial" w:cs="Arial"/>
      <w:sz w:val="16"/>
      <w:szCs w:val="16"/>
    </w:rPr>
  </w:style>
  <w:style w:type="paragraph" w:styleId="1012" w:customStyle="1">
    <w:name w:val="样式 正文文本缩进 3 + 四号"/>
    <w:basedOn w:val="974"/>
    <w:uiPriority w:val="0"/>
    <w:qFormat/>
    <w:pPr>
      <w:ind w:left="0" w:firstLine="437"/>
      <w:spacing w:after="0" w:line="360" w:lineRule="auto"/>
    </w:pPr>
    <w:rPr>
      <w:sz w:val="24"/>
      <w:szCs w:val="21"/>
    </w:rPr>
  </w:style>
  <w:style w:type="paragraph" w:styleId="1013" w:customStyle="1">
    <w:name w:val="2cxsplast"/>
    <w:basedOn w:val="722"/>
    <w:uiPriority w:val="0"/>
    <w:qFormat/>
    <w:pPr>
      <w:jc w:val="left"/>
      <w:spacing w:before="100" w:beforeAutospacing="1" w:after="100" w:afterAutospacing="1"/>
      <w:widowControl/>
    </w:pPr>
    <w:rPr>
      <w:rFonts w:ascii="宋体" w:hAnsi="宋体" w:cs="宋体"/>
      <w:sz w:val="24"/>
    </w:rPr>
  </w:style>
  <w:style w:type="paragraph" w:styleId="1014" w:customStyle="1">
    <w:name w:val="ec_msonormal"/>
    <w:basedOn w:val="722"/>
    <w:uiPriority w:val="0"/>
    <w:qFormat/>
    <w:pPr>
      <w:jc w:val="left"/>
      <w:spacing w:before="100" w:beforeAutospacing="1" w:after="100" w:afterAutospacing="1"/>
      <w:widowControl/>
    </w:pPr>
    <w:rPr>
      <w:rFonts w:ascii="宋体" w:hAnsi="宋体"/>
      <w:sz w:val="24"/>
    </w:rPr>
  </w:style>
  <w:style w:type="paragraph" w:styleId="1015" w:customStyle="1">
    <w:name w:val="Char Char Char Char"/>
    <w:basedOn w:val="722"/>
    <w:uiPriority w:val="0"/>
    <w:qFormat/>
    <w:rPr>
      <w:rFonts w:ascii="Tahoma" w:hAnsi="Tahoma"/>
      <w:sz w:val="24"/>
      <w:szCs w:val="20"/>
    </w:rPr>
  </w:style>
  <w:style w:type="paragraph" w:styleId="1016" w:customStyle="1">
    <w:name w:val="Char Char Char Char Char Char Char Char Char Char Char Char Char"/>
    <w:basedOn w:val="722"/>
    <w:uiPriority w:val="0"/>
    <w:qFormat/>
  </w:style>
  <w:style w:type="paragraph" w:styleId="1017" w:customStyle="1">
    <w:name w:val="表格正文"/>
    <w:basedOn w:val="722"/>
    <w:uiPriority w:val="0"/>
    <w:qFormat/>
    <w:pPr>
      <w:jc w:val="left"/>
      <w:spacing w:line="360" w:lineRule="auto"/>
    </w:pPr>
    <w:rPr>
      <w:rFonts w:ascii="Calibri" w:hAnsi="Calibri"/>
      <w:color w:val="000000"/>
      <w:szCs w:val="28"/>
    </w:rPr>
  </w:style>
  <w:style w:type="paragraph" w:styleId="1018" w:customStyle="1">
    <w:name w:val="Normal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1019" w:customStyle="1">
    <w:name w:val="Char Char Char Char1"/>
    <w:basedOn w:val="722"/>
    <w:uiPriority w:val="0"/>
    <w:qFormat/>
    <w:rPr>
      <w:rFonts w:ascii="Tahoma" w:hAnsi="Tahoma"/>
      <w:sz w:val="24"/>
      <w:szCs w:val="20"/>
    </w:rPr>
  </w:style>
  <w:style w:type="paragraph" w:styleId="1020" w:customStyle="1">
    <w:name w:val="Char Char Char"/>
    <w:basedOn w:val="722"/>
    <w:uiPriority w:val="0"/>
    <w:qFormat/>
    <w:rPr>
      <w:rFonts w:ascii="Tahoma" w:hAnsi="Tahoma"/>
      <w:sz w:val="24"/>
      <w:szCs w:val="20"/>
    </w:rPr>
  </w:style>
  <w:style w:type="paragraph" w:styleId="1021" w:customStyle="1">
    <w:name w:val="标题-----3"/>
    <w:basedOn w:val="929"/>
    <w:uiPriority w:val="0"/>
    <w:qFormat/>
    <w:pPr>
      <w:spacing w:before="0" w:after="0" w:line="240" w:lineRule="auto"/>
      <w:outlineLvl w:val="0"/>
    </w:pPr>
    <w:rPr>
      <w:rFonts w:ascii="宋体" w:hAnsi="宋体"/>
      <w:b w:val="0"/>
      <w:bCs w:val="0"/>
      <w:sz w:val="28"/>
      <w:szCs w:val="28"/>
    </w:rPr>
  </w:style>
  <w:style w:type="paragraph" w:styleId="1022" w:customStyle="1">
    <w:name w:val="样式 ssss + 居中"/>
    <w:basedOn w:val="1005"/>
    <w:uiPriority w:val="0"/>
    <w:qFormat/>
    <w:pPr>
      <w:jc w:val="center"/>
    </w:pPr>
    <w:rPr>
      <w:rFonts w:cs="宋体"/>
      <w:szCs w:val="20"/>
    </w:rPr>
  </w:style>
  <w:style w:type="paragraph" w:styleId="1023" w:customStyle="1">
    <w:name w:val="样式 宋体 四号 黑色 左侧:  0.74 厘米 首行缩进:  0.74 厘米 行距: 1.5 倍行距"/>
    <w:basedOn w:val="722"/>
    <w:uiPriority w:val="0"/>
    <w:qFormat/>
    <w:pPr>
      <w:ind w:firstLine="420"/>
      <w:spacing w:line="360" w:lineRule="auto"/>
    </w:pPr>
    <w:rPr>
      <w:rFonts w:ascii="宋体"/>
      <w:color w:val="000000"/>
      <w:sz w:val="24"/>
      <w:szCs w:val="21"/>
    </w:rPr>
  </w:style>
  <w:style w:type="paragraph" w:styleId="1024" w:customStyle="1">
    <w:name w:val="样式 样式 ssss + 宋体 五号 + 首行缩进:  2 字符"/>
    <w:basedOn w:val="1025"/>
    <w:uiPriority w:val="0"/>
    <w:qFormat/>
    <w:pPr>
      <w:ind w:firstLine="480"/>
    </w:pPr>
  </w:style>
  <w:style w:type="paragraph" w:styleId="1025" w:customStyle="1">
    <w:name w:val="样式 ssss + 宋体 五号"/>
    <w:basedOn w:val="1005"/>
    <w:uiPriority w:val="0"/>
    <w:qFormat/>
    <w:pPr>
      <w:ind w:firstLine="420"/>
    </w:pPr>
    <w:rPr>
      <w:rFonts w:ascii="宋体" w:hAnsi="宋体" w:cs="宋体"/>
      <w:szCs w:val="20"/>
    </w:rPr>
  </w:style>
  <w:style w:type="paragraph" w:styleId="1026" w:customStyle="1">
    <w:name w:val="msonormalcxsplast"/>
    <w:basedOn w:val="722"/>
    <w:uiPriority w:val="0"/>
    <w:qFormat/>
    <w:pPr>
      <w:jc w:val="left"/>
      <w:spacing w:before="100" w:beforeAutospacing="1" w:after="100" w:afterAutospacing="1"/>
      <w:widowControl/>
    </w:pPr>
    <w:rPr>
      <w:rFonts w:ascii="宋体" w:hAnsi="宋体" w:cs="宋体"/>
      <w:sz w:val="24"/>
    </w:rPr>
  </w:style>
  <w:style w:type="paragraph" w:styleId="1027" w:customStyle="1">
    <w:name w:val="Char"/>
    <w:basedOn w:val="722"/>
    <w:uiPriority w:val="0"/>
    <w:qFormat/>
    <w:rPr>
      <w:rFonts w:ascii="Tahoma" w:hAnsi="Tahoma"/>
      <w:sz w:val="24"/>
      <w:szCs w:val="20"/>
    </w:rPr>
  </w:style>
  <w:style w:type="paragraph" w:styleId="1028" w:customStyle="1">
    <w:name w:val="xl25"/>
    <w:basedOn w:val="722"/>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29" w:customStyle="1">
    <w:name w:val="标题------4"/>
    <w:basedOn w:val="930"/>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1030" w:customStyle="1">
    <w:name w:val="msonormalcxspmiddle"/>
    <w:basedOn w:val="722"/>
    <w:uiPriority w:val="0"/>
    <w:qFormat/>
    <w:pPr>
      <w:jc w:val="left"/>
      <w:spacing w:before="100" w:beforeAutospacing="1" w:after="100" w:afterAutospacing="1"/>
      <w:widowControl/>
    </w:pPr>
    <w:rPr>
      <w:rFonts w:ascii="宋体" w:hAnsi="宋体" w:cs="宋体"/>
      <w:sz w:val="24"/>
    </w:rPr>
  </w:style>
  <w:style w:type="paragraph" w:styleId="1031" w:customStyle="1">
    <w:name w:val="Char Char Char Char Char Char Char Char Char Char Char Char Char1"/>
    <w:basedOn w:val="722"/>
    <w:uiPriority w:val="0"/>
    <w:qFormat/>
    <w:rPr>
      <w:sz w:val="24"/>
    </w:rPr>
  </w:style>
  <w:style w:type="paragraph" w:styleId="1032" w:customStyle="1">
    <w:name w:val="表格"/>
    <w:basedOn w:val="722"/>
    <w:uiPriority w:val="0"/>
    <w:qFormat/>
    <w:rPr>
      <w:rFonts w:ascii="Arial" w:hAnsi="Arial"/>
      <w:sz w:val="24"/>
    </w:rPr>
  </w:style>
  <w:style w:type="paragraph" w:styleId="1033" w:customStyle="1">
    <w:name w:val="正文样式1"/>
    <w:basedOn w:val="722"/>
    <w:uiPriority w:val="0"/>
    <w:qFormat/>
    <w:pPr>
      <w:ind w:firstLine="480"/>
      <w:spacing w:before="120" w:after="120" w:line="360" w:lineRule="auto"/>
    </w:pPr>
    <w:rPr>
      <w:sz w:val="24"/>
      <w:szCs w:val="20"/>
    </w:rPr>
  </w:style>
  <w:style w:type="paragraph" w:styleId="1034" w:customStyle="1">
    <w:name w:val="Char Char1 Char Char Char Char Char Char"/>
    <w:basedOn w:val="722"/>
    <w:uiPriority w:val="0"/>
    <w:qFormat/>
    <w:pPr>
      <w:jc w:val="left"/>
      <w:spacing w:after="160" w:line="240" w:lineRule="exact"/>
      <w:widowControl/>
    </w:pPr>
    <w:rPr>
      <w:rFonts w:ascii="Verdana" w:hAnsi="Verdana" w:eastAsia="仿宋_GB2312"/>
      <w:sz w:val="24"/>
      <w:szCs w:val="20"/>
      <w:lang w:eastAsia="en-US"/>
    </w:rPr>
  </w:style>
  <w:style w:type="paragraph" w:styleId="1035" w:customStyle="1">
    <w:name w:val="Char Char Char Char Char Char Char Char Char Char"/>
    <w:basedOn w:val="722"/>
    <w:uiPriority w:val="0"/>
    <w:qFormat/>
    <w:rPr>
      <w:rFonts w:ascii="Tahoma" w:hAnsi="Tahoma"/>
      <w:sz w:val="24"/>
      <w:szCs w:val="20"/>
    </w:rPr>
  </w:style>
  <w:style w:type="paragraph" w:styleId="1036" w:customStyle="1">
    <w:name w:val="Char1"/>
    <w:basedOn w:val="722"/>
    <w:uiPriority w:val="0"/>
    <w:qFormat/>
    <w:pPr>
      <w:tabs>
        <w:tab w:val="left" w:pos="360" w:leader="none"/>
      </w:tabs>
    </w:pPr>
    <w:rPr>
      <w:sz w:val="24"/>
    </w:rPr>
  </w:style>
  <w:style w:type="paragraph" w:styleId="1037" w:customStyle="1">
    <w:name w:val="标题1"/>
    <w:basedOn w:val="722"/>
    <w:next w:val="72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8" w:customStyle="1">
    <w:name w:val="Header2"/>
    <w:basedOn w:val="722"/>
    <w:uiPriority w:val="0"/>
    <w:qFormat/>
    <w:pPr>
      <w:numPr>
        <w:ilvl w:val="0"/>
        <w:numId w:val="1"/>
      </w:numPr>
    </w:pPr>
  </w:style>
  <w:style w:type="paragraph" w:styleId="1039" w:customStyle="1">
    <w:name w:val="Char Char 字元 字元 字元 Char Char Char Char"/>
    <w:basedOn w:val="722"/>
    <w:uiPriority w:val="0"/>
    <w:qFormat/>
    <w:pPr>
      <w:spacing w:line="360" w:lineRule="auto"/>
    </w:pPr>
    <w:rPr>
      <w:sz w:val="24"/>
      <w:szCs w:val="20"/>
    </w:rPr>
  </w:style>
  <w:style w:type="paragraph" w:styleId="1040" w:customStyle="1">
    <w:name w:val="2cxspmiddle"/>
    <w:basedOn w:val="722"/>
    <w:uiPriority w:val="0"/>
    <w:qFormat/>
    <w:pPr>
      <w:jc w:val="left"/>
      <w:spacing w:before="100" w:beforeAutospacing="1" w:after="100" w:afterAutospacing="1"/>
      <w:widowControl/>
    </w:pPr>
    <w:rPr>
      <w:rFonts w:ascii="宋体" w:hAnsi="宋体" w:cs="宋体"/>
      <w:sz w:val="24"/>
    </w:rPr>
  </w:style>
  <w:style w:type="paragraph" w:styleId="1041"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42"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1043" w:customStyle="1">
    <w:name w:val="网格型1"/>
    <w:basedOn w:val="938"/>
    <w:uiPriority w:val="39"/>
    <w:qFormat/>
    <w:rPr>
      <w:rFonts w:ascii="等线" w:hAnsi="等线" w:eastAsia="等线"/>
      <w:sz w:val="21"/>
      <w:szCs w:val="22"/>
    </w:rPr>
    <w:tblPr/>
  </w:style>
  <w:style w:type="paragraph" w:styleId="1044" w:customStyle="1">
    <w:name w:val="正文1"/>
    <w:uiPriority w:val="0"/>
    <w:qFormat/>
    <w:pPr>
      <w:jc w:val="both"/>
      <w:widowControl w:val="off"/>
    </w:pPr>
    <w:rPr>
      <w:rFonts w:ascii="Times New Roman" w:hAnsi="Times New Roman" w:eastAsia="宋体" w:cs="Times New Roman"/>
      <w:sz w:val="21"/>
      <w:szCs w:val="21"/>
      <w:lang w:val="en-US" w:eastAsia="zh-CN" w:bidi="ar-SA"/>
    </w:rPr>
  </w:style>
  <w:style w:type="character" w:styleId="1045" w:customStyle="1">
    <w:name w:val="mini-tree-nodetext3"/>
    <w:uiPriority w:val="0"/>
    <w:qFormat/>
  </w:style>
  <w:style w:type="paragraph" w:styleId="1046" w:customStyle="1">
    <w:name w:val="正文首行缩进 211"/>
    <w:basedOn w:val="956"/>
    <w:next w:val="722"/>
    <w:uiPriority w:val="0"/>
    <w:qFormat/>
    <w:pPr>
      <w:ind w:left="0" w:firstLine="420"/>
      <w:spacing w:line="360" w:lineRule="auto"/>
    </w:pPr>
    <w:rPr>
      <w:rFonts w:ascii="宋体" w:hAnsi="宋体"/>
      <w:sz w:val="20"/>
    </w:rPr>
  </w:style>
  <w:style w:type="paragraph" w:styleId="1047" w:customStyle="1">
    <w:name w:val="列出段落11"/>
    <w:basedOn w:val="722"/>
    <w:uiPriority w:val="99"/>
    <w:qFormat/>
    <w:pPr>
      <w:jc w:val="left"/>
      <w:spacing w:before="100" w:beforeAutospacing="1" w:after="100" w:afterAutospacing="1"/>
      <w:widowControl/>
    </w:pPr>
    <w:rPr>
      <w:rFonts w:ascii="Arial" w:hAnsi="Arial" w:cs="Arial"/>
      <w:color w:val="000000"/>
      <w:sz w:val="18"/>
      <w:szCs w:val="18"/>
    </w:rPr>
  </w:style>
  <w:style w:type="paragraph" w:styleId="1048" w:customStyle="1">
    <w:name w:val="正文缩进11"/>
    <w:basedOn w:val="722"/>
    <w:uiPriority w:val="0"/>
    <w:qFormat/>
    <w:pPr>
      <w:ind w:firstLine="420"/>
    </w:pPr>
    <w:rPr>
      <w:szCs w:val="20"/>
    </w:rPr>
  </w:style>
  <w:style w:type="character" w:styleId="1049" w:customStyle="1">
    <w:name w:val="font71"/>
    <w:basedOn w:val="732"/>
    <w:uiPriority w:val="0"/>
    <w:qFormat/>
    <w:rPr>
      <w:rFonts w:hint="eastAsia" w:ascii="仿宋" w:hAnsi="仿宋" w:eastAsia="仿宋" w:cs="仿宋"/>
      <w:color w:val="000000"/>
      <w:sz w:val="24"/>
      <w:szCs w:val="24"/>
      <w:u w:val="none"/>
    </w:rPr>
  </w:style>
  <w:style w:type="character" w:styleId="1050" w:customStyle="1">
    <w:name w:val="font31"/>
    <w:basedOn w:val="732"/>
    <w:uiPriority w:val="0"/>
    <w:qFormat/>
    <w:rPr>
      <w:rFonts w:hint="eastAsia" w:ascii="仿宋" w:hAnsi="仿宋" w:eastAsia="仿宋" w:cs="仿宋"/>
      <w:color w:val="000000"/>
      <w:sz w:val="24"/>
      <w:szCs w:val="24"/>
      <w:u w:val="none"/>
    </w:rPr>
  </w:style>
  <w:style w:type="character" w:styleId="1051" w:customStyle="1">
    <w:name w:val="font01"/>
    <w:basedOn w:val="732"/>
    <w:uiPriority w:val="0"/>
    <w:qFormat/>
    <w:rPr>
      <w:rFonts w:hint="eastAsia" w:ascii="宋体" w:hAnsi="宋体" w:eastAsia="宋体" w:cs="宋体"/>
      <w:color w:val="000000"/>
      <w:sz w:val="24"/>
      <w:szCs w:val="24"/>
      <w:u w:val="none"/>
    </w:rPr>
  </w:style>
  <w:style w:type="character" w:styleId="1052" w:customStyle="1">
    <w:name w:val="font11"/>
    <w:basedOn w:val="732"/>
    <w:uiPriority w:val="0"/>
    <w:qFormat/>
    <w:rPr>
      <w:rFonts w:hint="eastAsia" w:ascii="仿宋" w:hAnsi="仿宋" w:eastAsia="仿宋" w:cs="仿宋"/>
      <w:color w:val="000000"/>
      <w:sz w:val="24"/>
      <w:szCs w:val="24"/>
      <w:u w:val="none"/>
    </w:rPr>
  </w:style>
  <w:style w:type="character" w:styleId="1053" w:customStyle="1">
    <w:name w:val="font61"/>
    <w:basedOn w:val="732"/>
    <w:uiPriority w:val="0"/>
    <w:qFormat/>
    <w:rPr>
      <w:rFonts w:hint="eastAsia" w:ascii="MS Gothic" w:hAnsi="MS Gothic" w:eastAsia="MS Gothic" w:cs="MS Gothic"/>
      <w:color w:val="000000"/>
      <w:sz w:val="24"/>
      <w:szCs w:val="24"/>
      <w:u w:val="none"/>
    </w:rPr>
  </w:style>
  <w:style w:type="character" w:styleId="1054" w:customStyle="1">
    <w:name w:val="批注框文本 字符1"/>
    <w:basedOn w:val="732"/>
    <w:link w:val="750"/>
    <w:uiPriority w:val="99"/>
    <w:semiHidden/>
    <w:qFormat/>
    <w:rPr>
      <w:sz w:val="18"/>
      <w:szCs w:val="18"/>
    </w:rPr>
  </w:style>
  <w:style w:type="character" w:styleId="1055" w:customStyle="1">
    <w:name w:val="批注文字 字符"/>
    <w:basedOn w:val="732"/>
    <w:link w:val="739"/>
    <w:uiPriority w:val="0"/>
    <w:qFormat/>
    <w:rPr>
      <w:sz w:val="21"/>
      <w:szCs w:val="24"/>
    </w:rPr>
  </w:style>
  <w:style w:type="character" w:styleId="1056" w:customStyle="1">
    <w:name w:val="批注主题 字符"/>
    <w:basedOn w:val="1055"/>
    <w:link w:val="763"/>
    <w:uiPriority w:val="99"/>
    <w:semiHidden/>
    <w:qFormat/>
    <w:rPr>
      <w:b/>
      <w:bCs/>
      <w:sz w:val="21"/>
      <w:szCs w:val="24"/>
    </w:rPr>
  </w:style>
  <w:style w:type="paragraph" w:styleId="1057" w:customStyle="1">
    <w:name w:val="批注文字1"/>
    <w:basedOn w:val="722"/>
    <w:uiPriority w:val="0"/>
    <w:unhideWhenUsed/>
    <w:qFormat/>
    <w:pPr>
      <w:jc w:val="left"/>
    </w:pPr>
  </w:style>
  <w:style w:type="paragraph" w:styleId="1058" w:customStyle="1">
    <w:name w:val="纯文本2"/>
    <w:basedOn w:val="722"/>
    <w:uiPriority w:val="0"/>
    <w:qFormat/>
    <w:rPr>
      <w:rFonts w:ascii="宋体" w:hAnsi="Courier New"/>
      <w:sz w:val="28"/>
    </w:rPr>
  </w:style>
  <w:style w:type="paragraph" w:styleId="105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60" w:customStyle="1">
    <w:name w:val="Table Text"/>
    <w:basedOn w:val="722"/>
    <w:uiPriority w:val="0"/>
    <w:semiHidden/>
    <w:qFormat/>
  </w:style>
  <w:style w:type="table" w:styleId="1061" w:customStyle="1">
    <w:name w:val="Table Normal"/>
    <w:uiPriority w:val="0"/>
    <w:semiHidden/>
    <w:unhideWhenUsed/>
    <w:qFormat/>
    <w:tblPr>
      <w:tblCellMar>
        <w:left w:w="0" w:type="dxa"/>
        <w:top w:w="0" w:type="dxa"/>
        <w:right w:w="0" w:type="dxa"/>
        <w:bottom w:w="0" w:type="dxa"/>
      </w:tblCellMar>
    </w:tblPr>
  </w:style>
  <w:style w:type="paragraph" w:styleId="1062" w:customStyle="1">
    <w:name w:val="索引 11"/>
    <w:basedOn w:val="722"/>
    <w:next w:val="722"/>
    <w:uiPriority w:val="0"/>
    <w:qFormat/>
    <w:pPr>
      <w:spacing w:line="360" w:lineRule="auto"/>
    </w:pPr>
    <w:rPr>
      <w:rFonts w:ascii="仿宋_GB2312" w:eastAsia="仿宋_GB2312"/>
      <w:sz w:val="24"/>
      <w:szCs w:val="20"/>
    </w:rPr>
  </w:style>
  <w:style w:type="paragraph" w:styleId="1063" w:customStyle="1">
    <w:name w:val="_正文段落"/>
    <w:basedOn w:val="722"/>
    <w:uiPriority w:val="0"/>
    <w:qFormat/>
    <w:pPr>
      <w:ind w:firstLine="200"/>
      <w:spacing w:line="560" w:lineRule="exact"/>
    </w:pPr>
    <w:rPr>
      <w:rFonts w:ascii="Calibri" w:hAnsi="Calibri" w:eastAsia="仿宋_GB2312"/>
      <w:color w:val="000000"/>
      <w:sz w:val="32"/>
    </w:rPr>
  </w:style>
  <w:style w:type="paragraph" w:styleId="1064" w:customStyle="1">
    <w:name w:val="DAS正文"/>
    <w:basedOn w:val="722"/>
    <w:uiPriority w:val="0"/>
    <w:qFormat/>
    <w:pPr>
      <w:ind w:right="181" w:firstLine="480"/>
      <w:spacing w:line="360" w:lineRule="auto"/>
    </w:pPr>
    <w:rPr>
      <w:rFonts w:ascii="Verdana" w:hAnsi="Verdana"/>
    </w:rPr>
  </w:style>
  <w:style w:type="paragraph" w:styleId="1065" w:customStyle="1">
    <w:name w:val="sh4"/>
    <w:basedOn w:val="722"/>
    <w:uiPriority w:val="0"/>
    <w:qFormat/>
    <w:pPr>
      <w:ind w:firstLine="420"/>
      <w:spacing w:line="460" w:lineRule="exact"/>
    </w:pPr>
    <w:rPr>
      <w:rFonts w:ascii="宋体" w:hAnsi="宋体"/>
      <w:color w:val="0d0d0d"/>
      <w:szCs w:val="21"/>
      <w:lang w:val="zh-CN"/>
    </w:rPr>
  </w:style>
  <w:style w:type="paragraph" w:styleId="1066" w:customStyle="1">
    <w:name w:val="Table Paragraph"/>
    <w:basedOn w:val="722"/>
    <w:uiPriority w:val="1"/>
    <w:qFormat/>
    <w:pPr>
      <w:ind w:left="107"/>
      <w:spacing w:before="31"/>
    </w:pPr>
    <w:rPr>
      <w:rFonts w:ascii="微软雅黑" w:hAnsi="微软雅黑" w:eastAsia="微软雅黑" w:cs="微软雅黑"/>
    </w:rPr>
  </w:style>
  <w:style w:type="paragraph" w:styleId="1067"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068"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069"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70"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 Id="rId13" Type="http://schemas.openxmlformats.org/officeDocument/2006/relationships/oleObject" Target="embeddings/oleObject1.bin"/><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赵斌</cp:lastModifiedBy>
  <cp:revision>26</cp:revision>
  <dcterms:created xsi:type="dcterms:W3CDTF">2025-09-24T06:08:00Z</dcterms:created>
  <dcterms:modified xsi:type="dcterms:W3CDTF">2026-06-05T03:21:05Z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8663E442DEFA456999CC5AC8FCDCD559_13</vt:lpwstr>
  </property>
  <property fmtid="{D5CDD505-2E9C-101B-9397-08002B2CF9AE}" pid="4" name="KSOTemplateDocerSaveRecord">
    <vt:lpwstr>eyJoZGlkIjoiMzZkYzgyNDdlYmFhNWUwNjZkOWRkMmE5YmU1MTU1MDIiLCJ1c2VySWQiOiI1MTQxNjY5NDEifQ==</vt:lpwstr>
  </property>
</Properties>
</file>