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99E851">
      <w:pPr>
        <w:pStyle w:val="9"/>
        <w:spacing w:before="120" w:beforeAutospacing="0" w:after="120" w:afterAutospacing="0" w:line="360" w:lineRule="auto"/>
        <w:rPr>
          <w:color w:val="auto"/>
          <w:highlight w:val="none"/>
        </w:rPr>
      </w:pPr>
      <w:r>
        <w:rPr>
          <w:color w:val="auto"/>
          <w:highlight w:val="none"/>
        </w:rPr>
        <w:t> </w:t>
      </w:r>
    </w:p>
    <w:p w14:paraId="31666417">
      <w:pPr>
        <w:pStyle w:val="9"/>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60193B82">
      <w:pPr>
        <w:pStyle w:val="9"/>
        <w:spacing w:before="120" w:beforeAutospacing="0" w:after="120" w:afterAutospacing="0" w:line="360" w:lineRule="auto"/>
        <w:ind w:firstLine="2249"/>
        <w:rPr>
          <w:rFonts w:ascii="Arial" w:hAnsi="Arial" w:cs="Arial"/>
          <w:b/>
          <w:color w:val="auto"/>
          <w:sz w:val="32"/>
          <w:szCs w:val="32"/>
          <w:highlight w:val="none"/>
        </w:rPr>
      </w:pPr>
    </w:p>
    <w:p w14:paraId="1904C438">
      <w:pPr>
        <w:pStyle w:val="9"/>
        <w:spacing w:before="120" w:beforeAutospacing="0" w:after="120" w:afterAutospacing="0" w:line="360" w:lineRule="auto"/>
        <w:ind w:firstLine="2249"/>
        <w:rPr>
          <w:rFonts w:ascii="Arial" w:hAnsi="Arial" w:cs="Arial"/>
          <w:b/>
          <w:color w:val="auto"/>
          <w:sz w:val="32"/>
          <w:szCs w:val="32"/>
          <w:highlight w:val="none"/>
        </w:rPr>
      </w:pPr>
    </w:p>
    <w:p w14:paraId="71E28076">
      <w:pPr>
        <w:pStyle w:val="9"/>
        <w:spacing w:before="120" w:beforeAutospacing="0" w:after="120" w:afterAutospacing="0" w:line="360" w:lineRule="auto"/>
        <w:ind w:firstLine="2249"/>
        <w:rPr>
          <w:rFonts w:ascii="Arial" w:hAnsi="Arial" w:cs="Arial"/>
          <w:b/>
          <w:color w:val="auto"/>
          <w:sz w:val="32"/>
          <w:szCs w:val="32"/>
          <w:highlight w:val="none"/>
        </w:rPr>
      </w:pPr>
    </w:p>
    <w:p w14:paraId="0125127F">
      <w:pPr>
        <w:pStyle w:val="9"/>
        <w:spacing w:before="120" w:beforeAutospacing="0" w:after="120" w:afterAutospacing="0" w:line="360" w:lineRule="auto"/>
        <w:ind w:firstLine="2249"/>
        <w:rPr>
          <w:rFonts w:ascii="Arial" w:hAnsi="Arial" w:cs="Arial"/>
          <w:b/>
          <w:color w:val="auto"/>
          <w:sz w:val="32"/>
          <w:szCs w:val="32"/>
          <w:highlight w:val="none"/>
        </w:rPr>
      </w:pPr>
    </w:p>
    <w:p w14:paraId="45A982B2">
      <w:pPr>
        <w:pStyle w:val="9"/>
        <w:spacing w:before="120" w:beforeAutospacing="0" w:after="120" w:afterAutospacing="0" w:line="360" w:lineRule="auto"/>
        <w:ind w:firstLine="2249"/>
        <w:rPr>
          <w:rFonts w:hint="eastAsia" w:ascii="Arial" w:hAnsi="Arial" w:cs="Arial"/>
          <w:b/>
          <w:color w:val="auto"/>
          <w:sz w:val="32"/>
          <w:szCs w:val="32"/>
          <w:highlight w:val="none"/>
        </w:rPr>
      </w:pPr>
      <w:r>
        <w:rPr>
          <w:rFonts w:ascii="Arial" w:hAnsi="Arial" w:cs="Arial"/>
          <w:b/>
          <w:color w:val="auto"/>
          <w:sz w:val="32"/>
          <w:szCs w:val="32"/>
          <w:highlight w:val="none"/>
        </w:rPr>
        <w:t>项目名称：</w:t>
      </w:r>
      <w:r>
        <w:rPr>
          <w:rFonts w:hint="eastAsia" w:ascii="Arial" w:hAnsi="Arial" w:cs="Arial"/>
          <w:b/>
          <w:color w:val="auto"/>
          <w:sz w:val="32"/>
          <w:szCs w:val="32"/>
          <w:highlight w:val="none"/>
        </w:rPr>
        <w:t>2026年盐城市亭湖区中小学素质教育实践中心物业服务采购项目</w:t>
      </w:r>
    </w:p>
    <w:p w14:paraId="6C4C32FA">
      <w:pPr>
        <w:pStyle w:val="9"/>
        <w:spacing w:before="120" w:beforeAutospacing="0" w:after="120" w:afterAutospacing="0" w:line="360" w:lineRule="auto"/>
        <w:ind w:firstLine="2249"/>
        <w:rPr>
          <w:rFonts w:hint="eastAsia" w:ascii="Arial" w:hAnsi="Arial" w:cs="Arial"/>
          <w:b/>
          <w:color w:val="auto"/>
          <w:sz w:val="32"/>
          <w:szCs w:val="32"/>
          <w:highlight w:val="none"/>
        </w:rPr>
      </w:pPr>
    </w:p>
    <w:p w14:paraId="4226056A">
      <w:pPr>
        <w:pStyle w:val="9"/>
        <w:spacing w:beforeAutospacing="0" w:afterAutospacing="0"/>
        <w:ind w:left="2100" w:firstLine="161"/>
        <w:jc w:val="both"/>
        <w:rPr>
          <w:color w:val="auto"/>
          <w:highlight w:val="none"/>
        </w:rPr>
      </w:pPr>
      <w:r>
        <w:rPr>
          <w:rFonts w:ascii="Times New Roman" w:hAnsi="Times New Roman"/>
          <w:b/>
          <w:color w:val="auto"/>
          <w:sz w:val="32"/>
          <w:szCs w:val="32"/>
          <w:highlight w:val="none"/>
        </w:rPr>
        <w:t>项目编号：</w:t>
      </w:r>
      <w:r>
        <w:rPr>
          <w:rFonts w:hint="eastAsia" w:ascii="Times New Roman" w:hAnsi="Times New Roman"/>
          <w:b/>
          <w:color w:val="auto"/>
          <w:sz w:val="32"/>
          <w:szCs w:val="32"/>
          <w:highlight w:val="none"/>
        </w:rPr>
        <w:t>JSZC-320902-JZCG-G2026-0020</w:t>
      </w:r>
    </w:p>
    <w:p w14:paraId="055144F6">
      <w:pPr>
        <w:pStyle w:val="9"/>
        <w:spacing w:beforeAutospacing="0" w:afterAutospacing="0" w:line="360" w:lineRule="auto"/>
        <w:rPr>
          <w:color w:val="auto"/>
          <w:highlight w:val="none"/>
        </w:rPr>
      </w:pPr>
      <w:r>
        <w:rPr>
          <w:color w:val="auto"/>
          <w:highlight w:val="none"/>
        </w:rPr>
        <w:t> </w:t>
      </w:r>
    </w:p>
    <w:p w14:paraId="7C6A932A">
      <w:pPr>
        <w:pStyle w:val="9"/>
        <w:spacing w:beforeAutospacing="0" w:afterAutospacing="0" w:line="360" w:lineRule="auto"/>
        <w:rPr>
          <w:color w:val="auto"/>
          <w:highlight w:val="none"/>
        </w:rPr>
      </w:pPr>
      <w:r>
        <w:rPr>
          <w:color w:val="auto"/>
          <w:highlight w:val="none"/>
        </w:rPr>
        <w:t> </w:t>
      </w:r>
    </w:p>
    <w:p w14:paraId="47B851AF">
      <w:pPr>
        <w:pStyle w:val="9"/>
        <w:spacing w:beforeAutospacing="0" w:afterAutospacing="0" w:line="360" w:lineRule="auto"/>
        <w:rPr>
          <w:color w:val="auto"/>
          <w:highlight w:val="none"/>
        </w:rPr>
      </w:pPr>
      <w:r>
        <w:rPr>
          <w:color w:val="auto"/>
          <w:highlight w:val="none"/>
        </w:rPr>
        <w:t> </w:t>
      </w:r>
    </w:p>
    <w:p w14:paraId="127A0D48">
      <w:pPr>
        <w:pStyle w:val="9"/>
        <w:spacing w:beforeAutospacing="0" w:afterAutospacing="0" w:line="360" w:lineRule="auto"/>
        <w:rPr>
          <w:color w:val="auto"/>
          <w:highlight w:val="none"/>
        </w:rPr>
      </w:pPr>
      <w:r>
        <w:rPr>
          <w:color w:val="auto"/>
          <w:highlight w:val="none"/>
        </w:rPr>
        <w:t> </w:t>
      </w:r>
    </w:p>
    <w:p w14:paraId="76B933FE">
      <w:pPr>
        <w:pStyle w:val="9"/>
        <w:spacing w:beforeAutospacing="0" w:afterAutospacing="0" w:line="360" w:lineRule="auto"/>
        <w:rPr>
          <w:color w:val="auto"/>
          <w:highlight w:val="none"/>
        </w:rPr>
      </w:pPr>
    </w:p>
    <w:p w14:paraId="4C2C1CFD">
      <w:pPr>
        <w:pStyle w:val="9"/>
        <w:spacing w:beforeAutospacing="0" w:afterAutospacing="0" w:line="360" w:lineRule="auto"/>
        <w:rPr>
          <w:color w:val="auto"/>
          <w:highlight w:val="none"/>
        </w:rPr>
      </w:pPr>
    </w:p>
    <w:p w14:paraId="34E140F4">
      <w:pPr>
        <w:pStyle w:val="9"/>
        <w:spacing w:beforeAutospacing="0" w:afterAutospacing="0" w:line="360" w:lineRule="auto"/>
        <w:rPr>
          <w:color w:val="auto"/>
          <w:highlight w:val="none"/>
        </w:rPr>
      </w:pPr>
      <w:r>
        <w:rPr>
          <w:color w:val="auto"/>
          <w:highlight w:val="none"/>
        </w:rPr>
        <w:t> </w:t>
      </w:r>
    </w:p>
    <w:p w14:paraId="4C880303">
      <w:pPr>
        <w:pStyle w:val="9"/>
        <w:spacing w:beforeAutospacing="0" w:afterAutospacing="0" w:line="360" w:lineRule="auto"/>
        <w:rPr>
          <w:color w:val="auto"/>
          <w:highlight w:val="none"/>
        </w:rPr>
      </w:pPr>
      <w:r>
        <w:rPr>
          <w:color w:val="auto"/>
          <w:highlight w:val="none"/>
        </w:rPr>
        <w:t> </w:t>
      </w:r>
    </w:p>
    <w:p w14:paraId="68926B3E">
      <w:pPr>
        <w:pStyle w:val="9"/>
        <w:spacing w:beforeAutospacing="0" w:afterAutospacing="0" w:line="360" w:lineRule="auto"/>
        <w:rPr>
          <w:color w:val="auto"/>
          <w:highlight w:val="none"/>
        </w:rPr>
      </w:pPr>
      <w:r>
        <w:rPr>
          <w:color w:val="auto"/>
          <w:highlight w:val="none"/>
        </w:rPr>
        <w:t> </w:t>
      </w:r>
    </w:p>
    <w:p w14:paraId="0573E3CD">
      <w:pPr>
        <w:pStyle w:val="9"/>
        <w:spacing w:before="120" w:beforeAutospacing="0" w:after="120" w:afterAutospacing="0" w:line="360" w:lineRule="auto"/>
        <w:jc w:val="center"/>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rPr>
        <w:t>采购单位</w:t>
      </w:r>
      <w:r>
        <w:rPr>
          <w:rFonts w:hint="eastAsia" w:ascii="Arial" w:hAnsi="Arial" w:cs="Arial"/>
          <w:b/>
          <w:color w:val="auto"/>
          <w:sz w:val="32"/>
          <w:szCs w:val="32"/>
          <w:highlight w:val="none"/>
          <w:lang w:eastAsia="zh-CN"/>
        </w:rPr>
        <w:t>：盐城市亭湖区中小学素质教育实践中心</w:t>
      </w:r>
    </w:p>
    <w:p w14:paraId="358A3BE3">
      <w:pPr>
        <w:pStyle w:val="9"/>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lang w:val="en-US" w:eastAsia="zh-CN"/>
        </w:rPr>
        <w:t>2026</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7</w:t>
      </w:r>
      <w:r>
        <w:rPr>
          <w:rFonts w:ascii="Arial" w:hAnsi="Arial" w:cs="Arial"/>
          <w:b/>
          <w:color w:val="auto"/>
          <w:sz w:val="32"/>
          <w:szCs w:val="32"/>
          <w:highlight w:val="none"/>
        </w:rPr>
        <w:t>月</w:t>
      </w:r>
    </w:p>
    <w:p w14:paraId="6F8B16D9">
      <w:pPr>
        <w:pStyle w:val="9"/>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479757206"/>
      <w:bookmarkStart w:id="1" w:name="_Toc523127445"/>
      <w:bookmarkStart w:id="2" w:name="_Toc16938516"/>
      <w:bookmarkStart w:id="3" w:name="_Toc20823272"/>
      <w:bookmarkStart w:id="4" w:name="_Toc120614210"/>
      <w:bookmarkStart w:id="5" w:name="_Toc513029200"/>
      <w:r>
        <w:rPr>
          <w:rFonts w:ascii="Times New Roman" w:hAnsi="Times New Roman"/>
          <w:color w:val="auto"/>
          <w:sz w:val="21"/>
          <w:szCs w:val="21"/>
          <w:highlight w:val="none"/>
        </w:rPr>
        <w:t> </w:t>
      </w: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2D71B5BE">
      <w:pPr>
        <w:pStyle w:val="9"/>
        <w:spacing w:beforeAutospacing="0" w:afterAutospacing="0" w:line="480" w:lineRule="auto"/>
        <w:jc w:val="both"/>
        <w:rPr>
          <w:color w:val="auto"/>
          <w:highlight w:val="none"/>
        </w:rPr>
      </w:pPr>
      <w:r>
        <w:rPr>
          <w:color w:val="auto"/>
          <w:highlight w:val="none"/>
        </w:rPr>
        <w:t> </w:t>
      </w:r>
    </w:p>
    <w:p w14:paraId="1899218F">
      <w:pPr>
        <w:pStyle w:val="9"/>
        <w:tabs>
          <w:tab w:val="left" w:pos="1441"/>
        </w:tabs>
        <w:spacing w:beforeAutospacing="0" w:afterAutospacing="0" w:line="480" w:lineRule="auto"/>
        <w:jc w:val="both"/>
        <w:rPr>
          <w:color w:val="auto"/>
          <w:highlight w:val="none"/>
        </w:rPr>
      </w:pPr>
      <w:r>
        <w:rPr>
          <w:rFonts w:hint="eastAsia" w:ascii="黑体" w:hAnsi="宋体" w:eastAsia="黑体" w:cs="黑体"/>
          <w:color w:val="auto"/>
          <w:sz w:val="36"/>
          <w:szCs w:val="36"/>
          <w:highlight w:val="none"/>
          <w:lang w:val="en-US" w:eastAsia="zh-CN"/>
        </w:rPr>
        <w:t>第一章 招标公告</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3</w:t>
      </w:r>
      <w:r>
        <w:rPr>
          <w:rFonts w:hint="eastAsia" w:ascii="黑体" w:hAnsi="宋体" w:eastAsia="黑体" w:cs="黑体"/>
          <w:color w:val="auto"/>
          <w:sz w:val="36"/>
          <w:szCs w:val="36"/>
          <w:highlight w:val="none"/>
        </w:rPr>
        <w:t xml:space="preserve"> </w:t>
      </w:r>
    </w:p>
    <w:p w14:paraId="2C1C0A54">
      <w:pPr>
        <w:pStyle w:val="9"/>
        <w:tabs>
          <w:tab w:val="left" w:pos="1441"/>
        </w:tabs>
        <w:spacing w:beforeAutospacing="0" w:afterAutospacing="0" w:line="480" w:lineRule="auto"/>
        <w:jc w:val="both"/>
        <w:rPr>
          <w:color w:val="auto"/>
          <w:highlight w:val="none"/>
        </w:rPr>
      </w:pPr>
      <w:r>
        <w:rPr>
          <w:rFonts w:hint="eastAsia" w:ascii="黑体" w:hAnsi="宋体" w:eastAsia="黑体" w:cs="黑体"/>
          <w:color w:val="auto"/>
          <w:sz w:val="36"/>
          <w:szCs w:val="36"/>
          <w:highlight w:val="none"/>
          <w:lang w:val="en-US" w:eastAsia="zh-CN"/>
        </w:rPr>
        <w:t xml:space="preserve">第二章 </w:t>
      </w:r>
      <w:r>
        <w:rPr>
          <w:rFonts w:hint="eastAsia" w:ascii="黑体" w:hAnsi="宋体" w:eastAsia="黑体" w:cs="黑体"/>
          <w:color w:val="auto"/>
          <w:sz w:val="36"/>
          <w:szCs w:val="36"/>
          <w:highlight w:val="none"/>
        </w:rPr>
        <w:t>投标人须知…………………………………</w:t>
      </w:r>
      <w:r>
        <w:rPr>
          <w:rFonts w:hint="eastAsia" w:ascii="黑体" w:hAnsi="宋体" w:eastAsia="黑体" w:cs="黑体"/>
          <w:color w:val="auto"/>
          <w:sz w:val="36"/>
          <w:szCs w:val="36"/>
          <w:highlight w:val="none"/>
          <w:lang w:val="en-US" w:eastAsia="zh-CN"/>
        </w:rPr>
        <w:t>7</w:t>
      </w:r>
      <w:r>
        <w:rPr>
          <w:rFonts w:hint="eastAsia" w:ascii="黑体" w:hAnsi="宋体" w:eastAsia="黑体" w:cs="黑体"/>
          <w:color w:val="auto"/>
          <w:sz w:val="36"/>
          <w:szCs w:val="36"/>
          <w:highlight w:val="none"/>
        </w:rPr>
        <w:t xml:space="preserve">  </w:t>
      </w:r>
    </w:p>
    <w:p w14:paraId="54C8BD39">
      <w:pPr>
        <w:pStyle w:val="9"/>
        <w:tabs>
          <w:tab w:val="left" w:pos="1441"/>
        </w:tabs>
        <w:spacing w:beforeAutospacing="0" w:afterAutospacing="0" w:line="480" w:lineRule="auto"/>
        <w:jc w:val="both"/>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第三章 </w:t>
      </w:r>
      <w:r>
        <w:rPr>
          <w:rFonts w:hint="eastAsia" w:ascii="黑体" w:hAnsi="宋体" w:eastAsia="黑体" w:cs="黑体"/>
          <w:color w:val="auto"/>
          <w:sz w:val="36"/>
          <w:szCs w:val="36"/>
          <w:highlight w:val="none"/>
        </w:rPr>
        <w:t>合同文本……………………………………</w:t>
      </w:r>
      <w:r>
        <w:rPr>
          <w:rFonts w:hint="eastAsia" w:ascii="黑体" w:hAnsi="宋体" w:eastAsia="黑体" w:cs="黑体"/>
          <w:color w:val="auto"/>
          <w:sz w:val="36"/>
          <w:szCs w:val="36"/>
          <w:highlight w:val="none"/>
          <w:lang w:val="en-US" w:eastAsia="zh-CN"/>
        </w:rPr>
        <w:t>24</w:t>
      </w:r>
    </w:p>
    <w:p w14:paraId="381DEBB7">
      <w:pPr>
        <w:pStyle w:val="9"/>
        <w:tabs>
          <w:tab w:val="left" w:pos="1441"/>
        </w:tabs>
        <w:spacing w:beforeAutospacing="0" w:afterAutospacing="0" w:line="480" w:lineRule="auto"/>
        <w:jc w:val="both"/>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第四章 </w:t>
      </w: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41</w:t>
      </w:r>
    </w:p>
    <w:p w14:paraId="792C5F40">
      <w:pPr>
        <w:pStyle w:val="9"/>
        <w:tabs>
          <w:tab w:val="left" w:pos="1441"/>
        </w:tabs>
        <w:spacing w:beforeAutospacing="0" w:afterAutospacing="0" w:line="480" w:lineRule="auto"/>
        <w:jc w:val="both"/>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第五章 </w:t>
      </w:r>
      <w:r>
        <w:rPr>
          <w:rFonts w:hint="eastAsia" w:ascii="黑体" w:hAnsi="宋体" w:eastAsia="黑体" w:cs="黑体"/>
          <w:color w:val="auto"/>
          <w:sz w:val="36"/>
          <w:szCs w:val="36"/>
          <w:highlight w:val="none"/>
        </w:rPr>
        <w:t>评标方法与评标标准………………………</w:t>
      </w:r>
      <w:r>
        <w:rPr>
          <w:rFonts w:hint="eastAsia" w:ascii="黑体" w:hAnsi="宋体" w:eastAsia="黑体" w:cs="黑体"/>
          <w:color w:val="auto"/>
          <w:sz w:val="36"/>
          <w:szCs w:val="36"/>
          <w:highlight w:val="none"/>
          <w:lang w:val="en-US" w:eastAsia="zh-CN"/>
        </w:rPr>
        <w:t>46</w:t>
      </w:r>
    </w:p>
    <w:p w14:paraId="3A78A47E">
      <w:pPr>
        <w:pStyle w:val="9"/>
        <w:tabs>
          <w:tab w:val="left" w:pos="1441"/>
        </w:tabs>
        <w:spacing w:beforeAutospacing="0" w:afterAutospacing="0" w:line="480" w:lineRule="auto"/>
        <w:jc w:val="both"/>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第六章 </w:t>
      </w:r>
      <w:r>
        <w:rPr>
          <w:rFonts w:hint="eastAsia" w:ascii="黑体" w:hAnsi="宋体" w:eastAsia="黑体" w:cs="黑体"/>
          <w:color w:val="auto"/>
          <w:sz w:val="36"/>
          <w:szCs w:val="36"/>
          <w:highlight w:val="none"/>
        </w:rPr>
        <w:t>投标文件格式………………………………</w:t>
      </w:r>
      <w:r>
        <w:rPr>
          <w:rFonts w:hint="eastAsia" w:ascii="黑体" w:hAnsi="宋体" w:eastAsia="黑体" w:cs="黑体"/>
          <w:color w:val="auto"/>
          <w:sz w:val="36"/>
          <w:szCs w:val="36"/>
          <w:highlight w:val="none"/>
          <w:lang w:val="en-US" w:eastAsia="zh-CN"/>
        </w:rPr>
        <w:t>50</w:t>
      </w:r>
    </w:p>
    <w:p w14:paraId="656DBB46">
      <w:pPr>
        <w:pStyle w:val="9"/>
        <w:spacing w:beforeAutospacing="0" w:afterAutospacing="0"/>
        <w:jc w:val="both"/>
        <w:rPr>
          <w:color w:val="auto"/>
          <w:highlight w:val="none"/>
        </w:rPr>
      </w:pPr>
      <w:r>
        <w:rPr>
          <w:color w:val="auto"/>
          <w:highlight w:val="none"/>
        </w:rPr>
        <w:t> </w:t>
      </w:r>
    </w:p>
    <w:p w14:paraId="07F5B1EA">
      <w:pPr>
        <w:pStyle w:val="9"/>
        <w:spacing w:beforeAutospacing="0" w:afterAutospacing="0"/>
        <w:jc w:val="both"/>
        <w:rPr>
          <w:color w:val="auto"/>
          <w:highlight w:val="none"/>
        </w:rPr>
      </w:pPr>
      <w:r>
        <w:rPr>
          <w:color w:val="auto"/>
          <w:highlight w:val="none"/>
        </w:rPr>
        <w:t> </w:t>
      </w:r>
    </w:p>
    <w:p w14:paraId="5B2144A6">
      <w:pPr>
        <w:pStyle w:val="9"/>
        <w:spacing w:beforeAutospacing="0" w:afterAutospacing="0"/>
        <w:jc w:val="both"/>
        <w:rPr>
          <w:color w:val="auto"/>
          <w:highlight w:val="none"/>
        </w:rPr>
      </w:pPr>
      <w:r>
        <w:rPr>
          <w:color w:val="auto"/>
          <w:highlight w:val="none"/>
        </w:rPr>
        <w:t> </w:t>
      </w:r>
    </w:p>
    <w:p w14:paraId="5FACC5DC">
      <w:pPr>
        <w:pStyle w:val="9"/>
        <w:spacing w:beforeAutospacing="0" w:afterAutospacing="0"/>
        <w:jc w:val="both"/>
        <w:rPr>
          <w:color w:val="auto"/>
          <w:highlight w:val="none"/>
        </w:rPr>
      </w:pPr>
      <w:r>
        <w:rPr>
          <w:color w:val="auto"/>
          <w:highlight w:val="none"/>
        </w:rPr>
        <w:t> </w:t>
      </w:r>
    </w:p>
    <w:p w14:paraId="78243962">
      <w:pPr>
        <w:pStyle w:val="9"/>
        <w:spacing w:beforeAutospacing="0" w:afterAutospacing="0"/>
        <w:jc w:val="both"/>
        <w:rPr>
          <w:color w:val="auto"/>
          <w:highlight w:val="none"/>
        </w:rPr>
      </w:pPr>
      <w:r>
        <w:rPr>
          <w:color w:val="auto"/>
          <w:highlight w:val="none"/>
        </w:rPr>
        <w:t> </w:t>
      </w:r>
    </w:p>
    <w:p w14:paraId="39FE171C">
      <w:pPr>
        <w:pStyle w:val="9"/>
        <w:spacing w:beforeAutospacing="0" w:afterAutospacing="0"/>
        <w:jc w:val="both"/>
        <w:rPr>
          <w:color w:val="auto"/>
          <w:highlight w:val="none"/>
        </w:rPr>
      </w:pPr>
      <w:r>
        <w:rPr>
          <w:color w:val="auto"/>
          <w:highlight w:val="none"/>
        </w:rPr>
        <w:t> </w:t>
      </w:r>
    </w:p>
    <w:p w14:paraId="0C45E528">
      <w:pPr>
        <w:pStyle w:val="9"/>
        <w:spacing w:beforeAutospacing="0" w:afterAutospacing="0"/>
        <w:jc w:val="both"/>
        <w:rPr>
          <w:color w:val="auto"/>
          <w:highlight w:val="none"/>
        </w:rPr>
      </w:pPr>
      <w:r>
        <w:rPr>
          <w:color w:val="auto"/>
          <w:highlight w:val="none"/>
        </w:rPr>
        <w:t> </w:t>
      </w:r>
    </w:p>
    <w:p w14:paraId="1775B796">
      <w:pPr>
        <w:pStyle w:val="9"/>
        <w:spacing w:beforeAutospacing="0" w:afterAutospacing="0"/>
        <w:jc w:val="both"/>
        <w:rPr>
          <w:color w:val="auto"/>
          <w:highlight w:val="none"/>
        </w:rPr>
      </w:pPr>
      <w:r>
        <w:rPr>
          <w:color w:val="auto"/>
          <w:highlight w:val="none"/>
        </w:rPr>
        <w:t> </w:t>
      </w:r>
    </w:p>
    <w:p w14:paraId="018E68DB">
      <w:pPr>
        <w:pStyle w:val="9"/>
        <w:spacing w:beforeAutospacing="0" w:afterAutospacing="0"/>
        <w:jc w:val="both"/>
        <w:rPr>
          <w:color w:val="auto"/>
          <w:highlight w:val="none"/>
        </w:rPr>
      </w:pPr>
      <w:r>
        <w:rPr>
          <w:color w:val="auto"/>
          <w:highlight w:val="none"/>
        </w:rPr>
        <w:t> </w:t>
      </w:r>
    </w:p>
    <w:p w14:paraId="6001EB9A">
      <w:pPr>
        <w:pStyle w:val="9"/>
        <w:spacing w:beforeAutospacing="0" w:afterAutospacing="0"/>
        <w:jc w:val="both"/>
        <w:rPr>
          <w:color w:val="auto"/>
          <w:highlight w:val="none"/>
        </w:rPr>
      </w:pPr>
      <w:r>
        <w:rPr>
          <w:color w:val="auto"/>
          <w:highlight w:val="none"/>
        </w:rPr>
        <w:t> </w:t>
      </w:r>
    </w:p>
    <w:p w14:paraId="7535BDA2">
      <w:pPr>
        <w:pStyle w:val="9"/>
        <w:spacing w:beforeAutospacing="0" w:afterAutospacing="0"/>
        <w:jc w:val="both"/>
        <w:rPr>
          <w:color w:val="auto"/>
          <w:highlight w:val="none"/>
        </w:rPr>
      </w:pPr>
      <w:r>
        <w:rPr>
          <w:color w:val="auto"/>
          <w:highlight w:val="none"/>
        </w:rPr>
        <w:t> </w:t>
      </w:r>
    </w:p>
    <w:p w14:paraId="7358D7EF">
      <w:pPr>
        <w:pStyle w:val="9"/>
        <w:spacing w:beforeAutospacing="0" w:afterAutospacing="0"/>
        <w:jc w:val="both"/>
        <w:rPr>
          <w:color w:val="auto"/>
          <w:highlight w:val="none"/>
        </w:rPr>
      </w:pPr>
      <w:r>
        <w:rPr>
          <w:color w:val="auto"/>
          <w:highlight w:val="none"/>
        </w:rPr>
        <w:t> </w:t>
      </w:r>
    </w:p>
    <w:p w14:paraId="01D6EF50">
      <w:pPr>
        <w:pStyle w:val="9"/>
        <w:spacing w:beforeAutospacing="0" w:afterAutospacing="0"/>
        <w:jc w:val="both"/>
        <w:rPr>
          <w:color w:val="auto"/>
          <w:highlight w:val="none"/>
        </w:rPr>
      </w:pPr>
      <w:r>
        <w:rPr>
          <w:color w:val="auto"/>
          <w:highlight w:val="none"/>
        </w:rPr>
        <w:t> </w:t>
      </w:r>
    </w:p>
    <w:p w14:paraId="4F1FA26E">
      <w:pPr>
        <w:pStyle w:val="9"/>
        <w:spacing w:beforeAutospacing="0" w:afterAutospacing="0"/>
        <w:jc w:val="both"/>
        <w:rPr>
          <w:color w:val="auto"/>
          <w:highlight w:val="none"/>
        </w:rPr>
      </w:pPr>
      <w:r>
        <w:rPr>
          <w:color w:val="auto"/>
          <w:highlight w:val="none"/>
        </w:rPr>
        <w:t> </w:t>
      </w:r>
    </w:p>
    <w:p w14:paraId="172C0BA6">
      <w:pPr>
        <w:pStyle w:val="9"/>
        <w:spacing w:beforeAutospacing="0" w:afterAutospacing="0"/>
        <w:jc w:val="both"/>
        <w:rPr>
          <w:color w:val="auto"/>
          <w:highlight w:val="none"/>
        </w:rPr>
      </w:pPr>
      <w:r>
        <w:rPr>
          <w:color w:val="auto"/>
          <w:highlight w:val="none"/>
        </w:rPr>
        <w:t> </w:t>
      </w:r>
    </w:p>
    <w:p w14:paraId="2F3CFD46">
      <w:pPr>
        <w:pStyle w:val="9"/>
        <w:spacing w:beforeAutospacing="0" w:afterAutospacing="0"/>
        <w:jc w:val="both"/>
        <w:rPr>
          <w:color w:val="auto"/>
          <w:highlight w:val="none"/>
        </w:rPr>
      </w:pPr>
      <w:r>
        <w:rPr>
          <w:color w:val="auto"/>
          <w:highlight w:val="none"/>
        </w:rPr>
        <w:t> </w:t>
      </w:r>
    </w:p>
    <w:p w14:paraId="0ECBAE9D">
      <w:pPr>
        <w:pStyle w:val="9"/>
        <w:spacing w:beforeAutospacing="0" w:afterAutospacing="0"/>
        <w:jc w:val="both"/>
        <w:rPr>
          <w:color w:val="auto"/>
          <w:highlight w:val="none"/>
        </w:rPr>
      </w:pPr>
      <w:r>
        <w:rPr>
          <w:color w:val="auto"/>
          <w:highlight w:val="none"/>
        </w:rPr>
        <w:t> </w:t>
      </w:r>
    </w:p>
    <w:p w14:paraId="6B70E23D">
      <w:pPr>
        <w:pStyle w:val="9"/>
        <w:spacing w:beforeAutospacing="0" w:afterAutospacing="0"/>
        <w:jc w:val="both"/>
        <w:rPr>
          <w:color w:val="auto"/>
          <w:highlight w:val="none"/>
        </w:rPr>
      </w:pPr>
      <w:r>
        <w:rPr>
          <w:color w:val="auto"/>
          <w:highlight w:val="none"/>
        </w:rPr>
        <w:t> </w:t>
      </w:r>
    </w:p>
    <w:p w14:paraId="0A276FEC">
      <w:pPr>
        <w:pStyle w:val="9"/>
        <w:spacing w:beforeAutospacing="0" w:afterAutospacing="0"/>
        <w:jc w:val="both"/>
        <w:rPr>
          <w:color w:val="auto"/>
          <w:highlight w:val="none"/>
        </w:rPr>
      </w:pPr>
      <w:r>
        <w:rPr>
          <w:color w:val="auto"/>
          <w:highlight w:val="none"/>
        </w:rPr>
        <w:t> </w:t>
      </w:r>
    </w:p>
    <w:p w14:paraId="770780E8">
      <w:pPr>
        <w:pStyle w:val="9"/>
        <w:spacing w:beforeAutospacing="0" w:afterAutospacing="0"/>
        <w:jc w:val="both"/>
        <w:rPr>
          <w:color w:val="auto"/>
          <w:highlight w:val="none"/>
        </w:rPr>
      </w:pPr>
      <w:r>
        <w:rPr>
          <w:color w:val="auto"/>
          <w:highlight w:val="none"/>
        </w:rPr>
        <w:t> </w:t>
      </w:r>
    </w:p>
    <w:p w14:paraId="78FDC915">
      <w:pPr>
        <w:pStyle w:val="9"/>
        <w:spacing w:beforeAutospacing="0" w:afterAutospacing="0"/>
        <w:jc w:val="both"/>
        <w:rPr>
          <w:color w:val="auto"/>
          <w:highlight w:val="none"/>
        </w:rPr>
      </w:pPr>
      <w:r>
        <w:rPr>
          <w:color w:val="auto"/>
          <w:highlight w:val="none"/>
        </w:rPr>
        <w:t> </w:t>
      </w:r>
    </w:p>
    <w:p w14:paraId="7A3273B1">
      <w:pPr>
        <w:pStyle w:val="9"/>
        <w:spacing w:beforeAutospacing="0" w:afterAutospacing="0"/>
        <w:jc w:val="both"/>
        <w:rPr>
          <w:color w:val="auto"/>
          <w:highlight w:val="none"/>
        </w:rPr>
      </w:pPr>
      <w:r>
        <w:rPr>
          <w:color w:val="auto"/>
          <w:highlight w:val="none"/>
        </w:rPr>
        <w:t> </w:t>
      </w:r>
    </w:p>
    <w:p w14:paraId="773F57B1">
      <w:pPr>
        <w:pStyle w:val="9"/>
        <w:spacing w:beforeAutospacing="0" w:afterAutospacing="0"/>
        <w:jc w:val="both"/>
        <w:rPr>
          <w:color w:val="auto"/>
          <w:highlight w:val="none"/>
        </w:rPr>
      </w:pPr>
      <w:r>
        <w:rPr>
          <w:color w:val="auto"/>
          <w:highlight w:val="none"/>
        </w:rPr>
        <w:t> </w:t>
      </w:r>
    </w:p>
    <w:p w14:paraId="2B0F8600">
      <w:pPr>
        <w:pStyle w:val="9"/>
        <w:spacing w:beforeAutospacing="0" w:afterAutospacing="0"/>
        <w:jc w:val="both"/>
        <w:rPr>
          <w:color w:val="auto"/>
          <w:highlight w:val="none"/>
        </w:rPr>
      </w:pPr>
      <w:r>
        <w:rPr>
          <w:color w:val="auto"/>
          <w:highlight w:val="none"/>
        </w:rPr>
        <w:t> </w:t>
      </w:r>
    </w:p>
    <w:p w14:paraId="3D290A6D">
      <w:pPr>
        <w:pStyle w:val="9"/>
        <w:spacing w:beforeAutospacing="0" w:afterAutospacing="0"/>
        <w:jc w:val="both"/>
        <w:rPr>
          <w:color w:val="auto"/>
          <w:highlight w:val="none"/>
        </w:rPr>
      </w:pPr>
      <w:r>
        <w:rPr>
          <w:color w:val="auto"/>
          <w:highlight w:val="none"/>
        </w:rPr>
        <w:t> </w:t>
      </w:r>
    </w:p>
    <w:p w14:paraId="112ED088">
      <w:pPr>
        <w:pStyle w:val="9"/>
        <w:spacing w:beforeAutospacing="0" w:afterAutospacing="0"/>
        <w:jc w:val="both"/>
        <w:rPr>
          <w:color w:val="auto"/>
          <w:highlight w:val="none"/>
        </w:rPr>
      </w:pPr>
      <w:r>
        <w:rPr>
          <w:color w:val="auto"/>
          <w:highlight w:val="none"/>
        </w:rPr>
        <w:t> </w:t>
      </w:r>
    </w:p>
    <w:p w14:paraId="1ABD631B">
      <w:pPr>
        <w:pStyle w:val="9"/>
        <w:spacing w:beforeAutospacing="0" w:afterAutospacing="0"/>
        <w:jc w:val="both"/>
        <w:rPr>
          <w:color w:val="auto"/>
          <w:highlight w:val="none"/>
        </w:rPr>
      </w:pPr>
      <w:r>
        <w:rPr>
          <w:color w:val="auto"/>
          <w:highlight w:val="none"/>
        </w:rPr>
        <w:t> </w:t>
      </w:r>
    </w:p>
    <w:p w14:paraId="0F612F04">
      <w:pPr>
        <w:pStyle w:val="9"/>
        <w:spacing w:beforeAutospacing="0" w:afterAutospacing="0"/>
        <w:jc w:val="both"/>
        <w:rPr>
          <w:color w:val="auto"/>
          <w:highlight w:val="none"/>
        </w:rPr>
      </w:pPr>
      <w:r>
        <w:rPr>
          <w:color w:val="auto"/>
          <w:highlight w:val="none"/>
        </w:rPr>
        <w:t> </w:t>
      </w:r>
    </w:p>
    <w:p w14:paraId="5BE22A66">
      <w:pPr>
        <w:pStyle w:val="9"/>
        <w:spacing w:beforeAutospacing="0" w:afterAutospacing="0"/>
        <w:jc w:val="both"/>
        <w:rPr>
          <w:color w:val="auto"/>
          <w:highlight w:val="none"/>
        </w:rPr>
      </w:pPr>
      <w:r>
        <w:rPr>
          <w:color w:val="auto"/>
          <w:highlight w:val="none"/>
        </w:rPr>
        <w:t> </w:t>
      </w:r>
    </w:p>
    <w:p w14:paraId="1A7F6A36">
      <w:pPr>
        <w:pStyle w:val="9"/>
        <w:keepNext/>
        <w:spacing w:beforeAutospacing="0" w:afterAutospacing="0"/>
        <w:jc w:val="center"/>
        <w:rPr>
          <w:rFonts w:hint="default" w:eastAsia="黑体"/>
          <w:color w:val="auto"/>
          <w:highlight w:val="none"/>
          <w:lang w:val="en-US" w:eastAsia="zh-CN"/>
        </w:rPr>
      </w:pPr>
      <w:bookmarkStart w:id="6" w:name="_Toc28359009"/>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p>
    <w:p w14:paraId="0C926834">
      <w:pPr>
        <w:pStyle w:val="9"/>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31DC26C7">
      <w:pPr>
        <w:pStyle w:val="9"/>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2026年盐城市亭湖区中小学素质教育实践中心物业服务采购项目</w:t>
      </w:r>
      <w:r>
        <w:rPr>
          <w:rFonts w:hint="eastAsia" w:ascii="宋体" w:hAnsi="宋体" w:eastAsia="宋体" w:cs="宋体"/>
          <w:color w:val="auto"/>
          <w:sz w:val="24"/>
          <w:szCs w:val="24"/>
          <w:highlight w:val="none"/>
        </w:rPr>
        <w:t>招标项目的潜在投标人可在</w:t>
      </w:r>
      <w:r>
        <w:rPr>
          <w:rFonts w:hint="eastAsia" w:ascii="宋体" w:hAnsi="宋体" w:eastAsia="宋体" w:cs="宋体"/>
          <w:i w:val="0"/>
          <w:iCs w:val="0"/>
          <w:caps w:val="0"/>
          <w:color w:val="auto"/>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07</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北京时间）前递交投标文件。</w:t>
      </w:r>
    </w:p>
    <w:p w14:paraId="73176B71">
      <w:pPr>
        <w:pStyle w:val="9"/>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rPr>
      </w:pPr>
      <w:bookmarkStart w:id="7" w:name="_Toc35393790"/>
      <w:bookmarkStart w:id="8" w:name="_Toc35393621"/>
      <w:bookmarkStart w:id="9" w:name="_Hlk24379207"/>
      <w:bookmarkStart w:id="10" w:name="_Toc28359002"/>
      <w:bookmarkStart w:id="11" w:name="_Toc28359079"/>
      <w:bookmarkStart w:id="12" w:name="_Toc38985263"/>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3B9D0137">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1.项目编号：JSZC-320902-JZCG-G2026-0020</w:t>
      </w:r>
    </w:p>
    <w:p w14:paraId="4DF17CCA">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2.项目名称：2026年盐城市亭湖区中小学素质教育实践中心物业服务采购项目</w:t>
      </w:r>
    </w:p>
    <w:p w14:paraId="524F5C2F">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采购方式：</w:t>
      </w:r>
      <w:r>
        <w:rPr>
          <w:rFonts w:hint="eastAsia" w:ascii="宋体" w:hAnsi="宋体" w:eastAsia="宋体" w:cs="宋体"/>
          <w:i w:val="0"/>
          <w:iCs w:val="0"/>
          <w:caps w:val="0"/>
          <w:color w:val="auto"/>
          <w:spacing w:val="0"/>
          <w:sz w:val="24"/>
          <w:szCs w:val="24"/>
          <w:highlight w:val="none"/>
          <w:shd w:val="clear" w:fill="FFFFFF"/>
          <w:lang w:val="en-US" w:eastAsia="zh-CN"/>
        </w:rPr>
        <w:t>公开招标</w:t>
      </w:r>
    </w:p>
    <w:p w14:paraId="2F7A316B">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16.11万元</w:t>
      </w:r>
    </w:p>
    <w:p w14:paraId="3ECFABAF">
      <w:pPr>
        <w:pStyle w:val="9"/>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default" w:ascii="宋体" w:hAnsi="宋体" w:eastAsia="宋体" w:cs="宋体"/>
          <w:color w:val="auto"/>
          <w:sz w:val="24"/>
          <w:szCs w:val="24"/>
          <w:highlight w:val="none"/>
          <w:shd w:val="clear" w:color="auto" w:fill="FFFF00"/>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最高限价：</w:t>
      </w:r>
      <w:r>
        <w:rPr>
          <w:rFonts w:hint="eastAsia" w:ascii="宋体" w:hAnsi="宋体" w:eastAsia="宋体" w:cs="宋体"/>
          <w:i w:val="0"/>
          <w:iCs w:val="0"/>
          <w:caps w:val="0"/>
          <w:color w:val="auto"/>
          <w:spacing w:val="0"/>
          <w:sz w:val="24"/>
          <w:szCs w:val="24"/>
          <w:highlight w:val="none"/>
          <w:shd w:val="clear" w:fill="FFFFFF"/>
          <w:lang w:val="en-US" w:eastAsia="zh-CN"/>
        </w:rPr>
        <w:t>16.11万元，</w:t>
      </w:r>
      <w:r>
        <w:rPr>
          <w:rFonts w:hint="eastAsia" w:ascii="宋体" w:hAnsi="宋体" w:eastAsia="宋体" w:cs="宋体"/>
          <w:b/>
          <w:bCs/>
          <w:color w:val="auto"/>
          <w:sz w:val="24"/>
          <w:szCs w:val="24"/>
          <w:highlight w:val="none"/>
        </w:rPr>
        <w:t>投标报价高于最高限价的，采购人将不予接受，视为无效标书。</w:t>
      </w:r>
    </w:p>
    <w:p w14:paraId="75005333">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 2026年盐城市亭湖区中小学素质教育实践中心物业服务采购项目</w:t>
      </w:r>
      <w:r>
        <w:rPr>
          <w:rFonts w:hint="eastAsia" w:ascii="宋体" w:hAnsi="宋体" w:eastAsia="宋体" w:cs="宋体"/>
          <w:color w:val="auto"/>
          <w:sz w:val="24"/>
          <w:szCs w:val="24"/>
          <w:highlight w:val="none"/>
          <w:lang w:val="en-US" w:eastAsia="zh-CN"/>
        </w:rPr>
        <w:t>，采购人保留对服务内容进行适当调整的权利。</w:t>
      </w:r>
      <w:r>
        <w:rPr>
          <w:rFonts w:hint="eastAsia" w:ascii="宋体" w:hAnsi="宋体" w:eastAsia="宋体" w:cs="宋体"/>
          <w:color w:val="auto"/>
          <w:sz w:val="24"/>
          <w:szCs w:val="24"/>
          <w:highlight w:val="none"/>
        </w:rPr>
        <w:t>详细内容见本</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文件第四章</w:t>
      </w:r>
      <w:r>
        <w:rPr>
          <w:rFonts w:hint="eastAsia" w:ascii="宋体" w:hAnsi="宋体" w:eastAsia="宋体" w:cs="宋体"/>
          <w:color w:val="auto"/>
          <w:sz w:val="24"/>
          <w:szCs w:val="24"/>
          <w:highlight w:val="none"/>
          <w:lang w:eastAsia="zh-CN"/>
        </w:rPr>
        <w:t>。</w:t>
      </w:r>
    </w:p>
    <w:p w14:paraId="3EA6CA19">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1年</w:t>
      </w:r>
    </w:p>
    <w:p w14:paraId="35E14B61">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8.</w:t>
      </w:r>
      <w:r>
        <w:rPr>
          <w:rFonts w:hint="eastAsia"/>
          <w:color w:val="auto"/>
          <w:sz w:val="24"/>
          <w:szCs w:val="20"/>
          <w:highlight w:val="none"/>
        </w:rPr>
        <w:t>本项目（是/否）接受联合体投标：否。</w:t>
      </w:r>
    </w:p>
    <w:p w14:paraId="5002A3E7">
      <w:pPr>
        <w:pStyle w:val="9"/>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rPr>
      </w:pPr>
      <w:bookmarkStart w:id="13" w:name="_Toc28359003"/>
      <w:bookmarkStart w:id="14" w:name="_Toc35393622"/>
      <w:bookmarkStart w:id="15" w:name="_Toc35393791"/>
      <w:bookmarkStart w:id="16" w:name="_Toc38985264"/>
      <w:bookmarkStart w:id="17" w:name="_Toc28359080"/>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5DF354EB">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79698EE9">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自然人的身份证明；</w:t>
      </w:r>
    </w:p>
    <w:p w14:paraId="5FD3CFCF">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w:t>
      </w:r>
      <w:r>
        <w:rPr>
          <w:rFonts w:hint="eastAsia" w:ascii="宋体" w:hAnsi="宋体" w:eastAsia="宋体" w:cs="宋体"/>
          <w:color w:val="auto"/>
          <w:sz w:val="24"/>
          <w:szCs w:val="24"/>
          <w:highlight w:val="none"/>
          <w:lang w:val="en-US" w:eastAsia="zh-CN"/>
        </w:rPr>
        <w:t>告</w:t>
      </w:r>
      <w:r>
        <w:rPr>
          <w:rFonts w:hint="eastAsia" w:ascii="宋体" w:hAnsi="宋体" w:eastAsia="宋体" w:cs="宋体"/>
          <w:color w:val="auto"/>
          <w:sz w:val="24"/>
          <w:szCs w:val="24"/>
          <w:highlight w:val="none"/>
        </w:rPr>
        <w:t>（成立不满一年无需提供）；</w:t>
      </w:r>
    </w:p>
    <w:p w14:paraId="41CB45A4">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2F1E47F1">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327CEB69">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43CE2A2D">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790CFBC6">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D6A84EC">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单位负责人为同一人或者存在直接控股、</w:t>
      </w:r>
      <w:r>
        <w:rPr>
          <w:rFonts w:hint="eastAsia" w:ascii="宋体" w:hAnsi="宋体" w:eastAsia="宋体" w:cs="宋体"/>
          <w:color w:val="auto"/>
          <w:sz w:val="24"/>
          <w:szCs w:val="24"/>
          <w:highlight w:val="none"/>
          <w:lang w:val="en-US" w:eastAsia="zh-CN"/>
        </w:rPr>
        <w:t>管理</w:t>
      </w:r>
      <w:r>
        <w:rPr>
          <w:rFonts w:hint="eastAsia" w:ascii="宋体" w:hAnsi="宋体" w:eastAsia="宋体" w:cs="宋体"/>
          <w:color w:val="auto"/>
          <w:sz w:val="24"/>
          <w:szCs w:val="24"/>
          <w:highlight w:val="none"/>
        </w:rPr>
        <w:t>关系的不同供应商，不得参加同一合同项下的政府采购活动。</w:t>
      </w:r>
    </w:p>
    <w:p w14:paraId="3943977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b/>
          <w:bCs/>
          <w:color w:val="auto"/>
          <w:sz w:val="24"/>
          <w:szCs w:val="24"/>
          <w:highlight w:val="none"/>
        </w:rPr>
        <w:t>本项目为专门面向中小企业采购的项目,投标人必须为中小微企业。投标人须为符合《关于印发中小企业划型标准规定的通知》(工信部联企业〔2011〕300号)文件的中小微企业(投标时须提供</w:t>
      </w:r>
      <w:r>
        <w:rPr>
          <w:rFonts w:hint="eastAsia" w:ascii="宋体" w:hAnsi="宋体" w:eastAsia="宋体" w:cs="宋体"/>
          <w:b/>
          <w:bCs/>
          <w:color w:val="auto"/>
          <w:sz w:val="24"/>
          <w:szCs w:val="24"/>
          <w:highlight w:val="none"/>
          <w:lang w:eastAsia="zh-CN"/>
        </w:rPr>
        <w:t>中小</w:t>
      </w:r>
      <w:r>
        <w:rPr>
          <w:rFonts w:hint="eastAsia" w:ascii="宋体" w:hAnsi="宋体" w:eastAsia="宋体" w:cs="宋体"/>
          <w:b/>
          <w:bCs/>
          <w:color w:val="auto"/>
          <w:sz w:val="24"/>
          <w:szCs w:val="24"/>
          <w:highlight w:val="none"/>
        </w:rPr>
        <w:t>企业声明函，否则按无效标处理)</w:t>
      </w:r>
    </w:p>
    <w:p w14:paraId="2355C3D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无</w:t>
      </w:r>
    </w:p>
    <w:p w14:paraId="2E5946D4">
      <w:pPr>
        <w:pStyle w:val="9"/>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三、获取招标文件</w:t>
      </w:r>
    </w:p>
    <w:p w14:paraId="15F91AA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40"/>
        <w:jc w:val="both"/>
        <w:textAlignment w:val="auto"/>
        <w:rPr>
          <w:rFonts w:hint="eastAsia" w:ascii="宋体" w:hAnsi="宋体" w:eastAsia="宋体" w:cs="宋体"/>
          <w:color w:val="auto"/>
          <w:kern w:val="0"/>
          <w:sz w:val="24"/>
          <w:szCs w:val="24"/>
          <w:highlight w:val="none"/>
          <w:lang w:val="en-US" w:eastAsia="zh-CN" w:bidi="ar-SA"/>
        </w:rPr>
      </w:pPr>
      <w:bookmarkStart w:id="18" w:name="_Toc28359005"/>
      <w:bookmarkStart w:id="19" w:name="_Toc38985266"/>
      <w:bookmarkStart w:id="20" w:name="_Toc35393624"/>
      <w:bookmarkStart w:id="21" w:name="_Toc35393793"/>
      <w:bookmarkStart w:id="22" w:name="_Toc28359082"/>
      <w:r>
        <w:rPr>
          <w:rFonts w:hint="eastAsia" w:ascii="宋体" w:hAnsi="宋体" w:eastAsia="宋体" w:cs="宋体"/>
          <w:color w:val="auto"/>
          <w:sz w:val="24"/>
          <w:szCs w:val="24"/>
          <w:highlight w:val="none"/>
        </w:rPr>
        <w:t>1.时间：</w:t>
      </w:r>
      <w:bookmarkEnd w:id="18"/>
      <w:bookmarkEnd w:id="19"/>
      <w:bookmarkEnd w:id="20"/>
      <w:bookmarkEnd w:id="21"/>
      <w:bookmarkEnd w:id="22"/>
      <w:r>
        <w:rPr>
          <w:rFonts w:hint="eastAsia" w:ascii="宋体" w:hAnsi="宋体" w:eastAsia="宋体" w:cs="宋体"/>
          <w:color w:val="auto"/>
          <w:kern w:val="0"/>
          <w:sz w:val="24"/>
          <w:szCs w:val="24"/>
          <w:highlight w:val="none"/>
          <w:lang w:val="en-US" w:eastAsia="zh-CN" w:bidi="ar-SA"/>
        </w:rPr>
        <w:t>自招标文件公告发布之日起5个工作日。</w:t>
      </w:r>
    </w:p>
    <w:p w14:paraId="3FE7E4A2">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2.地点：“苏采云”系统内免费下载（投标人必须在苏采云系统中获取采购文件，方能参与政府采购项目）；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3.方式：本项目采用网上注册登记方式。 </w:t>
      </w:r>
    </w:p>
    <w:p w14:paraId="1A7A25E5">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4.售价：0元</w:t>
      </w:r>
    </w:p>
    <w:p w14:paraId="2D060721">
      <w:pPr>
        <w:pStyle w:val="9"/>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64C8645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4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lang w:val="en-US" w:eastAsia="zh-CN"/>
        </w:rPr>
        <w:t>2026年07月30日9：00时（北京时间）</w:t>
      </w:r>
    </w:p>
    <w:p w14:paraId="6F6C4D91">
      <w:pPr>
        <w:pStyle w:val="9"/>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 </w:t>
      </w:r>
      <w:r>
        <w:rPr>
          <w:rFonts w:hint="eastAsia" w:ascii="宋体" w:hAnsi="宋体" w:eastAsia="宋体" w:cs="宋体"/>
          <w:color w:val="auto"/>
          <w:sz w:val="24"/>
          <w:szCs w:val="24"/>
          <w:highlight w:val="none"/>
          <w:lang w:eastAsia="zh-CN"/>
        </w:rPr>
        <w:t>。</w:t>
      </w:r>
    </w:p>
    <w:p w14:paraId="56E67F75">
      <w:pPr>
        <w:pStyle w:val="9"/>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rPr>
      </w:pPr>
      <w:bookmarkStart w:id="23" w:name="_Toc35393794"/>
      <w:bookmarkStart w:id="24" w:name="_Toc35393625"/>
      <w:bookmarkStart w:id="25" w:name="_Toc38985267"/>
      <w:bookmarkStart w:id="26" w:name="_Toc28359007"/>
      <w:bookmarkStart w:id="27" w:name="_Toc28359084"/>
      <w:r>
        <w:rPr>
          <w:rFonts w:hint="eastAsia" w:ascii="宋体" w:hAnsi="宋体" w:eastAsia="宋体" w:cs="宋体"/>
          <w:b/>
          <w:color w:val="auto"/>
          <w:sz w:val="24"/>
          <w:szCs w:val="24"/>
          <w:highlight w:val="none"/>
        </w:rPr>
        <w:t>五、公告期限</w:t>
      </w:r>
      <w:bookmarkEnd w:id="23"/>
      <w:bookmarkEnd w:id="24"/>
      <w:bookmarkEnd w:id="25"/>
      <w:bookmarkEnd w:id="26"/>
      <w:bookmarkEnd w:id="27"/>
    </w:p>
    <w:p w14:paraId="2F64FF9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28" w:name="_Toc35393626"/>
      <w:bookmarkStart w:id="29" w:name="_Toc35393795"/>
      <w:bookmarkStart w:id="30" w:name="_Toc38985268"/>
      <w:r>
        <w:rPr>
          <w:rFonts w:hint="eastAsia" w:ascii="宋体" w:hAnsi="宋体" w:eastAsia="宋体" w:cs="宋体"/>
          <w:i w:val="0"/>
          <w:iCs w:val="0"/>
          <w:caps w:val="0"/>
          <w:color w:val="auto"/>
          <w:spacing w:val="0"/>
          <w:sz w:val="24"/>
          <w:szCs w:val="24"/>
          <w:highlight w:val="none"/>
          <w:shd w:val="clear" w:fill="FFFFFF"/>
          <w:lang w:val="en-US" w:eastAsia="zh-CN"/>
        </w:rPr>
        <w:t>自本公告发布之日起5个工作日。</w:t>
      </w:r>
      <w:bookmarkEnd w:id="28"/>
      <w:bookmarkEnd w:id="29"/>
      <w:bookmarkEnd w:id="30"/>
    </w:p>
    <w:p w14:paraId="335E4A1A">
      <w:pPr>
        <w:pStyle w:val="9"/>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6C2C0FF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31" w:name="_Toc28359018"/>
      <w:r>
        <w:rPr>
          <w:rFonts w:hint="eastAsia" w:ascii="宋体" w:hAnsi="宋体" w:eastAsia="宋体" w:cs="宋体"/>
          <w:i w:val="0"/>
          <w:iCs w:val="0"/>
          <w:caps w:val="0"/>
          <w:color w:val="auto"/>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4FA9E6E">
      <w:pPr>
        <w:keepNext w:val="0"/>
        <w:keepLines w:val="0"/>
        <w:pageBreakBefore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盐城市盐都区府西路1号盐城市政务服务中心4楼盐城市公共资源交易中心10号，11号窗口</w:t>
      </w:r>
      <w:r>
        <w:rPr>
          <w:rFonts w:hint="eastAsia" w:ascii="宋体" w:hAnsi="宋体" w:eastAsia="宋体" w:cs="宋体"/>
          <w:i w:val="0"/>
          <w:iCs w:val="0"/>
          <w:caps w:val="0"/>
          <w:color w:val="auto"/>
          <w:spacing w:val="0"/>
          <w:sz w:val="24"/>
          <w:szCs w:val="24"/>
          <w:highlight w:val="none"/>
          <w:shd w:val="clear" w:fill="FFFFFF"/>
          <w:lang w:val="en-US" w:eastAsia="zh-CN"/>
        </w:rPr>
        <w:t>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7A2089C">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2.潜在供应商访问电子招标响应交易平台的网络地址和方法： </w:t>
      </w:r>
    </w:p>
    <w:p w14:paraId="39BCC04E">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624F08DA">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2.2 潜在投标人访问“苏采云”系统方法：江苏省政府采购网首页-“苏采云”链接。 </w:t>
      </w:r>
    </w:p>
    <w:p w14:paraId="31729D13">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2.3 采购文件（后缀名为“.kedt”）、供应商操作手册及政府采购客户端 工具可通过“苏采云”系统相应链接进行下载。 </w:t>
      </w:r>
    </w:p>
    <w:p w14:paraId="59B9B742">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2.4 采购代理机构将数据电文形式的采购文件加载至“苏采云”系统，供潜在供应商下载或者查阅。 </w:t>
      </w:r>
    </w:p>
    <w:p w14:paraId="75DA433F">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74E6B898">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如潜在投标人未按上述要求操作，将自行承担所产生的风险。</w:t>
      </w:r>
    </w:p>
    <w:p w14:paraId="287828D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3.有关本次招标的事项若存在变动或修改，敬请及时关注盐城市亭湖区公共资源交易中心在“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”、“江苏政府采购网”“盐城市政府采购网”发布的更正公告。</w:t>
      </w:r>
    </w:p>
    <w:p w14:paraId="389230E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4.本次招标不收取投标保证金，不收取质量保证金。</w:t>
      </w:r>
    </w:p>
    <w:p w14:paraId="6091A76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七</w:t>
      </w:r>
      <w:r>
        <w:rPr>
          <w:rFonts w:hint="eastAsia" w:ascii="宋体" w:hAnsi="宋体" w:eastAsia="宋体" w:cs="宋体"/>
          <w:b w:val="0"/>
          <w:bCs w:val="0"/>
          <w:i w:val="0"/>
          <w:iCs w:val="0"/>
          <w:caps w:val="0"/>
          <w:color w:val="auto"/>
          <w:spacing w:val="0"/>
          <w:sz w:val="24"/>
          <w:szCs w:val="24"/>
          <w:highlight w:val="none"/>
          <w:u w:val="none"/>
          <w:shd w:val="clear" w:fill="FFFFFF"/>
        </w:rPr>
        <w:t>、对本次</w:t>
      </w: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招标</w:t>
      </w:r>
      <w:r>
        <w:rPr>
          <w:rFonts w:hint="eastAsia" w:ascii="宋体" w:hAnsi="宋体" w:eastAsia="宋体" w:cs="宋体"/>
          <w:b w:val="0"/>
          <w:bCs w:val="0"/>
          <w:i w:val="0"/>
          <w:iCs w:val="0"/>
          <w:caps w:val="0"/>
          <w:color w:val="auto"/>
          <w:spacing w:val="0"/>
          <w:sz w:val="24"/>
          <w:szCs w:val="24"/>
          <w:highlight w:val="none"/>
          <w:u w:val="none"/>
          <w:shd w:val="clear" w:fill="FFFFFF"/>
        </w:rPr>
        <w:t>提出询问，请按以下方式联系。</w:t>
      </w:r>
      <w:bookmarkEnd w:id="31"/>
    </w:p>
    <w:p w14:paraId="383926D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1.采购人信息</w:t>
      </w:r>
    </w:p>
    <w:p w14:paraId="661BE11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名 称：</w:t>
      </w:r>
      <w:r>
        <w:rPr>
          <w:rFonts w:hint="eastAsia" w:asciiTheme="majorEastAsia" w:hAnsiTheme="majorEastAsia" w:eastAsiaTheme="majorEastAsia" w:cstheme="majorEastAsia"/>
          <w:color w:val="auto"/>
          <w:sz w:val="24"/>
          <w:szCs w:val="24"/>
          <w:highlight w:val="none"/>
          <w:lang w:val="en-US" w:eastAsia="zh-CN"/>
        </w:rPr>
        <w:t>盐城市亭湖区中小学素质教育实践中心</w:t>
      </w:r>
      <w:r>
        <w:rPr>
          <w:rFonts w:hint="eastAsia" w:ascii="宋体" w:hAnsi="宋体" w:eastAsia="宋体" w:cs="宋体"/>
          <w:i w:val="0"/>
          <w:iCs w:val="0"/>
          <w:caps w:val="0"/>
          <w:color w:val="auto"/>
          <w:spacing w:val="0"/>
          <w:sz w:val="24"/>
          <w:szCs w:val="24"/>
          <w:highlight w:val="none"/>
          <w:shd w:val="clear" w:fill="FFFFFF"/>
          <w:lang w:val="en-US" w:eastAsia="zh-CN"/>
        </w:rPr>
        <w:t xml:space="preserve"> </w:t>
      </w:r>
    </w:p>
    <w:p w14:paraId="3A8C8AF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地址：盐城市亭湖区潮声东路8号</w:t>
      </w:r>
    </w:p>
    <w:p w14:paraId="2C229FA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xml:space="preserve">联系人：温主任              </w:t>
      </w:r>
    </w:p>
    <w:p w14:paraId="3A1E6FD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xml:space="preserve">联系方式：13770005756            </w:t>
      </w:r>
    </w:p>
    <w:p w14:paraId="37599D6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2.采购代理机构信息</w:t>
      </w:r>
    </w:p>
    <w:p w14:paraId="7D2D637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32" w:name="_Toc28359087"/>
      <w:bookmarkStart w:id="33" w:name="_Toc28359010"/>
      <w:r>
        <w:rPr>
          <w:rFonts w:hint="eastAsia" w:ascii="宋体" w:hAnsi="宋体" w:eastAsia="宋体" w:cs="宋体"/>
          <w:i w:val="0"/>
          <w:iCs w:val="0"/>
          <w:caps w:val="0"/>
          <w:color w:val="auto"/>
          <w:spacing w:val="0"/>
          <w:sz w:val="24"/>
          <w:szCs w:val="24"/>
          <w:highlight w:val="none"/>
          <w:shd w:val="clear" w:fill="FFFFFF"/>
          <w:lang w:val="en-US" w:eastAsia="zh-CN"/>
        </w:rPr>
        <w:t>名 称：盐城市亭湖区公共资源交易中心</w:t>
      </w:r>
    </w:p>
    <w:p w14:paraId="34D6D67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地 址：盐城市亭湖区希望大道中路18号</w:t>
      </w:r>
    </w:p>
    <w:p w14:paraId="1F47F25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 xml:space="preserve">联系人：纪先生                     </w:t>
      </w:r>
    </w:p>
    <w:p w14:paraId="55D3A33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联系方式：0515-89802019       </w:t>
      </w:r>
      <w:bookmarkEnd w:id="32"/>
      <w:bookmarkEnd w:id="33"/>
      <w:r>
        <w:rPr>
          <w:rFonts w:hint="eastAsia" w:ascii="宋体" w:hAnsi="宋体" w:eastAsia="宋体" w:cs="宋体"/>
          <w:i w:val="0"/>
          <w:iCs w:val="0"/>
          <w:caps w:val="0"/>
          <w:color w:val="auto"/>
          <w:spacing w:val="0"/>
          <w:sz w:val="24"/>
          <w:szCs w:val="24"/>
          <w:highlight w:val="none"/>
          <w:shd w:val="clear" w:fill="FFFFFF"/>
          <w:lang w:val="en-US" w:eastAsia="zh-CN"/>
        </w:rPr>
        <w:t xml:space="preserve">            </w:t>
      </w:r>
    </w:p>
    <w:p w14:paraId="54AD84B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34" w:name="_Toc28359021"/>
      <w:r>
        <w:rPr>
          <w:rFonts w:hint="eastAsia" w:ascii="宋体" w:hAnsi="宋体" w:eastAsia="宋体" w:cs="宋体"/>
          <w:i w:val="0"/>
          <w:iCs w:val="0"/>
          <w:caps w:val="0"/>
          <w:color w:val="auto"/>
          <w:spacing w:val="0"/>
          <w:sz w:val="24"/>
          <w:szCs w:val="24"/>
          <w:highlight w:val="none"/>
          <w:shd w:val="clear" w:fill="FFFFFF"/>
          <w:lang w:val="en-US" w:eastAsia="zh-CN"/>
        </w:rPr>
        <w:t>3.</w:t>
      </w:r>
      <w:bookmarkEnd w:id="34"/>
      <w:r>
        <w:rPr>
          <w:rFonts w:hint="eastAsia" w:ascii="宋体" w:hAnsi="宋体" w:eastAsia="宋体" w:cs="宋体"/>
          <w:i w:val="0"/>
          <w:iCs w:val="0"/>
          <w:caps w:val="0"/>
          <w:color w:val="auto"/>
          <w:spacing w:val="0"/>
          <w:sz w:val="24"/>
          <w:szCs w:val="24"/>
          <w:highlight w:val="none"/>
          <w:shd w:val="clear" w:fill="FFFFFF"/>
          <w:lang w:val="en-US" w:eastAsia="zh-CN"/>
        </w:rPr>
        <w:t>项目联系方式</w:t>
      </w:r>
    </w:p>
    <w:p w14:paraId="7ABCB19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项目联系人：温主任</w:t>
      </w:r>
    </w:p>
    <w:p w14:paraId="50B37FA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lang w:val="en-US" w:eastAsia="zh-CN"/>
        </w:rPr>
        <w:t>电　　 话：13770005756　　　　　　　　　　</w:t>
      </w:r>
      <w:r>
        <w:rPr>
          <w:rFonts w:hint="eastAsia" w:ascii="宋体" w:hAnsi="宋体" w:eastAsia="宋体" w:cs="宋体"/>
          <w:color w:val="auto"/>
          <w:sz w:val="24"/>
          <w:szCs w:val="24"/>
          <w:highlight w:val="none"/>
        </w:rPr>
        <w:t>  </w:t>
      </w:r>
    </w:p>
    <w:p w14:paraId="21A7FF9D">
      <w:pPr>
        <w:rPr>
          <w:rFonts w:hint="eastAsia" w:ascii="宋体" w:hAnsi="宋体" w:eastAsia="宋体" w:cs="宋体"/>
          <w:b/>
          <w:color w:val="auto"/>
          <w:sz w:val="24"/>
          <w:szCs w:val="24"/>
          <w:highlight w:val="none"/>
        </w:rPr>
      </w:pPr>
      <w:bookmarkStart w:id="35" w:name="_Toc120614211"/>
      <w:r>
        <w:rPr>
          <w:rFonts w:hint="eastAsia" w:ascii="宋体" w:hAnsi="宋体" w:eastAsia="宋体" w:cs="宋体"/>
          <w:b/>
          <w:color w:val="auto"/>
          <w:sz w:val="24"/>
          <w:szCs w:val="24"/>
          <w:highlight w:val="none"/>
        </w:rPr>
        <w:br w:type="page"/>
      </w:r>
    </w:p>
    <w:p w14:paraId="65CCA272">
      <w:pPr>
        <w:pStyle w:val="9"/>
        <w:keepNext/>
        <w:keepLines/>
        <w:spacing w:before="260" w:beforeAutospacing="0" w:after="260" w:afterAutospacing="0" w:line="415" w:lineRule="auto"/>
        <w:ind w:firstLine="2429"/>
        <w:jc w:val="both"/>
        <w:rPr>
          <w:color w:val="auto"/>
          <w:highlight w:val="none"/>
        </w:rPr>
      </w:pPr>
      <w:r>
        <w:rPr>
          <w:rFonts w:hint="eastAsia" w:ascii="黑体" w:hAnsi="宋体" w:eastAsia="黑体" w:cs="黑体"/>
          <w:b/>
          <w:color w:val="auto"/>
          <w:sz w:val="44"/>
          <w:szCs w:val="44"/>
          <w:highlight w:val="none"/>
        </w:rPr>
        <w:t xml:space="preserve">第二章  </w:t>
      </w:r>
      <w:bookmarkEnd w:id="35"/>
      <w:bookmarkStart w:id="36" w:name="_Toc20823274"/>
      <w:bookmarkStart w:id="37" w:name="_Toc16938518"/>
      <w:bookmarkStart w:id="38" w:name="_Toc120614213"/>
      <w:bookmarkStart w:id="39" w:name="_Toc513029202"/>
      <w:r>
        <w:rPr>
          <w:rFonts w:hint="eastAsia" w:ascii="黑体" w:hAnsi="宋体" w:eastAsia="黑体" w:cs="黑体"/>
          <w:b/>
          <w:color w:val="auto"/>
          <w:sz w:val="44"/>
          <w:szCs w:val="44"/>
          <w:highlight w:val="none"/>
        </w:rPr>
        <w:t>投标人须知</w:t>
      </w:r>
      <w:bookmarkEnd w:id="36"/>
      <w:bookmarkEnd w:id="37"/>
      <w:bookmarkEnd w:id="38"/>
      <w:bookmarkEnd w:id="39"/>
    </w:p>
    <w:p w14:paraId="657175AE">
      <w:pPr>
        <w:pStyle w:val="9"/>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rPr>
      </w:pPr>
      <w:bookmarkStart w:id="40" w:name="_Toc16938519"/>
      <w:bookmarkStart w:id="41" w:name="_Toc513029203"/>
      <w:bookmarkStart w:id="42" w:name="_Toc20823275"/>
      <w:bookmarkStart w:id="43" w:name="_Toc120614214"/>
      <w:r>
        <w:rPr>
          <w:rFonts w:hint="eastAsia" w:ascii="宋体" w:hAnsi="宋体" w:eastAsia="宋体" w:cs="宋体"/>
          <w:b/>
          <w:color w:val="auto"/>
          <w:sz w:val="24"/>
          <w:szCs w:val="24"/>
          <w:highlight w:val="none"/>
        </w:rPr>
        <w:t>一、总则</w:t>
      </w:r>
      <w:bookmarkEnd w:id="40"/>
      <w:bookmarkEnd w:id="41"/>
      <w:bookmarkEnd w:id="42"/>
      <w:bookmarkEnd w:id="43"/>
    </w:p>
    <w:p w14:paraId="2CB4A5B2">
      <w:pPr>
        <w:pStyle w:val="9"/>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b/>
          <w:bCs/>
          <w:color w:val="auto"/>
          <w:sz w:val="24"/>
          <w:szCs w:val="24"/>
          <w:highlight w:val="none"/>
        </w:rPr>
      </w:pPr>
      <w:bookmarkStart w:id="44" w:name="_Toc16938520"/>
      <w:bookmarkStart w:id="45" w:name="_Toc513029204"/>
      <w:bookmarkStart w:id="46" w:name="_Toc20823276"/>
      <w:bookmarkStart w:id="47" w:name="_Toc458694821"/>
      <w:bookmarkStart w:id="48" w:name="_Hlt16619475"/>
      <w:r>
        <w:rPr>
          <w:rFonts w:hint="eastAsia" w:ascii="宋体" w:hAnsi="宋体" w:eastAsia="宋体" w:cs="宋体"/>
          <w:b/>
          <w:bCs/>
          <w:color w:val="auto"/>
          <w:sz w:val="24"/>
          <w:szCs w:val="24"/>
          <w:highlight w:val="none"/>
        </w:rPr>
        <w:t>1</w:t>
      </w:r>
      <w:bookmarkEnd w:id="44"/>
      <w:r>
        <w:rPr>
          <w:rFonts w:hint="eastAsia" w:ascii="宋体" w:hAnsi="宋体" w:eastAsia="宋体" w:cs="宋体"/>
          <w:b/>
          <w:bCs/>
          <w:color w:val="auto"/>
          <w:sz w:val="24"/>
          <w:szCs w:val="24"/>
          <w:highlight w:val="none"/>
        </w:rPr>
        <w:t>、招标方式</w:t>
      </w:r>
      <w:bookmarkEnd w:id="45"/>
      <w:bookmarkEnd w:id="46"/>
      <w:bookmarkEnd w:id="47"/>
    </w:p>
    <w:p w14:paraId="5EBE671D">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1.1本次招标采取公开招标方式，本招标文件仅适用于招标公告中所述项目。</w:t>
      </w:r>
    </w:p>
    <w:p w14:paraId="32F064E0">
      <w:pPr>
        <w:pStyle w:val="9"/>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b/>
          <w:bCs/>
          <w:color w:val="auto"/>
          <w:sz w:val="24"/>
          <w:szCs w:val="24"/>
          <w:highlight w:val="none"/>
        </w:rPr>
      </w:pPr>
      <w:bookmarkStart w:id="49" w:name="_Toc20823277"/>
      <w:bookmarkStart w:id="50" w:name="_Toc16938521"/>
      <w:bookmarkStart w:id="51" w:name="_Toc513029205"/>
      <w:r>
        <w:rPr>
          <w:rFonts w:hint="eastAsia" w:ascii="宋体" w:hAnsi="宋体" w:eastAsia="宋体" w:cs="宋体"/>
          <w:b/>
          <w:bCs/>
          <w:color w:val="auto"/>
          <w:sz w:val="24"/>
          <w:szCs w:val="24"/>
          <w:highlight w:val="none"/>
        </w:rPr>
        <w:t>2、合格的投标人</w:t>
      </w:r>
      <w:bookmarkEnd w:id="49"/>
      <w:bookmarkEnd w:id="50"/>
      <w:bookmarkEnd w:id="51"/>
    </w:p>
    <w:p w14:paraId="398FB28E">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55D4E478">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2.2满足本文件实质性要求和条件的规定。</w:t>
      </w:r>
    </w:p>
    <w:p w14:paraId="4170807A">
      <w:pPr>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方正魏碑_GBK" w:hAnsi="方正魏碑_GBK" w:eastAsia="方正魏碑_GBK" w:cs="方正魏碑_GBK"/>
          <w:b/>
          <w:bCs/>
          <w:color w:val="auto"/>
          <w:sz w:val="24"/>
          <w:szCs w:val="21"/>
        </w:rPr>
      </w:pPr>
      <w:bookmarkStart w:id="52" w:name="_Toc16938522"/>
      <w:bookmarkStart w:id="53" w:name="_Toc20823278"/>
      <w:bookmarkStart w:id="54" w:name="_Toc513029206"/>
      <w:bookmarkStart w:id="55" w:name="_Toc513029207"/>
      <w:bookmarkStart w:id="56" w:name="_Toc462564067"/>
      <w:bookmarkStart w:id="57" w:name="_Toc20823279"/>
      <w:bookmarkStart w:id="58" w:name="_Toc16938523"/>
      <w:r>
        <w:rPr>
          <w:rFonts w:hint="eastAsia" w:ascii="方正魏碑_GBK" w:hAnsi="方正魏碑_GBK" w:eastAsia="方正魏碑_GBK" w:cs="方正魏碑_GBK"/>
          <w:b/>
          <w:bCs/>
          <w:color w:val="auto"/>
          <w:sz w:val="24"/>
          <w:szCs w:val="21"/>
        </w:rPr>
        <w:t>3、适用法律</w:t>
      </w:r>
      <w:bookmarkEnd w:id="52"/>
      <w:bookmarkEnd w:id="53"/>
      <w:bookmarkEnd w:id="54"/>
      <w:r>
        <w:rPr>
          <w:rFonts w:hint="eastAsia" w:ascii="方正魏碑_GBK" w:hAnsi="方正魏碑_GBK" w:eastAsia="方正魏碑_GBK" w:cs="方正魏碑_GBK"/>
          <w:b/>
          <w:bCs/>
          <w:color w:val="auto"/>
          <w:sz w:val="24"/>
          <w:szCs w:val="21"/>
        </w:rPr>
        <w:t>和标准</w:t>
      </w:r>
    </w:p>
    <w:p w14:paraId="60757E93">
      <w:pPr>
        <w:pStyle w:val="9"/>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40C26971">
      <w:pPr>
        <w:pStyle w:val="9"/>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4、投标费用</w:t>
      </w:r>
      <w:bookmarkEnd w:id="55"/>
      <w:bookmarkEnd w:id="56"/>
      <w:bookmarkEnd w:id="57"/>
      <w:bookmarkEnd w:id="58"/>
    </w:p>
    <w:p w14:paraId="2F15F10D">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盐城市亭湖区公共资源交易中心</w:t>
      </w:r>
      <w:r>
        <w:rPr>
          <w:rFonts w:hint="eastAsia" w:ascii="宋体" w:hAnsi="宋体" w:eastAsia="宋体" w:cs="宋体"/>
          <w:color w:val="auto"/>
          <w:sz w:val="24"/>
          <w:szCs w:val="24"/>
          <w:highlight w:val="none"/>
        </w:rPr>
        <w:t>（以下简称</w:t>
      </w:r>
      <w:r>
        <w:rPr>
          <w:rFonts w:hint="eastAsia" w:ascii="宋体" w:hAnsi="宋体" w:eastAsia="宋体" w:cs="宋体"/>
          <w:color w:val="auto"/>
          <w:sz w:val="24"/>
          <w:szCs w:val="24"/>
          <w:highlight w:val="none"/>
          <w:lang w:eastAsia="zh-CN"/>
        </w:rPr>
        <w:t>交易中心</w:t>
      </w:r>
      <w:r>
        <w:rPr>
          <w:rFonts w:hint="eastAsia" w:ascii="宋体" w:hAnsi="宋体" w:eastAsia="宋体" w:cs="宋体"/>
          <w:color w:val="auto"/>
          <w:sz w:val="24"/>
          <w:szCs w:val="24"/>
          <w:highlight w:val="none"/>
        </w:rPr>
        <w:t>）在任何情况下均无义务和责任承担这些费用。</w:t>
      </w:r>
    </w:p>
    <w:p w14:paraId="66528A5D">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w:t>
      </w:r>
      <w:r>
        <w:rPr>
          <w:rFonts w:hint="eastAsia" w:eastAsia="Arial"/>
          <w:color w:val="auto"/>
          <w:sz w:val="24"/>
          <w:szCs w:val="20"/>
          <w:highlight w:val="none"/>
        </w:rPr>
        <w:t>招标</w:t>
      </w:r>
      <w:r>
        <w:rPr>
          <w:rFonts w:hint="eastAsia" w:eastAsia="宋体"/>
          <w:color w:val="auto"/>
          <w:sz w:val="24"/>
          <w:szCs w:val="20"/>
          <w:highlight w:val="none"/>
          <w:lang w:eastAsia="zh-CN"/>
        </w:rPr>
        <w:t>交易中心</w:t>
      </w:r>
      <w:r>
        <w:rPr>
          <w:rFonts w:hint="eastAsia" w:ascii="宋体" w:hAnsi="宋体" w:eastAsia="宋体" w:cs="宋体"/>
          <w:color w:val="auto"/>
          <w:sz w:val="24"/>
          <w:szCs w:val="24"/>
          <w:highlight w:val="none"/>
        </w:rPr>
        <w:t>和采购人不收取标书工本费。</w:t>
      </w:r>
    </w:p>
    <w:p w14:paraId="630784B7">
      <w:pPr>
        <w:pStyle w:val="9"/>
        <w:keepNext/>
        <w:keepLines/>
        <w:pageBreakBefore w:val="0"/>
        <w:widowControl w:val="0"/>
        <w:kinsoku/>
        <w:wordWrap/>
        <w:overflowPunct/>
        <w:topLinePunct w:val="0"/>
        <w:autoSpaceDE/>
        <w:autoSpaceDN/>
        <w:bidi w:val="0"/>
        <w:adjustRightInd/>
        <w:snapToGrid/>
        <w:spacing w:beforeAutospacing="0" w:afterAutospacing="0" w:line="460" w:lineRule="exact"/>
        <w:ind w:firstLine="602"/>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5、招标文件的约束力</w:t>
      </w:r>
    </w:p>
    <w:p w14:paraId="4D5A6871">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5.1投标人一旦参加本项目采购活动，即被认为接受了本招标文件的规定和约束。</w:t>
      </w:r>
    </w:p>
    <w:p w14:paraId="58A78B82">
      <w:pPr>
        <w:pStyle w:val="9"/>
        <w:keepNext/>
        <w:keepLines/>
        <w:spacing w:before="145" w:beforeAutospacing="0" w:after="145" w:afterAutospacing="0" w:line="360" w:lineRule="auto"/>
        <w:ind w:firstLine="321"/>
        <w:jc w:val="both"/>
        <w:rPr>
          <w:rFonts w:hint="eastAsia" w:ascii="宋体" w:hAnsi="宋体" w:eastAsia="宋体" w:cs="宋体"/>
          <w:color w:val="auto"/>
          <w:sz w:val="24"/>
          <w:szCs w:val="24"/>
          <w:highlight w:val="none"/>
        </w:rPr>
      </w:pPr>
      <w:bookmarkStart w:id="59" w:name="_Toc20823281"/>
      <w:bookmarkStart w:id="60" w:name="_Toc16938525"/>
      <w:bookmarkStart w:id="61" w:name="_Toc120614215"/>
      <w:bookmarkStart w:id="62" w:name="_Toc513029209"/>
      <w:r>
        <w:rPr>
          <w:rFonts w:hint="eastAsia" w:ascii="宋体" w:hAnsi="宋体" w:eastAsia="宋体" w:cs="宋体"/>
          <w:b/>
          <w:color w:val="auto"/>
          <w:sz w:val="24"/>
          <w:szCs w:val="24"/>
          <w:highlight w:val="none"/>
        </w:rPr>
        <w:t>二、招标文件</w:t>
      </w:r>
      <w:bookmarkEnd w:id="59"/>
      <w:bookmarkEnd w:id="60"/>
      <w:bookmarkEnd w:id="61"/>
      <w:bookmarkEnd w:id="62"/>
    </w:p>
    <w:p w14:paraId="3B2D8359">
      <w:pPr>
        <w:pStyle w:val="9"/>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b/>
          <w:bCs/>
          <w:color w:val="auto"/>
          <w:sz w:val="24"/>
          <w:szCs w:val="24"/>
          <w:highlight w:val="none"/>
        </w:rPr>
      </w:pPr>
      <w:bookmarkStart w:id="63" w:name="_Toc20823282"/>
      <w:bookmarkStart w:id="64" w:name="_Toc513029210"/>
      <w:bookmarkStart w:id="65" w:name="_Toc16938526"/>
      <w:r>
        <w:rPr>
          <w:rFonts w:hint="eastAsia" w:ascii="宋体" w:hAnsi="宋体" w:eastAsia="宋体" w:cs="宋体"/>
          <w:b/>
          <w:bCs/>
          <w:color w:val="auto"/>
          <w:sz w:val="24"/>
          <w:szCs w:val="24"/>
          <w:highlight w:val="none"/>
        </w:rPr>
        <w:t>6、招标文件构成</w:t>
      </w:r>
      <w:bookmarkEnd w:id="63"/>
      <w:bookmarkEnd w:id="64"/>
      <w:bookmarkEnd w:id="65"/>
    </w:p>
    <w:p w14:paraId="5FE00233">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4F31DD9A">
      <w:pPr>
        <w:pStyle w:val="9"/>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14:paraId="0D2AAD2C">
      <w:pPr>
        <w:pStyle w:val="9"/>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63173B07">
      <w:pPr>
        <w:pStyle w:val="9"/>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280E44A6">
      <w:pPr>
        <w:pStyle w:val="9"/>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433D42C1">
      <w:pPr>
        <w:pStyle w:val="9"/>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4581DCCC">
      <w:pPr>
        <w:pStyle w:val="9"/>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05D66BA3">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请仔细检查招标文件是否齐全，如有缺漏请立即与采购中心联系解决。</w:t>
      </w:r>
    </w:p>
    <w:p w14:paraId="5B05B688">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0E54415">
      <w:pPr>
        <w:pStyle w:val="9"/>
        <w:keepNext/>
        <w:keepLines/>
        <w:pageBreakBefore w:val="0"/>
        <w:widowControl w:val="0"/>
        <w:kinsoku/>
        <w:wordWrap/>
        <w:overflowPunct/>
        <w:topLinePunct w:val="0"/>
        <w:autoSpaceDE/>
        <w:autoSpaceDN/>
        <w:bidi w:val="0"/>
        <w:adjustRightInd/>
        <w:snapToGrid/>
        <w:spacing w:beforeAutospacing="0" w:afterAutospacing="0" w:line="460" w:lineRule="exact"/>
        <w:ind w:firstLine="560"/>
        <w:jc w:val="both"/>
        <w:textAlignment w:val="auto"/>
        <w:rPr>
          <w:rFonts w:hint="eastAsia" w:ascii="宋体" w:hAnsi="宋体" w:eastAsia="宋体" w:cs="宋体"/>
          <w:b/>
          <w:bCs/>
          <w:color w:val="auto"/>
          <w:sz w:val="24"/>
          <w:szCs w:val="24"/>
          <w:highlight w:val="none"/>
        </w:rPr>
      </w:pPr>
      <w:bookmarkStart w:id="66" w:name="_Toc16938527"/>
      <w:bookmarkStart w:id="67" w:name="_Toc513029211"/>
      <w:bookmarkStart w:id="68" w:name="_Toc462564070"/>
      <w:bookmarkStart w:id="69" w:name="_Toc20823283"/>
      <w:r>
        <w:rPr>
          <w:rFonts w:hint="eastAsia" w:ascii="宋体" w:hAnsi="宋体" w:eastAsia="宋体" w:cs="宋体"/>
          <w:b/>
          <w:bCs/>
          <w:color w:val="auto"/>
          <w:sz w:val="24"/>
          <w:szCs w:val="24"/>
          <w:highlight w:val="none"/>
        </w:rPr>
        <w:t>7、招标文件的澄清</w:t>
      </w:r>
      <w:bookmarkEnd w:id="66"/>
      <w:bookmarkEnd w:id="67"/>
      <w:bookmarkEnd w:id="68"/>
      <w:bookmarkEnd w:id="69"/>
    </w:p>
    <w:p w14:paraId="6FA3CC26">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前按招标公告中的通讯地址，以书面形式通知采购中心。</w:t>
      </w:r>
    </w:p>
    <w:p w14:paraId="4DF14AA2">
      <w:pPr>
        <w:pStyle w:val="9"/>
        <w:keepNext/>
        <w:keepLines/>
        <w:pageBreakBefore w:val="0"/>
        <w:widowControl w:val="0"/>
        <w:kinsoku/>
        <w:wordWrap/>
        <w:overflowPunct/>
        <w:topLinePunct w:val="0"/>
        <w:autoSpaceDE/>
        <w:autoSpaceDN/>
        <w:bidi w:val="0"/>
        <w:adjustRightInd/>
        <w:snapToGrid/>
        <w:spacing w:beforeAutospacing="0" w:afterAutospacing="0" w:line="460" w:lineRule="exact"/>
        <w:ind w:firstLine="560"/>
        <w:jc w:val="both"/>
        <w:textAlignment w:val="auto"/>
        <w:rPr>
          <w:rFonts w:hint="eastAsia" w:ascii="宋体" w:hAnsi="宋体" w:eastAsia="宋体" w:cs="宋体"/>
          <w:b/>
          <w:bCs/>
          <w:color w:val="auto"/>
          <w:sz w:val="24"/>
          <w:szCs w:val="24"/>
          <w:highlight w:val="none"/>
        </w:rPr>
      </w:pPr>
      <w:bookmarkStart w:id="70" w:name="_Toc20823284"/>
      <w:bookmarkStart w:id="71" w:name="_Toc16938528"/>
      <w:bookmarkStart w:id="72" w:name="_Toc462564071"/>
      <w:bookmarkStart w:id="73" w:name="_Toc513029212"/>
      <w:r>
        <w:rPr>
          <w:rFonts w:hint="eastAsia" w:ascii="宋体" w:hAnsi="宋体" w:eastAsia="宋体" w:cs="宋体"/>
          <w:b/>
          <w:bCs/>
          <w:color w:val="auto"/>
          <w:sz w:val="24"/>
          <w:szCs w:val="24"/>
          <w:highlight w:val="none"/>
        </w:rPr>
        <w:t>8、招标文件的修改</w:t>
      </w:r>
      <w:bookmarkEnd w:id="70"/>
      <w:bookmarkEnd w:id="71"/>
      <w:bookmarkEnd w:id="72"/>
      <w:bookmarkEnd w:id="73"/>
    </w:p>
    <w:p w14:paraId="06DD1D07">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8.1在投标截止时间前，采购中心可以对招标文件进行修改。</w:t>
      </w:r>
    </w:p>
    <w:p w14:paraId="052EEA6C">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8.2采购中心有权按照法定的要求推迟投标截止日期和开标日期。</w:t>
      </w:r>
    </w:p>
    <w:p w14:paraId="182A2D23">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8.3招标文件的修改将在</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江苏政府采购网”“盐城市政府采购网”</w:t>
      </w:r>
      <w:r>
        <w:rPr>
          <w:rFonts w:hint="eastAsia" w:ascii="宋体" w:hAnsi="宋体" w:eastAsia="宋体" w:cs="宋体"/>
          <w:color w:val="auto"/>
          <w:sz w:val="24"/>
          <w:szCs w:val="24"/>
          <w:highlight w:val="none"/>
        </w:rPr>
        <w:t>公布，补充文件将作为招标文件的组成部分，并对投标人具有约束力。</w:t>
      </w:r>
    </w:p>
    <w:p w14:paraId="07216CEB">
      <w:pPr>
        <w:pStyle w:val="9"/>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74" w:name="_Toc20823285"/>
      <w:bookmarkStart w:id="75" w:name="_Toc513029213"/>
      <w:bookmarkStart w:id="76" w:name="_Toc16938529"/>
      <w:bookmarkStart w:id="77" w:name="_Toc462564072"/>
      <w:bookmarkStart w:id="78" w:name="_Toc120614216"/>
      <w:r>
        <w:rPr>
          <w:rFonts w:hint="eastAsia" w:ascii="宋体" w:hAnsi="宋体" w:eastAsia="宋体" w:cs="宋体"/>
          <w:b/>
          <w:color w:val="auto"/>
          <w:sz w:val="24"/>
          <w:szCs w:val="24"/>
          <w:highlight w:val="none"/>
        </w:rPr>
        <w:t>三、投标文件的编制</w:t>
      </w:r>
      <w:bookmarkEnd w:id="74"/>
      <w:bookmarkEnd w:id="75"/>
      <w:bookmarkEnd w:id="76"/>
      <w:bookmarkEnd w:id="77"/>
      <w:bookmarkEnd w:id="78"/>
    </w:p>
    <w:p w14:paraId="4368361B">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bCs/>
          <w:color w:val="auto"/>
          <w:sz w:val="24"/>
          <w:szCs w:val="24"/>
          <w:highlight w:val="none"/>
        </w:rPr>
      </w:pPr>
      <w:bookmarkStart w:id="79" w:name="_Toc462564073"/>
      <w:bookmarkStart w:id="80" w:name="_Toc513029214"/>
      <w:bookmarkStart w:id="81" w:name="_Toc16938530"/>
      <w:bookmarkStart w:id="82" w:name="_Toc20823286"/>
      <w:r>
        <w:rPr>
          <w:rFonts w:hint="eastAsia" w:ascii="宋体" w:hAnsi="宋体" w:eastAsia="宋体" w:cs="宋体"/>
          <w:b/>
          <w:bCs/>
          <w:color w:val="auto"/>
          <w:sz w:val="24"/>
          <w:szCs w:val="24"/>
          <w:highlight w:val="none"/>
        </w:rPr>
        <w:t>9、投标文件的语言及度量衡单位</w:t>
      </w:r>
      <w:bookmarkEnd w:id="79"/>
      <w:bookmarkEnd w:id="80"/>
      <w:bookmarkEnd w:id="81"/>
      <w:bookmarkEnd w:id="82"/>
    </w:p>
    <w:p w14:paraId="522C33C8">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9.1投标人提交的投标文件以及投标人与</w:t>
      </w:r>
      <w:r>
        <w:rPr>
          <w:rFonts w:hint="eastAsia" w:ascii="宋体" w:hAnsi="宋体" w:eastAsia="宋体" w:cs="宋体"/>
          <w:color w:val="auto"/>
          <w:sz w:val="24"/>
          <w:szCs w:val="24"/>
          <w:highlight w:val="none"/>
          <w:lang w:eastAsia="zh-CN"/>
        </w:rPr>
        <w:t>交易中心</w:t>
      </w:r>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43C777D7">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9.2除技术性能另有规定外，投标文件所使用的度量衡单位，均须采用国家法定计量单位。</w:t>
      </w:r>
    </w:p>
    <w:p w14:paraId="40BC9FB8">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bCs/>
          <w:color w:val="auto"/>
          <w:sz w:val="24"/>
          <w:szCs w:val="24"/>
          <w:highlight w:val="none"/>
        </w:rPr>
      </w:pPr>
      <w:bookmarkStart w:id="83" w:name="_Toc16938531"/>
      <w:bookmarkStart w:id="84" w:name="_Toc462564074"/>
      <w:bookmarkStart w:id="85" w:name="_Toc513029215"/>
      <w:bookmarkStart w:id="86" w:name="_Toc20823287"/>
      <w:r>
        <w:rPr>
          <w:rFonts w:hint="eastAsia" w:ascii="宋体" w:hAnsi="宋体" w:eastAsia="宋体" w:cs="宋体"/>
          <w:b/>
          <w:bCs/>
          <w:color w:val="auto"/>
          <w:sz w:val="24"/>
          <w:szCs w:val="24"/>
          <w:highlight w:val="none"/>
        </w:rPr>
        <w:t>10、投标文件构成</w:t>
      </w:r>
      <w:bookmarkEnd w:id="83"/>
      <w:bookmarkEnd w:id="84"/>
      <w:bookmarkEnd w:id="85"/>
      <w:bookmarkEnd w:id="86"/>
    </w:p>
    <w:p w14:paraId="18988273">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0246DD91">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10.2如标书制作工具中格式和内容与</w:t>
      </w:r>
      <w:r>
        <w:rPr>
          <w:rFonts w:hint="eastAsia" w:ascii="宋体" w:hAnsi="宋体" w:eastAsia="宋体" w:cs="宋体"/>
          <w:color w:val="auto"/>
          <w:sz w:val="24"/>
          <w:szCs w:val="24"/>
          <w:highlight w:val="none"/>
          <w:lang w:val="en-US" w:eastAsia="zh-CN"/>
        </w:rPr>
        <w:t>“中国政府采购网”“江苏政府采购网”“盐城市政府采购网”</w:t>
      </w:r>
      <w:r>
        <w:rPr>
          <w:rFonts w:hint="eastAsia" w:ascii="宋体" w:hAnsi="宋体" w:eastAsia="宋体" w:cs="宋体"/>
          <w:color w:val="auto"/>
          <w:sz w:val="24"/>
          <w:szCs w:val="24"/>
          <w:highlight w:val="none"/>
        </w:rPr>
        <w:t>发布的招标文件不一致，请以</w:t>
      </w:r>
      <w:r>
        <w:rPr>
          <w:rFonts w:hint="eastAsia" w:ascii="宋体" w:hAnsi="宋体" w:eastAsia="宋体" w:cs="宋体"/>
          <w:color w:val="auto"/>
          <w:sz w:val="24"/>
          <w:szCs w:val="24"/>
          <w:highlight w:val="none"/>
          <w:lang w:val="en-US" w:eastAsia="zh-CN"/>
        </w:rPr>
        <w:t>“中国政府采购网”“江苏政府采购网”“盐城市政府采购网”</w:t>
      </w:r>
      <w:r>
        <w:rPr>
          <w:rFonts w:hint="eastAsia" w:ascii="宋体" w:hAnsi="宋体" w:eastAsia="宋体" w:cs="宋体"/>
          <w:color w:val="auto"/>
          <w:sz w:val="24"/>
          <w:szCs w:val="24"/>
          <w:highlight w:val="none"/>
        </w:rPr>
        <w:t>发布的招标文件为准。</w:t>
      </w:r>
    </w:p>
    <w:p w14:paraId="00F25314">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bCs/>
          <w:color w:val="auto"/>
          <w:sz w:val="24"/>
          <w:szCs w:val="24"/>
          <w:highlight w:val="none"/>
        </w:rPr>
      </w:pPr>
      <w:bookmarkStart w:id="87" w:name="_Toc14577354"/>
      <w:bookmarkStart w:id="88" w:name="_Toc513029216"/>
      <w:bookmarkStart w:id="89" w:name="_Toc513029219"/>
      <w:bookmarkStart w:id="90" w:name="_Toc49090507"/>
      <w:bookmarkStart w:id="91" w:name="_Toc14577357"/>
      <w:bookmarkStart w:id="92" w:name="_Toc49090509"/>
      <w:bookmarkStart w:id="93" w:name="_Hlt26668975"/>
      <w:bookmarkStart w:id="94" w:name="_Hlt26954838"/>
      <w:bookmarkStart w:id="95" w:name="_Hlt26670360"/>
      <w:r>
        <w:rPr>
          <w:rFonts w:hint="eastAsia" w:ascii="宋体" w:hAnsi="宋体" w:eastAsia="宋体" w:cs="宋体"/>
          <w:b/>
          <w:bCs/>
          <w:color w:val="auto"/>
          <w:sz w:val="24"/>
          <w:szCs w:val="24"/>
          <w:highlight w:val="none"/>
        </w:rPr>
        <w:t>11、证明投标人及投标标的符合招标文件规定的文件</w:t>
      </w:r>
      <w:bookmarkEnd w:id="87"/>
      <w:bookmarkEnd w:id="88"/>
      <w:bookmarkEnd w:id="89"/>
      <w:bookmarkEnd w:id="90"/>
      <w:bookmarkEnd w:id="91"/>
      <w:bookmarkEnd w:id="92"/>
    </w:p>
    <w:p w14:paraId="2FADAAC7">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bookmarkStart w:id="96" w:name="_Toc14577355"/>
      <w:bookmarkStart w:id="97" w:name="_Toc49090508"/>
      <w:r>
        <w:rPr>
          <w:rFonts w:hint="eastAsia" w:ascii="宋体" w:hAnsi="宋体" w:eastAsia="宋体" w:cs="宋体"/>
          <w:color w:val="auto"/>
          <w:sz w:val="24"/>
          <w:szCs w:val="24"/>
          <w:highlight w:val="none"/>
        </w:rPr>
        <w:t>11.1投标人应按照法律、法规、规章和规范性文件以及招标文件要求提交证明文件，证明其及投标标的符合招标文件规定。</w:t>
      </w:r>
      <w:bookmarkEnd w:id="96"/>
      <w:bookmarkEnd w:id="97"/>
    </w:p>
    <w:p w14:paraId="73321FEE">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746810A9">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12、投标分项报价</w:t>
      </w:r>
      <w:bookmarkStart w:id="98" w:name="_Hlt26670373"/>
      <w:r>
        <w:rPr>
          <w:rFonts w:hint="eastAsia" w:ascii="宋体" w:hAnsi="宋体" w:eastAsia="宋体" w:cs="宋体"/>
          <w:b/>
          <w:bCs/>
          <w:color w:val="auto"/>
          <w:sz w:val="24"/>
          <w:szCs w:val="24"/>
          <w:highlight w:val="none"/>
        </w:rPr>
        <w:t>表</w:t>
      </w:r>
    </w:p>
    <w:p w14:paraId="0751D2E5">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12.1投</w:t>
      </w:r>
      <w:bookmarkStart w:id="99" w:name="_Hlt26954840"/>
      <w:r>
        <w:rPr>
          <w:rFonts w:hint="eastAsia" w:ascii="宋体" w:hAnsi="宋体" w:eastAsia="宋体" w:cs="宋体"/>
          <w:color w:val="auto"/>
          <w:sz w:val="24"/>
          <w:szCs w:val="24"/>
          <w:highlight w:val="none"/>
        </w:rPr>
        <w:t>标人应按照招标文件规定格式填报投标分项报价表</w:t>
      </w:r>
      <w:bookmarkStart w:id="100" w:name="_Hlt26670399"/>
      <w:r>
        <w:rPr>
          <w:rFonts w:hint="eastAsia" w:ascii="宋体" w:hAnsi="宋体" w:eastAsia="宋体" w:cs="宋体"/>
          <w:color w:val="auto"/>
          <w:sz w:val="24"/>
          <w:szCs w:val="24"/>
          <w:highlight w:val="none"/>
        </w:rPr>
        <w:t>。</w:t>
      </w:r>
    </w:p>
    <w:p w14:paraId="10A73D35">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12.2投标货币。投标文件中的单价和总价无特殊规定的采用人民币报价，以元为单位标注。招标文件中另有规定的按规定执行。</w:t>
      </w:r>
    </w:p>
    <w:p w14:paraId="3DBA2669">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zh-CN" w:eastAsia="zh-CN"/>
        </w:rPr>
      </w:pPr>
      <w:bookmarkStart w:id="101" w:name="_Hlt26668983"/>
      <w:bookmarkStart w:id="102" w:name="_Hlt26954844"/>
      <w:bookmarkStart w:id="103" w:name="_Hlt26954848"/>
      <w:bookmarkStart w:id="104" w:name="_Hlt26670486"/>
      <w:bookmarkStart w:id="105" w:name="_Hlt26670425"/>
      <w:bookmarkStart w:id="106" w:name="_Hlt26670403"/>
      <w:bookmarkStart w:id="107" w:name="_Hlt26954731"/>
      <w:bookmarkStart w:id="108" w:name="_Hlt26954846"/>
      <w:bookmarkStart w:id="109" w:name="_Hlt26954842"/>
      <w:bookmarkStart w:id="110" w:name="_Hlt26670482"/>
      <w:r>
        <w:rPr>
          <w:rFonts w:hint="eastAsia" w:ascii="宋体" w:hAnsi="宋体" w:eastAsia="宋体" w:cs="宋体"/>
          <w:color w:val="auto"/>
          <w:sz w:val="24"/>
          <w:szCs w:val="24"/>
          <w:highlight w:val="none"/>
          <w:lang w:val="zh-CN" w:eastAsia="zh-CN"/>
        </w:rPr>
        <w:t>12.3投标分项报价表，不仅应包括所有人员的工资、法定节假日加班费、社保、公积金、福利费、区域清洁费、办公费、法定税费及公众责任保险费，还应包括：培训、工具、宣传服务、税金、咨询服务费、风险、政策性文件规定等各项应有费用，以及为完成招标文件规定的物业服务工作所涉及的一切相关费用。</w:t>
      </w:r>
    </w:p>
    <w:p w14:paraId="2EFF854E">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本项目人员的服装由中标人购置并承担费用（服装需符合国家标准，且各工种的服装需要区分）。</w:t>
      </w:r>
    </w:p>
    <w:p w14:paraId="30F11D8A">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本项目</w:t>
      </w:r>
      <w:r>
        <w:rPr>
          <w:rFonts w:hint="eastAsia" w:ascii="宋体" w:hAnsi="宋体" w:eastAsia="宋体" w:cs="宋体"/>
          <w:color w:val="auto"/>
          <w:sz w:val="24"/>
          <w:szCs w:val="24"/>
          <w:highlight w:val="none"/>
          <w:lang w:val="en-US" w:eastAsia="zh-CN"/>
        </w:rPr>
        <w:t>用于日常卫生保洁的设备、工具及耗材（</w:t>
      </w:r>
      <w:r>
        <w:rPr>
          <w:rFonts w:hint="eastAsia" w:ascii="宋体" w:hAnsi="宋体" w:eastAsia="宋体" w:cs="宋体"/>
          <w:color w:val="auto"/>
          <w:sz w:val="24"/>
          <w:szCs w:val="24"/>
          <w:highlight w:val="none"/>
          <w:lang w:val="zh-CN" w:eastAsia="zh-CN"/>
        </w:rPr>
        <w:t>包括</w:t>
      </w:r>
      <w:r>
        <w:rPr>
          <w:rFonts w:hint="eastAsia" w:ascii="宋体" w:hAnsi="宋体" w:eastAsia="宋体" w:cs="宋体"/>
          <w:color w:val="auto"/>
          <w:sz w:val="24"/>
          <w:szCs w:val="24"/>
          <w:highlight w:val="none"/>
          <w:lang w:val="zh-CN"/>
        </w:rPr>
        <w:t>洗地机、清洁剂、消毒剂、消杀药品、除臭剂、清香剂、洗衣粉/液、玻璃清洁水、不锈钢抛光剂、拖把、扫把、簸箕、手套、垃圾袋</w:t>
      </w:r>
      <w:r>
        <w:rPr>
          <w:rFonts w:hint="eastAsia" w:ascii="宋体" w:hAnsi="宋体" w:eastAsia="宋体" w:cs="宋体"/>
          <w:color w:val="auto"/>
          <w:sz w:val="24"/>
          <w:szCs w:val="24"/>
          <w:highlight w:val="none"/>
          <w:lang w:val="zh-CN" w:eastAsia="zh-CN"/>
        </w:rPr>
        <w:t>等</w:t>
      </w:r>
      <w:r>
        <w:rPr>
          <w:rFonts w:hint="eastAsia" w:ascii="宋体" w:hAnsi="宋体" w:eastAsia="宋体" w:cs="宋体"/>
          <w:color w:val="auto"/>
          <w:sz w:val="24"/>
          <w:szCs w:val="24"/>
          <w:highlight w:val="none"/>
          <w:lang w:val="en-US" w:eastAsia="zh-CN"/>
        </w:rPr>
        <w:t>）均由中标人购置并承担费用</w:t>
      </w:r>
      <w:r>
        <w:rPr>
          <w:rFonts w:hint="eastAsia" w:ascii="宋体" w:hAnsi="宋体" w:eastAsia="宋体" w:cs="宋体"/>
          <w:color w:val="auto"/>
          <w:sz w:val="24"/>
          <w:szCs w:val="24"/>
          <w:highlight w:val="none"/>
          <w:lang w:val="zh-CN"/>
        </w:rPr>
        <w:t>。</w:t>
      </w:r>
    </w:p>
    <w:p w14:paraId="4140AEA2">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（3）本项目绿化维护所需的工具及耗材（药水、肥料等）均由中</w:t>
      </w:r>
      <w:r>
        <w:rPr>
          <w:rFonts w:hint="eastAsia" w:ascii="宋体" w:hAnsi="宋体" w:eastAsia="宋体" w:cs="宋体"/>
          <w:color w:val="auto"/>
          <w:sz w:val="24"/>
          <w:szCs w:val="24"/>
          <w:highlight w:val="none"/>
          <w:lang w:val="zh-CN"/>
        </w:rPr>
        <w:t>标人购置并承担费用</w:t>
      </w:r>
      <w:r>
        <w:rPr>
          <w:rFonts w:hint="eastAsia" w:ascii="宋体" w:hAnsi="宋体" w:eastAsia="宋体" w:cs="宋体"/>
          <w:color w:val="auto"/>
          <w:sz w:val="24"/>
          <w:szCs w:val="24"/>
          <w:highlight w:val="none"/>
          <w:lang w:val="en-US" w:eastAsia="zh-CN"/>
        </w:rPr>
        <w:t>。</w:t>
      </w:r>
    </w:p>
    <w:p w14:paraId="0B81ACCD">
      <w:pPr>
        <w:spacing w:line="360" w:lineRule="auto"/>
        <w:ind w:firstLine="468" w:firstLineChars="195"/>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12.4</w:t>
      </w:r>
      <w:r>
        <w:rPr>
          <w:rFonts w:hint="eastAsia" w:ascii="宋体" w:hAnsi="宋体" w:eastAsia="宋体" w:cs="宋体"/>
          <w:color w:val="auto"/>
          <w:kern w:val="0"/>
          <w:sz w:val="24"/>
          <w:szCs w:val="24"/>
          <w:highlight w:val="none"/>
          <w:lang w:val="en-US" w:eastAsia="zh-CN"/>
        </w:rPr>
        <w:t>人员工资：</w:t>
      </w:r>
    </w:p>
    <w:p w14:paraId="09CE2B9C">
      <w:pPr>
        <w:spacing w:line="360" w:lineRule="auto"/>
        <w:ind w:firstLine="470" w:firstLineChars="195"/>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①所有人员工资不低于本市最低工资标准</w:t>
      </w:r>
      <w:r>
        <w:rPr>
          <w:rFonts w:hint="eastAsia" w:ascii="宋体" w:hAnsi="宋体" w:eastAsia="宋体" w:cs="宋体"/>
          <w:b/>
          <w:bCs/>
          <w:color w:val="auto"/>
          <w:sz w:val="24"/>
          <w:szCs w:val="24"/>
          <w:highlight w:val="none"/>
          <w:lang w:val="en-US" w:eastAsia="zh-CN"/>
        </w:rPr>
        <w:t>2430.00</w:t>
      </w:r>
      <w:r>
        <w:rPr>
          <w:rFonts w:hint="eastAsia" w:ascii="宋体" w:hAnsi="宋体" w:eastAsia="宋体" w:cs="宋体"/>
          <w:b/>
          <w:bCs/>
          <w:color w:val="auto"/>
          <w:sz w:val="24"/>
          <w:szCs w:val="24"/>
          <w:highlight w:val="none"/>
          <w:lang w:val="zh-CN" w:eastAsia="zh-CN"/>
        </w:rPr>
        <w:t>元/人</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zh-CN" w:eastAsia="zh-CN"/>
        </w:rPr>
        <w:t>每月，福利费1000元/</w:t>
      </w:r>
      <w:r>
        <w:rPr>
          <w:rFonts w:hint="eastAsia" w:ascii="宋体" w:hAnsi="宋体" w:eastAsia="宋体" w:cs="宋体"/>
          <w:b/>
          <w:bCs/>
          <w:color w:val="auto"/>
          <w:sz w:val="24"/>
          <w:szCs w:val="24"/>
          <w:highlight w:val="none"/>
          <w:lang w:val="en-US" w:eastAsia="zh-CN"/>
        </w:rPr>
        <w:t>人/</w:t>
      </w:r>
      <w:r>
        <w:rPr>
          <w:rFonts w:hint="eastAsia" w:ascii="宋体" w:hAnsi="宋体" w:eastAsia="宋体" w:cs="宋体"/>
          <w:b/>
          <w:bCs/>
          <w:color w:val="auto"/>
          <w:sz w:val="24"/>
          <w:szCs w:val="24"/>
          <w:highlight w:val="none"/>
          <w:lang w:val="zh-CN" w:eastAsia="zh-CN"/>
        </w:rPr>
        <w:t>每年，所有人员（夜间值班巡逻人员</w:t>
      </w:r>
      <w:r>
        <w:rPr>
          <w:rFonts w:hint="eastAsia" w:ascii="宋体" w:hAnsi="宋体" w:eastAsia="宋体" w:cs="宋体"/>
          <w:b/>
          <w:bCs/>
          <w:color w:val="auto"/>
          <w:sz w:val="24"/>
          <w:szCs w:val="24"/>
          <w:highlight w:val="none"/>
          <w:lang w:val="en-US" w:eastAsia="zh-CN"/>
        </w:rPr>
        <w:t>和水电工人员</w:t>
      </w:r>
      <w:r>
        <w:rPr>
          <w:rFonts w:hint="eastAsia" w:ascii="宋体" w:hAnsi="宋体" w:eastAsia="宋体" w:cs="宋体"/>
          <w:b/>
          <w:bCs/>
          <w:color w:val="auto"/>
          <w:sz w:val="24"/>
          <w:szCs w:val="24"/>
          <w:highlight w:val="none"/>
          <w:lang w:val="zh-CN" w:eastAsia="zh-CN"/>
        </w:rPr>
        <w:t>除外）必须足额缴纳社保费用，社保（企业部分）不得低于</w:t>
      </w:r>
      <w:r>
        <w:rPr>
          <w:rFonts w:hint="eastAsia" w:ascii="宋体" w:hAnsi="宋体" w:eastAsia="宋体" w:cs="宋体"/>
          <w:b/>
          <w:bCs/>
          <w:color w:val="auto"/>
          <w:sz w:val="24"/>
          <w:szCs w:val="24"/>
          <w:highlight w:val="none"/>
          <w:lang w:val="en-US" w:eastAsia="zh-CN"/>
        </w:rPr>
        <w:t>1292.47</w:t>
      </w:r>
      <w:r>
        <w:rPr>
          <w:rFonts w:hint="eastAsia" w:ascii="宋体" w:hAnsi="宋体" w:eastAsia="宋体" w:cs="宋体"/>
          <w:b/>
          <w:bCs/>
          <w:color w:val="auto"/>
          <w:sz w:val="24"/>
          <w:szCs w:val="24"/>
          <w:highlight w:val="none"/>
          <w:lang w:val="zh-CN" w:eastAsia="zh-CN"/>
        </w:rPr>
        <w:t>元/人/每月，住房公积金不得低于</w:t>
      </w:r>
      <w:r>
        <w:rPr>
          <w:rFonts w:hint="eastAsia" w:ascii="宋体" w:hAnsi="宋体" w:eastAsia="宋体" w:cs="宋体"/>
          <w:b/>
          <w:bCs/>
          <w:color w:val="auto"/>
          <w:sz w:val="24"/>
          <w:szCs w:val="24"/>
          <w:highlight w:val="none"/>
          <w:lang w:val="en-US" w:eastAsia="zh-CN"/>
        </w:rPr>
        <w:t>114</w:t>
      </w:r>
      <w:r>
        <w:rPr>
          <w:rFonts w:hint="eastAsia" w:ascii="宋体" w:hAnsi="宋体" w:eastAsia="宋体" w:cs="宋体"/>
          <w:b/>
          <w:bCs/>
          <w:color w:val="auto"/>
          <w:sz w:val="24"/>
          <w:szCs w:val="24"/>
          <w:highlight w:val="none"/>
          <w:lang w:val="zh-CN" w:eastAsia="zh-CN"/>
        </w:rPr>
        <w:t>元</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zh-CN" w:eastAsia="zh-CN"/>
        </w:rPr>
        <w:t>人/每月，法定节假日加班费不得低于</w:t>
      </w:r>
      <w:r>
        <w:rPr>
          <w:rFonts w:hint="eastAsia" w:ascii="宋体" w:hAnsi="宋体" w:eastAsia="宋体" w:cs="宋体"/>
          <w:b/>
          <w:bCs/>
          <w:color w:val="auto"/>
          <w:sz w:val="24"/>
          <w:szCs w:val="24"/>
          <w:highlight w:val="none"/>
          <w:lang w:val="en-US" w:eastAsia="zh-CN"/>
        </w:rPr>
        <w:t>4357.25</w:t>
      </w:r>
      <w:r>
        <w:rPr>
          <w:rFonts w:hint="eastAsia" w:ascii="宋体" w:hAnsi="宋体" w:eastAsia="宋体" w:cs="宋体"/>
          <w:b/>
          <w:bCs/>
          <w:color w:val="auto"/>
          <w:sz w:val="24"/>
          <w:szCs w:val="24"/>
          <w:highlight w:val="none"/>
          <w:lang w:val="zh-CN" w:eastAsia="zh-CN"/>
        </w:rPr>
        <w:t>元</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zh-CN" w:eastAsia="zh-CN"/>
        </w:rPr>
        <w:t>人/每年，税金费率不得低于</w:t>
      </w:r>
      <w:r>
        <w:rPr>
          <w:rFonts w:hint="eastAsia" w:ascii="宋体" w:hAnsi="宋体" w:eastAsia="宋体" w:cs="宋体"/>
          <w:b/>
          <w:bCs/>
          <w:color w:val="auto"/>
          <w:sz w:val="24"/>
          <w:szCs w:val="24"/>
          <w:highlight w:val="none"/>
          <w:lang w:val="en-US" w:eastAsia="zh-CN"/>
        </w:rPr>
        <w:t>6.72</w:t>
      </w:r>
      <w:r>
        <w:rPr>
          <w:rFonts w:hint="eastAsia" w:ascii="宋体" w:hAnsi="宋体" w:eastAsia="宋体" w:cs="宋体"/>
          <w:b/>
          <w:bCs/>
          <w:color w:val="auto"/>
          <w:sz w:val="24"/>
          <w:szCs w:val="24"/>
          <w:highlight w:val="none"/>
          <w:lang w:val="zh-CN" w:eastAsia="zh-CN"/>
        </w:rPr>
        <w:t>%进行</w:t>
      </w:r>
      <w:r>
        <w:rPr>
          <w:rFonts w:hint="eastAsia" w:ascii="宋体" w:hAnsi="宋体" w:eastAsia="宋体" w:cs="宋体"/>
          <w:b/>
          <w:bCs/>
          <w:color w:val="auto"/>
          <w:sz w:val="24"/>
          <w:szCs w:val="24"/>
          <w:highlight w:val="none"/>
          <w:lang w:val="en-US" w:eastAsia="zh-CN"/>
        </w:rPr>
        <w:t>计算</w:t>
      </w:r>
      <w:r>
        <w:rPr>
          <w:rFonts w:hint="eastAsia" w:ascii="宋体" w:hAnsi="宋体" w:eastAsia="宋体" w:cs="宋体"/>
          <w:b/>
          <w:bCs/>
          <w:color w:val="auto"/>
          <w:sz w:val="24"/>
          <w:szCs w:val="24"/>
          <w:highlight w:val="none"/>
          <w:lang w:val="zh-CN" w:eastAsia="zh-CN"/>
        </w:rPr>
        <w:t>。</w:t>
      </w:r>
    </w:p>
    <w:p w14:paraId="47956E4F">
      <w:pPr>
        <w:spacing w:line="360" w:lineRule="auto"/>
        <w:ind w:firstLine="470" w:firstLineChars="195"/>
        <w:rPr>
          <w:rFonts w:hint="default" w:ascii="宋体" w:hAnsi="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eastAsia="zh-CN"/>
        </w:rPr>
        <w:t>②</w:t>
      </w:r>
      <w:r>
        <w:rPr>
          <w:rFonts w:hint="eastAsia" w:ascii="宋体" w:hAnsi="宋体" w:cs="宋体"/>
          <w:b/>
          <w:bCs/>
          <w:color w:val="auto"/>
          <w:sz w:val="24"/>
          <w:highlight w:val="none"/>
          <w:lang w:val="en-US" w:eastAsia="zh-CN"/>
        </w:rPr>
        <w:t>水电工</w:t>
      </w:r>
      <w:r>
        <w:rPr>
          <w:rFonts w:hint="eastAsia" w:ascii="宋体" w:hAnsi="宋体" w:eastAsia="宋体" w:cs="宋体"/>
          <w:b/>
          <w:bCs/>
          <w:color w:val="auto"/>
          <w:sz w:val="24"/>
          <w:highlight w:val="none"/>
          <w:lang w:val="en-US" w:eastAsia="zh-CN"/>
        </w:rPr>
        <w:t>与其他项目共用，无需全天在岗，有事情1小时内到岗，紧急事情半小时内到岗</w:t>
      </w:r>
      <w:r>
        <w:rPr>
          <w:rFonts w:hint="eastAsia" w:ascii="宋体" w:hAnsi="宋体" w:cs="宋体"/>
          <w:b/>
          <w:bCs/>
          <w:color w:val="auto"/>
          <w:sz w:val="24"/>
          <w:highlight w:val="none"/>
          <w:lang w:val="en-US" w:eastAsia="zh-CN"/>
        </w:rPr>
        <w:t>，</w:t>
      </w:r>
      <w:r>
        <w:rPr>
          <w:rFonts w:hint="eastAsia" w:ascii="宋体" w:hAnsi="宋体" w:cs="宋体"/>
          <w:b/>
          <w:bCs/>
          <w:color w:val="auto"/>
          <w:sz w:val="24"/>
          <w:szCs w:val="20"/>
          <w:highlight w:val="none"/>
          <w:lang w:val="zh-CN" w:eastAsia="zh-CN"/>
        </w:rPr>
        <w:t>补贴</w:t>
      </w:r>
      <w:r>
        <w:rPr>
          <w:rFonts w:hint="eastAsia" w:ascii="宋体" w:hAnsi="宋体" w:cs="宋体"/>
          <w:b/>
          <w:bCs/>
          <w:color w:val="auto"/>
          <w:sz w:val="24"/>
          <w:szCs w:val="20"/>
          <w:highlight w:val="none"/>
          <w:lang w:val="en-US" w:eastAsia="zh-CN"/>
        </w:rPr>
        <w:t>1500</w:t>
      </w:r>
      <w:r>
        <w:rPr>
          <w:rFonts w:hint="eastAsia" w:ascii="宋体" w:hAnsi="宋体" w:cs="宋体"/>
          <w:b/>
          <w:bCs/>
          <w:color w:val="auto"/>
          <w:sz w:val="24"/>
          <w:szCs w:val="20"/>
          <w:highlight w:val="none"/>
          <w:lang w:val="zh-CN" w:eastAsia="zh-CN"/>
        </w:rPr>
        <w:t>元/</w:t>
      </w:r>
      <w:r>
        <w:rPr>
          <w:rFonts w:hint="eastAsia" w:ascii="宋体" w:hAnsi="宋体" w:cs="宋体"/>
          <w:b/>
          <w:bCs/>
          <w:color w:val="auto"/>
          <w:sz w:val="24"/>
          <w:szCs w:val="20"/>
          <w:highlight w:val="none"/>
          <w:lang w:val="en-US" w:eastAsia="zh-CN"/>
        </w:rPr>
        <w:t>人/</w:t>
      </w:r>
      <w:r>
        <w:rPr>
          <w:rFonts w:hint="eastAsia" w:ascii="宋体" w:hAnsi="宋体" w:eastAsia="宋体" w:cs="宋体"/>
          <w:b/>
          <w:bCs/>
          <w:color w:val="auto"/>
          <w:sz w:val="24"/>
          <w:szCs w:val="24"/>
          <w:highlight w:val="none"/>
          <w:lang w:val="zh-CN" w:eastAsia="zh-CN"/>
        </w:rPr>
        <w:t>每</w:t>
      </w:r>
      <w:r>
        <w:rPr>
          <w:rFonts w:hint="eastAsia" w:ascii="宋体" w:hAnsi="宋体" w:cs="宋体"/>
          <w:b/>
          <w:bCs/>
          <w:color w:val="auto"/>
          <w:sz w:val="24"/>
          <w:szCs w:val="20"/>
          <w:highlight w:val="none"/>
          <w:lang w:val="zh-CN" w:eastAsia="zh-CN"/>
        </w:rPr>
        <w:t>月，不交社保、公积金，不发放福利，人员由中标服务单位提供、补贴由本项目中标服务单位发放，由服务采购单位管理。</w:t>
      </w:r>
      <w:r>
        <w:rPr>
          <w:rFonts w:hint="eastAsia" w:ascii="宋体" w:hAnsi="宋体" w:eastAsia="宋体" w:cs="宋体"/>
          <w:b/>
          <w:bCs/>
          <w:color w:val="auto"/>
          <w:sz w:val="24"/>
          <w:szCs w:val="24"/>
          <w:highlight w:val="none"/>
          <w:lang w:val="zh-CN" w:eastAsia="zh-CN"/>
        </w:rPr>
        <w:t>夜间值班巡逻人员由保安兼任，补贴</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zh-CN" w:eastAsia="zh-CN"/>
        </w:rPr>
        <w:t>500元/</w:t>
      </w:r>
      <w:r>
        <w:rPr>
          <w:rFonts w:hint="eastAsia" w:ascii="宋体" w:hAnsi="宋体" w:eastAsia="宋体" w:cs="宋体"/>
          <w:b/>
          <w:bCs/>
          <w:color w:val="auto"/>
          <w:sz w:val="24"/>
          <w:szCs w:val="24"/>
          <w:highlight w:val="none"/>
          <w:lang w:val="en-US" w:eastAsia="zh-CN"/>
        </w:rPr>
        <w:t>人/</w:t>
      </w:r>
      <w:r>
        <w:rPr>
          <w:rFonts w:hint="eastAsia" w:ascii="宋体" w:hAnsi="宋体" w:eastAsia="宋体" w:cs="宋体"/>
          <w:b/>
          <w:bCs/>
          <w:color w:val="auto"/>
          <w:sz w:val="24"/>
          <w:szCs w:val="24"/>
          <w:highlight w:val="none"/>
          <w:lang w:val="zh-CN" w:eastAsia="zh-CN"/>
        </w:rPr>
        <w:t>每月，福利</w:t>
      </w:r>
      <w:r>
        <w:rPr>
          <w:rFonts w:hint="eastAsia" w:ascii="宋体" w:hAnsi="宋体" w:eastAsia="宋体" w:cs="宋体"/>
          <w:b/>
          <w:bCs/>
          <w:color w:val="auto"/>
          <w:sz w:val="24"/>
          <w:szCs w:val="24"/>
          <w:highlight w:val="none"/>
          <w:lang w:val="en-US" w:eastAsia="zh-CN"/>
        </w:rPr>
        <w:t>费</w:t>
      </w:r>
      <w:r>
        <w:rPr>
          <w:rFonts w:hint="eastAsia" w:ascii="宋体" w:hAnsi="宋体" w:eastAsia="宋体" w:cs="宋体"/>
          <w:b/>
          <w:bCs/>
          <w:color w:val="auto"/>
          <w:sz w:val="24"/>
          <w:szCs w:val="24"/>
          <w:highlight w:val="none"/>
          <w:lang w:val="zh-CN" w:eastAsia="zh-CN"/>
        </w:rPr>
        <w:t>和服装费2000元/</w:t>
      </w:r>
      <w:r>
        <w:rPr>
          <w:rFonts w:hint="eastAsia" w:ascii="宋体" w:hAnsi="宋体" w:eastAsia="宋体" w:cs="宋体"/>
          <w:b/>
          <w:bCs/>
          <w:color w:val="auto"/>
          <w:sz w:val="24"/>
          <w:szCs w:val="24"/>
          <w:highlight w:val="none"/>
          <w:lang w:val="en-US" w:eastAsia="zh-CN"/>
        </w:rPr>
        <w:t>人/</w:t>
      </w:r>
      <w:r>
        <w:rPr>
          <w:rFonts w:hint="eastAsia" w:ascii="宋体" w:hAnsi="宋体" w:eastAsia="宋体" w:cs="宋体"/>
          <w:b/>
          <w:bCs/>
          <w:color w:val="auto"/>
          <w:sz w:val="24"/>
          <w:szCs w:val="24"/>
          <w:highlight w:val="none"/>
          <w:lang w:val="zh-CN" w:eastAsia="zh-CN"/>
        </w:rPr>
        <w:t>每年，不交社保、公积金，人员由学校安保服务单位派遣，补贴由本项目中标服务单位发放，由服务采购单位管理。补贴</w:t>
      </w:r>
      <w:r>
        <w:rPr>
          <w:rFonts w:hint="eastAsia" w:ascii="宋体" w:hAnsi="宋体" w:eastAsia="宋体" w:cs="宋体"/>
          <w:b/>
          <w:bCs/>
          <w:color w:val="auto"/>
          <w:sz w:val="24"/>
          <w:szCs w:val="24"/>
          <w:highlight w:val="none"/>
          <w:lang w:val="en-US" w:eastAsia="zh-CN"/>
        </w:rPr>
        <w:t>费用</w:t>
      </w:r>
      <w:r>
        <w:rPr>
          <w:rFonts w:hint="eastAsia" w:ascii="宋体" w:hAnsi="宋体" w:eastAsia="宋体" w:cs="宋体"/>
          <w:b/>
          <w:bCs/>
          <w:color w:val="auto"/>
          <w:sz w:val="24"/>
          <w:szCs w:val="24"/>
          <w:highlight w:val="none"/>
          <w:lang w:val="zh-CN" w:eastAsia="zh-CN"/>
        </w:rPr>
        <w:t>一并计税，税费由物业中标单位承担</w:t>
      </w:r>
      <w:r>
        <w:rPr>
          <w:rFonts w:hint="eastAsia" w:ascii="宋体" w:hAnsi="宋体" w:eastAsia="宋体" w:cs="宋体"/>
          <w:b/>
          <w:bCs/>
          <w:color w:val="auto"/>
          <w:sz w:val="24"/>
          <w:szCs w:val="24"/>
          <w:highlight w:val="none"/>
          <w:lang w:val="en-US" w:eastAsia="zh-CN"/>
        </w:rPr>
        <w:t>。</w:t>
      </w:r>
    </w:p>
    <w:p w14:paraId="01DEE942">
      <w:pPr>
        <w:spacing w:line="360" w:lineRule="auto"/>
        <w:ind w:firstLine="470" w:firstLineChars="19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投标人</w:t>
      </w:r>
      <w:r>
        <w:rPr>
          <w:rFonts w:hint="eastAsia" w:ascii="宋体" w:hAnsi="宋体" w:eastAsia="宋体" w:cs="宋体"/>
          <w:b/>
          <w:bCs/>
          <w:color w:val="auto"/>
          <w:sz w:val="24"/>
          <w:szCs w:val="24"/>
          <w:highlight w:val="none"/>
          <w:lang w:val="zh-CN"/>
        </w:rPr>
        <w:t>所提供人员的费用不得低于上述标准进行测算，</w:t>
      </w:r>
      <w:r>
        <w:rPr>
          <w:rFonts w:hint="eastAsia" w:ascii="宋体" w:hAnsi="宋体" w:eastAsia="宋体" w:cs="宋体"/>
          <w:b/>
          <w:color w:val="auto"/>
          <w:sz w:val="24"/>
          <w:szCs w:val="24"/>
          <w:highlight w:val="none"/>
        </w:rPr>
        <w:t>否则</w:t>
      </w:r>
      <w:r>
        <w:rPr>
          <w:rFonts w:hint="eastAsia" w:ascii="宋体" w:hAnsi="宋体" w:eastAsia="宋体" w:cs="宋体"/>
          <w:b/>
          <w:bCs/>
          <w:color w:val="auto"/>
          <w:sz w:val="24"/>
          <w:szCs w:val="24"/>
          <w:highlight w:val="none"/>
          <w:lang w:val="zh-CN"/>
        </w:rPr>
        <w:t>视为未实质性响应招标文件要求</w:t>
      </w:r>
      <w:r>
        <w:rPr>
          <w:rFonts w:hint="eastAsia" w:ascii="宋体" w:hAnsi="宋体" w:eastAsia="宋体" w:cs="宋体"/>
          <w:b/>
          <w:color w:val="auto"/>
          <w:sz w:val="24"/>
          <w:szCs w:val="24"/>
          <w:highlight w:val="none"/>
        </w:rPr>
        <w:t>。如果招标公告发布之后</w:t>
      </w:r>
      <w:r>
        <w:rPr>
          <w:rFonts w:hint="eastAsia" w:ascii="宋体" w:hAnsi="宋体" w:eastAsia="宋体" w:cs="宋体"/>
          <w:b/>
          <w:color w:val="auto"/>
          <w:sz w:val="24"/>
          <w:szCs w:val="24"/>
          <w:highlight w:val="none"/>
          <w:lang w:val="en-US" w:eastAsia="zh-CN"/>
        </w:rPr>
        <w:t>开标前</w:t>
      </w:r>
      <w:r>
        <w:rPr>
          <w:rFonts w:hint="eastAsia" w:ascii="宋体" w:hAnsi="宋体" w:eastAsia="宋体" w:cs="宋体"/>
          <w:b/>
          <w:color w:val="auto"/>
          <w:sz w:val="24"/>
          <w:szCs w:val="24"/>
          <w:highlight w:val="none"/>
        </w:rPr>
        <w:t>遇政府调整职工最低工资标准或社会保险缴纳基数，</w:t>
      </w:r>
      <w:r>
        <w:rPr>
          <w:rFonts w:hint="eastAsia" w:ascii="宋体" w:hAnsi="宋体" w:eastAsia="宋体" w:cs="宋体"/>
          <w:b/>
          <w:color w:val="auto"/>
          <w:sz w:val="24"/>
          <w:szCs w:val="24"/>
          <w:highlight w:val="none"/>
          <w:lang w:val="en-US" w:eastAsia="zh-CN"/>
        </w:rPr>
        <w:t>评标委员会进行符合性审查时</w:t>
      </w:r>
      <w:r>
        <w:rPr>
          <w:rFonts w:hint="eastAsia" w:ascii="宋体" w:hAnsi="宋体" w:eastAsia="宋体" w:cs="宋体"/>
          <w:b/>
          <w:color w:val="auto"/>
          <w:sz w:val="24"/>
          <w:szCs w:val="24"/>
          <w:highlight w:val="none"/>
        </w:rPr>
        <w:t>可仍按上述标准</w:t>
      </w:r>
      <w:r>
        <w:rPr>
          <w:rFonts w:hint="eastAsia" w:ascii="宋体" w:hAnsi="宋体" w:eastAsia="宋体" w:cs="宋体"/>
          <w:b/>
          <w:color w:val="auto"/>
          <w:sz w:val="24"/>
          <w:szCs w:val="24"/>
          <w:highlight w:val="none"/>
          <w:lang w:val="en-US" w:eastAsia="zh-CN"/>
        </w:rPr>
        <w:t>审查</w:t>
      </w:r>
      <w:r>
        <w:rPr>
          <w:rFonts w:hint="eastAsia" w:ascii="宋体" w:hAnsi="宋体" w:eastAsia="宋体" w:cs="宋体"/>
          <w:b/>
          <w:color w:val="auto"/>
          <w:sz w:val="24"/>
          <w:szCs w:val="24"/>
          <w:highlight w:val="none"/>
        </w:rPr>
        <w:t>，中标后，</w:t>
      </w:r>
      <w:r>
        <w:rPr>
          <w:rFonts w:hint="eastAsia" w:ascii="宋体" w:hAnsi="宋体" w:eastAsia="宋体" w:cs="宋体"/>
          <w:b/>
          <w:color w:val="auto"/>
          <w:sz w:val="24"/>
          <w:szCs w:val="24"/>
          <w:highlight w:val="none"/>
          <w:lang w:val="en-US" w:eastAsia="zh-CN"/>
        </w:rPr>
        <w:t>中标人应按照最新政策文件规定执行</w:t>
      </w:r>
      <w:r>
        <w:rPr>
          <w:rFonts w:hint="eastAsia" w:ascii="宋体" w:hAnsi="宋体" w:eastAsia="宋体" w:cs="宋体"/>
          <w:b/>
          <w:color w:val="auto"/>
          <w:sz w:val="24"/>
          <w:szCs w:val="24"/>
          <w:highlight w:val="none"/>
        </w:rPr>
        <w:t>。</w:t>
      </w:r>
    </w:p>
    <w:p w14:paraId="58C51EC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投标人根据招标内容的要求准确报价，一经报出，不得更改。</w:t>
      </w:r>
    </w:p>
    <w:p w14:paraId="5CC3538E">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color w:val="auto"/>
          <w:sz w:val="24"/>
          <w:szCs w:val="24"/>
          <w:highlight w:val="none"/>
          <w:lang w:val="zh-CN"/>
        </w:rPr>
        <w:t>合同期满</w:t>
      </w:r>
      <w:r>
        <w:rPr>
          <w:rFonts w:hint="eastAsia" w:ascii="宋体" w:hAnsi="宋体" w:eastAsia="宋体" w:cs="宋体"/>
          <w:color w:val="auto"/>
          <w:sz w:val="24"/>
          <w:szCs w:val="24"/>
          <w:highlight w:val="none"/>
          <w:lang w:val="en-US" w:eastAsia="zh-CN"/>
        </w:rPr>
        <w:t>并完成与后续物业服务</w:t>
      </w:r>
      <w:r>
        <w:rPr>
          <w:rFonts w:hint="eastAsia" w:ascii="宋体" w:hAnsi="宋体" w:eastAsia="宋体" w:cs="宋体"/>
          <w:color w:val="auto"/>
          <w:sz w:val="24"/>
          <w:szCs w:val="24"/>
          <w:highlight w:val="none"/>
          <w:lang w:val="zh-CN"/>
        </w:rPr>
        <w:t>企业的衔接后，方可退出，经本单位验收合格，</w:t>
      </w:r>
      <w:r>
        <w:rPr>
          <w:rFonts w:hint="eastAsia" w:ascii="宋体" w:hAnsi="宋体" w:eastAsia="宋体" w:cs="宋体"/>
          <w:color w:val="auto"/>
          <w:sz w:val="24"/>
          <w:szCs w:val="24"/>
          <w:highlight w:val="none"/>
          <w:lang w:val="en-US" w:eastAsia="zh-CN"/>
        </w:rPr>
        <w:t>退出本物业管理时必须向本单位移交全套档案等资料</w:t>
      </w:r>
      <w:r>
        <w:rPr>
          <w:rFonts w:hint="eastAsia" w:ascii="宋体" w:hAnsi="宋体" w:eastAsia="宋体" w:cs="宋体"/>
          <w:color w:val="auto"/>
          <w:sz w:val="24"/>
          <w:szCs w:val="24"/>
          <w:highlight w:val="none"/>
          <w:lang w:val="zh-CN"/>
        </w:rPr>
        <w:t>，同时退还履约保证金余额。</w:t>
      </w:r>
    </w:p>
    <w:p w14:paraId="6034F3E6">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12.7对于超出招标文件的其他临时性服务项目，由甲乙双方协商解决。</w:t>
      </w:r>
    </w:p>
    <w:p w14:paraId="38760A10">
      <w:pPr>
        <w:spacing w:line="360" w:lineRule="auto"/>
        <w:ind w:firstLine="470" w:firstLineChars="19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13、技术要求响应及偏离表、商务要求响应及偏离表</w:t>
      </w:r>
    </w:p>
    <w:p w14:paraId="3E718FD4">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13.1投标人需对招标文件中的技术要求与商务要求逐项作出响应或偏离，并说明原因。</w:t>
      </w:r>
    </w:p>
    <w:p w14:paraId="13C023F4">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13.2投标人可在投标文件中提供认为需要的其他技术文件或说明。</w:t>
      </w:r>
    </w:p>
    <w:p w14:paraId="684DDEC5">
      <w:pPr>
        <w:spacing w:line="360" w:lineRule="auto"/>
        <w:ind w:firstLine="470" w:firstLineChars="195"/>
        <w:rPr>
          <w:rFonts w:hint="eastAsia" w:ascii="宋体" w:hAnsi="宋体" w:eastAsia="宋体" w:cs="宋体"/>
          <w:b/>
          <w:bCs/>
          <w:color w:val="auto"/>
          <w:sz w:val="24"/>
          <w:szCs w:val="24"/>
          <w:highlight w:val="none"/>
        </w:rPr>
      </w:pPr>
      <w:bookmarkStart w:id="111" w:name="_Toc14577359"/>
      <w:bookmarkStart w:id="112" w:name="_Toc49090510"/>
      <w:r>
        <w:rPr>
          <w:rFonts w:hint="eastAsia" w:ascii="宋体" w:hAnsi="宋体" w:eastAsia="宋体" w:cs="宋体"/>
          <w:b/>
          <w:bCs/>
          <w:color w:val="auto"/>
          <w:sz w:val="24"/>
          <w:szCs w:val="24"/>
          <w:highlight w:val="none"/>
        </w:rPr>
        <w:t>14、投标函和开标一览表</w:t>
      </w:r>
      <w:bookmarkEnd w:id="111"/>
      <w:bookmarkEnd w:id="112"/>
    </w:p>
    <w:p w14:paraId="0E52127B">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14.1投标人应按照招标文件中提供的格式完整、正确填写投标函、开标一览表。</w:t>
      </w:r>
    </w:p>
    <w:p w14:paraId="63C960F0">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14.2对于采用货币报价的项目，开标一览表中的投标总报价应与投标分项报价表中的投标总报价一致，如不一致，不作为无效投标处理，但评标时按开标一览表中价格为准。</w:t>
      </w:r>
    </w:p>
    <w:p w14:paraId="14F16E61">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14.3投标文件的大写金额和小写金额不一致的，以大写金额为准；对不同文字文本投标的解释发生异议的，以中文文本为准。</w:t>
      </w:r>
    </w:p>
    <w:p w14:paraId="01D17958">
      <w:pPr>
        <w:spacing w:line="360" w:lineRule="auto"/>
        <w:ind w:firstLine="470" w:firstLineChars="195"/>
        <w:rPr>
          <w:rFonts w:hint="eastAsia" w:ascii="宋体" w:hAnsi="宋体" w:eastAsia="宋体" w:cs="宋体"/>
          <w:b/>
          <w:bCs/>
          <w:color w:val="auto"/>
          <w:sz w:val="24"/>
          <w:szCs w:val="24"/>
          <w:highlight w:val="none"/>
        </w:rPr>
      </w:pPr>
      <w:bookmarkStart w:id="113" w:name="_Toc49090511"/>
      <w:bookmarkStart w:id="114" w:name="_Toc14577360"/>
      <w:bookmarkStart w:id="115" w:name="_Hlt26954850"/>
      <w:bookmarkStart w:id="116" w:name="_Hlt26670489"/>
      <w:bookmarkStart w:id="117" w:name="_Hlt26954734"/>
      <w:r>
        <w:rPr>
          <w:rFonts w:hint="eastAsia" w:ascii="宋体" w:hAnsi="宋体" w:eastAsia="宋体" w:cs="宋体"/>
          <w:b/>
          <w:bCs/>
          <w:color w:val="auto"/>
          <w:sz w:val="24"/>
          <w:szCs w:val="24"/>
          <w:highlight w:val="none"/>
        </w:rPr>
        <w:t>15、投标有效期</w:t>
      </w:r>
      <w:bookmarkEnd w:id="113"/>
      <w:bookmarkEnd w:id="114"/>
    </w:p>
    <w:p w14:paraId="1E6AA585">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15.1投标有效期为</w:t>
      </w:r>
      <w:r>
        <w:rPr>
          <w:rFonts w:hint="eastAsia" w:ascii="宋体" w:hAnsi="宋体" w:eastAsia="宋体" w:cs="宋体"/>
          <w:color w:val="auto"/>
          <w:sz w:val="24"/>
          <w:szCs w:val="24"/>
          <w:highlight w:val="none"/>
          <w:lang w:eastAsia="zh-CN"/>
        </w:rPr>
        <w:t>交易中心</w:t>
      </w:r>
      <w:r>
        <w:rPr>
          <w:rFonts w:hint="eastAsia" w:ascii="宋体" w:hAnsi="宋体" w:eastAsia="宋体" w:cs="宋体"/>
          <w:color w:val="auto"/>
          <w:sz w:val="24"/>
          <w:szCs w:val="24"/>
          <w:highlight w:val="none"/>
        </w:rPr>
        <w:t>规定的开标之日后</w:t>
      </w: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0）天</w:t>
      </w:r>
      <w:r>
        <w:rPr>
          <w:rFonts w:hint="eastAsia" w:ascii="宋体" w:hAnsi="宋体" w:eastAsia="宋体" w:cs="宋体"/>
          <w:color w:val="auto"/>
          <w:sz w:val="24"/>
          <w:szCs w:val="24"/>
          <w:highlight w:val="none"/>
        </w:rPr>
        <w:t>。投标有效期比规定短的将被视为未实质性响应招标文件而予以拒绝。</w:t>
      </w:r>
    </w:p>
    <w:p w14:paraId="22841A99">
      <w:pPr>
        <w:spacing w:line="360" w:lineRule="auto"/>
        <w:ind w:firstLine="470" w:firstLineChars="19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16、投标有效期的延长</w:t>
      </w:r>
    </w:p>
    <w:p w14:paraId="0B3267E7">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16.1在特殊情况下，</w:t>
      </w:r>
      <w:r>
        <w:rPr>
          <w:rFonts w:hint="eastAsia" w:ascii="宋体" w:hAnsi="宋体" w:eastAsia="宋体" w:cs="宋体"/>
          <w:color w:val="auto"/>
          <w:sz w:val="24"/>
          <w:szCs w:val="24"/>
          <w:highlight w:val="none"/>
          <w:lang w:eastAsia="zh-CN"/>
        </w:rPr>
        <w:t>交易中心</w:t>
      </w:r>
      <w:r>
        <w:rPr>
          <w:rFonts w:hint="eastAsia" w:ascii="宋体" w:hAnsi="宋体" w:eastAsia="宋体" w:cs="宋体"/>
          <w:color w:val="auto"/>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交易中心</w:t>
      </w:r>
      <w:r>
        <w:rPr>
          <w:rFonts w:hint="eastAsia" w:ascii="宋体" w:hAnsi="宋体" w:eastAsia="宋体" w:cs="宋体"/>
          <w:color w:val="auto"/>
          <w:sz w:val="24"/>
          <w:szCs w:val="24"/>
          <w:highlight w:val="none"/>
        </w:rPr>
        <w:t>的这一要求而放弃投标。同意延长投标有效期的投标人既不能要求也不允许修改其投标文件，同时受投标有效期约束的所有权利与义务均延长至新的有效期。</w:t>
      </w:r>
    </w:p>
    <w:p w14:paraId="3DA32CB7">
      <w:pPr>
        <w:pStyle w:val="9"/>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118" w:name="_Toc120614217"/>
      <w:bookmarkStart w:id="119" w:name="_Toc20823296"/>
      <w:bookmarkStart w:id="120" w:name="_Toc513029224"/>
      <w:bookmarkStart w:id="121" w:name="_Toc16938540"/>
      <w:bookmarkStart w:id="122" w:name="_Hlt26954852"/>
      <w:bookmarkStart w:id="123" w:name="_Hlt26954739"/>
      <w:r>
        <w:rPr>
          <w:rFonts w:hint="eastAsia" w:ascii="宋体" w:hAnsi="宋体" w:eastAsia="宋体" w:cs="宋体"/>
          <w:b/>
          <w:color w:val="auto"/>
          <w:sz w:val="24"/>
          <w:szCs w:val="24"/>
          <w:highlight w:val="none"/>
        </w:rPr>
        <w:t>四、投标文件的递交</w:t>
      </w:r>
      <w:bookmarkEnd w:id="118"/>
      <w:bookmarkEnd w:id="119"/>
      <w:bookmarkEnd w:id="120"/>
      <w:bookmarkEnd w:id="121"/>
    </w:p>
    <w:p w14:paraId="5C331591">
      <w:pPr>
        <w:spacing w:line="360" w:lineRule="auto"/>
        <w:ind w:firstLine="468" w:firstLineChars="195"/>
        <w:rPr>
          <w:rFonts w:hint="eastAsia" w:ascii="宋体" w:hAnsi="宋体" w:eastAsia="宋体" w:cs="宋体"/>
          <w:color w:val="auto"/>
          <w:sz w:val="24"/>
          <w:szCs w:val="24"/>
          <w:highlight w:val="none"/>
          <w:lang w:val="en-US" w:eastAsia="zh-CN"/>
        </w:rPr>
      </w:pPr>
      <w:bookmarkStart w:id="124" w:name="_Toc462564084"/>
      <w:bookmarkStart w:id="125" w:name="_Toc20823297"/>
      <w:bookmarkStart w:id="126" w:name="_Toc16938541"/>
      <w:bookmarkStart w:id="127" w:name="_Toc513029225"/>
      <w:r>
        <w:rPr>
          <w:rFonts w:hint="eastAsia" w:ascii="宋体" w:hAnsi="宋体" w:eastAsia="宋体" w:cs="宋体"/>
          <w:color w:val="auto"/>
          <w:sz w:val="24"/>
          <w:szCs w:val="24"/>
          <w:highlight w:val="none"/>
          <w:lang w:val="en-US" w:eastAsia="zh-CN"/>
        </w:rPr>
        <w:t>17、投标文件</w:t>
      </w:r>
      <w:bookmarkEnd w:id="124"/>
      <w:bookmarkEnd w:id="125"/>
      <w:bookmarkEnd w:id="126"/>
      <w:bookmarkEnd w:id="127"/>
      <w:r>
        <w:rPr>
          <w:rFonts w:hint="eastAsia" w:ascii="宋体" w:hAnsi="宋体" w:eastAsia="宋体" w:cs="宋体"/>
          <w:color w:val="auto"/>
          <w:sz w:val="24"/>
          <w:szCs w:val="24"/>
          <w:highlight w:val="none"/>
          <w:lang w:val="en-US" w:eastAsia="zh-CN"/>
        </w:rPr>
        <w:t>的递交</w:t>
      </w:r>
    </w:p>
    <w:p w14:paraId="580609F9">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 电子投标文件的递交</w:t>
      </w:r>
    </w:p>
    <w:p w14:paraId="6FF42809">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投标人应当按照《操作手册》规定，在投标截止时间前制作并上传电子投标文件。</w:t>
      </w:r>
      <w:bookmarkStart w:id="128" w:name="_Toc16938542"/>
      <w:bookmarkEnd w:id="128"/>
      <w:bookmarkStart w:id="129" w:name="_Toc20823298"/>
      <w:bookmarkEnd w:id="129"/>
      <w:bookmarkStart w:id="130" w:name="_Toc513029226"/>
    </w:p>
    <w:p w14:paraId="4B432154">
      <w:pPr>
        <w:spacing w:line="360" w:lineRule="auto"/>
        <w:ind w:firstLine="470" w:firstLineChars="195"/>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p>
    <w:p w14:paraId="6624D8C3">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18、投标截止时间</w:t>
      </w:r>
    </w:p>
    <w:p w14:paraId="42C7A978">
      <w:pPr>
        <w:spacing w:line="360" w:lineRule="auto"/>
        <w:ind w:firstLine="468" w:firstLineChars="195"/>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18.1投标人上传电子投标文件的时间不得迟于招标公告中规定的投标截止时间。</w:t>
      </w:r>
    </w:p>
    <w:p w14:paraId="7776ECB8">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投标人应充分考虑到网络环境、网络带宽等风险因素，如因投标人自身原因造成的电子投标文件上传不成功的按照本招标文件第二章第26.1.2条 规定做无效投标处理。</w:t>
      </w:r>
    </w:p>
    <w:p w14:paraId="695EB09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18.2交易中心可以按照规定，通过修改招标文件酌情延长投标截止时间，在此情况下，投标人的所有权利和义务以及投标人受制的截止时间均应以延长后新的截止时间为准。</w:t>
      </w:r>
    </w:p>
    <w:p w14:paraId="305E5BB6">
      <w:pPr>
        <w:spacing w:line="360" w:lineRule="auto"/>
        <w:ind w:firstLine="470" w:firstLineChars="195"/>
        <w:rPr>
          <w:rFonts w:hint="eastAsia" w:ascii="宋体" w:hAnsi="宋体" w:eastAsia="宋体" w:cs="宋体"/>
          <w:b/>
          <w:bCs/>
          <w:color w:val="auto"/>
          <w:sz w:val="24"/>
          <w:szCs w:val="24"/>
          <w:highlight w:val="none"/>
          <w:lang w:val="en-US" w:eastAsia="zh-CN"/>
        </w:rPr>
      </w:pPr>
      <w:bookmarkStart w:id="131" w:name="_Toc20823299"/>
      <w:bookmarkStart w:id="132" w:name="_Toc16938543"/>
      <w:bookmarkStart w:id="133" w:name="_Toc513029227"/>
      <w:r>
        <w:rPr>
          <w:rFonts w:hint="eastAsia" w:ascii="宋体" w:hAnsi="宋体" w:eastAsia="宋体" w:cs="宋体"/>
          <w:b/>
          <w:bCs/>
          <w:color w:val="auto"/>
          <w:sz w:val="24"/>
          <w:szCs w:val="24"/>
          <w:highlight w:val="none"/>
          <w:lang w:val="en-US" w:eastAsia="zh-CN"/>
        </w:rPr>
        <w:t>19、投标文件</w:t>
      </w:r>
      <w:bookmarkEnd w:id="131"/>
      <w:bookmarkEnd w:id="132"/>
      <w:bookmarkEnd w:id="133"/>
      <w:r>
        <w:rPr>
          <w:rFonts w:hint="eastAsia" w:ascii="宋体" w:hAnsi="宋体" w:eastAsia="宋体" w:cs="宋体"/>
          <w:b/>
          <w:bCs/>
          <w:color w:val="auto"/>
          <w:sz w:val="24"/>
          <w:szCs w:val="24"/>
          <w:highlight w:val="none"/>
          <w:lang w:val="en-US" w:eastAsia="zh-CN"/>
        </w:rPr>
        <w:t>的拒收</w:t>
      </w:r>
    </w:p>
    <w:p w14:paraId="3069CD4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19.1交易中心拒绝接收在其规定的投标截止时间后上传的任何投标文件。</w:t>
      </w:r>
    </w:p>
    <w:p w14:paraId="0F3ECAC4">
      <w:pPr>
        <w:spacing w:line="360" w:lineRule="auto"/>
        <w:ind w:firstLine="470" w:firstLineChars="195"/>
        <w:rPr>
          <w:rFonts w:hint="eastAsia" w:ascii="宋体" w:hAnsi="宋体" w:eastAsia="宋体" w:cs="宋体"/>
          <w:b/>
          <w:bCs/>
          <w:color w:val="auto"/>
          <w:sz w:val="24"/>
          <w:szCs w:val="24"/>
          <w:highlight w:val="none"/>
          <w:lang w:val="en-US" w:eastAsia="zh-CN"/>
        </w:rPr>
      </w:pPr>
      <w:bookmarkStart w:id="134" w:name="_Toc16938544"/>
      <w:bookmarkStart w:id="135" w:name="_Toc20823300"/>
      <w:bookmarkStart w:id="136" w:name="_Toc513029228"/>
      <w:r>
        <w:rPr>
          <w:rFonts w:hint="eastAsia" w:ascii="宋体" w:hAnsi="宋体" w:eastAsia="宋体" w:cs="宋体"/>
          <w:b/>
          <w:bCs/>
          <w:color w:val="auto"/>
          <w:sz w:val="24"/>
          <w:szCs w:val="24"/>
          <w:highlight w:val="none"/>
          <w:lang w:val="en-US" w:eastAsia="zh-CN"/>
        </w:rPr>
        <w:t>20、投标文件的撤回和修改</w:t>
      </w:r>
      <w:bookmarkEnd w:id="134"/>
      <w:bookmarkEnd w:id="135"/>
      <w:bookmarkEnd w:id="136"/>
    </w:p>
    <w:p w14:paraId="26093BF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20.1投标文件的撤回</w:t>
      </w:r>
    </w:p>
    <w:p w14:paraId="2217E91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20.1.1电子投标文件的撤回</w:t>
      </w:r>
    </w:p>
    <w:p w14:paraId="0C13F2F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投标人可在投标截止时间前，撤回其电子投标文件，具体操作方法见《操作手册》。</w:t>
      </w:r>
    </w:p>
    <w:p w14:paraId="19C187D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20.1.2投标人撤回电子投标文件，则认为其不再参与本项目投标活动。</w:t>
      </w:r>
    </w:p>
    <w:p w14:paraId="30587D6F">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 投标文件的修改</w:t>
      </w:r>
    </w:p>
    <w:p w14:paraId="198CBE3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20.2.1投标人可在投标截止时间前，对其电子投标文件进行修改，具体操作方法见《操作手册》。</w:t>
      </w:r>
    </w:p>
    <w:p w14:paraId="06646AE3">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20.2.2在投标截止时间之后，投标人不得对其电子投标文件作任何修改。</w:t>
      </w:r>
    </w:p>
    <w:p w14:paraId="0F0FAAF9">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20.3在投标截止时间至招标文件中规定的投标有效期满之间的这段时间内，投标人不得撤回其投标。</w:t>
      </w:r>
    </w:p>
    <w:p w14:paraId="49237723">
      <w:pPr>
        <w:pStyle w:val="9"/>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137" w:name="_Toc513029229"/>
      <w:bookmarkStart w:id="138" w:name="_Toc20823301"/>
      <w:bookmarkStart w:id="139" w:name="_Toc120614218"/>
      <w:bookmarkStart w:id="140" w:name="_Toc16938545"/>
      <w:r>
        <w:rPr>
          <w:rFonts w:hint="eastAsia" w:ascii="宋体" w:hAnsi="宋体" w:eastAsia="宋体" w:cs="宋体"/>
          <w:b/>
          <w:color w:val="auto"/>
          <w:sz w:val="24"/>
          <w:szCs w:val="24"/>
          <w:highlight w:val="none"/>
        </w:rPr>
        <w:t>五、开标与评标</w:t>
      </w:r>
      <w:bookmarkEnd w:id="137"/>
      <w:bookmarkEnd w:id="138"/>
      <w:bookmarkEnd w:id="139"/>
      <w:bookmarkEnd w:id="140"/>
    </w:p>
    <w:p w14:paraId="38D3B173">
      <w:pPr>
        <w:spacing w:line="360" w:lineRule="auto"/>
        <w:ind w:firstLine="470" w:firstLineChars="195"/>
        <w:rPr>
          <w:rFonts w:hint="eastAsia" w:ascii="宋体" w:hAnsi="宋体" w:eastAsia="宋体" w:cs="宋体"/>
          <w:b/>
          <w:bCs/>
          <w:color w:val="auto"/>
          <w:sz w:val="24"/>
          <w:szCs w:val="24"/>
          <w:highlight w:val="none"/>
          <w:lang w:val="en-US" w:eastAsia="zh-CN"/>
        </w:rPr>
      </w:pPr>
      <w:bookmarkStart w:id="141" w:name="_Toc513029230"/>
      <w:bookmarkStart w:id="142" w:name="_Toc20823302"/>
      <w:bookmarkStart w:id="143" w:name="_Toc16938546"/>
      <w:r>
        <w:rPr>
          <w:rFonts w:hint="eastAsia" w:ascii="宋体" w:hAnsi="宋体" w:eastAsia="宋体" w:cs="宋体"/>
          <w:b/>
          <w:bCs/>
          <w:color w:val="auto"/>
          <w:sz w:val="24"/>
          <w:szCs w:val="24"/>
          <w:highlight w:val="none"/>
          <w:lang w:val="en-US" w:eastAsia="zh-CN"/>
        </w:rPr>
        <w:t>21、开标</w:t>
      </w:r>
      <w:bookmarkEnd w:id="141"/>
      <w:bookmarkEnd w:id="142"/>
      <w:bookmarkEnd w:id="143"/>
    </w:p>
    <w:p w14:paraId="0B5FAEE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21.1交易中心将在招标公告中规定的时间和地点组织公开开标。投标人应当按照《操作手册》规定，参加开标活动和在苏采云系统规定的时间内对投标文件进行解密。</w:t>
      </w:r>
    </w:p>
    <w:p w14:paraId="7F484DCB">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21.2开标仪式由交易中心组织。苏采云系统将自动对项目进行开标，并宣布各投标人名称和投标价格。</w:t>
      </w:r>
    </w:p>
    <w:p w14:paraId="13A024B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21.3投标人在开标过程中涉及到的投标文件解密、开标结果确认等工作，应按照《操作手册》规定执行。</w:t>
      </w:r>
    </w:p>
    <w:p w14:paraId="183D09F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21.4投标人如果对开标过程和开标记录有疑义，应当根据《操作手册》规定提出，如苏采云系统中《开标记录表》宣布后5分钟内未提出的，视同认可开标结果。</w:t>
      </w:r>
    </w:p>
    <w:p w14:paraId="7E5C61C2">
      <w:pPr>
        <w:spacing w:line="360" w:lineRule="auto"/>
        <w:ind w:firstLine="470" w:firstLineChars="195"/>
        <w:rPr>
          <w:rFonts w:hint="eastAsia" w:ascii="宋体" w:hAnsi="宋体" w:eastAsia="宋体" w:cs="宋体"/>
          <w:b/>
          <w:bCs/>
          <w:color w:val="auto"/>
          <w:sz w:val="24"/>
          <w:szCs w:val="24"/>
          <w:highlight w:val="none"/>
          <w:lang w:val="en-US" w:eastAsia="zh-CN"/>
        </w:rPr>
      </w:pPr>
      <w:bookmarkStart w:id="144" w:name="_Toc20823303"/>
      <w:bookmarkStart w:id="145" w:name="_Toc16938547"/>
      <w:bookmarkStart w:id="146" w:name="_Toc513029231"/>
      <w:r>
        <w:rPr>
          <w:rFonts w:hint="eastAsia" w:ascii="宋体" w:hAnsi="宋体" w:eastAsia="宋体" w:cs="宋体"/>
          <w:b/>
          <w:bCs/>
          <w:color w:val="auto"/>
          <w:sz w:val="24"/>
          <w:szCs w:val="24"/>
          <w:highlight w:val="none"/>
          <w:lang w:val="en-US" w:eastAsia="zh-CN"/>
        </w:rPr>
        <w:t>22、评标委员会</w:t>
      </w:r>
      <w:bookmarkEnd w:id="144"/>
      <w:bookmarkEnd w:id="145"/>
      <w:bookmarkEnd w:id="146"/>
    </w:p>
    <w:p w14:paraId="5B45E15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22.1开标后，交易中心将立即组织评标委员会（以下简称评委会）进行评标。</w:t>
      </w:r>
    </w:p>
    <w:p w14:paraId="6D1D9D03">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22.2评委会由采购人代表和有关技术、经济等方面的专家组成，且人员构成符合政府采购有关规定。</w:t>
      </w:r>
    </w:p>
    <w:p w14:paraId="37544D80">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22.3评委会独立工作，负责评审所有投标文件并确定中标候选人。</w:t>
      </w:r>
    </w:p>
    <w:p w14:paraId="5D8A840C">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23、评标过程的保密与公正</w:t>
      </w:r>
    </w:p>
    <w:p w14:paraId="02C0248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23.1凡是与审查、澄清、评价和比较投标的有关资料以及授标建议等，采购人、评委、交易中心均不得向投标人或与评标无关的其他人员透露。</w:t>
      </w:r>
    </w:p>
    <w:p w14:paraId="5A12C7C8">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23.2在评标过程中，投标人不得以任何行为影响评标过程，否则其投标文件将被作为无效投标文件。</w:t>
      </w:r>
    </w:p>
    <w:p w14:paraId="2689A28B">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23.3交易中心和评标委员会不向未中标的投标人解释未中标原因，也不公布评标过程中的相关细节。</w:t>
      </w:r>
    </w:p>
    <w:p w14:paraId="3515F11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23.4采用综合评分法的项目，未中标的投标人可于中标结果公告期限届满之日起通过苏采云系统查看自己的评审得分及排序情况。</w:t>
      </w:r>
      <w:bookmarkStart w:id="147" w:name="_Toc16938548"/>
      <w:bookmarkStart w:id="148" w:name="_Toc513029232"/>
      <w:bookmarkStart w:id="149" w:name="_Toc20823304"/>
    </w:p>
    <w:p w14:paraId="4603F8E9">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24、投标文件的澄清</w:t>
      </w:r>
      <w:bookmarkEnd w:id="147"/>
      <w:bookmarkEnd w:id="148"/>
      <w:bookmarkEnd w:id="149"/>
    </w:p>
    <w:p w14:paraId="32F5CECF">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24.1评标期间，评委会对投标文件中含义不明确、同类问题表述不一致或者有明显文字和计算错误的内容，有权要求投标人作出必要的澄清、说明或者补正。</w:t>
      </w:r>
    </w:p>
    <w:p w14:paraId="698C5CE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投标人的澄清、说明或者补正不得超出投标文件的范围或者改变投标文件的实质性内容。</w:t>
      </w:r>
    </w:p>
    <w:p w14:paraId="23C9DC0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评标委员会并非对每个投标人都做澄清要求。</w:t>
      </w:r>
    </w:p>
    <w:p w14:paraId="50851E3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C04F58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24.3接到评委会澄清、说明和补正要求的投标人如未按规定做出澄清、说明和补正，其风险由投标人自行承担。</w:t>
      </w:r>
    </w:p>
    <w:p w14:paraId="7953647F">
      <w:pPr>
        <w:spacing w:line="360" w:lineRule="auto"/>
        <w:ind w:firstLine="470" w:firstLineChars="195"/>
        <w:rPr>
          <w:rFonts w:hint="eastAsia" w:ascii="宋体" w:hAnsi="宋体" w:eastAsia="宋体" w:cs="宋体"/>
          <w:b/>
          <w:bCs/>
          <w:color w:val="auto"/>
          <w:sz w:val="24"/>
          <w:szCs w:val="24"/>
          <w:highlight w:val="none"/>
          <w:lang w:val="en-US" w:eastAsia="zh-CN"/>
        </w:rPr>
      </w:pPr>
      <w:bookmarkStart w:id="150" w:name="_Toc16938549"/>
      <w:bookmarkStart w:id="151" w:name="_Toc513029233"/>
      <w:bookmarkStart w:id="152" w:name="_Toc20823305"/>
      <w:r>
        <w:rPr>
          <w:rFonts w:hint="eastAsia" w:ascii="宋体" w:hAnsi="宋体" w:eastAsia="宋体" w:cs="宋体"/>
          <w:b/>
          <w:bCs/>
          <w:color w:val="auto"/>
          <w:sz w:val="24"/>
          <w:szCs w:val="24"/>
          <w:highlight w:val="none"/>
          <w:lang w:val="en-US" w:eastAsia="zh-CN"/>
        </w:rPr>
        <w:t>25、对投标文件的初审</w:t>
      </w:r>
      <w:bookmarkEnd w:id="150"/>
      <w:bookmarkEnd w:id="151"/>
      <w:bookmarkEnd w:id="152"/>
    </w:p>
    <w:p w14:paraId="7117D0CB">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25.1投标文件初审分为资格审查和符合性审查。</w:t>
      </w:r>
    </w:p>
    <w:p w14:paraId="6DAAFF29">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25.1.1资格审查：依据法律法规和招标文件的规定，由采购人对投标文件中的资格证明文件进行审查。资格审查的结论，采购人以书面形式向评委会进行反馈。</w:t>
      </w:r>
    </w:p>
    <w:p w14:paraId="45A6D18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采购人在进行资格性审查的同时，将在“信用中国”网站（www.creditchina.gov.cn）查询投标人的信用记录，以确定投标人是否具备投标资格,查询结果留存并归档。</w:t>
      </w:r>
    </w:p>
    <w:p w14:paraId="208B4B7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接受联合体的项目，两个以上的自然人、法人或者其他组织组成一个联合体，以一个供应商的身份共同参加政府采购活动的,联合体成员存在不良信用记录的，视同联合体存在不良应用记录。</w:t>
      </w:r>
    </w:p>
    <w:p w14:paraId="1F202181">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25.1.2符合性审查：依据招标文件的规定，由评委会从投标文件的有效性、完整性和对招标文件的响应程度进行审查，以确定是否对招标文件的实质性要求作出响应。</w:t>
      </w:r>
    </w:p>
    <w:p w14:paraId="7A68F7E1">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25.1.3未通过资格审查或符合性审查的投标人，交易中心将在苏采云系统中告知未通过资格审查或符合性审查的原因，评标结束后，交易中心将不再告知未通过资格审查和符合性审查的原因。</w:t>
      </w:r>
    </w:p>
    <w:p w14:paraId="56D7DB0B">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25.2在详细评标之前，评委会将首先审查每份投标文件是否实质性响应了招标文件的要求。实质性响应的投标应该是与招标文件要求的全部条款、条件和规格相符，没有重大偏离或保留的投标。</w:t>
      </w:r>
    </w:p>
    <w:p w14:paraId="13F6FA3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60F0F11">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25.3如果投标文件实质上没有响应招标文件的要求，评委会将予以拒绝，投标人不得通过修改或撤销不符合要求的偏离或保留而使其投标成为实质性响应的投标。</w:t>
      </w:r>
    </w:p>
    <w:p w14:paraId="7ABDAA61">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25.4评委会将对确定为实质性响应的投标进行进一步审核，确定其是否有计算上或累加上的算术错误，修正错误的原则如下：</w:t>
      </w:r>
    </w:p>
    <w:p w14:paraId="2A5D49AF">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（1）投标文件中开标一览表内容与投标文件中相应内容不一致的，以开标一览表为准。</w:t>
      </w:r>
    </w:p>
    <w:p w14:paraId="0FCC1A8F">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（2）大写金额和小写金额不一致的，以大写金额为准。</w:t>
      </w:r>
    </w:p>
    <w:p w14:paraId="394DCF7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（3）单价金额小数点或者百分比有明显错位的，以开标一览表的总价为准，并修改单价。</w:t>
      </w:r>
    </w:p>
    <w:p w14:paraId="0CD8CFD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（4）总价金额与按单价汇总金额不一致的，以单价金额计算结果为准。</w:t>
      </w:r>
    </w:p>
    <w:p w14:paraId="7B3FFF8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同时出现两种以上错误的，按照前款规定的顺序修正。</w:t>
      </w:r>
    </w:p>
    <w:p w14:paraId="33EA30AF">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25.5评委会将按上述修正错误的方法调整投标文件中的投标报价，并通过苏采云系统告知投标人，调整后的价格应对投标人具有约束力。如果投标人不接受修正后的价格，则其投标将被拒绝。</w:t>
      </w:r>
    </w:p>
    <w:p w14:paraId="5686B488">
      <w:pPr>
        <w:spacing w:line="360" w:lineRule="auto"/>
        <w:ind w:firstLine="468" w:firstLineChars="195"/>
        <w:rPr>
          <w:rFonts w:hint="eastAsia" w:ascii="宋体" w:hAnsi="宋体" w:eastAsia="宋体" w:cs="宋体"/>
          <w:color w:val="auto"/>
          <w:sz w:val="24"/>
          <w:szCs w:val="24"/>
          <w:highlight w:val="none"/>
          <w:lang w:val="en-US" w:eastAsia="zh-CN"/>
        </w:rPr>
      </w:pPr>
      <w:bookmarkStart w:id="153" w:name="_Toc513029234"/>
      <w:bookmarkStart w:id="154" w:name="_Toc16938550"/>
      <w:bookmarkStart w:id="155" w:name="_Toc20823306"/>
      <w:r>
        <w:rPr>
          <w:rFonts w:hint="eastAsia" w:ascii="宋体" w:hAnsi="宋体" w:eastAsia="宋体" w:cs="宋体"/>
          <w:color w:val="auto"/>
          <w:sz w:val="24"/>
          <w:szCs w:val="24"/>
          <w:highlight w:val="none"/>
          <w:lang w:val="en-US" w:eastAsia="zh-CN"/>
        </w:rPr>
        <w:t>25.6投标人在开、评标全过程中应保持通信畅通，及时登录苏采云系统查阅、答复相关信息，并安排专人与交易中心及评标委员会联系。</w:t>
      </w:r>
      <w:bookmarkEnd w:id="153"/>
      <w:bookmarkEnd w:id="154"/>
      <w:bookmarkEnd w:id="155"/>
    </w:p>
    <w:p w14:paraId="2B1375B9">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26、无效投标条款和废标条款</w:t>
      </w:r>
    </w:p>
    <w:p w14:paraId="2CCB83D7">
      <w:pPr>
        <w:spacing w:line="360" w:lineRule="auto"/>
        <w:ind w:firstLine="468" w:firstLineChars="195"/>
        <w:rPr>
          <w:rFonts w:hint="eastAsia" w:ascii="宋体" w:hAnsi="宋体" w:eastAsia="宋体" w:cs="宋体"/>
          <w:color w:val="auto"/>
          <w:sz w:val="24"/>
          <w:szCs w:val="24"/>
          <w:highlight w:val="none"/>
          <w:lang w:val="en-US" w:eastAsia="zh-CN"/>
        </w:rPr>
      </w:pPr>
      <w:bookmarkStart w:id="156" w:name="_Toc16938551"/>
      <w:bookmarkStart w:id="157" w:name="_Toc513029235"/>
      <w:bookmarkStart w:id="158" w:name="_Toc20823307"/>
      <w:r>
        <w:rPr>
          <w:rFonts w:hint="eastAsia" w:ascii="宋体" w:hAnsi="宋体" w:eastAsia="宋体" w:cs="宋体"/>
          <w:color w:val="auto"/>
          <w:sz w:val="24"/>
          <w:szCs w:val="24"/>
          <w:highlight w:val="none"/>
          <w:lang w:val="en-US" w:eastAsia="zh-CN"/>
        </w:rPr>
        <w:t>26.1无效投标条款</w:t>
      </w:r>
      <w:bookmarkEnd w:id="156"/>
      <w:bookmarkEnd w:id="157"/>
      <w:bookmarkEnd w:id="158"/>
    </w:p>
    <w:p w14:paraId="6D0A3D6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26.1.1投标人在苏采云系统规定的时间内未成功解密电子投标文件的。</w:t>
      </w:r>
    </w:p>
    <w:p w14:paraId="078725C8">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26.1.2投标人未按照招标文件要求上传电子投标文件的。</w:t>
      </w:r>
    </w:p>
    <w:p w14:paraId="653D979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26.1.3同一投标人提交两个（含两个）以上不同的投标报价的。</w:t>
      </w:r>
    </w:p>
    <w:p w14:paraId="11432A9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26.1.4投标人不具备招标文件中规定资格要求的。</w:t>
      </w:r>
    </w:p>
    <w:p w14:paraId="64D1BF8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26.1.5投标人的报价超过了采购预算或最高限价的。</w:t>
      </w:r>
    </w:p>
    <w:p w14:paraId="786414B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26.1.6未通过符合性审查的。</w:t>
      </w:r>
    </w:p>
    <w:p w14:paraId="6A19A0FD">
      <w:pPr>
        <w:spacing w:line="360" w:lineRule="auto"/>
        <w:ind w:firstLine="468" w:firstLineChars="195"/>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26.1.7不符合招标文件中规定的实质性要求和条件的</w:t>
      </w:r>
      <w:r>
        <w:rPr>
          <w:rFonts w:hint="eastAsia" w:ascii="宋体" w:hAnsi="宋体" w:eastAsia="宋体" w:cs="宋体"/>
          <w:i/>
          <w:iCs/>
          <w:color w:val="auto"/>
          <w:sz w:val="24"/>
          <w:szCs w:val="24"/>
          <w:highlight w:val="none"/>
          <w:u w:val="single"/>
          <w:lang w:val="en-US" w:eastAsia="zh-CN"/>
        </w:rPr>
        <w:t>（本招标文件中斜体且有下划线部分为实质性要求和条件）。</w:t>
      </w:r>
    </w:p>
    <w:p w14:paraId="29193F9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0840DF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26.1.9投标文件含有采购人不能接受的附加条件的。</w:t>
      </w:r>
    </w:p>
    <w:p w14:paraId="30278C4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26.1.10投标人不能证明其报价合理性的，评标委员会应当将其作为无效投标处理。</w:t>
      </w:r>
    </w:p>
    <w:p w14:paraId="4F597761">
      <w:pPr>
        <w:widowControl/>
        <w:spacing w:line="520" w:lineRule="exact"/>
        <w:ind w:firstLine="480"/>
        <w:rPr>
          <w:rFonts w:hint="eastAsia" w:ascii="宋体" w:hAnsi="宋体" w:eastAsia="宋体" w:cs="宋体"/>
          <w:color w:val="auto"/>
          <w:sz w:val="24"/>
          <w:szCs w:val="24"/>
          <w:highlight w:val="none"/>
          <w:lang w:val="en-US" w:eastAsia="zh-CN"/>
        </w:rPr>
      </w:pPr>
      <w:r>
        <w:rPr>
          <w:rFonts w:hint="eastAsia" w:eastAsia="Arial"/>
          <w:color w:val="auto"/>
          <w:sz w:val="24"/>
          <w:szCs w:val="20"/>
          <w:highlight w:val="none"/>
          <w:lang w:val="zh-CN" w:eastAsia="zh-CN"/>
        </w:rPr>
        <w:t>（一）评审过程中出现下列情形之一的，评标委员会应当启动异常低价投标审查程序：</w:t>
      </w:r>
    </w:p>
    <w:p w14:paraId="029D404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191012D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08E2626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3.投标（响应）报价低于采购项目最高限价45%的，即投标（响应）报价&lt;采购项目最高限价×45%；</w:t>
      </w:r>
    </w:p>
    <w:p w14:paraId="6B93ED4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4.评审委员会基于专业判断，认为供应商报价过低，有可能影响产品质量或者不能诚信履约的其他情形。</w:t>
      </w:r>
    </w:p>
    <w:p w14:paraId="6E14DBF3">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相关法律法规对供应商报价有规定的，从其规定。</w:t>
      </w:r>
    </w:p>
    <w:p w14:paraId="209516A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5658E7E0">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26.1.11投标文件未按照招标文件要求加盖CA电子公章的。</w:t>
      </w:r>
    </w:p>
    <w:p w14:paraId="4D95C43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26.1.12其他法律、法规及本招标文件规定的属无效投标的情形。</w:t>
      </w:r>
    </w:p>
    <w:p w14:paraId="1C33F543">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26.2废标条款</w:t>
      </w:r>
    </w:p>
    <w:p w14:paraId="6B7CA87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26.2.1符合专业条件的供应商或者对招标文件作实质响应的供应商不足三家的。26.2.2出现影响采购公正的违法、违规行为的。</w:t>
      </w:r>
    </w:p>
    <w:p w14:paraId="783902D3">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26.2.3因重大变故，采购任务取消的。</w:t>
      </w:r>
    </w:p>
    <w:p w14:paraId="78FE85F0">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26.2.4评标委员会认定招标文件存在歧义、重大缺陷导致评审工作无法进行。</w:t>
      </w:r>
    </w:p>
    <w:p w14:paraId="2076F30F">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26.2.5因苏采云系统系统故障原因造成开标不成功的。</w:t>
      </w:r>
    </w:p>
    <w:p w14:paraId="7DA9BDE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26.3 投标截止时间结束后参加投标的供应商不足三家的处理：</w:t>
      </w:r>
    </w:p>
    <w:p w14:paraId="5053BF20">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26.3.1如出现投标截止时间结束后参加投标的供应商或者在评标期间对招标文件做出实质响应的供应商不足三家情况，按政府采购相关规定执行。</w:t>
      </w:r>
    </w:p>
    <w:p w14:paraId="1D1A76BB">
      <w:pPr>
        <w:pStyle w:val="9"/>
        <w:keepNext/>
        <w:keepLines/>
        <w:spacing w:before="145" w:beforeAutospacing="0" w:after="145" w:afterAutospacing="0" w:line="360" w:lineRule="auto"/>
        <w:ind w:firstLine="482"/>
        <w:jc w:val="both"/>
        <w:rPr>
          <w:rFonts w:hint="eastAsia" w:ascii="宋体" w:hAnsi="宋体" w:eastAsia="宋体" w:cs="宋体"/>
          <w:b/>
          <w:bCs w:val="0"/>
          <w:color w:val="auto"/>
          <w:sz w:val="24"/>
          <w:szCs w:val="24"/>
          <w:highlight w:val="none"/>
        </w:rPr>
      </w:pPr>
      <w:bookmarkStart w:id="159" w:name="_Toc120614219"/>
      <w:r>
        <w:rPr>
          <w:rFonts w:hint="eastAsia" w:ascii="宋体" w:hAnsi="宋体" w:eastAsia="宋体" w:cs="宋体"/>
          <w:b/>
          <w:bCs w:val="0"/>
          <w:color w:val="auto"/>
          <w:sz w:val="24"/>
          <w:szCs w:val="24"/>
          <w:highlight w:val="none"/>
        </w:rPr>
        <w:t>六、定标</w:t>
      </w:r>
      <w:bookmarkEnd w:id="159"/>
    </w:p>
    <w:p w14:paraId="5230FF84">
      <w:pPr>
        <w:spacing w:line="360" w:lineRule="auto"/>
        <w:ind w:firstLine="470" w:firstLineChars="195"/>
        <w:rPr>
          <w:rFonts w:hint="eastAsia" w:ascii="宋体" w:hAnsi="宋体" w:eastAsia="宋体" w:cs="宋体"/>
          <w:b/>
          <w:bCs w:val="0"/>
          <w:color w:val="auto"/>
          <w:sz w:val="24"/>
          <w:szCs w:val="24"/>
          <w:highlight w:val="none"/>
          <w:lang w:val="en-US" w:eastAsia="zh-CN"/>
        </w:rPr>
      </w:pPr>
      <w:bookmarkStart w:id="160" w:name="_Toc20823310"/>
      <w:bookmarkStart w:id="161" w:name="_Toc16938554"/>
      <w:bookmarkStart w:id="162" w:name="_Toc513029238"/>
      <w:r>
        <w:rPr>
          <w:rFonts w:hint="eastAsia" w:ascii="宋体" w:hAnsi="宋体" w:eastAsia="宋体" w:cs="宋体"/>
          <w:b/>
          <w:bCs w:val="0"/>
          <w:color w:val="auto"/>
          <w:sz w:val="24"/>
          <w:szCs w:val="24"/>
          <w:highlight w:val="none"/>
          <w:lang w:val="en-US" w:eastAsia="zh-CN"/>
        </w:rPr>
        <w:t>27、</w:t>
      </w:r>
      <w:bookmarkEnd w:id="160"/>
      <w:r>
        <w:rPr>
          <w:rFonts w:hint="eastAsia" w:ascii="宋体" w:hAnsi="宋体" w:eastAsia="宋体" w:cs="宋体"/>
          <w:b/>
          <w:bCs w:val="0"/>
          <w:color w:val="auto"/>
          <w:sz w:val="24"/>
          <w:szCs w:val="24"/>
          <w:highlight w:val="none"/>
          <w:lang w:val="en-US" w:eastAsia="zh-CN"/>
        </w:rPr>
        <w:t>确定</w:t>
      </w:r>
      <w:bookmarkEnd w:id="161"/>
      <w:bookmarkEnd w:id="162"/>
      <w:r>
        <w:rPr>
          <w:rFonts w:hint="eastAsia" w:ascii="宋体" w:hAnsi="宋体" w:eastAsia="宋体" w:cs="宋体"/>
          <w:b/>
          <w:bCs w:val="0"/>
          <w:color w:val="auto"/>
          <w:sz w:val="24"/>
          <w:szCs w:val="24"/>
          <w:highlight w:val="none"/>
          <w:lang w:val="en-US" w:eastAsia="zh-CN"/>
        </w:rPr>
        <w:t>中标单位</w:t>
      </w:r>
    </w:p>
    <w:p w14:paraId="66582FD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27.1中标候选人的选取原则和数量见招标文件第五章规定。 </w:t>
      </w:r>
    </w:p>
    <w:p w14:paraId="19EE725B">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27.2采购人应根据评委会推荐的中标候选人确定中标人。</w:t>
      </w:r>
    </w:p>
    <w:p w14:paraId="5F6FF46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27.3交易中心将在“中国政府采购网”、“江苏政府采购网”、“盐城市政府采购网”发布中标公告，公告期限为1个工作日。</w:t>
      </w:r>
    </w:p>
    <w:p w14:paraId="5EA6ACE1">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27.4若有充分证据证明，中标人出现下列情况之一的，一经查实，将被取消中标资格：</w:t>
      </w:r>
    </w:p>
    <w:p w14:paraId="746CFAC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27.4.1提供虚假材料谋取中标的。</w:t>
      </w:r>
    </w:p>
    <w:p w14:paraId="6721193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27.4.2向采购人、交易中心行贿或者提供其他不正当利益的。</w:t>
      </w:r>
    </w:p>
    <w:p w14:paraId="10B7DE9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27.4.3属于本文件规定的无效条件，但在评标过程中又未被评委会发现的。</w:t>
      </w:r>
    </w:p>
    <w:p w14:paraId="5F309BA0">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27.4.4与采购人或者其他供应商恶意串通的。</w:t>
      </w:r>
    </w:p>
    <w:p w14:paraId="1843801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27.4.5采取不正当手段诋毁、排挤其他供应商的。</w:t>
      </w:r>
    </w:p>
    <w:p w14:paraId="40FF67DC">
      <w:pPr>
        <w:spacing w:line="360" w:lineRule="auto"/>
        <w:ind w:firstLine="468" w:firstLineChars="195"/>
        <w:rPr>
          <w:rFonts w:hint="eastAsia" w:ascii="宋体" w:hAnsi="宋体" w:eastAsia="宋体" w:cs="宋体"/>
          <w:color w:val="auto"/>
          <w:sz w:val="24"/>
          <w:szCs w:val="24"/>
          <w:highlight w:val="none"/>
          <w:lang w:val="en-US" w:eastAsia="zh-CN"/>
        </w:rPr>
      </w:pPr>
      <w:bookmarkStart w:id="163" w:name="_Toc200451960"/>
      <w:r>
        <w:rPr>
          <w:rFonts w:hint="eastAsia" w:ascii="宋体" w:hAnsi="宋体" w:eastAsia="宋体" w:cs="宋体"/>
          <w:color w:val="auto"/>
          <w:sz w:val="24"/>
          <w:szCs w:val="24"/>
          <w:highlight w:val="none"/>
          <w:lang w:val="en-US" w:eastAsia="zh-CN"/>
        </w:rPr>
        <w:t>27.5 有下列情形之一的，视为投标人串通投标，投标无效：</w:t>
      </w:r>
      <w:bookmarkEnd w:id="163"/>
    </w:p>
    <w:p w14:paraId="3D30F0E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27.5.1不同投标人的投标文件由同一单位或者个人编制。</w:t>
      </w:r>
    </w:p>
    <w:p w14:paraId="681A95C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27.5.2不同投标人委托同一单位或者个人办理投标事宜。</w:t>
      </w:r>
    </w:p>
    <w:p w14:paraId="1500AEC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27.5.3不同投标人的投标文件载明的项目管理成员或者联系人员为同一人。</w:t>
      </w:r>
    </w:p>
    <w:p w14:paraId="50E8DFB0">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27.5.4不同投标人的投标文件异常一致或者投标报价呈规律性差异。</w:t>
      </w:r>
    </w:p>
    <w:p w14:paraId="2E15B1C6">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28、质疑处理</w:t>
      </w:r>
    </w:p>
    <w:p w14:paraId="7B5DD0A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28.1提出质疑的供应商应当是参与所质疑项目采购活动的供应商。潜在供应商依法获取其可质疑的采购文件的，可以对采购文件提出质疑。</w:t>
      </w:r>
    </w:p>
    <w:p w14:paraId="382BC5F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14:paraId="02979FA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28.2.1对可以质疑的采购文件提出质疑的，为收到采购文件之日或者采购文件公告期限届满之日；</w:t>
      </w:r>
    </w:p>
    <w:p w14:paraId="7926D7E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28.2.2对采购过程提出质疑的，为各采购程序环节结束之日；</w:t>
      </w:r>
    </w:p>
    <w:p w14:paraId="3A9DF73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28.2.3对中标或者成交结果提出质疑的，为中标或者成交结果公告期限届满之日。</w:t>
      </w:r>
    </w:p>
    <w:p w14:paraId="62E6217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供应商应当在法定质疑期内一次性提出针对同一采购程序环节的质疑。供应商如在法定期限内对同一采购程序环节提出多次质疑的，交易中心、采购人将只对供应商第一次质疑作出答复。</w:t>
      </w:r>
    </w:p>
    <w:p w14:paraId="2CE44DB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28.3质疑函必须按照本招标文件中《质疑函范本》要求的格式和内容进行填写。供应商如组成联合体参加投标，则《质疑函范本》中要求签字、盖章、加盖公章之处，联合体各方均须按要求签字、盖章、加盖公章。</w:t>
      </w:r>
    </w:p>
    <w:p w14:paraId="31B96D2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1A42B439">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交易中心及采购人只接收以纸质原件形式送达的质疑,采购人和交易中心不接受未填写快递运单的快件。</w:t>
      </w:r>
      <w:r>
        <w:rPr>
          <w:rFonts w:hint="eastAsia" w:ascii="宋体" w:hAnsi="宋体" w:eastAsia="宋体" w:cs="宋体"/>
          <w:b/>
          <w:bCs/>
          <w:color w:val="auto"/>
          <w:sz w:val="24"/>
          <w:szCs w:val="24"/>
          <w:highlight w:val="none"/>
          <w:lang w:val="en-US" w:eastAsia="zh-CN"/>
        </w:rPr>
        <w:t>质疑接收部门为盐城市亭湖区公共资源交易中心，联系地址：盐城市亭湖区希望大道中路18号，联系电话：0515-89802019。</w:t>
      </w:r>
    </w:p>
    <w:p w14:paraId="07F0F23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 以下情形的质疑不予受理</w:t>
      </w:r>
    </w:p>
    <w:p w14:paraId="14C4374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28.5.1内容不符合《政府采购质疑和投诉办法》第十二条规定的质疑。</w:t>
      </w:r>
    </w:p>
    <w:p w14:paraId="332BE33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28.5.2超出政府采购法定期限的质疑。</w:t>
      </w:r>
    </w:p>
    <w:p w14:paraId="4C0356E9">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28.5.3以传真、电子邮件等方式递交的非原件形式的质疑。</w:t>
      </w:r>
    </w:p>
    <w:p w14:paraId="5DE0E72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28.5.4未参加投标活动的供应商或在投标活动中自身权益未受到损害的供应商所提出的质疑。</w:t>
      </w:r>
    </w:p>
    <w:p w14:paraId="50A41B7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28.5.5供应商组成联合体参加投标，联合体中任何一方或多方未按要求签字、盖章、加盖公章的质疑。</w:t>
      </w:r>
    </w:p>
    <w:p w14:paraId="5478D1E0">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44020D20">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29、中标通知书</w:t>
      </w:r>
    </w:p>
    <w:p w14:paraId="02BA5F6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C45BACB">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29.2中标通知书将是合同的一个组成部分。对采购人和中标人均具有法律效力。中标通知书发出后，采购人改变中标结果的，或者中标人放弃中标项目的，应当依法承担法律责任。</w:t>
      </w:r>
    </w:p>
    <w:p w14:paraId="3CAB638F">
      <w:pPr>
        <w:pStyle w:val="9"/>
        <w:keepNext/>
        <w:keepLines/>
        <w:spacing w:before="145" w:beforeAutospacing="0" w:after="145" w:afterAutospacing="0" w:line="360" w:lineRule="auto"/>
        <w:ind w:firstLine="482" w:firstLineChars="200"/>
        <w:jc w:val="both"/>
        <w:rPr>
          <w:rFonts w:hint="eastAsia" w:ascii="宋体" w:hAnsi="宋体" w:eastAsia="宋体" w:cs="宋体"/>
          <w:color w:val="auto"/>
          <w:sz w:val="24"/>
          <w:szCs w:val="24"/>
          <w:highlight w:val="none"/>
        </w:rPr>
      </w:pPr>
      <w:bookmarkStart w:id="164" w:name="_Toc16938552"/>
      <w:bookmarkStart w:id="165" w:name="_Toc20823308"/>
      <w:bookmarkStart w:id="166" w:name="_Toc513029236"/>
      <w:bookmarkStart w:id="167" w:name="_Toc120614220"/>
      <w:r>
        <w:rPr>
          <w:rFonts w:hint="eastAsia" w:ascii="宋体" w:hAnsi="宋体" w:eastAsia="宋体" w:cs="宋体"/>
          <w:b/>
          <w:color w:val="auto"/>
          <w:sz w:val="24"/>
          <w:szCs w:val="24"/>
          <w:highlight w:val="none"/>
        </w:rPr>
        <w:t>七、授予合同</w:t>
      </w:r>
      <w:bookmarkEnd w:id="164"/>
      <w:bookmarkEnd w:id="165"/>
      <w:bookmarkEnd w:id="166"/>
      <w:bookmarkEnd w:id="167"/>
    </w:p>
    <w:p w14:paraId="6784B070">
      <w:pPr>
        <w:spacing w:line="360" w:lineRule="auto"/>
        <w:ind w:firstLine="470" w:firstLineChars="195"/>
        <w:rPr>
          <w:rFonts w:hint="eastAsia" w:ascii="宋体" w:hAnsi="宋体" w:eastAsia="宋体" w:cs="宋体"/>
          <w:b/>
          <w:bCs/>
          <w:color w:val="auto"/>
          <w:sz w:val="24"/>
          <w:szCs w:val="24"/>
          <w:highlight w:val="none"/>
          <w:lang w:val="en-US" w:eastAsia="zh-CN"/>
        </w:rPr>
      </w:pPr>
      <w:bookmarkStart w:id="168" w:name="_Toc20823309"/>
      <w:bookmarkStart w:id="169" w:name="_Toc513029237"/>
      <w:bookmarkStart w:id="170" w:name="_Toc16938553"/>
      <w:r>
        <w:rPr>
          <w:rFonts w:hint="eastAsia" w:ascii="宋体" w:hAnsi="宋体" w:eastAsia="宋体" w:cs="宋体"/>
          <w:b/>
          <w:bCs/>
          <w:color w:val="auto"/>
          <w:sz w:val="24"/>
          <w:szCs w:val="24"/>
          <w:highlight w:val="none"/>
          <w:lang w:val="en-US" w:eastAsia="zh-CN"/>
        </w:rPr>
        <w:t>30.签订合同</w:t>
      </w:r>
      <w:bookmarkEnd w:id="168"/>
      <w:bookmarkEnd w:id="169"/>
      <w:bookmarkEnd w:id="170"/>
    </w:p>
    <w:p w14:paraId="0D61224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30.l中标人应当在中标通知书发出之日起三十日内，按照招标文件确定的事项与采购人签订政府采购合同。</w:t>
      </w:r>
    </w:p>
    <w:p w14:paraId="54FBB9C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30.2招标文件、中标人的投标文件及招标过程中有关澄清、承诺文件均应作为合同附件。</w:t>
      </w:r>
    </w:p>
    <w:p w14:paraId="618541F8">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30.3签订合同后，</w:t>
      </w:r>
      <w:r>
        <w:rPr>
          <w:rFonts w:hint="eastAsia" w:ascii="宋体" w:hAnsi="宋体" w:eastAsia="宋体" w:cs="宋体"/>
          <w:i/>
          <w:iCs/>
          <w:color w:val="auto"/>
          <w:sz w:val="24"/>
          <w:szCs w:val="24"/>
          <w:highlight w:val="none"/>
          <w:u w:val="single"/>
          <w:lang w:val="en-US" w:eastAsia="zh-CN"/>
        </w:rPr>
        <w:t>中标人不得将合同标的进行转包</w:t>
      </w:r>
      <w:r>
        <w:rPr>
          <w:rFonts w:hint="eastAsia" w:ascii="宋体" w:hAnsi="宋体" w:eastAsia="宋体" w:cs="宋体"/>
          <w:color w:val="auto"/>
          <w:sz w:val="24"/>
          <w:szCs w:val="24"/>
          <w:highlight w:val="none"/>
          <w:lang w:val="en-US" w:eastAsia="zh-CN"/>
        </w:rPr>
        <w:t>。未经采购人同意，中标人也不得采用分包的形式履行合同，否则采购人有权终止合同。转包或分包造成采购人损失的，中标人应承担相应赔偿责任。</w:t>
      </w:r>
    </w:p>
    <w:p w14:paraId="289B07E9">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31、服务（包含与服务相关的货物）的追加</w:t>
      </w:r>
    </w:p>
    <w:p w14:paraId="16EBF0A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32.政府采购政策功能落实</w:t>
      </w:r>
    </w:p>
    <w:p w14:paraId="3EA2C724">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32.1政府采购线上合同信用融资政策</w:t>
      </w:r>
    </w:p>
    <w:p w14:paraId="7831DEF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5A8ADEB">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32.2进口产品</w:t>
      </w:r>
    </w:p>
    <w:p w14:paraId="5E25FDB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32.3中小企业、监狱企业及残疾人福利性单位</w:t>
      </w:r>
    </w:p>
    <w:p w14:paraId="63807B9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32.3.1中小企业定义：</w:t>
      </w:r>
    </w:p>
    <w:p w14:paraId="4C9CBD8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32.3.2供应商提供的货物、工程或者服务符合下列情形的，享受中小企业扶持政策：</w:t>
      </w:r>
    </w:p>
    <w:p w14:paraId="6761BEF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32.3.2.1在货物采购项目中，货物由中小企业制造，即货物由中小企业生产且使用该中小企业商号或者注册商标；</w:t>
      </w:r>
    </w:p>
    <w:p w14:paraId="31163D4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32.3.2.2在工程采购项目中，工程由中小企业承建，即工程施工单位为中小企业；</w:t>
      </w:r>
    </w:p>
    <w:p w14:paraId="4DFC19B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32.3.2.3在服务采购项目中，服务由中小企业承接，即提供服务的人员为中小企业依照《中华人民共和国劳动合同法》订立劳动合同的从业人员。</w:t>
      </w:r>
    </w:p>
    <w:p w14:paraId="3EA95C7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32.3.3在货物采购项目中，供应商提供的货物既有中小企业制造货物，也有大型企业制造货物的，不享受中小企业扶持政策。</w:t>
      </w:r>
    </w:p>
    <w:p w14:paraId="18C13D1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34D8F3DF">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32.3.6残疾人福利单位定义：享受政府采购支持政策的残疾人福利性单位应当同时满足以下条件：</w:t>
      </w:r>
    </w:p>
    <w:p w14:paraId="2C10A4F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32.3.6.1安置的残疾人占本单位在职职工人数的比例不低于25%（含25%），并且安置的残疾人人数不少于10 人（含10 人）；</w:t>
      </w:r>
    </w:p>
    <w:p w14:paraId="273AB3B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32.3.6.2依法与安置的每位残疾人签订了一年以上（含一年）的劳动合同或服务协议；</w:t>
      </w:r>
    </w:p>
    <w:p w14:paraId="25054FF3">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32.3.6.3为安置的每位残疾人按月足额缴纳了基本养老保险、基本医疗保险、失业保险、工伤保险和生育保险等社会保险费；</w:t>
      </w:r>
    </w:p>
    <w:p w14:paraId="2B08B5C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32.3.6.4通过银行等金融机构向安置的每位残疾人，按月支付了不低于单位所在区县适用的经省级人民政府批准的月最低工资标准的工资；</w:t>
      </w:r>
    </w:p>
    <w:p w14:paraId="20CB233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32.3.7本项目是否专门面向中小企业预留采购份额见第一章《招标公告》。</w:t>
      </w:r>
    </w:p>
    <w:p w14:paraId="66321B5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32.3.8采购标的对应的中小企业划分标准所属行业见第四章《采购需求》。</w:t>
      </w:r>
    </w:p>
    <w:p w14:paraId="3CD3781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32.3.9小微企业价格评审优惠的政策：见第五章《评标方法和评标标准》。</w:t>
      </w:r>
    </w:p>
    <w:p w14:paraId="24130294">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32.4政府采购节能产品、环境标志产品</w:t>
      </w:r>
    </w:p>
    <w:p w14:paraId="56196F7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4"/>
          <w:highlight w:val="none"/>
          <w:u w:val="none"/>
          <w:lang w:val="en-US" w:eastAsia="zh-CN"/>
        </w:rPr>
        <w:t>如属政府强制采购产品未提供认证证书的或认证证书提供不全的将视为未实质性响应采购要求。</w:t>
      </w:r>
      <w:r>
        <w:rPr>
          <w:rFonts w:hint="eastAsia" w:ascii="宋体" w:hAnsi="宋体" w:eastAsia="宋体" w:cs="宋体"/>
          <w:color w:val="auto"/>
          <w:sz w:val="24"/>
          <w:szCs w:val="24"/>
          <w:highlight w:val="none"/>
          <w:lang w:val="en-US" w:eastAsia="zh-CN"/>
        </w:rPr>
        <w:t>其他条件相同情况下，应当优先采购节能产品、环境标志产品。</w:t>
      </w:r>
    </w:p>
    <w:p w14:paraId="3644E8D9">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32.5绿色包装</w:t>
      </w:r>
    </w:p>
    <w:p w14:paraId="3C828DB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32.6政府采购创新产品</w:t>
      </w:r>
    </w:p>
    <w:p w14:paraId="2D9B3368">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采购人优先采购各级政府部门公开发布的有效期内的创新产品、创新服务、首台套、首购首用等《目录》的创新产品。</w:t>
      </w:r>
    </w:p>
    <w:p w14:paraId="57947BB5">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32.7绿色数据中心政策 </w:t>
      </w:r>
    </w:p>
    <w:p w14:paraId="722A8D3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34807A4">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32.8履约保证金政策</w:t>
      </w:r>
    </w:p>
    <w:p w14:paraId="40F02B3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确需收取履约保证金的，履约保证金的缴纳形式：</w:t>
      </w:r>
    </w:p>
    <w:p w14:paraId="5EB031A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p>
    <w:p w14:paraId="57E6C93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 预付款制度</w:t>
      </w:r>
    </w:p>
    <w:p w14:paraId="23108FD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本项目落实预付款制度，预付款比例为</w:t>
      </w:r>
      <w:r>
        <w:rPr>
          <w:rFonts w:hint="eastAsia" w:ascii="宋体" w:hAnsi="宋体" w:eastAsia="宋体" w:cs="宋体"/>
          <w:color w:val="auto"/>
          <w:sz w:val="24"/>
          <w:szCs w:val="24"/>
          <w:highlight w:val="none"/>
          <w:u w:val="single"/>
          <w:lang w:val="en-US" w:eastAsia="zh-CN"/>
        </w:rPr>
        <w:t xml:space="preserve"> 30 </w:t>
      </w:r>
      <w:r>
        <w:rPr>
          <w:rFonts w:hint="eastAsia" w:ascii="宋体" w:hAnsi="宋体" w:eastAsia="宋体" w:cs="宋体"/>
          <w:color w:val="auto"/>
          <w:sz w:val="24"/>
          <w:szCs w:val="24"/>
          <w:highlight w:val="none"/>
          <w:lang w:val="en-US" w:eastAsia="zh-CN"/>
        </w:rPr>
        <w:t>%（原则上不低于合同金额的30%）。在签订合同时，中标、成交供应商明确书面表示无需预付款或者主动要求降低预付款比例的，采购人可就预付款比例作相应调整。</w:t>
      </w:r>
    </w:p>
    <w:p w14:paraId="53289C7D">
      <w:pPr>
        <w:pStyle w:val="21"/>
        <w:spacing w:after="0" w:line="520" w:lineRule="exact"/>
        <w:ind w:left="0" w:firstLine="560"/>
        <w:rPr>
          <w:rFonts w:hint="eastAsia" w:ascii="宋体" w:hAnsi="宋体" w:eastAsia="宋体" w:cs="宋体"/>
          <w:color w:val="auto"/>
          <w:kern w:val="0"/>
          <w:sz w:val="24"/>
          <w:szCs w:val="24"/>
          <w:highlight w:val="none"/>
          <w:lang w:val="en-US" w:eastAsia="zh-CN" w:bidi="ar-SA"/>
        </w:rPr>
      </w:pPr>
    </w:p>
    <w:p w14:paraId="69ED2CA2">
      <w:pPr>
        <w:pStyle w:val="9"/>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A242689">
      <w:pPr>
        <w:pStyle w:val="9"/>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E46F5E5">
      <w:pPr>
        <w:pStyle w:val="9"/>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B05BE1F">
      <w:pPr>
        <w:pStyle w:val="9"/>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7E0A138">
      <w:pPr>
        <w:pStyle w:val="9"/>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A58241B">
      <w:pPr>
        <w:pStyle w:val="9"/>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E622571">
      <w:pPr>
        <w:rPr>
          <w:rFonts w:ascii="黑体" w:hAnsi="宋体" w:eastAsia="黑体" w:cs="黑体"/>
          <w:color w:val="auto"/>
          <w:sz w:val="44"/>
          <w:szCs w:val="44"/>
          <w:highlight w:val="none"/>
        </w:rPr>
      </w:pPr>
      <w:r>
        <w:rPr>
          <w:rFonts w:hint="eastAsia" w:ascii="宋体" w:hAnsi="宋体" w:eastAsia="宋体" w:cs="宋体"/>
          <w:color w:val="auto"/>
          <w:sz w:val="24"/>
          <w:szCs w:val="24"/>
          <w:highlight w:val="none"/>
        </w:rPr>
        <w:t> </w:t>
      </w:r>
    </w:p>
    <w:p w14:paraId="628423B5">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1942A518">
      <w:pPr>
        <w:pStyle w:val="9"/>
        <w:keepNext/>
        <w:spacing w:beforeAutospacing="0" w:afterAutospacing="0"/>
        <w:jc w:val="center"/>
        <w:rPr>
          <w:color w:val="auto"/>
          <w:highlight w:val="none"/>
        </w:rPr>
      </w:pPr>
      <w:r>
        <w:rPr>
          <w:rFonts w:hint="eastAsia" w:ascii="黑体" w:hAnsi="宋体" w:eastAsia="黑体" w:cs="黑体"/>
          <w:color w:val="auto"/>
          <w:sz w:val="44"/>
          <w:szCs w:val="44"/>
          <w:highlight w:val="none"/>
        </w:rPr>
        <w:t>第三章  合同文本</w:t>
      </w:r>
    </w:p>
    <w:p w14:paraId="13D20B4B">
      <w:pPr>
        <w:pStyle w:val="9"/>
        <w:spacing w:before="145" w:beforeAutospacing="0" w:after="145" w:afterAutospacing="0"/>
        <w:jc w:val="center"/>
        <w:rPr>
          <w:color w:val="auto"/>
          <w:highlight w:val="none"/>
        </w:rPr>
      </w:pPr>
      <w:r>
        <w:rPr>
          <w:rFonts w:hint="eastAsia" w:ascii="宋体" w:hAnsi="宋体" w:eastAsia="宋体" w:cs="宋体"/>
          <w:b/>
          <w:color w:val="auto"/>
          <w:sz w:val="30"/>
          <w:szCs w:val="30"/>
          <w:highlight w:val="none"/>
        </w:rPr>
        <w:t>盐城市政府采购合同（服务）（合同编号）</w:t>
      </w:r>
    </w:p>
    <w:p w14:paraId="2CCD6529">
      <w:pPr>
        <w:widowControl/>
        <w:spacing w:line="520" w:lineRule="exact"/>
        <w:rPr>
          <w:rFonts w:hint="eastAsia" w:eastAsia="Arial"/>
          <w:color w:val="auto"/>
          <w:sz w:val="24"/>
          <w:szCs w:val="24"/>
          <w:lang w:val="zh-CN"/>
        </w:rPr>
      </w:pPr>
      <w:bookmarkStart w:id="171" w:name="_Toc479757211"/>
      <w:bookmarkStart w:id="172" w:name="_Toc120614244"/>
      <w:bookmarkStart w:id="173" w:name="_Toc20823346"/>
      <w:bookmarkStart w:id="174" w:name="_Toc16938590"/>
      <w:bookmarkStart w:id="175" w:name="_Toc462564139"/>
      <w:bookmarkStart w:id="176" w:name="_Hlt16619350"/>
      <w:bookmarkStart w:id="177" w:name="_Hlt16619369"/>
      <w:r>
        <w:rPr>
          <w:rFonts w:hint="eastAsia" w:eastAsia="Arial"/>
          <w:color w:val="auto"/>
          <w:sz w:val="24"/>
          <w:szCs w:val="24"/>
          <w:lang w:val="zh-CN"/>
        </w:rPr>
        <w:t>项目编号：</w:t>
      </w:r>
    </w:p>
    <w:p w14:paraId="5A7E4529">
      <w:pPr>
        <w:pStyle w:val="9"/>
        <w:pageBreakBefore w:val="0"/>
        <w:kinsoku/>
        <w:wordWrap/>
        <w:overflowPunct/>
        <w:topLinePunct w:val="0"/>
        <w:autoSpaceDE/>
        <w:autoSpaceDN/>
        <w:bidi w:val="0"/>
        <w:adjustRightInd/>
        <w:snapToGrid/>
        <w:spacing w:beforeAutospacing="0" w:afterAutospacing="0" w:line="460" w:lineRule="exact"/>
        <w:jc w:val="both"/>
        <w:textAlignment w:val="auto"/>
        <w:rPr>
          <w:rFonts w:hint="eastAsia" w:ascii="宋体" w:hAnsi="宋体" w:eastAsia="宋体" w:cs="宋体"/>
          <w:color w:val="auto"/>
          <w:lang w:eastAsia="zh-CN"/>
        </w:rPr>
      </w:pPr>
      <w:r>
        <w:rPr>
          <w:rFonts w:hint="eastAsia" w:eastAsia="Arial"/>
          <w:color w:val="auto"/>
          <w:sz w:val="24"/>
          <w:szCs w:val="24"/>
          <w:lang w:val="zh-CN"/>
        </w:rPr>
        <w:t>项目名称：</w:t>
      </w:r>
      <w:r>
        <w:rPr>
          <w:rFonts w:hint="eastAsia" w:ascii="宋体" w:hAnsi="宋体" w:eastAsia="宋体" w:cs="宋体"/>
          <w:color w:val="auto"/>
          <w:sz w:val="24"/>
          <w:szCs w:val="24"/>
          <w:highlight w:val="none"/>
          <w:lang w:eastAsia="zh-CN"/>
        </w:rPr>
        <w:t>2026年盐城市亭湖区中小学素质教育实践中心物业服务采购项目</w:t>
      </w:r>
    </w:p>
    <w:p w14:paraId="6F8CC70B">
      <w:pPr>
        <w:pStyle w:val="9"/>
        <w:spacing w:before="120" w:beforeAutospacing="0" w:after="120" w:afterAutospacing="0"/>
        <w:jc w:val="both"/>
        <w:rPr>
          <w:color w:val="auto"/>
        </w:rPr>
      </w:pPr>
      <w:r>
        <w:rPr>
          <w:rFonts w:hint="eastAsia" w:ascii="宋体" w:hAnsi="宋体" w:eastAsia="宋体" w:cs="宋体"/>
          <w:color w:val="auto"/>
        </w:rPr>
        <w:t>甲方：（买方）_________</w:t>
      </w:r>
    </w:p>
    <w:p w14:paraId="67B3A821">
      <w:pPr>
        <w:pStyle w:val="9"/>
        <w:spacing w:before="120" w:beforeAutospacing="0" w:after="120" w:afterAutospacing="0"/>
        <w:jc w:val="both"/>
        <w:rPr>
          <w:rFonts w:hint="default" w:eastAsia="宋体"/>
          <w:color w:val="auto"/>
          <w:lang w:val="en-US" w:eastAsia="zh-CN"/>
        </w:rPr>
      </w:pPr>
      <w:r>
        <w:rPr>
          <w:rFonts w:hint="eastAsia" w:ascii="宋体" w:hAnsi="宋体" w:eastAsia="宋体" w:cs="宋体"/>
          <w:color w:val="auto"/>
        </w:rPr>
        <w:t>乙方：（卖方）_________</w:t>
      </w:r>
      <w:r>
        <w:rPr>
          <w:rFonts w:hint="eastAsia" w:ascii="宋体" w:hAnsi="宋体" w:eastAsia="宋体" w:cs="宋体"/>
          <w:color w:val="auto"/>
          <w:lang w:val="en-US" w:eastAsia="zh-CN"/>
        </w:rPr>
        <w:t xml:space="preserve">   </w:t>
      </w:r>
    </w:p>
    <w:p w14:paraId="1FFFCE99">
      <w:pPr>
        <w:pStyle w:val="9"/>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甲、乙双方根据</w:t>
      </w:r>
      <w:r>
        <w:rPr>
          <w:rFonts w:hint="eastAsia" w:ascii="宋体" w:hAnsi="宋体" w:eastAsia="宋体" w:cs="宋体"/>
          <w:color w:val="auto"/>
          <w:sz w:val="24"/>
          <w:szCs w:val="24"/>
          <w:highlight w:val="none"/>
          <w:u w:val="single"/>
          <w:lang w:val="en-US" w:eastAsia="zh-CN"/>
        </w:rPr>
        <w:t>2026年盐城市亭湖区中小学素质教育实践中心物业服务采购项目</w:t>
      </w:r>
      <w:r>
        <w:rPr>
          <w:rFonts w:hint="eastAsia" w:ascii="宋体" w:hAnsi="宋体" w:eastAsia="宋体" w:cs="宋体"/>
          <w:color w:val="auto"/>
          <w:sz w:val="24"/>
          <w:szCs w:val="24"/>
          <w:highlight w:val="none"/>
          <w:lang w:val="en-US" w:eastAsia="zh-CN"/>
        </w:rPr>
        <w:t>项目采购的结果，签署本合同。根据《中华人民共和国民法典》、《中华人民共和国政府采购法》、《物业管理条例》、《江苏省物业管理条例》等有关法律、法规的规定，甲方通过公开招标方式选聘乙方为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rPr>
        <w:t>____________________</w:t>
      </w:r>
      <w:r>
        <w:rPr>
          <w:rFonts w:hint="eastAsia" w:ascii="宋体" w:hAnsi="宋体" w:eastAsia="宋体" w:cs="宋体"/>
          <w:color w:val="auto"/>
          <w:sz w:val="24"/>
          <w:szCs w:val="24"/>
          <w:highlight w:val="none"/>
          <w:lang w:val="en-US" w:eastAsia="zh-CN"/>
        </w:rPr>
        <w:t>（物业名称，以下简称“本物业”）的物业管理服务单位。在自愿、平等、协商一致的基础上，就本物业实施物业区域的物业管理服务的相关事宜，订立本合同</w:t>
      </w:r>
    </w:p>
    <w:p w14:paraId="6B71BB44">
      <w:pPr>
        <w:pStyle w:val="9"/>
        <w:pageBreakBefore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第一条 物业基本情况</w:t>
      </w:r>
    </w:p>
    <w:p w14:paraId="6543E01B">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w:t>
      </w:r>
      <w:r>
        <w:rPr>
          <w:rFonts w:hint="eastAsia" w:asciiTheme="majorEastAsia" w:hAnsiTheme="majorEastAsia" w:eastAsiaTheme="majorEastAsia" w:cstheme="majorEastAsia"/>
          <w:color w:val="auto"/>
          <w:highlight w:val="none"/>
          <w:lang w:val="zh-CN" w:eastAsia="zh-CN"/>
        </w:rPr>
        <w:t>物业名称：</w:t>
      </w:r>
      <w:r>
        <w:rPr>
          <w:rFonts w:hint="eastAsia" w:asciiTheme="majorEastAsia" w:hAnsiTheme="majorEastAsia" w:eastAsiaTheme="majorEastAsia" w:cstheme="majorEastAsia"/>
          <w:color w:val="auto"/>
          <w:highlight w:val="none"/>
          <w:u w:val="single"/>
          <w:lang w:val="en-US" w:eastAsia="zh-CN"/>
        </w:rPr>
        <w:t>2026年盐城市亭湖区中小学素质教育实践中心物业服务采购项目</w:t>
      </w:r>
      <w:r>
        <w:rPr>
          <w:rFonts w:hint="eastAsia" w:asciiTheme="majorEastAsia" w:hAnsiTheme="majorEastAsia" w:eastAsiaTheme="majorEastAsia" w:cstheme="majorEastAsia"/>
          <w:color w:val="auto"/>
          <w:highlight w:val="none"/>
          <w:lang w:val="en-US" w:eastAsia="zh-CN"/>
        </w:rPr>
        <w:t>，招标人保留对服务内容进行适当调整的权利，具体详见采购需求。</w:t>
      </w:r>
    </w:p>
    <w:p w14:paraId="32003C5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w:t>
      </w:r>
      <w:r>
        <w:rPr>
          <w:rFonts w:hint="eastAsia" w:asciiTheme="majorEastAsia" w:hAnsiTheme="majorEastAsia" w:eastAsiaTheme="majorEastAsia" w:cstheme="majorEastAsia"/>
          <w:color w:val="auto"/>
          <w:highlight w:val="none"/>
          <w:lang w:val="zh-CN" w:eastAsia="zh-CN"/>
        </w:rPr>
        <w:t>座落位置：</w:t>
      </w:r>
      <w:r>
        <w:rPr>
          <w:rFonts w:hint="eastAsia" w:asciiTheme="majorEastAsia" w:hAnsiTheme="majorEastAsia" w:eastAsiaTheme="majorEastAsia" w:cstheme="majorEastAsia"/>
          <w:color w:val="auto"/>
          <w:highlight w:val="none"/>
          <w:lang w:val="en-US" w:eastAsia="zh-CN"/>
        </w:rPr>
        <w:t>盐城市亭湖区潮声东路8号</w:t>
      </w:r>
    </w:p>
    <w:p w14:paraId="363AECA0">
      <w:pPr>
        <w:widowControl/>
        <w:spacing w:line="560" w:lineRule="exact"/>
        <w:ind w:firstLine="480"/>
        <w:rPr>
          <w:rFonts w:hint="eastAsia" w:eastAsia="宋体"/>
          <w:b/>
          <w:bCs/>
          <w:color w:val="auto"/>
          <w:sz w:val="24"/>
          <w:szCs w:val="20"/>
          <w:lang w:val="en-US" w:eastAsia="zh-CN"/>
        </w:rPr>
      </w:pPr>
      <w:r>
        <w:rPr>
          <w:rFonts w:hint="eastAsia" w:eastAsia="Arial"/>
          <w:b/>
          <w:bCs/>
          <w:color w:val="auto"/>
          <w:sz w:val="24"/>
          <w:szCs w:val="20"/>
          <w:lang w:val="zh-CN"/>
        </w:rPr>
        <w:t xml:space="preserve">第二条 </w:t>
      </w:r>
      <w:r>
        <w:rPr>
          <w:rFonts w:hint="eastAsia" w:eastAsia="宋体"/>
          <w:b/>
          <w:bCs/>
          <w:color w:val="auto"/>
          <w:sz w:val="24"/>
          <w:szCs w:val="20"/>
          <w:lang w:val="en-US" w:eastAsia="zh-CN"/>
        </w:rPr>
        <w:t>具体内容</w:t>
      </w:r>
    </w:p>
    <w:p w14:paraId="016334C1">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（一）保洁员工作要求</w:t>
      </w:r>
    </w:p>
    <w:p w14:paraId="4EFAA00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负责规定范围内的卫生保洁工作。负责工具（由中标人自行提供，招标人不另行支付任何额外费用）的保管，如桶、畚箕、火钳、扫帚等工作必备的；负责易耗品（由中标人自行提供，招标人不另行支付任何额外费用），如消毒液、洗洁精、抹布等工作必备的。</w:t>
      </w:r>
    </w:p>
    <w:p w14:paraId="4351D77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2、负责校内卫生的清扫，并做卫生保洁工作，遵守劳动纪律，清扫的杂物垃圾必须倒入垃圾桶，严禁随意乱倒，清扫并保持垃圾箱整洁。对校园区域保洁，确保公共区域无杂物及垃圾。</w:t>
      </w:r>
    </w:p>
    <w:p w14:paraId="054B63CC">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保证责任区内路边无杂草、无垃圾、无白色污染，地面干净整洁。厕所内无污迹、无异味。每天必须在规定的时间内将责任区清扫干净，同时还必须坚持日常巡视保洁工作。随时接受后勤管理人员的工作指导和审查。</w:t>
      </w:r>
    </w:p>
    <w:p w14:paraId="1F5E130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4、校园公共区域：楼梯、走廊、栏杆、厕所、道路、庭院、校园绿化带等，除教室和教师办公室之外的所有本条未提及但必须保洁的区域。</w:t>
      </w:r>
    </w:p>
    <w:p w14:paraId="72D2814C">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5、保洁员工必须妥善保管保洁工具，及时清洗晾干拖把。</w:t>
      </w:r>
    </w:p>
    <w:p w14:paraId="53B22DF3">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auto"/>
          <w:highlight w:val="yellow"/>
          <w:lang w:val="en-US" w:eastAsia="zh-CN"/>
        </w:rPr>
      </w:pPr>
      <w:r>
        <w:rPr>
          <w:rFonts w:hint="eastAsia" w:asciiTheme="majorEastAsia" w:hAnsiTheme="majorEastAsia" w:eastAsiaTheme="majorEastAsia" w:cstheme="majorEastAsia"/>
          <w:color w:val="auto"/>
          <w:highlight w:val="none"/>
          <w:lang w:val="en-US" w:eastAsia="zh-CN"/>
        </w:rPr>
        <w:t>6、保洁工具必须按指定的位置摆放，要求统一整齐，不得随意摆放。</w:t>
      </w:r>
      <w:r>
        <w:rPr>
          <w:rFonts w:ascii="Arial" w:hAnsi="Arial" w:eastAsia="Arial" w:cs="Arial"/>
          <w:i w:val="0"/>
          <w:iCs w:val="0"/>
          <w:caps w:val="0"/>
          <w:color w:val="auto"/>
          <w:spacing w:val="0"/>
          <w:sz w:val="24"/>
          <w:szCs w:val="24"/>
          <w:shd w:val="clear" w:fill="FFFFFF"/>
        </w:rPr>
        <w:t>‌‌</w:t>
      </w:r>
      <w:r>
        <w:rPr>
          <w:rFonts w:hint="eastAsia" w:asciiTheme="majorEastAsia" w:hAnsiTheme="majorEastAsia" w:eastAsiaTheme="majorEastAsia" w:cstheme="majorEastAsia"/>
          <w:color w:val="auto"/>
          <w:highlight w:val="yellow"/>
          <w:lang w:val="en-US" w:eastAsia="zh-CN"/>
        </w:rPr>
        <w:t>‌</w:t>
      </w:r>
    </w:p>
    <w:p w14:paraId="2C1AF74E">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（二）兼职水电工要求</w:t>
      </w:r>
    </w:p>
    <w:p w14:paraId="28ABF50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1、严格执行《电业安全工作规程》，做到安全维护、维修，安全供电。</w:t>
      </w:r>
    </w:p>
    <w:p w14:paraId="73B1FC3B">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2、负责全校配电室管理、维护和维修工作，对发现的问题要及时处理、及时汇报，确保配电设备的正常运行。</w:t>
      </w:r>
    </w:p>
    <w:p w14:paraId="6E618FF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3、负责全校公网供电系统巡查、维护、检修工作，要求外线维修电工每星期对公网供电系统巡回检查一次，发现问题及时处理。并做好工作记录。</w:t>
      </w:r>
    </w:p>
    <w:p w14:paraId="6317A27F">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4、负责对全校路灯进行经常性巡查、维护、维修，发现有一盏不亮都要及时检修。</w:t>
      </w:r>
    </w:p>
    <w:p w14:paraId="4477954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5、牢记服务宗旨，用户报修，随叫随到，出现突发事件和需要抢修等任务，所以人员无条件执行，参加抢修工作。</w:t>
      </w:r>
    </w:p>
    <w:p w14:paraId="43422E36">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6、一般维修事项：接到报修通知后，1 小时内到达现场处置；紧急抢修事项（停水停电、漏水漏电、设备故障等）：接到通知后，30 分钟内到达现场，及时排除安全隐患。</w:t>
      </w:r>
    </w:p>
    <w:p w14:paraId="00CC497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（三）夜间值班巡逻人员要求</w:t>
      </w:r>
    </w:p>
    <w:p w14:paraId="655158FC">
      <w:pPr>
        <w:pStyle w:val="9"/>
        <w:widowControl w:val="0"/>
        <w:numPr>
          <w:ilvl w:val="0"/>
          <w:numId w:val="0"/>
        </w:numPr>
        <w:spacing w:beforeAutospacing="0" w:afterAutospacing="0" w:line="360" w:lineRule="auto"/>
        <w:ind w:firstLine="480"/>
        <w:jc w:val="both"/>
        <w:rPr>
          <w:rFonts w:ascii="宋体" w:hAnsi="宋体" w:eastAsia="宋体" w:cs="宋体"/>
          <w:color w:val="auto"/>
          <w:sz w:val="24"/>
          <w:szCs w:val="24"/>
        </w:rPr>
      </w:pPr>
      <w:r>
        <w:rPr>
          <w:rFonts w:hint="eastAsia" w:asciiTheme="majorEastAsia" w:hAnsiTheme="majorEastAsia" w:eastAsiaTheme="majorEastAsia" w:cstheme="majorEastAsia"/>
          <w:color w:val="auto"/>
          <w:highlight w:val="none"/>
          <w:lang w:val="en-US" w:eastAsia="zh-CN"/>
        </w:rPr>
        <w:t>1、通宵值守，定点巡逻。</w:t>
      </w:r>
      <w:r>
        <w:rPr>
          <w:rFonts w:ascii="宋体" w:hAnsi="宋体" w:eastAsia="宋体" w:cs="宋体"/>
          <w:color w:val="auto"/>
          <w:sz w:val="24"/>
          <w:szCs w:val="24"/>
        </w:rPr>
        <w:t>检查门窗是否锁好、水电是否关闭、有无漏水漏电、消防器材完好、有无可疑逗留人员、翻墙痕迹、安全隐患。</w:t>
      </w:r>
    </w:p>
    <w:p w14:paraId="64433CC7">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ascii="宋体" w:hAnsi="宋体" w:eastAsia="宋体" w:cs="宋体"/>
          <w:color w:val="auto"/>
          <w:sz w:val="24"/>
          <w:szCs w:val="24"/>
        </w:rPr>
        <w:t>夜间每 1 小时巡逻 1 次，深夜重点区域加密巡查</w:t>
      </w:r>
      <w:r>
        <w:rPr>
          <w:rFonts w:hint="eastAsia" w:ascii="宋体" w:hAnsi="宋体" w:eastAsia="宋体" w:cs="宋体"/>
          <w:color w:val="auto"/>
          <w:sz w:val="24"/>
          <w:szCs w:val="24"/>
          <w:lang w:eastAsia="zh-CN"/>
        </w:rPr>
        <w:t>。</w:t>
      </w:r>
    </w:p>
    <w:p w14:paraId="2A67E052">
      <w:pPr>
        <w:pStyle w:val="9"/>
        <w:widowControl w:val="0"/>
        <w:numPr>
          <w:ilvl w:val="0"/>
          <w:numId w:val="0"/>
        </w:numPr>
        <w:spacing w:beforeAutospacing="0" w:afterAutospacing="0" w:line="360" w:lineRule="auto"/>
        <w:ind w:firstLine="480"/>
        <w:jc w:val="both"/>
        <w:rPr>
          <w:rFonts w:hint="eastAsia" w:eastAsia="宋体" w:asciiTheme="majorEastAsia" w:hAnsiTheme="majorEastAsia" w:cstheme="majorEastAsia"/>
          <w:color w:val="auto"/>
          <w:highlight w:val="none"/>
          <w:lang w:val="en-US" w:eastAsia="zh-CN"/>
        </w:rPr>
      </w:pPr>
      <w:r>
        <w:rPr>
          <w:rFonts w:hint="eastAsia" w:ascii="宋体" w:hAnsi="宋体" w:eastAsia="宋体" w:cs="宋体"/>
          <w:color w:val="auto"/>
          <w:sz w:val="24"/>
          <w:szCs w:val="24"/>
          <w:lang w:val="en-US" w:eastAsia="zh-CN"/>
        </w:rPr>
        <w:t>3、</w:t>
      </w:r>
      <w:r>
        <w:rPr>
          <w:rFonts w:ascii="宋体" w:hAnsi="宋体" w:eastAsia="宋体" w:cs="宋体"/>
          <w:color w:val="auto"/>
          <w:sz w:val="24"/>
          <w:szCs w:val="24"/>
        </w:rPr>
        <w:t>夜间封闭校门，严禁无关人员、外来车辆入校</w:t>
      </w:r>
      <w:r>
        <w:rPr>
          <w:rFonts w:hint="eastAsia" w:ascii="宋体" w:hAnsi="宋体" w:eastAsia="宋体" w:cs="宋体"/>
          <w:color w:val="auto"/>
          <w:sz w:val="24"/>
          <w:szCs w:val="24"/>
          <w:lang w:eastAsia="zh-CN"/>
        </w:rPr>
        <w:t>。</w:t>
      </w:r>
    </w:p>
    <w:p w14:paraId="73761AA5">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auto"/>
          <w:highlight w:val="none"/>
          <w:lang w:val="en-US" w:eastAsia="zh-CN"/>
        </w:rPr>
      </w:pP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锁闭各楼栋大门、围墙侧门，检查防盗设施。</w:t>
      </w:r>
    </w:p>
    <w:p w14:paraId="30A1F329">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5、认真填写《夜间巡逻记录表》《值班工作日志》，交接班签字确认，问题逐条备注</w:t>
      </w:r>
    </w:p>
    <w:p w14:paraId="34DA4384">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6、发现火情、陌生人闯入、学生突发状况、设施损坏，第一时间上报学校</w:t>
      </w:r>
      <w:r>
        <w:rPr>
          <w:rFonts w:hint="eastAsia" w:ascii="宋体" w:hAnsi="宋体" w:eastAsia="宋体" w:cs="宋体"/>
          <w:color w:val="auto"/>
          <w:sz w:val="24"/>
          <w:szCs w:val="24"/>
          <w:highlight w:val="none"/>
          <w:lang w:val="en-US" w:eastAsia="zh-CN"/>
        </w:rPr>
        <w:t>领导或保卫科。</w:t>
      </w:r>
    </w:p>
    <w:p w14:paraId="100EC869">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ascii="宋体" w:hAnsi="宋体" w:eastAsia="宋体" w:cs="宋体"/>
          <w:color w:val="auto"/>
          <w:sz w:val="24"/>
          <w:szCs w:val="24"/>
          <w:highlight w:val="none"/>
        </w:rPr>
        <w:t>会使用灭火器、防暴器械，简单现场维稳，不擅自处理复杂冲突</w:t>
      </w:r>
      <w:r>
        <w:rPr>
          <w:rFonts w:hint="eastAsia" w:ascii="宋体" w:hAnsi="宋体" w:eastAsia="宋体" w:cs="宋体"/>
          <w:color w:val="auto"/>
          <w:sz w:val="24"/>
          <w:szCs w:val="24"/>
          <w:highlight w:val="none"/>
          <w:lang w:eastAsia="zh-CN"/>
        </w:rPr>
        <w:t>。</w:t>
      </w:r>
    </w:p>
    <w:p w14:paraId="7888711B">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ascii="宋体" w:hAnsi="宋体" w:eastAsia="宋体" w:cs="宋体"/>
          <w:color w:val="auto"/>
          <w:sz w:val="24"/>
          <w:szCs w:val="24"/>
          <w:highlight w:val="none"/>
        </w:rPr>
        <w:t>突发紧急情况保护现场，配合后续处理</w:t>
      </w:r>
      <w:r>
        <w:rPr>
          <w:rFonts w:hint="eastAsia" w:ascii="宋体" w:hAnsi="宋体" w:eastAsia="宋体" w:cs="宋体"/>
          <w:color w:val="auto"/>
          <w:sz w:val="24"/>
          <w:szCs w:val="24"/>
          <w:highlight w:val="none"/>
          <w:lang w:eastAsia="zh-CN"/>
        </w:rPr>
        <w:t>。</w:t>
      </w:r>
    </w:p>
    <w:p w14:paraId="6B3FBCD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（四）其他服务要求</w:t>
      </w:r>
    </w:p>
    <w:p w14:paraId="0D11319F">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1、教室、办公室、功能室窗帘拆洗、安装，每六个月至少一次；</w:t>
      </w:r>
    </w:p>
    <w:p w14:paraId="4DC025D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2、化粪池（每六个月至少1次）定期清理，且确保无滞留、堵塞；</w:t>
      </w:r>
    </w:p>
    <w:p w14:paraId="26FC952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3、垃圾清运，专用垃圾清运车清运，每周不少于3次且确保无滞留垃圾，清运过程无跑、冒、滴、漏等污染路面情况。</w:t>
      </w:r>
    </w:p>
    <w:p w14:paraId="30F790A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（五）绿化养护要求</w:t>
      </w:r>
    </w:p>
    <w:p w14:paraId="18A9029E">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1、养护范围：招标人所属绿地。负责所需必要的养护工具，招标人不另行支付相关任何费用。</w:t>
      </w:r>
    </w:p>
    <w:p w14:paraId="4A0BE90F">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2、养护标准：</w:t>
      </w:r>
    </w:p>
    <w:p w14:paraId="7C3B74F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（1）乔木</w:t>
      </w:r>
    </w:p>
    <w:p w14:paraId="3D6555FE">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整枝剪去枯枝和病枝，修剪每半年不少于一次；适时浇水、施肥；及时防治虫害、病害，打药不少于2次/半年，确保树木花草无病虫症状，病虫害危害率控制在2%以内。</w:t>
      </w:r>
    </w:p>
    <w:p w14:paraId="4166A6FB">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（2）色块</w:t>
      </w:r>
    </w:p>
    <w:p w14:paraId="18FE0B2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整形修剪使轮廓清楚，修剪每半年不少于一次；适时浇水、施肥；及时防治虫害，打药不少于2次/半年，确保树木花草无病虫症状，病虫害危害率控制在2%以内。</w:t>
      </w:r>
    </w:p>
    <w:p w14:paraId="6200B3CF">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（3）草坪</w:t>
      </w:r>
    </w:p>
    <w:p w14:paraId="274D2F8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草坪生长旺盛，覆盖率大于90%，杂草率小于5%；适时浇水、施肥；适时修剪，修剪不少于2次/半年；及时防治虫害；草坪补种。草坪无成片枯黄，枯黄面不得超过总面积的2%。</w:t>
      </w:r>
    </w:p>
    <w:p w14:paraId="1A2D07C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（4）适时清除杂草，不少于6次，大树冬天刷白。</w:t>
      </w:r>
    </w:p>
    <w:p w14:paraId="07E2919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（5）防风。遇暴风雨、大风天气，容易发生树木倒伏等情况，须提前或及时对树林进行支架固定。支架固定要注重美观。</w:t>
      </w:r>
    </w:p>
    <w:p w14:paraId="570DA84C">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（6）防冻、防晒。冬季和高温季节来临时，怕冻、怕曝晒的植物要提前做好防护。防护要注重美观。</w:t>
      </w:r>
    </w:p>
    <w:p w14:paraId="6BEB092C">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（7）遇招标人重大活动时，中标单位应无偿另行增派专业绿化养护人员对绿化强化养护及应急保障工作，配合招标人活动的进行。</w:t>
      </w:r>
    </w:p>
    <w:p w14:paraId="3644528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（六）建立健全物业管理制度</w:t>
      </w:r>
    </w:p>
    <w:p w14:paraId="77FD883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根据招标人的具体情况，中标单位应制定详细的内部管理制度、日常服务的运作管理制度等相关制度。</w:t>
      </w:r>
    </w:p>
    <w:p w14:paraId="74E0635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1、</w:t>
      </w:r>
      <w:r>
        <w:rPr>
          <w:rFonts w:hint="eastAsia" w:asciiTheme="majorEastAsia" w:hAnsiTheme="majorEastAsia" w:eastAsiaTheme="majorEastAsia" w:cstheme="majorEastAsia"/>
          <w:color w:val="auto"/>
          <w:highlight w:val="none"/>
          <w:lang w:val="en-US" w:eastAsia="zh-CN"/>
        </w:rPr>
        <w:t>组织机构设置、人员配备、培训与管理、制度的建立</w:t>
      </w:r>
    </w:p>
    <w:p w14:paraId="0CF57E8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2、物业管理员工行为规范；</w:t>
      </w:r>
    </w:p>
    <w:p w14:paraId="72D4234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3、管理人员岗位职责；</w:t>
      </w:r>
    </w:p>
    <w:p w14:paraId="455A8CA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4、保洁、水电工、夜间值班人员工作职责；</w:t>
      </w:r>
    </w:p>
    <w:p w14:paraId="1F0A069C">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5、管理人员、操作人员考核细则；</w:t>
      </w:r>
    </w:p>
    <w:p w14:paraId="703A09D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6、考核奖惩制度；</w:t>
      </w:r>
    </w:p>
    <w:p w14:paraId="1434530E">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7、综合服务制度；</w:t>
      </w:r>
    </w:p>
    <w:p w14:paraId="6A2F585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8、保洁服务方案及保洁服务质量标准；</w:t>
      </w:r>
    </w:p>
    <w:p w14:paraId="0A24252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9、自然灾害、以及停电、停水、火灾、学生家长上访、失窃等突发事件的处理预案；</w:t>
      </w:r>
    </w:p>
    <w:p w14:paraId="16D2BCDC">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（七）人员要求：</w:t>
      </w:r>
    </w:p>
    <w:p w14:paraId="7D9C92A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1、人员基本原则：精干 高效 专业 敬业 健康。</w:t>
      </w:r>
    </w:p>
    <w:p w14:paraId="3DE1D3C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2、人员配置要求</w:t>
      </w:r>
    </w:p>
    <w:p w14:paraId="14C87CB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2.1保洁员要求：初中及以上学历，身体素质良好，工作责任心强，思想品质好，作风正派，无不良记录。</w:t>
      </w:r>
    </w:p>
    <w:p w14:paraId="13238F42">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2.2兼职水电工人员要求：男性，相貌端正，身材均称，普通话较好、态度热情、工作踏实。（兼职电工要求：需要做到随叫随到）。</w:t>
      </w:r>
    </w:p>
    <w:p w14:paraId="44C686F5">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2.3夜间值班巡逻人员要求：男性，相貌端正，身材均称，普通话较好、态度热情、工作踏实。</w:t>
      </w:r>
    </w:p>
    <w:p w14:paraId="39BE0F2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2.4人员健康要求：派驻学校工作人员必须身体健康，无重大疾病、传染病、心血管方面等慢性病，进场人员必须提供健康证明给学校备案。</w:t>
      </w:r>
    </w:p>
    <w:p w14:paraId="1C7F509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green"/>
          <w:lang w:val="en-US" w:eastAsia="zh-CN"/>
        </w:rPr>
      </w:pPr>
      <w:r>
        <w:rPr>
          <w:rFonts w:hint="eastAsia" w:asciiTheme="majorEastAsia" w:hAnsiTheme="majorEastAsia" w:eastAsiaTheme="majorEastAsia" w:cstheme="majorEastAsia"/>
          <w:b/>
          <w:bCs/>
          <w:color w:val="auto"/>
          <w:highlight w:val="none"/>
          <w:lang w:val="en-US" w:eastAsia="zh-CN"/>
        </w:rPr>
        <w:t>3、</w:t>
      </w:r>
      <w:r>
        <w:rPr>
          <w:rFonts w:hint="eastAsia" w:ascii="宋体" w:hAnsi="宋体" w:cs="宋体"/>
          <w:b/>
          <w:bCs/>
          <w:color w:val="auto"/>
          <w:sz w:val="24"/>
          <w:szCs w:val="24"/>
          <w:highlight w:val="none"/>
        </w:rPr>
        <w:t>物业服务人员</w:t>
      </w:r>
      <w:r>
        <w:rPr>
          <w:rFonts w:hint="eastAsia" w:ascii="宋体" w:hAnsi="宋体" w:cs="宋体"/>
          <w:b/>
          <w:bCs/>
          <w:color w:val="auto"/>
          <w:sz w:val="24"/>
          <w:szCs w:val="24"/>
          <w:highlight w:val="none"/>
          <w:lang w:val="en-US" w:eastAsia="zh-CN"/>
        </w:rPr>
        <w:t>不少于</w:t>
      </w:r>
      <w:r>
        <w:rPr>
          <w:rFonts w:hint="eastAsia" w:asciiTheme="majorEastAsia" w:hAnsiTheme="majorEastAsia" w:eastAsiaTheme="majorEastAsia" w:cstheme="majorEastAsia"/>
          <w:b/>
          <w:bCs/>
          <w:color w:val="auto"/>
          <w:highlight w:val="none"/>
          <w:lang w:val="en-US" w:eastAsia="zh-CN"/>
        </w:rPr>
        <w:t>4人，其中：保洁员2人、兼职水电工1人、夜间值班巡逻人员1人（保安兼，人员由安保单位提供）。</w:t>
      </w:r>
    </w:p>
    <w:p w14:paraId="39B127CA">
      <w:pPr>
        <w:widowControl/>
        <w:spacing w:line="560" w:lineRule="exact"/>
        <w:ind w:firstLine="480"/>
        <w:rPr>
          <w:rFonts w:eastAsia="Arial"/>
          <w:b/>
          <w:bCs/>
          <w:color w:val="auto"/>
          <w:sz w:val="24"/>
          <w:szCs w:val="20"/>
          <w:lang w:val="zh-CN"/>
        </w:rPr>
      </w:pPr>
      <w:r>
        <w:rPr>
          <w:rFonts w:hint="eastAsia" w:eastAsia="Arial"/>
          <w:b/>
          <w:bCs/>
          <w:color w:val="auto"/>
          <w:sz w:val="24"/>
          <w:szCs w:val="20"/>
          <w:lang w:val="zh-CN"/>
        </w:rPr>
        <w:t>第三条 合同期限</w:t>
      </w:r>
    </w:p>
    <w:p w14:paraId="2C071DB8">
      <w:pPr>
        <w:widowControl/>
        <w:spacing w:line="520" w:lineRule="exact"/>
        <w:ind w:left="240" w:firstLine="240"/>
        <w:rPr>
          <w:rFonts w:hint="eastAsia"/>
          <w:color w:val="auto"/>
          <w:sz w:val="24"/>
          <w:szCs w:val="20"/>
        </w:rPr>
      </w:pPr>
      <w:r>
        <w:rPr>
          <w:rFonts w:hint="eastAsia"/>
          <w:color w:val="auto"/>
          <w:sz w:val="24"/>
          <w:szCs w:val="20"/>
          <w:lang w:val="en-US" w:eastAsia="zh-CN"/>
        </w:rPr>
        <w:t>1、</w:t>
      </w:r>
      <w:r>
        <w:rPr>
          <w:rFonts w:hint="eastAsia"/>
          <w:color w:val="auto"/>
          <w:sz w:val="24"/>
          <w:szCs w:val="20"/>
        </w:rPr>
        <w:t>服务</w:t>
      </w:r>
      <w:r>
        <w:rPr>
          <w:rFonts w:hint="eastAsia"/>
          <w:color w:val="auto"/>
          <w:sz w:val="24"/>
          <w:szCs w:val="20"/>
          <w:lang w:val="en-US" w:eastAsia="zh-CN"/>
        </w:rPr>
        <w:t>期限</w:t>
      </w:r>
      <w:r>
        <w:rPr>
          <w:rFonts w:hint="eastAsia"/>
          <w:color w:val="auto"/>
          <w:sz w:val="24"/>
          <w:szCs w:val="20"/>
        </w:rPr>
        <w:t>：</w:t>
      </w:r>
      <w:r>
        <w:rPr>
          <w:rFonts w:hint="eastAsia"/>
          <w:color w:val="auto"/>
          <w:sz w:val="24"/>
          <w:szCs w:val="20"/>
          <w:lang w:val="en-US" w:eastAsia="zh-CN"/>
        </w:rPr>
        <w:t>1年</w:t>
      </w:r>
      <w:r>
        <w:rPr>
          <w:rFonts w:hint="eastAsia"/>
          <w:color w:val="auto"/>
          <w:sz w:val="24"/>
          <w:szCs w:val="20"/>
        </w:rPr>
        <w:t>。本合同有效期为自</w:t>
      </w:r>
      <w:r>
        <w:rPr>
          <w:rFonts w:hint="eastAsia"/>
          <w:color w:val="auto"/>
          <w:sz w:val="24"/>
          <w:szCs w:val="20"/>
          <w:u w:val="single"/>
        </w:rPr>
        <w:t xml:space="preserve">    </w:t>
      </w:r>
      <w:r>
        <w:rPr>
          <w:rFonts w:hint="eastAsia"/>
          <w:color w:val="auto"/>
          <w:sz w:val="24"/>
          <w:szCs w:val="20"/>
        </w:rPr>
        <w:t>年</w:t>
      </w:r>
      <w:r>
        <w:rPr>
          <w:rFonts w:hint="eastAsia"/>
          <w:color w:val="auto"/>
          <w:sz w:val="24"/>
          <w:szCs w:val="20"/>
          <w:u w:val="single"/>
        </w:rPr>
        <w:t xml:space="preserve">   </w:t>
      </w:r>
      <w:r>
        <w:rPr>
          <w:rFonts w:hint="eastAsia"/>
          <w:color w:val="auto"/>
          <w:sz w:val="24"/>
          <w:szCs w:val="20"/>
        </w:rPr>
        <w:t>月</w:t>
      </w:r>
      <w:r>
        <w:rPr>
          <w:rFonts w:hint="eastAsia"/>
          <w:color w:val="auto"/>
          <w:sz w:val="24"/>
          <w:szCs w:val="20"/>
          <w:u w:val="single"/>
        </w:rPr>
        <w:t xml:space="preserve">   </w:t>
      </w:r>
      <w:r>
        <w:rPr>
          <w:rFonts w:hint="eastAsia"/>
          <w:color w:val="auto"/>
          <w:sz w:val="24"/>
          <w:szCs w:val="20"/>
        </w:rPr>
        <w:t>日至</w:t>
      </w:r>
      <w:r>
        <w:rPr>
          <w:rFonts w:hint="eastAsia"/>
          <w:color w:val="auto"/>
          <w:sz w:val="24"/>
          <w:szCs w:val="20"/>
          <w:u w:val="single"/>
        </w:rPr>
        <w:t xml:space="preserve">    </w:t>
      </w:r>
      <w:r>
        <w:rPr>
          <w:rFonts w:hint="eastAsia"/>
          <w:color w:val="auto"/>
          <w:sz w:val="24"/>
          <w:szCs w:val="20"/>
        </w:rPr>
        <w:t>年</w:t>
      </w:r>
      <w:r>
        <w:rPr>
          <w:rFonts w:hint="eastAsia"/>
          <w:color w:val="auto"/>
          <w:sz w:val="24"/>
          <w:szCs w:val="20"/>
          <w:u w:val="single"/>
        </w:rPr>
        <w:t xml:space="preserve">   </w:t>
      </w:r>
      <w:r>
        <w:rPr>
          <w:rFonts w:hint="eastAsia"/>
          <w:color w:val="auto"/>
          <w:sz w:val="24"/>
          <w:szCs w:val="20"/>
        </w:rPr>
        <w:t>月</w:t>
      </w:r>
      <w:r>
        <w:rPr>
          <w:rFonts w:hint="eastAsia"/>
          <w:color w:val="auto"/>
          <w:sz w:val="24"/>
          <w:szCs w:val="20"/>
          <w:u w:val="single"/>
        </w:rPr>
        <w:t xml:space="preserve">   </w:t>
      </w:r>
      <w:r>
        <w:rPr>
          <w:rFonts w:hint="eastAsia"/>
          <w:color w:val="auto"/>
          <w:sz w:val="24"/>
          <w:szCs w:val="20"/>
        </w:rPr>
        <w:t>日止。</w:t>
      </w:r>
    </w:p>
    <w:p w14:paraId="03CD3231">
      <w:pPr>
        <w:widowControl/>
        <w:spacing w:line="560" w:lineRule="exact"/>
        <w:ind w:firstLine="480"/>
        <w:rPr>
          <w:rFonts w:eastAsia="Arial"/>
          <w:b/>
          <w:bCs/>
          <w:color w:val="auto"/>
          <w:sz w:val="24"/>
          <w:szCs w:val="20"/>
          <w:lang w:val="zh-CN"/>
        </w:rPr>
      </w:pPr>
      <w:r>
        <w:rPr>
          <w:rFonts w:hint="eastAsia" w:eastAsia="Arial"/>
          <w:b/>
          <w:bCs/>
          <w:color w:val="auto"/>
          <w:sz w:val="24"/>
          <w:szCs w:val="20"/>
          <w:lang w:val="zh-CN"/>
        </w:rPr>
        <w:t>第</w:t>
      </w:r>
      <w:r>
        <w:rPr>
          <w:rFonts w:hint="eastAsia" w:eastAsia="宋体"/>
          <w:b/>
          <w:bCs/>
          <w:color w:val="auto"/>
          <w:sz w:val="24"/>
          <w:szCs w:val="20"/>
          <w:lang w:val="en-US" w:eastAsia="zh-CN"/>
        </w:rPr>
        <w:t>四</w:t>
      </w:r>
      <w:r>
        <w:rPr>
          <w:rFonts w:hint="eastAsia" w:eastAsia="Arial"/>
          <w:b/>
          <w:bCs/>
          <w:color w:val="auto"/>
          <w:sz w:val="24"/>
          <w:szCs w:val="20"/>
          <w:lang w:val="zh-CN"/>
        </w:rPr>
        <w:t>条 甲方的权利和义务</w:t>
      </w:r>
    </w:p>
    <w:p w14:paraId="788F7F4B">
      <w:pPr>
        <w:widowControl/>
        <w:spacing w:line="520" w:lineRule="exact"/>
        <w:ind w:left="240" w:firstLine="240"/>
        <w:rPr>
          <w:rFonts w:hint="eastAsia"/>
          <w:color w:val="auto"/>
          <w:sz w:val="24"/>
          <w:szCs w:val="20"/>
        </w:rPr>
      </w:pPr>
      <w:r>
        <w:rPr>
          <w:rFonts w:hint="eastAsia"/>
          <w:color w:val="auto"/>
          <w:sz w:val="24"/>
          <w:szCs w:val="20"/>
          <w:lang w:val="en-US" w:eastAsia="zh-CN"/>
        </w:rPr>
        <w:t>1、</w:t>
      </w:r>
      <w:r>
        <w:rPr>
          <w:rFonts w:hint="eastAsia"/>
          <w:color w:val="auto"/>
          <w:sz w:val="24"/>
          <w:szCs w:val="20"/>
        </w:rPr>
        <w:t>甲方权利：</w:t>
      </w:r>
    </w:p>
    <w:p w14:paraId="2D296B19">
      <w:pPr>
        <w:widowControl/>
        <w:spacing w:line="520" w:lineRule="exact"/>
        <w:ind w:left="240" w:firstLine="240"/>
        <w:rPr>
          <w:rFonts w:hint="eastAsia"/>
          <w:color w:val="auto"/>
          <w:sz w:val="24"/>
          <w:szCs w:val="20"/>
        </w:rPr>
      </w:pPr>
      <w:r>
        <w:rPr>
          <w:rFonts w:hint="eastAsia"/>
          <w:color w:val="auto"/>
          <w:sz w:val="24"/>
          <w:szCs w:val="20"/>
          <w:lang w:val="en-US" w:eastAsia="zh-CN"/>
        </w:rPr>
        <w:t>1.1</w:t>
      </w:r>
      <w:r>
        <w:rPr>
          <w:rFonts w:hint="eastAsia"/>
          <w:color w:val="auto"/>
          <w:sz w:val="24"/>
          <w:szCs w:val="20"/>
        </w:rPr>
        <w:t>审定乙方拟定的年度物业管理服务计划和方案。</w:t>
      </w:r>
    </w:p>
    <w:p w14:paraId="7706E6C0">
      <w:pPr>
        <w:widowControl/>
        <w:spacing w:line="520" w:lineRule="exact"/>
        <w:ind w:left="240" w:firstLine="240"/>
        <w:rPr>
          <w:rFonts w:hint="eastAsia"/>
          <w:color w:val="auto"/>
          <w:sz w:val="24"/>
          <w:szCs w:val="20"/>
        </w:rPr>
      </w:pPr>
      <w:r>
        <w:rPr>
          <w:rFonts w:hint="eastAsia"/>
          <w:color w:val="auto"/>
          <w:sz w:val="24"/>
          <w:szCs w:val="20"/>
          <w:lang w:val="en-US" w:eastAsia="zh-CN"/>
        </w:rPr>
        <w:t>1.2</w:t>
      </w:r>
      <w:r>
        <w:rPr>
          <w:rFonts w:hint="eastAsia"/>
          <w:color w:val="auto"/>
          <w:sz w:val="24"/>
          <w:szCs w:val="20"/>
        </w:rPr>
        <w:t>对物业设施、设备和共用部分自然损坏的大中修及更新、改造计划、方案、费用的审批，并组织验收。</w:t>
      </w:r>
    </w:p>
    <w:p w14:paraId="5A574CC2">
      <w:pPr>
        <w:widowControl/>
        <w:spacing w:line="520" w:lineRule="exact"/>
        <w:ind w:left="240" w:firstLine="240"/>
        <w:rPr>
          <w:rFonts w:hint="eastAsia"/>
          <w:color w:val="auto"/>
          <w:sz w:val="24"/>
          <w:szCs w:val="20"/>
        </w:rPr>
      </w:pPr>
      <w:r>
        <w:rPr>
          <w:rFonts w:hint="eastAsia"/>
          <w:color w:val="auto"/>
          <w:sz w:val="24"/>
          <w:szCs w:val="20"/>
          <w:lang w:val="en-US" w:eastAsia="zh-CN"/>
        </w:rPr>
        <w:t>1.3</w:t>
      </w:r>
      <w:r>
        <w:rPr>
          <w:rFonts w:hint="eastAsia"/>
          <w:color w:val="auto"/>
          <w:sz w:val="24"/>
          <w:szCs w:val="20"/>
        </w:rPr>
        <w:t>甲方有权对乙方的物业管理工作和投标书、承诺书、考核标准、合同履行情况进行监督审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w:t>
      </w:r>
    </w:p>
    <w:p w14:paraId="4EE9DD9F">
      <w:pPr>
        <w:widowControl/>
        <w:spacing w:line="520" w:lineRule="exact"/>
        <w:ind w:left="240" w:firstLine="240"/>
        <w:rPr>
          <w:rFonts w:hint="eastAsia"/>
          <w:color w:val="auto"/>
          <w:sz w:val="24"/>
          <w:szCs w:val="20"/>
        </w:rPr>
      </w:pPr>
      <w:r>
        <w:rPr>
          <w:rFonts w:hint="eastAsia"/>
          <w:color w:val="auto"/>
          <w:sz w:val="24"/>
          <w:szCs w:val="20"/>
        </w:rPr>
        <w:t>1.4在合同履行期间，如乙方中途无故退出或发生责任事故，给甲方带来不良影响的，或者因乙方工作不力，严重影响甲方正常工作秩序的，甲方有权终止本合同，并要求乙方给予经济赔偿。</w:t>
      </w:r>
    </w:p>
    <w:p w14:paraId="7BFB6184">
      <w:pPr>
        <w:widowControl/>
        <w:spacing w:line="520" w:lineRule="exact"/>
        <w:ind w:left="240" w:firstLine="240"/>
        <w:rPr>
          <w:rFonts w:hint="eastAsia"/>
          <w:color w:val="auto"/>
          <w:sz w:val="24"/>
          <w:szCs w:val="20"/>
        </w:rPr>
      </w:pPr>
      <w:r>
        <w:rPr>
          <w:rFonts w:hint="eastAsia"/>
          <w:color w:val="auto"/>
          <w:sz w:val="24"/>
          <w:szCs w:val="20"/>
        </w:rPr>
        <w:t>1.5对拒绝、不服从或抵触甲方领导指挥的乙方使用人员，甲方有权要求乙方进行调换，否则甲方有权终止本合同，并对乙方进行经济处罚。</w:t>
      </w:r>
    </w:p>
    <w:p w14:paraId="41946956">
      <w:pPr>
        <w:widowControl/>
        <w:spacing w:line="520" w:lineRule="exact"/>
        <w:ind w:left="240" w:firstLine="240"/>
        <w:rPr>
          <w:rFonts w:hint="eastAsia"/>
          <w:color w:val="auto"/>
          <w:sz w:val="24"/>
          <w:szCs w:val="20"/>
        </w:rPr>
      </w:pPr>
      <w:r>
        <w:rPr>
          <w:rFonts w:hint="eastAsia"/>
          <w:color w:val="auto"/>
          <w:sz w:val="24"/>
          <w:szCs w:val="20"/>
        </w:rPr>
        <w:t>1.6监督、指导乙方人员在区域内的一切行为和活动；乙方聘用的物业服务人员进场前应征求甲方的意见。如甲方或服务单位对个别物业服务人员不满意，乙方应予以调换。</w:t>
      </w:r>
    </w:p>
    <w:p w14:paraId="17B07F02">
      <w:pPr>
        <w:widowControl/>
        <w:spacing w:line="520" w:lineRule="exact"/>
        <w:ind w:left="240" w:firstLine="240"/>
        <w:rPr>
          <w:rFonts w:hint="eastAsia"/>
          <w:color w:val="auto"/>
          <w:sz w:val="24"/>
          <w:szCs w:val="20"/>
        </w:rPr>
      </w:pPr>
      <w:r>
        <w:rPr>
          <w:rFonts w:hint="eastAsia"/>
          <w:color w:val="auto"/>
          <w:sz w:val="24"/>
          <w:szCs w:val="20"/>
        </w:rPr>
        <w:t>1.7依据相关法律、法规规定享有的其他权利。</w:t>
      </w:r>
    </w:p>
    <w:p w14:paraId="31BDC01A">
      <w:pPr>
        <w:widowControl/>
        <w:spacing w:line="520" w:lineRule="exact"/>
        <w:ind w:left="240" w:firstLine="240"/>
        <w:rPr>
          <w:rFonts w:hint="eastAsia"/>
          <w:color w:val="auto"/>
          <w:sz w:val="24"/>
          <w:szCs w:val="20"/>
        </w:rPr>
      </w:pPr>
      <w:r>
        <w:rPr>
          <w:rFonts w:hint="eastAsia"/>
          <w:color w:val="auto"/>
          <w:sz w:val="24"/>
          <w:szCs w:val="20"/>
          <w:lang w:val="en-US" w:eastAsia="zh-CN"/>
        </w:rPr>
        <w:t>2、</w:t>
      </w:r>
      <w:r>
        <w:rPr>
          <w:rFonts w:hint="eastAsia"/>
          <w:color w:val="auto"/>
          <w:sz w:val="24"/>
          <w:szCs w:val="20"/>
        </w:rPr>
        <w:t>甲方义务：</w:t>
      </w:r>
    </w:p>
    <w:p w14:paraId="432292BF">
      <w:pPr>
        <w:widowControl/>
        <w:spacing w:line="520" w:lineRule="exact"/>
        <w:ind w:left="240" w:firstLine="240"/>
        <w:rPr>
          <w:rFonts w:hint="eastAsia"/>
          <w:color w:val="auto"/>
          <w:sz w:val="24"/>
          <w:szCs w:val="20"/>
        </w:rPr>
      </w:pPr>
      <w:r>
        <w:rPr>
          <w:rFonts w:hint="eastAsia"/>
          <w:color w:val="auto"/>
          <w:sz w:val="24"/>
          <w:szCs w:val="20"/>
          <w:lang w:val="en-US" w:eastAsia="zh-CN"/>
        </w:rPr>
        <w:t>2</w:t>
      </w:r>
      <w:r>
        <w:rPr>
          <w:rFonts w:hint="eastAsia"/>
          <w:color w:val="auto"/>
          <w:sz w:val="24"/>
          <w:szCs w:val="20"/>
        </w:rPr>
        <w:t>.1甲方应向乙方移交下列资料：</w:t>
      </w:r>
    </w:p>
    <w:p w14:paraId="41A58B67">
      <w:pPr>
        <w:widowControl/>
        <w:spacing w:line="520" w:lineRule="exact"/>
        <w:ind w:left="240" w:firstLine="240"/>
        <w:rPr>
          <w:rFonts w:hint="eastAsia"/>
          <w:color w:val="auto"/>
          <w:sz w:val="24"/>
          <w:szCs w:val="20"/>
        </w:rPr>
      </w:pPr>
      <w:r>
        <w:rPr>
          <w:rFonts w:hint="eastAsia"/>
          <w:color w:val="auto"/>
          <w:sz w:val="24"/>
          <w:szCs w:val="20"/>
        </w:rPr>
        <w:t>①设施设备的安装、使用说明书和维护保养等技术资料。</w:t>
      </w:r>
    </w:p>
    <w:p w14:paraId="6233D00C">
      <w:pPr>
        <w:widowControl/>
        <w:spacing w:line="520" w:lineRule="exact"/>
        <w:ind w:left="240" w:firstLine="240"/>
        <w:rPr>
          <w:rFonts w:hint="eastAsia"/>
          <w:color w:val="auto"/>
          <w:sz w:val="24"/>
          <w:szCs w:val="20"/>
        </w:rPr>
      </w:pPr>
      <w:r>
        <w:rPr>
          <w:rFonts w:hint="eastAsia"/>
          <w:color w:val="auto"/>
          <w:sz w:val="24"/>
          <w:szCs w:val="20"/>
        </w:rPr>
        <w:t>②物业管理所必需的其他资料。</w:t>
      </w:r>
    </w:p>
    <w:p w14:paraId="4C1FD1BA">
      <w:pPr>
        <w:widowControl/>
        <w:spacing w:line="520" w:lineRule="exact"/>
        <w:ind w:left="240" w:firstLine="240"/>
        <w:rPr>
          <w:rFonts w:hint="eastAsia"/>
          <w:color w:val="auto"/>
          <w:sz w:val="24"/>
          <w:szCs w:val="20"/>
        </w:rPr>
      </w:pPr>
      <w:r>
        <w:rPr>
          <w:rFonts w:hint="eastAsia"/>
          <w:color w:val="auto"/>
          <w:sz w:val="24"/>
          <w:szCs w:val="20"/>
        </w:rPr>
        <w:t>2.2按照合同约定按时足额支付物业服务费。</w:t>
      </w:r>
    </w:p>
    <w:p w14:paraId="548939FE">
      <w:pPr>
        <w:widowControl/>
        <w:spacing w:line="520" w:lineRule="exact"/>
        <w:ind w:left="240" w:firstLine="240"/>
        <w:rPr>
          <w:rFonts w:hint="eastAsia"/>
          <w:color w:val="auto"/>
          <w:sz w:val="24"/>
          <w:szCs w:val="20"/>
        </w:rPr>
      </w:pPr>
      <w:r>
        <w:rPr>
          <w:rFonts w:hint="eastAsia"/>
          <w:color w:val="auto"/>
          <w:sz w:val="24"/>
          <w:szCs w:val="20"/>
        </w:rPr>
        <w:t>2.3协助乙方做好物业管理工作和宣传教育、文化活动。</w:t>
      </w:r>
    </w:p>
    <w:p w14:paraId="31DA56BC">
      <w:pPr>
        <w:widowControl/>
        <w:spacing w:line="520" w:lineRule="exact"/>
        <w:ind w:left="240" w:firstLine="240"/>
        <w:rPr>
          <w:rFonts w:hint="eastAsia"/>
          <w:color w:val="auto"/>
          <w:sz w:val="24"/>
          <w:szCs w:val="20"/>
        </w:rPr>
      </w:pPr>
      <w:r>
        <w:rPr>
          <w:rFonts w:hint="eastAsia"/>
          <w:color w:val="auto"/>
          <w:sz w:val="24"/>
          <w:szCs w:val="20"/>
        </w:rPr>
        <w:t>2.4协助乙方规范对区域内人员违反法规、规章的行为。</w:t>
      </w:r>
    </w:p>
    <w:p w14:paraId="4CFF27E9">
      <w:pPr>
        <w:widowControl/>
        <w:spacing w:line="520" w:lineRule="exact"/>
        <w:ind w:left="240" w:firstLine="240"/>
        <w:rPr>
          <w:rFonts w:hint="eastAsia"/>
          <w:color w:val="auto"/>
          <w:sz w:val="24"/>
          <w:szCs w:val="20"/>
        </w:rPr>
      </w:pPr>
      <w:r>
        <w:rPr>
          <w:rFonts w:hint="eastAsia"/>
          <w:color w:val="auto"/>
          <w:sz w:val="24"/>
          <w:szCs w:val="20"/>
        </w:rPr>
        <w:t>2.5协调、配合乙方共同处理本合同生效前发生的相关遗留问题。</w:t>
      </w:r>
    </w:p>
    <w:p w14:paraId="100F3E7C">
      <w:pPr>
        <w:widowControl/>
        <w:spacing w:line="520" w:lineRule="exact"/>
        <w:ind w:left="240" w:firstLine="240"/>
        <w:rPr>
          <w:rFonts w:hint="eastAsia"/>
          <w:color w:val="auto"/>
          <w:sz w:val="24"/>
          <w:szCs w:val="20"/>
        </w:rPr>
      </w:pPr>
      <w:r>
        <w:rPr>
          <w:rFonts w:hint="eastAsia"/>
          <w:color w:val="auto"/>
          <w:sz w:val="24"/>
          <w:szCs w:val="20"/>
        </w:rPr>
        <w:t>2.6法律、法规规定的其他义务。</w:t>
      </w:r>
    </w:p>
    <w:p w14:paraId="47EB53E5">
      <w:pPr>
        <w:widowControl/>
        <w:numPr>
          <w:ilvl w:val="0"/>
          <w:numId w:val="1"/>
        </w:numPr>
        <w:spacing w:line="560" w:lineRule="exact"/>
        <w:ind w:firstLine="480"/>
        <w:rPr>
          <w:rFonts w:hint="eastAsia"/>
          <w:b/>
          <w:bCs/>
          <w:color w:val="auto"/>
          <w:sz w:val="24"/>
          <w:szCs w:val="20"/>
        </w:rPr>
      </w:pPr>
      <w:r>
        <w:rPr>
          <w:rFonts w:hint="eastAsia"/>
          <w:b/>
          <w:bCs/>
          <w:color w:val="auto"/>
          <w:sz w:val="24"/>
          <w:szCs w:val="20"/>
        </w:rPr>
        <w:t>乙方的权利和义务</w:t>
      </w:r>
    </w:p>
    <w:p w14:paraId="52E5397A">
      <w:pPr>
        <w:widowControl/>
        <w:spacing w:line="520" w:lineRule="exact"/>
        <w:ind w:left="240" w:firstLine="240"/>
        <w:rPr>
          <w:rFonts w:hint="eastAsia"/>
          <w:color w:val="auto"/>
          <w:sz w:val="24"/>
          <w:szCs w:val="20"/>
        </w:rPr>
      </w:pPr>
      <w:r>
        <w:rPr>
          <w:rFonts w:hint="eastAsia"/>
          <w:color w:val="auto"/>
          <w:sz w:val="24"/>
          <w:szCs w:val="20"/>
          <w:lang w:val="en-US" w:eastAsia="zh-CN"/>
        </w:rPr>
        <w:t>1、</w:t>
      </w:r>
      <w:r>
        <w:rPr>
          <w:rFonts w:hint="eastAsia"/>
          <w:color w:val="auto"/>
          <w:sz w:val="24"/>
          <w:szCs w:val="20"/>
        </w:rPr>
        <w:t>乙方权利：</w:t>
      </w:r>
    </w:p>
    <w:p w14:paraId="64C51463">
      <w:pPr>
        <w:widowControl/>
        <w:spacing w:line="520" w:lineRule="exact"/>
        <w:ind w:left="240" w:firstLine="240"/>
        <w:rPr>
          <w:rFonts w:hint="eastAsia"/>
          <w:color w:val="auto"/>
          <w:sz w:val="24"/>
          <w:szCs w:val="20"/>
        </w:rPr>
      </w:pPr>
      <w:r>
        <w:rPr>
          <w:rFonts w:hint="eastAsia"/>
          <w:color w:val="auto"/>
          <w:sz w:val="24"/>
          <w:szCs w:val="20"/>
          <w:lang w:val="en-US" w:eastAsia="zh-CN"/>
        </w:rPr>
        <w:t>1</w:t>
      </w:r>
      <w:r>
        <w:rPr>
          <w:rFonts w:hint="eastAsia"/>
          <w:color w:val="auto"/>
          <w:sz w:val="24"/>
          <w:szCs w:val="20"/>
        </w:rPr>
        <w:t>.1按照国家和有关物业管理的技术标准、行业规范以及本服务合同进行管理，提供专业化的服务。</w:t>
      </w:r>
    </w:p>
    <w:p w14:paraId="2E8A3087">
      <w:pPr>
        <w:widowControl/>
        <w:spacing w:line="520" w:lineRule="exact"/>
        <w:ind w:left="240" w:firstLine="240"/>
        <w:rPr>
          <w:rFonts w:hint="eastAsia"/>
          <w:color w:val="auto"/>
          <w:sz w:val="24"/>
          <w:szCs w:val="20"/>
        </w:rPr>
      </w:pPr>
      <w:r>
        <w:rPr>
          <w:rFonts w:hint="eastAsia"/>
          <w:color w:val="auto"/>
          <w:sz w:val="24"/>
          <w:szCs w:val="20"/>
          <w:lang w:val="en-US" w:eastAsia="zh-CN"/>
        </w:rPr>
        <w:t>1</w:t>
      </w:r>
      <w:r>
        <w:rPr>
          <w:rFonts w:hint="eastAsia"/>
          <w:color w:val="auto"/>
          <w:sz w:val="24"/>
          <w:szCs w:val="20"/>
        </w:rPr>
        <w:t>.2按照本合同和有关规定向甲方收取物业服务费用和其他费用。</w:t>
      </w:r>
    </w:p>
    <w:p w14:paraId="1977A84B">
      <w:pPr>
        <w:widowControl/>
        <w:spacing w:line="520" w:lineRule="exact"/>
        <w:ind w:left="240" w:firstLine="240"/>
        <w:rPr>
          <w:rFonts w:hint="eastAsia"/>
          <w:color w:val="auto"/>
          <w:sz w:val="24"/>
          <w:szCs w:val="20"/>
        </w:rPr>
      </w:pPr>
      <w:r>
        <w:rPr>
          <w:rFonts w:hint="eastAsia"/>
          <w:color w:val="auto"/>
          <w:sz w:val="24"/>
          <w:szCs w:val="20"/>
          <w:lang w:val="en-US" w:eastAsia="zh-CN"/>
        </w:rPr>
        <w:t>1</w:t>
      </w:r>
      <w:r>
        <w:rPr>
          <w:rFonts w:hint="eastAsia"/>
          <w:color w:val="auto"/>
          <w:sz w:val="24"/>
          <w:szCs w:val="20"/>
        </w:rPr>
        <w:t>.3根据甲方授权，制定必要的规章制度，并以有效方式督促辖区内人员遵守。</w:t>
      </w:r>
    </w:p>
    <w:p w14:paraId="671DB2ED">
      <w:pPr>
        <w:widowControl/>
        <w:spacing w:line="520" w:lineRule="exact"/>
        <w:ind w:left="240" w:firstLine="240"/>
        <w:rPr>
          <w:rFonts w:hint="eastAsia"/>
          <w:color w:val="auto"/>
          <w:sz w:val="24"/>
          <w:szCs w:val="20"/>
        </w:rPr>
      </w:pPr>
      <w:r>
        <w:rPr>
          <w:rFonts w:hint="eastAsia"/>
          <w:color w:val="auto"/>
          <w:sz w:val="24"/>
          <w:szCs w:val="20"/>
          <w:lang w:val="en-US" w:eastAsia="zh-CN"/>
        </w:rPr>
        <w:t>1</w:t>
      </w:r>
      <w:r>
        <w:rPr>
          <w:rFonts w:hint="eastAsia"/>
          <w:color w:val="auto"/>
          <w:sz w:val="24"/>
          <w:szCs w:val="20"/>
        </w:rPr>
        <w:t>.4根据甲方授权，采取规劝、警告等措施制止区域内人员违反公众管理制度的行为。</w:t>
      </w:r>
    </w:p>
    <w:p w14:paraId="5C1AA272">
      <w:pPr>
        <w:widowControl/>
        <w:spacing w:line="520" w:lineRule="exact"/>
        <w:ind w:left="240" w:firstLine="240"/>
        <w:rPr>
          <w:rFonts w:hint="eastAsia"/>
          <w:color w:val="auto"/>
          <w:sz w:val="24"/>
          <w:szCs w:val="20"/>
        </w:rPr>
      </w:pPr>
      <w:r>
        <w:rPr>
          <w:rFonts w:hint="eastAsia"/>
          <w:color w:val="auto"/>
          <w:sz w:val="24"/>
          <w:szCs w:val="20"/>
          <w:lang w:val="en-US" w:eastAsia="zh-CN"/>
        </w:rPr>
        <w:t>1</w:t>
      </w:r>
      <w:r>
        <w:rPr>
          <w:rFonts w:hint="eastAsia"/>
          <w:color w:val="auto"/>
          <w:sz w:val="24"/>
          <w:szCs w:val="20"/>
        </w:rPr>
        <w:t>.5依照法律、法规规定和本合同约定享有的其他权利。</w:t>
      </w:r>
    </w:p>
    <w:p w14:paraId="1AD0905D">
      <w:pPr>
        <w:widowControl/>
        <w:spacing w:line="520" w:lineRule="exact"/>
        <w:ind w:left="240" w:firstLine="240"/>
        <w:rPr>
          <w:rFonts w:hint="eastAsia"/>
          <w:color w:val="auto"/>
          <w:sz w:val="24"/>
          <w:szCs w:val="20"/>
        </w:rPr>
      </w:pPr>
      <w:r>
        <w:rPr>
          <w:rFonts w:hint="eastAsia"/>
          <w:color w:val="auto"/>
          <w:sz w:val="24"/>
          <w:szCs w:val="20"/>
          <w:lang w:val="en-US" w:eastAsia="zh-CN"/>
        </w:rPr>
        <w:t>2、</w:t>
      </w:r>
      <w:r>
        <w:rPr>
          <w:rFonts w:hint="eastAsia"/>
          <w:color w:val="auto"/>
          <w:sz w:val="24"/>
          <w:szCs w:val="20"/>
        </w:rPr>
        <w:t>乙方义务：</w:t>
      </w:r>
    </w:p>
    <w:p w14:paraId="230C7033">
      <w:pPr>
        <w:widowControl/>
        <w:spacing w:line="520" w:lineRule="exact"/>
        <w:ind w:left="240" w:firstLine="240"/>
        <w:rPr>
          <w:rFonts w:hint="eastAsia"/>
          <w:color w:val="auto"/>
          <w:sz w:val="24"/>
          <w:szCs w:val="20"/>
        </w:rPr>
      </w:pPr>
      <w:r>
        <w:rPr>
          <w:rFonts w:hint="eastAsia"/>
          <w:color w:val="auto"/>
          <w:sz w:val="24"/>
          <w:szCs w:val="20"/>
          <w:lang w:val="en-US" w:eastAsia="zh-CN"/>
        </w:rPr>
        <w:t>2</w:t>
      </w:r>
      <w:r>
        <w:rPr>
          <w:rFonts w:hint="eastAsia"/>
          <w:color w:val="auto"/>
          <w:sz w:val="24"/>
          <w:szCs w:val="20"/>
        </w:rPr>
        <w:t>.1全面贯彻执行国家物业管理的法规、政策，全面遵守《招标文件》的要求，执行《投标文件》的承诺，接受甲方的审查、考核和监督，接受物业管理行政主管部门等的监督和指导。</w:t>
      </w:r>
    </w:p>
    <w:p w14:paraId="500CFB4E">
      <w:pPr>
        <w:widowControl/>
        <w:spacing w:line="520" w:lineRule="exact"/>
        <w:ind w:left="240" w:firstLine="240"/>
        <w:rPr>
          <w:rFonts w:hint="eastAsia"/>
          <w:color w:val="auto"/>
          <w:sz w:val="24"/>
          <w:szCs w:val="20"/>
        </w:rPr>
      </w:pPr>
      <w:r>
        <w:rPr>
          <w:rFonts w:hint="eastAsia"/>
          <w:color w:val="auto"/>
          <w:sz w:val="24"/>
          <w:szCs w:val="20"/>
          <w:lang w:val="en-US" w:eastAsia="zh-CN"/>
        </w:rPr>
        <w:t>2</w:t>
      </w:r>
      <w:r>
        <w:rPr>
          <w:rFonts w:hint="eastAsia"/>
          <w:color w:val="auto"/>
          <w:sz w:val="24"/>
          <w:szCs w:val="20"/>
        </w:rPr>
        <w:t>.2及时向甲方通告本区域内有关物业管理服务的重大事项，及时处理投诉，接受甲方的监督管理。</w:t>
      </w:r>
    </w:p>
    <w:p w14:paraId="3F4A77C3">
      <w:pPr>
        <w:widowControl/>
        <w:spacing w:line="520" w:lineRule="exact"/>
        <w:ind w:left="240" w:firstLine="240"/>
        <w:rPr>
          <w:rFonts w:hint="eastAsia"/>
          <w:color w:val="auto"/>
          <w:sz w:val="24"/>
          <w:szCs w:val="20"/>
        </w:rPr>
      </w:pPr>
      <w:r>
        <w:rPr>
          <w:rFonts w:hint="eastAsia"/>
          <w:color w:val="auto"/>
          <w:sz w:val="24"/>
          <w:szCs w:val="20"/>
          <w:lang w:val="en-US" w:eastAsia="zh-CN"/>
        </w:rPr>
        <w:t>2</w:t>
      </w:r>
      <w:r>
        <w:rPr>
          <w:rFonts w:hint="eastAsia"/>
          <w:color w:val="auto"/>
          <w:sz w:val="24"/>
          <w:szCs w:val="20"/>
        </w:rPr>
        <w:t>.3在承接物业时，应当对物业共用部位、共用设施设备进行查验</w:t>
      </w:r>
      <w:r>
        <w:rPr>
          <w:rFonts w:hint="eastAsia"/>
          <w:color w:val="auto"/>
          <w:sz w:val="24"/>
          <w:szCs w:val="20"/>
          <w:lang w:eastAsia="zh-CN"/>
        </w:rPr>
        <w:t>，</w:t>
      </w:r>
      <w:r>
        <w:rPr>
          <w:rFonts w:hint="eastAsia"/>
          <w:color w:val="auto"/>
          <w:sz w:val="24"/>
          <w:szCs w:val="20"/>
        </w:rPr>
        <w:t>并做好书面记录和签认工作。</w:t>
      </w:r>
    </w:p>
    <w:p w14:paraId="3EEE2AA1">
      <w:pPr>
        <w:widowControl/>
        <w:spacing w:line="520" w:lineRule="exact"/>
        <w:ind w:left="240" w:firstLine="240"/>
        <w:rPr>
          <w:rFonts w:hint="eastAsia"/>
          <w:color w:val="auto"/>
          <w:sz w:val="24"/>
          <w:szCs w:val="20"/>
        </w:rPr>
      </w:pPr>
      <w:r>
        <w:rPr>
          <w:rFonts w:hint="eastAsia"/>
          <w:color w:val="auto"/>
          <w:sz w:val="24"/>
          <w:szCs w:val="20"/>
          <w:lang w:val="en-US" w:eastAsia="zh-CN"/>
        </w:rPr>
        <w:t>2</w:t>
      </w:r>
      <w:r>
        <w:rPr>
          <w:rFonts w:hint="eastAsia"/>
          <w:color w:val="auto"/>
          <w:sz w:val="24"/>
          <w:szCs w:val="20"/>
        </w:rPr>
        <w:t>.4结合本物业管理区域的实际情况，编制年度管理计划，维修保养计划，经甲方批准后组织实施。</w:t>
      </w:r>
    </w:p>
    <w:p w14:paraId="470262EE">
      <w:pPr>
        <w:widowControl/>
        <w:spacing w:line="520" w:lineRule="exact"/>
        <w:ind w:left="240" w:firstLine="240"/>
        <w:rPr>
          <w:rFonts w:hint="eastAsia"/>
          <w:color w:val="auto"/>
          <w:sz w:val="24"/>
          <w:szCs w:val="20"/>
        </w:rPr>
      </w:pPr>
      <w:r>
        <w:rPr>
          <w:rFonts w:hint="eastAsia"/>
          <w:color w:val="auto"/>
          <w:sz w:val="24"/>
          <w:szCs w:val="20"/>
          <w:lang w:val="en-US" w:eastAsia="zh-CN"/>
        </w:rPr>
        <w:t>2</w:t>
      </w:r>
      <w:r>
        <w:rPr>
          <w:rFonts w:hint="eastAsia"/>
          <w:color w:val="auto"/>
          <w:sz w:val="24"/>
          <w:szCs w:val="20"/>
        </w:rPr>
        <w:t>.5制止本物业管理区域内违反有关治安、环保、物业装饰装修和使用等方面规章制度的行为，对违反法律法规规定的行为及时向甲方报告。</w:t>
      </w:r>
    </w:p>
    <w:p w14:paraId="4D778162">
      <w:pPr>
        <w:widowControl/>
        <w:spacing w:line="520" w:lineRule="exact"/>
        <w:ind w:left="240" w:firstLine="240"/>
        <w:rPr>
          <w:rFonts w:hint="eastAsia"/>
          <w:color w:val="auto"/>
          <w:sz w:val="24"/>
          <w:szCs w:val="20"/>
        </w:rPr>
      </w:pPr>
      <w:r>
        <w:rPr>
          <w:rFonts w:hint="eastAsia"/>
          <w:color w:val="auto"/>
          <w:sz w:val="24"/>
          <w:szCs w:val="20"/>
          <w:lang w:val="en-US" w:eastAsia="zh-CN"/>
        </w:rPr>
        <w:t>2</w:t>
      </w:r>
      <w:r>
        <w:rPr>
          <w:rFonts w:hint="eastAsia"/>
          <w:color w:val="auto"/>
          <w:sz w:val="24"/>
          <w:szCs w:val="20"/>
        </w:rPr>
        <w:t>.6协助做好本物业管理区域内的安全防范工作，发生安全事故时，在采取应急措施的同时，及时向有关行政管理部门报告，保护好现场、协助做好救助工作； 秩序维护员在维护本物业管理区域的公共秩序时，要履行职责，不得侵害公民的合法权益。</w:t>
      </w:r>
    </w:p>
    <w:p w14:paraId="41850691">
      <w:pPr>
        <w:widowControl/>
        <w:spacing w:line="520" w:lineRule="exact"/>
        <w:ind w:left="240" w:firstLine="240"/>
        <w:rPr>
          <w:rFonts w:hint="eastAsia"/>
          <w:color w:val="auto"/>
          <w:sz w:val="24"/>
          <w:szCs w:val="20"/>
        </w:rPr>
      </w:pPr>
      <w:r>
        <w:rPr>
          <w:rFonts w:hint="eastAsia"/>
          <w:color w:val="auto"/>
          <w:sz w:val="24"/>
          <w:szCs w:val="20"/>
          <w:lang w:val="en-US" w:eastAsia="zh-CN"/>
        </w:rPr>
        <w:t>2</w:t>
      </w:r>
      <w:r>
        <w:rPr>
          <w:rFonts w:hint="eastAsia"/>
          <w:color w:val="auto"/>
          <w:sz w:val="24"/>
          <w:szCs w:val="20"/>
        </w:rPr>
        <w:t>.7非经甲方许可并办理有关手续，不得擅自改变物业管理区域内共用部分、共用设施设备的用途；对本物业的公用设施不得擅自占用和改变使用功能。</w:t>
      </w:r>
    </w:p>
    <w:p w14:paraId="3E830E4B">
      <w:pPr>
        <w:widowControl/>
        <w:spacing w:line="520" w:lineRule="exact"/>
        <w:ind w:left="240" w:firstLine="240"/>
        <w:rPr>
          <w:rFonts w:hint="eastAsia"/>
          <w:color w:val="auto"/>
          <w:sz w:val="24"/>
          <w:szCs w:val="20"/>
        </w:rPr>
      </w:pPr>
      <w:r>
        <w:rPr>
          <w:rFonts w:hint="eastAsia"/>
          <w:color w:val="auto"/>
          <w:sz w:val="24"/>
          <w:szCs w:val="20"/>
          <w:lang w:val="en-US" w:eastAsia="zh-CN"/>
        </w:rPr>
        <w:t>2</w:t>
      </w:r>
      <w:r>
        <w:rPr>
          <w:rFonts w:hint="eastAsia"/>
          <w:color w:val="auto"/>
          <w:sz w:val="24"/>
          <w:szCs w:val="20"/>
        </w:rPr>
        <w:t>.8因维修、养护共用部位、共用设施设备需要而暂时停水、停电或停止共用设施设备的使用的（除排危抢险情形以外），乙方应事先通知甲方。</w:t>
      </w:r>
    </w:p>
    <w:p w14:paraId="6B9F19CB">
      <w:pPr>
        <w:widowControl/>
        <w:spacing w:line="520" w:lineRule="exact"/>
        <w:ind w:left="240" w:firstLine="240"/>
        <w:rPr>
          <w:rFonts w:hint="eastAsia"/>
          <w:color w:val="auto"/>
          <w:sz w:val="24"/>
          <w:szCs w:val="20"/>
        </w:rPr>
      </w:pPr>
      <w:r>
        <w:rPr>
          <w:rFonts w:hint="eastAsia"/>
          <w:color w:val="auto"/>
          <w:sz w:val="24"/>
          <w:szCs w:val="20"/>
          <w:lang w:val="en-US" w:eastAsia="zh-CN"/>
        </w:rPr>
        <w:t>2</w:t>
      </w:r>
      <w:r>
        <w:rPr>
          <w:rFonts w:hint="eastAsia"/>
          <w:color w:val="auto"/>
          <w:sz w:val="24"/>
          <w:szCs w:val="20"/>
        </w:rPr>
        <w:t>.9经甲方书面同意，可选聘专业公司承担本物业的个别专项管理业务，但不得将履行本合同的责任转让给第三方。</w:t>
      </w:r>
    </w:p>
    <w:p w14:paraId="78039B2D">
      <w:pPr>
        <w:widowControl/>
        <w:spacing w:line="520" w:lineRule="exact"/>
        <w:ind w:left="240" w:firstLine="240"/>
        <w:rPr>
          <w:rFonts w:hint="eastAsia"/>
          <w:color w:val="auto"/>
          <w:sz w:val="24"/>
          <w:szCs w:val="20"/>
        </w:rPr>
      </w:pPr>
      <w:r>
        <w:rPr>
          <w:rFonts w:hint="eastAsia"/>
          <w:color w:val="auto"/>
          <w:sz w:val="24"/>
          <w:szCs w:val="20"/>
          <w:lang w:val="en-US" w:eastAsia="zh-CN"/>
        </w:rPr>
        <w:t>2</w:t>
      </w:r>
      <w:r>
        <w:rPr>
          <w:rFonts w:hint="eastAsia"/>
          <w:color w:val="auto"/>
          <w:sz w:val="24"/>
          <w:szCs w:val="20"/>
        </w:rPr>
        <w:t>.10本合同终止或出现本合同约定终止情形时，乙方应当在接到通知七日内将物业管理用房和物业管理相关资料、物件、设施及时如数地移交给甲方并撤出前委托管理区域，不得以任何理由拒绝或拖延。</w:t>
      </w:r>
    </w:p>
    <w:p w14:paraId="2D76876E">
      <w:pPr>
        <w:widowControl/>
        <w:spacing w:line="520" w:lineRule="exact"/>
        <w:ind w:left="240" w:firstLine="240"/>
        <w:rPr>
          <w:rFonts w:hint="eastAsia"/>
          <w:color w:val="auto"/>
          <w:sz w:val="24"/>
          <w:szCs w:val="20"/>
        </w:rPr>
      </w:pPr>
      <w:r>
        <w:rPr>
          <w:rFonts w:hint="eastAsia"/>
          <w:color w:val="auto"/>
          <w:sz w:val="24"/>
          <w:szCs w:val="20"/>
          <w:lang w:val="en-US" w:eastAsia="zh-CN"/>
        </w:rPr>
        <w:t>2</w:t>
      </w:r>
      <w:r>
        <w:rPr>
          <w:rFonts w:hint="eastAsia"/>
          <w:color w:val="auto"/>
          <w:sz w:val="24"/>
          <w:szCs w:val="20"/>
        </w:rPr>
        <w:t>.11法律、法规规定的其他义务。</w:t>
      </w:r>
    </w:p>
    <w:p w14:paraId="5B519BFE">
      <w:pPr>
        <w:keepNext w:val="0"/>
        <w:keepLines w:val="0"/>
        <w:pageBreakBefore w:val="0"/>
        <w:widowControl w:val="0"/>
        <w:spacing w:line="500" w:lineRule="exact"/>
        <w:ind w:left="0" w:firstLine="482"/>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第六条 履约保证金</w:t>
      </w:r>
    </w:p>
    <w:p w14:paraId="429ADF31">
      <w:pPr>
        <w:widowControl/>
        <w:spacing w:line="560" w:lineRule="exact"/>
        <w:ind w:firstLine="480"/>
        <w:rPr>
          <w:rFonts w:hint="eastAsia" w:eastAsia="Arial"/>
          <w:color w:val="auto"/>
          <w:sz w:val="24"/>
          <w:szCs w:val="20"/>
        </w:rPr>
      </w:pPr>
      <w:r>
        <w:rPr>
          <w:rFonts w:hint="eastAsia" w:eastAsia="宋体"/>
          <w:color w:val="auto"/>
          <w:sz w:val="24"/>
          <w:szCs w:val="20"/>
          <w:lang w:val="en-US" w:eastAsia="zh-CN"/>
        </w:rPr>
        <w:t>1.</w:t>
      </w:r>
      <w:r>
        <w:rPr>
          <w:rFonts w:hint="eastAsia" w:eastAsia="Arial"/>
          <w:color w:val="auto"/>
          <w:sz w:val="24"/>
          <w:szCs w:val="20"/>
        </w:rPr>
        <w:t>乙方交纳人民币_________元作为本合同的履约保证金。</w:t>
      </w:r>
    </w:p>
    <w:p w14:paraId="305E15BE">
      <w:pPr>
        <w:widowControl/>
        <w:spacing w:line="560" w:lineRule="exact"/>
        <w:ind w:firstLine="480"/>
        <w:rPr>
          <w:rFonts w:hint="eastAsia" w:eastAsia="Arial"/>
          <w:color w:val="auto"/>
          <w:sz w:val="24"/>
          <w:szCs w:val="20"/>
          <w:lang w:eastAsia="zh-CN"/>
        </w:rPr>
      </w:pPr>
      <w:r>
        <w:rPr>
          <w:rFonts w:hint="eastAsia" w:eastAsia="Arial"/>
          <w:color w:val="auto"/>
          <w:sz w:val="24"/>
          <w:szCs w:val="20"/>
        </w:rPr>
        <w:t>（备注：不得超过合同金额的10%，采购人对AA评级及以上政府采购供应商（需提供信用管理部门备案的第三方信用报告）免收履约保证金或降低履约保证金缴纳比例。</w:t>
      </w:r>
      <w:r>
        <w:rPr>
          <w:rFonts w:hint="eastAsia" w:ascii="宋体" w:hAnsi="宋体" w:eastAsia="宋体" w:cs="Times New Roman"/>
          <w:b/>
          <w:bCs/>
          <w:color w:val="auto"/>
          <w:sz w:val="24"/>
          <w:szCs w:val="24"/>
          <w:highlight w:val="none"/>
          <w:lang w:val="en-US" w:eastAsia="zh-CN"/>
        </w:rPr>
        <w:t>（本项目约定降低履约保证金比例，即为合同金额的5%）</w:t>
      </w:r>
      <w:r>
        <w:rPr>
          <w:rFonts w:hint="eastAsia" w:eastAsia="Arial"/>
          <w:color w:val="auto"/>
          <w:sz w:val="24"/>
          <w:szCs w:val="20"/>
          <w:lang w:eastAsia="zh-CN"/>
        </w:rPr>
        <w:t>）</w:t>
      </w:r>
    </w:p>
    <w:p w14:paraId="3F4A134E">
      <w:pPr>
        <w:widowControl/>
        <w:spacing w:line="560" w:lineRule="exact"/>
        <w:ind w:firstLine="480"/>
        <w:rPr>
          <w:rFonts w:hint="eastAsia" w:eastAsia="Arial"/>
          <w:color w:val="auto"/>
          <w:sz w:val="24"/>
          <w:szCs w:val="20"/>
          <w:lang w:eastAsia="zh-CN"/>
        </w:rPr>
      </w:pPr>
      <w:r>
        <w:rPr>
          <w:rFonts w:hint="eastAsia" w:eastAsia="宋体"/>
          <w:color w:val="auto"/>
          <w:sz w:val="24"/>
          <w:szCs w:val="20"/>
          <w:lang w:val="en-US" w:eastAsia="zh-CN"/>
        </w:rPr>
        <w:t>2.</w:t>
      </w:r>
      <w:r>
        <w:rPr>
          <w:rFonts w:hint="eastAsia" w:eastAsia="Arial"/>
          <w:color w:val="auto"/>
          <w:sz w:val="24"/>
          <w:szCs w:val="20"/>
          <w:lang w:val="en-US" w:eastAsia="zh-CN"/>
        </w:rPr>
        <w:t>确需收取履约保证金的，</w:t>
      </w:r>
      <w:r>
        <w:rPr>
          <w:rFonts w:hint="eastAsia" w:eastAsia="Arial"/>
          <w:color w:val="auto"/>
          <w:sz w:val="24"/>
          <w:szCs w:val="20"/>
          <w:lang w:eastAsia="zh-CN"/>
        </w:rPr>
        <w:t>履约保证金的缴纳形式：</w:t>
      </w:r>
    </w:p>
    <w:p w14:paraId="2A6FBAB6">
      <w:pPr>
        <w:widowControl/>
        <w:spacing w:line="560" w:lineRule="exact"/>
        <w:ind w:firstLine="480"/>
        <w:rPr>
          <w:rFonts w:hint="eastAsia" w:eastAsia="Arial"/>
          <w:color w:val="auto"/>
          <w:sz w:val="24"/>
          <w:szCs w:val="20"/>
          <w:lang w:eastAsia="zh-CN"/>
        </w:rPr>
      </w:pPr>
      <w:r>
        <w:rPr>
          <w:rFonts w:hint="eastAsia" w:eastAsia="Arial"/>
          <w:color w:val="auto"/>
          <w:sz w:val="24"/>
          <w:szCs w:val="20"/>
          <w:lang w:val="en-US" w:eastAsia="zh-CN"/>
        </w:rPr>
        <w:t>2.1</w:t>
      </w:r>
      <w:r>
        <w:rPr>
          <w:rFonts w:hint="eastAsia" w:eastAsia="Arial"/>
          <w:color w:val="auto"/>
          <w:sz w:val="24"/>
          <w:szCs w:val="20"/>
        </w:rPr>
        <w:t>供应商应当以支票、汇票、本票或者金融机构、担保机构出具的保函等非现金形式提交</w:t>
      </w:r>
      <w:r>
        <w:rPr>
          <w:rFonts w:hint="eastAsia" w:eastAsia="Arial"/>
          <w:color w:val="auto"/>
          <w:sz w:val="24"/>
          <w:szCs w:val="20"/>
          <w:lang w:eastAsia="zh-CN"/>
        </w:rPr>
        <w:t>履约保证金</w:t>
      </w:r>
      <w:r>
        <w:rPr>
          <w:rFonts w:hint="eastAsia" w:eastAsia="Arial"/>
          <w:color w:val="auto"/>
          <w:sz w:val="24"/>
          <w:szCs w:val="20"/>
        </w:rPr>
        <w:t>。依据《关于在全省政府采购领域推行电子履约保函（保险）的通知》，鼓励供应商自愿使用</w:t>
      </w:r>
      <w:r>
        <w:rPr>
          <w:rFonts w:hint="eastAsia" w:eastAsia="Arial"/>
          <w:color w:val="auto"/>
          <w:sz w:val="24"/>
          <w:szCs w:val="20"/>
          <w:lang w:eastAsia="zh-CN"/>
        </w:rPr>
        <w:t>电子</w:t>
      </w:r>
      <w:r>
        <w:rPr>
          <w:rFonts w:hint="eastAsia" w:eastAsia="Arial"/>
          <w:color w:val="auto"/>
          <w:sz w:val="24"/>
          <w:szCs w:val="20"/>
        </w:rPr>
        <w:t>履约保函（保险）代替缴纳履约保证金</w:t>
      </w:r>
      <w:r>
        <w:rPr>
          <w:rFonts w:hint="eastAsia" w:eastAsia="Arial"/>
          <w:color w:val="auto"/>
          <w:sz w:val="24"/>
          <w:szCs w:val="20"/>
          <w:lang w:eastAsia="zh-CN"/>
        </w:rPr>
        <w:t>。</w:t>
      </w:r>
    </w:p>
    <w:p w14:paraId="45D56414">
      <w:pPr>
        <w:widowControl/>
        <w:spacing w:line="560" w:lineRule="exact"/>
        <w:ind w:firstLine="480"/>
        <w:rPr>
          <w:rFonts w:hint="eastAsia" w:eastAsia="Arial"/>
          <w:color w:val="auto"/>
          <w:sz w:val="24"/>
          <w:szCs w:val="20"/>
          <w:lang w:val="en-US" w:eastAsia="zh-CN"/>
        </w:rPr>
      </w:pPr>
      <w:r>
        <w:rPr>
          <w:rFonts w:hint="eastAsia" w:eastAsia="Arial"/>
          <w:color w:val="auto"/>
          <w:sz w:val="24"/>
          <w:szCs w:val="20"/>
          <w:lang w:val="en-US" w:eastAsia="zh-CN"/>
        </w:rPr>
        <w:t>2.2 如以履约保函（保险）形式缴纳履约保证金，供应商可通过政府采购电子履约保函（保险）平台（www.jsdzbh.com）在线申请履约保函（保险）。</w:t>
      </w:r>
    </w:p>
    <w:p w14:paraId="2D17119F">
      <w:pPr>
        <w:widowControl/>
        <w:spacing w:line="560" w:lineRule="exact"/>
        <w:ind w:firstLine="480"/>
        <w:rPr>
          <w:rFonts w:hint="eastAsia" w:eastAsia="Arial"/>
          <w:color w:val="auto"/>
          <w:sz w:val="24"/>
          <w:szCs w:val="20"/>
        </w:rPr>
      </w:pPr>
      <w:r>
        <w:rPr>
          <w:rFonts w:hint="eastAsia" w:eastAsia="宋体"/>
          <w:color w:val="auto"/>
          <w:sz w:val="24"/>
          <w:szCs w:val="20"/>
          <w:lang w:val="en-US" w:eastAsia="zh-CN"/>
        </w:rPr>
        <w:t>3.</w:t>
      </w:r>
      <w:r>
        <w:rPr>
          <w:rFonts w:hint="eastAsia" w:eastAsia="Arial"/>
          <w:color w:val="auto"/>
          <w:sz w:val="24"/>
          <w:szCs w:val="20"/>
        </w:rPr>
        <w:t>合同履行结束后，甲方应及时退还交纳的履约保证金。</w:t>
      </w:r>
    </w:p>
    <w:p w14:paraId="18A88010">
      <w:pPr>
        <w:widowControl/>
        <w:spacing w:line="560" w:lineRule="exact"/>
        <w:ind w:firstLine="480"/>
        <w:rPr>
          <w:rFonts w:hint="eastAsia" w:eastAsia="Arial"/>
          <w:color w:val="auto"/>
          <w:sz w:val="24"/>
          <w:szCs w:val="20"/>
        </w:rPr>
      </w:pPr>
      <w:r>
        <w:rPr>
          <w:rFonts w:hint="eastAsia" w:eastAsia="宋体"/>
          <w:color w:val="auto"/>
          <w:sz w:val="24"/>
          <w:szCs w:val="20"/>
          <w:lang w:val="en-US" w:eastAsia="zh-CN"/>
        </w:rPr>
        <w:t>4.</w:t>
      </w:r>
      <w:r>
        <w:rPr>
          <w:rFonts w:hint="eastAsia" w:eastAsia="Arial"/>
          <w:color w:val="auto"/>
          <w:sz w:val="24"/>
          <w:szCs w:val="20"/>
        </w:rPr>
        <w:t>履约保证金的退还：</w:t>
      </w:r>
    </w:p>
    <w:p w14:paraId="12C7E3B1">
      <w:pPr>
        <w:widowControl/>
        <w:spacing w:line="560" w:lineRule="exact"/>
        <w:ind w:firstLine="480"/>
        <w:rPr>
          <w:rFonts w:hint="eastAsia" w:eastAsia="Arial"/>
          <w:color w:val="auto"/>
          <w:sz w:val="24"/>
          <w:szCs w:val="20"/>
        </w:rPr>
      </w:pPr>
      <w:r>
        <w:rPr>
          <w:rFonts w:hint="eastAsia" w:eastAsia="Arial"/>
          <w:color w:val="auto"/>
          <w:sz w:val="24"/>
          <w:szCs w:val="20"/>
          <w:lang w:val="en-US" w:eastAsia="zh-CN"/>
        </w:rPr>
        <w:t>4</w:t>
      </w:r>
      <w:r>
        <w:rPr>
          <w:rFonts w:hint="eastAsia" w:eastAsia="Arial"/>
          <w:color w:val="auto"/>
          <w:sz w:val="24"/>
          <w:szCs w:val="20"/>
        </w:rPr>
        <w:t>.1方式：无息退还至投标人缴纳履约保证金的账户。如为保函，在到期时自行失效。</w:t>
      </w:r>
    </w:p>
    <w:p w14:paraId="34946FB5">
      <w:pPr>
        <w:widowControl/>
        <w:spacing w:line="560" w:lineRule="exact"/>
        <w:ind w:firstLine="480"/>
        <w:rPr>
          <w:rFonts w:hint="eastAsia" w:eastAsia="Arial"/>
          <w:color w:val="auto"/>
          <w:sz w:val="24"/>
          <w:szCs w:val="20"/>
        </w:rPr>
      </w:pPr>
      <w:r>
        <w:rPr>
          <w:rFonts w:hint="eastAsia" w:eastAsia="Arial"/>
          <w:color w:val="auto"/>
          <w:sz w:val="24"/>
          <w:szCs w:val="20"/>
          <w:lang w:val="en-US" w:eastAsia="zh-CN"/>
        </w:rPr>
        <w:t>4</w:t>
      </w:r>
      <w:r>
        <w:rPr>
          <w:rFonts w:hint="eastAsia" w:eastAsia="Arial"/>
          <w:color w:val="auto"/>
          <w:sz w:val="24"/>
          <w:szCs w:val="20"/>
        </w:rPr>
        <w:t>.2时间：验收合格且采购人收到发票后30日内。</w:t>
      </w:r>
    </w:p>
    <w:p w14:paraId="7E2FEBF7">
      <w:pPr>
        <w:widowControl/>
        <w:spacing w:line="560" w:lineRule="exact"/>
        <w:ind w:firstLine="480"/>
        <w:rPr>
          <w:rFonts w:hint="eastAsia" w:eastAsia="Arial"/>
          <w:color w:val="auto"/>
          <w:sz w:val="24"/>
          <w:szCs w:val="20"/>
        </w:rPr>
      </w:pPr>
      <w:r>
        <w:rPr>
          <w:rFonts w:hint="eastAsia" w:eastAsia="Arial"/>
          <w:color w:val="auto"/>
          <w:sz w:val="24"/>
          <w:szCs w:val="20"/>
          <w:lang w:val="en-US" w:eastAsia="zh-CN"/>
        </w:rPr>
        <w:t>4</w:t>
      </w:r>
      <w:r>
        <w:rPr>
          <w:rFonts w:hint="eastAsia" w:eastAsia="Arial"/>
          <w:color w:val="auto"/>
          <w:sz w:val="24"/>
          <w:szCs w:val="20"/>
        </w:rPr>
        <w:t>.3条件：按合同要求全部履约完成并经采购人验收合格，且采购人收到中标人出具的发票。</w:t>
      </w:r>
    </w:p>
    <w:p w14:paraId="0CEF6BDC">
      <w:pPr>
        <w:widowControl/>
        <w:spacing w:line="560" w:lineRule="exact"/>
        <w:ind w:firstLine="480"/>
        <w:rPr>
          <w:rFonts w:hint="eastAsia" w:eastAsia="Arial"/>
          <w:color w:val="auto"/>
          <w:sz w:val="24"/>
          <w:szCs w:val="20"/>
        </w:rPr>
      </w:pPr>
      <w:r>
        <w:rPr>
          <w:rFonts w:hint="eastAsia" w:eastAsia="Arial"/>
          <w:color w:val="auto"/>
          <w:sz w:val="24"/>
          <w:szCs w:val="20"/>
          <w:lang w:val="en-US" w:eastAsia="zh-CN"/>
        </w:rPr>
        <w:t>4</w:t>
      </w:r>
      <w:r>
        <w:rPr>
          <w:rFonts w:hint="eastAsia" w:eastAsia="Arial"/>
          <w:color w:val="auto"/>
          <w:sz w:val="24"/>
          <w:szCs w:val="20"/>
        </w:rPr>
        <w:t>.4不予退还情形：</w:t>
      </w:r>
    </w:p>
    <w:p w14:paraId="393CFE7C">
      <w:pPr>
        <w:widowControl/>
        <w:spacing w:line="560" w:lineRule="exact"/>
        <w:ind w:firstLine="480"/>
        <w:rPr>
          <w:rFonts w:hint="eastAsia" w:eastAsia="Arial"/>
          <w:color w:val="auto"/>
          <w:sz w:val="24"/>
          <w:szCs w:val="20"/>
        </w:rPr>
      </w:pPr>
      <w:r>
        <w:rPr>
          <w:rFonts w:hint="eastAsia" w:eastAsia="Arial"/>
          <w:color w:val="auto"/>
          <w:sz w:val="24"/>
          <w:szCs w:val="20"/>
        </w:rPr>
        <w:t>除不可抗力情况外，投标人出现下列情形之一的，其履约保证金，招标人将视情节决定不予退还或部分不予退还。</w:t>
      </w:r>
    </w:p>
    <w:p w14:paraId="14044681">
      <w:pPr>
        <w:widowControl/>
        <w:spacing w:line="560" w:lineRule="exact"/>
        <w:ind w:firstLine="480"/>
        <w:rPr>
          <w:rFonts w:hint="eastAsia" w:eastAsia="Arial"/>
          <w:color w:val="auto"/>
          <w:sz w:val="24"/>
          <w:szCs w:val="20"/>
        </w:rPr>
      </w:pPr>
      <w:r>
        <w:rPr>
          <w:rFonts w:hint="eastAsia" w:eastAsia="Arial"/>
          <w:color w:val="auto"/>
          <w:sz w:val="24"/>
          <w:szCs w:val="20"/>
        </w:rPr>
        <w:t>（1）中标人无正当理由拒绝签订合同的，或者在签订合同时向采购人提出附加条件或者更改合同实质性内容要求的；</w:t>
      </w:r>
    </w:p>
    <w:p w14:paraId="50FDF406">
      <w:pPr>
        <w:widowControl/>
        <w:spacing w:line="560" w:lineRule="exact"/>
        <w:ind w:firstLine="480"/>
        <w:rPr>
          <w:rFonts w:hint="eastAsia" w:eastAsia="Arial"/>
          <w:color w:val="auto"/>
          <w:sz w:val="24"/>
          <w:szCs w:val="20"/>
        </w:rPr>
      </w:pPr>
      <w:r>
        <w:rPr>
          <w:rFonts w:hint="eastAsia" w:eastAsia="Arial"/>
          <w:color w:val="auto"/>
          <w:sz w:val="24"/>
          <w:szCs w:val="20"/>
        </w:rPr>
        <w:t>（2）中标人不履行与采购人订立的合同的；</w:t>
      </w:r>
    </w:p>
    <w:p w14:paraId="5CF1F1BB">
      <w:pPr>
        <w:widowControl/>
        <w:spacing w:line="560" w:lineRule="exact"/>
        <w:ind w:firstLine="480"/>
        <w:rPr>
          <w:rFonts w:hint="eastAsia" w:eastAsia="Arial"/>
          <w:color w:val="auto"/>
          <w:sz w:val="24"/>
          <w:szCs w:val="20"/>
        </w:rPr>
      </w:pPr>
      <w:r>
        <w:rPr>
          <w:rFonts w:hint="eastAsia" w:eastAsia="Arial"/>
          <w:color w:val="auto"/>
          <w:sz w:val="24"/>
          <w:szCs w:val="20"/>
        </w:rPr>
        <w:t>（3）中标人所供货物或服务不符合招标文件规定要求的；</w:t>
      </w:r>
    </w:p>
    <w:p w14:paraId="7FE1520B">
      <w:pPr>
        <w:widowControl/>
        <w:spacing w:line="560" w:lineRule="exact"/>
        <w:ind w:firstLine="480"/>
        <w:rPr>
          <w:rFonts w:hint="eastAsia" w:eastAsia="Arial"/>
          <w:color w:val="auto"/>
          <w:sz w:val="24"/>
          <w:szCs w:val="20"/>
        </w:rPr>
      </w:pPr>
      <w:r>
        <w:rPr>
          <w:rFonts w:hint="eastAsia" w:eastAsia="Arial"/>
          <w:color w:val="auto"/>
          <w:sz w:val="24"/>
          <w:szCs w:val="20"/>
        </w:rPr>
        <w:t>（4）中标人采取欺骗、弄虚作假方式投标的或与其它投标人串通投标的；</w:t>
      </w:r>
    </w:p>
    <w:p w14:paraId="3B15A7B5">
      <w:pPr>
        <w:widowControl/>
        <w:spacing w:line="560" w:lineRule="exact"/>
        <w:ind w:firstLine="480"/>
        <w:rPr>
          <w:rFonts w:hint="eastAsia" w:eastAsia="Arial"/>
          <w:color w:val="auto"/>
          <w:sz w:val="24"/>
          <w:szCs w:val="20"/>
        </w:rPr>
      </w:pPr>
      <w:r>
        <w:rPr>
          <w:rFonts w:hint="eastAsia" w:eastAsia="Arial"/>
          <w:color w:val="auto"/>
          <w:sz w:val="24"/>
          <w:szCs w:val="20"/>
        </w:rPr>
        <w:t>（5）中标人将合同内容转包、违法分包的；</w:t>
      </w:r>
    </w:p>
    <w:p w14:paraId="487620EC">
      <w:pPr>
        <w:widowControl/>
        <w:spacing w:line="560" w:lineRule="exact"/>
        <w:ind w:firstLine="480"/>
        <w:rPr>
          <w:rFonts w:hint="eastAsia" w:eastAsia="Arial"/>
          <w:color w:val="auto"/>
          <w:sz w:val="24"/>
          <w:szCs w:val="20"/>
        </w:rPr>
      </w:pPr>
      <w:r>
        <w:rPr>
          <w:rFonts w:hint="eastAsia" w:eastAsia="Arial"/>
          <w:color w:val="auto"/>
          <w:sz w:val="24"/>
          <w:szCs w:val="20"/>
        </w:rPr>
        <w:t>（6）中标人故意捏造事实或伪造证明材料，进行虚假恶意投诉或反映的。</w:t>
      </w:r>
    </w:p>
    <w:p w14:paraId="3E2A983C">
      <w:pPr>
        <w:widowControl/>
        <w:spacing w:line="560" w:lineRule="exact"/>
        <w:ind w:firstLine="480"/>
        <w:rPr>
          <w:rFonts w:hint="eastAsia" w:eastAsia="Arial"/>
          <w:color w:val="auto"/>
          <w:sz w:val="24"/>
          <w:szCs w:val="20"/>
        </w:rPr>
      </w:pPr>
      <w:r>
        <w:rPr>
          <w:rFonts w:hint="eastAsia" w:eastAsia="Arial"/>
          <w:color w:val="auto"/>
          <w:sz w:val="24"/>
          <w:szCs w:val="20"/>
          <w:lang w:val="en-US" w:eastAsia="zh-CN"/>
        </w:rPr>
        <w:t>4</w:t>
      </w:r>
      <w:r>
        <w:rPr>
          <w:rFonts w:hint="eastAsia" w:eastAsia="Arial"/>
          <w:color w:val="auto"/>
          <w:sz w:val="24"/>
          <w:szCs w:val="20"/>
        </w:rPr>
        <w:t>.5逾期退还的违约责任：采购人逾期无故未退还履约保证金的，按中国人民银行同期贷款基准利率上浮20%后的利率支付超期资金占用费，但因供应商自身原因导致无法及时退还的除外。</w:t>
      </w:r>
    </w:p>
    <w:p w14:paraId="476C0FE3">
      <w:pPr>
        <w:widowControl/>
        <w:numPr>
          <w:ilvl w:val="0"/>
          <w:numId w:val="0"/>
        </w:numPr>
        <w:spacing w:line="560" w:lineRule="exact"/>
        <w:ind w:firstLine="482" w:firstLineChars="200"/>
        <w:rPr>
          <w:rFonts w:eastAsia="Arial"/>
          <w:b/>
          <w:bCs/>
          <w:color w:val="auto"/>
          <w:sz w:val="24"/>
          <w:szCs w:val="20"/>
          <w:highlight w:val="none"/>
        </w:rPr>
      </w:pPr>
      <w:r>
        <w:rPr>
          <w:rFonts w:hint="eastAsia" w:eastAsia="宋体"/>
          <w:b/>
          <w:bCs/>
          <w:color w:val="auto"/>
          <w:sz w:val="24"/>
          <w:szCs w:val="20"/>
          <w:highlight w:val="none"/>
          <w:lang w:val="en-US" w:eastAsia="zh-CN"/>
        </w:rPr>
        <w:t>第七条、合同金额</w:t>
      </w:r>
    </w:p>
    <w:p w14:paraId="14D5FA04">
      <w:pPr>
        <w:widowControl/>
        <w:numPr>
          <w:ilvl w:val="0"/>
          <w:numId w:val="0"/>
        </w:numPr>
        <w:spacing w:line="560" w:lineRule="exact"/>
        <w:ind w:firstLine="480" w:firstLineChars="200"/>
        <w:rPr>
          <w:rFonts w:eastAsia="Arial"/>
          <w:color w:val="auto"/>
          <w:sz w:val="24"/>
          <w:szCs w:val="20"/>
          <w:highlight w:val="yellow"/>
        </w:rPr>
      </w:pPr>
      <w:r>
        <w:rPr>
          <w:rFonts w:hint="eastAsia" w:eastAsia="宋体"/>
          <w:color w:val="auto"/>
          <w:sz w:val="24"/>
          <w:szCs w:val="20"/>
          <w:lang w:val="en-US" w:eastAsia="zh-CN"/>
        </w:rPr>
        <w:t>1.</w:t>
      </w:r>
      <w:r>
        <w:rPr>
          <w:rFonts w:hint="eastAsia" w:eastAsia="Arial"/>
          <w:color w:val="auto"/>
          <w:sz w:val="24"/>
          <w:szCs w:val="20"/>
        </w:rPr>
        <w:t xml:space="preserve">本合同履约物业服务费为，人民币(大写): </w:t>
      </w:r>
      <w:r>
        <w:rPr>
          <w:rFonts w:hint="eastAsia" w:eastAsia="Arial"/>
          <w:color w:val="auto"/>
          <w:sz w:val="24"/>
          <w:szCs w:val="20"/>
          <w:u w:val="single"/>
        </w:rPr>
        <w:t xml:space="preserve">       </w:t>
      </w:r>
      <w:r>
        <w:rPr>
          <w:rFonts w:hint="eastAsia"/>
          <w:color w:val="auto"/>
          <w:sz w:val="24"/>
          <w:szCs w:val="20"/>
          <w:u w:val="single"/>
        </w:rPr>
        <w:t xml:space="preserve"> </w:t>
      </w:r>
      <w:r>
        <w:rPr>
          <w:rFonts w:hint="eastAsia" w:eastAsia="Arial"/>
          <w:color w:val="auto"/>
          <w:sz w:val="24"/>
          <w:szCs w:val="20"/>
          <w:u w:val="single"/>
        </w:rPr>
        <w:t xml:space="preserve">   </w:t>
      </w:r>
      <w:r>
        <w:rPr>
          <w:rFonts w:hint="eastAsia" w:eastAsia="Arial"/>
          <w:color w:val="auto"/>
          <w:sz w:val="24"/>
          <w:szCs w:val="20"/>
        </w:rPr>
        <w:t xml:space="preserve">，小写：¥ </w:t>
      </w:r>
      <w:r>
        <w:rPr>
          <w:rFonts w:hint="eastAsia" w:eastAsia="Arial"/>
          <w:color w:val="auto"/>
          <w:sz w:val="24"/>
          <w:szCs w:val="20"/>
          <w:u w:val="single"/>
        </w:rPr>
        <w:t xml:space="preserve">        </w:t>
      </w:r>
      <w:r>
        <w:rPr>
          <w:rFonts w:hint="eastAsia" w:eastAsia="Arial"/>
          <w:color w:val="auto"/>
          <w:sz w:val="24"/>
          <w:szCs w:val="20"/>
        </w:rPr>
        <w:t xml:space="preserve"> 元。</w:t>
      </w:r>
    </w:p>
    <w:p w14:paraId="06D6A30F">
      <w:pPr>
        <w:widowControl/>
        <w:spacing w:line="560" w:lineRule="exact"/>
        <w:ind w:firstLine="480"/>
        <w:rPr>
          <w:rFonts w:eastAsia="Arial"/>
          <w:color w:val="auto"/>
          <w:sz w:val="24"/>
          <w:szCs w:val="20"/>
          <w:highlight w:val="none"/>
        </w:rPr>
      </w:pPr>
      <w:r>
        <w:rPr>
          <w:rFonts w:hint="eastAsia" w:eastAsia="宋体"/>
          <w:color w:val="auto"/>
          <w:sz w:val="24"/>
          <w:szCs w:val="20"/>
          <w:highlight w:val="none"/>
          <w:lang w:val="en-US" w:eastAsia="zh-CN"/>
        </w:rPr>
        <w:t>2.</w:t>
      </w:r>
      <w:r>
        <w:rPr>
          <w:rFonts w:hint="eastAsia" w:eastAsia="Arial"/>
          <w:color w:val="auto"/>
          <w:sz w:val="24"/>
          <w:szCs w:val="20"/>
          <w:highlight w:val="none"/>
        </w:rPr>
        <w:t>支付方式：</w:t>
      </w:r>
    </w:p>
    <w:p w14:paraId="13E4E3D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en-US" w:eastAsia="zh-CN"/>
        </w:rPr>
        <w:t>2.1.</w:t>
      </w:r>
      <w:r>
        <w:rPr>
          <w:rFonts w:hint="eastAsia" w:asciiTheme="majorEastAsia" w:hAnsiTheme="majorEastAsia" w:eastAsiaTheme="majorEastAsia" w:cstheme="majorEastAsia"/>
          <w:color w:val="auto"/>
          <w:highlight w:val="none"/>
          <w:lang w:val="zh-CN" w:eastAsia="zh-CN"/>
        </w:rPr>
        <w:t>合同签订后，甲方支付合同总价的</w:t>
      </w:r>
      <w:r>
        <w:rPr>
          <w:rFonts w:hint="eastAsia" w:asciiTheme="majorEastAsia" w:hAnsiTheme="majorEastAsia" w:eastAsiaTheme="majorEastAsia" w:cstheme="majorEastAsia"/>
          <w:color w:val="auto"/>
          <w:highlight w:val="none"/>
          <w:lang w:val="en-US" w:eastAsia="zh-CN"/>
        </w:rPr>
        <w:t>30</w:t>
      </w:r>
      <w:r>
        <w:rPr>
          <w:rFonts w:hint="eastAsia" w:asciiTheme="majorEastAsia" w:hAnsiTheme="majorEastAsia" w:eastAsiaTheme="majorEastAsia" w:cstheme="majorEastAsia"/>
          <w:color w:val="auto"/>
          <w:highlight w:val="none"/>
          <w:lang w:val="zh-CN" w:eastAsia="zh-CN"/>
        </w:rPr>
        <w:t>%作为预付款，乙方须提供相应的增值税发票；</w:t>
      </w:r>
    </w:p>
    <w:p w14:paraId="772F92C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en-US" w:eastAsia="zh-CN"/>
        </w:rPr>
        <w:t>2.2.</w:t>
      </w:r>
      <w:r>
        <w:rPr>
          <w:rFonts w:hint="eastAsia" w:asciiTheme="majorEastAsia" w:hAnsiTheme="majorEastAsia" w:eastAsiaTheme="majorEastAsia" w:cstheme="majorEastAsia"/>
          <w:color w:val="auto"/>
          <w:highlight w:val="none"/>
          <w:lang w:val="zh-CN" w:eastAsia="zh-CN"/>
        </w:rPr>
        <w:t>付款方式：剩余</w:t>
      </w:r>
      <w:r>
        <w:rPr>
          <w:rFonts w:hint="eastAsia" w:asciiTheme="majorEastAsia" w:hAnsiTheme="majorEastAsia" w:eastAsiaTheme="majorEastAsia" w:cstheme="majorEastAsia"/>
          <w:color w:val="auto"/>
          <w:highlight w:val="none"/>
          <w:lang w:val="en-US" w:eastAsia="zh-CN"/>
        </w:rPr>
        <w:t>7</w:t>
      </w:r>
      <w:r>
        <w:rPr>
          <w:rFonts w:hint="eastAsia" w:asciiTheme="majorEastAsia" w:hAnsiTheme="majorEastAsia" w:eastAsiaTheme="majorEastAsia" w:cstheme="majorEastAsia"/>
          <w:color w:val="auto"/>
          <w:highlight w:val="none"/>
          <w:lang w:val="zh-CN" w:eastAsia="zh-CN"/>
        </w:rPr>
        <w:t>0%的物业管理费的支付采用按月支付月月考核的方式，即甲方于次月15日前对上月的物业管理工作进行考核。</w:t>
      </w:r>
    </w:p>
    <w:p w14:paraId="46984A9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en-US" w:eastAsia="zh-CN"/>
        </w:rPr>
        <w:t>2.3.</w:t>
      </w:r>
      <w:r>
        <w:rPr>
          <w:rFonts w:hint="eastAsia" w:asciiTheme="majorEastAsia" w:hAnsiTheme="majorEastAsia" w:eastAsiaTheme="majorEastAsia" w:cstheme="majorEastAsia"/>
          <w:color w:val="auto"/>
          <w:highlight w:val="none"/>
          <w:lang w:val="zh-CN" w:eastAsia="zh-CN"/>
        </w:rPr>
        <w:t>付款周期：从次月起凭乙方开具的增值税发票和派驻人员工资发放签收表与甲方结算经考核合格后的上月物业管理费。</w:t>
      </w:r>
    </w:p>
    <w:p w14:paraId="5E97D46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zh-CN" w:eastAsia="zh-CN"/>
        </w:rPr>
        <w:t>如合同履行过程中连续有两个月考核不合格或累计三个月考核不合格，则甲方有权终止合同，且不予退还履约保证金，同时乙方承担违约责任，甲方重新选择新的物业管理服务企业。</w:t>
      </w:r>
    </w:p>
    <w:p w14:paraId="1F0E0A4A">
      <w:pPr>
        <w:pStyle w:val="9"/>
        <w:widowControl w:val="0"/>
        <w:numPr>
          <w:ilvl w:val="0"/>
          <w:numId w:val="0"/>
        </w:numPr>
        <w:spacing w:beforeAutospacing="0" w:afterAutospacing="0" w:line="360" w:lineRule="auto"/>
        <w:ind w:firstLine="482"/>
        <w:jc w:val="both"/>
        <w:rPr>
          <w:rFonts w:hint="eastAsia" w:asciiTheme="majorEastAsia" w:hAnsiTheme="majorEastAsia" w:eastAsiaTheme="majorEastAsia" w:cstheme="majorEastAsia"/>
          <w:b/>
          <w:bCs/>
          <w:color w:val="auto"/>
          <w:highlight w:val="none"/>
          <w:lang w:val="zh-CN" w:eastAsia="zh-CN"/>
        </w:rPr>
      </w:pPr>
      <w:r>
        <w:rPr>
          <w:rFonts w:hint="eastAsia" w:asciiTheme="majorEastAsia" w:hAnsiTheme="majorEastAsia" w:eastAsiaTheme="majorEastAsia" w:cstheme="majorEastAsia"/>
          <w:b/>
          <w:bCs/>
          <w:color w:val="auto"/>
          <w:highlight w:val="none"/>
          <w:lang w:val="zh-CN" w:eastAsia="zh-CN"/>
        </w:rPr>
        <w:t>注：本项目在合同履行期限内，甲方根据现场实际情况如出现增减乙方服务人员的，则增减人员费用按乙方投标报价书中的单价执行，总价并作相应调整。</w:t>
      </w:r>
    </w:p>
    <w:p w14:paraId="46A25F31">
      <w:pPr>
        <w:pStyle w:val="9"/>
        <w:widowControl w:val="0"/>
        <w:numPr>
          <w:ilvl w:val="0"/>
          <w:numId w:val="0"/>
        </w:numPr>
        <w:spacing w:beforeAutospacing="0" w:afterAutospacing="0" w:line="360" w:lineRule="auto"/>
        <w:ind w:firstLine="482"/>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2.4本物业的管理服务费至少应包括但不限于：</w:t>
      </w:r>
    </w:p>
    <w:p w14:paraId="77214607">
      <w:pPr>
        <w:spacing w:line="360" w:lineRule="auto"/>
        <w:ind w:firstLine="470" w:firstLineChars="195"/>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①所有人员工资不低于本市最低工资标准</w:t>
      </w:r>
      <w:r>
        <w:rPr>
          <w:rFonts w:hint="eastAsia" w:ascii="宋体" w:hAnsi="宋体" w:eastAsia="宋体" w:cs="宋体"/>
          <w:b/>
          <w:bCs/>
          <w:color w:val="auto"/>
          <w:sz w:val="24"/>
          <w:szCs w:val="24"/>
          <w:highlight w:val="none"/>
          <w:lang w:val="en-US" w:eastAsia="zh-CN"/>
        </w:rPr>
        <w:t>2430.00</w:t>
      </w:r>
      <w:r>
        <w:rPr>
          <w:rFonts w:hint="eastAsia" w:ascii="宋体" w:hAnsi="宋体" w:eastAsia="宋体" w:cs="宋体"/>
          <w:b/>
          <w:bCs/>
          <w:color w:val="auto"/>
          <w:sz w:val="24"/>
          <w:szCs w:val="24"/>
          <w:highlight w:val="none"/>
          <w:lang w:val="zh-CN" w:eastAsia="zh-CN"/>
        </w:rPr>
        <w:t>元/人</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zh-CN" w:eastAsia="zh-CN"/>
        </w:rPr>
        <w:t>每月，福利费1000元/</w:t>
      </w:r>
      <w:r>
        <w:rPr>
          <w:rFonts w:hint="eastAsia" w:ascii="宋体" w:hAnsi="宋体" w:eastAsia="宋体" w:cs="宋体"/>
          <w:b/>
          <w:bCs/>
          <w:color w:val="auto"/>
          <w:sz w:val="24"/>
          <w:szCs w:val="24"/>
          <w:highlight w:val="none"/>
          <w:lang w:val="en-US" w:eastAsia="zh-CN"/>
        </w:rPr>
        <w:t>人/</w:t>
      </w:r>
      <w:r>
        <w:rPr>
          <w:rFonts w:hint="eastAsia" w:ascii="宋体" w:hAnsi="宋体" w:eastAsia="宋体" w:cs="宋体"/>
          <w:b/>
          <w:bCs/>
          <w:color w:val="auto"/>
          <w:sz w:val="24"/>
          <w:szCs w:val="24"/>
          <w:highlight w:val="none"/>
          <w:lang w:val="zh-CN" w:eastAsia="zh-CN"/>
        </w:rPr>
        <w:t>每年，所有人员（夜间值班巡逻人员</w:t>
      </w:r>
      <w:r>
        <w:rPr>
          <w:rFonts w:hint="eastAsia" w:ascii="宋体" w:hAnsi="宋体" w:eastAsia="宋体" w:cs="宋体"/>
          <w:b/>
          <w:bCs/>
          <w:color w:val="auto"/>
          <w:sz w:val="24"/>
          <w:szCs w:val="24"/>
          <w:highlight w:val="none"/>
          <w:lang w:val="en-US" w:eastAsia="zh-CN"/>
        </w:rPr>
        <w:t>和水电工人员</w:t>
      </w:r>
      <w:r>
        <w:rPr>
          <w:rFonts w:hint="eastAsia" w:ascii="宋体" w:hAnsi="宋体" w:eastAsia="宋体" w:cs="宋体"/>
          <w:b/>
          <w:bCs/>
          <w:color w:val="auto"/>
          <w:sz w:val="24"/>
          <w:szCs w:val="24"/>
          <w:highlight w:val="none"/>
          <w:lang w:val="zh-CN" w:eastAsia="zh-CN"/>
        </w:rPr>
        <w:t>除外）必须足额缴纳社保费用，社保（企业部分）不得低于</w:t>
      </w:r>
      <w:r>
        <w:rPr>
          <w:rFonts w:hint="eastAsia" w:ascii="宋体" w:hAnsi="宋体" w:eastAsia="宋体" w:cs="宋体"/>
          <w:b/>
          <w:bCs/>
          <w:color w:val="auto"/>
          <w:sz w:val="24"/>
          <w:szCs w:val="24"/>
          <w:highlight w:val="none"/>
          <w:lang w:val="en-US" w:eastAsia="zh-CN"/>
        </w:rPr>
        <w:t>1292.47</w:t>
      </w:r>
      <w:r>
        <w:rPr>
          <w:rFonts w:hint="eastAsia" w:ascii="宋体" w:hAnsi="宋体" w:eastAsia="宋体" w:cs="宋体"/>
          <w:b/>
          <w:bCs/>
          <w:color w:val="auto"/>
          <w:sz w:val="24"/>
          <w:szCs w:val="24"/>
          <w:highlight w:val="none"/>
          <w:lang w:val="zh-CN" w:eastAsia="zh-CN"/>
        </w:rPr>
        <w:t>元/人/每月，住房公积金不得低于</w:t>
      </w:r>
      <w:r>
        <w:rPr>
          <w:rFonts w:hint="eastAsia" w:ascii="宋体" w:hAnsi="宋体" w:eastAsia="宋体" w:cs="宋体"/>
          <w:b/>
          <w:bCs/>
          <w:color w:val="auto"/>
          <w:sz w:val="24"/>
          <w:szCs w:val="24"/>
          <w:highlight w:val="none"/>
          <w:lang w:val="en-US" w:eastAsia="zh-CN"/>
        </w:rPr>
        <w:t>114</w:t>
      </w:r>
      <w:r>
        <w:rPr>
          <w:rFonts w:hint="eastAsia" w:ascii="宋体" w:hAnsi="宋体" w:eastAsia="宋体" w:cs="宋体"/>
          <w:b/>
          <w:bCs/>
          <w:color w:val="auto"/>
          <w:sz w:val="24"/>
          <w:szCs w:val="24"/>
          <w:highlight w:val="none"/>
          <w:lang w:val="zh-CN" w:eastAsia="zh-CN"/>
        </w:rPr>
        <w:t>元</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zh-CN" w:eastAsia="zh-CN"/>
        </w:rPr>
        <w:t>人/每月，法定节假日加班费不得低于</w:t>
      </w:r>
      <w:r>
        <w:rPr>
          <w:rFonts w:hint="eastAsia" w:ascii="宋体" w:hAnsi="宋体" w:eastAsia="宋体" w:cs="宋体"/>
          <w:b/>
          <w:bCs/>
          <w:color w:val="auto"/>
          <w:sz w:val="24"/>
          <w:szCs w:val="24"/>
          <w:highlight w:val="none"/>
          <w:lang w:val="en-US" w:eastAsia="zh-CN"/>
        </w:rPr>
        <w:t>4357.25</w:t>
      </w:r>
      <w:r>
        <w:rPr>
          <w:rFonts w:hint="eastAsia" w:ascii="宋体" w:hAnsi="宋体" w:eastAsia="宋体" w:cs="宋体"/>
          <w:b/>
          <w:bCs/>
          <w:color w:val="auto"/>
          <w:sz w:val="24"/>
          <w:szCs w:val="24"/>
          <w:highlight w:val="none"/>
          <w:lang w:val="zh-CN" w:eastAsia="zh-CN"/>
        </w:rPr>
        <w:t>元</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zh-CN" w:eastAsia="zh-CN"/>
        </w:rPr>
        <w:t>人/每年，税金费率不得低于</w:t>
      </w:r>
      <w:r>
        <w:rPr>
          <w:rFonts w:hint="eastAsia" w:ascii="宋体" w:hAnsi="宋体" w:eastAsia="宋体" w:cs="宋体"/>
          <w:b/>
          <w:bCs/>
          <w:color w:val="auto"/>
          <w:sz w:val="24"/>
          <w:szCs w:val="24"/>
          <w:highlight w:val="none"/>
          <w:lang w:val="en-US" w:eastAsia="zh-CN"/>
        </w:rPr>
        <w:t>6.72</w:t>
      </w:r>
      <w:r>
        <w:rPr>
          <w:rFonts w:hint="eastAsia" w:ascii="宋体" w:hAnsi="宋体" w:eastAsia="宋体" w:cs="宋体"/>
          <w:b/>
          <w:bCs/>
          <w:color w:val="auto"/>
          <w:sz w:val="24"/>
          <w:szCs w:val="24"/>
          <w:highlight w:val="none"/>
          <w:lang w:val="zh-CN" w:eastAsia="zh-CN"/>
        </w:rPr>
        <w:t>%进行</w:t>
      </w:r>
      <w:r>
        <w:rPr>
          <w:rFonts w:hint="eastAsia" w:ascii="宋体" w:hAnsi="宋体" w:eastAsia="宋体" w:cs="宋体"/>
          <w:b/>
          <w:bCs/>
          <w:color w:val="auto"/>
          <w:sz w:val="24"/>
          <w:szCs w:val="24"/>
          <w:highlight w:val="none"/>
          <w:lang w:val="en-US" w:eastAsia="zh-CN"/>
        </w:rPr>
        <w:t>计算</w:t>
      </w:r>
      <w:r>
        <w:rPr>
          <w:rFonts w:hint="eastAsia" w:ascii="宋体" w:hAnsi="宋体" w:eastAsia="宋体" w:cs="宋体"/>
          <w:b/>
          <w:bCs/>
          <w:color w:val="auto"/>
          <w:sz w:val="24"/>
          <w:szCs w:val="24"/>
          <w:highlight w:val="none"/>
          <w:lang w:val="zh-CN" w:eastAsia="zh-CN"/>
        </w:rPr>
        <w:t>。</w:t>
      </w:r>
    </w:p>
    <w:p w14:paraId="4C27F15F">
      <w:pPr>
        <w:spacing w:line="360" w:lineRule="auto"/>
        <w:ind w:firstLine="470" w:firstLineChars="195"/>
        <w:rPr>
          <w:rFonts w:hint="default" w:ascii="宋体" w:hAnsi="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eastAsia="zh-CN"/>
        </w:rPr>
        <w:t>②</w:t>
      </w:r>
      <w:r>
        <w:rPr>
          <w:rFonts w:hint="eastAsia" w:ascii="宋体" w:hAnsi="宋体" w:cs="宋体"/>
          <w:b/>
          <w:bCs/>
          <w:color w:val="auto"/>
          <w:sz w:val="24"/>
          <w:highlight w:val="none"/>
          <w:lang w:val="en-US" w:eastAsia="zh-CN"/>
        </w:rPr>
        <w:t>水电工</w:t>
      </w:r>
      <w:r>
        <w:rPr>
          <w:rFonts w:hint="eastAsia" w:ascii="宋体" w:hAnsi="宋体" w:eastAsia="宋体" w:cs="宋体"/>
          <w:b/>
          <w:bCs/>
          <w:color w:val="auto"/>
          <w:sz w:val="24"/>
          <w:highlight w:val="none"/>
          <w:lang w:val="en-US" w:eastAsia="zh-CN"/>
        </w:rPr>
        <w:t>与其他项目共用，无需全天在岗，有事情1小时内到岗，紧急事情半小时内到岗</w:t>
      </w:r>
      <w:r>
        <w:rPr>
          <w:rFonts w:hint="eastAsia" w:ascii="宋体" w:hAnsi="宋体" w:cs="宋体"/>
          <w:b/>
          <w:bCs/>
          <w:color w:val="auto"/>
          <w:sz w:val="24"/>
          <w:highlight w:val="none"/>
          <w:lang w:val="en-US" w:eastAsia="zh-CN"/>
        </w:rPr>
        <w:t>，</w:t>
      </w:r>
      <w:r>
        <w:rPr>
          <w:rFonts w:hint="eastAsia" w:ascii="宋体" w:hAnsi="宋体" w:cs="宋体"/>
          <w:b/>
          <w:bCs/>
          <w:color w:val="auto"/>
          <w:sz w:val="24"/>
          <w:szCs w:val="20"/>
          <w:highlight w:val="none"/>
          <w:lang w:val="zh-CN" w:eastAsia="zh-CN"/>
        </w:rPr>
        <w:t>补贴</w:t>
      </w:r>
      <w:r>
        <w:rPr>
          <w:rFonts w:hint="eastAsia" w:ascii="宋体" w:hAnsi="宋体" w:cs="宋体"/>
          <w:b/>
          <w:bCs/>
          <w:color w:val="auto"/>
          <w:sz w:val="24"/>
          <w:szCs w:val="20"/>
          <w:highlight w:val="none"/>
          <w:lang w:val="en-US" w:eastAsia="zh-CN"/>
        </w:rPr>
        <w:t>1500</w:t>
      </w:r>
      <w:r>
        <w:rPr>
          <w:rFonts w:hint="eastAsia" w:ascii="宋体" w:hAnsi="宋体" w:cs="宋体"/>
          <w:b/>
          <w:bCs/>
          <w:color w:val="auto"/>
          <w:sz w:val="24"/>
          <w:szCs w:val="20"/>
          <w:highlight w:val="none"/>
          <w:lang w:val="zh-CN" w:eastAsia="zh-CN"/>
        </w:rPr>
        <w:t>元/</w:t>
      </w:r>
      <w:r>
        <w:rPr>
          <w:rFonts w:hint="eastAsia" w:ascii="宋体" w:hAnsi="宋体" w:cs="宋体"/>
          <w:b/>
          <w:bCs/>
          <w:color w:val="auto"/>
          <w:sz w:val="24"/>
          <w:szCs w:val="20"/>
          <w:highlight w:val="none"/>
          <w:lang w:val="en-US" w:eastAsia="zh-CN"/>
        </w:rPr>
        <w:t>人/</w:t>
      </w:r>
      <w:r>
        <w:rPr>
          <w:rFonts w:hint="eastAsia" w:ascii="宋体" w:hAnsi="宋体" w:eastAsia="宋体" w:cs="宋体"/>
          <w:b/>
          <w:bCs/>
          <w:color w:val="auto"/>
          <w:sz w:val="24"/>
          <w:szCs w:val="24"/>
          <w:highlight w:val="none"/>
          <w:lang w:val="zh-CN" w:eastAsia="zh-CN"/>
        </w:rPr>
        <w:t>每</w:t>
      </w:r>
      <w:r>
        <w:rPr>
          <w:rFonts w:hint="eastAsia" w:ascii="宋体" w:hAnsi="宋体" w:cs="宋体"/>
          <w:b/>
          <w:bCs/>
          <w:color w:val="auto"/>
          <w:sz w:val="24"/>
          <w:szCs w:val="20"/>
          <w:highlight w:val="none"/>
          <w:lang w:val="zh-CN" w:eastAsia="zh-CN"/>
        </w:rPr>
        <w:t>月，不交社保、公积金，不发放福利，人员由中标服务单位提供、补贴由本项目中标服务单位发放，由服务采购单位管理。</w:t>
      </w:r>
      <w:r>
        <w:rPr>
          <w:rFonts w:hint="eastAsia" w:ascii="宋体" w:hAnsi="宋体" w:eastAsia="宋体" w:cs="宋体"/>
          <w:b/>
          <w:bCs/>
          <w:color w:val="auto"/>
          <w:sz w:val="24"/>
          <w:szCs w:val="24"/>
          <w:highlight w:val="none"/>
          <w:lang w:val="zh-CN" w:eastAsia="zh-CN"/>
        </w:rPr>
        <w:t>夜间值班巡逻人员由保安兼任，补贴</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zh-CN" w:eastAsia="zh-CN"/>
        </w:rPr>
        <w:t>500元/</w:t>
      </w:r>
      <w:r>
        <w:rPr>
          <w:rFonts w:hint="eastAsia" w:ascii="宋体" w:hAnsi="宋体" w:eastAsia="宋体" w:cs="宋体"/>
          <w:b/>
          <w:bCs/>
          <w:color w:val="auto"/>
          <w:sz w:val="24"/>
          <w:szCs w:val="24"/>
          <w:highlight w:val="none"/>
          <w:lang w:val="en-US" w:eastAsia="zh-CN"/>
        </w:rPr>
        <w:t>人/</w:t>
      </w:r>
      <w:r>
        <w:rPr>
          <w:rFonts w:hint="eastAsia" w:ascii="宋体" w:hAnsi="宋体" w:eastAsia="宋体" w:cs="宋体"/>
          <w:b/>
          <w:bCs/>
          <w:color w:val="auto"/>
          <w:sz w:val="24"/>
          <w:szCs w:val="24"/>
          <w:highlight w:val="none"/>
          <w:lang w:val="zh-CN" w:eastAsia="zh-CN"/>
        </w:rPr>
        <w:t>每月，福利</w:t>
      </w:r>
      <w:r>
        <w:rPr>
          <w:rFonts w:hint="eastAsia" w:ascii="宋体" w:hAnsi="宋体" w:eastAsia="宋体" w:cs="宋体"/>
          <w:b/>
          <w:bCs/>
          <w:color w:val="auto"/>
          <w:sz w:val="24"/>
          <w:szCs w:val="24"/>
          <w:highlight w:val="none"/>
          <w:lang w:val="en-US" w:eastAsia="zh-CN"/>
        </w:rPr>
        <w:t>费</w:t>
      </w:r>
      <w:r>
        <w:rPr>
          <w:rFonts w:hint="eastAsia" w:ascii="宋体" w:hAnsi="宋体" w:eastAsia="宋体" w:cs="宋体"/>
          <w:b/>
          <w:bCs/>
          <w:color w:val="auto"/>
          <w:sz w:val="24"/>
          <w:szCs w:val="24"/>
          <w:highlight w:val="none"/>
          <w:lang w:val="zh-CN" w:eastAsia="zh-CN"/>
        </w:rPr>
        <w:t>和服装费2000元/</w:t>
      </w:r>
      <w:r>
        <w:rPr>
          <w:rFonts w:hint="eastAsia" w:ascii="宋体" w:hAnsi="宋体" w:eastAsia="宋体" w:cs="宋体"/>
          <w:b/>
          <w:bCs/>
          <w:color w:val="auto"/>
          <w:sz w:val="24"/>
          <w:szCs w:val="24"/>
          <w:highlight w:val="none"/>
          <w:lang w:val="en-US" w:eastAsia="zh-CN"/>
        </w:rPr>
        <w:t>人/</w:t>
      </w:r>
      <w:r>
        <w:rPr>
          <w:rFonts w:hint="eastAsia" w:ascii="宋体" w:hAnsi="宋体" w:eastAsia="宋体" w:cs="宋体"/>
          <w:b/>
          <w:bCs/>
          <w:color w:val="auto"/>
          <w:sz w:val="24"/>
          <w:szCs w:val="24"/>
          <w:highlight w:val="none"/>
          <w:lang w:val="zh-CN" w:eastAsia="zh-CN"/>
        </w:rPr>
        <w:t>每年，不交社保、公积金，人员由学校安保服务单位派遣，补贴由本项目中标服务单位发放，由服务采购单位管理。补贴</w:t>
      </w:r>
      <w:r>
        <w:rPr>
          <w:rFonts w:hint="eastAsia" w:ascii="宋体" w:hAnsi="宋体" w:eastAsia="宋体" w:cs="宋体"/>
          <w:b/>
          <w:bCs/>
          <w:color w:val="auto"/>
          <w:sz w:val="24"/>
          <w:szCs w:val="24"/>
          <w:highlight w:val="none"/>
          <w:lang w:val="en-US" w:eastAsia="zh-CN"/>
        </w:rPr>
        <w:t>费用</w:t>
      </w:r>
      <w:r>
        <w:rPr>
          <w:rFonts w:hint="eastAsia" w:ascii="宋体" w:hAnsi="宋体" w:eastAsia="宋体" w:cs="宋体"/>
          <w:b/>
          <w:bCs/>
          <w:color w:val="auto"/>
          <w:sz w:val="24"/>
          <w:szCs w:val="24"/>
          <w:highlight w:val="none"/>
          <w:lang w:val="zh-CN" w:eastAsia="zh-CN"/>
        </w:rPr>
        <w:t>一并计税，税费由物业中标单位承担。</w:t>
      </w:r>
    </w:p>
    <w:p w14:paraId="621F0796">
      <w:pPr>
        <w:widowControl/>
        <w:spacing w:line="560" w:lineRule="exact"/>
        <w:ind w:firstLine="480"/>
        <w:rPr>
          <w:b/>
          <w:bCs/>
          <w:color w:val="auto"/>
          <w:sz w:val="24"/>
          <w:szCs w:val="20"/>
        </w:rPr>
      </w:pPr>
      <w:r>
        <w:rPr>
          <w:rFonts w:hint="eastAsia"/>
          <w:b/>
          <w:bCs/>
          <w:color w:val="auto"/>
          <w:sz w:val="24"/>
          <w:szCs w:val="20"/>
        </w:rPr>
        <w:t>第</w:t>
      </w:r>
      <w:r>
        <w:rPr>
          <w:rFonts w:hint="eastAsia"/>
          <w:b/>
          <w:bCs/>
          <w:color w:val="auto"/>
          <w:sz w:val="24"/>
          <w:szCs w:val="20"/>
          <w:lang w:val="en-US" w:eastAsia="zh-CN"/>
        </w:rPr>
        <w:t>八</w:t>
      </w:r>
      <w:r>
        <w:rPr>
          <w:rFonts w:hint="eastAsia"/>
          <w:b/>
          <w:bCs/>
          <w:color w:val="auto"/>
          <w:sz w:val="24"/>
          <w:szCs w:val="20"/>
        </w:rPr>
        <w:t>条 违约责任</w:t>
      </w:r>
    </w:p>
    <w:p w14:paraId="2C17FC63">
      <w:pPr>
        <w:widowControl/>
        <w:spacing w:line="560" w:lineRule="exact"/>
        <w:ind w:firstLine="480"/>
        <w:rPr>
          <w:rFonts w:hint="eastAsia" w:eastAsia="Arial"/>
          <w:color w:val="auto"/>
          <w:sz w:val="24"/>
          <w:szCs w:val="20"/>
        </w:rPr>
      </w:pPr>
      <w:r>
        <w:rPr>
          <w:rFonts w:hint="eastAsia" w:eastAsia="宋体"/>
          <w:color w:val="auto"/>
          <w:sz w:val="24"/>
          <w:szCs w:val="20"/>
          <w:lang w:val="en-US" w:eastAsia="zh-CN"/>
        </w:rPr>
        <w:t>1、</w:t>
      </w:r>
      <w:r>
        <w:rPr>
          <w:rFonts w:hint="eastAsia" w:eastAsia="Arial"/>
          <w:color w:val="auto"/>
          <w:sz w:val="24"/>
          <w:szCs w:val="20"/>
        </w:rPr>
        <w:t>甲方不履行本合同约定的义务，乙方可要求甲方履行，由此造成乙方损失，甲方应承担相应的责任。</w:t>
      </w:r>
    </w:p>
    <w:p w14:paraId="10F2CC5E">
      <w:pPr>
        <w:widowControl/>
        <w:spacing w:line="560" w:lineRule="exact"/>
        <w:ind w:firstLine="480"/>
        <w:rPr>
          <w:rFonts w:hint="eastAsia" w:eastAsia="Arial"/>
          <w:color w:val="auto"/>
          <w:sz w:val="24"/>
          <w:szCs w:val="20"/>
        </w:rPr>
      </w:pPr>
      <w:r>
        <w:rPr>
          <w:rFonts w:hint="eastAsia" w:eastAsia="宋体"/>
          <w:color w:val="auto"/>
          <w:sz w:val="24"/>
          <w:szCs w:val="20"/>
          <w:lang w:val="en-US" w:eastAsia="zh-CN"/>
        </w:rPr>
        <w:t>2、</w:t>
      </w:r>
      <w:r>
        <w:rPr>
          <w:rFonts w:hint="eastAsia" w:eastAsia="Arial"/>
          <w:color w:val="auto"/>
          <w:sz w:val="24"/>
          <w:szCs w:val="20"/>
        </w:rPr>
        <w:t>甲方违反本合同的约定，未能按时如数交纳物业服务费的，应按每月千分之五的标准向乙方支付违约金，并应于五日内补交拖欠费用。</w:t>
      </w:r>
    </w:p>
    <w:p w14:paraId="598F8DFE">
      <w:pPr>
        <w:widowControl/>
        <w:spacing w:line="560" w:lineRule="exact"/>
        <w:ind w:firstLine="480"/>
        <w:rPr>
          <w:rFonts w:hint="eastAsia" w:eastAsia="Arial"/>
          <w:color w:val="auto"/>
          <w:sz w:val="24"/>
          <w:szCs w:val="20"/>
        </w:rPr>
      </w:pPr>
      <w:r>
        <w:rPr>
          <w:rFonts w:hint="eastAsia" w:eastAsia="宋体"/>
          <w:color w:val="auto"/>
          <w:sz w:val="24"/>
          <w:szCs w:val="20"/>
          <w:lang w:val="en-US" w:eastAsia="zh-CN"/>
        </w:rPr>
        <w:t>3、</w:t>
      </w:r>
      <w:r>
        <w:rPr>
          <w:rFonts w:hint="eastAsia" w:eastAsia="Arial"/>
          <w:color w:val="auto"/>
          <w:sz w:val="24"/>
          <w:szCs w:val="20"/>
        </w:rPr>
        <w:t>乙方违反本合同约定，乙方如发生将本物业转包、转让、违规出现违法现象或在履行合同单方中途退出的，甲方将中止本合同，并有权追究乙方其它责任。</w:t>
      </w:r>
    </w:p>
    <w:p w14:paraId="175EF0B4">
      <w:pPr>
        <w:widowControl/>
        <w:spacing w:line="560" w:lineRule="exact"/>
        <w:ind w:firstLine="480"/>
        <w:rPr>
          <w:rFonts w:hint="eastAsia" w:eastAsia="Arial"/>
          <w:color w:val="auto"/>
          <w:sz w:val="24"/>
          <w:szCs w:val="20"/>
        </w:rPr>
      </w:pPr>
      <w:r>
        <w:rPr>
          <w:rFonts w:hint="eastAsia" w:eastAsia="宋体"/>
          <w:color w:val="auto"/>
          <w:sz w:val="24"/>
          <w:szCs w:val="20"/>
          <w:lang w:val="en-US" w:eastAsia="zh-CN"/>
        </w:rPr>
        <w:t>4、</w:t>
      </w:r>
      <w:r>
        <w:rPr>
          <w:rFonts w:hint="eastAsia" w:eastAsia="Arial"/>
          <w:color w:val="auto"/>
          <w:sz w:val="24"/>
          <w:szCs w:val="20"/>
        </w:rPr>
        <w:t>双方约定，在下列条件下所致的损害，可构成对乙方的免责事由：</w:t>
      </w:r>
    </w:p>
    <w:p w14:paraId="73605548">
      <w:pPr>
        <w:widowControl/>
        <w:spacing w:line="560" w:lineRule="exact"/>
        <w:ind w:firstLine="480"/>
        <w:rPr>
          <w:rFonts w:hint="eastAsia" w:eastAsia="Arial"/>
          <w:color w:val="auto"/>
          <w:sz w:val="24"/>
          <w:szCs w:val="20"/>
        </w:rPr>
      </w:pPr>
      <w:r>
        <w:rPr>
          <w:rFonts w:hint="eastAsia" w:eastAsia="Arial"/>
          <w:color w:val="auto"/>
          <w:sz w:val="24"/>
          <w:szCs w:val="20"/>
        </w:rPr>
        <w:t>4.1因不可抗力而导致的中断服务或物业价值的贬损。</w:t>
      </w:r>
    </w:p>
    <w:p w14:paraId="55B66DFB">
      <w:pPr>
        <w:widowControl/>
        <w:spacing w:line="560" w:lineRule="exact"/>
        <w:ind w:firstLine="480"/>
        <w:rPr>
          <w:rFonts w:hint="eastAsia" w:eastAsia="Arial"/>
          <w:color w:val="auto"/>
          <w:sz w:val="24"/>
          <w:szCs w:val="20"/>
        </w:rPr>
      </w:pPr>
      <w:r>
        <w:rPr>
          <w:rFonts w:hint="eastAsia" w:eastAsia="Arial"/>
          <w:color w:val="auto"/>
          <w:sz w:val="24"/>
          <w:szCs w:val="20"/>
        </w:rPr>
        <w:t>4.2因物业本身固有的瑕疵造成的损害。</w:t>
      </w:r>
    </w:p>
    <w:p w14:paraId="3AD40196">
      <w:pPr>
        <w:widowControl/>
        <w:spacing w:line="560" w:lineRule="exact"/>
        <w:ind w:firstLine="480"/>
        <w:rPr>
          <w:rFonts w:hint="eastAsia" w:eastAsia="Arial"/>
          <w:color w:val="auto"/>
          <w:sz w:val="24"/>
          <w:szCs w:val="20"/>
        </w:rPr>
      </w:pPr>
      <w:r>
        <w:rPr>
          <w:rFonts w:hint="eastAsia" w:eastAsia="Arial"/>
          <w:color w:val="auto"/>
          <w:sz w:val="24"/>
          <w:szCs w:val="20"/>
        </w:rPr>
        <w:t>4.3因维修、养护共用部位、共用设施设备需要而暂时停水、停电或停止共用设施设备的使用的（除排危抢险情形以外，乙方应事先通知甲方）。</w:t>
      </w:r>
    </w:p>
    <w:p w14:paraId="0F18969E">
      <w:pPr>
        <w:widowControl/>
        <w:spacing w:line="560" w:lineRule="exact"/>
        <w:ind w:firstLine="480"/>
        <w:rPr>
          <w:rFonts w:hint="eastAsia" w:eastAsia="Arial"/>
          <w:color w:val="auto"/>
          <w:sz w:val="24"/>
          <w:szCs w:val="20"/>
        </w:rPr>
      </w:pPr>
      <w:r>
        <w:rPr>
          <w:rFonts w:hint="eastAsia" w:eastAsia="Arial"/>
          <w:color w:val="auto"/>
          <w:sz w:val="24"/>
          <w:szCs w:val="20"/>
        </w:rPr>
        <w:t>4.4因政府有关部门原因而非乙方责任造成的供水、供电、供热、供冷、通讯、有线电视及其他共用设施设备的故障和损失。</w:t>
      </w:r>
    </w:p>
    <w:p w14:paraId="655382FD">
      <w:pPr>
        <w:widowControl/>
        <w:numPr>
          <w:ilvl w:val="0"/>
          <w:numId w:val="2"/>
        </w:numPr>
        <w:spacing w:line="560" w:lineRule="exact"/>
        <w:ind w:firstLine="480"/>
        <w:rPr>
          <w:rFonts w:hint="eastAsia" w:eastAsia="Arial"/>
          <w:color w:val="auto"/>
          <w:sz w:val="24"/>
          <w:szCs w:val="20"/>
        </w:rPr>
      </w:pPr>
      <w:r>
        <w:rPr>
          <w:rFonts w:hint="eastAsia" w:eastAsia="Arial"/>
          <w:color w:val="auto"/>
          <w:sz w:val="24"/>
          <w:szCs w:val="20"/>
        </w:rPr>
        <w:t>甲乙双方均应严格履行合同的约定，若任何一方导致合同不能正常履行或无故单方解除合同，则应承担合同价</w:t>
      </w:r>
      <w:r>
        <w:rPr>
          <w:rFonts w:hint="eastAsia" w:eastAsia="宋体"/>
          <w:color w:val="auto"/>
          <w:sz w:val="24"/>
          <w:szCs w:val="20"/>
          <w:lang w:val="en-US" w:eastAsia="zh-CN"/>
        </w:rPr>
        <w:t>5</w:t>
      </w:r>
      <w:r>
        <w:rPr>
          <w:rFonts w:hint="eastAsia" w:eastAsia="Arial"/>
          <w:color w:val="auto"/>
          <w:sz w:val="24"/>
          <w:szCs w:val="20"/>
        </w:rPr>
        <w:t>%违约金和由此造成的后果，给对方造成的损失，应赔偿相应损失。</w:t>
      </w:r>
    </w:p>
    <w:p w14:paraId="4DDDE673">
      <w:pPr>
        <w:widowControl/>
        <w:spacing w:line="560" w:lineRule="exact"/>
        <w:ind w:firstLine="480"/>
        <w:rPr>
          <w:rFonts w:hint="eastAsia"/>
          <w:b/>
          <w:bCs/>
          <w:color w:val="auto"/>
          <w:sz w:val="24"/>
          <w:szCs w:val="20"/>
        </w:rPr>
      </w:pPr>
      <w:r>
        <w:rPr>
          <w:rFonts w:hint="eastAsia"/>
          <w:b/>
          <w:bCs/>
          <w:color w:val="auto"/>
          <w:sz w:val="24"/>
          <w:szCs w:val="20"/>
          <w:lang w:val="en-US" w:eastAsia="zh-CN"/>
        </w:rPr>
        <w:t>第九条</w:t>
      </w:r>
      <w:r>
        <w:rPr>
          <w:rFonts w:hint="eastAsia"/>
          <w:b/>
          <w:bCs/>
          <w:color w:val="auto"/>
          <w:sz w:val="24"/>
          <w:szCs w:val="20"/>
        </w:rPr>
        <w:t>、转包和分包</w:t>
      </w:r>
    </w:p>
    <w:p w14:paraId="2F21562C">
      <w:pPr>
        <w:widowControl/>
        <w:spacing w:line="560" w:lineRule="exact"/>
        <w:ind w:firstLine="480"/>
        <w:rPr>
          <w:rFonts w:hint="eastAsia" w:eastAsia="Arial"/>
          <w:color w:val="auto"/>
          <w:sz w:val="24"/>
          <w:szCs w:val="20"/>
        </w:rPr>
      </w:pPr>
      <w:r>
        <w:rPr>
          <w:rFonts w:hint="eastAsia" w:eastAsia="宋体"/>
          <w:color w:val="auto"/>
          <w:sz w:val="24"/>
          <w:szCs w:val="20"/>
          <w:lang w:val="en-US" w:eastAsia="zh-CN"/>
        </w:rPr>
        <w:t>1、</w:t>
      </w:r>
      <w:r>
        <w:rPr>
          <w:rFonts w:hint="eastAsia" w:eastAsia="Arial"/>
          <w:color w:val="auto"/>
          <w:sz w:val="24"/>
          <w:szCs w:val="20"/>
        </w:rPr>
        <w:t>甲方不允许乙方将本项目转包给任何第三方，如发现乙方有转包行为，限令改正。否则，甲方有权终止合同。转包造成甲方损失的，乙方应承担相应赔偿责任，从到期的合同款中扣除。</w:t>
      </w:r>
    </w:p>
    <w:p w14:paraId="54F17C97">
      <w:pPr>
        <w:widowControl/>
        <w:spacing w:line="560" w:lineRule="exact"/>
        <w:ind w:firstLine="480"/>
        <w:rPr>
          <w:rFonts w:hint="eastAsia" w:eastAsia="Arial"/>
          <w:color w:val="auto"/>
          <w:sz w:val="24"/>
          <w:szCs w:val="20"/>
        </w:rPr>
      </w:pPr>
      <w:r>
        <w:rPr>
          <w:rFonts w:hint="eastAsia" w:eastAsia="宋体"/>
          <w:color w:val="auto"/>
          <w:sz w:val="24"/>
          <w:szCs w:val="20"/>
          <w:lang w:val="en-US" w:eastAsia="zh-CN"/>
        </w:rPr>
        <w:t>2、</w:t>
      </w:r>
      <w:r>
        <w:rPr>
          <w:rFonts w:hint="eastAsia" w:eastAsia="Arial"/>
          <w:color w:val="auto"/>
          <w:sz w:val="24"/>
          <w:szCs w:val="20"/>
        </w:rPr>
        <w:t>未经甲方同意，乙方也不得采用分包的形式履行合同，否则，甲方有权终止合同，分包造成甲方损失的，乙方应承担相应赔偿责任，从到期的合同款中扣除。</w:t>
      </w:r>
    </w:p>
    <w:p w14:paraId="4D84236C">
      <w:pPr>
        <w:widowControl/>
        <w:spacing w:line="560" w:lineRule="exact"/>
        <w:ind w:firstLine="480"/>
        <w:rPr>
          <w:b/>
          <w:bCs/>
          <w:color w:val="auto"/>
          <w:sz w:val="24"/>
          <w:szCs w:val="20"/>
        </w:rPr>
      </w:pPr>
      <w:r>
        <w:rPr>
          <w:rFonts w:hint="eastAsia"/>
          <w:b/>
          <w:bCs/>
          <w:color w:val="auto"/>
          <w:sz w:val="24"/>
          <w:szCs w:val="20"/>
        </w:rPr>
        <w:t>第</w:t>
      </w:r>
      <w:r>
        <w:rPr>
          <w:rFonts w:hint="eastAsia"/>
          <w:b/>
          <w:bCs/>
          <w:color w:val="auto"/>
          <w:sz w:val="24"/>
          <w:szCs w:val="20"/>
          <w:lang w:val="en-US" w:eastAsia="zh-CN"/>
        </w:rPr>
        <w:t>十</w:t>
      </w:r>
      <w:r>
        <w:rPr>
          <w:rFonts w:hint="eastAsia"/>
          <w:b/>
          <w:bCs/>
          <w:color w:val="auto"/>
          <w:sz w:val="24"/>
          <w:szCs w:val="20"/>
        </w:rPr>
        <w:t>条 其它事项</w:t>
      </w:r>
    </w:p>
    <w:p w14:paraId="053FDFA2">
      <w:pPr>
        <w:widowControl/>
        <w:spacing w:line="560" w:lineRule="exact"/>
        <w:ind w:firstLine="480"/>
        <w:rPr>
          <w:rFonts w:hint="eastAsia" w:eastAsia="Arial"/>
          <w:color w:val="auto"/>
          <w:sz w:val="24"/>
          <w:szCs w:val="20"/>
        </w:rPr>
      </w:pPr>
      <w:r>
        <w:rPr>
          <w:rFonts w:hint="eastAsia" w:eastAsia="Arial"/>
          <w:color w:val="auto"/>
          <w:sz w:val="24"/>
          <w:szCs w:val="20"/>
          <w:lang w:val="en-US" w:eastAsia="zh-CN"/>
        </w:rPr>
        <w:t>1、</w:t>
      </w:r>
      <w:r>
        <w:rPr>
          <w:rFonts w:hint="eastAsia" w:eastAsia="Arial"/>
          <w:color w:val="auto"/>
          <w:sz w:val="24"/>
          <w:szCs w:val="20"/>
        </w:rPr>
        <w:t>本项目</w:t>
      </w:r>
      <w:r>
        <w:rPr>
          <w:rFonts w:hint="eastAsia" w:eastAsia="宋体"/>
          <w:color w:val="auto"/>
          <w:sz w:val="24"/>
          <w:szCs w:val="20"/>
          <w:lang w:val="en-US" w:eastAsia="zh-CN"/>
        </w:rPr>
        <w:t>招标</w:t>
      </w:r>
      <w:r>
        <w:rPr>
          <w:rFonts w:hint="eastAsia" w:eastAsia="Arial"/>
          <w:color w:val="auto"/>
          <w:sz w:val="24"/>
          <w:szCs w:val="20"/>
        </w:rPr>
        <w:t>文件和乙方的投标文件中（以及投标时承诺）被甲方认可的部分为本合同的不可分割的组成部分，与本合同具有同样效力。</w:t>
      </w:r>
    </w:p>
    <w:p w14:paraId="6079863B">
      <w:pPr>
        <w:widowControl/>
        <w:spacing w:line="560" w:lineRule="exact"/>
        <w:ind w:firstLine="480"/>
        <w:rPr>
          <w:rFonts w:hint="eastAsia" w:eastAsia="Arial"/>
          <w:color w:val="auto"/>
          <w:sz w:val="24"/>
          <w:szCs w:val="20"/>
        </w:rPr>
      </w:pPr>
      <w:r>
        <w:rPr>
          <w:rFonts w:hint="eastAsia" w:eastAsia="Arial"/>
          <w:color w:val="auto"/>
          <w:sz w:val="24"/>
          <w:szCs w:val="20"/>
          <w:lang w:val="en-US" w:eastAsia="zh-CN"/>
        </w:rPr>
        <w:t>2、</w:t>
      </w:r>
      <w:r>
        <w:rPr>
          <w:rFonts w:hint="eastAsia" w:eastAsia="Arial"/>
          <w:color w:val="auto"/>
          <w:sz w:val="24"/>
          <w:szCs w:val="20"/>
        </w:rPr>
        <w:t>乙方自行协调解决本项目实施过程中发生的各种矛盾，甲方不承担任何费用和责任，服务期不顺延；乙方已到项目现场踏勘以充分了解本项目的情况，任何因忽视或误解项目情况而导致的索赔或工期延长申请不被批准。</w:t>
      </w:r>
    </w:p>
    <w:p w14:paraId="40967D4E">
      <w:pPr>
        <w:widowControl/>
        <w:spacing w:line="560" w:lineRule="exact"/>
        <w:ind w:firstLine="480"/>
        <w:rPr>
          <w:rFonts w:hint="eastAsia" w:eastAsia="Arial"/>
          <w:color w:val="auto"/>
          <w:sz w:val="24"/>
          <w:szCs w:val="20"/>
        </w:rPr>
      </w:pPr>
      <w:r>
        <w:rPr>
          <w:rFonts w:hint="eastAsia" w:eastAsia="Arial"/>
          <w:color w:val="auto"/>
          <w:sz w:val="24"/>
          <w:szCs w:val="20"/>
          <w:lang w:val="en-US" w:eastAsia="zh-CN"/>
        </w:rPr>
        <w:t>3、</w:t>
      </w:r>
      <w:r>
        <w:rPr>
          <w:rFonts w:hint="eastAsia" w:eastAsia="Arial"/>
          <w:color w:val="auto"/>
          <w:sz w:val="24"/>
          <w:szCs w:val="20"/>
        </w:rPr>
        <w:t>乙方在服务过程中必须确保安全，如造成各种人身伤害、财产损失或其他事故，均由乙方负责处理和经济赔偿，甲方不承担任何责任。</w:t>
      </w:r>
    </w:p>
    <w:p w14:paraId="4144CA31">
      <w:pPr>
        <w:widowControl/>
        <w:spacing w:line="560" w:lineRule="exact"/>
        <w:ind w:firstLine="480"/>
        <w:rPr>
          <w:rFonts w:hint="eastAsia" w:eastAsia="Arial"/>
          <w:color w:val="auto"/>
          <w:sz w:val="24"/>
          <w:szCs w:val="20"/>
        </w:rPr>
      </w:pPr>
      <w:r>
        <w:rPr>
          <w:rFonts w:hint="eastAsia" w:eastAsia="Arial"/>
          <w:color w:val="auto"/>
          <w:sz w:val="24"/>
          <w:szCs w:val="20"/>
          <w:lang w:val="en-US" w:eastAsia="zh-CN"/>
        </w:rPr>
        <w:t>4、</w:t>
      </w:r>
      <w:r>
        <w:rPr>
          <w:rFonts w:hint="eastAsia" w:eastAsia="Arial"/>
          <w:color w:val="auto"/>
          <w:sz w:val="24"/>
          <w:szCs w:val="20"/>
        </w:rPr>
        <w:t>本合同中的未尽事宜，采购文件中有规定的，按采购文件中的规定处理；没有规定的，双方可协商后进行补充，以书面形式签订补充协议，补充协议与本合同</w:t>
      </w:r>
      <w:r>
        <w:rPr>
          <w:rFonts w:hint="eastAsia" w:eastAsia="Arial"/>
          <w:color w:val="auto"/>
          <w:sz w:val="24"/>
          <w:szCs w:val="20"/>
          <w:lang w:eastAsia="zh-CN"/>
        </w:rPr>
        <w:t>具有</w:t>
      </w:r>
      <w:r>
        <w:rPr>
          <w:rFonts w:hint="eastAsia" w:eastAsia="Arial"/>
          <w:color w:val="auto"/>
          <w:sz w:val="24"/>
          <w:szCs w:val="20"/>
        </w:rPr>
        <w:t>同等效力。本合同之附件均为本合同不可分割的组成部分，与本合同具有同等的法律效力。</w:t>
      </w:r>
    </w:p>
    <w:p w14:paraId="641CD5C8">
      <w:pPr>
        <w:widowControl/>
        <w:spacing w:line="560" w:lineRule="exact"/>
        <w:ind w:firstLine="480"/>
        <w:rPr>
          <w:rFonts w:hint="eastAsia" w:eastAsia="Arial"/>
          <w:color w:val="auto"/>
          <w:sz w:val="24"/>
          <w:szCs w:val="20"/>
        </w:rPr>
      </w:pPr>
      <w:r>
        <w:rPr>
          <w:rFonts w:hint="eastAsia" w:eastAsia="Arial"/>
          <w:color w:val="auto"/>
          <w:sz w:val="24"/>
          <w:szCs w:val="20"/>
          <w:lang w:val="en-US" w:eastAsia="zh-CN"/>
        </w:rPr>
        <w:t>5、</w:t>
      </w:r>
      <w:r>
        <w:rPr>
          <w:rFonts w:hint="eastAsia" w:eastAsia="Arial"/>
          <w:color w:val="auto"/>
          <w:sz w:val="24"/>
          <w:szCs w:val="20"/>
        </w:rPr>
        <w:t>合同期满本合同自然终止。</w:t>
      </w:r>
    </w:p>
    <w:p w14:paraId="23DBD21F">
      <w:pPr>
        <w:widowControl/>
        <w:spacing w:line="560" w:lineRule="exact"/>
        <w:ind w:firstLine="480"/>
        <w:rPr>
          <w:rFonts w:eastAsia="Arial"/>
          <w:color w:val="auto"/>
          <w:sz w:val="24"/>
          <w:szCs w:val="20"/>
        </w:rPr>
      </w:pPr>
      <w:r>
        <w:rPr>
          <w:rFonts w:hint="eastAsia" w:eastAsia="宋体"/>
          <w:color w:val="auto"/>
          <w:sz w:val="24"/>
          <w:szCs w:val="20"/>
          <w:lang w:val="en-US" w:eastAsia="zh-CN"/>
        </w:rPr>
        <w:t>6</w:t>
      </w:r>
      <w:r>
        <w:rPr>
          <w:rFonts w:hint="eastAsia" w:eastAsia="Arial"/>
          <w:color w:val="auto"/>
          <w:sz w:val="24"/>
          <w:szCs w:val="20"/>
        </w:rPr>
        <w:t>、双方约定合同份数：壹式 肆 份，甲方 贰 份，乙方 贰 份。</w:t>
      </w:r>
    </w:p>
    <w:p w14:paraId="51056492">
      <w:pPr>
        <w:widowControl/>
        <w:spacing w:line="560" w:lineRule="exact"/>
        <w:ind w:firstLine="480"/>
        <w:rPr>
          <w:rFonts w:eastAsia="Arial"/>
          <w:color w:val="auto"/>
          <w:sz w:val="24"/>
          <w:szCs w:val="20"/>
        </w:rPr>
      </w:pPr>
      <w:r>
        <w:rPr>
          <w:rFonts w:hint="eastAsia" w:eastAsia="宋体"/>
          <w:color w:val="auto"/>
          <w:sz w:val="24"/>
          <w:szCs w:val="20"/>
          <w:lang w:val="en-US" w:eastAsia="zh-CN"/>
        </w:rPr>
        <w:t>7</w:t>
      </w:r>
      <w:r>
        <w:rPr>
          <w:rFonts w:hint="eastAsia" w:eastAsia="Arial"/>
          <w:color w:val="auto"/>
          <w:sz w:val="24"/>
          <w:szCs w:val="20"/>
        </w:rPr>
        <w:t>、本合同自双方签订之日起生效。</w:t>
      </w:r>
    </w:p>
    <w:p w14:paraId="0A588EB2">
      <w:pPr>
        <w:widowControl/>
        <w:spacing w:line="560" w:lineRule="exact"/>
        <w:ind w:firstLine="480"/>
        <w:rPr>
          <w:rFonts w:eastAsia="Arial"/>
          <w:color w:val="auto"/>
          <w:sz w:val="24"/>
          <w:szCs w:val="20"/>
        </w:rPr>
      </w:pPr>
      <w:r>
        <w:rPr>
          <w:rFonts w:hint="eastAsia" w:eastAsia="Arial"/>
          <w:color w:val="auto"/>
          <w:sz w:val="24"/>
          <w:szCs w:val="20"/>
        </w:rPr>
        <w:t xml:space="preserve">甲方（盖章）：                 </w:t>
      </w:r>
      <w:r>
        <w:rPr>
          <w:rFonts w:hint="eastAsia"/>
          <w:color w:val="auto"/>
          <w:sz w:val="24"/>
          <w:szCs w:val="20"/>
        </w:rPr>
        <w:t xml:space="preserve">    </w:t>
      </w:r>
      <w:r>
        <w:rPr>
          <w:rFonts w:hint="eastAsia" w:eastAsia="Arial"/>
          <w:color w:val="auto"/>
          <w:sz w:val="24"/>
          <w:szCs w:val="20"/>
        </w:rPr>
        <w:t>乙方（盖章）：</w:t>
      </w:r>
    </w:p>
    <w:p w14:paraId="7CD8753F">
      <w:pPr>
        <w:widowControl/>
        <w:spacing w:line="560" w:lineRule="exact"/>
        <w:ind w:firstLine="480"/>
        <w:rPr>
          <w:rFonts w:eastAsia="Arial"/>
          <w:color w:val="auto"/>
          <w:sz w:val="24"/>
          <w:szCs w:val="20"/>
        </w:rPr>
      </w:pPr>
      <w:r>
        <w:rPr>
          <w:rFonts w:hint="eastAsia" w:eastAsia="Arial"/>
          <w:color w:val="auto"/>
          <w:sz w:val="24"/>
          <w:szCs w:val="20"/>
        </w:rPr>
        <w:t xml:space="preserve">法定代表人                     </w:t>
      </w:r>
      <w:r>
        <w:rPr>
          <w:rFonts w:hint="eastAsia"/>
          <w:color w:val="auto"/>
          <w:sz w:val="24"/>
          <w:szCs w:val="20"/>
        </w:rPr>
        <w:t xml:space="preserve">    </w:t>
      </w:r>
      <w:r>
        <w:rPr>
          <w:rFonts w:hint="eastAsia" w:eastAsia="Arial"/>
          <w:color w:val="auto"/>
          <w:sz w:val="24"/>
          <w:szCs w:val="20"/>
        </w:rPr>
        <w:t>法定代表人</w:t>
      </w:r>
    </w:p>
    <w:p w14:paraId="4FC08A9E">
      <w:pPr>
        <w:widowControl/>
        <w:spacing w:line="560" w:lineRule="exact"/>
        <w:ind w:firstLine="480"/>
        <w:rPr>
          <w:rFonts w:hint="eastAsia" w:eastAsia="Arial"/>
          <w:color w:val="auto"/>
          <w:sz w:val="24"/>
          <w:szCs w:val="20"/>
        </w:rPr>
      </w:pPr>
      <w:r>
        <w:rPr>
          <w:rFonts w:hint="eastAsia" w:eastAsia="Arial"/>
          <w:color w:val="auto"/>
          <w:sz w:val="24"/>
          <w:szCs w:val="20"/>
        </w:rPr>
        <w:t xml:space="preserve">或授权委托人（签字）：         </w:t>
      </w:r>
      <w:r>
        <w:rPr>
          <w:rFonts w:hint="eastAsia"/>
          <w:color w:val="auto"/>
          <w:sz w:val="24"/>
          <w:szCs w:val="20"/>
        </w:rPr>
        <w:t xml:space="preserve">  </w:t>
      </w:r>
      <w:r>
        <w:rPr>
          <w:rFonts w:hint="eastAsia" w:eastAsia="Arial"/>
          <w:color w:val="auto"/>
          <w:sz w:val="24"/>
          <w:szCs w:val="20"/>
        </w:rPr>
        <w:t>或授权委托人（签字）：</w:t>
      </w:r>
    </w:p>
    <w:p w14:paraId="203A0BAD">
      <w:pPr>
        <w:pStyle w:val="23"/>
        <w:rPr>
          <w:rFonts w:hint="eastAsia" w:eastAsia="Arial"/>
          <w:color w:val="auto"/>
          <w:sz w:val="24"/>
          <w:szCs w:val="20"/>
        </w:rPr>
      </w:pPr>
    </w:p>
    <w:p w14:paraId="259D1A74">
      <w:pPr>
        <w:pStyle w:val="23"/>
        <w:rPr>
          <w:rFonts w:hint="eastAsia" w:eastAsia="Arial"/>
          <w:color w:val="auto"/>
          <w:sz w:val="24"/>
          <w:szCs w:val="20"/>
        </w:rPr>
      </w:pPr>
    </w:p>
    <w:p w14:paraId="4A18EA90">
      <w:pPr>
        <w:widowControl/>
        <w:spacing w:line="560" w:lineRule="exact"/>
        <w:ind w:firstLine="480"/>
        <w:jc w:val="right"/>
        <w:rPr>
          <w:rFonts w:hint="eastAsia" w:asciiTheme="majorEastAsia" w:hAnsiTheme="majorEastAsia" w:eastAsiaTheme="majorEastAsia" w:cstheme="majorEastAsia"/>
          <w:b/>
          <w:bCs/>
          <w:color w:val="auto"/>
          <w:sz w:val="44"/>
          <w:szCs w:val="44"/>
          <w:highlight w:val="none"/>
        </w:rPr>
      </w:pPr>
      <w:r>
        <w:rPr>
          <w:rFonts w:hint="eastAsia" w:eastAsia="Arial"/>
          <w:color w:val="auto"/>
          <w:sz w:val="24"/>
          <w:szCs w:val="20"/>
        </w:rPr>
        <w:t>时间：  年  月  日</w:t>
      </w:r>
    </w:p>
    <w:p w14:paraId="4737489B">
      <w:pPr>
        <w:pStyle w:val="4"/>
        <w:ind w:left="0" w:leftChars="0" w:firstLine="0" w:firstLineChars="0"/>
        <w:rPr>
          <w:rFonts w:hint="eastAsia"/>
          <w:b/>
          <w:bCs/>
          <w:color w:val="auto"/>
          <w:sz w:val="30"/>
          <w:szCs w:val="30"/>
        </w:rPr>
      </w:pPr>
    </w:p>
    <w:p w14:paraId="2A506F9B">
      <w:pPr>
        <w:widowControl/>
        <w:spacing w:line="560" w:lineRule="exact"/>
        <w:ind w:firstLine="0"/>
        <w:rPr>
          <w:rFonts w:hint="eastAsia"/>
          <w:b/>
          <w:bCs/>
          <w:color w:val="auto"/>
          <w:sz w:val="30"/>
          <w:szCs w:val="30"/>
        </w:rPr>
      </w:pPr>
    </w:p>
    <w:p w14:paraId="3D8D916C">
      <w:pPr>
        <w:widowControl/>
        <w:spacing w:line="560" w:lineRule="exact"/>
        <w:ind w:firstLine="0"/>
        <w:rPr>
          <w:rFonts w:hint="eastAsia"/>
          <w:b/>
          <w:bCs/>
          <w:color w:val="auto"/>
          <w:sz w:val="30"/>
          <w:szCs w:val="30"/>
        </w:rPr>
      </w:pPr>
    </w:p>
    <w:p w14:paraId="42C68321">
      <w:pPr>
        <w:widowControl/>
        <w:spacing w:line="560" w:lineRule="exact"/>
        <w:ind w:firstLine="0"/>
        <w:rPr>
          <w:rFonts w:hint="eastAsia"/>
          <w:b/>
          <w:bCs/>
          <w:color w:val="auto"/>
          <w:sz w:val="30"/>
          <w:szCs w:val="30"/>
        </w:rPr>
      </w:pPr>
    </w:p>
    <w:p w14:paraId="022005BD">
      <w:pPr>
        <w:widowControl/>
        <w:spacing w:line="560" w:lineRule="exact"/>
        <w:ind w:firstLine="0"/>
        <w:rPr>
          <w:rFonts w:hint="eastAsia"/>
          <w:b/>
          <w:bCs/>
          <w:color w:val="auto"/>
          <w:sz w:val="30"/>
          <w:szCs w:val="30"/>
        </w:rPr>
      </w:pPr>
    </w:p>
    <w:p w14:paraId="2A5E366A">
      <w:pPr>
        <w:widowControl/>
        <w:spacing w:line="560" w:lineRule="exact"/>
        <w:ind w:firstLine="0"/>
        <w:rPr>
          <w:rFonts w:hint="eastAsia"/>
          <w:b/>
          <w:bCs/>
          <w:color w:val="auto"/>
          <w:sz w:val="30"/>
          <w:szCs w:val="30"/>
        </w:rPr>
      </w:pPr>
    </w:p>
    <w:p w14:paraId="4412794B">
      <w:pPr>
        <w:widowControl/>
        <w:spacing w:line="560" w:lineRule="exact"/>
        <w:ind w:firstLine="0"/>
        <w:rPr>
          <w:rFonts w:hint="eastAsia"/>
          <w:b/>
          <w:bCs/>
          <w:color w:val="auto"/>
          <w:sz w:val="30"/>
          <w:szCs w:val="30"/>
        </w:rPr>
      </w:pPr>
    </w:p>
    <w:p w14:paraId="337B3107">
      <w:pPr>
        <w:widowControl/>
        <w:spacing w:line="560" w:lineRule="exact"/>
        <w:ind w:firstLine="0"/>
        <w:rPr>
          <w:color w:val="auto"/>
          <w:sz w:val="30"/>
          <w:szCs w:val="30"/>
        </w:rPr>
      </w:pPr>
      <w:r>
        <w:rPr>
          <w:rFonts w:hint="eastAsia"/>
          <w:b/>
          <w:bCs/>
          <w:color w:val="auto"/>
          <w:sz w:val="30"/>
          <w:szCs w:val="30"/>
        </w:rPr>
        <w:t>附表：考核办法</w:t>
      </w:r>
    </w:p>
    <w:p w14:paraId="7CA9D647">
      <w:pPr>
        <w:widowControl/>
        <w:spacing w:line="560" w:lineRule="exact"/>
        <w:ind w:firstLine="480"/>
        <w:rPr>
          <w:rFonts w:eastAsia="Arial"/>
          <w:b/>
          <w:bCs/>
          <w:color w:val="auto"/>
          <w:sz w:val="24"/>
          <w:szCs w:val="20"/>
          <w:lang w:val="zh-CN"/>
        </w:rPr>
      </w:pPr>
      <w:r>
        <w:rPr>
          <w:rFonts w:hint="eastAsia" w:eastAsia="Arial"/>
          <w:b/>
          <w:bCs/>
          <w:color w:val="auto"/>
          <w:sz w:val="24"/>
          <w:szCs w:val="20"/>
          <w:lang w:val="zh-CN"/>
        </w:rPr>
        <w:t>一、考核办法的实施原则与目的</w:t>
      </w:r>
    </w:p>
    <w:p w14:paraId="5A8FE011">
      <w:pPr>
        <w:widowControl/>
        <w:spacing w:line="560" w:lineRule="exact"/>
        <w:ind w:firstLine="480"/>
        <w:rPr>
          <w:rFonts w:eastAsia="Arial"/>
          <w:color w:val="auto"/>
          <w:sz w:val="24"/>
          <w:szCs w:val="20"/>
          <w:lang w:val="zh-CN"/>
        </w:rPr>
      </w:pPr>
      <w:r>
        <w:rPr>
          <w:rFonts w:hint="eastAsia" w:eastAsia="Arial"/>
          <w:color w:val="auto"/>
          <w:sz w:val="24"/>
          <w:szCs w:val="20"/>
          <w:lang w:val="zh-CN"/>
        </w:rPr>
        <w:t>为进一步加强学校物业工作管理，督促物业从业人员落实规定，更好地为师生提供优质、规范的服务，确保在校师生安全和校园秩序正规，现依据相关规定制定本考核细则：</w:t>
      </w:r>
    </w:p>
    <w:p w14:paraId="4001E6D8">
      <w:pPr>
        <w:widowControl/>
        <w:spacing w:line="560" w:lineRule="exact"/>
        <w:ind w:firstLine="480"/>
        <w:rPr>
          <w:rFonts w:eastAsia="Arial"/>
          <w:b/>
          <w:bCs/>
          <w:color w:val="auto"/>
          <w:sz w:val="24"/>
          <w:szCs w:val="20"/>
          <w:lang w:val="zh-CN"/>
        </w:rPr>
      </w:pPr>
      <w:r>
        <w:rPr>
          <w:rFonts w:hint="eastAsia" w:eastAsia="Arial"/>
          <w:b/>
          <w:bCs/>
          <w:color w:val="auto"/>
          <w:sz w:val="24"/>
          <w:szCs w:val="20"/>
          <w:lang w:val="zh-CN"/>
        </w:rPr>
        <w:t>二、考核内容与评分标准</w:t>
      </w:r>
    </w:p>
    <w:p w14:paraId="3BC3F50E">
      <w:pPr>
        <w:widowControl/>
        <w:spacing w:line="560" w:lineRule="exact"/>
        <w:ind w:firstLine="480"/>
        <w:rPr>
          <w:rFonts w:hint="eastAsia" w:eastAsia="宋体"/>
          <w:b/>
          <w:bCs/>
          <w:color w:val="auto"/>
          <w:sz w:val="24"/>
          <w:szCs w:val="20"/>
          <w:lang w:val="en-US" w:eastAsia="zh-CN"/>
        </w:rPr>
      </w:pPr>
      <w:r>
        <w:rPr>
          <w:rFonts w:hint="eastAsia" w:eastAsia="Arial"/>
          <w:b/>
          <w:bCs/>
          <w:color w:val="auto"/>
          <w:sz w:val="24"/>
          <w:szCs w:val="20"/>
          <w:lang w:val="zh-CN"/>
        </w:rPr>
        <w:t xml:space="preserve"> </w:t>
      </w:r>
      <w:r>
        <w:rPr>
          <w:rFonts w:hint="eastAsia" w:eastAsia="宋体"/>
          <w:b/>
          <w:bCs/>
          <w:color w:val="auto"/>
          <w:sz w:val="24"/>
          <w:szCs w:val="20"/>
          <w:lang w:val="en-US" w:eastAsia="zh-CN"/>
        </w:rPr>
        <w:t>（一）</w:t>
      </w:r>
      <w:r>
        <w:rPr>
          <w:rFonts w:hint="eastAsia" w:eastAsia="Arial"/>
          <w:b/>
          <w:bCs/>
          <w:color w:val="auto"/>
          <w:sz w:val="24"/>
          <w:szCs w:val="20"/>
          <w:lang w:val="zh-CN"/>
        </w:rPr>
        <w:t>制度建设（</w:t>
      </w:r>
      <w:r>
        <w:rPr>
          <w:rFonts w:hint="eastAsia" w:eastAsia="宋体"/>
          <w:b/>
          <w:bCs/>
          <w:color w:val="auto"/>
          <w:sz w:val="24"/>
          <w:szCs w:val="20"/>
          <w:lang w:val="en-US" w:eastAsia="zh-CN"/>
        </w:rPr>
        <w:t>5分）</w:t>
      </w:r>
    </w:p>
    <w:p w14:paraId="704DCAA4">
      <w:pPr>
        <w:widowControl/>
        <w:spacing w:line="560" w:lineRule="exact"/>
        <w:ind w:firstLine="480"/>
        <w:rPr>
          <w:rFonts w:hint="eastAsia" w:eastAsia="Arial"/>
          <w:color w:val="auto"/>
          <w:sz w:val="24"/>
          <w:szCs w:val="20"/>
          <w:lang w:val="zh-CN"/>
        </w:rPr>
      </w:pPr>
      <w:r>
        <w:rPr>
          <w:rFonts w:hint="eastAsia" w:eastAsia="宋体"/>
          <w:color w:val="auto"/>
          <w:sz w:val="24"/>
          <w:szCs w:val="20"/>
          <w:lang w:val="en-US" w:eastAsia="zh-CN"/>
        </w:rPr>
        <w:t>1.</w:t>
      </w:r>
      <w:r>
        <w:rPr>
          <w:rFonts w:hint="eastAsia" w:eastAsia="Arial"/>
          <w:color w:val="auto"/>
          <w:sz w:val="24"/>
          <w:szCs w:val="20"/>
          <w:lang w:val="zh-CN"/>
        </w:rPr>
        <w:t>建立健全管理制度，制订突发性应急预案和处理办法，安全基础台帐、应急预案规范，如制度不完善和台帐、预案不规范。</w:t>
      </w:r>
    </w:p>
    <w:p w14:paraId="42B5A100">
      <w:pPr>
        <w:widowControl/>
        <w:spacing w:line="560" w:lineRule="exact"/>
        <w:ind w:firstLine="480"/>
        <w:rPr>
          <w:rFonts w:hint="eastAsia" w:eastAsia="Arial"/>
          <w:color w:val="auto"/>
          <w:sz w:val="24"/>
          <w:szCs w:val="20"/>
          <w:lang w:val="zh-CN"/>
        </w:rPr>
      </w:pPr>
      <w:r>
        <w:rPr>
          <w:rFonts w:hint="eastAsia" w:eastAsia="宋体"/>
          <w:color w:val="auto"/>
          <w:sz w:val="24"/>
          <w:szCs w:val="20"/>
          <w:lang w:val="en-US" w:eastAsia="zh-CN"/>
        </w:rPr>
        <w:t>2.</w:t>
      </w:r>
      <w:r>
        <w:rPr>
          <w:rFonts w:hint="eastAsia" w:eastAsia="Arial"/>
          <w:color w:val="auto"/>
          <w:sz w:val="24"/>
          <w:szCs w:val="20"/>
          <w:lang w:val="zh-CN"/>
        </w:rPr>
        <w:t>建立健全各项岗位管理制度。加强人员出入管理，严格执行出入管理制度。</w:t>
      </w:r>
    </w:p>
    <w:p w14:paraId="36801FE9">
      <w:pPr>
        <w:widowControl/>
        <w:spacing w:line="560" w:lineRule="exact"/>
        <w:ind w:firstLine="480"/>
        <w:rPr>
          <w:rFonts w:hint="eastAsia" w:eastAsia="Arial"/>
          <w:color w:val="auto"/>
          <w:sz w:val="24"/>
          <w:szCs w:val="20"/>
          <w:lang w:val="zh-CN"/>
        </w:rPr>
      </w:pPr>
      <w:r>
        <w:rPr>
          <w:rFonts w:hint="eastAsia" w:eastAsia="宋体"/>
          <w:color w:val="auto"/>
          <w:sz w:val="24"/>
          <w:szCs w:val="20"/>
          <w:lang w:val="en-US" w:eastAsia="zh-CN"/>
        </w:rPr>
        <w:t>3.</w:t>
      </w:r>
      <w:r>
        <w:rPr>
          <w:rFonts w:hint="eastAsia" w:eastAsia="Arial"/>
          <w:color w:val="auto"/>
          <w:sz w:val="24"/>
          <w:szCs w:val="20"/>
          <w:lang w:val="zh-CN"/>
        </w:rPr>
        <w:t xml:space="preserve">建立健全人员使用政审和报告制度。有员工招聘审查、培训办法，有岗位职责、人员分工任务表等内部管理考核台帐，资料健全；员工未发生任何损害公共利益、造成不良影响的事件。 </w:t>
      </w:r>
    </w:p>
    <w:p w14:paraId="2F40D801">
      <w:pPr>
        <w:ind w:firstLine="482"/>
        <w:rPr>
          <w:rFonts w:ascii="宋体" w:hAnsi="宋体" w:eastAsia="宋体" w:cs="楷体_GB2312"/>
          <w:b/>
          <w:bCs/>
          <w:color w:val="auto"/>
          <w:sz w:val="24"/>
        </w:rPr>
      </w:pPr>
      <w:r>
        <w:rPr>
          <w:rFonts w:hint="eastAsia" w:ascii="宋体" w:hAnsi="宋体" w:eastAsia="宋体" w:cs="楷体_GB2312"/>
          <w:b/>
          <w:bCs/>
          <w:color w:val="auto"/>
          <w:sz w:val="24"/>
        </w:rPr>
        <w:t>（二）人员管理</w:t>
      </w:r>
      <w:r>
        <w:rPr>
          <w:rFonts w:hint="eastAsia" w:eastAsia="Arial"/>
          <w:b/>
          <w:bCs/>
          <w:color w:val="auto"/>
          <w:sz w:val="24"/>
          <w:szCs w:val="20"/>
          <w:lang w:val="zh-CN"/>
        </w:rPr>
        <w:t>（</w:t>
      </w:r>
      <w:r>
        <w:rPr>
          <w:rFonts w:hint="eastAsia" w:eastAsia="宋体"/>
          <w:b/>
          <w:bCs/>
          <w:color w:val="auto"/>
          <w:sz w:val="24"/>
          <w:szCs w:val="20"/>
          <w:lang w:val="en-US" w:eastAsia="zh-CN"/>
        </w:rPr>
        <w:t>25分）</w:t>
      </w:r>
    </w:p>
    <w:p w14:paraId="0037C67A">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1.新进员工要进行政审，政审合格后报甲方备案方可录入使用。</w:t>
      </w:r>
    </w:p>
    <w:p w14:paraId="41DE8011">
      <w:pPr>
        <w:widowControl/>
        <w:spacing w:line="560" w:lineRule="exact"/>
        <w:ind w:firstLine="480"/>
        <w:rPr>
          <w:rFonts w:hint="eastAsia" w:eastAsia="Arial"/>
          <w:color w:val="auto"/>
          <w:sz w:val="24"/>
          <w:szCs w:val="20"/>
          <w:lang w:val="zh-CN"/>
        </w:rPr>
      </w:pPr>
      <w:r>
        <w:rPr>
          <w:rFonts w:hint="eastAsia" w:eastAsia="宋体"/>
          <w:color w:val="auto"/>
          <w:sz w:val="24"/>
          <w:szCs w:val="20"/>
          <w:lang w:val="en-US" w:eastAsia="zh-CN"/>
        </w:rPr>
        <w:t>2</w:t>
      </w:r>
      <w:r>
        <w:rPr>
          <w:rFonts w:hint="eastAsia" w:eastAsia="Arial"/>
          <w:color w:val="auto"/>
          <w:sz w:val="24"/>
          <w:szCs w:val="20"/>
          <w:lang w:val="zh-CN"/>
        </w:rPr>
        <w:t>.经政审、培训合格上岗后的员工，无特殊情况，不得随意更换，如发现新进员工在岗未达到10天以上的。</w:t>
      </w:r>
    </w:p>
    <w:p w14:paraId="21F349E5">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4.员工离岗或请假需提前一天上报，未及时报告和备案的。</w:t>
      </w:r>
    </w:p>
    <w:p w14:paraId="6E0CE6F9">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5.员工上岗培训必须有案可查、资料完备，同时每季度至少开展1次法律法规、岗位技能、职业素质、服务知识、应急处置、客户文化、绿色节能环保等教育培训，并进行适当形式的考核。培训、考核不到位，资料不完备的。</w:t>
      </w:r>
    </w:p>
    <w:p w14:paraId="2FB6F7B0">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6.员工未按规定统一着装，未佩戴统一标识，服装上有污渍、有破损，不注重仪表仪容，男性不得留长发、蓄胡子，不注意文明用语等。</w:t>
      </w:r>
    </w:p>
    <w:p w14:paraId="384CA868">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7.员工在岗期间玩手机（与工作无关内容）、看报纸，脱岗、串岗、睡岗。</w:t>
      </w:r>
    </w:p>
    <w:p w14:paraId="453FB46F">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8.员工不得与学校相关人员（教师、学生等）发生肢体或语言冲突，有问题及时上报管理部门处理，不得出现借工作名义发生侵犯学生权益等违法犯罪行为，如发生冲突或案件，相关涉案人员交公安部门处理。</w:t>
      </w:r>
    </w:p>
    <w:p w14:paraId="5C66DDC2">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9.物管公司随意更换服务人员，或人员年龄及其他要求未达到甲方规定标准。</w:t>
      </w:r>
    </w:p>
    <w:p w14:paraId="0EEF603C">
      <w:pPr>
        <w:widowControl/>
        <w:spacing w:line="560" w:lineRule="exact"/>
        <w:ind w:firstLine="480"/>
        <w:rPr>
          <w:rFonts w:eastAsia="Arial"/>
          <w:b/>
          <w:bCs/>
          <w:color w:val="auto"/>
          <w:sz w:val="24"/>
          <w:szCs w:val="20"/>
          <w:lang w:val="zh-CN"/>
        </w:rPr>
      </w:pPr>
      <w:r>
        <w:rPr>
          <w:rFonts w:hint="eastAsia" w:eastAsia="宋体"/>
          <w:b/>
          <w:bCs/>
          <w:color w:val="auto"/>
          <w:sz w:val="24"/>
          <w:szCs w:val="20"/>
          <w:lang w:val="en-US" w:eastAsia="zh-CN"/>
        </w:rPr>
        <w:t>（三）</w:t>
      </w:r>
      <w:r>
        <w:rPr>
          <w:rFonts w:hint="eastAsia" w:eastAsia="Arial"/>
          <w:b/>
          <w:bCs/>
          <w:color w:val="auto"/>
          <w:sz w:val="24"/>
          <w:szCs w:val="20"/>
          <w:lang w:val="zh-CN"/>
        </w:rPr>
        <w:t>、卫生保洁（合计：</w:t>
      </w:r>
      <w:r>
        <w:rPr>
          <w:rFonts w:hint="eastAsia" w:eastAsia="Arial"/>
          <w:b/>
          <w:bCs/>
          <w:color w:val="auto"/>
          <w:sz w:val="24"/>
          <w:szCs w:val="20"/>
          <w:u w:val="single"/>
          <w:lang w:val="zh-CN"/>
        </w:rPr>
        <w:t xml:space="preserve"> </w:t>
      </w:r>
      <w:r>
        <w:rPr>
          <w:rFonts w:hint="eastAsia" w:eastAsia="宋体"/>
          <w:b/>
          <w:bCs/>
          <w:color w:val="auto"/>
          <w:sz w:val="24"/>
          <w:szCs w:val="20"/>
          <w:u w:val="single"/>
          <w:lang w:val="en-US" w:eastAsia="zh-CN"/>
        </w:rPr>
        <w:t>25</w:t>
      </w:r>
      <w:r>
        <w:rPr>
          <w:rFonts w:hint="eastAsia" w:eastAsia="Arial"/>
          <w:b/>
          <w:bCs/>
          <w:color w:val="auto"/>
          <w:sz w:val="24"/>
          <w:szCs w:val="20"/>
          <w:lang w:val="zh-CN"/>
        </w:rPr>
        <w:t xml:space="preserve">分）                        </w:t>
      </w:r>
    </w:p>
    <w:p w14:paraId="1F1D28C9">
      <w:pPr>
        <w:widowControl/>
        <w:spacing w:line="560" w:lineRule="exact"/>
        <w:ind w:firstLine="480"/>
        <w:rPr>
          <w:rFonts w:eastAsia="Arial"/>
          <w:b/>
          <w:bCs/>
          <w:color w:val="auto"/>
          <w:sz w:val="24"/>
          <w:szCs w:val="20"/>
          <w:lang w:val="zh-CN"/>
        </w:rPr>
      </w:pPr>
      <w:r>
        <w:rPr>
          <w:rFonts w:hint="eastAsia" w:eastAsia="宋体"/>
          <w:b/>
          <w:bCs/>
          <w:color w:val="auto"/>
          <w:sz w:val="24"/>
          <w:szCs w:val="20"/>
          <w:lang w:val="en-US" w:eastAsia="zh-CN"/>
        </w:rPr>
        <w:t>1.</w:t>
      </w:r>
      <w:r>
        <w:rPr>
          <w:rFonts w:hint="eastAsia" w:eastAsia="Arial"/>
          <w:b/>
          <w:bCs/>
          <w:color w:val="auto"/>
          <w:sz w:val="24"/>
          <w:szCs w:val="20"/>
          <w:lang w:val="zh-CN"/>
        </w:rPr>
        <w:t>门厅、走廊及楼道卫生打扫要求：（</w:t>
      </w:r>
      <w:r>
        <w:rPr>
          <w:rFonts w:hint="eastAsia" w:eastAsia="宋体"/>
          <w:b/>
          <w:bCs/>
          <w:color w:val="auto"/>
          <w:sz w:val="24"/>
          <w:szCs w:val="20"/>
          <w:lang w:val="en-US" w:eastAsia="zh-CN"/>
        </w:rPr>
        <w:t>15</w:t>
      </w:r>
      <w:r>
        <w:rPr>
          <w:rFonts w:hint="eastAsia" w:eastAsia="Arial"/>
          <w:b/>
          <w:bCs/>
          <w:color w:val="auto"/>
          <w:sz w:val="24"/>
          <w:szCs w:val="20"/>
          <w:lang w:val="zh-CN"/>
        </w:rPr>
        <w:t>分）</w:t>
      </w:r>
    </w:p>
    <w:p w14:paraId="43B05005">
      <w:pPr>
        <w:widowControl/>
        <w:spacing w:line="560" w:lineRule="exact"/>
        <w:ind w:firstLine="480"/>
        <w:rPr>
          <w:rFonts w:eastAsia="Arial"/>
          <w:color w:val="auto"/>
          <w:sz w:val="24"/>
          <w:szCs w:val="20"/>
          <w:lang w:val="zh-CN"/>
        </w:rPr>
      </w:pPr>
      <w:r>
        <w:rPr>
          <w:rFonts w:hint="eastAsia" w:eastAsia="Arial"/>
          <w:color w:val="auto"/>
          <w:sz w:val="24"/>
          <w:szCs w:val="20"/>
          <w:lang w:val="zh-CN"/>
        </w:rPr>
        <w:t>①认真做好门前“三包”：楼前周边环境卫生整洁；车辆排放整齐有序；确保保洁到位。</w:t>
      </w:r>
    </w:p>
    <w:p w14:paraId="2EDF4CA6">
      <w:pPr>
        <w:widowControl/>
        <w:spacing w:line="560" w:lineRule="exact"/>
        <w:ind w:firstLine="480"/>
        <w:rPr>
          <w:rFonts w:eastAsia="Arial"/>
          <w:color w:val="auto"/>
          <w:sz w:val="24"/>
          <w:szCs w:val="20"/>
          <w:lang w:val="zh-CN"/>
        </w:rPr>
      </w:pPr>
      <w:r>
        <w:rPr>
          <w:rFonts w:hint="eastAsia" w:eastAsia="Arial"/>
          <w:color w:val="auto"/>
          <w:sz w:val="24"/>
          <w:szCs w:val="20"/>
          <w:lang w:val="zh-CN"/>
        </w:rPr>
        <w:t>②地面：规定工作日内每天上、下午各扫、拖一次，确保无污渍、积水、痰迹、口香糖残迹以及其它垃圾。</w:t>
      </w:r>
    </w:p>
    <w:p w14:paraId="5E4C7B94">
      <w:pPr>
        <w:widowControl/>
        <w:spacing w:line="560" w:lineRule="exact"/>
        <w:ind w:firstLine="480"/>
        <w:rPr>
          <w:rFonts w:eastAsia="Arial"/>
          <w:color w:val="auto"/>
          <w:sz w:val="24"/>
          <w:szCs w:val="20"/>
          <w:lang w:val="zh-CN"/>
        </w:rPr>
      </w:pPr>
      <w:r>
        <w:rPr>
          <w:rFonts w:hint="eastAsia" w:eastAsia="Arial"/>
          <w:color w:val="auto"/>
          <w:sz w:val="24"/>
          <w:szCs w:val="20"/>
          <w:lang w:val="zh-CN"/>
        </w:rPr>
        <w:t>③墙壁：瓷砖、窗台、玻璃、宣传版画、消防箱面、消防指示牌、开放书架、体育器材、桌椅、绿植等每天擦一遍，保持表面无灰尘、污渍、污痕。</w:t>
      </w:r>
    </w:p>
    <w:p w14:paraId="0088931F">
      <w:pPr>
        <w:widowControl/>
        <w:spacing w:line="560" w:lineRule="exact"/>
        <w:ind w:firstLine="480"/>
        <w:rPr>
          <w:rFonts w:eastAsia="Arial"/>
          <w:color w:val="auto"/>
          <w:sz w:val="24"/>
          <w:szCs w:val="20"/>
          <w:lang w:val="zh-CN"/>
        </w:rPr>
      </w:pPr>
      <w:r>
        <w:rPr>
          <w:rFonts w:hint="eastAsia" w:eastAsia="Arial"/>
          <w:color w:val="auto"/>
          <w:sz w:val="24"/>
          <w:szCs w:val="20"/>
          <w:lang w:val="zh-CN"/>
        </w:rPr>
        <w:t>④天花板：定期清除蜘蛛网和桥架上的浮灰。</w:t>
      </w:r>
    </w:p>
    <w:p w14:paraId="6701A340">
      <w:pPr>
        <w:widowControl/>
        <w:spacing w:line="560" w:lineRule="exact"/>
        <w:ind w:firstLine="480"/>
        <w:rPr>
          <w:rFonts w:eastAsia="Arial"/>
          <w:color w:val="auto"/>
          <w:sz w:val="24"/>
          <w:szCs w:val="20"/>
          <w:lang w:val="zh-CN"/>
        </w:rPr>
      </w:pPr>
      <w:r>
        <w:rPr>
          <w:rFonts w:hint="eastAsia" w:eastAsia="Arial"/>
          <w:color w:val="auto"/>
          <w:sz w:val="24"/>
          <w:szCs w:val="20"/>
          <w:lang w:val="zh-CN"/>
        </w:rPr>
        <w:t>⑤垃圾桶：每天下班前必须将垃圾清理干净并保持垃圾桶外部清洁卫生。</w:t>
      </w:r>
    </w:p>
    <w:p w14:paraId="364BBA22">
      <w:pPr>
        <w:widowControl/>
        <w:spacing w:line="560" w:lineRule="exact"/>
        <w:ind w:firstLine="480"/>
        <w:rPr>
          <w:rFonts w:eastAsia="Arial"/>
          <w:color w:val="auto"/>
          <w:sz w:val="24"/>
          <w:szCs w:val="20"/>
          <w:lang w:val="zh-CN"/>
        </w:rPr>
      </w:pPr>
      <w:r>
        <w:rPr>
          <w:rFonts w:hint="eastAsia" w:eastAsia="Arial"/>
          <w:color w:val="auto"/>
          <w:sz w:val="24"/>
          <w:szCs w:val="20"/>
          <w:lang w:val="zh-CN"/>
        </w:rPr>
        <w:t>⑥楼道：地面、墙壁、天花板、垃圾桶打扫要求同上，楼梯扶手及玻璃必须每天擦洗干净，保持无污渍、污痕。</w:t>
      </w:r>
    </w:p>
    <w:p w14:paraId="7888A981">
      <w:pPr>
        <w:widowControl/>
        <w:spacing w:line="560" w:lineRule="exact"/>
        <w:ind w:firstLine="480"/>
        <w:rPr>
          <w:rFonts w:eastAsia="Arial"/>
          <w:color w:val="auto"/>
          <w:sz w:val="24"/>
          <w:szCs w:val="20"/>
          <w:lang w:val="zh-CN"/>
        </w:rPr>
      </w:pPr>
      <w:r>
        <w:rPr>
          <w:rFonts w:hint="eastAsia" w:eastAsia="Arial"/>
          <w:color w:val="auto"/>
          <w:sz w:val="24"/>
          <w:szCs w:val="20"/>
          <w:lang w:val="zh-CN"/>
        </w:rPr>
        <w:t>⑦楼梯口：随时保持卫生整洁，不得堆放任何杂物、不得停放师生车辆，不得存放打扫工具。</w:t>
      </w:r>
    </w:p>
    <w:p w14:paraId="4338F900">
      <w:pPr>
        <w:widowControl/>
        <w:spacing w:line="560" w:lineRule="exact"/>
        <w:ind w:firstLine="480"/>
        <w:rPr>
          <w:rFonts w:eastAsia="Arial"/>
          <w:b/>
          <w:bCs/>
          <w:color w:val="auto"/>
          <w:sz w:val="24"/>
          <w:szCs w:val="20"/>
          <w:lang w:val="zh-CN"/>
        </w:rPr>
      </w:pPr>
      <w:r>
        <w:rPr>
          <w:rFonts w:hint="eastAsia" w:eastAsia="宋体"/>
          <w:b/>
          <w:bCs/>
          <w:color w:val="auto"/>
          <w:sz w:val="24"/>
          <w:szCs w:val="20"/>
          <w:lang w:val="en-US" w:eastAsia="zh-CN"/>
        </w:rPr>
        <w:t>2.</w:t>
      </w:r>
      <w:r>
        <w:rPr>
          <w:rFonts w:hint="eastAsia" w:eastAsia="Arial"/>
          <w:b/>
          <w:bCs/>
          <w:color w:val="auto"/>
          <w:sz w:val="24"/>
          <w:szCs w:val="20"/>
          <w:lang w:val="zh-CN"/>
        </w:rPr>
        <w:t>厕所及</w:t>
      </w:r>
      <w:r>
        <w:rPr>
          <w:rFonts w:hint="eastAsia" w:eastAsia="Arial"/>
          <w:b/>
          <w:bCs/>
          <w:color w:val="auto"/>
          <w:sz w:val="24"/>
          <w:szCs w:val="20"/>
          <w:highlight w:val="none"/>
          <w:lang w:val="zh-CN"/>
        </w:rPr>
        <w:t>清洗间卫生打扫要求：（</w:t>
      </w:r>
      <w:r>
        <w:rPr>
          <w:rFonts w:hint="eastAsia" w:eastAsia="宋体"/>
          <w:b/>
          <w:bCs/>
          <w:color w:val="auto"/>
          <w:sz w:val="24"/>
          <w:szCs w:val="20"/>
          <w:highlight w:val="none"/>
          <w:lang w:val="en-US" w:eastAsia="zh-CN"/>
        </w:rPr>
        <w:t>5</w:t>
      </w:r>
      <w:r>
        <w:rPr>
          <w:rFonts w:hint="eastAsia" w:eastAsia="Arial"/>
          <w:b/>
          <w:bCs/>
          <w:color w:val="auto"/>
          <w:sz w:val="24"/>
          <w:szCs w:val="20"/>
          <w:highlight w:val="none"/>
          <w:lang w:val="zh-CN"/>
        </w:rPr>
        <w:t>分）</w:t>
      </w:r>
    </w:p>
    <w:p w14:paraId="0599A04B">
      <w:pPr>
        <w:widowControl/>
        <w:spacing w:line="560" w:lineRule="exact"/>
        <w:ind w:firstLine="480"/>
        <w:rPr>
          <w:rFonts w:eastAsia="Arial"/>
          <w:color w:val="auto"/>
          <w:sz w:val="24"/>
          <w:szCs w:val="20"/>
          <w:lang w:val="zh-CN"/>
        </w:rPr>
      </w:pPr>
      <w:r>
        <w:rPr>
          <w:rFonts w:hint="eastAsia" w:eastAsia="Arial"/>
          <w:color w:val="auto"/>
          <w:sz w:val="24"/>
          <w:szCs w:val="20"/>
          <w:lang w:val="zh-CN"/>
        </w:rPr>
        <w:t>①保持无异味，地面、墙壁、天花板卫生打扫要求同上。</w:t>
      </w:r>
    </w:p>
    <w:p w14:paraId="7497C3CF">
      <w:pPr>
        <w:widowControl/>
        <w:spacing w:line="560" w:lineRule="exact"/>
        <w:ind w:firstLine="480"/>
        <w:rPr>
          <w:rFonts w:eastAsia="Arial"/>
          <w:color w:val="auto"/>
          <w:sz w:val="24"/>
          <w:szCs w:val="20"/>
          <w:lang w:val="zh-CN"/>
        </w:rPr>
      </w:pPr>
      <w:r>
        <w:rPr>
          <w:rFonts w:hint="eastAsia" w:eastAsia="Arial"/>
          <w:color w:val="auto"/>
          <w:sz w:val="24"/>
          <w:szCs w:val="20"/>
          <w:lang w:val="zh-CN"/>
        </w:rPr>
        <w:t>②便池内卫生洁净，无污渍污痕，定期消毒，纸篓每天清理干净，倒入室外指定的垃圾桶。</w:t>
      </w:r>
    </w:p>
    <w:p w14:paraId="37461A3A">
      <w:pPr>
        <w:widowControl/>
        <w:spacing w:line="560" w:lineRule="exact"/>
        <w:ind w:firstLine="480"/>
        <w:rPr>
          <w:rFonts w:eastAsia="Arial"/>
          <w:color w:val="auto"/>
          <w:sz w:val="24"/>
          <w:szCs w:val="20"/>
          <w:lang w:val="zh-CN"/>
        </w:rPr>
      </w:pPr>
      <w:r>
        <w:rPr>
          <w:rFonts w:hint="eastAsia" w:eastAsia="Arial"/>
          <w:color w:val="auto"/>
          <w:sz w:val="24"/>
          <w:szCs w:val="20"/>
          <w:lang w:val="zh-CN"/>
        </w:rPr>
        <w:t>③洗手台盆、台面卫生干净，无污渍污痕，不得在工作时间捡拾饮料瓶等垃圾。</w:t>
      </w:r>
    </w:p>
    <w:p w14:paraId="10A5B000">
      <w:pPr>
        <w:widowControl/>
        <w:spacing w:line="560" w:lineRule="exact"/>
        <w:ind w:firstLine="480"/>
        <w:rPr>
          <w:rFonts w:eastAsia="Arial"/>
          <w:color w:val="auto"/>
          <w:sz w:val="24"/>
          <w:szCs w:val="20"/>
          <w:lang w:val="zh-CN"/>
        </w:rPr>
      </w:pPr>
      <w:r>
        <w:rPr>
          <w:rFonts w:hint="eastAsia" w:eastAsia="Arial"/>
          <w:color w:val="auto"/>
          <w:sz w:val="24"/>
          <w:szCs w:val="20"/>
          <w:lang w:val="zh-CN"/>
        </w:rPr>
        <w:t>④清洗池卫生干净，无污水存留，打扫工具清理后摆放整齐。</w:t>
      </w:r>
    </w:p>
    <w:p w14:paraId="22486F9F">
      <w:pPr>
        <w:widowControl/>
        <w:spacing w:line="560" w:lineRule="exact"/>
        <w:ind w:firstLine="480"/>
        <w:rPr>
          <w:rFonts w:eastAsia="Arial"/>
          <w:b/>
          <w:bCs/>
          <w:color w:val="auto"/>
          <w:sz w:val="24"/>
          <w:szCs w:val="20"/>
          <w:lang w:val="zh-CN"/>
        </w:rPr>
      </w:pPr>
      <w:r>
        <w:rPr>
          <w:rFonts w:hint="eastAsia" w:eastAsia="宋体"/>
          <w:b/>
          <w:bCs/>
          <w:color w:val="auto"/>
          <w:sz w:val="24"/>
          <w:szCs w:val="20"/>
          <w:lang w:val="en-US" w:eastAsia="zh-CN"/>
        </w:rPr>
        <w:t>3.</w:t>
      </w:r>
      <w:r>
        <w:rPr>
          <w:rFonts w:hint="eastAsia" w:eastAsia="Arial"/>
          <w:b/>
          <w:bCs/>
          <w:color w:val="auto"/>
          <w:sz w:val="24"/>
          <w:szCs w:val="20"/>
          <w:lang w:val="zh-CN"/>
        </w:rPr>
        <w:t>室外卫生保洁打扫要求：（</w:t>
      </w:r>
      <w:r>
        <w:rPr>
          <w:rFonts w:hint="eastAsia" w:eastAsia="宋体"/>
          <w:b/>
          <w:bCs/>
          <w:color w:val="auto"/>
          <w:sz w:val="24"/>
          <w:szCs w:val="20"/>
          <w:lang w:val="en-US" w:eastAsia="zh-CN"/>
        </w:rPr>
        <w:t>5</w:t>
      </w:r>
      <w:r>
        <w:rPr>
          <w:rFonts w:hint="eastAsia" w:eastAsia="Arial"/>
          <w:b/>
          <w:bCs/>
          <w:color w:val="auto"/>
          <w:sz w:val="24"/>
          <w:szCs w:val="20"/>
          <w:lang w:val="zh-CN"/>
        </w:rPr>
        <w:t>分）</w:t>
      </w:r>
    </w:p>
    <w:p w14:paraId="57602D70">
      <w:pPr>
        <w:widowControl/>
        <w:spacing w:line="560" w:lineRule="exact"/>
        <w:ind w:firstLine="480"/>
        <w:rPr>
          <w:rFonts w:eastAsia="Arial"/>
          <w:color w:val="auto"/>
          <w:sz w:val="24"/>
          <w:szCs w:val="20"/>
          <w:lang w:val="zh-CN"/>
        </w:rPr>
      </w:pPr>
      <w:r>
        <w:rPr>
          <w:rFonts w:hint="eastAsia" w:eastAsia="Arial"/>
          <w:color w:val="auto"/>
          <w:sz w:val="24"/>
          <w:szCs w:val="20"/>
          <w:lang w:val="zh-CN"/>
        </w:rPr>
        <w:t>①主干道、人行道、广场、运动场及其它公共场地地面清洁打扫。</w:t>
      </w:r>
    </w:p>
    <w:p w14:paraId="2EB83A0B">
      <w:pPr>
        <w:widowControl/>
        <w:spacing w:line="560" w:lineRule="exact"/>
        <w:ind w:firstLine="480"/>
        <w:rPr>
          <w:rFonts w:eastAsia="Arial"/>
          <w:color w:val="auto"/>
          <w:sz w:val="24"/>
          <w:szCs w:val="20"/>
          <w:lang w:val="zh-CN"/>
        </w:rPr>
      </w:pPr>
      <w:r>
        <w:rPr>
          <w:rFonts w:hint="eastAsia" w:eastAsia="Arial"/>
          <w:color w:val="auto"/>
          <w:sz w:val="24"/>
          <w:szCs w:val="20"/>
          <w:lang w:val="zh-CN"/>
        </w:rPr>
        <w:t>②其它公共设施：垃圾桶，路牌，宣传报窗，公共区域座椅等清洁。</w:t>
      </w:r>
    </w:p>
    <w:p w14:paraId="4AE6417C">
      <w:pPr>
        <w:widowControl/>
        <w:spacing w:line="560" w:lineRule="exact"/>
        <w:ind w:firstLine="480"/>
        <w:rPr>
          <w:rFonts w:eastAsia="Arial"/>
          <w:color w:val="auto"/>
          <w:sz w:val="24"/>
          <w:szCs w:val="20"/>
          <w:lang w:val="zh-CN"/>
        </w:rPr>
      </w:pPr>
      <w:r>
        <w:rPr>
          <w:rFonts w:hint="eastAsia" w:eastAsia="Arial"/>
          <w:color w:val="auto"/>
          <w:sz w:val="24"/>
          <w:szCs w:val="20"/>
          <w:lang w:val="zh-CN"/>
        </w:rPr>
        <w:t>③保洁人员应有意识将垃圾进行分类，不得在工作时间捡拾饮料瓶等垃圾。</w:t>
      </w:r>
    </w:p>
    <w:p w14:paraId="08C6A4DB">
      <w:pPr>
        <w:widowControl/>
        <w:spacing w:line="560" w:lineRule="exact"/>
        <w:ind w:firstLine="480"/>
        <w:rPr>
          <w:rFonts w:eastAsia="Arial"/>
          <w:color w:val="auto"/>
          <w:sz w:val="24"/>
          <w:szCs w:val="20"/>
          <w:lang w:val="zh-CN"/>
        </w:rPr>
      </w:pPr>
      <w:r>
        <w:rPr>
          <w:rFonts w:hint="eastAsia" w:eastAsia="Arial"/>
          <w:color w:val="auto"/>
          <w:sz w:val="24"/>
          <w:szCs w:val="20"/>
          <w:lang w:val="zh-CN"/>
        </w:rPr>
        <w:t>④学校长假、合同期间内综合考虑员工调休。中午应有必要人员在岗保洁。保洁人员在上午课前30分钟至下午放学后30分钟内均应足额在班在岗，确保环境整洁。确因双休、长假人员要减少、调休的必须书面报招标人允许同意。周六、周日及假期期间不得降低服务标准和质量。</w:t>
      </w:r>
    </w:p>
    <w:p w14:paraId="5A35668E">
      <w:pPr>
        <w:widowControl/>
        <w:spacing w:line="560" w:lineRule="exact"/>
        <w:ind w:firstLine="480"/>
        <w:rPr>
          <w:rFonts w:eastAsia="Arial"/>
          <w:color w:val="auto"/>
          <w:sz w:val="24"/>
          <w:szCs w:val="20"/>
          <w:lang w:val="zh-CN"/>
        </w:rPr>
      </w:pPr>
      <w:r>
        <w:rPr>
          <w:rFonts w:hint="eastAsia" w:eastAsia="Arial"/>
          <w:color w:val="auto"/>
          <w:sz w:val="24"/>
          <w:szCs w:val="20"/>
          <w:lang w:val="zh-CN"/>
        </w:rPr>
        <w:t>⑤不得以任何方式、任何关系使用在校学生充当公司物业人员。</w:t>
      </w:r>
    </w:p>
    <w:p w14:paraId="3D1FC7CE">
      <w:pPr>
        <w:widowControl/>
        <w:spacing w:line="560" w:lineRule="exact"/>
        <w:ind w:firstLine="480"/>
        <w:rPr>
          <w:rFonts w:eastAsia="Arial"/>
          <w:color w:val="auto"/>
          <w:sz w:val="24"/>
          <w:szCs w:val="20"/>
          <w:lang w:val="zh-CN"/>
        </w:rPr>
      </w:pPr>
      <w:r>
        <w:rPr>
          <w:rFonts w:hint="eastAsia" w:eastAsia="Arial"/>
          <w:color w:val="auto"/>
          <w:sz w:val="24"/>
          <w:szCs w:val="20"/>
          <w:lang w:val="zh-CN"/>
        </w:rPr>
        <w:t>⑥因校方活动（含周末、假日）临时性杂项工作必须服从招标人调度、安排。</w:t>
      </w:r>
    </w:p>
    <w:p w14:paraId="49EDC7CC">
      <w:pPr>
        <w:widowControl/>
        <w:spacing w:line="560" w:lineRule="exact"/>
        <w:ind w:firstLine="480"/>
        <w:rPr>
          <w:rFonts w:eastAsia="Arial"/>
          <w:b/>
          <w:bCs/>
          <w:color w:val="auto"/>
          <w:sz w:val="24"/>
          <w:szCs w:val="20"/>
          <w:lang w:val="zh-CN"/>
        </w:rPr>
      </w:pPr>
      <w:r>
        <w:rPr>
          <w:rFonts w:hint="eastAsia" w:eastAsia="宋体"/>
          <w:b/>
          <w:bCs/>
          <w:color w:val="auto"/>
          <w:sz w:val="24"/>
          <w:szCs w:val="20"/>
          <w:lang w:val="en-US" w:eastAsia="zh-CN"/>
        </w:rPr>
        <w:t>（四）夜间</w:t>
      </w:r>
      <w:r>
        <w:rPr>
          <w:rFonts w:hint="eastAsia" w:eastAsia="Arial"/>
          <w:b/>
          <w:bCs/>
          <w:color w:val="auto"/>
          <w:sz w:val="24"/>
          <w:szCs w:val="20"/>
          <w:lang w:val="zh-CN"/>
        </w:rPr>
        <w:t>值班：（合计：</w:t>
      </w:r>
      <w:r>
        <w:rPr>
          <w:rFonts w:hint="eastAsia" w:eastAsia="宋体"/>
          <w:b/>
          <w:bCs/>
          <w:color w:val="auto"/>
          <w:sz w:val="24"/>
          <w:szCs w:val="20"/>
          <w:u w:val="single"/>
          <w:lang w:val="en-US" w:eastAsia="zh-CN"/>
        </w:rPr>
        <w:t>15</w:t>
      </w:r>
      <w:r>
        <w:rPr>
          <w:rFonts w:hint="eastAsia"/>
          <w:b/>
          <w:bCs/>
          <w:color w:val="auto"/>
          <w:sz w:val="24"/>
          <w:szCs w:val="20"/>
          <w:u w:val="single"/>
        </w:rPr>
        <w:t xml:space="preserve"> </w:t>
      </w:r>
      <w:r>
        <w:rPr>
          <w:rFonts w:hint="eastAsia" w:eastAsia="Arial"/>
          <w:b/>
          <w:bCs/>
          <w:color w:val="auto"/>
          <w:sz w:val="24"/>
          <w:szCs w:val="20"/>
          <w:lang w:val="zh-CN"/>
        </w:rPr>
        <w:t>分）</w:t>
      </w:r>
    </w:p>
    <w:p w14:paraId="08F87EE7">
      <w:pPr>
        <w:pStyle w:val="9"/>
        <w:widowControl w:val="0"/>
        <w:numPr>
          <w:ilvl w:val="0"/>
          <w:numId w:val="0"/>
        </w:numPr>
        <w:spacing w:beforeAutospacing="0" w:afterAutospacing="0" w:line="360" w:lineRule="auto"/>
        <w:ind w:firstLine="480"/>
        <w:jc w:val="both"/>
        <w:rPr>
          <w:rFonts w:ascii="宋体" w:hAnsi="宋体" w:eastAsia="宋体" w:cs="宋体"/>
          <w:color w:val="auto"/>
          <w:sz w:val="24"/>
          <w:szCs w:val="24"/>
        </w:rPr>
      </w:pPr>
      <w:r>
        <w:rPr>
          <w:rFonts w:hint="eastAsia" w:asciiTheme="majorEastAsia" w:hAnsiTheme="majorEastAsia" w:eastAsiaTheme="majorEastAsia" w:cstheme="majorEastAsia"/>
          <w:color w:val="auto"/>
          <w:highlight w:val="none"/>
          <w:lang w:val="en-US" w:eastAsia="zh-CN"/>
        </w:rPr>
        <w:t>1.</w:t>
      </w:r>
      <w:r>
        <w:rPr>
          <w:rFonts w:ascii="宋体" w:hAnsi="宋体" w:eastAsia="宋体" w:cs="宋体"/>
          <w:color w:val="auto"/>
          <w:sz w:val="24"/>
          <w:szCs w:val="24"/>
        </w:rPr>
        <w:t>按时到岗、不迟到、不早退、不脱岗、不睡岗</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到岗签到、离岗登记。</w:t>
      </w:r>
    </w:p>
    <w:p w14:paraId="4A75509C">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ascii="宋体" w:hAnsi="宋体" w:eastAsia="宋体" w:cs="宋体"/>
          <w:color w:val="auto"/>
          <w:sz w:val="24"/>
          <w:szCs w:val="24"/>
        </w:rPr>
        <w:t>按规定全校园巡查教学楼、宿舍、围墙、大门、消防、水电、监控等</w:t>
      </w:r>
      <w:r>
        <w:rPr>
          <w:rFonts w:hint="eastAsia" w:ascii="宋体" w:hAnsi="宋体" w:eastAsia="宋体" w:cs="宋体"/>
          <w:color w:val="auto"/>
          <w:sz w:val="24"/>
          <w:szCs w:val="24"/>
        </w:rPr>
        <w:t>区域</w:t>
      </w:r>
      <w:r>
        <w:rPr>
          <w:rFonts w:hint="eastAsia" w:ascii="宋体" w:hAnsi="宋体" w:eastAsia="宋体" w:cs="宋体"/>
          <w:color w:val="auto"/>
          <w:sz w:val="24"/>
          <w:szCs w:val="24"/>
          <w:lang w:eastAsia="zh-CN"/>
        </w:rPr>
        <w:t>。</w:t>
      </w:r>
    </w:p>
    <w:p w14:paraId="4AAAC002">
      <w:pPr>
        <w:pStyle w:val="9"/>
        <w:widowControl w:val="0"/>
        <w:numPr>
          <w:ilvl w:val="0"/>
          <w:numId w:val="0"/>
        </w:numPr>
        <w:spacing w:beforeAutospacing="0" w:afterAutospacing="0" w:line="360" w:lineRule="auto"/>
        <w:ind w:firstLine="480"/>
        <w:jc w:val="both"/>
        <w:rPr>
          <w:rFonts w:hint="eastAsia" w:eastAsia="宋体" w:asciiTheme="majorEastAsia" w:hAnsiTheme="majorEastAsia" w:cstheme="majorEastAsia"/>
          <w:color w:val="auto"/>
          <w:highlight w:val="none"/>
          <w:lang w:val="en-US" w:eastAsia="zh-CN"/>
        </w:rPr>
      </w:pPr>
      <w:r>
        <w:rPr>
          <w:rFonts w:hint="eastAsia" w:ascii="宋体" w:hAnsi="宋体" w:eastAsia="宋体" w:cs="宋体"/>
          <w:color w:val="auto"/>
          <w:sz w:val="24"/>
          <w:szCs w:val="24"/>
          <w:lang w:val="en-US" w:eastAsia="zh-CN"/>
        </w:rPr>
        <w:t>3.</w:t>
      </w:r>
      <w:r>
        <w:rPr>
          <w:rFonts w:ascii="宋体" w:hAnsi="宋体" w:eastAsia="宋体" w:cs="宋体"/>
          <w:color w:val="auto"/>
          <w:sz w:val="24"/>
          <w:szCs w:val="24"/>
        </w:rPr>
        <w:t>发现漏水、漏电、火情、门窗破损、可疑人员等安全隐患未及时上报、隐瞒不报</w:t>
      </w:r>
      <w:r>
        <w:rPr>
          <w:rFonts w:hint="eastAsia" w:ascii="宋体" w:hAnsi="宋体" w:eastAsia="宋体" w:cs="宋体"/>
          <w:color w:val="auto"/>
          <w:sz w:val="24"/>
          <w:szCs w:val="24"/>
          <w:lang w:eastAsia="zh-CN"/>
        </w:rPr>
        <w:t>。</w:t>
      </w:r>
    </w:p>
    <w:p w14:paraId="62ADC115">
      <w:pPr>
        <w:pStyle w:val="9"/>
        <w:widowControl w:val="0"/>
        <w:numPr>
          <w:ilvl w:val="0"/>
          <w:numId w:val="0"/>
        </w:numPr>
        <w:spacing w:beforeAutospacing="0" w:afterAutospacing="0" w:line="360" w:lineRule="auto"/>
        <w:ind w:firstLine="480"/>
        <w:jc w:val="both"/>
        <w:rPr>
          <w:rFonts w:hint="eastAsia" w:eastAsia="宋体" w:asciiTheme="majorEastAsia" w:hAnsiTheme="majorEastAsia" w:cstheme="majorEastAsia"/>
          <w:color w:val="auto"/>
          <w:highlight w:val="none"/>
          <w:lang w:val="en-US" w:eastAsia="zh-CN"/>
        </w:rPr>
      </w:pP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值班期间玩手机消遣、打牌、饮酒，擅自离开值班室做无关事务</w:t>
      </w:r>
      <w:r>
        <w:rPr>
          <w:rFonts w:hint="eastAsia" w:ascii="宋体" w:hAnsi="宋体" w:eastAsia="宋体" w:cs="宋体"/>
          <w:color w:val="auto"/>
          <w:sz w:val="24"/>
          <w:szCs w:val="24"/>
          <w:lang w:eastAsia="zh-CN"/>
        </w:rPr>
        <w:t>。</w:t>
      </w:r>
    </w:p>
    <w:p w14:paraId="2014AA90">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5.认真填写《夜间巡逻记录表》《值班工作日志》，交接班签字确认，问题逐条备注。</w:t>
      </w:r>
    </w:p>
    <w:p w14:paraId="729BEAA8">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r>
        <w:rPr>
          <w:rFonts w:ascii="宋体" w:hAnsi="宋体" w:eastAsia="宋体" w:cs="宋体"/>
          <w:color w:val="auto"/>
          <w:sz w:val="24"/>
          <w:szCs w:val="24"/>
        </w:rPr>
        <w:t>值班记录记录完整、真实、清晰：时间、巡查路线、异常情况、处理结果、交接事项</w:t>
      </w:r>
      <w:r>
        <w:rPr>
          <w:rFonts w:hint="eastAsia" w:ascii="宋体" w:hAnsi="宋体" w:eastAsia="宋体" w:cs="宋体"/>
          <w:color w:val="auto"/>
          <w:sz w:val="24"/>
          <w:szCs w:val="24"/>
          <w:lang w:eastAsia="zh-CN"/>
        </w:rPr>
        <w:t>，</w:t>
      </w:r>
      <w:r>
        <w:rPr>
          <w:rFonts w:ascii="宋体" w:hAnsi="宋体" w:eastAsia="宋体" w:cs="宋体"/>
          <w:color w:val="auto"/>
          <w:sz w:val="24"/>
          <w:szCs w:val="24"/>
        </w:rPr>
        <w:t>缺记、漏记、错记、字迹潦草均扣分</w:t>
      </w:r>
      <w:r>
        <w:rPr>
          <w:rFonts w:hint="eastAsia" w:ascii="宋体" w:hAnsi="宋体" w:eastAsia="宋体" w:cs="宋体"/>
          <w:color w:val="auto"/>
          <w:sz w:val="24"/>
          <w:szCs w:val="24"/>
          <w:lang w:val="en-US" w:eastAsia="zh-CN"/>
        </w:rPr>
        <w:t>。</w:t>
      </w:r>
    </w:p>
    <w:p w14:paraId="160345F0">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ascii="宋体" w:hAnsi="宋体" w:eastAsia="宋体" w:cs="宋体"/>
          <w:color w:val="auto"/>
          <w:sz w:val="24"/>
          <w:szCs w:val="24"/>
        </w:rPr>
        <w:t>遇到火警、斗殴、盗窃、师生伤病、停电等突发事件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第一时间上报学校，</w:t>
      </w:r>
      <w:r>
        <w:rPr>
          <w:rFonts w:ascii="宋体" w:hAnsi="宋体" w:eastAsia="宋体" w:cs="宋体"/>
          <w:color w:val="auto"/>
          <w:sz w:val="24"/>
          <w:szCs w:val="24"/>
        </w:rPr>
        <w:t>按预案处置、保护现场、不拖延、不隐瞒</w:t>
      </w:r>
      <w:r>
        <w:rPr>
          <w:rFonts w:hint="eastAsia" w:ascii="宋体" w:hAnsi="宋体" w:eastAsia="宋体" w:cs="宋体"/>
          <w:color w:val="auto"/>
          <w:sz w:val="24"/>
          <w:szCs w:val="24"/>
          <w:lang w:eastAsia="zh-CN"/>
        </w:rPr>
        <w:t>。</w:t>
      </w:r>
    </w:p>
    <w:p w14:paraId="063759A2">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r>
        <w:rPr>
          <w:rFonts w:ascii="宋体" w:hAnsi="宋体" w:eastAsia="宋体" w:cs="宋体"/>
          <w:color w:val="auto"/>
          <w:sz w:val="24"/>
          <w:szCs w:val="24"/>
        </w:rPr>
        <w:t>交接班时钥匙、防护器材、值班台账、待办事项交接不清、遗漏缺失</w:t>
      </w:r>
      <w:r>
        <w:rPr>
          <w:rFonts w:hint="eastAsia" w:ascii="宋体" w:hAnsi="宋体" w:eastAsia="宋体" w:cs="宋体"/>
          <w:color w:val="auto"/>
          <w:sz w:val="24"/>
          <w:szCs w:val="24"/>
          <w:lang w:eastAsia="zh-CN"/>
        </w:rPr>
        <w:t>。</w:t>
      </w:r>
    </w:p>
    <w:p w14:paraId="4F4004C2">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r>
        <w:rPr>
          <w:rFonts w:ascii="宋体" w:hAnsi="宋体" w:eastAsia="宋体" w:cs="宋体"/>
          <w:color w:val="auto"/>
          <w:sz w:val="24"/>
          <w:szCs w:val="24"/>
        </w:rPr>
        <w:t>值班言行不规范，擅自放行外来无关人员入校，泄露校内保密信息</w:t>
      </w:r>
      <w:r>
        <w:rPr>
          <w:rFonts w:hint="eastAsia" w:ascii="宋体" w:hAnsi="宋体" w:eastAsia="宋体" w:cs="宋体"/>
          <w:color w:val="auto"/>
          <w:sz w:val="24"/>
          <w:szCs w:val="24"/>
          <w:lang w:eastAsia="zh-CN"/>
        </w:rPr>
        <w:t>。</w:t>
      </w:r>
    </w:p>
    <w:p w14:paraId="02E94C41">
      <w:pPr>
        <w:pStyle w:val="3"/>
        <w:ind w:left="0" w:firstLine="482"/>
        <w:rPr>
          <w:rFonts w:hint="eastAsia" w:eastAsia="宋体" w:asciiTheme="minorHAnsi" w:hAnsiTheme="minorHAnsi" w:cstheme="minorBidi"/>
          <w:b/>
          <w:bCs/>
          <w:color w:val="auto"/>
          <w:sz w:val="24"/>
          <w:szCs w:val="20"/>
          <w:highlight w:val="none"/>
          <w:lang w:val="en-US" w:eastAsia="zh-CN" w:bidi="ar-SA"/>
        </w:rPr>
      </w:pPr>
      <w:r>
        <w:rPr>
          <w:rFonts w:hint="eastAsia" w:eastAsia="宋体" w:hAnsiTheme="minorHAnsi" w:cstheme="minorBidi"/>
          <w:b/>
          <w:bCs/>
          <w:color w:val="auto"/>
          <w:sz w:val="24"/>
          <w:szCs w:val="20"/>
          <w:highlight w:val="none"/>
          <w:lang w:val="en-US" w:eastAsia="zh-CN" w:bidi="ar-SA"/>
        </w:rPr>
        <w:t>（五）</w:t>
      </w:r>
      <w:r>
        <w:rPr>
          <w:rFonts w:hint="eastAsia" w:eastAsia="宋体" w:asciiTheme="minorHAnsi" w:hAnsiTheme="minorHAnsi" w:cstheme="minorBidi"/>
          <w:b/>
          <w:bCs/>
          <w:color w:val="auto"/>
          <w:sz w:val="24"/>
          <w:szCs w:val="20"/>
          <w:highlight w:val="none"/>
          <w:lang w:val="en-US" w:eastAsia="zh-CN" w:bidi="ar-SA"/>
        </w:rPr>
        <w:t>设备维护</w:t>
      </w:r>
      <w:r>
        <w:rPr>
          <w:rFonts w:hint="eastAsia" w:eastAsia="Arial"/>
          <w:b/>
          <w:bCs/>
          <w:color w:val="auto"/>
          <w:sz w:val="24"/>
          <w:szCs w:val="20"/>
          <w:highlight w:val="none"/>
          <w:lang w:val="zh-CN"/>
        </w:rPr>
        <w:t>（合计：</w:t>
      </w:r>
      <w:r>
        <w:rPr>
          <w:rFonts w:hint="eastAsia" w:eastAsia="宋体"/>
          <w:b/>
          <w:bCs/>
          <w:color w:val="auto"/>
          <w:sz w:val="24"/>
          <w:szCs w:val="20"/>
          <w:highlight w:val="none"/>
          <w:u w:val="single"/>
          <w:lang w:val="en-US" w:eastAsia="zh-CN"/>
        </w:rPr>
        <w:t>10</w:t>
      </w:r>
      <w:r>
        <w:rPr>
          <w:rFonts w:hint="eastAsia" w:eastAsia="Arial"/>
          <w:b/>
          <w:bCs/>
          <w:color w:val="auto"/>
          <w:sz w:val="24"/>
          <w:szCs w:val="20"/>
          <w:highlight w:val="none"/>
          <w:lang w:val="zh-CN"/>
        </w:rPr>
        <w:t xml:space="preserve">分） </w:t>
      </w:r>
    </w:p>
    <w:p w14:paraId="040024C2">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1.检查办公楼各设备运转是否正常，如有情况应及时上报并维修整改。</w:t>
      </w:r>
    </w:p>
    <w:p w14:paraId="7C23FE23">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2.配合管理人员检查照明、空调等正常运作。未及时发现不正常运转情况的。</w:t>
      </w:r>
    </w:p>
    <w:p w14:paraId="5259D702">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3.经常检查室内外灯是否正常，并及时报告、更换，未及时及时报告、更换的。</w:t>
      </w:r>
    </w:p>
    <w:p w14:paraId="3782439C">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4.每天检查配电房等设备运行情况、建立健全管理台账。</w:t>
      </w:r>
    </w:p>
    <w:p w14:paraId="5767ADD7">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5.中午、晚上放学后巡查各班级教室、多功能教室、会议室等室内设备的运行情况，重点检查空调、多媒体屏幕、照明等设备。发现未关设备或需要维修的设备及时上报，没有及时关闭或维修而造成浪费的。</w:t>
      </w:r>
    </w:p>
    <w:p w14:paraId="2805A9AE">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6.对突发性故障应以最快时间报告、修复，接到报修通知20分钟内不到现场的。</w:t>
      </w:r>
    </w:p>
    <w:p w14:paraId="7732ACE2">
      <w:pPr>
        <w:pStyle w:val="3"/>
        <w:ind w:left="0" w:firstLine="482"/>
        <w:rPr>
          <w:rFonts w:hint="eastAsia" w:eastAsia="宋体" w:asciiTheme="minorHAnsi" w:hAnsiTheme="minorHAnsi" w:cstheme="minorBidi"/>
          <w:b/>
          <w:bCs/>
          <w:color w:val="auto"/>
          <w:sz w:val="24"/>
          <w:szCs w:val="20"/>
          <w:highlight w:val="none"/>
          <w:lang w:val="en-US" w:eastAsia="zh-CN" w:bidi="ar-SA"/>
        </w:rPr>
      </w:pPr>
      <w:r>
        <w:rPr>
          <w:rFonts w:hint="eastAsia" w:eastAsia="宋体" w:hAnsiTheme="minorHAnsi" w:cstheme="minorBidi"/>
          <w:b/>
          <w:bCs/>
          <w:color w:val="auto"/>
          <w:sz w:val="24"/>
          <w:szCs w:val="20"/>
          <w:highlight w:val="none"/>
          <w:lang w:val="en-US" w:eastAsia="zh-CN" w:bidi="ar-SA"/>
        </w:rPr>
        <w:t>（六）</w:t>
      </w:r>
      <w:r>
        <w:rPr>
          <w:rFonts w:hint="eastAsia" w:ascii="宋体" w:hAnsi="宋体" w:eastAsia="宋体" w:cs="楷体_GB2312"/>
          <w:b/>
          <w:bCs/>
          <w:color w:val="auto"/>
          <w:sz w:val="24"/>
          <w:highlight w:val="none"/>
        </w:rPr>
        <w:t>其他事项（由学校自行补充）</w:t>
      </w:r>
      <w:r>
        <w:rPr>
          <w:rFonts w:hint="eastAsia" w:eastAsia="Arial"/>
          <w:b/>
          <w:bCs/>
          <w:color w:val="auto"/>
          <w:sz w:val="24"/>
          <w:szCs w:val="20"/>
          <w:highlight w:val="none"/>
          <w:lang w:val="zh-CN"/>
        </w:rPr>
        <w:t>（合计：</w:t>
      </w:r>
      <w:r>
        <w:rPr>
          <w:rFonts w:hint="eastAsia" w:eastAsia="宋体"/>
          <w:b/>
          <w:bCs/>
          <w:color w:val="auto"/>
          <w:sz w:val="24"/>
          <w:szCs w:val="20"/>
          <w:highlight w:val="none"/>
          <w:u w:val="single"/>
          <w:lang w:val="en-US" w:eastAsia="zh-CN"/>
        </w:rPr>
        <w:t>5</w:t>
      </w:r>
      <w:r>
        <w:rPr>
          <w:rFonts w:hint="eastAsia" w:eastAsia="Arial"/>
          <w:b/>
          <w:bCs/>
          <w:color w:val="auto"/>
          <w:sz w:val="24"/>
          <w:szCs w:val="20"/>
          <w:highlight w:val="none"/>
          <w:lang w:val="zh-CN"/>
        </w:rPr>
        <w:t xml:space="preserve">分） </w:t>
      </w:r>
    </w:p>
    <w:p w14:paraId="61AEA20E">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1.按规定数量配备从业人员。</w:t>
      </w:r>
    </w:p>
    <w:p w14:paraId="08392AAF">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2.完成学校临时安排的保洁相关事务、物业服务人员应积极配合学校管理，服从安排。</w:t>
      </w:r>
    </w:p>
    <w:p w14:paraId="1A4BC386">
      <w:pPr>
        <w:widowControl/>
        <w:spacing w:line="560" w:lineRule="exact"/>
        <w:ind w:firstLine="480"/>
        <w:rPr>
          <w:rFonts w:hint="eastAsia" w:eastAsia="Arial"/>
          <w:color w:val="auto"/>
          <w:sz w:val="24"/>
          <w:szCs w:val="20"/>
          <w:lang w:val="zh-CN"/>
        </w:rPr>
      </w:pPr>
      <w:r>
        <w:rPr>
          <w:rFonts w:hint="eastAsia" w:eastAsia="Arial"/>
          <w:color w:val="auto"/>
          <w:sz w:val="24"/>
          <w:szCs w:val="20"/>
          <w:lang w:val="zh-CN"/>
        </w:rPr>
        <w:t>3.学校根据相关规定组织体育设施场所等对公众开放时，物业公司应配合学校做好相关秩序维护工作。</w:t>
      </w:r>
    </w:p>
    <w:p w14:paraId="2A0EEB79">
      <w:pPr>
        <w:widowControl/>
        <w:spacing w:line="560" w:lineRule="exact"/>
        <w:ind w:firstLine="480"/>
        <w:rPr>
          <w:rFonts w:eastAsia="Arial"/>
          <w:color w:val="auto"/>
          <w:sz w:val="24"/>
          <w:szCs w:val="20"/>
          <w:lang w:val="zh-CN"/>
        </w:rPr>
      </w:pPr>
      <w:r>
        <w:rPr>
          <w:rFonts w:hint="eastAsia" w:eastAsia="宋体"/>
          <w:b/>
          <w:bCs/>
          <w:color w:val="auto"/>
          <w:sz w:val="24"/>
          <w:szCs w:val="20"/>
          <w:lang w:val="en-US" w:eastAsia="zh-CN"/>
        </w:rPr>
        <w:t>（七）</w:t>
      </w:r>
      <w:r>
        <w:rPr>
          <w:rFonts w:hint="eastAsia" w:eastAsia="Arial"/>
          <w:b/>
          <w:bCs/>
          <w:color w:val="auto"/>
          <w:sz w:val="24"/>
          <w:szCs w:val="20"/>
          <w:lang w:val="zh-CN"/>
        </w:rPr>
        <w:t>档案、资料管理（合计：</w:t>
      </w:r>
      <w:r>
        <w:rPr>
          <w:rFonts w:hint="eastAsia" w:eastAsia="Arial"/>
          <w:b/>
          <w:bCs/>
          <w:color w:val="auto"/>
          <w:sz w:val="24"/>
          <w:szCs w:val="20"/>
          <w:u w:val="single"/>
          <w:lang w:val="zh-CN"/>
        </w:rPr>
        <w:t xml:space="preserve"> 2 </w:t>
      </w:r>
      <w:r>
        <w:rPr>
          <w:rFonts w:hint="eastAsia" w:eastAsia="Arial"/>
          <w:b/>
          <w:bCs/>
          <w:color w:val="auto"/>
          <w:sz w:val="24"/>
          <w:szCs w:val="20"/>
          <w:lang w:val="zh-CN"/>
        </w:rPr>
        <w:t xml:space="preserve">分）    </w:t>
      </w:r>
      <w:r>
        <w:rPr>
          <w:rFonts w:hint="eastAsia" w:eastAsia="Arial"/>
          <w:color w:val="auto"/>
          <w:sz w:val="24"/>
          <w:szCs w:val="20"/>
          <w:lang w:val="zh-CN"/>
        </w:rPr>
        <w:t xml:space="preserve">               </w:t>
      </w:r>
    </w:p>
    <w:p w14:paraId="57001B30">
      <w:pPr>
        <w:widowControl/>
        <w:spacing w:line="560" w:lineRule="exact"/>
        <w:ind w:firstLine="480"/>
        <w:rPr>
          <w:rFonts w:eastAsia="Arial"/>
          <w:color w:val="auto"/>
          <w:sz w:val="24"/>
          <w:szCs w:val="20"/>
          <w:lang w:val="zh-CN"/>
        </w:rPr>
      </w:pPr>
      <w:r>
        <w:rPr>
          <w:rFonts w:hint="eastAsia" w:eastAsia="Arial"/>
          <w:color w:val="auto"/>
          <w:sz w:val="24"/>
          <w:szCs w:val="20"/>
          <w:lang w:val="zh-CN"/>
        </w:rPr>
        <w:t>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p>
    <w:p w14:paraId="7DBD8C4B">
      <w:pPr>
        <w:widowControl/>
        <w:spacing w:line="560" w:lineRule="exact"/>
        <w:ind w:firstLine="480"/>
        <w:rPr>
          <w:rFonts w:eastAsia="Arial"/>
          <w:color w:val="auto"/>
          <w:sz w:val="24"/>
          <w:szCs w:val="20"/>
          <w:lang w:val="zh-CN"/>
        </w:rPr>
      </w:pPr>
      <w:r>
        <w:rPr>
          <w:rFonts w:hint="eastAsia" w:eastAsia="宋体"/>
          <w:b/>
          <w:bCs/>
          <w:color w:val="auto"/>
          <w:sz w:val="24"/>
          <w:szCs w:val="20"/>
          <w:lang w:val="en-US" w:eastAsia="zh-CN"/>
        </w:rPr>
        <w:t>（八）</w:t>
      </w:r>
      <w:r>
        <w:rPr>
          <w:rFonts w:hint="eastAsia" w:eastAsia="Arial"/>
          <w:b/>
          <w:bCs/>
          <w:color w:val="auto"/>
          <w:sz w:val="24"/>
          <w:szCs w:val="20"/>
          <w:lang w:val="zh-CN"/>
        </w:rPr>
        <w:t>建立健全物业管理制度（合计：</w:t>
      </w:r>
      <w:r>
        <w:rPr>
          <w:rFonts w:hint="eastAsia" w:eastAsia="宋体"/>
          <w:b/>
          <w:bCs/>
          <w:color w:val="auto"/>
          <w:sz w:val="24"/>
          <w:szCs w:val="20"/>
          <w:u w:val="single"/>
          <w:lang w:val="en-US" w:eastAsia="zh-CN"/>
        </w:rPr>
        <w:t>5</w:t>
      </w:r>
      <w:r>
        <w:rPr>
          <w:rFonts w:hint="eastAsia" w:eastAsia="Arial"/>
          <w:b/>
          <w:bCs/>
          <w:color w:val="auto"/>
          <w:sz w:val="24"/>
          <w:szCs w:val="20"/>
          <w:u w:val="single"/>
          <w:lang w:val="zh-CN"/>
        </w:rPr>
        <w:t xml:space="preserve"> </w:t>
      </w:r>
      <w:r>
        <w:rPr>
          <w:rFonts w:hint="eastAsia" w:eastAsia="Arial"/>
          <w:b/>
          <w:bCs/>
          <w:color w:val="auto"/>
          <w:sz w:val="24"/>
          <w:szCs w:val="20"/>
          <w:lang w:val="zh-CN"/>
        </w:rPr>
        <w:t xml:space="preserve">分） </w:t>
      </w:r>
      <w:r>
        <w:rPr>
          <w:rFonts w:hint="eastAsia" w:eastAsia="Arial"/>
          <w:color w:val="auto"/>
          <w:sz w:val="24"/>
          <w:szCs w:val="20"/>
          <w:lang w:val="zh-CN"/>
        </w:rPr>
        <w:t xml:space="preserve">              </w:t>
      </w:r>
    </w:p>
    <w:p w14:paraId="7BEA1EB8">
      <w:pPr>
        <w:widowControl/>
        <w:spacing w:line="560" w:lineRule="exact"/>
        <w:ind w:firstLine="480"/>
        <w:rPr>
          <w:rFonts w:eastAsia="Arial"/>
          <w:color w:val="auto"/>
          <w:sz w:val="24"/>
          <w:szCs w:val="20"/>
          <w:lang w:val="zh-CN"/>
        </w:rPr>
      </w:pPr>
      <w:r>
        <w:rPr>
          <w:rFonts w:hint="eastAsia" w:eastAsia="Arial"/>
          <w:color w:val="auto"/>
          <w:sz w:val="24"/>
          <w:szCs w:val="20"/>
          <w:lang w:val="zh-CN"/>
        </w:rPr>
        <w:t>建立健全物业管理制度：根据区域内的具体情况，受托单位应制定详细的内部管理制度、日常服务的运作管理制度等相关制度。</w:t>
      </w:r>
    </w:p>
    <w:p w14:paraId="3E0E0DBE">
      <w:pPr>
        <w:widowControl/>
        <w:spacing w:line="560" w:lineRule="exact"/>
        <w:ind w:firstLine="480"/>
        <w:rPr>
          <w:rFonts w:eastAsia="Arial"/>
          <w:color w:val="auto"/>
          <w:sz w:val="24"/>
          <w:szCs w:val="20"/>
          <w:lang w:val="zh-CN"/>
        </w:rPr>
      </w:pPr>
      <w:r>
        <w:rPr>
          <w:rFonts w:hint="eastAsia" w:eastAsia="Arial"/>
          <w:color w:val="auto"/>
          <w:sz w:val="24"/>
          <w:szCs w:val="20"/>
          <w:lang w:val="zh-CN"/>
        </w:rPr>
        <w:t>1．组织机构设置、人员配备、培训与管理、制度的建立</w:t>
      </w:r>
    </w:p>
    <w:p w14:paraId="7163BF0F">
      <w:pPr>
        <w:widowControl/>
        <w:spacing w:line="560" w:lineRule="exact"/>
        <w:ind w:firstLine="480"/>
        <w:rPr>
          <w:rFonts w:eastAsia="Arial"/>
          <w:color w:val="auto"/>
          <w:sz w:val="24"/>
          <w:szCs w:val="20"/>
          <w:lang w:val="zh-CN"/>
        </w:rPr>
      </w:pPr>
      <w:r>
        <w:rPr>
          <w:rFonts w:hint="eastAsia" w:eastAsia="Arial"/>
          <w:color w:val="auto"/>
          <w:sz w:val="24"/>
          <w:szCs w:val="20"/>
          <w:lang w:val="zh-CN"/>
        </w:rPr>
        <w:t>2. 物业管理员工行为规范；</w:t>
      </w:r>
    </w:p>
    <w:p w14:paraId="4C8A3EAA">
      <w:pPr>
        <w:widowControl/>
        <w:spacing w:line="560" w:lineRule="exact"/>
        <w:ind w:firstLine="480"/>
        <w:rPr>
          <w:rFonts w:eastAsia="Arial"/>
          <w:color w:val="auto"/>
          <w:sz w:val="24"/>
          <w:szCs w:val="20"/>
          <w:lang w:val="zh-CN"/>
        </w:rPr>
      </w:pPr>
      <w:r>
        <w:rPr>
          <w:rFonts w:hint="eastAsia" w:eastAsia="Arial"/>
          <w:color w:val="auto"/>
          <w:sz w:val="24"/>
          <w:szCs w:val="20"/>
          <w:lang w:val="zh-CN"/>
        </w:rPr>
        <w:t>3．管理人员岗位职责；</w:t>
      </w:r>
    </w:p>
    <w:p w14:paraId="1F33D046">
      <w:pPr>
        <w:widowControl/>
        <w:spacing w:line="560" w:lineRule="exact"/>
        <w:ind w:firstLine="480"/>
        <w:rPr>
          <w:rFonts w:eastAsia="Arial"/>
          <w:color w:val="auto"/>
          <w:sz w:val="24"/>
          <w:szCs w:val="20"/>
          <w:lang w:val="zh-CN"/>
        </w:rPr>
      </w:pPr>
      <w:r>
        <w:rPr>
          <w:rFonts w:hint="eastAsia" w:eastAsia="Arial"/>
          <w:color w:val="auto"/>
          <w:sz w:val="24"/>
          <w:szCs w:val="20"/>
          <w:lang w:val="zh-CN"/>
        </w:rPr>
        <w:t>4．保洁、</w:t>
      </w:r>
      <w:r>
        <w:rPr>
          <w:rFonts w:hint="eastAsia" w:eastAsia="宋体"/>
          <w:color w:val="auto"/>
          <w:sz w:val="24"/>
          <w:szCs w:val="20"/>
          <w:lang w:val="en-US" w:eastAsia="zh-CN"/>
        </w:rPr>
        <w:t>水电工、夜间值班人员</w:t>
      </w:r>
      <w:r>
        <w:rPr>
          <w:rFonts w:hint="eastAsia" w:eastAsia="Arial"/>
          <w:color w:val="auto"/>
          <w:sz w:val="24"/>
          <w:szCs w:val="20"/>
          <w:lang w:val="zh-CN"/>
        </w:rPr>
        <w:t>工作职责；</w:t>
      </w:r>
    </w:p>
    <w:p w14:paraId="3AC54A0D">
      <w:pPr>
        <w:widowControl/>
        <w:spacing w:line="560" w:lineRule="exact"/>
        <w:ind w:firstLine="480"/>
        <w:rPr>
          <w:rFonts w:eastAsia="Arial"/>
          <w:color w:val="auto"/>
          <w:sz w:val="24"/>
          <w:szCs w:val="20"/>
          <w:lang w:val="zh-CN"/>
        </w:rPr>
      </w:pPr>
      <w:r>
        <w:rPr>
          <w:rFonts w:hint="eastAsia" w:eastAsia="Arial"/>
          <w:color w:val="auto"/>
          <w:sz w:val="24"/>
          <w:szCs w:val="20"/>
          <w:lang w:val="zh-CN"/>
        </w:rPr>
        <w:t>5．管理人员、操作人员考核细则（百分考核）；</w:t>
      </w:r>
    </w:p>
    <w:p w14:paraId="4B5FD5EF">
      <w:pPr>
        <w:widowControl/>
        <w:spacing w:line="560" w:lineRule="exact"/>
        <w:ind w:firstLine="480"/>
        <w:rPr>
          <w:rFonts w:eastAsia="Arial"/>
          <w:color w:val="auto"/>
          <w:sz w:val="24"/>
          <w:szCs w:val="20"/>
          <w:lang w:val="zh-CN"/>
        </w:rPr>
      </w:pPr>
      <w:r>
        <w:rPr>
          <w:rFonts w:hint="eastAsia" w:eastAsia="Arial"/>
          <w:color w:val="auto"/>
          <w:sz w:val="24"/>
          <w:szCs w:val="20"/>
          <w:lang w:val="zh-CN"/>
        </w:rPr>
        <w:t>6．考核奖惩制度；</w:t>
      </w:r>
    </w:p>
    <w:p w14:paraId="4ED8172E">
      <w:pPr>
        <w:widowControl/>
        <w:spacing w:line="560" w:lineRule="exact"/>
        <w:ind w:firstLine="480"/>
        <w:rPr>
          <w:rFonts w:eastAsia="Arial"/>
          <w:color w:val="auto"/>
          <w:sz w:val="24"/>
          <w:szCs w:val="20"/>
          <w:lang w:val="zh-CN"/>
        </w:rPr>
      </w:pPr>
      <w:r>
        <w:rPr>
          <w:rFonts w:hint="eastAsia" w:eastAsia="Arial"/>
          <w:color w:val="auto"/>
          <w:sz w:val="24"/>
          <w:szCs w:val="20"/>
          <w:lang w:val="zh-CN"/>
        </w:rPr>
        <w:t>7．综合服务制度；</w:t>
      </w:r>
    </w:p>
    <w:p w14:paraId="594FEEC2">
      <w:pPr>
        <w:widowControl/>
        <w:spacing w:line="560" w:lineRule="exact"/>
        <w:ind w:firstLine="480"/>
        <w:rPr>
          <w:rFonts w:eastAsia="Arial"/>
          <w:color w:val="auto"/>
          <w:sz w:val="24"/>
          <w:szCs w:val="20"/>
          <w:lang w:val="zh-CN"/>
        </w:rPr>
      </w:pPr>
      <w:r>
        <w:rPr>
          <w:rFonts w:hint="eastAsia" w:eastAsia="Arial"/>
          <w:color w:val="auto"/>
          <w:sz w:val="24"/>
          <w:szCs w:val="20"/>
          <w:lang w:val="zh-CN"/>
        </w:rPr>
        <w:t>8．保洁服务方案及保洁服务质量标准；</w:t>
      </w:r>
    </w:p>
    <w:p w14:paraId="12B64B05">
      <w:pPr>
        <w:widowControl/>
        <w:spacing w:line="560" w:lineRule="exact"/>
        <w:ind w:firstLine="480"/>
        <w:rPr>
          <w:rFonts w:eastAsia="Arial"/>
          <w:color w:val="auto"/>
          <w:sz w:val="24"/>
          <w:szCs w:val="20"/>
          <w:lang w:val="zh-CN"/>
        </w:rPr>
      </w:pPr>
      <w:r>
        <w:rPr>
          <w:rFonts w:hint="eastAsia" w:eastAsia="Arial"/>
          <w:color w:val="auto"/>
          <w:sz w:val="24"/>
          <w:szCs w:val="20"/>
          <w:lang w:val="zh-CN"/>
        </w:rPr>
        <w:t>9.自然灾害、以及停电、停水、火灾、学生家长上访、失窃等突发事件的处理预案；</w:t>
      </w:r>
    </w:p>
    <w:p w14:paraId="3077B876">
      <w:pPr>
        <w:widowControl/>
        <w:spacing w:line="560" w:lineRule="exact"/>
        <w:ind w:firstLine="480"/>
        <w:rPr>
          <w:rFonts w:eastAsia="Arial"/>
          <w:b/>
          <w:bCs/>
          <w:color w:val="auto"/>
          <w:sz w:val="24"/>
          <w:szCs w:val="20"/>
          <w:lang w:val="zh-CN"/>
        </w:rPr>
      </w:pPr>
      <w:r>
        <w:rPr>
          <w:rFonts w:hint="eastAsia" w:eastAsia="宋体"/>
          <w:b/>
          <w:bCs/>
          <w:color w:val="auto"/>
          <w:sz w:val="24"/>
          <w:szCs w:val="20"/>
          <w:lang w:val="en-US" w:eastAsia="zh-CN"/>
        </w:rPr>
        <w:t>（九）</w:t>
      </w:r>
      <w:r>
        <w:rPr>
          <w:rFonts w:hint="eastAsia" w:eastAsia="Arial"/>
          <w:b/>
          <w:bCs/>
          <w:color w:val="auto"/>
          <w:sz w:val="24"/>
          <w:szCs w:val="20"/>
          <w:lang w:val="zh-CN"/>
        </w:rPr>
        <w:t>绿化养护：（合计：</w:t>
      </w:r>
      <w:r>
        <w:rPr>
          <w:rFonts w:hint="eastAsia" w:eastAsia="Arial"/>
          <w:b/>
          <w:bCs/>
          <w:color w:val="auto"/>
          <w:sz w:val="24"/>
          <w:szCs w:val="20"/>
          <w:u w:val="single"/>
          <w:lang w:val="zh-CN"/>
        </w:rPr>
        <w:t xml:space="preserve"> </w:t>
      </w:r>
      <w:r>
        <w:rPr>
          <w:rFonts w:hint="eastAsia" w:eastAsia="宋体"/>
          <w:b/>
          <w:bCs/>
          <w:color w:val="auto"/>
          <w:sz w:val="24"/>
          <w:szCs w:val="20"/>
          <w:u w:val="single"/>
          <w:lang w:val="en-US" w:eastAsia="zh-CN"/>
        </w:rPr>
        <w:t>8</w:t>
      </w:r>
      <w:r>
        <w:rPr>
          <w:rFonts w:hint="eastAsia" w:eastAsia="Arial"/>
          <w:b/>
          <w:bCs/>
          <w:color w:val="auto"/>
          <w:sz w:val="24"/>
          <w:szCs w:val="20"/>
          <w:u w:val="single"/>
          <w:lang w:val="zh-CN"/>
        </w:rPr>
        <w:t xml:space="preserve"> </w:t>
      </w:r>
      <w:r>
        <w:rPr>
          <w:rFonts w:hint="eastAsia" w:eastAsia="Arial"/>
          <w:b/>
          <w:bCs/>
          <w:color w:val="auto"/>
          <w:sz w:val="24"/>
          <w:szCs w:val="20"/>
          <w:lang w:val="zh-CN"/>
        </w:rPr>
        <w:t>分）</w:t>
      </w:r>
    </w:p>
    <w:p w14:paraId="3ACE0C1B">
      <w:pPr>
        <w:widowControl/>
        <w:spacing w:line="560" w:lineRule="exact"/>
        <w:ind w:firstLine="480"/>
        <w:rPr>
          <w:rFonts w:eastAsia="Arial"/>
          <w:color w:val="auto"/>
          <w:sz w:val="24"/>
          <w:szCs w:val="20"/>
          <w:lang w:val="zh-CN"/>
        </w:rPr>
      </w:pPr>
      <w:r>
        <w:rPr>
          <w:rFonts w:hint="eastAsia" w:eastAsia="Arial"/>
          <w:color w:val="auto"/>
          <w:sz w:val="24"/>
          <w:szCs w:val="20"/>
          <w:lang w:val="zh-CN"/>
        </w:rPr>
        <w:t xml:space="preserve">植物的病虫害防治，植物的修剪及造型，植物的施肥，必要的防除杂草(主要指化学除草和用草坪机辅助保洁人工割除杂草)，枯枝败叶及修剪后枝叶的清除，绿化隔离带喷水除尘，植物的防冻、防雪、防旱、防涝、防火、防大风，时令花卉的更换，草坪管理及绿化的巡视、看护。                       </w:t>
      </w:r>
    </w:p>
    <w:p w14:paraId="341E7E6C">
      <w:pPr>
        <w:widowControl/>
        <w:spacing w:line="560" w:lineRule="exact"/>
        <w:ind w:firstLine="480"/>
        <w:rPr>
          <w:rFonts w:eastAsia="Arial"/>
          <w:b/>
          <w:bCs/>
          <w:color w:val="auto"/>
          <w:sz w:val="24"/>
          <w:szCs w:val="20"/>
          <w:lang w:val="zh-CN"/>
        </w:rPr>
      </w:pPr>
      <w:r>
        <w:rPr>
          <w:rFonts w:hint="eastAsia" w:eastAsia="Arial"/>
          <w:b/>
          <w:bCs/>
          <w:color w:val="auto"/>
          <w:sz w:val="24"/>
          <w:szCs w:val="20"/>
          <w:lang w:val="zh-CN"/>
        </w:rPr>
        <w:t>三、考核的组织人员与实施</w:t>
      </w:r>
    </w:p>
    <w:p w14:paraId="6CDC3822">
      <w:pPr>
        <w:widowControl/>
        <w:spacing w:line="560" w:lineRule="exact"/>
        <w:ind w:firstLine="480"/>
        <w:rPr>
          <w:rFonts w:eastAsia="Arial"/>
          <w:color w:val="auto"/>
          <w:sz w:val="24"/>
          <w:szCs w:val="20"/>
          <w:lang w:val="zh-CN"/>
        </w:rPr>
      </w:pPr>
      <w:r>
        <w:rPr>
          <w:rFonts w:hint="eastAsia" w:eastAsia="Arial"/>
          <w:color w:val="auto"/>
          <w:sz w:val="24"/>
          <w:szCs w:val="20"/>
          <w:lang w:val="zh-CN"/>
        </w:rPr>
        <w:t>校方成立物业管理考核小组，具体工作由总务处牵头，具体负责相关考核工作。考核小组依据百分考核情况（满分为100分）。</w:t>
      </w:r>
    </w:p>
    <w:p w14:paraId="1274D78B">
      <w:pPr>
        <w:widowControl/>
        <w:spacing w:line="560" w:lineRule="exact"/>
        <w:ind w:firstLine="480"/>
        <w:rPr>
          <w:rFonts w:eastAsia="Arial"/>
          <w:color w:val="auto"/>
          <w:sz w:val="24"/>
          <w:szCs w:val="20"/>
          <w:lang w:val="zh-CN"/>
        </w:rPr>
      </w:pPr>
      <w:r>
        <w:rPr>
          <w:rFonts w:hint="eastAsia" w:eastAsia="Arial"/>
          <w:color w:val="auto"/>
          <w:sz w:val="24"/>
          <w:szCs w:val="20"/>
          <w:lang w:val="zh-CN"/>
        </w:rPr>
        <w:t xml:space="preserve">考核小组定期对物业管服务进行考核，编制物业管理工作考核表。  </w:t>
      </w:r>
    </w:p>
    <w:p w14:paraId="7B0201E9">
      <w:pPr>
        <w:widowControl/>
        <w:spacing w:line="560" w:lineRule="exact"/>
        <w:ind w:firstLine="480"/>
        <w:rPr>
          <w:rFonts w:eastAsia="Arial"/>
          <w:b/>
          <w:bCs/>
          <w:color w:val="auto"/>
          <w:sz w:val="24"/>
          <w:szCs w:val="20"/>
          <w:lang w:val="zh-CN"/>
        </w:rPr>
      </w:pPr>
      <w:r>
        <w:rPr>
          <w:rFonts w:hint="eastAsia" w:eastAsia="Arial"/>
          <w:b/>
          <w:bCs/>
          <w:color w:val="auto"/>
          <w:sz w:val="24"/>
          <w:szCs w:val="20"/>
          <w:lang w:val="zh-CN"/>
        </w:rPr>
        <w:t>四、考核的认定与评判</w:t>
      </w:r>
    </w:p>
    <w:p w14:paraId="67631F41">
      <w:pPr>
        <w:widowControl/>
        <w:spacing w:line="560" w:lineRule="exact"/>
        <w:ind w:firstLine="480"/>
        <w:rPr>
          <w:rFonts w:eastAsia="Arial"/>
          <w:color w:val="auto"/>
          <w:sz w:val="24"/>
          <w:szCs w:val="20"/>
          <w:lang w:val="zh-CN"/>
        </w:rPr>
      </w:pPr>
      <w:r>
        <w:rPr>
          <w:rFonts w:hint="eastAsia" w:eastAsia="Arial"/>
          <w:color w:val="auto"/>
          <w:sz w:val="24"/>
          <w:szCs w:val="20"/>
          <w:lang w:val="zh-CN"/>
        </w:rPr>
        <w:t>1、考核标准：综合得分90分以上为优秀；80至90分为良好；70至80分为合格；70分以下为不合格。</w:t>
      </w:r>
    </w:p>
    <w:p w14:paraId="61C4ADFA">
      <w:pPr>
        <w:widowControl/>
        <w:spacing w:line="560" w:lineRule="exact"/>
        <w:ind w:firstLine="480"/>
        <w:rPr>
          <w:rFonts w:eastAsia="Arial"/>
          <w:color w:val="auto"/>
          <w:sz w:val="24"/>
          <w:szCs w:val="20"/>
          <w:lang w:val="zh-CN"/>
        </w:rPr>
      </w:pPr>
      <w:r>
        <w:rPr>
          <w:rFonts w:hint="eastAsia" w:eastAsia="Arial"/>
          <w:color w:val="auto"/>
          <w:sz w:val="24"/>
          <w:szCs w:val="20"/>
          <w:lang w:val="zh-CN"/>
        </w:rPr>
        <w:t>2、意见反馈：校方将考核结果三日内反馈物业公司，物业公司必须在一周内整改到位，考核不合格将按照合同约定中的条款进行处理。</w:t>
      </w:r>
    </w:p>
    <w:p w14:paraId="5BCB11DA">
      <w:pPr>
        <w:widowControl/>
        <w:spacing w:line="560" w:lineRule="exact"/>
        <w:ind w:firstLine="480"/>
        <w:rPr>
          <w:rFonts w:eastAsia="Arial"/>
          <w:b/>
          <w:bCs/>
          <w:color w:val="auto"/>
          <w:sz w:val="24"/>
          <w:szCs w:val="20"/>
          <w:lang w:val="zh-CN"/>
        </w:rPr>
      </w:pPr>
      <w:r>
        <w:rPr>
          <w:rFonts w:hint="eastAsia" w:eastAsia="Arial"/>
          <w:b/>
          <w:bCs/>
          <w:color w:val="auto"/>
          <w:sz w:val="24"/>
          <w:szCs w:val="20"/>
          <w:lang w:val="zh-CN"/>
        </w:rPr>
        <w:t>五、考核奖惩</w:t>
      </w:r>
    </w:p>
    <w:p w14:paraId="35ACB198">
      <w:pPr>
        <w:widowControl/>
        <w:spacing w:line="560" w:lineRule="exact"/>
        <w:ind w:firstLine="480"/>
        <w:rPr>
          <w:rFonts w:eastAsia="Arial"/>
          <w:b/>
          <w:bCs/>
          <w:color w:val="auto"/>
          <w:sz w:val="24"/>
          <w:szCs w:val="20"/>
          <w:lang w:val="zh-CN"/>
        </w:rPr>
      </w:pPr>
      <w:r>
        <w:rPr>
          <w:rFonts w:hint="eastAsia" w:eastAsia="Arial"/>
          <w:b/>
          <w:bCs/>
          <w:color w:val="auto"/>
          <w:sz w:val="24"/>
          <w:szCs w:val="20"/>
          <w:lang w:val="zh-CN"/>
        </w:rPr>
        <w:t>校方对物业公司每月的物业服务进行考核，对考核办法中的每项进行考核打分。</w:t>
      </w:r>
    </w:p>
    <w:p w14:paraId="256F2575">
      <w:pPr>
        <w:widowControl/>
        <w:spacing w:line="560" w:lineRule="exact"/>
        <w:ind w:firstLine="480"/>
        <w:rPr>
          <w:rFonts w:eastAsia="Arial"/>
          <w:b/>
          <w:bCs/>
          <w:color w:val="auto"/>
          <w:sz w:val="24"/>
          <w:szCs w:val="20"/>
          <w:lang w:val="zh-CN"/>
        </w:rPr>
      </w:pPr>
      <w:r>
        <w:rPr>
          <w:rFonts w:hint="eastAsia" w:eastAsia="Arial"/>
          <w:b/>
          <w:bCs/>
          <w:color w:val="auto"/>
          <w:sz w:val="24"/>
          <w:szCs w:val="20"/>
          <w:lang w:val="zh-CN"/>
        </w:rPr>
        <w:t>物业公司每月考核综合得分低于90分的，每低1分将对物业公司进行500元的惩罚，从物业管理服务费中扣除，如考核结果不合格的，一次扣当月劳务费用的3%。</w:t>
      </w:r>
    </w:p>
    <w:p w14:paraId="527FE6F2">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507266A0">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75395F3F">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7059A5A8">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694C17C4">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30DE7FB2">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4D14601B">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0B18B5AA">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7D8FFB8D">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10693814">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6E99753A">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599B94FC">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20177847">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1EAA5CB4">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24A3C19F">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6AD991FD">
      <w:pPr>
        <w:pStyle w:val="9"/>
        <w:spacing w:before="120" w:beforeAutospacing="0" w:after="120" w:afterAutospacing="0" w:line="0" w:lineRule="atLeast"/>
        <w:jc w:val="both"/>
        <w:rPr>
          <w:rFonts w:hint="eastAsia" w:ascii="黑体" w:hAnsi="宋体" w:eastAsia="黑体" w:cs="黑体"/>
          <w:color w:val="auto"/>
          <w:sz w:val="44"/>
          <w:szCs w:val="44"/>
          <w:highlight w:val="none"/>
        </w:rPr>
      </w:pPr>
    </w:p>
    <w:p w14:paraId="6FE2C503">
      <w:pPr>
        <w:pStyle w:val="9"/>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 第</w:t>
      </w:r>
      <w:bookmarkEnd w:id="171"/>
      <w:r>
        <w:rPr>
          <w:rFonts w:hint="eastAsia" w:ascii="黑体" w:hAnsi="宋体" w:eastAsia="黑体" w:cs="黑体"/>
          <w:color w:val="auto"/>
          <w:sz w:val="44"/>
          <w:szCs w:val="44"/>
          <w:highlight w:val="none"/>
        </w:rPr>
        <w:t>四章 采购需求</w:t>
      </w:r>
      <w:bookmarkEnd w:id="172"/>
      <w:bookmarkEnd w:id="173"/>
      <w:bookmarkEnd w:id="174"/>
      <w:bookmarkEnd w:id="175"/>
      <w:bookmarkEnd w:id="176"/>
    </w:p>
    <w:p w14:paraId="39B05510">
      <w:pPr>
        <w:pStyle w:val="9"/>
        <w:spacing w:beforeAutospacing="0" w:afterAutospacing="0" w:line="0" w:lineRule="atLeast"/>
        <w:jc w:val="both"/>
        <w:rPr>
          <w:rFonts w:hint="eastAsia" w:ascii="宋体" w:hAnsi="宋体" w:eastAsia="宋体" w:cs="宋体"/>
          <w:color w:val="auto"/>
        </w:rPr>
      </w:pPr>
      <w:bookmarkStart w:id="178" w:name="_Toc49090575"/>
      <w:bookmarkStart w:id="179" w:name="_Toc26554093"/>
      <w:r>
        <w:rPr>
          <w:rFonts w:hint="eastAsia" w:ascii="宋体" w:hAnsi="宋体" w:eastAsia="宋体" w:cs="宋体"/>
          <w:color w:val="auto"/>
        </w:rPr>
        <w:t>项目属性:服务类项目。</w:t>
      </w:r>
      <w:bookmarkEnd w:id="178"/>
      <w:bookmarkEnd w:id="179"/>
    </w:p>
    <w:p w14:paraId="208EAB79">
      <w:pPr>
        <w:pStyle w:val="9"/>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0" w:firstLineChars="0"/>
        <w:jc w:val="both"/>
        <w:textAlignment w:val="auto"/>
        <w:rPr>
          <w:rFonts w:hint="eastAsia" w:ascii="黑体" w:hAnsi="黑体" w:eastAsia="黑体" w:cs="黑体"/>
          <w:b/>
          <w:bCs/>
          <w:color w:val="auto"/>
          <w:highlight w:val="none"/>
        </w:rPr>
      </w:pPr>
      <w:r>
        <w:rPr>
          <w:rFonts w:hint="eastAsia" w:ascii="黑体" w:hAnsi="黑体" w:eastAsia="黑体" w:cs="黑体"/>
          <w:b/>
          <w:bCs/>
          <w:color w:val="auto"/>
          <w:highlight w:val="none"/>
        </w:rPr>
        <w:t>一、标段划分及招标内容：</w:t>
      </w:r>
    </w:p>
    <w:p w14:paraId="7A2D9840">
      <w:pPr>
        <w:widowControl/>
        <w:spacing w:line="560" w:lineRule="exact"/>
        <w:ind w:firstLine="480"/>
        <w:rPr>
          <w:rFonts w:hint="eastAsia" w:eastAsia="宋体"/>
          <w:color w:val="auto"/>
          <w:sz w:val="24"/>
          <w:szCs w:val="20"/>
          <w:lang w:val="en-US" w:eastAsia="zh-CN"/>
        </w:rPr>
      </w:pPr>
      <w:r>
        <w:rPr>
          <w:rFonts w:hint="eastAsia" w:eastAsia="宋体"/>
          <w:color w:val="auto"/>
          <w:sz w:val="24"/>
          <w:szCs w:val="20"/>
          <w:lang w:val="en-US" w:eastAsia="zh-CN"/>
        </w:rPr>
        <w:t>本次招标为一个标段，招标内容为2026年盐城市亭湖区中小学素质教育实践中心物业服务采购项目，具体内容及要求详见招标文件。</w:t>
      </w:r>
    </w:p>
    <w:p w14:paraId="58CD3A5F">
      <w:pPr>
        <w:pStyle w:val="9"/>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0" w:firstLineChars="0"/>
        <w:jc w:val="both"/>
        <w:textAlignment w:val="auto"/>
        <w:rPr>
          <w:rFonts w:hint="eastAsia" w:ascii="黑体" w:hAnsi="黑体" w:eastAsia="黑体" w:cs="黑体"/>
          <w:b/>
          <w:bCs/>
          <w:color w:val="auto"/>
          <w:highlight w:val="none"/>
        </w:rPr>
      </w:pPr>
      <w:r>
        <w:rPr>
          <w:rFonts w:hint="eastAsia" w:ascii="黑体" w:hAnsi="黑体" w:eastAsia="黑体" w:cs="黑体"/>
          <w:b/>
          <w:bCs/>
          <w:color w:val="auto"/>
          <w:highlight w:val="none"/>
        </w:rPr>
        <w:t>二、招标范围：</w:t>
      </w:r>
    </w:p>
    <w:p w14:paraId="5DBCC0EE">
      <w:pPr>
        <w:widowControl/>
        <w:spacing w:line="560" w:lineRule="exact"/>
        <w:ind w:firstLine="480"/>
        <w:rPr>
          <w:rFonts w:hint="eastAsia" w:eastAsia="宋体"/>
          <w:color w:val="auto"/>
          <w:sz w:val="24"/>
          <w:szCs w:val="20"/>
          <w:lang w:val="en-US" w:eastAsia="zh-CN"/>
        </w:rPr>
      </w:pPr>
      <w:r>
        <w:rPr>
          <w:rFonts w:hint="eastAsia" w:eastAsia="宋体"/>
          <w:color w:val="auto"/>
          <w:sz w:val="24"/>
          <w:szCs w:val="20"/>
          <w:lang w:val="en-US" w:eastAsia="zh-CN"/>
        </w:rPr>
        <w:t>2026年盐城市亭湖区中小学素质教育实践中心物业服务采购项目，详细情况由投标人自行勘察现场。</w:t>
      </w:r>
    </w:p>
    <w:p w14:paraId="1DA01D26">
      <w:pPr>
        <w:pStyle w:val="9"/>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0" w:firstLineChars="0"/>
        <w:jc w:val="both"/>
        <w:textAlignment w:val="auto"/>
        <w:rPr>
          <w:rFonts w:hint="eastAsia" w:ascii="黑体" w:hAnsi="黑体" w:eastAsia="黑体" w:cs="黑体"/>
          <w:b/>
          <w:bCs/>
          <w:color w:val="auto"/>
          <w:highlight w:val="none"/>
        </w:rPr>
      </w:pPr>
      <w:r>
        <w:rPr>
          <w:rFonts w:hint="eastAsia" w:ascii="黑体" w:hAnsi="黑体" w:eastAsia="黑体" w:cs="黑体"/>
          <w:b/>
          <w:bCs/>
          <w:color w:val="auto"/>
          <w:highlight w:val="none"/>
          <w:lang w:val="en-US" w:eastAsia="zh-CN"/>
        </w:rPr>
        <w:t>三</w:t>
      </w:r>
      <w:r>
        <w:rPr>
          <w:rFonts w:hint="eastAsia" w:ascii="黑体" w:hAnsi="黑体" w:eastAsia="黑体" w:cs="黑体"/>
          <w:b/>
          <w:bCs/>
          <w:color w:val="auto"/>
          <w:highlight w:val="none"/>
        </w:rPr>
        <w:t>、详细服务要求：</w:t>
      </w:r>
    </w:p>
    <w:p w14:paraId="754E80A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（一）保洁员工作要求</w:t>
      </w:r>
    </w:p>
    <w:p w14:paraId="795F7E7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负责规定范围内的卫生保洁工作。负责工具（由中标人自行提供，招标人不另行支付任何额外费用）的保管，如桶、畚箕、火钳、扫帚等工作必备的；负责易耗品（由中标人自行提供，招标人不另行支付任何额外费用），如消毒液、洗洁精、抹布等工作必备的。</w:t>
      </w:r>
    </w:p>
    <w:p w14:paraId="28E8F0A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2、负责校内卫生的清扫，并做卫生保洁工作，遵守劳动纪律，清扫的杂物垃圾必须倒入垃圾桶，严禁随意乱倒，清扫并保持垃圾箱整洁。对校园区域保洁，确保公共区域无杂物及垃圾。</w:t>
      </w:r>
    </w:p>
    <w:p w14:paraId="6301585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保证责任区内路边无杂草、无垃圾、无白色污染，地面干净整洁。厕所内无污迹、无异味。每天必须在规定的时间内将责任区清扫干净，同时还必须坚持日常巡视保洁工作。随时接受后勤管理人员的工作指导和审查。</w:t>
      </w:r>
    </w:p>
    <w:p w14:paraId="69F3A43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4、校园公共区域：楼梯、走廊、栏杆、厕所、道路、庭院、校园绿化带等，除教室和教师办公室之外的所有本条未提及但必须保洁的区域。</w:t>
      </w:r>
    </w:p>
    <w:p w14:paraId="4C8F743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5、保洁员工必须妥善保管保洁工具，及时清洗晾干拖把。</w:t>
      </w:r>
    </w:p>
    <w:p w14:paraId="31C90C6C">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auto"/>
          <w:highlight w:val="yellow"/>
          <w:lang w:val="en-US" w:eastAsia="zh-CN"/>
        </w:rPr>
      </w:pPr>
      <w:r>
        <w:rPr>
          <w:rFonts w:hint="eastAsia" w:asciiTheme="majorEastAsia" w:hAnsiTheme="majorEastAsia" w:eastAsiaTheme="majorEastAsia" w:cstheme="majorEastAsia"/>
          <w:color w:val="auto"/>
          <w:highlight w:val="none"/>
          <w:lang w:val="en-US" w:eastAsia="zh-CN"/>
        </w:rPr>
        <w:t>6、保洁工具必须按指定的位置摆放，要求统一整齐，不得随意摆放。</w:t>
      </w:r>
      <w:r>
        <w:rPr>
          <w:rFonts w:ascii="Arial" w:hAnsi="Arial" w:eastAsia="Arial" w:cs="Arial"/>
          <w:i w:val="0"/>
          <w:iCs w:val="0"/>
          <w:caps w:val="0"/>
          <w:color w:val="auto"/>
          <w:spacing w:val="0"/>
          <w:sz w:val="24"/>
          <w:szCs w:val="24"/>
          <w:shd w:val="clear" w:fill="FFFFFF"/>
        </w:rPr>
        <w:t>‌‌</w:t>
      </w:r>
      <w:r>
        <w:rPr>
          <w:rFonts w:hint="eastAsia" w:asciiTheme="majorEastAsia" w:hAnsiTheme="majorEastAsia" w:eastAsiaTheme="majorEastAsia" w:cstheme="majorEastAsia"/>
          <w:color w:val="auto"/>
          <w:highlight w:val="yellow"/>
          <w:lang w:val="en-US" w:eastAsia="zh-CN"/>
        </w:rPr>
        <w:t>‌</w:t>
      </w:r>
    </w:p>
    <w:p w14:paraId="1E002C0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（二）兼职水电工要求</w:t>
      </w:r>
    </w:p>
    <w:p w14:paraId="78CF366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1、严格执行《电业安全工作规程》，做到安全维护、维修，安全供电。</w:t>
      </w:r>
    </w:p>
    <w:p w14:paraId="664E4AA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2、负责全校配电室管理、维护和维修工作，对发现的问题要及时处理、及时汇报，确保配电设备的正常运行。</w:t>
      </w:r>
    </w:p>
    <w:p w14:paraId="6541A57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3、负责全校公网供电系统巡查、维护、检修工作，要求外线维修电工每星期对公网供电系统巡回检查一次，发现问题及时处理。并做好工作记录。</w:t>
      </w:r>
    </w:p>
    <w:p w14:paraId="28CA87E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4、负责对全校路灯进行经常性巡查、维护、维修，发现有一盏不亮都要及时检修。</w:t>
      </w:r>
    </w:p>
    <w:p w14:paraId="10CD269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5、牢记服务宗旨，用户报修，随叫随到，出现突发事件和需要抢修等任务，所以人员无条件执行，参加抢修工作。</w:t>
      </w:r>
    </w:p>
    <w:p w14:paraId="01EF977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6、一般维修事项：接到报修通知后，1 小时内到达现场处置；紧急抢修事项（停水停电、漏水漏电、设备故障等）：接到通知后，30 分钟内到达现场，及时排除安全隐患。</w:t>
      </w:r>
    </w:p>
    <w:p w14:paraId="1459EBFB">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（三）夜间值班巡逻人员要求</w:t>
      </w:r>
    </w:p>
    <w:p w14:paraId="3E90CC5E">
      <w:pPr>
        <w:pStyle w:val="9"/>
        <w:widowControl w:val="0"/>
        <w:numPr>
          <w:ilvl w:val="0"/>
          <w:numId w:val="0"/>
        </w:numPr>
        <w:spacing w:beforeAutospacing="0" w:afterAutospacing="0" w:line="360" w:lineRule="auto"/>
        <w:ind w:firstLine="480"/>
        <w:jc w:val="both"/>
        <w:rPr>
          <w:rFonts w:ascii="宋体" w:hAnsi="宋体" w:eastAsia="宋体" w:cs="宋体"/>
          <w:color w:val="auto"/>
          <w:sz w:val="24"/>
          <w:szCs w:val="24"/>
        </w:rPr>
      </w:pPr>
      <w:r>
        <w:rPr>
          <w:rFonts w:hint="eastAsia" w:asciiTheme="majorEastAsia" w:hAnsiTheme="majorEastAsia" w:eastAsiaTheme="majorEastAsia" w:cstheme="majorEastAsia"/>
          <w:color w:val="auto"/>
          <w:highlight w:val="none"/>
          <w:lang w:val="en-US" w:eastAsia="zh-CN"/>
        </w:rPr>
        <w:t>1、通宵值守，定点巡逻。</w:t>
      </w:r>
      <w:r>
        <w:rPr>
          <w:rFonts w:ascii="宋体" w:hAnsi="宋体" w:eastAsia="宋体" w:cs="宋体"/>
          <w:color w:val="auto"/>
          <w:sz w:val="24"/>
          <w:szCs w:val="24"/>
          <w:highlight w:val="none"/>
        </w:rPr>
        <w:t>检查门窗是否锁好、水电是否关闭、有无漏水漏电、消防器材完好、有无可疑逗留人员、翻墙痕迹、安</w:t>
      </w:r>
      <w:r>
        <w:rPr>
          <w:rFonts w:ascii="宋体" w:hAnsi="宋体" w:eastAsia="宋体" w:cs="宋体"/>
          <w:color w:val="auto"/>
          <w:sz w:val="24"/>
          <w:szCs w:val="24"/>
        </w:rPr>
        <w:t>全隐患。</w:t>
      </w:r>
    </w:p>
    <w:p w14:paraId="14E7C5D9">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ascii="宋体" w:hAnsi="宋体" w:eastAsia="宋体" w:cs="宋体"/>
          <w:color w:val="auto"/>
          <w:sz w:val="24"/>
          <w:szCs w:val="24"/>
        </w:rPr>
        <w:t>夜间每 1 小时巡逻 1 次，深夜重点区域加密巡查</w:t>
      </w:r>
      <w:r>
        <w:rPr>
          <w:rFonts w:hint="eastAsia" w:ascii="宋体" w:hAnsi="宋体" w:eastAsia="宋体" w:cs="宋体"/>
          <w:color w:val="auto"/>
          <w:sz w:val="24"/>
          <w:szCs w:val="24"/>
          <w:lang w:eastAsia="zh-CN"/>
        </w:rPr>
        <w:t>。</w:t>
      </w:r>
    </w:p>
    <w:p w14:paraId="0834C0B8">
      <w:pPr>
        <w:pStyle w:val="9"/>
        <w:widowControl w:val="0"/>
        <w:numPr>
          <w:ilvl w:val="0"/>
          <w:numId w:val="0"/>
        </w:numPr>
        <w:spacing w:beforeAutospacing="0" w:afterAutospacing="0" w:line="360" w:lineRule="auto"/>
        <w:ind w:firstLine="480"/>
        <w:jc w:val="both"/>
        <w:rPr>
          <w:rFonts w:hint="eastAsia" w:eastAsia="宋体" w:asciiTheme="majorEastAsia" w:hAnsiTheme="majorEastAsia" w:cstheme="majorEastAsia"/>
          <w:color w:val="auto"/>
          <w:highlight w:val="none"/>
          <w:lang w:val="en-US" w:eastAsia="zh-CN"/>
        </w:rPr>
      </w:pPr>
      <w:r>
        <w:rPr>
          <w:rFonts w:hint="eastAsia" w:ascii="宋体" w:hAnsi="宋体" w:eastAsia="宋体" w:cs="宋体"/>
          <w:color w:val="auto"/>
          <w:sz w:val="24"/>
          <w:szCs w:val="24"/>
          <w:lang w:val="en-US" w:eastAsia="zh-CN"/>
        </w:rPr>
        <w:t>3、</w:t>
      </w:r>
      <w:r>
        <w:rPr>
          <w:rFonts w:ascii="宋体" w:hAnsi="宋体" w:eastAsia="宋体" w:cs="宋体"/>
          <w:color w:val="auto"/>
          <w:sz w:val="24"/>
          <w:szCs w:val="24"/>
        </w:rPr>
        <w:t>夜间封闭校门，严禁无关人员、外来车辆入校</w:t>
      </w:r>
      <w:r>
        <w:rPr>
          <w:rFonts w:hint="eastAsia" w:ascii="宋体" w:hAnsi="宋体" w:eastAsia="宋体" w:cs="宋体"/>
          <w:color w:val="auto"/>
          <w:sz w:val="24"/>
          <w:szCs w:val="24"/>
          <w:lang w:eastAsia="zh-CN"/>
        </w:rPr>
        <w:t>。</w:t>
      </w:r>
    </w:p>
    <w:p w14:paraId="28E51CBF">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auto"/>
          <w:highlight w:val="none"/>
          <w:lang w:val="en-US" w:eastAsia="zh-CN"/>
        </w:rPr>
      </w:pP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锁闭各楼栋大门、围墙侧门，检查防盗设施。</w:t>
      </w:r>
    </w:p>
    <w:p w14:paraId="2F7F9DFC">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5、认真填写《夜间巡逻记录表》《值班工作日志》，交接班签字确认，问题逐条备注</w:t>
      </w:r>
    </w:p>
    <w:p w14:paraId="3AB9CF4B">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6、发现火情、陌生人闯入、学生突发状况、设施损坏，第一时间上报学校领导或保卫科。</w:t>
      </w:r>
    </w:p>
    <w:p w14:paraId="2D9FA4CC">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ascii="宋体" w:hAnsi="宋体" w:eastAsia="宋体" w:cs="宋体"/>
          <w:color w:val="auto"/>
          <w:sz w:val="24"/>
          <w:szCs w:val="24"/>
        </w:rPr>
        <w:t>会使用灭火器、防暴器械，简单现场维稳，不擅自处理复杂冲突</w:t>
      </w:r>
      <w:r>
        <w:rPr>
          <w:rFonts w:hint="eastAsia" w:ascii="宋体" w:hAnsi="宋体" w:eastAsia="宋体" w:cs="宋体"/>
          <w:color w:val="auto"/>
          <w:sz w:val="24"/>
          <w:szCs w:val="24"/>
          <w:lang w:eastAsia="zh-CN"/>
        </w:rPr>
        <w:t>。</w:t>
      </w:r>
    </w:p>
    <w:p w14:paraId="359524C0">
      <w:pPr>
        <w:pStyle w:val="9"/>
        <w:widowControl w:val="0"/>
        <w:numPr>
          <w:ilvl w:val="0"/>
          <w:numId w:val="0"/>
        </w:numPr>
        <w:spacing w:beforeAutospacing="0" w:afterAutospacing="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ascii="宋体" w:hAnsi="宋体" w:eastAsia="宋体" w:cs="宋体"/>
          <w:color w:val="auto"/>
          <w:sz w:val="24"/>
          <w:szCs w:val="24"/>
          <w:highlight w:val="none"/>
        </w:rPr>
        <w:t>突发紧急情况保护现场，配合后续处理</w:t>
      </w:r>
      <w:r>
        <w:rPr>
          <w:rFonts w:hint="eastAsia" w:ascii="宋体" w:hAnsi="宋体" w:eastAsia="宋体" w:cs="宋体"/>
          <w:color w:val="auto"/>
          <w:sz w:val="24"/>
          <w:szCs w:val="24"/>
          <w:highlight w:val="none"/>
          <w:lang w:eastAsia="zh-CN"/>
        </w:rPr>
        <w:t>。</w:t>
      </w:r>
    </w:p>
    <w:p w14:paraId="37E1049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（四）其他服务要求</w:t>
      </w:r>
    </w:p>
    <w:p w14:paraId="0CA3889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1、教室、办公室、功能室窗帘拆洗、安装，每六个月至少一次；</w:t>
      </w:r>
    </w:p>
    <w:p w14:paraId="41BF4EFB">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2、化粪池（每六个月至少1次）定期清理，且确保无滞留、堵塞；</w:t>
      </w:r>
    </w:p>
    <w:p w14:paraId="6F16DBD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3、垃圾清运，专用垃圾清运车清运，每周不少于3次且确保无滞留垃圾，清运过程无跑、冒、滴、漏等污染路面情况。</w:t>
      </w:r>
    </w:p>
    <w:p w14:paraId="6398DD3F">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（五）绿化养护要求</w:t>
      </w:r>
    </w:p>
    <w:p w14:paraId="5FE6465C">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1、养护范围：招标人所属绿地。负责所需必要的养护工具，招标人不另行支付相关任何费用。</w:t>
      </w:r>
    </w:p>
    <w:p w14:paraId="611809A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2、养护标准：</w:t>
      </w:r>
    </w:p>
    <w:p w14:paraId="7A52F4EE">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（1）乔木</w:t>
      </w:r>
    </w:p>
    <w:p w14:paraId="398AB9C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整枝剪去枯枝和病枝，修剪每半年不少于一次；适时浇水、施肥；及时防治虫害、病害，打药不少于2次/半年，确保树木花草无病虫症状，病虫害危害率控制在2%以内。</w:t>
      </w:r>
    </w:p>
    <w:p w14:paraId="47C1823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（2）色块</w:t>
      </w:r>
    </w:p>
    <w:p w14:paraId="73BAEC2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整形修剪使轮廓清楚，修剪每半年不少于一次；适时浇水、施肥；及时防治虫害，打药不少于2次/半年，确保树木花草无病虫症状，病虫害危害率控制在2%以内。</w:t>
      </w:r>
    </w:p>
    <w:p w14:paraId="51F01B3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（3）草坪</w:t>
      </w:r>
    </w:p>
    <w:p w14:paraId="0542746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草坪生长旺盛，覆盖率大于90%，杂草率小于5%；适时浇水、施肥；适时修剪，修剪不少于2次/半年；及时防治虫害；草坪补种。草坪无成片枯黄，枯黄面不得超过总面积的2%。</w:t>
      </w:r>
    </w:p>
    <w:p w14:paraId="57B881B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（4）适时清除杂草，不少于6次，大树冬天刷白。</w:t>
      </w:r>
    </w:p>
    <w:p w14:paraId="06F5C82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（5）防风。遇暴风雨、大风天气，容易发生树木倒伏等情况，须提前或及时对树林进行支架固定。支架固定要注重美观。</w:t>
      </w:r>
    </w:p>
    <w:p w14:paraId="1C3242F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（6）防冻、防晒。冬季和高温季节来临时，怕冻、怕曝晒的植物要提前做好防护。防护要注重美观。</w:t>
      </w:r>
    </w:p>
    <w:p w14:paraId="2007103D">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（7）遇招标人重大活动时，中标单位应无偿另行增派专业绿化养护人员对绿化强化养护及应急保障工作，配合招标人活动的进行。</w:t>
      </w:r>
    </w:p>
    <w:p w14:paraId="177D5AE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（六）建立健全物业管理制度</w:t>
      </w:r>
    </w:p>
    <w:p w14:paraId="2948C71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根据招标人的具体情况，中标单位应制定详细的内部管理制度、日常服务的运作管理制度等相关制度。</w:t>
      </w:r>
    </w:p>
    <w:p w14:paraId="39123C0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1、</w:t>
      </w:r>
      <w:r>
        <w:rPr>
          <w:rFonts w:hint="eastAsia" w:asciiTheme="majorEastAsia" w:hAnsiTheme="majorEastAsia" w:eastAsiaTheme="majorEastAsia" w:cstheme="majorEastAsia"/>
          <w:color w:val="auto"/>
          <w:highlight w:val="none"/>
          <w:lang w:val="en-US" w:eastAsia="zh-CN"/>
        </w:rPr>
        <w:t>组织机构设置、人员配备、培训与管理、制度的建立</w:t>
      </w:r>
    </w:p>
    <w:p w14:paraId="7738E5A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2、物业管理员工行为规范；</w:t>
      </w:r>
    </w:p>
    <w:p w14:paraId="12362F9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3、管理人员岗位职责；</w:t>
      </w:r>
    </w:p>
    <w:p w14:paraId="58970F7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4、保洁、水电工、夜间值班人员工作职责；</w:t>
      </w:r>
    </w:p>
    <w:p w14:paraId="4BA86F2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5、管理人员、操作人员考核细则；</w:t>
      </w:r>
    </w:p>
    <w:p w14:paraId="4F3D1FD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6、考核奖惩制度；</w:t>
      </w:r>
    </w:p>
    <w:p w14:paraId="3E6DE8B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7、综合服务制度；</w:t>
      </w:r>
    </w:p>
    <w:p w14:paraId="091845C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8、保洁服务方案及保洁服务质量标准；</w:t>
      </w:r>
    </w:p>
    <w:p w14:paraId="18242B0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9、自然灾害、以及停电、停水、火灾、学生家长上访、失窃等突发事件的处理预案；</w:t>
      </w:r>
    </w:p>
    <w:p w14:paraId="685D298F">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（七）人员要求：</w:t>
      </w:r>
    </w:p>
    <w:p w14:paraId="3380B3D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1、人员基本原则：精干 高效 专业 敬业 健康。</w:t>
      </w:r>
    </w:p>
    <w:p w14:paraId="58F6E6D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2、人员配置要求</w:t>
      </w:r>
    </w:p>
    <w:p w14:paraId="395C88A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2.1保洁员要求：初中及以上学历，身体素质良好，工作责任心强，思想品质好，作风正派，无不良记录。</w:t>
      </w:r>
    </w:p>
    <w:p w14:paraId="77CE0C8D">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2.2兼职水电工人员要求：男性，相貌端正，身材均称，普通话较好、态度热情、工作踏实。（兼职电工要求：需要做到随叫随到）。</w:t>
      </w:r>
    </w:p>
    <w:p w14:paraId="4CD60693">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2.3夜间值班巡逻人员要求：男性，相貌端正，身材均称，普通话较好、态度热情、工作踏实。</w:t>
      </w:r>
    </w:p>
    <w:p w14:paraId="396C0C6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2.4人员健康要求：派驻学校工作人员必须身体健康，无重大疾病、传染病、心血管方面等慢性病，进场人员必须提供健康证明给学校备案。</w:t>
      </w:r>
    </w:p>
    <w:p w14:paraId="0CAB1CF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 xml:space="preserve">3、 </w:t>
      </w:r>
      <w:r>
        <w:rPr>
          <w:rFonts w:hint="eastAsia" w:ascii="宋体" w:hAnsi="宋体" w:cs="宋体"/>
          <w:b/>
          <w:bCs/>
          <w:color w:val="auto"/>
          <w:sz w:val="24"/>
          <w:szCs w:val="24"/>
          <w:highlight w:val="none"/>
        </w:rPr>
        <w:t>物业服务人员</w:t>
      </w:r>
      <w:r>
        <w:rPr>
          <w:rFonts w:hint="eastAsia" w:ascii="宋体" w:hAnsi="宋体" w:cs="宋体"/>
          <w:b/>
          <w:bCs/>
          <w:color w:val="auto"/>
          <w:sz w:val="24"/>
          <w:szCs w:val="24"/>
          <w:highlight w:val="none"/>
          <w:lang w:val="en-US" w:eastAsia="zh-CN"/>
        </w:rPr>
        <w:t>不少于</w:t>
      </w:r>
      <w:r>
        <w:rPr>
          <w:rFonts w:hint="eastAsia" w:asciiTheme="majorEastAsia" w:hAnsiTheme="majorEastAsia" w:eastAsiaTheme="majorEastAsia" w:cstheme="majorEastAsia"/>
          <w:b/>
          <w:bCs/>
          <w:color w:val="auto"/>
          <w:highlight w:val="none"/>
          <w:lang w:val="en-US" w:eastAsia="zh-CN"/>
        </w:rPr>
        <w:t>4人，其中：保洁员2人、兼职水电工1人（需持有电工证，投标时无须提供，签订合同前须出具在有效期内的电工证原件</w:t>
      </w:r>
      <w:r>
        <w:rPr>
          <w:rFonts w:hint="eastAsia" w:asciiTheme="majorEastAsia" w:hAnsiTheme="majorEastAsia" w:eastAsiaTheme="majorEastAsia" w:cstheme="majorEastAsia"/>
          <w:b/>
          <w:bCs/>
          <w:color w:val="auto"/>
          <w:highlight w:val="none"/>
          <w:lang w:val="en-US" w:eastAsia="zh-CN"/>
        </w:rPr>
        <w:t>）、夜间值班巡逻人员1人（保安兼，人员由安保单位提供）。</w:t>
      </w:r>
    </w:p>
    <w:p w14:paraId="70BB9A3A">
      <w:pPr>
        <w:pStyle w:val="9"/>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0" w:firstLineChars="0"/>
        <w:jc w:val="both"/>
        <w:textAlignment w:val="auto"/>
        <w:rPr>
          <w:rFonts w:hint="eastAsia" w:ascii="黑体" w:hAnsi="黑体" w:eastAsia="黑体" w:cs="黑体"/>
          <w:b/>
          <w:bCs/>
          <w:color w:val="auto"/>
          <w:highlight w:val="none"/>
          <w:lang w:val="en-US" w:eastAsia="zh-CN"/>
        </w:rPr>
      </w:pPr>
      <w:r>
        <w:rPr>
          <w:rFonts w:hint="eastAsia" w:ascii="黑体" w:hAnsi="黑体" w:eastAsia="黑体" w:cs="黑体"/>
          <w:b/>
          <w:bCs/>
          <w:color w:val="auto"/>
          <w:highlight w:val="none"/>
          <w:lang w:val="en-US" w:eastAsia="zh-CN"/>
        </w:rPr>
        <w:t>四、商务要求</w:t>
      </w:r>
    </w:p>
    <w:p w14:paraId="2B16F3DB">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（一）</w:t>
      </w:r>
      <w:r>
        <w:rPr>
          <w:rFonts w:hint="eastAsia" w:asciiTheme="majorEastAsia" w:hAnsiTheme="majorEastAsia" w:eastAsiaTheme="majorEastAsia" w:cstheme="majorEastAsia"/>
          <w:color w:val="auto"/>
          <w:highlight w:val="none"/>
          <w:lang w:val="en-US" w:eastAsia="zh-CN"/>
        </w:rPr>
        <w:t>服务期限：1年。</w:t>
      </w:r>
    </w:p>
    <w:p w14:paraId="1F4A020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（二）项目地点：盐城市亭湖区潮声东路8号</w:t>
      </w:r>
      <w:r>
        <w:rPr>
          <w:rFonts w:hint="eastAsia" w:asciiTheme="majorEastAsia" w:hAnsiTheme="majorEastAsia" w:eastAsiaTheme="majorEastAsia" w:cstheme="majorEastAsia"/>
          <w:color w:val="auto"/>
          <w:highlight w:val="none"/>
          <w:lang w:val="en-US" w:eastAsia="zh-CN"/>
        </w:rPr>
        <w:t>。</w:t>
      </w:r>
    </w:p>
    <w:p w14:paraId="4552DBF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zh-CN" w:eastAsia="zh-CN"/>
        </w:rPr>
        <w:t>（</w:t>
      </w:r>
      <w:r>
        <w:rPr>
          <w:rFonts w:hint="eastAsia" w:asciiTheme="majorEastAsia" w:hAnsiTheme="majorEastAsia" w:eastAsiaTheme="majorEastAsia" w:cstheme="majorEastAsia"/>
          <w:color w:val="auto"/>
          <w:highlight w:val="none"/>
          <w:lang w:val="en-US" w:eastAsia="zh-CN"/>
        </w:rPr>
        <w:t>三</w:t>
      </w:r>
      <w:r>
        <w:rPr>
          <w:rFonts w:hint="eastAsia" w:asciiTheme="majorEastAsia" w:hAnsiTheme="majorEastAsia" w:eastAsiaTheme="majorEastAsia" w:cstheme="majorEastAsia"/>
          <w:color w:val="auto"/>
          <w:highlight w:val="none"/>
          <w:lang w:val="zh-CN" w:eastAsia="zh-CN"/>
        </w:rPr>
        <w:t>）付款</w:t>
      </w:r>
      <w:r>
        <w:rPr>
          <w:rFonts w:hint="eastAsia" w:asciiTheme="majorEastAsia" w:hAnsiTheme="majorEastAsia" w:eastAsiaTheme="majorEastAsia" w:cstheme="majorEastAsia"/>
          <w:color w:val="auto"/>
          <w:highlight w:val="none"/>
          <w:lang w:val="en-US" w:eastAsia="zh-CN"/>
        </w:rPr>
        <w:t>方式</w:t>
      </w:r>
      <w:r>
        <w:rPr>
          <w:rFonts w:hint="eastAsia" w:asciiTheme="majorEastAsia" w:hAnsiTheme="majorEastAsia" w:eastAsiaTheme="majorEastAsia" w:cstheme="majorEastAsia"/>
          <w:color w:val="auto"/>
          <w:highlight w:val="none"/>
          <w:lang w:val="zh-CN" w:eastAsia="zh-CN"/>
        </w:rPr>
        <w:t>：</w:t>
      </w:r>
    </w:p>
    <w:p w14:paraId="4E9D672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en-US" w:eastAsia="zh-CN"/>
        </w:rPr>
        <w:t>1.</w:t>
      </w:r>
      <w:r>
        <w:rPr>
          <w:rFonts w:hint="eastAsia" w:asciiTheme="majorEastAsia" w:hAnsiTheme="majorEastAsia" w:eastAsiaTheme="majorEastAsia" w:cstheme="majorEastAsia"/>
          <w:color w:val="auto"/>
          <w:highlight w:val="none"/>
          <w:lang w:val="zh-CN" w:eastAsia="zh-CN"/>
        </w:rPr>
        <w:t>合同签订后，甲方支付合同总价的</w:t>
      </w:r>
      <w:r>
        <w:rPr>
          <w:rFonts w:hint="eastAsia" w:asciiTheme="majorEastAsia" w:hAnsiTheme="majorEastAsia" w:eastAsiaTheme="majorEastAsia" w:cstheme="majorEastAsia"/>
          <w:color w:val="auto"/>
          <w:highlight w:val="none"/>
          <w:lang w:val="en-US" w:eastAsia="zh-CN"/>
        </w:rPr>
        <w:t>30</w:t>
      </w:r>
      <w:r>
        <w:rPr>
          <w:rFonts w:hint="eastAsia" w:asciiTheme="majorEastAsia" w:hAnsiTheme="majorEastAsia" w:eastAsiaTheme="majorEastAsia" w:cstheme="majorEastAsia"/>
          <w:color w:val="auto"/>
          <w:highlight w:val="none"/>
          <w:lang w:val="zh-CN" w:eastAsia="zh-CN"/>
        </w:rPr>
        <w:t>%作为预付款，乙方须提供相应的增值税发票；</w:t>
      </w:r>
    </w:p>
    <w:p w14:paraId="065E90F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en-US" w:eastAsia="zh-CN"/>
        </w:rPr>
        <w:t>2.</w:t>
      </w:r>
      <w:r>
        <w:rPr>
          <w:rFonts w:hint="eastAsia" w:asciiTheme="majorEastAsia" w:hAnsiTheme="majorEastAsia" w:eastAsiaTheme="majorEastAsia" w:cstheme="majorEastAsia"/>
          <w:color w:val="auto"/>
          <w:highlight w:val="none"/>
          <w:lang w:val="zh-CN" w:eastAsia="zh-CN"/>
        </w:rPr>
        <w:t>付款方式：剩余</w:t>
      </w:r>
      <w:r>
        <w:rPr>
          <w:rFonts w:hint="eastAsia" w:asciiTheme="majorEastAsia" w:hAnsiTheme="majorEastAsia" w:eastAsiaTheme="majorEastAsia" w:cstheme="majorEastAsia"/>
          <w:color w:val="auto"/>
          <w:highlight w:val="none"/>
          <w:lang w:val="en-US" w:eastAsia="zh-CN"/>
        </w:rPr>
        <w:t>7</w:t>
      </w:r>
      <w:r>
        <w:rPr>
          <w:rFonts w:hint="eastAsia" w:asciiTheme="majorEastAsia" w:hAnsiTheme="majorEastAsia" w:eastAsiaTheme="majorEastAsia" w:cstheme="majorEastAsia"/>
          <w:color w:val="auto"/>
          <w:highlight w:val="none"/>
          <w:lang w:val="zh-CN" w:eastAsia="zh-CN"/>
        </w:rPr>
        <w:t>0%的物业管理费的支付采用按月支付月月考核的方式，即甲方于次月15日前对上月的物业管理工作进行考核。</w:t>
      </w:r>
    </w:p>
    <w:p w14:paraId="387DD84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en-US" w:eastAsia="zh-CN"/>
        </w:rPr>
        <w:t>3.</w:t>
      </w:r>
      <w:r>
        <w:rPr>
          <w:rFonts w:hint="eastAsia" w:asciiTheme="majorEastAsia" w:hAnsiTheme="majorEastAsia" w:eastAsiaTheme="majorEastAsia" w:cstheme="majorEastAsia"/>
          <w:color w:val="auto"/>
          <w:highlight w:val="none"/>
          <w:lang w:val="zh-CN" w:eastAsia="zh-CN"/>
        </w:rPr>
        <w:t>付款周期：从次月起凭乙方开具的增值税发票和派驻人员工资发放签收表与甲方结算经考核合格后的上月物业管理费。</w:t>
      </w:r>
    </w:p>
    <w:p w14:paraId="166B808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zh-CN" w:eastAsia="zh-CN"/>
        </w:rPr>
        <w:t>如合同履行过程中连续有两个月考核不合格或累计三个月考核不合格，则甲方有权终止合同，且不予退还履约保证金，同时乙方承担违约责任，甲方重新选择新的物业管理服务企业。</w:t>
      </w:r>
    </w:p>
    <w:p w14:paraId="7806012C">
      <w:pPr>
        <w:pStyle w:val="9"/>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0" w:firstLineChars="0"/>
        <w:jc w:val="both"/>
        <w:textAlignment w:val="auto"/>
        <w:rPr>
          <w:rFonts w:hint="eastAsia" w:ascii="黑体" w:hAnsi="黑体" w:eastAsia="黑体" w:cs="黑体"/>
          <w:b/>
          <w:bCs/>
          <w:color w:val="auto"/>
          <w:highlight w:val="none"/>
          <w:lang w:val="en-US" w:eastAsia="zh-CN"/>
        </w:rPr>
      </w:pPr>
      <w:r>
        <w:rPr>
          <w:rFonts w:hint="eastAsia" w:ascii="黑体" w:hAnsi="黑体" w:eastAsia="黑体" w:cs="黑体"/>
          <w:b/>
          <w:bCs/>
          <w:color w:val="auto"/>
          <w:highlight w:val="none"/>
          <w:lang w:val="en-US" w:eastAsia="zh-CN"/>
        </w:rPr>
        <w:t>五、采购标的对应的中小企业划分标准所属行业一览表</w:t>
      </w:r>
    </w:p>
    <w:tbl>
      <w:tblPr>
        <w:tblStyle w:val="11"/>
        <w:tblW w:w="9024" w:type="dxa"/>
        <w:jc w:val="center"/>
        <w:tblCellSpacing w:w="0" w:type="dxa"/>
        <w:tblLayout w:type="fixed"/>
        <w:tblCellMar>
          <w:top w:w="0" w:type="dxa"/>
          <w:left w:w="108" w:type="dxa"/>
          <w:bottom w:w="0" w:type="dxa"/>
          <w:right w:w="108" w:type="dxa"/>
        </w:tblCellMar>
      </w:tblPr>
      <w:tblGrid>
        <w:gridCol w:w="749"/>
        <w:gridCol w:w="4350"/>
        <w:gridCol w:w="3925"/>
      </w:tblGrid>
      <w:tr w14:paraId="41F5A48F">
        <w:tblPrEx>
          <w:tblCellMar>
            <w:top w:w="0" w:type="dxa"/>
            <w:left w:w="108" w:type="dxa"/>
            <w:bottom w:w="0" w:type="dxa"/>
            <w:right w:w="108" w:type="dxa"/>
          </w:tblCellMar>
        </w:tblPrEx>
        <w:trPr>
          <w:tblCellSpacing w:w="0" w:type="dxa"/>
          <w:jc w:val="center"/>
        </w:trPr>
        <w:tc>
          <w:tcPr>
            <w:tcW w:w="7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A0AB34">
            <w:pPr>
              <w:pStyle w:val="9"/>
              <w:keepNext w:val="0"/>
              <w:keepLines w:val="0"/>
              <w:pageBreakBefore w:val="0"/>
              <w:kinsoku/>
              <w:wordWrap/>
              <w:overflowPunct/>
              <w:topLinePunct w:val="0"/>
              <w:autoSpaceDE/>
              <w:autoSpaceDN/>
              <w:bidi w:val="0"/>
              <w:adjustRightInd/>
              <w:snapToGrid/>
              <w:spacing w:beforeAutospacing="0" w:afterAutospacing="0" w:line="560" w:lineRule="exact"/>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4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56D7D5">
            <w:pPr>
              <w:pStyle w:val="9"/>
              <w:keepNext w:val="0"/>
              <w:keepLines w:val="0"/>
              <w:pageBreakBefore w:val="0"/>
              <w:kinsoku/>
              <w:wordWrap/>
              <w:overflowPunct/>
              <w:topLinePunct w:val="0"/>
              <w:autoSpaceDE/>
              <w:autoSpaceDN/>
              <w:bidi w:val="0"/>
              <w:adjustRightInd/>
              <w:snapToGrid/>
              <w:spacing w:beforeAutospacing="0" w:afterAutospacing="0" w:line="560" w:lineRule="exact"/>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采购标的</w:t>
            </w:r>
          </w:p>
        </w:tc>
        <w:tc>
          <w:tcPr>
            <w:tcW w:w="39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CBB639">
            <w:pPr>
              <w:pStyle w:val="9"/>
              <w:keepNext w:val="0"/>
              <w:keepLines w:val="0"/>
              <w:pageBreakBefore w:val="0"/>
              <w:kinsoku/>
              <w:wordWrap/>
              <w:overflowPunct/>
              <w:topLinePunct w:val="0"/>
              <w:autoSpaceDE/>
              <w:autoSpaceDN/>
              <w:bidi w:val="0"/>
              <w:adjustRightInd/>
              <w:snapToGrid/>
              <w:spacing w:beforeAutospacing="0" w:afterAutospacing="0" w:line="560" w:lineRule="exact"/>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对应中小企业划分标准所属行业</w:t>
            </w:r>
          </w:p>
        </w:tc>
      </w:tr>
      <w:tr w14:paraId="7AF3138B">
        <w:tblPrEx>
          <w:tblCellMar>
            <w:top w:w="0" w:type="dxa"/>
            <w:left w:w="108" w:type="dxa"/>
            <w:bottom w:w="0" w:type="dxa"/>
            <w:right w:w="108" w:type="dxa"/>
          </w:tblCellMar>
        </w:tblPrEx>
        <w:trPr>
          <w:trHeight w:val="291" w:hRule="atLeast"/>
          <w:tblCellSpacing w:w="0" w:type="dxa"/>
          <w:jc w:val="center"/>
        </w:trPr>
        <w:tc>
          <w:tcPr>
            <w:tcW w:w="7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7BD37B">
            <w:pPr>
              <w:pStyle w:val="9"/>
              <w:keepNext w:val="0"/>
              <w:keepLines w:val="0"/>
              <w:pageBreakBefore w:val="0"/>
              <w:kinsoku/>
              <w:wordWrap/>
              <w:overflowPunct/>
              <w:topLinePunct w:val="0"/>
              <w:autoSpaceDE/>
              <w:autoSpaceDN/>
              <w:bidi w:val="0"/>
              <w:adjustRightInd/>
              <w:snapToGrid/>
              <w:spacing w:beforeAutospacing="0" w:afterAutospacing="0" w:line="560" w:lineRule="exact"/>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4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EB4B04">
            <w:pPr>
              <w:pStyle w:val="9"/>
              <w:keepNext w:val="0"/>
              <w:keepLines w:val="0"/>
              <w:pageBreakBefore w:val="0"/>
              <w:kinsoku/>
              <w:wordWrap/>
              <w:overflowPunct/>
              <w:topLinePunct w:val="0"/>
              <w:autoSpaceDE/>
              <w:autoSpaceDN/>
              <w:bidi w:val="0"/>
              <w:adjustRightInd/>
              <w:snapToGrid/>
              <w:spacing w:beforeAutospacing="0" w:afterAutospacing="0" w:line="560" w:lineRule="exact"/>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2026年盐城市亭湖区中小学素质教育实践中心物业服务采购项目</w:t>
            </w:r>
          </w:p>
        </w:tc>
        <w:tc>
          <w:tcPr>
            <w:tcW w:w="39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EB3966">
            <w:pPr>
              <w:pStyle w:val="9"/>
              <w:keepNext w:val="0"/>
              <w:keepLines w:val="0"/>
              <w:pageBreakBefore w:val="0"/>
              <w:kinsoku/>
              <w:wordWrap/>
              <w:overflowPunct/>
              <w:topLinePunct w:val="0"/>
              <w:autoSpaceDE/>
              <w:autoSpaceDN/>
              <w:bidi w:val="0"/>
              <w:adjustRightInd/>
              <w:snapToGrid/>
              <w:spacing w:beforeAutospacing="0" w:afterAutospacing="0" w:line="560" w:lineRule="exact"/>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物业管理</w:t>
            </w:r>
          </w:p>
        </w:tc>
      </w:tr>
    </w:tbl>
    <w:p w14:paraId="0ECB5627">
      <w:pPr>
        <w:pStyle w:val="9"/>
        <w:spacing w:beforeAutospacing="0" w:afterAutospacing="0"/>
        <w:jc w:val="both"/>
        <w:rPr>
          <w:rFonts w:hint="eastAsia" w:ascii="宋体" w:hAnsi="宋体" w:eastAsia="宋体" w:cs="宋体"/>
          <w:color w:val="auto"/>
          <w:sz w:val="24"/>
          <w:szCs w:val="24"/>
          <w:highlight w:val="none"/>
        </w:rPr>
      </w:pPr>
    </w:p>
    <w:p w14:paraId="7F795B56">
      <w:pPr>
        <w:pStyle w:val="9"/>
        <w:spacing w:beforeAutospacing="0" w:afterAutospacing="0"/>
        <w:jc w:val="both"/>
        <w:rPr>
          <w:rFonts w:hint="eastAsia" w:ascii="宋体" w:hAnsi="宋体" w:eastAsia="宋体" w:cs="宋体"/>
          <w:color w:val="auto"/>
          <w:sz w:val="24"/>
          <w:szCs w:val="24"/>
          <w:highlight w:val="none"/>
        </w:rPr>
      </w:pPr>
    </w:p>
    <w:p w14:paraId="7F9C3D07">
      <w:pPr>
        <w:pStyle w:val="9"/>
        <w:spacing w:beforeAutospacing="0" w:afterAutospacing="0"/>
        <w:jc w:val="both"/>
        <w:rPr>
          <w:rFonts w:hint="eastAsia" w:ascii="宋体" w:hAnsi="宋体" w:eastAsia="宋体" w:cs="宋体"/>
          <w:color w:val="auto"/>
          <w:sz w:val="24"/>
          <w:szCs w:val="24"/>
          <w:highlight w:val="none"/>
        </w:rPr>
      </w:pPr>
    </w:p>
    <w:p w14:paraId="040FE7D6">
      <w:pPr>
        <w:pStyle w:val="9"/>
        <w:spacing w:beforeAutospacing="0" w:afterAutospacing="0"/>
        <w:jc w:val="both"/>
        <w:rPr>
          <w:rFonts w:hint="eastAsia" w:ascii="宋体" w:hAnsi="宋体" w:eastAsia="宋体" w:cs="宋体"/>
          <w:color w:val="auto"/>
          <w:sz w:val="24"/>
          <w:szCs w:val="24"/>
          <w:highlight w:val="none"/>
        </w:rPr>
      </w:pPr>
    </w:p>
    <w:p w14:paraId="5303A81B">
      <w:pPr>
        <w:pStyle w:val="9"/>
        <w:spacing w:beforeAutospacing="0" w:afterAutospacing="0"/>
        <w:jc w:val="both"/>
        <w:rPr>
          <w:rFonts w:hint="eastAsia" w:ascii="宋体" w:hAnsi="宋体" w:eastAsia="宋体" w:cs="宋体"/>
          <w:color w:val="auto"/>
          <w:sz w:val="24"/>
          <w:szCs w:val="24"/>
          <w:highlight w:val="none"/>
        </w:rPr>
      </w:pPr>
    </w:p>
    <w:p w14:paraId="6BFC5876">
      <w:pPr>
        <w:pStyle w:val="9"/>
        <w:spacing w:beforeAutospacing="0" w:afterAutospacing="0"/>
        <w:jc w:val="both"/>
        <w:rPr>
          <w:rFonts w:hint="eastAsia" w:ascii="宋体" w:hAnsi="宋体" w:eastAsia="宋体" w:cs="宋体"/>
          <w:color w:val="auto"/>
          <w:sz w:val="24"/>
          <w:szCs w:val="24"/>
          <w:highlight w:val="none"/>
        </w:rPr>
      </w:pPr>
    </w:p>
    <w:p w14:paraId="6BA0879A">
      <w:pPr>
        <w:pStyle w:val="9"/>
        <w:spacing w:beforeAutospacing="0" w:afterAutospacing="0"/>
        <w:jc w:val="both"/>
        <w:rPr>
          <w:rFonts w:hint="eastAsia" w:ascii="宋体" w:hAnsi="宋体" w:eastAsia="宋体" w:cs="宋体"/>
          <w:color w:val="auto"/>
          <w:sz w:val="24"/>
          <w:szCs w:val="24"/>
          <w:highlight w:val="none"/>
        </w:rPr>
      </w:pPr>
    </w:p>
    <w:p w14:paraId="4A797C55">
      <w:pPr>
        <w:pStyle w:val="9"/>
        <w:spacing w:beforeAutospacing="0" w:afterAutospacing="0"/>
        <w:jc w:val="both"/>
        <w:rPr>
          <w:rFonts w:hint="eastAsia" w:ascii="宋体" w:hAnsi="宋体" w:eastAsia="宋体" w:cs="宋体"/>
          <w:color w:val="auto"/>
          <w:sz w:val="24"/>
          <w:szCs w:val="24"/>
          <w:highlight w:val="none"/>
        </w:rPr>
      </w:pPr>
    </w:p>
    <w:p w14:paraId="1927D7F0">
      <w:pPr>
        <w:pStyle w:val="9"/>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87A2118">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B6ABA2C">
      <w:pPr>
        <w:pStyle w:val="9"/>
        <w:spacing w:beforeAutospacing="0" w:afterAutospacing="0"/>
        <w:ind w:firstLine="60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581EFC5">
      <w:pPr>
        <w:pStyle w:val="9"/>
        <w:spacing w:beforeAutospacing="0" w:afterAutospacing="0"/>
        <w:ind w:firstLine="602"/>
        <w:jc w:val="both"/>
        <w:rPr>
          <w:rFonts w:hint="eastAsia" w:ascii="宋体" w:hAnsi="宋体" w:eastAsia="宋体" w:cs="宋体"/>
          <w:color w:val="auto"/>
          <w:sz w:val="24"/>
          <w:szCs w:val="24"/>
          <w:highlight w:val="none"/>
        </w:rPr>
      </w:pPr>
    </w:p>
    <w:p w14:paraId="1547B08F">
      <w:pPr>
        <w:pStyle w:val="9"/>
        <w:spacing w:beforeAutospacing="0" w:afterAutospacing="0"/>
        <w:ind w:firstLine="602"/>
        <w:jc w:val="both"/>
        <w:rPr>
          <w:rFonts w:hint="eastAsia" w:ascii="宋体" w:hAnsi="宋体" w:eastAsia="宋体" w:cs="宋体"/>
          <w:color w:val="auto"/>
          <w:sz w:val="24"/>
          <w:szCs w:val="24"/>
          <w:highlight w:val="none"/>
        </w:rPr>
      </w:pPr>
    </w:p>
    <w:p w14:paraId="5C57B239">
      <w:pPr>
        <w:pStyle w:val="9"/>
        <w:spacing w:beforeAutospacing="0" w:afterAutospacing="0"/>
        <w:ind w:firstLine="602"/>
        <w:jc w:val="both"/>
        <w:rPr>
          <w:rFonts w:hint="eastAsia" w:ascii="宋体" w:hAnsi="宋体" w:eastAsia="宋体" w:cs="宋体"/>
          <w:color w:val="auto"/>
          <w:sz w:val="24"/>
          <w:szCs w:val="24"/>
          <w:highlight w:val="none"/>
        </w:rPr>
      </w:pPr>
    </w:p>
    <w:p w14:paraId="5C84EE5F">
      <w:pPr>
        <w:pStyle w:val="9"/>
        <w:spacing w:beforeAutospacing="0" w:afterAutospacing="0"/>
        <w:ind w:firstLine="602"/>
        <w:jc w:val="both"/>
        <w:rPr>
          <w:rFonts w:hint="eastAsia" w:ascii="宋体" w:hAnsi="宋体" w:eastAsia="宋体" w:cs="宋体"/>
          <w:color w:val="auto"/>
          <w:sz w:val="24"/>
          <w:szCs w:val="24"/>
          <w:highlight w:val="none"/>
        </w:rPr>
      </w:pPr>
    </w:p>
    <w:p w14:paraId="42A789C8">
      <w:pPr>
        <w:pStyle w:val="9"/>
        <w:spacing w:beforeAutospacing="0" w:afterAutospacing="0"/>
        <w:ind w:firstLine="602"/>
        <w:jc w:val="both"/>
        <w:rPr>
          <w:rFonts w:hint="eastAsia" w:ascii="宋体" w:hAnsi="宋体" w:eastAsia="宋体" w:cs="宋体"/>
          <w:color w:val="auto"/>
          <w:sz w:val="24"/>
          <w:szCs w:val="24"/>
          <w:highlight w:val="none"/>
        </w:rPr>
      </w:pPr>
    </w:p>
    <w:p w14:paraId="263EB6C0">
      <w:pPr>
        <w:pStyle w:val="9"/>
        <w:spacing w:beforeAutospacing="0" w:afterAutospacing="0"/>
        <w:ind w:firstLine="602"/>
        <w:jc w:val="both"/>
        <w:rPr>
          <w:rFonts w:hint="eastAsia" w:ascii="宋体" w:hAnsi="宋体" w:eastAsia="宋体" w:cs="宋体"/>
          <w:color w:val="auto"/>
          <w:sz w:val="24"/>
          <w:szCs w:val="24"/>
          <w:highlight w:val="none"/>
        </w:rPr>
      </w:pPr>
    </w:p>
    <w:p w14:paraId="0C6B2D0D">
      <w:pPr>
        <w:pStyle w:val="9"/>
        <w:spacing w:beforeAutospacing="0" w:afterAutospacing="0"/>
        <w:ind w:firstLine="602"/>
        <w:jc w:val="both"/>
        <w:rPr>
          <w:rFonts w:hint="eastAsia" w:ascii="宋体" w:hAnsi="宋体" w:eastAsia="宋体" w:cs="宋体"/>
          <w:color w:val="auto"/>
          <w:sz w:val="24"/>
          <w:szCs w:val="24"/>
          <w:highlight w:val="none"/>
        </w:rPr>
      </w:pPr>
    </w:p>
    <w:p w14:paraId="6FA20B13">
      <w:pPr>
        <w:pStyle w:val="9"/>
        <w:spacing w:beforeAutospacing="0" w:afterAutospacing="0"/>
        <w:ind w:firstLine="602"/>
        <w:jc w:val="both"/>
        <w:rPr>
          <w:rFonts w:hint="eastAsia" w:ascii="宋体" w:hAnsi="宋体" w:eastAsia="宋体" w:cs="宋体"/>
          <w:color w:val="auto"/>
          <w:sz w:val="24"/>
          <w:szCs w:val="24"/>
          <w:highlight w:val="none"/>
        </w:rPr>
      </w:pPr>
    </w:p>
    <w:p w14:paraId="67A41F74">
      <w:pPr>
        <w:pStyle w:val="9"/>
        <w:spacing w:beforeAutospacing="0" w:afterAutospacing="0"/>
        <w:ind w:firstLine="602"/>
        <w:jc w:val="both"/>
        <w:rPr>
          <w:rFonts w:hint="eastAsia" w:ascii="宋体" w:hAnsi="宋体" w:eastAsia="宋体" w:cs="宋体"/>
          <w:color w:val="auto"/>
          <w:sz w:val="24"/>
          <w:szCs w:val="24"/>
          <w:highlight w:val="none"/>
        </w:rPr>
      </w:pPr>
    </w:p>
    <w:p w14:paraId="4A78C3FA">
      <w:pPr>
        <w:pStyle w:val="9"/>
        <w:spacing w:beforeAutospacing="0" w:afterAutospacing="0"/>
        <w:ind w:firstLine="602"/>
        <w:jc w:val="both"/>
        <w:rPr>
          <w:rFonts w:hint="eastAsia" w:ascii="宋体" w:hAnsi="宋体" w:eastAsia="宋体" w:cs="宋体"/>
          <w:color w:val="auto"/>
          <w:sz w:val="24"/>
          <w:szCs w:val="24"/>
          <w:highlight w:val="none"/>
        </w:rPr>
      </w:pPr>
    </w:p>
    <w:p w14:paraId="10CEEC6F">
      <w:pPr>
        <w:pStyle w:val="9"/>
        <w:spacing w:beforeAutospacing="0" w:afterAutospacing="0"/>
        <w:ind w:firstLine="602"/>
        <w:jc w:val="both"/>
        <w:rPr>
          <w:rFonts w:hint="eastAsia" w:ascii="宋体" w:hAnsi="宋体" w:eastAsia="宋体" w:cs="宋体"/>
          <w:color w:val="auto"/>
          <w:sz w:val="24"/>
          <w:szCs w:val="24"/>
          <w:highlight w:val="none"/>
        </w:rPr>
      </w:pPr>
    </w:p>
    <w:p w14:paraId="70822DA4">
      <w:pPr>
        <w:pStyle w:val="9"/>
        <w:spacing w:beforeAutospacing="0" w:afterAutospacing="0"/>
        <w:ind w:firstLine="602"/>
        <w:jc w:val="both"/>
        <w:rPr>
          <w:rFonts w:hint="eastAsia" w:ascii="宋体" w:hAnsi="宋体" w:eastAsia="宋体" w:cs="宋体"/>
          <w:color w:val="auto"/>
          <w:sz w:val="24"/>
          <w:szCs w:val="24"/>
          <w:highlight w:val="none"/>
        </w:rPr>
      </w:pPr>
    </w:p>
    <w:p w14:paraId="7C74A19D">
      <w:pPr>
        <w:pStyle w:val="9"/>
        <w:spacing w:beforeAutospacing="0" w:afterAutospacing="0"/>
        <w:ind w:firstLine="602"/>
        <w:jc w:val="both"/>
        <w:rPr>
          <w:rFonts w:hint="eastAsia" w:ascii="宋体" w:hAnsi="宋体" w:eastAsia="宋体" w:cs="宋体"/>
          <w:color w:val="auto"/>
          <w:sz w:val="24"/>
          <w:szCs w:val="24"/>
          <w:highlight w:val="none"/>
        </w:rPr>
      </w:pPr>
    </w:p>
    <w:p w14:paraId="350BDDEE">
      <w:pPr>
        <w:pStyle w:val="9"/>
        <w:spacing w:beforeAutospacing="0" w:afterAutospacing="0"/>
        <w:ind w:firstLine="602"/>
        <w:jc w:val="both"/>
        <w:rPr>
          <w:rFonts w:hint="eastAsia" w:ascii="宋体" w:hAnsi="宋体" w:eastAsia="宋体" w:cs="宋体"/>
          <w:color w:val="auto"/>
          <w:sz w:val="24"/>
          <w:szCs w:val="24"/>
          <w:highlight w:val="none"/>
        </w:rPr>
      </w:pPr>
    </w:p>
    <w:p w14:paraId="08608A83">
      <w:pPr>
        <w:pStyle w:val="9"/>
        <w:spacing w:beforeAutospacing="0" w:afterAutospacing="0"/>
        <w:ind w:firstLine="602"/>
        <w:jc w:val="both"/>
        <w:rPr>
          <w:rFonts w:hint="eastAsia" w:ascii="宋体" w:hAnsi="宋体" w:eastAsia="宋体" w:cs="宋体"/>
          <w:color w:val="auto"/>
          <w:sz w:val="24"/>
          <w:szCs w:val="24"/>
          <w:highlight w:val="none"/>
        </w:rPr>
      </w:pPr>
    </w:p>
    <w:p w14:paraId="5EEF501E">
      <w:pPr>
        <w:pStyle w:val="9"/>
        <w:spacing w:beforeAutospacing="0" w:afterAutospacing="0"/>
        <w:ind w:firstLine="602"/>
        <w:jc w:val="both"/>
        <w:rPr>
          <w:rFonts w:hint="eastAsia" w:ascii="宋体" w:hAnsi="宋体" w:eastAsia="宋体" w:cs="宋体"/>
          <w:color w:val="auto"/>
          <w:sz w:val="24"/>
          <w:szCs w:val="24"/>
          <w:highlight w:val="none"/>
        </w:rPr>
      </w:pPr>
    </w:p>
    <w:p w14:paraId="01B9FAA3">
      <w:pPr>
        <w:pStyle w:val="9"/>
        <w:spacing w:beforeAutospacing="0" w:afterAutospacing="0"/>
        <w:ind w:firstLine="602"/>
        <w:jc w:val="both"/>
        <w:rPr>
          <w:rFonts w:hint="eastAsia" w:ascii="宋体" w:hAnsi="宋体" w:eastAsia="宋体" w:cs="宋体"/>
          <w:color w:val="auto"/>
          <w:sz w:val="24"/>
          <w:szCs w:val="24"/>
          <w:highlight w:val="none"/>
        </w:rPr>
      </w:pPr>
    </w:p>
    <w:p w14:paraId="6BC90E99">
      <w:pPr>
        <w:pStyle w:val="9"/>
        <w:spacing w:beforeAutospacing="0" w:afterAutospacing="0"/>
        <w:ind w:firstLine="602"/>
        <w:jc w:val="both"/>
        <w:rPr>
          <w:rFonts w:hint="eastAsia" w:ascii="宋体" w:hAnsi="宋体" w:eastAsia="宋体" w:cs="宋体"/>
          <w:color w:val="auto"/>
          <w:sz w:val="24"/>
          <w:szCs w:val="24"/>
          <w:highlight w:val="none"/>
        </w:rPr>
      </w:pPr>
    </w:p>
    <w:p w14:paraId="29CE4D4B">
      <w:pPr>
        <w:pStyle w:val="9"/>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2D08BA0">
      <w:pPr>
        <w:pStyle w:val="9"/>
        <w:tabs>
          <w:tab w:val="left" w:pos="6205"/>
        </w:tabs>
        <w:spacing w:beforeAutospacing="0" w:afterAutospacing="0"/>
        <w:jc w:val="both"/>
        <w:rPr>
          <w:color w:val="auto"/>
          <w:highlight w:val="none"/>
        </w:rPr>
      </w:pPr>
      <w:r>
        <w:rPr>
          <w:color w:val="auto"/>
          <w:highlight w:val="none"/>
        </w:rPr>
        <w:t> </w:t>
      </w:r>
    </w:p>
    <w:p w14:paraId="46D17225">
      <w:pPr>
        <w:pStyle w:val="9"/>
        <w:keepNext/>
        <w:spacing w:beforeAutospacing="0" w:afterAutospacing="0"/>
        <w:jc w:val="center"/>
        <w:rPr>
          <w:color w:val="auto"/>
          <w:highlight w:val="none"/>
        </w:rPr>
      </w:pPr>
      <w:bookmarkStart w:id="180" w:name="_Toc120614281"/>
      <w:r>
        <w:rPr>
          <w:color w:val="auto"/>
          <w:highlight w:val="none"/>
        </w:rPr>
        <w:t> </w:t>
      </w:r>
    </w:p>
    <w:p w14:paraId="0773B51B">
      <w:pPr>
        <w:pStyle w:val="9"/>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0441FD14">
      <w:pPr>
        <w:pStyle w:val="9"/>
        <w:spacing w:beforeAutospacing="0" w:afterAutospacing="0"/>
        <w:jc w:val="both"/>
        <w:rPr>
          <w:color w:val="auto"/>
          <w:highlight w:val="none"/>
        </w:rPr>
      </w:pPr>
      <w:r>
        <w:rPr>
          <w:color w:val="auto"/>
          <w:highlight w:val="none"/>
        </w:rPr>
        <w:t> </w:t>
      </w:r>
    </w:p>
    <w:p w14:paraId="668FEA9F">
      <w:pPr>
        <w:keepNext w:val="0"/>
        <w:keepLines w:val="0"/>
        <w:pageBreakBefore w:val="0"/>
        <w:widowControl w:val="0"/>
        <w:kinsoku/>
        <w:wordWrap/>
        <w:overflowPunct/>
        <w:topLinePunct w:val="0"/>
        <w:autoSpaceDE/>
        <w:autoSpaceDN/>
        <w:bidi w:val="0"/>
        <w:snapToGrid w:val="0"/>
        <w:spacing w:line="48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2C328EAE">
      <w:pPr>
        <w:keepNext w:val="0"/>
        <w:keepLines w:val="0"/>
        <w:pageBreakBefore w:val="0"/>
        <w:widowControl w:val="0"/>
        <w:kinsoku/>
        <w:wordWrap/>
        <w:overflowPunct/>
        <w:topLinePunct w:val="0"/>
        <w:autoSpaceDE/>
        <w:autoSpaceDN/>
        <w:bidi w:val="0"/>
        <w:snapToGrid w:val="0"/>
        <w:spacing w:line="48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法。</w:t>
      </w:r>
      <w:r>
        <w:rPr>
          <w:rFonts w:hint="eastAsia" w:ascii="宋体" w:hAnsi="宋体" w:eastAsia="宋体" w:cs="宋体"/>
          <w:color w:val="auto"/>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auto"/>
          <w:kern w:val="0"/>
          <w:sz w:val="24"/>
          <w:szCs w:val="24"/>
          <w:highlight w:val="none"/>
          <w:lang w:val="en-US" w:eastAsia="zh-CN"/>
        </w:rPr>
        <w:t>并列</w:t>
      </w:r>
      <w:r>
        <w:rPr>
          <w:rFonts w:hint="eastAsia" w:ascii="宋体" w:hAnsi="宋体" w:eastAsia="宋体" w:cs="宋体"/>
          <w:color w:val="auto"/>
          <w:kern w:val="0"/>
          <w:sz w:val="24"/>
          <w:szCs w:val="24"/>
          <w:highlight w:val="none"/>
        </w:rPr>
        <w:t>。投标文件满足招标文件全部实质性要求，且按照评审因素的量化指标评审得分最高的投标人为排名第一的中标候选人，本项目选取1名中标候选人。</w:t>
      </w:r>
    </w:p>
    <w:p w14:paraId="4EC1E62B">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41"/>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政府采购政策功能落实</w:t>
      </w:r>
    </w:p>
    <w:p w14:paraId="23659DA2">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1、小微型企业价格扣除</w:t>
      </w:r>
    </w:p>
    <w:p w14:paraId="66CC1C77">
      <w:pPr>
        <w:widowControl/>
        <w:spacing w:line="560" w:lineRule="exact"/>
        <w:ind w:firstLine="480"/>
        <w:rPr>
          <w:rFonts w:hint="eastAsia" w:ascii="宋体" w:hAnsi="宋体" w:eastAsia="宋体" w:cs="宋体"/>
          <w:color w:val="auto"/>
          <w:sz w:val="24"/>
          <w:szCs w:val="24"/>
          <w:highlight w:val="none"/>
        </w:rPr>
      </w:pPr>
      <w:r>
        <w:rPr>
          <w:rFonts w:hint="eastAsia"/>
          <w:color w:val="auto"/>
          <w:sz w:val="24"/>
          <w:szCs w:val="20"/>
          <w:highlight w:val="none"/>
          <w:lang w:val="zh-CN"/>
        </w:rPr>
        <w:t>（1）本项目专门面向中小企业采购，不再对小型和微型企业报价给予价格扣除。</w:t>
      </w:r>
    </w:p>
    <w:p w14:paraId="42118AE1">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企业声明函》。</w:t>
      </w:r>
    </w:p>
    <w:p w14:paraId="069D4F85">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）文件规定自行填写。</w:t>
      </w:r>
    </w:p>
    <w:p w14:paraId="329AC7FB">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2、残疾人福利单位价格扣除</w:t>
      </w:r>
    </w:p>
    <w:p w14:paraId="3434C38C">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left="120" w:firstLine="36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（1）</w:t>
      </w:r>
      <w:r>
        <w:rPr>
          <w:rFonts w:hint="eastAsia"/>
          <w:color w:val="auto"/>
          <w:sz w:val="24"/>
          <w:szCs w:val="20"/>
          <w:highlight w:val="none"/>
          <w:lang w:val="zh-CN"/>
        </w:rPr>
        <w:t>本项目对残疾人福利性单位视同小型、微型企业。</w:t>
      </w:r>
    </w:p>
    <w:p w14:paraId="69FA3DB2">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left="120"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5E54A699">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left="120"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7A67EB9E">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3、监狱和戒毒企业价格扣除</w:t>
      </w:r>
    </w:p>
    <w:p w14:paraId="42E8D544">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left="120" w:firstLine="36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w:t>
      </w:r>
      <w:r>
        <w:rPr>
          <w:rFonts w:hint="eastAsia"/>
          <w:color w:val="auto"/>
          <w:sz w:val="24"/>
          <w:szCs w:val="20"/>
          <w:highlight w:val="none"/>
          <w:lang w:val="zh-CN"/>
        </w:rPr>
        <w:t>本项目对监狱和戒毒企业（简称监狱企业）视同小型、微型企业。</w:t>
      </w:r>
    </w:p>
    <w:p w14:paraId="4A5BBA61">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5C1F01E3">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（3）监狱企业标准请参照《关于政府采购支持监狱企业发展有关问题的通知》（财库[2014]68号）。</w:t>
      </w:r>
    </w:p>
    <w:p w14:paraId="6A52BBC8">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4、残疾人福利单位、监狱企业属于小型、微型企业的，不重复享受政策。</w:t>
      </w:r>
    </w:p>
    <w:p w14:paraId="6C5BE541">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6%</w:t>
      </w:r>
      <w:r>
        <w:rPr>
          <w:rFonts w:hint="eastAsia" w:ascii="宋体" w:hAnsi="宋体" w:eastAsia="宋体" w:cs="宋体"/>
          <w:color w:val="auto"/>
          <w:sz w:val="24"/>
          <w:szCs w:val="24"/>
          <w:highlight w:val="none"/>
        </w:rPr>
        <w:t>的价格扣除，用扣除后的价格参与评审。</w:t>
      </w:r>
    </w:p>
    <w:p w14:paraId="3FDC89E6">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19C8C68F">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评标方法与评标标准</w:t>
      </w:r>
    </w:p>
    <w:p w14:paraId="3376923F">
      <w:pPr>
        <w:pStyle w:val="9"/>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bCs/>
          <w:color w:val="auto"/>
          <w:highlight w:val="none"/>
        </w:rPr>
        <w:t> 本项目评分总分值为100分。</w:t>
      </w:r>
    </w:p>
    <w:tbl>
      <w:tblPr>
        <w:tblStyle w:val="11"/>
        <w:tblW w:w="9207" w:type="dxa"/>
        <w:jc w:val="center"/>
        <w:tblLayout w:type="fixed"/>
        <w:tblCellMar>
          <w:top w:w="0" w:type="dxa"/>
          <w:left w:w="108" w:type="dxa"/>
          <w:bottom w:w="0" w:type="dxa"/>
          <w:right w:w="108" w:type="dxa"/>
        </w:tblCellMar>
      </w:tblPr>
      <w:tblGrid>
        <w:gridCol w:w="1233"/>
        <w:gridCol w:w="1580"/>
        <w:gridCol w:w="6394"/>
      </w:tblGrid>
      <w:tr w14:paraId="17D98E77">
        <w:tblPrEx>
          <w:tblCellMar>
            <w:top w:w="0" w:type="dxa"/>
            <w:left w:w="108" w:type="dxa"/>
            <w:bottom w:w="0" w:type="dxa"/>
            <w:right w:w="108" w:type="dxa"/>
          </w:tblCellMar>
        </w:tblPrEx>
        <w:trPr>
          <w:trHeight w:val="23" w:hRule="atLeast"/>
          <w:tblHeader/>
          <w:jc w:val="center"/>
        </w:trPr>
        <w:tc>
          <w:tcPr>
            <w:tcW w:w="1233" w:type="dxa"/>
            <w:tcBorders>
              <w:top w:val="single" w:color="auto" w:sz="4" w:space="0"/>
              <w:left w:val="single" w:color="auto" w:sz="4" w:space="0"/>
              <w:bottom w:val="single" w:color="auto" w:sz="4" w:space="0"/>
              <w:right w:val="single" w:color="auto" w:sz="4" w:space="0"/>
            </w:tcBorders>
            <w:noWrap w:val="0"/>
            <w:vAlign w:val="center"/>
          </w:tcPr>
          <w:p w14:paraId="47954249">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评分项</w:t>
            </w:r>
          </w:p>
        </w:tc>
        <w:tc>
          <w:tcPr>
            <w:tcW w:w="1580" w:type="dxa"/>
            <w:tcBorders>
              <w:top w:val="single" w:color="auto" w:sz="4" w:space="0"/>
              <w:left w:val="single" w:color="auto" w:sz="4" w:space="0"/>
              <w:bottom w:val="single" w:color="auto" w:sz="4" w:space="0"/>
              <w:right w:val="single" w:color="auto" w:sz="4" w:space="0"/>
            </w:tcBorders>
            <w:noWrap w:val="0"/>
            <w:vAlign w:val="center"/>
          </w:tcPr>
          <w:p w14:paraId="1FABDAD8">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分值设定</w:t>
            </w:r>
          </w:p>
        </w:tc>
        <w:tc>
          <w:tcPr>
            <w:tcW w:w="6394" w:type="dxa"/>
            <w:tcBorders>
              <w:top w:val="single" w:color="auto" w:sz="4" w:space="0"/>
              <w:left w:val="single" w:color="auto" w:sz="4" w:space="0"/>
              <w:bottom w:val="single" w:color="auto" w:sz="4" w:space="0"/>
              <w:right w:val="single" w:color="auto" w:sz="4" w:space="0"/>
            </w:tcBorders>
            <w:noWrap w:val="0"/>
            <w:vAlign w:val="center"/>
          </w:tcPr>
          <w:p w14:paraId="2FB7EDDB">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评分标准及细则</w:t>
            </w:r>
          </w:p>
        </w:tc>
      </w:tr>
      <w:tr w14:paraId="5217ED8A">
        <w:tblPrEx>
          <w:tblCellMar>
            <w:top w:w="0" w:type="dxa"/>
            <w:left w:w="108" w:type="dxa"/>
            <w:bottom w:w="0" w:type="dxa"/>
            <w:right w:w="108" w:type="dxa"/>
          </w:tblCellMar>
        </w:tblPrEx>
        <w:trPr>
          <w:trHeight w:val="23" w:hRule="atLeast"/>
          <w:tblHeader/>
          <w:jc w:val="center"/>
        </w:trPr>
        <w:tc>
          <w:tcPr>
            <w:tcW w:w="1233" w:type="dxa"/>
            <w:tcBorders>
              <w:top w:val="single" w:color="auto" w:sz="4" w:space="0"/>
              <w:left w:val="single" w:color="auto" w:sz="4" w:space="0"/>
              <w:bottom w:val="single" w:color="auto" w:sz="4" w:space="0"/>
              <w:right w:val="single" w:color="auto" w:sz="4" w:space="0"/>
            </w:tcBorders>
            <w:noWrap w:val="0"/>
            <w:vAlign w:val="center"/>
          </w:tcPr>
          <w:p w14:paraId="52428CE4">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p w14:paraId="49BC1CEC">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分）</w:t>
            </w:r>
          </w:p>
        </w:tc>
        <w:tc>
          <w:tcPr>
            <w:tcW w:w="1580" w:type="dxa"/>
            <w:tcBorders>
              <w:top w:val="single" w:color="auto" w:sz="4" w:space="0"/>
              <w:left w:val="single" w:color="auto" w:sz="4" w:space="0"/>
              <w:bottom w:val="single" w:color="auto" w:sz="4" w:space="0"/>
              <w:right w:val="single" w:color="auto" w:sz="4" w:space="0"/>
            </w:tcBorders>
            <w:noWrap w:val="0"/>
            <w:vAlign w:val="center"/>
          </w:tcPr>
          <w:p w14:paraId="76BE227F">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p w14:paraId="0699FCDA">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6394" w:type="dxa"/>
            <w:tcBorders>
              <w:top w:val="single" w:color="auto" w:sz="4" w:space="0"/>
              <w:left w:val="single" w:color="auto" w:sz="4" w:space="0"/>
              <w:bottom w:val="single" w:color="auto" w:sz="4" w:space="0"/>
              <w:right w:val="single" w:color="auto" w:sz="4" w:space="0"/>
            </w:tcBorders>
            <w:noWrap w:val="0"/>
            <w:vAlign w:val="center"/>
          </w:tcPr>
          <w:p w14:paraId="258978F4">
            <w:pPr>
              <w:pBdr>
                <w:top w:val="none" w:color="000000" w:sz="0" w:space="0"/>
                <w:left w:val="none" w:color="000000" w:sz="0" w:space="0"/>
                <w:bottom w:val="none" w:color="000000" w:sz="0" w:space="0"/>
                <w:right w:val="none" w:color="000000" w:sz="0" w:space="0"/>
              </w:pBdr>
              <w:spacing w:before="0" w:after="0" w:line="460" w:lineRule="atLeast"/>
              <w:ind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评标基准价：满足招标文件要求且投标价格最低的投标报价为评标基准价，其价格分为</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分。</w:t>
            </w:r>
          </w:p>
          <w:p w14:paraId="16D27844">
            <w:pPr>
              <w:pBdr>
                <w:top w:val="none" w:color="000000" w:sz="0" w:space="0"/>
                <w:left w:val="none" w:color="000000" w:sz="0" w:space="0"/>
                <w:bottom w:val="none" w:color="000000" w:sz="0" w:space="0"/>
                <w:right w:val="none" w:color="000000" w:sz="0" w:space="0"/>
              </w:pBdr>
              <w:spacing w:before="0" w:after="0" w:line="460" w:lineRule="atLeast"/>
              <w:ind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其他投标人的价格分统一按照下列公式计算（小数点后保留两位）：</w:t>
            </w:r>
          </w:p>
          <w:p w14:paraId="1FF77641">
            <w:pPr>
              <w:pBdr>
                <w:top w:val="none" w:color="000000" w:sz="0" w:space="0"/>
                <w:left w:val="none" w:color="000000" w:sz="0" w:space="0"/>
                <w:bottom w:val="none" w:color="000000" w:sz="0" w:space="0"/>
                <w:right w:val="none" w:color="000000" w:sz="0" w:space="0"/>
              </w:pBdr>
              <w:spacing w:before="0" w:after="0" w:line="460" w:lineRule="atLeast"/>
              <w:ind w:right="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投标报价得分=(评标基准价／投标报价)×</w:t>
            </w:r>
            <w:r>
              <w:rPr>
                <w:rFonts w:hint="eastAsia" w:ascii="宋体" w:hAnsi="宋体" w:eastAsia="宋体" w:cs="宋体"/>
                <w:color w:val="auto"/>
                <w:sz w:val="21"/>
                <w:szCs w:val="21"/>
                <w:highlight w:val="none"/>
                <w:lang w:val="en-US" w:eastAsia="zh-CN"/>
              </w:rPr>
              <w:t>50</w:t>
            </w:r>
          </w:p>
        </w:tc>
      </w:tr>
      <w:tr w14:paraId="6A9DBCC4">
        <w:tblPrEx>
          <w:tblCellMar>
            <w:top w:w="0" w:type="dxa"/>
            <w:left w:w="108" w:type="dxa"/>
            <w:bottom w:w="0" w:type="dxa"/>
            <w:right w:w="108" w:type="dxa"/>
          </w:tblCellMar>
        </w:tblPrEx>
        <w:trPr>
          <w:trHeight w:val="23" w:hRule="atLeast"/>
          <w:tblHeader/>
          <w:jc w:val="center"/>
        </w:trPr>
        <w:tc>
          <w:tcPr>
            <w:tcW w:w="1233" w:type="dxa"/>
            <w:tcBorders>
              <w:top w:val="single" w:color="auto" w:sz="4" w:space="0"/>
              <w:left w:val="single" w:color="auto" w:sz="4" w:space="0"/>
              <w:bottom w:val="single" w:color="auto" w:sz="4" w:space="0"/>
              <w:right w:val="single" w:color="auto" w:sz="4" w:space="0"/>
            </w:tcBorders>
            <w:noWrap w:val="0"/>
            <w:vAlign w:val="center"/>
          </w:tcPr>
          <w:p w14:paraId="1299CF2C">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p w14:paraId="56549739">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tc>
        <w:tc>
          <w:tcPr>
            <w:tcW w:w="1580" w:type="dxa"/>
            <w:tcBorders>
              <w:top w:val="single" w:color="auto" w:sz="4" w:space="0"/>
              <w:left w:val="single" w:color="auto" w:sz="4" w:space="0"/>
              <w:bottom w:val="single" w:color="auto" w:sz="4" w:space="0"/>
              <w:right w:val="single" w:color="auto" w:sz="4" w:space="0"/>
            </w:tcBorders>
            <w:noWrap w:val="0"/>
            <w:vAlign w:val="center"/>
          </w:tcPr>
          <w:p w14:paraId="36BBFCBE">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p w14:paraId="38C1FA83">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6394" w:type="dxa"/>
            <w:tcBorders>
              <w:top w:val="single" w:color="auto" w:sz="4" w:space="0"/>
              <w:left w:val="single" w:color="auto" w:sz="4" w:space="0"/>
              <w:bottom w:val="single" w:color="auto" w:sz="4" w:space="0"/>
              <w:right w:val="single" w:color="auto" w:sz="4" w:space="0"/>
            </w:tcBorders>
            <w:noWrap w:val="0"/>
            <w:vAlign w:val="center"/>
          </w:tcPr>
          <w:p w14:paraId="2DDF7A5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投标人自2023年1月1日以来（以所签合同时间为准）承接过类似物业服务业绩的，有一个得4分，本项最高得8分。</w:t>
            </w:r>
          </w:p>
          <w:p w14:paraId="236EB3AA">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注：每个类似业绩均提供合同原件扫描件并加盖投标人公章，合同中必须包含服务内容、合同签订时间等信息。合同中必须体现甲乙双方单位名称，提供不全或不提供不得分。</w:t>
            </w:r>
          </w:p>
        </w:tc>
      </w:tr>
      <w:tr w14:paraId="418AC7FE">
        <w:tblPrEx>
          <w:tblCellMar>
            <w:top w:w="0" w:type="dxa"/>
            <w:left w:w="108" w:type="dxa"/>
            <w:bottom w:w="0" w:type="dxa"/>
            <w:right w:w="108" w:type="dxa"/>
          </w:tblCellMar>
        </w:tblPrEx>
        <w:trPr>
          <w:trHeight w:val="23" w:hRule="atLeast"/>
          <w:tblHeader/>
          <w:jc w:val="center"/>
        </w:trPr>
        <w:tc>
          <w:tcPr>
            <w:tcW w:w="1233" w:type="dxa"/>
            <w:vMerge w:val="restart"/>
            <w:tcBorders>
              <w:top w:val="single" w:color="auto" w:sz="4" w:space="0"/>
              <w:left w:val="single" w:color="auto" w:sz="4" w:space="0"/>
              <w:right w:val="single" w:color="auto" w:sz="4" w:space="0"/>
            </w:tcBorders>
            <w:noWrap w:val="0"/>
            <w:vAlign w:val="center"/>
          </w:tcPr>
          <w:p w14:paraId="7A3EA7F4">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方案（</w:t>
            </w:r>
            <w:r>
              <w:rPr>
                <w:rFonts w:hint="eastAsia" w:ascii="宋体" w:hAnsi="宋体" w:eastAsia="宋体" w:cs="宋体"/>
                <w:color w:val="auto"/>
                <w:sz w:val="21"/>
                <w:szCs w:val="21"/>
                <w:highlight w:val="none"/>
                <w:lang w:val="en-US" w:eastAsia="zh-CN"/>
              </w:rPr>
              <w:t>42</w:t>
            </w:r>
            <w:r>
              <w:rPr>
                <w:rFonts w:hint="eastAsia" w:ascii="宋体" w:hAnsi="宋体" w:eastAsia="宋体" w:cs="宋体"/>
                <w:color w:val="auto"/>
                <w:sz w:val="21"/>
                <w:szCs w:val="21"/>
                <w:highlight w:val="none"/>
              </w:rPr>
              <w:t>分）</w:t>
            </w:r>
          </w:p>
        </w:tc>
        <w:tc>
          <w:tcPr>
            <w:tcW w:w="1580" w:type="dxa"/>
            <w:tcBorders>
              <w:top w:val="single" w:color="auto" w:sz="4" w:space="0"/>
              <w:left w:val="single" w:color="auto" w:sz="4" w:space="0"/>
              <w:bottom w:val="single" w:color="auto" w:sz="4" w:space="0"/>
              <w:right w:val="single" w:color="auto" w:sz="4" w:space="0"/>
            </w:tcBorders>
            <w:noWrap w:val="0"/>
            <w:vAlign w:val="center"/>
          </w:tcPr>
          <w:p w14:paraId="7D6F5E86">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仿宋" w:hAnsi="仿宋"/>
                <w:color w:val="auto"/>
                <w:szCs w:val="21"/>
                <w:highlight w:val="none"/>
              </w:rPr>
              <w:t>整体设想及策划</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tc>
        <w:tc>
          <w:tcPr>
            <w:tcW w:w="6394" w:type="dxa"/>
            <w:tcBorders>
              <w:top w:val="single" w:color="auto" w:sz="4" w:space="0"/>
              <w:left w:val="single" w:color="auto" w:sz="4" w:space="0"/>
              <w:bottom w:val="single" w:color="auto" w:sz="4" w:space="0"/>
              <w:right w:val="single" w:color="auto" w:sz="4" w:space="0"/>
            </w:tcBorders>
            <w:noWrap w:val="0"/>
            <w:vAlign w:val="center"/>
          </w:tcPr>
          <w:p w14:paraId="44EF1C8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1"/>
                <w:szCs w:val="21"/>
                <w:highlight w:val="none"/>
              </w:rPr>
            </w:pPr>
            <w:r>
              <w:rPr>
                <w:rFonts w:hint="eastAsia" w:ascii="仿宋" w:hAnsi="仿宋"/>
                <w:color w:val="auto"/>
                <w:szCs w:val="21"/>
                <w:highlight w:val="none"/>
              </w:rPr>
              <w:t>评标委员会根据投标人针对本项目中符合政策法规的整体设想及策划安排合理、完整性、针对性 及可操作性等进行评审</w:t>
            </w:r>
            <w:r>
              <w:rPr>
                <w:rFonts w:hint="eastAsia" w:ascii="仿宋" w:hAnsi="仿宋"/>
                <w:color w:val="auto"/>
                <w:szCs w:val="21"/>
                <w:highlight w:val="none"/>
                <w:lang w:val="en-US" w:eastAsia="zh-CN"/>
              </w:rPr>
              <w:t xml:space="preserve">。优于项目需求得7分，满足项目需求得6分，不满足或不提供得0分。   </w:t>
            </w:r>
          </w:p>
        </w:tc>
      </w:tr>
      <w:tr w14:paraId="35A3ACE7">
        <w:tblPrEx>
          <w:tblCellMar>
            <w:top w:w="0" w:type="dxa"/>
            <w:left w:w="108" w:type="dxa"/>
            <w:bottom w:w="0" w:type="dxa"/>
            <w:right w:w="108" w:type="dxa"/>
          </w:tblCellMar>
        </w:tblPrEx>
        <w:trPr>
          <w:trHeight w:val="23" w:hRule="atLeast"/>
          <w:tblHeader/>
          <w:jc w:val="center"/>
        </w:trPr>
        <w:tc>
          <w:tcPr>
            <w:tcW w:w="1233" w:type="dxa"/>
            <w:vMerge w:val="continue"/>
            <w:tcBorders>
              <w:left w:val="single" w:color="auto" w:sz="4" w:space="0"/>
              <w:right w:val="single" w:color="auto" w:sz="4" w:space="0"/>
            </w:tcBorders>
            <w:noWrap w:val="0"/>
            <w:vAlign w:val="center"/>
          </w:tcPr>
          <w:p w14:paraId="41E1CAA6">
            <w:pPr>
              <w:pBdr>
                <w:top w:val="none" w:color="000000" w:sz="0" w:space="0"/>
                <w:left w:val="none" w:color="000000" w:sz="0" w:space="0"/>
                <w:bottom w:val="none" w:color="000000" w:sz="0" w:space="0"/>
                <w:right w:val="none" w:color="000000" w:sz="0" w:space="0"/>
              </w:pBdr>
              <w:spacing w:before="0" w:after="0" w:line="460" w:lineRule="atLeast"/>
              <w:ind w:left="0" w:right="0" w:firstLine="480"/>
              <w:jc w:val="center"/>
              <w:rPr>
                <w:rFonts w:hint="eastAsia" w:ascii="宋体" w:hAnsi="宋体" w:eastAsia="宋体" w:cs="宋体"/>
                <w:color w:val="auto"/>
                <w:sz w:val="21"/>
                <w:szCs w:val="21"/>
                <w:highlight w:val="none"/>
              </w:rPr>
            </w:pPr>
          </w:p>
        </w:tc>
        <w:tc>
          <w:tcPr>
            <w:tcW w:w="1580" w:type="dxa"/>
            <w:tcBorders>
              <w:top w:val="single" w:color="auto" w:sz="4" w:space="0"/>
              <w:left w:val="single" w:color="auto" w:sz="4" w:space="0"/>
              <w:bottom w:val="single" w:color="auto" w:sz="4" w:space="0"/>
              <w:right w:val="single" w:color="auto" w:sz="4" w:space="0"/>
            </w:tcBorders>
            <w:noWrap w:val="0"/>
            <w:vAlign w:val="center"/>
          </w:tcPr>
          <w:p w14:paraId="27C37DA3">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制度的建立</w:t>
            </w:r>
            <w:r>
              <w:rPr>
                <w:rFonts w:hint="eastAsia" w:ascii="仿宋" w:hAnsi="仿宋"/>
                <w:color w:val="auto"/>
                <w:szCs w:val="21"/>
                <w:highlight w:val="none"/>
                <w:lang w:val="en-US" w:eastAsia="zh-CN"/>
              </w:rPr>
              <w:t>（7分）</w:t>
            </w:r>
          </w:p>
        </w:tc>
        <w:tc>
          <w:tcPr>
            <w:tcW w:w="6394" w:type="dxa"/>
            <w:tcBorders>
              <w:top w:val="single" w:color="auto" w:sz="4" w:space="0"/>
              <w:left w:val="single" w:color="auto" w:sz="4" w:space="0"/>
              <w:bottom w:val="single" w:color="auto" w:sz="4" w:space="0"/>
              <w:right w:val="single" w:color="auto" w:sz="4" w:space="0"/>
            </w:tcBorders>
            <w:noWrap w:val="0"/>
            <w:vAlign w:val="center"/>
          </w:tcPr>
          <w:p w14:paraId="6A35C143">
            <w:pPr>
              <w:spacing w:line="400" w:lineRule="exact"/>
              <w:ind w:firstLine="420"/>
              <w:contextualSpacing/>
              <w:rPr>
                <w:rFonts w:hint="eastAsia" w:ascii="宋体" w:hAnsi="宋体" w:eastAsia="宋体" w:cs="宋体"/>
                <w:color w:val="auto"/>
                <w:sz w:val="21"/>
                <w:szCs w:val="21"/>
                <w:highlight w:val="none"/>
              </w:rPr>
            </w:pPr>
            <w:r>
              <w:rPr>
                <w:rFonts w:hint="eastAsia" w:ascii="仿宋" w:hAnsi="仿宋"/>
                <w:color w:val="auto"/>
                <w:szCs w:val="21"/>
                <w:highlight w:val="none"/>
                <w:lang w:val="en-US" w:eastAsia="zh-CN"/>
              </w:rPr>
              <w:t>评</w:t>
            </w:r>
            <w:r>
              <w:rPr>
                <w:rFonts w:hint="eastAsia" w:ascii="仿宋" w:hAnsi="仿宋"/>
                <w:color w:val="auto"/>
                <w:szCs w:val="21"/>
                <w:highlight w:val="none"/>
              </w:rPr>
              <w:t>标委员会根据投标人针对本项目中制度建立方面陈述内容的合理性、完整性进行综合评审，</w:t>
            </w:r>
            <w:r>
              <w:rPr>
                <w:rFonts w:hint="eastAsia" w:ascii="仿宋" w:hAnsi="仿宋"/>
                <w:color w:val="auto"/>
                <w:szCs w:val="21"/>
                <w:highlight w:val="none"/>
                <w:lang w:val="en-US" w:eastAsia="zh-CN"/>
              </w:rPr>
              <w:t xml:space="preserve">优于项目需求得7分，满足项目需求得6分，不满足或不提供得0分。  </w:t>
            </w:r>
          </w:p>
        </w:tc>
      </w:tr>
      <w:tr w14:paraId="721A237D">
        <w:tblPrEx>
          <w:tblCellMar>
            <w:top w:w="0" w:type="dxa"/>
            <w:left w:w="108" w:type="dxa"/>
            <w:bottom w:w="0" w:type="dxa"/>
            <w:right w:w="108" w:type="dxa"/>
          </w:tblCellMar>
        </w:tblPrEx>
        <w:trPr>
          <w:trHeight w:val="23" w:hRule="atLeast"/>
          <w:tblHeader/>
          <w:jc w:val="center"/>
        </w:trPr>
        <w:tc>
          <w:tcPr>
            <w:tcW w:w="1233" w:type="dxa"/>
            <w:vMerge w:val="continue"/>
            <w:tcBorders>
              <w:left w:val="single" w:color="auto" w:sz="4" w:space="0"/>
              <w:right w:val="single" w:color="auto" w:sz="4" w:space="0"/>
            </w:tcBorders>
            <w:noWrap w:val="0"/>
            <w:vAlign w:val="center"/>
          </w:tcPr>
          <w:p w14:paraId="722F0630">
            <w:pPr>
              <w:pBdr>
                <w:top w:val="none" w:color="000000" w:sz="0" w:space="0"/>
                <w:left w:val="none" w:color="000000" w:sz="0" w:space="0"/>
                <w:bottom w:val="none" w:color="000000" w:sz="0" w:space="0"/>
                <w:right w:val="none" w:color="000000" w:sz="0" w:space="0"/>
              </w:pBdr>
              <w:spacing w:before="0" w:after="0" w:line="460" w:lineRule="atLeast"/>
              <w:ind w:left="0" w:right="0" w:firstLine="480"/>
              <w:jc w:val="center"/>
              <w:rPr>
                <w:rFonts w:hint="eastAsia" w:ascii="宋体" w:hAnsi="宋体" w:eastAsia="宋体" w:cs="宋体"/>
                <w:color w:val="auto"/>
                <w:sz w:val="21"/>
                <w:szCs w:val="21"/>
                <w:highlight w:val="none"/>
              </w:rPr>
            </w:pPr>
          </w:p>
        </w:tc>
        <w:tc>
          <w:tcPr>
            <w:tcW w:w="1580" w:type="dxa"/>
            <w:tcBorders>
              <w:top w:val="single" w:color="auto" w:sz="4" w:space="0"/>
              <w:left w:val="single" w:color="auto" w:sz="4" w:space="0"/>
              <w:bottom w:val="single" w:color="auto" w:sz="4" w:space="0"/>
              <w:right w:val="single" w:color="auto" w:sz="4" w:space="0"/>
            </w:tcBorders>
            <w:noWrap w:val="0"/>
            <w:vAlign w:val="center"/>
          </w:tcPr>
          <w:p w14:paraId="15C6ACDE">
            <w:pPr>
              <w:pBdr>
                <w:top w:val="none" w:color="000000" w:sz="0" w:space="0"/>
                <w:left w:val="none" w:color="000000" w:sz="0" w:space="0"/>
                <w:bottom w:val="none" w:color="000000" w:sz="0" w:space="0"/>
                <w:right w:val="none" w:color="000000" w:sz="0" w:space="0"/>
              </w:pBdr>
              <w:spacing w:before="0" w:after="0" w:line="460" w:lineRule="atLeast"/>
              <w:ind w:right="0"/>
              <w:jc w:val="center"/>
              <w:rPr>
                <w:color w:val="auto"/>
                <w:spacing w:val="-2"/>
                <w:highlight w:val="none"/>
              </w:rPr>
            </w:pPr>
            <w:r>
              <w:rPr>
                <w:color w:val="auto"/>
                <w:spacing w:val="-2"/>
                <w:highlight w:val="none"/>
              </w:rPr>
              <w:t>管理服务模式</w:t>
            </w:r>
          </w:p>
          <w:p w14:paraId="2D731ACB">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tc>
        <w:tc>
          <w:tcPr>
            <w:tcW w:w="6394" w:type="dxa"/>
            <w:tcBorders>
              <w:top w:val="single" w:color="auto" w:sz="4" w:space="0"/>
              <w:left w:val="single" w:color="auto" w:sz="4" w:space="0"/>
              <w:bottom w:val="single" w:color="auto" w:sz="4" w:space="0"/>
              <w:right w:val="single" w:color="auto" w:sz="4" w:space="0"/>
            </w:tcBorders>
            <w:noWrap w:val="0"/>
            <w:vAlign w:val="center"/>
          </w:tcPr>
          <w:p w14:paraId="458A5176">
            <w:pPr>
              <w:spacing w:line="400" w:lineRule="exact"/>
              <w:ind w:firstLine="420"/>
              <w:contextualSpacing/>
              <w:rPr>
                <w:rFonts w:hint="eastAsia" w:ascii="宋体" w:hAnsi="宋体" w:eastAsia="宋体" w:cs="宋体"/>
                <w:color w:val="auto"/>
                <w:sz w:val="21"/>
                <w:szCs w:val="21"/>
                <w:highlight w:val="none"/>
              </w:rPr>
            </w:pPr>
            <w:r>
              <w:rPr>
                <w:rFonts w:hint="eastAsia" w:ascii="仿宋" w:hAnsi="仿宋"/>
                <w:color w:val="auto"/>
                <w:szCs w:val="21"/>
                <w:highlight w:val="none"/>
                <w:lang w:val="en-US" w:eastAsia="zh-CN"/>
              </w:rPr>
              <w:t xml:space="preserve">评标委员会根据投标人针对本项目中适合本项目的管理服务模式方面（含服务模式、质量标准承诺等）阐述内容的合理性、科学性、全面性及 可操作性进行评审。优于项目需求得7分，满足项目需求得6分，不满足或不提供得0分。   </w:t>
            </w:r>
          </w:p>
        </w:tc>
      </w:tr>
      <w:tr w14:paraId="590194C2">
        <w:tblPrEx>
          <w:tblCellMar>
            <w:top w:w="0" w:type="dxa"/>
            <w:left w:w="108" w:type="dxa"/>
            <w:bottom w:w="0" w:type="dxa"/>
            <w:right w:w="108" w:type="dxa"/>
          </w:tblCellMar>
        </w:tblPrEx>
        <w:trPr>
          <w:trHeight w:val="1872" w:hRule="atLeast"/>
          <w:tblHeader/>
          <w:jc w:val="center"/>
        </w:trPr>
        <w:tc>
          <w:tcPr>
            <w:tcW w:w="1233" w:type="dxa"/>
            <w:vMerge w:val="continue"/>
            <w:tcBorders>
              <w:left w:val="single" w:color="auto" w:sz="4" w:space="0"/>
              <w:right w:val="single" w:color="auto" w:sz="4" w:space="0"/>
            </w:tcBorders>
            <w:noWrap w:val="0"/>
            <w:vAlign w:val="center"/>
          </w:tcPr>
          <w:p w14:paraId="278013D8">
            <w:pPr>
              <w:pBdr>
                <w:top w:val="none" w:color="000000" w:sz="0" w:space="0"/>
                <w:left w:val="none" w:color="000000" w:sz="0" w:space="0"/>
                <w:bottom w:val="none" w:color="000000" w:sz="0" w:space="0"/>
                <w:right w:val="none" w:color="000000" w:sz="0" w:space="0"/>
              </w:pBdr>
              <w:spacing w:before="0" w:after="0" w:line="460" w:lineRule="atLeast"/>
              <w:ind w:left="0" w:right="0" w:firstLine="480"/>
              <w:jc w:val="center"/>
              <w:rPr>
                <w:rFonts w:hint="eastAsia" w:ascii="宋体" w:hAnsi="宋体" w:eastAsia="宋体" w:cs="宋体"/>
                <w:color w:val="auto"/>
                <w:sz w:val="21"/>
                <w:szCs w:val="21"/>
                <w:highlight w:val="none"/>
              </w:rPr>
            </w:pPr>
          </w:p>
        </w:tc>
        <w:tc>
          <w:tcPr>
            <w:tcW w:w="1580" w:type="dxa"/>
            <w:tcBorders>
              <w:top w:val="single" w:color="auto" w:sz="4" w:space="0"/>
              <w:left w:val="single" w:color="auto" w:sz="4" w:space="0"/>
              <w:bottom w:val="single" w:color="auto" w:sz="4" w:space="0"/>
              <w:right w:val="single" w:color="auto" w:sz="4" w:space="0"/>
            </w:tcBorders>
            <w:noWrap w:val="0"/>
            <w:vAlign w:val="center"/>
          </w:tcPr>
          <w:p w14:paraId="2596F5C2">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仿宋" w:hAnsi="仿宋"/>
                <w:color w:val="auto"/>
                <w:szCs w:val="21"/>
                <w:highlight w:val="none"/>
              </w:rPr>
              <w:t>各种突发事件的处理预案</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tc>
        <w:tc>
          <w:tcPr>
            <w:tcW w:w="6394" w:type="dxa"/>
            <w:tcBorders>
              <w:top w:val="single" w:color="auto" w:sz="4" w:space="0"/>
              <w:left w:val="single" w:color="auto" w:sz="4" w:space="0"/>
              <w:bottom w:val="single" w:color="auto" w:sz="4" w:space="0"/>
              <w:right w:val="single" w:color="auto" w:sz="4" w:space="0"/>
            </w:tcBorders>
            <w:noWrap w:val="0"/>
            <w:vAlign w:val="center"/>
          </w:tcPr>
          <w:p w14:paraId="2C58AA76">
            <w:pPr>
              <w:spacing w:line="400" w:lineRule="exact"/>
              <w:ind w:firstLine="420"/>
              <w:contextualSpacing/>
              <w:rPr>
                <w:rFonts w:hint="eastAsia" w:ascii="宋体" w:hAnsi="宋体" w:eastAsia="宋体" w:cs="宋体"/>
                <w:color w:val="auto"/>
                <w:sz w:val="21"/>
                <w:szCs w:val="21"/>
                <w:highlight w:val="none"/>
              </w:rPr>
            </w:pPr>
            <w:r>
              <w:rPr>
                <w:rFonts w:hint="eastAsia" w:ascii="仿宋" w:hAnsi="仿宋"/>
                <w:color w:val="auto"/>
                <w:szCs w:val="21"/>
                <w:highlight w:val="none"/>
              </w:rPr>
              <w:t>评标委员会根据投标人针对本项目中适合本项目的各种突发事件的处理预案方面陈述内容（包括停电、停水、火灾、民扰、盗窃、自然灾害中的应急预案、重大节日及大型活动应急预案等情况的预案）</w:t>
            </w:r>
            <w:r>
              <w:rPr>
                <w:rFonts w:hint="eastAsia" w:ascii="仿宋" w:hAnsi="仿宋"/>
                <w:color w:val="auto"/>
                <w:szCs w:val="21"/>
                <w:highlight w:val="none"/>
                <w:lang w:val="en-US" w:eastAsia="zh-CN"/>
              </w:rPr>
              <w:t xml:space="preserve">进行综合评审。优于项目需求得7分，满足项目需求得6分，不满足或不提供得0分。   </w:t>
            </w:r>
          </w:p>
        </w:tc>
      </w:tr>
      <w:tr w14:paraId="6F383D3B">
        <w:tblPrEx>
          <w:tblCellMar>
            <w:top w:w="0" w:type="dxa"/>
            <w:left w:w="108" w:type="dxa"/>
            <w:bottom w:w="0" w:type="dxa"/>
            <w:right w:w="108" w:type="dxa"/>
          </w:tblCellMar>
        </w:tblPrEx>
        <w:trPr>
          <w:trHeight w:val="90" w:hRule="atLeast"/>
          <w:tblHeader/>
          <w:jc w:val="center"/>
        </w:trPr>
        <w:tc>
          <w:tcPr>
            <w:tcW w:w="1233" w:type="dxa"/>
            <w:vMerge w:val="continue"/>
            <w:tcBorders>
              <w:left w:val="single" w:color="auto" w:sz="4" w:space="0"/>
              <w:right w:val="single" w:color="auto" w:sz="4" w:space="0"/>
            </w:tcBorders>
            <w:noWrap w:val="0"/>
            <w:vAlign w:val="center"/>
          </w:tcPr>
          <w:p w14:paraId="6598797C">
            <w:pPr>
              <w:pBdr>
                <w:top w:val="none" w:color="000000" w:sz="0" w:space="0"/>
                <w:left w:val="none" w:color="000000" w:sz="0" w:space="0"/>
                <w:bottom w:val="none" w:color="000000" w:sz="0" w:space="0"/>
                <w:right w:val="none" w:color="000000" w:sz="0" w:space="0"/>
              </w:pBdr>
              <w:spacing w:before="0" w:after="0" w:line="460" w:lineRule="atLeast"/>
              <w:ind w:left="0" w:right="0" w:firstLine="480"/>
              <w:jc w:val="center"/>
              <w:rPr>
                <w:rFonts w:hint="eastAsia" w:ascii="宋体" w:hAnsi="宋体" w:eastAsia="宋体" w:cs="宋体"/>
                <w:color w:val="auto"/>
                <w:sz w:val="21"/>
                <w:szCs w:val="21"/>
                <w:highlight w:val="none"/>
              </w:rPr>
            </w:pPr>
          </w:p>
        </w:tc>
        <w:tc>
          <w:tcPr>
            <w:tcW w:w="1580" w:type="dxa"/>
            <w:tcBorders>
              <w:top w:val="single" w:color="auto" w:sz="4" w:space="0"/>
              <w:left w:val="single" w:color="auto" w:sz="4" w:space="0"/>
              <w:bottom w:val="single" w:color="auto" w:sz="4" w:space="0"/>
              <w:right w:val="single" w:color="auto" w:sz="4" w:space="0"/>
            </w:tcBorders>
            <w:noWrap w:val="0"/>
            <w:vAlign w:val="center"/>
          </w:tcPr>
          <w:p w14:paraId="1D873EE1">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仿宋" w:hAnsi="仿宋"/>
                <w:color w:val="auto"/>
                <w:szCs w:val="21"/>
                <w:highlight w:val="none"/>
              </w:rPr>
            </w:pPr>
            <w:r>
              <w:rPr>
                <w:rFonts w:hint="eastAsia" w:ascii="仿宋" w:hAnsi="仿宋"/>
                <w:color w:val="auto"/>
                <w:szCs w:val="21"/>
                <w:highlight w:val="none"/>
                <w:lang w:val="en-US" w:eastAsia="zh-CN"/>
              </w:rPr>
              <w:t>组织机构设置、人员配备、培训与管理方案（7分）</w:t>
            </w:r>
          </w:p>
        </w:tc>
        <w:tc>
          <w:tcPr>
            <w:tcW w:w="6394" w:type="dxa"/>
            <w:tcBorders>
              <w:top w:val="single" w:color="auto" w:sz="4" w:space="0"/>
              <w:left w:val="single" w:color="auto" w:sz="4" w:space="0"/>
              <w:bottom w:val="single" w:color="auto" w:sz="4" w:space="0"/>
              <w:right w:val="single" w:color="auto" w:sz="4" w:space="0"/>
            </w:tcBorders>
            <w:noWrap w:val="0"/>
            <w:vAlign w:val="center"/>
          </w:tcPr>
          <w:p w14:paraId="5089362A">
            <w:pPr>
              <w:spacing w:line="400" w:lineRule="exact"/>
              <w:ind w:firstLine="420"/>
              <w:contextualSpacing/>
              <w:rPr>
                <w:rFonts w:hint="eastAsia" w:ascii="仿宋" w:hAnsi="仿宋" w:eastAsiaTheme="minorEastAsia"/>
                <w:color w:val="auto"/>
                <w:szCs w:val="21"/>
                <w:highlight w:val="none"/>
                <w:lang w:eastAsia="zh-CN"/>
              </w:rPr>
            </w:pPr>
            <w:r>
              <w:rPr>
                <w:rFonts w:hint="eastAsia" w:ascii="仿宋" w:hAnsi="仿宋"/>
                <w:color w:val="auto"/>
                <w:szCs w:val="21"/>
                <w:highlight w:val="none"/>
                <w:lang w:val="en-US" w:eastAsia="zh-CN"/>
              </w:rPr>
              <w:t xml:space="preserve">评标委员会根据投标人针对本项目中组织机构设置、人员配备、培训与管理方面阐述内容进行打分。优于项目需求得7分，满足项目需求得6分，不满足或不提供得0分。   </w:t>
            </w:r>
            <w:r>
              <w:rPr>
                <w:rFonts w:hint="eastAsia"/>
                <w:color w:val="auto"/>
                <w:sz w:val="21"/>
                <w:szCs w:val="21"/>
                <w:highlight w:val="none"/>
                <w:lang w:val="zh-TW" w:eastAsia="zh-CN"/>
              </w:rPr>
              <w:t xml:space="preserve"> </w:t>
            </w:r>
          </w:p>
        </w:tc>
      </w:tr>
      <w:tr w14:paraId="593C6103">
        <w:tblPrEx>
          <w:tblCellMar>
            <w:top w:w="0" w:type="dxa"/>
            <w:left w:w="108" w:type="dxa"/>
            <w:bottom w:w="0" w:type="dxa"/>
            <w:right w:w="108" w:type="dxa"/>
          </w:tblCellMar>
        </w:tblPrEx>
        <w:trPr>
          <w:trHeight w:val="90" w:hRule="atLeast"/>
          <w:tblHeader/>
          <w:jc w:val="center"/>
        </w:trPr>
        <w:tc>
          <w:tcPr>
            <w:tcW w:w="1233" w:type="dxa"/>
            <w:vMerge w:val="continue"/>
            <w:tcBorders>
              <w:left w:val="single" w:color="auto" w:sz="4" w:space="0"/>
              <w:right w:val="single" w:color="auto" w:sz="4" w:space="0"/>
            </w:tcBorders>
            <w:noWrap w:val="0"/>
            <w:vAlign w:val="center"/>
          </w:tcPr>
          <w:p w14:paraId="3FD8B4E4">
            <w:pPr>
              <w:pBdr>
                <w:top w:val="none" w:color="000000" w:sz="0" w:space="0"/>
                <w:left w:val="none" w:color="000000" w:sz="0" w:space="0"/>
                <w:bottom w:val="none" w:color="000000" w:sz="0" w:space="0"/>
                <w:right w:val="none" w:color="000000" w:sz="0" w:space="0"/>
              </w:pBdr>
              <w:spacing w:before="0" w:after="0" w:line="460" w:lineRule="atLeast"/>
              <w:ind w:left="0" w:right="0" w:firstLine="480"/>
              <w:jc w:val="center"/>
              <w:rPr>
                <w:rFonts w:hint="eastAsia" w:ascii="宋体" w:hAnsi="宋体" w:eastAsia="宋体" w:cs="宋体"/>
                <w:color w:val="auto"/>
                <w:sz w:val="21"/>
                <w:szCs w:val="21"/>
                <w:highlight w:val="none"/>
              </w:rPr>
            </w:pPr>
          </w:p>
        </w:tc>
        <w:tc>
          <w:tcPr>
            <w:tcW w:w="1580" w:type="dxa"/>
            <w:tcBorders>
              <w:top w:val="single" w:color="auto" w:sz="4" w:space="0"/>
              <w:left w:val="single" w:color="auto" w:sz="4" w:space="0"/>
              <w:bottom w:val="single" w:color="auto" w:sz="4" w:space="0"/>
              <w:right w:val="single" w:color="auto" w:sz="4" w:space="0"/>
            </w:tcBorders>
            <w:noWrap w:val="0"/>
            <w:vAlign w:val="center"/>
          </w:tcPr>
          <w:p w14:paraId="681A2566">
            <w:pPr>
              <w:spacing w:line="400" w:lineRule="exact"/>
              <w:contextualSpacing/>
              <w:jc w:val="center"/>
              <w:rPr>
                <w:rFonts w:hint="default" w:eastAsiaTheme="minorEastAsia"/>
                <w:color w:val="auto"/>
                <w:sz w:val="21"/>
                <w:szCs w:val="21"/>
                <w:highlight w:val="none"/>
                <w:lang w:val="en-US" w:eastAsia="zh-CN"/>
              </w:rPr>
            </w:pPr>
            <w:r>
              <w:rPr>
                <w:rFonts w:hint="eastAsia"/>
                <w:color w:val="auto"/>
                <w:sz w:val="21"/>
                <w:szCs w:val="21"/>
                <w:highlight w:val="none"/>
                <w:lang w:val="zh-TW"/>
              </w:rPr>
              <w:t>日常管理措施</w:t>
            </w:r>
            <w:r>
              <w:rPr>
                <w:rFonts w:hint="eastAsia"/>
                <w:color w:val="auto"/>
                <w:sz w:val="21"/>
                <w:szCs w:val="21"/>
                <w:highlight w:val="none"/>
                <w:lang w:val="zh-TW" w:eastAsia="zh-CN"/>
              </w:rPr>
              <w:t>（</w:t>
            </w:r>
            <w:r>
              <w:rPr>
                <w:rFonts w:hint="eastAsia"/>
                <w:color w:val="auto"/>
                <w:sz w:val="21"/>
                <w:szCs w:val="21"/>
                <w:highlight w:val="none"/>
                <w:lang w:val="en-US" w:eastAsia="zh-CN"/>
              </w:rPr>
              <w:t>7分）</w:t>
            </w:r>
          </w:p>
        </w:tc>
        <w:tc>
          <w:tcPr>
            <w:tcW w:w="6394" w:type="dxa"/>
            <w:tcBorders>
              <w:top w:val="single" w:color="auto" w:sz="4" w:space="0"/>
              <w:left w:val="single" w:color="auto" w:sz="4" w:space="0"/>
              <w:bottom w:val="single" w:color="auto" w:sz="4" w:space="0"/>
              <w:right w:val="single" w:color="auto" w:sz="4" w:space="0"/>
            </w:tcBorders>
            <w:noWrap w:val="0"/>
            <w:vAlign w:val="center"/>
          </w:tcPr>
          <w:p w14:paraId="760138CA">
            <w:pPr>
              <w:spacing w:line="400" w:lineRule="exact"/>
              <w:ind w:firstLine="420"/>
              <w:contextualSpacing/>
              <w:rPr>
                <w:rFonts w:hint="eastAsia"/>
                <w:color w:val="auto"/>
                <w:sz w:val="21"/>
                <w:szCs w:val="21"/>
                <w:highlight w:val="none"/>
                <w:lang w:val="zh-TW"/>
              </w:rPr>
            </w:pPr>
            <w:r>
              <w:rPr>
                <w:rFonts w:hint="eastAsia"/>
                <w:color w:val="auto"/>
                <w:sz w:val="21"/>
                <w:szCs w:val="21"/>
                <w:highlight w:val="none"/>
                <w:lang w:val="zh-TW"/>
              </w:rPr>
              <w:t>评标委员会根据投标人针对本项目中日常管理措施方面</w:t>
            </w:r>
            <w:r>
              <w:rPr>
                <w:color w:val="auto"/>
                <w:spacing w:val="-1"/>
                <w:highlight w:val="none"/>
              </w:rPr>
              <w:t>（含公共设备设施管理、安全管理、清洁保洁管理、会务服务管理等）</w:t>
            </w:r>
            <w:r>
              <w:rPr>
                <w:rFonts w:hint="eastAsia"/>
                <w:color w:val="auto"/>
                <w:sz w:val="21"/>
                <w:szCs w:val="21"/>
                <w:highlight w:val="none"/>
                <w:lang w:val="zh-TW"/>
              </w:rPr>
              <w:t>阐述内容进行打分。</w:t>
            </w:r>
            <w:r>
              <w:rPr>
                <w:rFonts w:hint="eastAsia" w:ascii="仿宋" w:hAnsi="仿宋"/>
                <w:color w:val="auto"/>
                <w:szCs w:val="21"/>
                <w:highlight w:val="none"/>
                <w:lang w:val="en-US" w:eastAsia="zh-CN"/>
              </w:rPr>
              <w:t xml:space="preserve">优于项目需求得7分，满足项目需求得6分，不满足或不提供得0分。  </w:t>
            </w:r>
          </w:p>
        </w:tc>
      </w:tr>
      <w:tr w14:paraId="57EA966A">
        <w:tblPrEx>
          <w:tblCellMar>
            <w:top w:w="0" w:type="dxa"/>
            <w:left w:w="108" w:type="dxa"/>
            <w:bottom w:w="0" w:type="dxa"/>
            <w:right w:w="108" w:type="dxa"/>
          </w:tblCellMar>
        </w:tblPrEx>
        <w:trPr>
          <w:trHeight w:val="23" w:hRule="atLeast"/>
          <w:tblHeader/>
          <w:jc w:val="center"/>
        </w:trPr>
        <w:tc>
          <w:tcPr>
            <w:tcW w:w="1233" w:type="dxa"/>
            <w:vMerge w:val="continue"/>
            <w:tcBorders>
              <w:left w:val="single" w:color="auto" w:sz="4" w:space="0"/>
              <w:bottom w:val="single" w:color="auto" w:sz="4" w:space="0"/>
              <w:right w:val="single" w:color="auto" w:sz="4" w:space="0"/>
            </w:tcBorders>
            <w:noWrap w:val="0"/>
            <w:vAlign w:val="top"/>
          </w:tcPr>
          <w:p w14:paraId="15089F34">
            <w:pPr>
              <w:pageBreakBefore w:val="0"/>
              <w:widowControl w:val="0"/>
              <w:tabs>
                <w:tab w:val="left" w:pos="0"/>
              </w:tabs>
              <w:spacing w:line="240" w:lineRule="auto"/>
              <w:ind w:firstLine="0"/>
              <w:rPr>
                <w:rFonts w:hint="eastAsia" w:ascii="仿宋" w:hAnsi="仿宋" w:eastAsia="仿宋" w:cs="仿宋"/>
                <w:color w:val="auto"/>
                <w:sz w:val="24"/>
                <w:szCs w:val="24"/>
                <w:highlight w:val="none"/>
              </w:rPr>
            </w:pPr>
          </w:p>
        </w:tc>
        <w:tc>
          <w:tcPr>
            <w:tcW w:w="7974" w:type="dxa"/>
            <w:gridSpan w:val="2"/>
            <w:tcBorders>
              <w:top w:val="single" w:color="auto" w:sz="4" w:space="0"/>
              <w:left w:val="single" w:color="auto" w:sz="4" w:space="0"/>
              <w:bottom w:val="single" w:color="auto" w:sz="4" w:space="0"/>
              <w:right w:val="single" w:color="auto" w:sz="4" w:space="0"/>
            </w:tcBorders>
            <w:noWrap w:val="0"/>
            <w:vAlign w:val="center"/>
          </w:tcPr>
          <w:p w14:paraId="60D62DBB">
            <w:pPr>
              <w:pageBreakBefore w:val="0"/>
              <w:widowControl w:val="0"/>
              <w:tabs>
                <w:tab w:val="left" w:pos="0"/>
              </w:tabs>
              <w:spacing w:line="240" w:lineRule="auto"/>
              <w:ind w:firstLine="0"/>
              <w:rPr>
                <w:rFonts w:hint="eastAsia" w:ascii="仿宋" w:hAnsi="仿宋" w:eastAsia="仿宋" w:cs="仿宋"/>
                <w:color w:val="auto"/>
                <w:sz w:val="24"/>
                <w:szCs w:val="24"/>
                <w:highlight w:val="none"/>
              </w:rPr>
            </w:pPr>
          </w:p>
        </w:tc>
      </w:tr>
    </w:tbl>
    <w:p w14:paraId="2F321EE4">
      <w:pPr>
        <w:spacing w:line="360" w:lineRule="auto"/>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w:t>
      </w:r>
      <w:r>
        <w:rPr>
          <w:rFonts w:hint="eastAsia" w:ascii="宋体" w:hAnsi="宋体" w:eastAsia="宋体" w:cs="宋体"/>
          <w:b/>
          <w:bCs/>
          <w:i/>
          <w:iCs/>
          <w:color w:val="auto"/>
          <w:sz w:val="24"/>
          <w:szCs w:val="24"/>
          <w:highlight w:val="none"/>
          <w:u w:val="single"/>
          <w:lang w:val="en-US" w:eastAsia="zh-CN"/>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w:t>
      </w:r>
    </w:p>
    <w:p w14:paraId="1F0C36D7">
      <w:pPr>
        <w:spacing w:line="360" w:lineRule="auto"/>
        <w:ind w:firstLine="470" w:firstLineChars="195"/>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上传的“明标”材料中不得出现与服务方案相关的内容，否则作无效标书处理。</w:t>
      </w:r>
    </w:p>
    <w:p w14:paraId="469440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480" w:lineRule="exact"/>
        <w:ind w:firstLine="480"/>
        <w:textAlignment w:val="auto"/>
        <w:rPr>
          <w:rFonts w:hint="eastAsia" w:ascii="宋体" w:hAnsi="宋体" w:eastAsia="宋体" w:cs="宋体"/>
          <w:color w:val="auto"/>
          <w:sz w:val="24"/>
          <w:szCs w:val="24"/>
          <w:highlight w:val="none"/>
        </w:rPr>
      </w:pPr>
    </w:p>
    <w:p w14:paraId="1EED0F39">
      <w:pPr>
        <w:pStyle w:val="9"/>
        <w:keepNext w:val="0"/>
        <w:keepLines w:val="0"/>
        <w:pageBreakBefore w:val="0"/>
        <w:widowControl w:val="0"/>
        <w:kinsoku/>
        <w:wordWrap/>
        <w:overflowPunct/>
        <w:topLinePunct w:val="0"/>
        <w:autoSpaceDE/>
        <w:autoSpaceDN/>
        <w:bidi w:val="0"/>
        <w:spacing w:beforeAutospacing="0" w:afterAutospacing="0"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3DF5CC9A">
      <w:pPr>
        <w:keepNext w:val="0"/>
        <w:keepLines w:val="0"/>
        <w:pageBreakBefore w:val="0"/>
        <w:widowControl w:val="0"/>
        <w:kinsoku/>
        <w:wordWrap/>
        <w:overflowPunct/>
        <w:topLinePunct w:val="0"/>
        <w:autoSpaceDE/>
        <w:autoSpaceDN/>
        <w:bidi w:val="0"/>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7DCAC28E">
      <w:pPr>
        <w:pStyle w:val="9"/>
        <w:keepNext/>
        <w:spacing w:beforeAutospacing="0" w:afterAutospacing="0"/>
        <w:jc w:val="center"/>
        <w:rPr>
          <w:rFonts w:hint="eastAsia" w:ascii="黑体" w:hAnsi="宋体" w:eastAsia="黑体" w:cs="黑体"/>
          <w:color w:val="auto"/>
          <w:sz w:val="44"/>
          <w:szCs w:val="44"/>
          <w:highlight w:val="none"/>
        </w:rPr>
      </w:pPr>
    </w:p>
    <w:p w14:paraId="57309391">
      <w:pPr>
        <w:pStyle w:val="9"/>
        <w:keepNext/>
        <w:spacing w:beforeAutospacing="0" w:afterAutospacing="0"/>
        <w:jc w:val="center"/>
        <w:rPr>
          <w:rFonts w:hint="eastAsia" w:ascii="黑体" w:hAnsi="宋体" w:eastAsia="黑体" w:cs="黑体"/>
          <w:color w:val="auto"/>
          <w:sz w:val="44"/>
          <w:szCs w:val="44"/>
          <w:highlight w:val="none"/>
        </w:rPr>
      </w:pPr>
    </w:p>
    <w:p w14:paraId="41A7C92C">
      <w:pPr>
        <w:pStyle w:val="9"/>
        <w:keepNext/>
        <w:spacing w:beforeAutospacing="0" w:afterAutospacing="0"/>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 </w:t>
      </w:r>
    </w:p>
    <w:p w14:paraId="29FB8B73">
      <w:pPr>
        <w:pStyle w:val="9"/>
        <w:keepNext/>
        <w:spacing w:beforeAutospacing="0" w:afterAutospacing="0"/>
        <w:jc w:val="center"/>
        <w:rPr>
          <w:rFonts w:hint="eastAsia" w:ascii="黑体" w:hAnsi="宋体" w:eastAsia="黑体" w:cs="黑体"/>
          <w:color w:val="auto"/>
          <w:sz w:val="44"/>
          <w:szCs w:val="44"/>
          <w:highlight w:val="none"/>
        </w:rPr>
      </w:pPr>
    </w:p>
    <w:p w14:paraId="298D1460">
      <w:pPr>
        <w:pStyle w:val="9"/>
        <w:keepNext/>
        <w:spacing w:beforeAutospacing="0" w:afterAutospacing="0"/>
        <w:jc w:val="center"/>
        <w:rPr>
          <w:rFonts w:hint="eastAsia" w:ascii="黑体" w:hAnsi="宋体" w:eastAsia="黑体" w:cs="黑体"/>
          <w:color w:val="auto"/>
          <w:sz w:val="44"/>
          <w:szCs w:val="44"/>
          <w:highlight w:val="none"/>
        </w:rPr>
      </w:pPr>
    </w:p>
    <w:p w14:paraId="3B97091D">
      <w:pPr>
        <w:pStyle w:val="9"/>
        <w:keepNext/>
        <w:spacing w:beforeAutospacing="0" w:afterAutospacing="0"/>
        <w:jc w:val="center"/>
        <w:rPr>
          <w:rFonts w:hint="eastAsia" w:ascii="黑体" w:hAnsi="宋体" w:eastAsia="黑体" w:cs="黑体"/>
          <w:color w:val="auto"/>
          <w:sz w:val="44"/>
          <w:szCs w:val="44"/>
          <w:highlight w:val="none"/>
        </w:rPr>
      </w:pPr>
    </w:p>
    <w:p w14:paraId="221A12E7">
      <w:pPr>
        <w:pStyle w:val="9"/>
        <w:keepNext/>
        <w:spacing w:beforeAutospacing="0" w:afterAutospacing="0"/>
        <w:jc w:val="center"/>
        <w:rPr>
          <w:rFonts w:hint="eastAsia" w:ascii="黑体" w:hAnsi="宋体" w:eastAsia="黑体" w:cs="黑体"/>
          <w:color w:val="auto"/>
          <w:sz w:val="44"/>
          <w:szCs w:val="44"/>
          <w:highlight w:val="none"/>
        </w:rPr>
      </w:pPr>
    </w:p>
    <w:p w14:paraId="33CD3723">
      <w:pPr>
        <w:pStyle w:val="9"/>
        <w:spacing w:beforeAutospacing="0" w:afterAutospacing="0"/>
        <w:jc w:val="center"/>
        <w:rPr>
          <w:color w:val="auto"/>
          <w:highlight w:val="none"/>
        </w:rPr>
      </w:pPr>
      <w:bookmarkStart w:id="181" w:name="_Hlt26671244"/>
      <w:bookmarkEnd w:id="181"/>
      <w:bookmarkStart w:id="182" w:name="_Hlt26955039"/>
      <w:bookmarkEnd w:id="182"/>
      <w:bookmarkStart w:id="183" w:name="_Toc26554094"/>
      <w:bookmarkEnd w:id="183"/>
      <w:bookmarkStart w:id="184" w:name="_Toc120614282"/>
      <w:bookmarkStart w:id="185" w:name="_Toc49090576"/>
      <w:r>
        <w:rPr>
          <w:rFonts w:hint="eastAsia" w:ascii="宋体" w:hAnsi="宋体" w:eastAsia="宋体" w:cs="宋体"/>
          <w:b/>
          <w:color w:val="auto"/>
          <w:sz w:val="72"/>
          <w:szCs w:val="72"/>
          <w:highlight w:val="none"/>
        </w:rPr>
        <w:t>投  标  文  件</w:t>
      </w:r>
    </w:p>
    <w:p w14:paraId="5EF24373">
      <w:pPr>
        <w:pStyle w:val="9"/>
        <w:spacing w:beforeAutospacing="0" w:afterAutospacing="0"/>
        <w:jc w:val="center"/>
        <w:rPr>
          <w:color w:val="auto"/>
          <w:highlight w:val="none"/>
        </w:rPr>
      </w:pPr>
      <w:r>
        <w:rPr>
          <w:color w:val="auto"/>
          <w:highlight w:val="none"/>
        </w:rPr>
        <w:t> </w:t>
      </w:r>
    </w:p>
    <w:p w14:paraId="0399E67E">
      <w:pPr>
        <w:pStyle w:val="9"/>
        <w:spacing w:beforeAutospacing="0" w:afterAutospacing="0"/>
        <w:jc w:val="center"/>
        <w:rPr>
          <w:color w:val="auto"/>
          <w:highlight w:val="none"/>
        </w:rPr>
      </w:pPr>
      <w:r>
        <w:rPr>
          <w:color w:val="auto"/>
          <w:highlight w:val="none"/>
        </w:rPr>
        <w:t> </w:t>
      </w:r>
    </w:p>
    <w:p w14:paraId="65632FF9">
      <w:pPr>
        <w:pStyle w:val="9"/>
        <w:spacing w:beforeAutospacing="0" w:afterAutospacing="0"/>
        <w:jc w:val="center"/>
        <w:rPr>
          <w:color w:val="auto"/>
          <w:highlight w:val="none"/>
        </w:rPr>
      </w:pPr>
    </w:p>
    <w:p w14:paraId="6611FCE8">
      <w:pPr>
        <w:pStyle w:val="9"/>
        <w:spacing w:beforeAutospacing="0" w:afterAutospacing="0"/>
        <w:jc w:val="center"/>
        <w:rPr>
          <w:color w:val="auto"/>
          <w:highlight w:val="none"/>
        </w:rPr>
      </w:pPr>
    </w:p>
    <w:p w14:paraId="4B1805E6">
      <w:pPr>
        <w:pStyle w:val="9"/>
        <w:spacing w:beforeAutospacing="0" w:afterAutospacing="0"/>
        <w:jc w:val="center"/>
        <w:rPr>
          <w:color w:val="auto"/>
          <w:highlight w:val="none"/>
        </w:rPr>
      </w:pPr>
    </w:p>
    <w:p w14:paraId="6FB13290">
      <w:pPr>
        <w:pStyle w:val="9"/>
        <w:spacing w:beforeAutospacing="0" w:afterAutospacing="0"/>
        <w:jc w:val="center"/>
        <w:rPr>
          <w:color w:val="auto"/>
          <w:highlight w:val="none"/>
        </w:rPr>
      </w:pPr>
    </w:p>
    <w:p w14:paraId="3D582C7A">
      <w:pPr>
        <w:pStyle w:val="9"/>
        <w:spacing w:beforeAutospacing="0" w:afterAutospacing="0"/>
        <w:jc w:val="center"/>
        <w:rPr>
          <w:color w:val="auto"/>
          <w:highlight w:val="none"/>
        </w:rPr>
      </w:pPr>
    </w:p>
    <w:p w14:paraId="6BE016FB">
      <w:pPr>
        <w:pStyle w:val="9"/>
        <w:spacing w:beforeAutospacing="0" w:afterAutospacing="0"/>
        <w:jc w:val="center"/>
        <w:rPr>
          <w:color w:val="auto"/>
          <w:highlight w:val="none"/>
        </w:rPr>
      </w:pPr>
    </w:p>
    <w:p w14:paraId="6E0EFA7E">
      <w:pPr>
        <w:pStyle w:val="9"/>
        <w:spacing w:beforeAutospacing="0" w:afterAutospacing="0"/>
        <w:jc w:val="center"/>
        <w:rPr>
          <w:color w:val="auto"/>
          <w:highlight w:val="none"/>
        </w:rPr>
      </w:pPr>
    </w:p>
    <w:p w14:paraId="64303B81">
      <w:pPr>
        <w:pStyle w:val="9"/>
        <w:spacing w:beforeAutospacing="0" w:afterAutospacing="0"/>
        <w:jc w:val="center"/>
        <w:rPr>
          <w:color w:val="auto"/>
          <w:highlight w:val="none"/>
        </w:rPr>
      </w:pPr>
      <w:r>
        <w:rPr>
          <w:color w:val="auto"/>
          <w:highlight w:val="none"/>
        </w:rPr>
        <w:t> </w:t>
      </w:r>
    </w:p>
    <w:p w14:paraId="5165DDDB">
      <w:pPr>
        <w:pStyle w:val="9"/>
        <w:spacing w:beforeAutospacing="0" w:afterAutospacing="0"/>
        <w:jc w:val="center"/>
        <w:rPr>
          <w:color w:val="auto"/>
          <w:highlight w:val="none"/>
        </w:rPr>
      </w:pPr>
      <w:r>
        <w:rPr>
          <w:color w:val="auto"/>
          <w:highlight w:val="none"/>
        </w:rPr>
        <w:t> </w:t>
      </w:r>
    </w:p>
    <w:p w14:paraId="2D3B68C3">
      <w:pPr>
        <w:pStyle w:val="9"/>
        <w:spacing w:beforeAutospacing="0" w:afterAutospacing="0"/>
        <w:jc w:val="center"/>
        <w:rPr>
          <w:color w:val="auto"/>
          <w:highlight w:val="none"/>
        </w:rPr>
      </w:pPr>
      <w:r>
        <w:rPr>
          <w:color w:val="auto"/>
          <w:highlight w:val="none"/>
        </w:rPr>
        <w:t> </w:t>
      </w:r>
    </w:p>
    <w:p w14:paraId="39BBE98E">
      <w:pPr>
        <w:pStyle w:val="9"/>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711A958E">
      <w:pPr>
        <w:pStyle w:val="9"/>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721E94BA">
      <w:pPr>
        <w:pStyle w:val="9"/>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031CC274">
      <w:pPr>
        <w:pStyle w:val="9"/>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10CB87EE">
      <w:pPr>
        <w:pStyle w:val="9"/>
        <w:spacing w:beforeAutospacing="0" w:afterAutospacing="0" w:line="0" w:lineRule="atLeast"/>
        <w:jc w:val="center"/>
        <w:rPr>
          <w:color w:val="auto"/>
          <w:highlight w:val="none"/>
        </w:rPr>
      </w:pPr>
      <w:r>
        <w:rPr>
          <w:color w:val="auto"/>
          <w:highlight w:val="none"/>
        </w:rPr>
        <w:t> </w:t>
      </w:r>
    </w:p>
    <w:p w14:paraId="54F699D4">
      <w:pPr>
        <w:pStyle w:val="9"/>
        <w:spacing w:beforeAutospacing="0" w:afterAutospacing="0" w:line="0" w:lineRule="atLeast"/>
        <w:jc w:val="both"/>
        <w:rPr>
          <w:color w:val="auto"/>
          <w:highlight w:val="none"/>
        </w:rPr>
      </w:pPr>
      <w:r>
        <w:rPr>
          <w:color w:val="auto"/>
          <w:highlight w:val="none"/>
        </w:rPr>
        <w:t> </w:t>
      </w:r>
    </w:p>
    <w:p w14:paraId="0C3A3613">
      <w:pPr>
        <w:pStyle w:val="9"/>
        <w:spacing w:beforeAutospacing="0" w:afterAutospacing="0" w:line="0" w:lineRule="atLeast"/>
        <w:jc w:val="center"/>
        <w:rPr>
          <w:rFonts w:ascii="宋体" w:hAnsi="宋体" w:eastAsia="宋体" w:cs="宋体"/>
          <w:b/>
          <w:color w:val="auto"/>
          <w:sz w:val="36"/>
          <w:szCs w:val="36"/>
          <w:highlight w:val="none"/>
          <w:u w:val="single"/>
        </w:rPr>
      </w:pPr>
    </w:p>
    <w:p w14:paraId="26CF58C7">
      <w:pPr>
        <w:pStyle w:val="9"/>
        <w:spacing w:beforeAutospacing="0" w:afterAutospacing="0" w:line="0" w:lineRule="atLeast"/>
        <w:jc w:val="center"/>
        <w:rPr>
          <w:rFonts w:ascii="宋体" w:hAnsi="宋体" w:eastAsia="宋体" w:cs="宋体"/>
          <w:b/>
          <w:color w:val="auto"/>
          <w:sz w:val="36"/>
          <w:szCs w:val="36"/>
          <w:highlight w:val="none"/>
          <w:u w:val="single"/>
        </w:rPr>
      </w:pPr>
    </w:p>
    <w:p w14:paraId="1C19C162">
      <w:pPr>
        <w:pStyle w:val="9"/>
        <w:spacing w:beforeAutospacing="0" w:afterAutospacing="0" w:line="0" w:lineRule="atLeast"/>
        <w:jc w:val="both"/>
        <w:rPr>
          <w:rFonts w:ascii="宋体" w:hAnsi="宋体" w:eastAsia="宋体" w:cs="宋体"/>
          <w:b/>
          <w:color w:val="auto"/>
          <w:sz w:val="36"/>
          <w:szCs w:val="36"/>
          <w:highlight w:val="none"/>
          <w:u w:val="single"/>
        </w:rPr>
      </w:pPr>
    </w:p>
    <w:p w14:paraId="0E28C327">
      <w:pPr>
        <w:pStyle w:val="9"/>
        <w:spacing w:beforeAutospacing="0" w:afterAutospacing="0" w:line="0" w:lineRule="atLeast"/>
        <w:jc w:val="both"/>
        <w:rPr>
          <w:rFonts w:ascii="宋体" w:hAnsi="宋体" w:eastAsia="宋体" w:cs="宋体"/>
          <w:b/>
          <w:color w:val="auto"/>
          <w:sz w:val="36"/>
          <w:szCs w:val="36"/>
          <w:highlight w:val="none"/>
          <w:u w:val="single"/>
        </w:rPr>
      </w:pPr>
    </w:p>
    <w:p w14:paraId="018B2636">
      <w:pPr>
        <w:pStyle w:val="9"/>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2ED222EC">
      <w:pPr>
        <w:pStyle w:val="9"/>
        <w:spacing w:beforeAutospacing="0" w:afterAutospacing="0" w:line="0" w:lineRule="atLeast"/>
        <w:jc w:val="center"/>
        <w:rPr>
          <w:color w:val="auto"/>
          <w:highlight w:val="none"/>
        </w:rPr>
      </w:pPr>
      <w:r>
        <w:rPr>
          <w:color w:val="auto"/>
          <w:highlight w:val="none"/>
        </w:rPr>
        <w:t> </w:t>
      </w:r>
    </w:p>
    <w:p w14:paraId="16C17232">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一、法人或者其他组织的营业执照等证明文件</w:t>
      </w:r>
      <w:r>
        <w:rPr>
          <w:rFonts w:hint="eastAsia" w:ascii="宋体" w:hAnsi="宋体" w:eastAsia="宋体" w:cs="宋体"/>
          <w:i w:val="0"/>
          <w:iCs/>
          <w:color w:val="auto"/>
          <w:highlight w:val="none"/>
          <w:u w:val="none"/>
          <w:lang w:val="en-US" w:eastAsia="zh-CN"/>
        </w:rPr>
        <w:t>或</w:t>
      </w:r>
      <w:r>
        <w:rPr>
          <w:rFonts w:hint="eastAsia" w:ascii="宋体" w:hAnsi="宋体" w:eastAsia="宋体" w:cs="宋体"/>
          <w:i w:val="0"/>
          <w:iCs/>
          <w:color w:val="auto"/>
          <w:highlight w:val="none"/>
          <w:u w:val="none"/>
        </w:rPr>
        <w:t>自然人的身份证明</w:t>
      </w:r>
    </w:p>
    <w:p w14:paraId="1DAEB243">
      <w:pPr>
        <w:keepNext w:val="0"/>
        <w:keepLines w:val="0"/>
        <w:pageBreakBefore w:val="0"/>
        <w:tabs>
          <w:tab w:val="left" w:pos="1331"/>
        </w:tabs>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color w:val="auto"/>
          <w:kern w:val="0"/>
          <w:sz w:val="24"/>
          <w:szCs w:val="24"/>
          <w:highlight w:val="none"/>
          <w:u w:val="none"/>
          <w:lang w:val="en-US" w:eastAsia="zh-CN" w:bidi="ar-SA"/>
        </w:rPr>
      </w:pPr>
      <w:r>
        <w:rPr>
          <w:rFonts w:hint="eastAsia" w:ascii="宋体" w:hAnsi="宋体" w:eastAsia="宋体" w:cs="宋体"/>
          <w:i w:val="0"/>
          <w:iCs/>
          <w:color w:val="auto"/>
          <w:kern w:val="0"/>
          <w:sz w:val="24"/>
          <w:szCs w:val="24"/>
          <w:highlight w:val="none"/>
          <w:u w:val="none"/>
          <w:lang w:val="en-US" w:eastAsia="zh-CN" w:bidi="ar-SA"/>
        </w:rPr>
        <w:t>二、上一年度的财务状况报告（至少提供资产负债表、利润表、现金流量表，</w:t>
      </w:r>
    </w:p>
    <w:p w14:paraId="4E3756C4">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投标人成立不满一年无需提供）</w:t>
      </w:r>
    </w:p>
    <w:p w14:paraId="60A641DE">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、具备履行合同所必需的设备和专业技术能力的书面声明</w:t>
      </w:r>
    </w:p>
    <w:p w14:paraId="7525A689">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78125AA2">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五、参加政府采购活动前 3 年内在经营活动中没有重大违法记录的书面声明</w:t>
      </w:r>
    </w:p>
    <w:p w14:paraId="0D3A9939">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六、特定资格要求的证明文件（如果本项目设置特定资格要求，则需要提供）</w:t>
      </w:r>
    </w:p>
    <w:p w14:paraId="7D9091DA">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七、法人授权书</w:t>
      </w:r>
    </w:p>
    <w:p w14:paraId="0DC41FA1">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八、投标函</w:t>
      </w:r>
    </w:p>
    <w:p w14:paraId="679DF09D">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62AB95B0">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十、残疾人福利性单位声明函</w:t>
      </w:r>
    </w:p>
    <w:p w14:paraId="6B68F2A1">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一</w:t>
      </w:r>
      <w:r>
        <w:rPr>
          <w:rFonts w:hint="eastAsia" w:ascii="宋体" w:hAnsi="宋体" w:eastAsia="宋体" w:cs="宋体"/>
          <w:i w:val="0"/>
          <w:iCs/>
          <w:color w:val="auto"/>
          <w:highlight w:val="none"/>
          <w:u w:val="none"/>
        </w:rPr>
        <w:t>、投标分项报价表</w:t>
      </w:r>
    </w:p>
    <w:p w14:paraId="34D96582">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二</w:t>
      </w:r>
      <w:r>
        <w:rPr>
          <w:rFonts w:hint="eastAsia" w:ascii="宋体" w:hAnsi="宋体" w:eastAsia="宋体" w:cs="宋体"/>
          <w:i w:val="0"/>
          <w:iCs/>
          <w:color w:val="auto"/>
          <w:highlight w:val="none"/>
          <w:u w:val="none"/>
        </w:rPr>
        <w:t>、技术要求响应及偏离表</w:t>
      </w:r>
    </w:p>
    <w:p w14:paraId="40544623">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、商务要求响应及偏离表</w:t>
      </w:r>
    </w:p>
    <w:p w14:paraId="01E881C2">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、开标一览表</w:t>
      </w:r>
    </w:p>
    <w:p w14:paraId="0313E93F">
      <w:pPr>
        <w:keepNext w:val="0"/>
        <w:keepLines w:val="0"/>
        <w:pageBreakBefore w:val="0"/>
        <w:widowControl/>
        <w:kinsoku/>
        <w:wordWrap/>
        <w:overflowPunct/>
        <w:topLinePunct w:val="0"/>
        <w:autoSpaceDE/>
        <w:autoSpaceDN/>
        <w:bidi w:val="0"/>
        <w:adjustRightInd/>
        <w:snapToGrid/>
        <w:spacing w:before="50" w:after="50" w:line="500" w:lineRule="exact"/>
        <w:ind w:firstLine="480" w:firstLineChars="200"/>
        <w:textAlignment w:val="auto"/>
        <w:rPr>
          <w:rFonts w:ascii="宋体" w:hAnsi="宋体" w:eastAsia="宋体" w:cs="宋体"/>
          <w:i w:val="0"/>
          <w:iCs/>
          <w:color w:val="auto"/>
          <w:kern w:val="0"/>
          <w:sz w:val="24"/>
          <w:highlight w:val="none"/>
          <w:u w:val="none"/>
        </w:rPr>
      </w:pPr>
      <w:r>
        <w:rPr>
          <w:rFonts w:hint="eastAsia" w:ascii="宋体" w:hAnsi="宋体" w:eastAsia="宋体" w:cs="宋体"/>
          <w:i w:val="0"/>
          <w:iCs/>
          <w:color w:val="auto"/>
          <w:kern w:val="0"/>
          <w:sz w:val="24"/>
          <w:highlight w:val="none"/>
          <w:u w:val="none"/>
        </w:rPr>
        <w:t>十</w:t>
      </w:r>
      <w:r>
        <w:rPr>
          <w:rFonts w:hint="eastAsia" w:ascii="宋体" w:hAnsi="宋体" w:eastAsia="宋体" w:cs="宋体"/>
          <w:i w:val="0"/>
          <w:iCs/>
          <w:color w:val="auto"/>
          <w:kern w:val="0"/>
          <w:sz w:val="24"/>
          <w:highlight w:val="none"/>
          <w:u w:val="none"/>
          <w:lang w:val="en-US" w:eastAsia="zh-CN"/>
        </w:rPr>
        <w:t>五</w:t>
      </w:r>
      <w:r>
        <w:rPr>
          <w:rFonts w:hint="eastAsia" w:ascii="宋体" w:hAnsi="宋体" w:eastAsia="宋体" w:cs="宋体"/>
          <w:i w:val="0"/>
          <w:iCs/>
          <w:color w:val="auto"/>
          <w:kern w:val="0"/>
          <w:sz w:val="24"/>
          <w:highlight w:val="none"/>
          <w:u w:val="none"/>
        </w:rPr>
        <w:t>、</w:t>
      </w:r>
      <w:r>
        <w:rPr>
          <w:rFonts w:hint="eastAsia" w:ascii="宋体" w:hAnsi="宋体" w:eastAsia="宋体" w:cs="宋体"/>
          <w:i w:val="0"/>
          <w:iCs/>
          <w:color w:val="auto"/>
          <w:kern w:val="0"/>
          <w:sz w:val="24"/>
          <w:highlight w:val="none"/>
          <w:u w:val="none"/>
          <w:lang w:val="en-US" w:eastAsia="zh-CN"/>
        </w:rPr>
        <w:t>整体设想及策划、制度的建立</w:t>
      </w:r>
      <w:r>
        <w:rPr>
          <w:rFonts w:hint="eastAsia" w:ascii="宋体" w:hAnsi="宋体" w:eastAsia="宋体" w:cs="宋体"/>
          <w:i w:val="0"/>
          <w:iCs/>
          <w:color w:val="auto"/>
          <w:kern w:val="0"/>
          <w:sz w:val="24"/>
          <w:highlight w:val="none"/>
          <w:u w:val="none"/>
        </w:rPr>
        <w:t>等</w:t>
      </w:r>
    </w:p>
    <w:p w14:paraId="208DFFC8">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六</w:t>
      </w:r>
      <w:r>
        <w:rPr>
          <w:rFonts w:hint="eastAsia" w:ascii="宋体" w:hAnsi="宋体" w:eastAsia="宋体" w:cs="宋体"/>
          <w:i w:val="0"/>
          <w:iCs/>
          <w:color w:val="auto"/>
          <w:highlight w:val="none"/>
          <w:u w:val="none"/>
        </w:rPr>
        <w:t>、盐城市政府采购事前信用承诺书</w:t>
      </w:r>
    </w:p>
    <w:p w14:paraId="7EFC837C">
      <w:pPr>
        <w:pStyle w:val="9"/>
        <w:spacing w:beforeAutospacing="0" w:afterAutospacing="0" w:line="0" w:lineRule="atLeast"/>
        <w:ind w:firstLine="480"/>
        <w:jc w:val="both"/>
        <w:rPr>
          <w:rFonts w:ascii="宋体" w:hAnsi="宋体" w:eastAsia="宋体" w:cs="宋体"/>
          <w:color w:val="auto"/>
          <w:highlight w:val="none"/>
        </w:rPr>
      </w:pPr>
    </w:p>
    <w:p w14:paraId="14CCB3EA">
      <w:pPr>
        <w:pStyle w:val="9"/>
        <w:spacing w:beforeAutospacing="0" w:afterAutospacing="0" w:line="0" w:lineRule="atLeas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注：招标文件中规定要求提供的证明材料和投标人认为需要提供的其他材料。</w:t>
      </w:r>
    </w:p>
    <w:p w14:paraId="41B36FB1">
      <w:pPr>
        <w:pStyle w:val="9"/>
        <w:spacing w:beforeAutospacing="0" w:afterAutospacing="0" w:line="0" w:lineRule="atLeast"/>
        <w:ind w:firstLine="480"/>
        <w:jc w:val="both"/>
        <w:rPr>
          <w:rFonts w:hint="eastAsia" w:ascii="宋体" w:hAnsi="宋体" w:eastAsia="宋体" w:cs="宋体"/>
          <w:color w:val="auto"/>
          <w:highlight w:val="none"/>
          <w:lang w:val="en-US" w:eastAsia="zh-CN"/>
        </w:rPr>
      </w:pPr>
    </w:p>
    <w:p w14:paraId="565F5956">
      <w:pPr>
        <w:pStyle w:val="9"/>
        <w:spacing w:beforeAutospacing="0" w:afterAutospacing="0" w:line="0" w:lineRule="atLeast"/>
        <w:ind w:firstLine="480"/>
        <w:jc w:val="both"/>
        <w:rPr>
          <w:color w:val="auto"/>
          <w:highlight w:val="none"/>
        </w:rPr>
      </w:pPr>
      <w:r>
        <w:rPr>
          <w:color w:val="auto"/>
          <w:highlight w:val="none"/>
        </w:rPr>
        <w:t> </w:t>
      </w:r>
    </w:p>
    <w:p w14:paraId="6C290CC2">
      <w:pPr>
        <w:rPr>
          <w:color w:val="auto"/>
          <w:highlight w:val="none"/>
        </w:rPr>
      </w:pPr>
    </w:p>
    <w:p w14:paraId="5B7EE04A">
      <w:pPr>
        <w:rPr>
          <w:color w:val="auto"/>
          <w:highlight w:val="none"/>
        </w:rPr>
      </w:pPr>
    </w:p>
    <w:p w14:paraId="125D22F1">
      <w:pPr>
        <w:rPr>
          <w:color w:val="auto"/>
          <w:highlight w:val="none"/>
        </w:rPr>
      </w:pPr>
    </w:p>
    <w:p w14:paraId="3E9400F9">
      <w:pPr>
        <w:rPr>
          <w:color w:val="auto"/>
          <w:highlight w:val="none"/>
        </w:rPr>
      </w:pPr>
    </w:p>
    <w:p w14:paraId="51849917">
      <w:pPr>
        <w:rPr>
          <w:color w:val="auto"/>
          <w:highlight w:val="none"/>
        </w:rPr>
      </w:pPr>
      <w:r>
        <w:rPr>
          <w:color w:val="auto"/>
          <w:highlight w:val="none"/>
        </w:rPr>
        <w:t> </w:t>
      </w:r>
    </w:p>
    <w:p w14:paraId="01AA4B0F">
      <w:pPr>
        <w:pStyle w:val="9"/>
        <w:spacing w:beforeAutospacing="0" w:afterAutospacing="0" w:line="0" w:lineRule="atLeast"/>
        <w:ind w:firstLine="480"/>
        <w:jc w:val="both"/>
        <w:rPr>
          <w:color w:val="auto"/>
          <w:highlight w:val="none"/>
        </w:rPr>
      </w:pPr>
      <w:r>
        <w:rPr>
          <w:color w:val="auto"/>
          <w:highlight w:val="none"/>
        </w:rPr>
        <w:t> </w:t>
      </w:r>
    </w:p>
    <w:p w14:paraId="73E6D7A7">
      <w:pPr>
        <w:pStyle w:val="9"/>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w:t>
      </w:r>
      <w:r>
        <w:rPr>
          <w:rFonts w:hint="eastAsia" w:ascii="黑体" w:hAnsi="宋体" w:eastAsia="黑体" w:cs="黑体"/>
          <w:i/>
          <w:color w:val="auto"/>
          <w:sz w:val="32"/>
          <w:szCs w:val="32"/>
          <w:highlight w:val="none"/>
          <w:u w:val="single"/>
          <w:lang w:val="en-US" w:eastAsia="zh-CN"/>
        </w:rPr>
        <w:t>或</w:t>
      </w:r>
      <w:r>
        <w:rPr>
          <w:rFonts w:hint="eastAsia" w:ascii="黑体" w:hAnsi="宋体" w:eastAsia="黑体" w:cs="黑体"/>
          <w:i/>
          <w:color w:val="auto"/>
          <w:sz w:val="32"/>
          <w:szCs w:val="32"/>
          <w:highlight w:val="none"/>
          <w:u w:val="single"/>
        </w:rPr>
        <w:t>自然人的身份证明</w:t>
      </w:r>
    </w:p>
    <w:p w14:paraId="224DC3A1">
      <w:pPr>
        <w:pStyle w:val="9"/>
        <w:spacing w:beforeAutospacing="0" w:afterAutospacing="0" w:line="0" w:lineRule="atLeast"/>
        <w:ind w:firstLine="480"/>
        <w:jc w:val="both"/>
        <w:rPr>
          <w:color w:val="auto"/>
          <w:highlight w:val="none"/>
        </w:rPr>
      </w:pPr>
      <w:r>
        <w:rPr>
          <w:color w:val="auto"/>
          <w:highlight w:val="none"/>
        </w:rPr>
        <w:t> </w:t>
      </w:r>
    </w:p>
    <w:p w14:paraId="600C8573">
      <w:pPr>
        <w:pStyle w:val="9"/>
        <w:spacing w:beforeAutospacing="0" w:afterAutospacing="0"/>
        <w:jc w:val="both"/>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w:t>
      </w:r>
    </w:p>
    <w:p w14:paraId="6C1F21FF">
      <w:pPr>
        <w:tabs>
          <w:tab w:val="left" w:pos="1331"/>
        </w:tabs>
        <w:bidi w:val="0"/>
        <w:ind w:firstLine="480" w:firstLineChars="200"/>
        <w:jc w:val="left"/>
        <w:rPr>
          <w:rFonts w:ascii="宋体" w:hAnsi="宋体" w:eastAsia="宋体" w:cs="宋体"/>
          <w:i w:val="0"/>
          <w:iCs/>
          <w:color w:val="auto"/>
          <w:highlight w:val="none"/>
          <w:u w:val="none"/>
        </w:rPr>
      </w:pPr>
      <w:r>
        <w:rPr>
          <w:rFonts w:hint="eastAsia" w:ascii="宋体" w:hAnsi="宋体" w:eastAsia="宋体" w:cs="宋体"/>
          <w:i w:val="0"/>
          <w:iCs/>
          <w:color w:val="auto"/>
          <w:kern w:val="0"/>
          <w:sz w:val="24"/>
          <w:szCs w:val="24"/>
          <w:highlight w:val="none"/>
          <w:u w:val="none"/>
          <w:lang w:val="en-US" w:eastAsia="zh-CN" w:bidi="ar-SA"/>
        </w:rPr>
        <w:t>（至少提供资产负债表、利润表、现金流量表，</w:t>
      </w:r>
      <w:r>
        <w:rPr>
          <w:rFonts w:hint="eastAsia" w:ascii="宋体" w:hAnsi="宋体" w:eastAsia="宋体" w:cs="宋体"/>
          <w:i w:val="0"/>
          <w:iCs/>
          <w:color w:val="auto"/>
          <w:highlight w:val="none"/>
          <w:u w:val="none"/>
        </w:rPr>
        <w:t>投标人成立不满一年无需提供）</w:t>
      </w:r>
    </w:p>
    <w:p w14:paraId="1C492CDF">
      <w:pPr>
        <w:pStyle w:val="9"/>
        <w:spacing w:beforeAutospacing="0" w:afterAutospacing="0"/>
        <w:jc w:val="both"/>
        <w:rPr>
          <w:color w:val="auto"/>
          <w:highlight w:val="none"/>
        </w:rPr>
      </w:pPr>
    </w:p>
    <w:p w14:paraId="4063735C">
      <w:pPr>
        <w:pStyle w:val="9"/>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5B0CFD24">
      <w:pPr>
        <w:pStyle w:val="9"/>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57BC5969">
      <w:pPr>
        <w:pStyle w:val="9"/>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D2BDCB3">
      <w:pPr>
        <w:pStyle w:val="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D314455">
      <w:pPr>
        <w:pStyle w:val="9"/>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1E0D9C02">
      <w:pPr>
        <w:pStyle w:val="9"/>
        <w:spacing w:beforeAutospacing="0" w:afterAutospacing="0"/>
        <w:ind w:firstLine="480"/>
        <w:jc w:val="both"/>
        <w:rPr>
          <w:color w:val="auto"/>
          <w:highlight w:val="none"/>
        </w:rPr>
      </w:pPr>
      <w:bookmarkStart w:id="186"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186"/>
    </w:p>
    <w:p w14:paraId="2CF2580B">
      <w:pPr>
        <w:pStyle w:val="9"/>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2FA3A7FD">
      <w:pPr>
        <w:pStyle w:val="9"/>
        <w:spacing w:beforeAutospacing="0" w:afterAutospacing="0" w:line="0" w:lineRule="atLeast"/>
        <w:jc w:val="both"/>
        <w:rPr>
          <w:color w:val="auto"/>
          <w:highlight w:val="none"/>
        </w:rPr>
      </w:pPr>
      <w:r>
        <w:rPr>
          <w:rFonts w:hint="eastAsia" w:ascii="宋体" w:hAnsi="宋体" w:eastAsia="宋体" w:cs="宋体"/>
          <w:b/>
          <w:color w:val="auto"/>
          <w:sz w:val="44"/>
          <w:szCs w:val="44"/>
          <w:highlight w:val="none"/>
        </w:rPr>
        <w:t>       声  明</w:t>
      </w:r>
    </w:p>
    <w:p w14:paraId="0FD3A522">
      <w:pPr>
        <w:pStyle w:val="9"/>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0AF3351E">
      <w:pPr>
        <w:pStyle w:val="9"/>
        <w:spacing w:beforeAutospacing="0" w:afterAutospacing="0"/>
        <w:jc w:val="both"/>
        <w:rPr>
          <w:color w:val="auto"/>
          <w:highlight w:val="none"/>
        </w:rPr>
      </w:pPr>
      <w:r>
        <w:rPr>
          <w:color w:val="auto"/>
          <w:highlight w:val="none"/>
        </w:rPr>
        <w:t> </w:t>
      </w:r>
    </w:p>
    <w:p w14:paraId="11B9A0DF">
      <w:pPr>
        <w:pStyle w:val="9"/>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446510CE">
      <w:pPr>
        <w:pStyle w:val="9"/>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5938016E">
      <w:pPr>
        <w:pStyle w:val="9"/>
        <w:spacing w:beforeAutospacing="0" w:afterAutospacing="0" w:line="0" w:lineRule="atLeast"/>
        <w:jc w:val="both"/>
        <w:rPr>
          <w:color w:val="auto"/>
          <w:highlight w:val="none"/>
        </w:rPr>
      </w:pPr>
      <w:r>
        <w:rPr>
          <w:color w:val="auto"/>
          <w:highlight w:val="none"/>
        </w:rPr>
        <w:t> </w:t>
      </w:r>
    </w:p>
    <w:p w14:paraId="649619DA">
      <w:pPr>
        <w:pStyle w:val="9"/>
        <w:spacing w:beforeAutospacing="0" w:afterAutospacing="0"/>
        <w:jc w:val="center"/>
        <w:rPr>
          <w:rFonts w:ascii="黑体" w:hAnsi="宋体" w:eastAsia="黑体" w:cs="黑体"/>
          <w:i/>
          <w:color w:val="auto"/>
          <w:sz w:val="32"/>
          <w:szCs w:val="32"/>
          <w:highlight w:val="none"/>
          <w:u w:val="single"/>
        </w:rPr>
      </w:pPr>
    </w:p>
    <w:p w14:paraId="7061E2C4">
      <w:pPr>
        <w:pStyle w:val="9"/>
        <w:spacing w:beforeAutospacing="0" w:afterAutospacing="0"/>
        <w:jc w:val="center"/>
        <w:rPr>
          <w:rFonts w:ascii="黑体" w:hAnsi="宋体" w:eastAsia="黑体" w:cs="黑体"/>
          <w:i/>
          <w:color w:val="auto"/>
          <w:sz w:val="32"/>
          <w:szCs w:val="32"/>
          <w:highlight w:val="none"/>
          <w:u w:val="single"/>
        </w:rPr>
      </w:pPr>
    </w:p>
    <w:p w14:paraId="79735585">
      <w:pPr>
        <w:pStyle w:val="9"/>
        <w:spacing w:beforeAutospacing="0" w:afterAutospacing="0"/>
        <w:jc w:val="center"/>
        <w:rPr>
          <w:rFonts w:ascii="黑体" w:hAnsi="宋体" w:eastAsia="黑体" w:cs="黑体"/>
          <w:i/>
          <w:color w:val="auto"/>
          <w:sz w:val="32"/>
          <w:szCs w:val="32"/>
          <w:highlight w:val="none"/>
          <w:u w:val="single"/>
        </w:rPr>
      </w:pPr>
    </w:p>
    <w:p w14:paraId="07C89CFB">
      <w:pPr>
        <w:pStyle w:val="9"/>
        <w:spacing w:beforeAutospacing="0" w:afterAutospacing="0"/>
        <w:jc w:val="center"/>
        <w:rPr>
          <w:rFonts w:ascii="黑体" w:hAnsi="宋体" w:eastAsia="黑体" w:cs="黑体"/>
          <w:i/>
          <w:color w:val="auto"/>
          <w:sz w:val="32"/>
          <w:szCs w:val="32"/>
          <w:highlight w:val="none"/>
          <w:u w:val="single"/>
        </w:rPr>
      </w:pPr>
    </w:p>
    <w:p w14:paraId="6621B32E">
      <w:pPr>
        <w:pStyle w:val="9"/>
        <w:spacing w:beforeAutospacing="0" w:afterAutospacing="0"/>
        <w:jc w:val="center"/>
        <w:rPr>
          <w:rFonts w:ascii="黑体" w:hAnsi="宋体" w:eastAsia="黑体" w:cs="黑体"/>
          <w:i/>
          <w:color w:val="auto"/>
          <w:sz w:val="32"/>
          <w:szCs w:val="32"/>
          <w:highlight w:val="none"/>
          <w:u w:val="single"/>
        </w:rPr>
      </w:pPr>
    </w:p>
    <w:p w14:paraId="78FEB330">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color w:val="auto"/>
          <w:highlight w:val="none"/>
        </w:rPr>
      </w:pPr>
      <w:r>
        <w:rPr>
          <w:rFonts w:hint="eastAsia" w:ascii="黑体" w:hAnsi="宋体" w:eastAsia="黑体" w:cs="黑体"/>
          <w:i/>
          <w:color w:val="auto"/>
          <w:sz w:val="32"/>
          <w:szCs w:val="32"/>
          <w:highlight w:val="none"/>
          <w:u w:val="single"/>
        </w:rPr>
        <w:t>七、法人授权书</w:t>
      </w:r>
    </w:p>
    <w:p w14:paraId="7F688442">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rFonts w:ascii="Times New Roman" w:hAnsi="Times New Roman"/>
          <w:color w:val="auto"/>
          <w:highlight w:val="none"/>
        </w:rPr>
        <w:t>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7808D496">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rFonts w:ascii="Times New Roman" w:hAnsi="Times New Roman"/>
          <w:color w:val="auto"/>
          <w:highlight w:val="none"/>
        </w:rPr>
        <w:t>本授权书于______年____月____日起生效，特此声明。</w:t>
      </w:r>
    </w:p>
    <w:p w14:paraId="081331DB">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jc w:val="both"/>
        <w:textAlignment w:val="auto"/>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3FC8FB50">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jc w:val="both"/>
        <w:textAlignment w:val="auto"/>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7BF7D16E">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1200"/>
        <w:jc w:val="both"/>
        <w:textAlignment w:val="auto"/>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04F270A3">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3889873A">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rFonts w:ascii="Times New Roman" w:hAnsi="Times New Roman"/>
          <w:color w:val="auto"/>
          <w:highlight w:val="none"/>
        </w:rPr>
        <w:t>      日期：</w:t>
      </w:r>
      <w:bookmarkStart w:id="187" w:name="_Hlt26955070"/>
      <w:bookmarkStart w:id="188" w:name="_格式3__银行出具的资信证明"/>
      <w:bookmarkStart w:id="189" w:name="_Hlt26671380"/>
      <w:r>
        <w:rPr>
          <w:rFonts w:ascii="Times New Roman" w:hAnsi="Times New Roman"/>
          <w:color w:val="auto"/>
          <w:highlight w:val="none"/>
          <w:u w:val="single"/>
        </w:rPr>
        <w:t xml:space="preserve">                                         </w:t>
      </w:r>
    </w:p>
    <w:p w14:paraId="442E409C">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color w:val="auto"/>
          <w:highlight w:val="none"/>
        </w:rPr>
      </w:pPr>
      <w:r>
        <w:rPr>
          <w:color w:val="auto"/>
          <w:highlight w:val="none"/>
        </w:rPr>
        <w:t> </w:t>
      </w:r>
    </w:p>
    <w:p w14:paraId="4CC3C983">
      <w:pPr>
        <w:pStyle w:val="9"/>
        <w:spacing w:beforeAutospacing="0" w:afterAutospacing="0"/>
        <w:jc w:val="both"/>
        <w:rPr>
          <w:color w:val="auto"/>
          <w:highlight w:val="none"/>
        </w:rPr>
      </w:pPr>
      <w:r>
        <w:rPr>
          <w:color w:val="auto"/>
          <w:highlight w:val="none"/>
        </w:rPr>
        <w:t> </w:t>
      </w:r>
    </w:p>
    <w:p w14:paraId="06E46F71">
      <w:pPr>
        <w:pStyle w:val="9"/>
        <w:spacing w:beforeAutospacing="0" w:afterAutospacing="0" w:line="0" w:lineRule="atLeast"/>
        <w:jc w:val="both"/>
        <w:rPr>
          <w:color w:val="auto"/>
          <w:highlight w:val="none"/>
        </w:rPr>
      </w:pPr>
      <w:r>
        <w:rPr>
          <w:color w:val="auto"/>
          <w:highlight w:val="none"/>
        </w:rPr>
        <w:t> </w:t>
      </w:r>
    </w:p>
    <w:p w14:paraId="2AE51F74">
      <w:pPr>
        <w:pStyle w:val="9"/>
        <w:spacing w:beforeAutospacing="0" w:afterAutospacing="0" w:line="0" w:lineRule="atLeast"/>
        <w:jc w:val="both"/>
        <w:rPr>
          <w:color w:val="auto"/>
          <w:highlight w:val="none"/>
        </w:rPr>
      </w:pPr>
      <w:r>
        <w:rPr>
          <w:color w:val="auto"/>
          <w:highlight w:val="none"/>
        </w:rPr>
        <w:t> </w:t>
      </w:r>
    </w:p>
    <w:p w14:paraId="2D92F43F">
      <w:pPr>
        <w:pStyle w:val="9"/>
        <w:keepNext/>
        <w:keepLines/>
        <w:spacing w:before="260" w:beforeAutospacing="0" w:after="260" w:afterAutospacing="0" w:line="415" w:lineRule="auto"/>
        <w:ind w:firstLine="3390"/>
        <w:jc w:val="both"/>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r>
      <w:r>
        <w:rPr>
          <w:rFonts w:hint="eastAsia" w:ascii="宋体" w:hAnsi="宋体" w:eastAsia="宋体" w:cs="宋体"/>
          <w:b/>
          <w:i/>
          <w:iCs/>
          <w:color w:val="auto"/>
          <w:highlight w:val="none"/>
          <w:u w:val="single"/>
        </w:rPr>
        <w:t> </w:t>
      </w:r>
      <w:r>
        <w:rPr>
          <w:rFonts w:hint="eastAsia" w:ascii="黑体" w:hAnsi="宋体" w:eastAsia="黑体" w:cs="黑体"/>
          <w:b/>
          <w:i/>
          <w:iCs/>
          <w:color w:val="auto"/>
          <w:sz w:val="32"/>
          <w:szCs w:val="32"/>
          <w:highlight w:val="none"/>
          <w:u w:val="single"/>
        </w:rPr>
        <w:t>八、投标函</w:t>
      </w:r>
    </w:p>
    <w:p w14:paraId="1B113C8D">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textAlignment w:val="auto"/>
        <w:rPr>
          <w:rFonts w:hint="default" w:eastAsia="宋体"/>
          <w:color w:val="auto"/>
          <w:highlight w:val="none"/>
          <w:u w:val="single"/>
          <w:lang w:val="en-US" w:eastAsia="zh-CN"/>
        </w:rPr>
      </w:pPr>
      <w:r>
        <w:rPr>
          <w:rFonts w:hint="eastAsia" w:ascii="宋体" w:hAnsi="宋体" w:eastAsia="宋体" w:cs="宋体"/>
          <w:color w:val="auto"/>
          <w:highlight w:val="none"/>
        </w:rPr>
        <w:t>致：</w:t>
      </w:r>
      <w:r>
        <w:rPr>
          <w:rFonts w:hint="eastAsia" w:ascii="宋体" w:hAnsi="宋体" w:eastAsia="宋体" w:cs="宋体"/>
          <w:color w:val="auto"/>
          <w:highlight w:val="none"/>
          <w:u w:val="single"/>
          <w:lang w:val="en-US" w:eastAsia="zh-CN"/>
        </w:rPr>
        <w:t xml:space="preserve">                </w:t>
      </w:r>
    </w:p>
    <w:p w14:paraId="3A3EFC09">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根据贵方的</w:t>
      </w:r>
      <w:r>
        <w:rPr>
          <w:rFonts w:ascii="Times New Roman" w:hAnsi="Times New Roman"/>
          <w:color w:val="auto"/>
          <w:highlight w:val="none"/>
        </w:rPr>
        <w:t>JSZC-</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号招标文件，正式授权下述签字人</w:t>
      </w:r>
      <w:r>
        <w:rPr>
          <w:rFonts w:hint="eastAsia"/>
          <w:color w:val="auto"/>
          <w:sz w:val="24"/>
          <w:szCs w:val="24"/>
          <w:highlight w:val="none"/>
          <w:lang w:eastAsia="zh-CN"/>
        </w:rPr>
        <w:t>（</w:t>
      </w:r>
      <w:r>
        <w:rPr>
          <w:rFonts w:hint="eastAsia"/>
          <w:color w:val="auto"/>
          <w:sz w:val="24"/>
          <w:szCs w:val="24"/>
          <w:highlight w:val="none"/>
          <w:lang w:val="en-US" w:eastAsia="zh-CN"/>
        </w:rPr>
        <w:t>签字或签章）</w:t>
      </w:r>
      <w:r>
        <w:rPr>
          <w:rFonts w:hint="eastAsia" w:ascii="宋体" w:hAnsi="宋体" w:eastAsia="宋体" w:cs="宋体"/>
          <w:color w:val="auto"/>
          <w:highlight w:val="none"/>
        </w:rPr>
        <w:t>______(姓名)代表我方______________（投标人的名称），全权处理本次项目投标的有关事宜。</w:t>
      </w:r>
    </w:p>
    <w:p w14:paraId="23E2F32D">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据此函，__________签字人</w:t>
      </w:r>
      <w:r>
        <w:rPr>
          <w:rFonts w:hint="eastAsia"/>
          <w:color w:val="auto"/>
          <w:sz w:val="24"/>
          <w:szCs w:val="24"/>
          <w:highlight w:val="none"/>
          <w:lang w:eastAsia="zh-CN"/>
        </w:rPr>
        <w:t>（</w:t>
      </w:r>
      <w:r>
        <w:rPr>
          <w:rFonts w:hint="eastAsia"/>
          <w:color w:val="auto"/>
          <w:sz w:val="24"/>
          <w:szCs w:val="24"/>
          <w:highlight w:val="none"/>
          <w:lang w:val="en-US" w:eastAsia="zh-CN"/>
        </w:rPr>
        <w:t>签字或签章）</w:t>
      </w:r>
      <w:r>
        <w:rPr>
          <w:rFonts w:hint="eastAsia" w:ascii="宋体" w:hAnsi="宋体" w:eastAsia="宋体" w:cs="宋体"/>
          <w:color w:val="auto"/>
          <w:highlight w:val="none"/>
        </w:rPr>
        <w:t>兹宣布同意如下：</w:t>
      </w:r>
    </w:p>
    <w:p w14:paraId="0D597768">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1C5E42FF">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2.我们完全理解贵方不一定将合同授予最低报价的投标人。</w:t>
      </w:r>
    </w:p>
    <w:p w14:paraId="7F47A200">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5EA008E6">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06B11E43">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7BCCBDC8">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4D2E7C71">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7.与本投标有关的正式通讯地址为：</w:t>
      </w:r>
    </w:p>
    <w:p w14:paraId="1A27F8C3">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0" w:firstLine="480"/>
        <w:textAlignment w:val="auto"/>
        <w:rPr>
          <w:color w:val="auto"/>
          <w:highlight w:val="none"/>
        </w:rPr>
      </w:pPr>
      <w:r>
        <w:rPr>
          <w:rFonts w:hint="eastAsia" w:ascii="宋体" w:hAnsi="宋体" w:eastAsia="宋体" w:cs="宋体"/>
          <w:color w:val="auto"/>
          <w:highlight w:val="none"/>
        </w:rPr>
        <w:t>地          址：</w:t>
      </w:r>
    </w:p>
    <w:p w14:paraId="668345A6">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0" w:firstLine="480"/>
        <w:textAlignment w:val="auto"/>
        <w:rPr>
          <w:color w:val="auto"/>
          <w:highlight w:val="none"/>
        </w:rPr>
      </w:pPr>
      <w:r>
        <w:rPr>
          <w:rFonts w:hint="eastAsia" w:ascii="宋体" w:hAnsi="宋体" w:eastAsia="宋体" w:cs="宋体"/>
          <w:color w:val="auto"/>
          <w:highlight w:val="none"/>
        </w:rPr>
        <w:t>邮          编：</w:t>
      </w:r>
    </w:p>
    <w:p w14:paraId="61D2B7F6">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0" w:firstLine="480"/>
        <w:textAlignment w:val="auto"/>
        <w:rPr>
          <w:color w:val="auto"/>
          <w:highlight w:val="none"/>
        </w:rPr>
      </w:pPr>
      <w:r>
        <w:rPr>
          <w:rFonts w:hint="eastAsia" w:ascii="宋体" w:hAnsi="宋体" w:eastAsia="宋体" w:cs="宋体"/>
          <w:color w:val="auto"/>
          <w:highlight w:val="none"/>
        </w:rPr>
        <w:t>电          话：</w:t>
      </w:r>
    </w:p>
    <w:p w14:paraId="20FA95D5">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0" w:firstLine="480"/>
        <w:textAlignment w:val="auto"/>
        <w:rPr>
          <w:color w:val="auto"/>
          <w:highlight w:val="none"/>
        </w:rPr>
      </w:pPr>
      <w:r>
        <w:rPr>
          <w:rFonts w:hint="eastAsia" w:ascii="宋体" w:hAnsi="宋体" w:eastAsia="宋体" w:cs="宋体"/>
          <w:color w:val="auto"/>
          <w:highlight w:val="none"/>
        </w:rPr>
        <w:t>传          真：</w:t>
      </w:r>
    </w:p>
    <w:p w14:paraId="0D7B46FF">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0" w:firstLine="480"/>
        <w:textAlignment w:val="auto"/>
        <w:rPr>
          <w:color w:val="auto"/>
          <w:highlight w:val="none"/>
        </w:rPr>
      </w:pPr>
      <w:r>
        <w:rPr>
          <w:rFonts w:hint="eastAsia" w:ascii="宋体" w:hAnsi="宋体" w:eastAsia="宋体" w:cs="宋体"/>
          <w:color w:val="auto"/>
          <w:highlight w:val="none"/>
        </w:rPr>
        <w:t>投标人开户行：</w:t>
      </w:r>
    </w:p>
    <w:p w14:paraId="3616941C">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0" w:firstLine="480"/>
        <w:textAlignment w:val="auto"/>
        <w:rPr>
          <w:color w:val="auto"/>
          <w:highlight w:val="none"/>
        </w:rPr>
      </w:pPr>
      <w:r>
        <w:rPr>
          <w:rFonts w:hint="eastAsia" w:ascii="宋体" w:hAnsi="宋体" w:eastAsia="宋体" w:cs="宋体"/>
          <w:color w:val="auto"/>
          <w:highlight w:val="none"/>
        </w:rPr>
        <w:t xml:space="preserve">账          号： </w:t>
      </w:r>
    </w:p>
    <w:p w14:paraId="3C25A263">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0" w:firstLine="480"/>
        <w:textAlignment w:val="auto"/>
        <w:rPr>
          <w:color w:val="auto"/>
          <w:highlight w:val="none"/>
        </w:rPr>
      </w:pPr>
      <w:r>
        <w:rPr>
          <w:rFonts w:hint="eastAsia" w:ascii="宋体" w:hAnsi="宋体" w:eastAsia="宋体" w:cs="宋体"/>
          <w:color w:val="auto"/>
          <w:highlight w:val="none"/>
        </w:rPr>
        <w:t>日           期：________年____月____日</w:t>
      </w:r>
    </w:p>
    <w:p w14:paraId="105BB823">
      <w:pPr>
        <w:pStyle w:val="9"/>
        <w:spacing w:beforeAutospacing="0" w:afterAutospacing="0" w:line="0" w:lineRule="atLeast"/>
        <w:ind w:firstLine="240"/>
        <w:jc w:val="center"/>
        <w:rPr>
          <w:color w:val="auto"/>
          <w:highlight w:val="none"/>
        </w:rPr>
      </w:pPr>
      <w:r>
        <w:rPr>
          <w:color w:val="auto"/>
          <w:highlight w:val="none"/>
        </w:rPr>
        <w:t> </w:t>
      </w:r>
    </w:p>
    <w:p w14:paraId="7F2BEDDE">
      <w:pPr>
        <w:pStyle w:val="9"/>
        <w:spacing w:beforeAutospacing="0" w:afterAutospacing="0" w:line="0" w:lineRule="atLeast"/>
        <w:ind w:firstLine="240"/>
        <w:jc w:val="center"/>
        <w:rPr>
          <w:color w:val="auto"/>
          <w:highlight w:val="none"/>
        </w:rPr>
      </w:pPr>
      <w:r>
        <w:rPr>
          <w:color w:val="auto"/>
          <w:highlight w:val="none"/>
        </w:rPr>
        <w:t> </w:t>
      </w:r>
    </w:p>
    <w:p w14:paraId="637761B5">
      <w:pPr>
        <w:pStyle w:val="9"/>
        <w:spacing w:beforeAutospacing="0" w:afterAutospacing="0" w:line="0" w:lineRule="atLeast"/>
        <w:jc w:val="both"/>
        <w:rPr>
          <w:color w:val="auto"/>
          <w:highlight w:val="none"/>
        </w:rPr>
      </w:pPr>
    </w:p>
    <w:p w14:paraId="0A47C3D9">
      <w:pPr>
        <w:pStyle w:val="9"/>
        <w:spacing w:beforeAutospacing="0" w:afterAutospacing="0" w:line="0" w:lineRule="atLeast"/>
        <w:jc w:val="center"/>
        <w:rPr>
          <w:color w:val="auto"/>
          <w:highlight w:val="none"/>
        </w:rPr>
      </w:pPr>
      <w:r>
        <w:rPr>
          <w:color w:val="auto"/>
          <w:highlight w:val="none"/>
        </w:rPr>
        <w:t> </w:t>
      </w:r>
    </w:p>
    <w:p w14:paraId="76E9D5C9">
      <w:pPr>
        <w:pStyle w:val="9"/>
        <w:spacing w:beforeAutospacing="0" w:afterAutospacing="0" w:line="0" w:lineRule="atLeast"/>
        <w:jc w:val="center"/>
        <w:rPr>
          <w:i/>
          <w:iCs/>
          <w:color w:val="auto"/>
          <w:highlight w:val="none"/>
          <w:u w:val="single"/>
        </w:rPr>
      </w:pPr>
      <w:r>
        <w:rPr>
          <w:rFonts w:hint="eastAsia" w:ascii="黑体" w:hAnsi="宋体" w:eastAsia="黑体" w:cs="黑体"/>
          <w:b/>
          <w:i/>
          <w:iCs/>
          <w:color w:val="auto"/>
          <w:sz w:val="32"/>
          <w:szCs w:val="32"/>
          <w:highlight w:val="none"/>
          <w:u w:val="single"/>
        </w:rPr>
        <w:t>九、</w:t>
      </w:r>
      <w:r>
        <w:rPr>
          <w:rFonts w:hint="eastAsia" w:ascii="黑体" w:hAnsi="宋体" w:eastAsia="黑体" w:cs="黑体"/>
          <w:b/>
          <w:i/>
          <w:iCs/>
          <w:color w:val="auto"/>
          <w:sz w:val="32"/>
          <w:szCs w:val="32"/>
          <w:highlight w:val="none"/>
          <w:u w:val="single"/>
          <w:lang w:val="en-US" w:eastAsia="zh-CN"/>
        </w:rPr>
        <w:t>中小</w:t>
      </w:r>
      <w:r>
        <w:rPr>
          <w:rFonts w:hint="eastAsia" w:ascii="黑体" w:hAnsi="宋体" w:eastAsia="黑体" w:cs="黑体"/>
          <w:b/>
          <w:i/>
          <w:iCs/>
          <w:color w:val="auto"/>
          <w:sz w:val="32"/>
          <w:szCs w:val="32"/>
          <w:highlight w:val="none"/>
          <w:u w:val="single"/>
        </w:rPr>
        <w:t>企业声明函（服务）</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u w:val="single"/>
          <w:lang w:eastAsia="zh-CN"/>
        </w:rPr>
        <w:t>盐城市亭湖区公共资源交易中心</w:t>
      </w:r>
      <w:r>
        <w:rPr>
          <w:rFonts w:hint="eastAsia"/>
          <w:color w:val="auto"/>
          <w:sz w:val="24"/>
          <w:highlight w:val="none"/>
          <w:u w:val="single"/>
        </w:rPr>
        <w:t>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3"/>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3"/>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9"/>
        <w:spacing w:beforeAutospacing="0" w:afterAutospacing="0" w:line="0" w:lineRule="atLeast"/>
        <w:ind w:right="720"/>
        <w:jc w:val="both"/>
        <w:rPr>
          <w:color w:val="auto"/>
          <w:highlight w:val="none"/>
        </w:rPr>
      </w:pPr>
      <w:r>
        <w:rPr>
          <w:color w:val="auto"/>
          <w:highlight w:val="none"/>
        </w:rPr>
        <w:t> </w:t>
      </w:r>
    </w:p>
    <w:p w14:paraId="6CD49601">
      <w:pPr>
        <w:pStyle w:val="9"/>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9"/>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9"/>
        <w:spacing w:beforeAutospacing="0" w:afterAutospacing="0" w:line="0" w:lineRule="atLeast"/>
        <w:ind w:firstLine="240"/>
        <w:jc w:val="both"/>
        <w:rPr>
          <w:color w:val="auto"/>
          <w:highlight w:val="none"/>
        </w:rPr>
      </w:pPr>
      <w:r>
        <w:rPr>
          <w:color w:val="auto"/>
          <w:highlight w:val="none"/>
        </w:rPr>
        <w:t> </w:t>
      </w:r>
    </w:p>
    <w:p w14:paraId="5FD8B9FE">
      <w:pPr>
        <w:pStyle w:val="9"/>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9"/>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77F08D30">
      <w:pPr>
        <w:pStyle w:val="9"/>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 十、残疾人福利性单位声明函</w:t>
      </w:r>
    </w:p>
    <w:p w14:paraId="3340F3E0">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项目采购活动由本单位提供服务。</w:t>
      </w:r>
    </w:p>
    <w:p w14:paraId="4BF828C0">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rFonts w:hint="eastAsia" w:ascii="宋体" w:hAnsi="宋体" w:eastAsia="宋体" w:cs="宋体"/>
          <w:color w:val="auto"/>
          <w:highlight w:val="none"/>
        </w:rPr>
        <w:t>本单位对上述声明的真实性负责。如有虚假，将依法承担相应责任。</w:t>
      </w:r>
    </w:p>
    <w:p w14:paraId="15F02F8C">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color w:val="auto"/>
          <w:highlight w:val="none"/>
        </w:rPr>
        <w:t> </w:t>
      </w:r>
    </w:p>
    <w:p w14:paraId="7ABEA1EA">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。2、中标人为残疾人福利单位的，此声明函将随中标结果同时公告，接受社会监督</w:t>
      </w:r>
    </w:p>
    <w:p w14:paraId="232C39BB">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624"/>
        <w:jc w:val="both"/>
        <w:textAlignment w:val="auto"/>
        <w:rPr>
          <w:color w:val="auto"/>
          <w:highlight w:val="none"/>
        </w:rPr>
      </w:pPr>
      <w:r>
        <w:rPr>
          <w:color w:val="auto"/>
          <w:highlight w:val="none"/>
        </w:rPr>
        <w:t> </w:t>
      </w:r>
    </w:p>
    <w:p w14:paraId="781AE1FF">
      <w:pPr>
        <w:pStyle w:val="9"/>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exact"/>
        <w:ind w:right="1560" w:firstLine="624"/>
        <w:jc w:val="center"/>
        <w:textAlignment w:val="auto"/>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56F917BD">
      <w:pPr>
        <w:pStyle w:val="9"/>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exact"/>
        <w:ind w:right="1560" w:firstLine="480"/>
        <w:jc w:val="center"/>
        <w:textAlignment w:val="auto"/>
        <w:rPr>
          <w:color w:val="auto"/>
          <w:highlight w:val="none"/>
        </w:rPr>
      </w:pPr>
      <w:r>
        <w:rPr>
          <w:rFonts w:hint="eastAsia" w:ascii="宋体" w:hAnsi="宋体" w:eastAsia="宋体" w:cs="宋体"/>
          <w:color w:val="auto"/>
          <w:highlight w:val="none"/>
        </w:rPr>
        <w:t>        日  期：</w:t>
      </w:r>
    </w:p>
    <w:p w14:paraId="79BBB95A">
      <w:pPr>
        <w:pStyle w:val="9"/>
        <w:spacing w:beforeAutospacing="0" w:afterAutospacing="0" w:line="0" w:lineRule="atLeast"/>
        <w:jc w:val="center"/>
        <w:rPr>
          <w:color w:val="auto"/>
          <w:highlight w:val="none"/>
        </w:rPr>
      </w:pPr>
      <w:r>
        <w:rPr>
          <w:color w:val="auto"/>
          <w:highlight w:val="none"/>
        </w:rPr>
        <w:t> </w:t>
      </w:r>
    </w:p>
    <w:p w14:paraId="05CA5433">
      <w:pPr>
        <w:pStyle w:val="9"/>
        <w:spacing w:beforeAutospacing="0" w:afterAutospacing="0" w:line="0" w:lineRule="atLeast"/>
        <w:jc w:val="center"/>
        <w:rPr>
          <w:color w:val="auto"/>
          <w:highlight w:val="none"/>
        </w:rPr>
      </w:pPr>
      <w:r>
        <w:rPr>
          <w:color w:val="auto"/>
          <w:highlight w:val="none"/>
        </w:rPr>
        <w:t> </w:t>
      </w:r>
    </w:p>
    <w:p w14:paraId="3C1C0494">
      <w:pPr>
        <w:pStyle w:val="9"/>
        <w:spacing w:beforeAutospacing="0" w:afterAutospacing="0" w:line="0" w:lineRule="atLeast"/>
        <w:jc w:val="center"/>
        <w:rPr>
          <w:color w:val="auto"/>
          <w:highlight w:val="none"/>
        </w:rPr>
      </w:pPr>
      <w:r>
        <w:rPr>
          <w:color w:val="auto"/>
          <w:highlight w:val="none"/>
        </w:rPr>
        <w:t> </w:t>
      </w:r>
    </w:p>
    <w:p w14:paraId="22CF1AAE">
      <w:pPr>
        <w:pStyle w:val="9"/>
        <w:spacing w:beforeAutospacing="0" w:afterAutospacing="0" w:line="0" w:lineRule="atLeast"/>
        <w:jc w:val="center"/>
        <w:rPr>
          <w:color w:val="auto"/>
          <w:highlight w:val="none"/>
        </w:rPr>
      </w:pPr>
      <w:r>
        <w:rPr>
          <w:color w:val="auto"/>
          <w:highlight w:val="none"/>
        </w:rPr>
        <w:t> </w:t>
      </w:r>
    </w:p>
    <w:p w14:paraId="1FE2DDE2">
      <w:pPr>
        <w:pStyle w:val="9"/>
        <w:spacing w:beforeAutospacing="0" w:afterAutospacing="0" w:line="0" w:lineRule="atLeast"/>
        <w:jc w:val="center"/>
        <w:rPr>
          <w:color w:val="auto"/>
          <w:highlight w:val="none"/>
        </w:rPr>
      </w:pPr>
      <w:r>
        <w:rPr>
          <w:color w:val="auto"/>
          <w:highlight w:val="none"/>
        </w:rPr>
        <w:t> </w:t>
      </w:r>
    </w:p>
    <w:p w14:paraId="57C84753">
      <w:pPr>
        <w:pStyle w:val="9"/>
        <w:spacing w:beforeAutospacing="0" w:afterAutospacing="0" w:line="0" w:lineRule="atLeast"/>
        <w:jc w:val="center"/>
        <w:rPr>
          <w:color w:val="auto"/>
          <w:highlight w:val="none"/>
        </w:rPr>
      </w:pPr>
      <w:r>
        <w:rPr>
          <w:color w:val="auto"/>
          <w:highlight w:val="none"/>
        </w:rPr>
        <w:t> </w:t>
      </w:r>
    </w:p>
    <w:p w14:paraId="497CBD5A">
      <w:pPr>
        <w:pStyle w:val="9"/>
        <w:spacing w:beforeAutospacing="0" w:afterAutospacing="0" w:line="0" w:lineRule="atLeast"/>
        <w:jc w:val="center"/>
        <w:rPr>
          <w:color w:val="auto"/>
          <w:highlight w:val="none"/>
        </w:rPr>
      </w:pPr>
      <w:r>
        <w:rPr>
          <w:color w:val="auto"/>
          <w:highlight w:val="none"/>
        </w:rPr>
        <w:t> </w:t>
      </w:r>
    </w:p>
    <w:p w14:paraId="6A785365">
      <w:pPr>
        <w:pStyle w:val="9"/>
        <w:spacing w:beforeAutospacing="0" w:afterAutospacing="0" w:line="0" w:lineRule="atLeast"/>
        <w:jc w:val="center"/>
        <w:rPr>
          <w:color w:val="auto"/>
          <w:highlight w:val="none"/>
        </w:rPr>
      </w:pPr>
      <w:r>
        <w:rPr>
          <w:color w:val="auto"/>
          <w:highlight w:val="none"/>
        </w:rPr>
        <w:t> </w:t>
      </w:r>
    </w:p>
    <w:p w14:paraId="40C3E6C2">
      <w:pPr>
        <w:pStyle w:val="9"/>
        <w:spacing w:beforeAutospacing="0" w:afterAutospacing="0" w:line="0" w:lineRule="atLeast"/>
        <w:jc w:val="center"/>
        <w:rPr>
          <w:color w:val="auto"/>
          <w:highlight w:val="none"/>
        </w:rPr>
      </w:pPr>
    </w:p>
    <w:p w14:paraId="4D6111DF">
      <w:pPr>
        <w:pStyle w:val="9"/>
        <w:spacing w:beforeAutospacing="0" w:afterAutospacing="0" w:line="0" w:lineRule="atLeast"/>
        <w:jc w:val="center"/>
        <w:rPr>
          <w:color w:val="auto"/>
          <w:highlight w:val="none"/>
        </w:rPr>
      </w:pPr>
    </w:p>
    <w:p w14:paraId="5A661D46">
      <w:pPr>
        <w:pStyle w:val="9"/>
        <w:spacing w:beforeAutospacing="0" w:afterAutospacing="0" w:line="0" w:lineRule="atLeast"/>
        <w:jc w:val="center"/>
        <w:rPr>
          <w:color w:val="auto"/>
          <w:highlight w:val="none"/>
        </w:rPr>
      </w:pPr>
    </w:p>
    <w:p w14:paraId="2D48BC19">
      <w:pPr>
        <w:pStyle w:val="9"/>
        <w:spacing w:beforeAutospacing="0" w:afterAutospacing="0" w:line="0" w:lineRule="atLeast"/>
        <w:jc w:val="center"/>
        <w:rPr>
          <w:color w:val="auto"/>
          <w:highlight w:val="none"/>
        </w:rPr>
      </w:pPr>
    </w:p>
    <w:p w14:paraId="4454D373">
      <w:pPr>
        <w:pStyle w:val="9"/>
        <w:spacing w:beforeAutospacing="0" w:afterAutospacing="0" w:line="0" w:lineRule="atLeast"/>
        <w:jc w:val="center"/>
        <w:rPr>
          <w:color w:val="auto"/>
          <w:highlight w:val="none"/>
        </w:rPr>
      </w:pPr>
    </w:p>
    <w:p w14:paraId="4EB5A56C">
      <w:pPr>
        <w:pStyle w:val="9"/>
        <w:spacing w:beforeAutospacing="0" w:afterAutospacing="0" w:line="0" w:lineRule="atLeast"/>
        <w:jc w:val="center"/>
        <w:rPr>
          <w:color w:val="auto"/>
          <w:highlight w:val="none"/>
        </w:rPr>
      </w:pPr>
    </w:p>
    <w:p w14:paraId="062CE43D">
      <w:pPr>
        <w:pStyle w:val="9"/>
        <w:spacing w:beforeAutospacing="0" w:afterAutospacing="0" w:line="0" w:lineRule="atLeast"/>
        <w:jc w:val="center"/>
        <w:rPr>
          <w:color w:val="auto"/>
          <w:highlight w:val="none"/>
        </w:rPr>
      </w:pPr>
    </w:p>
    <w:p w14:paraId="60FED0EC">
      <w:pPr>
        <w:pStyle w:val="9"/>
        <w:spacing w:beforeAutospacing="0" w:afterAutospacing="0" w:line="0" w:lineRule="atLeast"/>
        <w:jc w:val="center"/>
        <w:rPr>
          <w:color w:val="auto"/>
          <w:highlight w:val="none"/>
        </w:rPr>
      </w:pPr>
    </w:p>
    <w:p w14:paraId="760EC292">
      <w:pPr>
        <w:pStyle w:val="9"/>
        <w:spacing w:beforeAutospacing="0" w:afterAutospacing="0" w:line="0" w:lineRule="atLeast"/>
        <w:jc w:val="center"/>
        <w:rPr>
          <w:color w:val="auto"/>
          <w:highlight w:val="none"/>
        </w:rPr>
      </w:pPr>
    </w:p>
    <w:p w14:paraId="1B69F103">
      <w:pPr>
        <w:pStyle w:val="9"/>
        <w:spacing w:beforeAutospacing="0" w:afterAutospacing="0" w:line="0" w:lineRule="atLeast"/>
        <w:jc w:val="center"/>
        <w:rPr>
          <w:color w:val="auto"/>
          <w:highlight w:val="none"/>
        </w:rPr>
      </w:pPr>
    </w:p>
    <w:p w14:paraId="136EDA46">
      <w:pPr>
        <w:pStyle w:val="9"/>
        <w:spacing w:beforeAutospacing="0" w:afterAutospacing="0" w:line="0" w:lineRule="atLeast"/>
        <w:jc w:val="center"/>
        <w:rPr>
          <w:color w:val="auto"/>
          <w:highlight w:val="none"/>
        </w:rPr>
      </w:pPr>
    </w:p>
    <w:p w14:paraId="7C942222">
      <w:pPr>
        <w:pStyle w:val="9"/>
        <w:spacing w:beforeAutospacing="0" w:afterAutospacing="0" w:line="0" w:lineRule="atLeast"/>
        <w:jc w:val="center"/>
        <w:rPr>
          <w:color w:val="auto"/>
          <w:highlight w:val="none"/>
        </w:rPr>
      </w:pPr>
    </w:p>
    <w:p w14:paraId="28E8089F">
      <w:pPr>
        <w:pStyle w:val="9"/>
        <w:spacing w:beforeAutospacing="0" w:afterAutospacing="0" w:line="0" w:lineRule="atLeast"/>
        <w:jc w:val="center"/>
        <w:rPr>
          <w:color w:val="auto"/>
          <w:highlight w:val="none"/>
        </w:rPr>
      </w:pPr>
    </w:p>
    <w:p w14:paraId="7444C00A">
      <w:pPr>
        <w:pStyle w:val="9"/>
        <w:spacing w:beforeAutospacing="0" w:afterAutospacing="0" w:line="0" w:lineRule="atLeast"/>
        <w:jc w:val="center"/>
        <w:rPr>
          <w:color w:val="auto"/>
          <w:highlight w:val="none"/>
        </w:rPr>
      </w:pPr>
    </w:p>
    <w:p w14:paraId="1E963B3D">
      <w:pPr>
        <w:pStyle w:val="9"/>
        <w:spacing w:beforeAutospacing="0" w:afterAutospacing="0" w:line="0" w:lineRule="atLeast"/>
        <w:jc w:val="center"/>
        <w:rPr>
          <w:color w:val="auto"/>
          <w:highlight w:val="none"/>
        </w:rPr>
      </w:pPr>
    </w:p>
    <w:p w14:paraId="5CEB66EF">
      <w:pPr>
        <w:pStyle w:val="9"/>
        <w:spacing w:beforeAutospacing="0" w:afterAutospacing="0" w:line="0" w:lineRule="atLeast"/>
        <w:jc w:val="center"/>
        <w:rPr>
          <w:color w:val="auto"/>
          <w:highlight w:val="none"/>
        </w:rPr>
      </w:pPr>
    </w:p>
    <w:p w14:paraId="66925548">
      <w:pPr>
        <w:pStyle w:val="9"/>
        <w:spacing w:beforeAutospacing="0" w:afterAutospacing="0" w:line="0" w:lineRule="atLeast"/>
        <w:jc w:val="both"/>
        <w:rPr>
          <w:color w:val="auto"/>
          <w:highlight w:val="none"/>
        </w:rPr>
      </w:pPr>
      <w:r>
        <w:rPr>
          <w:color w:val="auto"/>
          <w:highlight w:val="none"/>
        </w:rPr>
        <w:t> </w:t>
      </w:r>
    </w:p>
    <w:p w14:paraId="54059C6E">
      <w:pPr>
        <w:pStyle w:val="17"/>
        <w:numPr>
          <w:ilvl w:val="0"/>
          <w:numId w:val="0"/>
        </w:numPr>
        <w:spacing w:line="360" w:lineRule="auto"/>
        <w:jc w:val="center"/>
        <w:rPr>
          <w:rFonts w:ascii="黑体" w:hAnsi="宋体" w:eastAsia="黑体" w:cs="黑体"/>
          <w:b/>
          <w:i/>
          <w:iCs/>
          <w:color w:val="auto"/>
          <w:sz w:val="32"/>
          <w:szCs w:val="32"/>
          <w:highlight w:val="none"/>
          <w:u w:val="single"/>
        </w:rPr>
      </w:pPr>
      <w:r>
        <w:rPr>
          <w:rFonts w:hint="eastAsia" w:ascii="黑体" w:hAnsi="宋体" w:eastAsia="黑体" w:cs="黑体"/>
          <w:b/>
          <w:i/>
          <w:iCs/>
          <w:color w:val="auto"/>
          <w:sz w:val="32"/>
          <w:szCs w:val="32"/>
          <w:highlight w:val="none"/>
          <w:u w:val="single"/>
          <w:lang w:val="en-US" w:eastAsia="zh-CN"/>
        </w:rPr>
        <w:t>十一、</w:t>
      </w:r>
      <w:r>
        <w:rPr>
          <w:rFonts w:hint="eastAsia" w:ascii="黑体" w:hAnsi="宋体" w:eastAsia="黑体" w:cs="黑体"/>
          <w:b/>
          <w:i/>
          <w:iCs/>
          <w:color w:val="auto"/>
          <w:sz w:val="32"/>
          <w:szCs w:val="32"/>
          <w:highlight w:val="none"/>
          <w:u w:val="single"/>
        </w:rPr>
        <w:t>投标分项报价表</w:t>
      </w:r>
    </w:p>
    <w:p w14:paraId="6E0197B1">
      <w:pPr>
        <w:pStyle w:val="17"/>
        <w:spacing w:line="360" w:lineRule="auto"/>
        <w:rPr>
          <w:rFonts w:ascii="Times New Roman" w:hAnsi="Times New Roman" w:eastAsia="宋体"/>
          <w:color w:val="auto"/>
          <w:sz w:val="21"/>
          <w:highlight w:val="none"/>
        </w:rPr>
      </w:pPr>
      <w:r>
        <w:rPr>
          <w:rFonts w:hint="eastAsia" w:ascii="Times New Roman" w:hAnsi="宋体" w:eastAsia="宋体"/>
          <w:color w:val="auto"/>
          <w:sz w:val="21"/>
          <w:highlight w:val="none"/>
        </w:rPr>
        <w:t>项目名称：</w:t>
      </w:r>
    </w:p>
    <w:p w14:paraId="76D73C13">
      <w:pPr>
        <w:pStyle w:val="17"/>
        <w:spacing w:line="360" w:lineRule="auto"/>
        <w:rPr>
          <w:rFonts w:hAnsi="宋体" w:eastAsia="宋体"/>
          <w:color w:val="auto"/>
          <w:sz w:val="21"/>
          <w:highlight w:val="none"/>
        </w:rPr>
      </w:pPr>
      <w:r>
        <w:rPr>
          <w:rFonts w:hint="eastAsia" w:hAnsi="宋体" w:eastAsia="宋体"/>
          <w:color w:val="auto"/>
          <w:sz w:val="21"/>
          <w:highlight w:val="none"/>
        </w:rPr>
        <w:t>投标人名称（加盖CA电子公章）：</w:t>
      </w:r>
      <w:r>
        <w:rPr>
          <w:rFonts w:hAnsi="宋体" w:eastAsia="宋体"/>
          <w:color w:val="auto"/>
          <w:sz w:val="21"/>
          <w:highlight w:val="none"/>
        </w:rPr>
        <w:t xml:space="preserve">  </w:t>
      </w:r>
    </w:p>
    <w:tbl>
      <w:tblPr>
        <w:tblStyle w:val="11"/>
        <w:tblW w:w="8611"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1416"/>
        <w:gridCol w:w="784"/>
        <w:gridCol w:w="566"/>
        <w:gridCol w:w="1267"/>
        <w:gridCol w:w="1383"/>
        <w:gridCol w:w="2650"/>
      </w:tblGrid>
      <w:tr w14:paraId="3137D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545" w:type="dxa"/>
            <w:vAlign w:val="center"/>
          </w:tcPr>
          <w:p w14:paraId="271BE1D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hAnsi="宋体"/>
                <w:color w:val="auto"/>
                <w:kern w:val="0"/>
                <w:highlight w:val="none"/>
              </w:rPr>
            </w:pPr>
            <w:r>
              <w:rPr>
                <w:rFonts w:hint="eastAsia" w:ascii="宋体" w:hAnsi="宋体"/>
                <w:color w:val="auto"/>
                <w:kern w:val="0"/>
                <w:highlight w:val="none"/>
              </w:rPr>
              <w:t>序号</w:t>
            </w:r>
          </w:p>
        </w:tc>
        <w:tc>
          <w:tcPr>
            <w:tcW w:w="1416" w:type="dxa"/>
            <w:vAlign w:val="center"/>
          </w:tcPr>
          <w:p w14:paraId="05282F35">
            <w:pPr>
              <w:widowControl/>
              <w:spacing w:line="360" w:lineRule="auto"/>
              <w:jc w:val="center"/>
              <w:rPr>
                <w:rFonts w:ascii="宋体" w:hAnsi="宋体"/>
                <w:color w:val="auto"/>
                <w:kern w:val="0"/>
                <w:highlight w:val="none"/>
              </w:rPr>
            </w:pPr>
            <w:r>
              <w:rPr>
                <w:rFonts w:hint="eastAsia" w:ascii="宋体" w:hAnsi="宋体"/>
                <w:color w:val="auto"/>
                <w:kern w:val="0"/>
                <w:highlight w:val="none"/>
              </w:rPr>
              <w:t>标的物名称</w:t>
            </w:r>
          </w:p>
        </w:tc>
        <w:tc>
          <w:tcPr>
            <w:tcW w:w="784" w:type="dxa"/>
            <w:vAlign w:val="center"/>
          </w:tcPr>
          <w:p w14:paraId="099E9E7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宋体" w:hAnsi="宋体"/>
                <w:color w:val="auto"/>
                <w:kern w:val="0"/>
                <w:highlight w:val="none"/>
                <w:lang w:val="en-US" w:eastAsia="zh-CN"/>
              </w:rPr>
            </w:pPr>
            <w:r>
              <w:rPr>
                <w:rFonts w:hint="default" w:ascii="宋体" w:hAnsi="宋体"/>
                <w:color w:val="auto"/>
                <w:kern w:val="0"/>
                <w:highlight w:val="none"/>
                <w:lang w:val="en-US" w:eastAsia="zh-CN"/>
              </w:rPr>
              <w:t>费用名称</w:t>
            </w:r>
          </w:p>
        </w:tc>
        <w:tc>
          <w:tcPr>
            <w:tcW w:w="566" w:type="dxa"/>
            <w:vAlign w:val="center"/>
          </w:tcPr>
          <w:p w14:paraId="513A9AD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人数</w:t>
            </w:r>
          </w:p>
        </w:tc>
        <w:tc>
          <w:tcPr>
            <w:tcW w:w="1267" w:type="dxa"/>
            <w:vAlign w:val="center"/>
          </w:tcPr>
          <w:p w14:paraId="072AE8D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hAnsi="宋体"/>
                <w:color w:val="auto"/>
                <w:kern w:val="0"/>
                <w:highlight w:val="none"/>
              </w:rPr>
            </w:pPr>
            <w:r>
              <w:rPr>
                <w:rFonts w:hint="eastAsia" w:ascii="宋体" w:hAnsi="宋体"/>
                <w:color w:val="auto"/>
                <w:kern w:val="0"/>
                <w:highlight w:val="none"/>
                <w:lang w:val="en-US" w:eastAsia="zh-CN"/>
              </w:rPr>
              <w:t>单价（元/人/月）</w:t>
            </w:r>
          </w:p>
        </w:tc>
        <w:tc>
          <w:tcPr>
            <w:tcW w:w="1383" w:type="dxa"/>
            <w:vAlign w:val="center"/>
          </w:tcPr>
          <w:p w14:paraId="1F0C16D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宋体" w:hAnsi="宋体" w:eastAsiaTheme="minorEastAsia"/>
                <w:color w:val="auto"/>
                <w:kern w:val="0"/>
                <w:highlight w:val="none"/>
                <w:lang w:val="en-US" w:eastAsia="zh-CN"/>
              </w:rPr>
            </w:pPr>
            <w:r>
              <w:rPr>
                <w:rFonts w:hint="eastAsia" w:ascii="宋体" w:hAnsi="宋体"/>
                <w:color w:val="auto"/>
                <w:kern w:val="0"/>
                <w:highlight w:val="none"/>
              </w:rPr>
              <w:t xml:space="preserve"> </w:t>
            </w:r>
            <w:r>
              <w:rPr>
                <w:rFonts w:hint="eastAsia" w:ascii="宋体" w:hAnsi="宋体"/>
                <w:color w:val="auto"/>
                <w:kern w:val="0"/>
                <w:highlight w:val="none"/>
                <w:lang w:val="en-US" w:eastAsia="zh-CN"/>
              </w:rPr>
              <w:t>总价 （元/12个月）</w:t>
            </w:r>
          </w:p>
        </w:tc>
        <w:tc>
          <w:tcPr>
            <w:tcW w:w="2650" w:type="dxa"/>
            <w:vAlign w:val="center"/>
          </w:tcPr>
          <w:p w14:paraId="61F93182">
            <w:pPr>
              <w:widowControl/>
              <w:spacing w:line="360" w:lineRule="auto"/>
              <w:jc w:val="center"/>
              <w:rPr>
                <w:rFonts w:hint="eastAsia" w:ascii="宋体" w:hAnsi="宋体" w:eastAsiaTheme="minorEastAsia"/>
                <w:color w:val="auto"/>
                <w:kern w:val="0"/>
                <w:highlight w:val="none"/>
                <w:lang w:eastAsia="zh-CN"/>
              </w:rPr>
            </w:pPr>
            <w:r>
              <w:rPr>
                <w:rFonts w:hint="eastAsia" w:ascii="宋体" w:hAnsi="宋体"/>
                <w:color w:val="auto"/>
                <w:kern w:val="0"/>
                <w:highlight w:val="none"/>
                <w:lang w:val="en-US" w:eastAsia="zh-CN"/>
              </w:rPr>
              <w:t>备注</w:t>
            </w:r>
          </w:p>
        </w:tc>
      </w:tr>
      <w:tr w14:paraId="19A4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545" w:type="dxa"/>
            <w:vAlign w:val="center"/>
          </w:tcPr>
          <w:p w14:paraId="1C3FA30F">
            <w:pPr>
              <w:widowControl/>
              <w:spacing w:line="360" w:lineRule="auto"/>
              <w:jc w:val="center"/>
              <w:rPr>
                <w:rFonts w:hint="eastAsia" w:ascii="宋体" w:hAnsi="宋体" w:eastAsiaTheme="minorEastAsia"/>
                <w:b/>
                <w:color w:val="auto"/>
                <w:kern w:val="0"/>
                <w:highlight w:val="none"/>
                <w:lang w:eastAsia="zh-CN"/>
              </w:rPr>
            </w:pPr>
            <w:r>
              <w:rPr>
                <w:rFonts w:hint="eastAsia" w:ascii="宋体" w:hAnsi="宋体"/>
                <w:b/>
                <w:color w:val="auto"/>
                <w:kern w:val="0"/>
                <w:highlight w:val="none"/>
                <w:lang w:val="en-US" w:eastAsia="zh-CN"/>
              </w:rPr>
              <w:t>1</w:t>
            </w:r>
          </w:p>
        </w:tc>
        <w:tc>
          <w:tcPr>
            <w:tcW w:w="1416" w:type="dxa"/>
            <w:vAlign w:val="center"/>
          </w:tcPr>
          <w:p w14:paraId="16BA2C71">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宋体" w:hAnsi="宋体"/>
                <w:b/>
                <w:color w:val="auto"/>
                <w:kern w:val="0"/>
                <w:highlight w:val="none"/>
              </w:rPr>
            </w:pPr>
            <w:r>
              <w:rPr>
                <w:rFonts w:hint="eastAsia" w:ascii="宋体" w:hAnsi="宋体" w:eastAsia="宋体" w:cs="宋体"/>
                <w:b/>
                <w:bCs/>
                <w:color w:val="auto"/>
                <w:sz w:val="21"/>
                <w:szCs w:val="21"/>
                <w:highlight w:val="none"/>
                <w:lang w:val="zh-CN"/>
              </w:rPr>
              <w:t>人员工资、社保、住房公积金、法定节假日加班费（按国家规定执行）等费用</w:t>
            </w:r>
          </w:p>
        </w:tc>
        <w:tc>
          <w:tcPr>
            <w:tcW w:w="4000" w:type="dxa"/>
            <w:gridSpan w:val="4"/>
            <w:vAlign w:val="center"/>
          </w:tcPr>
          <w:p w14:paraId="5A170785">
            <w:pPr>
              <w:widowControl/>
              <w:spacing w:line="360" w:lineRule="auto"/>
              <w:jc w:val="center"/>
              <w:rPr>
                <w:rFonts w:ascii="宋体" w:hAnsi="宋体"/>
                <w:b/>
                <w:color w:val="auto"/>
                <w:kern w:val="0"/>
                <w:highlight w:val="none"/>
              </w:rPr>
            </w:pPr>
            <w:r>
              <w:rPr>
                <w:rFonts w:hint="eastAsia" w:ascii="宋体" w:hAnsi="宋体" w:eastAsia="宋体" w:cs="宋体"/>
                <w:b/>
                <w:color w:val="auto"/>
                <w:sz w:val="24"/>
                <w:szCs w:val="24"/>
              </w:rPr>
              <w:t>（以下</w:t>
            </w:r>
            <w:r>
              <w:rPr>
                <w:rFonts w:hint="eastAsia" w:ascii="宋体" w:hAnsi="宋体" w:eastAsia="宋体" w:cs="宋体"/>
                <w:b/>
                <w:color w:val="auto"/>
                <w:sz w:val="24"/>
                <w:szCs w:val="24"/>
                <w:lang w:val="en-US" w:eastAsia="zh-CN"/>
              </w:rPr>
              <w:t>各</w:t>
            </w:r>
            <w:r>
              <w:rPr>
                <w:rFonts w:hint="eastAsia" w:ascii="宋体" w:hAnsi="宋体" w:eastAsia="宋体" w:cs="宋体"/>
                <w:b/>
                <w:color w:val="auto"/>
                <w:sz w:val="24"/>
                <w:szCs w:val="24"/>
              </w:rPr>
              <w:t>项合计）</w:t>
            </w:r>
          </w:p>
        </w:tc>
        <w:tc>
          <w:tcPr>
            <w:tcW w:w="2650" w:type="dxa"/>
            <w:vAlign w:val="center"/>
          </w:tcPr>
          <w:p w14:paraId="595D72F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宋体" w:hAnsi="宋体" w:eastAsiaTheme="minorEastAsia"/>
                <w:b/>
                <w:color w:val="auto"/>
                <w:kern w:val="0"/>
                <w:highlight w:val="none"/>
                <w:lang w:val="en-US" w:eastAsia="zh-CN"/>
              </w:rPr>
            </w:pPr>
            <w:r>
              <w:rPr>
                <w:rFonts w:hint="eastAsia" w:ascii="宋体" w:hAnsi="宋体"/>
                <w:b/>
                <w:color w:val="auto"/>
                <w:kern w:val="0"/>
                <w:highlight w:val="none"/>
              </w:rPr>
              <w:t xml:space="preserve"> </w:t>
            </w:r>
            <w:r>
              <w:rPr>
                <w:rFonts w:hint="eastAsia" w:ascii="宋体" w:hAnsi="宋体" w:eastAsia="宋体" w:cs="宋体"/>
                <w:b/>
                <w:bCs/>
                <w:color w:val="auto"/>
                <w:sz w:val="21"/>
                <w:szCs w:val="21"/>
                <w:highlight w:val="none"/>
                <w:lang w:val="zh-CN"/>
              </w:rPr>
              <w:t>备注栏内要求必须完全响应否则作无效标书处理。</w:t>
            </w:r>
          </w:p>
        </w:tc>
      </w:tr>
      <w:tr w14:paraId="0801F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545" w:type="dxa"/>
            <w:vMerge w:val="restart"/>
            <w:vAlign w:val="center"/>
          </w:tcPr>
          <w:p w14:paraId="22DBF619">
            <w:pPr>
              <w:widowControl/>
              <w:spacing w:line="360" w:lineRule="auto"/>
              <w:jc w:val="center"/>
              <w:rPr>
                <w:rFonts w:ascii="宋体" w:hAnsi="宋体"/>
                <w:color w:val="auto"/>
                <w:kern w:val="0"/>
                <w:highlight w:val="none"/>
              </w:rPr>
            </w:pPr>
            <w:r>
              <w:rPr>
                <w:rFonts w:hint="eastAsia" w:ascii="宋体" w:hAnsi="宋体"/>
                <w:color w:val="auto"/>
                <w:kern w:val="0"/>
                <w:highlight w:val="none"/>
                <w:lang w:val="en-US" w:eastAsia="zh-CN"/>
              </w:rPr>
              <w:t>1.1</w:t>
            </w:r>
            <w:r>
              <w:rPr>
                <w:rFonts w:hint="eastAsia" w:ascii="宋体" w:hAnsi="宋体"/>
                <w:color w:val="auto"/>
                <w:kern w:val="0"/>
                <w:highlight w:val="none"/>
              </w:rPr>
              <w:t>　</w:t>
            </w:r>
          </w:p>
        </w:tc>
        <w:tc>
          <w:tcPr>
            <w:tcW w:w="1416" w:type="dxa"/>
            <w:vAlign w:val="center"/>
          </w:tcPr>
          <w:p w14:paraId="7095E557">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保洁员</w:t>
            </w:r>
          </w:p>
        </w:tc>
        <w:tc>
          <w:tcPr>
            <w:tcW w:w="784" w:type="dxa"/>
            <w:vAlign w:val="center"/>
          </w:tcPr>
          <w:p w14:paraId="1D4AF46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宋体" w:hAnsi="宋体"/>
                <w:color w:val="auto"/>
                <w:kern w:val="0"/>
                <w:highlight w:val="none"/>
                <w:lang w:val="en-US" w:eastAsia="zh-CN"/>
              </w:rPr>
            </w:pPr>
            <w:r>
              <w:rPr>
                <w:rFonts w:hint="default" w:ascii="宋体" w:hAnsi="宋体"/>
                <w:color w:val="auto"/>
                <w:kern w:val="0"/>
                <w:highlight w:val="none"/>
                <w:lang w:val="en-US" w:eastAsia="zh-CN"/>
              </w:rPr>
              <w:t>人员工资</w:t>
            </w:r>
          </w:p>
        </w:tc>
        <w:tc>
          <w:tcPr>
            <w:tcW w:w="566" w:type="dxa"/>
            <w:vAlign w:val="center"/>
          </w:tcPr>
          <w:p w14:paraId="562383F4">
            <w:pPr>
              <w:widowControl/>
              <w:spacing w:line="360" w:lineRule="auto"/>
              <w:jc w:val="center"/>
              <w:rPr>
                <w:rFonts w:hint="eastAsia"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2</w:t>
            </w:r>
          </w:p>
        </w:tc>
        <w:tc>
          <w:tcPr>
            <w:tcW w:w="1267" w:type="dxa"/>
            <w:vAlign w:val="center"/>
          </w:tcPr>
          <w:p w14:paraId="299FF00B">
            <w:pPr>
              <w:widowControl/>
              <w:spacing w:line="360" w:lineRule="auto"/>
              <w:jc w:val="center"/>
              <w:rPr>
                <w:rFonts w:ascii="宋体" w:hAnsi="宋体"/>
                <w:color w:val="auto"/>
                <w:kern w:val="0"/>
                <w:highlight w:val="none"/>
              </w:rPr>
            </w:pPr>
          </w:p>
        </w:tc>
        <w:tc>
          <w:tcPr>
            <w:tcW w:w="1383" w:type="dxa"/>
            <w:vAlign w:val="center"/>
          </w:tcPr>
          <w:p w14:paraId="5A90EAE2">
            <w:pPr>
              <w:widowControl/>
              <w:spacing w:line="360" w:lineRule="auto"/>
              <w:jc w:val="center"/>
              <w:rPr>
                <w:rFonts w:ascii="宋体" w:hAnsi="宋体"/>
                <w:color w:val="auto"/>
                <w:kern w:val="0"/>
                <w:highlight w:val="none"/>
              </w:rPr>
            </w:pPr>
          </w:p>
        </w:tc>
        <w:tc>
          <w:tcPr>
            <w:tcW w:w="2650" w:type="dxa"/>
            <w:vAlign w:val="center"/>
          </w:tcPr>
          <w:p w14:paraId="54DCAB3C">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宋体" w:hAnsi="宋体"/>
                <w:color w:val="auto"/>
                <w:kern w:val="0"/>
                <w:highlight w:val="none"/>
              </w:rPr>
            </w:pPr>
            <w:r>
              <w:rPr>
                <w:rFonts w:hint="eastAsia" w:ascii="宋体" w:hAnsi="宋体" w:eastAsia="宋体" w:cs="宋体"/>
                <w:color w:val="auto"/>
                <w:kern w:val="0"/>
                <w:sz w:val="21"/>
                <w:szCs w:val="21"/>
                <w:highlight w:val="none"/>
                <w:lang w:val="zh-CN" w:eastAsia="zh-CN"/>
              </w:rPr>
              <w:t>不低于盐城市最新公布的最低工资标准2</w:t>
            </w:r>
            <w:r>
              <w:rPr>
                <w:rFonts w:hint="eastAsia" w:ascii="宋体" w:hAnsi="宋体" w:eastAsia="宋体" w:cs="宋体"/>
                <w:color w:val="auto"/>
                <w:kern w:val="0"/>
                <w:sz w:val="21"/>
                <w:szCs w:val="21"/>
                <w:highlight w:val="none"/>
                <w:lang w:val="en-US" w:eastAsia="zh-CN"/>
              </w:rPr>
              <w:t>43</w:t>
            </w:r>
            <w:r>
              <w:rPr>
                <w:rFonts w:hint="eastAsia" w:ascii="宋体" w:hAnsi="宋体" w:eastAsia="宋体" w:cs="宋体"/>
                <w:color w:val="auto"/>
                <w:kern w:val="0"/>
                <w:sz w:val="21"/>
                <w:szCs w:val="21"/>
                <w:highlight w:val="none"/>
                <w:lang w:val="zh-CN" w:eastAsia="zh-CN"/>
              </w:rPr>
              <w:t>0元/人</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zh-CN" w:eastAsia="zh-CN"/>
              </w:rPr>
              <w:t>月。</w:t>
            </w:r>
          </w:p>
        </w:tc>
      </w:tr>
      <w:tr w14:paraId="30E22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545" w:type="dxa"/>
            <w:vMerge w:val="continue"/>
            <w:vAlign w:val="center"/>
          </w:tcPr>
          <w:p w14:paraId="512FB7A4">
            <w:pPr>
              <w:widowControl/>
              <w:spacing w:line="360" w:lineRule="auto"/>
              <w:jc w:val="center"/>
              <w:rPr>
                <w:rFonts w:hint="eastAsia" w:ascii="宋体" w:hAnsi="宋体"/>
                <w:color w:val="auto"/>
                <w:kern w:val="0"/>
                <w:highlight w:val="none"/>
                <w:lang w:val="en-US" w:eastAsia="zh-CN"/>
              </w:rPr>
            </w:pPr>
          </w:p>
        </w:tc>
        <w:tc>
          <w:tcPr>
            <w:tcW w:w="1416" w:type="dxa"/>
            <w:vAlign w:val="center"/>
          </w:tcPr>
          <w:p w14:paraId="24B7544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color w:val="auto"/>
                <w:kern w:val="0"/>
                <w:highlight w:val="none"/>
                <w:lang w:val="en-US" w:eastAsia="zh-CN"/>
              </w:rPr>
            </w:pPr>
            <w:r>
              <w:rPr>
                <w:rFonts w:hint="eastAsia" w:ascii="宋体" w:hAnsi="宋体" w:eastAsia="宋体" w:cs="宋体"/>
                <w:color w:val="auto"/>
                <w:kern w:val="0"/>
                <w:sz w:val="21"/>
                <w:szCs w:val="21"/>
                <w:highlight w:val="none"/>
                <w:lang w:val="en-US" w:eastAsia="zh-CN"/>
              </w:rPr>
              <w:t>水电工（与其他项目共用，无需全天在岗，有事情1小时内到岗，紧急事情半小时内到岗）</w:t>
            </w:r>
          </w:p>
        </w:tc>
        <w:tc>
          <w:tcPr>
            <w:tcW w:w="784" w:type="dxa"/>
            <w:vAlign w:val="center"/>
          </w:tcPr>
          <w:p w14:paraId="0A0940F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color w:val="auto"/>
                <w:kern w:val="0"/>
                <w:highlight w:val="none"/>
                <w:lang w:val="en-US" w:eastAsia="zh-CN"/>
              </w:rPr>
            </w:pPr>
            <w:r>
              <w:rPr>
                <w:rFonts w:hint="default" w:ascii="宋体" w:hAnsi="宋体"/>
                <w:color w:val="auto"/>
                <w:kern w:val="0"/>
                <w:highlight w:val="none"/>
                <w:lang w:val="en-US" w:eastAsia="zh-CN"/>
              </w:rPr>
              <w:t>人员工资</w:t>
            </w:r>
          </w:p>
        </w:tc>
        <w:tc>
          <w:tcPr>
            <w:tcW w:w="566" w:type="dxa"/>
            <w:vAlign w:val="center"/>
          </w:tcPr>
          <w:p w14:paraId="010D3AEA">
            <w:pPr>
              <w:widowControl/>
              <w:spacing w:line="360" w:lineRule="auto"/>
              <w:jc w:val="center"/>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1</w:t>
            </w:r>
          </w:p>
        </w:tc>
        <w:tc>
          <w:tcPr>
            <w:tcW w:w="1267" w:type="dxa"/>
            <w:vAlign w:val="center"/>
          </w:tcPr>
          <w:p w14:paraId="687AB881">
            <w:pPr>
              <w:widowControl/>
              <w:spacing w:line="360" w:lineRule="auto"/>
              <w:jc w:val="center"/>
              <w:rPr>
                <w:rFonts w:hint="default" w:ascii="宋体" w:hAnsi="宋体" w:eastAsiaTheme="minorEastAsia"/>
                <w:color w:val="auto"/>
                <w:kern w:val="0"/>
                <w:highlight w:val="none"/>
                <w:lang w:val="en-US" w:eastAsia="zh-CN"/>
              </w:rPr>
            </w:pPr>
          </w:p>
        </w:tc>
        <w:tc>
          <w:tcPr>
            <w:tcW w:w="1383" w:type="dxa"/>
            <w:vAlign w:val="center"/>
          </w:tcPr>
          <w:p w14:paraId="7A52F5D4">
            <w:pPr>
              <w:widowControl/>
              <w:spacing w:line="360" w:lineRule="auto"/>
              <w:jc w:val="center"/>
              <w:rPr>
                <w:rFonts w:ascii="宋体" w:hAnsi="宋体"/>
                <w:color w:val="auto"/>
                <w:kern w:val="0"/>
                <w:highlight w:val="none"/>
              </w:rPr>
            </w:pPr>
          </w:p>
        </w:tc>
        <w:tc>
          <w:tcPr>
            <w:tcW w:w="2650" w:type="dxa"/>
            <w:vMerge w:val="restart"/>
            <w:vAlign w:val="center"/>
          </w:tcPr>
          <w:p w14:paraId="5B7D6FA6">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eastAsia="宋体" w:cs="宋体"/>
                <w:b/>
                <w:bCs/>
                <w:color w:val="auto"/>
                <w:kern w:val="0"/>
                <w:sz w:val="21"/>
                <w:szCs w:val="21"/>
                <w:highlight w:val="none"/>
                <w:lang w:val="en-US" w:eastAsia="zh-CN"/>
              </w:rPr>
              <w:t>水电工与其他项目共用，无需全天在岗，有事情1小时内到岗，紧急事情半小时内到岗，</w:t>
            </w:r>
            <w:r>
              <w:rPr>
                <w:rFonts w:hint="eastAsia" w:ascii="宋体" w:hAnsi="宋体" w:eastAsia="宋体" w:cs="宋体"/>
                <w:b/>
                <w:bCs/>
                <w:color w:val="auto"/>
                <w:kern w:val="0"/>
                <w:sz w:val="21"/>
                <w:szCs w:val="21"/>
                <w:highlight w:val="none"/>
                <w:lang w:val="zh-CN" w:eastAsia="zh-CN"/>
              </w:rPr>
              <w:t>补贴</w:t>
            </w:r>
            <w:r>
              <w:rPr>
                <w:rFonts w:hint="eastAsia" w:ascii="宋体" w:hAnsi="宋体" w:eastAsia="宋体" w:cs="宋体"/>
                <w:b/>
                <w:bCs/>
                <w:color w:val="auto"/>
                <w:kern w:val="0"/>
                <w:sz w:val="21"/>
                <w:szCs w:val="21"/>
                <w:highlight w:val="none"/>
                <w:lang w:val="en-US" w:eastAsia="zh-CN"/>
              </w:rPr>
              <w:t>1500</w:t>
            </w:r>
            <w:r>
              <w:rPr>
                <w:rFonts w:hint="eastAsia" w:ascii="宋体" w:hAnsi="宋体" w:eastAsia="宋体" w:cs="宋体"/>
                <w:b/>
                <w:bCs/>
                <w:color w:val="auto"/>
                <w:kern w:val="0"/>
                <w:sz w:val="21"/>
                <w:szCs w:val="21"/>
                <w:highlight w:val="none"/>
                <w:lang w:val="zh-CN" w:eastAsia="zh-CN"/>
              </w:rPr>
              <w:t>元/</w:t>
            </w:r>
            <w:r>
              <w:rPr>
                <w:rFonts w:hint="eastAsia" w:ascii="宋体" w:hAnsi="宋体" w:eastAsia="宋体" w:cs="宋体"/>
                <w:b/>
                <w:bCs/>
                <w:color w:val="auto"/>
                <w:kern w:val="0"/>
                <w:sz w:val="21"/>
                <w:szCs w:val="21"/>
                <w:highlight w:val="none"/>
                <w:lang w:val="en-US" w:eastAsia="zh-CN"/>
              </w:rPr>
              <w:t>人/</w:t>
            </w:r>
            <w:r>
              <w:rPr>
                <w:rFonts w:hint="eastAsia" w:ascii="宋体" w:hAnsi="宋体" w:eastAsia="宋体" w:cs="宋体"/>
                <w:b/>
                <w:bCs/>
                <w:color w:val="auto"/>
                <w:kern w:val="0"/>
                <w:sz w:val="21"/>
                <w:szCs w:val="21"/>
                <w:highlight w:val="none"/>
                <w:lang w:val="zh-CN" w:eastAsia="zh-CN"/>
              </w:rPr>
              <w:t>月，不交社保、公积金，不发放福利，人员由中标服务单位提供、补贴由本项目中标服务单位发放，由服务采购单位管理。夜间值班巡逻人员由保安兼</w:t>
            </w:r>
            <w:r>
              <w:rPr>
                <w:rFonts w:hint="eastAsia" w:ascii="宋体" w:hAnsi="宋体" w:eastAsia="宋体" w:cs="宋体"/>
                <w:b/>
                <w:bCs/>
                <w:color w:val="auto"/>
                <w:kern w:val="0"/>
                <w:sz w:val="21"/>
                <w:szCs w:val="21"/>
                <w:highlight w:val="none"/>
                <w:lang w:val="en-US" w:eastAsia="zh-CN"/>
              </w:rPr>
              <w:t>任</w:t>
            </w:r>
            <w:r>
              <w:rPr>
                <w:rFonts w:hint="eastAsia" w:ascii="宋体" w:hAnsi="宋体" w:eastAsia="宋体" w:cs="宋体"/>
                <w:b/>
                <w:bCs/>
                <w:color w:val="auto"/>
                <w:kern w:val="0"/>
                <w:sz w:val="21"/>
                <w:szCs w:val="21"/>
                <w:highlight w:val="none"/>
                <w:lang w:val="zh-CN" w:eastAsia="zh-CN"/>
              </w:rPr>
              <w:t>，补贴</w:t>
            </w:r>
            <w:r>
              <w:rPr>
                <w:rFonts w:hint="eastAsia" w:ascii="宋体" w:hAnsi="宋体" w:eastAsia="宋体" w:cs="宋体"/>
                <w:b/>
                <w:bCs/>
                <w:color w:val="auto"/>
                <w:kern w:val="0"/>
                <w:sz w:val="21"/>
                <w:szCs w:val="21"/>
                <w:highlight w:val="none"/>
                <w:lang w:val="en-US" w:eastAsia="zh-CN"/>
              </w:rPr>
              <w:t>1</w:t>
            </w:r>
            <w:r>
              <w:rPr>
                <w:rFonts w:hint="eastAsia" w:ascii="宋体" w:hAnsi="宋体" w:eastAsia="宋体" w:cs="宋体"/>
                <w:b/>
                <w:bCs/>
                <w:color w:val="auto"/>
                <w:kern w:val="0"/>
                <w:sz w:val="21"/>
                <w:szCs w:val="21"/>
                <w:highlight w:val="none"/>
                <w:lang w:val="zh-CN" w:eastAsia="zh-CN"/>
              </w:rPr>
              <w:t>500元/</w:t>
            </w:r>
            <w:r>
              <w:rPr>
                <w:rFonts w:hint="eastAsia" w:ascii="宋体" w:hAnsi="宋体" w:eastAsia="宋体" w:cs="宋体"/>
                <w:b/>
                <w:bCs/>
                <w:color w:val="auto"/>
                <w:kern w:val="0"/>
                <w:sz w:val="21"/>
                <w:szCs w:val="21"/>
                <w:highlight w:val="none"/>
                <w:lang w:val="en-US" w:eastAsia="zh-CN"/>
              </w:rPr>
              <w:t>人/</w:t>
            </w:r>
            <w:r>
              <w:rPr>
                <w:rFonts w:hint="eastAsia" w:ascii="宋体" w:hAnsi="宋体" w:eastAsia="宋体" w:cs="宋体"/>
                <w:b/>
                <w:bCs/>
                <w:color w:val="auto"/>
                <w:kern w:val="0"/>
                <w:sz w:val="21"/>
                <w:szCs w:val="21"/>
                <w:highlight w:val="none"/>
                <w:lang w:val="zh-CN" w:eastAsia="zh-CN"/>
              </w:rPr>
              <w:t>月，福利费和服装费2000元/</w:t>
            </w:r>
            <w:r>
              <w:rPr>
                <w:rFonts w:hint="eastAsia" w:ascii="宋体" w:hAnsi="宋体" w:eastAsia="宋体" w:cs="宋体"/>
                <w:b/>
                <w:bCs/>
                <w:color w:val="auto"/>
                <w:kern w:val="0"/>
                <w:sz w:val="21"/>
                <w:szCs w:val="21"/>
                <w:highlight w:val="none"/>
                <w:lang w:val="en-US" w:eastAsia="zh-CN"/>
              </w:rPr>
              <w:t>人/</w:t>
            </w:r>
            <w:r>
              <w:rPr>
                <w:rFonts w:hint="eastAsia" w:ascii="宋体" w:hAnsi="宋体" w:eastAsia="宋体" w:cs="宋体"/>
                <w:b/>
                <w:bCs/>
                <w:color w:val="auto"/>
                <w:kern w:val="0"/>
                <w:sz w:val="21"/>
                <w:szCs w:val="21"/>
                <w:highlight w:val="none"/>
                <w:lang w:val="zh-CN" w:eastAsia="zh-CN"/>
              </w:rPr>
              <w:t>年，不交社保、公积金，人员由学校安保服务单位派遣，补贴由本项目中标服务单位发放，由服务采购单位管理。补贴费用一并计税，税费由物业中标单位担。</w:t>
            </w:r>
          </w:p>
        </w:tc>
      </w:tr>
      <w:tr w14:paraId="2D694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545" w:type="dxa"/>
            <w:vMerge w:val="continue"/>
            <w:vAlign w:val="center"/>
          </w:tcPr>
          <w:p w14:paraId="07417435">
            <w:pPr>
              <w:widowControl/>
              <w:spacing w:line="360" w:lineRule="auto"/>
              <w:jc w:val="center"/>
              <w:rPr>
                <w:rFonts w:hint="eastAsia" w:ascii="宋体" w:hAnsi="宋体"/>
                <w:color w:val="auto"/>
                <w:kern w:val="0"/>
                <w:highlight w:val="none"/>
                <w:lang w:val="en-US" w:eastAsia="zh-CN"/>
              </w:rPr>
            </w:pPr>
          </w:p>
        </w:tc>
        <w:tc>
          <w:tcPr>
            <w:tcW w:w="1416" w:type="dxa"/>
            <w:vAlign w:val="center"/>
          </w:tcPr>
          <w:p w14:paraId="5B8C5A9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宋体" w:hAnsi="宋体"/>
                <w:color w:val="auto"/>
                <w:kern w:val="0"/>
                <w:highlight w:val="none"/>
                <w:lang w:val="en-US" w:eastAsia="zh-CN"/>
              </w:rPr>
            </w:pPr>
            <w:r>
              <w:rPr>
                <w:rFonts w:hint="eastAsia" w:ascii="宋体" w:hAnsi="宋体" w:eastAsia="宋体" w:cs="宋体"/>
                <w:color w:val="auto"/>
                <w:kern w:val="0"/>
                <w:sz w:val="21"/>
                <w:szCs w:val="21"/>
                <w:highlight w:val="none"/>
                <w:lang w:val="en-US" w:eastAsia="zh-CN"/>
              </w:rPr>
              <w:t>夜间值班巡逻人员（保安兼）</w:t>
            </w:r>
          </w:p>
        </w:tc>
        <w:tc>
          <w:tcPr>
            <w:tcW w:w="784" w:type="dxa"/>
            <w:vAlign w:val="center"/>
          </w:tcPr>
          <w:p w14:paraId="07EB657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color w:val="auto"/>
                <w:kern w:val="0"/>
                <w:highlight w:val="none"/>
                <w:lang w:val="en-US" w:eastAsia="zh-CN"/>
              </w:rPr>
            </w:pPr>
            <w:r>
              <w:rPr>
                <w:rFonts w:hint="default" w:ascii="宋体" w:hAnsi="宋体"/>
                <w:color w:val="auto"/>
                <w:kern w:val="0"/>
                <w:highlight w:val="none"/>
                <w:lang w:val="en-US" w:eastAsia="zh-CN"/>
              </w:rPr>
              <w:t>人员工资</w:t>
            </w:r>
          </w:p>
        </w:tc>
        <w:tc>
          <w:tcPr>
            <w:tcW w:w="566" w:type="dxa"/>
            <w:vAlign w:val="center"/>
          </w:tcPr>
          <w:p w14:paraId="5ADA86E0">
            <w:pPr>
              <w:widowControl/>
              <w:spacing w:line="360" w:lineRule="auto"/>
              <w:jc w:val="center"/>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1</w:t>
            </w:r>
          </w:p>
        </w:tc>
        <w:tc>
          <w:tcPr>
            <w:tcW w:w="1267" w:type="dxa"/>
            <w:vAlign w:val="center"/>
          </w:tcPr>
          <w:p w14:paraId="79CCE9A2">
            <w:pPr>
              <w:widowControl/>
              <w:spacing w:line="360" w:lineRule="auto"/>
              <w:jc w:val="center"/>
              <w:rPr>
                <w:rFonts w:hint="default" w:ascii="宋体" w:hAnsi="宋体" w:eastAsiaTheme="minorEastAsia"/>
                <w:color w:val="auto"/>
                <w:kern w:val="0"/>
                <w:highlight w:val="none"/>
                <w:lang w:val="en-US" w:eastAsia="zh-CN"/>
              </w:rPr>
            </w:pPr>
          </w:p>
        </w:tc>
        <w:tc>
          <w:tcPr>
            <w:tcW w:w="1383" w:type="dxa"/>
            <w:vAlign w:val="center"/>
          </w:tcPr>
          <w:p w14:paraId="68A31CB7">
            <w:pPr>
              <w:widowControl/>
              <w:spacing w:line="360" w:lineRule="auto"/>
              <w:jc w:val="center"/>
              <w:rPr>
                <w:rFonts w:ascii="宋体" w:hAnsi="宋体"/>
                <w:color w:val="auto"/>
                <w:kern w:val="0"/>
                <w:highlight w:val="none"/>
              </w:rPr>
            </w:pPr>
          </w:p>
        </w:tc>
        <w:tc>
          <w:tcPr>
            <w:tcW w:w="2650" w:type="dxa"/>
            <w:vMerge w:val="continue"/>
            <w:vAlign w:val="center"/>
          </w:tcPr>
          <w:p w14:paraId="6CD67494">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0"/>
                <w:sz w:val="21"/>
                <w:szCs w:val="21"/>
                <w:highlight w:val="none"/>
                <w:lang w:val="zh-CN" w:eastAsia="zh-CN"/>
              </w:rPr>
            </w:pPr>
          </w:p>
        </w:tc>
      </w:tr>
      <w:tr w14:paraId="1FB6A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545" w:type="dxa"/>
            <w:vMerge w:val="continue"/>
            <w:vAlign w:val="center"/>
          </w:tcPr>
          <w:p w14:paraId="25755589">
            <w:pPr>
              <w:widowControl/>
              <w:spacing w:line="360" w:lineRule="auto"/>
              <w:jc w:val="center"/>
              <w:rPr>
                <w:rFonts w:hint="eastAsia" w:ascii="宋体" w:hAnsi="宋体"/>
                <w:color w:val="auto"/>
                <w:kern w:val="0"/>
                <w:highlight w:val="none"/>
                <w:lang w:val="en-US" w:eastAsia="zh-CN"/>
              </w:rPr>
            </w:pPr>
          </w:p>
        </w:tc>
        <w:tc>
          <w:tcPr>
            <w:tcW w:w="1416" w:type="dxa"/>
            <w:vAlign w:val="center"/>
          </w:tcPr>
          <w:p w14:paraId="5B3F6D6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夜间值班巡逻人员（保安兼）</w:t>
            </w:r>
          </w:p>
        </w:tc>
        <w:tc>
          <w:tcPr>
            <w:tcW w:w="784" w:type="dxa"/>
            <w:vAlign w:val="center"/>
          </w:tcPr>
          <w:p w14:paraId="69EADEF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color w:val="auto"/>
                <w:kern w:val="0"/>
                <w:highlight w:val="none"/>
                <w:lang w:val="en-US" w:eastAsia="zh-CN"/>
              </w:rPr>
            </w:pPr>
            <w:r>
              <w:rPr>
                <w:rFonts w:hint="eastAsia" w:ascii="宋体" w:hAnsi="宋体" w:eastAsia="宋体" w:cs="宋体"/>
                <w:color w:val="auto"/>
                <w:kern w:val="0"/>
                <w:sz w:val="21"/>
                <w:szCs w:val="21"/>
                <w:highlight w:val="none"/>
                <w:lang w:val="en-US" w:eastAsia="zh-CN"/>
              </w:rPr>
              <w:t>福利费和服装费</w:t>
            </w:r>
          </w:p>
        </w:tc>
        <w:tc>
          <w:tcPr>
            <w:tcW w:w="566" w:type="dxa"/>
            <w:vAlign w:val="center"/>
          </w:tcPr>
          <w:p w14:paraId="71CF4DB0">
            <w:pPr>
              <w:widowControl/>
              <w:spacing w:line="360" w:lineRule="auto"/>
              <w:jc w:val="center"/>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1</w:t>
            </w:r>
          </w:p>
        </w:tc>
        <w:tc>
          <w:tcPr>
            <w:tcW w:w="1267" w:type="dxa"/>
            <w:vAlign w:val="center"/>
          </w:tcPr>
          <w:p w14:paraId="3A16822C">
            <w:pPr>
              <w:widowControl/>
              <w:spacing w:line="360" w:lineRule="auto"/>
              <w:jc w:val="center"/>
              <w:rPr>
                <w:rFonts w:hint="default" w:ascii="宋体" w:hAnsi="宋体"/>
                <w:color w:val="auto"/>
                <w:kern w:val="0"/>
                <w:highlight w:val="none"/>
                <w:lang w:val="en-US" w:eastAsia="zh-CN"/>
              </w:rPr>
            </w:pPr>
          </w:p>
        </w:tc>
        <w:tc>
          <w:tcPr>
            <w:tcW w:w="1383" w:type="dxa"/>
            <w:vAlign w:val="center"/>
          </w:tcPr>
          <w:p w14:paraId="0D783208">
            <w:pPr>
              <w:widowControl/>
              <w:spacing w:line="360" w:lineRule="auto"/>
              <w:jc w:val="center"/>
              <w:rPr>
                <w:rFonts w:ascii="宋体" w:hAnsi="宋体"/>
                <w:color w:val="auto"/>
                <w:kern w:val="0"/>
                <w:highlight w:val="none"/>
              </w:rPr>
            </w:pPr>
          </w:p>
        </w:tc>
        <w:tc>
          <w:tcPr>
            <w:tcW w:w="2650" w:type="dxa"/>
            <w:vMerge w:val="continue"/>
            <w:vAlign w:val="center"/>
          </w:tcPr>
          <w:p w14:paraId="41D51BBA">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b/>
                <w:bCs/>
                <w:color w:val="auto"/>
                <w:kern w:val="0"/>
                <w:sz w:val="21"/>
                <w:szCs w:val="21"/>
                <w:highlight w:val="none"/>
                <w:lang w:val="zh-CN" w:eastAsia="zh-CN"/>
              </w:rPr>
            </w:pPr>
          </w:p>
        </w:tc>
      </w:tr>
      <w:tr w14:paraId="4C019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45" w:type="dxa"/>
            <w:vAlign w:val="center"/>
          </w:tcPr>
          <w:p w14:paraId="38BF059F">
            <w:pPr>
              <w:widowControl/>
              <w:spacing w:line="360" w:lineRule="auto"/>
              <w:jc w:val="center"/>
              <w:rPr>
                <w:rFonts w:hint="eastAsia"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1.2</w:t>
            </w:r>
          </w:p>
        </w:tc>
        <w:tc>
          <w:tcPr>
            <w:tcW w:w="2200" w:type="dxa"/>
            <w:gridSpan w:val="2"/>
            <w:vAlign w:val="center"/>
          </w:tcPr>
          <w:p w14:paraId="7827CBA9">
            <w:pPr>
              <w:widowControl/>
              <w:spacing w:line="360" w:lineRule="auto"/>
              <w:jc w:val="center"/>
              <w:rPr>
                <w:rFonts w:hint="default" w:ascii="宋体" w:hAnsi="宋体"/>
                <w:color w:val="auto"/>
                <w:kern w:val="0"/>
                <w:highlight w:val="none"/>
                <w:lang w:val="en-US" w:eastAsia="zh-CN"/>
              </w:rPr>
            </w:pPr>
            <w:r>
              <w:rPr>
                <w:rFonts w:hint="eastAsia" w:ascii="宋体" w:hAnsi="宋体" w:eastAsia="宋体" w:cs="宋体"/>
                <w:color w:val="auto"/>
                <w:kern w:val="0"/>
                <w:sz w:val="21"/>
                <w:szCs w:val="21"/>
                <w:highlight w:val="none"/>
                <w:lang w:val="en-US" w:eastAsia="zh-CN"/>
              </w:rPr>
              <w:t>国家法定假日加班费</w:t>
            </w:r>
          </w:p>
        </w:tc>
        <w:tc>
          <w:tcPr>
            <w:tcW w:w="566" w:type="dxa"/>
            <w:vAlign w:val="center"/>
          </w:tcPr>
          <w:p w14:paraId="384BFC6A">
            <w:pPr>
              <w:widowControl/>
              <w:spacing w:line="360" w:lineRule="auto"/>
              <w:jc w:val="center"/>
              <w:rPr>
                <w:rFonts w:hint="eastAsia"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2</w:t>
            </w:r>
          </w:p>
        </w:tc>
        <w:tc>
          <w:tcPr>
            <w:tcW w:w="1267" w:type="dxa"/>
            <w:vAlign w:val="center"/>
          </w:tcPr>
          <w:p w14:paraId="0366FA42">
            <w:pPr>
              <w:widowControl/>
              <w:spacing w:line="360" w:lineRule="auto"/>
              <w:jc w:val="center"/>
              <w:rPr>
                <w:rFonts w:ascii="宋体" w:hAnsi="宋体"/>
                <w:color w:val="auto"/>
                <w:kern w:val="0"/>
                <w:highlight w:val="none"/>
              </w:rPr>
            </w:pPr>
          </w:p>
        </w:tc>
        <w:tc>
          <w:tcPr>
            <w:tcW w:w="1383" w:type="dxa"/>
            <w:vAlign w:val="center"/>
          </w:tcPr>
          <w:p w14:paraId="32B33034">
            <w:pPr>
              <w:widowControl/>
              <w:spacing w:line="360" w:lineRule="auto"/>
              <w:jc w:val="center"/>
              <w:rPr>
                <w:rFonts w:ascii="宋体" w:hAnsi="宋体"/>
                <w:color w:val="auto"/>
                <w:kern w:val="0"/>
                <w:highlight w:val="none"/>
              </w:rPr>
            </w:pPr>
          </w:p>
        </w:tc>
        <w:tc>
          <w:tcPr>
            <w:tcW w:w="2650" w:type="dxa"/>
            <w:vAlign w:val="center"/>
          </w:tcPr>
          <w:p w14:paraId="35990EE8">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宋体" w:hAnsi="宋体"/>
                <w:color w:val="auto"/>
                <w:kern w:val="0"/>
                <w:highlight w:val="none"/>
              </w:rPr>
            </w:pPr>
            <w:r>
              <w:rPr>
                <w:rFonts w:hint="eastAsia" w:ascii="宋体" w:hAnsi="宋体" w:eastAsia="宋体" w:cs="宋体"/>
                <w:color w:val="auto"/>
                <w:kern w:val="0"/>
                <w:sz w:val="21"/>
                <w:szCs w:val="21"/>
                <w:highlight w:val="none"/>
                <w:lang w:val="zh-CN" w:eastAsia="zh-CN"/>
              </w:rPr>
              <w:t>每年国假加班天数为</w:t>
            </w:r>
            <w:r>
              <w:rPr>
                <w:rFonts w:hint="eastAsia" w:ascii="宋体" w:hAnsi="宋体" w:eastAsia="宋体" w:cs="宋体"/>
                <w:color w:val="auto"/>
                <w:kern w:val="0"/>
                <w:sz w:val="21"/>
                <w:szCs w:val="21"/>
                <w:highlight w:val="none"/>
                <w:lang w:val="en-US" w:eastAsia="zh-CN"/>
              </w:rPr>
              <w:t>13</w:t>
            </w:r>
            <w:r>
              <w:rPr>
                <w:rFonts w:hint="eastAsia" w:ascii="宋体" w:hAnsi="宋体" w:eastAsia="宋体" w:cs="宋体"/>
                <w:color w:val="auto"/>
                <w:kern w:val="0"/>
                <w:sz w:val="21"/>
                <w:szCs w:val="21"/>
                <w:highlight w:val="none"/>
                <w:lang w:val="zh-CN" w:eastAsia="zh-CN"/>
              </w:rPr>
              <w:t>天，按不低于</w:t>
            </w:r>
            <w:r>
              <w:rPr>
                <w:rFonts w:hint="eastAsia" w:ascii="宋体" w:hAnsi="宋体" w:eastAsia="宋体" w:cs="宋体"/>
                <w:color w:val="auto"/>
                <w:kern w:val="0"/>
                <w:sz w:val="21"/>
                <w:szCs w:val="21"/>
                <w:highlight w:val="none"/>
                <w:lang w:val="en-US" w:eastAsia="zh-CN"/>
              </w:rPr>
              <w:t>4357.25</w:t>
            </w:r>
            <w:r>
              <w:rPr>
                <w:rFonts w:hint="eastAsia" w:ascii="宋体" w:hAnsi="宋体" w:eastAsia="宋体" w:cs="宋体"/>
                <w:color w:val="auto"/>
                <w:kern w:val="0"/>
                <w:sz w:val="21"/>
                <w:szCs w:val="21"/>
                <w:highlight w:val="none"/>
                <w:lang w:val="zh-CN" w:eastAsia="zh-CN"/>
              </w:rPr>
              <w:t>元/人</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zh-CN" w:eastAsia="zh-CN"/>
              </w:rPr>
              <w:t>年填报。</w:t>
            </w:r>
          </w:p>
        </w:tc>
      </w:tr>
      <w:tr w14:paraId="42917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45" w:type="dxa"/>
            <w:vAlign w:val="center"/>
          </w:tcPr>
          <w:p w14:paraId="06CF4307">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1.3</w:t>
            </w:r>
          </w:p>
        </w:tc>
        <w:tc>
          <w:tcPr>
            <w:tcW w:w="2200" w:type="dxa"/>
            <w:gridSpan w:val="2"/>
            <w:vAlign w:val="center"/>
          </w:tcPr>
          <w:p w14:paraId="4350A2EE">
            <w:pPr>
              <w:widowControl/>
              <w:spacing w:line="360" w:lineRule="auto"/>
              <w:jc w:val="center"/>
              <w:rPr>
                <w:rFonts w:hint="default" w:ascii="宋体" w:hAnsi="宋体"/>
                <w:color w:val="auto"/>
                <w:kern w:val="0"/>
                <w:highlight w:val="none"/>
                <w:lang w:val="en-US" w:eastAsia="zh-CN"/>
              </w:rPr>
            </w:pPr>
            <w:r>
              <w:rPr>
                <w:rFonts w:ascii="宋体" w:hAnsi="宋体"/>
                <w:color w:val="auto"/>
                <w:kern w:val="0"/>
                <w:highlight w:val="none"/>
              </w:rPr>
              <w:t>社保</w:t>
            </w:r>
          </w:p>
        </w:tc>
        <w:tc>
          <w:tcPr>
            <w:tcW w:w="566" w:type="dxa"/>
            <w:vAlign w:val="center"/>
          </w:tcPr>
          <w:p w14:paraId="6A2AF213">
            <w:pPr>
              <w:widowControl/>
              <w:spacing w:line="360" w:lineRule="auto"/>
              <w:jc w:val="center"/>
              <w:rPr>
                <w:rFonts w:hint="eastAsia"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2</w:t>
            </w:r>
          </w:p>
        </w:tc>
        <w:tc>
          <w:tcPr>
            <w:tcW w:w="1267" w:type="dxa"/>
            <w:vAlign w:val="center"/>
          </w:tcPr>
          <w:p w14:paraId="1968C9F8">
            <w:pPr>
              <w:widowControl/>
              <w:spacing w:line="360" w:lineRule="auto"/>
              <w:jc w:val="center"/>
              <w:rPr>
                <w:rFonts w:ascii="宋体" w:hAnsi="宋体"/>
                <w:color w:val="auto"/>
                <w:kern w:val="0"/>
                <w:highlight w:val="none"/>
              </w:rPr>
            </w:pPr>
          </w:p>
        </w:tc>
        <w:tc>
          <w:tcPr>
            <w:tcW w:w="1383" w:type="dxa"/>
            <w:vAlign w:val="center"/>
          </w:tcPr>
          <w:p w14:paraId="65B1D552">
            <w:pPr>
              <w:widowControl/>
              <w:spacing w:line="360" w:lineRule="auto"/>
              <w:jc w:val="center"/>
              <w:rPr>
                <w:rFonts w:ascii="宋体" w:hAnsi="宋体"/>
                <w:color w:val="auto"/>
                <w:kern w:val="0"/>
                <w:highlight w:val="none"/>
              </w:rPr>
            </w:pPr>
          </w:p>
        </w:tc>
        <w:tc>
          <w:tcPr>
            <w:tcW w:w="2650" w:type="dxa"/>
            <w:vAlign w:val="center"/>
          </w:tcPr>
          <w:p w14:paraId="6401E5B4">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社保（企业部分）不得低于1292.47元/人/月。</w:t>
            </w:r>
          </w:p>
        </w:tc>
      </w:tr>
      <w:tr w14:paraId="0570E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45" w:type="dxa"/>
            <w:vAlign w:val="center"/>
          </w:tcPr>
          <w:p w14:paraId="7367CBB7">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1.4</w:t>
            </w:r>
          </w:p>
        </w:tc>
        <w:tc>
          <w:tcPr>
            <w:tcW w:w="2200" w:type="dxa"/>
            <w:gridSpan w:val="2"/>
            <w:vAlign w:val="center"/>
          </w:tcPr>
          <w:p w14:paraId="024A9437">
            <w:pPr>
              <w:widowControl/>
              <w:spacing w:line="360" w:lineRule="auto"/>
              <w:jc w:val="center"/>
              <w:rPr>
                <w:rFonts w:hint="default" w:ascii="宋体" w:hAnsi="宋体"/>
                <w:color w:val="auto"/>
                <w:kern w:val="0"/>
                <w:highlight w:val="none"/>
                <w:lang w:val="en-US" w:eastAsia="zh-CN"/>
              </w:rPr>
            </w:pPr>
            <w:r>
              <w:rPr>
                <w:rFonts w:ascii="宋体" w:hAnsi="宋体"/>
                <w:color w:val="auto"/>
                <w:kern w:val="0"/>
                <w:highlight w:val="none"/>
              </w:rPr>
              <w:t>住房公积金</w:t>
            </w:r>
          </w:p>
        </w:tc>
        <w:tc>
          <w:tcPr>
            <w:tcW w:w="566" w:type="dxa"/>
            <w:vAlign w:val="center"/>
          </w:tcPr>
          <w:p w14:paraId="2EDE1E73">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2</w:t>
            </w:r>
          </w:p>
        </w:tc>
        <w:tc>
          <w:tcPr>
            <w:tcW w:w="1267" w:type="dxa"/>
            <w:vAlign w:val="center"/>
          </w:tcPr>
          <w:p w14:paraId="3AAEC017">
            <w:pPr>
              <w:widowControl/>
              <w:spacing w:line="360" w:lineRule="auto"/>
              <w:jc w:val="center"/>
              <w:rPr>
                <w:rFonts w:ascii="宋体" w:hAnsi="宋体"/>
                <w:color w:val="auto"/>
                <w:kern w:val="0"/>
                <w:highlight w:val="none"/>
              </w:rPr>
            </w:pPr>
          </w:p>
        </w:tc>
        <w:tc>
          <w:tcPr>
            <w:tcW w:w="1383" w:type="dxa"/>
            <w:vAlign w:val="center"/>
          </w:tcPr>
          <w:p w14:paraId="27138010">
            <w:pPr>
              <w:widowControl/>
              <w:spacing w:line="360" w:lineRule="auto"/>
              <w:jc w:val="center"/>
              <w:rPr>
                <w:rFonts w:ascii="宋体" w:hAnsi="宋体"/>
                <w:color w:val="auto"/>
                <w:kern w:val="0"/>
                <w:highlight w:val="none"/>
              </w:rPr>
            </w:pPr>
          </w:p>
        </w:tc>
        <w:tc>
          <w:tcPr>
            <w:tcW w:w="2650" w:type="dxa"/>
            <w:vAlign w:val="center"/>
          </w:tcPr>
          <w:p w14:paraId="571021FA">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cs="宋体" w:eastAsiaTheme="minorEastAsia"/>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投标人按不低于</w:t>
            </w:r>
            <w:r>
              <w:rPr>
                <w:rFonts w:hint="eastAsia" w:ascii="宋体" w:hAnsi="宋体" w:eastAsia="宋体" w:cs="宋体"/>
                <w:color w:val="auto"/>
                <w:kern w:val="0"/>
                <w:sz w:val="21"/>
                <w:szCs w:val="21"/>
                <w:highlight w:val="none"/>
                <w:lang w:val="en-US" w:eastAsia="zh-CN"/>
              </w:rPr>
              <w:t>114</w:t>
            </w:r>
            <w:r>
              <w:rPr>
                <w:rFonts w:hint="eastAsia" w:ascii="宋体" w:hAnsi="宋体" w:eastAsia="宋体" w:cs="宋体"/>
                <w:color w:val="auto"/>
                <w:kern w:val="0"/>
                <w:sz w:val="21"/>
                <w:szCs w:val="21"/>
                <w:highlight w:val="none"/>
                <w:lang w:val="zh-CN" w:eastAsia="zh-CN"/>
              </w:rPr>
              <w:t>元/人/月填报。</w:t>
            </w:r>
          </w:p>
        </w:tc>
      </w:tr>
      <w:tr w14:paraId="05A46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45" w:type="dxa"/>
            <w:vAlign w:val="center"/>
          </w:tcPr>
          <w:p w14:paraId="573F0657">
            <w:pPr>
              <w:widowControl/>
              <w:spacing w:line="360" w:lineRule="auto"/>
              <w:jc w:val="center"/>
              <w:rPr>
                <w:rFonts w:hint="eastAsia" w:ascii="宋体" w:hAnsi="宋体"/>
                <w:color w:val="auto"/>
                <w:kern w:val="0"/>
                <w:highlight w:val="none"/>
                <w:lang w:val="en-US" w:eastAsia="zh-CN"/>
              </w:rPr>
            </w:pPr>
            <w:r>
              <w:rPr>
                <w:rFonts w:hint="eastAsia" w:ascii="宋体" w:hAnsi="宋体"/>
                <w:b/>
                <w:color w:val="auto"/>
                <w:kern w:val="0"/>
                <w:highlight w:val="none"/>
                <w:lang w:val="en-US" w:eastAsia="zh-CN"/>
              </w:rPr>
              <w:t>2</w:t>
            </w:r>
          </w:p>
        </w:tc>
        <w:tc>
          <w:tcPr>
            <w:tcW w:w="2200" w:type="dxa"/>
            <w:gridSpan w:val="2"/>
            <w:vAlign w:val="center"/>
          </w:tcPr>
          <w:p w14:paraId="2A025309">
            <w:pPr>
              <w:widowControl/>
              <w:spacing w:line="360" w:lineRule="auto"/>
              <w:jc w:val="center"/>
              <w:rPr>
                <w:rFonts w:hint="eastAsia" w:ascii="宋体" w:hAnsi="宋体" w:eastAsia="宋体" w:cs="宋体"/>
                <w:color w:val="auto"/>
                <w:sz w:val="21"/>
                <w:szCs w:val="21"/>
                <w:highlight w:val="none"/>
                <w:lang w:val="zh-CN"/>
              </w:rPr>
            </w:pPr>
            <w:r>
              <w:rPr>
                <w:rFonts w:hint="eastAsia" w:ascii="宋体" w:hAnsi="宋体"/>
                <w:b/>
                <w:color w:val="auto"/>
                <w:kern w:val="0"/>
                <w:highlight w:val="none"/>
              </w:rPr>
              <w:t>综合管理杂费</w:t>
            </w:r>
          </w:p>
        </w:tc>
        <w:tc>
          <w:tcPr>
            <w:tcW w:w="566" w:type="dxa"/>
            <w:vAlign w:val="center"/>
          </w:tcPr>
          <w:p w14:paraId="0BC9D461">
            <w:pPr>
              <w:widowControl/>
              <w:spacing w:line="360" w:lineRule="auto"/>
              <w:jc w:val="center"/>
              <w:rPr>
                <w:rFonts w:hint="default" w:ascii="宋体" w:hAnsi="宋体"/>
                <w:color w:val="auto"/>
                <w:kern w:val="0"/>
                <w:highlight w:val="none"/>
                <w:lang w:val="en-US" w:eastAsia="zh-CN"/>
              </w:rPr>
            </w:pPr>
          </w:p>
        </w:tc>
        <w:tc>
          <w:tcPr>
            <w:tcW w:w="1267" w:type="dxa"/>
            <w:vAlign w:val="center"/>
          </w:tcPr>
          <w:p w14:paraId="7FED076A">
            <w:pPr>
              <w:widowControl/>
              <w:spacing w:line="360" w:lineRule="auto"/>
              <w:jc w:val="center"/>
              <w:rPr>
                <w:rFonts w:ascii="宋体" w:hAnsi="宋体"/>
                <w:color w:val="auto"/>
                <w:kern w:val="0"/>
                <w:highlight w:val="none"/>
              </w:rPr>
            </w:pPr>
          </w:p>
        </w:tc>
        <w:tc>
          <w:tcPr>
            <w:tcW w:w="1383" w:type="dxa"/>
            <w:vAlign w:val="center"/>
          </w:tcPr>
          <w:p w14:paraId="3647E4D4">
            <w:pPr>
              <w:widowControl/>
              <w:spacing w:line="360" w:lineRule="auto"/>
              <w:jc w:val="center"/>
              <w:rPr>
                <w:rFonts w:ascii="宋体" w:hAnsi="宋体"/>
                <w:color w:val="auto"/>
                <w:kern w:val="0"/>
                <w:highlight w:val="none"/>
              </w:rPr>
            </w:pPr>
          </w:p>
        </w:tc>
        <w:tc>
          <w:tcPr>
            <w:tcW w:w="2650" w:type="dxa"/>
            <w:vAlign w:val="center"/>
          </w:tcPr>
          <w:p w14:paraId="1F1F515C">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0"/>
                <w:sz w:val="21"/>
                <w:szCs w:val="21"/>
                <w:highlight w:val="none"/>
                <w:lang w:val="zh-CN" w:eastAsia="zh-CN"/>
              </w:rPr>
            </w:pPr>
          </w:p>
        </w:tc>
      </w:tr>
      <w:tr w14:paraId="4E949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45" w:type="dxa"/>
            <w:vAlign w:val="center"/>
          </w:tcPr>
          <w:p w14:paraId="7D242DE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2.1</w:t>
            </w:r>
          </w:p>
        </w:tc>
        <w:tc>
          <w:tcPr>
            <w:tcW w:w="2200" w:type="dxa"/>
            <w:gridSpan w:val="2"/>
            <w:vAlign w:val="center"/>
          </w:tcPr>
          <w:p w14:paraId="1B84203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福利费</w:t>
            </w:r>
          </w:p>
        </w:tc>
        <w:tc>
          <w:tcPr>
            <w:tcW w:w="566" w:type="dxa"/>
            <w:vAlign w:val="center"/>
          </w:tcPr>
          <w:p w14:paraId="3B52FB9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1267" w:type="dxa"/>
            <w:vAlign w:val="center"/>
          </w:tcPr>
          <w:p w14:paraId="3ECF527D">
            <w:pPr>
              <w:widowControl/>
              <w:spacing w:line="360" w:lineRule="auto"/>
              <w:jc w:val="center"/>
              <w:rPr>
                <w:rFonts w:ascii="宋体" w:hAnsi="宋体"/>
                <w:color w:val="auto"/>
                <w:kern w:val="0"/>
                <w:highlight w:val="none"/>
              </w:rPr>
            </w:pPr>
          </w:p>
        </w:tc>
        <w:tc>
          <w:tcPr>
            <w:tcW w:w="1383" w:type="dxa"/>
            <w:vAlign w:val="center"/>
          </w:tcPr>
          <w:p w14:paraId="0EB2D203">
            <w:pPr>
              <w:widowControl/>
              <w:spacing w:line="360" w:lineRule="auto"/>
              <w:jc w:val="center"/>
              <w:rPr>
                <w:rFonts w:ascii="宋体" w:hAnsi="宋体"/>
                <w:color w:val="auto"/>
                <w:kern w:val="0"/>
                <w:highlight w:val="none"/>
              </w:rPr>
            </w:pPr>
          </w:p>
        </w:tc>
        <w:tc>
          <w:tcPr>
            <w:tcW w:w="2650" w:type="dxa"/>
            <w:vAlign w:val="center"/>
          </w:tcPr>
          <w:p w14:paraId="51BA755E">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cs="宋体"/>
                <w:color w:val="auto"/>
                <w:szCs w:val="21"/>
                <w:highlight w:val="none"/>
                <w:lang w:val="zh-CN"/>
              </w:rPr>
              <w:t>福利费不得低于</w:t>
            </w:r>
            <w:r>
              <w:rPr>
                <w:rFonts w:hint="eastAsia" w:ascii="宋体" w:hAnsi="宋体" w:cs="宋体"/>
                <w:color w:val="auto"/>
                <w:szCs w:val="21"/>
                <w:highlight w:val="none"/>
              </w:rPr>
              <w:t>1000元/人/年填报。</w:t>
            </w:r>
          </w:p>
        </w:tc>
      </w:tr>
      <w:tr w14:paraId="5AD3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545" w:type="dxa"/>
            <w:vAlign w:val="center"/>
          </w:tcPr>
          <w:p w14:paraId="5AC841CF">
            <w:pPr>
              <w:spacing w:line="360" w:lineRule="auto"/>
              <w:jc w:val="center"/>
              <w:rPr>
                <w:rFonts w:hint="eastAsia" w:ascii="宋体" w:hAnsi="宋体" w:eastAsiaTheme="minorEastAsia"/>
                <w:b/>
                <w:color w:val="auto"/>
                <w:kern w:val="0"/>
                <w:highlight w:val="none"/>
                <w:lang w:eastAsia="zh-CN"/>
              </w:rPr>
            </w:pPr>
            <w:r>
              <w:rPr>
                <w:rFonts w:hint="eastAsia" w:ascii="宋体" w:hAnsi="宋体"/>
                <w:b/>
                <w:color w:val="auto"/>
                <w:kern w:val="0"/>
                <w:highlight w:val="none"/>
                <w:lang w:val="en-US" w:eastAsia="zh-CN"/>
              </w:rPr>
              <w:t>3</w:t>
            </w:r>
          </w:p>
        </w:tc>
        <w:tc>
          <w:tcPr>
            <w:tcW w:w="2200" w:type="dxa"/>
            <w:gridSpan w:val="2"/>
            <w:vAlign w:val="center"/>
          </w:tcPr>
          <w:p w14:paraId="35062C94">
            <w:pPr>
              <w:spacing w:line="360" w:lineRule="auto"/>
              <w:jc w:val="center"/>
              <w:rPr>
                <w:rFonts w:hint="eastAsia" w:ascii="宋体" w:hAnsi="宋体" w:eastAsiaTheme="minorEastAsia"/>
                <w:b/>
                <w:color w:val="auto"/>
                <w:kern w:val="0"/>
                <w:highlight w:val="none"/>
                <w:lang w:val="en-US" w:eastAsia="zh-CN"/>
              </w:rPr>
            </w:pPr>
            <w:r>
              <w:rPr>
                <w:rFonts w:hint="eastAsia" w:ascii="宋体" w:hAnsi="宋体"/>
                <w:b/>
                <w:color w:val="auto"/>
                <w:kern w:val="0"/>
                <w:highlight w:val="none"/>
              </w:rPr>
              <w:t>其他费用</w:t>
            </w:r>
          </w:p>
        </w:tc>
        <w:tc>
          <w:tcPr>
            <w:tcW w:w="566" w:type="dxa"/>
            <w:vAlign w:val="center"/>
          </w:tcPr>
          <w:p w14:paraId="18B6ECEF">
            <w:pPr>
              <w:spacing w:line="360" w:lineRule="auto"/>
              <w:jc w:val="center"/>
              <w:rPr>
                <w:rFonts w:hint="default" w:ascii="宋体" w:hAnsi="宋体" w:eastAsiaTheme="minorEastAsia"/>
                <w:b/>
                <w:color w:val="auto"/>
                <w:kern w:val="0"/>
                <w:highlight w:val="none"/>
                <w:lang w:val="en-US" w:eastAsia="zh-CN"/>
              </w:rPr>
            </w:pPr>
          </w:p>
        </w:tc>
        <w:tc>
          <w:tcPr>
            <w:tcW w:w="1267" w:type="dxa"/>
            <w:vAlign w:val="center"/>
          </w:tcPr>
          <w:p w14:paraId="19D09165">
            <w:pPr>
              <w:spacing w:line="360" w:lineRule="auto"/>
              <w:jc w:val="center"/>
              <w:rPr>
                <w:rFonts w:hint="default" w:ascii="宋体" w:hAnsi="宋体" w:eastAsiaTheme="minorEastAsia"/>
                <w:b/>
                <w:color w:val="auto"/>
                <w:kern w:val="0"/>
                <w:highlight w:val="none"/>
                <w:lang w:val="en-US" w:eastAsia="zh-CN"/>
              </w:rPr>
            </w:pPr>
            <w:r>
              <w:rPr>
                <w:rFonts w:hint="eastAsia" w:ascii="宋体" w:hAnsi="宋体"/>
                <w:b/>
                <w:color w:val="auto"/>
                <w:kern w:val="0"/>
                <w:highlight w:val="none"/>
                <w:lang w:val="en-US" w:eastAsia="zh-CN"/>
              </w:rPr>
              <w:t>/</w:t>
            </w:r>
          </w:p>
        </w:tc>
        <w:tc>
          <w:tcPr>
            <w:tcW w:w="1383" w:type="dxa"/>
            <w:vAlign w:val="center"/>
          </w:tcPr>
          <w:p w14:paraId="55A6BCFF">
            <w:pPr>
              <w:spacing w:line="360" w:lineRule="auto"/>
              <w:jc w:val="center"/>
              <w:rPr>
                <w:rFonts w:hint="default" w:ascii="宋体" w:hAnsi="宋体" w:eastAsiaTheme="minorEastAsia"/>
                <w:b/>
                <w:color w:val="auto"/>
                <w:kern w:val="0"/>
                <w:highlight w:val="none"/>
                <w:lang w:val="en-US" w:eastAsia="zh-CN"/>
              </w:rPr>
            </w:pPr>
            <w:r>
              <w:rPr>
                <w:rFonts w:hint="eastAsia" w:ascii="宋体" w:hAnsi="宋体"/>
                <w:b/>
                <w:color w:val="auto"/>
                <w:kern w:val="0"/>
                <w:highlight w:val="none"/>
                <w:lang w:val="en-US" w:eastAsia="zh-CN"/>
              </w:rPr>
              <w:t>6000.00</w:t>
            </w:r>
          </w:p>
        </w:tc>
        <w:tc>
          <w:tcPr>
            <w:tcW w:w="2650" w:type="dxa"/>
            <w:vAlign w:val="center"/>
          </w:tcPr>
          <w:p w14:paraId="1564EF4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kern w:val="0"/>
                <w:sz w:val="21"/>
                <w:szCs w:val="21"/>
                <w:highlight w:val="none"/>
                <w:lang w:val="zh-CN" w:eastAsia="zh-CN"/>
              </w:rPr>
            </w:pPr>
            <w:r>
              <w:rPr>
                <w:rFonts w:hint="eastAsia" w:ascii="宋体" w:hAnsi="宋体" w:eastAsia="宋体" w:cs="宋体"/>
                <w:b/>
                <w:bCs/>
                <w:color w:val="auto"/>
                <w:kern w:val="0"/>
                <w:sz w:val="21"/>
                <w:szCs w:val="21"/>
                <w:highlight w:val="none"/>
                <w:lang w:val="en-US" w:eastAsia="zh-CN"/>
              </w:rPr>
              <w:t>其它费用固定报价6000.00元。</w:t>
            </w:r>
          </w:p>
        </w:tc>
      </w:tr>
      <w:tr w14:paraId="1797A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545" w:type="dxa"/>
            <w:vAlign w:val="center"/>
          </w:tcPr>
          <w:p w14:paraId="4052EECC">
            <w:pPr>
              <w:widowControl/>
              <w:spacing w:line="360" w:lineRule="auto"/>
              <w:jc w:val="center"/>
              <w:rPr>
                <w:rFonts w:hint="eastAsia" w:ascii="宋体" w:hAnsi="宋体" w:eastAsiaTheme="minorEastAsia"/>
                <w:b/>
                <w:color w:val="auto"/>
                <w:kern w:val="0"/>
                <w:highlight w:val="none"/>
                <w:lang w:eastAsia="zh-CN"/>
              </w:rPr>
            </w:pPr>
            <w:r>
              <w:rPr>
                <w:rFonts w:hint="eastAsia" w:ascii="宋体" w:hAnsi="宋体"/>
                <w:b/>
                <w:color w:val="auto"/>
                <w:kern w:val="0"/>
                <w:highlight w:val="none"/>
                <w:lang w:val="en-US" w:eastAsia="zh-CN"/>
              </w:rPr>
              <w:t>4</w:t>
            </w:r>
          </w:p>
        </w:tc>
        <w:tc>
          <w:tcPr>
            <w:tcW w:w="2200" w:type="dxa"/>
            <w:gridSpan w:val="2"/>
            <w:vAlign w:val="center"/>
          </w:tcPr>
          <w:p w14:paraId="12887550">
            <w:pPr>
              <w:widowControl/>
              <w:spacing w:line="360" w:lineRule="auto"/>
              <w:jc w:val="center"/>
              <w:rPr>
                <w:rFonts w:hint="default" w:ascii="宋体" w:hAnsi="宋体"/>
                <w:b/>
                <w:color w:val="auto"/>
                <w:kern w:val="0"/>
                <w:highlight w:val="none"/>
                <w:lang w:val="en-US" w:eastAsia="zh-CN"/>
              </w:rPr>
            </w:pPr>
            <w:r>
              <w:rPr>
                <w:rFonts w:hint="eastAsia" w:ascii="宋体" w:hAnsi="宋体"/>
                <w:b/>
                <w:color w:val="auto"/>
                <w:kern w:val="0"/>
                <w:highlight w:val="none"/>
              </w:rPr>
              <w:t>法定税费</w:t>
            </w:r>
          </w:p>
        </w:tc>
        <w:tc>
          <w:tcPr>
            <w:tcW w:w="566" w:type="dxa"/>
            <w:vAlign w:val="center"/>
          </w:tcPr>
          <w:p w14:paraId="0E0FE415">
            <w:pPr>
              <w:widowControl/>
              <w:spacing w:line="360" w:lineRule="auto"/>
              <w:jc w:val="center"/>
              <w:rPr>
                <w:rFonts w:hint="default" w:ascii="宋体" w:hAnsi="宋体" w:eastAsiaTheme="minorEastAsia"/>
                <w:b/>
                <w:color w:val="auto"/>
                <w:kern w:val="0"/>
                <w:highlight w:val="none"/>
                <w:lang w:val="en-US" w:eastAsia="zh-CN"/>
              </w:rPr>
            </w:pPr>
          </w:p>
        </w:tc>
        <w:tc>
          <w:tcPr>
            <w:tcW w:w="1267" w:type="dxa"/>
            <w:vAlign w:val="center"/>
          </w:tcPr>
          <w:p w14:paraId="7B1E32FB">
            <w:pPr>
              <w:widowControl/>
              <w:spacing w:line="360" w:lineRule="auto"/>
              <w:jc w:val="center"/>
              <w:rPr>
                <w:rFonts w:ascii="宋体" w:hAnsi="宋体"/>
                <w:b/>
                <w:color w:val="auto"/>
                <w:kern w:val="0"/>
                <w:highlight w:val="none"/>
              </w:rPr>
            </w:pPr>
          </w:p>
        </w:tc>
        <w:tc>
          <w:tcPr>
            <w:tcW w:w="1383" w:type="dxa"/>
            <w:vAlign w:val="center"/>
          </w:tcPr>
          <w:p w14:paraId="2BF0A181">
            <w:pPr>
              <w:spacing w:line="360" w:lineRule="auto"/>
              <w:jc w:val="center"/>
              <w:rPr>
                <w:rFonts w:ascii="宋体" w:hAnsi="宋体"/>
                <w:b/>
                <w:color w:val="auto"/>
                <w:kern w:val="0"/>
                <w:highlight w:val="none"/>
              </w:rPr>
            </w:pPr>
          </w:p>
        </w:tc>
        <w:tc>
          <w:tcPr>
            <w:tcW w:w="2650" w:type="dxa"/>
            <w:vAlign w:val="center"/>
          </w:tcPr>
          <w:p w14:paraId="340599B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kern w:val="0"/>
                <w:sz w:val="21"/>
                <w:szCs w:val="21"/>
                <w:lang w:val="zh-CN" w:eastAsia="zh-CN"/>
              </w:rPr>
            </w:pPr>
            <w:r>
              <w:rPr>
                <w:rFonts w:hint="eastAsia" w:ascii="宋体" w:hAnsi="宋体" w:eastAsia="宋体" w:cs="宋体"/>
                <w:color w:val="auto"/>
                <w:kern w:val="0"/>
                <w:sz w:val="21"/>
                <w:szCs w:val="21"/>
                <w:lang w:val="en-US" w:eastAsia="zh-CN"/>
              </w:rPr>
              <w:t>投标人填报的税率统一按照6.72%计算。</w:t>
            </w:r>
          </w:p>
        </w:tc>
      </w:tr>
      <w:tr w14:paraId="10C9A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2745" w:type="dxa"/>
            <w:gridSpan w:val="3"/>
            <w:vAlign w:val="center"/>
          </w:tcPr>
          <w:p w14:paraId="7BBC316E">
            <w:pPr>
              <w:widowControl/>
              <w:spacing w:line="360" w:lineRule="auto"/>
              <w:jc w:val="center"/>
              <w:rPr>
                <w:rFonts w:ascii="宋体" w:hAnsi="宋体"/>
                <w:color w:val="auto"/>
                <w:kern w:val="0"/>
                <w:highlight w:val="none"/>
              </w:rPr>
            </w:pPr>
            <w:r>
              <w:rPr>
                <w:rFonts w:hint="eastAsia" w:ascii="宋体" w:hAnsi="宋体"/>
                <w:b/>
                <w:color w:val="auto"/>
                <w:kern w:val="0"/>
                <w:highlight w:val="none"/>
              </w:rPr>
              <w:t>投标总报价（</w:t>
            </w:r>
            <w:r>
              <w:rPr>
                <w:rFonts w:hint="eastAsia" w:ascii="宋体" w:hAnsi="宋体"/>
                <w:b/>
                <w:color w:val="auto"/>
                <w:kern w:val="0"/>
                <w:highlight w:val="none"/>
                <w:lang w:val="en-US" w:eastAsia="zh-CN"/>
              </w:rPr>
              <w:t>元</w:t>
            </w:r>
            <w:r>
              <w:rPr>
                <w:rFonts w:hint="eastAsia" w:ascii="宋体" w:hAnsi="宋体"/>
                <w:b/>
                <w:color w:val="auto"/>
                <w:kern w:val="0"/>
                <w:highlight w:val="none"/>
              </w:rPr>
              <w:t>）</w:t>
            </w:r>
          </w:p>
        </w:tc>
        <w:tc>
          <w:tcPr>
            <w:tcW w:w="566" w:type="dxa"/>
          </w:tcPr>
          <w:p w14:paraId="7080BC3C">
            <w:pPr>
              <w:widowControl/>
              <w:spacing w:line="360" w:lineRule="auto"/>
              <w:jc w:val="center"/>
              <w:rPr>
                <w:rFonts w:ascii="宋体" w:hAnsi="宋体"/>
                <w:color w:val="auto"/>
                <w:kern w:val="0"/>
                <w:highlight w:val="none"/>
              </w:rPr>
            </w:pPr>
          </w:p>
        </w:tc>
        <w:tc>
          <w:tcPr>
            <w:tcW w:w="1267" w:type="dxa"/>
            <w:vAlign w:val="center"/>
          </w:tcPr>
          <w:p w14:paraId="236A5053">
            <w:pPr>
              <w:widowControl/>
              <w:spacing w:line="360" w:lineRule="auto"/>
              <w:jc w:val="center"/>
              <w:rPr>
                <w:rFonts w:ascii="宋体" w:hAnsi="宋体"/>
                <w:color w:val="auto"/>
                <w:kern w:val="0"/>
                <w:highlight w:val="none"/>
              </w:rPr>
            </w:pPr>
          </w:p>
        </w:tc>
        <w:tc>
          <w:tcPr>
            <w:tcW w:w="1383" w:type="dxa"/>
            <w:vAlign w:val="center"/>
          </w:tcPr>
          <w:p w14:paraId="3686D776">
            <w:pPr>
              <w:widowControl/>
              <w:spacing w:line="360" w:lineRule="auto"/>
              <w:jc w:val="center"/>
              <w:rPr>
                <w:rFonts w:ascii="宋体" w:hAnsi="宋体"/>
                <w:b/>
                <w:color w:val="auto"/>
                <w:kern w:val="0"/>
                <w:highlight w:val="none"/>
              </w:rPr>
            </w:pPr>
          </w:p>
        </w:tc>
        <w:tc>
          <w:tcPr>
            <w:tcW w:w="2650" w:type="dxa"/>
            <w:vAlign w:val="center"/>
          </w:tcPr>
          <w:p w14:paraId="23B7541B">
            <w:pPr>
              <w:widowControl/>
              <w:spacing w:line="360" w:lineRule="auto"/>
              <w:jc w:val="center"/>
              <w:rPr>
                <w:rFonts w:ascii="宋体" w:hAnsi="宋体"/>
                <w:color w:val="auto"/>
                <w:kern w:val="0"/>
                <w:highlight w:val="none"/>
              </w:rPr>
            </w:pPr>
            <w:r>
              <w:rPr>
                <w:rFonts w:hint="eastAsia" w:ascii="宋体" w:hAnsi="宋体" w:eastAsia="宋体" w:cs="宋体"/>
                <w:b/>
                <w:bCs/>
                <w:color w:val="auto"/>
                <w:kern w:val="0"/>
                <w:sz w:val="21"/>
                <w:szCs w:val="21"/>
                <w:highlight w:val="none"/>
                <w:lang w:val="en-US" w:eastAsia="zh-CN"/>
              </w:rPr>
              <w:t>计算式（1项+2项+…+4项）</w:t>
            </w:r>
          </w:p>
        </w:tc>
      </w:tr>
    </w:tbl>
    <w:p w14:paraId="0E7AD66B">
      <w:pPr>
        <w:pStyle w:val="9"/>
        <w:spacing w:beforeAutospacing="0" w:afterAutospacing="0"/>
        <w:jc w:val="both"/>
        <w:rPr>
          <w:color w:val="auto"/>
          <w:highlight w:val="none"/>
        </w:rPr>
      </w:pPr>
      <w:r>
        <w:rPr>
          <w:color w:val="auto"/>
          <w:highlight w:val="none"/>
        </w:rPr>
        <w:t> </w:t>
      </w:r>
    </w:p>
    <w:p w14:paraId="04EA8461">
      <w:pPr>
        <w:spacing w:line="360" w:lineRule="auto"/>
        <w:ind w:firstLine="470" w:firstLineChars="195"/>
        <w:rPr>
          <w:rFonts w:ascii="宋体" w:hAnsi="宋体"/>
          <w:b w:val="0"/>
          <w:bCs/>
          <w:color w:val="auto"/>
          <w:sz w:val="24"/>
          <w:highlight w:val="none"/>
        </w:rPr>
      </w:pPr>
      <w:r>
        <w:rPr>
          <w:rFonts w:hint="eastAsia" w:ascii="宋体" w:hAnsi="宋体"/>
          <w:b/>
          <w:color w:val="auto"/>
          <w:sz w:val="24"/>
          <w:highlight w:val="none"/>
          <w:lang w:val="en-US" w:eastAsia="zh-CN"/>
        </w:rPr>
        <w:t>注：</w:t>
      </w:r>
      <w:r>
        <w:rPr>
          <w:rFonts w:hint="eastAsia" w:ascii="宋体" w:hAnsi="宋体"/>
          <w:b/>
          <w:color w:val="auto"/>
          <w:sz w:val="24"/>
          <w:highlight w:val="none"/>
        </w:rPr>
        <w:t>投标人</w:t>
      </w:r>
      <w:r>
        <w:rPr>
          <w:rFonts w:hint="eastAsia" w:ascii="宋体" w:hAnsi="Arial" w:cs="宋体"/>
          <w:b/>
          <w:bCs/>
          <w:color w:val="auto"/>
          <w:sz w:val="24"/>
          <w:highlight w:val="none"/>
          <w:lang w:val="zh-CN"/>
        </w:rPr>
        <w:t>所提供人员的费用不得低于上述标准进行测算，</w:t>
      </w:r>
      <w:r>
        <w:rPr>
          <w:rFonts w:hint="eastAsia" w:ascii="宋体" w:hAnsi="宋体"/>
          <w:b/>
          <w:color w:val="auto"/>
          <w:sz w:val="24"/>
          <w:highlight w:val="none"/>
        </w:rPr>
        <w:t>否则</w:t>
      </w:r>
      <w:r>
        <w:rPr>
          <w:rFonts w:hint="eastAsia" w:ascii="宋体" w:hAnsi="Arial" w:cs="宋体"/>
          <w:b/>
          <w:bCs/>
          <w:color w:val="auto"/>
          <w:sz w:val="24"/>
          <w:highlight w:val="none"/>
          <w:lang w:val="zh-CN"/>
        </w:rPr>
        <w:t>视为未实质性响应招标文件要求</w:t>
      </w:r>
      <w:r>
        <w:rPr>
          <w:rFonts w:hint="eastAsia" w:ascii="宋体" w:hAnsi="宋体"/>
          <w:b/>
          <w:color w:val="auto"/>
          <w:sz w:val="24"/>
          <w:highlight w:val="none"/>
        </w:rPr>
        <w:t>。如果招标公告发布之后</w:t>
      </w:r>
      <w:r>
        <w:rPr>
          <w:rFonts w:hint="eastAsia" w:ascii="宋体" w:hAnsi="宋体"/>
          <w:b/>
          <w:color w:val="auto"/>
          <w:sz w:val="24"/>
          <w:highlight w:val="none"/>
          <w:lang w:val="en-US" w:eastAsia="zh-CN"/>
        </w:rPr>
        <w:t>开标前</w:t>
      </w:r>
      <w:r>
        <w:rPr>
          <w:rFonts w:hint="eastAsia" w:ascii="宋体" w:hAnsi="宋体"/>
          <w:b/>
          <w:color w:val="auto"/>
          <w:sz w:val="24"/>
          <w:highlight w:val="none"/>
        </w:rPr>
        <w:t>遇政府调整职工最低工资标准或社会保险缴纳基数，</w:t>
      </w:r>
      <w:r>
        <w:rPr>
          <w:rFonts w:hint="eastAsia" w:ascii="宋体" w:hAnsi="宋体"/>
          <w:b/>
          <w:color w:val="auto"/>
          <w:sz w:val="24"/>
          <w:highlight w:val="none"/>
          <w:lang w:val="en-US" w:eastAsia="zh-CN"/>
        </w:rPr>
        <w:t>评标委员会进行符合性审查时</w:t>
      </w:r>
      <w:r>
        <w:rPr>
          <w:rFonts w:hint="eastAsia" w:ascii="宋体" w:hAnsi="宋体"/>
          <w:b/>
          <w:color w:val="auto"/>
          <w:sz w:val="24"/>
          <w:highlight w:val="none"/>
        </w:rPr>
        <w:t>可仍按上述标准</w:t>
      </w:r>
      <w:r>
        <w:rPr>
          <w:rFonts w:hint="eastAsia" w:ascii="宋体" w:hAnsi="宋体"/>
          <w:b/>
          <w:color w:val="auto"/>
          <w:sz w:val="24"/>
          <w:highlight w:val="none"/>
          <w:lang w:val="en-US" w:eastAsia="zh-CN"/>
        </w:rPr>
        <w:t>审查</w:t>
      </w:r>
      <w:r>
        <w:rPr>
          <w:rFonts w:hint="eastAsia" w:ascii="宋体" w:hAnsi="宋体"/>
          <w:b/>
          <w:color w:val="auto"/>
          <w:sz w:val="24"/>
          <w:highlight w:val="none"/>
        </w:rPr>
        <w:t>，中标后，</w:t>
      </w:r>
      <w:r>
        <w:rPr>
          <w:rFonts w:hint="eastAsia" w:ascii="宋体" w:hAnsi="宋体"/>
          <w:b/>
          <w:color w:val="auto"/>
          <w:sz w:val="24"/>
          <w:highlight w:val="none"/>
          <w:lang w:val="en-US" w:eastAsia="zh-CN"/>
        </w:rPr>
        <w:t>中标人应按照最新政策文件规定执行</w:t>
      </w:r>
      <w:r>
        <w:rPr>
          <w:rFonts w:hint="eastAsia" w:ascii="宋体" w:hAnsi="宋体"/>
          <w:b/>
          <w:color w:val="auto"/>
          <w:sz w:val="24"/>
          <w:highlight w:val="none"/>
        </w:rPr>
        <w:t>。</w:t>
      </w:r>
    </w:p>
    <w:p w14:paraId="1FCB9D19">
      <w:pPr>
        <w:spacing w:line="360" w:lineRule="auto"/>
        <w:ind w:firstLine="470" w:firstLineChars="195"/>
        <w:rPr>
          <w:rFonts w:ascii="宋体" w:hAnsi="宋体"/>
          <w:b/>
          <w:color w:val="auto"/>
          <w:sz w:val="24"/>
          <w:highlight w:val="none"/>
        </w:rPr>
      </w:pPr>
    </w:p>
    <w:p w14:paraId="613F77F5">
      <w:pPr>
        <w:spacing w:line="360" w:lineRule="auto"/>
        <w:ind w:firstLine="470" w:firstLineChars="195"/>
        <w:rPr>
          <w:rFonts w:ascii="宋体" w:hAnsi="宋体"/>
          <w:b/>
          <w:color w:val="auto"/>
          <w:sz w:val="24"/>
          <w:highlight w:val="none"/>
        </w:rPr>
      </w:pPr>
    </w:p>
    <w:p w14:paraId="3C031A12">
      <w:pPr>
        <w:pStyle w:val="9"/>
        <w:spacing w:beforeAutospacing="0" w:afterAutospacing="0"/>
        <w:jc w:val="center"/>
        <w:rPr>
          <w:color w:val="auto"/>
          <w:highlight w:val="none"/>
        </w:rPr>
      </w:pPr>
      <w:r>
        <w:rPr>
          <w:color w:val="auto"/>
          <w:highlight w:val="none"/>
        </w:rPr>
        <w:t> </w:t>
      </w:r>
    </w:p>
    <w:p w14:paraId="7967A49F">
      <w:pPr>
        <w:pStyle w:val="9"/>
        <w:spacing w:beforeAutospacing="0" w:afterAutospacing="0"/>
        <w:jc w:val="center"/>
        <w:rPr>
          <w:color w:val="auto"/>
          <w:highlight w:val="none"/>
        </w:rPr>
      </w:pPr>
      <w:r>
        <w:rPr>
          <w:rFonts w:hint="eastAsia"/>
          <w:color w:val="auto"/>
          <w:highlight w:val="none"/>
          <w:lang w:val="en-US" w:eastAsia="zh-CN"/>
        </w:rPr>
        <w:t xml:space="preserve">                              </w:t>
      </w:r>
      <w:r>
        <w:rPr>
          <w:color w:val="auto"/>
          <w:highlight w:val="none"/>
        </w:rPr>
        <w:t> </w:t>
      </w:r>
      <w:r>
        <w:rPr>
          <w:rFonts w:hint="eastAsia"/>
          <w:color w:val="auto"/>
          <w:lang w:bidi="ar"/>
        </w:rPr>
        <w:t xml:space="preserve"> 日期： 年  月  日</w:t>
      </w:r>
    </w:p>
    <w:p w14:paraId="75A6FDE3">
      <w:pPr>
        <w:pStyle w:val="9"/>
        <w:spacing w:beforeAutospacing="0" w:afterAutospacing="0"/>
        <w:jc w:val="center"/>
        <w:rPr>
          <w:color w:val="auto"/>
          <w:highlight w:val="none"/>
        </w:rPr>
      </w:pPr>
    </w:p>
    <w:p w14:paraId="2926C7C6">
      <w:pPr>
        <w:pStyle w:val="9"/>
        <w:spacing w:beforeAutospacing="0" w:afterAutospacing="0"/>
        <w:jc w:val="center"/>
        <w:rPr>
          <w:color w:val="auto"/>
          <w:highlight w:val="none"/>
        </w:rPr>
      </w:pPr>
    </w:p>
    <w:p w14:paraId="289839E5">
      <w:pPr>
        <w:pStyle w:val="9"/>
        <w:spacing w:beforeAutospacing="0" w:afterAutospacing="0"/>
        <w:jc w:val="center"/>
        <w:rPr>
          <w:color w:val="auto"/>
          <w:highlight w:val="none"/>
        </w:rPr>
      </w:pPr>
    </w:p>
    <w:p w14:paraId="5EF7DFFE">
      <w:pPr>
        <w:pStyle w:val="9"/>
        <w:spacing w:beforeAutospacing="0" w:afterAutospacing="0"/>
        <w:jc w:val="center"/>
        <w:rPr>
          <w:color w:val="auto"/>
          <w:highlight w:val="none"/>
        </w:rPr>
      </w:pPr>
    </w:p>
    <w:p w14:paraId="193C59CA">
      <w:pPr>
        <w:pStyle w:val="9"/>
        <w:spacing w:beforeAutospacing="0" w:afterAutospacing="0"/>
        <w:jc w:val="center"/>
        <w:rPr>
          <w:color w:val="auto"/>
          <w:highlight w:val="none"/>
        </w:rPr>
      </w:pPr>
    </w:p>
    <w:p w14:paraId="3EF81993">
      <w:pPr>
        <w:pStyle w:val="9"/>
        <w:spacing w:beforeAutospacing="0" w:afterAutospacing="0"/>
        <w:jc w:val="center"/>
        <w:rPr>
          <w:color w:val="auto"/>
          <w:highlight w:val="none"/>
        </w:rPr>
      </w:pPr>
      <w:r>
        <w:rPr>
          <w:color w:val="auto"/>
          <w:highlight w:val="none"/>
        </w:rPr>
        <w:t> </w:t>
      </w:r>
    </w:p>
    <w:p w14:paraId="2BBBB31C">
      <w:pPr>
        <w:rPr>
          <w:color w:val="auto"/>
          <w:highlight w:val="none"/>
        </w:rPr>
      </w:pPr>
      <w:r>
        <w:rPr>
          <w:color w:val="auto"/>
          <w:highlight w:val="none"/>
        </w:rPr>
        <w:br w:type="page"/>
      </w:r>
    </w:p>
    <w:p w14:paraId="271BCD7D">
      <w:pPr>
        <w:pStyle w:val="9"/>
        <w:spacing w:beforeAutospacing="0" w:afterAutospacing="0"/>
        <w:jc w:val="center"/>
        <w:rPr>
          <w:color w:val="auto"/>
          <w:highlight w:val="none"/>
        </w:rPr>
      </w:pPr>
    </w:p>
    <w:p w14:paraId="447F9745">
      <w:pPr>
        <w:pStyle w:val="9"/>
        <w:spacing w:beforeAutospacing="0" w:afterAutospacing="0"/>
        <w:jc w:val="center"/>
        <w:rPr>
          <w:i/>
          <w:iCs/>
          <w:color w:val="auto"/>
          <w:highlight w:val="none"/>
          <w:u w:val="single"/>
        </w:rPr>
      </w:pPr>
      <w:r>
        <w:rPr>
          <w:rFonts w:hint="eastAsia" w:ascii="黑体" w:hAnsi="宋体" w:eastAsia="黑体" w:cs="黑体"/>
          <w:b/>
          <w:i/>
          <w:iCs/>
          <w:color w:val="auto"/>
          <w:sz w:val="32"/>
          <w:szCs w:val="32"/>
          <w:highlight w:val="none"/>
          <w:u w:val="single"/>
        </w:rPr>
        <w:t>十</w:t>
      </w:r>
      <w:r>
        <w:rPr>
          <w:rFonts w:hint="eastAsia" w:ascii="黑体" w:hAnsi="宋体" w:eastAsia="黑体" w:cs="黑体"/>
          <w:b/>
          <w:i/>
          <w:iCs/>
          <w:color w:val="auto"/>
          <w:sz w:val="32"/>
          <w:szCs w:val="32"/>
          <w:highlight w:val="none"/>
          <w:u w:val="single"/>
          <w:lang w:val="en-US" w:eastAsia="zh-CN"/>
        </w:rPr>
        <w:t>二</w:t>
      </w:r>
      <w:r>
        <w:rPr>
          <w:rFonts w:hint="eastAsia" w:ascii="黑体" w:hAnsi="宋体" w:eastAsia="黑体" w:cs="黑体"/>
          <w:b/>
          <w:i/>
          <w:iCs/>
          <w:color w:val="auto"/>
          <w:sz w:val="32"/>
          <w:szCs w:val="32"/>
          <w:highlight w:val="none"/>
          <w:u w:val="single"/>
        </w:rPr>
        <w:t>、技术要求响应及偏离表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61E89918">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6438">
            <w:pPr>
              <w:pStyle w:val="9"/>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287F7">
            <w:pPr>
              <w:pStyle w:val="9"/>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1247D">
            <w:pPr>
              <w:pStyle w:val="9"/>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C11BE">
            <w:pPr>
              <w:pStyle w:val="9"/>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A6EC8">
            <w:pPr>
              <w:pStyle w:val="9"/>
              <w:spacing w:beforeAutospacing="0" w:afterAutospacing="0"/>
              <w:jc w:val="center"/>
              <w:rPr>
                <w:color w:val="auto"/>
                <w:highlight w:val="none"/>
              </w:rPr>
            </w:pPr>
            <w:r>
              <w:rPr>
                <w:rFonts w:hint="eastAsia" w:ascii="宋体" w:hAnsi="宋体" w:eastAsia="宋体" w:cs="宋体"/>
                <w:color w:val="auto"/>
                <w:highlight w:val="none"/>
              </w:rPr>
              <w:t>证明</w:t>
            </w:r>
          </w:p>
          <w:p w14:paraId="2ABF72C0">
            <w:pPr>
              <w:pStyle w:val="9"/>
              <w:spacing w:beforeAutospacing="0" w:afterAutospacing="0"/>
              <w:jc w:val="center"/>
              <w:rPr>
                <w:color w:val="auto"/>
                <w:highlight w:val="none"/>
              </w:rPr>
            </w:pPr>
            <w:r>
              <w:rPr>
                <w:rFonts w:hint="eastAsia" w:ascii="宋体" w:hAnsi="宋体" w:eastAsia="宋体" w:cs="宋体"/>
                <w:color w:val="auto"/>
                <w:highlight w:val="none"/>
              </w:rPr>
              <w:t>材料</w:t>
            </w:r>
          </w:p>
        </w:tc>
      </w:tr>
      <w:tr w14:paraId="0DA877A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6E409">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FC8B9">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1364E">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65747">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6C1F4">
            <w:pPr>
              <w:pStyle w:val="9"/>
              <w:spacing w:beforeAutospacing="0" w:afterAutospacing="0"/>
              <w:jc w:val="center"/>
              <w:rPr>
                <w:color w:val="auto"/>
                <w:highlight w:val="none"/>
              </w:rPr>
            </w:pPr>
            <w:r>
              <w:rPr>
                <w:color w:val="auto"/>
                <w:highlight w:val="none"/>
              </w:rPr>
              <w:t> </w:t>
            </w:r>
          </w:p>
        </w:tc>
      </w:tr>
      <w:tr w14:paraId="078E13B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5829D">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DDE9C">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22FAC">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01781">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8B7F7">
            <w:pPr>
              <w:pStyle w:val="9"/>
              <w:spacing w:beforeAutospacing="0" w:afterAutospacing="0"/>
              <w:jc w:val="center"/>
              <w:rPr>
                <w:color w:val="auto"/>
                <w:highlight w:val="none"/>
              </w:rPr>
            </w:pPr>
            <w:r>
              <w:rPr>
                <w:color w:val="auto"/>
                <w:highlight w:val="none"/>
              </w:rPr>
              <w:t> </w:t>
            </w:r>
          </w:p>
        </w:tc>
      </w:tr>
      <w:tr w14:paraId="296EA86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6BECE">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75F91">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EE98B">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9DFCC">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72367">
            <w:pPr>
              <w:pStyle w:val="9"/>
              <w:spacing w:beforeAutospacing="0" w:afterAutospacing="0"/>
              <w:jc w:val="center"/>
              <w:rPr>
                <w:color w:val="auto"/>
                <w:highlight w:val="none"/>
              </w:rPr>
            </w:pPr>
            <w:r>
              <w:rPr>
                <w:color w:val="auto"/>
                <w:highlight w:val="none"/>
              </w:rPr>
              <w:t> </w:t>
            </w:r>
          </w:p>
        </w:tc>
      </w:tr>
      <w:tr w14:paraId="536FEA7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7CE8A">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92B92">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BD753">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105A2">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793C7">
            <w:pPr>
              <w:pStyle w:val="9"/>
              <w:spacing w:beforeAutospacing="0" w:afterAutospacing="0"/>
              <w:jc w:val="center"/>
              <w:rPr>
                <w:color w:val="auto"/>
                <w:highlight w:val="none"/>
              </w:rPr>
            </w:pPr>
            <w:r>
              <w:rPr>
                <w:color w:val="auto"/>
                <w:highlight w:val="none"/>
              </w:rPr>
              <w:t> </w:t>
            </w:r>
          </w:p>
        </w:tc>
      </w:tr>
      <w:tr w14:paraId="1BAFCE6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CE94B">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26C70">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B3743">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FEE2C">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28A7B">
            <w:pPr>
              <w:pStyle w:val="9"/>
              <w:spacing w:beforeAutospacing="0" w:afterAutospacing="0"/>
              <w:jc w:val="center"/>
              <w:rPr>
                <w:color w:val="auto"/>
                <w:highlight w:val="none"/>
              </w:rPr>
            </w:pPr>
            <w:r>
              <w:rPr>
                <w:color w:val="auto"/>
                <w:highlight w:val="none"/>
              </w:rPr>
              <w:t> </w:t>
            </w:r>
          </w:p>
        </w:tc>
      </w:tr>
      <w:tr w14:paraId="6FB23E1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9EB6C">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987F1">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48330">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5110C">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EF0DC">
            <w:pPr>
              <w:pStyle w:val="9"/>
              <w:spacing w:beforeAutospacing="0" w:afterAutospacing="0"/>
              <w:jc w:val="center"/>
              <w:rPr>
                <w:color w:val="auto"/>
                <w:highlight w:val="none"/>
              </w:rPr>
            </w:pPr>
            <w:r>
              <w:rPr>
                <w:color w:val="auto"/>
                <w:highlight w:val="none"/>
              </w:rPr>
              <w:t> </w:t>
            </w:r>
          </w:p>
        </w:tc>
      </w:tr>
      <w:tr w14:paraId="17ECDDF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4B4AA">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39C93">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C1DF1">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8155A">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C8DBC">
            <w:pPr>
              <w:pStyle w:val="9"/>
              <w:spacing w:beforeAutospacing="0" w:afterAutospacing="0"/>
              <w:jc w:val="center"/>
              <w:rPr>
                <w:color w:val="auto"/>
                <w:highlight w:val="none"/>
              </w:rPr>
            </w:pPr>
            <w:r>
              <w:rPr>
                <w:color w:val="auto"/>
                <w:highlight w:val="none"/>
              </w:rPr>
              <w:t> </w:t>
            </w:r>
          </w:p>
        </w:tc>
      </w:tr>
      <w:tr w14:paraId="2251A88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FAAC4">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2F45A">
            <w:pPr>
              <w:pStyle w:val="9"/>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D9EA5">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5FC83">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8F20E">
            <w:pPr>
              <w:pStyle w:val="9"/>
              <w:spacing w:beforeAutospacing="0" w:afterAutospacing="0"/>
              <w:jc w:val="center"/>
              <w:rPr>
                <w:color w:val="auto"/>
                <w:highlight w:val="none"/>
              </w:rPr>
            </w:pPr>
            <w:r>
              <w:rPr>
                <w:color w:val="auto"/>
                <w:highlight w:val="none"/>
              </w:rPr>
              <w:t> </w:t>
            </w:r>
          </w:p>
        </w:tc>
      </w:tr>
    </w:tbl>
    <w:p w14:paraId="1B7CD750">
      <w:pPr>
        <w:pStyle w:val="9"/>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0483CFE6">
      <w:pPr>
        <w:pStyle w:val="9"/>
        <w:spacing w:beforeAutospacing="0" w:afterAutospacing="0"/>
        <w:jc w:val="center"/>
        <w:rPr>
          <w:color w:val="auto"/>
          <w:highlight w:val="none"/>
        </w:rPr>
      </w:pPr>
      <w:r>
        <w:rPr>
          <w:color w:val="auto"/>
          <w:highlight w:val="none"/>
        </w:rPr>
        <w:t> </w:t>
      </w:r>
    </w:p>
    <w:p w14:paraId="3B4B50F1">
      <w:pPr>
        <w:pStyle w:val="9"/>
        <w:spacing w:beforeAutospacing="0" w:afterAutospacing="0"/>
        <w:jc w:val="center"/>
        <w:rPr>
          <w:color w:val="auto"/>
          <w:highlight w:val="none"/>
        </w:rPr>
      </w:pPr>
      <w:r>
        <w:rPr>
          <w:color w:val="auto"/>
          <w:highlight w:val="none"/>
        </w:rPr>
        <w:t> </w:t>
      </w:r>
    </w:p>
    <w:p w14:paraId="23ECE98E">
      <w:pPr>
        <w:pStyle w:val="9"/>
        <w:spacing w:beforeAutospacing="0" w:afterAutospacing="0"/>
        <w:jc w:val="center"/>
        <w:rPr>
          <w:color w:val="auto"/>
          <w:highlight w:val="none"/>
        </w:rPr>
      </w:pPr>
      <w:r>
        <w:rPr>
          <w:color w:val="auto"/>
          <w:highlight w:val="none"/>
        </w:rPr>
        <w:t> </w:t>
      </w:r>
    </w:p>
    <w:p w14:paraId="22AA8BD3">
      <w:pPr>
        <w:pStyle w:val="9"/>
        <w:spacing w:beforeAutospacing="0" w:afterAutospacing="0"/>
        <w:jc w:val="center"/>
        <w:rPr>
          <w:color w:val="auto"/>
          <w:highlight w:val="none"/>
        </w:rPr>
      </w:pPr>
      <w:r>
        <w:rPr>
          <w:color w:val="auto"/>
          <w:highlight w:val="none"/>
        </w:rPr>
        <w:t> </w:t>
      </w:r>
    </w:p>
    <w:p w14:paraId="5D4B564D">
      <w:pPr>
        <w:pStyle w:val="9"/>
        <w:spacing w:beforeAutospacing="0" w:afterAutospacing="0"/>
        <w:jc w:val="both"/>
        <w:rPr>
          <w:color w:val="auto"/>
          <w:highlight w:val="none"/>
        </w:rPr>
      </w:pPr>
      <w:r>
        <w:rPr>
          <w:color w:val="auto"/>
          <w:highlight w:val="none"/>
        </w:rPr>
        <w:t> </w:t>
      </w:r>
    </w:p>
    <w:p w14:paraId="40023A8E">
      <w:pPr>
        <w:pStyle w:val="9"/>
        <w:spacing w:beforeAutospacing="0" w:afterAutospacing="0"/>
        <w:jc w:val="both"/>
        <w:rPr>
          <w:color w:val="auto"/>
          <w:highlight w:val="none"/>
        </w:rPr>
      </w:pPr>
      <w:r>
        <w:rPr>
          <w:color w:val="auto"/>
          <w:highlight w:val="none"/>
        </w:rPr>
        <w:t> </w:t>
      </w:r>
    </w:p>
    <w:p w14:paraId="730CD8C1">
      <w:pPr>
        <w:pStyle w:val="9"/>
        <w:spacing w:beforeAutospacing="0" w:afterAutospacing="0"/>
        <w:jc w:val="both"/>
        <w:rPr>
          <w:color w:val="auto"/>
          <w:highlight w:val="none"/>
        </w:rPr>
      </w:pPr>
      <w:r>
        <w:rPr>
          <w:color w:val="auto"/>
          <w:highlight w:val="none"/>
        </w:rPr>
        <w:t> </w:t>
      </w:r>
    </w:p>
    <w:p w14:paraId="373F086F">
      <w:pPr>
        <w:pStyle w:val="9"/>
        <w:spacing w:beforeAutospacing="0" w:afterAutospacing="0"/>
        <w:jc w:val="both"/>
        <w:rPr>
          <w:color w:val="auto"/>
          <w:highlight w:val="none"/>
        </w:rPr>
      </w:pPr>
      <w:r>
        <w:rPr>
          <w:color w:val="auto"/>
          <w:highlight w:val="none"/>
        </w:rPr>
        <w:t> </w:t>
      </w:r>
    </w:p>
    <w:p w14:paraId="6C6153DF">
      <w:pPr>
        <w:pStyle w:val="9"/>
        <w:spacing w:beforeAutospacing="0" w:afterAutospacing="0"/>
        <w:jc w:val="both"/>
        <w:rPr>
          <w:color w:val="auto"/>
          <w:highlight w:val="none"/>
        </w:rPr>
      </w:pPr>
    </w:p>
    <w:p w14:paraId="2F69F169">
      <w:pPr>
        <w:pStyle w:val="9"/>
        <w:spacing w:beforeAutospacing="0" w:afterAutospacing="0"/>
        <w:jc w:val="both"/>
        <w:rPr>
          <w:color w:val="auto"/>
          <w:highlight w:val="none"/>
        </w:rPr>
      </w:pPr>
    </w:p>
    <w:p w14:paraId="4A67F34D">
      <w:pPr>
        <w:pStyle w:val="9"/>
        <w:spacing w:beforeAutospacing="0" w:afterAutospacing="0"/>
        <w:jc w:val="both"/>
        <w:rPr>
          <w:color w:val="auto"/>
          <w:highlight w:val="none"/>
        </w:rPr>
      </w:pPr>
    </w:p>
    <w:p w14:paraId="2BDD0C12">
      <w:pPr>
        <w:pStyle w:val="9"/>
        <w:spacing w:beforeAutospacing="0" w:afterAutospacing="0"/>
        <w:jc w:val="both"/>
        <w:rPr>
          <w:color w:val="auto"/>
          <w:highlight w:val="none"/>
        </w:rPr>
      </w:pPr>
    </w:p>
    <w:p w14:paraId="4F730C61">
      <w:pPr>
        <w:pStyle w:val="9"/>
        <w:spacing w:beforeAutospacing="0" w:afterAutospacing="0"/>
        <w:jc w:val="both"/>
        <w:rPr>
          <w:color w:val="auto"/>
          <w:highlight w:val="none"/>
        </w:rPr>
      </w:pPr>
    </w:p>
    <w:p w14:paraId="671F71D6">
      <w:pPr>
        <w:pStyle w:val="9"/>
        <w:spacing w:beforeAutospacing="0" w:afterAutospacing="0"/>
        <w:jc w:val="both"/>
        <w:rPr>
          <w:color w:val="auto"/>
          <w:highlight w:val="none"/>
        </w:rPr>
      </w:pPr>
    </w:p>
    <w:p w14:paraId="5F9CF8F1">
      <w:pPr>
        <w:pStyle w:val="9"/>
        <w:spacing w:beforeAutospacing="0" w:afterAutospacing="0"/>
        <w:jc w:val="both"/>
        <w:rPr>
          <w:color w:val="auto"/>
          <w:highlight w:val="none"/>
        </w:rPr>
      </w:pPr>
    </w:p>
    <w:p w14:paraId="5930D355">
      <w:pPr>
        <w:pStyle w:val="9"/>
        <w:spacing w:beforeAutospacing="0" w:afterAutospacing="0"/>
        <w:jc w:val="both"/>
        <w:rPr>
          <w:color w:val="auto"/>
          <w:highlight w:val="none"/>
        </w:rPr>
      </w:pPr>
      <w:r>
        <w:rPr>
          <w:color w:val="auto"/>
          <w:highlight w:val="none"/>
        </w:rPr>
        <w:t> </w:t>
      </w:r>
    </w:p>
    <w:p w14:paraId="3FA99D24">
      <w:pPr>
        <w:pStyle w:val="9"/>
        <w:spacing w:beforeAutospacing="0" w:afterAutospacing="0"/>
        <w:jc w:val="both"/>
        <w:rPr>
          <w:color w:val="auto"/>
          <w:highlight w:val="none"/>
        </w:rPr>
      </w:pPr>
      <w:r>
        <w:rPr>
          <w:color w:val="auto"/>
          <w:highlight w:val="none"/>
        </w:rPr>
        <w:t> </w:t>
      </w:r>
    </w:p>
    <w:p w14:paraId="02920771">
      <w:pPr>
        <w:pStyle w:val="9"/>
        <w:spacing w:beforeAutospacing="0" w:afterAutospacing="0"/>
        <w:jc w:val="both"/>
        <w:rPr>
          <w:color w:val="auto"/>
          <w:highlight w:val="none"/>
        </w:rPr>
      </w:pPr>
    </w:p>
    <w:p w14:paraId="5A6707B9">
      <w:pPr>
        <w:pStyle w:val="9"/>
        <w:spacing w:beforeAutospacing="0" w:afterAutospacing="0"/>
        <w:jc w:val="both"/>
        <w:rPr>
          <w:color w:val="auto"/>
          <w:highlight w:val="none"/>
        </w:rPr>
      </w:pPr>
    </w:p>
    <w:p w14:paraId="03FD6D0B">
      <w:pPr>
        <w:pStyle w:val="9"/>
        <w:spacing w:beforeAutospacing="0" w:afterAutospacing="0"/>
        <w:jc w:val="both"/>
        <w:rPr>
          <w:color w:val="auto"/>
          <w:highlight w:val="none"/>
        </w:rPr>
      </w:pPr>
      <w:r>
        <w:rPr>
          <w:color w:val="auto"/>
          <w:highlight w:val="none"/>
        </w:rPr>
        <w:t> </w:t>
      </w:r>
    </w:p>
    <w:p w14:paraId="1E0BF4D9">
      <w:pPr>
        <w:rPr>
          <w:color w:val="auto"/>
          <w:highlight w:val="none"/>
        </w:rPr>
      </w:pPr>
      <w:r>
        <w:rPr>
          <w:color w:val="auto"/>
          <w:highlight w:val="none"/>
        </w:rPr>
        <w:br w:type="page"/>
      </w:r>
    </w:p>
    <w:p w14:paraId="4EC82EE7">
      <w:pPr>
        <w:pStyle w:val="9"/>
        <w:spacing w:beforeAutospacing="0" w:afterAutospacing="0"/>
        <w:jc w:val="both"/>
        <w:rPr>
          <w:color w:val="auto"/>
          <w:highlight w:val="none"/>
        </w:rPr>
      </w:pPr>
    </w:p>
    <w:p w14:paraId="15F20605">
      <w:pPr>
        <w:pStyle w:val="9"/>
        <w:spacing w:beforeAutospacing="0" w:afterAutospacing="0"/>
        <w:jc w:val="center"/>
        <w:rPr>
          <w:i/>
          <w:iCs/>
          <w:color w:val="auto"/>
          <w:highlight w:val="none"/>
          <w:u w:val="single"/>
        </w:rPr>
      </w:pPr>
      <w:bookmarkStart w:id="190" w:name="_Hlt26955054"/>
      <w:r>
        <w:rPr>
          <w:rFonts w:hint="eastAsia" w:ascii="黑体" w:hAnsi="宋体" w:eastAsia="黑体" w:cs="黑体"/>
          <w:b/>
          <w:i/>
          <w:iCs/>
          <w:color w:val="auto"/>
          <w:sz w:val="32"/>
          <w:szCs w:val="32"/>
          <w:highlight w:val="none"/>
          <w:u w:val="single"/>
        </w:rPr>
        <w:t>十</w:t>
      </w:r>
      <w:r>
        <w:rPr>
          <w:rFonts w:hint="eastAsia" w:ascii="黑体" w:hAnsi="宋体" w:eastAsia="黑体" w:cs="黑体"/>
          <w:b/>
          <w:i/>
          <w:iCs/>
          <w:color w:val="auto"/>
          <w:sz w:val="32"/>
          <w:szCs w:val="32"/>
          <w:highlight w:val="none"/>
          <w:u w:val="single"/>
          <w:lang w:val="en-US" w:eastAsia="zh-CN"/>
        </w:rPr>
        <w:t>三</w:t>
      </w:r>
      <w:r>
        <w:rPr>
          <w:rFonts w:hint="eastAsia" w:ascii="黑体" w:hAnsi="宋体" w:eastAsia="黑体" w:cs="黑体"/>
          <w:b/>
          <w:i/>
          <w:iCs/>
          <w:color w:val="auto"/>
          <w:sz w:val="32"/>
          <w:szCs w:val="32"/>
          <w:highlight w:val="none"/>
          <w:u w:val="single"/>
        </w:rPr>
        <w:t>、商务要求响应及偏离表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250F5BE">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DCA2">
            <w:pPr>
              <w:pStyle w:val="9"/>
              <w:spacing w:beforeAutospacing="0" w:afterAutospacing="0"/>
              <w:jc w:val="center"/>
              <w:rPr>
                <w:color w:val="auto"/>
                <w:highlight w:val="none"/>
              </w:rPr>
            </w:pPr>
            <w:bookmarkStart w:id="191" w:name="_Hlt26955056"/>
            <w:bookmarkStart w:id="192" w:name="_Hlt26609391"/>
            <w:bookmarkStart w:id="193" w:name="_Hlt26671343"/>
            <w:bookmarkStart w:id="194" w:name="_Hlt26782999"/>
            <w:bookmarkStart w:id="195" w:name="_Hlt26955064"/>
            <w:bookmarkStart w:id="196" w:name="_Hlt26671372"/>
            <w:bookmarkStart w:id="197" w:name="_Hlt24879081"/>
            <w:bookmarkStart w:id="198" w:name="_Hlt26580838"/>
            <w:r>
              <w:rPr>
                <w:rFonts w:hint="eastAsia" w:ascii="宋体" w:hAnsi="宋体" w:eastAsia="宋体" w:cs="宋体"/>
                <w:color w:val="auto"/>
                <w:highlight w:val="none"/>
              </w:rPr>
              <w:t>序号</w:t>
            </w:r>
          </w:p>
          <w:bookmarkEnd w:id="191"/>
          <w:bookmarkEnd w:id="192"/>
          <w:bookmarkEnd w:id="193"/>
          <w:bookmarkEnd w:id="194"/>
          <w:bookmarkEnd w:id="195"/>
          <w:bookmarkEnd w:id="196"/>
          <w:bookmarkEnd w:id="197"/>
          <w:bookmarkEnd w:id="198"/>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AFF94">
            <w:pPr>
              <w:pStyle w:val="9"/>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B4D53">
            <w:pPr>
              <w:pStyle w:val="9"/>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00CDD">
            <w:pPr>
              <w:pStyle w:val="9"/>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92D2A">
            <w:pPr>
              <w:pStyle w:val="9"/>
              <w:spacing w:beforeAutospacing="0" w:afterAutospacing="0"/>
              <w:jc w:val="center"/>
              <w:rPr>
                <w:color w:val="auto"/>
                <w:highlight w:val="none"/>
              </w:rPr>
            </w:pPr>
            <w:r>
              <w:rPr>
                <w:rFonts w:hint="eastAsia" w:ascii="宋体" w:hAnsi="宋体" w:eastAsia="宋体" w:cs="宋体"/>
                <w:color w:val="auto"/>
                <w:highlight w:val="none"/>
              </w:rPr>
              <w:t>证明</w:t>
            </w:r>
          </w:p>
          <w:p w14:paraId="5887D48D">
            <w:pPr>
              <w:pStyle w:val="9"/>
              <w:spacing w:beforeAutospacing="0" w:afterAutospacing="0"/>
              <w:jc w:val="center"/>
              <w:rPr>
                <w:color w:val="auto"/>
                <w:highlight w:val="none"/>
              </w:rPr>
            </w:pPr>
            <w:r>
              <w:rPr>
                <w:rFonts w:hint="eastAsia" w:ascii="宋体" w:hAnsi="宋体" w:eastAsia="宋体" w:cs="宋体"/>
                <w:color w:val="auto"/>
                <w:highlight w:val="none"/>
              </w:rPr>
              <w:t>材料</w:t>
            </w:r>
          </w:p>
        </w:tc>
      </w:tr>
      <w:tr w14:paraId="109F18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18FD5">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DBA5D">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4A06F">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AC0E6">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D778C">
            <w:pPr>
              <w:pStyle w:val="9"/>
              <w:spacing w:beforeAutospacing="0" w:afterAutospacing="0"/>
              <w:jc w:val="center"/>
              <w:rPr>
                <w:color w:val="auto"/>
                <w:highlight w:val="none"/>
              </w:rPr>
            </w:pPr>
            <w:r>
              <w:rPr>
                <w:color w:val="auto"/>
                <w:highlight w:val="none"/>
              </w:rPr>
              <w:t> </w:t>
            </w:r>
          </w:p>
        </w:tc>
      </w:tr>
      <w:tr w14:paraId="74B7A16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EB925">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EB9A">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9032C">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7DF47">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6E8BA">
            <w:pPr>
              <w:pStyle w:val="9"/>
              <w:spacing w:beforeAutospacing="0" w:afterAutospacing="0"/>
              <w:jc w:val="center"/>
              <w:rPr>
                <w:color w:val="auto"/>
                <w:highlight w:val="none"/>
              </w:rPr>
            </w:pPr>
            <w:r>
              <w:rPr>
                <w:color w:val="auto"/>
                <w:highlight w:val="none"/>
              </w:rPr>
              <w:t> </w:t>
            </w:r>
          </w:p>
        </w:tc>
      </w:tr>
      <w:tr w14:paraId="163A773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05AD7">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63725">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217D9">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B4BC2">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2D6A9">
            <w:pPr>
              <w:pStyle w:val="9"/>
              <w:spacing w:beforeAutospacing="0" w:afterAutospacing="0"/>
              <w:jc w:val="center"/>
              <w:rPr>
                <w:color w:val="auto"/>
                <w:highlight w:val="none"/>
              </w:rPr>
            </w:pPr>
            <w:r>
              <w:rPr>
                <w:color w:val="auto"/>
                <w:highlight w:val="none"/>
              </w:rPr>
              <w:t> </w:t>
            </w:r>
          </w:p>
        </w:tc>
      </w:tr>
      <w:tr w14:paraId="052D859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B21E">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655E9">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7B3A7">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16DCC">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F64B4">
            <w:pPr>
              <w:pStyle w:val="9"/>
              <w:spacing w:beforeAutospacing="0" w:afterAutospacing="0"/>
              <w:jc w:val="center"/>
              <w:rPr>
                <w:color w:val="auto"/>
                <w:highlight w:val="none"/>
              </w:rPr>
            </w:pPr>
            <w:r>
              <w:rPr>
                <w:color w:val="auto"/>
                <w:highlight w:val="none"/>
              </w:rPr>
              <w:t> </w:t>
            </w:r>
          </w:p>
        </w:tc>
      </w:tr>
      <w:tr w14:paraId="0909687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E03EE">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7D7AA">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657EE">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3449B">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1FD24">
            <w:pPr>
              <w:pStyle w:val="9"/>
              <w:spacing w:beforeAutospacing="0" w:afterAutospacing="0"/>
              <w:jc w:val="center"/>
              <w:rPr>
                <w:color w:val="auto"/>
                <w:highlight w:val="none"/>
              </w:rPr>
            </w:pPr>
            <w:r>
              <w:rPr>
                <w:color w:val="auto"/>
                <w:highlight w:val="none"/>
              </w:rPr>
              <w:t> </w:t>
            </w:r>
          </w:p>
        </w:tc>
      </w:tr>
      <w:tr w14:paraId="7B57EC0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13BC2">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1CCB6">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1B5B7">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B12D4">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F3E31">
            <w:pPr>
              <w:pStyle w:val="9"/>
              <w:spacing w:beforeAutospacing="0" w:afterAutospacing="0"/>
              <w:jc w:val="center"/>
              <w:rPr>
                <w:color w:val="auto"/>
                <w:highlight w:val="none"/>
              </w:rPr>
            </w:pPr>
            <w:r>
              <w:rPr>
                <w:color w:val="auto"/>
                <w:highlight w:val="none"/>
              </w:rPr>
              <w:t> </w:t>
            </w:r>
          </w:p>
        </w:tc>
      </w:tr>
      <w:tr w14:paraId="1C8CBBF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4E301">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5935A">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1D0D4">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08D9F">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218A8">
            <w:pPr>
              <w:pStyle w:val="9"/>
              <w:spacing w:beforeAutospacing="0" w:afterAutospacing="0"/>
              <w:jc w:val="center"/>
              <w:rPr>
                <w:color w:val="auto"/>
                <w:highlight w:val="none"/>
              </w:rPr>
            </w:pPr>
            <w:r>
              <w:rPr>
                <w:color w:val="auto"/>
                <w:highlight w:val="none"/>
              </w:rPr>
              <w:t> </w:t>
            </w:r>
          </w:p>
        </w:tc>
      </w:tr>
      <w:tr w14:paraId="0285888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9C376">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4007C">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F530C">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E8D78">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89807">
            <w:pPr>
              <w:pStyle w:val="9"/>
              <w:spacing w:beforeAutospacing="0" w:afterAutospacing="0"/>
              <w:jc w:val="center"/>
              <w:rPr>
                <w:color w:val="auto"/>
                <w:highlight w:val="none"/>
              </w:rPr>
            </w:pPr>
            <w:r>
              <w:rPr>
                <w:color w:val="auto"/>
                <w:highlight w:val="none"/>
              </w:rPr>
              <w:t> </w:t>
            </w:r>
          </w:p>
        </w:tc>
      </w:tr>
    </w:tbl>
    <w:p w14:paraId="171CDD5F">
      <w:pPr>
        <w:pStyle w:val="9"/>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14484BE7">
      <w:pPr>
        <w:pStyle w:val="9"/>
        <w:spacing w:beforeAutospacing="0" w:afterAutospacing="0" w:line="480" w:lineRule="auto"/>
        <w:jc w:val="both"/>
        <w:rPr>
          <w:color w:val="auto"/>
          <w:highlight w:val="none"/>
        </w:rPr>
      </w:pPr>
      <w:r>
        <w:rPr>
          <w:color w:val="auto"/>
          <w:highlight w:val="none"/>
        </w:rPr>
        <w:t> </w:t>
      </w:r>
    </w:p>
    <w:p w14:paraId="5EC060A8">
      <w:pPr>
        <w:pStyle w:val="9"/>
        <w:spacing w:beforeAutospacing="0" w:afterAutospacing="0" w:line="480" w:lineRule="auto"/>
        <w:jc w:val="both"/>
        <w:rPr>
          <w:color w:val="auto"/>
          <w:highlight w:val="none"/>
        </w:rPr>
      </w:pPr>
      <w:r>
        <w:rPr>
          <w:color w:val="auto"/>
          <w:highlight w:val="none"/>
        </w:rPr>
        <w:t> </w:t>
      </w:r>
    </w:p>
    <w:p w14:paraId="755F4ECC">
      <w:pPr>
        <w:pStyle w:val="9"/>
        <w:spacing w:beforeAutospacing="0" w:afterAutospacing="0"/>
        <w:jc w:val="center"/>
        <w:rPr>
          <w:color w:val="auto"/>
          <w:highlight w:val="none"/>
        </w:rPr>
      </w:pPr>
      <w:bookmarkStart w:id="199" w:name="_格式2__法定代表人授权书"/>
      <w:bookmarkStart w:id="200" w:name="_Hlt26671374"/>
      <w:bookmarkStart w:id="201" w:name="_Toc462564146"/>
      <w:bookmarkStart w:id="202" w:name="_Hlt26609389"/>
      <w:bookmarkStart w:id="203" w:name="_Hlt26955066"/>
      <w:r>
        <w:rPr>
          <w:color w:val="auto"/>
          <w:highlight w:val="none"/>
        </w:rPr>
        <w:t> </w:t>
      </w:r>
    </w:p>
    <w:p w14:paraId="52DB9AED">
      <w:pPr>
        <w:pStyle w:val="9"/>
        <w:spacing w:beforeAutospacing="0" w:afterAutospacing="0"/>
        <w:jc w:val="both"/>
        <w:rPr>
          <w:color w:val="auto"/>
          <w:highlight w:val="none"/>
        </w:rPr>
      </w:pPr>
      <w:r>
        <w:rPr>
          <w:color w:val="auto"/>
          <w:highlight w:val="none"/>
        </w:rPr>
        <w:t> </w:t>
      </w:r>
    </w:p>
    <w:p w14:paraId="7B8DC488">
      <w:pPr>
        <w:pStyle w:val="9"/>
        <w:spacing w:beforeAutospacing="0" w:afterAutospacing="0"/>
        <w:jc w:val="both"/>
        <w:rPr>
          <w:color w:val="auto"/>
          <w:highlight w:val="none"/>
        </w:rPr>
      </w:pPr>
      <w:r>
        <w:rPr>
          <w:color w:val="auto"/>
          <w:highlight w:val="none"/>
        </w:rPr>
        <w:t> </w:t>
      </w:r>
    </w:p>
    <w:p w14:paraId="3D493FA7">
      <w:pPr>
        <w:pStyle w:val="9"/>
        <w:spacing w:beforeAutospacing="0" w:afterAutospacing="0"/>
        <w:jc w:val="both"/>
        <w:rPr>
          <w:color w:val="auto"/>
          <w:highlight w:val="none"/>
        </w:rPr>
      </w:pPr>
    </w:p>
    <w:p w14:paraId="546E3AAD">
      <w:pPr>
        <w:pStyle w:val="9"/>
        <w:spacing w:beforeAutospacing="0" w:afterAutospacing="0"/>
        <w:jc w:val="both"/>
        <w:rPr>
          <w:color w:val="auto"/>
          <w:highlight w:val="none"/>
        </w:rPr>
      </w:pPr>
    </w:p>
    <w:p w14:paraId="005342F8">
      <w:pPr>
        <w:pStyle w:val="9"/>
        <w:spacing w:beforeAutospacing="0" w:afterAutospacing="0"/>
        <w:jc w:val="both"/>
        <w:rPr>
          <w:color w:val="auto"/>
          <w:highlight w:val="none"/>
        </w:rPr>
      </w:pPr>
    </w:p>
    <w:p w14:paraId="1902A6BE">
      <w:pPr>
        <w:pStyle w:val="9"/>
        <w:spacing w:beforeAutospacing="0" w:afterAutospacing="0"/>
        <w:jc w:val="both"/>
        <w:rPr>
          <w:color w:val="auto"/>
          <w:highlight w:val="none"/>
        </w:rPr>
      </w:pPr>
    </w:p>
    <w:p w14:paraId="0B8A040C">
      <w:pPr>
        <w:pStyle w:val="9"/>
        <w:spacing w:beforeAutospacing="0" w:afterAutospacing="0"/>
        <w:jc w:val="both"/>
        <w:rPr>
          <w:color w:val="auto"/>
          <w:highlight w:val="none"/>
        </w:rPr>
      </w:pPr>
    </w:p>
    <w:p w14:paraId="42DAD19A">
      <w:pPr>
        <w:pStyle w:val="9"/>
        <w:spacing w:beforeAutospacing="0" w:afterAutospacing="0"/>
        <w:jc w:val="both"/>
        <w:rPr>
          <w:color w:val="auto"/>
          <w:highlight w:val="none"/>
        </w:rPr>
      </w:pPr>
    </w:p>
    <w:p w14:paraId="3F3D5B50">
      <w:pPr>
        <w:pStyle w:val="9"/>
        <w:spacing w:beforeAutospacing="0" w:afterAutospacing="0"/>
        <w:jc w:val="both"/>
        <w:rPr>
          <w:color w:val="auto"/>
          <w:highlight w:val="none"/>
        </w:rPr>
      </w:pPr>
    </w:p>
    <w:p w14:paraId="144861E9">
      <w:pPr>
        <w:pStyle w:val="9"/>
        <w:spacing w:beforeAutospacing="0" w:afterAutospacing="0"/>
        <w:jc w:val="both"/>
        <w:rPr>
          <w:color w:val="auto"/>
          <w:highlight w:val="none"/>
        </w:rPr>
      </w:pPr>
    </w:p>
    <w:p w14:paraId="5748D87A">
      <w:pPr>
        <w:pStyle w:val="9"/>
        <w:spacing w:beforeAutospacing="0" w:afterAutospacing="0"/>
        <w:jc w:val="both"/>
        <w:rPr>
          <w:color w:val="auto"/>
          <w:highlight w:val="none"/>
        </w:rPr>
      </w:pPr>
    </w:p>
    <w:p w14:paraId="586A48CF">
      <w:pPr>
        <w:pStyle w:val="9"/>
        <w:spacing w:beforeAutospacing="0" w:afterAutospacing="0"/>
        <w:jc w:val="both"/>
        <w:rPr>
          <w:color w:val="auto"/>
          <w:highlight w:val="none"/>
        </w:rPr>
      </w:pPr>
    </w:p>
    <w:p w14:paraId="5576A0C0">
      <w:pPr>
        <w:pStyle w:val="9"/>
        <w:spacing w:beforeAutospacing="0" w:afterAutospacing="0"/>
        <w:jc w:val="both"/>
        <w:rPr>
          <w:color w:val="auto"/>
          <w:highlight w:val="none"/>
        </w:rPr>
      </w:pPr>
    </w:p>
    <w:p w14:paraId="3B881BCF">
      <w:pPr>
        <w:pStyle w:val="9"/>
        <w:spacing w:beforeAutospacing="0" w:afterAutospacing="0"/>
        <w:jc w:val="both"/>
        <w:rPr>
          <w:color w:val="auto"/>
          <w:highlight w:val="none"/>
        </w:rPr>
      </w:pPr>
    </w:p>
    <w:p w14:paraId="1138C1C8">
      <w:pPr>
        <w:pStyle w:val="9"/>
        <w:spacing w:beforeAutospacing="0" w:afterAutospacing="0"/>
        <w:jc w:val="both"/>
        <w:rPr>
          <w:color w:val="auto"/>
          <w:highlight w:val="none"/>
        </w:rPr>
      </w:pPr>
    </w:p>
    <w:p w14:paraId="4397A714">
      <w:pPr>
        <w:pStyle w:val="9"/>
        <w:spacing w:beforeAutospacing="0" w:afterAutospacing="0"/>
        <w:jc w:val="both"/>
        <w:rPr>
          <w:color w:val="auto"/>
          <w:highlight w:val="none"/>
        </w:rPr>
      </w:pPr>
    </w:p>
    <w:p w14:paraId="5F9DDD80">
      <w:pPr>
        <w:pStyle w:val="9"/>
        <w:spacing w:beforeAutospacing="0" w:afterAutospacing="0"/>
        <w:jc w:val="both"/>
        <w:rPr>
          <w:color w:val="auto"/>
          <w:highlight w:val="none"/>
        </w:rPr>
      </w:pPr>
    </w:p>
    <w:p w14:paraId="72CA5A2B">
      <w:pPr>
        <w:pStyle w:val="9"/>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、开标一览表</w:t>
      </w:r>
    </w:p>
    <w:p w14:paraId="70B14AA4">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color w:val="auto"/>
          <w:highlight w:val="none"/>
        </w:rPr>
      </w:pPr>
      <w:r>
        <w:rPr>
          <w:rFonts w:hint="eastAsia" w:ascii="宋体" w:hAnsi="宋体" w:eastAsia="宋体" w:cs="宋体"/>
          <w:color w:val="auto"/>
          <w:highlight w:val="none"/>
        </w:rPr>
        <w:t>投标人全称（CA电子签章）：</w:t>
      </w:r>
    </w:p>
    <w:p w14:paraId="4361FD6A">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color w:val="auto"/>
          <w:highlight w:val="none"/>
        </w:rPr>
      </w:pPr>
      <w:r>
        <w:rPr>
          <w:rFonts w:hint="eastAsia" w:ascii="宋体" w:hAnsi="宋体" w:eastAsia="宋体" w:cs="宋体"/>
          <w:color w:val="auto"/>
          <w:highlight w:val="none"/>
        </w:rPr>
        <w:t>项目名称：</w:t>
      </w:r>
    </w:p>
    <w:p w14:paraId="3003A85B">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tbl>
      <w:tblPr>
        <w:tblStyle w:val="11"/>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9"/>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2A141A0">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9"/>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9"/>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083F367D">
      <w:pPr>
        <w:pStyle w:val="9"/>
        <w:spacing w:beforeAutospacing="0" w:afterAutospacing="0"/>
        <w:jc w:val="both"/>
        <w:rPr>
          <w:color w:val="auto"/>
          <w:highlight w:val="none"/>
        </w:rPr>
      </w:pPr>
      <w:r>
        <w:rPr>
          <w:color w:val="auto"/>
          <w:highlight w:val="none"/>
        </w:rPr>
        <w:t> </w:t>
      </w:r>
    </w:p>
    <w:p w14:paraId="15F53820">
      <w:pPr>
        <w:pStyle w:val="9"/>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5BBCDFB">
      <w:pPr>
        <w:pStyle w:val="9"/>
        <w:spacing w:beforeAutospacing="0" w:afterAutospacing="0"/>
        <w:ind w:firstLine="480"/>
        <w:jc w:val="both"/>
        <w:rPr>
          <w:color w:val="auto"/>
          <w:highlight w:val="none"/>
        </w:rPr>
      </w:pPr>
      <w:r>
        <w:rPr>
          <w:color w:val="auto"/>
          <w:highlight w:val="none"/>
        </w:rPr>
        <w:t> </w:t>
      </w:r>
    </w:p>
    <w:p w14:paraId="572B7906">
      <w:pPr>
        <w:widowControl/>
        <w:spacing w:before="50" w:after="50"/>
        <w:jc w:val="center"/>
        <w:rPr>
          <w:color w:val="auto"/>
          <w:highlight w:val="none"/>
        </w:rPr>
      </w:pPr>
      <w:r>
        <w:rPr>
          <w:color w:val="auto"/>
          <w:highlight w:val="none"/>
        </w:rPr>
        <w:tab/>
      </w:r>
    </w:p>
    <w:p w14:paraId="3EBE3B2E">
      <w:pPr>
        <w:widowControl/>
        <w:spacing w:before="50" w:after="50"/>
        <w:jc w:val="center"/>
        <w:rPr>
          <w:color w:val="auto"/>
          <w:highlight w:val="none"/>
        </w:rPr>
      </w:pPr>
    </w:p>
    <w:p w14:paraId="214BCD8A">
      <w:pPr>
        <w:widowControl/>
        <w:spacing w:before="50" w:after="50"/>
        <w:jc w:val="center"/>
        <w:rPr>
          <w:color w:val="auto"/>
          <w:highlight w:val="none"/>
        </w:rPr>
      </w:pPr>
    </w:p>
    <w:p w14:paraId="4798AD33">
      <w:pPr>
        <w:widowControl/>
        <w:spacing w:before="50" w:after="50"/>
        <w:jc w:val="center"/>
        <w:rPr>
          <w:color w:val="auto"/>
          <w:highlight w:val="none"/>
        </w:rPr>
      </w:pPr>
    </w:p>
    <w:p w14:paraId="4A536A51">
      <w:pPr>
        <w:widowControl/>
        <w:spacing w:before="50" w:after="50"/>
        <w:jc w:val="center"/>
        <w:rPr>
          <w:color w:val="auto"/>
          <w:highlight w:val="none"/>
        </w:rPr>
      </w:pPr>
    </w:p>
    <w:p w14:paraId="77090023">
      <w:pPr>
        <w:widowControl/>
        <w:spacing w:before="50" w:after="50"/>
        <w:jc w:val="center"/>
        <w:rPr>
          <w:color w:val="auto"/>
          <w:highlight w:val="none"/>
        </w:rPr>
      </w:pPr>
    </w:p>
    <w:p w14:paraId="533330B5">
      <w:pPr>
        <w:widowControl/>
        <w:spacing w:before="50" w:after="50"/>
        <w:jc w:val="center"/>
        <w:rPr>
          <w:color w:val="auto"/>
          <w:highlight w:val="none"/>
        </w:rPr>
      </w:pPr>
    </w:p>
    <w:p w14:paraId="3F2161CC">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bookmarkStart w:id="204" w:name="_GoBack"/>
      <w:bookmarkEnd w:id="204"/>
    </w:p>
    <w:p w14:paraId="33BB986F">
      <w:pPr>
        <w:widowControl/>
        <w:spacing w:before="50" w:after="50"/>
        <w:jc w:val="center"/>
        <w:rPr>
          <w:b/>
          <w:bCs/>
          <w:i/>
          <w:iCs/>
          <w:color w:val="auto"/>
          <w:highlight w:val="none"/>
          <w:u w:val="single"/>
        </w:rPr>
      </w:pPr>
      <w:r>
        <w:rPr>
          <w:rFonts w:hint="eastAsia" w:ascii="宋体" w:hAnsi="宋体" w:eastAsia="宋体" w:cs="宋体"/>
          <w:b/>
          <w:bCs/>
          <w:i/>
          <w:iCs/>
          <w:color w:val="auto"/>
          <w:sz w:val="32"/>
          <w:szCs w:val="32"/>
          <w:highlight w:val="none"/>
          <w:u w:val="single"/>
        </w:rPr>
        <w:t>十</w:t>
      </w:r>
      <w:r>
        <w:rPr>
          <w:rFonts w:hint="eastAsia" w:ascii="宋体" w:hAnsi="宋体" w:eastAsia="宋体" w:cs="宋体"/>
          <w:b/>
          <w:bCs/>
          <w:i/>
          <w:iCs/>
          <w:color w:val="auto"/>
          <w:sz w:val="32"/>
          <w:szCs w:val="32"/>
          <w:highlight w:val="none"/>
          <w:u w:val="single"/>
          <w:lang w:val="en-US" w:eastAsia="zh-CN"/>
        </w:rPr>
        <w:t>五</w:t>
      </w:r>
      <w:r>
        <w:rPr>
          <w:rFonts w:hint="eastAsia" w:ascii="宋体" w:hAnsi="宋体" w:eastAsia="宋体" w:cs="宋体"/>
          <w:b/>
          <w:bCs/>
          <w:i/>
          <w:iCs/>
          <w:color w:val="auto"/>
          <w:sz w:val="32"/>
          <w:szCs w:val="32"/>
          <w:highlight w:val="none"/>
          <w:u w:val="single"/>
        </w:rPr>
        <w:t>、</w:t>
      </w:r>
      <w:r>
        <w:rPr>
          <w:rFonts w:hint="eastAsia" w:ascii="宋体" w:hAnsi="宋体" w:eastAsia="宋体" w:cs="宋体"/>
          <w:b/>
          <w:bCs/>
          <w:i/>
          <w:iCs/>
          <w:color w:val="auto"/>
          <w:sz w:val="32"/>
          <w:szCs w:val="32"/>
          <w:highlight w:val="none"/>
          <w:u w:val="single"/>
          <w:lang w:val="en-US" w:eastAsia="zh-CN"/>
        </w:rPr>
        <w:t>整体设想及策划、制度的建立等</w:t>
      </w:r>
    </w:p>
    <w:p w14:paraId="410F120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i/>
          <w:iCs/>
          <w:color w:val="auto"/>
          <w:sz w:val="24"/>
          <w:szCs w:val="20"/>
          <w:highlight w:val="none"/>
          <w:u w:val="single"/>
          <w:lang w:val="en-US" w:eastAsia="zh-CN"/>
        </w:rPr>
      </w:pPr>
      <w:r>
        <w:rPr>
          <w:rFonts w:hint="eastAsia" w:ascii="宋体" w:hAnsi="宋体" w:eastAsia="宋体" w:cs="宋体"/>
          <w:b/>
          <w:bCs/>
          <w:i/>
          <w:iCs/>
          <w:color w:val="auto"/>
          <w:sz w:val="24"/>
          <w:szCs w:val="20"/>
          <w:highlight w:val="none"/>
          <w:u w:val="single"/>
        </w:rPr>
        <w:t>注：本项目服务方案部分为“暗标”，不得编制页眉以及目录，方案及页码字体大小均采用四号宋体</w:t>
      </w:r>
      <w:r>
        <w:rPr>
          <w:rFonts w:hint="eastAsia" w:ascii="宋体" w:hAnsi="宋体" w:eastAsia="宋体" w:cs="宋体"/>
          <w:b/>
          <w:bCs/>
          <w:i/>
          <w:iCs/>
          <w:color w:val="auto"/>
          <w:sz w:val="24"/>
          <w:szCs w:val="24"/>
          <w:highlight w:val="none"/>
          <w:u w:val="single"/>
          <w:shd w:val="clear" w:color="auto" w:fill="auto"/>
          <w:lang w:eastAsia="zh-CN"/>
        </w:rPr>
        <w:t>（</w:t>
      </w:r>
      <w:r>
        <w:rPr>
          <w:rFonts w:hint="eastAsia" w:ascii="宋体" w:hAnsi="宋体" w:eastAsia="宋体" w:cs="宋体"/>
          <w:b/>
          <w:bCs/>
          <w:i/>
          <w:iCs/>
          <w:color w:val="auto"/>
          <w:sz w:val="24"/>
          <w:szCs w:val="24"/>
          <w:highlight w:val="none"/>
          <w:u w:val="single"/>
          <w:shd w:val="clear" w:color="auto" w:fill="auto"/>
          <w:lang w:val="en-US" w:eastAsia="zh-CN"/>
        </w:rPr>
        <w:t>不得出现加粗、下划线、斜体格式）</w:t>
      </w:r>
      <w:r>
        <w:rPr>
          <w:rFonts w:hint="eastAsia" w:ascii="宋体" w:hAnsi="宋体" w:eastAsia="宋体" w:cs="宋体"/>
          <w:b/>
          <w:bCs/>
          <w:i/>
          <w:iCs/>
          <w:color w:val="auto"/>
          <w:sz w:val="24"/>
          <w:szCs w:val="20"/>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auto"/>
          <w:sz w:val="24"/>
          <w:szCs w:val="20"/>
          <w:highlight w:val="none"/>
          <w:u w:val="single"/>
          <w:lang w:val="en-US" w:eastAsia="zh-CN"/>
        </w:rPr>
        <w:t>方案总页数不得超过120页，违反上述规定得0分。</w:t>
      </w:r>
    </w:p>
    <w:p w14:paraId="1E361E7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2" w:firstLineChars="200"/>
        <w:textAlignment w:val="auto"/>
        <w:rPr>
          <w:rFonts w:ascii="宋体" w:hAnsi="宋体"/>
          <w:b/>
          <w:bCs/>
          <w:color w:val="auto"/>
          <w:sz w:val="24"/>
          <w:highlight w:val="none"/>
        </w:rPr>
      </w:pPr>
      <w:r>
        <w:rPr>
          <w:rFonts w:hint="eastAsia" w:ascii="宋体" w:hAnsi="宋体" w:eastAsia="宋体" w:cs="宋体"/>
          <w:b/>
          <w:bCs/>
          <w:i/>
          <w:iCs/>
          <w:color w:val="auto"/>
          <w:sz w:val="24"/>
          <w:szCs w:val="20"/>
          <w:highlight w:val="none"/>
          <w:u w:val="single"/>
          <w:lang w:val="en-US" w:eastAsia="zh-CN"/>
        </w:rPr>
        <w:t>上传的“明标”材料中不得出现与服务方案相关的内容，否则</w:t>
      </w:r>
      <w:r>
        <w:rPr>
          <w:rFonts w:hint="eastAsia" w:ascii="宋体" w:hAnsi="宋体" w:eastAsia="宋体" w:cs="宋体"/>
          <w:b/>
          <w:bCs/>
          <w:i/>
          <w:iCs/>
          <w:color w:val="auto"/>
          <w:sz w:val="24"/>
          <w:szCs w:val="20"/>
          <w:highlight w:val="none"/>
          <w:u w:val="single"/>
        </w:rPr>
        <w:t>作无效标书处理。</w:t>
      </w:r>
    </w:p>
    <w:p w14:paraId="4841E550">
      <w:pPr>
        <w:widowControl/>
        <w:spacing w:line="499" w:lineRule="atLeast"/>
        <w:ind w:firstLine="1600"/>
        <w:rPr>
          <w:rFonts w:ascii="宋体" w:hAnsi="宋体" w:eastAsia="宋体" w:cs="宋体"/>
          <w:color w:val="auto"/>
          <w:sz w:val="32"/>
          <w:szCs w:val="32"/>
          <w:highlight w:val="none"/>
        </w:rPr>
      </w:pPr>
    </w:p>
    <w:p w14:paraId="38D68FAC">
      <w:pPr>
        <w:widowControl/>
        <w:spacing w:line="499" w:lineRule="atLeast"/>
        <w:ind w:firstLine="1600"/>
        <w:rPr>
          <w:rFonts w:ascii="宋体" w:hAnsi="宋体" w:eastAsia="宋体" w:cs="宋体"/>
          <w:color w:val="auto"/>
          <w:sz w:val="32"/>
          <w:szCs w:val="32"/>
          <w:highlight w:val="none"/>
        </w:rPr>
      </w:pPr>
    </w:p>
    <w:p w14:paraId="221CBEAD">
      <w:pPr>
        <w:widowControl/>
        <w:spacing w:line="499" w:lineRule="atLeast"/>
        <w:ind w:firstLine="1600"/>
        <w:rPr>
          <w:rFonts w:ascii="宋体" w:hAnsi="宋体" w:eastAsia="宋体" w:cs="宋体"/>
          <w:color w:val="auto"/>
          <w:sz w:val="32"/>
          <w:szCs w:val="32"/>
          <w:highlight w:val="none"/>
        </w:rPr>
      </w:pPr>
    </w:p>
    <w:p w14:paraId="31A98E97">
      <w:pPr>
        <w:widowControl/>
        <w:spacing w:line="499" w:lineRule="atLeast"/>
        <w:ind w:firstLine="1600"/>
        <w:rPr>
          <w:rFonts w:ascii="宋体" w:hAnsi="宋体" w:eastAsia="宋体" w:cs="宋体"/>
          <w:color w:val="auto"/>
          <w:sz w:val="32"/>
          <w:szCs w:val="32"/>
          <w:highlight w:val="none"/>
        </w:rPr>
      </w:pPr>
    </w:p>
    <w:p w14:paraId="478B3CB1">
      <w:pPr>
        <w:widowControl/>
        <w:spacing w:line="499" w:lineRule="atLeast"/>
        <w:ind w:firstLine="1600"/>
        <w:rPr>
          <w:rFonts w:ascii="宋体" w:hAnsi="宋体" w:eastAsia="宋体" w:cs="宋体"/>
          <w:color w:val="auto"/>
          <w:sz w:val="32"/>
          <w:szCs w:val="32"/>
          <w:highlight w:val="none"/>
        </w:rPr>
      </w:pPr>
    </w:p>
    <w:p w14:paraId="161EFAAD">
      <w:pPr>
        <w:widowControl/>
        <w:spacing w:line="499" w:lineRule="atLeast"/>
        <w:ind w:firstLine="1600"/>
        <w:rPr>
          <w:rFonts w:ascii="宋体" w:hAnsi="宋体" w:eastAsia="宋体" w:cs="宋体"/>
          <w:color w:val="auto"/>
          <w:sz w:val="32"/>
          <w:szCs w:val="32"/>
          <w:highlight w:val="none"/>
        </w:rPr>
      </w:pPr>
    </w:p>
    <w:p w14:paraId="1BA9FF11">
      <w:pPr>
        <w:widowControl/>
        <w:spacing w:line="499" w:lineRule="atLeast"/>
        <w:ind w:firstLine="1600"/>
        <w:rPr>
          <w:rFonts w:ascii="宋体" w:hAnsi="宋体" w:eastAsia="宋体" w:cs="宋体"/>
          <w:color w:val="auto"/>
          <w:sz w:val="32"/>
          <w:szCs w:val="32"/>
          <w:highlight w:val="none"/>
        </w:rPr>
      </w:pPr>
    </w:p>
    <w:p w14:paraId="794629A1">
      <w:pPr>
        <w:widowControl/>
        <w:spacing w:line="499" w:lineRule="atLeast"/>
        <w:ind w:firstLine="1600"/>
        <w:rPr>
          <w:rFonts w:ascii="宋体" w:hAnsi="宋体" w:eastAsia="宋体" w:cs="宋体"/>
          <w:color w:val="auto"/>
          <w:sz w:val="32"/>
          <w:szCs w:val="32"/>
          <w:highlight w:val="none"/>
        </w:rPr>
      </w:pPr>
    </w:p>
    <w:p w14:paraId="651ACEB8">
      <w:pPr>
        <w:widowControl/>
        <w:spacing w:line="499" w:lineRule="atLeast"/>
        <w:ind w:firstLine="1600"/>
        <w:rPr>
          <w:rFonts w:ascii="宋体" w:hAnsi="宋体" w:eastAsia="宋体" w:cs="宋体"/>
          <w:color w:val="auto"/>
          <w:sz w:val="32"/>
          <w:szCs w:val="32"/>
          <w:highlight w:val="none"/>
        </w:rPr>
      </w:pPr>
    </w:p>
    <w:p w14:paraId="7A2C98EE">
      <w:pPr>
        <w:widowControl/>
        <w:spacing w:line="499" w:lineRule="atLeast"/>
        <w:ind w:firstLine="1600"/>
        <w:rPr>
          <w:rFonts w:ascii="宋体" w:hAnsi="宋体" w:eastAsia="宋体" w:cs="宋体"/>
          <w:color w:val="auto"/>
          <w:sz w:val="32"/>
          <w:szCs w:val="32"/>
          <w:highlight w:val="none"/>
        </w:rPr>
      </w:pPr>
    </w:p>
    <w:p w14:paraId="6181D476">
      <w:pPr>
        <w:widowControl/>
        <w:spacing w:line="499" w:lineRule="atLeast"/>
        <w:ind w:firstLine="1600"/>
        <w:rPr>
          <w:rFonts w:ascii="宋体" w:hAnsi="宋体" w:eastAsia="宋体" w:cs="宋体"/>
          <w:color w:val="auto"/>
          <w:sz w:val="32"/>
          <w:szCs w:val="32"/>
          <w:highlight w:val="none"/>
        </w:rPr>
      </w:pPr>
    </w:p>
    <w:p w14:paraId="501C0733">
      <w:pPr>
        <w:widowControl/>
        <w:spacing w:line="499" w:lineRule="atLeast"/>
        <w:ind w:firstLine="1600"/>
        <w:rPr>
          <w:rFonts w:ascii="宋体" w:hAnsi="宋体" w:eastAsia="宋体" w:cs="宋体"/>
          <w:color w:val="auto"/>
          <w:sz w:val="32"/>
          <w:szCs w:val="32"/>
          <w:highlight w:val="none"/>
        </w:rPr>
      </w:pPr>
    </w:p>
    <w:p w14:paraId="06031B7B">
      <w:pPr>
        <w:widowControl/>
        <w:spacing w:line="499" w:lineRule="atLeast"/>
        <w:ind w:firstLine="1600"/>
        <w:rPr>
          <w:rFonts w:ascii="宋体" w:hAnsi="宋体" w:eastAsia="宋体" w:cs="宋体"/>
          <w:color w:val="auto"/>
          <w:sz w:val="32"/>
          <w:szCs w:val="32"/>
          <w:highlight w:val="none"/>
        </w:rPr>
      </w:pPr>
    </w:p>
    <w:p w14:paraId="539C0ABD">
      <w:pPr>
        <w:widowControl/>
        <w:spacing w:line="499" w:lineRule="atLeast"/>
        <w:ind w:firstLine="1600"/>
        <w:rPr>
          <w:rFonts w:ascii="宋体" w:hAnsi="宋体" w:eastAsia="宋体" w:cs="宋体"/>
          <w:color w:val="auto"/>
          <w:sz w:val="32"/>
          <w:szCs w:val="32"/>
          <w:highlight w:val="none"/>
        </w:rPr>
      </w:pPr>
    </w:p>
    <w:p w14:paraId="716FD96E">
      <w:pPr>
        <w:widowControl/>
        <w:spacing w:line="499" w:lineRule="atLeast"/>
        <w:rPr>
          <w:rFonts w:ascii="宋体" w:hAnsi="宋体" w:eastAsia="宋体" w:cs="宋体"/>
          <w:color w:val="auto"/>
          <w:sz w:val="32"/>
          <w:szCs w:val="32"/>
          <w:highlight w:val="none"/>
        </w:rPr>
      </w:pPr>
    </w:p>
    <w:p w14:paraId="76209696">
      <w:pPr>
        <w:widowControl/>
        <w:spacing w:line="499" w:lineRule="atLeast"/>
        <w:ind w:firstLine="1600"/>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rPr>
        <w:t>、盐城市政府采购事前信用承诺书</w:t>
      </w:r>
    </w:p>
    <w:p w14:paraId="1A715C79">
      <w:pPr>
        <w:widowControl/>
        <w:spacing w:line="499" w:lineRule="atLeast"/>
        <w:jc w:val="left"/>
        <w:rPr>
          <w:rFonts w:ascii="宋体" w:hAnsi="宋体" w:eastAsia="宋体" w:cs="宋体"/>
          <w:color w:val="auto"/>
          <w:sz w:val="24"/>
          <w:highlight w:val="none"/>
        </w:rPr>
      </w:pPr>
    </w:p>
    <w:p w14:paraId="56C9F1A9">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4B7437EE">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17739DEB">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E9409B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572112CC">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48380558">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8A72F8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7FC6D76D">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3ECA9D2">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50C986FF">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36F5DC29">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79A75B4C">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0AB97A56">
      <w:pPr>
        <w:pStyle w:val="9"/>
        <w:spacing w:beforeAutospacing="0" w:afterAutospacing="0"/>
        <w:jc w:val="center"/>
        <w:rPr>
          <w:color w:val="auto"/>
          <w:highlight w:val="none"/>
        </w:rPr>
      </w:pPr>
    </w:p>
    <w:bookmarkEnd w:id="6"/>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77"/>
    <w:bookmarkEnd w:id="180"/>
    <w:bookmarkEnd w:id="184"/>
    <w:bookmarkEnd w:id="185"/>
    <w:bookmarkEnd w:id="187"/>
    <w:bookmarkEnd w:id="188"/>
    <w:bookmarkEnd w:id="189"/>
    <w:bookmarkEnd w:id="190"/>
    <w:bookmarkEnd w:id="199"/>
    <w:bookmarkEnd w:id="200"/>
    <w:bookmarkEnd w:id="201"/>
    <w:bookmarkEnd w:id="202"/>
    <w:bookmarkEnd w:id="203"/>
    <w:p w14:paraId="16890244">
      <w:pPr>
        <w:rPr>
          <w:color w:val="auto"/>
          <w:highlight w:val="none"/>
        </w:rPr>
      </w:pPr>
    </w:p>
    <w:p w14:paraId="7DEB2E32">
      <w:pPr>
        <w:pStyle w:val="9"/>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28D6E625">
      <w:pPr>
        <w:pStyle w:val="9"/>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5D8ED610">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A3EE1E9">
      <w:pPr>
        <w:pStyle w:val="9"/>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4321F789">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E5C04B4">
      <w:pPr>
        <w:pStyle w:val="9"/>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BAFCCB4">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1FC86FC">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F4725B3">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AFF7CE9">
      <w:pPr>
        <w:pStyle w:val="9"/>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FF3BE19">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452EA4AC">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6C35D616">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48A70BCA">
      <w:pPr>
        <w:pStyle w:val="9"/>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4942A167">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B2F6448">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05E41ED">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3486A488">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1EBE6C3B">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31A64404">
      <w:pPr>
        <w:pStyle w:val="9"/>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6AEF0A7F">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54A54C98">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2DA9B8AE">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0796BACB">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2DB90211">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213AF34E">
      <w:pPr>
        <w:pStyle w:val="9"/>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6322F654">
      <w:pPr>
        <w:pStyle w:val="9"/>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263484E1">
      <w:pPr>
        <w:pStyle w:val="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04605AD">
      <w:pPr>
        <w:pStyle w:val="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4008916">
      <w:pPr>
        <w:pStyle w:val="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3C51A430">
      <w:pPr>
        <w:pStyle w:val="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25F74475">
      <w:pPr>
        <w:pStyle w:val="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57113646">
      <w:pPr>
        <w:pStyle w:val="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28B9E3B5">
      <w:pPr>
        <w:pStyle w:val="9"/>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35B47158">
      <w:pPr>
        <w:rPr>
          <w:color w:val="auto"/>
          <w:highlight w:val="none"/>
        </w:rPr>
      </w:pPr>
    </w:p>
    <w:p w14:paraId="026F0645">
      <w:pPr>
        <w:rPr>
          <w:color w:val="auto"/>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魏碑_GBK">
    <w:altName w:val="宋体"/>
    <w:panose1 w:val="03000509000000000000"/>
    <w:charset w:val="86"/>
    <w:family w:val="script"/>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D9391">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0E4A78">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10E4A78">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33E06B"/>
    <w:multiLevelType w:val="singleLevel"/>
    <w:tmpl w:val="9A33E06B"/>
    <w:lvl w:ilvl="0" w:tentative="0">
      <w:start w:val="5"/>
      <w:numFmt w:val="decimal"/>
      <w:suff w:val="nothing"/>
      <w:lvlText w:val="%1、"/>
      <w:lvlJc w:val="left"/>
    </w:lvl>
  </w:abstractNum>
  <w:abstractNum w:abstractNumId="1">
    <w:nsid w:val="C6EBBEA5"/>
    <w:multiLevelType w:val="singleLevel"/>
    <w:tmpl w:val="C6EBBEA5"/>
    <w:lvl w:ilvl="0" w:tentative="0">
      <w:start w:val="1"/>
      <w:numFmt w:val="decimal"/>
      <w:suff w:val="space"/>
      <w:lvlText w:val="%1."/>
      <w:lvlJc w:val="left"/>
    </w:lvl>
  </w:abstractNum>
  <w:abstractNum w:abstractNumId="2">
    <w:nsid w:val="0D237E2D"/>
    <w:multiLevelType w:val="singleLevel"/>
    <w:tmpl w:val="0D237E2D"/>
    <w:lvl w:ilvl="0" w:tentative="0">
      <w:start w:val="5"/>
      <w:numFmt w:val="chineseCounting"/>
      <w:suff w:val="space"/>
      <w:lvlText w:val="第%1条"/>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4C5600"/>
    <w:rsid w:val="001C5EE0"/>
    <w:rsid w:val="004C5600"/>
    <w:rsid w:val="004D5BCE"/>
    <w:rsid w:val="005919D3"/>
    <w:rsid w:val="00615EA1"/>
    <w:rsid w:val="007D0A5A"/>
    <w:rsid w:val="007F6465"/>
    <w:rsid w:val="00884654"/>
    <w:rsid w:val="009A13B3"/>
    <w:rsid w:val="00A80FAB"/>
    <w:rsid w:val="00AB2EA7"/>
    <w:rsid w:val="00DC54F3"/>
    <w:rsid w:val="00F3774C"/>
    <w:rsid w:val="0103164E"/>
    <w:rsid w:val="011B0EA7"/>
    <w:rsid w:val="01261978"/>
    <w:rsid w:val="01341807"/>
    <w:rsid w:val="014B08FF"/>
    <w:rsid w:val="016A5229"/>
    <w:rsid w:val="017A38C2"/>
    <w:rsid w:val="01995B0E"/>
    <w:rsid w:val="01B91D0C"/>
    <w:rsid w:val="01C43576"/>
    <w:rsid w:val="01EC5C3E"/>
    <w:rsid w:val="027015D5"/>
    <w:rsid w:val="02986DD2"/>
    <w:rsid w:val="029E162E"/>
    <w:rsid w:val="02AD2E42"/>
    <w:rsid w:val="02D3557A"/>
    <w:rsid w:val="02D7069C"/>
    <w:rsid w:val="02F53939"/>
    <w:rsid w:val="0332621A"/>
    <w:rsid w:val="034B52EB"/>
    <w:rsid w:val="03667C72"/>
    <w:rsid w:val="03724869"/>
    <w:rsid w:val="03804B57"/>
    <w:rsid w:val="038720C2"/>
    <w:rsid w:val="03962064"/>
    <w:rsid w:val="03962305"/>
    <w:rsid w:val="03BE7B6F"/>
    <w:rsid w:val="042F4E2A"/>
    <w:rsid w:val="04700DA8"/>
    <w:rsid w:val="04714B20"/>
    <w:rsid w:val="04811EF5"/>
    <w:rsid w:val="048C54B6"/>
    <w:rsid w:val="04BD7D66"/>
    <w:rsid w:val="04D94B9F"/>
    <w:rsid w:val="04F419D9"/>
    <w:rsid w:val="04F82B4C"/>
    <w:rsid w:val="051756C8"/>
    <w:rsid w:val="05554F86"/>
    <w:rsid w:val="057A17B3"/>
    <w:rsid w:val="0591547A"/>
    <w:rsid w:val="05991F64"/>
    <w:rsid w:val="0618237D"/>
    <w:rsid w:val="062D2841"/>
    <w:rsid w:val="0639341C"/>
    <w:rsid w:val="063D464A"/>
    <w:rsid w:val="06652463"/>
    <w:rsid w:val="06954AF6"/>
    <w:rsid w:val="06CB3433"/>
    <w:rsid w:val="070F49A2"/>
    <w:rsid w:val="072B68E1"/>
    <w:rsid w:val="07436011"/>
    <w:rsid w:val="07610E7C"/>
    <w:rsid w:val="0768045D"/>
    <w:rsid w:val="07707311"/>
    <w:rsid w:val="0787291B"/>
    <w:rsid w:val="078828AD"/>
    <w:rsid w:val="07893F2F"/>
    <w:rsid w:val="078D1C71"/>
    <w:rsid w:val="07C57CC7"/>
    <w:rsid w:val="08136986"/>
    <w:rsid w:val="08183C31"/>
    <w:rsid w:val="081C385C"/>
    <w:rsid w:val="081D2FF5"/>
    <w:rsid w:val="08564CB9"/>
    <w:rsid w:val="08597DA5"/>
    <w:rsid w:val="08B60D54"/>
    <w:rsid w:val="08E60E2C"/>
    <w:rsid w:val="08F41C35"/>
    <w:rsid w:val="09423021"/>
    <w:rsid w:val="099A0675"/>
    <w:rsid w:val="0A4A086A"/>
    <w:rsid w:val="0AB63231"/>
    <w:rsid w:val="0ADF4011"/>
    <w:rsid w:val="0B143885"/>
    <w:rsid w:val="0B1A713D"/>
    <w:rsid w:val="0B3D750A"/>
    <w:rsid w:val="0B4611F7"/>
    <w:rsid w:val="0B7D7388"/>
    <w:rsid w:val="0C3E178C"/>
    <w:rsid w:val="0C4D19CF"/>
    <w:rsid w:val="0C6311F3"/>
    <w:rsid w:val="0C6316D6"/>
    <w:rsid w:val="0D0C188A"/>
    <w:rsid w:val="0D140E7B"/>
    <w:rsid w:val="0D505C1B"/>
    <w:rsid w:val="0D5E3553"/>
    <w:rsid w:val="0D6E42F3"/>
    <w:rsid w:val="0D6E7E4F"/>
    <w:rsid w:val="0D8B3E92"/>
    <w:rsid w:val="0DB5782C"/>
    <w:rsid w:val="0DDA54E4"/>
    <w:rsid w:val="0DFA16E3"/>
    <w:rsid w:val="0E3217A3"/>
    <w:rsid w:val="0E412116"/>
    <w:rsid w:val="0E470A1E"/>
    <w:rsid w:val="0E745939"/>
    <w:rsid w:val="0ED62150"/>
    <w:rsid w:val="0ED65CAC"/>
    <w:rsid w:val="0EF10D38"/>
    <w:rsid w:val="0EF56A7A"/>
    <w:rsid w:val="0F0071CD"/>
    <w:rsid w:val="0F0C3DC3"/>
    <w:rsid w:val="0F7756E1"/>
    <w:rsid w:val="0F953DB9"/>
    <w:rsid w:val="0FA45DAA"/>
    <w:rsid w:val="0FCB77DB"/>
    <w:rsid w:val="0FFD54BA"/>
    <w:rsid w:val="101C1DE4"/>
    <w:rsid w:val="106519DD"/>
    <w:rsid w:val="10961B97"/>
    <w:rsid w:val="10980187"/>
    <w:rsid w:val="10A961B1"/>
    <w:rsid w:val="10CB6CFC"/>
    <w:rsid w:val="110525CA"/>
    <w:rsid w:val="11AB78C4"/>
    <w:rsid w:val="11B86BB3"/>
    <w:rsid w:val="11C75D80"/>
    <w:rsid w:val="11C92D4A"/>
    <w:rsid w:val="11CC5D32"/>
    <w:rsid w:val="11D64215"/>
    <w:rsid w:val="12021AC7"/>
    <w:rsid w:val="121A2353"/>
    <w:rsid w:val="12582E7C"/>
    <w:rsid w:val="12771554"/>
    <w:rsid w:val="12955E7E"/>
    <w:rsid w:val="12B0471F"/>
    <w:rsid w:val="12FB03D7"/>
    <w:rsid w:val="12FC2ECD"/>
    <w:rsid w:val="130367E4"/>
    <w:rsid w:val="13390EFF"/>
    <w:rsid w:val="13510CB2"/>
    <w:rsid w:val="13577907"/>
    <w:rsid w:val="13AF2F6F"/>
    <w:rsid w:val="13C403B4"/>
    <w:rsid w:val="13E76BAD"/>
    <w:rsid w:val="13E87A1A"/>
    <w:rsid w:val="13F32E07"/>
    <w:rsid w:val="13FF2FDC"/>
    <w:rsid w:val="14294AD0"/>
    <w:rsid w:val="148368D6"/>
    <w:rsid w:val="14C52A4A"/>
    <w:rsid w:val="15115C90"/>
    <w:rsid w:val="15650CEA"/>
    <w:rsid w:val="15BF393E"/>
    <w:rsid w:val="15C41EC5"/>
    <w:rsid w:val="15F108DE"/>
    <w:rsid w:val="16565924"/>
    <w:rsid w:val="166C5148"/>
    <w:rsid w:val="16985257"/>
    <w:rsid w:val="16BF34C9"/>
    <w:rsid w:val="16C15797"/>
    <w:rsid w:val="16CF479C"/>
    <w:rsid w:val="16D76A65"/>
    <w:rsid w:val="17215F32"/>
    <w:rsid w:val="17397720"/>
    <w:rsid w:val="1767603B"/>
    <w:rsid w:val="17D00992"/>
    <w:rsid w:val="17F245A3"/>
    <w:rsid w:val="17FC6585"/>
    <w:rsid w:val="18117A21"/>
    <w:rsid w:val="18202ECE"/>
    <w:rsid w:val="18424003"/>
    <w:rsid w:val="185145F5"/>
    <w:rsid w:val="18895583"/>
    <w:rsid w:val="189015C1"/>
    <w:rsid w:val="18C5372C"/>
    <w:rsid w:val="18CE28C0"/>
    <w:rsid w:val="18E83914"/>
    <w:rsid w:val="197E58BE"/>
    <w:rsid w:val="197E766C"/>
    <w:rsid w:val="199C5B01"/>
    <w:rsid w:val="1A187AC0"/>
    <w:rsid w:val="1A200723"/>
    <w:rsid w:val="1A367F46"/>
    <w:rsid w:val="1A38665C"/>
    <w:rsid w:val="1A644AB4"/>
    <w:rsid w:val="1A6B5E42"/>
    <w:rsid w:val="1AA14654"/>
    <w:rsid w:val="1AD70716"/>
    <w:rsid w:val="1AF726B9"/>
    <w:rsid w:val="1AFA5418"/>
    <w:rsid w:val="1B586E3F"/>
    <w:rsid w:val="1B6A60FA"/>
    <w:rsid w:val="1BA01A42"/>
    <w:rsid w:val="1BE0016A"/>
    <w:rsid w:val="1C177904"/>
    <w:rsid w:val="1C2C1048"/>
    <w:rsid w:val="1C3F69E4"/>
    <w:rsid w:val="1C511068"/>
    <w:rsid w:val="1C6963B1"/>
    <w:rsid w:val="1C7217BC"/>
    <w:rsid w:val="1C962F1E"/>
    <w:rsid w:val="1CB05D8E"/>
    <w:rsid w:val="1D7768AC"/>
    <w:rsid w:val="1D905BC0"/>
    <w:rsid w:val="1DDE4B7D"/>
    <w:rsid w:val="1DEC54EC"/>
    <w:rsid w:val="1E1B71BC"/>
    <w:rsid w:val="1E1E766F"/>
    <w:rsid w:val="1E4C1AE7"/>
    <w:rsid w:val="1EB61656"/>
    <w:rsid w:val="1EDA2DC5"/>
    <w:rsid w:val="1F073C5F"/>
    <w:rsid w:val="1F0B09FE"/>
    <w:rsid w:val="1F0B426A"/>
    <w:rsid w:val="1F31791E"/>
    <w:rsid w:val="1F8F25D3"/>
    <w:rsid w:val="1FA35CFB"/>
    <w:rsid w:val="1FAA11BB"/>
    <w:rsid w:val="1FB43F71"/>
    <w:rsid w:val="1FBD1721"/>
    <w:rsid w:val="2000527E"/>
    <w:rsid w:val="201C198C"/>
    <w:rsid w:val="201C7BDE"/>
    <w:rsid w:val="203C3F13"/>
    <w:rsid w:val="20481FEB"/>
    <w:rsid w:val="206A094A"/>
    <w:rsid w:val="206C2914"/>
    <w:rsid w:val="20967767"/>
    <w:rsid w:val="20CD3CC8"/>
    <w:rsid w:val="20FA7F20"/>
    <w:rsid w:val="20FD17BE"/>
    <w:rsid w:val="210E6C71"/>
    <w:rsid w:val="21274C73"/>
    <w:rsid w:val="213A656E"/>
    <w:rsid w:val="21556F04"/>
    <w:rsid w:val="215D225D"/>
    <w:rsid w:val="21F3172C"/>
    <w:rsid w:val="21F91F85"/>
    <w:rsid w:val="227E2231"/>
    <w:rsid w:val="230C7A96"/>
    <w:rsid w:val="2355768F"/>
    <w:rsid w:val="23571659"/>
    <w:rsid w:val="237813DD"/>
    <w:rsid w:val="239D1036"/>
    <w:rsid w:val="23CD5478"/>
    <w:rsid w:val="23DE5B73"/>
    <w:rsid w:val="240748BC"/>
    <w:rsid w:val="241A61E3"/>
    <w:rsid w:val="243B5B55"/>
    <w:rsid w:val="24653902"/>
    <w:rsid w:val="247840E5"/>
    <w:rsid w:val="24A8691F"/>
    <w:rsid w:val="24C83E91"/>
    <w:rsid w:val="24CC1BD3"/>
    <w:rsid w:val="24D740D4"/>
    <w:rsid w:val="24ED56A6"/>
    <w:rsid w:val="25092A83"/>
    <w:rsid w:val="255E6975"/>
    <w:rsid w:val="255F47F5"/>
    <w:rsid w:val="25891872"/>
    <w:rsid w:val="25A641D2"/>
    <w:rsid w:val="25B83F05"/>
    <w:rsid w:val="25BD151C"/>
    <w:rsid w:val="25CD5C03"/>
    <w:rsid w:val="261674C4"/>
    <w:rsid w:val="261C26E6"/>
    <w:rsid w:val="262D5F2A"/>
    <w:rsid w:val="26461511"/>
    <w:rsid w:val="26AE1196"/>
    <w:rsid w:val="26C863B6"/>
    <w:rsid w:val="26EA27E4"/>
    <w:rsid w:val="27117D71"/>
    <w:rsid w:val="278E3170"/>
    <w:rsid w:val="279462AC"/>
    <w:rsid w:val="27A209C9"/>
    <w:rsid w:val="27A40BE5"/>
    <w:rsid w:val="27BA1B55"/>
    <w:rsid w:val="28033B5E"/>
    <w:rsid w:val="280451E0"/>
    <w:rsid w:val="28201DDD"/>
    <w:rsid w:val="28367630"/>
    <w:rsid w:val="283F090E"/>
    <w:rsid w:val="285F2D5E"/>
    <w:rsid w:val="288822B5"/>
    <w:rsid w:val="28981947"/>
    <w:rsid w:val="28D41056"/>
    <w:rsid w:val="28F5500F"/>
    <w:rsid w:val="292673D8"/>
    <w:rsid w:val="292C2C40"/>
    <w:rsid w:val="295D71B6"/>
    <w:rsid w:val="29606D8E"/>
    <w:rsid w:val="29B35B79"/>
    <w:rsid w:val="2A036570"/>
    <w:rsid w:val="2A225DF1"/>
    <w:rsid w:val="2A2E29E8"/>
    <w:rsid w:val="2A353D77"/>
    <w:rsid w:val="2A4B17EC"/>
    <w:rsid w:val="2A61691A"/>
    <w:rsid w:val="2ABF60CD"/>
    <w:rsid w:val="2AE632C3"/>
    <w:rsid w:val="2AF84CC5"/>
    <w:rsid w:val="2B0A0BD5"/>
    <w:rsid w:val="2B2160A9"/>
    <w:rsid w:val="2B2A1401"/>
    <w:rsid w:val="2B4A1AA4"/>
    <w:rsid w:val="2B502995"/>
    <w:rsid w:val="2B830B12"/>
    <w:rsid w:val="2B9D3E9D"/>
    <w:rsid w:val="2C4005C8"/>
    <w:rsid w:val="2C7E6A0F"/>
    <w:rsid w:val="2CF66EF2"/>
    <w:rsid w:val="2D1759B5"/>
    <w:rsid w:val="2D39592C"/>
    <w:rsid w:val="2D3B5B48"/>
    <w:rsid w:val="2DAE4BCF"/>
    <w:rsid w:val="2DBB0A37"/>
    <w:rsid w:val="2DC84F02"/>
    <w:rsid w:val="2E060EE2"/>
    <w:rsid w:val="2E61338C"/>
    <w:rsid w:val="2EBB2B6B"/>
    <w:rsid w:val="2EC102CF"/>
    <w:rsid w:val="2EE93382"/>
    <w:rsid w:val="2F2E538B"/>
    <w:rsid w:val="2F5C3B54"/>
    <w:rsid w:val="2F6D7CD8"/>
    <w:rsid w:val="2F996B56"/>
    <w:rsid w:val="2FA33530"/>
    <w:rsid w:val="2FAB0637"/>
    <w:rsid w:val="2FBA3380"/>
    <w:rsid w:val="2FCB0411"/>
    <w:rsid w:val="2FD858D0"/>
    <w:rsid w:val="2FEA73B1"/>
    <w:rsid w:val="2FF96D68"/>
    <w:rsid w:val="302C5C1C"/>
    <w:rsid w:val="30894E1C"/>
    <w:rsid w:val="308C0468"/>
    <w:rsid w:val="30D065A7"/>
    <w:rsid w:val="311C1421"/>
    <w:rsid w:val="311D2360"/>
    <w:rsid w:val="313C1E8F"/>
    <w:rsid w:val="31495A3F"/>
    <w:rsid w:val="314E49B7"/>
    <w:rsid w:val="31807FCD"/>
    <w:rsid w:val="319121DA"/>
    <w:rsid w:val="31AD7DF1"/>
    <w:rsid w:val="31C3435E"/>
    <w:rsid w:val="31E92CB2"/>
    <w:rsid w:val="3213769D"/>
    <w:rsid w:val="324A4137"/>
    <w:rsid w:val="324E1E79"/>
    <w:rsid w:val="32597D28"/>
    <w:rsid w:val="32785148"/>
    <w:rsid w:val="327D450D"/>
    <w:rsid w:val="32826233"/>
    <w:rsid w:val="328A6C2A"/>
    <w:rsid w:val="32F347CF"/>
    <w:rsid w:val="33501C21"/>
    <w:rsid w:val="33544B14"/>
    <w:rsid w:val="337771AE"/>
    <w:rsid w:val="337C47C4"/>
    <w:rsid w:val="337F1800"/>
    <w:rsid w:val="33DE547F"/>
    <w:rsid w:val="34B0363E"/>
    <w:rsid w:val="34B53AD6"/>
    <w:rsid w:val="34DD5737"/>
    <w:rsid w:val="350363D8"/>
    <w:rsid w:val="352E65A7"/>
    <w:rsid w:val="353535E0"/>
    <w:rsid w:val="357240D1"/>
    <w:rsid w:val="35D06064"/>
    <w:rsid w:val="35D97CAC"/>
    <w:rsid w:val="35E11256"/>
    <w:rsid w:val="35EB79DF"/>
    <w:rsid w:val="35F9034E"/>
    <w:rsid w:val="36366780"/>
    <w:rsid w:val="364F4412"/>
    <w:rsid w:val="365F5046"/>
    <w:rsid w:val="366003CD"/>
    <w:rsid w:val="36633A19"/>
    <w:rsid w:val="3667350A"/>
    <w:rsid w:val="368D390B"/>
    <w:rsid w:val="36AF4EB1"/>
    <w:rsid w:val="36D861B6"/>
    <w:rsid w:val="36F154C9"/>
    <w:rsid w:val="36F60D36"/>
    <w:rsid w:val="373515A2"/>
    <w:rsid w:val="37403D5B"/>
    <w:rsid w:val="37500442"/>
    <w:rsid w:val="377F63BF"/>
    <w:rsid w:val="37865C12"/>
    <w:rsid w:val="378C2AA9"/>
    <w:rsid w:val="37D90437"/>
    <w:rsid w:val="37E413EE"/>
    <w:rsid w:val="380D63FD"/>
    <w:rsid w:val="38392C84"/>
    <w:rsid w:val="38397128"/>
    <w:rsid w:val="384B29B7"/>
    <w:rsid w:val="38A5454A"/>
    <w:rsid w:val="38FB23D2"/>
    <w:rsid w:val="38FB618B"/>
    <w:rsid w:val="391C6F31"/>
    <w:rsid w:val="39216B01"/>
    <w:rsid w:val="39447B32"/>
    <w:rsid w:val="396B1563"/>
    <w:rsid w:val="396E05C2"/>
    <w:rsid w:val="397553D2"/>
    <w:rsid w:val="3995213C"/>
    <w:rsid w:val="39D013C6"/>
    <w:rsid w:val="39DB1DF9"/>
    <w:rsid w:val="39E430C3"/>
    <w:rsid w:val="39E817C8"/>
    <w:rsid w:val="39F34E1A"/>
    <w:rsid w:val="3A173499"/>
    <w:rsid w:val="3A47240E"/>
    <w:rsid w:val="3A9E6883"/>
    <w:rsid w:val="3A9E7716"/>
    <w:rsid w:val="3AA0348E"/>
    <w:rsid w:val="3AD9720A"/>
    <w:rsid w:val="3ADD023E"/>
    <w:rsid w:val="3AE01ADD"/>
    <w:rsid w:val="3AE03A6E"/>
    <w:rsid w:val="3B0357CB"/>
    <w:rsid w:val="3B0563EB"/>
    <w:rsid w:val="3B6E0E96"/>
    <w:rsid w:val="3B717768"/>
    <w:rsid w:val="3C08753D"/>
    <w:rsid w:val="3C155AD8"/>
    <w:rsid w:val="3C263DBE"/>
    <w:rsid w:val="3C37397E"/>
    <w:rsid w:val="3C381058"/>
    <w:rsid w:val="3C5A141B"/>
    <w:rsid w:val="3C601127"/>
    <w:rsid w:val="3C7F70D3"/>
    <w:rsid w:val="3CB23005"/>
    <w:rsid w:val="3CB4494B"/>
    <w:rsid w:val="3CCD6091"/>
    <w:rsid w:val="3CD411CD"/>
    <w:rsid w:val="3CE05DC4"/>
    <w:rsid w:val="3CF63839"/>
    <w:rsid w:val="3D515C28"/>
    <w:rsid w:val="3D5440BC"/>
    <w:rsid w:val="3D6F0F0D"/>
    <w:rsid w:val="3D6F750E"/>
    <w:rsid w:val="3D7A6218"/>
    <w:rsid w:val="3D9820BE"/>
    <w:rsid w:val="3DE9047F"/>
    <w:rsid w:val="3DE944E7"/>
    <w:rsid w:val="3DF3242E"/>
    <w:rsid w:val="3E111FAD"/>
    <w:rsid w:val="3E2D5039"/>
    <w:rsid w:val="3E513636"/>
    <w:rsid w:val="3E5822D3"/>
    <w:rsid w:val="3E7F4A22"/>
    <w:rsid w:val="3EA1684F"/>
    <w:rsid w:val="3EDE27D7"/>
    <w:rsid w:val="3EDF11E3"/>
    <w:rsid w:val="3EE651E8"/>
    <w:rsid w:val="3F5900B0"/>
    <w:rsid w:val="3F870779"/>
    <w:rsid w:val="3FEB6F5A"/>
    <w:rsid w:val="3FFB1573"/>
    <w:rsid w:val="400022D9"/>
    <w:rsid w:val="40095632"/>
    <w:rsid w:val="40224945"/>
    <w:rsid w:val="403B1563"/>
    <w:rsid w:val="404813CC"/>
    <w:rsid w:val="40830F63"/>
    <w:rsid w:val="4084115C"/>
    <w:rsid w:val="40B437EF"/>
    <w:rsid w:val="40E65945"/>
    <w:rsid w:val="410A1661"/>
    <w:rsid w:val="410D73A4"/>
    <w:rsid w:val="411B561D"/>
    <w:rsid w:val="41202C33"/>
    <w:rsid w:val="41523008"/>
    <w:rsid w:val="417B60BB"/>
    <w:rsid w:val="419B52B3"/>
    <w:rsid w:val="41F63994"/>
    <w:rsid w:val="42334364"/>
    <w:rsid w:val="42B75819"/>
    <w:rsid w:val="43284021"/>
    <w:rsid w:val="43574906"/>
    <w:rsid w:val="441B5933"/>
    <w:rsid w:val="4420119C"/>
    <w:rsid w:val="444E1FE5"/>
    <w:rsid w:val="44846754"/>
    <w:rsid w:val="44B26298"/>
    <w:rsid w:val="44C75B55"/>
    <w:rsid w:val="44D77AAC"/>
    <w:rsid w:val="44EF1A75"/>
    <w:rsid w:val="457A2409"/>
    <w:rsid w:val="45967968"/>
    <w:rsid w:val="45A35BE1"/>
    <w:rsid w:val="45AB26D8"/>
    <w:rsid w:val="45B567DA"/>
    <w:rsid w:val="45C1250B"/>
    <w:rsid w:val="46005335"/>
    <w:rsid w:val="46020B59"/>
    <w:rsid w:val="46032B23"/>
    <w:rsid w:val="462D5F0B"/>
    <w:rsid w:val="466B0DF4"/>
    <w:rsid w:val="4670795C"/>
    <w:rsid w:val="467632F5"/>
    <w:rsid w:val="46997BE7"/>
    <w:rsid w:val="46AB11C4"/>
    <w:rsid w:val="46AC6D17"/>
    <w:rsid w:val="46B04006"/>
    <w:rsid w:val="46B65365"/>
    <w:rsid w:val="46BC2587"/>
    <w:rsid w:val="46FF778E"/>
    <w:rsid w:val="47866373"/>
    <w:rsid w:val="479E6C53"/>
    <w:rsid w:val="47ED3A8B"/>
    <w:rsid w:val="48045558"/>
    <w:rsid w:val="48276F9D"/>
    <w:rsid w:val="482C45B3"/>
    <w:rsid w:val="48357040"/>
    <w:rsid w:val="489B7043"/>
    <w:rsid w:val="48AB372A"/>
    <w:rsid w:val="48CC7AF9"/>
    <w:rsid w:val="48E40097"/>
    <w:rsid w:val="48F32FE7"/>
    <w:rsid w:val="490B74B0"/>
    <w:rsid w:val="49357497"/>
    <w:rsid w:val="495C08EA"/>
    <w:rsid w:val="497E2BEC"/>
    <w:rsid w:val="49C00C61"/>
    <w:rsid w:val="4A1A700B"/>
    <w:rsid w:val="4A201EF6"/>
    <w:rsid w:val="4A315EB1"/>
    <w:rsid w:val="4A4A6F73"/>
    <w:rsid w:val="4A706FB0"/>
    <w:rsid w:val="4A895CED"/>
    <w:rsid w:val="4A8D6303"/>
    <w:rsid w:val="4A9C238C"/>
    <w:rsid w:val="4AAC3789"/>
    <w:rsid w:val="4AAF5028"/>
    <w:rsid w:val="4AB4263E"/>
    <w:rsid w:val="4AC05487"/>
    <w:rsid w:val="4ACA1E61"/>
    <w:rsid w:val="4AD12E5A"/>
    <w:rsid w:val="4AF8077D"/>
    <w:rsid w:val="4B1112E1"/>
    <w:rsid w:val="4B3612A5"/>
    <w:rsid w:val="4B557DB4"/>
    <w:rsid w:val="4B606CD6"/>
    <w:rsid w:val="4B6E62AA"/>
    <w:rsid w:val="4BE60F1D"/>
    <w:rsid w:val="4BF25D04"/>
    <w:rsid w:val="4C252918"/>
    <w:rsid w:val="4C3B4DC5"/>
    <w:rsid w:val="4C3C24FF"/>
    <w:rsid w:val="4C545E87"/>
    <w:rsid w:val="4C8E75EA"/>
    <w:rsid w:val="4D52234C"/>
    <w:rsid w:val="4D896004"/>
    <w:rsid w:val="4DAC584E"/>
    <w:rsid w:val="4DC808DA"/>
    <w:rsid w:val="4DDD55BA"/>
    <w:rsid w:val="4DE26C1E"/>
    <w:rsid w:val="4DF644D9"/>
    <w:rsid w:val="4E650709"/>
    <w:rsid w:val="4E683E6B"/>
    <w:rsid w:val="4E8B1908"/>
    <w:rsid w:val="4E9E15A1"/>
    <w:rsid w:val="4ECC43FA"/>
    <w:rsid w:val="4F122AFB"/>
    <w:rsid w:val="4F386687"/>
    <w:rsid w:val="4F512B51"/>
    <w:rsid w:val="4F9111A0"/>
    <w:rsid w:val="4F9D237F"/>
    <w:rsid w:val="4FD52EEB"/>
    <w:rsid w:val="4FF260E2"/>
    <w:rsid w:val="50106568"/>
    <w:rsid w:val="504B180D"/>
    <w:rsid w:val="50577CF3"/>
    <w:rsid w:val="50DE0415"/>
    <w:rsid w:val="50E27978"/>
    <w:rsid w:val="51532BB1"/>
    <w:rsid w:val="51574F11"/>
    <w:rsid w:val="516A751D"/>
    <w:rsid w:val="516E1798"/>
    <w:rsid w:val="51BF3DA2"/>
    <w:rsid w:val="51ED6537"/>
    <w:rsid w:val="5218468F"/>
    <w:rsid w:val="522E78CE"/>
    <w:rsid w:val="52325D80"/>
    <w:rsid w:val="52350508"/>
    <w:rsid w:val="524E67E9"/>
    <w:rsid w:val="528C45CC"/>
    <w:rsid w:val="52911BE2"/>
    <w:rsid w:val="52AD7369"/>
    <w:rsid w:val="52B40BC7"/>
    <w:rsid w:val="52B7716F"/>
    <w:rsid w:val="52D35249"/>
    <w:rsid w:val="52DE46FC"/>
    <w:rsid w:val="52E33AC0"/>
    <w:rsid w:val="52EF6909"/>
    <w:rsid w:val="530D6D8F"/>
    <w:rsid w:val="534D53DE"/>
    <w:rsid w:val="535B7AFB"/>
    <w:rsid w:val="537E1A3B"/>
    <w:rsid w:val="53EC2E48"/>
    <w:rsid w:val="54063F0A"/>
    <w:rsid w:val="5416276B"/>
    <w:rsid w:val="54273E81"/>
    <w:rsid w:val="542E16B3"/>
    <w:rsid w:val="54463F45"/>
    <w:rsid w:val="54B820ED"/>
    <w:rsid w:val="54BA7A99"/>
    <w:rsid w:val="54F9581D"/>
    <w:rsid w:val="54FD27B2"/>
    <w:rsid w:val="554051FA"/>
    <w:rsid w:val="554A6079"/>
    <w:rsid w:val="55683F6A"/>
    <w:rsid w:val="55704ABA"/>
    <w:rsid w:val="559B2D78"/>
    <w:rsid w:val="55AC5A54"/>
    <w:rsid w:val="55BB0D24"/>
    <w:rsid w:val="55CE40CE"/>
    <w:rsid w:val="55ED2E48"/>
    <w:rsid w:val="55F66200"/>
    <w:rsid w:val="5643645D"/>
    <w:rsid w:val="565A053D"/>
    <w:rsid w:val="56623148"/>
    <w:rsid w:val="566D1D18"/>
    <w:rsid w:val="56737851"/>
    <w:rsid w:val="56837A94"/>
    <w:rsid w:val="56A619D5"/>
    <w:rsid w:val="56BF4844"/>
    <w:rsid w:val="57122BC6"/>
    <w:rsid w:val="572C012C"/>
    <w:rsid w:val="57315742"/>
    <w:rsid w:val="576F4CEF"/>
    <w:rsid w:val="57B91294"/>
    <w:rsid w:val="57E52089"/>
    <w:rsid w:val="57ED06D1"/>
    <w:rsid w:val="58302F8F"/>
    <w:rsid w:val="585614FD"/>
    <w:rsid w:val="5878286A"/>
    <w:rsid w:val="59030FC0"/>
    <w:rsid w:val="59085D97"/>
    <w:rsid w:val="592310BA"/>
    <w:rsid w:val="59303DDA"/>
    <w:rsid w:val="59407EBE"/>
    <w:rsid w:val="59492D46"/>
    <w:rsid w:val="59A55F73"/>
    <w:rsid w:val="5A36306F"/>
    <w:rsid w:val="5A79327D"/>
    <w:rsid w:val="5A7C4F26"/>
    <w:rsid w:val="5AB83A84"/>
    <w:rsid w:val="5AC47E5B"/>
    <w:rsid w:val="5B490C9B"/>
    <w:rsid w:val="5B4B77BA"/>
    <w:rsid w:val="5BC964DD"/>
    <w:rsid w:val="5BCD17B1"/>
    <w:rsid w:val="5BF9417C"/>
    <w:rsid w:val="5C0F3B78"/>
    <w:rsid w:val="5C4C26D6"/>
    <w:rsid w:val="5C642116"/>
    <w:rsid w:val="5C930305"/>
    <w:rsid w:val="5CA22C3E"/>
    <w:rsid w:val="5CB85FBE"/>
    <w:rsid w:val="5CC179D2"/>
    <w:rsid w:val="5D123920"/>
    <w:rsid w:val="5D1A034E"/>
    <w:rsid w:val="5D347D3A"/>
    <w:rsid w:val="5D375134"/>
    <w:rsid w:val="5D551A5E"/>
    <w:rsid w:val="5D592370"/>
    <w:rsid w:val="5D6E0CD9"/>
    <w:rsid w:val="5D7E3DBC"/>
    <w:rsid w:val="5DA55EFC"/>
    <w:rsid w:val="5DC43BD5"/>
    <w:rsid w:val="5DCA244C"/>
    <w:rsid w:val="5DF31004"/>
    <w:rsid w:val="5E026DF1"/>
    <w:rsid w:val="5E437B09"/>
    <w:rsid w:val="5E5B3B59"/>
    <w:rsid w:val="5E8A7865"/>
    <w:rsid w:val="5EBA3C5A"/>
    <w:rsid w:val="5F2B0CC9"/>
    <w:rsid w:val="5F513D7E"/>
    <w:rsid w:val="5F8C5FA1"/>
    <w:rsid w:val="5F920D48"/>
    <w:rsid w:val="5F954394"/>
    <w:rsid w:val="5FA10F8B"/>
    <w:rsid w:val="5FA42829"/>
    <w:rsid w:val="5FC97DEC"/>
    <w:rsid w:val="5FF437B1"/>
    <w:rsid w:val="60323E8A"/>
    <w:rsid w:val="606F4B42"/>
    <w:rsid w:val="609F2776"/>
    <w:rsid w:val="60F5158E"/>
    <w:rsid w:val="6102109A"/>
    <w:rsid w:val="61453B98"/>
    <w:rsid w:val="616E7593"/>
    <w:rsid w:val="61787D9A"/>
    <w:rsid w:val="617A1A94"/>
    <w:rsid w:val="61841DA9"/>
    <w:rsid w:val="61972646"/>
    <w:rsid w:val="619C2EE2"/>
    <w:rsid w:val="619D39D4"/>
    <w:rsid w:val="61BA6334"/>
    <w:rsid w:val="622E433B"/>
    <w:rsid w:val="6252656D"/>
    <w:rsid w:val="62562501"/>
    <w:rsid w:val="62621930"/>
    <w:rsid w:val="627604AD"/>
    <w:rsid w:val="6280757E"/>
    <w:rsid w:val="62AF39BF"/>
    <w:rsid w:val="63352116"/>
    <w:rsid w:val="63367DB4"/>
    <w:rsid w:val="635F2C96"/>
    <w:rsid w:val="63AE682A"/>
    <w:rsid w:val="63E31B72"/>
    <w:rsid w:val="64114B2F"/>
    <w:rsid w:val="64137F7D"/>
    <w:rsid w:val="64300B2F"/>
    <w:rsid w:val="64915A72"/>
    <w:rsid w:val="64992B79"/>
    <w:rsid w:val="649D3FE5"/>
    <w:rsid w:val="656C3DE9"/>
    <w:rsid w:val="65757142"/>
    <w:rsid w:val="65826E09"/>
    <w:rsid w:val="65BF03BD"/>
    <w:rsid w:val="65EB11B2"/>
    <w:rsid w:val="65EC4433"/>
    <w:rsid w:val="66467401"/>
    <w:rsid w:val="66480E7E"/>
    <w:rsid w:val="665723A3"/>
    <w:rsid w:val="66754F1F"/>
    <w:rsid w:val="669272D6"/>
    <w:rsid w:val="66931C34"/>
    <w:rsid w:val="670C13E0"/>
    <w:rsid w:val="671E613B"/>
    <w:rsid w:val="676C00D0"/>
    <w:rsid w:val="679715F1"/>
    <w:rsid w:val="67F81964"/>
    <w:rsid w:val="68203394"/>
    <w:rsid w:val="689A2A5B"/>
    <w:rsid w:val="68B603BF"/>
    <w:rsid w:val="68D42D08"/>
    <w:rsid w:val="69413EED"/>
    <w:rsid w:val="697B0A9F"/>
    <w:rsid w:val="698F62F8"/>
    <w:rsid w:val="69BD2E65"/>
    <w:rsid w:val="69E045AA"/>
    <w:rsid w:val="6A064B43"/>
    <w:rsid w:val="6A3C6480"/>
    <w:rsid w:val="6A765E95"/>
    <w:rsid w:val="6A885221"/>
    <w:rsid w:val="6AA47B81"/>
    <w:rsid w:val="6AA95198"/>
    <w:rsid w:val="6AAA4E8C"/>
    <w:rsid w:val="6AB5030B"/>
    <w:rsid w:val="6AFE3735"/>
    <w:rsid w:val="6B006F4B"/>
    <w:rsid w:val="6B405AFC"/>
    <w:rsid w:val="6B4A77F3"/>
    <w:rsid w:val="6B87372B"/>
    <w:rsid w:val="6B9675F1"/>
    <w:rsid w:val="6BCC55E2"/>
    <w:rsid w:val="6C007039"/>
    <w:rsid w:val="6C305B70"/>
    <w:rsid w:val="6C557385"/>
    <w:rsid w:val="6C5850C7"/>
    <w:rsid w:val="6C5E2EE5"/>
    <w:rsid w:val="6C911353"/>
    <w:rsid w:val="6C9F50EE"/>
    <w:rsid w:val="6CA8683F"/>
    <w:rsid w:val="6CC22541"/>
    <w:rsid w:val="6CCE7137"/>
    <w:rsid w:val="6D02669A"/>
    <w:rsid w:val="6D3C0545"/>
    <w:rsid w:val="6D4C7D57"/>
    <w:rsid w:val="6D633D24"/>
    <w:rsid w:val="6D7B106D"/>
    <w:rsid w:val="6DBC4531"/>
    <w:rsid w:val="6DE24C48"/>
    <w:rsid w:val="6DE25D6E"/>
    <w:rsid w:val="6DFF3A4C"/>
    <w:rsid w:val="6E290AC9"/>
    <w:rsid w:val="6E405E13"/>
    <w:rsid w:val="6E751F61"/>
    <w:rsid w:val="6ED742C8"/>
    <w:rsid w:val="6F1218C9"/>
    <w:rsid w:val="6F3239AE"/>
    <w:rsid w:val="6F9723BC"/>
    <w:rsid w:val="6FAD572A"/>
    <w:rsid w:val="6FEC09E2"/>
    <w:rsid w:val="6FF46EB5"/>
    <w:rsid w:val="708C17E3"/>
    <w:rsid w:val="70980188"/>
    <w:rsid w:val="70B86135"/>
    <w:rsid w:val="70CE4EA1"/>
    <w:rsid w:val="70E64666"/>
    <w:rsid w:val="70E707C8"/>
    <w:rsid w:val="719E28ED"/>
    <w:rsid w:val="71CC633B"/>
    <w:rsid w:val="71DB20DB"/>
    <w:rsid w:val="71DF62EC"/>
    <w:rsid w:val="71EA67C2"/>
    <w:rsid w:val="723637B5"/>
    <w:rsid w:val="72414F83"/>
    <w:rsid w:val="72442376"/>
    <w:rsid w:val="725A3947"/>
    <w:rsid w:val="72750781"/>
    <w:rsid w:val="727D3AE3"/>
    <w:rsid w:val="72C65029"/>
    <w:rsid w:val="72CC5EC7"/>
    <w:rsid w:val="73064400"/>
    <w:rsid w:val="731004AA"/>
    <w:rsid w:val="735C36EF"/>
    <w:rsid w:val="73674D66"/>
    <w:rsid w:val="737177C6"/>
    <w:rsid w:val="738A200A"/>
    <w:rsid w:val="738C13E9"/>
    <w:rsid w:val="73905147"/>
    <w:rsid w:val="73A26BFC"/>
    <w:rsid w:val="73C179F6"/>
    <w:rsid w:val="73CC742B"/>
    <w:rsid w:val="73E334C8"/>
    <w:rsid w:val="7435061E"/>
    <w:rsid w:val="743F3744"/>
    <w:rsid w:val="746F1200"/>
    <w:rsid w:val="74864AE5"/>
    <w:rsid w:val="74D13C69"/>
    <w:rsid w:val="74DB70E8"/>
    <w:rsid w:val="751F3575"/>
    <w:rsid w:val="756E3266"/>
    <w:rsid w:val="75AB270C"/>
    <w:rsid w:val="75BA46FD"/>
    <w:rsid w:val="76115AB3"/>
    <w:rsid w:val="76285B0A"/>
    <w:rsid w:val="763811DA"/>
    <w:rsid w:val="765353AD"/>
    <w:rsid w:val="76584631"/>
    <w:rsid w:val="76593502"/>
    <w:rsid w:val="765E777E"/>
    <w:rsid w:val="7702635B"/>
    <w:rsid w:val="77057BFA"/>
    <w:rsid w:val="77400C32"/>
    <w:rsid w:val="77CC4551"/>
    <w:rsid w:val="77E12415"/>
    <w:rsid w:val="77F24622"/>
    <w:rsid w:val="78000AED"/>
    <w:rsid w:val="780D320A"/>
    <w:rsid w:val="7843265A"/>
    <w:rsid w:val="78A04FA1"/>
    <w:rsid w:val="78B6564F"/>
    <w:rsid w:val="78E26444"/>
    <w:rsid w:val="78F50395"/>
    <w:rsid w:val="78FD327E"/>
    <w:rsid w:val="79050385"/>
    <w:rsid w:val="79196BEE"/>
    <w:rsid w:val="794C48DD"/>
    <w:rsid w:val="7980669E"/>
    <w:rsid w:val="79884EF0"/>
    <w:rsid w:val="799F4335"/>
    <w:rsid w:val="7A0B0BFE"/>
    <w:rsid w:val="7A1E16FE"/>
    <w:rsid w:val="7A4D1FE3"/>
    <w:rsid w:val="7A92514B"/>
    <w:rsid w:val="7A9256AA"/>
    <w:rsid w:val="7AA32378"/>
    <w:rsid w:val="7B2F3497"/>
    <w:rsid w:val="7B4E6013"/>
    <w:rsid w:val="7B5570D7"/>
    <w:rsid w:val="7B5573A2"/>
    <w:rsid w:val="7BDC22F5"/>
    <w:rsid w:val="7BE6624C"/>
    <w:rsid w:val="7BF93FF3"/>
    <w:rsid w:val="7C10151B"/>
    <w:rsid w:val="7C136FD3"/>
    <w:rsid w:val="7C43544C"/>
    <w:rsid w:val="7C4F2BED"/>
    <w:rsid w:val="7C4F5B14"/>
    <w:rsid w:val="7C7A4BE6"/>
    <w:rsid w:val="7C9C2DAE"/>
    <w:rsid w:val="7CEE3908"/>
    <w:rsid w:val="7CF84488"/>
    <w:rsid w:val="7D157953"/>
    <w:rsid w:val="7D221505"/>
    <w:rsid w:val="7D2A660C"/>
    <w:rsid w:val="7DA52E3B"/>
    <w:rsid w:val="7DD943F1"/>
    <w:rsid w:val="7E040C0B"/>
    <w:rsid w:val="7E130E4E"/>
    <w:rsid w:val="7E99790A"/>
    <w:rsid w:val="7EC943E9"/>
    <w:rsid w:val="7EDE145C"/>
    <w:rsid w:val="7F090028"/>
    <w:rsid w:val="7F2962F5"/>
    <w:rsid w:val="7F34107C"/>
    <w:rsid w:val="7F3B254A"/>
    <w:rsid w:val="7F4C021D"/>
    <w:rsid w:val="7FAD7948"/>
    <w:rsid w:val="7FCE58B3"/>
    <w:rsid w:val="7FE17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4"/>
    <w:qFormat/>
    <w:uiPriority w:val="99"/>
    <w:pPr>
      <w:keepNext/>
      <w:keepLines/>
      <w:spacing w:line="415" w:lineRule="auto"/>
      <w:ind w:firstLine="137"/>
      <w:outlineLvl w:val="2"/>
    </w:pPr>
    <w:rPr>
      <w:rFonts w:hAnsi="黑体" w:eastAsia="黑体"/>
      <w:sz w:val="24"/>
      <w:szCs w:val="20"/>
    </w:rPr>
  </w:style>
  <w:style w:type="character" w:default="1" w:styleId="12">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5">
    <w:name w:val="Body Text Indent"/>
    <w:basedOn w:val="1"/>
    <w:autoRedefine/>
    <w:qFormat/>
    <w:uiPriority w:val="0"/>
    <w:pPr>
      <w:ind w:firstLine="645"/>
    </w:pPr>
    <w:rPr>
      <w:rFonts w:ascii="楷体_GB2312" w:eastAsia="楷体_GB2312"/>
      <w:sz w:val="32"/>
      <w:szCs w:val="32"/>
    </w:rPr>
  </w:style>
  <w:style w:type="paragraph" w:styleId="6">
    <w:name w:val="footer"/>
    <w:basedOn w:val="1"/>
    <w:link w:val="19"/>
    <w:autoRedefine/>
    <w:qFormat/>
    <w:uiPriority w:val="0"/>
    <w:pPr>
      <w:tabs>
        <w:tab w:val="center" w:pos="4153"/>
        <w:tab w:val="right" w:pos="8306"/>
      </w:tabs>
      <w:snapToGrid w:val="0"/>
      <w:jc w:val="left"/>
    </w:pPr>
    <w:rPr>
      <w:sz w:val="18"/>
      <w:szCs w:val="18"/>
    </w:rPr>
  </w:style>
  <w:style w:type="paragraph" w:styleId="7">
    <w:name w:val="header"/>
    <w:basedOn w:val="1"/>
    <w:link w:val="18"/>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Indent 3"/>
    <w:basedOn w:val="1"/>
    <w:autoRedefine/>
    <w:qFormat/>
    <w:uiPriority w:val="0"/>
    <w:pPr>
      <w:ind w:left="645" w:firstLine="645"/>
    </w:pPr>
    <w:rPr>
      <w:rFonts w:ascii="Arial" w:hAnsi="Arial" w:eastAsia="仿宋_GB2312" w:cs="Arial"/>
      <w:color w:val="FFFF00"/>
      <w:sz w:val="32"/>
      <w:szCs w:val="32"/>
    </w:rPr>
  </w:style>
  <w:style w:type="paragraph" w:styleId="9">
    <w:name w:val="Normal (Web)"/>
    <w:basedOn w:val="1"/>
    <w:autoRedefine/>
    <w:qFormat/>
    <w:uiPriority w:val="0"/>
    <w:pPr>
      <w:spacing w:beforeAutospacing="1" w:afterAutospacing="1"/>
      <w:jc w:val="left"/>
    </w:pPr>
    <w:rPr>
      <w:rFonts w:cs="Times New Roman"/>
      <w:kern w:val="0"/>
      <w:sz w:val="24"/>
    </w:rPr>
  </w:style>
  <w:style w:type="paragraph" w:styleId="10">
    <w:name w:val="Body Text First Indent"/>
    <w:basedOn w:val="1"/>
    <w:next w:val="1"/>
    <w:autoRedefine/>
    <w:unhideWhenUsed/>
    <w:qFormat/>
    <w:uiPriority w:val="99"/>
    <w:pPr>
      <w:ind w:firstLine="420"/>
    </w:pPr>
    <w:rPr>
      <w:rFonts w:ascii="Times New Roman" w:hAnsi="Times New Roman" w:eastAsia="宋体" w:cs="Times New Roman"/>
    </w:rPr>
  </w:style>
  <w:style w:type="character" w:styleId="13">
    <w:name w:val="Strong"/>
    <w:basedOn w:val="12"/>
    <w:qFormat/>
    <w:uiPriority w:val="0"/>
    <w:rPr>
      <w:b/>
    </w:rPr>
  </w:style>
  <w:style w:type="character" w:styleId="14">
    <w:name w:val="Emphasis"/>
    <w:qFormat/>
    <w:uiPriority w:val="0"/>
    <w:rPr>
      <w:i/>
    </w:rPr>
  </w:style>
  <w:style w:type="paragraph" w:customStyle="1" w:styleId="15">
    <w:name w:val="Default"/>
    <w:basedOn w:val="1"/>
    <w:semiHidden/>
    <w:qFormat/>
    <w:uiPriority w:val="0"/>
    <w:pPr>
      <w:autoSpaceDE w:val="0"/>
      <w:autoSpaceDN w:val="0"/>
      <w:adjustRightInd w:val="0"/>
      <w:jc w:val="left"/>
    </w:pPr>
    <w:rPr>
      <w:rFonts w:ascii="宋体" w:hAnsi="Calibri" w:cs="宋体"/>
      <w:color w:val="000000"/>
      <w:kern w:val="0"/>
      <w:sz w:val="24"/>
    </w:rPr>
  </w:style>
  <w:style w:type="paragraph" w:customStyle="1" w:styleId="16">
    <w:name w:val="4"/>
    <w:basedOn w:val="1"/>
    <w:next w:val="8"/>
    <w:autoRedefine/>
    <w:qFormat/>
    <w:uiPriority w:val="0"/>
    <w:pPr>
      <w:spacing w:line="360" w:lineRule="auto"/>
      <w:ind w:firstLine="420"/>
    </w:pPr>
    <w:rPr>
      <w:color w:val="FF0000"/>
      <w:sz w:val="24"/>
    </w:rPr>
  </w:style>
  <w:style w:type="paragraph" w:customStyle="1" w:styleId="17">
    <w:name w:val="纯文本1"/>
    <w:basedOn w:val="1"/>
    <w:autoRedefine/>
    <w:qFormat/>
    <w:uiPriority w:val="0"/>
    <w:pPr>
      <w:adjustRightInd w:val="0"/>
    </w:pPr>
    <w:rPr>
      <w:rFonts w:ascii="宋体" w:hAnsi="Courier New" w:eastAsia="楷体_GB2312"/>
      <w:sz w:val="28"/>
      <w:szCs w:val="20"/>
    </w:rPr>
  </w:style>
  <w:style w:type="character" w:customStyle="1" w:styleId="18">
    <w:name w:val="页眉 Char"/>
    <w:basedOn w:val="12"/>
    <w:link w:val="7"/>
    <w:autoRedefine/>
    <w:qFormat/>
    <w:uiPriority w:val="0"/>
    <w:rPr>
      <w:kern w:val="2"/>
      <w:sz w:val="18"/>
      <w:szCs w:val="18"/>
    </w:rPr>
  </w:style>
  <w:style w:type="character" w:customStyle="1" w:styleId="19">
    <w:name w:val="页脚 Char"/>
    <w:basedOn w:val="12"/>
    <w:link w:val="6"/>
    <w:autoRedefine/>
    <w:qFormat/>
    <w:uiPriority w:val="0"/>
    <w:rPr>
      <w:kern w:val="2"/>
      <w:sz w:val="18"/>
      <w:szCs w:val="18"/>
    </w:rPr>
  </w:style>
  <w:style w:type="paragraph" w:customStyle="1" w:styleId="20">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1">
    <w:name w:val="正文首行缩进 21"/>
    <w:basedOn w:val="22"/>
    <w:qFormat/>
    <w:uiPriority w:val="0"/>
    <w:pPr>
      <w:ind w:firstLine="420"/>
    </w:pPr>
  </w:style>
  <w:style w:type="paragraph" w:customStyle="1" w:styleId="22">
    <w:name w:val="正文文本缩进1"/>
    <w:basedOn w:val="1"/>
    <w:qFormat/>
    <w:uiPriority w:val="0"/>
    <w:pPr>
      <w:spacing w:after="120"/>
      <w:ind w:left="420"/>
    </w:pPr>
  </w:style>
  <w:style w:type="paragraph" w:customStyle="1" w:styleId="23">
    <w:name w:val="文本块1"/>
    <w:basedOn w:val="1"/>
    <w:qFormat/>
    <w:uiPriority w:val="99"/>
    <w:pPr>
      <w:tabs>
        <w:tab w:val="left" w:pos="9000"/>
      </w:tabs>
      <w:spacing w:after="120"/>
      <w:ind w:left="1440" w:right="1440"/>
    </w:pPr>
  </w:style>
  <w:style w:type="character" w:customStyle="1" w:styleId="24">
    <w:name w:val="font31"/>
    <w:basedOn w:val="12"/>
    <w:qFormat/>
    <w:uiPriority w:val="0"/>
    <w:rPr>
      <w:rFonts w:hint="eastAsia" w:ascii="宋体" w:hAnsi="宋体" w:eastAsia="宋体" w:cs="宋体"/>
      <w:color w:val="000000"/>
      <w:sz w:val="19"/>
      <w:szCs w:val="19"/>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65</Pages>
  <Words>18248</Words>
  <Characters>19452</Characters>
  <Lines>168</Lines>
  <Paragraphs>47</Paragraphs>
  <TotalTime>19</TotalTime>
  <ScaleCrop>false</ScaleCrop>
  <LinksUpToDate>false</LinksUpToDate>
  <CharactersWithSpaces>19753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2024-01-18T02:05:00Z</dcterms:created>
  <dc:creator>Administrator</dc:creator>
  <cp:lastModifiedBy>小北</cp:lastModifiedBy>
  <cp:lastPrinted>2026-06-27T07:47:00Z</cp:lastPrinted>
  <dcterms:modified xsi:type="dcterms:W3CDTF">2026-07-06T01:43:32Z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EEFDFCACBEE44EECB931F20525FAD764_13</vt:lpwstr>
  </property>
  <property fmtid="{D5CDD505-2E9C-101B-9397-08002B2CF9AE}" pid="4" name="KSOTemplateDocerSaveRecord">
    <vt:lpwstr>eyJoZGlkIjoiZjJiYzRjZDg4ODIxMmZkMzVjYzYxNzIzMDEwYjJjY2IiLCJ1c2VySWQiOiIyMzI0MjkxMDkifQ==</vt:lpwstr>
  </property>
</Properties>
</file>