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EC3793">
      <w:pPr>
        <w:rPr>
          <w:rFonts w:hint="eastAsia" w:asciiTheme="minorEastAsia" w:hAnsiTheme="minorEastAsia" w:eastAsiaTheme="minorEastAsia" w:cstheme="minorEastAsia"/>
          <w:b/>
          <w:color w:val="auto"/>
          <w:spacing w:val="76"/>
          <w:sz w:val="24"/>
        </w:rPr>
      </w:pPr>
    </w:p>
    <w:p w14:paraId="61EE879A">
      <w:pPr>
        <w:pStyle w:val="12"/>
        <w:ind w:firstLine="0"/>
        <w:rPr>
          <w:rFonts w:hint="eastAsia" w:asciiTheme="minorEastAsia" w:hAnsiTheme="minorEastAsia" w:eastAsiaTheme="minorEastAsia" w:cstheme="minorEastAsia"/>
          <w:b/>
          <w:color w:val="auto"/>
          <w:spacing w:val="76"/>
          <w:sz w:val="24"/>
        </w:rPr>
      </w:pPr>
    </w:p>
    <w:p w14:paraId="3DC0A0B6">
      <w:pPr>
        <w:pStyle w:val="12"/>
        <w:rPr>
          <w:rFonts w:hint="eastAsia" w:asciiTheme="minorEastAsia" w:hAnsiTheme="minorEastAsia" w:eastAsiaTheme="minorEastAsia" w:cstheme="minorEastAsia"/>
          <w:b/>
          <w:color w:val="auto"/>
          <w:spacing w:val="76"/>
          <w:sz w:val="24"/>
        </w:rPr>
      </w:pPr>
    </w:p>
    <w:p w14:paraId="3C6B9528">
      <w:pPr>
        <w:jc w:val="center"/>
        <w:rPr>
          <w:rFonts w:hint="eastAsia" w:asciiTheme="minorEastAsia" w:hAnsiTheme="minorEastAsia" w:eastAsiaTheme="minorEastAsia" w:cstheme="minorEastAsia"/>
          <w:b/>
          <w:color w:val="auto"/>
          <w:spacing w:val="76"/>
          <w:sz w:val="156"/>
        </w:rPr>
      </w:pPr>
      <w:r>
        <w:rPr>
          <w:rFonts w:hint="eastAsia" w:asciiTheme="minorEastAsia" w:hAnsiTheme="minorEastAsia" w:eastAsiaTheme="minorEastAsia" w:cstheme="minorEastAsia"/>
          <w:b/>
          <w:color w:val="auto"/>
          <w:spacing w:val="76"/>
          <w:sz w:val="156"/>
        </w:rPr>
        <w:t>招标文件</w:t>
      </w:r>
    </w:p>
    <w:p w14:paraId="47B69748">
      <w:pPr>
        <w:rPr>
          <w:rFonts w:hint="eastAsia" w:asciiTheme="minorEastAsia" w:hAnsiTheme="minorEastAsia" w:eastAsiaTheme="minorEastAsia" w:cstheme="minorEastAsia"/>
          <w:b/>
          <w:color w:val="auto"/>
          <w:sz w:val="24"/>
        </w:rPr>
      </w:pPr>
    </w:p>
    <w:p w14:paraId="67360F0C">
      <w:pPr>
        <w:rPr>
          <w:rFonts w:hint="eastAsia" w:asciiTheme="minorEastAsia" w:hAnsiTheme="minorEastAsia" w:eastAsiaTheme="minorEastAsia" w:cstheme="minorEastAsia"/>
          <w:b/>
          <w:color w:val="auto"/>
          <w:sz w:val="24"/>
        </w:rPr>
      </w:pPr>
    </w:p>
    <w:p w14:paraId="2C4236CA">
      <w:pPr>
        <w:pStyle w:val="12"/>
        <w:ind w:left="0" w:firstLine="0"/>
        <w:rPr>
          <w:rFonts w:hint="eastAsia" w:asciiTheme="minorEastAsia" w:hAnsiTheme="minorEastAsia" w:eastAsiaTheme="minorEastAsia" w:cstheme="minorEastAsia"/>
          <w:color w:val="auto"/>
          <w:sz w:val="32"/>
        </w:rPr>
      </w:pPr>
    </w:p>
    <w:p w14:paraId="4A7F4044">
      <w:pPr>
        <w:pStyle w:val="12"/>
        <w:ind w:left="0" w:firstLine="0"/>
        <w:rPr>
          <w:rFonts w:hint="eastAsia" w:asciiTheme="minorEastAsia" w:hAnsiTheme="minorEastAsia" w:eastAsiaTheme="minorEastAsia" w:cstheme="minorEastAsia"/>
          <w:color w:val="auto"/>
          <w:sz w:val="32"/>
        </w:rPr>
      </w:pPr>
    </w:p>
    <w:p w14:paraId="625F29B8">
      <w:pPr>
        <w:spacing w:line="600" w:lineRule="exact"/>
        <w:ind w:firstLine="640"/>
        <w:rPr>
          <w:rFonts w:hint="eastAsia" w:asciiTheme="minorEastAsia" w:hAnsiTheme="minorEastAsia" w:eastAsiaTheme="minorEastAsia" w:cstheme="minorEastAsia"/>
          <w:strike w:val="0"/>
          <w:color w:val="auto"/>
          <w:sz w:val="32"/>
          <w:szCs w:val="32"/>
          <w:lang w:eastAsia="zh-CN"/>
        </w:rPr>
      </w:pPr>
      <w:r>
        <w:rPr>
          <w:rFonts w:hint="eastAsia" w:asciiTheme="minorEastAsia" w:hAnsiTheme="minorEastAsia" w:eastAsiaTheme="minorEastAsia" w:cstheme="minorEastAsia"/>
          <w:strike w:val="0"/>
          <w:color w:val="auto"/>
          <w:sz w:val="32"/>
          <w:szCs w:val="32"/>
        </w:rPr>
        <w:t>项目编号：</w:t>
      </w:r>
      <w:r>
        <w:rPr>
          <w:rFonts w:hint="eastAsia" w:asciiTheme="minorEastAsia" w:hAnsiTheme="minorEastAsia" w:eastAsiaTheme="minorEastAsia" w:cstheme="minorEastAsia"/>
          <w:strike w:val="0"/>
          <w:dstrike w:val="0"/>
          <w:color w:val="auto"/>
          <w:sz w:val="32"/>
          <w:szCs w:val="32"/>
          <w:lang w:eastAsia="zh-CN"/>
        </w:rPr>
        <w:t>JSZC-320300-HWZX-G2026-0390</w:t>
      </w:r>
    </w:p>
    <w:p w14:paraId="6A5005AC">
      <w:pPr>
        <w:spacing w:line="600" w:lineRule="exact"/>
        <w:ind w:firstLine="960"/>
        <w:rPr>
          <w:rFonts w:hint="eastAsia" w:asciiTheme="minorEastAsia" w:hAnsiTheme="minorEastAsia" w:eastAsiaTheme="minorEastAsia" w:cstheme="minorEastAsia"/>
          <w:color w:val="auto"/>
          <w:sz w:val="32"/>
          <w:szCs w:val="32"/>
        </w:rPr>
      </w:pPr>
    </w:p>
    <w:p w14:paraId="7C29CABA">
      <w:pPr>
        <w:spacing w:line="600" w:lineRule="exact"/>
        <w:ind w:firstLine="640"/>
        <w:rPr>
          <w:rFonts w:hint="eastAsia" w:asciiTheme="minorEastAsia" w:hAnsiTheme="minorEastAsia" w:eastAsiaTheme="minorEastAsia" w:cstheme="minorEastAsia"/>
          <w:strike w:val="0"/>
          <w:dstrike w:val="0"/>
          <w:color w:val="auto"/>
          <w:sz w:val="32"/>
          <w:szCs w:val="32"/>
          <w:lang w:eastAsia="zh-CN"/>
        </w:rPr>
      </w:pPr>
      <w:r>
        <w:rPr>
          <w:rFonts w:hint="eastAsia" w:asciiTheme="minorEastAsia" w:hAnsiTheme="minorEastAsia" w:eastAsiaTheme="minorEastAsia" w:cstheme="minorEastAsia"/>
          <w:color w:val="auto"/>
          <w:sz w:val="32"/>
          <w:szCs w:val="32"/>
        </w:rPr>
        <w:t>项目名称：</w:t>
      </w:r>
      <w:r>
        <w:rPr>
          <w:rFonts w:hint="eastAsia" w:asciiTheme="minorEastAsia" w:hAnsiTheme="minorEastAsia" w:eastAsiaTheme="minorEastAsia" w:cstheme="minorEastAsia"/>
          <w:strike w:val="0"/>
          <w:dstrike w:val="0"/>
          <w:color w:val="auto"/>
          <w:sz w:val="32"/>
          <w:szCs w:val="32"/>
          <w:lang w:eastAsia="zh-CN"/>
        </w:rPr>
        <w:t>徐州市第一人民医院微视野视野计采购</w:t>
      </w:r>
    </w:p>
    <w:p w14:paraId="4D83D5C7">
      <w:pPr>
        <w:spacing w:line="600" w:lineRule="exact"/>
        <w:ind w:firstLine="960"/>
        <w:rPr>
          <w:rFonts w:hint="eastAsia" w:asciiTheme="minorEastAsia" w:hAnsiTheme="minorEastAsia" w:eastAsiaTheme="minorEastAsia" w:cstheme="minorEastAsia"/>
          <w:color w:val="auto"/>
          <w:sz w:val="32"/>
          <w:szCs w:val="32"/>
        </w:rPr>
      </w:pPr>
    </w:p>
    <w:p w14:paraId="7739776C">
      <w:pPr>
        <w:spacing w:line="600" w:lineRule="exact"/>
        <w:ind w:firstLine="640"/>
        <w:rPr>
          <w:rFonts w:hint="eastAsia" w:asciiTheme="minorEastAsia" w:hAnsiTheme="minorEastAsia" w:eastAsiaTheme="minorEastAsia" w:cstheme="minorEastAsia"/>
          <w:color w:val="auto"/>
          <w:sz w:val="32"/>
          <w:szCs w:val="32"/>
          <w:lang w:eastAsia="zh-CN"/>
        </w:rPr>
      </w:pPr>
      <w:r>
        <w:rPr>
          <w:rFonts w:hint="eastAsia" w:asciiTheme="minorEastAsia" w:hAnsiTheme="minorEastAsia" w:eastAsiaTheme="minorEastAsia" w:cstheme="minorEastAsia"/>
          <w:color w:val="auto"/>
          <w:sz w:val="32"/>
          <w:szCs w:val="32"/>
        </w:rPr>
        <w:t>采 购 人：</w:t>
      </w:r>
      <w:r>
        <w:rPr>
          <w:rFonts w:hint="eastAsia" w:asciiTheme="minorEastAsia" w:hAnsiTheme="minorEastAsia" w:eastAsiaTheme="minorEastAsia" w:cstheme="minorEastAsia"/>
          <w:color w:val="auto"/>
          <w:sz w:val="32"/>
          <w:szCs w:val="32"/>
          <w:lang w:eastAsia="zh-CN"/>
        </w:rPr>
        <w:t>徐州市第一人民医院</w:t>
      </w:r>
    </w:p>
    <w:p w14:paraId="1109BA3A">
      <w:pPr>
        <w:spacing w:line="300" w:lineRule="auto"/>
        <w:ind w:right="-159" w:firstLine="2112"/>
        <w:rPr>
          <w:rFonts w:hint="eastAsia" w:asciiTheme="minorEastAsia" w:hAnsiTheme="minorEastAsia" w:eastAsiaTheme="minorEastAsia" w:cstheme="minorEastAsia"/>
          <w:color w:val="auto"/>
          <w:sz w:val="32"/>
          <w:szCs w:val="32"/>
        </w:rPr>
      </w:pPr>
    </w:p>
    <w:p w14:paraId="6F418530">
      <w:pPr>
        <w:rPr>
          <w:rFonts w:hint="eastAsia" w:asciiTheme="minorEastAsia" w:hAnsiTheme="minorEastAsia" w:eastAsiaTheme="minorEastAsia" w:cstheme="minorEastAsia"/>
          <w:color w:val="auto"/>
          <w:sz w:val="32"/>
          <w:szCs w:val="32"/>
        </w:rPr>
      </w:pPr>
    </w:p>
    <w:p w14:paraId="05AE307F">
      <w:pPr>
        <w:pStyle w:val="70"/>
        <w:ind w:firstLine="0"/>
        <w:rPr>
          <w:rFonts w:hint="eastAsia" w:asciiTheme="minorEastAsia" w:hAnsiTheme="minorEastAsia" w:eastAsiaTheme="minorEastAsia" w:cstheme="minorEastAsia"/>
          <w:color w:val="auto"/>
          <w:sz w:val="32"/>
          <w:szCs w:val="32"/>
        </w:rPr>
      </w:pPr>
    </w:p>
    <w:p w14:paraId="482B4DE7">
      <w:pPr>
        <w:rPr>
          <w:rFonts w:hint="eastAsia"/>
          <w:color w:val="auto"/>
        </w:rPr>
      </w:pPr>
    </w:p>
    <w:p w14:paraId="4CE8540F">
      <w:pPr>
        <w:pStyle w:val="18"/>
        <w:ind w:left="0" w:leftChars="0" w:firstLine="0" w:firstLineChars="0"/>
        <w:rPr>
          <w:rFonts w:hint="eastAsia" w:asciiTheme="minorEastAsia" w:hAnsiTheme="minorEastAsia" w:eastAsiaTheme="minorEastAsia" w:cstheme="minorEastAsia"/>
          <w:color w:val="auto"/>
          <w:sz w:val="32"/>
          <w:szCs w:val="32"/>
        </w:rPr>
      </w:pPr>
    </w:p>
    <w:p w14:paraId="17761137">
      <w:pPr>
        <w:pStyle w:val="18"/>
        <w:ind w:left="0" w:leftChars="0" w:firstLine="0" w:firstLineChars="0"/>
        <w:rPr>
          <w:rFonts w:hint="eastAsia" w:asciiTheme="minorEastAsia" w:hAnsiTheme="minorEastAsia" w:eastAsiaTheme="minorEastAsia" w:cstheme="minorEastAsia"/>
          <w:color w:val="auto"/>
          <w:sz w:val="32"/>
          <w:szCs w:val="32"/>
        </w:rPr>
      </w:pPr>
      <w:r>
        <w:rPr>
          <w:rFonts w:hint="eastAsia" w:ascii="宋体" w:hAnsi="宋体" w:cs="宋体"/>
          <w:color w:val="auto"/>
          <w:sz w:val="44"/>
          <w:highlight w:val="none"/>
        </w:rPr>
        <w:drawing>
          <wp:anchor distT="0" distB="0" distL="114935" distR="114935" simplePos="0" relativeHeight="251659264" behindDoc="0" locked="0" layoutInCell="1" allowOverlap="1">
            <wp:simplePos x="0" y="0"/>
            <wp:positionH relativeFrom="column">
              <wp:posOffset>2074545</wp:posOffset>
            </wp:positionH>
            <wp:positionV relativeFrom="paragraph">
              <wp:posOffset>745490</wp:posOffset>
            </wp:positionV>
            <wp:extent cx="1243330" cy="850265"/>
            <wp:effectExtent l="0" t="0" r="13970" b="6985"/>
            <wp:wrapTopAndBottom/>
            <wp:docPr id="15" name="图片 15" descr="蓝色透明底PNG_pr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蓝色透明底PNG_proc"/>
                    <pic:cNvPicPr>
                      <a:picLocks noChangeAspect="1"/>
                    </pic:cNvPicPr>
                  </pic:nvPicPr>
                  <pic:blipFill>
                    <a:blip r:embed="rId10"/>
                    <a:stretch>
                      <a:fillRect/>
                    </a:stretch>
                  </pic:blipFill>
                  <pic:spPr>
                    <a:xfrm>
                      <a:off x="0" y="0"/>
                      <a:ext cx="1243330" cy="850265"/>
                    </a:xfrm>
                    <a:prstGeom prst="rect">
                      <a:avLst/>
                    </a:prstGeom>
                  </pic:spPr>
                </pic:pic>
              </a:graphicData>
            </a:graphic>
          </wp:anchor>
        </w:drawing>
      </w:r>
    </w:p>
    <w:p w14:paraId="5FEB802D">
      <w:pPr>
        <w:spacing w:line="300" w:lineRule="auto"/>
        <w:ind w:right="-159"/>
        <w:rPr>
          <w:rFonts w:hint="eastAsia" w:asciiTheme="minorEastAsia" w:hAnsiTheme="minorEastAsia" w:eastAsiaTheme="minorEastAsia" w:cstheme="minorEastAsia"/>
          <w:color w:val="auto"/>
          <w:sz w:val="32"/>
          <w:szCs w:val="32"/>
        </w:rPr>
      </w:pPr>
    </w:p>
    <w:p w14:paraId="42D2EF1E">
      <w:pPr>
        <w:spacing w:line="360"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color w:val="auto"/>
          <w:sz w:val="32"/>
          <w:szCs w:val="32"/>
        </w:rPr>
        <w:t>采购代理机构：江苏海外集团国际工程咨询有限公司</w:t>
      </w:r>
    </w:p>
    <w:p w14:paraId="59EA7B6E">
      <w:pPr>
        <w:spacing w:line="360" w:lineRule="auto"/>
        <w:jc w:val="center"/>
        <w:rPr>
          <w:rFonts w:hint="eastAsia" w:asciiTheme="minorEastAsia" w:hAnsiTheme="minorEastAsia" w:eastAsiaTheme="minorEastAsia" w:cstheme="minorEastAsia"/>
          <w:color w:val="auto"/>
          <w:sz w:val="32"/>
          <w:szCs w:val="32"/>
        </w:rPr>
      </w:pPr>
      <w:r>
        <w:rPr>
          <w:rFonts w:hint="eastAsia" w:asciiTheme="minorEastAsia" w:hAnsiTheme="minorEastAsia" w:eastAsiaTheme="minorEastAsia" w:cstheme="minorEastAsia"/>
          <w:bCs/>
          <w:color w:val="auto"/>
          <w:sz w:val="32"/>
          <w:szCs w:val="32"/>
        </w:rPr>
        <w:t>二〇二</w:t>
      </w:r>
      <w:r>
        <w:rPr>
          <w:rFonts w:hint="eastAsia" w:asciiTheme="minorEastAsia" w:hAnsiTheme="minorEastAsia" w:eastAsiaTheme="minorEastAsia" w:cstheme="minorEastAsia"/>
          <w:bCs/>
          <w:color w:val="auto"/>
          <w:sz w:val="32"/>
          <w:szCs w:val="32"/>
          <w:lang w:val="en-US" w:eastAsia="zh-CN"/>
        </w:rPr>
        <w:t>六</w:t>
      </w:r>
      <w:r>
        <w:rPr>
          <w:rFonts w:hint="eastAsia" w:asciiTheme="minorEastAsia" w:hAnsiTheme="minorEastAsia" w:eastAsiaTheme="minorEastAsia" w:cstheme="minorEastAsia"/>
          <w:bCs/>
          <w:color w:val="auto"/>
          <w:sz w:val="32"/>
          <w:szCs w:val="32"/>
        </w:rPr>
        <w:t>年</w:t>
      </w:r>
      <w:r>
        <w:rPr>
          <w:rFonts w:hint="eastAsia" w:asciiTheme="minorEastAsia" w:hAnsiTheme="minorEastAsia" w:eastAsiaTheme="minorEastAsia" w:cstheme="minorEastAsia"/>
          <w:bCs/>
          <w:color w:val="auto"/>
          <w:sz w:val="32"/>
          <w:szCs w:val="32"/>
          <w:lang w:val="en-US" w:eastAsia="zh-CN"/>
        </w:rPr>
        <w:t>七</w:t>
      </w:r>
      <w:r>
        <w:rPr>
          <w:rFonts w:hint="eastAsia" w:asciiTheme="minorEastAsia" w:hAnsiTheme="minorEastAsia" w:eastAsiaTheme="minorEastAsia" w:cstheme="minorEastAsia"/>
          <w:bCs/>
          <w:color w:val="auto"/>
          <w:sz w:val="32"/>
          <w:szCs w:val="32"/>
        </w:rPr>
        <w:t>月</w:t>
      </w:r>
    </w:p>
    <w:p w14:paraId="27BEC34B">
      <w:pPr>
        <w:rPr>
          <w:rFonts w:hint="eastAsia" w:asciiTheme="minorEastAsia" w:hAnsiTheme="minorEastAsia" w:eastAsiaTheme="minorEastAsia" w:cstheme="minorEastAsia"/>
          <w:color w:val="auto"/>
          <w:sz w:val="32"/>
          <w:szCs w:val="32"/>
        </w:rPr>
      </w:pPr>
    </w:p>
    <w:p w14:paraId="661E8121">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color w:val="auto"/>
          <w:sz w:val="44"/>
        </w:rPr>
        <w:sectPr>
          <w:headerReference r:id="rId3" w:type="default"/>
          <w:footerReference r:id="rId4" w:type="default"/>
          <w:pgSz w:w="11906" w:h="16838"/>
          <w:pgMar w:top="1440" w:right="1803" w:bottom="1440" w:left="1803" w:header="851" w:footer="992" w:gutter="0"/>
          <w:pgNumType w:start="1"/>
          <w:cols w:space="720" w:num="1"/>
          <w:docGrid w:linePitch="360" w:charSpace="0"/>
        </w:sectPr>
      </w:pPr>
    </w:p>
    <w:p w14:paraId="24E79F2A">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b/>
          <w:color w:val="auto"/>
          <w:sz w:val="44"/>
        </w:rPr>
        <w:t>目 录</w:t>
      </w:r>
    </w:p>
    <w:p w14:paraId="6E07C99D">
      <w:pPr>
        <w:pBdr>
          <w:top w:val="none" w:color="000000" w:sz="0" w:space="0"/>
          <w:left w:val="none" w:color="000000" w:sz="0" w:space="0"/>
          <w:bottom w:val="none" w:color="000000" w:sz="0" w:space="0"/>
          <w:right w:val="none" w:color="000000" w:sz="0" w:space="0"/>
        </w:pBdr>
        <w:spacing w:line="519" w:lineRule="atLeast"/>
        <w:jc w:val="center"/>
        <w:rPr>
          <w:rFonts w:hint="eastAsia" w:asciiTheme="minorEastAsia" w:hAnsiTheme="minorEastAsia" w:eastAsiaTheme="minorEastAsia" w:cstheme="minorEastAsia"/>
          <w:color w:val="auto"/>
        </w:rPr>
      </w:pPr>
    </w:p>
    <w:p w14:paraId="63E56315">
      <w:pPr>
        <w:pBdr>
          <w:top w:val="none" w:color="000000" w:sz="0" w:space="0"/>
          <w:left w:val="none" w:color="000000" w:sz="0" w:space="0"/>
          <w:bottom w:val="none" w:color="000000" w:sz="0" w:space="0"/>
          <w:right w:val="none" w:color="000000" w:sz="0" w:space="0"/>
        </w:pBdr>
        <w:spacing w:line="519" w:lineRule="atLeast"/>
        <w:jc w:val="center"/>
        <w:rPr>
          <w:rFonts w:hint="eastAsia" w:asciiTheme="minorEastAsia" w:hAnsiTheme="minorEastAsia" w:eastAsiaTheme="minorEastAsia" w:cstheme="minorEastAsia"/>
          <w:color w:val="auto"/>
          <w:sz w:val="30"/>
          <w:szCs w:val="30"/>
        </w:rPr>
      </w:pPr>
    </w:p>
    <w:p w14:paraId="6FA80488">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"_Toc523404695" \o "http://jszfcg.jsczt.cn/jszc/onlyoffice/6.4.2-6/web-apps/apps/documenteditor/main/index.html?_dc=6.4.2-6&amp;lang=zh&amp;customer=ONLYOFFICE&amp;frameEditorId=iframePage&amp;parentOrigin=http://jszfcg.jsczt.cn#_Toc523404695"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第一章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投标邀请</w:t>
      </w:r>
      <w:r>
        <w:rPr>
          <w:rStyle w:val="54"/>
          <w:rFonts w:hint="eastAsia" w:asciiTheme="minorEastAsia" w:hAnsiTheme="minorEastAsia" w:eastAsiaTheme="minorEastAsia" w:cstheme="minorEastAsia"/>
          <w:color w:val="auto"/>
          <w:sz w:val="30"/>
          <w:szCs w:val="30"/>
        </w:rPr>
        <w:fldChar w:fldCharType="end"/>
      </w:r>
    </w:p>
    <w:p w14:paraId="7A255E8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433F1356">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"_Toc523404696" \o "http://jszfcg.jsczt.cn/jszc/onlyoffice/6.4.2-6/web-apps/apps/documenteditor/main/index.html?_dc=6.4.2-6&amp;lang=zh&amp;customer=ONLYOFFICE&amp;frameEditorId=iframePage&amp;parentOrigin=http://jszfcg.jsczt.cn#_Toc523404696"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第二章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投标人须知</w:t>
      </w:r>
      <w:r>
        <w:rPr>
          <w:rStyle w:val="54"/>
          <w:rFonts w:hint="eastAsia" w:asciiTheme="minorEastAsia" w:hAnsiTheme="minorEastAsia" w:eastAsiaTheme="minorEastAsia" w:cstheme="minorEastAsia"/>
          <w:color w:val="auto"/>
          <w:sz w:val="30"/>
          <w:szCs w:val="30"/>
        </w:rPr>
        <w:fldChar w:fldCharType="end"/>
      </w:r>
    </w:p>
    <w:p w14:paraId="1D5EDBC0">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61625531">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"_Toc523404697" \o "http://jszfcg.jsczt.cn/jszc/onlyoffice/6.4.2-6/web-apps/apps/documenteditor/main/index.html?_dc=6.4.2-6&amp;lang=zh&amp;customer=ONLYOFFICE&amp;frameEditorId=iframePage&amp;parentOrigin=http://jszfcg.jsczt.cn#_Toc523404697"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第三章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投标资料表</w:t>
      </w:r>
      <w:r>
        <w:rPr>
          <w:rStyle w:val="54"/>
          <w:rFonts w:hint="eastAsia" w:asciiTheme="minorEastAsia" w:hAnsiTheme="minorEastAsia" w:eastAsiaTheme="minorEastAsia" w:cstheme="minorEastAsia"/>
          <w:color w:val="auto"/>
          <w:sz w:val="30"/>
          <w:szCs w:val="30"/>
        </w:rPr>
        <w:fldChar w:fldCharType="end"/>
      </w:r>
    </w:p>
    <w:p w14:paraId="6112FBC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1ADF85FB">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"_Toc523404698" \o "http://jszfcg.jsczt.cn/jszc/onlyoffice/6.4.2-6/web-apps/apps/documenteditor/main/index.html?_dc=6.4.2-6&amp;lang=zh&amp;customer=ONLYOFFICE&amp;frameEditorId=iframePage&amp;parentOrigin=http://jszfcg.jsczt.cn#_Toc523404698"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第四章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评标标准</w:t>
      </w:r>
      <w:r>
        <w:rPr>
          <w:rStyle w:val="54"/>
          <w:rFonts w:hint="eastAsia" w:asciiTheme="minorEastAsia" w:hAnsiTheme="minorEastAsia" w:eastAsiaTheme="minorEastAsia" w:cstheme="minorEastAsia"/>
          <w:color w:val="auto"/>
          <w:sz w:val="30"/>
          <w:szCs w:val="30"/>
        </w:rPr>
        <w:fldChar w:fldCharType="end"/>
      </w:r>
    </w:p>
    <w:p w14:paraId="43BE616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2ACCF477">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"_Toc523404699" \o "http://jszfcg.jsczt.cn/jszc/onlyoffice/6.4.2-6/web-apps/apps/documenteditor/main/index.html?_dc=6.4.2-6&amp;lang=zh&amp;customer=ONLYOFFICE&amp;frameEditorId=iframePage&amp;parentOrigin=http://jszfcg.jsczt.cn#_Toc523404699"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第五章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拟签订的合同文本</w:t>
      </w:r>
      <w:r>
        <w:rPr>
          <w:rStyle w:val="54"/>
          <w:rFonts w:hint="eastAsia" w:asciiTheme="minorEastAsia" w:hAnsiTheme="minorEastAsia" w:eastAsiaTheme="minorEastAsia" w:cstheme="minorEastAsia"/>
          <w:color w:val="auto"/>
          <w:sz w:val="30"/>
          <w:szCs w:val="30"/>
        </w:rPr>
        <w:fldChar w:fldCharType="end"/>
      </w:r>
    </w:p>
    <w:p w14:paraId="7BD1C1B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23579B4C">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"_Toc523404700" \o "http://jszfcg.jsczt.cn/jszc/onlyoffice/6.4.2-6/web-apps/apps/documenteditor/main/index.html?_dc=6.4.2-6&amp;lang=zh&amp;customer=ONLYOFFICE&amp;frameEditorId=iframePage&amp;parentOrigin=http://jszfcg.jsczt.cn#_Toc523404700"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第六章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采购需求</w:t>
      </w:r>
      <w:r>
        <w:rPr>
          <w:rStyle w:val="54"/>
          <w:rFonts w:hint="eastAsia" w:asciiTheme="minorEastAsia" w:hAnsiTheme="minorEastAsia" w:eastAsiaTheme="minorEastAsia" w:cstheme="minorEastAsia"/>
          <w:color w:val="auto"/>
          <w:sz w:val="30"/>
          <w:szCs w:val="30"/>
        </w:rPr>
        <w:fldChar w:fldCharType="end"/>
      </w:r>
    </w:p>
    <w:p w14:paraId="3936884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30"/>
          <w:szCs w:val="30"/>
        </w:rPr>
      </w:pPr>
    </w:p>
    <w:p w14:paraId="773130D6">
      <w:pPr>
        <w:pBdr>
          <w:top w:val="none" w:color="000000" w:sz="0" w:space="0"/>
          <w:left w:val="none" w:color="000000" w:sz="0" w:space="0"/>
          <w:bottom w:val="none" w:color="000000" w:sz="0" w:space="0"/>
          <w:right w:val="none" w:color="000000" w:sz="0" w:space="0"/>
        </w:pBdr>
        <w:ind w:firstLine="21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color w:val="auto"/>
          <w:sz w:val="30"/>
          <w:szCs w:val="30"/>
        </w:rPr>
        <w:fldChar w:fldCharType="begin"/>
      </w:r>
      <w:r>
        <w:rPr>
          <w:rFonts w:hint="eastAsia" w:asciiTheme="minorEastAsia" w:hAnsiTheme="minorEastAsia" w:eastAsiaTheme="minorEastAsia" w:cstheme="minorEastAsia"/>
          <w:color w:val="auto"/>
          <w:sz w:val="30"/>
          <w:szCs w:val="30"/>
        </w:rPr>
        <w:instrText xml:space="preserve"> HYPERLINK "http://jszfcg.jsczt.cn/jszc/onlyoffice/6.4.2-6/web-apps/apps/documenteditor/main/index.html?_dc=6.4.2-6&amp;lang=zh&amp;customer=ONLYOFFICE&amp;frameEditorId=iframePage&amp;parentOrigin=http://jszfcg.jsczt.cn" \l "_Toc523404701" \o "http://jszfcg.jsczt.cn/jszc/onlyoffice/6.4.2-6/web-apps/apps/documenteditor/main/index.html?_dc=6.4.2-6&amp;lang=zh&amp;customer=ONLYOFFICE&amp;frameEditorId=iframePage&amp;parentOrigin=http://jszfcg.jsczt.cn#_Toc523404701" </w:instrText>
      </w:r>
      <w:r>
        <w:rPr>
          <w:rFonts w:hint="eastAsia" w:asciiTheme="minorEastAsia" w:hAnsiTheme="minorEastAsia" w:eastAsiaTheme="minorEastAsia" w:cstheme="minorEastAsia"/>
          <w:color w:val="auto"/>
          <w:sz w:val="30"/>
          <w:szCs w:val="30"/>
        </w:rPr>
        <w:fldChar w:fldCharType="separate"/>
      </w:r>
      <w:r>
        <w:rPr>
          <w:rStyle w:val="54"/>
          <w:rFonts w:hint="eastAsia" w:asciiTheme="minorEastAsia" w:hAnsiTheme="minorEastAsia" w:eastAsiaTheme="minorEastAsia" w:cstheme="minorEastAsia"/>
          <w:color w:val="auto"/>
          <w:sz w:val="30"/>
          <w:szCs w:val="30"/>
        </w:rPr>
        <w:t>第七章</w:t>
      </w:r>
      <w:r>
        <w:rPr>
          <w:rStyle w:val="54"/>
          <w:rFonts w:hint="eastAsia" w:asciiTheme="minorEastAsia" w:hAnsiTheme="minorEastAsia" w:eastAsiaTheme="minorEastAsia" w:cstheme="minorEastAsia"/>
          <w:color w:val="auto"/>
          <w:sz w:val="30"/>
          <w:szCs w:val="30"/>
          <w:lang w:val="en-US" w:eastAsia="zh-CN"/>
        </w:rPr>
        <w:t xml:space="preserve"> </w:t>
      </w:r>
      <w:r>
        <w:rPr>
          <w:rStyle w:val="54"/>
          <w:rFonts w:hint="eastAsia" w:asciiTheme="minorEastAsia" w:hAnsiTheme="minorEastAsia" w:eastAsiaTheme="minorEastAsia" w:cstheme="minorEastAsia"/>
          <w:color w:val="auto"/>
          <w:sz w:val="30"/>
          <w:szCs w:val="30"/>
        </w:rPr>
        <w:t>投标文件相关格式</w:t>
      </w:r>
      <w:r>
        <w:rPr>
          <w:rStyle w:val="54"/>
          <w:rFonts w:hint="eastAsia" w:asciiTheme="minorEastAsia" w:hAnsiTheme="minorEastAsia" w:eastAsiaTheme="minorEastAsia" w:cstheme="minorEastAsia"/>
          <w:color w:val="auto"/>
          <w:sz w:val="30"/>
          <w:szCs w:val="30"/>
        </w:rPr>
        <w:fldChar w:fldCharType="end"/>
      </w:r>
    </w:p>
    <w:p w14:paraId="276FA65B">
      <w:pPr>
        <w:pBdr>
          <w:top w:val="none" w:color="000000" w:sz="0" w:space="0"/>
          <w:left w:val="none" w:color="000000" w:sz="0" w:space="0"/>
          <w:bottom w:val="none" w:color="000000" w:sz="0" w:space="0"/>
          <w:right w:val="none" w:color="000000" w:sz="0" w:space="0"/>
        </w:pBdr>
        <w:spacing w:line="519" w:lineRule="atLeast"/>
        <w:jc w:val="center"/>
        <w:rPr>
          <w:rFonts w:hint="eastAsia" w:asciiTheme="minorEastAsia" w:hAnsiTheme="minorEastAsia" w:eastAsiaTheme="minorEastAsia" w:cstheme="minorEastAsia"/>
          <w:color w:val="auto"/>
        </w:rPr>
      </w:pPr>
    </w:p>
    <w:p w14:paraId="49B06A9E">
      <w:pPr>
        <w:pBdr>
          <w:top w:val="none" w:color="000000" w:sz="0" w:space="0"/>
          <w:left w:val="none" w:color="000000" w:sz="0" w:space="0"/>
          <w:bottom w:val="none" w:color="000000" w:sz="0" w:space="0"/>
          <w:right w:val="none" w:color="000000" w:sz="0" w:space="0"/>
        </w:pBdr>
        <w:spacing w:line="519" w:lineRule="atLeast"/>
        <w:jc w:val="center"/>
        <w:rPr>
          <w:rFonts w:hint="eastAsia" w:asciiTheme="minorEastAsia" w:hAnsiTheme="minorEastAsia" w:eastAsiaTheme="minorEastAsia" w:cstheme="minorEastAsia"/>
          <w:b/>
          <w:color w:val="auto"/>
          <w:sz w:val="44"/>
        </w:rPr>
        <w:sectPr>
          <w:pgSz w:w="11906" w:h="16838"/>
          <w:pgMar w:top="1440" w:right="1803" w:bottom="1440" w:left="1803" w:header="851" w:footer="992" w:gutter="0"/>
          <w:cols w:space="720" w:num="1"/>
          <w:docGrid w:linePitch="360" w:charSpace="0"/>
        </w:sectPr>
      </w:pPr>
    </w:p>
    <w:p w14:paraId="4D3D1E58">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b/>
          <w:color w:val="auto"/>
          <w:sz w:val="36"/>
          <w:szCs w:val="36"/>
          <w:lang w:eastAsia="zh-CN"/>
        </w:rPr>
      </w:pPr>
      <w:r>
        <w:rPr>
          <w:rFonts w:hint="eastAsia" w:asciiTheme="minorEastAsia" w:hAnsiTheme="minorEastAsia" w:eastAsiaTheme="minorEastAsia" w:cstheme="minorEastAsia"/>
          <w:b/>
          <w:color w:val="auto"/>
          <w:sz w:val="36"/>
          <w:szCs w:val="36"/>
          <w:lang w:eastAsia="zh-CN"/>
        </w:rPr>
        <w:t>徐州市第一人民医院</w:t>
      </w:r>
    </w:p>
    <w:p w14:paraId="16CD4ECF">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b/>
          <w:color w:val="auto"/>
          <w:sz w:val="36"/>
          <w:szCs w:val="36"/>
        </w:rPr>
      </w:pPr>
      <w:r>
        <w:rPr>
          <w:rFonts w:hint="eastAsia" w:asciiTheme="minorEastAsia" w:hAnsiTheme="minorEastAsia" w:eastAsiaTheme="minorEastAsia" w:cstheme="minorEastAsia"/>
          <w:b/>
          <w:color w:val="auto"/>
          <w:sz w:val="36"/>
          <w:szCs w:val="36"/>
        </w:rPr>
        <w:t>《</w:t>
      </w:r>
      <w:r>
        <w:rPr>
          <w:rFonts w:hint="eastAsia" w:asciiTheme="minorEastAsia" w:hAnsiTheme="minorEastAsia" w:eastAsiaTheme="minorEastAsia" w:cstheme="minorEastAsia"/>
          <w:b/>
          <w:color w:val="auto"/>
          <w:sz w:val="36"/>
          <w:szCs w:val="36"/>
          <w:lang w:eastAsia="zh-CN"/>
        </w:rPr>
        <w:t>徐州市第一人民医院微视野视野计采购</w:t>
      </w:r>
      <w:r>
        <w:rPr>
          <w:rFonts w:hint="eastAsia" w:asciiTheme="minorEastAsia" w:hAnsiTheme="minorEastAsia" w:eastAsiaTheme="minorEastAsia" w:cstheme="minorEastAsia"/>
          <w:b/>
          <w:color w:val="auto"/>
          <w:sz w:val="36"/>
          <w:szCs w:val="36"/>
        </w:rPr>
        <w:t>》</w:t>
      </w:r>
    </w:p>
    <w:p w14:paraId="5B6060F4">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36"/>
          <w:szCs w:val="36"/>
        </w:rPr>
        <w:t>招标文件</w:t>
      </w:r>
    </w:p>
    <w:p w14:paraId="346B728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b/>
          <w:color w:val="auto"/>
          <w:sz w:val="28"/>
          <w:szCs w:val="28"/>
        </w:rPr>
      </w:pPr>
      <w:r>
        <w:rPr>
          <w:rFonts w:hint="eastAsia" w:asciiTheme="minorEastAsia" w:hAnsiTheme="minorEastAsia" w:eastAsiaTheme="minorEastAsia" w:cstheme="minorEastAsia"/>
          <w:color w:val="auto"/>
          <w:sz w:val="24"/>
          <w:szCs w:val="24"/>
        </w:rPr>
        <w:t>遵照政府采购法律法规、制度规定和采购人的采购需求、评标标准、评标办法，编制本项目招标文件。本项目招标文件共分七章：第一章，投标邀请</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第二章，投标人须知</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第三章，投标资料表</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第四章，评标标准</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第五章，拟签订的合同文本</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第六章，采购需求</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第七章，投标文件相关格式。</w:t>
      </w:r>
    </w:p>
    <w:p w14:paraId="7A71D95A">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jc w:val="center"/>
        <w:outlineLvl w:val="0"/>
        <w:rPr>
          <w:rFonts w:hint="eastAsia" w:asciiTheme="minorEastAsia" w:hAnsiTheme="minorEastAsia" w:eastAsiaTheme="minorEastAsia" w:cstheme="minorEastAsia"/>
          <w:b/>
          <w:color w:val="auto"/>
          <w:sz w:val="24"/>
          <w:szCs w:val="24"/>
        </w:rPr>
      </w:pPr>
    </w:p>
    <w:p w14:paraId="73D135F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jc w:val="center"/>
        <w:outlineLvl w:val="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color w:val="auto"/>
          <w:sz w:val="30"/>
          <w:szCs w:val="30"/>
        </w:rPr>
        <w:t>第一章</w:t>
      </w:r>
      <w:r>
        <w:rPr>
          <w:rFonts w:hint="eastAsia" w:asciiTheme="minorEastAsia" w:hAnsiTheme="minorEastAsia" w:eastAsiaTheme="minorEastAsia" w:cstheme="minorEastAsia"/>
          <w:b/>
          <w:color w:val="auto"/>
          <w:sz w:val="30"/>
          <w:szCs w:val="30"/>
          <w:lang w:val="en-US" w:eastAsia="zh-CN"/>
        </w:rPr>
        <w:t xml:space="preserve"> </w:t>
      </w:r>
      <w:r>
        <w:rPr>
          <w:rFonts w:hint="eastAsia" w:asciiTheme="minorEastAsia" w:hAnsiTheme="minorEastAsia" w:eastAsiaTheme="minorEastAsia" w:cstheme="minorEastAsia"/>
          <w:b/>
          <w:color w:val="auto"/>
          <w:sz w:val="30"/>
          <w:szCs w:val="30"/>
        </w:rPr>
        <w:t>投标邀请</w:t>
      </w:r>
    </w:p>
    <w:p w14:paraId="087D17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u w:val="single"/>
        </w:rPr>
        <w:t>江苏海外集团国际工程咨询有限公司</w:t>
      </w:r>
      <w:r>
        <w:rPr>
          <w:rFonts w:hint="eastAsia" w:asciiTheme="minorEastAsia" w:hAnsiTheme="minorEastAsia" w:eastAsiaTheme="minorEastAsia" w:cstheme="minorEastAsia"/>
          <w:color w:val="auto"/>
          <w:sz w:val="24"/>
          <w:szCs w:val="24"/>
        </w:rPr>
        <w:t>对</w:t>
      </w:r>
      <w:r>
        <w:rPr>
          <w:rFonts w:hint="eastAsia" w:asciiTheme="minorEastAsia" w:hAnsiTheme="minorEastAsia" w:eastAsiaTheme="minorEastAsia" w:cstheme="minorEastAsia"/>
          <w:strike w:val="0"/>
          <w:dstrike w:val="0"/>
          <w:color w:val="auto"/>
          <w:sz w:val="24"/>
          <w:szCs w:val="24"/>
          <w:u w:val="single"/>
          <w:lang w:eastAsia="zh-CN"/>
        </w:rPr>
        <w:t>徐州市第一人民医院微视野视野计采购</w:t>
      </w:r>
      <w:r>
        <w:rPr>
          <w:rFonts w:hint="eastAsia" w:asciiTheme="minorEastAsia" w:hAnsiTheme="minorEastAsia" w:eastAsiaTheme="minorEastAsia" w:cstheme="minorEastAsia"/>
          <w:color w:val="auto"/>
          <w:sz w:val="24"/>
          <w:szCs w:val="24"/>
          <w:u w:val="none"/>
        </w:rPr>
        <w:t>项目</w:t>
      </w:r>
      <w:r>
        <w:rPr>
          <w:rFonts w:hint="eastAsia" w:asciiTheme="minorEastAsia" w:hAnsiTheme="minorEastAsia" w:eastAsiaTheme="minorEastAsia" w:cstheme="minorEastAsia"/>
          <w:color w:val="auto"/>
          <w:sz w:val="24"/>
          <w:szCs w:val="24"/>
        </w:rPr>
        <w:t>进行公开招标采购，现邀请符合相关条件的供应商投标。</w:t>
      </w:r>
    </w:p>
    <w:p w14:paraId="1F02DB5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一、项目名称和项目编号</w:t>
      </w:r>
    </w:p>
    <w:p w14:paraId="5B15754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strike w:val="0"/>
          <w:dstrike w:val="0"/>
          <w:color w:val="auto"/>
          <w:sz w:val="24"/>
          <w:szCs w:val="24"/>
          <w:lang w:eastAsia="zh-CN"/>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一</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项</w:t>
      </w:r>
      <w:r>
        <w:rPr>
          <w:rFonts w:hint="eastAsia" w:asciiTheme="minorEastAsia" w:hAnsiTheme="minorEastAsia" w:eastAsiaTheme="minorEastAsia" w:cstheme="minorEastAsia"/>
          <w:strike w:val="0"/>
          <w:dstrike w:val="0"/>
          <w:color w:val="auto"/>
          <w:sz w:val="24"/>
          <w:szCs w:val="24"/>
        </w:rPr>
        <w:t>目名称：</w:t>
      </w:r>
      <w:r>
        <w:rPr>
          <w:rFonts w:hint="eastAsia" w:asciiTheme="minorEastAsia" w:hAnsiTheme="minorEastAsia" w:eastAsiaTheme="minorEastAsia" w:cstheme="minorEastAsia"/>
          <w:strike w:val="0"/>
          <w:dstrike w:val="0"/>
          <w:color w:val="auto"/>
          <w:sz w:val="24"/>
          <w:szCs w:val="24"/>
          <w:lang w:eastAsia="zh-CN"/>
        </w:rPr>
        <w:t>徐州市第一人民医院微视野视野计采购。</w:t>
      </w:r>
    </w:p>
    <w:p w14:paraId="675B46A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strike w:val="0"/>
          <w:dstrike w:val="0"/>
          <w:color w:val="auto"/>
          <w:sz w:val="24"/>
          <w:szCs w:val="24"/>
          <w:lang w:eastAsia="zh-CN"/>
        </w:rPr>
      </w:pPr>
      <w:r>
        <w:rPr>
          <w:rFonts w:hint="eastAsia" w:asciiTheme="minorEastAsia" w:hAnsiTheme="minorEastAsia" w:eastAsiaTheme="minorEastAsia" w:cstheme="minorEastAsia"/>
          <w:strike w:val="0"/>
          <w:dstrike w:val="0"/>
          <w:color w:val="auto"/>
          <w:sz w:val="24"/>
          <w:szCs w:val="24"/>
          <w:lang w:eastAsia="zh-CN"/>
        </w:rPr>
        <w:t>（</w:t>
      </w:r>
      <w:r>
        <w:rPr>
          <w:rFonts w:hint="eastAsia" w:asciiTheme="minorEastAsia" w:hAnsiTheme="minorEastAsia" w:eastAsiaTheme="minorEastAsia" w:cstheme="minorEastAsia"/>
          <w:strike w:val="0"/>
          <w:dstrike w:val="0"/>
          <w:color w:val="auto"/>
          <w:sz w:val="24"/>
          <w:szCs w:val="24"/>
          <w:lang w:val="en-US" w:eastAsia="zh-CN"/>
        </w:rPr>
        <w:t>二</w:t>
      </w:r>
      <w:r>
        <w:rPr>
          <w:rFonts w:hint="eastAsia" w:asciiTheme="minorEastAsia" w:hAnsiTheme="minorEastAsia" w:eastAsiaTheme="minorEastAsia" w:cstheme="minorEastAsia"/>
          <w:strike w:val="0"/>
          <w:dstrike w:val="0"/>
          <w:color w:val="auto"/>
          <w:sz w:val="24"/>
          <w:szCs w:val="24"/>
          <w:lang w:eastAsia="zh-CN"/>
        </w:rPr>
        <w:t>）</w:t>
      </w:r>
      <w:r>
        <w:rPr>
          <w:rFonts w:hint="eastAsia" w:asciiTheme="minorEastAsia" w:hAnsiTheme="minorEastAsia" w:eastAsiaTheme="minorEastAsia" w:cstheme="minorEastAsia"/>
          <w:strike w:val="0"/>
          <w:dstrike w:val="0"/>
          <w:color w:val="auto"/>
          <w:sz w:val="24"/>
          <w:szCs w:val="24"/>
        </w:rPr>
        <w:t>项目编号：</w:t>
      </w:r>
      <w:r>
        <w:rPr>
          <w:rFonts w:hint="eastAsia" w:asciiTheme="minorEastAsia" w:hAnsiTheme="minorEastAsia" w:eastAsiaTheme="minorEastAsia" w:cstheme="minorEastAsia"/>
          <w:strike w:val="0"/>
          <w:dstrike w:val="0"/>
          <w:color w:val="auto"/>
          <w:sz w:val="24"/>
          <w:szCs w:val="24"/>
          <w:lang w:eastAsia="zh-CN"/>
        </w:rPr>
        <w:t>JSZC-320300-HWZX-G2026-0390。</w:t>
      </w:r>
    </w:p>
    <w:p w14:paraId="0BC0AFE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二、对投标人的资格要求</w:t>
      </w:r>
    </w:p>
    <w:p w14:paraId="35D7EC2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详见本项目公开招标公告。</w:t>
      </w:r>
    </w:p>
    <w:p w14:paraId="5026523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三、获取招标文件</w:t>
      </w:r>
    </w:p>
    <w:p w14:paraId="1D0B20E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（一）潜在投标人访问电子招标投标交易平台的网络地址和方法：</w:t>
      </w:r>
    </w:p>
    <w:p w14:paraId="56B1854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1）“苏采云”系统用户注册--获取“CA数字证书”--CA绑定与登录--网上报名--下载采购文件（后缀名为“.kedt”）--将后缀名为“.kedt”的采购文件导入政府采购客户端工具--制作投标文件--导出加密的投标文件（后缀名为zip）--通过“苏采云”系统上传投标文件。具体见《江苏省政府采购管理交易系统（苏采云）供应商操作手册》。</w:t>
      </w:r>
    </w:p>
    <w:p w14:paraId="70CF70D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2）潜在供应商访问“苏采云”系统的网络地址和方法：“苏采云”系统的网址：http://jszfcg.jsczt.cn/；或进入徐州政府采购网（网址：https://czj.xz.gov.cn/zfcg/index.html）--办事指南--供应商--供应商登录入口，点击“苏采云”进入系统。</w:t>
      </w:r>
    </w:p>
    <w:p w14:paraId="421D383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（3）“CA数字证书”的获取：</w:t>
      </w:r>
    </w:p>
    <w:p w14:paraId="0DDE8EA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供应商需办理CA锁，“苏采云”系统目前仅支持“苏采云”系统下的政务CA，省内各地区办理的“苏采云”系统下的政务CA全省通用。“CA数字证书”的办理材料详见“徐州政府采购网-</w:t>
      </w:r>
      <w:r>
        <w:rPr>
          <w:rFonts w:hint="eastAsia" w:ascii="宋体" w:hAnsi="宋体" w:cs="宋体"/>
          <w:color w:val="auto"/>
          <w:sz w:val="24"/>
          <w:szCs w:val="24"/>
          <w:lang w:val="en-US" w:eastAsia="zh-CN"/>
        </w:rPr>
        <w:t>办事指南</w:t>
      </w:r>
      <w:r>
        <w:rPr>
          <w:rFonts w:hint="eastAsia" w:ascii="宋体" w:hAnsi="宋体" w:cs="宋体"/>
          <w:color w:val="auto"/>
          <w:sz w:val="24"/>
          <w:szCs w:val="24"/>
        </w:rPr>
        <w:t>-</w:t>
      </w:r>
      <w:r>
        <w:rPr>
          <w:rFonts w:hint="eastAsia" w:ascii="宋体" w:hAnsi="宋体" w:cs="宋体"/>
          <w:color w:val="auto"/>
          <w:sz w:val="24"/>
          <w:szCs w:val="24"/>
          <w:lang w:val="en-US" w:eastAsia="zh-CN"/>
        </w:rPr>
        <w:t>资料下载</w:t>
      </w:r>
      <w:r>
        <w:rPr>
          <w:rFonts w:hint="eastAsia" w:ascii="宋体" w:hAnsi="宋体" w:cs="宋体"/>
          <w:color w:val="auto"/>
          <w:sz w:val="24"/>
          <w:szCs w:val="24"/>
        </w:rPr>
        <w:t>”中的《</w:t>
      </w:r>
      <w:r>
        <w:rPr>
          <w:rFonts w:hint="eastAsia" w:ascii="宋体" w:hAnsi="宋体" w:cs="宋体"/>
          <w:color w:val="auto"/>
          <w:sz w:val="24"/>
          <w:szCs w:val="24"/>
          <w:lang w:eastAsia="zh-CN"/>
        </w:rPr>
        <w:t>“</w:t>
      </w:r>
      <w:r>
        <w:rPr>
          <w:rFonts w:hint="eastAsia" w:ascii="宋体" w:hAnsi="宋体" w:cs="宋体"/>
          <w:color w:val="auto"/>
          <w:sz w:val="24"/>
          <w:szCs w:val="24"/>
        </w:rPr>
        <w:t>苏采云”系统政务CA办理材料、操作手册及控件下载》。</w:t>
      </w:r>
    </w:p>
    <w:p w14:paraId="2AADCD8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4）采购文件（后缀名为“.kedt”）、供应商操作手册及政府采购客户端工具可通过“苏采云”系统--已报名项目--报名详情页面内相应链接进行下载；供应商操作手册及政府采购客户端工具也可通过徐州政府采购网--办事指南----资料下载，点击进入《江苏省政府采购管理交易系统（苏采云）供应商操作手册及政府采购客户端》，进行下载。</w:t>
      </w:r>
    </w:p>
    <w:p w14:paraId="47521B8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（二）采购代理机构将数据电文形式的招标文件加载至电子招标投标交易平台，供潜在投标人下载或者查阅。</w:t>
      </w:r>
    </w:p>
    <w:p w14:paraId="239046D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（三）售价：免费。</w:t>
      </w:r>
    </w:p>
    <w:p w14:paraId="474F63C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b/>
          <w:bCs/>
          <w:color w:val="auto"/>
          <w:sz w:val="24"/>
          <w:szCs w:val="24"/>
        </w:rPr>
      </w:pPr>
      <w:r>
        <w:rPr>
          <w:rFonts w:hint="eastAsia" w:ascii="宋体" w:hAnsi="宋体" w:cs="宋体"/>
          <w:b/>
          <w:bCs/>
          <w:color w:val="auto"/>
          <w:sz w:val="24"/>
          <w:szCs w:val="24"/>
        </w:rPr>
        <w:t>四、投标有关信息</w:t>
      </w:r>
    </w:p>
    <w:p w14:paraId="43070F5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（一）投标截止时间：</w:t>
      </w:r>
      <w:r>
        <w:rPr>
          <w:rFonts w:hint="eastAsia" w:ascii="宋体" w:hAnsi="宋体" w:cs="宋体"/>
          <w:b/>
          <w:color w:val="auto"/>
          <w:sz w:val="24"/>
          <w:szCs w:val="24"/>
          <w:lang w:eastAsia="zh-CN"/>
        </w:rPr>
        <w:t>2026</w:t>
      </w:r>
      <w:r>
        <w:rPr>
          <w:rFonts w:hint="eastAsia" w:ascii="宋体" w:hAnsi="宋体" w:cs="宋体"/>
          <w:b/>
          <w:color w:val="auto"/>
          <w:sz w:val="24"/>
          <w:szCs w:val="24"/>
        </w:rPr>
        <w:t>年</w:t>
      </w:r>
      <w:r>
        <w:rPr>
          <w:rFonts w:hint="eastAsia" w:ascii="宋体" w:hAnsi="宋体" w:cs="宋体"/>
          <w:b/>
          <w:color w:val="auto"/>
          <w:sz w:val="24"/>
          <w:szCs w:val="24"/>
          <w:u w:val="single"/>
        </w:rPr>
        <w:t xml:space="preserve"> </w:t>
      </w:r>
      <w:r>
        <w:rPr>
          <w:rFonts w:hint="eastAsia" w:ascii="宋体" w:hAnsi="宋体" w:cs="宋体"/>
          <w:b/>
          <w:color w:val="auto"/>
          <w:sz w:val="24"/>
          <w:szCs w:val="24"/>
          <w:u w:val="single"/>
          <w:lang w:val="en-US" w:eastAsia="zh-CN"/>
        </w:rPr>
        <w:t>8</w:t>
      </w:r>
      <w:r>
        <w:rPr>
          <w:rFonts w:hint="eastAsia" w:ascii="宋体" w:hAnsi="宋体" w:cs="宋体"/>
          <w:b/>
          <w:color w:val="auto"/>
          <w:sz w:val="24"/>
          <w:szCs w:val="24"/>
          <w:u w:val="single"/>
        </w:rPr>
        <w:t xml:space="preserve"> </w:t>
      </w:r>
      <w:r>
        <w:rPr>
          <w:rFonts w:hint="eastAsia" w:ascii="宋体" w:hAnsi="宋体" w:cs="宋体"/>
          <w:b/>
          <w:color w:val="auto"/>
          <w:sz w:val="24"/>
          <w:szCs w:val="24"/>
        </w:rPr>
        <w:t>月</w:t>
      </w:r>
      <w:r>
        <w:rPr>
          <w:rFonts w:hint="eastAsia" w:ascii="宋体" w:hAnsi="宋体" w:cs="宋体"/>
          <w:b/>
          <w:color w:val="auto"/>
          <w:sz w:val="24"/>
          <w:szCs w:val="24"/>
          <w:u w:val="single"/>
        </w:rPr>
        <w:t xml:space="preserve"> </w:t>
      </w:r>
      <w:r>
        <w:rPr>
          <w:rFonts w:hint="eastAsia" w:ascii="宋体" w:hAnsi="宋体" w:cs="宋体"/>
          <w:b/>
          <w:color w:val="auto"/>
          <w:sz w:val="24"/>
          <w:szCs w:val="24"/>
          <w:u w:val="single"/>
          <w:lang w:val="en-US" w:eastAsia="zh-CN"/>
        </w:rPr>
        <w:t xml:space="preserve">6 </w:t>
      </w:r>
      <w:r>
        <w:rPr>
          <w:rFonts w:hint="eastAsia" w:ascii="宋体" w:hAnsi="宋体" w:cs="宋体"/>
          <w:b/>
          <w:color w:val="auto"/>
          <w:sz w:val="24"/>
          <w:szCs w:val="24"/>
        </w:rPr>
        <w:t>日北京时间09：30</w:t>
      </w:r>
      <w:r>
        <w:rPr>
          <w:rFonts w:hint="eastAsia" w:ascii="宋体" w:hAnsi="宋体" w:cs="宋体"/>
          <w:color w:val="auto"/>
          <w:sz w:val="24"/>
          <w:szCs w:val="24"/>
        </w:rPr>
        <w:t>。</w:t>
      </w:r>
    </w:p>
    <w:p w14:paraId="37EA3C1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（二）开标时间：</w:t>
      </w:r>
      <w:r>
        <w:rPr>
          <w:rFonts w:hint="eastAsia" w:ascii="宋体" w:hAnsi="宋体" w:cs="宋体"/>
          <w:b/>
          <w:color w:val="auto"/>
          <w:sz w:val="24"/>
          <w:szCs w:val="24"/>
          <w:lang w:eastAsia="zh-CN"/>
        </w:rPr>
        <w:t>2026</w:t>
      </w:r>
      <w:r>
        <w:rPr>
          <w:rFonts w:hint="eastAsia" w:ascii="宋体" w:hAnsi="宋体" w:cs="宋体"/>
          <w:b/>
          <w:color w:val="auto"/>
          <w:sz w:val="24"/>
          <w:szCs w:val="24"/>
        </w:rPr>
        <w:t>年</w:t>
      </w:r>
      <w:r>
        <w:rPr>
          <w:rFonts w:hint="eastAsia" w:ascii="宋体" w:hAnsi="宋体" w:cs="宋体"/>
          <w:b/>
          <w:color w:val="auto"/>
          <w:sz w:val="24"/>
          <w:szCs w:val="24"/>
          <w:u w:val="single"/>
        </w:rPr>
        <w:t xml:space="preserve"> </w:t>
      </w:r>
      <w:r>
        <w:rPr>
          <w:rFonts w:hint="eastAsia" w:ascii="宋体" w:hAnsi="宋体" w:cs="宋体"/>
          <w:b/>
          <w:color w:val="auto"/>
          <w:sz w:val="24"/>
          <w:szCs w:val="24"/>
          <w:u w:val="single"/>
          <w:lang w:val="en-US" w:eastAsia="zh-CN"/>
        </w:rPr>
        <w:t>8</w:t>
      </w:r>
      <w:r>
        <w:rPr>
          <w:rFonts w:hint="eastAsia" w:ascii="宋体" w:hAnsi="宋体" w:cs="宋体"/>
          <w:b/>
          <w:color w:val="auto"/>
          <w:sz w:val="24"/>
          <w:szCs w:val="24"/>
          <w:u w:val="single"/>
        </w:rPr>
        <w:t xml:space="preserve"> </w:t>
      </w:r>
      <w:r>
        <w:rPr>
          <w:rFonts w:hint="eastAsia" w:ascii="宋体" w:hAnsi="宋体" w:cs="宋体"/>
          <w:b/>
          <w:color w:val="auto"/>
          <w:sz w:val="24"/>
          <w:szCs w:val="24"/>
        </w:rPr>
        <w:t>月</w:t>
      </w:r>
      <w:r>
        <w:rPr>
          <w:rFonts w:hint="eastAsia" w:ascii="宋体" w:hAnsi="宋体" w:cs="宋体"/>
          <w:b/>
          <w:color w:val="auto"/>
          <w:sz w:val="24"/>
          <w:szCs w:val="24"/>
          <w:u w:val="single"/>
        </w:rPr>
        <w:t xml:space="preserve"> </w:t>
      </w:r>
      <w:r>
        <w:rPr>
          <w:rFonts w:hint="eastAsia" w:ascii="宋体" w:hAnsi="宋体" w:cs="宋体"/>
          <w:b/>
          <w:color w:val="auto"/>
          <w:sz w:val="24"/>
          <w:szCs w:val="24"/>
          <w:u w:val="single"/>
          <w:lang w:val="en-US" w:eastAsia="zh-CN"/>
        </w:rPr>
        <w:t>6</w:t>
      </w:r>
      <w:r>
        <w:rPr>
          <w:rFonts w:hint="eastAsia" w:ascii="宋体" w:hAnsi="宋体" w:cs="宋体"/>
          <w:b/>
          <w:color w:val="auto"/>
          <w:sz w:val="24"/>
          <w:szCs w:val="24"/>
          <w:u w:val="single"/>
        </w:rPr>
        <w:t xml:space="preserve"> </w:t>
      </w:r>
      <w:r>
        <w:rPr>
          <w:rFonts w:hint="eastAsia" w:ascii="宋体" w:hAnsi="宋体" w:cs="宋体"/>
          <w:b/>
          <w:color w:val="auto"/>
          <w:sz w:val="24"/>
          <w:szCs w:val="24"/>
        </w:rPr>
        <w:t>日北京时间09：30</w:t>
      </w:r>
      <w:r>
        <w:rPr>
          <w:rFonts w:hint="eastAsia" w:ascii="宋体" w:hAnsi="宋体" w:cs="宋体"/>
          <w:color w:val="auto"/>
          <w:sz w:val="24"/>
          <w:szCs w:val="24"/>
        </w:rPr>
        <w:t>。</w:t>
      </w:r>
    </w:p>
    <w:p w14:paraId="5DB97A5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cs="宋体"/>
          <w:color w:val="auto"/>
          <w:sz w:val="24"/>
          <w:szCs w:val="24"/>
        </w:rPr>
      </w:pPr>
      <w:r>
        <w:rPr>
          <w:rFonts w:hint="eastAsia" w:ascii="宋体" w:hAnsi="宋体" w:cs="宋体"/>
          <w:color w:val="auto"/>
          <w:sz w:val="24"/>
          <w:szCs w:val="24"/>
        </w:rPr>
        <w:t>（三）开标地点：“苏采云”系统“开标大厅”或进入徐州政府采购网--办事指南--供应商--供应商登录入口，点击“苏采云”进入系统“开标大厅”。</w:t>
      </w:r>
    </w:p>
    <w:p w14:paraId="51925E7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五、采购人</w:t>
      </w:r>
    </w:p>
    <w:p w14:paraId="7F8362B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highlight w:val="none"/>
          <w:lang w:eastAsia="zh-CN"/>
        </w:rPr>
      </w:pPr>
      <w:r>
        <w:rPr>
          <w:rFonts w:hint="eastAsia" w:asciiTheme="minorEastAsia" w:hAnsiTheme="minorEastAsia" w:eastAsiaTheme="minorEastAsia" w:cstheme="minorEastAsia"/>
          <w:color w:val="auto"/>
          <w:sz w:val="24"/>
          <w:szCs w:val="24"/>
          <w:highlight w:val="none"/>
        </w:rPr>
        <w:t>（一）名称：</w:t>
      </w:r>
      <w:r>
        <w:rPr>
          <w:rFonts w:hint="eastAsia" w:asciiTheme="minorEastAsia" w:hAnsiTheme="minorEastAsia" w:eastAsiaTheme="minorEastAsia" w:cstheme="minorEastAsia"/>
          <w:color w:val="auto"/>
          <w:sz w:val="24"/>
          <w:szCs w:val="24"/>
          <w:highlight w:val="none"/>
          <w:lang w:eastAsia="zh-CN"/>
        </w:rPr>
        <w:t>徐州市第一人民医院</w:t>
      </w:r>
    </w:p>
    <w:p w14:paraId="1590BFA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highlight w:val="none"/>
        </w:rPr>
      </w:pPr>
      <w:r>
        <w:rPr>
          <w:rFonts w:hint="eastAsia" w:asciiTheme="minorEastAsia" w:hAnsiTheme="minorEastAsia" w:eastAsiaTheme="minorEastAsia" w:cstheme="minorEastAsia"/>
          <w:color w:val="auto"/>
          <w:sz w:val="24"/>
          <w:szCs w:val="24"/>
          <w:highlight w:val="none"/>
        </w:rPr>
        <w:t>（二）地址：徐州市铜山区大学路269号</w:t>
      </w:r>
    </w:p>
    <w:p w14:paraId="573ED7D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（三）采购项目联系人：</w:t>
      </w:r>
      <w:r>
        <w:rPr>
          <w:rFonts w:hint="eastAsia" w:asciiTheme="minorEastAsia" w:hAnsiTheme="minorEastAsia" w:eastAsiaTheme="minorEastAsia" w:cstheme="minorEastAsia"/>
          <w:color w:val="auto"/>
          <w:sz w:val="24"/>
          <w:szCs w:val="24"/>
          <w:highlight w:val="none"/>
          <w:lang w:val="en-US" w:eastAsia="zh-CN"/>
        </w:rPr>
        <w:t>张宇辰</w:t>
      </w:r>
    </w:p>
    <w:p w14:paraId="5A96CDA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default" w:asciiTheme="minorEastAsia" w:hAnsiTheme="minorEastAsia" w:eastAsiaTheme="minorEastAsia" w:cstheme="minorEastAsia"/>
          <w:color w:val="auto"/>
          <w:sz w:val="24"/>
          <w:szCs w:val="24"/>
          <w:highlight w:val="none"/>
          <w:lang w:val="en-US" w:eastAsia="zh-CN"/>
        </w:rPr>
      </w:pPr>
      <w:r>
        <w:rPr>
          <w:rFonts w:hint="eastAsia" w:asciiTheme="minorEastAsia" w:hAnsiTheme="minorEastAsia" w:eastAsiaTheme="minorEastAsia" w:cstheme="minorEastAsia"/>
          <w:color w:val="auto"/>
          <w:sz w:val="24"/>
          <w:szCs w:val="24"/>
          <w:highlight w:val="none"/>
        </w:rPr>
        <w:t>（四）联系电话：0516-85803042</w:t>
      </w:r>
    </w:p>
    <w:p w14:paraId="6C6478F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六、采购代理机构</w:t>
      </w:r>
    </w:p>
    <w:p w14:paraId="5C485A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（一）名称：江苏海外集团国际工程咨询有限公司</w:t>
      </w:r>
    </w:p>
    <w:p w14:paraId="316F977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（二）地址：江苏省徐州市泉山区金山东路北侧徐州软件园C-11号楼1011室</w:t>
      </w:r>
    </w:p>
    <w:p w14:paraId="75D6869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（三）采购项目联系人：</w:t>
      </w:r>
      <w:r>
        <w:rPr>
          <w:rFonts w:hint="eastAsia" w:asciiTheme="minorEastAsia" w:hAnsiTheme="minorEastAsia" w:eastAsiaTheme="minorEastAsia" w:cstheme="minorEastAsia"/>
          <w:color w:val="auto"/>
          <w:sz w:val="24"/>
          <w:szCs w:val="24"/>
          <w:lang w:val="en-US" w:eastAsia="zh-CN"/>
        </w:rPr>
        <w:t>王一冰</w:t>
      </w:r>
    </w:p>
    <w:p w14:paraId="7CC4A08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（四）联系电话：0516-83999206</w:t>
      </w:r>
    </w:p>
    <w:p w14:paraId="56FBD3D4">
      <w:pPr>
        <w:pBdr>
          <w:top w:val="none" w:color="000000" w:sz="0" w:space="0"/>
          <w:left w:val="none" w:color="000000" w:sz="0" w:space="0"/>
          <w:bottom w:val="none" w:color="000000" w:sz="0" w:space="0"/>
          <w:right w:val="none" w:color="000000" w:sz="0" w:space="0"/>
        </w:pBdr>
        <w:spacing w:line="519" w:lineRule="atLeast"/>
        <w:ind w:firstLine="300"/>
        <w:rPr>
          <w:rFonts w:hint="eastAsia" w:asciiTheme="minorEastAsia" w:hAnsiTheme="minorEastAsia" w:eastAsiaTheme="minorEastAsia" w:cstheme="minorEastAsia"/>
          <w:color w:val="auto"/>
          <w:sz w:val="30"/>
        </w:rPr>
      </w:pPr>
    </w:p>
    <w:p w14:paraId="4B0122EF">
      <w:pPr>
        <w:pBdr>
          <w:top w:val="none" w:color="000000" w:sz="0" w:space="0"/>
          <w:left w:val="none" w:color="000000" w:sz="0" w:space="0"/>
          <w:bottom w:val="none" w:color="000000" w:sz="0" w:space="0"/>
          <w:right w:val="none" w:color="000000" w:sz="0" w:space="0"/>
        </w:pBdr>
        <w:spacing w:line="360" w:lineRule="atLeast"/>
        <w:ind w:firstLine="6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30"/>
        </w:rPr>
        <w:t> </w:t>
      </w:r>
    </w:p>
    <w:p w14:paraId="6FF3BB23">
      <w:pPr>
        <w:pBdr>
          <w:top w:val="none" w:color="000000" w:sz="0" w:space="0"/>
          <w:left w:val="none" w:color="000000" w:sz="0" w:space="0"/>
          <w:bottom w:val="none" w:color="000000" w:sz="0" w:space="0"/>
          <w:right w:val="none" w:color="000000" w:sz="0" w:space="0"/>
        </w:pBdr>
        <w:spacing w:line="360" w:lineRule="atLeast"/>
        <w:ind w:firstLine="6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30"/>
        </w:rPr>
        <w:t> </w:t>
      </w:r>
    </w:p>
    <w:p w14:paraId="46358D6C">
      <w:pPr>
        <w:pBdr>
          <w:top w:val="none" w:color="000000" w:sz="0" w:space="0"/>
          <w:left w:val="none" w:color="000000" w:sz="0" w:space="0"/>
          <w:bottom w:val="none" w:color="000000" w:sz="0" w:space="0"/>
          <w:right w:val="none" w:color="000000" w:sz="0" w:space="0"/>
        </w:pBdr>
        <w:spacing w:line="720" w:lineRule="atLeast"/>
        <w:jc w:val="center"/>
        <w:outlineLvl w:val="0"/>
        <w:rPr>
          <w:rFonts w:hint="eastAsia" w:asciiTheme="minorEastAsia" w:hAnsiTheme="minorEastAsia" w:eastAsiaTheme="minorEastAsia" w:cstheme="minorEastAsia"/>
          <w:b/>
          <w:color w:val="auto"/>
          <w:sz w:val="30"/>
        </w:rPr>
        <w:sectPr>
          <w:pgSz w:w="11906" w:h="16838"/>
          <w:pgMar w:top="1440" w:right="1803" w:bottom="1440" w:left="1803" w:header="851" w:footer="992" w:gutter="0"/>
          <w:cols w:space="720" w:num="1"/>
          <w:docGrid w:linePitch="360" w:charSpace="0"/>
        </w:sectPr>
      </w:pPr>
    </w:p>
    <w:p w14:paraId="1A581247">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30"/>
          <w:szCs w:val="30"/>
        </w:rPr>
        <w:t>第二章</w:t>
      </w:r>
      <w:r>
        <w:rPr>
          <w:rFonts w:hint="eastAsia" w:asciiTheme="minorEastAsia" w:hAnsiTheme="minorEastAsia" w:eastAsiaTheme="minorEastAsia" w:cstheme="minorEastAsia"/>
          <w:b/>
          <w:color w:val="auto"/>
          <w:sz w:val="30"/>
          <w:szCs w:val="30"/>
          <w:lang w:val="en-US" w:eastAsia="zh-CN"/>
        </w:rPr>
        <w:t xml:space="preserve"> </w:t>
      </w:r>
      <w:r>
        <w:rPr>
          <w:rFonts w:hint="eastAsia" w:asciiTheme="minorEastAsia" w:hAnsiTheme="minorEastAsia" w:eastAsiaTheme="minorEastAsia" w:cstheme="minorEastAsia"/>
          <w:b/>
          <w:color w:val="auto"/>
          <w:sz w:val="30"/>
          <w:szCs w:val="30"/>
        </w:rPr>
        <w:t>投标人须知</w:t>
      </w:r>
    </w:p>
    <w:p w14:paraId="7E824EB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一、总则</w:t>
      </w:r>
    </w:p>
    <w:p w14:paraId="4EF3742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（一）采购人。采购人即指依法进行政府采购的国家机关、事业单位和团体组织。</w:t>
      </w:r>
    </w:p>
    <w:p w14:paraId="5B359C5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（二）政府招标采购方式。政府采购货物或服务（以下简称“货物服务”）的招标方式，分为公开招标和邀请招标。</w:t>
      </w:r>
    </w:p>
    <w:p w14:paraId="31640D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（三）采购人在采购货物服务的招标投标活动中，应当贯彻落实“节约能源、保护环境、扶持不发达地区和少数民族地区和促进中小企业发展”等政府采购政策。</w:t>
      </w:r>
    </w:p>
    <w:p w14:paraId="68254EA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（四）采购人应当按照财政部制定的《政府采购品目分类目录》确定采购项目属性，对按照《政府采购品目分类目录》无法确定采购项目属性的，应按照有利于采购项目实施的原则确定。</w:t>
      </w:r>
    </w:p>
    <w:p w14:paraId="4FC98FA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（五）采购人委托采购代理机构代理招标的，采购代理机构必须在采购人委托的范围内依法开展采购活动。</w:t>
      </w:r>
    </w:p>
    <w:p w14:paraId="144289E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（六）投标人的资格条件：</w:t>
      </w:r>
    </w:p>
    <w:p w14:paraId="4302E41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1.参加“政府采购货物服务投标活动”的供应商（以下简称投标人），应当是能够提供本国货物服务的本国供应商，但法律、行政法规规定的外国供应商可以参加货物服务招标投标活动的除外。</w:t>
      </w:r>
    </w:p>
    <w:p w14:paraId="6EE8ECC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投标人是指响应招标、参加投标竞争的法人、其他组织或者自然人。</w:t>
      </w:r>
    </w:p>
    <w:p w14:paraId="14FB8F0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2.投标人授权代表系指法定代表人或受法人委托的受托人。</w:t>
      </w:r>
    </w:p>
    <w:p w14:paraId="461B0AE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（七）投标费用：投标人应承担所有与准备和参加投标有关的费用。无论投标的结果如何，采购代理机构对上述费用不承担任何责任和义务。</w:t>
      </w:r>
    </w:p>
    <w:p w14:paraId="6A622BF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二、招标</w:t>
      </w:r>
    </w:p>
    <w:p w14:paraId="795D8B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（八）招标文件应包括以下内容：</w:t>
      </w:r>
    </w:p>
    <w:p w14:paraId="1D1EBD4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第一章，投标邀请；</w:t>
      </w:r>
    </w:p>
    <w:p w14:paraId="2ABAF61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第二章，投标人须知；</w:t>
      </w:r>
    </w:p>
    <w:p w14:paraId="5087294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第三章，投标资料表；</w:t>
      </w:r>
    </w:p>
    <w:p w14:paraId="4A9030F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第四章，评标标准；</w:t>
      </w:r>
    </w:p>
    <w:p w14:paraId="1C4B9A7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第五章，拟签订的合同文本；</w:t>
      </w:r>
    </w:p>
    <w:p w14:paraId="447E667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第六章，采购需求；</w:t>
      </w:r>
    </w:p>
    <w:p w14:paraId="4C65CBB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第七章，投标文件相关格式。</w:t>
      </w:r>
    </w:p>
    <w:p w14:paraId="1401A01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（九）招标文件澄清或者修改：</w:t>
      </w:r>
    </w:p>
    <w:p w14:paraId="5827456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采购代理机构可以对已发出的招标文件、资格预审文件、投标邀请书进行必要的澄清或者修改，但不得改变采购标的和资格条件。澄清或者修改应当在原公告发布媒体上发布澄清公告。澄清或者修改的内容为招标文件、资格预审文件、投标邀请书的组成部分。</w:t>
      </w:r>
    </w:p>
    <w:p w14:paraId="5A05AB6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澄清或者修改的内容可能影响投标文件编制的，采购代理机构应当在投标截止时间至少15日前，以书面形式通知所有获取招标文件的潜在投标人；不足15日的，采购代理机构应当顺延提交投标文件的截止时间。</w:t>
      </w:r>
    </w:p>
    <w:p w14:paraId="3E3ECD6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2.现场考察以本文件第三章《投标资料表》中的要求为准。</w:t>
      </w:r>
    </w:p>
    <w:p w14:paraId="6AB8940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3.开标前答疑会以本文件第三章《投标资料表》中的要求为准。</w:t>
      </w:r>
    </w:p>
    <w:p w14:paraId="55A8E52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三、投标</w:t>
      </w:r>
    </w:p>
    <w:p w14:paraId="4D3682A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（十）投标人应当按照招标文件的要求编制投标文件。投标文件应对招标文件提出的要求和条件作出实质性响应。</w:t>
      </w:r>
    </w:p>
    <w:p w14:paraId="03FC630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（十一）投标文件的语言。投标文件以及投标人与采购代理机构就有关投标的往来函电均应使用本文件第三章《投标资料表》规定的语言书写，否则无效。</w:t>
      </w:r>
    </w:p>
    <w:p w14:paraId="62D6CC7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（十二）投标文件的构成：</w:t>
      </w:r>
    </w:p>
    <w:p w14:paraId="535BBD8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1.投标文件的构成以本文件第三章《投标资料表》中的要求为准。</w:t>
      </w:r>
    </w:p>
    <w:p w14:paraId="670D54C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2.投标人应当提交的资格、资信证明文件，以本文件第三章《投标资料表》中的所提要求为准。</w:t>
      </w:r>
    </w:p>
    <w:p w14:paraId="5FFD569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（十三）投标函和价格表、商务条件、交货和提供服务的时间：</w:t>
      </w:r>
    </w:p>
    <w:p w14:paraId="3B6BBCD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1.投标函和价格表的要求见本章（十二）、（十三），格式见本文件第七章《投标文件相关格式》中《投标函》和《开标一览表》。</w:t>
      </w:r>
    </w:p>
    <w:p w14:paraId="79C3DB8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2.商务条件以本文件第三章《投标资料表》中的要求为准。</w:t>
      </w:r>
    </w:p>
    <w:p w14:paraId="73D11B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3.交货和提供服务的时间，以本文件第三章《投标资料表》中所提要求为准。</w:t>
      </w:r>
    </w:p>
    <w:p w14:paraId="2A82581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（十四）投标报价要求：</w:t>
      </w:r>
    </w:p>
    <w:p w14:paraId="3C5BB9F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1.投标人应按照招标文件的要求报出分项价格和总价。</w:t>
      </w:r>
    </w:p>
    <w:p w14:paraId="00490BF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2.投标人应按照招标文件的要求进行报价，如投标人作出偏离，应在《偏离表》中列出。</w:t>
      </w:r>
    </w:p>
    <w:p w14:paraId="02316A9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3.采购人不支付报价以外的任何费用。</w:t>
      </w:r>
    </w:p>
    <w:p w14:paraId="211401A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4.投标人所报的价格，在合同执行过程中是固定的，不得以任何理由予以变更。投标人提交滑动价格的投标文件，在资格、符合性检查时按照无效投标处理。</w:t>
      </w:r>
    </w:p>
    <w:p w14:paraId="34C564C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5.投标人只能提交一个投标价格，投标人提交多个价格的投标文件，在资格、符合性检查时按照无效投标处理。</w:t>
      </w:r>
    </w:p>
    <w:p w14:paraId="67561F6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（十五）投标货币。以本文件第三章《投标资料表》中所提要求为准。</w:t>
      </w:r>
    </w:p>
    <w:p w14:paraId="36635E8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（十六）投标有效期：</w:t>
      </w:r>
    </w:p>
    <w:p w14:paraId="475971E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1.投标有效期为开标之日后90天。采购人可以要求对投标有效期延长一次，但该延长期最长不得超过30天。</w:t>
      </w:r>
    </w:p>
    <w:p w14:paraId="69F6635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2.采购人要求延长投标有效期的，必须在距投标有效期满20日之前，以书面形式通知投标人，如果有关投标人同意延长投标有效期的要求，其应在原投标有效期期满前以书面形式向采购人确认。</w:t>
      </w:r>
    </w:p>
    <w:p w14:paraId="0759DA7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3.如果采购人发出要求延长投标有效期的通知，并在投标有效期届满前，没有收到投标人同意的书面通知，则视为该投标人不接受上述延期的要求。</w:t>
      </w:r>
    </w:p>
    <w:p w14:paraId="111113F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（十七）投标文件的编制要求和签署要求：</w:t>
      </w:r>
    </w:p>
    <w:p w14:paraId="11AA2A0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（1）投标人应由其法定代表人或法定代表人授权代表在规定的网上投标时间，凭 CA 证书登录“苏采云”系统在线编制投标文件（电子数据），并在投标截止时间之前上传投标文件。</w:t>
      </w:r>
    </w:p>
    <w:p w14:paraId="58EC5BB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（2）投标人应对 CA 证书妥善保管，如被他人盗用投标，因此带来的结果均由投标人自行承担。</w:t>
      </w:r>
    </w:p>
    <w:p w14:paraId="70C786E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（3）投标人应当对招标文件提出的要求和条件作出实质性响应，并在电子投标系统逐条应答。</w:t>
      </w:r>
    </w:p>
    <w:p w14:paraId="30AA1C6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（4）投标人应对要求提供的资格证明文件（如资质证书、资格证书）、技术资料（如白皮书、彩页、手册、检测报告等）扫描上传至投标系统。</w:t>
      </w:r>
    </w:p>
    <w:p w14:paraId="2FE66B3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（十八）投标文件的盖章要求</w:t>
      </w:r>
    </w:p>
    <w:p w14:paraId="60D8FE7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1.投标文件的盖章要求以招标文件第三章《投标资料表》中的要求为准。</w:t>
      </w:r>
    </w:p>
    <w:p w14:paraId="134E167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（十九）提交投标文件的截止时间和收到投标文件后注意事项。投标人应在招标文件要求的提交投标文件的截止时间前，将投标文件提交至“苏采云”系统。</w:t>
      </w:r>
    </w:p>
    <w:p w14:paraId="0A88D78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（二十）凡在招标文件要求提交投标文件的截止时间之后送达的投标文件，均为无效投标文件，“苏采云”系统将自动拒收。 各投标人应在规定时间内通过 CA 证书进行网上解密。</w:t>
      </w:r>
    </w:p>
    <w:p w14:paraId="3D3029C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一）投标人在投标截止时间前，可以对所递交的投标文件进行补充、修改或者撤回，但应书面通知采购代理机构。其所进行补充、修改的内容，应当按照招标文件要求进行签署、盖章、密封，然后纳为投标文件的组成部分。</w:t>
      </w:r>
    </w:p>
    <w:p w14:paraId="1C38208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（二十二）本项目不允许分包。</w:t>
      </w:r>
    </w:p>
    <w:p w14:paraId="1B551015">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（二十三）投标人应当遵循公平竞争的原则，不得恶意串通，不得妨碍其他投标人的竞争行为，不得损害采购人或者其他投标人的合法权益。</w:t>
      </w:r>
    </w:p>
    <w:p w14:paraId="787B8C2C">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在评标过程中发现投标人有上述情形的，评标委员会应当认定其投标无效，并书面报告本级财政部门。</w:t>
      </w:r>
    </w:p>
    <w:p w14:paraId="5C85269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（二十四）有下列情形之一的，其投标无效。</w:t>
      </w:r>
    </w:p>
    <w:p w14:paraId="299611C6">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1.不同投标人的投标文件，由同一单位或者个人编制；</w:t>
      </w:r>
    </w:p>
    <w:p w14:paraId="6316FBE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2.不同投标人委托同一单位或者个人办理投标事宜；</w:t>
      </w:r>
    </w:p>
    <w:p w14:paraId="50DABF20">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3.不同投标人的投标文件中，所载明的项目管理成员或联系人为同一人；</w:t>
      </w:r>
    </w:p>
    <w:p w14:paraId="244F864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4.不同投标人的投标文件，异常一致或者投标报价呈规律性差异；</w:t>
      </w:r>
    </w:p>
    <w:p w14:paraId="630FC04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5.不同投标人的投标文件相互混装；</w:t>
      </w:r>
    </w:p>
    <w:p w14:paraId="6963E6E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6.不同投标人投标文件内容存在非正常一致、项目组成员出现同一人、投标文件中错误（或异常）一致或雷同、电子文档信息一致或雷同的、投标报价呈规律性差异的；</w:t>
      </w:r>
    </w:p>
    <w:p w14:paraId="77113A06">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7.电子投标文件未按规定期限投标的；</w:t>
      </w:r>
    </w:p>
    <w:p w14:paraId="2CF39C9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8.电子投标文件未按招标文件要求签章的；</w:t>
      </w:r>
    </w:p>
    <w:p w14:paraId="0E533C3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9.投标人未在规定时间内解密电子投标文件的；</w:t>
      </w:r>
    </w:p>
    <w:p w14:paraId="750CC555">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10.投标文件未按招标文件规定的内容和要求填写的；没有在投标系统指定位置上传对应文件、材料的。</w:t>
      </w:r>
    </w:p>
    <w:p w14:paraId="5E2731C1">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11.投标文件未按招标文件要求签署、盖章的；</w:t>
      </w:r>
    </w:p>
    <w:p w14:paraId="075E51B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12.不具备招标文件中规定的资格要求的；</w:t>
      </w:r>
    </w:p>
    <w:p w14:paraId="53C8977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13.报价超过招标文件中规定的预算金额或者最高限价的；</w:t>
      </w:r>
    </w:p>
    <w:p w14:paraId="44175EA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14.投标文件含有采购人不能接受的附加条件的；</w:t>
      </w:r>
    </w:p>
    <w:p w14:paraId="77B56BD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15.法律、法规和招标文件规定的其他无效情形。</w:t>
      </w:r>
    </w:p>
    <w:p w14:paraId="04A776E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四、开标</w:t>
      </w:r>
    </w:p>
    <w:p w14:paraId="032F0E7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（二十五）开标：</w:t>
      </w:r>
    </w:p>
    <w:p w14:paraId="14DD99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1.所有投标单位凭 CA 证书在到达开标时间时，解密各自投标文件，由工作人员操作系统进行开标、并宣读各投标人的《开标一览表》。</w:t>
      </w:r>
    </w:p>
    <w:p w14:paraId="76BA17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2.投标人不足3家的，不得开标。</w:t>
      </w:r>
    </w:p>
    <w:p w14:paraId="6A2581F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3.开标过程由采购代理机构负责记录。</w:t>
      </w:r>
    </w:p>
    <w:p w14:paraId="0D3EE1A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4.投标人代表对开标过程和开标记录有疑义的，或者认为采购人、采购代理机构相关工作人员有需要回避情形的，应当场提出询问或者提出回避申请。</w:t>
      </w:r>
    </w:p>
    <w:p w14:paraId="05C97D2B">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5.投标人未参加开标的，视同认可开标结果。</w:t>
      </w:r>
    </w:p>
    <w:p w14:paraId="662D791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五、评标</w:t>
      </w:r>
    </w:p>
    <w:p w14:paraId="6765D43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（二十六）公开招标采购项目开标结束后，采购人依法对投标人的资格进行审查。合格投标人不足3家的，不得评标。</w:t>
      </w:r>
    </w:p>
    <w:p w14:paraId="25F9C4A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1.评标工作由采购代理机构负责组织，并履行下列职责：</w:t>
      </w:r>
    </w:p>
    <w:p w14:paraId="41B2AC2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（1）核对评审专家身份和采购人代表授权函，对评审专家在政府采购活动中的职责履行情况予以记录，并及时将有关违法违规行为向财政部门报告；</w:t>
      </w:r>
    </w:p>
    <w:p w14:paraId="4050AC3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（2）宣布评标纪律；</w:t>
      </w:r>
    </w:p>
    <w:p w14:paraId="60A505C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（3）公布投标人名单，告知评审专家应当回避的情形；</w:t>
      </w:r>
    </w:p>
    <w:p w14:paraId="1E56FB0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（4）组织评标委员会推选评标组长（采购人代表不得担任组长）；</w:t>
      </w:r>
    </w:p>
    <w:p w14:paraId="3391DBB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（5）在评标期间采取必要的通讯管理措施，保证评标活动不受外界干扰；</w:t>
      </w:r>
    </w:p>
    <w:p w14:paraId="6DC8A98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（6）根据评标委员会的要求介绍政府采购相关政策法规、招标文件；</w:t>
      </w:r>
    </w:p>
    <w:p w14:paraId="3C79F44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（7）维护评标秩序，监督评标委员会依照招标文件规定的评标程序、方法和标准进行独立评审。及时制止和纠正采购人代表、评审专家的倾向性言论或者违法违规行为；</w:t>
      </w:r>
    </w:p>
    <w:p w14:paraId="7284287B">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（8）核对评标结果，对有《</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"http://www.caigou2003.com/" \o "http://www.caigou2003.com/" </w:instrText>
      </w:r>
      <w:r>
        <w:rPr>
          <w:rFonts w:hint="eastAsia" w:ascii="宋体" w:hAnsi="宋体" w:eastAsia="宋体" w:cs="宋体"/>
          <w:color w:val="auto"/>
          <w:sz w:val="24"/>
          <w:szCs w:val="24"/>
        </w:rPr>
        <w:fldChar w:fldCharType="separate"/>
      </w:r>
      <w:r>
        <w:rPr>
          <w:rStyle w:val="54"/>
          <w:rFonts w:hint="eastAsia" w:ascii="宋体" w:hAnsi="宋体" w:eastAsia="宋体" w:cs="宋体"/>
          <w:color w:val="auto"/>
          <w:sz w:val="24"/>
          <w:szCs w:val="24"/>
          <w:u w:val="none"/>
        </w:rPr>
        <w:t>政府采购</w:t>
      </w:r>
      <w:r>
        <w:rPr>
          <w:rStyle w:val="54"/>
          <w:rFonts w:hint="eastAsia" w:ascii="宋体" w:hAnsi="宋体" w:eastAsia="宋体" w:cs="宋体"/>
          <w:color w:val="auto"/>
          <w:sz w:val="24"/>
          <w:szCs w:val="24"/>
          <w:u w:val="none"/>
        </w:rPr>
        <w:fldChar w:fldCharType="end"/>
      </w:r>
      <w:r>
        <w:rPr>
          <w:rFonts w:hint="eastAsia" w:ascii="宋体" w:hAnsi="宋体" w:eastAsia="宋体" w:cs="宋体"/>
          <w:color w:val="auto"/>
          <w:sz w:val="24"/>
          <w:szCs w:val="24"/>
        </w:rPr>
        <w:t>货物和服务招标投标管理办法》第六十四条规定情形的，应要求评标委员会复核或者书面说明理由，评标委员会拒绝的，应予记录并向本级财政部门报告；</w:t>
      </w:r>
    </w:p>
    <w:p w14:paraId="5E76939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 xml:space="preserve">（9）评审工作完成后，按照规定向评审专家支付劳务报酬和异地评审差旅费，不得向评审专家以外的其他人员支付评审劳务报酬； </w:t>
      </w:r>
    </w:p>
    <w:p w14:paraId="32BC8E5F">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（10）处理与评标有关的其他事项。</w:t>
      </w:r>
    </w:p>
    <w:p w14:paraId="672622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采购人可以在评标前说明项目背景和采购需求，说明内容不得含有歧视性、倾向性意见，不得超出招标文件所述范围。其说明应当提交书面材料，并随采购文件一并存档。</w:t>
      </w:r>
    </w:p>
    <w:p w14:paraId="0AE1AE7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2.评标委员会负责具体评标事务，并独立履行下列职责：</w:t>
      </w:r>
    </w:p>
    <w:p w14:paraId="1F8B38A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（1）审查、评价投标文件是否符合招标文件的商务、技术等实质性要求；</w:t>
      </w:r>
    </w:p>
    <w:p w14:paraId="632D01E4">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（2）要求投标人对投标文件有关事项作出澄清或者说明；</w:t>
      </w:r>
    </w:p>
    <w:p w14:paraId="571D897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（3）对投标文件进行比较和评价；</w:t>
      </w:r>
    </w:p>
    <w:p w14:paraId="2F4EBE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（4）确定中标候选人名单，以及根据采购人委托直接确定中标人；</w:t>
      </w:r>
    </w:p>
    <w:p w14:paraId="78342D4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（5）向采购人、采购代理机构或有关部门报告评标中发现的违法行为。</w:t>
      </w:r>
    </w:p>
    <w:p w14:paraId="6F20122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（二十七）评标方法分为最低评标价法和综合评分法。</w:t>
      </w:r>
    </w:p>
    <w:p w14:paraId="702F5B4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（二十八）评标</w:t>
      </w:r>
    </w:p>
    <w:p w14:paraId="36B9811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1.评标工作程序：</w:t>
      </w:r>
    </w:p>
    <w:p w14:paraId="05A47F3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（1）投标文件初审。</w:t>
      </w:r>
    </w:p>
    <w:p w14:paraId="5753013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①资格审查。</w:t>
      </w:r>
    </w:p>
    <w:p w14:paraId="261C8E5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②符合性审查。</w:t>
      </w:r>
    </w:p>
    <w:p w14:paraId="0CEFBA3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（2）澄清有关问题。</w:t>
      </w:r>
    </w:p>
    <w:p w14:paraId="5C02F3A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（3）比较与评价。</w:t>
      </w:r>
    </w:p>
    <w:p w14:paraId="64C3307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（4）推荐中标候选供应商名单。</w:t>
      </w:r>
    </w:p>
    <w:p w14:paraId="45D7DFF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（5）编写评审报告（评标报告）。</w:t>
      </w:r>
    </w:p>
    <w:p w14:paraId="74D0BC2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2.在评标中，不得改变招标文件中规定的评标标准、方法和中标条件。评标委员会对投标文件响应性的判定，要基于投标文件本身的内容，而不得寻求外部的证据。</w:t>
      </w:r>
    </w:p>
    <w:p w14:paraId="71C5E463">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3.采用</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"http://lilun.caigou2003.com/recijiedu/2365668.html" \o "http://lilun.caigou2003.com/recijiedu/2365668.html" </w:instrText>
      </w:r>
      <w:r>
        <w:rPr>
          <w:rFonts w:hint="eastAsia" w:ascii="宋体" w:hAnsi="宋体" w:eastAsia="宋体" w:cs="宋体"/>
          <w:color w:val="auto"/>
          <w:sz w:val="24"/>
          <w:szCs w:val="24"/>
        </w:rPr>
        <w:fldChar w:fldCharType="separate"/>
      </w:r>
      <w:r>
        <w:rPr>
          <w:rStyle w:val="54"/>
          <w:rFonts w:hint="eastAsia" w:ascii="宋体" w:hAnsi="宋体" w:eastAsia="宋体" w:cs="宋体"/>
          <w:color w:val="auto"/>
          <w:sz w:val="24"/>
          <w:szCs w:val="24"/>
          <w:u w:val="none"/>
        </w:rPr>
        <w:t>最低评标价法</w:t>
      </w:r>
      <w:r>
        <w:rPr>
          <w:rStyle w:val="54"/>
          <w:rFonts w:hint="eastAsia" w:ascii="宋体" w:hAnsi="宋体" w:eastAsia="宋体" w:cs="宋体"/>
          <w:color w:val="auto"/>
          <w:sz w:val="24"/>
          <w:szCs w:val="24"/>
          <w:u w:val="none"/>
        </w:rPr>
        <w:fldChar w:fldCharType="end"/>
      </w:r>
      <w:r>
        <w:rPr>
          <w:rFonts w:hint="eastAsia" w:ascii="宋体" w:hAnsi="宋体" w:eastAsia="宋体" w:cs="宋体"/>
          <w:color w:val="auto"/>
          <w:sz w:val="24"/>
          <w:szCs w:val="24"/>
        </w:rPr>
        <w:t>的采购项目，对提供相同品牌产品的不同投标人参加同一合同项下投标的，应以其中通过资格审查、符合性审查的，并且报价最低的参加评标；报价相同的，采取随机抽取方式确定，其他投标无效。</w:t>
      </w:r>
    </w:p>
    <w:p w14:paraId="4FDB1D18">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采用</w:t>
      </w:r>
      <w:r>
        <w:rPr>
          <w:rFonts w:hint="eastAsia" w:ascii="宋体" w:hAnsi="宋体" w:eastAsia="宋体" w:cs="宋体"/>
          <w:color w:val="auto"/>
          <w:sz w:val="24"/>
          <w:szCs w:val="24"/>
        </w:rPr>
        <w:fldChar w:fldCharType="begin"/>
      </w:r>
      <w:r>
        <w:rPr>
          <w:rFonts w:hint="eastAsia" w:ascii="宋体" w:hAnsi="宋体" w:eastAsia="宋体" w:cs="宋体"/>
          <w:color w:val="auto"/>
          <w:sz w:val="24"/>
          <w:szCs w:val="24"/>
        </w:rPr>
        <w:instrText xml:space="preserve"> HYPERLINK "http://lilun.caigou2003.com/recijiedu/2365667.html" \o "http://lilun.caigou2003.com/recijiedu/2365667.html" </w:instrText>
      </w:r>
      <w:r>
        <w:rPr>
          <w:rFonts w:hint="eastAsia" w:ascii="宋体" w:hAnsi="宋体" w:eastAsia="宋体" w:cs="宋体"/>
          <w:color w:val="auto"/>
          <w:sz w:val="24"/>
          <w:szCs w:val="24"/>
        </w:rPr>
        <w:fldChar w:fldCharType="separate"/>
      </w:r>
      <w:r>
        <w:rPr>
          <w:rStyle w:val="54"/>
          <w:rFonts w:hint="eastAsia" w:ascii="宋体" w:hAnsi="宋体" w:eastAsia="宋体" w:cs="宋体"/>
          <w:color w:val="auto"/>
          <w:sz w:val="24"/>
          <w:szCs w:val="24"/>
          <w:u w:val="none"/>
        </w:rPr>
        <w:t>综合评分法</w:t>
      </w:r>
      <w:r>
        <w:rPr>
          <w:rStyle w:val="54"/>
          <w:rFonts w:hint="eastAsia" w:ascii="宋体" w:hAnsi="宋体" w:eastAsia="宋体" w:cs="宋体"/>
          <w:color w:val="auto"/>
          <w:sz w:val="24"/>
          <w:szCs w:val="24"/>
          <w:u w:val="none"/>
        </w:rPr>
        <w:fldChar w:fldCharType="end"/>
      </w:r>
      <w:r>
        <w:rPr>
          <w:rFonts w:hint="eastAsia" w:ascii="宋体" w:hAnsi="宋体" w:eastAsia="宋体" w:cs="宋体"/>
          <w:color w:val="auto"/>
          <w:sz w:val="24"/>
          <w:szCs w:val="24"/>
        </w:rPr>
        <w:t>的采购项目，对提供相同品牌产品且通过资格审查、符合性审查的不同投标人参加同一合同项下投标的，按一家投标人计算，评审后得分最高的同品牌投标人获得中标人推荐资格；评审得分相同的，由评标委员会按照招标文件规定的方式确定一个投标人获得中标人推荐资格。招标文件未规定采取随机抽取方式确定的，其他同品牌投标人不作为中标候选人。</w:t>
      </w:r>
    </w:p>
    <w:p w14:paraId="18464A11">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非单一产品采购项目，多家投标人提供的核心产品品牌相同的，按前两款规定处理。</w:t>
      </w:r>
    </w:p>
    <w:p w14:paraId="3898166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（二十九）投标文件报价出现前后不一致的，按照下列规定修正：</w:t>
      </w:r>
    </w:p>
    <w:p w14:paraId="71C624AC">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1.投标文件中开标一览表（报价表）内容与投标文件中相应内容不一致的，以开标一览表（报价表）为准；</w:t>
      </w:r>
    </w:p>
    <w:p w14:paraId="0B259C2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2.大写金额和小写金额不一致的，以大写金额为准；</w:t>
      </w:r>
    </w:p>
    <w:p w14:paraId="084146E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3.单价金额小数点或者百分比有明显错位的，以开标一览表的总价为准，并修改单价；</w:t>
      </w:r>
    </w:p>
    <w:p w14:paraId="3CB13D5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4.总价金额与按单价合计金额不一致的，以单价金额计算结果为准。</w:t>
      </w:r>
    </w:p>
    <w:p w14:paraId="243D38A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同时出现两种以上不一致的，按照前款规定的顺序修正。将修正后的报价，形成投标人的澄清、说明或补正材料，经投标人确认后产生约束力。投标人不确认的，其投标无效。</w:t>
      </w:r>
    </w:p>
    <w:p w14:paraId="202B6DD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投标人的澄清、说明或者补正应当采用书面形式，并加盖公章，或者由法定代表人或其授权的代表签字。投标人的澄清、说明或者补正不得超出投标文件的范围或者改变投标文件的实质性内容。</w:t>
      </w:r>
    </w:p>
    <w:p w14:paraId="1B089A6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（三十）实施政府采购异常低价审查的有关要求：</w:t>
      </w:r>
    </w:p>
    <w:p w14:paraId="2D69A36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（一）评审中出现下列情形之一的，评标委员会应当启动异常低价投标审查程序：</w:t>
      </w:r>
    </w:p>
    <w:p w14:paraId="07198E05">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1.投标报价低于全部通过符合性审查供应商投标报价平均值</w:t>
      </w:r>
      <w:r>
        <w:rPr>
          <w:rFonts w:hint="eastAsia" w:ascii="宋体" w:hAnsi="宋体" w:eastAsia="宋体" w:cs="宋体"/>
          <w:b/>
          <w:bCs/>
          <w:color w:val="auto"/>
          <w:sz w:val="24"/>
          <w:szCs w:val="24"/>
        </w:rPr>
        <w:t>50%的</w:t>
      </w:r>
      <w:r>
        <w:rPr>
          <w:rFonts w:hint="eastAsia" w:ascii="宋体" w:hAnsi="宋体" w:eastAsia="宋体" w:cs="宋体"/>
          <w:color w:val="auto"/>
          <w:sz w:val="24"/>
          <w:szCs w:val="24"/>
        </w:rPr>
        <w:t>，即投标报价&lt;全部通过符合性审查供应商投标报价平均值</w:t>
      </w:r>
      <w:r>
        <w:rPr>
          <w:rFonts w:hint="eastAsia" w:ascii="宋体" w:hAnsi="宋体" w:eastAsia="宋体" w:cs="宋体"/>
          <w:b/>
          <w:bCs/>
          <w:color w:val="auto"/>
          <w:sz w:val="24"/>
          <w:szCs w:val="24"/>
        </w:rPr>
        <w:t>×50%；</w:t>
      </w:r>
    </w:p>
    <w:p w14:paraId="0E5E7AD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2.投标报价低于通过符合性审查的次低报价供应商投标报价</w:t>
      </w:r>
      <w:r>
        <w:rPr>
          <w:rFonts w:hint="eastAsia" w:ascii="宋体" w:hAnsi="宋体" w:eastAsia="宋体" w:cs="宋体"/>
          <w:b/>
          <w:bCs/>
          <w:color w:val="auto"/>
          <w:sz w:val="24"/>
          <w:szCs w:val="24"/>
        </w:rPr>
        <w:t>50%的</w:t>
      </w:r>
      <w:r>
        <w:rPr>
          <w:rFonts w:hint="eastAsia" w:ascii="宋体" w:hAnsi="宋体" w:eastAsia="宋体" w:cs="宋体"/>
          <w:color w:val="auto"/>
          <w:sz w:val="24"/>
          <w:szCs w:val="24"/>
        </w:rPr>
        <w:t>，即投标报价&lt;通过符合性审查的次低报价供应商投标报价</w:t>
      </w:r>
      <w:r>
        <w:rPr>
          <w:rFonts w:hint="eastAsia" w:ascii="宋体" w:hAnsi="宋体" w:eastAsia="宋体" w:cs="宋体"/>
          <w:b/>
          <w:bCs/>
          <w:color w:val="auto"/>
          <w:sz w:val="24"/>
          <w:szCs w:val="24"/>
        </w:rPr>
        <w:t>×50%；</w:t>
      </w:r>
    </w:p>
    <w:p w14:paraId="73CA8F9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bCs/>
          <w:color w:val="auto"/>
          <w:sz w:val="24"/>
          <w:szCs w:val="24"/>
        </w:rPr>
      </w:pPr>
      <w:r>
        <w:rPr>
          <w:rFonts w:hint="eastAsia" w:ascii="宋体" w:hAnsi="宋体" w:eastAsia="宋体" w:cs="宋体"/>
          <w:color w:val="auto"/>
          <w:sz w:val="24"/>
          <w:szCs w:val="24"/>
        </w:rPr>
        <w:t>3.投标报价低于采购项目最高限价（未设定最高限价的采购项目，以采购项目预算金额作为最高限价）</w:t>
      </w:r>
      <w:r>
        <w:rPr>
          <w:rFonts w:hint="eastAsia" w:ascii="宋体" w:hAnsi="宋体" w:cs="宋体"/>
          <w:b/>
          <w:bCs/>
          <w:color w:val="auto"/>
          <w:sz w:val="24"/>
          <w:szCs w:val="24"/>
          <w:lang w:val="en-US" w:eastAsia="zh-CN"/>
        </w:rPr>
        <w:t>50</w:t>
      </w:r>
      <w:r>
        <w:rPr>
          <w:rFonts w:hint="eastAsia" w:ascii="宋体" w:hAnsi="宋体" w:eastAsia="宋体" w:cs="宋体"/>
          <w:b/>
          <w:bCs/>
          <w:color w:val="auto"/>
          <w:sz w:val="24"/>
          <w:szCs w:val="24"/>
        </w:rPr>
        <w:t>%的，</w:t>
      </w:r>
      <w:r>
        <w:rPr>
          <w:rFonts w:hint="eastAsia" w:ascii="宋体" w:hAnsi="宋体" w:eastAsia="宋体" w:cs="宋体"/>
          <w:color w:val="auto"/>
          <w:sz w:val="24"/>
          <w:szCs w:val="24"/>
        </w:rPr>
        <w:t>即投标报价&lt;采购项目最高限价</w:t>
      </w:r>
      <w:r>
        <w:rPr>
          <w:rFonts w:hint="eastAsia" w:ascii="宋体" w:hAnsi="宋体" w:eastAsia="宋体" w:cs="宋体"/>
          <w:b/>
          <w:bCs/>
          <w:color w:val="auto"/>
          <w:sz w:val="24"/>
          <w:szCs w:val="24"/>
        </w:rPr>
        <w:t>×</w:t>
      </w:r>
      <w:r>
        <w:rPr>
          <w:rFonts w:hint="eastAsia" w:ascii="宋体" w:hAnsi="宋体" w:cs="宋体"/>
          <w:b/>
          <w:bCs/>
          <w:color w:val="auto"/>
          <w:sz w:val="24"/>
          <w:szCs w:val="24"/>
          <w:lang w:val="en-US" w:eastAsia="zh-CN"/>
        </w:rPr>
        <w:t>50</w:t>
      </w:r>
      <w:r>
        <w:rPr>
          <w:rFonts w:hint="eastAsia" w:ascii="宋体" w:hAnsi="宋体" w:eastAsia="宋体" w:cs="宋体"/>
          <w:b/>
          <w:bCs/>
          <w:color w:val="auto"/>
          <w:sz w:val="24"/>
          <w:szCs w:val="24"/>
        </w:rPr>
        <w:t>%；</w:t>
      </w:r>
    </w:p>
    <w:p w14:paraId="2913CE7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4.评标委员会基于专业判断，认为供应商报价过低，有可能影响产品质量或者不能诚信履约的其他情形。</w:t>
      </w:r>
    </w:p>
    <w:p w14:paraId="166ADCC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相关法律法规对供应商报价有规定的，从其规定。</w:t>
      </w:r>
    </w:p>
    <w:p w14:paraId="1926C00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（二）评标委员会启动异常低价投标审查后，属于前述第1项至第4项情形的，应当要求相关供应商在评审现场合理的时间内对投标价格作出解释，</w:t>
      </w:r>
      <w:r>
        <w:rPr>
          <w:rFonts w:hint="eastAsia" w:ascii="宋体" w:hAnsi="宋体" w:eastAsia="宋体" w:cs="宋体"/>
          <w:b/>
          <w:bCs/>
          <w:color w:val="auto"/>
          <w:sz w:val="24"/>
          <w:szCs w:val="24"/>
        </w:rPr>
        <w:t>提供项目具体成本测算等与报价合理性相关的书面说明及必要的证明材料，包括但不限于原材料成本、人工成本、制造费用等，给予相关供应商的合理时间一般不少于30分钟。</w:t>
      </w:r>
      <w:r>
        <w:rPr>
          <w:rFonts w:hint="eastAsia" w:ascii="宋体" w:hAnsi="宋体" w:eastAsia="宋体" w:cs="宋体"/>
          <w:color w:val="auto"/>
          <w:sz w:val="24"/>
          <w:szCs w:val="24"/>
        </w:rPr>
        <w:t>其中，属于第3项情形，供应商已随投标文件一并提交相关书面说明及必要的证明材料的，在评审现场可不再重复提交。</w:t>
      </w:r>
    </w:p>
    <w:p w14:paraId="5DA6211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标委员会应当将其作为无效投标处理。</w:t>
      </w:r>
    </w:p>
    <w:p w14:paraId="000325F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异常低价投标审查的启动原因、审查意见和审查结果应当在评审报告中记录，并随供应商提供的相关书面说明及证明材料，以及评审委员会有关互联网浏览、查询历史一并归档</w:t>
      </w:r>
      <w:r>
        <w:rPr>
          <w:rFonts w:hint="eastAsia" w:ascii="宋体" w:hAnsi="宋体" w:cs="宋体"/>
          <w:color w:val="auto"/>
          <w:sz w:val="24"/>
          <w:szCs w:val="24"/>
          <w:lang w:eastAsia="zh-CN"/>
        </w:rPr>
        <w:t>。</w:t>
      </w:r>
    </w:p>
    <w:p w14:paraId="16283AF7">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（三十一）评标委员会成员对需要共同认定的事项存在争议的，应当按照少数服从多数的原则作出结论。持不同意见的评标委员会成员应当在评标报告上签署不同意见及理由，否则视为同意评标报告。</w:t>
      </w:r>
    </w:p>
    <w:p w14:paraId="1845DFB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（三十二）废标条款：</w:t>
      </w:r>
    </w:p>
    <w:p w14:paraId="7792425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出现下列情形之一的，应予废标。</w:t>
      </w:r>
    </w:p>
    <w:p w14:paraId="03F3C53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1.符合专业条件的供应商或者对招标文件作实质响应的供应商不足三家的；</w:t>
      </w:r>
    </w:p>
    <w:p w14:paraId="4F3A080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2.出现影响采购公正的违法、违规行为的；</w:t>
      </w:r>
    </w:p>
    <w:p w14:paraId="1F3467A2">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3.投标人的报价均超过了采购预算，采购人不能支付的；</w:t>
      </w:r>
    </w:p>
    <w:p w14:paraId="61DCDD9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4.因重大变故，采购任务取消的。</w:t>
      </w:r>
    </w:p>
    <w:p w14:paraId="3956F00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六、定标</w:t>
      </w:r>
    </w:p>
    <w:p w14:paraId="730344F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（三十三）采购代理机构应当在评标结束后2个工作日内将评标报告送采购人。</w:t>
      </w:r>
    </w:p>
    <w:p w14:paraId="30D8426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（三十四）采购人应当自收到评标报告之日起5个工作日内，在评标报告确定的中标候选人名单中按顺序确定中标人。</w:t>
      </w:r>
    </w:p>
    <w:p w14:paraId="44052B78">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（三十五）采购人有权对投标人投标文件的真实性进行核实，如果投标人不能在采购人规定的时间内向采购人提供有效的证明文件，将被采购人视为放弃中标资格。</w:t>
      </w:r>
    </w:p>
    <w:p w14:paraId="5B8A0960">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七、政府采购合同</w:t>
      </w:r>
    </w:p>
    <w:p w14:paraId="0E21A3A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（三十六）签订政府采购合同（合同签订方式）：</w:t>
      </w:r>
    </w:p>
    <w:p w14:paraId="222D00B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1.采购人应当自中标通知书发出之日起30日内，按照招标文件和中标人投标文件的规定，与中标人签订书面合同。所签订的合同不得对招标文件确定的事项和中标人投标文件作实质性修改。</w:t>
      </w:r>
    </w:p>
    <w:p w14:paraId="139E335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采购人不得向中标人提出任何不合理的要求作为签订合同的条件。</w:t>
      </w:r>
    </w:p>
    <w:p w14:paraId="499D5B33">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2.中标或者中标人拒绝与采购人签订合同的，采购人可以按照评审报告推荐的中标或者成交候选人名单排序，确定下一个候选人为中标或者中标人，也可以重新开展政府采购活动。</w:t>
      </w:r>
    </w:p>
    <w:p w14:paraId="1C23BC4C">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中标人无正当理由拒签合同的，或在签订书面合同时向采购人提出修改合同或者附加条件，采购人取消其中标资格，其投标保证金(如有)不予退还；给采购人造成的损失超过投标保证金(如有)数额的，中标人还应当对超过部分予以赔偿。该损失包括但不限于重新招标费用、中标价格高于本次招标价格部分、实现赔偿的诉讼费、律师费等费用。对依法必须进行招标的项目的中标人，由有关行政监督部门责令改正。</w:t>
      </w:r>
    </w:p>
    <w:p w14:paraId="4FFAC2D8">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（三十七）采购人与中标人应当根据合同的约定依法履行合同义务。政府采购合同的履行、违约责任和解决争议的方法等，按《中华人民共和国民法典》相关条款执行。</w:t>
      </w:r>
    </w:p>
    <w:p w14:paraId="5E9C6157">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（三十八）履约保证金：详见《第三章 投标资料表》。</w:t>
      </w:r>
    </w:p>
    <w:p w14:paraId="79C368D6">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（三十九）腐败和欺诈行为：</w:t>
      </w:r>
    </w:p>
    <w:p w14:paraId="552795BC">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1.采购代理机构、采购人、投标人等参与招投标的各方，均应在招标、采购、合同执行等过程中保持廉洁和最高的道德水准。</w:t>
      </w:r>
    </w:p>
    <w:p w14:paraId="190DDDAE">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（1）腐败和欺诈行为的含义：</w:t>
      </w:r>
    </w:p>
    <w:p w14:paraId="0C85CF5A">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①“腐败行为”系指在招标、采购和合同执行等过程中，为了谋求私利，影响相关人员提供、给予、接受或索取有价物品，并导致损害买方、卖方、采购代理机构和他人利益的行为。</w:t>
      </w:r>
    </w:p>
    <w:p w14:paraId="4BF44F4D">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②“欺诈行为”系指为了影响招标、采购和合同执行等过程，隐瞒事实真相，给买方、卖方、采购代理机构及他人造成损害的行为，其中包括投标人之间的串通行为。</w:t>
      </w:r>
    </w:p>
    <w:p w14:paraId="04DB9A1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（2）如果被推荐的中标人有腐败和欺诈行为，将取消其中标资格。</w:t>
      </w:r>
    </w:p>
    <w:p w14:paraId="538087D4">
      <w:pPr>
        <w:keepNext w:val="0"/>
        <w:keepLines w:val="0"/>
        <w:pageBreakBefore w:val="0"/>
        <w:widowControl w:val="0"/>
        <w:pBdr>
          <w:top w:val="none" w:color="000000" w:sz="0" w:space="0"/>
          <w:left w:val="none" w:color="000000" w:sz="0" w:space="0"/>
          <w:bottom w:val="none" w:color="000000" w:sz="0" w:space="0"/>
          <w:right w:val="none" w:color="000000" w:sz="0" w:space="0"/>
        </w:pBdr>
        <w:shd w:val="clear" w:color="FFFFFF" w:fill="auto"/>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（3）如果投标人在任何时候，被法院及政府有关管理部门认定为有腐败和欺诈行为，采购代理机构有权拒绝其投标、取消其中标资格和撤销其已签署的合同。</w:t>
      </w:r>
    </w:p>
    <w:p w14:paraId="0830AD0A">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rPr>
          <w:rFonts w:hint="eastAsia" w:ascii="宋体" w:hAnsi="宋体" w:eastAsia="宋体" w:cs="宋体"/>
          <w:color w:val="auto"/>
          <w:sz w:val="24"/>
          <w:szCs w:val="24"/>
        </w:rPr>
      </w:pPr>
      <w:r>
        <w:rPr>
          <w:rFonts w:hint="eastAsia" w:ascii="宋体" w:hAnsi="宋体" w:eastAsia="宋体" w:cs="宋体"/>
          <w:color w:val="auto"/>
          <w:sz w:val="24"/>
          <w:szCs w:val="24"/>
        </w:rPr>
        <w:t>八、询问和质疑</w:t>
      </w:r>
    </w:p>
    <w:p w14:paraId="28282909">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（四十）询问和质疑</w:t>
      </w:r>
    </w:p>
    <w:p w14:paraId="4082D43D">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b/>
          <w:color w:val="auto"/>
          <w:sz w:val="24"/>
          <w:szCs w:val="24"/>
        </w:rPr>
      </w:pPr>
      <w:r>
        <w:rPr>
          <w:rFonts w:hint="eastAsia" w:ascii="宋体" w:hAnsi="宋体" w:eastAsia="宋体" w:cs="宋体"/>
          <w:color w:val="auto"/>
          <w:sz w:val="24"/>
          <w:szCs w:val="24"/>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w:t>
      </w:r>
      <w:r>
        <w:rPr>
          <w:rFonts w:hint="eastAsia" w:ascii="宋体" w:hAnsi="宋体" w:eastAsia="宋体" w:cs="宋体"/>
          <w:b/>
          <w:color w:val="auto"/>
          <w:sz w:val="24"/>
          <w:szCs w:val="24"/>
        </w:rPr>
        <w:t> </w:t>
      </w:r>
    </w:p>
    <w:p w14:paraId="4C160B66">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宋体" w:hAnsi="宋体" w:eastAsia="宋体" w:cs="宋体"/>
          <w:color w:val="auto"/>
          <w:sz w:val="24"/>
          <w:szCs w:val="24"/>
        </w:rPr>
      </w:pPr>
      <w:r>
        <w:rPr>
          <w:rFonts w:hint="eastAsia" w:ascii="宋体" w:hAnsi="宋体" w:eastAsia="宋体" w:cs="宋体"/>
          <w:color w:val="auto"/>
          <w:sz w:val="24"/>
          <w:szCs w:val="24"/>
        </w:rPr>
        <w:t>九、电子招标投标交易平台</w:t>
      </w:r>
    </w:p>
    <w:p w14:paraId="4A2F0B1E">
      <w:pPr>
        <w:keepNext w:val="0"/>
        <w:keepLines w:val="0"/>
        <w:pageBreakBefore w:val="0"/>
        <w:widowControl w:val="0"/>
        <w:pBdr>
          <w:top w:val="none" w:color="000000" w:sz="0" w:space="0"/>
          <w:left w:val="none" w:color="000000" w:sz="0" w:space="0"/>
          <w:bottom w:val="none" w:color="000000" w:sz="0" w:space="0"/>
          <w:right w:val="none" w:color="000000" w:sz="0" w:space="0"/>
        </w:pBdr>
        <w:spacing w:line="360" w:lineRule="auto"/>
        <w:ind w:firstLine="480"/>
        <w:rPr>
          <w:rFonts w:hint="eastAsia" w:asciiTheme="minorEastAsia" w:hAnsiTheme="minorEastAsia" w:eastAsiaTheme="minorEastAsia" w:cstheme="minorEastAsia"/>
          <w:color w:val="auto"/>
        </w:rPr>
      </w:pPr>
      <w:r>
        <w:rPr>
          <w:rFonts w:hint="eastAsia" w:ascii="宋体" w:hAnsi="宋体" w:eastAsia="宋体" w:cs="宋体"/>
          <w:color w:val="auto"/>
          <w:sz w:val="24"/>
          <w:szCs w:val="24"/>
        </w:rPr>
        <w:t>（四十一）电子招标投标交易平台（即“苏采云”系统，网址：http://jszfcg.jsczt.cn/）相关要求是本招标文件的组成部分。</w:t>
      </w:r>
      <w:r>
        <w:rPr>
          <w:rFonts w:hint="eastAsia" w:asciiTheme="minorEastAsia" w:hAnsiTheme="minorEastAsia" w:eastAsiaTheme="minorEastAsia" w:cstheme="minorEastAsia"/>
          <w:color w:val="auto"/>
        </w:rPr>
        <w:br w:type="page" w:clear="all"/>
      </w:r>
    </w:p>
    <w:p w14:paraId="2AC8E983">
      <w:pPr>
        <w:pBdr>
          <w:top w:val="none" w:color="000000" w:sz="0" w:space="0"/>
          <w:left w:val="none" w:color="000000" w:sz="0" w:space="0"/>
          <w:bottom w:val="none" w:color="000000" w:sz="0" w:space="0"/>
          <w:right w:val="none" w:color="000000" w:sz="0" w:space="0"/>
        </w:pBdr>
        <w:spacing w:line="360" w:lineRule="auto"/>
        <w:jc w:val="center"/>
        <w:outlineLvl w:val="0"/>
        <w:rPr>
          <w:rFonts w:hint="eastAsia" w:asciiTheme="minorEastAsia" w:hAnsiTheme="minorEastAsia" w:eastAsiaTheme="minorEastAsia" w:cstheme="minorEastAsia"/>
          <w:color w:val="auto"/>
          <w:sz w:val="30"/>
          <w:szCs w:val="30"/>
        </w:rPr>
      </w:pPr>
      <w:r>
        <w:rPr>
          <w:rFonts w:hint="eastAsia" w:asciiTheme="minorEastAsia" w:hAnsiTheme="minorEastAsia" w:eastAsiaTheme="minorEastAsia" w:cstheme="minorEastAsia"/>
          <w:b/>
          <w:color w:val="auto"/>
          <w:sz w:val="30"/>
          <w:szCs w:val="30"/>
        </w:rPr>
        <w:t>第三章 投标资料表</w:t>
      </w:r>
    </w:p>
    <w:p w14:paraId="01014BE5">
      <w:pPr>
        <w:pBdr>
          <w:top w:val="none" w:color="000000" w:sz="0" w:space="0"/>
          <w:left w:val="none" w:color="000000" w:sz="0" w:space="0"/>
          <w:bottom w:val="none" w:color="000000" w:sz="0" w:space="0"/>
          <w:right w:val="none" w:color="000000" w:sz="0" w:space="0"/>
        </w:pBdr>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该资料表的条款项号是与《投标人须知》的条款项号相对应的，若有增加的条款，是对《投标人须知》的补充、修改和完善，如果因此而造成矛盾时，应以本资料表为准。</w:t>
      </w:r>
    </w:p>
    <w:tbl>
      <w:tblPr>
        <w:tblStyle w:val="43"/>
        <w:tblW w:w="51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66"/>
        <w:gridCol w:w="7477"/>
      </w:tblGrid>
      <w:tr w14:paraId="2E71D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09D112A4">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条款项号</w:t>
            </w:r>
          </w:p>
        </w:tc>
        <w:tc>
          <w:tcPr>
            <w:tcW w:w="4275" w:type="pct"/>
            <w:noWrap w:val="0"/>
            <w:tcMar>
              <w:top w:w="0" w:type="dxa"/>
              <w:left w:w="108" w:type="dxa"/>
              <w:bottom w:w="0" w:type="dxa"/>
              <w:right w:w="108" w:type="dxa"/>
            </w:tcMar>
          </w:tcPr>
          <w:p w14:paraId="0E6B9DF6">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内 容</w:t>
            </w:r>
          </w:p>
        </w:tc>
      </w:tr>
      <w:tr w14:paraId="6E5CE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5F8083D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一</w:t>
            </w:r>
          </w:p>
        </w:tc>
        <w:tc>
          <w:tcPr>
            <w:tcW w:w="4275" w:type="pct"/>
            <w:noWrap w:val="0"/>
            <w:tcMar>
              <w:top w:w="0" w:type="dxa"/>
              <w:left w:w="108" w:type="dxa"/>
              <w:bottom w:w="0" w:type="dxa"/>
              <w:right w:w="108" w:type="dxa"/>
            </w:tcMar>
            <w:vAlign w:val="top"/>
          </w:tcPr>
          <w:p w14:paraId="700DF56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总则</w:t>
            </w:r>
          </w:p>
        </w:tc>
      </w:tr>
      <w:tr w14:paraId="5B770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2CE5F1A5">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w:t>
            </w:r>
          </w:p>
        </w:tc>
        <w:tc>
          <w:tcPr>
            <w:tcW w:w="4275" w:type="pct"/>
            <w:noWrap w:val="0"/>
            <w:tcMar>
              <w:top w:w="0" w:type="dxa"/>
              <w:left w:w="108" w:type="dxa"/>
              <w:bottom w:w="0" w:type="dxa"/>
              <w:right w:w="108" w:type="dxa"/>
            </w:tcMar>
            <w:vAlign w:val="top"/>
          </w:tcPr>
          <w:p w14:paraId="619EF53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本项目采购人：</w:t>
            </w:r>
            <w:r>
              <w:rPr>
                <w:rFonts w:hint="eastAsia" w:asciiTheme="minorEastAsia" w:hAnsiTheme="minorEastAsia" w:eastAsiaTheme="minorEastAsia" w:cstheme="minorEastAsia"/>
                <w:color w:val="auto"/>
                <w:sz w:val="24"/>
                <w:szCs w:val="24"/>
                <w:lang w:eastAsia="zh-CN"/>
              </w:rPr>
              <w:t>徐州市第一人民医院</w:t>
            </w:r>
          </w:p>
        </w:tc>
      </w:tr>
      <w:tr w14:paraId="5F1A4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439BA08A">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w:t>
            </w:r>
          </w:p>
        </w:tc>
        <w:tc>
          <w:tcPr>
            <w:tcW w:w="4275" w:type="pct"/>
            <w:noWrap w:val="0"/>
            <w:tcMar>
              <w:top w:w="0" w:type="dxa"/>
              <w:left w:w="108" w:type="dxa"/>
              <w:bottom w:w="0" w:type="dxa"/>
              <w:right w:w="108" w:type="dxa"/>
            </w:tcMar>
            <w:vAlign w:val="top"/>
          </w:tcPr>
          <w:p w14:paraId="40E1B4F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本次采购采用的政府采购方式：公开招标</w:t>
            </w:r>
          </w:p>
        </w:tc>
      </w:tr>
      <w:tr w14:paraId="2A79F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3F0F7B4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(四)</w:t>
            </w:r>
          </w:p>
        </w:tc>
        <w:tc>
          <w:tcPr>
            <w:tcW w:w="4275" w:type="pct"/>
            <w:noWrap w:val="0"/>
            <w:tcMar>
              <w:top w:w="0" w:type="dxa"/>
              <w:left w:w="108" w:type="dxa"/>
              <w:bottom w:w="0" w:type="dxa"/>
              <w:right w:w="108" w:type="dxa"/>
            </w:tcMar>
            <w:vAlign w:val="top"/>
          </w:tcPr>
          <w:p w14:paraId="5557761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采购人确定的采购项目属性：</w:t>
            </w:r>
            <w:r>
              <w:rPr>
                <w:rFonts w:hint="eastAsia" w:asciiTheme="minorEastAsia" w:hAnsiTheme="minorEastAsia" w:eastAsiaTheme="minorEastAsia" w:cstheme="minorEastAsia"/>
                <w:b w:val="0"/>
                <w:bCs w:val="0"/>
                <w:color w:val="auto"/>
                <w:sz w:val="24"/>
                <w:szCs w:val="24"/>
                <w:lang w:val="en-US" w:eastAsia="zh-CN"/>
              </w:rPr>
              <w:t>货物</w:t>
            </w:r>
          </w:p>
        </w:tc>
      </w:tr>
      <w:tr w14:paraId="7BBA30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61F672F7">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(五)</w:t>
            </w:r>
          </w:p>
        </w:tc>
        <w:tc>
          <w:tcPr>
            <w:tcW w:w="4275" w:type="pct"/>
            <w:noWrap w:val="0"/>
            <w:tcMar>
              <w:top w:w="0" w:type="dxa"/>
              <w:left w:w="108" w:type="dxa"/>
              <w:bottom w:w="0" w:type="dxa"/>
              <w:right w:w="108" w:type="dxa"/>
            </w:tcMar>
            <w:vAlign w:val="top"/>
          </w:tcPr>
          <w:p w14:paraId="415A546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本项目采购代理机构：江苏海外集团国际工程咨询有限公司</w:t>
            </w:r>
          </w:p>
        </w:tc>
      </w:tr>
      <w:tr w14:paraId="4E233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724" w:type="pct"/>
            <w:noWrap w:val="0"/>
            <w:tcMar>
              <w:top w:w="0" w:type="dxa"/>
              <w:left w:w="108" w:type="dxa"/>
              <w:bottom w:w="0" w:type="dxa"/>
              <w:right w:w="108" w:type="dxa"/>
            </w:tcMar>
            <w:vAlign w:val="top"/>
          </w:tcPr>
          <w:p w14:paraId="530E90E2">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(六)</w:t>
            </w:r>
          </w:p>
        </w:tc>
        <w:tc>
          <w:tcPr>
            <w:tcW w:w="4275" w:type="pct"/>
            <w:noWrap w:val="0"/>
            <w:tcMar>
              <w:top w:w="0" w:type="dxa"/>
              <w:left w:w="108" w:type="dxa"/>
              <w:bottom w:w="0" w:type="dxa"/>
              <w:right w:w="108" w:type="dxa"/>
            </w:tcMar>
            <w:vAlign w:val="top"/>
          </w:tcPr>
          <w:p w14:paraId="3E58BA6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投标人的资格条件：</w:t>
            </w:r>
          </w:p>
          <w:p w14:paraId="25CB983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一、符合《中华人民共和国政府采购法》第二十二条的规定；</w:t>
            </w:r>
          </w:p>
          <w:p w14:paraId="433F740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二、所投产品为第二类医疗器械时，投标人具备有效的第二类医疗器械经营备案凭证；所投产品为第三类医疗器械时，投标人具备有效的医疗器械经营许可证；（所投产品管理类别非Ⅱ、Ⅲ类无需提供）；</w:t>
            </w:r>
          </w:p>
          <w:p w14:paraId="5F4694C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三、具有所投产品的有效的医疗器械注册证（所投产品管理类别非Ⅱ、Ⅲ类无需提供）；</w:t>
            </w:r>
          </w:p>
          <w:p w14:paraId="4968222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四、如投标产品为进口产品，且投标人为代理商的，须提供以下授权文件之一：</w:t>
            </w:r>
          </w:p>
          <w:p w14:paraId="3E1D24C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（1）所投进口产品制造商出具的授权书，授权书格式自拟；</w:t>
            </w:r>
          </w:p>
          <w:p w14:paraId="5B69FB4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（2）所投进口产品制造商的国内控股子公司或代理人出具的授权书，授权书格式自拟；</w:t>
            </w:r>
          </w:p>
          <w:p w14:paraId="008116C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（3）所投进口产品制造商对授权的区域代理商出具的授权书及该区域代理商给投标人出具的授权书，授权书格式自拟；</w:t>
            </w:r>
          </w:p>
          <w:p w14:paraId="721487B4">
            <w:pPr>
              <w:pBdr>
                <w:top w:val="none" w:color="000000" w:sz="0" w:space="0"/>
                <w:left w:val="none" w:color="000000" w:sz="0" w:space="0"/>
                <w:bottom w:val="none" w:color="000000" w:sz="0" w:space="0"/>
                <w:right w:val="none" w:color="000000" w:sz="0" w:space="0"/>
              </w:pBdr>
              <w:rPr>
                <w:rFonts w:hint="default"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（4）投标人取得的所投进口产品代理证书。</w:t>
            </w:r>
          </w:p>
          <w:p w14:paraId="5B15BED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lang w:eastAsia="zh-CN"/>
              </w:rPr>
            </w:pPr>
            <w:r>
              <w:rPr>
                <w:rFonts w:hint="eastAsia" w:asciiTheme="minorEastAsia" w:hAnsiTheme="minorEastAsia" w:eastAsiaTheme="minorEastAsia" w:cstheme="minorEastAsia"/>
                <w:b/>
                <w:color w:val="auto"/>
                <w:sz w:val="24"/>
                <w:szCs w:val="24"/>
                <w:lang w:val="en-US" w:eastAsia="zh-CN"/>
              </w:rPr>
              <w:t>五</w:t>
            </w:r>
            <w:r>
              <w:rPr>
                <w:rFonts w:hint="eastAsia" w:asciiTheme="minorEastAsia" w:hAnsiTheme="minorEastAsia" w:eastAsiaTheme="minorEastAsia" w:cstheme="minorEastAsia"/>
                <w:b/>
                <w:color w:val="auto"/>
                <w:sz w:val="24"/>
                <w:szCs w:val="24"/>
              </w:rPr>
              <w:t>、</w:t>
            </w:r>
            <w:r>
              <w:rPr>
                <w:rFonts w:hint="eastAsia" w:asciiTheme="minorEastAsia" w:hAnsiTheme="minorEastAsia" w:eastAsiaTheme="minorEastAsia" w:cstheme="minorEastAsia"/>
                <w:b/>
                <w:color w:val="auto"/>
                <w:sz w:val="24"/>
                <w:szCs w:val="24"/>
                <w:lang w:val="en-US" w:eastAsia="zh-CN"/>
              </w:rPr>
              <w:t>本</w:t>
            </w:r>
            <w:r>
              <w:rPr>
                <w:rFonts w:hint="eastAsia" w:asciiTheme="minorEastAsia" w:hAnsiTheme="minorEastAsia" w:eastAsiaTheme="minorEastAsia" w:cstheme="minorEastAsia"/>
                <w:b/>
                <w:color w:val="auto"/>
                <w:sz w:val="24"/>
                <w:szCs w:val="24"/>
              </w:rPr>
              <w:t>项目</w:t>
            </w:r>
            <w:r>
              <w:rPr>
                <w:rFonts w:hint="eastAsia" w:asciiTheme="minorEastAsia" w:hAnsiTheme="minorEastAsia" w:eastAsiaTheme="minorEastAsia" w:cstheme="minorEastAsia"/>
                <w:b/>
                <w:color w:val="auto"/>
                <w:sz w:val="24"/>
                <w:szCs w:val="24"/>
                <w:lang w:val="en-US" w:eastAsia="zh-CN"/>
              </w:rPr>
              <w:t>不</w:t>
            </w:r>
            <w:r>
              <w:rPr>
                <w:rFonts w:hint="eastAsia" w:asciiTheme="minorEastAsia" w:hAnsiTheme="minorEastAsia" w:eastAsiaTheme="minorEastAsia" w:cstheme="minorEastAsia"/>
                <w:b/>
                <w:color w:val="auto"/>
                <w:sz w:val="24"/>
                <w:szCs w:val="24"/>
              </w:rPr>
              <w:t>属于专门面向中小微企业采购的项目</w:t>
            </w:r>
            <w:r>
              <w:rPr>
                <w:rFonts w:hint="eastAsia" w:asciiTheme="minorEastAsia" w:hAnsiTheme="minorEastAsia" w:eastAsiaTheme="minorEastAsia" w:cstheme="minorEastAsia"/>
                <w:b/>
                <w:color w:val="auto"/>
                <w:sz w:val="24"/>
                <w:szCs w:val="24"/>
                <w:lang w:eastAsia="zh-CN"/>
              </w:rPr>
              <w:t>。</w:t>
            </w:r>
          </w:p>
          <w:p w14:paraId="2F2922B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六、本项目接受进口产品投标。</w:t>
            </w:r>
          </w:p>
          <w:p w14:paraId="7294BA0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同时明确相关事项如下：</w:t>
            </w:r>
          </w:p>
          <w:p w14:paraId="30F00F67">
            <w:pPr>
              <w:pBdr>
                <w:top w:val="none" w:color="000000" w:sz="0" w:space="0"/>
                <w:left w:val="none" w:color="000000" w:sz="0" w:space="0"/>
                <w:bottom w:val="none" w:color="000000" w:sz="0" w:space="0"/>
                <w:right w:val="none" w:color="000000" w:sz="0" w:space="0"/>
              </w:pBdr>
              <w:ind w:firstLine="2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1、本项目不接受联合体参与采购活动。</w:t>
            </w:r>
          </w:p>
          <w:p w14:paraId="234833F8">
            <w:pPr>
              <w:pBdr>
                <w:top w:val="none" w:color="000000" w:sz="0" w:space="0"/>
                <w:left w:val="none" w:color="000000" w:sz="0" w:space="0"/>
                <w:bottom w:val="none" w:color="000000" w:sz="0" w:space="0"/>
                <w:right w:val="none" w:color="000000" w:sz="0" w:space="0"/>
              </w:pBdr>
              <w:ind w:firstLine="2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2、单位负责人为同一人或者存在直接控股、管理关系的不同供应商，不得参加同一合同项下的政府采购活动。</w:t>
            </w:r>
          </w:p>
          <w:p w14:paraId="6A75FF37">
            <w:pPr>
              <w:pBdr>
                <w:top w:val="none" w:color="000000" w:sz="0" w:space="0"/>
                <w:left w:val="none" w:color="000000" w:sz="0" w:space="0"/>
                <w:bottom w:val="none" w:color="000000" w:sz="0" w:space="0"/>
                <w:right w:val="none" w:color="000000" w:sz="0" w:space="0"/>
              </w:pBdr>
              <w:ind w:firstLine="2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3、为本采购项目提供整体设计、规范编制或者项目管理、监理、检测等服务的供应商，不得再参加本采购项目的采购活动。</w:t>
            </w:r>
          </w:p>
          <w:p w14:paraId="239187C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七</w:t>
            </w:r>
            <w:r>
              <w:rPr>
                <w:rFonts w:hint="eastAsia" w:asciiTheme="minorEastAsia" w:hAnsiTheme="minorEastAsia" w:eastAsiaTheme="minorEastAsia" w:cstheme="minorEastAsia"/>
                <w:b/>
                <w:bCs/>
                <w:color w:val="auto"/>
                <w:sz w:val="24"/>
                <w:szCs w:val="24"/>
              </w:rPr>
              <w:t>、查询及使用供应商信用记录：</w:t>
            </w:r>
          </w:p>
          <w:p w14:paraId="68649D6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一</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由采购人查询信用信息。</w:t>
            </w:r>
          </w:p>
          <w:p w14:paraId="2646542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二</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查询渠道包括：</w:t>
            </w:r>
          </w:p>
          <w:p w14:paraId="1BC0DD5C">
            <w:pPr>
              <w:pBdr>
                <w:top w:val="none" w:color="000000" w:sz="0" w:space="0"/>
                <w:left w:val="none" w:color="000000" w:sz="0" w:space="0"/>
                <w:bottom w:val="none" w:color="000000" w:sz="0" w:space="0"/>
                <w:right w:val="none" w:color="000000" w:sz="0" w:space="0"/>
              </w:pBdr>
              <w:ind w:firstLine="28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1、“信用中国”网（www.creditchina.gov.cn）；</w:t>
            </w:r>
          </w:p>
          <w:p w14:paraId="29491058">
            <w:pPr>
              <w:pBdr>
                <w:top w:val="none" w:color="000000" w:sz="0" w:space="0"/>
                <w:left w:val="none" w:color="000000" w:sz="0" w:space="0"/>
                <w:bottom w:val="none" w:color="000000" w:sz="0" w:space="0"/>
                <w:right w:val="none" w:color="000000" w:sz="0" w:space="0"/>
              </w:pBdr>
              <w:ind w:firstLine="28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2、中国政府采购网（www.ccgp.gov.cn）；</w:t>
            </w:r>
          </w:p>
          <w:p w14:paraId="344C0590">
            <w:pPr>
              <w:pBdr>
                <w:top w:val="none" w:color="000000" w:sz="0" w:space="0"/>
                <w:left w:val="none" w:color="000000" w:sz="0" w:space="0"/>
                <w:bottom w:val="none" w:color="000000" w:sz="0" w:space="0"/>
                <w:right w:val="none" w:color="000000" w:sz="0" w:space="0"/>
              </w:pBdr>
              <w:ind w:firstLine="28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3、“信用江苏”网（http://credit.jiangsu.gov.cn）；</w:t>
            </w:r>
          </w:p>
          <w:p w14:paraId="32138A39">
            <w:pPr>
              <w:pBdr>
                <w:top w:val="none" w:color="000000" w:sz="0" w:space="0"/>
                <w:left w:val="none" w:color="000000" w:sz="0" w:space="0"/>
                <w:bottom w:val="none" w:color="000000" w:sz="0" w:space="0"/>
                <w:right w:val="none" w:color="000000" w:sz="0" w:space="0"/>
              </w:pBdr>
              <w:ind w:firstLine="280"/>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4、“信用中国（江苏徐州）”（http://www.xuzhoucredit.gov.cn）；</w:t>
            </w:r>
          </w:p>
          <w:p w14:paraId="72E7D9F8">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lang w:val="en-US" w:eastAsia="zh-CN"/>
              </w:rPr>
              <w:t>三</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rPr>
              <w:t>截止时点（查询环节）：开标后资格审查结束前。</w:t>
            </w:r>
          </w:p>
          <w:p w14:paraId="4BC72A0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四</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信用信息查询记录和证据留存的具体方式：网页截屏打印，与其他采购文件一并保存。</w:t>
            </w:r>
          </w:p>
          <w:p w14:paraId="3E5F65E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五</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信用信息的使用规则：</w:t>
            </w:r>
          </w:p>
          <w:p w14:paraId="60ECAC4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人对供应商信用记录进行甄别，对列入失信被执行人、重大税收违法案件当事人名单、政府采购严重违法失信行为记录名单及其他不符合《中华人民共和国政府采购法》第二十二条规定条件的供应商，拒绝其参与政府采购活动。</w:t>
            </w:r>
          </w:p>
        </w:tc>
      </w:tr>
      <w:tr w14:paraId="2F2EC3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7C1A3A84">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(七)</w:t>
            </w:r>
          </w:p>
        </w:tc>
        <w:tc>
          <w:tcPr>
            <w:tcW w:w="4275" w:type="pct"/>
            <w:noWrap w:val="0"/>
            <w:tcMar>
              <w:top w:w="0" w:type="dxa"/>
              <w:left w:w="108" w:type="dxa"/>
              <w:bottom w:w="0" w:type="dxa"/>
              <w:right w:w="108" w:type="dxa"/>
            </w:tcMar>
          </w:tcPr>
          <w:p w14:paraId="7F3800A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招标代理服务费由中标人支付。按《招标代理服务收费标准》收取（见附件）。</w:t>
            </w:r>
          </w:p>
        </w:tc>
      </w:tr>
      <w:tr w14:paraId="562B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2D7A7B73">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二</w:t>
            </w:r>
          </w:p>
        </w:tc>
        <w:tc>
          <w:tcPr>
            <w:tcW w:w="4275" w:type="pct"/>
            <w:noWrap w:val="0"/>
            <w:tcMar>
              <w:top w:w="0" w:type="dxa"/>
              <w:left w:w="108" w:type="dxa"/>
              <w:bottom w:w="0" w:type="dxa"/>
              <w:right w:w="108" w:type="dxa"/>
            </w:tcMar>
          </w:tcPr>
          <w:p w14:paraId="42F5B0D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招标</w:t>
            </w:r>
          </w:p>
        </w:tc>
      </w:tr>
      <w:tr w14:paraId="0469D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04" w:hRule="atLeast"/>
          <w:jc w:val="center"/>
        </w:trPr>
        <w:tc>
          <w:tcPr>
            <w:tcW w:w="724" w:type="pct"/>
            <w:noWrap w:val="0"/>
            <w:tcMar>
              <w:top w:w="0" w:type="dxa"/>
              <w:left w:w="108" w:type="dxa"/>
              <w:bottom w:w="0" w:type="dxa"/>
              <w:right w:w="108" w:type="dxa"/>
            </w:tcMar>
            <w:vAlign w:val="top"/>
          </w:tcPr>
          <w:p w14:paraId="0E2E1B9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九</w:t>
            </w:r>
            <w:r>
              <w:rPr>
                <w:rFonts w:hint="eastAsia" w:asciiTheme="minorEastAsia" w:hAnsiTheme="minorEastAsia" w:eastAsiaTheme="minorEastAsia" w:cstheme="minorEastAsia"/>
                <w:color w:val="auto"/>
                <w:sz w:val="24"/>
                <w:szCs w:val="24"/>
              </w:rPr>
              <w:t>)1</w:t>
            </w:r>
          </w:p>
        </w:tc>
        <w:tc>
          <w:tcPr>
            <w:tcW w:w="4275" w:type="pct"/>
            <w:noWrap w:val="0"/>
            <w:tcMar>
              <w:top w:w="0" w:type="dxa"/>
              <w:left w:w="108" w:type="dxa"/>
              <w:bottom w:w="0" w:type="dxa"/>
              <w:right w:w="108" w:type="dxa"/>
            </w:tcMar>
            <w:vAlign w:val="top"/>
          </w:tcPr>
          <w:p w14:paraId="494E8A29">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代理机构可以对已发出的招标文件进行必要的澄清或修改。对澄清或修改的内容，应以所发布的本项目的“更正公告”的附件的形式通知所有获取招标文件的潜在投标人。当发布本项目的“更正公告”之后，采购代理机构便尽到了通知义务，其各潜在投标人应关注本项目的“更正公告”及附件，否则，将自行承担相应的风险。</w:t>
            </w:r>
          </w:p>
        </w:tc>
      </w:tr>
      <w:tr w14:paraId="30657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773B6BC3">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(九)2</w:t>
            </w:r>
          </w:p>
        </w:tc>
        <w:tc>
          <w:tcPr>
            <w:tcW w:w="4275" w:type="pct"/>
            <w:noWrap w:val="0"/>
            <w:tcMar>
              <w:top w:w="0" w:type="dxa"/>
              <w:left w:w="108" w:type="dxa"/>
              <w:bottom w:w="0" w:type="dxa"/>
              <w:right w:w="108" w:type="dxa"/>
            </w:tcMar>
            <w:vAlign w:val="top"/>
          </w:tcPr>
          <w:p w14:paraId="473DE27A">
            <w:pPr>
              <w:tabs>
                <w:tab w:val="left" w:pos="5760"/>
              </w:tabs>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自行现场勘察。</w:t>
            </w:r>
          </w:p>
        </w:tc>
      </w:tr>
      <w:tr w14:paraId="7853E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3E6D8761">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(九)3</w:t>
            </w:r>
          </w:p>
        </w:tc>
        <w:tc>
          <w:tcPr>
            <w:tcW w:w="4275" w:type="pct"/>
            <w:noWrap w:val="0"/>
            <w:tcMar>
              <w:top w:w="0" w:type="dxa"/>
              <w:left w:w="108" w:type="dxa"/>
              <w:bottom w:w="0" w:type="dxa"/>
              <w:right w:w="108" w:type="dxa"/>
            </w:tcMar>
            <w:vAlign w:val="top"/>
          </w:tcPr>
          <w:p w14:paraId="11FECB7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不安排开标前答疑会。</w:t>
            </w:r>
          </w:p>
        </w:tc>
      </w:tr>
      <w:tr w14:paraId="11E40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vAlign w:val="top"/>
          </w:tcPr>
          <w:p w14:paraId="4C08EA9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三</w:t>
            </w:r>
          </w:p>
        </w:tc>
        <w:tc>
          <w:tcPr>
            <w:tcW w:w="4275" w:type="pct"/>
            <w:noWrap w:val="0"/>
            <w:tcMar>
              <w:top w:w="0" w:type="dxa"/>
              <w:left w:w="108" w:type="dxa"/>
              <w:bottom w:w="0" w:type="dxa"/>
              <w:right w:w="108" w:type="dxa"/>
            </w:tcMar>
            <w:vAlign w:val="top"/>
          </w:tcPr>
          <w:p w14:paraId="31C01AE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投标</w:t>
            </w:r>
          </w:p>
        </w:tc>
      </w:tr>
      <w:tr w14:paraId="3D530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noWrap w:val="0"/>
            <w:tcMar>
              <w:top w:w="0" w:type="dxa"/>
              <w:left w:w="108" w:type="dxa"/>
              <w:bottom w:w="0" w:type="dxa"/>
              <w:right w:w="108" w:type="dxa"/>
            </w:tcMar>
            <w:vAlign w:val="top"/>
          </w:tcPr>
          <w:p w14:paraId="0FAC8D62">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(十一)</w:t>
            </w:r>
          </w:p>
        </w:tc>
        <w:tc>
          <w:tcPr>
            <w:tcW w:w="4275" w:type="pct"/>
            <w:noWrap w:val="0"/>
            <w:tcMar>
              <w:top w:w="0" w:type="dxa"/>
              <w:left w:w="108" w:type="dxa"/>
              <w:bottom w:w="0" w:type="dxa"/>
              <w:right w:w="108" w:type="dxa"/>
            </w:tcMar>
            <w:vAlign w:val="top"/>
          </w:tcPr>
          <w:p w14:paraId="24555A4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投标文件的语言为中文</w:t>
            </w:r>
          </w:p>
        </w:tc>
      </w:tr>
      <w:tr w14:paraId="0051D1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2" w:hRule="atLeast"/>
          <w:jc w:val="center"/>
        </w:trPr>
        <w:tc>
          <w:tcPr>
            <w:tcW w:w="724" w:type="pct"/>
            <w:noWrap w:val="0"/>
            <w:tcMar>
              <w:top w:w="0" w:type="dxa"/>
              <w:left w:w="108" w:type="dxa"/>
              <w:bottom w:w="0" w:type="dxa"/>
              <w:right w:w="108" w:type="dxa"/>
            </w:tcMar>
            <w:vAlign w:val="top"/>
          </w:tcPr>
          <w:p w14:paraId="3AF9B2C3">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(十二)1</w:t>
            </w:r>
          </w:p>
          <w:p w14:paraId="460DBB9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(十二)2</w:t>
            </w:r>
          </w:p>
        </w:tc>
        <w:tc>
          <w:tcPr>
            <w:tcW w:w="4275" w:type="pct"/>
            <w:noWrap w:val="0"/>
            <w:tcMar>
              <w:top w:w="0" w:type="dxa"/>
              <w:left w:w="108" w:type="dxa"/>
              <w:bottom w:w="0" w:type="dxa"/>
              <w:right w:w="108" w:type="dxa"/>
            </w:tcMar>
            <w:vAlign w:val="top"/>
          </w:tcPr>
          <w:p w14:paraId="44333C30">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线上投标文件编制要求：</w:t>
            </w:r>
          </w:p>
          <w:p w14:paraId="020FE93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请按照以下要求（包括但不限于以下要求）制作：</w:t>
            </w:r>
          </w:p>
          <w:p w14:paraId="58E5E29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一、基本目录</w:t>
            </w:r>
          </w:p>
          <w:p w14:paraId="6EF6FC4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1、《开标一览表》（加盖电子签章，政府采购客户端工具输入报价自动生成）；</w:t>
            </w:r>
          </w:p>
          <w:p w14:paraId="7451DF6B">
            <w:pPr>
              <w:pBdr>
                <w:top w:val="none" w:color="000000" w:sz="0" w:space="0"/>
                <w:left w:val="none" w:color="000000" w:sz="0" w:space="0"/>
                <w:bottom w:val="none" w:color="000000" w:sz="0" w:space="0"/>
                <w:right w:val="none" w:color="000000" w:sz="0" w:space="0"/>
              </w:pBdr>
              <w:rPr>
                <w:rFonts w:hint="eastAsia"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2、所投产品的环境标志产品认证证书原件的扫描件（如有）。</w:t>
            </w:r>
          </w:p>
          <w:p w14:paraId="4BF8AFB6">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注：</w:t>
            </w:r>
          </w:p>
          <w:p w14:paraId="635292AA">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（1）所投产品属于《环境标志产品政府采购品目清单》（由财政部 生态环境部印发）范围的，投标文件中提供（如有）所投产品的国家确定的认证机构出具的、处于有效期之内（即“开标时间”当天在有效期之内）的环境标志产品认证证书原件的扫描件。</w:t>
            </w:r>
          </w:p>
          <w:p w14:paraId="16578B45">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（2）环境标志产品认证证书是否符合要求，采购人评标时查询中国政府采购网（www.ccgp.gov.cn）相关内容后确定。</w:t>
            </w:r>
          </w:p>
          <w:p w14:paraId="7559E652">
            <w:pPr>
              <w:pBdr>
                <w:top w:val="none" w:color="000000" w:sz="0" w:space="0"/>
                <w:left w:val="none" w:color="000000" w:sz="0" w:space="0"/>
                <w:bottom w:val="none" w:color="000000" w:sz="0" w:space="0"/>
                <w:right w:val="none" w:color="000000" w:sz="0" w:space="0"/>
              </w:pBdr>
              <w:rPr>
                <w:rFonts w:hint="eastAsia" w:ascii="宋体" w:hAnsi="宋体" w:cs="宋体"/>
                <w:b/>
                <w:bCs w:val="0"/>
                <w:color w:val="auto"/>
                <w:sz w:val="24"/>
                <w:szCs w:val="24"/>
                <w:lang w:val="en-US" w:eastAsia="zh-CN"/>
              </w:rPr>
            </w:pPr>
            <w:r>
              <w:rPr>
                <w:rFonts w:hint="eastAsia" w:ascii="宋体" w:hAnsi="宋体" w:cs="宋体"/>
                <w:b/>
                <w:bCs w:val="0"/>
                <w:color w:val="auto"/>
                <w:sz w:val="24"/>
                <w:szCs w:val="24"/>
                <w:lang w:val="en-US" w:eastAsia="zh-CN"/>
              </w:rPr>
              <w:t>3、所投产品的节能产品认证证书的扫描件（如有）。</w:t>
            </w:r>
          </w:p>
          <w:p w14:paraId="6A56FFD2">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注：</w:t>
            </w:r>
          </w:p>
          <w:p w14:paraId="548351A0">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（1）所投产品属于《节能产品政府采购品目清单》（由财政部 发展改革委印发）范围的，投标文件中提供（如有）所投产品的国家确定的认证机构出具的、处于有效期之内（即“开标时间”当天在有效期之内）的节能产品认证证书的扫描件。</w:t>
            </w:r>
          </w:p>
          <w:p w14:paraId="19DD106C">
            <w:pPr>
              <w:pBdr>
                <w:top w:val="none" w:color="000000" w:sz="0" w:space="0"/>
                <w:left w:val="none" w:color="000000" w:sz="0" w:space="0"/>
                <w:bottom w:val="none" w:color="000000" w:sz="0" w:space="0"/>
                <w:right w:val="none" w:color="000000" w:sz="0" w:space="0"/>
              </w:pBdr>
              <w:rPr>
                <w:rFonts w:hint="eastAsia" w:ascii="宋体" w:hAnsi="宋体" w:cs="宋体"/>
                <w:b w:val="0"/>
                <w:bCs/>
                <w:color w:val="auto"/>
                <w:sz w:val="24"/>
                <w:szCs w:val="24"/>
                <w:lang w:val="en-US" w:eastAsia="zh-CN"/>
              </w:rPr>
            </w:pPr>
            <w:r>
              <w:rPr>
                <w:rFonts w:hint="eastAsia" w:ascii="宋体" w:hAnsi="宋体" w:cs="宋体"/>
                <w:b w:val="0"/>
                <w:bCs/>
                <w:color w:val="auto"/>
                <w:sz w:val="24"/>
                <w:szCs w:val="24"/>
                <w:lang w:val="en-US" w:eastAsia="zh-CN"/>
              </w:rPr>
              <w:t>（2）节能产品认证证书是否符合要求，采购人评标时查询中国政府采购网（www.ccgp.gov.cn）相关内容后确定。</w:t>
            </w:r>
          </w:p>
          <w:p w14:paraId="5E288865">
            <w:pPr>
              <w:pBdr>
                <w:top w:val="none" w:color="000000" w:sz="0" w:space="0"/>
                <w:left w:val="none" w:color="000000" w:sz="0" w:space="0"/>
                <w:bottom w:val="none" w:color="000000" w:sz="0" w:space="0"/>
                <w:right w:val="none" w:color="000000" w:sz="0" w:space="0"/>
              </w:pBdr>
              <w:rPr>
                <w:rFonts w:hint="eastAsia" w:ascii="宋体" w:hAnsi="宋体" w:eastAsia="宋体" w:cs="宋体"/>
                <w:b/>
                <w:color w:val="auto"/>
                <w:sz w:val="24"/>
                <w:szCs w:val="24"/>
              </w:rPr>
            </w:pPr>
            <w:r>
              <w:rPr>
                <w:rFonts w:hint="eastAsia" w:ascii="宋体" w:hAnsi="宋体" w:cs="宋体"/>
                <w:b/>
                <w:color w:val="auto"/>
                <w:sz w:val="24"/>
                <w:szCs w:val="24"/>
                <w:lang w:val="en-US" w:eastAsia="zh-CN"/>
              </w:rPr>
              <w:t>4、其他（包含但不限于本国产品的声明函等，如有）。</w:t>
            </w:r>
          </w:p>
          <w:p w14:paraId="2AE13B9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color w:val="auto"/>
                <w:sz w:val="24"/>
                <w:szCs w:val="24"/>
              </w:rPr>
            </w:pPr>
          </w:p>
          <w:p w14:paraId="3734235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二、资格条件（必须提供，否则投标将被拒绝）</w:t>
            </w:r>
          </w:p>
          <w:p w14:paraId="29CFA276">
            <w:pPr>
              <w:pBdr>
                <w:top w:val="none" w:color="000000" w:sz="0" w:space="0"/>
                <w:left w:val="none" w:color="000000" w:sz="0" w:space="0"/>
                <w:bottom w:val="none" w:color="000000" w:sz="0" w:space="0"/>
                <w:right w:val="none" w:color="000000" w:sz="0" w:space="0"/>
              </w:pBdr>
              <w:spacing w:line="24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一</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投标人合法有效的营业执照扫描件，或事业单位法人证书扫描件，或民办非企业单位登记证书扫描件；</w:t>
            </w:r>
          </w:p>
          <w:p w14:paraId="6FE0E5FD">
            <w:pPr>
              <w:pBdr>
                <w:top w:val="none" w:color="000000" w:sz="0" w:space="0"/>
                <w:left w:val="none" w:color="000000" w:sz="0" w:space="0"/>
                <w:bottom w:val="none" w:color="000000" w:sz="0" w:space="0"/>
                <w:right w:val="none" w:color="000000" w:sz="0" w:space="0"/>
              </w:pBdr>
              <w:spacing w:line="240" w:lineRule="auto"/>
              <w:ind w:right="2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二</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财务状况报告（即提供投标人的本项目开标时间</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不含开标当月</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前6个月内任何时间的</w:t>
            </w:r>
            <w:r>
              <w:rPr>
                <w:rFonts w:hint="eastAsia" w:asciiTheme="minorEastAsia" w:hAnsiTheme="minorEastAsia" w:eastAsiaTheme="minorEastAsia" w:cstheme="minorEastAsia"/>
                <w:b/>
                <w:color w:val="auto"/>
                <w:sz w:val="24"/>
                <w:szCs w:val="24"/>
              </w:rPr>
              <w:t>资产负债表、利润表扫描件各一份</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b/>
                <w:bCs/>
                <w:color w:val="auto"/>
                <w:sz w:val="24"/>
                <w:szCs w:val="24"/>
              </w:rPr>
              <w:t>或</w:t>
            </w:r>
            <w:r>
              <w:rPr>
                <w:rFonts w:hint="eastAsia" w:asciiTheme="minorEastAsia" w:hAnsiTheme="minorEastAsia" w:eastAsiaTheme="minorEastAsia" w:cstheme="minorEastAsia"/>
                <w:color w:val="auto"/>
                <w:sz w:val="24"/>
                <w:szCs w:val="24"/>
              </w:rPr>
              <w:t>提供投标人202</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年度</w:t>
            </w:r>
            <w:r>
              <w:rPr>
                <w:rFonts w:hint="eastAsia" w:asciiTheme="minorEastAsia" w:hAnsiTheme="minorEastAsia" w:eastAsiaTheme="minorEastAsia" w:cstheme="minorEastAsia"/>
                <w:b/>
                <w:bCs/>
                <w:color w:val="auto"/>
                <w:sz w:val="24"/>
                <w:szCs w:val="24"/>
              </w:rPr>
              <w:t>经审计</w:t>
            </w:r>
            <w:r>
              <w:rPr>
                <w:rFonts w:hint="eastAsia" w:asciiTheme="minorEastAsia" w:hAnsiTheme="minorEastAsia" w:eastAsiaTheme="minorEastAsia" w:cstheme="minorEastAsia"/>
                <w:color w:val="auto"/>
                <w:sz w:val="24"/>
                <w:szCs w:val="24"/>
              </w:rPr>
              <w:t>的财务报告扫描件一份；</w:t>
            </w:r>
            <w:r>
              <w:rPr>
                <w:rFonts w:hint="eastAsia" w:asciiTheme="minorEastAsia" w:hAnsiTheme="minorEastAsia" w:eastAsiaTheme="minorEastAsia" w:cstheme="minorEastAsia"/>
                <w:b/>
                <w:bCs/>
                <w:color w:val="auto"/>
                <w:sz w:val="24"/>
                <w:szCs w:val="24"/>
              </w:rPr>
              <w:t>或</w:t>
            </w:r>
            <w:r>
              <w:rPr>
                <w:rFonts w:hint="eastAsia" w:asciiTheme="minorEastAsia" w:hAnsiTheme="minorEastAsia" w:eastAsiaTheme="minorEastAsia" w:cstheme="minorEastAsia"/>
                <w:color w:val="auto"/>
                <w:sz w:val="24"/>
                <w:szCs w:val="24"/>
              </w:rPr>
              <w:t>财政部门认可的政府采购专业担保机构出具的有效的投标担保函扫描件一份；</w:t>
            </w:r>
            <w:r>
              <w:rPr>
                <w:rFonts w:hint="eastAsia" w:asciiTheme="minorEastAsia" w:hAnsiTheme="minorEastAsia" w:eastAsiaTheme="minorEastAsia" w:cstheme="minorEastAsia"/>
                <w:b/>
                <w:bCs/>
                <w:color w:val="auto"/>
                <w:sz w:val="24"/>
                <w:szCs w:val="24"/>
              </w:rPr>
              <w:t>或</w:t>
            </w:r>
            <w:r>
              <w:rPr>
                <w:rFonts w:hint="eastAsia" w:asciiTheme="minorEastAsia" w:hAnsiTheme="minorEastAsia" w:eastAsiaTheme="minorEastAsia" w:cstheme="minorEastAsia"/>
                <w:color w:val="auto"/>
                <w:sz w:val="24"/>
                <w:szCs w:val="24"/>
              </w:rPr>
              <w:t>投标人的本项目开标时间（不含开标当月）前6个月内银行出具的</w:t>
            </w:r>
            <w:r>
              <w:rPr>
                <w:rFonts w:hint="eastAsia" w:asciiTheme="minorEastAsia" w:hAnsiTheme="minorEastAsia" w:eastAsiaTheme="minorEastAsia" w:cstheme="minorEastAsia"/>
                <w:b/>
                <w:color w:val="auto"/>
                <w:sz w:val="24"/>
                <w:szCs w:val="24"/>
              </w:rPr>
              <w:t>资信证明扫描件</w:t>
            </w:r>
            <w:r>
              <w:rPr>
                <w:rFonts w:hint="eastAsia" w:asciiTheme="minorEastAsia" w:hAnsiTheme="minorEastAsia" w:eastAsiaTheme="minorEastAsia" w:cstheme="minorEastAsia"/>
                <w:color w:val="auto"/>
                <w:sz w:val="24"/>
                <w:szCs w:val="24"/>
              </w:rPr>
              <w:t>一份）；</w:t>
            </w:r>
          </w:p>
          <w:p w14:paraId="236330B5">
            <w:pPr>
              <w:pBdr>
                <w:top w:val="none" w:color="000000" w:sz="0" w:space="0"/>
                <w:left w:val="none" w:color="000000" w:sz="0" w:space="0"/>
                <w:bottom w:val="none" w:color="000000" w:sz="0" w:space="0"/>
                <w:right w:val="none" w:color="000000" w:sz="0" w:space="0"/>
              </w:pBdr>
              <w:spacing w:line="240" w:lineRule="auto"/>
              <w:ind w:right="28"/>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三</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投标人的本项目开标时间（不含开标当月）前6个月内任何1个月的</w:t>
            </w:r>
            <w:r>
              <w:rPr>
                <w:rFonts w:hint="eastAsia" w:asciiTheme="minorEastAsia" w:hAnsiTheme="minorEastAsia" w:eastAsiaTheme="minorEastAsia" w:cstheme="minorEastAsia"/>
                <w:b/>
                <w:color w:val="auto"/>
                <w:sz w:val="24"/>
                <w:szCs w:val="24"/>
              </w:rPr>
              <w:t>依法缴纳税收扫描件和社会保障资金扫描件</w:t>
            </w:r>
            <w:r>
              <w:rPr>
                <w:rFonts w:hint="eastAsia" w:asciiTheme="minorEastAsia" w:hAnsiTheme="minorEastAsia" w:eastAsiaTheme="minorEastAsia" w:cstheme="minorEastAsia"/>
                <w:color w:val="auto"/>
                <w:sz w:val="24"/>
                <w:szCs w:val="24"/>
              </w:rPr>
              <w:t>的相关材料</w:t>
            </w:r>
            <w:r>
              <w:rPr>
                <w:rFonts w:hint="eastAsia" w:asciiTheme="minorEastAsia" w:hAnsiTheme="minorEastAsia" w:eastAsiaTheme="minorEastAsia" w:cstheme="minorEastAsia"/>
                <w:b/>
                <w:color w:val="auto"/>
                <w:sz w:val="24"/>
                <w:szCs w:val="24"/>
              </w:rPr>
              <w:t>各一份</w:t>
            </w:r>
            <w:r>
              <w:rPr>
                <w:rFonts w:hint="eastAsia" w:asciiTheme="minorEastAsia" w:hAnsiTheme="minorEastAsia" w:eastAsiaTheme="minorEastAsia" w:cstheme="minorEastAsia"/>
                <w:color w:val="auto"/>
                <w:sz w:val="24"/>
                <w:szCs w:val="24"/>
              </w:rPr>
              <w:t>（依法免税或不需要缴纳社会保障资金的供应商,提供相应文件扫描件证明其依法免税或不需要缴纳社会保障资金)；</w:t>
            </w:r>
          </w:p>
          <w:p w14:paraId="56D41E8A">
            <w:pPr>
              <w:pBdr>
                <w:top w:val="none" w:color="000000" w:sz="0" w:space="0"/>
                <w:left w:val="none" w:color="000000" w:sz="0" w:space="0"/>
                <w:bottom w:val="none" w:color="000000" w:sz="0" w:space="0"/>
                <w:right w:val="none" w:color="000000" w:sz="0" w:space="0"/>
              </w:pBdr>
              <w:spacing w:line="240" w:lineRule="auto"/>
              <w:ind w:right="28"/>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lang w:val="en-US" w:eastAsia="zh-CN"/>
              </w:rPr>
              <w:t>四</w:t>
            </w: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具备履行合同所必需的设备和专业技术能力的证明材料。</w:t>
            </w:r>
            <w:r>
              <w:rPr>
                <w:rFonts w:hint="eastAsia" w:asciiTheme="minorEastAsia" w:hAnsiTheme="minorEastAsia" w:eastAsiaTheme="minorEastAsia" w:cstheme="minorEastAsia"/>
                <w:b/>
                <w:bCs/>
                <w:color w:val="auto"/>
                <w:sz w:val="24"/>
                <w:szCs w:val="24"/>
              </w:rPr>
              <w:t>即投标文件中提供：</w:t>
            </w:r>
          </w:p>
          <w:p w14:paraId="34EB5036">
            <w:pPr>
              <w:pStyle w:val="15"/>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1</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所投产品为第二类医疗器械时，</w:t>
            </w:r>
            <w:r>
              <w:rPr>
                <w:rFonts w:hint="eastAsia" w:asciiTheme="minorEastAsia" w:hAnsiTheme="minorEastAsia" w:eastAsiaTheme="minorEastAsia" w:cstheme="minorEastAsia"/>
                <w:b w:val="0"/>
                <w:bCs w:val="0"/>
                <w:color w:val="auto"/>
                <w:sz w:val="24"/>
                <w:szCs w:val="24"/>
                <w:lang w:val="en-US" w:eastAsia="zh-CN"/>
              </w:rPr>
              <w:t>提供</w:t>
            </w:r>
            <w:r>
              <w:rPr>
                <w:rFonts w:hint="eastAsia" w:asciiTheme="minorEastAsia" w:hAnsiTheme="minorEastAsia" w:eastAsiaTheme="minorEastAsia" w:cstheme="minorEastAsia"/>
                <w:b w:val="0"/>
                <w:bCs w:val="0"/>
                <w:color w:val="auto"/>
                <w:sz w:val="24"/>
                <w:szCs w:val="24"/>
              </w:rPr>
              <w:t>投标人有效的第二类医疗器械经营备案凭证</w:t>
            </w:r>
            <w:r>
              <w:rPr>
                <w:rFonts w:hint="eastAsia" w:asciiTheme="minorEastAsia" w:hAnsiTheme="minorEastAsia" w:eastAsiaTheme="minorEastAsia" w:cstheme="minorEastAsia"/>
                <w:b w:val="0"/>
                <w:bCs w:val="0"/>
                <w:color w:val="auto"/>
                <w:sz w:val="24"/>
                <w:szCs w:val="24"/>
                <w:lang w:val="en-US" w:eastAsia="zh-CN"/>
              </w:rPr>
              <w:t>扫描件</w:t>
            </w:r>
            <w:r>
              <w:rPr>
                <w:rFonts w:hint="eastAsia" w:asciiTheme="minorEastAsia" w:hAnsiTheme="minorEastAsia" w:eastAsiaTheme="minorEastAsia" w:cstheme="minorEastAsia"/>
                <w:b w:val="0"/>
                <w:bCs w:val="0"/>
                <w:color w:val="auto"/>
                <w:sz w:val="24"/>
                <w:szCs w:val="24"/>
              </w:rPr>
              <w:t>；所投产品为第三类医疗器械时，</w:t>
            </w:r>
            <w:r>
              <w:rPr>
                <w:rFonts w:hint="eastAsia" w:asciiTheme="minorEastAsia" w:hAnsiTheme="minorEastAsia" w:eastAsiaTheme="minorEastAsia" w:cstheme="minorEastAsia"/>
                <w:b w:val="0"/>
                <w:bCs w:val="0"/>
                <w:color w:val="auto"/>
                <w:sz w:val="24"/>
                <w:szCs w:val="24"/>
                <w:lang w:val="en-US" w:eastAsia="zh-CN"/>
              </w:rPr>
              <w:t>提供</w:t>
            </w:r>
            <w:r>
              <w:rPr>
                <w:rFonts w:hint="eastAsia" w:asciiTheme="minorEastAsia" w:hAnsiTheme="minorEastAsia" w:eastAsiaTheme="minorEastAsia" w:cstheme="minorEastAsia"/>
                <w:b w:val="0"/>
                <w:bCs w:val="0"/>
                <w:color w:val="auto"/>
                <w:sz w:val="24"/>
                <w:szCs w:val="24"/>
              </w:rPr>
              <w:t>投标人有效的医疗器械经营许可证</w:t>
            </w:r>
            <w:r>
              <w:rPr>
                <w:rFonts w:hint="eastAsia" w:asciiTheme="minorEastAsia" w:hAnsiTheme="minorEastAsia" w:eastAsiaTheme="minorEastAsia" w:cstheme="minorEastAsia"/>
                <w:b w:val="0"/>
                <w:bCs w:val="0"/>
                <w:color w:val="auto"/>
                <w:sz w:val="24"/>
                <w:szCs w:val="24"/>
                <w:lang w:val="en-US" w:eastAsia="zh-CN"/>
              </w:rPr>
              <w:t>扫描件</w:t>
            </w:r>
            <w:r>
              <w:rPr>
                <w:rFonts w:hint="eastAsia" w:asciiTheme="minorEastAsia" w:hAnsiTheme="minorEastAsia" w:eastAsiaTheme="minorEastAsia" w:cstheme="minorEastAsia"/>
                <w:b w:val="0"/>
                <w:bCs w:val="0"/>
                <w:color w:val="auto"/>
                <w:sz w:val="24"/>
                <w:szCs w:val="24"/>
              </w:rPr>
              <w:t>（所投产品管理类别非Ⅱ、Ⅲ类无需提供）</w:t>
            </w:r>
            <w:r>
              <w:rPr>
                <w:rFonts w:hint="eastAsia" w:asciiTheme="minorEastAsia" w:hAnsiTheme="minorEastAsia" w:eastAsiaTheme="minorEastAsia" w:cstheme="minorEastAsia"/>
                <w:b w:val="0"/>
                <w:bCs w:val="0"/>
                <w:color w:val="auto"/>
                <w:sz w:val="24"/>
                <w:szCs w:val="24"/>
                <w:lang w:eastAsia="zh-CN"/>
              </w:rPr>
              <w:t>；</w:t>
            </w:r>
          </w:p>
          <w:p w14:paraId="176D6CB6">
            <w:pPr>
              <w:pBdr>
                <w:top w:val="none" w:color="000000" w:sz="0" w:space="0"/>
                <w:left w:val="none" w:color="000000" w:sz="0" w:space="0"/>
                <w:bottom w:val="none" w:color="000000" w:sz="0" w:space="0"/>
                <w:right w:val="none" w:color="000000" w:sz="0" w:space="0"/>
              </w:pBdr>
              <w:spacing w:line="240" w:lineRule="auto"/>
              <w:ind w:right="28"/>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2</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rPr>
              <w:t>提供所投产品的有效的医疗器械注册证扫描件（所投产品管理类别非Ⅱ、Ⅲ类无需提供）</w:t>
            </w:r>
            <w:r>
              <w:rPr>
                <w:rFonts w:hint="eastAsia" w:asciiTheme="minorEastAsia" w:hAnsiTheme="minorEastAsia" w:eastAsiaTheme="minorEastAsia" w:cstheme="minorEastAsia"/>
                <w:b w:val="0"/>
                <w:bCs w:val="0"/>
                <w:color w:val="auto"/>
                <w:sz w:val="24"/>
                <w:szCs w:val="24"/>
                <w:lang w:eastAsia="zh-CN"/>
              </w:rPr>
              <w:t>；</w:t>
            </w:r>
          </w:p>
          <w:p w14:paraId="65F2E442">
            <w:pPr>
              <w:pBdr>
                <w:top w:val="none" w:color="000000" w:sz="0" w:space="0"/>
                <w:left w:val="none" w:color="000000" w:sz="0" w:space="0"/>
                <w:bottom w:val="none" w:color="000000" w:sz="0" w:space="0"/>
                <w:right w:val="none" w:color="000000" w:sz="0" w:space="0"/>
              </w:pBd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（五）如投标产品为进口产品，且投标人为代理商的，须提供以下授权文件之一：</w:t>
            </w:r>
          </w:p>
          <w:p w14:paraId="5A9BAD20">
            <w:pPr>
              <w:pBdr>
                <w:top w:val="none" w:color="000000" w:sz="0" w:space="0"/>
                <w:left w:val="none" w:color="000000" w:sz="0" w:space="0"/>
                <w:bottom w:val="none" w:color="000000" w:sz="0" w:space="0"/>
                <w:right w:val="none" w:color="000000" w:sz="0" w:space="0"/>
              </w:pBd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（1）所投进口产品制造商出具的授权书，授权书格式自拟；</w:t>
            </w:r>
          </w:p>
          <w:p w14:paraId="54A86EE2">
            <w:pPr>
              <w:pBdr>
                <w:top w:val="none" w:color="000000" w:sz="0" w:space="0"/>
                <w:left w:val="none" w:color="000000" w:sz="0" w:space="0"/>
                <w:bottom w:val="none" w:color="000000" w:sz="0" w:space="0"/>
                <w:right w:val="none" w:color="000000" w:sz="0" w:space="0"/>
              </w:pBd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（2）所投进口产品制造商的国内控股子公司或代理人出具的授权书，授权书格式自拟；</w:t>
            </w:r>
          </w:p>
          <w:p w14:paraId="73A661C1">
            <w:pPr>
              <w:pBdr>
                <w:top w:val="none" w:color="000000" w:sz="0" w:space="0"/>
                <w:left w:val="none" w:color="000000" w:sz="0" w:space="0"/>
                <w:bottom w:val="none" w:color="000000" w:sz="0" w:space="0"/>
                <w:right w:val="none" w:color="000000" w:sz="0" w:space="0"/>
              </w:pBdr>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（3）所投进口产品制造商对授权的区域代理商出具的授权书及该区域代理商给投标人出具的授权书，授权书格式自拟；</w:t>
            </w:r>
          </w:p>
          <w:p w14:paraId="1BCDB761">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（4）投标人取得的所投进口产品代理证书。</w:t>
            </w:r>
          </w:p>
          <w:p w14:paraId="41A59B42">
            <w:pPr>
              <w:pBdr>
                <w:top w:val="none" w:color="000000" w:sz="0" w:space="0"/>
                <w:left w:val="none" w:color="000000" w:sz="0" w:space="0"/>
                <w:bottom w:val="none" w:color="000000" w:sz="0" w:space="0"/>
                <w:right w:val="none" w:color="000000" w:sz="0" w:space="0"/>
              </w:pBdr>
              <w:ind w:right="28"/>
              <w:rPr>
                <w:rFonts w:hint="eastAsia" w:ascii="宋体" w:hAnsi="宋体" w:eastAsia="宋体" w:cs="宋体"/>
                <w:color w:val="auto"/>
                <w:sz w:val="24"/>
                <w:szCs w:val="24"/>
              </w:rPr>
            </w:pPr>
            <w:r>
              <w:rPr>
                <w:rFonts w:hint="eastAsia" w:ascii="宋体" w:hAnsi="宋体" w:eastAsia="宋体" w:cs="宋体"/>
                <w:color w:val="auto"/>
                <w:sz w:val="24"/>
                <w:szCs w:val="24"/>
              </w:rPr>
              <w:t>（</w:t>
            </w:r>
            <w:r>
              <w:rPr>
                <w:rFonts w:hint="eastAsia" w:ascii="宋体" w:hAnsi="宋体" w:cs="宋体"/>
                <w:color w:val="auto"/>
                <w:sz w:val="24"/>
                <w:szCs w:val="24"/>
                <w:lang w:val="en-US" w:eastAsia="zh-CN"/>
              </w:rPr>
              <w:t>六</w:t>
            </w:r>
            <w:r>
              <w:rPr>
                <w:rFonts w:hint="eastAsia" w:ascii="宋体" w:hAnsi="宋体" w:eastAsia="宋体" w:cs="宋体"/>
                <w:color w:val="auto"/>
                <w:sz w:val="24"/>
                <w:szCs w:val="24"/>
              </w:rPr>
              <w:t>）投标人参加政府采购活动前3年内在经营活动中没有重大违法记录的书面声明，加盖</w:t>
            </w:r>
            <w:r>
              <w:rPr>
                <w:rFonts w:hint="eastAsia" w:ascii="宋体" w:hAnsi="宋体" w:eastAsia="宋体" w:cs="宋体"/>
                <w:b/>
                <w:color w:val="auto"/>
                <w:sz w:val="24"/>
                <w:szCs w:val="24"/>
              </w:rPr>
              <w:t>电子签章</w:t>
            </w:r>
            <w:r>
              <w:rPr>
                <w:rFonts w:hint="eastAsia" w:ascii="宋体" w:hAnsi="宋体" w:eastAsia="宋体" w:cs="宋体"/>
                <w:color w:val="auto"/>
                <w:sz w:val="24"/>
                <w:szCs w:val="24"/>
              </w:rPr>
              <w:t>，格式见本文件第七章《投标文件相关格式》。</w:t>
            </w:r>
          </w:p>
          <w:p w14:paraId="0ACA9A2F">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p>
          <w:p w14:paraId="35FE3CA5">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b/>
                <w:bCs/>
                <w:color w:val="auto"/>
                <w:sz w:val="24"/>
                <w:szCs w:val="24"/>
              </w:rPr>
              <w:t>三、符合条件（必须提供，否则投标无效）</w:t>
            </w:r>
          </w:p>
          <w:p w14:paraId="3D213060">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b/>
                <w:bCs/>
                <w:color w:val="auto"/>
                <w:sz w:val="24"/>
                <w:szCs w:val="24"/>
              </w:rPr>
              <w:t>(一)报价</w:t>
            </w:r>
          </w:p>
          <w:p w14:paraId="20A5EFEF">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b/>
                <w:bCs/>
                <w:color w:val="auto"/>
                <w:sz w:val="24"/>
                <w:szCs w:val="24"/>
              </w:rPr>
              <w:t>1、《报价符合性审查》。</w:t>
            </w:r>
            <w:r>
              <w:rPr>
                <w:rFonts w:hint="eastAsia" w:ascii="宋体" w:hAnsi="宋体" w:eastAsia="宋体" w:cs="宋体"/>
                <w:b w:val="0"/>
                <w:bCs w:val="0"/>
                <w:color w:val="auto"/>
                <w:sz w:val="24"/>
                <w:szCs w:val="24"/>
              </w:rPr>
              <w:t>属于投标（响应）报价低于采购项目最高限价</w:t>
            </w:r>
            <w:r>
              <w:rPr>
                <w:rFonts w:hint="eastAsia" w:ascii="宋体" w:hAnsi="宋体" w:cs="宋体"/>
                <w:b w:val="0"/>
                <w:bCs w:val="0"/>
                <w:color w:val="auto"/>
                <w:sz w:val="24"/>
                <w:szCs w:val="24"/>
                <w:lang w:val="en-US" w:eastAsia="zh-CN"/>
              </w:rPr>
              <w:t>50</w:t>
            </w:r>
            <w:r>
              <w:rPr>
                <w:rFonts w:hint="eastAsia" w:ascii="宋体" w:hAnsi="宋体" w:eastAsia="宋体" w:cs="宋体"/>
                <w:b w:val="0"/>
                <w:bCs w:val="0"/>
                <w:color w:val="auto"/>
                <w:sz w:val="24"/>
                <w:szCs w:val="24"/>
              </w:rPr>
              <w:t>%的，即投标（响应）报价&lt;采购项目最高限价×</w:t>
            </w:r>
            <w:r>
              <w:rPr>
                <w:rFonts w:hint="eastAsia" w:ascii="宋体" w:hAnsi="宋体" w:cs="宋体"/>
                <w:b w:val="0"/>
                <w:bCs w:val="0"/>
                <w:color w:val="auto"/>
                <w:sz w:val="24"/>
                <w:szCs w:val="24"/>
                <w:lang w:val="en-US" w:eastAsia="zh-CN"/>
              </w:rPr>
              <w:t>50</w:t>
            </w:r>
            <w:r>
              <w:rPr>
                <w:rFonts w:hint="eastAsia" w:ascii="宋体" w:hAnsi="宋体" w:eastAsia="宋体" w:cs="宋体"/>
                <w:b w:val="0"/>
                <w:bCs w:val="0"/>
                <w:color w:val="auto"/>
                <w:sz w:val="24"/>
                <w:szCs w:val="24"/>
              </w:rPr>
              <w:t>%，供应商可随投标（响应）文件一并提交相关书面说明及必要的证明材料。</w:t>
            </w:r>
          </w:p>
          <w:p w14:paraId="7EF2B9B4">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cs="宋体"/>
                <w:b/>
                <w:bCs/>
                <w:color w:val="auto"/>
                <w:sz w:val="24"/>
                <w:szCs w:val="24"/>
                <w:lang w:val="en-US" w:eastAsia="zh-CN"/>
              </w:rPr>
              <w:t>2</w:t>
            </w:r>
            <w:r>
              <w:rPr>
                <w:rFonts w:hint="eastAsia" w:ascii="宋体" w:hAnsi="宋体" w:eastAsia="宋体" w:cs="宋体"/>
                <w:b/>
                <w:bCs/>
                <w:color w:val="auto"/>
                <w:sz w:val="24"/>
                <w:szCs w:val="24"/>
              </w:rPr>
              <w:t>、《开标一览表》。</w:t>
            </w:r>
            <w:r>
              <w:rPr>
                <w:rFonts w:hint="eastAsia" w:ascii="宋体" w:hAnsi="宋体" w:cs="宋体"/>
                <w:color w:val="auto"/>
                <w:sz w:val="24"/>
                <w:szCs w:val="24"/>
              </w:rPr>
              <w:t>政府采购客户端工具输入报价自动生成。</w:t>
            </w:r>
          </w:p>
          <w:p w14:paraId="460CE40D">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cs="宋体"/>
                <w:b/>
                <w:color w:val="auto"/>
                <w:sz w:val="24"/>
                <w:szCs w:val="24"/>
                <w:lang w:val="en-US" w:eastAsia="zh-CN"/>
              </w:rPr>
              <w:t>3</w:t>
            </w:r>
            <w:r>
              <w:rPr>
                <w:rFonts w:hint="eastAsia" w:ascii="宋体" w:hAnsi="宋体" w:eastAsia="宋体" w:cs="宋体"/>
                <w:b/>
                <w:color w:val="auto"/>
                <w:sz w:val="24"/>
                <w:szCs w:val="24"/>
              </w:rPr>
              <w:t>、《分项价格表》。</w:t>
            </w:r>
            <w:r>
              <w:rPr>
                <w:rFonts w:hint="eastAsia" w:ascii="宋体" w:hAnsi="宋体" w:eastAsia="宋体" w:cs="宋体"/>
                <w:b w:val="0"/>
                <w:bCs/>
                <w:color w:val="auto"/>
                <w:sz w:val="24"/>
                <w:szCs w:val="24"/>
              </w:rPr>
              <w:t>要求加盖电子签章，格式见本文件第七章《投标文件相关格式》（必须提供，否则在符合性审查时按照投标无效处理）。</w:t>
            </w:r>
          </w:p>
          <w:p w14:paraId="77DBCBA7">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b/>
                <w:bCs/>
                <w:color w:val="auto"/>
                <w:sz w:val="24"/>
                <w:szCs w:val="24"/>
              </w:rPr>
              <w:t>（二）商务资信</w:t>
            </w:r>
          </w:p>
          <w:p w14:paraId="057F4539">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auto"/>
                <w:sz w:val="24"/>
                <w:szCs w:val="24"/>
              </w:rPr>
            </w:pPr>
            <w:r>
              <w:rPr>
                <w:rFonts w:hint="eastAsia" w:ascii="宋体" w:hAnsi="宋体" w:eastAsia="宋体" w:cs="宋体"/>
                <w:b/>
                <w:bCs/>
                <w:color w:val="auto"/>
                <w:sz w:val="24"/>
                <w:szCs w:val="24"/>
              </w:rPr>
              <w:t>1、《投标函》</w:t>
            </w:r>
            <w:r>
              <w:rPr>
                <w:rFonts w:hint="eastAsia" w:ascii="宋体" w:hAnsi="宋体" w:cs="宋体"/>
                <w:b/>
                <w:bCs/>
                <w:color w:val="auto"/>
                <w:sz w:val="24"/>
                <w:szCs w:val="24"/>
                <w:lang w:eastAsia="zh-CN"/>
              </w:rPr>
              <w:t>。</w:t>
            </w:r>
            <w:r>
              <w:rPr>
                <w:rFonts w:hint="eastAsia" w:ascii="宋体" w:hAnsi="宋体" w:eastAsia="宋体" w:cs="宋体"/>
                <w:b w:val="0"/>
                <w:bCs w:val="0"/>
                <w:color w:val="auto"/>
                <w:sz w:val="24"/>
                <w:szCs w:val="24"/>
              </w:rPr>
              <w:t>（加盖电子签章，格式见招标文件第七章《投标文件相关格式》。）</w:t>
            </w:r>
          </w:p>
          <w:p w14:paraId="75944C89">
            <w:pPr>
              <w:pBdr>
                <w:top w:val="none" w:color="000000" w:sz="0" w:space="0"/>
                <w:left w:val="none" w:color="000000" w:sz="0" w:space="0"/>
                <w:bottom w:val="none" w:color="000000" w:sz="0" w:space="0"/>
                <w:right w:val="none" w:color="000000" w:sz="0" w:space="0"/>
              </w:pBdr>
              <w:rPr>
                <w:rFonts w:hint="eastAsia" w:ascii="宋体" w:hAnsi="宋体" w:eastAsia="宋体" w:cs="宋体"/>
                <w:b/>
                <w:color w:val="auto"/>
                <w:sz w:val="24"/>
                <w:szCs w:val="24"/>
              </w:rPr>
            </w:pPr>
            <w:r>
              <w:rPr>
                <w:rFonts w:hint="eastAsia" w:ascii="宋体" w:hAnsi="宋体" w:eastAsia="宋体" w:cs="宋体"/>
                <w:b/>
                <w:bCs/>
                <w:color w:val="auto"/>
                <w:sz w:val="24"/>
                <w:szCs w:val="24"/>
              </w:rPr>
              <w:t>2、</w:t>
            </w:r>
            <w:r>
              <w:rPr>
                <w:rFonts w:hint="eastAsia" w:ascii="宋体" w:hAnsi="宋体" w:eastAsia="宋体" w:cs="宋体"/>
                <w:b/>
                <w:color w:val="auto"/>
                <w:sz w:val="24"/>
                <w:szCs w:val="24"/>
              </w:rPr>
              <w:t>《授权委托书》。</w:t>
            </w:r>
            <w:r>
              <w:rPr>
                <w:rFonts w:hint="eastAsia" w:ascii="宋体" w:hAnsi="宋体" w:eastAsia="宋体" w:cs="宋体"/>
                <w:b w:val="0"/>
                <w:bCs/>
                <w:color w:val="auto"/>
                <w:sz w:val="24"/>
                <w:szCs w:val="24"/>
              </w:rPr>
              <w:t>要求加盖电子签章，格式见本文件第七章《投标文件相关格式》（必须提供，否则在符合性审查时按照投标无效处理，法定代表人参与投标的须提供法定代表人身份证明书，不需要单独提供授权委托书）。</w:t>
            </w:r>
          </w:p>
          <w:p w14:paraId="0D595151">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3、</w:t>
            </w:r>
            <w:r>
              <w:rPr>
                <w:rFonts w:hint="eastAsia" w:ascii="宋体" w:hAnsi="宋体" w:eastAsia="宋体" w:cs="宋体"/>
                <w:b/>
                <w:bCs/>
                <w:color w:val="auto"/>
                <w:sz w:val="24"/>
                <w:szCs w:val="24"/>
                <w:lang w:val="en-US" w:eastAsia="zh-CN"/>
              </w:rPr>
              <w:t>法律、法规和招标文件规定的</w:t>
            </w:r>
            <w:r>
              <w:rPr>
                <w:rFonts w:hint="eastAsia" w:ascii="宋体" w:hAnsi="宋体" w:cs="宋体"/>
                <w:b/>
                <w:bCs/>
                <w:color w:val="auto"/>
                <w:sz w:val="24"/>
                <w:szCs w:val="24"/>
                <w:lang w:val="en-US" w:eastAsia="zh-CN"/>
              </w:rPr>
              <w:t>其他投标</w:t>
            </w:r>
            <w:r>
              <w:rPr>
                <w:rFonts w:hint="eastAsia" w:ascii="宋体" w:hAnsi="宋体" w:eastAsia="宋体" w:cs="宋体"/>
                <w:b/>
                <w:bCs/>
                <w:color w:val="auto"/>
                <w:sz w:val="24"/>
                <w:szCs w:val="24"/>
                <w:lang w:val="en-US" w:eastAsia="zh-CN"/>
              </w:rPr>
              <w:t>无效情形。</w:t>
            </w:r>
          </w:p>
          <w:p w14:paraId="393BA8DF">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b/>
                <w:bCs/>
                <w:color w:val="auto"/>
                <w:sz w:val="24"/>
                <w:szCs w:val="24"/>
              </w:rPr>
              <w:t>（三）技术响应</w:t>
            </w:r>
          </w:p>
          <w:p w14:paraId="3FD350F1">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rPr>
              <w:t>1、《偏离表》</w:t>
            </w:r>
            <w:r>
              <w:rPr>
                <w:rFonts w:hint="eastAsia" w:ascii="宋体" w:hAnsi="宋体" w:eastAsia="宋体" w:cs="宋体"/>
                <w:b w:val="0"/>
                <w:bCs w:val="0"/>
                <w:color w:val="auto"/>
                <w:sz w:val="24"/>
                <w:szCs w:val="24"/>
              </w:rPr>
              <w:t>（加盖电子签章，格式见招标文件第七章《投标文件相关格式》。）</w:t>
            </w:r>
          </w:p>
          <w:p w14:paraId="4894678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p>
          <w:p w14:paraId="5C1CEFA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四、综合评审评分项</w:t>
            </w:r>
          </w:p>
          <w:p w14:paraId="3500191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（一）技术部分</w:t>
            </w:r>
          </w:p>
          <w:p w14:paraId="7C6958F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1、偏离表、所投产品的技术规格</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b/>
                <w:bCs/>
                <w:color w:val="auto"/>
                <w:sz w:val="24"/>
                <w:szCs w:val="24"/>
                <w:lang w:val="en-US" w:eastAsia="zh-CN"/>
              </w:rPr>
              <w:t>含相关证明材料</w:t>
            </w:r>
            <w:r>
              <w:rPr>
                <w:rFonts w:hint="eastAsia" w:asciiTheme="minorEastAsia" w:hAnsiTheme="minorEastAsia" w:eastAsiaTheme="minorEastAsia" w:cstheme="minorEastAsia"/>
                <w:b/>
                <w:bCs/>
                <w:color w:val="auto"/>
                <w:sz w:val="24"/>
                <w:szCs w:val="24"/>
                <w:lang w:eastAsia="zh-CN"/>
              </w:rPr>
              <w:t>）</w:t>
            </w:r>
            <w:r>
              <w:rPr>
                <w:rFonts w:hint="eastAsia" w:asciiTheme="minorEastAsia" w:hAnsiTheme="minorEastAsia" w:eastAsiaTheme="minorEastAsia" w:cstheme="minorEastAsia"/>
                <w:color w:val="auto"/>
                <w:sz w:val="24"/>
                <w:szCs w:val="24"/>
              </w:rPr>
              <w:t>（要求见招标文件第六章《采购需求》及第四章《评标标准》中《评分细则》）；</w:t>
            </w:r>
          </w:p>
          <w:p w14:paraId="5A862E9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2、所投产品质量、性能评价</w:t>
            </w:r>
            <w:r>
              <w:rPr>
                <w:rFonts w:hint="eastAsia" w:asciiTheme="minorEastAsia" w:hAnsiTheme="minorEastAsia" w:eastAsiaTheme="minorEastAsia" w:cstheme="minorEastAsia"/>
                <w:color w:val="auto"/>
                <w:sz w:val="24"/>
                <w:szCs w:val="24"/>
              </w:rPr>
              <w:t>（要求见招标文件第六章《采购需求》及第四章《评标标准》中《评分细则》）；</w:t>
            </w:r>
          </w:p>
          <w:p w14:paraId="6A940F1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3、</w:t>
            </w:r>
            <w:r>
              <w:rPr>
                <w:rFonts w:hint="eastAsia" w:asciiTheme="minorEastAsia" w:hAnsiTheme="minorEastAsia" w:eastAsiaTheme="minorEastAsia" w:cstheme="minorEastAsia"/>
                <w:b/>
                <w:bCs/>
                <w:color w:val="auto"/>
                <w:sz w:val="24"/>
                <w:szCs w:val="24"/>
              </w:rPr>
              <w:t>项目实施方案</w:t>
            </w:r>
            <w:r>
              <w:rPr>
                <w:rFonts w:hint="eastAsia" w:asciiTheme="minorEastAsia" w:hAnsiTheme="minorEastAsia" w:eastAsiaTheme="minorEastAsia" w:cstheme="minorEastAsia"/>
                <w:color w:val="auto"/>
                <w:sz w:val="24"/>
                <w:szCs w:val="24"/>
              </w:rPr>
              <w:t>（要求见招标文件第六章《采购需求》及第四章《评标标准》中《评分细则》）；</w:t>
            </w:r>
          </w:p>
          <w:p w14:paraId="05AD7AE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lang w:val="en-US" w:eastAsia="zh-CN"/>
              </w:rPr>
            </w:pPr>
            <w:r>
              <w:rPr>
                <w:rFonts w:hint="eastAsia" w:asciiTheme="minorEastAsia" w:hAnsiTheme="minorEastAsia" w:eastAsiaTheme="minorEastAsia" w:cstheme="minorEastAsia"/>
                <w:b/>
                <w:bCs/>
                <w:color w:val="auto"/>
                <w:sz w:val="24"/>
                <w:szCs w:val="24"/>
                <w:lang w:val="en-US" w:eastAsia="zh-CN"/>
              </w:rPr>
              <w:t>4、售后服务方案</w:t>
            </w:r>
            <w:r>
              <w:rPr>
                <w:rFonts w:hint="eastAsia" w:asciiTheme="minorEastAsia" w:hAnsiTheme="minorEastAsia" w:eastAsiaTheme="minorEastAsia" w:cstheme="minorEastAsia"/>
                <w:color w:val="auto"/>
                <w:sz w:val="24"/>
                <w:szCs w:val="24"/>
              </w:rPr>
              <w:t>（要求见招标文件第六章《采购需求》及第四章《评标标准》中《评分细则》）；</w:t>
            </w:r>
          </w:p>
          <w:p w14:paraId="6333B9F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5、技术培训</w:t>
            </w:r>
            <w:r>
              <w:rPr>
                <w:rFonts w:hint="eastAsia" w:asciiTheme="minorEastAsia" w:hAnsiTheme="minorEastAsia" w:eastAsiaTheme="minorEastAsia" w:cstheme="minorEastAsia"/>
                <w:b/>
                <w:bCs/>
                <w:color w:val="auto"/>
                <w:sz w:val="24"/>
                <w:szCs w:val="24"/>
              </w:rPr>
              <w:t>方案</w:t>
            </w:r>
            <w:r>
              <w:rPr>
                <w:rFonts w:hint="eastAsia" w:asciiTheme="minorEastAsia" w:hAnsiTheme="minorEastAsia" w:eastAsiaTheme="minorEastAsia" w:cstheme="minorEastAsia"/>
                <w:color w:val="auto"/>
                <w:sz w:val="24"/>
                <w:szCs w:val="24"/>
              </w:rPr>
              <w:t>（要求见招标文件第六章《采购需求》及第四章《评标标准》中《评分细则》）；</w:t>
            </w:r>
          </w:p>
          <w:p w14:paraId="32F9144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6</w:t>
            </w:r>
            <w:r>
              <w:rPr>
                <w:rFonts w:hint="eastAsia" w:asciiTheme="minorEastAsia" w:hAnsiTheme="minorEastAsia" w:eastAsiaTheme="minorEastAsia" w:cstheme="minorEastAsia"/>
                <w:b/>
                <w:bCs/>
                <w:color w:val="auto"/>
                <w:sz w:val="24"/>
                <w:szCs w:val="24"/>
              </w:rPr>
              <w:t>、评分细则中评分得分需提供的相关证明文件扫描件。</w:t>
            </w:r>
          </w:p>
          <w:p w14:paraId="5D449BB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color w:val="auto"/>
                <w:sz w:val="24"/>
                <w:szCs w:val="24"/>
              </w:rPr>
              <w:t>（二）</w:t>
            </w:r>
            <w:r>
              <w:rPr>
                <w:rFonts w:hint="eastAsia" w:asciiTheme="minorEastAsia" w:hAnsiTheme="minorEastAsia" w:eastAsiaTheme="minorEastAsia" w:cstheme="minorEastAsia"/>
                <w:b/>
                <w:bCs/>
                <w:color w:val="auto"/>
                <w:sz w:val="24"/>
                <w:szCs w:val="24"/>
              </w:rPr>
              <w:t>商务部分</w:t>
            </w:r>
          </w:p>
          <w:p w14:paraId="51C87D7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lang w:val="en-US" w:eastAsia="zh-CN"/>
              </w:rPr>
              <w:t>1、</w:t>
            </w:r>
            <w:r>
              <w:rPr>
                <w:rFonts w:hint="eastAsia" w:asciiTheme="minorEastAsia" w:hAnsiTheme="minorEastAsia" w:eastAsiaTheme="minorEastAsia" w:cstheme="minorEastAsia"/>
                <w:b/>
                <w:bCs/>
                <w:color w:val="auto"/>
                <w:sz w:val="24"/>
                <w:szCs w:val="24"/>
              </w:rPr>
              <w:t>投标人其它证明文件及材料扫描件。</w:t>
            </w:r>
          </w:p>
          <w:p w14:paraId="45C73387">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p>
          <w:p w14:paraId="30EC6A24">
            <w:pPr>
              <w:pBdr>
                <w:top w:val="none" w:color="000000" w:sz="0" w:space="0"/>
                <w:left w:val="none" w:color="000000" w:sz="0" w:space="0"/>
                <w:bottom w:val="none" w:color="000000" w:sz="0" w:space="0"/>
                <w:right w:val="none" w:color="000000" w:sz="0" w:space="0"/>
              </w:pBdr>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rPr>
              <w:t>五、</w:t>
            </w:r>
            <w:r>
              <w:rPr>
                <w:rFonts w:hint="eastAsia" w:ascii="宋体" w:hAnsi="宋体" w:eastAsia="宋体" w:cs="宋体"/>
                <w:b/>
                <w:bCs/>
                <w:color w:val="auto"/>
                <w:sz w:val="24"/>
                <w:szCs w:val="24"/>
                <w:lang w:val="en-US" w:eastAsia="zh-CN"/>
              </w:rPr>
              <w:t>其他部分</w:t>
            </w:r>
          </w:p>
          <w:p w14:paraId="470BE70D">
            <w:pPr>
              <w:pBdr>
                <w:top w:val="none" w:color="000000" w:sz="0" w:space="0"/>
                <w:left w:val="none" w:color="000000" w:sz="0" w:space="0"/>
                <w:bottom w:val="none" w:color="000000" w:sz="0" w:space="0"/>
                <w:right w:val="none" w:color="000000" w:sz="0" w:space="0"/>
              </w:pBdr>
              <w:rPr>
                <w:rFonts w:hint="eastAsia" w:ascii="宋体" w:hAnsi="宋体" w:eastAsia="宋体" w:cs="宋体"/>
                <w:b/>
                <w:bCs w:val="0"/>
                <w:color w:val="auto"/>
                <w:sz w:val="24"/>
                <w:szCs w:val="24"/>
                <w:highlight w:val="none"/>
                <w:lang w:eastAsia="zh-CN"/>
              </w:rPr>
            </w:pPr>
            <w:r>
              <w:rPr>
                <w:rFonts w:hint="eastAsia" w:ascii="宋体" w:hAnsi="宋体" w:cs="宋体"/>
                <w:b/>
                <w:bCs w:val="0"/>
                <w:color w:val="auto"/>
                <w:sz w:val="24"/>
                <w:szCs w:val="24"/>
                <w:highlight w:val="none"/>
                <w:lang w:eastAsia="zh-CN"/>
              </w:rPr>
              <w:t>（</w:t>
            </w:r>
            <w:r>
              <w:rPr>
                <w:rFonts w:hint="eastAsia" w:ascii="宋体" w:hAnsi="宋体" w:cs="宋体"/>
                <w:b/>
                <w:bCs w:val="0"/>
                <w:color w:val="auto"/>
                <w:sz w:val="24"/>
                <w:szCs w:val="24"/>
                <w:highlight w:val="none"/>
                <w:lang w:val="en-US" w:eastAsia="zh-CN"/>
              </w:rPr>
              <w:t>一</w:t>
            </w:r>
            <w:r>
              <w:rPr>
                <w:rFonts w:hint="eastAsia" w:ascii="宋体" w:hAnsi="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eastAsia="zh-CN"/>
              </w:rPr>
              <w:t>投标人《关于符合本国产品标准的声明函》（填写完整，加盖</w:t>
            </w:r>
            <w:r>
              <w:rPr>
                <w:rFonts w:hint="eastAsia" w:ascii="宋体" w:hAnsi="宋体" w:eastAsia="宋体" w:cs="宋体"/>
                <w:b/>
                <w:bCs w:val="0"/>
                <w:color w:val="auto"/>
                <w:sz w:val="24"/>
                <w:szCs w:val="24"/>
                <w:highlight w:val="none"/>
                <w:lang w:val="en-US" w:eastAsia="zh-CN"/>
              </w:rPr>
              <w:t>公</w:t>
            </w:r>
            <w:r>
              <w:rPr>
                <w:rFonts w:hint="eastAsia" w:ascii="宋体" w:hAnsi="宋体" w:eastAsia="宋体" w:cs="宋体"/>
                <w:b/>
                <w:bCs w:val="0"/>
                <w:color w:val="auto"/>
                <w:sz w:val="24"/>
                <w:szCs w:val="24"/>
                <w:highlight w:val="none"/>
                <w:lang w:eastAsia="zh-CN"/>
              </w:rPr>
              <w:t>章，格式见招标文件第七章《投标文件相关格式》）</w:t>
            </w:r>
            <w:r>
              <w:rPr>
                <w:rFonts w:hint="eastAsia" w:ascii="宋体" w:hAnsi="宋体" w:eastAsia="宋体" w:cs="宋体"/>
                <w:color w:val="auto"/>
                <w:sz w:val="24"/>
                <w:szCs w:val="24"/>
                <w:highlight w:val="none"/>
              </w:rPr>
              <w:t>（请填写完整，</w:t>
            </w:r>
            <w:r>
              <w:rPr>
                <w:rFonts w:hint="eastAsia" w:ascii="宋体" w:hAnsi="宋体" w:eastAsia="宋体" w:cs="宋体"/>
                <w:b/>
                <w:bCs/>
                <w:color w:val="auto"/>
                <w:sz w:val="24"/>
                <w:szCs w:val="24"/>
                <w:highlight w:val="none"/>
              </w:rPr>
              <w:t>如不填写完整或未按要求填写的，视为</w:t>
            </w:r>
            <w:r>
              <w:rPr>
                <w:rFonts w:hint="eastAsia" w:ascii="宋体" w:hAnsi="宋体" w:eastAsia="宋体" w:cs="宋体"/>
                <w:b/>
                <w:bCs/>
                <w:color w:val="auto"/>
                <w:sz w:val="24"/>
                <w:szCs w:val="24"/>
                <w:highlight w:val="none"/>
                <w:lang w:val="en-US" w:eastAsia="zh-CN"/>
              </w:rPr>
              <w:t>非本国产品</w:t>
            </w:r>
            <w:r>
              <w:rPr>
                <w:rFonts w:hint="eastAsia" w:ascii="宋体" w:hAnsi="宋体" w:eastAsia="宋体" w:cs="宋体"/>
                <w:color w:val="auto"/>
                <w:sz w:val="24"/>
                <w:szCs w:val="24"/>
                <w:highlight w:val="none"/>
              </w:rPr>
              <w:t>）</w:t>
            </w:r>
            <w:r>
              <w:rPr>
                <w:rFonts w:hint="eastAsia" w:ascii="宋体" w:hAnsi="宋体" w:eastAsia="宋体" w:cs="宋体"/>
                <w:b w:val="0"/>
                <w:bCs/>
                <w:color w:val="auto"/>
                <w:sz w:val="24"/>
                <w:szCs w:val="24"/>
                <w:highlight w:val="none"/>
                <w:lang w:eastAsia="zh-CN"/>
              </w:rPr>
              <w:t>。</w:t>
            </w:r>
          </w:p>
          <w:p w14:paraId="2BCA7B6A">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本国产品应当符合以下条件：</w:t>
            </w:r>
          </w:p>
          <w:p w14:paraId="7B36312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（一）在中国境内生产</w:t>
            </w:r>
          </w:p>
          <w:p w14:paraId="17B6759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产品应当在中国境内生产，即在中华人民共和国关境内实现从原材料、组件到产品的属性改变。</w:t>
            </w:r>
          </w:p>
          <w:p w14:paraId="7AFCB22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属性改变是指经过制造、加工或者组装等工序，产生完全不同于原材料、组件的新产品，并具有新的名称和特征（用途）。属性改变不包括以下细微操作：</w:t>
            </w:r>
          </w:p>
          <w:p w14:paraId="635B45AA">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1.为确保产品在运输或者储存期间保持某种状态而进行的操作；</w:t>
            </w:r>
          </w:p>
          <w:p w14:paraId="38F7AF1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2.为产品运输或者销售进行的包装或者展示；</w:t>
            </w:r>
          </w:p>
          <w:p w14:paraId="2AD4BA15">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3.在产品或者其包装上粘贴或者印刷品牌、标志、标识以及其他用于区别的标记；</w:t>
            </w:r>
          </w:p>
          <w:p w14:paraId="1EC2B46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4.简单的上漆、磨光和分装；</w:t>
            </w:r>
          </w:p>
          <w:p w14:paraId="6BAF2BDF">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5.其他不属于属性改变的情形。</w:t>
            </w:r>
          </w:p>
          <w:p w14:paraId="65B73D5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（二）在中国境内生产的组件成本占比达到规定比例</w:t>
            </w:r>
          </w:p>
          <w:p w14:paraId="721FC108">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产品在中国境内生产的组件成本占比应当达到规定比例，计算公式为：</w:t>
            </w:r>
          </w:p>
          <w:p w14:paraId="0E7CC117">
            <w:pPr>
              <w:pBdr>
                <w:top w:val="none" w:color="000000" w:sz="0" w:space="0"/>
                <w:left w:val="none" w:color="000000" w:sz="0" w:space="0"/>
                <w:bottom w:val="none" w:color="000000" w:sz="0" w:space="0"/>
                <w:right w:val="none" w:color="000000" w:sz="0" w:space="0"/>
              </w:pBdr>
              <w:jc w:val="cente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drawing>
                <wp:inline distT="0" distB="0" distL="0" distR="0">
                  <wp:extent cx="3276600" cy="495300"/>
                  <wp:effectExtent l="0" t="0" r="0" b="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1"/>
                          <a:stretch>
                            <a:fillRect/>
                          </a:stretch>
                        </pic:blipFill>
                        <pic:spPr>
                          <a:xfrm>
                            <a:off x="0" y="0"/>
                            <a:ext cx="3276600" cy="495300"/>
                          </a:xfrm>
                          <a:prstGeom prst="rect">
                            <a:avLst/>
                          </a:prstGeom>
                          <a:noFill/>
                          <a:ln>
                            <a:noFill/>
                          </a:ln>
                        </pic:spPr>
                      </pic:pic>
                    </a:graphicData>
                  </a:graphic>
                </wp:inline>
              </w:drawing>
            </w:r>
          </w:p>
          <w:p w14:paraId="173FB97C">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财政部会同有关行业主管部门，分产品确定在中国境内生产的组件成本占比应当达到的规定比例。在分产品的中国境内生产的组件成本占比相关要求实施前，符合本通知第一条第（一）项条件的产品在政府采购活动中视同本国产品。</w:t>
            </w:r>
          </w:p>
          <w:p w14:paraId="32089234">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（三）特定产品的关键组件、关键工序符合相关要求</w:t>
            </w:r>
          </w:p>
          <w:p w14:paraId="6B0717A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cs="宋体"/>
                <w:b w:val="0"/>
                <w:bCs/>
                <w:color w:val="auto"/>
                <w:sz w:val="24"/>
                <w:szCs w:val="24"/>
                <w:highlight w:val="none"/>
                <w:lang w:val="en-US" w:eastAsia="zh-CN"/>
              </w:rPr>
              <w:t>1、</w:t>
            </w:r>
            <w:r>
              <w:rPr>
                <w:rFonts w:hint="eastAsia" w:ascii="宋体" w:hAnsi="宋体" w:eastAsia="宋体" w:cs="宋体"/>
                <w:b w:val="0"/>
                <w:bCs/>
                <w:color w:val="auto"/>
                <w:sz w:val="24"/>
                <w:szCs w:val="24"/>
                <w:highlight w:val="none"/>
              </w:rPr>
              <w:t>对特定产品，在符合本通知第一条第（一）项和第（二）项条件的基础上，应当符合财政部会同有关行业主管部门确定的其关键组件、关键工序在中国境内生产、完成等要求。</w:t>
            </w:r>
          </w:p>
          <w:p w14:paraId="00E0D071">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2B5AF14A">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2、</w:t>
            </w:r>
            <w:r>
              <w:rPr>
                <w:rFonts w:hint="eastAsia" w:ascii="宋体" w:hAnsi="宋体" w:eastAsia="宋体" w:cs="宋体"/>
                <w:b w:val="0"/>
                <w:bCs/>
                <w:color w:val="auto"/>
                <w:sz w:val="24"/>
                <w:szCs w:val="24"/>
                <w:highlight w:val="none"/>
              </w:rPr>
              <w:t>本国产品标准的适用范围</w:t>
            </w:r>
          </w:p>
          <w:p w14:paraId="35A82C5E">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6E8A96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val="en-US" w:eastAsia="zh-CN"/>
              </w:rPr>
              <w:t>3、</w:t>
            </w:r>
            <w:r>
              <w:rPr>
                <w:rFonts w:hint="eastAsia" w:ascii="宋体" w:hAnsi="宋体" w:eastAsia="宋体" w:cs="宋体"/>
                <w:b w:val="0"/>
                <w:bCs/>
                <w:color w:val="auto"/>
                <w:sz w:val="24"/>
                <w:szCs w:val="24"/>
                <w:highlight w:val="none"/>
              </w:rPr>
              <w:t>对本国产品的支持政策</w:t>
            </w:r>
          </w:p>
          <w:p w14:paraId="3D67410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政府采购活动中既有本国产品又有非本国产品参与竞争的，依法对本国产品给予价格评审优惠，对本国产品的报价给予20%的价格扣除，用扣除后的价格参与评审。</w:t>
            </w:r>
          </w:p>
          <w:p w14:paraId="7E6F5477">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883F3C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具体以《国务院办公厅关于在政府采购中实施本国产品标准及相关政策的通知》（国办发〔2025〕34号）规定为准。</w:t>
            </w:r>
          </w:p>
          <w:p w14:paraId="599CFB12">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lang w:val="en-US" w:eastAsia="zh-CN"/>
              </w:rPr>
            </w:pPr>
            <w:r>
              <w:rPr>
                <w:rFonts w:hint="eastAsia" w:ascii="宋体" w:hAnsi="宋体" w:eastAsia="宋体" w:cs="宋体"/>
                <w:b w:val="0"/>
                <w:bCs/>
                <w:color w:val="auto"/>
                <w:sz w:val="24"/>
                <w:szCs w:val="24"/>
                <w:highlight w:val="none"/>
                <w:lang w:val="en-US" w:eastAsia="zh-CN"/>
              </w:rPr>
              <w:t>注：中国境内生产的组件成本核算基本规则</w:t>
            </w:r>
          </w:p>
          <w:p w14:paraId="05E6A9E0">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D9CCE1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一、产品的一级组件是指直接组成产品的组件。产品的二级组件是指直接组成产品一级组件的组件。一级组件不可分解的，视同二级组件。</w:t>
            </w:r>
          </w:p>
          <w:p w14:paraId="49DAB73B">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二、二级组件在中国境内生产的，其全部成本计入中国境内生产的组件成本；二级组件不在中国境内生产的，其成本不计入中国境内生产的组件成本。</w:t>
            </w:r>
          </w:p>
          <w:p w14:paraId="1846109D">
            <w:pPr>
              <w:pBdr>
                <w:top w:val="none" w:color="000000" w:sz="0" w:space="0"/>
                <w:left w:val="none" w:color="000000" w:sz="0" w:space="0"/>
                <w:bottom w:val="none" w:color="000000" w:sz="0" w:space="0"/>
                <w:right w:val="none" w:color="000000" w:sz="0" w:space="0"/>
              </w:pBd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三、产品总成本和组件成本以相关会计核算数据、采购合同、进货记录等为基础进行计算。</w:t>
            </w:r>
          </w:p>
          <w:p w14:paraId="269BFFF0">
            <w:pPr>
              <w:pBdr>
                <w:top w:val="none" w:color="000000" w:sz="0" w:space="0"/>
                <w:left w:val="none" w:color="000000" w:sz="0" w:space="0"/>
                <w:bottom w:val="none" w:color="000000" w:sz="0" w:space="0"/>
                <w:right w:val="none" w:color="000000" w:sz="0" w:space="0"/>
              </w:pBdr>
              <w:rPr>
                <w:rFonts w:hint="eastAsia" w:ascii="宋体" w:hAnsi="宋体" w:eastAsia="宋体" w:cs="宋体"/>
                <w:b/>
                <w:color w:val="auto"/>
                <w:sz w:val="24"/>
                <w:szCs w:val="24"/>
              </w:rPr>
            </w:pPr>
            <w:r>
              <w:rPr>
                <w:rFonts w:hint="eastAsia" w:ascii="宋体" w:hAnsi="宋体" w:eastAsia="宋体" w:cs="宋体"/>
                <w:b w:val="0"/>
                <w:bCs/>
                <w:color w:val="auto"/>
                <w:sz w:val="24"/>
                <w:szCs w:val="24"/>
                <w:highlight w:val="none"/>
              </w:rPr>
              <w:t>四、需要对成本核算规则予以进一步明确的其他有关事项，由财政部会同有关部门另行规定。</w:t>
            </w:r>
          </w:p>
          <w:p w14:paraId="43DE5279">
            <w:pPr>
              <w:rPr>
                <w:rFonts w:hint="eastAsia" w:asciiTheme="minorEastAsia" w:hAnsiTheme="minorEastAsia" w:eastAsiaTheme="minorEastAsia" w:cstheme="minorEastAsia"/>
                <w:b/>
                <w:bCs w:val="0"/>
                <w:color w:val="auto"/>
                <w:sz w:val="24"/>
                <w:szCs w:val="24"/>
              </w:rPr>
            </w:pPr>
            <w:r>
              <w:rPr>
                <w:rFonts w:hint="eastAsia" w:asciiTheme="minorEastAsia" w:hAnsiTheme="minorEastAsia" w:eastAsiaTheme="minorEastAsia" w:cstheme="minorEastAsia"/>
                <w:b/>
                <w:bCs w:val="0"/>
                <w:color w:val="auto"/>
                <w:sz w:val="24"/>
                <w:szCs w:val="24"/>
              </w:rPr>
              <w:t>（二）企业报价折扣证明：</w:t>
            </w:r>
          </w:p>
          <w:p w14:paraId="5BCDAE78">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投标人提供的货物全部由符合政策要求的中小企业制造</w:t>
            </w:r>
            <w:r>
              <w:rPr>
                <w:rFonts w:hint="eastAsia" w:ascii="宋体" w:hAnsi="宋体" w:cs="宋体"/>
                <w:b w:val="0"/>
                <w:bCs w:val="0"/>
                <w:color w:val="auto"/>
                <w:sz w:val="24"/>
                <w:szCs w:val="24"/>
                <w:lang w:eastAsia="zh-CN"/>
              </w:rPr>
              <w:t>的</w:t>
            </w:r>
            <w:r>
              <w:rPr>
                <w:rFonts w:hint="eastAsia" w:ascii="宋体" w:hAnsi="宋体" w:eastAsia="宋体" w:cs="宋体"/>
                <w:b w:val="0"/>
                <w:bCs w:val="0"/>
                <w:color w:val="auto"/>
                <w:sz w:val="24"/>
                <w:szCs w:val="24"/>
                <w:lang w:eastAsia="zh-CN"/>
              </w:rPr>
              <w:t>，提供《中小企业声明函》（填写完整，加盖电子签章，格式见招标文件第七章《投标文件相关格式》，</w:t>
            </w:r>
            <w:r>
              <w:rPr>
                <w:rFonts w:hint="eastAsia" w:ascii="宋体" w:hAnsi="宋体" w:cs="宋体"/>
                <w:b/>
                <w:bCs/>
                <w:color w:val="auto"/>
                <w:sz w:val="24"/>
                <w:szCs w:val="24"/>
                <w:lang w:val="en-US" w:eastAsia="zh-CN"/>
              </w:rPr>
              <w:t>非</w:t>
            </w:r>
            <w:r>
              <w:rPr>
                <w:rFonts w:hint="eastAsia" w:ascii="宋体" w:hAnsi="宋体" w:eastAsia="宋体" w:cs="宋体"/>
                <w:b/>
                <w:bCs/>
                <w:color w:val="auto"/>
                <w:sz w:val="24"/>
                <w:szCs w:val="24"/>
                <w:lang w:eastAsia="zh-CN"/>
              </w:rPr>
              <w:t>必须提供</w:t>
            </w:r>
            <w:r>
              <w:rPr>
                <w:rFonts w:hint="eastAsia" w:ascii="宋体" w:hAnsi="宋体" w:eastAsia="宋体" w:cs="宋体"/>
                <w:b w:val="0"/>
                <w:bCs w:val="0"/>
                <w:color w:val="auto"/>
                <w:sz w:val="24"/>
                <w:szCs w:val="24"/>
                <w:lang w:eastAsia="zh-CN"/>
              </w:rPr>
              <w:t xml:space="preserve">）。 </w:t>
            </w:r>
          </w:p>
          <w:p w14:paraId="0D4C0B9C">
            <w:pPr>
              <w:pBdr>
                <w:top w:val="none" w:color="000000" w:sz="0" w:space="0"/>
                <w:left w:val="none" w:color="000000" w:sz="0" w:space="0"/>
                <w:bottom w:val="none" w:color="000000" w:sz="0" w:space="0"/>
                <w:right w:val="none" w:color="000000" w:sz="0" w:space="0"/>
              </w:pBdr>
              <w:rPr>
                <w:rFonts w:hint="eastAsia" w:ascii="宋体" w:hAnsi="宋体" w:eastAsia="宋体" w:cs="宋体"/>
                <w:b w:val="0"/>
                <w:bCs w:val="0"/>
                <w:color w:val="auto"/>
                <w:sz w:val="24"/>
                <w:szCs w:val="24"/>
                <w:lang w:eastAsia="zh-CN"/>
              </w:rPr>
            </w:pPr>
            <w:r>
              <w:rPr>
                <w:rFonts w:hint="eastAsia" w:ascii="宋体" w:hAnsi="宋体" w:eastAsia="宋体" w:cs="宋体"/>
                <w:b w:val="0"/>
                <w:bCs w:val="0"/>
                <w:color w:val="auto"/>
                <w:sz w:val="24"/>
                <w:szCs w:val="24"/>
                <w:lang w:eastAsia="zh-CN"/>
              </w:rPr>
              <w:t>《中小企业声明函》查询渠道参考工业和信息化部发布的中小企业规模自测小程序。中小企业规模自测小程序详见《中小企业声明函》。</w:t>
            </w:r>
          </w:p>
          <w:p w14:paraId="74F004A2">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b/>
                <w:color w:val="auto"/>
                <w:sz w:val="24"/>
                <w:szCs w:val="24"/>
              </w:rPr>
              <w:t>注：</w:t>
            </w:r>
          </w:p>
          <w:p w14:paraId="1AFFB0E4">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1、中小企业需满足的条件具体以《政府采购促进中小企业发展管理办法》（财库﹝2020﹞46 号）、（苏财购( 2022 ) 45 号）和《工业和信息化部、国家统计局、国家发展和改革委员会、财政部关于印发中小企业划型标准规定的通知》（工信部联企业[2011]300号）的规定为准。</w:t>
            </w:r>
          </w:p>
          <w:p w14:paraId="6A7616C1">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2、监狱企业制造的，提供省级以上监狱管理局、戒毒管理局（含新疆生产建设兵团）出具的属于监狱企业的证明文件原件的扫描件。</w:t>
            </w:r>
          </w:p>
          <w:p w14:paraId="26FA3C0F">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注：具体以《财政部 司法部关于政府采购支持监狱企业发展有关问题的通知》（财库〔2014〕68号）的规定为准。</w:t>
            </w:r>
          </w:p>
          <w:p w14:paraId="15B075B3">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3、享受政府采购支持政策的残疾人福利性单位制造的，提供《残疾人福利性单位声明函》（加盖电子签章，格式见招标文件第七章《投标文件相关格式》）。</w:t>
            </w:r>
          </w:p>
          <w:p w14:paraId="3932BD38">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享受政府采购支持政策的残疾人福利性单位应当同时满足以下条件：</w:t>
            </w:r>
          </w:p>
          <w:p w14:paraId="6E52A306">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①安置的残疾人占本单位在职职工人数的比例不低于25%（含25%），并且安置的残疾人人数不少于10人（含10人）；</w:t>
            </w:r>
          </w:p>
          <w:p w14:paraId="4CEDEB3D">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②依法与安置的每位残疾人签订了一年以上（含一年）的劳动合同或服务协议；</w:t>
            </w:r>
          </w:p>
          <w:p w14:paraId="2FAAF7F0">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③为安置的每位残疾人按月足额缴纳了基本养老保险、基本医疗保险、失业保险、工伤保险和生育保险等社会保险费；</w:t>
            </w:r>
          </w:p>
          <w:p w14:paraId="42149824">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④通过银行等金融机构向安置的每位残疾人，按月支付了不低于单位所在区县适用的经省级人民政府批准的月最低工资标准的工资；</w:t>
            </w:r>
          </w:p>
          <w:p w14:paraId="0B748923">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⑤提供本单位制造的货物、承担的工程或者服务（以下简称产品），或者提供其他残疾人福利性单位制造的货物（不包括使用非残疾人福利性单位注册商标的货物）。</w:t>
            </w:r>
          </w:p>
          <w:p w14:paraId="35F49280">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　　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07B1C439">
            <w:pPr>
              <w:pBdr>
                <w:top w:val="none" w:color="000000" w:sz="0" w:space="0"/>
                <w:left w:val="none" w:color="000000" w:sz="0" w:space="0"/>
                <w:bottom w:val="none" w:color="000000" w:sz="0" w:space="0"/>
                <w:right w:val="none" w:color="000000" w:sz="0" w:space="0"/>
              </w:pBdr>
              <w:rPr>
                <w:rFonts w:hint="eastAsia" w:ascii="宋体" w:hAnsi="宋体" w:eastAsia="宋体" w:cs="宋体"/>
                <w:b/>
                <w:bCs/>
                <w:color w:val="auto"/>
                <w:sz w:val="24"/>
                <w:szCs w:val="24"/>
              </w:rPr>
            </w:pPr>
            <w:r>
              <w:rPr>
                <w:rFonts w:hint="eastAsia" w:ascii="宋体" w:hAnsi="宋体" w:eastAsia="宋体" w:cs="宋体"/>
                <w:color w:val="auto"/>
                <w:sz w:val="24"/>
                <w:szCs w:val="24"/>
              </w:rPr>
              <w:t xml:space="preserve">   具体以《三部门联合发布关于促进残疾人就业政府采购政策的通知》（财库〔2017〕141号）规定为准。</w:t>
            </w:r>
          </w:p>
          <w:p w14:paraId="4EBB7E08">
            <w:pPr>
              <w:rPr>
                <w:rFonts w:hint="eastAsia" w:ascii="宋体" w:hAnsi="宋体" w:eastAsia="宋体" w:cs="宋体"/>
                <w:color w:val="auto"/>
                <w:sz w:val="24"/>
                <w:szCs w:val="24"/>
              </w:rPr>
            </w:pPr>
            <w:r>
              <w:rPr>
                <w:rFonts w:hint="eastAsia" w:ascii="宋体" w:hAnsi="宋体" w:eastAsia="宋体" w:cs="宋体"/>
                <w:b/>
                <w:color w:val="auto"/>
                <w:sz w:val="24"/>
                <w:szCs w:val="24"/>
              </w:rPr>
              <w:t>注</w:t>
            </w:r>
            <w:r>
              <w:rPr>
                <w:rFonts w:hint="eastAsia" w:ascii="宋体" w:hAnsi="宋体" w:eastAsia="宋体" w:cs="宋体"/>
                <w:color w:val="auto"/>
                <w:sz w:val="24"/>
                <w:szCs w:val="24"/>
              </w:rPr>
              <w:t>：</w:t>
            </w:r>
          </w:p>
          <w:p w14:paraId="65CAEABD">
            <w:pPr>
              <w:pBdr>
                <w:top w:val="none" w:color="000000" w:sz="0" w:space="0"/>
                <w:left w:val="none" w:color="000000" w:sz="0" w:space="0"/>
                <w:bottom w:val="none" w:color="000000" w:sz="0" w:space="0"/>
                <w:right w:val="none" w:color="000000" w:sz="0" w:space="0"/>
              </w:pBdr>
              <w:rPr>
                <w:rFonts w:hint="eastAsia" w:ascii="宋体" w:hAnsi="宋体" w:eastAsia="宋体" w:cs="宋体"/>
                <w:color w:val="auto"/>
                <w:sz w:val="24"/>
                <w:szCs w:val="24"/>
              </w:rPr>
            </w:pPr>
            <w:r>
              <w:rPr>
                <w:rFonts w:hint="eastAsia" w:ascii="宋体" w:hAnsi="宋体" w:eastAsia="宋体" w:cs="宋体"/>
                <w:color w:val="auto"/>
                <w:sz w:val="24"/>
                <w:szCs w:val="24"/>
              </w:rPr>
              <w:t>1、投标人应对以上文件的合法性、真实性负责。</w:t>
            </w:r>
          </w:p>
          <w:p w14:paraId="21A28E1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宋体" w:hAnsi="宋体" w:eastAsia="宋体" w:cs="宋体"/>
                <w:color w:val="auto"/>
                <w:sz w:val="24"/>
                <w:szCs w:val="24"/>
              </w:rPr>
              <w:t>2、签订合同前，中标人必须向采购人提交其投标文件中所有扫描件的原件，采购人核查无误后，签订合同。如中标人不能在采购人规定的时间内向采购人提供原件，将被采购人视为放弃中标资格。</w:t>
            </w:r>
          </w:p>
        </w:tc>
      </w:tr>
      <w:tr w14:paraId="671C0E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noWrap w:val="0"/>
            <w:tcMar>
              <w:top w:w="0" w:type="dxa"/>
              <w:left w:w="108" w:type="dxa"/>
              <w:bottom w:w="0" w:type="dxa"/>
              <w:right w:w="108" w:type="dxa"/>
            </w:tcMar>
          </w:tcPr>
          <w:p w14:paraId="0EE465B0">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(十三)2</w:t>
            </w:r>
          </w:p>
        </w:tc>
        <w:tc>
          <w:tcPr>
            <w:tcW w:w="4275" w:type="pct"/>
            <w:noWrap w:val="0"/>
            <w:tcMar>
              <w:top w:w="0" w:type="dxa"/>
              <w:left w:w="108" w:type="dxa"/>
              <w:bottom w:w="0" w:type="dxa"/>
              <w:right w:w="108" w:type="dxa"/>
            </w:tcMar>
          </w:tcPr>
          <w:p w14:paraId="523E152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商务条件见：</w:t>
            </w:r>
          </w:p>
          <w:p w14:paraId="1FA72C6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一、本文件第四章《评标标准》中《评分细则》。</w:t>
            </w:r>
          </w:p>
          <w:p w14:paraId="3FEFE98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二、本文件第三章《投标资料表》中(十二)1和(十二)2。</w:t>
            </w:r>
          </w:p>
        </w:tc>
      </w:tr>
      <w:tr w14:paraId="796FF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jc w:val="center"/>
        </w:trPr>
        <w:tc>
          <w:tcPr>
            <w:tcW w:w="724" w:type="pct"/>
            <w:noWrap w:val="0"/>
            <w:tcMar>
              <w:top w:w="0" w:type="dxa"/>
              <w:left w:w="108" w:type="dxa"/>
              <w:bottom w:w="0" w:type="dxa"/>
              <w:right w:w="108" w:type="dxa"/>
            </w:tcMar>
          </w:tcPr>
          <w:p w14:paraId="1A5A8DA1">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w:t>
            </w:r>
            <w:r>
              <w:rPr>
                <w:rFonts w:hint="eastAsia" w:asciiTheme="minorEastAsia" w:hAnsiTheme="minorEastAsia" w:eastAsiaTheme="minorEastAsia" w:cstheme="minorEastAsia"/>
                <w:color w:val="auto"/>
                <w:sz w:val="24"/>
                <w:szCs w:val="24"/>
                <w:lang w:val="en-US" w:eastAsia="zh-CN"/>
              </w:rPr>
              <w:t>三</w:t>
            </w:r>
            <w:r>
              <w:rPr>
                <w:rFonts w:hint="eastAsia" w:asciiTheme="minorEastAsia" w:hAnsiTheme="minorEastAsia" w:eastAsiaTheme="minorEastAsia" w:cstheme="minorEastAsia"/>
                <w:color w:val="auto"/>
                <w:sz w:val="24"/>
                <w:szCs w:val="24"/>
              </w:rPr>
              <w:t>)3</w:t>
            </w:r>
          </w:p>
        </w:tc>
        <w:tc>
          <w:tcPr>
            <w:tcW w:w="4275" w:type="pct"/>
            <w:noWrap w:val="0"/>
            <w:tcMar>
              <w:top w:w="0" w:type="dxa"/>
              <w:left w:w="108" w:type="dxa"/>
              <w:bottom w:w="0" w:type="dxa"/>
              <w:right w:w="108" w:type="dxa"/>
            </w:tcMar>
          </w:tcPr>
          <w:p w14:paraId="6B86BD6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交货和提供服务的时间：见本文件第五章 《拟签订的合同文本》及或本文件第六章《采购需求》。</w:t>
            </w:r>
          </w:p>
        </w:tc>
      </w:tr>
      <w:tr w14:paraId="4DC12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5" w:hRule="atLeast"/>
          <w:jc w:val="center"/>
        </w:trPr>
        <w:tc>
          <w:tcPr>
            <w:tcW w:w="724" w:type="pct"/>
            <w:noWrap w:val="0"/>
            <w:tcMar>
              <w:top w:w="0" w:type="dxa"/>
              <w:left w:w="108" w:type="dxa"/>
              <w:bottom w:w="0" w:type="dxa"/>
              <w:right w:w="108" w:type="dxa"/>
            </w:tcMar>
          </w:tcPr>
          <w:p w14:paraId="70433862">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(十</w:t>
            </w:r>
            <w:r>
              <w:rPr>
                <w:rFonts w:hint="eastAsia" w:asciiTheme="minorEastAsia" w:hAnsiTheme="minorEastAsia" w:eastAsiaTheme="minorEastAsia" w:cstheme="minorEastAsia"/>
                <w:color w:val="auto"/>
                <w:sz w:val="24"/>
                <w:szCs w:val="24"/>
                <w:lang w:val="en-US" w:eastAsia="zh-CN"/>
              </w:rPr>
              <w:t>四</w:t>
            </w:r>
            <w:r>
              <w:rPr>
                <w:rFonts w:hint="eastAsia" w:asciiTheme="minorEastAsia" w:hAnsiTheme="minorEastAsia" w:eastAsiaTheme="minorEastAsia" w:cstheme="minorEastAsia"/>
                <w:color w:val="auto"/>
                <w:sz w:val="24"/>
                <w:szCs w:val="24"/>
              </w:rPr>
              <w:t>)</w:t>
            </w:r>
          </w:p>
        </w:tc>
        <w:tc>
          <w:tcPr>
            <w:tcW w:w="4275" w:type="pct"/>
            <w:noWrap w:val="0"/>
            <w:tcMar>
              <w:top w:w="0" w:type="dxa"/>
              <w:left w:w="108" w:type="dxa"/>
              <w:bottom w:w="0" w:type="dxa"/>
              <w:right w:w="108" w:type="dxa"/>
            </w:tcMar>
          </w:tcPr>
          <w:p w14:paraId="2DE37F5E">
            <w:pPr>
              <w:rPr>
                <w:rFonts w:hint="eastAsia" w:asciiTheme="minorEastAsia" w:hAnsiTheme="minorEastAsia" w:eastAsiaTheme="minorEastAsia" w:cstheme="minorEastAsia"/>
                <w:b/>
                <w:bCs/>
                <w:color w:val="auto"/>
                <w:sz w:val="24"/>
                <w:szCs w:val="24"/>
                <w:highlight w:val="none"/>
              </w:rPr>
            </w:pPr>
            <w:r>
              <w:rPr>
                <w:rFonts w:hint="eastAsia" w:asciiTheme="minorEastAsia" w:hAnsiTheme="minorEastAsia" w:eastAsiaTheme="minorEastAsia" w:cstheme="minorEastAsia"/>
                <w:b/>
                <w:bCs/>
                <w:color w:val="auto"/>
                <w:sz w:val="24"/>
                <w:szCs w:val="24"/>
                <w:highlight w:val="none"/>
              </w:rPr>
              <w:t>本项目不接受超过人民币</w:t>
            </w:r>
            <w:r>
              <w:rPr>
                <w:rFonts w:hint="eastAsia" w:asciiTheme="minorEastAsia" w:hAnsiTheme="minorEastAsia" w:eastAsiaTheme="minorEastAsia" w:cstheme="minorEastAsia"/>
                <w:b/>
                <w:bCs/>
                <w:color w:val="auto"/>
                <w:sz w:val="24"/>
                <w:szCs w:val="24"/>
                <w:highlight w:val="none"/>
                <w:lang w:val="en-US" w:eastAsia="zh-CN"/>
              </w:rPr>
              <w:t>220</w:t>
            </w:r>
            <w:r>
              <w:rPr>
                <w:rFonts w:hint="eastAsia" w:asciiTheme="minorEastAsia" w:hAnsiTheme="minorEastAsia" w:eastAsiaTheme="minorEastAsia" w:cstheme="minorEastAsia"/>
                <w:b/>
                <w:bCs/>
                <w:color w:val="auto"/>
                <w:sz w:val="24"/>
                <w:szCs w:val="24"/>
                <w:highlight w:val="none"/>
              </w:rPr>
              <w:t>.00万元（项目采购预算）的投标报价。</w:t>
            </w:r>
          </w:p>
          <w:p w14:paraId="1075E0B3">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highlight w:val="none"/>
                <w:lang w:val="en-US" w:eastAsia="zh-CN"/>
              </w:rPr>
              <w:t>投标</w:t>
            </w:r>
            <w:r>
              <w:rPr>
                <w:rFonts w:hint="eastAsia" w:asciiTheme="minorEastAsia" w:hAnsiTheme="minorEastAsia" w:eastAsiaTheme="minorEastAsia" w:cstheme="minorEastAsia"/>
                <w:color w:val="auto"/>
                <w:sz w:val="24"/>
                <w:szCs w:val="24"/>
                <w:highlight w:val="none"/>
              </w:rPr>
              <w:t>报价包括产品价、税金、运费、安装调试、检验、保险、培训、售后服务、投标人的利润等全部费用，采购人不再支付报价以外的任何费用。</w:t>
            </w:r>
          </w:p>
        </w:tc>
      </w:tr>
      <w:tr w14:paraId="0F753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7" w:hRule="atLeast"/>
          <w:jc w:val="center"/>
        </w:trPr>
        <w:tc>
          <w:tcPr>
            <w:tcW w:w="724" w:type="pct"/>
            <w:noWrap w:val="0"/>
            <w:tcMar>
              <w:top w:w="0" w:type="dxa"/>
              <w:left w:w="108" w:type="dxa"/>
              <w:bottom w:w="0" w:type="dxa"/>
              <w:right w:w="108" w:type="dxa"/>
            </w:tcMar>
          </w:tcPr>
          <w:p w14:paraId="6A16377F">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w:t>
            </w:r>
            <w:r>
              <w:rPr>
                <w:rFonts w:hint="eastAsia" w:asciiTheme="minorEastAsia" w:hAnsiTheme="minorEastAsia" w:eastAsiaTheme="minorEastAsia" w:cstheme="minorEastAsia"/>
                <w:color w:val="auto"/>
                <w:sz w:val="24"/>
                <w:szCs w:val="24"/>
                <w:lang w:val="en-US" w:eastAsia="zh-CN"/>
              </w:rPr>
              <w:t>五</w:t>
            </w:r>
            <w:r>
              <w:rPr>
                <w:rFonts w:hint="eastAsia" w:asciiTheme="minorEastAsia" w:hAnsiTheme="minorEastAsia" w:eastAsiaTheme="minorEastAsia" w:cstheme="minorEastAsia"/>
                <w:color w:val="auto"/>
                <w:sz w:val="24"/>
                <w:szCs w:val="24"/>
              </w:rPr>
              <w:t>)</w:t>
            </w:r>
          </w:p>
        </w:tc>
        <w:tc>
          <w:tcPr>
            <w:tcW w:w="4275" w:type="pct"/>
            <w:noWrap w:val="0"/>
            <w:tcMar>
              <w:top w:w="0" w:type="dxa"/>
              <w:left w:w="108" w:type="dxa"/>
              <w:bottom w:w="0" w:type="dxa"/>
              <w:right w:w="108" w:type="dxa"/>
            </w:tcMar>
            <w:vAlign w:val="center"/>
          </w:tcPr>
          <w:p w14:paraId="1C3C9CD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以人民币报价。</w:t>
            </w:r>
          </w:p>
        </w:tc>
      </w:tr>
      <w:tr w14:paraId="11713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noWrap w:val="0"/>
            <w:tcMar>
              <w:top w:w="0" w:type="dxa"/>
              <w:left w:w="108" w:type="dxa"/>
              <w:bottom w:w="0" w:type="dxa"/>
              <w:right w:w="108" w:type="dxa"/>
            </w:tcMar>
          </w:tcPr>
          <w:p w14:paraId="58CCBB56">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（十七）</w:t>
            </w:r>
          </w:p>
        </w:tc>
        <w:tc>
          <w:tcPr>
            <w:tcW w:w="4275" w:type="pct"/>
            <w:noWrap w:val="0"/>
            <w:tcMar>
              <w:top w:w="0" w:type="dxa"/>
              <w:left w:w="108" w:type="dxa"/>
              <w:bottom w:w="0" w:type="dxa"/>
              <w:right w:w="108" w:type="dxa"/>
            </w:tcMar>
            <w:vAlign w:val="center"/>
          </w:tcPr>
          <w:p w14:paraId="2C26F67E">
            <w:pPr>
              <w:pBdr>
                <w:top w:val="none" w:color="000000" w:sz="0" w:space="0"/>
                <w:left w:val="none" w:color="000000" w:sz="0" w:space="0"/>
                <w:bottom w:val="none" w:color="000000" w:sz="0" w:space="0"/>
                <w:right w:val="none" w:color="000000" w:sz="0" w:space="0"/>
              </w:pBdr>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投标人须用政府采购客户端工具导入“苏采云”系统下载的采购文件（后缀）、供应商操作手册及政府采购客户端工具可通过“苏采云”系统（网址：</w:t>
            </w:r>
            <w:r>
              <w:rPr>
                <w:rFonts w:hint="eastAsia" w:asciiTheme="minorEastAsia" w:hAnsiTheme="minorEastAsia" w:eastAsiaTheme="minorEastAsia" w:cstheme="minorEastAsia"/>
                <w:color w:val="auto"/>
                <w:sz w:val="24"/>
                <w:szCs w:val="24"/>
              </w:rPr>
              <w:fldChar w:fldCharType="begin"/>
            </w:r>
            <w:r>
              <w:rPr>
                <w:rFonts w:hint="eastAsia" w:asciiTheme="minorEastAsia" w:hAnsiTheme="minorEastAsia" w:eastAsiaTheme="minorEastAsia" w:cstheme="minorEastAsia"/>
                <w:color w:val="auto"/>
                <w:sz w:val="24"/>
                <w:szCs w:val="24"/>
              </w:rPr>
              <w:instrText xml:space="preserve"> HYPERLINK "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 </w:instrText>
            </w:r>
            <w:r>
              <w:rPr>
                <w:rFonts w:hint="eastAsia" w:asciiTheme="minorEastAsia" w:hAnsiTheme="minorEastAsia" w:eastAsiaTheme="minorEastAsia" w:cstheme="minorEastAsia"/>
                <w:color w:val="auto"/>
                <w:sz w:val="24"/>
                <w:szCs w:val="24"/>
              </w:rPr>
              <w:fldChar w:fldCharType="separate"/>
            </w:r>
            <w:r>
              <w:rPr>
                <w:rStyle w:val="54"/>
                <w:rFonts w:hint="eastAsia" w:asciiTheme="minorEastAsia" w:hAnsiTheme="minorEastAsia" w:eastAsiaTheme="minorEastAsia" w:cstheme="minorEastAsia"/>
                <w:color w:val="auto"/>
                <w:sz w:val="24"/>
                <w:szCs w:val="24"/>
              </w:rPr>
              <w:t>http://jszfcg.jsczt.cn/）--已报名项目--报名详情页面内相应链接进行下载；供应商操作手册及政府采购客户端工具也可通过徐州政府采购网--业务工作--快速服务--下载专区，点击进入《江苏省政府采购管理交易系统（苏采云）供应商操作手册及政府采购客户端》，进行下载。</w:t>
            </w:r>
            <w:r>
              <w:rPr>
                <w:rStyle w:val="54"/>
                <w:rFonts w:hint="eastAsia" w:asciiTheme="minorEastAsia" w:hAnsiTheme="minorEastAsia" w:eastAsiaTheme="minorEastAsia" w:cstheme="minorEastAsia"/>
                <w:color w:val="auto"/>
                <w:sz w:val="24"/>
                <w:szCs w:val="24"/>
              </w:rPr>
              <w:fldChar w:fldCharType="end"/>
            </w:r>
          </w:p>
          <w:p w14:paraId="0632FE8A">
            <w:pPr>
              <w:pBdr>
                <w:top w:val="none" w:color="000000" w:sz="0" w:space="0"/>
                <w:left w:val="none" w:color="000000" w:sz="0" w:space="0"/>
                <w:bottom w:val="none" w:color="000000" w:sz="0" w:space="0"/>
                <w:right w:val="none" w:color="000000" w:sz="0" w:space="0"/>
              </w:pBdr>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投标人应当通过“苏采云”系统提交数据电文形式的投标文件（即电子投标）。</w:t>
            </w:r>
          </w:p>
          <w:p w14:paraId="4999C1C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特别说明：政府采购客户端工具需要导出加密的投标文件（后缀名为</w:t>
            </w:r>
            <w:r>
              <w:rPr>
                <w:rFonts w:hint="eastAsia" w:asciiTheme="minorEastAsia" w:hAnsiTheme="minorEastAsia" w:eastAsiaTheme="minorEastAsia" w:cstheme="minorEastAsia"/>
                <w:b/>
                <w:bCs/>
                <w:color w:val="auto"/>
                <w:sz w:val="24"/>
                <w:szCs w:val="24"/>
              </w:rPr>
              <w:t>zip</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b/>
                <w:bCs/>
                <w:color w:val="auto"/>
                <w:sz w:val="24"/>
                <w:szCs w:val="24"/>
              </w:rPr>
              <w:t>投标文件不得超过150M！</w:t>
            </w:r>
            <w:r>
              <w:rPr>
                <w:rFonts w:hint="eastAsia" w:asciiTheme="minorEastAsia" w:hAnsiTheme="minorEastAsia" w:eastAsiaTheme="minorEastAsia" w:cstheme="minorEastAsia"/>
                <w:color w:val="auto"/>
                <w:sz w:val="24"/>
                <w:szCs w:val="24"/>
              </w:rPr>
              <w:t>名为</w:t>
            </w:r>
            <w:r>
              <w:rPr>
                <w:rFonts w:hint="eastAsia" w:asciiTheme="minorEastAsia" w:hAnsiTheme="minorEastAsia" w:eastAsiaTheme="minorEastAsia" w:cstheme="minorEastAsia"/>
                <w:b/>
                <w:bCs/>
                <w:color w:val="auto"/>
                <w:sz w:val="24"/>
                <w:szCs w:val="24"/>
              </w:rPr>
              <w:t>“.kedt”</w:t>
            </w:r>
            <w:r>
              <w:rPr>
                <w:rFonts w:hint="eastAsia" w:asciiTheme="minorEastAsia" w:hAnsiTheme="minorEastAsia" w:eastAsiaTheme="minorEastAsia" w:cstheme="minorEastAsia"/>
                <w:color w:val="auto"/>
                <w:sz w:val="24"/>
                <w:szCs w:val="24"/>
              </w:rPr>
              <w:t>）后，离线编制投标文件。采购文件（后缀名为</w:t>
            </w:r>
            <w:r>
              <w:rPr>
                <w:rFonts w:hint="eastAsia" w:asciiTheme="minorEastAsia" w:hAnsiTheme="minorEastAsia" w:eastAsiaTheme="minorEastAsia" w:cstheme="minorEastAsia"/>
                <w:b/>
                <w:bCs/>
                <w:color w:val="auto"/>
                <w:sz w:val="24"/>
                <w:szCs w:val="24"/>
              </w:rPr>
              <w:t>“.kedt”）。</w:t>
            </w:r>
          </w:p>
        </w:tc>
      </w:tr>
      <w:tr w14:paraId="7A1720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noWrap w:val="0"/>
            <w:tcMar>
              <w:top w:w="0" w:type="dxa"/>
              <w:left w:w="108" w:type="dxa"/>
              <w:bottom w:w="0" w:type="dxa"/>
              <w:right w:w="108" w:type="dxa"/>
            </w:tcMar>
          </w:tcPr>
          <w:p w14:paraId="6A1EA092">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(十八)</w:t>
            </w:r>
            <w:r>
              <w:rPr>
                <w:rFonts w:hint="eastAsia" w:asciiTheme="minorEastAsia" w:hAnsiTheme="minorEastAsia" w:eastAsiaTheme="minorEastAsia" w:cstheme="minorEastAsia"/>
                <w:color w:val="auto"/>
                <w:sz w:val="24"/>
                <w:szCs w:val="24"/>
                <w:lang w:val="en-US" w:eastAsia="zh-CN"/>
              </w:rPr>
              <w:t>1</w:t>
            </w:r>
          </w:p>
        </w:tc>
        <w:tc>
          <w:tcPr>
            <w:tcW w:w="4275" w:type="pct"/>
            <w:noWrap w:val="0"/>
            <w:tcMar>
              <w:top w:w="0" w:type="dxa"/>
              <w:left w:w="108" w:type="dxa"/>
              <w:bottom w:w="0" w:type="dxa"/>
              <w:right w:w="108" w:type="dxa"/>
            </w:tcMar>
          </w:tcPr>
          <w:p w14:paraId="0B703148">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见本文件第三章《投标资料表》中(十二)1和(十二)2</w:t>
            </w:r>
          </w:p>
        </w:tc>
      </w:tr>
      <w:tr w14:paraId="1AF017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3ACF3A6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(十九)</w:t>
            </w:r>
          </w:p>
        </w:tc>
        <w:tc>
          <w:tcPr>
            <w:tcW w:w="4275" w:type="pct"/>
            <w:noWrap w:val="0"/>
            <w:tcMar>
              <w:top w:w="0" w:type="dxa"/>
              <w:left w:w="108" w:type="dxa"/>
              <w:bottom w:w="0" w:type="dxa"/>
              <w:right w:w="108" w:type="dxa"/>
            </w:tcMar>
          </w:tcPr>
          <w:p w14:paraId="0C347A44">
            <w:pPr>
              <w:pBdr>
                <w:top w:val="none" w:color="000000" w:sz="0" w:space="0"/>
                <w:left w:val="none" w:color="000000" w:sz="0" w:space="0"/>
                <w:bottom w:val="none" w:color="000000" w:sz="0" w:space="0"/>
                <w:right w:val="none" w:color="000000" w:sz="0" w:space="0"/>
              </w:pBdr>
              <w:ind w:left="560" w:hanging="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投标文件的提交与接收： </w:t>
            </w:r>
          </w:p>
          <w:p w14:paraId="09E11F4F">
            <w:pPr>
              <w:pBdr>
                <w:top w:val="none" w:color="000000" w:sz="0" w:space="0"/>
                <w:left w:val="none" w:color="000000" w:sz="0" w:space="0"/>
                <w:bottom w:val="none" w:color="000000" w:sz="0" w:space="0"/>
                <w:right w:val="none" w:color="000000" w:sz="0" w:space="0"/>
              </w:pBdr>
              <w:ind w:left="564" w:hanging="157"/>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1、投标文件提交与接收时间：202</w:t>
            </w:r>
            <w:r>
              <w:rPr>
                <w:rFonts w:hint="eastAsia" w:asciiTheme="minorEastAsia" w:hAnsiTheme="minorEastAsia" w:eastAsiaTheme="minorEastAsia" w:cstheme="minorEastAsia"/>
                <w:b/>
                <w:bCs/>
                <w:color w:val="auto"/>
                <w:sz w:val="24"/>
                <w:szCs w:val="24"/>
                <w:lang w:val="en-US" w:eastAsia="zh-CN"/>
              </w:rPr>
              <w:t>6</w:t>
            </w:r>
            <w:r>
              <w:rPr>
                <w:rFonts w:hint="eastAsia" w:asciiTheme="minorEastAsia" w:hAnsiTheme="minorEastAsia" w:eastAsiaTheme="minorEastAsia" w:cstheme="minorEastAsia"/>
                <w:b/>
                <w:bCs/>
                <w:color w:val="auto"/>
                <w:sz w:val="24"/>
                <w:szCs w:val="24"/>
              </w:rPr>
              <w:t>年</w:t>
            </w:r>
            <w:r>
              <w:rPr>
                <w:rFonts w:hint="eastAsia" w:asciiTheme="minorEastAsia" w:hAnsiTheme="minorEastAsia" w:eastAsiaTheme="minorEastAsia" w:cstheme="minorEastAsia"/>
                <w:b/>
                <w:bCs/>
                <w:color w:val="auto"/>
                <w:sz w:val="24"/>
                <w:szCs w:val="24"/>
                <w:u w:val="single"/>
              </w:rPr>
              <w:t xml:space="preserve"> </w:t>
            </w:r>
            <w:r>
              <w:rPr>
                <w:rFonts w:hint="eastAsia" w:asciiTheme="minorEastAsia" w:hAnsiTheme="minorEastAsia" w:eastAsiaTheme="minorEastAsia" w:cstheme="minorEastAsia"/>
                <w:b/>
                <w:bCs/>
                <w:color w:val="auto"/>
                <w:sz w:val="24"/>
                <w:szCs w:val="24"/>
                <w:u w:val="single"/>
                <w:lang w:val="en-US" w:eastAsia="zh-CN"/>
              </w:rPr>
              <w:t>8</w:t>
            </w:r>
            <w:r>
              <w:rPr>
                <w:rFonts w:hint="eastAsia" w:asciiTheme="minorEastAsia" w:hAnsiTheme="minorEastAsia" w:eastAsiaTheme="minorEastAsia" w:cstheme="minorEastAsia"/>
                <w:b/>
                <w:bCs/>
                <w:color w:val="auto"/>
                <w:sz w:val="24"/>
                <w:szCs w:val="24"/>
                <w:u w:val="single"/>
              </w:rPr>
              <w:t xml:space="preserve"> </w:t>
            </w:r>
            <w:r>
              <w:rPr>
                <w:rFonts w:hint="eastAsia" w:asciiTheme="minorEastAsia" w:hAnsiTheme="minorEastAsia" w:eastAsiaTheme="minorEastAsia" w:cstheme="minorEastAsia"/>
                <w:b/>
                <w:bCs/>
                <w:color w:val="auto"/>
                <w:sz w:val="24"/>
                <w:szCs w:val="24"/>
              </w:rPr>
              <w:t>月</w:t>
            </w:r>
            <w:r>
              <w:rPr>
                <w:rFonts w:hint="eastAsia" w:asciiTheme="minorEastAsia" w:hAnsiTheme="minorEastAsia" w:eastAsiaTheme="minorEastAsia" w:cstheme="minorEastAsia"/>
                <w:b/>
                <w:bCs/>
                <w:color w:val="auto"/>
                <w:sz w:val="24"/>
                <w:szCs w:val="24"/>
                <w:u w:val="single"/>
              </w:rPr>
              <w:t xml:space="preserve"> </w:t>
            </w:r>
            <w:r>
              <w:rPr>
                <w:rFonts w:hint="eastAsia" w:asciiTheme="minorEastAsia" w:hAnsiTheme="minorEastAsia" w:eastAsiaTheme="minorEastAsia" w:cstheme="minorEastAsia"/>
                <w:b/>
                <w:bCs/>
                <w:color w:val="auto"/>
                <w:sz w:val="24"/>
                <w:szCs w:val="24"/>
                <w:u w:val="single"/>
                <w:lang w:val="en-US" w:eastAsia="zh-CN"/>
              </w:rPr>
              <w:t xml:space="preserve">6 </w:t>
            </w:r>
            <w:r>
              <w:rPr>
                <w:rFonts w:hint="eastAsia" w:asciiTheme="minorEastAsia" w:hAnsiTheme="minorEastAsia" w:eastAsiaTheme="minorEastAsia" w:cstheme="minorEastAsia"/>
                <w:b/>
                <w:bCs/>
                <w:color w:val="auto"/>
                <w:sz w:val="24"/>
                <w:szCs w:val="24"/>
              </w:rPr>
              <w:t>日9：30前。</w:t>
            </w:r>
          </w:p>
          <w:p w14:paraId="615C0383">
            <w:pPr>
              <w:pBdr>
                <w:top w:val="none" w:color="000000" w:sz="0" w:space="0"/>
                <w:left w:val="none" w:color="000000" w:sz="0" w:space="0"/>
                <w:bottom w:val="none" w:color="000000" w:sz="0" w:space="0"/>
                <w:right w:val="none" w:color="000000" w:sz="0" w:space="0"/>
              </w:pBdr>
              <w:ind w:firstLine="48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2、投标文件提交与接收地点：</w:t>
            </w:r>
            <w:r>
              <w:rPr>
                <w:rFonts w:hint="eastAsia" w:asciiTheme="minorEastAsia" w:hAnsiTheme="minorEastAsia" w:eastAsiaTheme="minorEastAsia" w:cstheme="minorEastAsia"/>
                <w:color w:val="auto"/>
                <w:sz w:val="24"/>
                <w:szCs w:val="24"/>
              </w:rPr>
              <w:t>投标人应当通过“苏采云”系统提交数据电文形式的投标文件（即电子投标），“苏采云”系统自动接收。</w:t>
            </w:r>
          </w:p>
        </w:tc>
      </w:tr>
      <w:tr w14:paraId="666B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restart"/>
            <w:noWrap w:val="0"/>
            <w:tcMar>
              <w:top w:w="0" w:type="dxa"/>
              <w:left w:w="108" w:type="dxa"/>
              <w:bottom w:w="0" w:type="dxa"/>
              <w:right w:w="108" w:type="dxa"/>
            </w:tcMar>
          </w:tcPr>
          <w:p w14:paraId="28C91AFF">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（二十）</w:t>
            </w:r>
          </w:p>
        </w:tc>
        <w:tc>
          <w:tcPr>
            <w:tcW w:w="4275" w:type="pct"/>
            <w:noWrap w:val="0"/>
            <w:tcMar>
              <w:top w:w="0" w:type="dxa"/>
              <w:left w:w="108" w:type="dxa"/>
              <w:bottom w:w="0" w:type="dxa"/>
              <w:right w:w="108" w:type="dxa"/>
            </w:tcMar>
          </w:tcPr>
          <w:p w14:paraId="4A0EF91E">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电子投标文件应由其法定代表人或法定代表人授权代表在规定的网上投标时间内，</w:t>
            </w:r>
            <w:r>
              <w:rPr>
                <w:rFonts w:hint="eastAsia" w:asciiTheme="minorEastAsia" w:hAnsiTheme="minorEastAsia" w:eastAsiaTheme="minorEastAsia" w:cstheme="minorEastAsia"/>
                <w:b/>
                <w:color w:val="auto"/>
                <w:sz w:val="24"/>
                <w:szCs w:val="24"/>
              </w:rPr>
              <w:t>凭 CA 证书登陆“苏采云”系统在线编制投标文件（电子数据），并在投标截止时间之前上传投标文件。并于开标时凭CA锁进行解密。</w:t>
            </w:r>
          </w:p>
        </w:tc>
      </w:tr>
      <w:tr w14:paraId="793E0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continue"/>
            <w:shd w:val="clear" w:color="auto" w:fill="auto"/>
            <w:noWrap w:val="0"/>
            <w:tcMar>
              <w:top w:w="0" w:type="dxa"/>
              <w:left w:w="108" w:type="dxa"/>
              <w:bottom w:w="0" w:type="dxa"/>
              <w:right w:w="108" w:type="dxa"/>
            </w:tcMar>
            <w:vAlign w:val="top"/>
          </w:tcPr>
          <w:p w14:paraId="0198202D">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p>
        </w:tc>
        <w:tc>
          <w:tcPr>
            <w:tcW w:w="4275" w:type="pct"/>
            <w:shd w:val="clear" w:color="auto" w:fill="auto"/>
            <w:noWrap w:val="0"/>
            <w:tcMar>
              <w:top w:w="0" w:type="dxa"/>
              <w:left w:w="108" w:type="dxa"/>
              <w:bottom w:w="0" w:type="dxa"/>
              <w:right w:w="108" w:type="dxa"/>
            </w:tcMar>
            <w:vAlign w:val="top"/>
          </w:tcPr>
          <w:p w14:paraId="3EA296C2">
            <w:pPr>
              <w:widowControl/>
              <w:ind w:firstLine="480"/>
              <w:jc w:val="left"/>
              <w:rPr>
                <w:rFonts w:ascii="宋体" w:hAnsi="宋体" w:cs="宋体"/>
                <w:color w:val="auto"/>
                <w:sz w:val="24"/>
              </w:rPr>
            </w:pPr>
            <w:r>
              <w:rPr>
                <w:rFonts w:hint="eastAsia" w:ascii="宋体" w:hAnsi="宋体" w:cs="宋体"/>
                <w:color w:val="auto"/>
                <w:sz w:val="24"/>
              </w:rPr>
              <w:t>线上开标时，“苏采云”系统自动提取所有投标文件，投标人按招标文件规定方式按时在线解密。本项目招标文件规定的投标人按时在线解密方式：</w:t>
            </w:r>
            <w:r>
              <w:rPr>
                <w:rFonts w:hint="eastAsia" w:ascii="宋体" w:hAnsi="宋体" w:cs="宋体"/>
                <w:b/>
                <w:bCs/>
                <w:color w:val="auto"/>
                <w:sz w:val="24"/>
              </w:rPr>
              <w:t>开标时间后</w:t>
            </w:r>
            <w:r>
              <w:rPr>
                <w:rFonts w:hint="eastAsia" w:ascii="宋体" w:hAnsi="宋体" w:cs="宋体"/>
                <w:color w:val="auto"/>
                <w:sz w:val="24"/>
              </w:rPr>
              <w:t>，通过“苏采云”系统（使用“CA数字证书”）解密。解密时限：进入解密环节后，</w:t>
            </w:r>
            <w:r>
              <w:rPr>
                <w:rFonts w:hint="eastAsia" w:ascii="宋体" w:hAnsi="宋体" w:cs="宋体"/>
                <w:b/>
                <w:bCs/>
                <w:color w:val="auto"/>
                <w:sz w:val="24"/>
              </w:rPr>
              <w:t>30分钟内。</w:t>
            </w:r>
          </w:p>
          <w:p w14:paraId="62901459">
            <w:pPr>
              <w:widowControl/>
              <w:ind w:firstLine="480"/>
              <w:jc w:val="left"/>
              <w:rPr>
                <w:rFonts w:ascii="宋体" w:hAnsi="宋体" w:cs="宋体"/>
                <w:color w:val="auto"/>
                <w:sz w:val="24"/>
              </w:rPr>
            </w:pPr>
            <w:r>
              <w:rPr>
                <w:rFonts w:hint="eastAsia" w:ascii="宋体" w:hAnsi="宋体" w:cs="宋体"/>
                <w:color w:val="auto"/>
                <w:sz w:val="24"/>
              </w:rPr>
              <w:t>所有投标人解密（或解密时间）结束后，应当向所有投标人公布投标人名称、投标价格和招标文件规定的其他内容。本项目招标文件规定的需要宣布的内容：投标人名称和投标价格；本项目招标文件规定的其他内容：无。</w:t>
            </w:r>
          </w:p>
          <w:p w14:paraId="3B79936E">
            <w:pPr>
              <w:widowControl/>
              <w:ind w:firstLine="480"/>
              <w:jc w:val="left"/>
              <w:rPr>
                <w:rFonts w:hint="eastAsia" w:ascii="宋体" w:hAnsi="宋体" w:eastAsia="宋体" w:cs="宋体"/>
                <w:color w:val="auto"/>
                <w:sz w:val="24"/>
                <w:szCs w:val="24"/>
                <w:lang w:val="en-US" w:eastAsia="zh-CN" w:bidi="ar-SA"/>
              </w:rPr>
            </w:pPr>
            <w:r>
              <w:rPr>
                <w:rFonts w:hint="eastAsia" w:ascii="宋体" w:hAnsi="宋体" w:cs="宋体"/>
                <w:bCs/>
                <w:color w:val="auto"/>
                <w:sz w:val="24"/>
              </w:rPr>
              <w:t>“苏采云”系统生成开标记录并向社会公众公布，但依法应当保密的除外。</w:t>
            </w:r>
          </w:p>
        </w:tc>
      </w:tr>
      <w:tr w14:paraId="7842F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continue"/>
            <w:shd w:val="clear" w:color="auto" w:fill="auto"/>
            <w:noWrap w:val="0"/>
            <w:tcMar>
              <w:top w:w="0" w:type="dxa"/>
              <w:left w:w="108" w:type="dxa"/>
              <w:bottom w:w="0" w:type="dxa"/>
              <w:right w:w="108" w:type="dxa"/>
            </w:tcMar>
            <w:vAlign w:val="top"/>
          </w:tcPr>
          <w:p w14:paraId="0C164919">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p>
        </w:tc>
        <w:tc>
          <w:tcPr>
            <w:tcW w:w="4275" w:type="pct"/>
            <w:shd w:val="clear" w:color="auto" w:fill="auto"/>
            <w:noWrap w:val="0"/>
            <w:tcMar>
              <w:top w:w="0" w:type="dxa"/>
              <w:left w:w="108" w:type="dxa"/>
              <w:bottom w:w="0" w:type="dxa"/>
              <w:right w:w="108" w:type="dxa"/>
            </w:tcMar>
            <w:vAlign w:val="top"/>
          </w:tcPr>
          <w:p w14:paraId="343CC65D">
            <w:pPr>
              <w:widowControl/>
              <w:ind w:firstLine="480"/>
              <w:jc w:val="left"/>
              <w:rPr>
                <w:rFonts w:hint="eastAsia" w:ascii="宋体" w:hAnsi="宋体" w:eastAsia="宋体" w:cs="宋体"/>
                <w:color w:val="auto"/>
                <w:sz w:val="24"/>
                <w:szCs w:val="24"/>
                <w:lang w:val="en-US" w:eastAsia="zh-CN" w:bidi="ar-SA"/>
              </w:rPr>
            </w:pPr>
            <w:r>
              <w:rPr>
                <w:rFonts w:hint="eastAsia" w:ascii="宋体" w:hAnsi="宋体" w:cs="宋体"/>
                <w:color w:val="auto"/>
                <w:sz w:val="24"/>
              </w:rPr>
              <w:t>“苏采云”系统生成开标记录并</w:t>
            </w:r>
            <w:r>
              <w:rPr>
                <w:rFonts w:hint="eastAsia" w:ascii="宋体" w:hAnsi="宋体" w:cs="宋体"/>
                <w:b/>
                <w:bCs/>
                <w:color w:val="auto"/>
                <w:sz w:val="24"/>
              </w:rPr>
              <w:t>向社会公众公布后5分钟内</w:t>
            </w:r>
            <w:r>
              <w:rPr>
                <w:rFonts w:hint="eastAsia" w:ascii="宋体" w:hAnsi="宋体" w:cs="宋体"/>
                <w:color w:val="auto"/>
                <w:sz w:val="24"/>
              </w:rPr>
              <w:t>，投标人通过“苏采云”系统（使用“CA数字证书”）</w:t>
            </w:r>
            <w:r>
              <w:rPr>
                <w:rFonts w:hint="eastAsia" w:ascii="宋体" w:hAnsi="宋体" w:cs="宋体"/>
                <w:b/>
                <w:bCs/>
                <w:color w:val="auto"/>
                <w:sz w:val="24"/>
              </w:rPr>
              <w:t>确认开标过程</w:t>
            </w:r>
            <w:r>
              <w:rPr>
                <w:rFonts w:hint="eastAsia" w:ascii="宋体" w:hAnsi="宋体" w:cs="宋体"/>
                <w:color w:val="auto"/>
                <w:sz w:val="24"/>
              </w:rPr>
              <w:t>。在以上时间内投标人没有确认的，视同该投标人认可开标结果。</w:t>
            </w:r>
          </w:p>
        </w:tc>
      </w:tr>
      <w:tr w14:paraId="545A6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continue"/>
            <w:shd w:val="clear" w:color="auto" w:fill="auto"/>
            <w:noWrap w:val="0"/>
            <w:tcMar>
              <w:top w:w="0" w:type="dxa"/>
              <w:left w:w="108" w:type="dxa"/>
              <w:bottom w:w="0" w:type="dxa"/>
              <w:right w:w="108" w:type="dxa"/>
            </w:tcMar>
            <w:vAlign w:val="top"/>
          </w:tcPr>
          <w:p w14:paraId="2BE38938">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p>
        </w:tc>
        <w:tc>
          <w:tcPr>
            <w:tcW w:w="4275" w:type="pct"/>
            <w:shd w:val="clear" w:color="auto" w:fill="auto"/>
            <w:noWrap w:val="0"/>
            <w:tcMar>
              <w:top w:w="0" w:type="dxa"/>
              <w:left w:w="108" w:type="dxa"/>
              <w:bottom w:w="0" w:type="dxa"/>
              <w:right w:w="108" w:type="dxa"/>
            </w:tcMar>
            <w:vAlign w:val="top"/>
          </w:tcPr>
          <w:p w14:paraId="0FB5EE03">
            <w:pPr>
              <w:widowControl/>
              <w:ind w:firstLine="480"/>
              <w:jc w:val="left"/>
              <w:rPr>
                <w:rFonts w:hint="eastAsia" w:ascii="宋体" w:hAnsi="宋体" w:eastAsia="宋体" w:cs="宋体"/>
                <w:color w:val="auto"/>
                <w:sz w:val="24"/>
                <w:szCs w:val="24"/>
                <w:lang w:val="en-US" w:eastAsia="zh-CN" w:bidi="ar-SA"/>
              </w:rPr>
            </w:pPr>
            <w:r>
              <w:rPr>
                <w:rFonts w:hint="eastAsia" w:ascii="宋体" w:hAnsi="宋体" w:cs="宋体"/>
                <w:color w:val="auto"/>
                <w:sz w:val="24"/>
              </w:rPr>
              <w:t>因投标人原因造成投标文件未解密的，视为撤销其投标文件;因投标人之外的原因造成投标文件未解密的，视为撤回其投标文件，投标人有权要求责任方（如责任方为“苏采云”系统，“苏采云”系统免责）赔偿因此遭受的直接损失。部分投标文件未解密的，其他投标文件的开标可以继续进行。</w:t>
            </w:r>
          </w:p>
        </w:tc>
      </w:tr>
      <w:tr w14:paraId="716E53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continue"/>
            <w:shd w:val="clear" w:color="auto" w:fill="auto"/>
            <w:noWrap w:val="0"/>
            <w:tcMar>
              <w:top w:w="0" w:type="dxa"/>
              <w:left w:w="108" w:type="dxa"/>
              <w:bottom w:w="0" w:type="dxa"/>
              <w:right w:w="108" w:type="dxa"/>
            </w:tcMar>
            <w:vAlign w:val="top"/>
          </w:tcPr>
          <w:p w14:paraId="57D6C1D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p>
        </w:tc>
        <w:tc>
          <w:tcPr>
            <w:tcW w:w="4275" w:type="pct"/>
            <w:shd w:val="clear" w:color="auto" w:fill="auto"/>
            <w:noWrap w:val="0"/>
            <w:tcMar>
              <w:top w:w="0" w:type="dxa"/>
              <w:left w:w="108" w:type="dxa"/>
              <w:bottom w:w="0" w:type="dxa"/>
              <w:right w:w="108" w:type="dxa"/>
            </w:tcMar>
            <w:vAlign w:val="top"/>
          </w:tcPr>
          <w:p w14:paraId="75F2DA08">
            <w:pPr>
              <w:pStyle w:val="37"/>
              <w:shd w:val="clear" w:color="auto" w:fill="FFFFFF"/>
              <w:spacing w:before="0" w:beforeAutospacing="0" w:after="0" w:afterAutospacing="0"/>
              <w:ind w:firstLine="480"/>
              <w:rPr>
                <w:rFonts w:hint="eastAsia" w:ascii="宋体" w:hAnsi="宋体" w:eastAsia="宋体" w:cs="宋体"/>
                <w:color w:val="auto"/>
                <w:sz w:val="24"/>
                <w:szCs w:val="24"/>
                <w:lang w:val="en-US" w:eastAsia="zh-CN" w:bidi="ar-SA"/>
              </w:rPr>
            </w:pPr>
            <w:r>
              <w:rPr>
                <w:rFonts w:hint="eastAsia"/>
                <w:color w:val="auto"/>
              </w:rPr>
              <w:t>投标文件解密失败的补救方案</w:t>
            </w:r>
            <w:r>
              <w:rPr>
                <w:rFonts w:hint="eastAsia"/>
                <w:color w:val="auto"/>
                <w:lang w:eastAsia="zh-CN"/>
              </w:rPr>
              <w:t>：</w:t>
            </w:r>
            <w:r>
              <w:rPr>
                <w:rFonts w:hint="eastAsia"/>
                <w:color w:val="auto"/>
              </w:rPr>
              <w:t>无。</w:t>
            </w:r>
          </w:p>
        </w:tc>
      </w:tr>
      <w:tr w14:paraId="5FF2D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shd w:val="clear" w:color="auto" w:fill="auto"/>
            <w:noWrap w:val="0"/>
            <w:tcMar>
              <w:top w:w="0" w:type="dxa"/>
              <w:left w:w="108" w:type="dxa"/>
              <w:bottom w:w="0" w:type="dxa"/>
              <w:right w:w="108" w:type="dxa"/>
            </w:tcMar>
            <w:vAlign w:val="top"/>
          </w:tcPr>
          <w:p w14:paraId="7CD6A515">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四</w:t>
            </w:r>
          </w:p>
        </w:tc>
        <w:tc>
          <w:tcPr>
            <w:tcW w:w="4275" w:type="pct"/>
            <w:shd w:val="clear" w:color="auto" w:fill="auto"/>
            <w:noWrap w:val="0"/>
            <w:tcMar>
              <w:top w:w="0" w:type="dxa"/>
              <w:left w:w="108" w:type="dxa"/>
              <w:bottom w:w="0" w:type="dxa"/>
              <w:right w:w="108" w:type="dxa"/>
            </w:tcMar>
            <w:vAlign w:val="top"/>
          </w:tcPr>
          <w:p w14:paraId="33AA51B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开标</w:t>
            </w:r>
          </w:p>
        </w:tc>
      </w:tr>
      <w:tr w14:paraId="7595F3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shd w:val="clear" w:color="auto" w:fill="auto"/>
            <w:noWrap w:val="0"/>
            <w:tcMar>
              <w:top w:w="0" w:type="dxa"/>
              <w:left w:w="108" w:type="dxa"/>
              <w:bottom w:w="0" w:type="dxa"/>
              <w:right w:w="108" w:type="dxa"/>
            </w:tcMar>
            <w:vAlign w:val="top"/>
          </w:tcPr>
          <w:p w14:paraId="34A5DAB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(二十五)1</w:t>
            </w:r>
          </w:p>
        </w:tc>
        <w:tc>
          <w:tcPr>
            <w:tcW w:w="4275" w:type="pct"/>
            <w:shd w:val="clear" w:color="auto" w:fill="auto"/>
            <w:noWrap w:val="0"/>
            <w:tcMar>
              <w:top w:w="0" w:type="dxa"/>
              <w:left w:w="108" w:type="dxa"/>
              <w:bottom w:w="0" w:type="dxa"/>
              <w:right w:w="108" w:type="dxa"/>
            </w:tcMar>
            <w:vAlign w:val="center"/>
          </w:tcPr>
          <w:p w14:paraId="359B884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开标时间及地点：</w:t>
            </w:r>
          </w:p>
          <w:p w14:paraId="2C25208F">
            <w:pPr>
              <w:pBdr>
                <w:top w:val="none" w:color="000000" w:sz="0" w:space="0"/>
                <w:left w:val="none" w:color="000000" w:sz="0" w:space="0"/>
                <w:bottom w:val="none" w:color="000000" w:sz="0" w:space="0"/>
                <w:right w:val="none" w:color="000000" w:sz="0" w:space="0"/>
              </w:pBdr>
              <w:ind w:firstLine="48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1、开标时间：</w:t>
            </w:r>
            <w:r>
              <w:rPr>
                <w:rFonts w:hint="eastAsia" w:asciiTheme="minorEastAsia" w:hAnsiTheme="minorEastAsia" w:eastAsiaTheme="minorEastAsia" w:cstheme="minorEastAsia"/>
                <w:b/>
                <w:color w:val="auto"/>
                <w:sz w:val="24"/>
                <w:szCs w:val="24"/>
              </w:rPr>
              <w:t>202</w:t>
            </w:r>
            <w:r>
              <w:rPr>
                <w:rFonts w:hint="eastAsia" w:asciiTheme="minorEastAsia" w:hAnsiTheme="minorEastAsia" w:eastAsiaTheme="minorEastAsia" w:cstheme="minorEastAsia"/>
                <w:b/>
                <w:color w:val="auto"/>
                <w:sz w:val="24"/>
                <w:szCs w:val="24"/>
                <w:lang w:val="en-US" w:eastAsia="zh-CN"/>
              </w:rPr>
              <w:t>6</w:t>
            </w:r>
            <w:r>
              <w:rPr>
                <w:rFonts w:hint="eastAsia" w:asciiTheme="minorEastAsia" w:hAnsiTheme="minorEastAsia" w:eastAsiaTheme="minorEastAsia" w:cstheme="minorEastAsia"/>
                <w:b/>
                <w:color w:val="auto"/>
                <w:sz w:val="24"/>
                <w:szCs w:val="24"/>
              </w:rPr>
              <w:t>年</w:t>
            </w:r>
            <w:r>
              <w:rPr>
                <w:rFonts w:hint="eastAsia" w:asciiTheme="minorEastAsia" w:hAnsiTheme="minorEastAsia" w:eastAsiaTheme="minorEastAsia" w:cstheme="minorEastAsia"/>
                <w:b/>
                <w:color w:val="auto"/>
                <w:sz w:val="24"/>
                <w:szCs w:val="24"/>
                <w:u w:val="single"/>
              </w:rPr>
              <w:t xml:space="preserve"> </w:t>
            </w:r>
            <w:r>
              <w:rPr>
                <w:rFonts w:hint="eastAsia" w:asciiTheme="minorEastAsia" w:hAnsiTheme="minorEastAsia" w:eastAsiaTheme="minorEastAsia" w:cstheme="minorEastAsia"/>
                <w:b/>
                <w:color w:val="auto"/>
                <w:sz w:val="24"/>
                <w:szCs w:val="24"/>
                <w:u w:val="single"/>
                <w:lang w:val="en-US" w:eastAsia="zh-CN"/>
              </w:rPr>
              <w:t>8</w:t>
            </w:r>
            <w:r>
              <w:rPr>
                <w:rFonts w:hint="eastAsia" w:asciiTheme="minorEastAsia" w:hAnsiTheme="minorEastAsia" w:eastAsiaTheme="minorEastAsia" w:cstheme="minorEastAsia"/>
                <w:b/>
                <w:color w:val="auto"/>
                <w:sz w:val="24"/>
                <w:szCs w:val="24"/>
                <w:u w:val="single"/>
              </w:rPr>
              <w:t xml:space="preserve"> </w:t>
            </w:r>
            <w:r>
              <w:rPr>
                <w:rFonts w:hint="eastAsia" w:asciiTheme="minorEastAsia" w:hAnsiTheme="minorEastAsia" w:eastAsiaTheme="minorEastAsia" w:cstheme="minorEastAsia"/>
                <w:b/>
                <w:color w:val="auto"/>
                <w:sz w:val="24"/>
                <w:szCs w:val="24"/>
              </w:rPr>
              <w:t>月</w:t>
            </w:r>
            <w:r>
              <w:rPr>
                <w:rFonts w:hint="eastAsia" w:asciiTheme="minorEastAsia" w:hAnsiTheme="minorEastAsia" w:eastAsiaTheme="minorEastAsia" w:cstheme="minorEastAsia"/>
                <w:b/>
                <w:color w:val="auto"/>
                <w:sz w:val="24"/>
                <w:szCs w:val="24"/>
                <w:u w:val="single"/>
              </w:rPr>
              <w:t xml:space="preserve"> </w:t>
            </w:r>
            <w:r>
              <w:rPr>
                <w:rFonts w:hint="eastAsia" w:asciiTheme="minorEastAsia" w:hAnsiTheme="minorEastAsia" w:eastAsiaTheme="minorEastAsia" w:cstheme="minorEastAsia"/>
                <w:b/>
                <w:color w:val="auto"/>
                <w:sz w:val="24"/>
                <w:szCs w:val="24"/>
                <w:u w:val="single"/>
                <w:lang w:val="en-US" w:eastAsia="zh-CN"/>
              </w:rPr>
              <w:t xml:space="preserve">6 </w:t>
            </w:r>
            <w:r>
              <w:rPr>
                <w:rFonts w:hint="eastAsia" w:asciiTheme="minorEastAsia" w:hAnsiTheme="minorEastAsia" w:eastAsiaTheme="minorEastAsia" w:cstheme="minorEastAsia"/>
                <w:b/>
                <w:color w:val="auto"/>
                <w:sz w:val="24"/>
                <w:szCs w:val="24"/>
              </w:rPr>
              <w:t>日09：30（标准时间）</w:t>
            </w:r>
          </w:p>
          <w:p w14:paraId="109279D0">
            <w:pPr>
              <w:keepNext w:val="0"/>
              <w:keepLines w:val="0"/>
              <w:pageBreakBefore w:val="0"/>
              <w:widowControl w:val="0"/>
              <w:pBdr>
                <w:top w:val="none" w:color="000000" w:sz="0" w:space="0"/>
                <w:left w:val="none" w:color="000000" w:sz="0" w:space="0"/>
                <w:bottom w:val="none" w:color="000000" w:sz="0" w:space="0"/>
                <w:right w:val="none" w:color="000000" w:sz="0" w:space="0"/>
              </w:pBdr>
              <w:ind w:firstLine="482"/>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b/>
                <w:bCs/>
                <w:color w:val="auto"/>
                <w:sz w:val="24"/>
                <w:szCs w:val="24"/>
              </w:rPr>
              <w:t>2、开标地点：</w:t>
            </w:r>
            <w:r>
              <w:rPr>
                <w:rFonts w:hint="eastAsia" w:asciiTheme="minorEastAsia" w:hAnsiTheme="minorEastAsia" w:eastAsiaTheme="minorEastAsia" w:cstheme="minorEastAsia"/>
                <w:color w:val="auto"/>
                <w:sz w:val="24"/>
                <w:szCs w:val="24"/>
              </w:rPr>
              <w:t>“苏采云”系统（网址： http://jszfcg.jsczt.cn/）“开标大厅”或进入徐州政府采购网（网址：https://czj.xz.gov.cn/zfcg/index.html）--办事指南--供应商--供应商登录入口，点击“苏采云”进入系统“开标大厅”。</w:t>
            </w:r>
          </w:p>
        </w:tc>
      </w:tr>
      <w:tr w14:paraId="4486B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shd w:val="clear" w:color="auto" w:fill="auto"/>
            <w:noWrap w:val="0"/>
            <w:tcMar>
              <w:top w:w="0" w:type="dxa"/>
              <w:left w:w="108" w:type="dxa"/>
              <w:bottom w:w="0" w:type="dxa"/>
              <w:right w:w="108" w:type="dxa"/>
            </w:tcMar>
            <w:vAlign w:val="top"/>
          </w:tcPr>
          <w:p w14:paraId="7D09FF24">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(二十五)1</w:t>
            </w:r>
          </w:p>
        </w:tc>
        <w:tc>
          <w:tcPr>
            <w:tcW w:w="4275" w:type="pct"/>
            <w:shd w:val="clear" w:color="auto" w:fill="auto"/>
            <w:noWrap w:val="0"/>
            <w:tcMar>
              <w:top w:w="0" w:type="dxa"/>
              <w:left w:w="108" w:type="dxa"/>
              <w:bottom w:w="0" w:type="dxa"/>
              <w:right w:w="108" w:type="dxa"/>
            </w:tcMar>
            <w:vAlign w:val="center"/>
          </w:tcPr>
          <w:p w14:paraId="733A242A">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招标文件规定的需要宣布的内容：宣读投标人名称、投标价格。</w:t>
            </w:r>
          </w:p>
        </w:tc>
      </w:tr>
      <w:tr w14:paraId="7C62C5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shd w:val="clear" w:color="auto" w:fill="auto"/>
            <w:noWrap w:val="0"/>
            <w:tcMar>
              <w:top w:w="0" w:type="dxa"/>
              <w:left w:w="108" w:type="dxa"/>
              <w:bottom w:w="0" w:type="dxa"/>
              <w:right w:w="108" w:type="dxa"/>
            </w:tcMar>
            <w:vAlign w:val="top"/>
          </w:tcPr>
          <w:p w14:paraId="6DD00EBF">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五</w:t>
            </w:r>
          </w:p>
        </w:tc>
        <w:tc>
          <w:tcPr>
            <w:tcW w:w="4275" w:type="pct"/>
            <w:shd w:val="clear" w:color="auto" w:fill="auto"/>
            <w:noWrap w:val="0"/>
            <w:tcMar>
              <w:top w:w="0" w:type="dxa"/>
              <w:left w:w="108" w:type="dxa"/>
              <w:bottom w:w="0" w:type="dxa"/>
              <w:right w:w="108" w:type="dxa"/>
            </w:tcMar>
            <w:vAlign w:val="top"/>
          </w:tcPr>
          <w:p w14:paraId="7D330DE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评标</w:t>
            </w:r>
          </w:p>
        </w:tc>
      </w:tr>
      <w:tr w14:paraId="2BCB04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24" w:type="pct"/>
            <w:shd w:val="clear" w:color="auto" w:fill="auto"/>
            <w:noWrap w:val="0"/>
            <w:tcMar>
              <w:top w:w="0" w:type="dxa"/>
              <w:left w:w="108" w:type="dxa"/>
              <w:bottom w:w="0" w:type="dxa"/>
              <w:right w:w="108" w:type="dxa"/>
            </w:tcMar>
            <w:vAlign w:val="top"/>
          </w:tcPr>
          <w:p w14:paraId="65BDF9D4">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(二十七)</w:t>
            </w:r>
          </w:p>
        </w:tc>
        <w:tc>
          <w:tcPr>
            <w:tcW w:w="4275" w:type="pct"/>
            <w:shd w:val="clear" w:color="auto" w:fill="auto"/>
            <w:noWrap w:val="0"/>
            <w:tcMar>
              <w:top w:w="0" w:type="dxa"/>
              <w:left w:w="108" w:type="dxa"/>
              <w:bottom w:w="0" w:type="dxa"/>
              <w:right w:w="108" w:type="dxa"/>
            </w:tcMar>
            <w:vAlign w:val="top"/>
          </w:tcPr>
          <w:p w14:paraId="5346C32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采用综合评分法。</w:t>
            </w:r>
          </w:p>
        </w:tc>
      </w:tr>
      <w:tr w14:paraId="2382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0" w:hRule="atLeast"/>
          <w:jc w:val="center"/>
        </w:trPr>
        <w:tc>
          <w:tcPr>
            <w:tcW w:w="724" w:type="pct"/>
            <w:shd w:val="clear" w:color="auto" w:fill="auto"/>
            <w:noWrap w:val="0"/>
            <w:tcMar>
              <w:top w:w="0" w:type="dxa"/>
              <w:left w:w="108" w:type="dxa"/>
              <w:bottom w:w="0" w:type="dxa"/>
              <w:right w:w="108" w:type="dxa"/>
            </w:tcMar>
            <w:vAlign w:val="top"/>
          </w:tcPr>
          <w:p w14:paraId="4E758140">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(二十八)</w:t>
            </w:r>
          </w:p>
        </w:tc>
        <w:tc>
          <w:tcPr>
            <w:tcW w:w="4275" w:type="pct"/>
            <w:shd w:val="clear" w:color="auto" w:fill="auto"/>
            <w:noWrap w:val="0"/>
            <w:tcMar>
              <w:top w:w="0" w:type="dxa"/>
              <w:left w:w="108" w:type="dxa"/>
              <w:bottom w:w="0" w:type="dxa"/>
              <w:right w:w="108" w:type="dxa"/>
            </w:tcMar>
            <w:vAlign w:val="top"/>
          </w:tcPr>
          <w:p w14:paraId="301539C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一、推荐中标候选供应商名单。中标候选供应商数量应当根据采购需要确定，但必须按顺序排列中标候选供应商。</w:t>
            </w:r>
          </w:p>
          <w:p w14:paraId="0735867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二、采用综合评分法的，按评审后得分由高到低顺序排列。得分相同的，按投标报价由低到高顺序排列。得分且投标报价相同的，按项目</w:t>
            </w:r>
            <w:r>
              <w:rPr>
                <w:rFonts w:hint="eastAsia" w:asciiTheme="minorEastAsia" w:hAnsiTheme="minorEastAsia" w:eastAsiaTheme="minorEastAsia" w:cstheme="minorEastAsia"/>
                <w:color w:val="auto"/>
                <w:sz w:val="24"/>
                <w:szCs w:val="24"/>
                <w:lang w:val="en-US" w:eastAsia="zh-CN"/>
              </w:rPr>
              <w:t>实施</w:t>
            </w:r>
            <w:r>
              <w:rPr>
                <w:rFonts w:hint="eastAsia" w:asciiTheme="minorEastAsia" w:hAnsiTheme="minorEastAsia" w:eastAsiaTheme="minorEastAsia" w:cstheme="minorEastAsia"/>
                <w:color w:val="auto"/>
                <w:sz w:val="24"/>
                <w:szCs w:val="24"/>
              </w:rPr>
              <w:t>方案得分顺序排列。</w:t>
            </w:r>
          </w:p>
          <w:p w14:paraId="3961A63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三、采购人应当自收到评标报告之日起</w:t>
            </w: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个工作日内，在评标报告确定的中标候选人名单中按得分最高顺序确定一名中标人。</w:t>
            </w:r>
          </w:p>
        </w:tc>
      </w:tr>
      <w:tr w14:paraId="3131B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724" w:type="pct"/>
            <w:shd w:val="clear" w:color="auto" w:fill="auto"/>
            <w:noWrap w:val="0"/>
            <w:tcMar>
              <w:top w:w="0" w:type="dxa"/>
              <w:left w:w="108" w:type="dxa"/>
              <w:bottom w:w="0" w:type="dxa"/>
              <w:right w:w="108" w:type="dxa"/>
            </w:tcMar>
            <w:vAlign w:val="top"/>
          </w:tcPr>
          <w:p w14:paraId="46A2E68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lang w:eastAsia="zh-CN"/>
              </w:rPr>
              <w:t>（</w:t>
            </w:r>
            <w:r>
              <w:rPr>
                <w:rFonts w:hint="eastAsia" w:asciiTheme="minorEastAsia" w:hAnsiTheme="minorEastAsia" w:eastAsiaTheme="minorEastAsia" w:cstheme="minorEastAsia"/>
                <w:color w:val="auto"/>
                <w:sz w:val="24"/>
                <w:szCs w:val="24"/>
              </w:rPr>
              <w:t>二十九</w:t>
            </w:r>
            <w:r>
              <w:rPr>
                <w:rFonts w:hint="eastAsia" w:asciiTheme="minorEastAsia" w:hAnsiTheme="minorEastAsia" w:eastAsiaTheme="minorEastAsia" w:cstheme="minorEastAsia"/>
                <w:color w:val="auto"/>
                <w:sz w:val="24"/>
                <w:szCs w:val="24"/>
                <w:lang w:eastAsia="zh-CN"/>
              </w:rPr>
              <w:t>）</w:t>
            </w:r>
          </w:p>
        </w:tc>
        <w:tc>
          <w:tcPr>
            <w:tcW w:w="4275" w:type="pct"/>
            <w:shd w:val="clear" w:color="auto" w:fill="auto"/>
            <w:noWrap w:val="0"/>
            <w:tcMar>
              <w:top w:w="0" w:type="dxa"/>
              <w:left w:w="108" w:type="dxa"/>
              <w:bottom w:w="0" w:type="dxa"/>
              <w:right w:w="108" w:type="dxa"/>
            </w:tcMar>
            <w:vAlign w:val="top"/>
          </w:tcPr>
          <w:p w14:paraId="1E278441">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1、评标中需要投标人对投标文件澄清或者说明的，应当通过“苏采云”系统交换数据电文。在评标期间，请投标人保持在线。</w:t>
            </w:r>
          </w:p>
          <w:p w14:paraId="3A6198B8">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2、对于投标文件中含义不明确、同类问题表述不一致或者有明显文字和计算错误的内容，评标委员会通过“苏采云”系统要求投标人作出必要的澄清、说明或者补正，并规定回复时间。</w:t>
            </w:r>
          </w:p>
          <w:p w14:paraId="0E2CE6DA">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14:paraId="64A320F7">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lang w:val="en-US" w:eastAsia="zh-CN" w:bidi="ar-SA"/>
              </w:rPr>
            </w:pPr>
            <w:r>
              <w:rPr>
                <w:rFonts w:hint="eastAsia" w:asciiTheme="minorEastAsia" w:hAnsiTheme="minorEastAsia" w:eastAsiaTheme="minorEastAsia" w:cstheme="minorEastAsia"/>
                <w:color w:val="auto"/>
                <w:sz w:val="24"/>
                <w:szCs w:val="24"/>
              </w:rPr>
              <w:t>特别说明：“苏采云”系统通过“江苏省政府采购一体化不见面开标大厅”提醒投标人。投标人自行查看，投标人因自身原因不及时查看导致没收到信息，“苏采云”系统不承担任何责任。</w:t>
            </w:r>
          </w:p>
        </w:tc>
      </w:tr>
      <w:tr w14:paraId="6C7D0D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24" w:type="pct"/>
            <w:shd w:val="clear" w:color="auto" w:fill="auto"/>
            <w:noWrap w:val="0"/>
            <w:tcMar>
              <w:top w:w="0" w:type="dxa"/>
              <w:left w:w="108" w:type="dxa"/>
              <w:bottom w:w="0" w:type="dxa"/>
              <w:right w:w="108" w:type="dxa"/>
            </w:tcMar>
            <w:vAlign w:val="top"/>
          </w:tcPr>
          <w:p w14:paraId="3B9376B0">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lang w:eastAsia="zh-CN"/>
              </w:rPr>
            </w:pP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三十</w:t>
            </w:r>
            <w:r>
              <w:rPr>
                <w:rFonts w:hint="eastAsia" w:asciiTheme="minorEastAsia" w:hAnsiTheme="minorEastAsia" w:eastAsiaTheme="minorEastAsia" w:cstheme="minorEastAsia"/>
                <w:b w:val="0"/>
                <w:bCs w:val="0"/>
                <w:color w:val="auto"/>
                <w:sz w:val="24"/>
                <w:szCs w:val="24"/>
                <w:lang w:eastAsia="zh-CN"/>
              </w:rPr>
              <w:t>）</w:t>
            </w:r>
          </w:p>
        </w:tc>
        <w:tc>
          <w:tcPr>
            <w:tcW w:w="4275" w:type="pct"/>
            <w:shd w:val="clear" w:color="auto" w:fill="auto"/>
            <w:noWrap w:val="0"/>
            <w:tcMar>
              <w:top w:w="0" w:type="dxa"/>
              <w:left w:w="108" w:type="dxa"/>
              <w:bottom w:w="0" w:type="dxa"/>
              <w:right w:w="108" w:type="dxa"/>
            </w:tcMar>
            <w:vAlign w:val="top"/>
          </w:tcPr>
          <w:p w14:paraId="6F7934DE">
            <w:pPr>
              <w:ind w:firstLine="480"/>
              <w:rPr>
                <w:rFonts w:ascii="宋体" w:hAnsi="宋体" w:cs="宋体"/>
                <w:color w:val="auto"/>
                <w:sz w:val="24"/>
              </w:rPr>
            </w:pPr>
            <w:bookmarkStart w:id="0" w:name="OLE_LINK7"/>
            <w:bookmarkStart w:id="1" w:name="OLE_LINK4"/>
            <w:r>
              <w:rPr>
                <w:rFonts w:hint="eastAsia" w:ascii="宋体" w:hAnsi="宋体" w:cs="宋体"/>
                <w:color w:val="auto"/>
                <w:sz w:val="24"/>
              </w:rPr>
              <w:t>启动异常低价投标审查后，评审委员会应当要求相关供应商在评标现场合理的时间内，通过“苏采云”系统（使用“CA数字证书”,加盖电子签章）提供</w:t>
            </w:r>
            <w:r>
              <w:rPr>
                <w:rFonts w:hint="eastAsia" w:ascii="宋体" w:hAnsi="宋体" w:cs="宋体"/>
                <w:b/>
                <w:color w:val="auto"/>
                <w:sz w:val="24"/>
              </w:rPr>
              <w:t>项目具体成本测算等与报价合理性相关的书面说明及相关证明材料</w:t>
            </w:r>
            <w:r>
              <w:rPr>
                <w:rFonts w:hint="eastAsia" w:ascii="宋体" w:hAnsi="宋体" w:cs="宋体"/>
                <w:color w:val="auto"/>
                <w:sz w:val="24"/>
              </w:rPr>
              <w:t>，对投标价格作出解释，由评审委员会</w:t>
            </w:r>
            <w:r>
              <w:rPr>
                <w:rFonts w:hint="eastAsia" w:ascii="宋体" w:hAnsi="宋体" w:cs="宋体"/>
                <w:b/>
                <w:color w:val="auto"/>
                <w:sz w:val="24"/>
              </w:rPr>
              <w:t>结合同类产品在主要电商平台的价格、该行业当地薪资水平等情况</w:t>
            </w:r>
            <w:r>
              <w:rPr>
                <w:rFonts w:hint="eastAsia" w:ascii="宋体" w:hAnsi="宋体" w:cs="宋体"/>
                <w:color w:val="auto"/>
                <w:sz w:val="24"/>
              </w:rPr>
              <w:t>，依据专业经验对供应商报价合理性进行判断。投标供应商</w:t>
            </w:r>
            <w:r>
              <w:rPr>
                <w:rFonts w:hint="eastAsia" w:ascii="宋体" w:hAnsi="宋体" w:cs="宋体"/>
                <w:b/>
                <w:color w:val="auto"/>
                <w:sz w:val="24"/>
              </w:rPr>
              <w:t>不提供书面说明、证明材料，或者提供的书面说明、证明材料不能证明其报价合理性的，评审委员会应当将其作为无效投标处理。</w:t>
            </w:r>
            <w:bookmarkEnd w:id="0"/>
            <w:bookmarkEnd w:id="1"/>
          </w:p>
          <w:p w14:paraId="7EDB98F8">
            <w:pPr>
              <w:pBdr>
                <w:top w:val="none" w:color="000000" w:sz="0" w:space="0"/>
                <w:left w:val="none" w:color="000000" w:sz="0" w:space="0"/>
                <w:bottom w:val="none" w:color="000000" w:sz="0" w:space="0"/>
                <w:right w:val="none" w:color="000000" w:sz="0" w:space="0"/>
              </w:pBdr>
              <w:ind w:firstLine="482"/>
              <w:rPr>
                <w:rFonts w:hint="eastAsia" w:asciiTheme="minorEastAsia" w:hAnsiTheme="minorEastAsia" w:eastAsiaTheme="minorEastAsia" w:cstheme="minorEastAsia"/>
                <w:b/>
                <w:bCs/>
                <w:color w:val="auto"/>
                <w:sz w:val="24"/>
                <w:szCs w:val="24"/>
              </w:rPr>
            </w:pPr>
            <w:r>
              <w:rPr>
                <w:rFonts w:hint="eastAsia" w:ascii="宋体" w:hAnsi="宋体" w:cs="宋体"/>
                <w:b/>
                <w:color w:val="auto"/>
                <w:sz w:val="24"/>
              </w:rPr>
              <w:t>特别说明：“苏采云”系统通过“江苏省政府采购一体化不见面开标大厅</w:t>
            </w:r>
            <w:r>
              <w:rPr>
                <w:rFonts w:hint="eastAsia" w:ascii="宋体" w:hAnsi="宋体" w:cs="宋体"/>
                <w:b/>
                <w:bCs/>
                <w:color w:val="auto"/>
                <w:sz w:val="24"/>
              </w:rPr>
              <w:t>”</w:t>
            </w:r>
            <w:r>
              <w:rPr>
                <w:rFonts w:hint="eastAsia" w:ascii="宋体" w:hAnsi="宋体" w:cs="宋体"/>
                <w:b/>
                <w:color w:val="auto"/>
                <w:sz w:val="24"/>
              </w:rPr>
              <w:t>提醒投标人，投标人自行查看。投标人未及时查看或因自身原因导致未收到信息的，责任自负。</w:t>
            </w:r>
          </w:p>
        </w:tc>
      </w:tr>
      <w:tr w14:paraId="478206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724" w:type="pct"/>
            <w:shd w:val="clear" w:color="auto" w:fill="auto"/>
            <w:noWrap w:val="0"/>
            <w:tcMar>
              <w:top w:w="0" w:type="dxa"/>
              <w:left w:w="108" w:type="dxa"/>
              <w:bottom w:w="0" w:type="dxa"/>
              <w:right w:w="108" w:type="dxa"/>
            </w:tcMar>
            <w:vAlign w:val="top"/>
          </w:tcPr>
          <w:p w14:paraId="3603249D">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七</w:t>
            </w:r>
          </w:p>
        </w:tc>
        <w:tc>
          <w:tcPr>
            <w:tcW w:w="4275" w:type="pct"/>
            <w:shd w:val="clear" w:color="auto" w:fill="auto"/>
            <w:noWrap w:val="0"/>
            <w:tcMar>
              <w:top w:w="0" w:type="dxa"/>
              <w:left w:w="108" w:type="dxa"/>
              <w:bottom w:w="0" w:type="dxa"/>
              <w:right w:w="108" w:type="dxa"/>
            </w:tcMar>
            <w:vAlign w:val="top"/>
          </w:tcPr>
          <w:p w14:paraId="128A7B70">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lang w:val="en-US" w:eastAsia="zh-CN" w:bidi="ar-SA"/>
              </w:rPr>
            </w:pPr>
            <w:r>
              <w:rPr>
                <w:rFonts w:hint="eastAsia" w:asciiTheme="minorEastAsia" w:hAnsiTheme="minorEastAsia" w:eastAsiaTheme="minorEastAsia" w:cstheme="minorEastAsia"/>
                <w:b/>
                <w:bCs/>
                <w:color w:val="auto"/>
                <w:sz w:val="24"/>
                <w:szCs w:val="24"/>
              </w:rPr>
              <w:t>政府采购合同</w:t>
            </w:r>
          </w:p>
        </w:tc>
      </w:tr>
      <w:tr w14:paraId="0D26A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2C17475E">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(三十</w:t>
            </w:r>
            <w:r>
              <w:rPr>
                <w:rFonts w:hint="eastAsia" w:asciiTheme="minorEastAsia" w:hAnsiTheme="minorEastAsia" w:eastAsiaTheme="minorEastAsia" w:cstheme="minorEastAsia"/>
                <w:color w:val="auto"/>
                <w:sz w:val="24"/>
                <w:szCs w:val="24"/>
                <w:lang w:val="en-US" w:eastAsia="zh-CN"/>
              </w:rPr>
              <w:t>六</w:t>
            </w:r>
            <w:r>
              <w:rPr>
                <w:rFonts w:hint="eastAsia" w:asciiTheme="minorEastAsia" w:hAnsiTheme="minorEastAsia" w:eastAsiaTheme="minorEastAsia" w:cstheme="minorEastAsia"/>
                <w:color w:val="auto"/>
                <w:sz w:val="24"/>
                <w:szCs w:val="24"/>
              </w:rPr>
              <w:t>)</w:t>
            </w:r>
          </w:p>
        </w:tc>
        <w:tc>
          <w:tcPr>
            <w:tcW w:w="4275" w:type="pct"/>
            <w:noWrap w:val="0"/>
            <w:tcMar>
              <w:top w:w="0" w:type="dxa"/>
              <w:left w:w="108" w:type="dxa"/>
              <w:bottom w:w="0" w:type="dxa"/>
              <w:right w:w="108" w:type="dxa"/>
            </w:tcMar>
            <w:vAlign w:val="center"/>
          </w:tcPr>
          <w:p w14:paraId="776BB4A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采购人与中标、中标人应当在中标、成交通知书发出之日起30日内，按照采购文件确定的事项签订政府采购合同。</w:t>
            </w:r>
          </w:p>
        </w:tc>
      </w:tr>
      <w:tr w14:paraId="1DAD6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noWrap w:val="0"/>
            <w:tcMar>
              <w:top w:w="0" w:type="dxa"/>
              <w:left w:w="108" w:type="dxa"/>
              <w:bottom w:w="0" w:type="dxa"/>
              <w:right w:w="108" w:type="dxa"/>
            </w:tcMar>
          </w:tcPr>
          <w:p w14:paraId="694FE9B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（三十</w:t>
            </w:r>
            <w:r>
              <w:rPr>
                <w:rFonts w:hint="eastAsia" w:asciiTheme="minorEastAsia" w:hAnsiTheme="minorEastAsia" w:eastAsiaTheme="minorEastAsia" w:cstheme="minorEastAsia"/>
                <w:b/>
                <w:bCs/>
                <w:color w:val="auto"/>
                <w:sz w:val="24"/>
                <w:szCs w:val="24"/>
                <w:lang w:val="en-US" w:eastAsia="zh-CN"/>
              </w:rPr>
              <w:t>八</w:t>
            </w:r>
            <w:r>
              <w:rPr>
                <w:rFonts w:hint="eastAsia" w:asciiTheme="minorEastAsia" w:hAnsiTheme="minorEastAsia" w:eastAsiaTheme="minorEastAsia" w:cstheme="minorEastAsia"/>
                <w:b/>
                <w:bCs/>
                <w:color w:val="auto"/>
                <w:sz w:val="24"/>
                <w:szCs w:val="24"/>
              </w:rPr>
              <w:t>）</w:t>
            </w:r>
          </w:p>
        </w:tc>
        <w:tc>
          <w:tcPr>
            <w:tcW w:w="4275" w:type="pct"/>
            <w:noWrap w:val="0"/>
            <w:tcMar>
              <w:top w:w="0" w:type="dxa"/>
              <w:left w:w="108" w:type="dxa"/>
              <w:bottom w:w="0" w:type="dxa"/>
              <w:right w:w="108" w:type="dxa"/>
            </w:tcMar>
            <w:vAlign w:val="center"/>
          </w:tcPr>
          <w:p w14:paraId="0B2E3C3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履约保证金：本项目不收取履约保证金。</w:t>
            </w:r>
          </w:p>
        </w:tc>
      </w:tr>
      <w:tr w14:paraId="6D078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5" w:hRule="atLeast"/>
          <w:jc w:val="center"/>
        </w:trPr>
        <w:tc>
          <w:tcPr>
            <w:tcW w:w="724" w:type="pct"/>
            <w:noWrap w:val="0"/>
            <w:tcMar>
              <w:top w:w="0" w:type="dxa"/>
              <w:left w:w="108" w:type="dxa"/>
              <w:bottom w:w="0" w:type="dxa"/>
              <w:right w:w="108" w:type="dxa"/>
            </w:tcMar>
          </w:tcPr>
          <w:p w14:paraId="5C573489">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四十</w:t>
            </w:r>
            <w:r>
              <w:rPr>
                <w:rFonts w:hint="eastAsia" w:asciiTheme="minorEastAsia" w:hAnsiTheme="minorEastAsia" w:eastAsiaTheme="minorEastAsia" w:cstheme="minorEastAsia"/>
                <w:color w:val="auto"/>
                <w:sz w:val="24"/>
                <w:szCs w:val="24"/>
              </w:rPr>
              <w:t>)</w:t>
            </w:r>
          </w:p>
        </w:tc>
        <w:tc>
          <w:tcPr>
            <w:tcW w:w="4275" w:type="pct"/>
            <w:noWrap w:val="0"/>
            <w:tcMar>
              <w:top w:w="0" w:type="dxa"/>
              <w:left w:w="108" w:type="dxa"/>
              <w:bottom w:w="0" w:type="dxa"/>
              <w:right w:w="108" w:type="dxa"/>
            </w:tcMar>
          </w:tcPr>
          <w:p w14:paraId="3DABB3C4">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供应商对政府采购活动事项有疑问的，向采购代理机构提出询问；供应商认为采购文件、采购过程和中标、成交结果使自己的权益受到损害的，可以在知道或者应知其权益受到损害之日起七个工作日内，以书面形式向采购代理机构提出质疑。询问和质疑由采购代理机构依法处理。供应商对同一采购程序环节的质疑应在质疑期内一次性提出。</w:t>
            </w:r>
          </w:p>
          <w:p w14:paraId="280F1BCD">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color w:val="auto"/>
                <w:sz w:val="24"/>
                <w:szCs w:val="24"/>
              </w:rPr>
              <w:t>质疑接收人：</w:t>
            </w:r>
            <w:r>
              <w:rPr>
                <w:rFonts w:hint="eastAsia" w:asciiTheme="minorEastAsia" w:hAnsiTheme="minorEastAsia" w:eastAsiaTheme="minorEastAsia" w:cstheme="minorEastAsia"/>
                <w:color w:val="auto"/>
                <w:sz w:val="24"/>
                <w:szCs w:val="24"/>
                <w:lang w:val="en-US" w:eastAsia="zh-CN"/>
              </w:rPr>
              <w:t>韩镇阳</w:t>
            </w:r>
            <w:r>
              <w:rPr>
                <w:rFonts w:hint="eastAsia" w:asciiTheme="minorEastAsia" w:hAnsiTheme="minorEastAsia" w:eastAsiaTheme="minorEastAsia" w:cstheme="minorEastAsia"/>
                <w:color w:val="auto"/>
                <w:sz w:val="24"/>
                <w:szCs w:val="24"/>
              </w:rPr>
              <w:t xml:space="preserve">      联系电话：0516-8</w:t>
            </w:r>
            <w:r>
              <w:rPr>
                <w:rFonts w:hint="eastAsia" w:asciiTheme="minorEastAsia" w:hAnsiTheme="minorEastAsia" w:eastAsiaTheme="minorEastAsia" w:cstheme="minorEastAsia"/>
                <w:color w:val="auto"/>
                <w:sz w:val="24"/>
                <w:szCs w:val="24"/>
                <w:lang w:val="en-US" w:eastAsia="zh-CN"/>
              </w:rPr>
              <w:t>3999055</w:t>
            </w:r>
          </w:p>
          <w:p w14:paraId="51832DFF">
            <w:pPr>
              <w:pBdr>
                <w:top w:val="none" w:color="000000" w:sz="0" w:space="0"/>
                <w:left w:val="none" w:color="000000" w:sz="0" w:space="0"/>
                <w:bottom w:val="none" w:color="000000" w:sz="0" w:space="0"/>
                <w:right w:val="none" w:color="000000" w:sz="0" w:space="0"/>
              </w:pBdr>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地址：徐州市泉山区金山东路北侧徐州软件园C-11号楼1011室</w:t>
            </w:r>
          </w:p>
        </w:tc>
      </w:tr>
      <w:tr w14:paraId="757D58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4" w:type="pct"/>
            <w:vMerge w:val="restart"/>
            <w:noWrap w:val="0"/>
            <w:tcMar>
              <w:top w:w="0" w:type="dxa"/>
              <w:left w:w="108" w:type="dxa"/>
              <w:bottom w:w="0" w:type="dxa"/>
              <w:right w:w="108" w:type="dxa"/>
            </w:tcMar>
          </w:tcPr>
          <w:p w14:paraId="29F2EF4F">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附加说明</w:t>
            </w:r>
          </w:p>
        </w:tc>
        <w:tc>
          <w:tcPr>
            <w:tcW w:w="4275" w:type="pct"/>
            <w:noWrap w:val="0"/>
            <w:tcMar>
              <w:top w:w="0" w:type="dxa"/>
              <w:left w:w="108" w:type="dxa"/>
              <w:bottom w:w="0" w:type="dxa"/>
              <w:right w:w="108" w:type="dxa"/>
            </w:tcMar>
            <w:vAlign w:val="top"/>
          </w:tcPr>
          <w:p w14:paraId="29E58BD1">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auto"/>
                <w:sz w:val="24"/>
                <w:szCs w:val="24"/>
              </w:rPr>
            </w:pPr>
            <w:r>
              <w:rPr>
                <w:rFonts w:hint="eastAsia" w:ascii="宋体" w:hAnsi="宋体" w:eastAsia="宋体" w:cs="宋体"/>
                <w:color w:val="auto"/>
                <w:sz w:val="24"/>
                <w:szCs w:val="24"/>
              </w:rPr>
              <w:t>中标人在收到中标通知书时，须向采购人和采购代理机构提交《开标一览表》和《分项价格表》的数据文件（WORD格式）。</w:t>
            </w:r>
          </w:p>
          <w:p w14:paraId="76866D74">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Theme="minorEastAsia" w:hAnsiTheme="minorEastAsia" w:eastAsiaTheme="minorEastAsia" w:cstheme="minorEastAsia"/>
                <w:color w:val="auto"/>
                <w:sz w:val="24"/>
                <w:szCs w:val="24"/>
              </w:rPr>
            </w:pPr>
            <w:r>
              <w:rPr>
                <w:rFonts w:hint="eastAsia" w:ascii="宋体" w:hAnsi="宋体" w:eastAsia="宋体" w:cs="宋体"/>
                <w:color w:val="auto"/>
                <w:sz w:val="24"/>
                <w:szCs w:val="24"/>
              </w:rPr>
              <w:t>邮箱：jocxz03@jocite.com</w:t>
            </w:r>
          </w:p>
        </w:tc>
      </w:tr>
      <w:tr w14:paraId="5DF2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8" w:hRule="atLeast"/>
          <w:jc w:val="center"/>
        </w:trPr>
        <w:tc>
          <w:tcPr>
            <w:tcW w:w="724" w:type="pct"/>
            <w:vMerge w:val="continue"/>
            <w:noWrap w:val="0"/>
            <w:tcMar>
              <w:top w:w="0" w:type="dxa"/>
              <w:left w:w="108" w:type="dxa"/>
              <w:bottom w:w="0" w:type="dxa"/>
              <w:right w:w="108" w:type="dxa"/>
            </w:tcMar>
          </w:tcPr>
          <w:p w14:paraId="4AFA70E7">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p>
        </w:tc>
        <w:tc>
          <w:tcPr>
            <w:tcW w:w="4275" w:type="pct"/>
            <w:noWrap w:val="0"/>
            <w:tcMar>
              <w:top w:w="0" w:type="dxa"/>
              <w:left w:w="108" w:type="dxa"/>
              <w:bottom w:w="0" w:type="dxa"/>
              <w:right w:w="108" w:type="dxa"/>
            </w:tcMar>
            <w:vAlign w:val="top"/>
          </w:tcPr>
          <w:p w14:paraId="1EAC09F2">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auto"/>
                <w:sz w:val="24"/>
                <w:szCs w:val="24"/>
              </w:rPr>
            </w:pPr>
            <w:r>
              <w:rPr>
                <w:rFonts w:hint="eastAsia" w:ascii="宋体" w:hAnsi="宋体" w:eastAsia="宋体" w:cs="宋体"/>
                <w:color w:val="auto"/>
                <w:sz w:val="24"/>
                <w:szCs w:val="24"/>
              </w:rPr>
              <w:t>1、评标中需要投标人对投标文件澄清或者说明的，应当通过“苏采云”系统交换数据电文。在评标期间，请投标人保持在线。</w:t>
            </w:r>
          </w:p>
          <w:p w14:paraId="7C6B5556">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auto"/>
                <w:sz w:val="24"/>
                <w:szCs w:val="24"/>
              </w:rPr>
            </w:pPr>
            <w:r>
              <w:rPr>
                <w:rFonts w:hint="eastAsia" w:ascii="宋体" w:hAnsi="宋体" w:eastAsia="宋体" w:cs="宋体"/>
                <w:color w:val="auto"/>
                <w:sz w:val="24"/>
                <w:szCs w:val="24"/>
              </w:rPr>
              <w:t>2、对于投标文件中含义不明确、同类问题表述不一致或者有明显文字和计算错误的内容，评标委员会通过“苏采云”系统要求投标人作出必要的澄清、说明或者补正，并规定回复时间。</w:t>
            </w:r>
          </w:p>
          <w:p w14:paraId="65177CD1">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auto"/>
                <w:sz w:val="24"/>
                <w:szCs w:val="24"/>
              </w:rPr>
            </w:pPr>
            <w:r>
              <w:rPr>
                <w:rFonts w:hint="eastAsia" w:ascii="宋体" w:hAnsi="宋体" w:eastAsia="宋体" w:cs="宋体"/>
                <w:color w:val="auto"/>
                <w:sz w:val="24"/>
                <w:szCs w:val="24"/>
              </w:rPr>
              <w:t>3、投标人的澄清、说明或者补正应当采用通过“苏采云”系统（使用“CA数字证书”,加盖电子签章）形式。投标人没有在规定的回复时间内作出必要的澄清、说明或者补正，评标委员会将认为投标人拒绝作出必要的澄清、说明或者补正，并承担相应的后果和法律责任。</w:t>
            </w:r>
          </w:p>
          <w:p w14:paraId="35A48052">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宋体" w:hAnsi="宋体" w:eastAsia="宋体" w:cs="宋体"/>
                <w:color w:val="auto"/>
                <w:sz w:val="24"/>
                <w:szCs w:val="24"/>
              </w:rPr>
            </w:pPr>
            <w:r>
              <w:rPr>
                <w:rFonts w:hint="eastAsia" w:ascii="宋体" w:hAnsi="宋体" w:eastAsia="宋体" w:cs="宋体"/>
                <w:color w:val="auto"/>
                <w:sz w:val="24"/>
                <w:szCs w:val="24"/>
              </w:rPr>
              <w:t>4、招标文件中如需“授权代表签字或盖章”，供应商可打印成文档。签字或盖章后再扫描上传，最后再电子签章。</w:t>
            </w:r>
          </w:p>
          <w:p w14:paraId="52DE8653">
            <w:pPr>
              <w:keepNext w:val="0"/>
              <w:keepLines w:val="0"/>
              <w:pageBreakBefore w:val="0"/>
              <w:widowControl w:val="0"/>
              <w:pBdr>
                <w:top w:val="none" w:color="000000" w:sz="0" w:space="0"/>
                <w:left w:val="none" w:color="000000" w:sz="0" w:space="0"/>
                <w:bottom w:val="none" w:color="000000" w:sz="0" w:space="0"/>
                <w:right w:val="none" w:color="000000" w:sz="0" w:space="0"/>
              </w:pBdr>
              <w:spacing w:line="240" w:lineRule="auto"/>
              <w:ind w:left="0" w:right="0" w:firstLine="480"/>
              <w:rPr>
                <w:rFonts w:hint="eastAsia" w:asciiTheme="minorEastAsia" w:hAnsiTheme="minorEastAsia" w:eastAsiaTheme="minorEastAsia" w:cstheme="minorEastAsia"/>
                <w:color w:val="auto"/>
                <w:sz w:val="24"/>
                <w:szCs w:val="24"/>
              </w:rPr>
            </w:pPr>
            <w:r>
              <w:rPr>
                <w:rFonts w:hint="eastAsia" w:ascii="宋体" w:hAnsi="宋体" w:eastAsia="宋体" w:cs="宋体"/>
                <w:color w:val="auto"/>
                <w:sz w:val="24"/>
                <w:szCs w:val="24"/>
              </w:rPr>
              <w:t>5、中标人在收到中标通知书时，须向采购人和采购代理机构提交完整纸质版的投标文件（需盖投标人公章且胶装成册，1正4副本）。</w:t>
            </w:r>
          </w:p>
        </w:tc>
      </w:tr>
    </w:tbl>
    <w:p w14:paraId="1698EFB3">
      <w:pPr>
        <w:pBdr>
          <w:top w:val="none" w:color="000000" w:sz="0" w:space="0"/>
          <w:left w:val="none" w:color="000000" w:sz="0" w:space="0"/>
          <w:bottom w:val="none" w:color="000000" w:sz="0" w:space="0"/>
          <w:right w:val="none" w:color="000000" w:sz="0" w:space="0"/>
        </w:pBdr>
        <w:spacing w:line="239" w:lineRule="atLeast"/>
        <w:rPr>
          <w:rFonts w:hint="eastAsia" w:asciiTheme="minorEastAsia" w:hAnsiTheme="minorEastAsia" w:eastAsiaTheme="minorEastAsia" w:cstheme="minorEastAsia"/>
          <w:color w:val="auto"/>
        </w:rPr>
      </w:pPr>
    </w:p>
    <w:p w14:paraId="2A8D1058">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b/>
          <w:bCs/>
          <w:color w:val="auto"/>
          <w:sz w:val="24"/>
          <w:szCs w:val="24"/>
        </w:rPr>
        <w:sectPr>
          <w:pgSz w:w="11906" w:h="16838"/>
          <w:pgMar w:top="1440" w:right="1803" w:bottom="1440" w:left="1803" w:header="851" w:footer="992" w:gutter="0"/>
          <w:cols w:space="720" w:num="1"/>
          <w:docGrid w:linePitch="360" w:charSpace="0"/>
        </w:sectPr>
      </w:pPr>
    </w:p>
    <w:p w14:paraId="53932720">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本章附件：招标代理服务收费标准</w:t>
      </w:r>
    </w:p>
    <w:tbl>
      <w:tblPr>
        <w:tblStyle w:val="43"/>
        <w:tblW w:w="0" w:type="auto"/>
        <w:tblInd w:w="0" w:type="dxa"/>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CellMar>
          <w:top w:w="0" w:type="dxa"/>
          <w:left w:w="108" w:type="dxa"/>
          <w:bottom w:w="0" w:type="dxa"/>
          <w:right w:w="108" w:type="dxa"/>
        </w:tblCellMar>
      </w:tblPr>
      <w:tblGrid>
        <w:gridCol w:w="5213"/>
        <w:gridCol w:w="3303"/>
      </w:tblGrid>
      <w:tr w14:paraId="2B9435D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27A460D">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中标或者成交金额</w:t>
            </w:r>
          </w:p>
        </w:tc>
        <w:tc>
          <w:tcPr>
            <w:tcW w:w="3596"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638ED67">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费率</w:t>
            </w:r>
          </w:p>
        </w:tc>
      </w:tr>
      <w:tr w14:paraId="7A0F37A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EE52712">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最低收费金额(每个委托项目)</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BAEF91D">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5000元</w:t>
            </w:r>
          </w:p>
        </w:tc>
      </w:tr>
      <w:tr w14:paraId="64047E09">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B0BF57B">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50万元以下(含50万元)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057A433">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1.6%</w:t>
            </w:r>
          </w:p>
        </w:tc>
      </w:tr>
      <w:tr w14:paraId="231CBAA4">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96CEBA1">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50-400万元(含400万元)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87172D0">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1.5%</w:t>
            </w:r>
          </w:p>
        </w:tc>
      </w:tr>
      <w:tr w14:paraId="564A265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9C475FB">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400-1000万元(含1000万元)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F168896">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w:t>
            </w:r>
          </w:p>
        </w:tc>
      </w:tr>
      <w:tr w14:paraId="636616B8">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2E46BE15">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1000-5000万元(含5000万元)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5ABC31C4">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0.8%</w:t>
            </w:r>
          </w:p>
        </w:tc>
      </w:tr>
      <w:tr w14:paraId="15CE802C">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8473BE4">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5000-1亿元(含1亿元)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88E678D">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0.25%</w:t>
            </w:r>
          </w:p>
        </w:tc>
      </w:tr>
      <w:tr w14:paraId="06F4FC52">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90"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4A4BC32">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1-10亿元(含10亿元)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37FA11CC">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0.05%</w:t>
            </w:r>
          </w:p>
        </w:tc>
      </w:tr>
      <w:tr w14:paraId="177399CB">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47"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798065C5">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10-50亿元(含50亿元)</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4EADDB3E">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0.01%</w:t>
            </w:r>
          </w:p>
        </w:tc>
      </w:tr>
      <w:tr w14:paraId="63346547">
        <w:tblPrEx>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CellMar>
            <w:top w:w="0" w:type="dxa"/>
            <w:left w:w="108" w:type="dxa"/>
            <w:bottom w:w="0" w:type="dxa"/>
            <w:right w:w="108" w:type="dxa"/>
          </w:tblCellMar>
        </w:tblPrEx>
        <w:trPr>
          <w:trHeight w:val="547" w:hRule="atLeast"/>
        </w:trPr>
        <w:tc>
          <w:tcPr>
            <w:tcW w:w="5758"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13F2DCCC">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50亿元以上</w:t>
            </w:r>
          </w:p>
        </w:tc>
        <w:tc>
          <w:tcPr>
            <w:tcW w:w="3596"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center"/>
          </w:tcPr>
          <w:p w14:paraId="6752B384">
            <w:pPr>
              <w:pBdr>
                <w:top w:val="none" w:color="000000" w:sz="0" w:space="0"/>
                <w:left w:val="none" w:color="000000" w:sz="0" w:space="0"/>
                <w:bottom w:val="none" w:color="000000" w:sz="0" w:space="0"/>
                <w:right w:val="none" w:color="000000" w:sz="0" w:space="0"/>
              </w:pBd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0.005%</w:t>
            </w:r>
          </w:p>
        </w:tc>
      </w:tr>
    </w:tbl>
    <w:p w14:paraId="1F46119C">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w:t>
      </w:r>
    </w:p>
    <w:p w14:paraId="49C5EE8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1、按上表计算的收费为代理服务全过程的收费金额。各社会代理机构不再收取采购文件制作售卖费用。</w:t>
      </w:r>
    </w:p>
    <w:p w14:paraId="0F4D5A9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2、代理服务费按差额定率累进法计算。</w:t>
      </w:r>
    </w:p>
    <w:p w14:paraId="01906192">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3、代理服务费基准金额（按差额定率累进法计算的）=中标金额（按差额定率累进法计算的）*费率（%）</w:t>
      </w:r>
      <w:r>
        <w:rPr>
          <w:rFonts w:hint="eastAsia" w:asciiTheme="minorEastAsia" w:hAnsiTheme="minorEastAsia" w:eastAsiaTheme="minorEastAsia" w:cstheme="minorEastAsia"/>
          <w:color w:val="auto"/>
          <w:sz w:val="24"/>
          <w:szCs w:val="24"/>
          <w:lang w:eastAsia="zh-CN"/>
        </w:rPr>
        <w:t>。</w:t>
      </w:r>
    </w:p>
    <w:p w14:paraId="207BE57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4、代理服务费应收取金额=代理服务费基准金额（按差额定率累进法计算的）的合计数。</w:t>
      </w:r>
    </w:p>
    <w:p w14:paraId="3720CD8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5、定点类等无金额或事先不能计算出价格总额的项目，按中标（成交）金额100万元计算。</w:t>
      </w:r>
    </w:p>
    <w:p w14:paraId="477EDE4C">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6、有分包（分标段）项目按</w:t>
      </w:r>
      <w:r>
        <w:rPr>
          <w:rFonts w:hint="eastAsia" w:asciiTheme="minorEastAsia" w:hAnsiTheme="minorEastAsia" w:eastAsiaTheme="minorEastAsia" w:cstheme="minorEastAsia"/>
          <w:color w:val="auto"/>
          <w:sz w:val="24"/>
          <w:szCs w:val="24"/>
          <w:lang w:val="en-US" w:eastAsia="zh-CN"/>
        </w:rPr>
        <w:t>采购包</w:t>
      </w:r>
      <w:r>
        <w:rPr>
          <w:rFonts w:hint="eastAsia" w:asciiTheme="minorEastAsia" w:hAnsiTheme="minorEastAsia" w:eastAsiaTheme="minorEastAsia" w:cstheme="minorEastAsia"/>
          <w:color w:val="auto"/>
          <w:sz w:val="24"/>
          <w:szCs w:val="24"/>
        </w:rPr>
        <w:t>收费。</w:t>
      </w:r>
    </w:p>
    <w:p w14:paraId="2258AF5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7、上该表为自行约定的代理服务费标准。</w:t>
      </w:r>
    </w:p>
    <w:p w14:paraId="010B609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8、根据苏财规[2026]1号文件有关规定，本项目代理服务费由中标人支付。</w:t>
      </w:r>
    </w:p>
    <w:p w14:paraId="385EBFB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lang w:val="en-US" w:eastAsia="zh-CN"/>
        </w:rPr>
        <w:t>9</w:t>
      </w:r>
      <w:r>
        <w:rPr>
          <w:rFonts w:hint="eastAsia" w:asciiTheme="minorEastAsia" w:hAnsiTheme="minorEastAsia" w:eastAsiaTheme="minorEastAsia" w:cstheme="minorEastAsia"/>
          <w:b w:val="0"/>
          <w:bCs/>
          <w:color w:val="auto"/>
          <w:sz w:val="24"/>
          <w:szCs w:val="24"/>
        </w:rPr>
        <w:t>、账户信息：</w:t>
      </w:r>
    </w:p>
    <w:p w14:paraId="78D2EC91">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账户名：江苏海外集团国际工程咨询有限公司徐州分公司</w:t>
      </w:r>
    </w:p>
    <w:p w14:paraId="55041450">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开户银行：上海浦东发展银行股份有限公司徐州分行</w:t>
      </w:r>
    </w:p>
    <w:p w14:paraId="48FF29AE">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rPr>
          <w:rFonts w:hint="eastAsia" w:asciiTheme="minorEastAsia" w:hAnsiTheme="minorEastAsia" w:eastAsiaTheme="minorEastAsia" w:cstheme="minorEastAsia"/>
          <w:b w:val="0"/>
          <w:bCs/>
          <w:color w:val="auto"/>
          <w:sz w:val="24"/>
          <w:szCs w:val="24"/>
        </w:rPr>
      </w:pPr>
      <w:r>
        <w:rPr>
          <w:rFonts w:hint="eastAsia" w:asciiTheme="minorEastAsia" w:hAnsiTheme="minorEastAsia" w:eastAsiaTheme="minorEastAsia" w:cstheme="minorEastAsia"/>
          <w:b w:val="0"/>
          <w:bCs/>
          <w:color w:val="auto"/>
          <w:sz w:val="24"/>
          <w:szCs w:val="24"/>
        </w:rPr>
        <w:t>账号：11110154740005866</w:t>
      </w:r>
    </w:p>
    <w:p w14:paraId="4EE67240">
      <w:pPr>
        <w:pBdr>
          <w:top w:val="none" w:color="000000" w:sz="0" w:space="0"/>
          <w:left w:val="none" w:color="000000" w:sz="0" w:space="0"/>
          <w:bottom w:val="none" w:color="000000" w:sz="0" w:space="0"/>
          <w:right w:val="none" w:color="000000" w:sz="0" w:space="0"/>
        </w:pBdr>
        <w:spacing w:line="400" w:lineRule="exact"/>
        <w:rPr>
          <w:rFonts w:hint="eastAsia" w:asciiTheme="minorEastAsia" w:hAnsiTheme="minorEastAsia" w:eastAsiaTheme="minorEastAsia" w:cstheme="minorEastAsia"/>
          <w:b/>
          <w:color w:val="auto"/>
          <w:sz w:val="28"/>
          <w:szCs w:val="28"/>
        </w:rPr>
        <w:sectPr>
          <w:pgSz w:w="11906" w:h="16838"/>
          <w:pgMar w:top="1440" w:right="1803" w:bottom="1440" w:left="1803" w:header="851" w:footer="992" w:gutter="0"/>
          <w:cols w:space="720" w:num="1"/>
          <w:docGrid w:linePitch="360" w:charSpace="0"/>
        </w:sectPr>
      </w:pPr>
    </w:p>
    <w:p w14:paraId="4A7DDE29">
      <w:pPr>
        <w:numPr>
          <w:ilvl w:val="0"/>
          <w:numId w:val="0"/>
        </w:num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b/>
          <w:color w:val="auto"/>
          <w:sz w:val="32"/>
          <w:szCs w:val="32"/>
        </w:rPr>
      </w:pPr>
      <w:r>
        <w:rPr>
          <w:rFonts w:hint="eastAsia" w:asciiTheme="minorEastAsia" w:hAnsiTheme="minorEastAsia" w:eastAsiaTheme="minorEastAsia" w:cstheme="minorEastAsia"/>
          <w:b/>
          <w:color w:val="auto"/>
          <w:sz w:val="32"/>
          <w:szCs w:val="32"/>
          <w:lang w:val="en-US" w:eastAsia="zh-CN" w:bidi="ar-SA"/>
        </w:rPr>
        <w:t xml:space="preserve">第四章 </w:t>
      </w:r>
      <w:r>
        <w:rPr>
          <w:rFonts w:hint="eastAsia" w:asciiTheme="minorEastAsia" w:hAnsiTheme="minorEastAsia" w:eastAsiaTheme="minorEastAsia" w:cstheme="minorEastAsia"/>
          <w:b/>
          <w:color w:val="auto"/>
          <w:sz w:val="32"/>
          <w:szCs w:val="32"/>
        </w:rPr>
        <w:t>评标标准</w:t>
      </w:r>
    </w:p>
    <w:tbl>
      <w:tblPr>
        <w:tblStyle w:val="42"/>
        <w:tblW w:w="89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1487"/>
        <w:gridCol w:w="7480"/>
      </w:tblGrid>
      <w:tr w14:paraId="46A48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454" w:hRule="atLeast"/>
          <w:jc w:val="center"/>
        </w:trPr>
        <w:tc>
          <w:tcPr>
            <w:tcW w:w="1487" w:type="dxa"/>
            <w:shd w:val="clear" w:color="auto" w:fill="auto"/>
            <w:noWrap w:val="0"/>
            <w:vAlign w:val="center"/>
          </w:tcPr>
          <w:p w14:paraId="3BA02162">
            <w:pPr>
              <w:spacing w:line="240" w:lineRule="auto"/>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评分内容</w:t>
            </w:r>
          </w:p>
        </w:tc>
        <w:tc>
          <w:tcPr>
            <w:tcW w:w="7480" w:type="dxa"/>
            <w:shd w:val="clear" w:color="auto" w:fill="auto"/>
            <w:noWrap w:val="0"/>
            <w:vAlign w:val="center"/>
          </w:tcPr>
          <w:p w14:paraId="02F4BB91">
            <w:pPr>
              <w:spacing w:line="240" w:lineRule="auto"/>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评分标准</w:t>
            </w:r>
          </w:p>
        </w:tc>
      </w:tr>
      <w:tr w14:paraId="11A71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5" w:hRule="atLeast"/>
          <w:jc w:val="center"/>
        </w:trPr>
        <w:tc>
          <w:tcPr>
            <w:tcW w:w="1487" w:type="dxa"/>
            <w:shd w:val="clear" w:color="auto" w:fill="auto"/>
            <w:noWrap w:val="0"/>
            <w:vAlign w:val="center"/>
          </w:tcPr>
          <w:p w14:paraId="1FA0BAD1">
            <w:pPr>
              <w:spacing w:line="240" w:lineRule="auto"/>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投标报价（</w:t>
            </w:r>
            <w:r>
              <w:rPr>
                <w:rFonts w:hint="eastAsia" w:asciiTheme="minorEastAsia" w:hAnsiTheme="minorEastAsia" w:eastAsiaTheme="minorEastAsia" w:cstheme="minorEastAsia"/>
                <w:color w:val="auto"/>
                <w:sz w:val="24"/>
                <w:szCs w:val="24"/>
                <w:lang w:val="en-US" w:eastAsia="zh-CN"/>
              </w:rPr>
              <w:t>30</w:t>
            </w:r>
            <w:r>
              <w:rPr>
                <w:rFonts w:hint="eastAsia" w:asciiTheme="minorEastAsia" w:hAnsiTheme="minorEastAsia" w:eastAsiaTheme="minorEastAsia" w:cstheme="minorEastAsia"/>
                <w:color w:val="auto"/>
                <w:sz w:val="24"/>
                <w:szCs w:val="24"/>
              </w:rPr>
              <w:t>分）</w:t>
            </w:r>
          </w:p>
        </w:tc>
        <w:tc>
          <w:tcPr>
            <w:tcW w:w="7480" w:type="dxa"/>
            <w:shd w:val="clear" w:color="auto" w:fill="auto"/>
            <w:noWrap w:val="0"/>
            <w:vAlign w:val="center"/>
          </w:tcPr>
          <w:p w14:paraId="64946F9B">
            <w:pP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各投标人价格得分=最低报价（投标人的最低评审价格）÷各投标人评审价格×30</w:t>
            </w:r>
          </w:p>
          <w:p w14:paraId="2DEA94DF">
            <w:pPr>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注：</w:t>
            </w:r>
          </w:p>
          <w:p w14:paraId="69104E16">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1、投标人所投产品全部为小微企业制造或监狱企业、享受政府采购支持政策的残疾人福利性单位制造的（以投标人提供的《分项价格表》、《中小企业声明函》、监狱企业证明文件和《残疾人福利性单位声明函》等相关材料为准），给予10%的价格扣除，用扣除后的价格参加评审。</w:t>
            </w:r>
          </w:p>
          <w:p w14:paraId="076C44C8">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该投标人的评审价格=《开标一览表》中的“总价”*（100%-10%）</w:t>
            </w:r>
          </w:p>
          <w:p w14:paraId="113F2AB6">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2、政府采购活动中既有本国产品又有非本国产品参与竞争的，依法对本国产品给予价格评审优惠，对本国产品的报价给予20%的价格扣除，用扣除后的价格参与评审。</w:t>
            </w:r>
          </w:p>
          <w:p w14:paraId="2DDDAAF2">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5A3EDD10">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该投标人的评审价格=《开标一览表》中的“总价”*（100%-20%）</w:t>
            </w:r>
          </w:p>
          <w:p w14:paraId="2827330E">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3、上述1、2项评审优惠可同时享受，分别在供应商报价基础上予以扣除，用扣除后的价格参与评审，即该投标人的评审价格=《开标一览表》中的“总价”*（100%-30%）。</w:t>
            </w:r>
          </w:p>
          <w:p w14:paraId="62AA1436">
            <w:pPr>
              <w:rPr>
                <w:rFonts w:hint="eastAsia" w:asciiTheme="minorEastAsia" w:hAnsiTheme="minorEastAsia" w:eastAsiaTheme="minorEastAsia" w:cstheme="minorEastAsia"/>
                <w:color w:val="auto"/>
                <w:sz w:val="24"/>
                <w:szCs w:val="24"/>
              </w:rPr>
            </w:pPr>
            <w:r>
              <w:rPr>
                <w:rFonts w:hint="eastAsia" w:ascii="宋体" w:hAnsi="宋体" w:cs="宋体"/>
                <w:color w:val="auto"/>
                <w:sz w:val="24"/>
                <w:szCs w:val="24"/>
                <w:lang w:val="en-US" w:eastAsia="zh-CN"/>
              </w:rPr>
              <w:t>享受价格评审优惠不改变最终中标价格，政府采购合同仍按照中标供应商的报价签订。</w:t>
            </w:r>
          </w:p>
        </w:tc>
      </w:tr>
      <w:tr w14:paraId="1239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487" w:type="dxa"/>
            <w:shd w:val="clear" w:color="auto" w:fill="auto"/>
            <w:noWrap w:val="0"/>
            <w:vAlign w:val="center"/>
          </w:tcPr>
          <w:p w14:paraId="49CAD66A">
            <w:pPr>
              <w:numPr>
                <w:ilvl w:val="255"/>
                <w:numId w:val="0"/>
              </w:numPr>
              <w:spacing w:line="240" w:lineRule="auto"/>
              <w:jc w:val="cente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技术参数（</w:t>
            </w:r>
            <w:r>
              <w:rPr>
                <w:rFonts w:hint="eastAsia" w:asciiTheme="minorEastAsia" w:hAnsiTheme="minorEastAsia" w:eastAsiaTheme="minorEastAsia" w:cstheme="minorEastAsia"/>
                <w:b w:val="0"/>
                <w:bCs w:val="0"/>
                <w:color w:val="auto"/>
                <w:sz w:val="24"/>
                <w:szCs w:val="24"/>
                <w:lang w:val="en-US" w:eastAsia="zh-CN"/>
              </w:rPr>
              <w:t>30</w:t>
            </w:r>
            <w:r>
              <w:rPr>
                <w:rFonts w:hint="eastAsia" w:asciiTheme="minorEastAsia" w:hAnsiTheme="minorEastAsia" w:eastAsiaTheme="minorEastAsia" w:cstheme="minorEastAsia"/>
                <w:b w:val="0"/>
                <w:bCs w:val="0"/>
                <w:color w:val="auto"/>
                <w:sz w:val="24"/>
                <w:szCs w:val="24"/>
              </w:rPr>
              <w:t>分）</w:t>
            </w:r>
          </w:p>
        </w:tc>
        <w:tc>
          <w:tcPr>
            <w:tcW w:w="7480" w:type="dxa"/>
            <w:shd w:val="clear" w:color="auto" w:fill="auto"/>
            <w:noWrap w:val="0"/>
            <w:vAlign w:val="center"/>
          </w:tcPr>
          <w:p w14:paraId="6BA2BFFC">
            <w:pPr>
              <w:spacing w:line="240" w:lineRule="auto"/>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rPr>
              <w:t>依据投标文件中偏离表、技术规格说明对招标文件《第六章 采购需求》中“技术规格参数要求”满足程度进行评分。满足招标文件技术要求的得30分，次重要响应指标不满足或负偏离每项扣</w:t>
            </w:r>
            <w:r>
              <w:rPr>
                <w:rFonts w:hint="eastAsia" w:asciiTheme="minorEastAsia" w:hAnsiTheme="minorEastAsia" w:eastAsiaTheme="minorEastAsia" w:cstheme="minorEastAsia"/>
                <w:b w:val="0"/>
                <w:bCs w:val="0"/>
                <w:color w:val="auto"/>
                <w:sz w:val="24"/>
                <w:szCs w:val="24"/>
                <w:lang w:val="en-US" w:eastAsia="zh-CN"/>
              </w:rPr>
              <w:t>3</w:t>
            </w:r>
            <w:r>
              <w:rPr>
                <w:rFonts w:hint="eastAsia" w:asciiTheme="minorEastAsia" w:hAnsiTheme="minorEastAsia" w:eastAsiaTheme="minorEastAsia" w:cstheme="minorEastAsia"/>
                <w:b w:val="0"/>
                <w:bCs w:val="0"/>
                <w:color w:val="auto"/>
                <w:sz w:val="24"/>
                <w:szCs w:val="24"/>
              </w:rPr>
              <w:t>分；其余响应指标如有不满足或负偏离，每一项扣</w:t>
            </w:r>
            <w:r>
              <w:rPr>
                <w:rFonts w:hint="eastAsia" w:asciiTheme="minorEastAsia" w:hAnsiTheme="minorEastAsia" w:eastAsiaTheme="minorEastAsia" w:cstheme="minorEastAsia"/>
                <w:b w:val="0"/>
                <w:bCs w:val="0"/>
                <w:color w:val="auto"/>
                <w:sz w:val="24"/>
                <w:szCs w:val="24"/>
                <w:lang w:val="en-US" w:eastAsia="zh-CN"/>
              </w:rPr>
              <w:t>0.3</w:t>
            </w:r>
            <w:r>
              <w:rPr>
                <w:rFonts w:hint="eastAsia" w:asciiTheme="minorEastAsia" w:hAnsiTheme="minorEastAsia" w:eastAsiaTheme="minorEastAsia" w:cstheme="minorEastAsia"/>
                <w:b w:val="0"/>
                <w:bCs w:val="0"/>
                <w:color w:val="auto"/>
                <w:sz w:val="24"/>
                <w:szCs w:val="24"/>
              </w:rPr>
              <w:t>分，扣完为止。</w:t>
            </w:r>
          </w:p>
          <w:p w14:paraId="797E2002">
            <w:pPr>
              <w:spacing w:line="240" w:lineRule="auto"/>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rPr>
              <w:t>注：加“★”标志为实质性响应指标不允许负偏离，否则按无效投标处理；加“▲”的指标为次重要响应指标，其他为一般响应指标，未按招标文件要求提供证明材料的视为负偏离。</w:t>
            </w:r>
          </w:p>
        </w:tc>
      </w:tr>
      <w:tr w14:paraId="5CA4E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0" w:hRule="atLeast"/>
          <w:jc w:val="center"/>
        </w:trPr>
        <w:tc>
          <w:tcPr>
            <w:tcW w:w="1487" w:type="dxa"/>
            <w:shd w:val="clear" w:color="auto" w:fill="auto"/>
            <w:noWrap w:val="0"/>
            <w:vAlign w:val="center"/>
          </w:tcPr>
          <w:p w14:paraId="4DD5C2FC">
            <w:pPr>
              <w:numPr>
                <w:ilvl w:val="255"/>
                <w:numId w:val="0"/>
              </w:numPr>
              <w:spacing w:line="240" w:lineRule="auto"/>
              <w:ind w:left="0" w:firstLine="0"/>
              <w:jc w:val="center"/>
              <w:rPr>
                <w:rFonts w:hint="eastAsia" w:asciiTheme="minorEastAsia" w:hAnsiTheme="minorEastAsia" w:eastAsiaTheme="minorEastAsia" w:cstheme="minorEastAsia"/>
                <w:b w:val="0"/>
                <w:bCs w:val="0"/>
                <w:color w:val="auto"/>
                <w:sz w:val="24"/>
                <w:szCs w:val="24"/>
                <w:lang w:val="en-US" w:eastAsia="zh-CN" w:bidi="ar-SA"/>
              </w:rPr>
            </w:pPr>
            <w:r>
              <w:rPr>
                <w:rFonts w:hint="eastAsia" w:asciiTheme="minorEastAsia" w:hAnsiTheme="minorEastAsia" w:eastAsiaTheme="minorEastAsia" w:cstheme="minorEastAsia"/>
                <w:b w:val="0"/>
                <w:bCs w:val="0"/>
                <w:color w:val="auto"/>
                <w:sz w:val="24"/>
                <w:szCs w:val="24"/>
                <w:lang w:val="en-US" w:eastAsia="zh-CN"/>
              </w:rPr>
              <w:t>所投产品质量、性能评价（12分）</w:t>
            </w:r>
          </w:p>
        </w:tc>
        <w:tc>
          <w:tcPr>
            <w:tcW w:w="7480" w:type="dxa"/>
            <w:shd w:val="clear" w:color="auto" w:fill="auto"/>
            <w:noWrap w:val="0"/>
            <w:vAlign w:val="center"/>
          </w:tcPr>
          <w:p w14:paraId="2A7DADE4">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根据所投产品实样照片、产品配置、产品品质、医疗机构应用情况以及针对各采购包关注重点等内容，从性能稳定性、质量可靠性、技术先进性方面综合评分。</w:t>
            </w:r>
          </w:p>
          <w:p w14:paraId="67F0F3F2">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性能稳定性（4分）：性能稳定性高的得4分；性能稳定性一般的得2分；性能稳定性较差的得1分；</w:t>
            </w:r>
          </w:p>
          <w:p w14:paraId="71930C9A">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质量可靠性（4分）：质量可靠性高的得4分；产品质量可靠性一般的得2分；质量可靠性程度较差的得1分；</w:t>
            </w:r>
          </w:p>
          <w:p w14:paraId="0F3D5CBE">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技术先进性（4分）：技术先进的得4分；技术较先进的得2分；技术较落后的得1分；</w:t>
            </w:r>
          </w:p>
          <w:p w14:paraId="1BB82FC9">
            <w:pPr>
              <w:spacing w:line="240" w:lineRule="auto"/>
              <w:rPr>
                <w:rFonts w:hint="eastAsia" w:asciiTheme="minorEastAsia" w:hAnsiTheme="minorEastAsia" w:eastAsiaTheme="minorEastAsia" w:cstheme="minorEastAsia"/>
                <w:b w:val="0"/>
                <w:bCs w:val="0"/>
                <w:color w:val="auto"/>
                <w:sz w:val="24"/>
                <w:szCs w:val="24"/>
                <w:lang w:val="en-US" w:eastAsia="zh-CN" w:bidi="ar-SA"/>
              </w:rPr>
            </w:pPr>
            <w:r>
              <w:rPr>
                <w:rFonts w:hint="eastAsia" w:asciiTheme="minorEastAsia" w:hAnsiTheme="minorEastAsia" w:eastAsiaTheme="minorEastAsia" w:cstheme="minorEastAsia"/>
                <w:b w:val="0"/>
                <w:bCs w:val="0"/>
                <w:color w:val="auto"/>
                <w:sz w:val="24"/>
                <w:szCs w:val="24"/>
                <w:lang w:val="en-US" w:eastAsia="zh-CN"/>
              </w:rPr>
              <w:t>未提供不得分。本项最高得12分，最低不得分。</w:t>
            </w:r>
          </w:p>
        </w:tc>
      </w:tr>
      <w:tr w14:paraId="5C4D1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5" w:hRule="atLeast"/>
          <w:jc w:val="center"/>
        </w:trPr>
        <w:tc>
          <w:tcPr>
            <w:tcW w:w="1487" w:type="dxa"/>
            <w:shd w:val="clear" w:color="auto" w:fill="auto"/>
            <w:noWrap w:val="0"/>
            <w:vAlign w:val="center"/>
          </w:tcPr>
          <w:p w14:paraId="59166463">
            <w:pPr>
              <w:numPr>
                <w:ilvl w:val="255"/>
                <w:numId w:val="0"/>
              </w:numPr>
              <w:spacing w:line="240" w:lineRule="auto"/>
              <w:jc w:val="center"/>
              <w:rPr>
                <w:rFonts w:hint="eastAsia" w:asciiTheme="minorEastAsia" w:hAnsiTheme="minorEastAsia" w:eastAsiaTheme="minorEastAsia" w:cstheme="minorEastAsia"/>
                <w:b w:val="0"/>
                <w:bCs w:val="0"/>
                <w:color w:val="auto"/>
                <w:sz w:val="24"/>
                <w:szCs w:val="24"/>
              </w:rPr>
            </w:pPr>
            <w:r>
              <w:rPr>
                <w:rFonts w:hint="eastAsia" w:asciiTheme="minorEastAsia" w:hAnsiTheme="minorEastAsia" w:eastAsiaTheme="minorEastAsia" w:cstheme="minorEastAsia"/>
                <w:b w:val="0"/>
                <w:bCs w:val="0"/>
                <w:color w:val="auto"/>
                <w:sz w:val="24"/>
                <w:szCs w:val="24"/>
                <w:lang w:val="en-US" w:eastAsia="zh-CN"/>
              </w:rPr>
              <w:t>项目实施</w:t>
            </w:r>
            <w:r>
              <w:rPr>
                <w:rFonts w:hint="eastAsia" w:asciiTheme="minorEastAsia" w:hAnsiTheme="minorEastAsia" w:eastAsiaTheme="minorEastAsia" w:cstheme="minorEastAsia"/>
                <w:b w:val="0"/>
                <w:bCs w:val="0"/>
                <w:color w:val="auto"/>
                <w:sz w:val="24"/>
                <w:szCs w:val="24"/>
              </w:rPr>
              <w:t>方案（</w:t>
            </w:r>
            <w:r>
              <w:rPr>
                <w:rFonts w:hint="eastAsia" w:asciiTheme="minorEastAsia" w:hAnsiTheme="minorEastAsia" w:eastAsiaTheme="minorEastAsia" w:cstheme="minorEastAsia"/>
                <w:b w:val="0"/>
                <w:bCs w:val="0"/>
                <w:color w:val="auto"/>
                <w:sz w:val="24"/>
                <w:szCs w:val="24"/>
                <w:lang w:val="en-US" w:eastAsia="zh-CN"/>
              </w:rPr>
              <w:t>12</w:t>
            </w:r>
            <w:r>
              <w:rPr>
                <w:rFonts w:hint="eastAsia" w:asciiTheme="minorEastAsia" w:hAnsiTheme="minorEastAsia" w:eastAsiaTheme="minorEastAsia" w:cstheme="minorEastAsia"/>
                <w:b w:val="0"/>
                <w:bCs w:val="0"/>
                <w:color w:val="auto"/>
                <w:sz w:val="24"/>
                <w:szCs w:val="24"/>
              </w:rPr>
              <w:t>分）</w:t>
            </w:r>
          </w:p>
        </w:tc>
        <w:tc>
          <w:tcPr>
            <w:tcW w:w="7480" w:type="dxa"/>
            <w:shd w:val="clear" w:color="auto" w:fill="auto"/>
            <w:noWrap w:val="0"/>
            <w:vAlign w:val="center"/>
          </w:tcPr>
          <w:p w14:paraId="5C504CD3">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对项目实施方案进行评价，内容至少包含人员安排、实施流程、供货的保障措施、供货计划安排、安装调试方案等。</w:t>
            </w:r>
          </w:p>
          <w:p w14:paraId="44C98185">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全面性(4分)：全面具体详实得4分；较全面得2分；不太全面得1分。</w:t>
            </w:r>
          </w:p>
          <w:p w14:paraId="33D867B8">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针对性(4分)：针对性强得4分；针对性一般的得2分；欠缺针对性的得1分。</w:t>
            </w:r>
          </w:p>
          <w:p w14:paraId="42E1098A">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可行性（4分)：符合实际切实可行得4分；较切实可行得2分；可行性欠缺得1分；</w:t>
            </w:r>
          </w:p>
          <w:p w14:paraId="22C726D3">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未提供的不得分。本项最高得12分，最低不得分。</w:t>
            </w:r>
          </w:p>
        </w:tc>
      </w:tr>
      <w:tr w14:paraId="76183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941" w:hRule="atLeast"/>
          <w:jc w:val="center"/>
        </w:trPr>
        <w:tc>
          <w:tcPr>
            <w:tcW w:w="1487" w:type="dxa"/>
            <w:shd w:val="clear" w:color="auto" w:fill="auto"/>
            <w:noWrap w:val="0"/>
            <w:vAlign w:val="center"/>
          </w:tcPr>
          <w:p w14:paraId="632C3B54">
            <w:pPr>
              <w:numPr>
                <w:ilvl w:val="255"/>
                <w:numId w:val="0"/>
              </w:numPr>
              <w:spacing w:line="240" w:lineRule="auto"/>
              <w:jc w:val="center"/>
              <w:rPr>
                <w:rFonts w:hint="eastAsia" w:asciiTheme="minorEastAsia" w:hAnsiTheme="minorEastAsia" w:eastAsiaTheme="minorEastAsia" w:cstheme="minorEastAsia"/>
                <w:b w:val="0"/>
                <w:bCs w:val="0"/>
                <w:color w:val="auto"/>
                <w:sz w:val="24"/>
                <w:szCs w:val="24"/>
                <w:lang w:eastAsia="zh-CN"/>
              </w:rPr>
            </w:pPr>
            <w:r>
              <w:rPr>
                <w:rFonts w:hint="eastAsia" w:asciiTheme="minorEastAsia" w:hAnsiTheme="minorEastAsia" w:eastAsiaTheme="minorEastAsia" w:cstheme="minorEastAsia"/>
                <w:b w:val="0"/>
                <w:bCs w:val="0"/>
                <w:color w:val="auto"/>
                <w:sz w:val="24"/>
                <w:szCs w:val="24"/>
              </w:rPr>
              <w:t>售后服务方案</w:t>
            </w:r>
            <w:r>
              <w:rPr>
                <w:rFonts w:hint="eastAsia" w:asciiTheme="minorEastAsia" w:hAnsiTheme="minorEastAsia" w:eastAsiaTheme="minorEastAsia" w:cstheme="minorEastAsia"/>
                <w:b w:val="0"/>
                <w:bCs w:val="0"/>
                <w:color w:val="auto"/>
                <w:sz w:val="24"/>
                <w:szCs w:val="24"/>
                <w:lang w:eastAsia="zh-CN"/>
              </w:rPr>
              <w:t>（</w:t>
            </w:r>
            <w:r>
              <w:rPr>
                <w:rFonts w:hint="eastAsia" w:asciiTheme="minorEastAsia" w:hAnsiTheme="minorEastAsia" w:eastAsiaTheme="minorEastAsia" w:cstheme="minorEastAsia"/>
                <w:b w:val="0"/>
                <w:bCs w:val="0"/>
                <w:color w:val="auto"/>
                <w:sz w:val="24"/>
                <w:szCs w:val="24"/>
                <w:lang w:val="en-US" w:eastAsia="zh-CN"/>
              </w:rPr>
              <w:t>10分</w:t>
            </w:r>
            <w:r>
              <w:rPr>
                <w:rFonts w:hint="eastAsia" w:asciiTheme="minorEastAsia" w:hAnsiTheme="minorEastAsia" w:eastAsiaTheme="minorEastAsia" w:cstheme="minorEastAsia"/>
                <w:b w:val="0"/>
                <w:bCs w:val="0"/>
                <w:color w:val="auto"/>
                <w:sz w:val="24"/>
                <w:szCs w:val="24"/>
                <w:lang w:eastAsia="zh-CN"/>
              </w:rPr>
              <w:t>）</w:t>
            </w:r>
          </w:p>
        </w:tc>
        <w:tc>
          <w:tcPr>
            <w:tcW w:w="7480" w:type="dxa"/>
            <w:shd w:val="clear" w:color="auto" w:fill="auto"/>
            <w:noWrap w:val="0"/>
            <w:vAlign w:val="center"/>
          </w:tcPr>
          <w:p w14:paraId="73221CD6">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对售后服务方案进行评价，内容至少包含售后服务方式、响应时间、应急保障措施等。</w:t>
            </w:r>
          </w:p>
          <w:p w14:paraId="464CECA1">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全面性(4分)：全面具体详实得4分；较全面得2分；不太全面得1分。</w:t>
            </w:r>
          </w:p>
          <w:p w14:paraId="021322B5">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针对性(3分)：针对性强得3分；针对性一般的得2分；欠缺针对性的得1分。</w:t>
            </w:r>
          </w:p>
          <w:p w14:paraId="40C4F8D4">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可行性（3分)：符合实际切实可行得3分；较切实可行得2分；可行性欠缺得1分；</w:t>
            </w:r>
          </w:p>
          <w:p w14:paraId="51AC76E7">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未提供的不得分。本项最高得10分，最低不得分。</w:t>
            </w:r>
          </w:p>
        </w:tc>
      </w:tr>
      <w:tr w14:paraId="5DA23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90" w:hRule="atLeast"/>
          <w:jc w:val="center"/>
        </w:trPr>
        <w:tc>
          <w:tcPr>
            <w:tcW w:w="1487" w:type="dxa"/>
            <w:shd w:val="clear" w:color="auto" w:fill="auto"/>
            <w:noWrap w:val="0"/>
            <w:vAlign w:val="center"/>
          </w:tcPr>
          <w:p w14:paraId="3EB3A82F">
            <w:pPr>
              <w:numPr>
                <w:ilvl w:val="255"/>
                <w:numId w:val="0"/>
              </w:numPr>
              <w:spacing w:line="240" w:lineRule="auto"/>
              <w:jc w:val="center"/>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技术培训方案</w:t>
            </w:r>
          </w:p>
          <w:p w14:paraId="08648209">
            <w:pPr>
              <w:numPr>
                <w:ilvl w:val="255"/>
                <w:numId w:val="0"/>
              </w:numPr>
              <w:spacing w:line="240" w:lineRule="auto"/>
              <w:ind w:left="0" w:leftChars="0" w:firstLine="0" w:firstLineChars="0"/>
              <w:jc w:val="center"/>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（6分）</w:t>
            </w:r>
          </w:p>
        </w:tc>
        <w:tc>
          <w:tcPr>
            <w:tcW w:w="7480" w:type="dxa"/>
            <w:shd w:val="clear" w:color="auto" w:fill="auto"/>
            <w:noWrap w:val="0"/>
            <w:vAlign w:val="center"/>
          </w:tcPr>
          <w:p w14:paraId="5D494339">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对技术培训方案，内容包含但不限于：培训计划、培训内容、培训方式等方面进行评价。</w:t>
            </w:r>
          </w:p>
          <w:p w14:paraId="2B62F004">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针对性(3分)：针对性强得3分；针对性一般的得2分；欠缺针对性的得1分。</w:t>
            </w:r>
          </w:p>
          <w:p w14:paraId="02729E87">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可行性（3分)：符合实际切实可行得3分；较切实可行得2分；可行性欠缺得1分；</w:t>
            </w:r>
          </w:p>
          <w:p w14:paraId="1AB0A72D">
            <w:pPr>
              <w:spacing w:line="240"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未提供的不得分，本项最高得6分，最低不得分。</w:t>
            </w:r>
          </w:p>
        </w:tc>
      </w:tr>
    </w:tbl>
    <w:p w14:paraId="14C40599">
      <w:pPr>
        <w:numPr>
          <w:ilvl w:val="0"/>
          <w:numId w:val="0"/>
        </w:numPr>
        <w:pBdr>
          <w:top w:val="none" w:color="000000" w:sz="0" w:space="0"/>
          <w:left w:val="none" w:color="000000" w:sz="0" w:space="0"/>
          <w:bottom w:val="none" w:color="000000" w:sz="0" w:space="0"/>
          <w:right w:val="none" w:color="000000" w:sz="0" w:space="0"/>
        </w:pBdr>
        <w:spacing w:line="360" w:lineRule="auto"/>
        <w:jc w:val="left"/>
        <w:rPr>
          <w:rFonts w:hint="eastAsia" w:asciiTheme="minorEastAsia" w:hAnsiTheme="minorEastAsia" w:eastAsiaTheme="minorEastAsia" w:cstheme="minorEastAsia"/>
          <w:b/>
          <w:color w:val="auto"/>
          <w:sz w:val="22"/>
          <w:szCs w:val="22"/>
          <w:lang w:val="en-US" w:eastAsia="zh-CN"/>
        </w:rPr>
      </w:pPr>
      <w:r>
        <w:rPr>
          <w:rFonts w:hint="eastAsia" w:asciiTheme="minorEastAsia" w:hAnsiTheme="minorEastAsia" w:eastAsiaTheme="minorEastAsia" w:cstheme="minorEastAsia"/>
          <w:b/>
          <w:color w:val="auto"/>
          <w:sz w:val="22"/>
          <w:szCs w:val="22"/>
          <w:lang w:val="en-US" w:eastAsia="zh-CN"/>
        </w:rPr>
        <w:t>本章说明：1、本项目采用综合评分法，结果保留2位小数。</w:t>
      </w:r>
    </w:p>
    <w:p w14:paraId="43CC2926">
      <w:pPr>
        <w:rPr>
          <w:rFonts w:hint="eastAsia" w:asciiTheme="minorEastAsia" w:hAnsiTheme="minorEastAsia" w:eastAsiaTheme="minorEastAsia" w:cstheme="minorEastAsia"/>
          <w:b/>
          <w:color w:val="auto"/>
          <w:sz w:val="22"/>
          <w:szCs w:val="22"/>
          <w:lang w:val="en-US" w:eastAsia="zh-CN"/>
        </w:rPr>
      </w:pPr>
      <w:r>
        <w:rPr>
          <w:rFonts w:hint="eastAsia" w:asciiTheme="minorEastAsia" w:hAnsiTheme="minorEastAsia" w:eastAsiaTheme="minorEastAsia" w:cstheme="minorEastAsia"/>
          <w:b/>
          <w:color w:val="auto"/>
          <w:sz w:val="22"/>
          <w:szCs w:val="22"/>
          <w:lang w:val="en-US" w:eastAsia="zh-CN"/>
        </w:rPr>
        <w:br w:type="page"/>
      </w:r>
    </w:p>
    <w:p w14:paraId="2536C940">
      <w:pPr>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第五章 拟签订的合同文本</w:t>
      </w:r>
    </w:p>
    <w:p w14:paraId="05CEF708">
      <w:pPr>
        <w:rPr>
          <w:rFonts w:hint="eastAsia" w:asciiTheme="minorEastAsia" w:hAnsiTheme="minorEastAsia" w:eastAsiaTheme="minorEastAsia" w:cstheme="minorEastAsia"/>
          <w:b/>
          <w:color w:val="auto"/>
          <w:sz w:val="52"/>
          <w:szCs w:val="36"/>
        </w:rPr>
      </w:pPr>
    </w:p>
    <w:p w14:paraId="6D6334DC">
      <w:pPr>
        <w:jc w:val="center"/>
        <w:rPr>
          <w:rFonts w:hint="eastAsia" w:asciiTheme="minorEastAsia" w:hAnsiTheme="minorEastAsia" w:eastAsiaTheme="minorEastAsia" w:cstheme="minorEastAsia"/>
          <w:b/>
          <w:color w:val="auto"/>
          <w:sz w:val="72"/>
          <w:szCs w:val="72"/>
        </w:rPr>
      </w:pPr>
      <w:r>
        <w:rPr>
          <w:rFonts w:hint="eastAsia" w:asciiTheme="minorEastAsia" w:hAnsiTheme="minorEastAsia" w:eastAsiaTheme="minorEastAsia" w:cstheme="minorEastAsia"/>
          <w:b/>
          <w:color w:val="auto"/>
          <w:sz w:val="72"/>
          <w:szCs w:val="72"/>
        </w:rPr>
        <w:t>政 府 采 购 合 同</w:t>
      </w:r>
    </w:p>
    <w:p w14:paraId="16382B25">
      <w:pPr>
        <w:jc w:val="center"/>
        <w:rPr>
          <w:rFonts w:hint="eastAsia" w:asciiTheme="minorEastAsia" w:hAnsiTheme="minorEastAsia" w:eastAsiaTheme="minorEastAsia" w:cstheme="minorEastAsia"/>
          <w:b/>
          <w:color w:val="auto"/>
          <w:sz w:val="28"/>
          <w:szCs w:val="28"/>
          <w:lang w:eastAsia="zh-CN"/>
        </w:rPr>
      </w:pPr>
    </w:p>
    <w:p w14:paraId="7761CDA4">
      <w:pPr>
        <w:spacing w:line="360" w:lineRule="auto"/>
        <w:jc w:val="left"/>
        <w:rPr>
          <w:rFonts w:hint="eastAsia" w:asciiTheme="minorEastAsia" w:hAnsiTheme="minorEastAsia" w:eastAsiaTheme="minorEastAsia" w:cstheme="minorEastAsia"/>
          <w:b/>
          <w:color w:val="auto"/>
          <w:sz w:val="32"/>
          <w:szCs w:val="32"/>
        </w:rPr>
      </w:pPr>
    </w:p>
    <w:p w14:paraId="32848F3E">
      <w:pPr>
        <w:spacing w:line="360" w:lineRule="auto"/>
        <w:jc w:val="left"/>
        <w:rPr>
          <w:rFonts w:hint="eastAsia" w:asciiTheme="minorEastAsia" w:hAnsiTheme="minorEastAsia" w:eastAsiaTheme="minorEastAsia" w:cstheme="minorEastAsia"/>
          <w:b/>
          <w:color w:val="auto"/>
          <w:sz w:val="30"/>
          <w:szCs w:val="30"/>
          <w:lang w:eastAsia="zh-CN"/>
        </w:rPr>
      </w:pPr>
      <w:r>
        <w:rPr>
          <w:rFonts w:hint="eastAsia" w:asciiTheme="minorEastAsia" w:hAnsiTheme="minorEastAsia" w:eastAsiaTheme="minorEastAsia" w:cstheme="minorEastAsia"/>
          <w:b/>
          <w:color w:val="auto"/>
          <w:sz w:val="30"/>
          <w:szCs w:val="30"/>
        </w:rPr>
        <w:t>项目编号：</w:t>
      </w:r>
    </w:p>
    <w:p w14:paraId="7F81E61C">
      <w:pPr>
        <w:spacing w:line="360" w:lineRule="auto"/>
        <w:jc w:val="left"/>
        <w:rPr>
          <w:rFonts w:hint="eastAsia" w:asciiTheme="minorEastAsia" w:hAnsiTheme="minorEastAsia" w:eastAsiaTheme="minorEastAsia" w:cstheme="minorEastAsia"/>
          <w:b/>
          <w:color w:val="auto"/>
          <w:sz w:val="30"/>
          <w:szCs w:val="30"/>
        </w:rPr>
      </w:pPr>
    </w:p>
    <w:p w14:paraId="4B9693A0">
      <w:pPr>
        <w:spacing w:line="360" w:lineRule="auto"/>
        <w:jc w:val="left"/>
        <w:rPr>
          <w:rFonts w:hint="eastAsia" w:asciiTheme="minorEastAsia" w:hAnsiTheme="minorEastAsia" w:eastAsiaTheme="minorEastAsia" w:cstheme="minorEastAsia"/>
          <w:b/>
          <w:strike/>
          <w:dstrike w:val="0"/>
          <w:color w:val="auto"/>
          <w:sz w:val="30"/>
          <w:szCs w:val="30"/>
          <w:lang w:eastAsia="zh-CN"/>
        </w:rPr>
      </w:pPr>
      <w:r>
        <w:rPr>
          <w:rFonts w:hint="eastAsia" w:asciiTheme="minorEastAsia" w:hAnsiTheme="minorEastAsia" w:eastAsiaTheme="minorEastAsia" w:cstheme="minorEastAsia"/>
          <w:b/>
          <w:color w:val="auto"/>
          <w:sz w:val="30"/>
          <w:szCs w:val="30"/>
        </w:rPr>
        <w:t>项目名称：</w:t>
      </w:r>
    </w:p>
    <w:p w14:paraId="4E748991">
      <w:pPr>
        <w:spacing w:line="360" w:lineRule="auto"/>
        <w:jc w:val="left"/>
        <w:rPr>
          <w:rFonts w:hint="eastAsia" w:asciiTheme="minorEastAsia" w:hAnsiTheme="minorEastAsia" w:eastAsiaTheme="minorEastAsia" w:cstheme="minorEastAsia"/>
          <w:b/>
          <w:color w:val="auto"/>
          <w:sz w:val="30"/>
          <w:szCs w:val="30"/>
        </w:rPr>
      </w:pPr>
    </w:p>
    <w:p w14:paraId="02B543B6">
      <w:pPr>
        <w:spacing w:line="360" w:lineRule="auto"/>
        <w:jc w:val="left"/>
        <w:rPr>
          <w:rFonts w:hint="eastAsia" w:asciiTheme="minorEastAsia" w:hAnsiTheme="minorEastAsia" w:eastAsiaTheme="minorEastAsia" w:cstheme="minorEastAsia"/>
          <w:b/>
          <w:color w:val="auto"/>
          <w:sz w:val="30"/>
          <w:szCs w:val="30"/>
          <w:lang w:eastAsia="zh-CN"/>
        </w:rPr>
      </w:pPr>
      <w:r>
        <w:rPr>
          <w:rFonts w:hint="eastAsia" w:asciiTheme="minorEastAsia" w:hAnsiTheme="minorEastAsia" w:eastAsiaTheme="minorEastAsia" w:cstheme="minorEastAsia"/>
          <w:b/>
          <w:color w:val="auto"/>
          <w:sz w:val="30"/>
          <w:szCs w:val="30"/>
        </w:rPr>
        <w:t>采购单位：</w:t>
      </w:r>
      <w:r>
        <w:rPr>
          <w:rFonts w:hint="eastAsia" w:asciiTheme="minorEastAsia" w:hAnsiTheme="minorEastAsia" w:eastAsiaTheme="minorEastAsia" w:cstheme="minorEastAsia"/>
          <w:b/>
          <w:color w:val="auto"/>
          <w:sz w:val="30"/>
          <w:szCs w:val="30"/>
          <w:lang w:eastAsia="zh-CN"/>
        </w:rPr>
        <w:t>徐州市第一人民医院</w:t>
      </w:r>
    </w:p>
    <w:p w14:paraId="6CAA1AF6">
      <w:pPr>
        <w:spacing w:line="360" w:lineRule="auto"/>
        <w:jc w:val="left"/>
        <w:rPr>
          <w:rFonts w:hint="eastAsia" w:asciiTheme="minorEastAsia" w:hAnsiTheme="minorEastAsia" w:eastAsiaTheme="minorEastAsia" w:cstheme="minorEastAsia"/>
          <w:b/>
          <w:color w:val="auto"/>
          <w:sz w:val="30"/>
          <w:szCs w:val="30"/>
        </w:rPr>
      </w:pPr>
    </w:p>
    <w:p w14:paraId="0A14A25C">
      <w:pPr>
        <w:spacing w:line="360" w:lineRule="auto"/>
        <w:jc w:val="left"/>
        <w:rPr>
          <w:rFonts w:hint="eastAsia" w:asciiTheme="minorEastAsia" w:hAnsiTheme="minorEastAsia" w:eastAsiaTheme="minorEastAsia" w:cstheme="minorEastAsia"/>
          <w:b/>
          <w:color w:val="auto"/>
          <w:sz w:val="30"/>
          <w:szCs w:val="30"/>
        </w:rPr>
      </w:pPr>
      <w:r>
        <w:rPr>
          <w:rFonts w:hint="eastAsia" w:asciiTheme="minorEastAsia" w:hAnsiTheme="minorEastAsia" w:eastAsiaTheme="minorEastAsia" w:cstheme="minorEastAsia"/>
          <w:b/>
          <w:color w:val="auto"/>
          <w:sz w:val="30"/>
          <w:szCs w:val="30"/>
        </w:rPr>
        <w:t>中标供应商（乙方）：</w:t>
      </w:r>
    </w:p>
    <w:p w14:paraId="5D3DF4F6">
      <w:pPr>
        <w:spacing w:line="360" w:lineRule="auto"/>
        <w:jc w:val="left"/>
        <w:rPr>
          <w:rFonts w:hint="eastAsia" w:asciiTheme="minorEastAsia" w:hAnsiTheme="minorEastAsia" w:eastAsiaTheme="minorEastAsia" w:cstheme="minorEastAsia"/>
          <w:b/>
          <w:color w:val="auto"/>
          <w:sz w:val="30"/>
          <w:szCs w:val="30"/>
        </w:rPr>
      </w:pPr>
    </w:p>
    <w:p w14:paraId="3280540F">
      <w:pPr>
        <w:spacing w:line="360" w:lineRule="auto"/>
        <w:jc w:val="left"/>
        <w:rPr>
          <w:rFonts w:hint="eastAsia" w:asciiTheme="minorEastAsia" w:hAnsiTheme="minorEastAsia" w:eastAsiaTheme="minorEastAsia" w:cstheme="minorEastAsia"/>
          <w:b/>
          <w:color w:val="auto"/>
          <w:sz w:val="30"/>
          <w:szCs w:val="30"/>
        </w:rPr>
      </w:pPr>
      <w:r>
        <w:rPr>
          <w:rFonts w:hint="eastAsia" w:asciiTheme="minorEastAsia" w:hAnsiTheme="minorEastAsia" w:eastAsiaTheme="minorEastAsia" w:cstheme="minorEastAsia"/>
          <w:b/>
          <w:color w:val="auto"/>
          <w:sz w:val="30"/>
          <w:szCs w:val="30"/>
        </w:rPr>
        <w:t>签订日期：    年  月  日</w:t>
      </w:r>
    </w:p>
    <w:p w14:paraId="41A3DE80">
      <w:pPr>
        <w:spacing w:line="360" w:lineRule="auto"/>
        <w:rPr>
          <w:rFonts w:hint="eastAsia" w:asciiTheme="minorEastAsia" w:hAnsiTheme="minorEastAsia" w:eastAsiaTheme="minorEastAsia" w:cstheme="minorEastAsia"/>
          <w:b/>
          <w:bCs/>
          <w:color w:val="auto"/>
          <w:sz w:val="24"/>
        </w:rPr>
      </w:pPr>
    </w:p>
    <w:p w14:paraId="2BF9248D">
      <w:pPr>
        <w:pStyle w:val="18"/>
        <w:spacing w:after="0" w:line="360" w:lineRule="auto"/>
        <w:ind w:left="0" w:right="0"/>
        <w:rPr>
          <w:rFonts w:hint="eastAsia" w:asciiTheme="minorEastAsia" w:hAnsiTheme="minorEastAsia" w:eastAsiaTheme="minorEastAsia" w:cstheme="minorEastAsia"/>
          <w:b/>
          <w:color w:val="auto"/>
          <w:sz w:val="24"/>
        </w:rPr>
      </w:pPr>
    </w:p>
    <w:p w14:paraId="3AEA2AA5">
      <w:pPr>
        <w:pStyle w:val="18"/>
        <w:spacing w:after="0" w:line="360" w:lineRule="auto"/>
        <w:ind w:left="0" w:right="0"/>
        <w:rPr>
          <w:rFonts w:hint="eastAsia" w:asciiTheme="minorEastAsia" w:hAnsiTheme="minorEastAsia" w:eastAsiaTheme="minorEastAsia" w:cstheme="minorEastAsia"/>
          <w:b/>
          <w:color w:val="auto"/>
          <w:sz w:val="24"/>
        </w:rPr>
      </w:pPr>
      <w:r>
        <w:rPr>
          <w:rFonts w:hint="eastAsia" w:asciiTheme="minorEastAsia" w:hAnsiTheme="minorEastAsia" w:eastAsiaTheme="minorEastAsia" w:cstheme="minorEastAsia"/>
          <w:b/>
          <w:color w:val="auto"/>
          <w:sz w:val="24"/>
        </w:rPr>
        <w:t>友情提醒：采购人与中标、成交供应商应当在中标、成交通知书发出之日起三十日内，按照采购文件确定的事项签订政府采购合同。</w:t>
      </w:r>
    </w:p>
    <w:p w14:paraId="3DE98979">
      <w:pPr>
        <w:pStyle w:val="18"/>
        <w:spacing w:after="0" w:line="360" w:lineRule="auto"/>
        <w:ind w:left="0" w:right="0"/>
        <w:rPr>
          <w:rFonts w:hint="eastAsia" w:asciiTheme="minorEastAsia" w:hAnsiTheme="minorEastAsia" w:eastAsiaTheme="minorEastAsia" w:cstheme="minorEastAsia"/>
          <w:b/>
          <w:color w:val="auto"/>
          <w:sz w:val="24"/>
        </w:rPr>
        <w:sectPr>
          <w:pgSz w:w="11906" w:h="16838"/>
          <w:pgMar w:top="1440" w:right="1803" w:bottom="1440" w:left="1803" w:header="851" w:footer="992" w:gutter="0"/>
          <w:cols w:space="720" w:num="1"/>
          <w:docGrid w:linePitch="360" w:charSpace="0"/>
        </w:sectPr>
      </w:pPr>
      <w:r>
        <w:rPr>
          <w:rFonts w:hint="eastAsia" w:asciiTheme="minorEastAsia" w:hAnsiTheme="minorEastAsia" w:eastAsiaTheme="minorEastAsia" w:cstheme="minorEastAsia"/>
          <w:b/>
          <w:color w:val="auto"/>
          <w:sz w:val="24"/>
        </w:rPr>
        <w:t>采购人应当自政府采购合同签订之日起2个工作日内，将政府采购合同在省级以上人民政府财政部门指定的媒体上公告，但政府采购合同中涉及国家秘密、商业秘密的内容除外。</w:t>
      </w:r>
    </w:p>
    <w:p w14:paraId="0457CFD5">
      <w:pPr>
        <w:spacing w:line="520" w:lineRule="exact"/>
        <w:ind w:firstLine="420"/>
        <w:jc w:val="center"/>
        <w:rPr>
          <w:rFonts w:hint="eastAsia" w:ascii="宋体" w:hAnsi="宋体" w:cs="宋体"/>
          <w:color w:val="auto"/>
          <w:sz w:val="32"/>
          <w:szCs w:val="32"/>
          <w:highlight w:val="white"/>
        </w:rPr>
      </w:pPr>
      <w:r>
        <w:rPr>
          <w:rFonts w:hint="eastAsia" w:ascii="宋体" w:hAnsi="宋体" w:cs="宋体"/>
          <w:color w:val="auto"/>
          <w:sz w:val="32"/>
          <w:szCs w:val="32"/>
          <w:highlight w:val="white"/>
        </w:rPr>
        <w:t>合同通用条款</w:t>
      </w:r>
    </w:p>
    <w:p w14:paraId="1D7EA49B">
      <w:pPr>
        <w:spacing w:line="520" w:lineRule="exact"/>
        <w:ind w:firstLine="600"/>
        <w:jc w:val="center"/>
        <w:rPr>
          <w:rFonts w:hint="eastAsia" w:ascii="宋体" w:hAnsi="宋体" w:cs="宋体"/>
          <w:color w:val="auto"/>
          <w:sz w:val="24"/>
          <w:highlight w:val="white"/>
        </w:rPr>
      </w:pPr>
    </w:p>
    <w:p w14:paraId="78891915">
      <w:pPr>
        <w:spacing w:line="520" w:lineRule="exact"/>
        <w:ind w:firstLine="600"/>
        <w:jc w:val="center"/>
        <w:rPr>
          <w:rFonts w:hint="eastAsia" w:ascii="宋体" w:hAnsi="宋体" w:cs="宋体"/>
          <w:color w:val="auto"/>
          <w:sz w:val="24"/>
          <w:highlight w:val="white"/>
        </w:rPr>
      </w:pPr>
      <w:r>
        <w:rPr>
          <w:rFonts w:hint="eastAsia" w:ascii="宋体" w:hAnsi="宋体" w:cs="宋体"/>
          <w:b w:val="0"/>
          <w:bCs w:val="0"/>
          <w:color w:val="auto"/>
          <w:sz w:val="32"/>
          <w:szCs w:val="32"/>
          <w:highlight w:val="white"/>
        </w:rPr>
        <w:t>合同通用条款</w:t>
      </w:r>
    </w:p>
    <w:p w14:paraId="7517F050">
      <w:pPr>
        <w:keepNext w:val="0"/>
        <w:keepLines w:val="0"/>
        <w:pageBreakBefore w:val="0"/>
        <w:widowControl/>
        <w:spacing w:line="400" w:lineRule="atLeast"/>
        <w:ind w:firstLine="601"/>
        <w:rPr>
          <w:rFonts w:hint="eastAsia" w:ascii="宋体" w:hAnsi="宋体" w:cs="宋体"/>
          <w:color w:val="auto"/>
          <w:sz w:val="24"/>
          <w:highlight w:val="white"/>
        </w:rPr>
      </w:pPr>
    </w:p>
    <w:p w14:paraId="1F152CA2">
      <w:pPr>
        <w:widowControl/>
        <w:spacing w:line="240" w:lineRule="atLeast"/>
        <w:ind w:firstLine="600"/>
        <w:rPr>
          <w:rFonts w:hint="eastAsia" w:ascii="宋体" w:hAnsi="宋体" w:cs="宋体"/>
          <w:color w:val="auto"/>
          <w:sz w:val="24"/>
          <w:highlight w:val="white"/>
        </w:rPr>
      </w:pPr>
    </w:p>
    <w:p w14:paraId="1724E421">
      <w:pPr>
        <w:jc w:val="center"/>
        <w:rPr>
          <w:rFonts w:hint="eastAsia" w:ascii="宋体" w:hAnsi="宋体" w:eastAsia="宋体" w:cs="宋体"/>
          <w:color w:val="auto"/>
          <w:sz w:val="24"/>
        </w:rPr>
      </w:pPr>
    </w:p>
    <w:p w14:paraId="4DC0CA5A">
      <w:pPr>
        <w:rPr>
          <w:rFonts w:hint="eastAsia" w:ascii="宋体" w:hAnsi="宋体" w:eastAsia="宋体" w:cs="宋体"/>
          <w:color w:val="auto"/>
          <w:sz w:val="24"/>
        </w:rPr>
      </w:pPr>
      <w:r>
        <w:rPr>
          <w:rFonts w:hint="eastAsia" w:ascii="宋体" w:hAnsi="宋体" w:eastAsia="宋体" w:cs="宋体"/>
          <w:color w:val="auto"/>
          <w:sz w:val="24"/>
        </w:rPr>
        <w:t>第一条    定义</w:t>
      </w:r>
    </w:p>
    <w:p w14:paraId="5DEE0725">
      <w:pPr>
        <w:rPr>
          <w:rFonts w:hint="eastAsia" w:ascii="宋体" w:hAnsi="宋体" w:eastAsia="宋体" w:cs="宋体"/>
          <w:color w:val="auto"/>
          <w:sz w:val="24"/>
        </w:rPr>
      </w:pPr>
      <w:r>
        <w:rPr>
          <w:rFonts w:hint="eastAsia" w:ascii="宋体" w:hAnsi="宋体" w:eastAsia="宋体" w:cs="宋体"/>
          <w:color w:val="auto"/>
          <w:sz w:val="24"/>
        </w:rPr>
        <w:t>第二条    合同范围</w:t>
      </w:r>
    </w:p>
    <w:p w14:paraId="4C1212C1">
      <w:pPr>
        <w:rPr>
          <w:rFonts w:hint="eastAsia" w:ascii="宋体" w:hAnsi="宋体" w:eastAsia="宋体" w:cs="宋体"/>
          <w:color w:val="auto"/>
          <w:sz w:val="24"/>
        </w:rPr>
      </w:pPr>
      <w:r>
        <w:rPr>
          <w:rFonts w:hint="eastAsia" w:ascii="宋体" w:hAnsi="宋体" w:eastAsia="宋体" w:cs="宋体"/>
          <w:color w:val="auto"/>
          <w:sz w:val="24"/>
        </w:rPr>
        <w:t>第三条    价格</w:t>
      </w:r>
    </w:p>
    <w:p w14:paraId="5EF97934">
      <w:pPr>
        <w:rPr>
          <w:rFonts w:hint="eastAsia" w:ascii="宋体" w:hAnsi="宋体" w:eastAsia="宋体" w:cs="宋体"/>
          <w:color w:val="auto"/>
          <w:sz w:val="24"/>
        </w:rPr>
      </w:pPr>
      <w:r>
        <w:rPr>
          <w:rFonts w:hint="eastAsia" w:ascii="宋体" w:hAnsi="宋体" w:eastAsia="宋体" w:cs="宋体"/>
          <w:color w:val="auto"/>
          <w:sz w:val="24"/>
        </w:rPr>
        <w:t>第四条    支付</w:t>
      </w:r>
    </w:p>
    <w:p w14:paraId="3B8028D1">
      <w:pPr>
        <w:rPr>
          <w:rFonts w:hint="eastAsia" w:ascii="宋体" w:hAnsi="宋体" w:eastAsia="宋体" w:cs="宋体"/>
          <w:color w:val="auto"/>
          <w:sz w:val="24"/>
        </w:rPr>
      </w:pPr>
      <w:r>
        <w:rPr>
          <w:rFonts w:hint="eastAsia" w:ascii="宋体" w:hAnsi="宋体" w:eastAsia="宋体" w:cs="宋体"/>
          <w:color w:val="auto"/>
          <w:sz w:val="24"/>
        </w:rPr>
        <w:t>第五条    交货</w:t>
      </w:r>
    </w:p>
    <w:p w14:paraId="59C184DA">
      <w:pPr>
        <w:rPr>
          <w:rFonts w:hint="eastAsia" w:ascii="宋体" w:hAnsi="宋体" w:eastAsia="宋体" w:cs="宋体"/>
          <w:color w:val="auto"/>
          <w:sz w:val="24"/>
        </w:rPr>
      </w:pPr>
      <w:r>
        <w:rPr>
          <w:rFonts w:hint="eastAsia" w:ascii="宋体" w:hAnsi="宋体" w:eastAsia="宋体" w:cs="宋体"/>
          <w:color w:val="auto"/>
          <w:sz w:val="24"/>
        </w:rPr>
        <w:t>第六条    包装和标记</w:t>
      </w:r>
    </w:p>
    <w:p w14:paraId="1FAE7BC8">
      <w:pPr>
        <w:rPr>
          <w:rFonts w:hint="eastAsia" w:ascii="宋体" w:hAnsi="宋体" w:eastAsia="宋体" w:cs="宋体"/>
          <w:color w:val="auto"/>
          <w:sz w:val="24"/>
        </w:rPr>
      </w:pPr>
      <w:r>
        <w:rPr>
          <w:rFonts w:hint="eastAsia" w:ascii="宋体" w:hAnsi="宋体" w:eastAsia="宋体" w:cs="宋体"/>
          <w:color w:val="auto"/>
          <w:sz w:val="24"/>
        </w:rPr>
        <w:t>第七条    技术资料</w:t>
      </w:r>
    </w:p>
    <w:p w14:paraId="5492D8AB">
      <w:pPr>
        <w:rPr>
          <w:rFonts w:hint="eastAsia" w:ascii="宋体" w:hAnsi="宋体" w:eastAsia="宋体" w:cs="宋体"/>
          <w:color w:val="auto"/>
          <w:sz w:val="24"/>
        </w:rPr>
      </w:pPr>
      <w:r>
        <w:rPr>
          <w:rFonts w:hint="eastAsia" w:ascii="宋体" w:hAnsi="宋体" w:eastAsia="宋体" w:cs="宋体"/>
          <w:color w:val="auto"/>
          <w:sz w:val="24"/>
        </w:rPr>
        <w:t>第八条    安装</w:t>
      </w:r>
    </w:p>
    <w:p w14:paraId="0666F2DA">
      <w:pPr>
        <w:rPr>
          <w:rFonts w:hint="eastAsia" w:ascii="宋体" w:hAnsi="宋体" w:eastAsia="宋体" w:cs="宋体"/>
          <w:color w:val="auto"/>
          <w:sz w:val="24"/>
        </w:rPr>
      </w:pPr>
      <w:r>
        <w:rPr>
          <w:rFonts w:hint="eastAsia" w:ascii="宋体" w:hAnsi="宋体" w:eastAsia="宋体" w:cs="宋体"/>
          <w:color w:val="auto"/>
          <w:sz w:val="24"/>
        </w:rPr>
        <w:t>第九条    验收</w:t>
      </w:r>
    </w:p>
    <w:p w14:paraId="6810DC8C">
      <w:pPr>
        <w:rPr>
          <w:rFonts w:hint="eastAsia" w:ascii="宋体" w:hAnsi="宋体" w:eastAsia="宋体" w:cs="宋体"/>
          <w:color w:val="auto"/>
          <w:sz w:val="24"/>
        </w:rPr>
      </w:pPr>
      <w:r>
        <w:rPr>
          <w:rFonts w:hint="eastAsia" w:ascii="宋体" w:hAnsi="宋体" w:eastAsia="宋体" w:cs="宋体"/>
          <w:color w:val="auto"/>
          <w:sz w:val="24"/>
        </w:rPr>
        <w:t>第十条    售后服务和技术培训</w:t>
      </w:r>
    </w:p>
    <w:p w14:paraId="7CC2BDC9">
      <w:pPr>
        <w:rPr>
          <w:rFonts w:hint="eastAsia" w:ascii="宋体" w:hAnsi="宋体" w:eastAsia="宋体" w:cs="宋体"/>
          <w:color w:val="auto"/>
          <w:sz w:val="24"/>
        </w:rPr>
      </w:pPr>
      <w:r>
        <w:rPr>
          <w:rFonts w:hint="eastAsia" w:ascii="宋体" w:hAnsi="宋体" w:eastAsia="宋体" w:cs="宋体"/>
          <w:color w:val="auto"/>
          <w:sz w:val="24"/>
        </w:rPr>
        <w:t>第十一条  索赔</w:t>
      </w:r>
    </w:p>
    <w:p w14:paraId="4316656C">
      <w:pPr>
        <w:rPr>
          <w:rFonts w:hint="eastAsia" w:ascii="宋体" w:hAnsi="宋体" w:eastAsia="宋体" w:cs="宋体"/>
          <w:color w:val="auto"/>
          <w:sz w:val="24"/>
        </w:rPr>
      </w:pPr>
      <w:r>
        <w:rPr>
          <w:rFonts w:hint="eastAsia" w:ascii="宋体" w:hAnsi="宋体" w:eastAsia="宋体" w:cs="宋体"/>
          <w:color w:val="auto"/>
          <w:sz w:val="24"/>
        </w:rPr>
        <w:t>第十二条  不可抗力</w:t>
      </w:r>
    </w:p>
    <w:p w14:paraId="602ADDCB">
      <w:pPr>
        <w:rPr>
          <w:rFonts w:hint="eastAsia" w:ascii="宋体" w:hAnsi="宋体" w:eastAsia="宋体" w:cs="宋体"/>
          <w:color w:val="auto"/>
          <w:sz w:val="24"/>
        </w:rPr>
      </w:pPr>
      <w:r>
        <w:rPr>
          <w:rFonts w:hint="eastAsia" w:ascii="宋体" w:hAnsi="宋体" w:eastAsia="宋体" w:cs="宋体"/>
          <w:color w:val="auto"/>
          <w:sz w:val="24"/>
        </w:rPr>
        <w:t>第十三条  合同的终止</w:t>
      </w:r>
    </w:p>
    <w:p w14:paraId="69D46D0C">
      <w:pPr>
        <w:rPr>
          <w:rFonts w:hint="eastAsia" w:ascii="宋体" w:hAnsi="宋体" w:eastAsia="宋体" w:cs="宋体"/>
          <w:color w:val="auto"/>
          <w:sz w:val="24"/>
        </w:rPr>
      </w:pPr>
      <w:r>
        <w:rPr>
          <w:rFonts w:hint="eastAsia" w:ascii="宋体" w:hAnsi="宋体" w:eastAsia="宋体" w:cs="宋体"/>
          <w:color w:val="auto"/>
          <w:sz w:val="24"/>
        </w:rPr>
        <w:t>第十四条  争议的解决</w:t>
      </w:r>
    </w:p>
    <w:p w14:paraId="028D7115">
      <w:pPr>
        <w:rPr>
          <w:rFonts w:hint="eastAsia" w:ascii="宋体" w:hAnsi="宋体" w:eastAsia="宋体" w:cs="宋体"/>
          <w:color w:val="auto"/>
          <w:sz w:val="24"/>
        </w:rPr>
      </w:pPr>
      <w:r>
        <w:rPr>
          <w:rFonts w:hint="eastAsia" w:ascii="宋体" w:hAnsi="宋体" w:eastAsia="宋体" w:cs="宋体"/>
          <w:color w:val="auto"/>
          <w:sz w:val="24"/>
        </w:rPr>
        <w:t>第十五条  适用法律</w:t>
      </w:r>
    </w:p>
    <w:p w14:paraId="2981F63A">
      <w:pPr>
        <w:rPr>
          <w:rFonts w:hint="eastAsia" w:ascii="宋体" w:hAnsi="宋体" w:eastAsia="宋体" w:cs="宋体"/>
          <w:color w:val="auto"/>
          <w:sz w:val="24"/>
        </w:rPr>
      </w:pPr>
      <w:r>
        <w:rPr>
          <w:rFonts w:hint="eastAsia" w:ascii="宋体" w:hAnsi="宋体" w:eastAsia="宋体" w:cs="宋体"/>
          <w:color w:val="auto"/>
          <w:sz w:val="24"/>
        </w:rPr>
        <w:t>第十六条  权利保证</w:t>
      </w:r>
    </w:p>
    <w:p w14:paraId="6D7E6F13">
      <w:pPr>
        <w:rPr>
          <w:rFonts w:hint="eastAsia" w:ascii="宋体" w:hAnsi="宋体" w:eastAsia="宋体" w:cs="宋体"/>
          <w:color w:val="auto"/>
          <w:sz w:val="24"/>
        </w:rPr>
      </w:pPr>
      <w:r>
        <w:rPr>
          <w:rFonts w:hint="eastAsia" w:ascii="宋体" w:hAnsi="宋体" w:eastAsia="宋体" w:cs="宋体"/>
          <w:color w:val="auto"/>
          <w:sz w:val="24"/>
        </w:rPr>
        <w:t>第十七条  保密</w:t>
      </w:r>
    </w:p>
    <w:p w14:paraId="338094C7">
      <w:pPr>
        <w:rPr>
          <w:rFonts w:hint="eastAsia" w:ascii="宋体" w:hAnsi="宋体" w:eastAsia="宋体" w:cs="宋体"/>
          <w:color w:val="auto"/>
          <w:sz w:val="24"/>
        </w:rPr>
      </w:pPr>
      <w:r>
        <w:rPr>
          <w:rFonts w:hint="eastAsia" w:ascii="宋体" w:hAnsi="宋体" w:eastAsia="宋体" w:cs="宋体"/>
          <w:color w:val="auto"/>
          <w:sz w:val="24"/>
        </w:rPr>
        <w:t>第十八条  合同生效及其他</w:t>
      </w:r>
    </w:p>
    <w:p w14:paraId="06CCDE3C">
      <w:pPr>
        <w:rPr>
          <w:rFonts w:hint="eastAsia" w:ascii="宋体" w:hAnsi="宋体" w:eastAsia="宋体" w:cs="宋体"/>
          <w:color w:val="auto"/>
          <w:sz w:val="24"/>
        </w:rPr>
      </w:pPr>
    </w:p>
    <w:p w14:paraId="29E9ACC5">
      <w:pPr>
        <w:rPr>
          <w:rFonts w:hint="eastAsia" w:ascii="宋体" w:hAnsi="宋体" w:eastAsia="宋体" w:cs="宋体"/>
          <w:color w:val="auto"/>
          <w:sz w:val="24"/>
        </w:rPr>
      </w:pPr>
    </w:p>
    <w:p w14:paraId="111E5243">
      <w:pPr>
        <w:rPr>
          <w:rFonts w:hint="eastAsia" w:ascii="宋体" w:hAnsi="宋体" w:eastAsia="宋体" w:cs="宋体"/>
          <w:color w:val="auto"/>
          <w:sz w:val="24"/>
        </w:rPr>
      </w:pPr>
    </w:p>
    <w:p w14:paraId="439784B2">
      <w:pPr>
        <w:rPr>
          <w:rFonts w:hint="eastAsia" w:ascii="宋体" w:hAnsi="宋体" w:eastAsia="宋体" w:cs="宋体"/>
          <w:color w:val="auto"/>
          <w:sz w:val="24"/>
        </w:rPr>
      </w:pPr>
    </w:p>
    <w:p w14:paraId="77E7D7ED">
      <w:pPr>
        <w:rPr>
          <w:rFonts w:hint="eastAsia" w:ascii="宋体" w:hAnsi="宋体" w:eastAsia="宋体" w:cs="宋体"/>
          <w:color w:val="auto"/>
          <w:sz w:val="24"/>
        </w:rPr>
      </w:pPr>
    </w:p>
    <w:p w14:paraId="1BE46662">
      <w:pPr>
        <w:rPr>
          <w:rFonts w:hint="eastAsia" w:ascii="宋体" w:hAnsi="宋体" w:eastAsia="宋体" w:cs="宋体"/>
          <w:color w:val="auto"/>
          <w:sz w:val="24"/>
        </w:rPr>
      </w:pPr>
    </w:p>
    <w:p w14:paraId="30CD7820">
      <w:pPr>
        <w:rPr>
          <w:rFonts w:hint="eastAsia" w:ascii="宋体" w:hAnsi="宋体" w:eastAsia="宋体" w:cs="宋体"/>
          <w:color w:val="auto"/>
          <w:sz w:val="24"/>
        </w:rPr>
      </w:pPr>
    </w:p>
    <w:p w14:paraId="5C297A2A">
      <w:pPr>
        <w:rPr>
          <w:rFonts w:hint="eastAsia" w:ascii="宋体" w:hAnsi="宋体" w:eastAsia="宋体" w:cs="宋体"/>
          <w:color w:val="auto"/>
          <w:sz w:val="24"/>
        </w:rPr>
      </w:pPr>
    </w:p>
    <w:p w14:paraId="3AC056F3">
      <w:pPr>
        <w:rPr>
          <w:rFonts w:hint="eastAsia" w:ascii="宋体" w:hAnsi="宋体" w:eastAsia="宋体" w:cs="宋体"/>
          <w:color w:val="auto"/>
          <w:sz w:val="24"/>
        </w:rPr>
      </w:pPr>
    </w:p>
    <w:p w14:paraId="67A83178">
      <w:pPr>
        <w:rPr>
          <w:rFonts w:hint="eastAsia" w:ascii="宋体" w:hAnsi="宋体" w:eastAsia="宋体" w:cs="宋体"/>
          <w:color w:val="auto"/>
          <w:sz w:val="24"/>
        </w:rPr>
      </w:pPr>
    </w:p>
    <w:p w14:paraId="168898A3">
      <w:pPr>
        <w:rPr>
          <w:rFonts w:hint="eastAsia" w:ascii="宋体" w:hAnsi="宋体" w:eastAsia="宋体" w:cs="宋体"/>
          <w:color w:val="auto"/>
          <w:sz w:val="24"/>
        </w:rPr>
      </w:pPr>
    </w:p>
    <w:p w14:paraId="7BA8428C">
      <w:pPr>
        <w:rPr>
          <w:rFonts w:hint="eastAsia" w:ascii="宋体" w:hAnsi="宋体" w:eastAsia="宋体" w:cs="宋体"/>
          <w:color w:val="auto"/>
          <w:sz w:val="24"/>
        </w:rPr>
      </w:pPr>
    </w:p>
    <w:p w14:paraId="4E49D3BC">
      <w:pPr>
        <w:rPr>
          <w:rFonts w:hint="eastAsia" w:ascii="宋体" w:hAnsi="宋体" w:eastAsia="宋体" w:cs="宋体"/>
          <w:color w:val="auto"/>
          <w:sz w:val="24"/>
        </w:rPr>
      </w:pPr>
    </w:p>
    <w:p w14:paraId="0CE4C48E">
      <w:pPr>
        <w:rPr>
          <w:rFonts w:hint="eastAsia" w:ascii="宋体" w:hAnsi="宋体" w:eastAsia="宋体" w:cs="宋体"/>
          <w:color w:val="auto"/>
          <w:sz w:val="24"/>
        </w:rPr>
      </w:pPr>
    </w:p>
    <w:p w14:paraId="0BAB40BC">
      <w:pPr>
        <w:rPr>
          <w:rFonts w:hint="eastAsia" w:ascii="宋体" w:hAnsi="宋体" w:eastAsia="宋体" w:cs="宋体"/>
          <w:color w:val="auto"/>
          <w:sz w:val="24"/>
        </w:rPr>
      </w:pPr>
    </w:p>
    <w:p w14:paraId="4C12706B">
      <w:pPr>
        <w:rPr>
          <w:rFonts w:hint="eastAsia" w:ascii="宋体" w:hAnsi="宋体" w:eastAsia="宋体" w:cs="宋体"/>
          <w:color w:val="auto"/>
          <w:sz w:val="24"/>
        </w:rPr>
      </w:pPr>
    </w:p>
    <w:p w14:paraId="5245FE6D">
      <w:pPr>
        <w:jc w:val="center"/>
        <w:rPr>
          <w:rFonts w:hint="eastAsia" w:ascii="宋体" w:hAnsi="宋体" w:eastAsia="宋体" w:cs="宋体"/>
          <w:color w:val="auto"/>
          <w:sz w:val="30"/>
          <w:szCs w:val="30"/>
        </w:rPr>
        <w:sectPr>
          <w:pgSz w:w="11906" w:h="16838"/>
          <w:pgMar w:top="1440" w:right="1803" w:bottom="1440" w:left="1803" w:header="851" w:footer="992" w:gutter="0"/>
          <w:cols w:space="1701" w:num="1"/>
          <w:docGrid w:linePitch="360" w:charSpace="0"/>
        </w:sectPr>
      </w:pPr>
    </w:p>
    <w:p w14:paraId="03F9794E">
      <w:pPr>
        <w:spacing w:line="360" w:lineRule="auto"/>
        <w:jc w:val="center"/>
        <w:rPr>
          <w:rFonts w:hint="eastAsia" w:ascii="宋体" w:hAnsi="宋体" w:eastAsia="宋体" w:cs="宋体"/>
          <w:color w:val="auto"/>
          <w:sz w:val="30"/>
          <w:szCs w:val="30"/>
        </w:rPr>
      </w:pPr>
      <w:r>
        <w:rPr>
          <w:rFonts w:hint="eastAsia" w:ascii="宋体" w:hAnsi="宋体" w:eastAsia="宋体" w:cs="宋体"/>
          <w:color w:val="auto"/>
          <w:sz w:val="30"/>
          <w:szCs w:val="30"/>
        </w:rPr>
        <w:t>合同通用条款</w:t>
      </w:r>
    </w:p>
    <w:p w14:paraId="1A0BFAD7">
      <w:pPr>
        <w:jc w:val="center"/>
        <w:rPr>
          <w:rFonts w:hint="eastAsia" w:ascii="宋体" w:hAnsi="宋体" w:eastAsia="宋体" w:cs="宋体"/>
          <w:color w:val="auto"/>
          <w:sz w:val="24"/>
        </w:rPr>
      </w:pPr>
    </w:p>
    <w:p w14:paraId="3EB0963E">
      <w:pPr>
        <w:ind w:firstLine="480"/>
        <w:rPr>
          <w:rFonts w:hint="eastAsia" w:ascii="宋体" w:hAnsi="宋体" w:eastAsia="宋体" w:cs="宋体"/>
          <w:color w:val="auto"/>
          <w:sz w:val="24"/>
        </w:rPr>
      </w:pPr>
      <w:r>
        <w:rPr>
          <w:rFonts w:hint="eastAsia" w:ascii="宋体" w:hAnsi="宋体" w:eastAsia="宋体" w:cs="宋体"/>
          <w:color w:val="auto"/>
          <w:sz w:val="24"/>
        </w:rPr>
        <w:t>第一条  定义</w:t>
      </w:r>
    </w:p>
    <w:p w14:paraId="41EDD298">
      <w:pPr>
        <w:ind w:firstLine="480"/>
        <w:rPr>
          <w:rFonts w:hint="eastAsia" w:ascii="宋体" w:hAnsi="宋体" w:eastAsia="宋体" w:cs="宋体"/>
          <w:color w:val="auto"/>
          <w:sz w:val="24"/>
        </w:rPr>
      </w:pPr>
      <w:r>
        <w:rPr>
          <w:rFonts w:hint="eastAsia" w:ascii="宋体" w:hAnsi="宋体" w:eastAsia="宋体" w:cs="宋体"/>
          <w:color w:val="auto"/>
          <w:sz w:val="24"/>
        </w:rPr>
        <w:t xml:space="preserve">除本合同上下文中另有规定外，下列各词语定义如下： </w:t>
      </w:r>
    </w:p>
    <w:p w14:paraId="3D45A64B">
      <w:pPr>
        <w:ind w:firstLine="480"/>
        <w:rPr>
          <w:rFonts w:hint="eastAsia" w:ascii="宋体" w:hAnsi="宋体" w:eastAsia="宋体" w:cs="宋体"/>
          <w:color w:val="auto"/>
          <w:sz w:val="24"/>
        </w:rPr>
      </w:pPr>
      <w:r>
        <w:rPr>
          <w:rFonts w:hint="eastAsia" w:ascii="宋体" w:hAnsi="宋体" w:eastAsia="宋体" w:cs="宋体"/>
          <w:color w:val="auto"/>
          <w:sz w:val="24"/>
        </w:rPr>
        <w:t>1.1“买方”见《合同专用条款》。</w:t>
      </w:r>
    </w:p>
    <w:p w14:paraId="28F7D6B1">
      <w:pPr>
        <w:ind w:firstLine="480"/>
        <w:rPr>
          <w:rFonts w:hint="eastAsia" w:ascii="宋体" w:hAnsi="宋体" w:eastAsia="宋体" w:cs="宋体"/>
          <w:color w:val="auto"/>
          <w:sz w:val="24"/>
        </w:rPr>
      </w:pPr>
      <w:r>
        <w:rPr>
          <w:rFonts w:hint="eastAsia" w:ascii="宋体" w:hAnsi="宋体" w:eastAsia="宋体" w:cs="宋体"/>
          <w:color w:val="auto"/>
          <w:sz w:val="24"/>
        </w:rPr>
        <w:t>1.2“卖方”见《合同专用条款》。</w:t>
      </w:r>
    </w:p>
    <w:p w14:paraId="79B6C0D0">
      <w:pPr>
        <w:ind w:firstLine="480"/>
        <w:rPr>
          <w:rFonts w:hint="eastAsia" w:ascii="宋体" w:hAnsi="宋体" w:eastAsia="宋体" w:cs="宋体"/>
          <w:color w:val="auto"/>
          <w:sz w:val="24"/>
        </w:rPr>
      </w:pPr>
      <w:r>
        <w:rPr>
          <w:rFonts w:hint="eastAsia" w:ascii="宋体" w:hAnsi="宋体" w:eastAsia="宋体" w:cs="宋体"/>
          <w:color w:val="auto"/>
          <w:sz w:val="24"/>
        </w:rPr>
        <w:t>1.3“工作现场”见《合同专用条款》。</w:t>
      </w:r>
    </w:p>
    <w:p w14:paraId="60148218">
      <w:pPr>
        <w:ind w:firstLine="480"/>
        <w:rPr>
          <w:rFonts w:hint="eastAsia" w:ascii="宋体" w:hAnsi="宋体" w:eastAsia="宋体" w:cs="宋体"/>
          <w:color w:val="auto"/>
          <w:sz w:val="24"/>
        </w:rPr>
      </w:pPr>
      <w:r>
        <w:rPr>
          <w:rFonts w:hint="eastAsia" w:ascii="宋体" w:hAnsi="宋体" w:eastAsia="宋体" w:cs="宋体"/>
          <w:color w:val="auto"/>
          <w:sz w:val="24"/>
        </w:rPr>
        <w:t>1.4“合同标的”见合同附件4。</w:t>
      </w:r>
    </w:p>
    <w:p w14:paraId="5B57F451">
      <w:pPr>
        <w:ind w:firstLine="480"/>
        <w:rPr>
          <w:rFonts w:hint="eastAsia" w:ascii="宋体" w:hAnsi="宋体" w:eastAsia="宋体" w:cs="宋体"/>
          <w:color w:val="auto"/>
          <w:sz w:val="24"/>
        </w:rPr>
      </w:pPr>
      <w:r>
        <w:rPr>
          <w:rFonts w:hint="eastAsia" w:ascii="宋体" w:hAnsi="宋体" w:eastAsia="宋体" w:cs="宋体"/>
          <w:color w:val="auto"/>
          <w:sz w:val="24"/>
        </w:rPr>
        <w:t>1.5“技术资料”是指与合同标的的安装、试运行、验收、操作以及维修有关的技术指标、规格、图纸和文件。</w:t>
      </w:r>
    </w:p>
    <w:p w14:paraId="1A3A46EB">
      <w:pPr>
        <w:ind w:firstLine="480"/>
        <w:rPr>
          <w:rFonts w:hint="eastAsia" w:ascii="宋体" w:hAnsi="宋体" w:eastAsia="宋体" w:cs="宋体"/>
          <w:color w:val="auto"/>
          <w:sz w:val="24"/>
        </w:rPr>
      </w:pPr>
      <w:r>
        <w:rPr>
          <w:rFonts w:hint="eastAsia" w:ascii="宋体" w:hAnsi="宋体" w:eastAsia="宋体" w:cs="宋体"/>
          <w:color w:val="auto"/>
          <w:sz w:val="24"/>
        </w:rPr>
        <w:t>1.6“技术培训”是指在合同标的的安装、试运行、验收、操作、维修以及其他方面卖方给予买方的培训。</w:t>
      </w:r>
    </w:p>
    <w:p w14:paraId="654DBD31">
      <w:pPr>
        <w:ind w:firstLine="480"/>
        <w:rPr>
          <w:rFonts w:hint="eastAsia" w:ascii="宋体" w:hAnsi="宋体" w:eastAsia="宋体" w:cs="宋体"/>
          <w:color w:val="auto"/>
          <w:sz w:val="24"/>
        </w:rPr>
      </w:pPr>
      <w:r>
        <w:rPr>
          <w:rFonts w:hint="eastAsia" w:ascii="宋体" w:hAnsi="宋体" w:eastAsia="宋体" w:cs="宋体"/>
          <w:color w:val="auto"/>
          <w:sz w:val="24"/>
        </w:rPr>
        <w:t>1.7“安装”是指有关合同标的、备件和材料的安装工作。</w:t>
      </w:r>
    </w:p>
    <w:p w14:paraId="4092303A">
      <w:pPr>
        <w:ind w:firstLine="480"/>
        <w:rPr>
          <w:rFonts w:hint="eastAsia" w:ascii="宋体" w:hAnsi="宋体" w:eastAsia="宋体" w:cs="宋体"/>
          <w:color w:val="auto"/>
          <w:sz w:val="24"/>
        </w:rPr>
      </w:pPr>
      <w:r>
        <w:rPr>
          <w:rFonts w:hint="eastAsia" w:ascii="宋体" w:hAnsi="宋体" w:eastAsia="宋体" w:cs="宋体"/>
          <w:color w:val="auto"/>
          <w:sz w:val="24"/>
        </w:rPr>
        <w:t>1.8“试运行”是指为验明合同标的的技术性能，在安装完毕后对合同标的进行的测试。</w:t>
      </w:r>
    </w:p>
    <w:p w14:paraId="42424BC9">
      <w:pPr>
        <w:ind w:firstLine="480"/>
        <w:rPr>
          <w:rFonts w:hint="eastAsia" w:ascii="宋体" w:hAnsi="宋体" w:eastAsia="宋体" w:cs="宋体"/>
          <w:color w:val="auto"/>
          <w:sz w:val="24"/>
        </w:rPr>
      </w:pPr>
      <w:r>
        <w:rPr>
          <w:rFonts w:hint="eastAsia" w:ascii="宋体" w:hAnsi="宋体" w:eastAsia="宋体" w:cs="宋体"/>
          <w:color w:val="auto"/>
          <w:sz w:val="24"/>
        </w:rPr>
        <w:t>1.9“验收”是指根据合同附件2的规定进行的，用以确定合同标的是否达到合同附件2 所规定的技术性能的检验，以及合同标的在达到合同附件2 规定的技术性能之后，买方对合同标的的接受。</w:t>
      </w:r>
    </w:p>
    <w:p w14:paraId="675F97E0">
      <w:pPr>
        <w:ind w:firstLine="480"/>
        <w:rPr>
          <w:rFonts w:hint="eastAsia" w:ascii="宋体" w:hAnsi="宋体" w:eastAsia="宋体" w:cs="宋体"/>
          <w:color w:val="auto"/>
          <w:sz w:val="24"/>
        </w:rPr>
      </w:pPr>
      <w:r>
        <w:rPr>
          <w:rFonts w:hint="eastAsia" w:ascii="宋体" w:hAnsi="宋体" w:eastAsia="宋体" w:cs="宋体"/>
          <w:color w:val="auto"/>
          <w:sz w:val="24"/>
        </w:rPr>
        <w:t>1.10“合同货币”见《合同专用条款》。</w:t>
      </w:r>
    </w:p>
    <w:p w14:paraId="7C107164">
      <w:pPr>
        <w:ind w:firstLine="480"/>
        <w:rPr>
          <w:rFonts w:hint="eastAsia" w:ascii="宋体" w:hAnsi="宋体" w:eastAsia="宋体" w:cs="宋体"/>
          <w:color w:val="auto"/>
          <w:sz w:val="24"/>
        </w:rPr>
      </w:pPr>
      <w:r>
        <w:rPr>
          <w:rFonts w:hint="eastAsia" w:ascii="宋体" w:hAnsi="宋体" w:eastAsia="宋体" w:cs="宋体"/>
          <w:color w:val="auto"/>
          <w:sz w:val="24"/>
        </w:rPr>
        <w:t>1.11“合同价格”见合同附件4。</w:t>
      </w:r>
    </w:p>
    <w:p w14:paraId="2DEB5656">
      <w:pPr>
        <w:ind w:firstLine="480"/>
        <w:rPr>
          <w:rFonts w:hint="eastAsia" w:ascii="宋体" w:hAnsi="宋体" w:eastAsia="宋体" w:cs="宋体"/>
          <w:color w:val="auto"/>
          <w:sz w:val="24"/>
        </w:rPr>
      </w:pPr>
      <w:r>
        <w:rPr>
          <w:rFonts w:hint="eastAsia" w:ascii="宋体" w:hAnsi="宋体" w:eastAsia="宋体" w:cs="宋体"/>
          <w:color w:val="auto"/>
          <w:sz w:val="24"/>
        </w:rPr>
        <w:t>1.12“合同生效日”见《合同协议书》（合同附件1）第5 条。</w:t>
      </w:r>
    </w:p>
    <w:p w14:paraId="7DD381C6">
      <w:pPr>
        <w:ind w:firstLine="480"/>
        <w:rPr>
          <w:rFonts w:hint="eastAsia" w:ascii="宋体" w:hAnsi="宋体" w:eastAsia="宋体" w:cs="宋体"/>
          <w:color w:val="auto"/>
          <w:sz w:val="24"/>
        </w:rPr>
      </w:pPr>
      <w:r>
        <w:rPr>
          <w:rFonts w:hint="eastAsia" w:ascii="宋体" w:hAnsi="宋体" w:eastAsia="宋体" w:cs="宋体"/>
          <w:color w:val="auto"/>
          <w:sz w:val="24"/>
        </w:rPr>
        <w:t>1.13“日”是指日历天数。</w:t>
      </w:r>
    </w:p>
    <w:p w14:paraId="50476D30">
      <w:pPr>
        <w:ind w:firstLine="480"/>
        <w:rPr>
          <w:rFonts w:hint="eastAsia" w:ascii="宋体" w:hAnsi="宋体" w:eastAsia="宋体" w:cs="宋体"/>
          <w:color w:val="auto"/>
          <w:sz w:val="24"/>
        </w:rPr>
      </w:pPr>
      <w:r>
        <w:rPr>
          <w:rFonts w:hint="eastAsia" w:ascii="宋体" w:hAnsi="宋体" w:eastAsia="宋体" w:cs="宋体"/>
          <w:color w:val="auto"/>
          <w:sz w:val="24"/>
        </w:rPr>
        <w:t>1.14“月”是指日历月数。</w:t>
      </w:r>
    </w:p>
    <w:p w14:paraId="411C672F">
      <w:pPr>
        <w:ind w:firstLine="480"/>
        <w:rPr>
          <w:rFonts w:hint="eastAsia" w:ascii="宋体" w:hAnsi="宋体" w:eastAsia="宋体" w:cs="宋体"/>
          <w:color w:val="auto"/>
          <w:sz w:val="24"/>
        </w:rPr>
      </w:pPr>
      <w:r>
        <w:rPr>
          <w:rFonts w:hint="eastAsia" w:ascii="宋体" w:hAnsi="宋体" w:eastAsia="宋体" w:cs="宋体"/>
          <w:color w:val="auto"/>
          <w:sz w:val="24"/>
        </w:rPr>
        <w:t>1.15“采购需求” 见合同附件6。</w:t>
      </w:r>
    </w:p>
    <w:p w14:paraId="7D7D41D0">
      <w:pPr>
        <w:ind w:firstLine="480"/>
        <w:rPr>
          <w:rFonts w:hint="eastAsia" w:ascii="宋体" w:hAnsi="宋体" w:eastAsia="宋体" w:cs="宋体"/>
          <w:color w:val="auto"/>
          <w:sz w:val="24"/>
        </w:rPr>
      </w:pPr>
    </w:p>
    <w:p w14:paraId="6C76DBAF">
      <w:pPr>
        <w:ind w:firstLine="480"/>
        <w:rPr>
          <w:rFonts w:hint="eastAsia" w:ascii="宋体" w:hAnsi="宋体" w:eastAsia="宋体" w:cs="宋体"/>
          <w:color w:val="auto"/>
          <w:sz w:val="24"/>
        </w:rPr>
      </w:pPr>
      <w:r>
        <w:rPr>
          <w:rFonts w:hint="eastAsia" w:ascii="宋体" w:hAnsi="宋体" w:eastAsia="宋体" w:cs="宋体"/>
          <w:color w:val="auto"/>
          <w:sz w:val="24"/>
        </w:rPr>
        <w:t>第二条 合同范围</w:t>
      </w:r>
    </w:p>
    <w:p w14:paraId="7E61BDCA">
      <w:pPr>
        <w:ind w:firstLine="480"/>
        <w:rPr>
          <w:rFonts w:hint="eastAsia" w:ascii="宋体" w:hAnsi="宋体" w:eastAsia="宋体" w:cs="宋体"/>
          <w:color w:val="auto"/>
          <w:sz w:val="24"/>
        </w:rPr>
      </w:pPr>
      <w:r>
        <w:rPr>
          <w:rFonts w:hint="eastAsia" w:ascii="宋体" w:hAnsi="宋体" w:eastAsia="宋体" w:cs="宋体"/>
          <w:color w:val="auto"/>
          <w:sz w:val="24"/>
        </w:rPr>
        <w:t>2.1买方同意从卖方购买、卖方同意向买方出售和提供的合同标的以及相关售后服务、技术培训和技术资料。</w:t>
      </w:r>
    </w:p>
    <w:p w14:paraId="622E433C">
      <w:pPr>
        <w:ind w:firstLine="480"/>
        <w:rPr>
          <w:rFonts w:hint="eastAsia" w:ascii="宋体" w:hAnsi="宋体" w:eastAsia="宋体" w:cs="宋体"/>
          <w:color w:val="auto"/>
          <w:sz w:val="24"/>
        </w:rPr>
      </w:pPr>
      <w:r>
        <w:rPr>
          <w:rFonts w:hint="eastAsia" w:ascii="宋体" w:hAnsi="宋体" w:eastAsia="宋体" w:cs="宋体"/>
          <w:color w:val="auto"/>
          <w:sz w:val="24"/>
        </w:rPr>
        <w:t>2.2数量：见招标文件第六章《采购需求》中“三、数量要求”。</w:t>
      </w:r>
    </w:p>
    <w:p w14:paraId="1C8B5065">
      <w:pPr>
        <w:ind w:firstLine="480"/>
        <w:rPr>
          <w:rFonts w:hint="eastAsia" w:ascii="宋体" w:hAnsi="宋体" w:eastAsia="宋体" w:cs="宋体"/>
          <w:color w:val="auto"/>
          <w:sz w:val="24"/>
        </w:rPr>
      </w:pPr>
    </w:p>
    <w:p w14:paraId="2E982EB3">
      <w:pPr>
        <w:ind w:firstLine="480"/>
        <w:rPr>
          <w:rFonts w:hint="eastAsia" w:ascii="宋体" w:hAnsi="宋体" w:eastAsia="宋体" w:cs="宋体"/>
          <w:color w:val="auto"/>
          <w:sz w:val="24"/>
        </w:rPr>
      </w:pPr>
      <w:r>
        <w:rPr>
          <w:rFonts w:hint="eastAsia" w:ascii="宋体" w:hAnsi="宋体" w:eastAsia="宋体" w:cs="宋体"/>
          <w:color w:val="auto"/>
          <w:sz w:val="24"/>
        </w:rPr>
        <w:t>第三条 价格</w:t>
      </w:r>
    </w:p>
    <w:p w14:paraId="6ACCA025">
      <w:pPr>
        <w:ind w:firstLine="480"/>
        <w:rPr>
          <w:rFonts w:hint="eastAsia" w:ascii="宋体" w:hAnsi="宋体" w:eastAsia="宋体" w:cs="宋体"/>
          <w:color w:val="auto"/>
          <w:sz w:val="24"/>
        </w:rPr>
      </w:pPr>
      <w:r>
        <w:rPr>
          <w:rFonts w:hint="eastAsia" w:ascii="宋体" w:hAnsi="宋体" w:eastAsia="宋体" w:cs="宋体"/>
          <w:color w:val="auto"/>
          <w:sz w:val="24"/>
        </w:rPr>
        <w:t>3.1 合同总价见《合同专用条款》。</w:t>
      </w:r>
    </w:p>
    <w:p w14:paraId="4917262C">
      <w:pPr>
        <w:ind w:firstLine="480"/>
        <w:rPr>
          <w:rFonts w:hint="eastAsia" w:ascii="宋体" w:hAnsi="宋体" w:eastAsia="宋体" w:cs="宋体"/>
          <w:color w:val="auto"/>
          <w:sz w:val="24"/>
        </w:rPr>
      </w:pPr>
      <w:r>
        <w:rPr>
          <w:rFonts w:hint="eastAsia" w:ascii="宋体" w:hAnsi="宋体" w:eastAsia="宋体" w:cs="宋体"/>
          <w:color w:val="auto"/>
          <w:sz w:val="24"/>
        </w:rPr>
        <w:t>3.2 合同总价是固定价格。</w:t>
      </w:r>
    </w:p>
    <w:p w14:paraId="450ABE8B">
      <w:pPr>
        <w:ind w:firstLine="480"/>
        <w:rPr>
          <w:rFonts w:hint="eastAsia" w:ascii="宋体" w:hAnsi="宋体" w:eastAsia="宋体" w:cs="宋体"/>
          <w:color w:val="auto"/>
          <w:sz w:val="24"/>
        </w:rPr>
      </w:pPr>
    </w:p>
    <w:p w14:paraId="5358EE29">
      <w:pPr>
        <w:ind w:firstLine="480"/>
        <w:rPr>
          <w:rFonts w:hint="eastAsia" w:ascii="宋体" w:hAnsi="宋体" w:eastAsia="宋体" w:cs="宋体"/>
          <w:color w:val="auto"/>
          <w:sz w:val="24"/>
        </w:rPr>
      </w:pPr>
      <w:r>
        <w:rPr>
          <w:rFonts w:hint="eastAsia" w:ascii="宋体" w:hAnsi="宋体" w:eastAsia="宋体" w:cs="宋体"/>
          <w:color w:val="auto"/>
          <w:sz w:val="24"/>
        </w:rPr>
        <w:t>第四条 支付（采购资金的支付方式、时间、条件）</w:t>
      </w:r>
    </w:p>
    <w:p w14:paraId="6DD7242F">
      <w:pPr>
        <w:ind w:firstLine="480"/>
        <w:rPr>
          <w:rFonts w:hint="eastAsia" w:ascii="宋体" w:hAnsi="宋体" w:eastAsia="宋体" w:cs="宋体"/>
          <w:color w:val="auto"/>
          <w:sz w:val="24"/>
        </w:rPr>
      </w:pPr>
      <w:r>
        <w:rPr>
          <w:rFonts w:hint="eastAsia" w:ascii="宋体" w:hAnsi="宋体" w:eastAsia="宋体" w:cs="宋体"/>
          <w:color w:val="auto"/>
          <w:sz w:val="24"/>
        </w:rPr>
        <w:t>4.1买方应按照《合同专用条款》的规定进行支付。如果卖方未能按照《合同专用条款》的要求提交支付文件，由此产生的所有责任和发生的所有费用，均由卖方承担。</w:t>
      </w:r>
    </w:p>
    <w:p w14:paraId="7110F07E">
      <w:pPr>
        <w:ind w:firstLine="480"/>
        <w:rPr>
          <w:rFonts w:hint="eastAsia" w:ascii="宋体" w:hAnsi="宋体" w:eastAsia="宋体" w:cs="宋体"/>
          <w:color w:val="auto"/>
          <w:sz w:val="24"/>
        </w:rPr>
      </w:pPr>
      <w:r>
        <w:rPr>
          <w:rFonts w:hint="eastAsia" w:ascii="宋体" w:hAnsi="宋体" w:eastAsia="宋体" w:cs="宋体"/>
          <w:color w:val="auto"/>
          <w:sz w:val="24"/>
        </w:rPr>
        <w:t>4.2卖方有义务根据合同的规定向买方支付违约金和/或赔偿金时，买方有权从任何一笔应付款中予以扣除。</w:t>
      </w:r>
    </w:p>
    <w:p w14:paraId="067F17C6">
      <w:pPr>
        <w:ind w:firstLine="480"/>
        <w:rPr>
          <w:rFonts w:hint="eastAsia" w:ascii="宋体" w:hAnsi="宋体" w:eastAsia="宋体" w:cs="宋体"/>
          <w:color w:val="auto"/>
          <w:sz w:val="24"/>
        </w:rPr>
      </w:pPr>
    </w:p>
    <w:p w14:paraId="2914FE42">
      <w:pPr>
        <w:ind w:firstLine="480"/>
        <w:rPr>
          <w:rFonts w:hint="eastAsia" w:ascii="宋体" w:hAnsi="宋体" w:eastAsia="宋体" w:cs="宋体"/>
          <w:color w:val="auto"/>
          <w:sz w:val="24"/>
        </w:rPr>
      </w:pPr>
      <w:r>
        <w:rPr>
          <w:rFonts w:hint="eastAsia" w:ascii="宋体" w:hAnsi="宋体" w:eastAsia="宋体" w:cs="宋体"/>
          <w:color w:val="auto"/>
          <w:sz w:val="24"/>
        </w:rPr>
        <w:t>第五条 交货（货物、服务提供的时间、地点、方式）</w:t>
      </w:r>
    </w:p>
    <w:p w14:paraId="14342E96">
      <w:pPr>
        <w:ind w:firstLine="480"/>
        <w:rPr>
          <w:rFonts w:hint="eastAsia" w:ascii="宋体" w:hAnsi="宋体" w:eastAsia="宋体" w:cs="宋体"/>
          <w:color w:val="auto"/>
          <w:sz w:val="24"/>
        </w:rPr>
      </w:pPr>
      <w:r>
        <w:rPr>
          <w:rFonts w:hint="eastAsia" w:ascii="宋体" w:hAnsi="宋体" w:eastAsia="宋体" w:cs="宋体"/>
          <w:color w:val="auto"/>
          <w:sz w:val="24"/>
        </w:rPr>
        <w:t>5.1交货期限、批次和交货条件见《合同专用条款》。</w:t>
      </w:r>
    </w:p>
    <w:p w14:paraId="4168CF89">
      <w:pPr>
        <w:ind w:firstLine="480"/>
        <w:rPr>
          <w:rFonts w:hint="eastAsia" w:ascii="宋体" w:hAnsi="宋体" w:eastAsia="宋体" w:cs="宋体"/>
          <w:strike/>
          <w:color w:val="auto"/>
          <w:sz w:val="24"/>
        </w:rPr>
      </w:pPr>
      <w:r>
        <w:rPr>
          <w:rFonts w:hint="eastAsia" w:ascii="宋体" w:hAnsi="宋体" w:eastAsia="宋体" w:cs="宋体"/>
          <w:color w:val="auto"/>
          <w:sz w:val="24"/>
        </w:rPr>
        <w:t>5.2交货地点见《合同专用条款》。</w:t>
      </w:r>
    </w:p>
    <w:p w14:paraId="0F50613D">
      <w:pPr>
        <w:ind w:firstLine="480"/>
        <w:rPr>
          <w:rFonts w:hint="eastAsia" w:ascii="宋体" w:hAnsi="宋体" w:eastAsia="宋体" w:cs="宋体"/>
          <w:color w:val="auto"/>
          <w:sz w:val="24"/>
        </w:rPr>
      </w:pPr>
      <w:r>
        <w:rPr>
          <w:rFonts w:hint="eastAsia" w:ascii="宋体" w:hAnsi="宋体" w:eastAsia="宋体" w:cs="宋体"/>
          <w:color w:val="auto"/>
          <w:sz w:val="24"/>
        </w:rPr>
        <w:t>5.3在《合同专用条款》规定的期限内，卖方应将合同号、合同标的的名称、数量、金额、包装件数以及交货的时间以书面方式通知买方。</w:t>
      </w:r>
    </w:p>
    <w:p w14:paraId="22426374">
      <w:pPr>
        <w:ind w:firstLine="480"/>
        <w:rPr>
          <w:rFonts w:hint="eastAsia" w:ascii="宋体" w:hAnsi="宋体" w:eastAsia="宋体" w:cs="宋体"/>
          <w:color w:val="auto"/>
          <w:sz w:val="24"/>
        </w:rPr>
      </w:pPr>
      <w:r>
        <w:rPr>
          <w:rFonts w:hint="eastAsia" w:ascii="宋体" w:hAnsi="宋体" w:eastAsia="宋体" w:cs="宋体"/>
          <w:color w:val="auto"/>
          <w:sz w:val="24"/>
        </w:rPr>
        <w:t>5.4卖方应按下列规定交付合同标的：</w:t>
      </w:r>
    </w:p>
    <w:p w14:paraId="40F04971">
      <w:pPr>
        <w:ind w:firstLine="480"/>
        <w:rPr>
          <w:rFonts w:hint="eastAsia" w:ascii="宋体" w:hAnsi="宋体" w:eastAsia="宋体" w:cs="宋体"/>
          <w:color w:val="auto"/>
          <w:sz w:val="24"/>
        </w:rPr>
      </w:pPr>
      <w:r>
        <w:rPr>
          <w:rFonts w:hint="eastAsia" w:ascii="宋体" w:hAnsi="宋体" w:eastAsia="宋体" w:cs="宋体"/>
          <w:color w:val="auto"/>
          <w:sz w:val="24"/>
        </w:rPr>
        <w:t>5.4.1卖方负责将合同标的送至《合同专用条款》规定的交货地点。</w:t>
      </w:r>
    </w:p>
    <w:p w14:paraId="342914B1">
      <w:pPr>
        <w:ind w:firstLine="480"/>
        <w:rPr>
          <w:rFonts w:hint="eastAsia" w:ascii="宋体" w:hAnsi="宋体" w:eastAsia="宋体" w:cs="宋体"/>
          <w:color w:val="auto"/>
          <w:sz w:val="24"/>
        </w:rPr>
      </w:pPr>
      <w:r>
        <w:rPr>
          <w:rFonts w:hint="eastAsia" w:ascii="宋体" w:hAnsi="宋体" w:eastAsia="宋体" w:cs="宋体"/>
          <w:color w:val="auto"/>
          <w:sz w:val="24"/>
        </w:rPr>
        <w:t>5.4.2买方出具的收据日期是合同标的的实际交货日期。</w:t>
      </w:r>
    </w:p>
    <w:p w14:paraId="2AA42A83">
      <w:pPr>
        <w:ind w:firstLine="480"/>
        <w:rPr>
          <w:rFonts w:hint="eastAsia" w:ascii="宋体" w:hAnsi="宋体" w:eastAsia="宋体" w:cs="宋体"/>
          <w:color w:val="auto"/>
          <w:sz w:val="24"/>
        </w:rPr>
      </w:pPr>
      <w:r>
        <w:rPr>
          <w:rFonts w:hint="eastAsia" w:ascii="宋体" w:hAnsi="宋体" w:eastAsia="宋体" w:cs="宋体"/>
          <w:color w:val="auto"/>
          <w:sz w:val="24"/>
        </w:rPr>
        <w:t>5.5如果卖方未能按照合同规定的交货期限交货，卖方应按《合同专用条款》的规定支付违约金或提供其他救济。</w:t>
      </w:r>
    </w:p>
    <w:p w14:paraId="5AA28125">
      <w:pPr>
        <w:ind w:firstLine="480"/>
        <w:rPr>
          <w:rFonts w:hint="eastAsia" w:ascii="宋体" w:hAnsi="宋体" w:eastAsia="宋体" w:cs="宋体"/>
          <w:color w:val="auto"/>
          <w:sz w:val="24"/>
        </w:rPr>
      </w:pPr>
    </w:p>
    <w:p w14:paraId="229538AB">
      <w:pPr>
        <w:ind w:firstLine="480"/>
        <w:rPr>
          <w:rFonts w:hint="eastAsia" w:ascii="宋体" w:hAnsi="宋体" w:eastAsia="宋体" w:cs="宋体"/>
          <w:color w:val="auto"/>
          <w:sz w:val="24"/>
        </w:rPr>
      </w:pPr>
      <w:r>
        <w:rPr>
          <w:rFonts w:hint="eastAsia" w:ascii="宋体" w:hAnsi="宋体" w:eastAsia="宋体" w:cs="宋体"/>
          <w:color w:val="auto"/>
          <w:sz w:val="24"/>
        </w:rPr>
        <w:t>第六条 包装与标记</w:t>
      </w:r>
    </w:p>
    <w:p w14:paraId="77BFAB7B">
      <w:pPr>
        <w:ind w:firstLine="480"/>
        <w:rPr>
          <w:rFonts w:hint="eastAsia" w:ascii="宋体" w:hAnsi="宋体" w:eastAsia="宋体" w:cs="宋体"/>
          <w:color w:val="auto"/>
          <w:sz w:val="24"/>
        </w:rPr>
      </w:pPr>
      <w:r>
        <w:rPr>
          <w:rFonts w:hint="eastAsia" w:ascii="宋体" w:hAnsi="宋体" w:eastAsia="宋体" w:cs="宋体"/>
          <w:color w:val="auto"/>
          <w:sz w:val="24"/>
        </w:rPr>
        <w:t>6.1除非合同中另有规定，合同标的应保持产品制造企业原包装完好。</w:t>
      </w:r>
    </w:p>
    <w:p w14:paraId="7A75763A">
      <w:pPr>
        <w:ind w:firstLine="480"/>
        <w:rPr>
          <w:rFonts w:hint="eastAsia" w:ascii="宋体" w:hAnsi="宋体" w:eastAsia="宋体" w:cs="宋体"/>
          <w:color w:val="auto"/>
          <w:sz w:val="24"/>
        </w:rPr>
      </w:pPr>
      <w:r>
        <w:rPr>
          <w:rFonts w:hint="eastAsia" w:ascii="宋体" w:hAnsi="宋体" w:eastAsia="宋体" w:cs="宋体"/>
          <w:color w:val="auto"/>
          <w:sz w:val="24"/>
        </w:rPr>
        <w:t xml:space="preserve">6.2在合同标的的每件包装中都应附有下列单据： </w:t>
      </w:r>
    </w:p>
    <w:p w14:paraId="3915EE53">
      <w:pPr>
        <w:ind w:firstLine="480"/>
        <w:rPr>
          <w:rFonts w:hint="eastAsia" w:ascii="宋体" w:hAnsi="宋体" w:eastAsia="宋体" w:cs="宋体"/>
          <w:strike/>
          <w:color w:val="auto"/>
          <w:sz w:val="24"/>
        </w:rPr>
      </w:pPr>
      <w:r>
        <w:rPr>
          <w:rFonts w:hint="eastAsia" w:ascii="宋体" w:hAnsi="宋体" w:eastAsia="宋体" w:cs="宋体"/>
          <w:color w:val="auto"/>
          <w:sz w:val="24"/>
        </w:rPr>
        <w:t xml:space="preserve">A. 装箱明细单； </w:t>
      </w:r>
    </w:p>
    <w:p w14:paraId="06C6D26D">
      <w:pPr>
        <w:ind w:firstLine="480"/>
        <w:rPr>
          <w:rFonts w:hint="eastAsia" w:ascii="宋体" w:hAnsi="宋体" w:eastAsia="宋体" w:cs="宋体"/>
          <w:strike/>
          <w:color w:val="auto"/>
          <w:sz w:val="24"/>
        </w:rPr>
      </w:pPr>
      <w:r>
        <w:rPr>
          <w:rFonts w:hint="eastAsia" w:ascii="宋体" w:hAnsi="宋体" w:eastAsia="宋体" w:cs="宋体"/>
          <w:color w:val="auto"/>
          <w:sz w:val="24"/>
        </w:rPr>
        <w:t xml:space="preserve">B. 质量合格证； </w:t>
      </w:r>
    </w:p>
    <w:p w14:paraId="222FF2C2">
      <w:pPr>
        <w:ind w:firstLine="480"/>
        <w:rPr>
          <w:rFonts w:hint="eastAsia" w:ascii="宋体" w:hAnsi="宋体" w:eastAsia="宋体" w:cs="宋体"/>
          <w:strike/>
          <w:color w:val="auto"/>
          <w:sz w:val="24"/>
        </w:rPr>
      </w:pPr>
      <w:r>
        <w:rPr>
          <w:rFonts w:hint="eastAsia" w:ascii="宋体" w:hAnsi="宋体" w:eastAsia="宋体" w:cs="宋体"/>
          <w:color w:val="auto"/>
          <w:sz w:val="24"/>
        </w:rPr>
        <w:t>C. 技术资料。</w:t>
      </w:r>
    </w:p>
    <w:p w14:paraId="1992B90F">
      <w:pPr>
        <w:ind w:firstLine="480"/>
        <w:rPr>
          <w:rFonts w:hint="eastAsia" w:ascii="宋体" w:hAnsi="宋体" w:eastAsia="宋体" w:cs="宋体"/>
          <w:color w:val="auto"/>
          <w:sz w:val="24"/>
        </w:rPr>
      </w:pPr>
      <w:r>
        <w:rPr>
          <w:rFonts w:hint="eastAsia" w:ascii="宋体" w:hAnsi="宋体" w:eastAsia="宋体" w:cs="宋体"/>
          <w:color w:val="auto"/>
          <w:sz w:val="24"/>
        </w:rPr>
        <w:t>6.3凡由于对合同标的包装不当或采取防护措施不充分致使合同标的损坏或丢失时，卖方均应负责修理、更换或赔偿。如果因卖方在包装和标记方面发生的错误或混淆不清造成合同标的的误运，卖方应承担由此发生的额外费用。</w:t>
      </w:r>
    </w:p>
    <w:p w14:paraId="14452F13">
      <w:pPr>
        <w:ind w:firstLine="480"/>
        <w:rPr>
          <w:rFonts w:hint="eastAsia" w:ascii="宋体" w:hAnsi="宋体" w:eastAsia="宋体" w:cs="宋体"/>
          <w:color w:val="auto"/>
          <w:sz w:val="24"/>
        </w:rPr>
      </w:pPr>
    </w:p>
    <w:p w14:paraId="12E600E7">
      <w:pPr>
        <w:ind w:firstLine="480"/>
        <w:rPr>
          <w:rFonts w:hint="eastAsia" w:ascii="宋体" w:hAnsi="宋体" w:eastAsia="宋体" w:cs="宋体"/>
          <w:color w:val="auto"/>
          <w:sz w:val="24"/>
        </w:rPr>
      </w:pPr>
      <w:r>
        <w:rPr>
          <w:rFonts w:hint="eastAsia" w:ascii="宋体" w:hAnsi="宋体" w:eastAsia="宋体" w:cs="宋体"/>
          <w:color w:val="auto"/>
          <w:sz w:val="24"/>
        </w:rPr>
        <w:t>第七条 技术资料</w:t>
      </w:r>
    </w:p>
    <w:p w14:paraId="161F1015">
      <w:pPr>
        <w:ind w:firstLine="480"/>
        <w:rPr>
          <w:rFonts w:hint="eastAsia" w:ascii="宋体" w:hAnsi="宋体" w:eastAsia="宋体" w:cs="宋体"/>
          <w:color w:val="auto"/>
          <w:sz w:val="24"/>
        </w:rPr>
      </w:pPr>
      <w:r>
        <w:rPr>
          <w:rFonts w:hint="eastAsia" w:ascii="宋体" w:hAnsi="宋体" w:eastAsia="宋体" w:cs="宋体"/>
          <w:color w:val="auto"/>
          <w:sz w:val="24"/>
        </w:rPr>
        <w:t>7.1 技术资料交付的期限和方式见《合同专用条款》。</w:t>
      </w:r>
    </w:p>
    <w:p w14:paraId="070439E5">
      <w:pPr>
        <w:ind w:firstLine="480"/>
        <w:rPr>
          <w:rFonts w:hint="eastAsia" w:ascii="宋体" w:hAnsi="宋体" w:eastAsia="宋体" w:cs="宋体"/>
          <w:color w:val="auto"/>
          <w:sz w:val="24"/>
        </w:rPr>
      </w:pPr>
    </w:p>
    <w:p w14:paraId="0ECE0A7A">
      <w:pPr>
        <w:ind w:firstLine="480"/>
        <w:rPr>
          <w:rFonts w:hint="eastAsia" w:ascii="宋体" w:hAnsi="宋体" w:eastAsia="宋体" w:cs="宋体"/>
          <w:color w:val="auto"/>
          <w:sz w:val="24"/>
        </w:rPr>
      </w:pPr>
      <w:r>
        <w:rPr>
          <w:rFonts w:hint="eastAsia" w:ascii="宋体" w:hAnsi="宋体" w:eastAsia="宋体" w:cs="宋体"/>
          <w:color w:val="auto"/>
          <w:sz w:val="24"/>
        </w:rPr>
        <w:t>第八条 安装</w:t>
      </w:r>
    </w:p>
    <w:p w14:paraId="5594A455">
      <w:pPr>
        <w:ind w:firstLine="480"/>
        <w:rPr>
          <w:rFonts w:hint="eastAsia" w:ascii="宋体" w:hAnsi="宋体" w:eastAsia="宋体" w:cs="宋体"/>
          <w:color w:val="auto"/>
          <w:sz w:val="24"/>
        </w:rPr>
      </w:pPr>
      <w:r>
        <w:rPr>
          <w:rFonts w:hint="eastAsia" w:ascii="宋体" w:hAnsi="宋体" w:eastAsia="宋体" w:cs="宋体"/>
          <w:color w:val="auto"/>
          <w:sz w:val="24"/>
        </w:rPr>
        <w:t>8.1 合同标的的安装期限见《合同专用条款》。</w:t>
      </w:r>
    </w:p>
    <w:p w14:paraId="3C0DA7D6">
      <w:pPr>
        <w:ind w:firstLine="480"/>
        <w:rPr>
          <w:rFonts w:hint="eastAsia" w:ascii="宋体" w:hAnsi="宋体" w:eastAsia="宋体" w:cs="宋体"/>
          <w:color w:val="auto"/>
          <w:sz w:val="24"/>
        </w:rPr>
      </w:pPr>
      <w:r>
        <w:rPr>
          <w:rFonts w:hint="eastAsia" w:ascii="宋体" w:hAnsi="宋体" w:eastAsia="宋体" w:cs="宋体"/>
          <w:color w:val="auto"/>
          <w:sz w:val="24"/>
        </w:rPr>
        <w:t>8.2 项目实施方案见合同附件7。</w:t>
      </w:r>
    </w:p>
    <w:p w14:paraId="2EF0AB20">
      <w:pPr>
        <w:ind w:firstLine="480"/>
        <w:rPr>
          <w:rFonts w:hint="eastAsia" w:ascii="宋体" w:hAnsi="宋体" w:eastAsia="宋体" w:cs="宋体"/>
          <w:color w:val="auto"/>
          <w:sz w:val="24"/>
        </w:rPr>
      </w:pPr>
    </w:p>
    <w:p w14:paraId="1354163C">
      <w:pPr>
        <w:ind w:firstLine="480"/>
        <w:rPr>
          <w:rFonts w:hint="eastAsia" w:ascii="宋体" w:hAnsi="宋体" w:eastAsia="宋体" w:cs="宋体"/>
          <w:color w:val="auto"/>
          <w:sz w:val="24"/>
        </w:rPr>
      </w:pPr>
      <w:r>
        <w:rPr>
          <w:rFonts w:hint="eastAsia" w:ascii="宋体" w:hAnsi="宋体" w:eastAsia="宋体" w:cs="宋体"/>
          <w:color w:val="auto"/>
          <w:sz w:val="24"/>
        </w:rPr>
        <w:t>第九条 验收</w:t>
      </w:r>
    </w:p>
    <w:p w14:paraId="3B415C28">
      <w:pPr>
        <w:ind w:firstLine="480"/>
        <w:rPr>
          <w:rFonts w:hint="eastAsia" w:ascii="宋体" w:hAnsi="宋体" w:eastAsia="宋体" w:cs="宋体"/>
          <w:color w:val="auto"/>
          <w:sz w:val="24"/>
        </w:rPr>
      </w:pPr>
      <w:r>
        <w:rPr>
          <w:rFonts w:hint="eastAsia" w:ascii="宋体" w:hAnsi="宋体" w:eastAsia="宋体" w:cs="宋体"/>
          <w:color w:val="auto"/>
          <w:sz w:val="24"/>
        </w:rPr>
        <w:t>9.1合同标的的试运行、验收见《合同专用条款》。</w:t>
      </w:r>
    </w:p>
    <w:p w14:paraId="3FB71331">
      <w:pPr>
        <w:ind w:firstLine="480"/>
        <w:rPr>
          <w:rFonts w:hint="eastAsia" w:ascii="宋体" w:hAnsi="宋体" w:eastAsia="宋体" w:cs="宋体"/>
          <w:color w:val="auto"/>
          <w:sz w:val="24"/>
        </w:rPr>
      </w:pPr>
      <w:r>
        <w:rPr>
          <w:rFonts w:hint="eastAsia" w:ascii="宋体" w:hAnsi="宋体" w:eastAsia="宋体" w:cs="宋体"/>
          <w:color w:val="auto"/>
          <w:sz w:val="24"/>
        </w:rPr>
        <w:t>9.2如果合同附件2 所规定的所有技术性能在验收中都已经达到，双方应在验收合格后5 日内签署验收书。</w:t>
      </w:r>
    </w:p>
    <w:p w14:paraId="415F4C11">
      <w:pPr>
        <w:ind w:firstLine="540"/>
        <w:rPr>
          <w:rFonts w:hint="eastAsia" w:ascii="宋体" w:hAnsi="宋体" w:eastAsia="宋体" w:cs="宋体"/>
          <w:color w:val="auto"/>
          <w:sz w:val="24"/>
        </w:rPr>
      </w:pPr>
      <w:r>
        <w:rPr>
          <w:rFonts w:hint="eastAsia" w:ascii="宋体" w:hAnsi="宋体" w:eastAsia="宋体" w:cs="宋体"/>
          <w:color w:val="auto"/>
          <w:sz w:val="24"/>
        </w:rPr>
        <w:t>9.3验收标准（验收要求、验收标准和程序）：见合同附件5。</w:t>
      </w:r>
    </w:p>
    <w:p w14:paraId="7AA5F80C">
      <w:pPr>
        <w:ind w:firstLine="480"/>
        <w:rPr>
          <w:rFonts w:hint="eastAsia" w:ascii="宋体" w:hAnsi="宋体" w:eastAsia="宋体" w:cs="宋体"/>
          <w:color w:val="auto"/>
          <w:sz w:val="24"/>
        </w:rPr>
      </w:pPr>
    </w:p>
    <w:p w14:paraId="3BF03B54">
      <w:pPr>
        <w:ind w:firstLine="480"/>
        <w:rPr>
          <w:rFonts w:hint="eastAsia" w:ascii="宋体" w:hAnsi="宋体" w:eastAsia="宋体" w:cs="宋体"/>
          <w:color w:val="auto"/>
          <w:sz w:val="24"/>
        </w:rPr>
      </w:pPr>
      <w:r>
        <w:rPr>
          <w:rFonts w:hint="eastAsia" w:ascii="宋体" w:hAnsi="宋体" w:eastAsia="宋体" w:cs="宋体"/>
          <w:color w:val="auto"/>
          <w:sz w:val="24"/>
        </w:rPr>
        <w:t>第十条 售后服务和技术培训</w:t>
      </w:r>
    </w:p>
    <w:p w14:paraId="79FB68D4">
      <w:pPr>
        <w:ind w:firstLine="480"/>
        <w:rPr>
          <w:rFonts w:hint="eastAsia" w:ascii="宋体" w:hAnsi="宋体" w:eastAsia="宋体" w:cs="宋体"/>
          <w:color w:val="auto"/>
          <w:sz w:val="24"/>
        </w:rPr>
      </w:pPr>
      <w:r>
        <w:rPr>
          <w:rFonts w:hint="eastAsia" w:ascii="宋体" w:hAnsi="宋体" w:eastAsia="宋体" w:cs="宋体"/>
          <w:color w:val="auto"/>
          <w:sz w:val="24"/>
        </w:rPr>
        <w:t>10.1售后服务和技术培训见合同附件3。</w:t>
      </w:r>
    </w:p>
    <w:p w14:paraId="0118D9ED">
      <w:pPr>
        <w:ind w:firstLine="480"/>
        <w:rPr>
          <w:rFonts w:hint="eastAsia" w:ascii="宋体" w:hAnsi="宋体" w:eastAsia="宋体" w:cs="宋体"/>
          <w:color w:val="auto"/>
          <w:sz w:val="24"/>
        </w:rPr>
      </w:pPr>
    </w:p>
    <w:p w14:paraId="16BDB52C">
      <w:pPr>
        <w:ind w:firstLine="480"/>
        <w:rPr>
          <w:rFonts w:hint="eastAsia" w:ascii="宋体" w:hAnsi="宋体" w:eastAsia="宋体" w:cs="宋体"/>
          <w:color w:val="auto"/>
          <w:sz w:val="24"/>
        </w:rPr>
      </w:pPr>
      <w:r>
        <w:rPr>
          <w:rFonts w:hint="eastAsia" w:ascii="宋体" w:hAnsi="宋体" w:eastAsia="宋体" w:cs="宋体"/>
          <w:color w:val="auto"/>
          <w:sz w:val="24"/>
        </w:rPr>
        <w:t>第十一条 索赔</w:t>
      </w:r>
    </w:p>
    <w:p w14:paraId="050A4288">
      <w:pPr>
        <w:ind w:firstLine="480"/>
        <w:rPr>
          <w:rFonts w:hint="eastAsia" w:ascii="宋体" w:hAnsi="宋体" w:eastAsia="宋体" w:cs="宋体"/>
          <w:color w:val="auto"/>
          <w:sz w:val="24"/>
        </w:rPr>
      </w:pPr>
      <w:r>
        <w:rPr>
          <w:rFonts w:hint="eastAsia" w:ascii="宋体" w:hAnsi="宋体" w:eastAsia="宋体" w:cs="宋体"/>
          <w:color w:val="auto"/>
          <w:sz w:val="24"/>
        </w:rPr>
        <w:t>11.1如果合同标的在安装、试运行和验收中卖方未能履行其在本合同项下承担的义务，买方有权向卖方提出索赔并寻求《合同专用条款》中规定的救济方式，救济方式包括：</w:t>
      </w:r>
    </w:p>
    <w:p w14:paraId="65939697">
      <w:pPr>
        <w:ind w:firstLine="480"/>
        <w:rPr>
          <w:rFonts w:hint="eastAsia" w:ascii="宋体" w:hAnsi="宋体" w:eastAsia="宋体" w:cs="宋体"/>
          <w:color w:val="auto"/>
          <w:sz w:val="24"/>
        </w:rPr>
      </w:pPr>
      <w:r>
        <w:rPr>
          <w:rFonts w:hint="eastAsia" w:ascii="宋体" w:hAnsi="宋体" w:eastAsia="宋体" w:cs="宋体"/>
          <w:color w:val="auto"/>
          <w:sz w:val="24"/>
        </w:rPr>
        <w:t>A. 卖方替换不符合合同规定的合同标的。</w:t>
      </w:r>
    </w:p>
    <w:p w14:paraId="2F7C36C2">
      <w:pPr>
        <w:ind w:firstLine="480"/>
        <w:rPr>
          <w:rFonts w:hint="eastAsia" w:ascii="宋体" w:hAnsi="宋体" w:eastAsia="宋体" w:cs="宋体"/>
          <w:color w:val="auto"/>
          <w:sz w:val="24"/>
        </w:rPr>
      </w:pPr>
      <w:r>
        <w:rPr>
          <w:rFonts w:hint="eastAsia" w:ascii="宋体" w:hAnsi="宋体" w:eastAsia="宋体" w:cs="宋体"/>
          <w:color w:val="auto"/>
          <w:sz w:val="24"/>
        </w:rPr>
        <w:t>B. 按质量低劣的程度、买方受损害的程度及损失的数额对合同标的进行降价。</w:t>
      </w:r>
    </w:p>
    <w:p w14:paraId="2BDE8E91">
      <w:pPr>
        <w:ind w:firstLine="480"/>
        <w:rPr>
          <w:rFonts w:hint="eastAsia" w:ascii="宋体" w:hAnsi="宋体" w:eastAsia="宋体" w:cs="宋体"/>
          <w:color w:val="auto"/>
          <w:sz w:val="24"/>
        </w:rPr>
      </w:pPr>
      <w:r>
        <w:rPr>
          <w:rFonts w:hint="eastAsia" w:ascii="宋体" w:hAnsi="宋体" w:eastAsia="宋体" w:cs="宋体"/>
          <w:color w:val="auto"/>
          <w:sz w:val="24"/>
        </w:rPr>
        <w:t>C. 拒收合同标的。</w:t>
      </w:r>
    </w:p>
    <w:p w14:paraId="66B32B03">
      <w:pPr>
        <w:ind w:firstLine="480"/>
        <w:rPr>
          <w:rFonts w:hint="eastAsia" w:ascii="宋体" w:hAnsi="宋体" w:eastAsia="宋体" w:cs="宋体"/>
          <w:color w:val="auto"/>
          <w:sz w:val="24"/>
        </w:rPr>
      </w:pPr>
      <w:r>
        <w:rPr>
          <w:rFonts w:hint="eastAsia" w:ascii="宋体" w:hAnsi="宋体" w:eastAsia="宋体" w:cs="宋体"/>
          <w:color w:val="auto"/>
          <w:sz w:val="24"/>
        </w:rPr>
        <w:t>D. 赔偿由卖方违约引起的其他损失。</w:t>
      </w:r>
    </w:p>
    <w:p w14:paraId="507B18F7">
      <w:pPr>
        <w:ind w:firstLine="480"/>
        <w:rPr>
          <w:rFonts w:hint="eastAsia" w:ascii="宋体" w:hAnsi="宋体" w:eastAsia="宋体" w:cs="宋体"/>
          <w:color w:val="auto"/>
          <w:sz w:val="24"/>
        </w:rPr>
      </w:pPr>
      <w:r>
        <w:rPr>
          <w:rFonts w:hint="eastAsia" w:ascii="宋体" w:hAnsi="宋体" w:eastAsia="宋体" w:cs="宋体"/>
          <w:color w:val="auto"/>
          <w:sz w:val="24"/>
        </w:rPr>
        <w:t>11.2如果卖方在收到买方索赔要求后未在《合同专用条款》规定的期限内作出书面回复，该索赔要求将被视为已被卖方接受。如卖方未能在买方发出索赔要求后《合同专用条款》规定的期限内或买方同意的延长期限内，按照买方选择的救济方式解决索赔事宜，买方有权从合同总价中扣除索赔金额。</w:t>
      </w:r>
    </w:p>
    <w:p w14:paraId="6A93231B">
      <w:pPr>
        <w:ind w:firstLine="480"/>
        <w:rPr>
          <w:rFonts w:hint="eastAsia" w:ascii="宋体" w:hAnsi="宋体" w:eastAsia="宋体" w:cs="宋体"/>
          <w:color w:val="auto"/>
          <w:sz w:val="24"/>
        </w:rPr>
      </w:pPr>
    </w:p>
    <w:p w14:paraId="0C259C21">
      <w:pPr>
        <w:ind w:firstLine="480"/>
        <w:rPr>
          <w:rFonts w:hint="eastAsia" w:ascii="宋体" w:hAnsi="宋体" w:eastAsia="宋体" w:cs="宋体"/>
          <w:color w:val="auto"/>
          <w:sz w:val="24"/>
        </w:rPr>
      </w:pPr>
      <w:r>
        <w:rPr>
          <w:rFonts w:hint="eastAsia" w:ascii="宋体" w:hAnsi="宋体" w:eastAsia="宋体" w:cs="宋体"/>
          <w:color w:val="auto"/>
          <w:sz w:val="24"/>
        </w:rPr>
        <w:t>第十二条 不可抗力</w:t>
      </w:r>
    </w:p>
    <w:p w14:paraId="1AE126FD">
      <w:pPr>
        <w:ind w:firstLine="480"/>
        <w:rPr>
          <w:rFonts w:hint="eastAsia" w:ascii="宋体" w:hAnsi="宋体" w:eastAsia="宋体" w:cs="宋体"/>
          <w:color w:val="auto"/>
          <w:sz w:val="24"/>
        </w:rPr>
      </w:pPr>
      <w:r>
        <w:rPr>
          <w:rFonts w:hint="eastAsia" w:ascii="宋体" w:hAnsi="宋体" w:eastAsia="宋体" w:cs="宋体"/>
          <w:color w:val="auto"/>
          <w:sz w:val="24"/>
        </w:rPr>
        <w:t>12.1如果合同任何一方受诸如战争、严重的火灾、台风、地震、洪水以及任何其他不能预见、不能避免且不能克服的不可抗力事件的影响而无法履行合同项下的任何义务，受影响的一方应将此类事件的发生以书面方式通知另一方并应在不可抗力事件发生后14 日内将有关部门或机构出具的证明文件提交给另一方。</w:t>
      </w:r>
    </w:p>
    <w:p w14:paraId="15B37F94">
      <w:pPr>
        <w:ind w:firstLine="480"/>
        <w:rPr>
          <w:rFonts w:hint="eastAsia" w:ascii="宋体" w:hAnsi="宋体" w:eastAsia="宋体" w:cs="宋体"/>
          <w:color w:val="auto"/>
          <w:sz w:val="24"/>
        </w:rPr>
      </w:pPr>
      <w:r>
        <w:rPr>
          <w:rFonts w:hint="eastAsia" w:ascii="宋体" w:hAnsi="宋体" w:eastAsia="宋体" w:cs="宋体"/>
          <w:color w:val="auto"/>
          <w:sz w:val="24"/>
        </w:rPr>
        <w:t>12.2受不可抗力事件影响的合同一方对于不可抗力事件导致的任何合同义务的迟延履行或不能履行不承担责任。但该方应尽快以书面方式将不可抗力事件结束或其影响消除的情况通知另一方。</w:t>
      </w:r>
    </w:p>
    <w:p w14:paraId="10E2D778">
      <w:pPr>
        <w:ind w:firstLine="480"/>
        <w:rPr>
          <w:rFonts w:hint="eastAsia" w:ascii="宋体" w:hAnsi="宋体" w:eastAsia="宋体" w:cs="宋体"/>
          <w:color w:val="auto"/>
          <w:sz w:val="24"/>
        </w:rPr>
      </w:pPr>
      <w:r>
        <w:rPr>
          <w:rFonts w:hint="eastAsia" w:ascii="宋体" w:hAnsi="宋体" w:eastAsia="宋体" w:cs="宋体"/>
          <w:color w:val="auto"/>
          <w:sz w:val="24"/>
        </w:rPr>
        <w:t>12.3合同双方应在不可抗力事件结束或其影响消除后立即继续履行其合同义务，如果不可抗力事件的影响持续超过《合同专用条款》规定的期限，合同任何一方均有权发出书面通知终止合同。</w:t>
      </w:r>
    </w:p>
    <w:p w14:paraId="211370C1">
      <w:pPr>
        <w:ind w:firstLine="480"/>
        <w:rPr>
          <w:rFonts w:hint="eastAsia" w:ascii="宋体" w:hAnsi="宋体" w:eastAsia="宋体" w:cs="宋体"/>
          <w:color w:val="auto"/>
          <w:sz w:val="24"/>
        </w:rPr>
      </w:pPr>
    </w:p>
    <w:p w14:paraId="752F06AE">
      <w:pPr>
        <w:ind w:firstLine="480"/>
        <w:rPr>
          <w:rFonts w:hint="eastAsia" w:ascii="宋体" w:hAnsi="宋体" w:eastAsia="宋体" w:cs="宋体"/>
          <w:color w:val="auto"/>
          <w:sz w:val="24"/>
        </w:rPr>
      </w:pPr>
      <w:r>
        <w:rPr>
          <w:rFonts w:hint="eastAsia" w:ascii="宋体" w:hAnsi="宋体" w:eastAsia="宋体" w:cs="宋体"/>
          <w:color w:val="auto"/>
          <w:sz w:val="24"/>
        </w:rPr>
        <w:t>第十三条 合同的终止</w:t>
      </w:r>
    </w:p>
    <w:p w14:paraId="61403783">
      <w:pPr>
        <w:ind w:firstLine="480"/>
        <w:rPr>
          <w:rFonts w:hint="eastAsia" w:ascii="宋体" w:hAnsi="宋体" w:eastAsia="宋体" w:cs="宋体"/>
          <w:color w:val="auto"/>
          <w:sz w:val="24"/>
        </w:rPr>
      </w:pPr>
      <w:r>
        <w:rPr>
          <w:rFonts w:hint="eastAsia" w:ascii="宋体" w:hAnsi="宋体" w:eastAsia="宋体" w:cs="宋体"/>
          <w:color w:val="auto"/>
          <w:sz w:val="24"/>
        </w:rPr>
        <w:t>13.1如果卖方有下述违约行为之一或《合同专用条款》中规定的其他违约行为，在不妨碍买方采取其它救济手段的情况下，买方可以向卖方发出书面违约通知，全部或部分地终止合同。</w:t>
      </w:r>
    </w:p>
    <w:p w14:paraId="7F845470">
      <w:pPr>
        <w:ind w:firstLine="480"/>
        <w:rPr>
          <w:rFonts w:hint="eastAsia" w:ascii="宋体" w:hAnsi="宋体" w:eastAsia="宋体" w:cs="宋体"/>
          <w:color w:val="auto"/>
          <w:sz w:val="24"/>
        </w:rPr>
      </w:pPr>
      <w:r>
        <w:rPr>
          <w:rFonts w:hint="eastAsia" w:ascii="宋体" w:hAnsi="宋体" w:eastAsia="宋体" w:cs="宋体"/>
          <w:color w:val="auto"/>
          <w:sz w:val="24"/>
        </w:rPr>
        <w:t xml:space="preserve">A. 卖方在合同规定的交货期限后未能按《合同专用条款》中规定的最终期限交付合同标的和/或技术资料； </w:t>
      </w:r>
    </w:p>
    <w:p w14:paraId="17254BEA">
      <w:pPr>
        <w:ind w:firstLine="480"/>
        <w:rPr>
          <w:rFonts w:hint="eastAsia" w:ascii="宋体" w:hAnsi="宋体" w:eastAsia="宋体" w:cs="宋体"/>
          <w:color w:val="auto"/>
          <w:sz w:val="24"/>
        </w:rPr>
      </w:pPr>
      <w:r>
        <w:rPr>
          <w:rFonts w:hint="eastAsia" w:ascii="宋体" w:hAnsi="宋体" w:eastAsia="宋体" w:cs="宋体"/>
          <w:color w:val="auto"/>
          <w:sz w:val="24"/>
        </w:rPr>
        <w:t xml:space="preserve">B. 合同标的未能达到合同附件2 规定的技术性能； </w:t>
      </w:r>
    </w:p>
    <w:p w14:paraId="04B12557">
      <w:pPr>
        <w:ind w:firstLine="480"/>
        <w:rPr>
          <w:rFonts w:hint="eastAsia" w:ascii="宋体" w:hAnsi="宋体" w:eastAsia="宋体" w:cs="宋体"/>
          <w:color w:val="auto"/>
          <w:sz w:val="24"/>
        </w:rPr>
      </w:pPr>
      <w:r>
        <w:rPr>
          <w:rFonts w:hint="eastAsia" w:ascii="宋体" w:hAnsi="宋体" w:eastAsia="宋体" w:cs="宋体"/>
          <w:color w:val="auto"/>
          <w:sz w:val="24"/>
        </w:rPr>
        <w:t>C. 卖方未能履行合同项下任何其它义务，并且在收到买方违约通知后未能按《合同专用条款》中规定的期限对其违约行为作出补救。</w:t>
      </w:r>
    </w:p>
    <w:p w14:paraId="35638A3C">
      <w:pPr>
        <w:ind w:firstLine="480"/>
        <w:rPr>
          <w:rFonts w:hint="eastAsia" w:ascii="宋体" w:hAnsi="宋体" w:eastAsia="宋体" w:cs="宋体"/>
          <w:color w:val="auto"/>
          <w:sz w:val="24"/>
        </w:rPr>
      </w:pPr>
      <w:r>
        <w:rPr>
          <w:rFonts w:hint="eastAsia" w:ascii="宋体" w:hAnsi="宋体" w:eastAsia="宋体" w:cs="宋体"/>
          <w:color w:val="auto"/>
          <w:sz w:val="24"/>
        </w:rPr>
        <w:t>13.2如果一方破产或发生资不抵债的情况,合同另一方有权在任何时候发出书面通知终止合同。此种情况下合同的终止不妨碍或影响行使任何可能的其它救济手段。</w:t>
      </w:r>
    </w:p>
    <w:p w14:paraId="35EC18E7">
      <w:pPr>
        <w:ind w:firstLine="480"/>
        <w:rPr>
          <w:rFonts w:hint="eastAsia" w:ascii="宋体" w:hAnsi="宋体" w:eastAsia="宋体" w:cs="宋体"/>
          <w:color w:val="auto"/>
          <w:sz w:val="24"/>
        </w:rPr>
      </w:pPr>
      <w:r>
        <w:rPr>
          <w:rFonts w:hint="eastAsia" w:ascii="宋体" w:hAnsi="宋体" w:eastAsia="宋体" w:cs="宋体"/>
          <w:color w:val="auto"/>
          <w:sz w:val="24"/>
        </w:rPr>
        <w:t>13.3如果买方认定卖方在投标或执行合同中有腐败或欺诈行为,买方有权在任何时候发出书面通知终止合同。</w:t>
      </w:r>
    </w:p>
    <w:p w14:paraId="3B5A5DD1">
      <w:pPr>
        <w:ind w:left="1" w:firstLine="537"/>
        <w:rPr>
          <w:rFonts w:hint="eastAsia" w:ascii="宋体" w:hAnsi="宋体" w:eastAsia="宋体" w:cs="宋体"/>
          <w:color w:val="auto"/>
          <w:sz w:val="24"/>
        </w:rPr>
      </w:pPr>
      <w:r>
        <w:rPr>
          <w:rFonts w:hint="eastAsia" w:ascii="宋体" w:hAnsi="宋体" w:eastAsia="宋体" w:cs="宋体"/>
          <w:color w:val="auto"/>
          <w:sz w:val="24"/>
        </w:rPr>
        <w:t>A.“腐败行为”系指在招标、采购和合同执行等过程中，为谋求利益、影响相关人员而提供、给予、接受或索取任何有价物的行为。</w:t>
      </w:r>
    </w:p>
    <w:p w14:paraId="5E718A0C">
      <w:pPr>
        <w:ind w:firstLine="480"/>
        <w:rPr>
          <w:rFonts w:hint="eastAsia" w:ascii="宋体" w:hAnsi="宋体" w:eastAsia="宋体" w:cs="宋体"/>
          <w:color w:val="auto"/>
          <w:sz w:val="24"/>
        </w:rPr>
      </w:pPr>
      <w:r>
        <w:rPr>
          <w:rFonts w:hint="eastAsia" w:ascii="宋体" w:hAnsi="宋体" w:eastAsia="宋体" w:cs="宋体"/>
          <w:color w:val="auto"/>
          <w:sz w:val="24"/>
        </w:rPr>
        <w:t>B.“欺诈行为”系指为了影响招标、采购和合同执行等过程而隐瞒事实，从而给买方造成损害的行为，其中包括投标人之间的串通行为。</w:t>
      </w:r>
    </w:p>
    <w:p w14:paraId="461A8AF4">
      <w:pPr>
        <w:ind w:firstLine="480"/>
        <w:rPr>
          <w:rFonts w:hint="eastAsia" w:ascii="宋体" w:hAnsi="宋体" w:eastAsia="宋体" w:cs="宋体"/>
          <w:color w:val="auto"/>
          <w:sz w:val="24"/>
        </w:rPr>
      </w:pPr>
      <w:r>
        <w:rPr>
          <w:rFonts w:hint="eastAsia" w:ascii="宋体" w:hAnsi="宋体" w:eastAsia="宋体" w:cs="宋体"/>
          <w:color w:val="auto"/>
          <w:sz w:val="24"/>
        </w:rPr>
        <w:t>13.4 在买方全部或部分终止合同的情况下，卖方应按《合同专用条款》的规定对买方给予补偿。</w:t>
      </w:r>
    </w:p>
    <w:p w14:paraId="607A933E">
      <w:pPr>
        <w:ind w:firstLine="480"/>
        <w:rPr>
          <w:rFonts w:hint="eastAsia" w:ascii="宋体" w:hAnsi="宋体" w:eastAsia="宋体" w:cs="宋体"/>
          <w:color w:val="auto"/>
          <w:sz w:val="24"/>
        </w:rPr>
      </w:pPr>
    </w:p>
    <w:p w14:paraId="71E56374">
      <w:pPr>
        <w:ind w:firstLine="480"/>
        <w:rPr>
          <w:rFonts w:hint="eastAsia" w:ascii="宋体" w:hAnsi="宋体" w:eastAsia="宋体" w:cs="宋体"/>
          <w:color w:val="auto"/>
          <w:sz w:val="24"/>
        </w:rPr>
      </w:pPr>
      <w:r>
        <w:rPr>
          <w:rFonts w:hint="eastAsia" w:ascii="宋体" w:hAnsi="宋体" w:eastAsia="宋体" w:cs="宋体"/>
          <w:color w:val="auto"/>
          <w:sz w:val="24"/>
        </w:rPr>
        <w:t>第十四条 争议的解决</w:t>
      </w:r>
    </w:p>
    <w:p w14:paraId="4F1A4D6A">
      <w:pPr>
        <w:ind w:firstLine="480"/>
        <w:rPr>
          <w:rFonts w:hint="eastAsia" w:ascii="宋体" w:hAnsi="宋体" w:eastAsia="宋体" w:cs="宋体"/>
          <w:color w:val="auto"/>
          <w:sz w:val="24"/>
        </w:rPr>
      </w:pPr>
      <w:r>
        <w:rPr>
          <w:rFonts w:hint="eastAsia" w:ascii="宋体" w:hAnsi="宋体" w:eastAsia="宋体" w:cs="宋体"/>
          <w:color w:val="auto"/>
          <w:sz w:val="24"/>
        </w:rPr>
        <w:t>14.1 因执行本合同所发生的或者与本合同有关的一切争议由合同双方通过友好协商解决，如果不能协商一致，按《合同专用条款》规定的方式解决。</w:t>
      </w:r>
    </w:p>
    <w:p w14:paraId="03851BFA">
      <w:pPr>
        <w:ind w:firstLine="480"/>
        <w:rPr>
          <w:rFonts w:hint="eastAsia" w:ascii="宋体" w:hAnsi="宋体" w:eastAsia="宋体" w:cs="宋体"/>
          <w:color w:val="auto"/>
          <w:sz w:val="24"/>
        </w:rPr>
      </w:pPr>
    </w:p>
    <w:p w14:paraId="1FDAD075">
      <w:pPr>
        <w:ind w:firstLine="480"/>
        <w:rPr>
          <w:rFonts w:hint="eastAsia" w:ascii="宋体" w:hAnsi="宋体" w:eastAsia="宋体" w:cs="宋体"/>
          <w:color w:val="auto"/>
          <w:sz w:val="24"/>
        </w:rPr>
      </w:pPr>
      <w:r>
        <w:rPr>
          <w:rFonts w:hint="eastAsia" w:ascii="宋体" w:hAnsi="宋体" w:eastAsia="宋体" w:cs="宋体"/>
          <w:color w:val="auto"/>
          <w:sz w:val="24"/>
        </w:rPr>
        <w:t>第十五条 适用法律</w:t>
      </w:r>
    </w:p>
    <w:p w14:paraId="5E1FC4F2">
      <w:pPr>
        <w:ind w:firstLine="480"/>
        <w:rPr>
          <w:rFonts w:hint="eastAsia" w:ascii="宋体" w:hAnsi="宋体" w:eastAsia="宋体" w:cs="宋体"/>
          <w:color w:val="auto"/>
          <w:sz w:val="24"/>
        </w:rPr>
      </w:pPr>
      <w:r>
        <w:rPr>
          <w:rFonts w:hint="eastAsia" w:ascii="宋体" w:hAnsi="宋体" w:eastAsia="宋体" w:cs="宋体"/>
          <w:color w:val="auto"/>
          <w:sz w:val="24"/>
        </w:rPr>
        <w:t>15.1 本合同的执行和争议的解决适用中华人民共和国的法律并按中华人民共和国的法律进行解释。</w:t>
      </w:r>
    </w:p>
    <w:p w14:paraId="3FEFA2B0">
      <w:pPr>
        <w:ind w:firstLine="480"/>
        <w:rPr>
          <w:rFonts w:hint="eastAsia" w:ascii="宋体" w:hAnsi="宋体" w:eastAsia="宋体" w:cs="宋体"/>
          <w:color w:val="auto"/>
          <w:sz w:val="24"/>
        </w:rPr>
      </w:pPr>
    </w:p>
    <w:p w14:paraId="125AB3F7">
      <w:pPr>
        <w:ind w:firstLine="480"/>
        <w:rPr>
          <w:rFonts w:hint="eastAsia" w:ascii="宋体" w:hAnsi="宋体" w:eastAsia="宋体" w:cs="宋体"/>
          <w:color w:val="auto"/>
          <w:sz w:val="24"/>
        </w:rPr>
      </w:pPr>
      <w:r>
        <w:rPr>
          <w:rFonts w:hint="eastAsia" w:ascii="宋体" w:hAnsi="宋体" w:eastAsia="宋体" w:cs="宋体"/>
          <w:color w:val="auto"/>
          <w:sz w:val="24"/>
        </w:rPr>
        <w:t>第十六条  权利保证</w:t>
      </w:r>
    </w:p>
    <w:p w14:paraId="1A8555C9">
      <w:pPr>
        <w:spacing w:line="320" w:lineRule="exact"/>
        <w:ind w:firstLine="480"/>
        <w:rPr>
          <w:rFonts w:hint="eastAsia" w:ascii="宋体" w:hAnsi="宋体" w:eastAsia="宋体" w:cs="宋体"/>
          <w:color w:val="auto"/>
          <w:sz w:val="24"/>
        </w:rPr>
      </w:pPr>
      <w:r>
        <w:rPr>
          <w:rFonts w:hint="eastAsia" w:ascii="宋体" w:hAnsi="宋体" w:eastAsia="宋体" w:cs="宋体"/>
          <w:color w:val="auto"/>
          <w:sz w:val="24"/>
        </w:rPr>
        <w:t>16.1卖方应保证买方在使用合同标的时不受第三方提出侵犯其专利权、版权、商标权或其他权利的起诉。一旦出现侵权，卖方承担全部责任。</w:t>
      </w:r>
    </w:p>
    <w:p w14:paraId="599D755F">
      <w:pPr>
        <w:spacing w:line="320" w:lineRule="exact"/>
        <w:ind w:firstLine="480"/>
        <w:rPr>
          <w:rFonts w:hint="eastAsia" w:ascii="宋体" w:hAnsi="宋体" w:eastAsia="宋体" w:cs="宋体"/>
          <w:color w:val="auto"/>
          <w:sz w:val="24"/>
        </w:rPr>
      </w:pPr>
    </w:p>
    <w:p w14:paraId="138BB2F4">
      <w:pPr>
        <w:ind w:firstLine="480"/>
        <w:rPr>
          <w:rFonts w:hint="eastAsia" w:ascii="宋体" w:hAnsi="宋体" w:eastAsia="宋体" w:cs="宋体"/>
          <w:color w:val="auto"/>
          <w:sz w:val="24"/>
        </w:rPr>
      </w:pPr>
      <w:r>
        <w:rPr>
          <w:rFonts w:hint="eastAsia" w:ascii="宋体" w:hAnsi="宋体" w:eastAsia="宋体" w:cs="宋体"/>
          <w:color w:val="auto"/>
          <w:sz w:val="24"/>
        </w:rPr>
        <w:t xml:space="preserve">第十七条  保密 </w:t>
      </w:r>
    </w:p>
    <w:p w14:paraId="23293AAB">
      <w:pPr>
        <w:ind w:firstLine="480"/>
        <w:rPr>
          <w:rFonts w:hint="eastAsia" w:ascii="宋体" w:hAnsi="宋体" w:eastAsia="宋体" w:cs="宋体"/>
          <w:color w:val="auto"/>
          <w:sz w:val="24"/>
        </w:rPr>
      </w:pPr>
      <w:r>
        <w:rPr>
          <w:rFonts w:hint="eastAsia" w:ascii="宋体" w:hAnsi="宋体" w:eastAsia="宋体" w:cs="宋体"/>
          <w:color w:val="auto"/>
          <w:sz w:val="24"/>
        </w:rPr>
        <w:t>17.1卖方在本合同履行的过程中，或为履行本合同的需要，从买方所获得的、有关买方和/或属于买方的任何信息包括买方工作方式方法与资料、技术资料、用户名单、发展战略及其他被认为是买方的信息，都是买方的秘密，卖方不得泄露给任何第三方。</w:t>
      </w:r>
    </w:p>
    <w:p w14:paraId="4E7104FB">
      <w:pPr>
        <w:ind w:firstLine="480"/>
        <w:rPr>
          <w:rFonts w:hint="eastAsia" w:ascii="宋体" w:hAnsi="宋体" w:eastAsia="宋体" w:cs="宋体"/>
          <w:color w:val="auto"/>
          <w:sz w:val="24"/>
        </w:rPr>
      </w:pPr>
      <w:r>
        <w:rPr>
          <w:rFonts w:hint="eastAsia" w:ascii="宋体" w:hAnsi="宋体" w:eastAsia="宋体" w:cs="宋体"/>
          <w:color w:val="auto"/>
          <w:sz w:val="24"/>
        </w:rPr>
        <w:t>17.2上述秘密，卖方只能用于本合同，而且只能由卖方相应的人员使用；没有必要接触的卖方人员，不得接触。</w:t>
      </w:r>
    </w:p>
    <w:p w14:paraId="1A8F32BB">
      <w:pPr>
        <w:ind w:firstLine="480"/>
        <w:rPr>
          <w:rFonts w:hint="eastAsia" w:ascii="宋体" w:hAnsi="宋体" w:eastAsia="宋体" w:cs="宋体"/>
          <w:color w:val="auto"/>
          <w:sz w:val="24"/>
        </w:rPr>
      </w:pPr>
      <w:r>
        <w:rPr>
          <w:rFonts w:hint="eastAsia" w:ascii="宋体" w:hAnsi="宋体" w:eastAsia="宋体" w:cs="宋体"/>
          <w:color w:val="auto"/>
          <w:sz w:val="24"/>
        </w:rPr>
        <w:t>17.3卖方应当采取适当有效的方式保护所获取的上述秘密。</w:t>
      </w:r>
    </w:p>
    <w:p w14:paraId="35B9A796">
      <w:pPr>
        <w:spacing w:line="320" w:lineRule="exact"/>
        <w:ind w:firstLine="480"/>
        <w:rPr>
          <w:rFonts w:hint="eastAsia" w:ascii="宋体" w:hAnsi="宋体" w:eastAsia="宋体" w:cs="宋体"/>
          <w:color w:val="auto"/>
          <w:sz w:val="24"/>
        </w:rPr>
      </w:pPr>
      <w:r>
        <w:rPr>
          <w:rFonts w:hint="eastAsia" w:ascii="宋体" w:hAnsi="宋体" w:eastAsia="宋体" w:cs="宋体"/>
          <w:color w:val="auto"/>
          <w:sz w:val="24"/>
        </w:rPr>
        <w:t>17.4卖方违反本合同所规定的在保密方面的义务，应按合同总价的50%承担违约金或按照实际损失支付赔偿金；买方有权选择以上两种方式之一要求卖方承担违约责任。本违约金和赔偿金的支付义务独立于其它违约义务。</w:t>
      </w:r>
    </w:p>
    <w:p w14:paraId="2D4E04B2">
      <w:pPr>
        <w:spacing w:line="320" w:lineRule="exact"/>
        <w:ind w:firstLine="480"/>
        <w:rPr>
          <w:rFonts w:hint="eastAsia" w:ascii="宋体" w:hAnsi="宋体" w:eastAsia="宋体" w:cs="宋体"/>
          <w:color w:val="auto"/>
          <w:sz w:val="24"/>
        </w:rPr>
      </w:pPr>
    </w:p>
    <w:p w14:paraId="492ADCDA">
      <w:pPr>
        <w:spacing w:line="320" w:lineRule="exact"/>
        <w:ind w:firstLine="480"/>
        <w:rPr>
          <w:rFonts w:hint="eastAsia" w:ascii="宋体" w:hAnsi="宋体" w:eastAsia="宋体" w:cs="宋体"/>
          <w:color w:val="auto"/>
          <w:sz w:val="24"/>
        </w:rPr>
      </w:pPr>
      <w:r>
        <w:rPr>
          <w:rFonts w:hint="eastAsia" w:ascii="宋体" w:hAnsi="宋体" w:eastAsia="宋体" w:cs="宋体"/>
          <w:color w:val="auto"/>
          <w:sz w:val="24"/>
        </w:rPr>
        <w:t>第十八条 合同生效及其他</w:t>
      </w:r>
    </w:p>
    <w:p w14:paraId="560B6908">
      <w:pPr>
        <w:ind w:firstLine="480"/>
        <w:rPr>
          <w:rFonts w:hint="eastAsia" w:ascii="宋体" w:hAnsi="宋体" w:eastAsia="宋体" w:cs="宋体"/>
          <w:color w:val="auto"/>
          <w:sz w:val="24"/>
        </w:rPr>
      </w:pPr>
      <w:r>
        <w:rPr>
          <w:rFonts w:hint="eastAsia" w:ascii="宋体" w:hAnsi="宋体" w:eastAsia="宋体" w:cs="宋体"/>
          <w:color w:val="auto"/>
          <w:sz w:val="24"/>
        </w:rPr>
        <w:t>18.1 本合同在合同协议书（合同附件1）规定的条件全部满足后生效。</w:t>
      </w:r>
    </w:p>
    <w:p w14:paraId="741639CE">
      <w:pPr>
        <w:ind w:firstLine="480"/>
        <w:rPr>
          <w:rFonts w:hint="eastAsia" w:ascii="宋体" w:hAnsi="宋体" w:eastAsia="宋体" w:cs="宋体"/>
          <w:color w:val="auto"/>
          <w:sz w:val="24"/>
        </w:rPr>
      </w:pPr>
      <w:r>
        <w:rPr>
          <w:rFonts w:hint="eastAsia" w:ascii="宋体" w:hAnsi="宋体" w:eastAsia="宋体" w:cs="宋体"/>
          <w:color w:val="auto"/>
          <w:sz w:val="24"/>
        </w:rPr>
        <w:t>18.2合同项下全部权利义务履行完毕后，本合同自动失效。合同履行期满后，合同项下任何尚未了结的债权和债务不受合同履行期的影响，债务人仍应向债权人履行其义务。</w:t>
      </w:r>
    </w:p>
    <w:p w14:paraId="2A59D1CA">
      <w:pPr>
        <w:ind w:firstLine="480"/>
        <w:rPr>
          <w:rFonts w:hint="eastAsia" w:ascii="宋体" w:hAnsi="宋体" w:eastAsia="宋体" w:cs="宋体"/>
          <w:color w:val="auto"/>
          <w:sz w:val="24"/>
        </w:rPr>
      </w:pPr>
      <w:r>
        <w:rPr>
          <w:rFonts w:hint="eastAsia" w:ascii="宋体" w:hAnsi="宋体" w:eastAsia="宋体" w:cs="宋体"/>
          <w:color w:val="auto"/>
          <w:sz w:val="24"/>
        </w:rPr>
        <w:t>18.3 合同双方各自承担与本合同有关的应负税费。</w:t>
      </w:r>
    </w:p>
    <w:p w14:paraId="7EFA8176">
      <w:pPr>
        <w:ind w:firstLine="480"/>
        <w:rPr>
          <w:rFonts w:hint="eastAsia" w:ascii="宋体" w:hAnsi="宋体" w:eastAsia="宋体" w:cs="宋体"/>
          <w:color w:val="auto"/>
          <w:sz w:val="24"/>
        </w:rPr>
      </w:pPr>
      <w:r>
        <w:rPr>
          <w:rFonts w:hint="eastAsia" w:ascii="宋体" w:hAnsi="宋体" w:eastAsia="宋体" w:cs="宋体"/>
          <w:color w:val="auto"/>
          <w:sz w:val="24"/>
        </w:rPr>
        <w:t>18.4合同双方除非《合同专用条款》另有规定，所有合同文件及相关的修订和合同双方之间的书面联络，应使用中文书就并按中文解释。</w:t>
      </w:r>
    </w:p>
    <w:p w14:paraId="34C20F25">
      <w:pPr>
        <w:ind w:firstLine="480"/>
        <w:rPr>
          <w:rFonts w:hint="eastAsia" w:ascii="宋体" w:hAnsi="宋体" w:eastAsia="宋体" w:cs="宋体"/>
          <w:color w:val="auto"/>
          <w:sz w:val="24"/>
        </w:rPr>
      </w:pPr>
      <w:r>
        <w:rPr>
          <w:rFonts w:hint="eastAsia" w:ascii="宋体" w:hAnsi="宋体" w:eastAsia="宋体" w:cs="宋体"/>
          <w:color w:val="auto"/>
          <w:sz w:val="24"/>
        </w:rPr>
        <w:t>18.5对本合同的任何补充、增添或修改以书面方式进行。</w:t>
      </w:r>
    </w:p>
    <w:p w14:paraId="0864F7F5">
      <w:pPr>
        <w:ind w:firstLine="480"/>
        <w:rPr>
          <w:rFonts w:hint="eastAsia" w:ascii="宋体" w:hAnsi="宋体" w:eastAsia="宋体" w:cs="宋体"/>
          <w:color w:val="auto"/>
          <w:sz w:val="24"/>
        </w:rPr>
      </w:pPr>
      <w:r>
        <w:rPr>
          <w:rFonts w:hint="eastAsia" w:ascii="宋体" w:hAnsi="宋体" w:eastAsia="宋体" w:cs="宋体"/>
          <w:color w:val="auto"/>
          <w:sz w:val="24"/>
        </w:rPr>
        <w:t>18.6没有另一方的事先书面同意，合同任何一方不得将合同项下的任何权利和义务转让给第三方。</w:t>
      </w:r>
    </w:p>
    <w:p w14:paraId="10273D7A">
      <w:pPr>
        <w:ind w:firstLine="480"/>
        <w:rPr>
          <w:rFonts w:hint="eastAsia" w:ascii="宋体" w:hAnsi="宋体" w:eastAsia="宋体" w:cs="宋体"/>
          <w:color w:val="auto"/>
          <w:sz w:val="24"/>
        </w:rPr>
      </w:pPr>
      <w:r>
        <w:rPr>
          <w:rFonts w:hint="eastAsia" w:ascii="宋体" w:hAnsi="宋体" w:eastAsia="宋体" w:cs="宋体"/>
          <w:color w:val="auto"/>
          <w:sz w:val="24"/>
        </w:rPr>
        <w:t>18.7任何一方在执行任何合同条款和条件时准予对方的放松、宽容、延迟、放纵或时间，不得损害、影响或限制该方在合同之下的权利；任何一方对合同的任何违背、任何免责也不应导致对任何后面或延续的合同的免责或弃权。</w:t>
      </w:r>
    </w:p>
    <w:p w14:paraId="588966E0">
      <w:pPr>
        <w:ind w:firstLine="480"/>
        <w:rPr>
          <w:rFonts w:hint="eastAsia" w:ascii="宋体" w:hAnsi="宋体" w:eastAsia="宋体" w:cs="宋体"/>
          <w:color w:val="auto"/>
          <w:sz w:val="24"/>
        </w:rPr>
      </w:pPr>
      <w:r>
        <w:rPr>
          <w:rFonts w:hint="eastAsia" w:ascii="宋体" w:hAnsi="宋体" w:eastAsia="宋体" w:cs="宋体"/>
          <w:color w:val="auto"/>
          <w:sz w:val="24"/>
        </w:rPr>
        <w:t>18.8合同条款中的标题和边注仅供参考使用，不应视为合同的一部分，也不影响本文的解释。</w:t>
      </w:r>
    </w:p>
    <w:p w14:paraId="6FF0DF32">
      <w:pPr>
        <w:ind w:firstLine="480"/>
        <w:rPr>
          <w:rFonts w:hint="eastAsia" w:ascii="宋体" w:hAnsi="宋体" w:eastAsia="宋体" w:cs="宋体"/>
          <w:color w:val="auto"/>
          <w:sz w:val="24"/>
        </w:rPr>
      </w:pPr>
      <w:r>
        <w:rPr>
          <w:rFonts w:hint="eastAsia" w:ascii="宋体" w:hAnsi="宋体" w:eastAsia="宋体" w:cs="宋体"/>
          <w:color w:val="auto"/>
          <w:sz w:val="24"/>
        </w:rPr>
        <w:t>18.9合同构成买方和卖方之间就合同主要内容方面的完整协议，并且取代合同签订前所有关于这方面的通讯、协商、协议(不论是书面的，还是口头的)。</w:t>
      </w:r>
    </w:p>
    <w:p w14:paraId="73F47644">
      <w:pPr>
        <w:ind w:firstLine="480"/>
        <w:rPr>
          <w:rFonts w:hint="eastAsia" w:ascii="宋体" w:hAnsi="宋体" w:eastAsia="宋体" w:cs="宋体"/>
          <w:color w:val="auto"/>
          <w:sz w:val="24"/>
        </w:rPr>
      </w:pPr>
      <w:r>
        <w:rPr>
          <w:rFonts w:hint="eastAsia" w:ascii="宋体" w:hAnsi="宋体" w:eastAsia="宋体" w:cs="宋体"/>
          <w:color w:val="auto"/>
          <w:sz w:val="24"/>
        </w:rPr>
        <w:t>18.10买方应当自政府采购合同签订之日起2个工作日内，将政府采购合同在省级以上人民政府财政部门指定的媒体上公告，但政府采购合同中涉及国家秘密、商业秘密的内容除外。</w:t>
      </w:r>
    </w:p>
    <w:p w14:paraId="7E9C9F53">
      <w:pPr>
        <w:ind w:firstLine="480"/>
        <w:rPr>
          <w:rFonts w:hint="eastAsia" w:ascii="宋体" w:hAnsi="宋体" w:eastAsia="宋体" w:cs="宋体"/>
          <w:color w:val="auto"/>
          <w:sz w:val="24"/>
        </w:rPr>
      </w:pPr>
      <w:r>
        <w:rPr>
          <w:rFonts w:hint="eastAsia" w:ascii="宋体" w:hAnsi="宋体" w:eastAsia="宋体" w:cs="宋体"/>
          <w:color w:val="auto"/>
          <w:sz w:val="24"/>
        </w:rPr>
        <w:t>18.11合同双方之间的一切联络往来应以书面形式按《合同专用条款》中规定的通讯地址发往合同另一方。有关重要事项的传真应及时用挂号信或快件确认。</w:t>
      </w:r>
    </w:p>
    <w:p w14:paraId="213BE3FD">
      <w:pPr>
        <w:ind w:firstLine="600"/>
        <w:jc w:val="center"/>
        <w:rPr>
          <w:rFonts w:hint="eastAsia" w:ascii="宋体" w:hAnsi="宋体" w:eastAsia="宋体" w:cs="宋体"/>
          <w:color w:val="auto"/>
          <w:sz w:val="30"/>
          <w:szCs w:val="30"/>
        </w:rPr>
        <w:sectPr>
          <w:headerReference r:id="rId5" w:type="default"/>
          <w:footerReference r:id="rId6" w:type="default"/>
          <w:pgSz w:w="11906" w:h="16838"/>
          <w:pgMar w:top="1440" w:right="1803" w:bottom="1440" w:left="1803" w:header="851" w:footer="992" w:gutter="0"/>
          <w:cols w:space="1701" w:num="1"/>
          <w:docGrid w:linePitch="360" w:charSpace="0"/>
        </w:sectPr>
      </w:pPr>
    </w:p>
    <w:p w14:paraId="1904B8D5">
      <w:pPr>
        <w:spacing w:line="360" w:lineRule="auto"/>
        <w:ind w:firstLine="600"/>
        <w:jc w:val="center"/>
        <w:rPr>
          <w:rFonts w:hint="eastAsia" w:ascii="宋体" w:hAnsi="宋体" w:eastAsia="宋体" w:cs="宋体"/>
          <w:b w:val="0"/>
          <w:bCs/>
          <w:color w:val="auto"/>
          <w:sz w:val="30"/>
          <w:szCs w:val="30"/>
          <w:highlight w:val="none"/>
        </w:rPr>
      </w:pPr>
      <w:r>
        <w:rPr>
          <w:rFonts w:hint="eastAsia" w:ascii="宋体" w:hAnsi="宋体" w:eastAsia="宋体" w:cs="宋体"/>
          <w:b w:val="0"/>
          <w:bCs/>
          <w:color w:val="auto"/>
          <w:sz w:val="30"/>
          <w:szCs w:val="30"/>
          <w:highlight w:val="none"/>
        </w:rPr>
        <w:t>合同专用条款</w:t>
      </w:r>
    </w:p>
    <w:p w14:paraId="4740E141">
      <w:pPr>
        <w:jc w:val="center"/>
        <w:rPr>
          <w:rFonts w:hint="eastAsia" w:ascii="宋体" w:hAnsi="宋体" w:eastAsia="宋体" w:cs="宋体"/>
          <w:b w:val="0"/>
          <w:bCs/>
          <w:color w:val="auto"/>
          <w:sz w:val="24"/>
          <w:highlight w:val="none"/>
        </w:rPr>
      </w:pPr>
    </w:p>
    <w:p w14:paraId="1198DBC3">
      <w:pPr>
        <w:spacing w:line="360" w:lineRule="exact"/>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甲方（买方）：</w:t>
      </w:r>
      <w:r>
        <w:rPr>
          <w:rFonts w:hint="eastAsia" w:ascii="宋体" w:hAnsi="宋体" w:cs="宋体"/>
          <w:b w:val="0"/>
          <w:bCs/>
          <w:color w:val="auto"/>
          <w:sz w:val="24"/>
          <w:highlight w:val="none"/>
          <w:u w:val="single"/>
          <w:lang w:eastAsia="zh-CN"/>
        </w:rPr>
        <w:t>徐州市第一人民医院</w:t>
      </w:r>
      <w:r>
        <w:rPr>
          <w:rFonts w:hint="eastAsia" w:ascii="宋体" w:hAnsi="宋体" w:eastAsia="宋体" w:cs="宋体"/>
          <w:b w:val="0"/>
          <w:bCs/>
          <w:color w:val="auto"/>
          <w:sz w:val="24"/>
          <w:highlight w:val="none"/>
          <w:u w:val="single"/>
        </w:rPr>
        <w:t xml:space="preserve"> </w:t>
      </w:r>
    </w:p>
    <w:p w14:paraId="015D5282">
      <w:pPr>
        <w:spacing w:line="360" w:lineRule="exact"/>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乙方（卖方）：</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 xml:space="preserve"> </w:t>
      </w:r>
    </w:p>
    <w:p w14:paraId="4D2411B7">
      <w:pPr>
        <w:ind w:firstLine="480"/>
        <w:rPr>
          <w:rFonts w:hint="eastAsia" w:ascii="宋体" w:hAnsi="宋体" w:eastAsia="宋体" w:cs="宋体"/>
          <w:b w:val="0"/>
          <w:bCs/>
          <w:color w:val="auto"/>
          <w:sz w:val="24"/>
          <w:highlight w:val="none"/>
        </w:rPr>
      </w:pPr>
    </w:p>
    <w:p w14:paraId="62893A64">
      <w:pPr>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《合同专用条款》中的条款项号是与《合同通用条款》中的条款项号对应的，其增加的内容和条款，是对《合同通用条款》的补充、修改和完善，如果有矛盾的话，以《合同专用条款》为准。</w:t>
      </w:r>
    </w:p>
    <w:p w14:paraId="751E6C1D">
      <w:pPr>
        <w:spacing w:line="440" w:lineRule="exact"/>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依照《中华人民共和国民法典》、《中华人民共和国产品质量法》、《医疗器械监督管理条例》等法律法规的相关规定，遵循平等、自愿、公平和诚实信用的原则，双方就设备采购相关事宜达成一致意见，特签订本合同，以明确双方的权利、义务，确保合同双方共同执行。</w:t>
      </w:r>
    </w:p>
    <w:p w14:paraId="340A2304">
      <w:pPr>
        <w:numPr>
          <w:ilvl w:val="0"/>
          <w:numId w:val="1"/>
        </w:numPr>
        <w:spacing w:line="360" w:lineRule="exact"/>
        <w:rPr>
          <w:rStyle w:val="281"/>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合同标的</w:t>
      </w:r>
    </w:p>
    <w:p w14:paraId="732FD603">
      <w:pPr>
        <w:spacing w:line="360" w:lineRule="exact"/>
        <w:ind w:left="426"/>
        <w:rPr>
          <w:rStyle w:val="281"/>
          <w:rFonts w:hint="eastAsia" w:ascii="宋体" w:hAnsi="宋体" w:eastAsia="宋体" w:cs="宋体"/>
          <w:b w:val="0"/>
          <w:bCs/>
          <w:color w:val="auto"/>
          <w:sz w:val="24"/>
          <w:highlight w:val="none"/>
        </w:rPr>
      </w:pPr>
      <w:r>
        <w:rPr>
          <w:rStyle w:val="281"/>
          <w:rFonts w:hint="eastAsia" w:ascii="宋体" w:hAnsi="宋体" w:eastAsia="宋体" w:cs="宋体"/>
          <w:b w:val="0"/>
          <w:bCs/>
          <w:color w:val="auto"/>
          <w:sz w:val="24"/>
          <w:highlight w:val="none"/>
        </w:rPr>
        <w:t>1.1产品名称、型号、规格、数量及价款</w:t>
      </w:r>
    </w:p>
    <w:tbl>
      <w:tblPr>
        <w:tblStyle w:val="42"/>
        <w:tblW w:w="867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43"/>
        <w:gridCol w:w="1273"/>
        <w:gridCol w:w="1101"/>
        <w:gridCol w:w="1088"/>
        <w:gridCol w:w="918"/>
        <w:gridCol w:w="1075"/>
        <w:gridCol w:w="1380"/>
      </w:tblGrid>
      <w:tr w14:paraId="6FE99B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89" w:hRule="atLeast"/>
          <w:jc w:val="center"/>
        </w:trPr>
        <w:tc>
          <w:tcPr>
            <w:tcW w:w="1843" w:type="dxa"/>
            <w:noWrap w:val="0"/>
            <w:vAlign w:val="center"/>
          </w:tcPr>
          <w:p w14:paraId="64256E2B">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bidi="ar"/>
              </w:rPr>
              <w:t>产品名称</w:t>
            </w:r>
          </w:p>
        </w:tc>
        <w:tc>
          <w:tcPr>
            <w:tcW w:w="1273" w:type="dxa"/>
            <w:noWrap w:val="0"/>
            <w:vAlign w:val="center"/>
          </w:tcPr>
          <w:p w14:paraId="626A479D">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型号</w:t>
            </w:r>
          </w:p>
        </w:tc>
        <w:tc>
          <w:tcPr>
            <w:tcW w:w="1101" w:type="dxa"/>
            <w:noWrap w:val="0"/>
            <w:vAlign w:val="center"/>
          </w:tcPr>
          <w:p w14:paraId="592AABE1">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bidi="ar"/>
              </w:rPr>
              <w:t>单价（元）</w:t>
            </w:r>
          </w:p>
        </w:tc>
        <w:tc>
          <w:tcPr>
            <w:tcW w:w="1088" w:type="dxa"/>
            <w:noWrap w:val="0"/>
            <w:vAlign w:val="center"/>
          </w:tcPr>
          <w:p w14:paraId="78AC38F6">
            <w:pPr>
              <w:jc w:val="center"/>
              <w:rPr>
                <w:rFonts w:hint="eastAsia" w:ascii="宋体" w:hAnsi="宋体" w:eastAsia="宋体" w:cs="宋体"/>
                <w:b w:val="0"/>
                <w:bCs/>
                <w:color w:val="auto"/>
                <w:sz w:val="24"/>
                <w:highlight w:val="none"/>
                <w:lang w:bidi="ar"/>
              </w:rPr>
            </w:pPr>
            <w:r>
              <w:rPr>
                <w:rFonts w:hint="eastAsia" w:ascii="宋体" w:hAnsi="宋体" w:eastAsia="宋体" w:cs="宋体"/>
                <w:b w:val="0"/>
                <w:bCs/>
                <w:color w:val="auto"/>
                <w:sz w:val="24"/>
                <w:highlight w:val="none"/>
                <w:lang w:bidi="ar"/>
              </w:rPr>
              <w:t>单位</w:t>
            </w:r>
          </w:p>
        </w:tc>
        <w:tc>
          <w:tcPr>
            <w:tcW w:w="918" w:type="dxa"/>
            <w:noWrap w:val="0"/>
            <w:vAlign w:val="center"/>
          </w:tcPr>
          <w:p w14:paraId="33EC2419">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bidi="ar"/>
              </w:rPr>
              <w:t>数量</w:t>
            </w:r>
          </w:p>
        </w:tc>
        <w:tc>
          <w:tcPr>
            <w:tcW w:w="1075" w:type="dxa"/>
            <w:noWrap w:val="0"/>
            <w:vAlign w:val="center"/>
          </w:tcPr>
          <w:p w14:paraId="06E621BA">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lang w:bidi="ar"/>
              </w:rPr>
              <w:t>金额（元）</w:t>
            </w:r>
          </w:p>
        </w:tc>
        <w:tc>
          <w:tcPr>
            <w:tcW w:w="1380" w:type="dxa"/>
            <w:noWrap w:val="0"/>
            <w:vAlign w:val="center"/>
          </w:tcPr>
          <w:p w14:paraId="098718BD">
            <w:pPr>
              <w:jc w:val="center"/>
              <w:rPr>
                <w:rFonts w:hint="eastAsia" w:ascii="宋体" w:hAnsi="宋体" w:eastAsia="宋体" w:cs="宋体"/>
                <w:b w:val="0"/>
                <w:bCs/>
                <w:color w:val="auto"/>
                <w:sz w:val="24"/>
                <w:highlight w:val="none"/>
                <w:lang w:bidi="ar"/>
              </w:rPr>
            </w:pPr>
            <w:r>
              <w:rPr>
                <w:rFonts w:hint="eastAsia" w:ascii="宋体" w:hAnsi="宋体" w:eastAsia="宋体" w:cs="宋体"/>
                <w:b w:val="0"/>
                <w:bCs/>
                <w:color w:val="auto"/>
                <w:sz w:val="24"/>
                <w:highlight w:val="none"/>
                <w:lang w:bidi="ar"/>
              </w:rPr>
              <w:t>备注</w:t>
            </w:r>
          </w:p>
        </w:tc>
      </w:tr>
      <w:tr w14:paraId="56256C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1D664152">
            <w:pPr>
              <w:jc w:val="center"/>
              <w:rPr>
                <w:rFonts w:hint="eastAsia" w:ascii="宋体" w:hAnsi="宋体" w:eastAsia="宋体" w:cs="宋体"/>
                <w:b w:val="0"/>
                <w:bCs/>
                <w:color w:val="auto"/>
                <w:sz w:val="24"/>
                <w:highlight w:val="none"/>
                <w:lang w:bidi="ar"/>
              </w:rPr>
            </w:pPr>
          </w:p>
        </w:tc>
        <w:tc>
          <w:tcPr>
            <w:tcW w:w="1273" w:type="dxa"/>
            <w:noWrap w:val="0"/>
            <w:vAlign w:val="center"/>
          </w:tcPr>
          <w:p w14:paraId="4BEF0402">
            <w:pPr>
              <w:jc w:val="center"/>
              <w:rPr>
                <w:rFonts w:hint="eastAsia" w:ascii="宋体" w:hAnsi="宋体" w:eastAsia="宋体" w:cs="宋体"/>
                <w:b w:val="0"/>
                <w:bCs/>
                <w:color w:val="auto"/>
                <w:sz w:val="24"/>
                <w:highlight w:val="none"/>
                <w:lang w:bidi="ar"/>
              </w:rPr>
            </w:pPr>
          </w:p>
        </w:tc>
        <w:tc>
          <w:tcPr>
            <w:tcW w:w="1101" w:type="dxa"/>
            <w:noWrap w:val="0"/>
            <w:vAlign w:val="center"/>
          </w:tcPr>
          <w:p w14:paraId="16B1526F">
            <w:pPr>
              <w:jc w:val="center"/>
              <w:rPr>
                <w:rFonts w:hint="eastAsia" w:ascii="宋体" w:hAnsi="宋体" w:eastAsia="宋体" w:cs="宋体"/>
                <w:b w:val="0"/>
                <w:bCs/>
                <w:color w:val="auto"/>
                <w:sz w:val="24"/>
                <w:highlight w:val="none"/>
                <w:lang w:bidi="ar"/>
              </w:rPr>
            </w:pPr>
          </w:p>
        </w:tc>
        <w:tc>
          <w:tcPr>
            <w:tcW w:w="1088" w:type="dxa"/>
            <w:noWrap w:val="0"/>
            <w:vAlign w:val="center"/>
          </w:tcPr>
          <w:p w14:paraId="6310C845">
            <w:pPr>
              <w:jc w:val="center"/>
              <w:rPr>
                <w:rFonts w:hint="eastAsia" w:ascii="宋体" w:hAnsi="宋体" w:eastAsia="宋体" w:cs="宋体"/>
                <w:b w:val="0"/>
                <w:bCs/>
                <w:color w:val="auto"/>
                <w:sz w:val="24"/>
                <w:highlight w:val="none"/>
                <w:lang w:bidi="ar"/>
              </w:rPr>
            </w:pPr>
          </w:p>
        </w:tc>
        <w:tc>
          <w:tcPr>
            <w:tcW w:w="918" w:type="dxa"/>
            <w:noWrap w:val="0"/>
            <w:vAlign w:val="center"/>
          </w:tcPr>
          <w:p w14:paraId="70E945AF">
            <w:pPr>
              <w:jc w:val="center"/>
              <w:rPr>
                <w:rFonts w:hint="eastAsia" w:ascii="宋体" w:hAnsi="宋体" w:eastAsia="宋体" w:cs="宋体"/>
                <w:b w:val="0"/>
                <w:bCs/>
                <w:color w:val="auto"/>
                <w:sz w:val="24"/>
                <w:highlight w:val="none"/>
                <w:lang w:bidi="ar"/>
              </w:rPr>
            </w:pPr>
          </w:p>
        </w:tc>
        <w:tc>
          <w:tcPr>
            <w:tcW w:w="1075" w:type="dxa"/>
            <w:noWrap w:val="0"/>
            <w:vAlign w:val="center"/>
          </w:tcPr>
          <w:p w14:paraId="6519323A">
            <w:pPr>
              <w:jc w:val="center"/>
              <w:rPr>
                <w:rFonts w:hint="eastAsia" w:ascii="宋体" w:hAnsi="宋体" w:eastAsia="宋体" w:cs="宋体"/>
                <w:b w:val="0"/>
                <w:bCs/>
                <w:color w:val="auto"/>
                <w:sz w:val="24"/>
                <w:highlight w:val="none"/>
                <w:lang w:bidi="ar"/>
              </w:rPr>
            </w:pPr>
          </w:p>
        </w:tc>
        <w:tc>
          <w:tcPr>
            <w:tcW w:w="1380" w:type="dxa"/>
            <w:noWrap w:val="0"/>
            <w:vAlign w:val="center"/>
          </w:tcPr>
          <w:p w14:paraId="44E71974">
            <w:pPr>
              <w:jc w:val="center"/>
              <w:rPr>
                <w:rFonts w:hint="eastAsia" w:ascii="宋体" w:hAnsi="宋体" w:eastAsia="宋体" w:cs="宋体"/>
                <w:b w:val="0"/>
                <w:bCs/>
                <w:color w:val="auto"/>
                <w:sz w:val="24"/>
                <w:highlight w:val="none"/>
                <w:lang w:bidi="ar"/>
              </w:rPr>
            </w:pPr>
          </w:p>
        </w:tc>
      </w:tr>
      <w:tr w14:paraId="19E8BFE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4C8C3061">
            <w:pPr>
              <w:jc w:val="center"/>
              <w:rPr>
                <w:rFonts w:hint="eastAsia" w:ascii="宋体" w:hAnsi="宋体" w:eastAsia="宋体" w:cs="宋体"/>
                <w:b w:val="0"/>
                <w:bCs/>
                <w:color w:val="auto"/>
                <w:sz w:val="24"/>
                <w:highlight w:val="none"/>
                <w:lang w:bidi="ar"/>
              </w:rPr>
            </w:pPr>
          </w:p>
        </w:tc>
        <w:tc>
          <w:tcPr>
            <w:tcW w:w="1273" w:type="dxa"/>
            <w:noWrap w:val="0"/>
            <w:vAlign w:val="center"/>
          </w:tcPr>
          <w:p w14:paraId="5A174955">
            <w:pPr>
              <w:jc w:val="center"/>
              <w:rPr>
                <w:rFonts w:hint="eastAsia" w:ascii="宋体" w:hAnsi="宋体" w:eastAsia="宋体" w:cs="宋体"/>
                <w:b w:val="0"/>
                <w:bCs/>
                <w:color w:val="auto"/>
                <w:sz w:val="24"/>
                <w:highlight w:val="none"/>
                <w:lang w:bidi="ar"/>
              </w:rPr>
            </w:pPr>
          </w:p>
        </w:tc>
        <w:tc>
          <w:tcPr>
            <w:tcW w:w="1101" w:type="dxa"/>
            <w:noWrap w:val="0"/>
            <w:vAlign w:val="center"/>
          </w:tcPr>
          <w:p w14:paraId="3776073F">
            <w:pPr>
              <w:jc w:val="center"/>
              <w:rPr>
                <w:rFonts w:hint="eastAsia" w:ascii="宋体" w:hAnsi="宋体" w:eastAsia="宋体" w:cs="宋体"/>
                <w:b w:val="0"/>
                <w:bCs/>
                <w:color w:val="auto"/>
                <w:sz w:val="24"/>
                <w:highlight w:val="none"/>
                <w:lang w:bidi="ar"/>
              </w:rPr>
            </w:pPr>
          </w:p>
        </w:tc>
        <w:tc>
          <w:tcPr>
            <w:tcW w:w="1088" w:type="dxa"/>
            <w:noWrap w:val="0"/>
            <w:vAlign w:val="center"/>
          </w:tcPr>
          <w:p w14:paraId="4597B521">
            <w:pPr>
              <w:jc w:val="center"/>
              <w:rPr>
                <w:rFonts w:hint="eastAsia" w:ascii="宋体" w:hAnsi="宋体" w:eastAsia="宋体" w:cs="宋体"/>
                <w:b w:val="0"/>
                <w:bCs/>
                <w:color w:val="auto"/>
                <w:sz w:val="24"/>
                <w:highlight w:val="none"/>
                <w:lang w:bidi="ar"/>
              </w:rPr>
            </w:pPr>
          </w:p>
        </w:tc>
        <w:tc>
          <w:tcPr>
            <w:tcW w:w="918" w:type="dxa"/>
            <w:noWrap w:val="0"/>
            <w:vAlign w:val="center"/>
          </w:tcPr>
          <w:p w14:paraId="245F176E">
            <w:pPr>
              <w:jc w:val="center"/>
              <w:rPr>
                <w:rFonts w:hint="eastAsia" w:ascii="宋体" w:hAnsi="宋体" w:eastAsia="宋体" w:cs="宋体"/>
                <w:b w:val="0"/>
                <w:bCs/>
                <w:color w:val="auto"/>
                <w:sz w:val="24"/>
                <w:highlight w:val="none"/>
                <w:lang w:bidi="ar"/>
              </w:rPr>
            </w:pPr>
          </w:p>
        </w:tc>
        <w:tc>
          <w:tcPr>
            <w:tcW w:w="1075" w:type="dxa"/>
            <w:noWrap w:val="0"/>
            <w:vAlign w:val="center"/>
          </w:tcPr>
          <w:p w14:paraId="28E79187">
            <w:pPr>
              <w:jc w:val="center"/>
              <w:rPr>
                <w:rFonts w:hint="eastAsia" w:ascii="宋体" w:hAnsi="宋体" w:eastAsia="宋体" w:cs="宋体"/>
                <w:b w:val="0"/>
                <w:bCs/>
                <w:color w:val="auto"/>
                <w:sz w:val="24"/>
                <w:highlight w:val="none"/>
                <w:lang w:bidi="ar"/>
              </w:rPr>
            </w:pPr>
          </w:p>
        </w:tc>
        <w:tc>
          <w:tcPr>
            <w:tcW w:w="1380" w:type="dxa"/>
            <w:noWrap w:val="0"/>
            <w:vAlign w:val="center"/>
          </w:tcPr>
          <w:p w14:paraId="389305EA">
            <w:pPr>
              <w:jc w:val="center"/>
              <w:rPr>
                <w:rFonts w:hint="eastAsia" w:ascii="宋体" w:hAnsi="宋体" w:eastAsia="宋体" w:cs="宋体"/>
                <w:b w:val="0"/>
                <w:bCs/>
                <w:color w:val="auto"/>
                <w:sz w:val="24"/>
                <w:highlight w:val="none"/>
                <w:lang w:bidi="ar"/>
              </w:rPr>
            </w:pPr>
          </w:p>
        </w:tc>
      </w:tr>
      <w:tr w14:paraId="0781EC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exact"/>
          <w:jc w:val="center"/>
        </w:trPr>
        <w:tc>
          <w:tcPr>
            <w:tcW w:w="1843" w:type="dxa"/>
            <w:noWrap w:val="0"/>
            <w:vAlign w:val="center"/>
          </w:tcPr>
          <w:p w14:paraId="5DE3DAD1">
            <w:pPr>
              <w:jc w:val="center"/>
              <w:rPr>
                <w:rFonts w:hint="eastAsia" w:ascii="宋体" w:hAnsi="宋体" w:eastAsia="宋体" w:cs="宋体"/>
                <w:b w:val="0"/>
                <w:bCs/>
                <w:color w:val="auto"/>
                <w:sz w:val="24"/>
                <w:highlight w:val="none"/>
                <w:lang w:bidi="ar"/>
              </w:rPr>
            </w:pPr>
            <w:r>
              <w:rPr>
                <w:rFonts w:hint="eastAsia" w:ascii="宋体" w:hAnsi="宋体" w:eastAsia="宋体" w:cs="宋体"/>
                <w:b w:val="0"/>
                <w:bCs/>
                <w:color w:val="auto"/>
                <w:sz w:val="24"/>
                <w:highlight w:val="none"/>
                <w:lang w:bidi="ar"/>
              </w:rPr>
              <w:t>......</w:t>
            </w:r>
          </w:p>
        </w:tc>
        <w:tc>
          <w:tcPr>
            <w:tcW w:w="1273" w:type="dxa"/>
            <w:noWrap w:val="0"/>
            <w:vAlign w:val="center"/>
          </w:tcPr>
          <w:p w14:paraId="374473EE">
            <w:pPr>
              <w:jc w:val="center"/>
              <w:rPr>
                <w:rFonts w:hint="eastAsia" w:ascii="宋体" w:hAnsi="宋体" w:eastAsia="宋体" w:cs="宋体"/>
                <w:b w:val="0"/>
                <w:bCs/>
                <w:color w:val="auto"/>
                <w:sz w:val="24"/>
                <w:highlight w:val="none"/>
                <w:lang w:bidi="ar"/>
              </w:rPr>
            </w:pPr>
          </w:p>
        </w:tc>
        <w:tc>
          <w:tcPr>
            <w:tcW w:w="1101" w:type="dxa"/>
            <w:noWrap w:val="0"/>
            <w:vAlign w:val="center"/>
          </w:tcPr>
          <w:p w14:paraId="1F3ECD77">
            <w:pPr>
              <w:jc w:val="center"/>
              <w:rPr>
                <w:rFonts w:hint="eastAsia" w:ascii="宋体" w:hAnsi="宋体" w:eastAsia="宋体" w:cs="宋体"/>
                <w:b w:val="0"/>
                <w:bCs/>
                <w:color w:val="auto"/>
                <w:sz w:val="24"/>
                <w:highlight w:val="none"/>
                <w:lang w:bidi="ar"/>
              </w:rPr>
            </w:pPr>
          </w:p>
        </w:tc>
        <w:tc>
          <w:tcPr>
            <w:tcW w:w="1088" w:type="dxa"/>
            <w:noWrap w:val="0"/>
            <w:vAlign w:val="center"/>
          </w:tcPr>
          <w:p w14:paraId="6FADF424">
            <w:pPr>
              <w:jc w:val="center"/>
              <w:rPr>
                <w:rFonts w:hint="eastAsia" w:ascii="宋体" w:hAnsi="宋体" w:eastAsia="宋体" w:cs="宋体"/>
                <w:b w:val="0"/>
                <w:bCs/>
                <w:color w:val="auto"/>
                <w:sz w:val="24"/>
                <w:highlight w:val="none"/>
                <w:lang w:bidi="ar"/>
              </w:rPr>
            </w:pPr>
          </w:p>
        </w:tc>
        <w:tc>
          <w:tcPr>
            <w:tcW w:w="918" w:type="dxa"/>
            <w:noWrap w:val="0"/>
            <w:vAlign w:val="center"/>
          </w:tcPr>
          <w:p w14:paraId="70971BFE">
            <w:pPr>
              <w:jc w:val="center"/>
              <w:rPr>
                <w:rFonts w:hint="eastAsia" w:ascii="宋体" w:hAnsi="宋体" w:eastAsia="宋体" w:cs="宋体"/>
                <w:b w:val="0"/>
                <w:bCs/>
                <w:color w:val="auto"/>
                <w:sz w:val="24"/>
                <w:highlight w:val="none"/>
                <w:lang w:bidi="ar"/>
              </w:rPr>
            </w:pPr>
          </w:p>
        </w:tc>
        <w:tc>
          <w:tcPr>
            <w:tcW w:w="1075" w:type="dxa"/>
            <w:noWrap w:val="0"/>
            <w:vAlign w:val="center"/>
          </w:tcPr>
          <w:p w14:paraId="3A3E2D8A">
            <w:pPr>
              <w:jc w:val="center"/>
              <w:rPr>
                <w:rFonts w:hint="eastAsia" w:ascii="宋体" w:hAnsi="宋体" w:eastAsia="宋体" w:cs="宋体"/>
                <w:b w:val="0"/>
                <w:bCs/>
                <w:color w:val="auto"/>
                <w:sz w:val="24"/>
                <w:highlight w:val="none"/>
                <w:lang w:bidi="ar"/>
              </w:rPr>
            </w:pPr>
          </w:p>
        </w:tc>
        <w:tc>
          <w:tcPr>
            <w:tcW w:w="1380" w:type="dxa"/>
            <w:noWrap w:val="0"/>
            <w:vAlign w:val="center"/>
          </w:tcPr>
          <w:p w14:paraId="6B2FA29C">
            <w:pPr>
              <w:jc w:val="center"/>
              <w:rPr>
                <w:rFonts w:hint="eastAsia" w:ascii="宋体" w:hAnsi="宋体" w:eastAsia="宋体" w:cs="宋体"/>
                <w:b w:val="0"/>
                <w:bCs/>
                <w:color w:val="auto"/>
                <w:sz w:val="24"/>
                <w:highlight w:val="none"/>
                <w:lang w:bidi="ar"/>
              </w:rPr>
            </w:pPr>
          </w:p>
        </w:tc>
      </w:tr>
      <w:tr w14:paraId="6615D6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7" w:hRule="atLeast"/>
          <w:jc w:val="center"/>
        </w:trPr>
        <w:tc>
          <w:tcPr>
            <w:tcW w:w="8678" w:type="dxa"/>
            <w:gridSpan w:val="7"/>
            <w:noWrap w:val="0"/>
            <w:vAlign w:val="center"/>
          </w:tcPr>
          <w:p w14:paraId="64692C17">
            <w:pPr>
              <w:jc w:val="left"/>
              <w:rPr>
                <w:rFonts w:hint="eastAsia" w:ascii="宋体" w:hAnsi="宋体" w:eastAsia="宋体" w:cs="宋体"/>
                <w:b w:val="0"/>
                <w:bCs/>
                <w:color w:val="auto"/>
                <w:sz w:val="24"/>
                <w:highlight w:val="none"/>
                <w:lang w:bidi="ar"/>
              </w:rPr>
            </w:pPr>
            <w:r>
              <w:rPr>
                <w:rFonts w:hint="eastAsia" w:ascii="宋体" w:hAnsi="宋体" w:eastAsia="宋体" w:cs="宋体"/>
                <w:b w:val="0"/>
                <w:bCs/>
                <w:color w:val="auto"/>
                <w:sz w:val="24"/>
                <w:highlight w:val="none"/>
                <w:lang w:bidi="ar"/>
              </w:rPr>
              <w:t>合计（大写）：人民币</w:t>
            </w:r>
            <w:r>
              <w:rPr>
                <w:rFonts w:hint="eastAsia" w:ascii="宋体" w:hAnsi="宋体" w:eastAsia="宋体" w:cs="宋体"/>
                <w:b w:val="0"/>
                <w:bCs/>
                <w:color w:val="auto"/>
                <w:sz w:val="24"/>
                <w:highlight w:val="none"/>
                <w:u w:val="single"/>
                <w:lang w:bidi="ar"/>
              </w:rPr>
              <w:t xml:space="preserve">       </w:t>
            </w:r>
            <w:r>
              <w:rPr>
                <w:rFonts w:hint="eastAsia" w:ascii="宋体" w:hAnsi="宋体" w:eastAsia="宋体" w:cs="宋体"/>
                <w:b w:val="0"/>
                <w:bCs/>
                <w:color w:val="auto"/>
                <w:sz w:val="24"/>
                <w:highlight w:val="none"/>
                <w:lang w:bidi="ar"/>
              </w:rPr>
              <w:t xml:space="preserve">元整 </w:t>
            </w:r>
            <w:r>
              <w:rPr>
                <w:rFonts w:hint="eastAsia" w:ascii="宋体" w:hAnsi="宋体" w:eastAsia="宋体" w:cs="宋体"/>
                <w:b w:val="0"/>
                <w:bCs/>
                <w:color w:val="auto"/>
                <w:sz w:val="24"/>
                <w:highlight w:val="none"/>
                <w:u w:val="single"/>
                <w:lang w:bidi="ar"/>
              </w:rPr>
              <w:t xml:space="preserve">       </w:t>
            </w:r>
            <w:r>
              <w:rPr>
                <w:rFonts w:hint="eastAsia" w:ascii="宋体" w:hAnsi="宋体" w:eastAsia="宋体" w:cs="宋体"/>
                <w:b w:val="0"/>
                <w:bCs/>
                <w:color w:val="auto"/>
                <w:sz w:val="24"/>
                <w:highlight w:val="none"/>
                <w:lang w:bidi="ar"/>
              </w:rPr>
              <w:t>（含税含运费）</w:t>
            </w:r>
          </w:p>
        </w:tc>
      </w:tr>
    </w:tbl>
    <w:p w14:paraId="64259621">
      <w:pPr>
        <w:rPr>
          <w:rFonts w:hint="eastAsia" w:ascii="宋体" w:hAnsi="宋体" w:eastAsia="宋体" w:cs="宋体"/>
          <w:b w:val="0"/>
          <w:bCs/>
          <w:color w:val="auto"/>
          <w:sz w:val="24"/>
          <w:highlight w:val="none"/>
        </w:rPr>
      </w:pPr>
    </w:p>
    <w:p w14:paraId="4954B70E">
      <w:pPr>
        <w:spacing w:line="360" w:lineRule="auto"/>
        <w:ind w:firstLine="36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本合同采用固定总价合同，包含：设备主材费、辅助材料费、包装费、运费、保险费、装卸费、安装调试、检测、培训、利润、税金等验收合格交付使用之前及保修期内保修服务与备用物件等以及配套器材等所有其他有关各项的含税费用，及合同实施过程中应预见和不可预见费等完成本采购内容所需的一切费用。该总价为验收合格交货价，且不做调整。产品详细配置以招标文件技术参数及附件配置清单为准，卖方不得擅自变更核心组件品牌及供应商，附件与本合同有同等法律效力。</w:t>
      </w:r>
    </w:p>
    <w:p w14:paraId="22F5F12C">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1.2乙方应向甲方提供加盖印章的有效营业执照、医疗器械经营许可证，以及医疗器械产品注册与备案手续、产品合格证、使用说明书，进口产品的还应提供进口报关单、商检合格证等。</w:t>
      </w:r>
    </w:p>
    <w:p w14:paraId="64001A45">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1.3乙方所提供的产品应属于财政部颁布的《环境标志产品政府采购品目清单》范围内产品，或属于《节能产品政府采购品目清单》范围内非强制采购产品类别的，应提供产品具有国家确定的认证机构出具的、处于有效期之内的节能产品认证证书和环境标志产品认证证书。</w:t>
      </w:r>
    </w:p>
    <w:p w14:paraId="51BA83C4">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1.4本合同所采购的货物在合同中未有注明参数要求的，均以生产厂家标准配置为准。乙方的销售、安装技术方案必须满足清单中的所有设备、材料、配件和软件等的数量要求，完善配置方案，保证系统功能的完整性，甲方不再为此另行支付任何费用。 </w:t>
      </w:r>
    </w:p>
    <w:p w14:paraId="2CFFFCBA">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1.5本项目所有设备应包含所有有关互连所需的相关配件，保证其能正常运行，甲方不再为此另行支付任何费用。</w:t>
      </w:r>
    </w:p>
    <w:p w14:paraId="59344910">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2.交货方法、交货期限、到货地点及风险转移</w:t>
      </w:r>
    </w:p>
    <w:p w14:paraId="0D2B3AC9">
      <w:pPr>
        <w:pStyle w:val="283"/>
        <w:spacing w:line="360" w:lineRule="auto"/>
        <w:ind w:left="0"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2.1交货期：自本合同签订生效之日起</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日内送达甲方指定地点，并安装调试完毕并投入使用。</w:t>
      </w:r>
    </w:p>
    <w:p w14:paraId="004B49B9">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2.2本合同项下货物的运输及保险全部由乙方负责。乙方须采取适于安全、准时完成本合同项下义务的运输措施，将货物运至甲方指定的到货地点；对本合同项下的货物进行全面保险，包括但不限于购买或者要求承运人购买货运保险及任何第三者责任险，并对其在项目现场提供服务、培训的人员进行保险。</w:t>
      </w:r>
    </w:p>
    <w:p w14:paraId="502B8653">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2.3甲方指定的到货地点：</w:t>
      </w:r>
      <w:r>
        <w:rPr>
          <w:rFonts w:hint="eastAsia" w:ascii="宋体" w:hAnsi="宋体" w:cs="宋体"/>
          <w:b w:val="0"/>
          <w:bCs/>
          <w:color w:val="auto"/>
          <w:sz w:val="24"/>
          <w:highlight w:val="none"/>
          <w:u w:val="single"/>
          <w:lang w:eastAsia="zh-CN"/>
        </w:rPr>
        <w:t>徐州市第一人民医院眼科门诊三楼和6号楼四层手术室</w:t>
      </w:r>
      <w:r>
        <w:rPr>
          <w:rFonts w:hint="eastAsia" w:ascii="宋体" w:hAnsi="宋体" w:eastAsia="宋体" w:cs="宋体"/>
          <w:b w:val="0"/>
          <w:bCs/>
          <w:color w:val="auto"/>
          <w:sz w:val="24"/>
          <w:highlight w:val="none"/>
        </w:rPr>
        <w:t>。</w:t>
      </w:r>
    </w:p>
    <w:p w14:paraId="5DA213A4">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2.4在乙方将货物交付甲方指定的交货地点和人员前，货物的毁损、灭失风险完全由乙方承担。</w:t>
      </w:r>
    </w:p>
    <w:p w14:paraId="7ABD1A4E">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 货物包装及质量保证</w:t>
      </w:r>
    </w:p>
    <w:p w14:paraId="272E07FB">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3.1乙方所供货物必须为生产商原厂包装，且采用国家或专业标准的保护方式进行包装，应使包装适应于远距离运输、防潮、防震、防锈和防粗暴装卸，确保货物安全无损运抵甲方指定的到货地点。由于包装不适当所引起的货物锈蚀、损坏和损失均由乙方承担。每件包装箱内应附一份详细装箱单、货物说明书、质量合格证及其它与本合同项下货物有关的任何单证和资料。</w:t>
      </w:r>
    </w:p>
    <w:p w14:paraId="1A4F341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3.2乙方保证所供货物的设计、制造必须符合中华人民共和国的相关国家标准、行业标准或企业标准（如有）的强制性规定，并满足本合同规定的规格、参数、质量、价格、有效期、售后服务等要求。乙方保证所供设备型号是最新的，且是用上等材料和工艺制成，并严格保持原包装，否则造成的一切损失由乙方负全部责任。</w:t>
      </w:r>
    </w:p>
    <w:p w14:paraId="41EE9CD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3.3特别条款：a.所提供医疗器械产品注册证必须真实有效；b.所提供设备上的中文品名、型号及产品说明书所注适用范围必须与医疗器械产品注册证所标明的完全一致；c.国产医疗设备上的铭牌必须标注医疗器械注册证号，进口设备必须提供报关证等相关证件；d.发票上所列品名与型号必须与合同所列品名与型号完全一致；e.其他未提及事项必须符合国家食品药品监督管理局的相关规定。以上条款必须满足，否则由此引起的一切责任由乙方负责。</w:t>
      </w:r>
    </w:p>
    <w:p w14:paraId="406BDD5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3.4乙方应保证本合同货物和服务或其任何一部分享有合法专利权、版权、商标权和工业设计权等知识产权，或经第三方合法授权。一旦出现侵权，由乙方负全部责任。</w:t>
      </w:r>
    </w:p>
    <w:p w14:paraId="07F7524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3.5 乙方保证提供的设备在正确安装、正常使用和保养条件下，具有良好性能。货物验收后，在质量保证期内，乙方对由于涉及、工艺或者材料的缺陷所发生的任何不足或故障承担责任，所产生的费用和损失由乙方承担。</w:t>
      </w:r>
    </w:p>
    <w:p w14:paraId="0BECD2D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3.6乙方保证所提供设备的技术规格符合甲方采购需求，符合国家有关部门最新颁布的标准及规范。</w:t>
      </w:r>
    </w:p>
    <w:p w14:paraId="4CC2AEBB">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4.交货物验收、异议</w:t>
      </w:r>
    </w:p>
    <w:p w14:paraId="1E31ABE5">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4.1货物到达甲方指定到货地点后</w:t>
      </w:r>
      <w:r>
        <w:rPr>
          <w:rFonts w:hint="eastAsia" w:ascii="宋体" w:hAnsi="宋体" w:eastAsia="宋体" w:cs="宋体"/>
          <w:b w:val="0"/>
          <w:bCs/>
          <w:color w:val="auto"/>
          <w:sz w:val="24"/>
          <w:highlight w:val="none"/>
          <w:u w:val="single"/>
        </w:rPr>
        <w:t xml:space="preserve"> </w:t>
      </w:r>
      <w:r>
        <w:rPr>
          <w:rFonts w:hint="eastAsia" w:ascii="宋体" w:hAnsi="宋体" w:cs="宋体"/>
          <w:b w:val="0"/>
          <w:bCs/>
          <w:color w:val="auto"/>
          <w:sz w:val="24"/>
          <w:highlight w:val="none"/>
          <w:u w:val="single"/>
          <w:lang w:val="en-US" w:eastAsia="zh-CN"/>
        </w:rPr>
        <w:t xml:space="preserve"> </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日内，甲、乙双方共同进行验收、测试。</w:t>
      </w:r>
    </w:p>
    <w:p w14:paraId="2557A184">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4.2验收标准:（1）货物外形、包装完好；（2）数量无误；（3）货物符合合同要求及标准，产品说明书对货物有质量说明的，也应符合该质量说明；（4）设备均具有食品药品监督管理局颁发的医疗器械注册证。</w:t>
      </w:r>
    </w:p>
    <w:p w14:paraId="43E207F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4.3 乙方交付设备时须将设备的装箱清单、用户手册、原厂保修卡、随机资料及配给、随机工具、软件密码等交付甲方；乙方未完整交付本款规定单证和工具等的，视为未按照合同约定交货，乙方负责补齐，并视为逾期交货，由乙方承担相关违约责任。</w:t>
      </w:r>
    </w:p>
    <w:p w14:paraId="3AD41104">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4.4双方在验收中，如果发现货物的品种、型号、规格、数量、质量与本合同附件规定不符，双方应签署书面文件，甲方有权拒付不符合合同规定部分的货款，并在货物验收十五日内向乙方提出书面异议和处理意见；如货物与合同货物不一致，甲方有权拒付全部货款，并解除合同，乙方并承担合同价款20%的违约金责任。</w:t>
      </w:r>
    </w:p>
    <w:p w14:paraId="2FA55EEF">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4.5如甲方未按规定期限提出书面异议的，视为所交货物符合合同规定，但货物存在隐蔽瑕疵或者对质量保证期另有规定的除外。</w:t>
      </w:r>
    </w:p>
    <w:p w14:paraId="01A971C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4.6乙方在接到甲方书面异议后，应在三日内提出处理意见，否则，即视为默认甲方提出的异议和处理意见，乙方应照此执行。</w:t>
      </w:r>
    </w:p>
    <w:p w14:paraId="36890BD6">
      <w:pPr>
        <w:pStyle w:val="284"/>
        <w:spacing w:before="0" w:beforeAutospacing="0" w:after="0" w:afterAutospacing="0" w:line="360" w:lineRule="auto"/>
        <w:ind w:left="480"/>
        <w:rPr>
          <w:rFonts w:hint="eastAsia" w:ascii="宋体" w:hAnsi="宋体" w:eastAsia="宋体" w:cs="宋体"/>
          <w:b w:val="0"/>
          <w:bCs/>
          <w:color w:val="auto"/>
          <w:szCs w:val="24"/>
          <w:highlight w:val="none"/>
        </w:rPr>
      </w:pPr>
      <w:r>
        <w:rPr>
          <w:rFonts w:hint="eastAsia" w:ascii="宋体" w:hAnsi="宋体" w:eastAsia="宋体" w:cs="宋体"/>
          <w:b w:val="0"/>
          <w:bCs/>
          <w:color w:val="auto"/>
          <w:szCs w:val="24"/>
          <w:highlight w:val="none"/>
        </w:rPr>
        <w:t>5. 安装、调试与验收</w:t>
      </w:r>
    </w:p>
    <w:p w14:paraId="37B32116">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5.1设备到货验收后，乙方3日内派具备符合国家规定的具备相应资质的人员到达现场负责设备的免费安装和调试。设备安装时，乙方必须事先与甲方的设备科联系，并与设备科共同参与，否则引起的一切责任由乙方承担。</w:t>
      </w:r>
    </w:p>
    <w:p w14:paraId="613A7114">
      <w:pPr>
        <w:pStyle w:val="282"/>
        <w:spacing w:line="360" w:lineRule="auto"/>
        <w:ind w:firstLine="480"/>
        <w:rPr>
          <w:rFonts w:hint="eastAsia" w:ascii="宋体" w:hAnsi="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5.2单证齐全:应有医疗器械注册证、医疗器械经营许可证、进口设备需提供报关单和商检报告、装箱单、产品合格证(或质量证明)、使用说明书、保修卡、发票和其它应具有的单证。(注:医疗设备的生产日期须在验收日期往前推算6个月内)</w:t>
      </w:r>
    </w:p>
    <w:p w14:paraId="5D32355B">
      <w:pPr>
        <w:pStyle w:val="282"/>
        <w:spacing w:line="360" w:lineRule="auto"/>
        <w:ind w:firstLine="480"/>
        <w:rPr>
          <w:rFonts w:hint="default" w:ascii="宋体" w:hAnsi="宋体" w:eastAsia="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5.3质量符合国家法律法规规定的标准、招标文件和投标文件的要求。</w:t>
      </w:r>
    </w:p>
    <w:p w14:paraId="5995ED36">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4</w:t>
      </w:r>
      <w:r>
        <w:rPr>
          <w:rFonts w:hint="eastAsia" w:ascii="宋体" w:hAnsi="宋体" w:eastAsia="宋体" w:cs="宋体"/>
          <w:b w:val="0"/>
          <w:bCs/>
          <w:color w:val="auto"/>
          <w:sz w:val="24"/>
          <w:highlight w:val="none"/>
        </w:rPr>
        <w:t>乙方提供设备安装和维修所需的专用工具和辅助材料。</w:t>
      </w:r>
    </w:p>
    <w:p w14:paraId="1D5257DF">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5</w:t>
      </w:r>
      <w:r>
        <w:rPr>
          <w:rFonts w:hint="eastAsia" w:ascii="宋体" w:hAnsi="宋体" w:eastAsia="宋体" w:cs="宋体"/>
          <w:b w:val="0"/>
          <w:bCs/>
          <w:color w:val="auto"/>
          <w:sz w:val="24"/>
          <w:highlight w:val="none"/>
        </w:rPr>
        <w:t>乙方在安装过程中，必须服从甲方的计划安排和整体协调，遵守甲方有关制度，文明施工。乙方必须充分考虑现场的安装难度及安全性，做好施工现场的安全防护、文明施工工作。安装过程中发生的一切责任及费用由乙方负责，如对其他物品或结构造成损坏必须照价赔偿，甲方有权直接从合同款项中予以扣减。</w:t>
      </w:r>
    </w:p>
    <w:p w14:paraId="1AD56966">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6</w:t>
      </w:r>
      <w:r>
        <w:rPr>
          <w:rFonts w:hint="eastAsia" w:ascii="宋体" w:hAnsi="宋体" w:eastAsia="宋体" w:cs="宋体"/>
          <w:b w:val="0"/>
          <w:bCs/>
          <w:color w:val="auto"/>
          <w:sz w:val="24"/>
          <w:highlight w:val="none"/>
        </w:rPr>
        <w:t>乙方必须提供设备安装、集成及调测服务，安装、调试必须按照国家标准和行业规范进行，并确保调试完成后，设备能够正常运行，达到甲方可正常使用状态。调试的原始记录须经双方签字后作为验收的文件之一。</w:t>
      </w:r>
    </w:p>
    <w:p w14:paraId="153D4FAF">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rPr>
        <w:t>甲方对设备试用后进行验收，乙方派工程师到达现场共同验收工作。乙方需提供设备的出厂检验报告、合格证书、装箱单，并且预先提供验收标准，填写验收报告书，供双方最终确认所用。</w:t>
      </w:r>
    </w:p>
    <w:p w14:paraId="12A4B037">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8</w:t>
      </w:r>
      <w:r>
        <w:rPr>
          <w:rFonts w:hint="eastAsia" w:ascii="宋体" w:hAnsi="宋体" w:eastAsia="宋体" w:cs="宋体"/>
          <w:b w:val="0"/>
          <w:bCs/>
          <w:color w:val="auto"/>
          <w:sz w:val="24"/>
          <w:highlight w:val="none"/>
        </w:rPr>
        <w:t>验收标准依次序对照适用标准为：1、货物为原制造商制造的全新产品，无污染，无侵权行为、表面无划损、无任何缺陷隐患，在中国境内可依规安全合法使用； 2、符合中华人民共和国国家安全质量标准、环保标准或行业标准；3、符合采购文件和响应承诺中甲方认可的合理最佳配置、参数及各项要求；4、货物来源生产方标准，且必须是有关生产方发布的最新版本的标准。</w:t>
      </w:r>
    </w:p>
    <w:p w14:paraId="49A7650B">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9</w:t>
      </w:r>
      <w:r>
        <w:rPr>
          <w:rFonts w:hint="eastAsia" w:ascii="宋体" w:hAnsi="宋体" w:eastAsia="宋体" w:cs="宋体"/>
          <w:b w:val="0"/>
          <w:bCs/>
          <w:color w:val="auto"/>
          <w:sz w:val="24"/>
          <w:highlight w:val="none"/>
        </w:rPr>
        <w:t>设备安装、调试产品正常运行后，各项指标和参数应符合验收标准。甲方有权委托中国有资格单位或机构对设备性能、精度进行校核。甲方签字确认的《验收合格证明》为验收合格的唯一凭证。</w:t>
      </w:r>
    </w:p>
    <w:p w14:paraId="2CC02130">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10</w:t>
      </w:r>
      <w:r>
        <w:rPr>
          <w:rFonts w:hint="eastAsia" w:ascii="宋体" w:hAnsi="宋体" w:eastAsia="宋体" w:cs="宋体"/>
          <w:b w:val="0"/>
          <w:bCs/>
          <w:color w:val="auto"/>
          <w:sz w:val="24"/>
          <w:highlight w:val="none"/>
        </w:rPr>
        <w:t>乙方免费提供全套技术资料（产品使用手册、维修说明书、操作说明书等），如技术资料不全，甲方有权不支付货款。</w:t>
      </w:r>
    </w:p>
    <w:p w14:paraId="5BE84719">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11</w:t>
      </w:r>
      <w:r>
        <w:rPr>
          <w:rFonts w:hint="eastAsia" w:ascii="宋体" w:hAnsi="宋体" w:eastAsia="宋体" w:cs="宋体"/>
          <w:b w:val="0"/>
          <w:bCs/>
          <w:color w:val="auto"/>
          <w:sz w:val="24"/>
          <w:highlight w:val="none"/>
        </w:rPr>
        <w:t xml:space="preserve"> 如乙方提供的设备设有维修软件密码，乙方应保证无条件地为甲方永久免费打开。</w:t>
      </w:r>
    </w:p>
    <w:p w14:paraId="0395C3B3">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w:t>
      </w:r>
      <w:r>
        <w:rPr>
          <w:rFonts w:hint="eastAsia" w:ascii="宋体" w:hAnsi="宋体" w:cs="宋体"/>
          <w:b w:val="0"/>
          <w:bCs/>
          <w:color w:val="auto"/>
          <w:sz w:val="24"/>
          <w:highlight w:val="none"/>
          <w:lang w:val="en-US" w:eastAsia="zh-CN"/>
        </w:rPr>
        <w:t>12</w:t>
      </w:r>
      <w:r>
        <w:rPr>
          <w:rFonts w:hint="eastAsia" w:ascii="宋体" w:hAnsi="宋体" w:eastAsia="宋体" w:cs="宋体"/>
          <w:b w:val="0"/>
          <w:bCs/>
          <w:color w:val="auto"/>
          <w:sz w:val="24"/>
          <w:highlight w:val="none"/>
        </w:rPr>
        <w:t>验收中如果发现设备有短缺，损坏、有质量、技术等不符合本合同规定的情形，双方做出详尽的现场记录，并由双方签署确认，由乙方负责解决所出现的问题。乙方应在五日内，按照甲方的要求，采取补足、更换或退货等处理措施，并承担由此发生的一切损失和费用。</w:t>
      </w:r>
    </w:p>
    <w:p w14:paraId="036A49F1">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5.1</w:t>
      </w:r>
      <w:r>
        <w:rPr>
          <w:rFonts w:hint="eastAsia" w:ascii="宋体" w:hAnsi="宋体" w:cs="宋体"/>
          <w:b w:val="0"/>
          <w:bCs/>
          <w:color w:val="auto"/>
          <w:sz w:val="24"/>
          <w:highlight w:val="none"/>
          <w:lang w:val="en-US" w:eastAsia="zh-CN"/>
        </w:rPr>
        <w:t>3</w:t>
      </w:r>
      <w:r>
        <w:rPr>
          <w:rFonts w:hint="eastAsia" w:ascii="宋体" w:hAnsi="宋体" w:eastAsia="宋体" w:cs="宋体"/>
          <w:b w:val="0"/>
          <w:bCs/>
          <w:color w:val="auto"/>
          <w:sz w:val="24"/>
          <w:highlight w:val="none"/>
        </w:rPr>
        <w:t>乙方所供设备如验收不合格，根据甲方的要求，乙方必须无条件换货或退货，由此引起的一切损失由乙方承担。</w:t>
      </w:r>
    </w:p>
    <w:p w14:paraId="72A05062">
      <w:pPr>
        <w:spacing w:line="360" w:lineRule="auto"/>
        <w:ind w:firstLine="482"/>
        <w:rPr>
          <w:rFonts w:hint="eastAsia" w:ascii="宋体" w:hAnsi="宋体" w:eastAsia="宋体" w:cs="宋体"/>
          <w:b w:val="0"/>
          <w:bCs/>
          <w:color w:val="auto"/>
          <w:sz w:val="24"/>
          <w:highlight w:val="none"/>
        </w:rPr>
      </w:pPr>
      <w:r>
        <w:rPr>
          <w:rFonts w:hint="eastAsia" w:ascii="宋体" w:hAnsi="宋体" w:cs="宋体"/>
          <w:b w:val="0"/>
          <w:bCs/>
          <w:color w:val="auto"/>
          <w:sz w:val="24"/>
          <w:highlight w:val="none"/>
          <w:lang w:val="en-US" w:eastAsia="zh-CN"/>
        </w:rPr>
        <w:t>5.14</w:t>
      </w:r>
      <w:r>
        <w:rPr>
          <w:rFonts w:hint="eastAsia" w:ascii="宋体" w:hAnsi="宋体" w:eastAsia="宋体" w:cs="宋体"/>
          <w:b w:val="0"/>
          <w:bCs/>
          <w:color w:val="auto"/>
          <w:sz w:val="24"/>
          <w:highlight w:val="none"/>
        </w:rPr>
        <w:t>.如果设备中含不可收费的一次性耗材，乙方需终身免费提供。</w:t>
      </w:r>
    </w:p>
    <w:p w14:paraId="32DC2846">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 付款方式</w:t>
      </w:r>
    </w:p>
    <w:p w14:paraId="021EA964">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本合同总金额为人民币大写金额</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元（小写金额：</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w:t>
      </w:r>
    </w:p>
    <w:p w14:paraId="2D45B5CC">
      <w:pPr>
        <w:spacing w:line="360" w:lineRule="auto"/>
        <w:ind w:firstLine="54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经双方协商一致，选择以下第</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种付款方式：</w:t>
      </w:r>
    </w:p>
    <w:p w14:paraId="71C8C037">
      <w:pPr>
        <w:spacing w:line="360" w:lineRule="auto"/>
        <w:ind w:firstLine="54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付款方式一：提交预付款保函的</w:t>
      </w:r>
    </w:p>
    <w:p w14:paraId="680E4B08">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6.1</w:t>
      </w:r>
      <w:r>
        <w:rPr>
          <w:rFonts w:hint="eastAsia" w:ascii="宋体" w:hAnsi="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合同价款的百分之</w:t>
      </w:r>
      <w:r>
        <w:rPr>
          <w:rFonts w:hint="eastAsia" w:ascii="宋体" w:hAnsi="宋体" w:cs="宋体"/>
          <w:b w:val="0"/>
          <w:bCs/>
          <w:color w:val="auto"/>
          <w:sz w:val="24"/>
          <w:highlight w:val="none"/>
          <w:lang w:eastAsia="zh-CN"/>
        </w:rPr>
        <w:t>四</w:t>
      </w:r>
      <w:r>
        <w:rPr>
          <w:rFonts w:hint="eastAsia" w:ascii="宋体" w:hAnsi="宋体" w:eastAsia="宋体" w:cs="宋体"/>
          <w:b w:val="0"/>
          <w:bCs/>
          <w:color w:val="auto"/>
          <w:sz w:val="24"/>
          <w:highlight w:val="none"/>
        </w:rPr>
        <w:t>十(</w:t>
      </w:r>
      <w:r>
        <w:rPr>
          <w:rFonts w:hint="eastAsia" w:ascii="宋体" w:hAnsi="宋体" w:cs="宋体"/>
          <w:b w:val="0"/>
          <w:bCs/>
          <w:color w:val="auto"/>
          <w:sz w:val="24"/>
          <w:highlight w:val="none"/>
          <w:lang w:val="en-US" w:eastAsia="zh-CN"/>
        </w:rPr>
        <w:t>4</w:t>
      </w:r>
      <w:r>
        <w:rPr>
          <w:rFonts w:hint="eastAsia" w:ascii="宋体" w:hAnsi="宋体" w:eastAsia="宋体" w:cs="宋体"/>
          <w:b w:val="0"/>
          <w:bCs/>
          <w:color w:val="auto"/>
          <w:sz w:val="24"/>
          <w:highlight w:val="none"/>
        </w:rPr>
        <w:t>0%)，即¥（</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），大写：人民币（</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）元整，在双方签订合同后</w:t>
      </w:r>
      <w:r>
        <w:rPr>
          <w:rFonts w:hint="eastAsia" w:ascii="宋体" w:hAnsi="宋体" w:cs="宋体"/>
          <w:b w:val="0"/>
          <w:bCs/>
          <w:color w:val="auto"/>
          <w:sz w:val="24"/>
          <w:highlight w:val="none"/>
          <w:lang w:val="en-US" w:eastAsia="zh-CN"/>
        </w:rPr>
        <w:t>10个工作日内递交结算手续</w:t>
      </w:r>
      <w:r>
        <w:rPr>
          <w:rFonts w:hint="eastAsia" w:ascii="宋体" w:hAnsi="宋体" w:eastAsia="宋体" w:cs="宋体"/>
          <w:b w:val="0"/>
          <w:bCs/>
          <w:color w:val="auto"/>
          <w:sz w:val="24"/>
          <w:highlight w:val="none"/>
        </w:rPr>
        <w:t>，乙方向甲方出具等额预付款保函后，由甲方办理政府采购资金结算手续支付给乙方。</w:t>
      </w:r>
    </w:p>
    <w:p w14:paraId="15C8E138">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6.2 合同总价的百分之</w:t>
      </w:r>
      <w:r>
        <w:rPr>
          <w:rFonts w:hint="eastAsia" w:ascii="宋体" w:hAnsi="宋体" w:cs="宋体"/>
          <w:b w:val="0"/>
          <w:bCs/>
          <w:color w:val="auto"/>
          <w:sz w:val="24"/>
          <w:highlight w:val="none"/>
          <w:lang w:eastAsia="zh-CN"/>
        </w:rPr>
        <w:t>六</w:t>
      </w:r>
      <w:r>
        <w:rPr>
          <w:rFonts w:hint="eastAsia" w:ascii="宋体" w:hAnsi="宋体" w:eastAsia="宋体" w:cs="宋体"/>
          <w:b w:val="0"/>
          <w:bCs/>
          <w:color w:val="auto"/>
          <w:sz w:val="24"/>
          <w:highlight w:val="none"/>
        </w:rPr>
        <w:t>十(</w:t>
      </w:r>
      <w:r>
        <w:rPr>
          <w:rFonts w:hint="eastAsia" w:ascii="宋体" w:hAnsi="宋体" w:cs="宋体"/>
          <w:b w:val="0"/>
          <w:bCs/>
          <w:color w:val="auto"/>
          <w:sz w:val="24"/>
          <w:highlight w:val="none"/>
          <w:lang w:val="en-US" w:eastAsia="zh-CN"/>
        </w:rPr>
        <w:t>6</w:t>
      </w:r>
      <w:r>
        <w:rPr>
          <w:rFonts w:hint="eastAsia" w:ascii="宋体" w:hAnsi="宋体" w:eastAsia="宋体" w:cs="宋体"/>
          <w:b w:val="0"/>
          <w:bCs/>
          <w:color w:val="auto"/>
          <w:sz w:val="24"/>
          <w:highlight w:val="none"/>
        </w:rPr>
        <w:t>0%)，即¥（</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），大写：人民币（</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）元整，合同标的全部交付并安装完毕</w:t>
      </w:r>
      <w:r>
        <w:rPr>
          <w:rFonts w:hint="eastAsia" w:ascii="宋体" w:hAnsi="宋体" w:cs="宋体"/>
          <w:b w:val="0"/>
          <w:bCs/>
          <w:color w:val="auto"/>
          <w:sz w:val="24"/>
          <w:highlight w:val="none"/>
          <w:lang w:val="en-US" w:eastAsia="zh-CN"/>
        </w:rPr>
        <w:t>且</w:t>
      </w:r>
      <w:r>
        <w:rPr>
          <w:rFonts w:hint="eastAsia" w:ascii="宋体" w:hAnsi="宋体" w:eastAsia="宋体" w:cs="宋体"/>
          <w:b w:val="0"/>
          <w:bCs/>
          <w:color w:val="auto"/>
          <w:sz w:val="24"/>
          <w:highlight w:val="none"/>
        </w:rPr>
        <w:t>验收</w:t>
      </w:r>
      <w:r>
        <w:rPr>
          <w:rFonts w:hint="eastAsia" w:ascii="宋体" w:hAnsi="宋体" w:cs="宋体"/>
          <w:b w:val="0"/>
          <w:bCs/>
          <w:color w:val="auto"/>
          <w:sz w:val="24"/>
          <w:highlight w:val="none"/>
          <w:lang w:val="en-US" w:eastAsia="zh-CN"/>
        </w:rPr>
        <w:t>合格</w:t>
      </w:r>
      <w:r>
        <w:rPr>
          <w:rFonts w:hint="eastAsia" w:ascii="宋体" w:hAnsi="宋体" w:eastAsia="宋体" w:cs="宋体"/>
          <w:b w:val="0"/>
          <w:bCs/>
          <w:color w:val="auto"/>
          <w:sz w:val="24"/>
          <w:highlight w:val="none"/>
        </w:rPr>
        <w:t>后</w:t>
      </w:r>
      <w:r>
        <w:rPr>
          <w:rFonts w:hint="eastAsia" w:ascii="宋体" w:hAnsi="宋体" w:cs="宋体"/>
          <w:b w:val="0"/>
          <w:bCs/>
          <w:color w:val="auto"/>
          <w:sz w:val="24"/>
          <w:highlight w:val="none"/>
          <w:lang w:val="en-US" w:eastAsia="zh-CN"/>
        </w:rPr>
        <w:t>10个工作日内递交结算手续</w:t>
      </w:r>
      <w:r>
        <w:rPr>
          <w:rFonts w:hint="eastAsia" w:ascii="宋体" w:hAnsi="宋体" w:eastAsia="宋体" w:cs="宋体"/>
          <w:b w:val="0"/>
          <w:bCs/>
          <w:color w:val="auto"/>
          <w:sz w:val="24"/>
          <w:highlight w:val="none"/>
        </w:rPr>
        <w:t>，由甲方办理政府采购资金结算手续，经审核通过后支付给乙方。</w:t>
      </w:r>
    </w:p>
    <w:p w14:paraId="0EA4220C">
      <w:pPr>
        <w:spacing w:line="360" w:lineRule="auto"/>
        <w:ind w:firstLine="482"/>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（在签订合同时，如乙方明确表示无需预付款的，甲方可凭最终验收报告，按实际的采购数量进行结算，并一次性支付乙方服务费用。（注：此条符合苏财购〔2020〕52号文件要求））</w:t>
      </w:r>
    </w:p>
    <w:p w14:paraId="79EEEE06">
      <w:pPr>
        <w:spacing w:line="360" w:lineRule="auto"/>
        <w:ind w:firstLine="482"/>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付款方式二：不提交预付款保函的</w:t>
      </w:r>
    </w:p>
    <w:p w14:paraId="537C9643">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6.1</w:t>
      </w:r>
      <w:r>
        <w:rPr>
          <w:rFonts w:hint="eastAsia" w:ascii="宋体" w:hAnsi="宋体" w:cs="宋体"/>
          <w:b w:val="0"/>
          <w:bCs/>
          <w:color w:val="auto"/>
          <w:sz w:val="24"/>
          <w:highlight w:val="none"/>
          <w:lang w:val="en-US" w:eastAsia="zh-CN"/>
        </w:rPr>
        <w:t xml:space="preserve"> </w:t>
      </w:r>
      <w:r>
        <w:rPr>
          <w:rFonts w:hint="eastAsia" w:ascii="宋体" w:hAnsi="宋体" w:eastAsia="宋体" w:cs="宋体"/>
          <w:b w:val="0"/>
          <w:bCs/>
          <w:color w:val="auto"/>
          <w:sz w:val="24"/>
          <w:highlight w:val="none"/>
        </w:rPr>
        <w:t>合同价款的百分之</w:t>
      </w:r>
      <w:r>
        <w:rPr>
          <w:rFonts w:hint="eastAsia" w:ascii="宋体" w:hAnsi="宋体" w:cs="宋体"/>
          <w:b w:val="0"/>
          <w:bCs/>
          <w:color w:val="auto"/>
          <w:sz w:val="24"/>
          <w:highlight w:val="none"/>
          <w:lang w:val="en-US" w:eastAsia="zh-CN"/>
        </w:rPr>
        <w:t>六十</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lang w:val="en-US" w:eastAsia="zh-CN"/>
        </w:rPr>
        <w:t>6</w:t>
      </w:r>
      <w:r>
        <w:rPr>
          <w:rFonts w:hint="eastAsia" w:ascii="宋体" w:hAnsi="宋体" w:eastAsia="宋体" w:cs="宋体"/>
          <w:b w:val="0"/>
          <w:bCs/>
          <w:color w:val="auto"/>
          <w:sz w:val="24"/>
          <w:highlight w:val="none"/>
        </w:rPr>
        <w:t>0%)，即¥（</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），大写：人民币（</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）元整，在双方签订合同后</w:t>
      </w:r>
      <w:r>
        <w:rPr>
          <w:rFonts w:hint="eastAsia" w:ascii="宋体" w:hAnsi="宋体" w:cs="宋体"/>
          <w:b w:val="0"/>
          <w:bCs/>
          <w:color w:val="auto"/>
          <w:sz w:val="24"/>
          <w:highlight w:val="none"/>
          <w:lang w:val="en-US" w:eastAsia="zh-CN"/>
        </w:rPr>
        <w:t>10个工作日内递交结算手续</w:t>
      </w:r>
      <w:r>
        <w:rPr>
          <w:rFonts w:hint="eastAsia" w:ascii="宋体" w:hAnsi="宋体" w:eastAsia="宋体" w:cs="宋体"/>
          <w:b w:val="0"/>
          <w:bCs/>
          <w:color w:val="auto"/>
          <w:sz w:val="24"/>
          <w:highlight w:val="none"/>
        </w:rPr>
        <w:t>，由甲方办理政府采购资金结算手续支付给乙方。</w:t>
      </w:r>
    </w:p>
    <w:p w14:paraId="75FDCC06">
      <w:pPr>
        <w:spacing w:line="360" w:lineRule="auto"/>
        <w:ind w:firstLine="48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6.2 合同总价的百分之</w:t>
      </w:r>
      <w:r>
        <w:rPr>
          <w:rFonts w:hint="eastAsia" w:ascii="宋体" w:hAnsi="宋体" w:cs="宋体"/>
          <w:b w:val="0"/>
          <w:bCs/>
          <w:color w:val="auto"/>
          <w:sz w:val="24"/>
          <w:highlight w:val="none"/>
          <w:lang w:val="en-US" w:eastAsia="zh-CN"/>
        </w:rPr>
        <w:t>四十</w:t>
      </w:r>
      <w:r>
        <w:rPr>
          <w:rFonts w:hint="eastAsia" w:ascii="宋体" w:hAnsi="宋体" w:eastAsia="宋体" w:cs="宋体"/>
          <w:b w:val="0"/>
          <w:bCs/>
          <w:color w:val="auto"/>
          <w:sz w:val="24"/>
          <w:highlight w:val="none"/>
        </w:rPr>
        <w:t>(</w:t>
      </w:r>
      <w:r>
        <w:rPr>
          <w:rFonts w:hint="eastAsia" w:ascii="宋体" w:hAnsi="宋体" w:cs="宋体"/>
          <w:b w:val="0"/>
          <w:bCs/>
          <w:color w:val="auto"/>
          <w:sz w:val="24"/>
          <w:highlight w:val="none"/>
          <w:lang w:val="en-US" w:eastAsia="zh-CN"/>
        </w:rPr>
        <w:t>40</w:t>
      </w:r>
      <w:r>
        <w:rPr>
          <w:rFonts w:hint="eastAsia" w:ascii="宋体" w:hAnsi="宋体" w:eastAsia="宋体" w:cs="宋体"/>
          <w:b w:val="0"/>
          <w:bCs/>
          <w:color w:val="auto"/>
          <w:sz w:val="24"/>
          <w:highlight w:val="none"/>
        </w:rPr>
        <w:t>%)即¥（</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），大写：人民币（</w:t>
      </w:r>
      <w:r>
        <w:rPr>
          <w:rFonts w:hint="eastAsia" w:ascii="宋体" w:hAnsi="宋体" w:eastAsia="宋体" w:cs="宋体"/>
          <w:b w:val="0"/>
          <w:bCs/>
          <w:color w:val="auto"/>
          <w:sz w:val="24"/>
          <w:highlight w:val="none"/>
          <w:u w:val="single"/>
        </w:rPr>
        <w:t xml:space="preserve">   </w:t>
      </w:r>
      <w:r>
        <w:rPr>
          <w:rFonts w:hint="eastAsia" w:ascii="宋体" w:hAnsi="宋体" w:eastAsia="宋体" w:cs="宋体"/>
          <w:b w:val="0"/>
          <w:bCs/>
          <w:color w:val="auto"/>
          <w:sz w:val="24"/>
          <w:highlight w:val="none"/>
        </w:rPr>
        <w:t>）元整，合同标的全部交付并安装完毕验收合格后10个工作日内递交结算手续，由甲方办理政府采购资金结算手续，经审核通过后支付给乙方。</w:t>
      </w:r>
    </w:p>
    <w:p w14:paraId="153DDEF8">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（在签订合同时，如乙方明确表示无需预付款的，甲方可凭最终验收报告，按实际的采购数量进行结算，并一次性支付乙方服务费用。（注：此条符合苏财购〔2020〕52号文件要求））</w:t>
      </w:r>
    </w:p>
    <w:p w14:paraId="11FE06AF">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6.3 乙方需提交的申请支付文件包括：</w:t>
      </w:r>
    </w:p>
    <w:p w14:paraId="3EB7903B">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（1）乙方出具的全额正式发票；</w:t>
      </w:r>
    </w:p>
    <w:p w14:paraId="04FD62D9">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（2）甲方出具的验收合格证明</w:t>
      </w:r>
    </w:p>
    <w:p w14:paraId="2A9F39CB">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乙方未提交上述申请文件的，甲方有权拒绝付款且不承担违约责任，但乙方仍应按照约定履行合同义务。</w:t>
      </w:r>
    </w:p>
    <w:p w14:paraId="4448B40C">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6.4 合同约定的乙方收款账户：</w:t>
      </w:r>
    </w:p>
    <w:p w14:paraId="64D64BDA">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开户银行：</w:t>
      </w:r>
    </w:p>
    <w:p w14:paraId="5D26C3E0">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银行帐号：</w:t>
      </w:r>
    </w:p>
    <w:p w14:paraId="1FA294C7">
      <w:pPr>
        <w:spacing w:line="360" w:lineRule="auto"/>
        <w:ind w:firstLine="54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6.5 甲方逾期支付资金的，以当期应付资金为基数，按同期贷款市场报价利率（LPR）一年期贷款利率计算逾期付款违约金，但违约金的总数不超过合同总金额的（0.1）%。因政府资金结算手续的原因逾期的，甲方不承担逾期支付违约责任。</w:t>
      </w:r>
    </w:p>
    <w:p w14:paraId="19D0E8B3">
      <w:pPr>
        <w:spacing w:line="360" w:lineRule="auto"/>
        <w:ind w:firstLine="480"/>
        <w:rPr>
          <w:rFonts w:hint="default" w:ascii="宋体" w:hAnsi="宋体" w:eastAsia="宋体" w:cs="宋体"/>
          <w:b w:val="0"/>
          <w:bCs/>
          <w:color w:val="auto"/>
          <w:sz w:val="24"/>
          <w:highlight w:val="none"/>
          <w:lang w:val="en-US" w:eastAsia="zh-CN"/>
        </w:rPr>
      </w:pPr>
      <w:r>
        <w:rPr>
          <w:rFonts w:hint="eastAsia" w:ascii="宋体" w:hAnsi="宋体" w:cs="宋体"/>
          <w:b w:val="0"/>
          <w:bCs/>
          <w:color w:val="auto"/>
          <w:sz w:val="24"/>
          <w:highlight w:val="none"/>
          <w:lang w:val="en-US" w:eastAsia="zh-CN"/>
        </w:rPr>
        <w:t>6.6乙方出具的全额正式发票。乙方未出具发票的，甲方有权拒绝付款且不承担违约责任，但乙方仍应按照约定履行合同义务。</w:t>
      </w:r>
    </w:p>
    <w:p w14:paraId="2E2B9785">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7.质量保证期及售后服务</w:t>
      </w:r>
    </w:p>
    <w:p w14:paraId="5B8E494E">
      <w:pPr>
        <w:pStyle w:val="287"/>
        <w:shd w:val="clear" w:color="auto" w:fill="auto"/>
        <w:tabs>
          <w:tab w:val="left" w:pos="1009"/>
        </w:tabs>
        <w:spacing w:before="0" w:after="0" w:line="360" w:lineRule="auto"/>
        <w:ind w:firstLine="482"/>
        <w:jc w:val="both"/>
        <w:rPr>
          <w:rFonts w:hint="eastAsia" w:ascii="宋体" w:hAnsi="宋体" w:eastAsia="宋体" w:cs="宋体"/>
          <w:b w:val="0"/>
          <w:bCs/>
          <w:color w:val="auto"/>
          <w:spacing w:val="0"/>
          <w:sz w:val="24"/>
          <w:szCs w:val="24"/>
          <w:highlight w:val="none"/>
        </w:rPr>
      </w:pPr>
      <w:r>
        <w:rPr>
          <w:rFonts w:hint="eastAsia" w:ascii="宋体" w:hAnsi="宋体" w:eastAsia="宋体" w:cs="宋体"/>
          <w:b w:val="0"/>
          <w:bCs/>
          <w:color w:val="auto"/>
          <w:spacing w:val="0"/>
          <w:sz w:val="24"/>
          <w:szCs w:val="24"/>
          <w:highlight w:val="none"/>
        </w:rPr>
        <w:t>7.1质量保证期：质保</w:t>
      </w:r>
      <w:r>
        <w:rPr>
          <w:rFonts w:hint="eastAsia" w:ascii="宋体" w:hAnsi="宋体" w:eastAsia="宋体" w:cs="宋体"/>
          <w:b w:val="0"/>
          <w:bCs/>
          <w:color w:val="auto"/>
          <w:spacing w:val="0"/>
          <w:sz w:val="24"/>
          <w:szCs w:val="24"/>
          <w:highlight w:val="none"/>
          <w:u w:val="single"/>
        </w:rPr>
        <w:t xml:space="preserve">   </w:t>
      </w:r>
      <w:r>
        <w:rPr>
          <w:rFonts w:hint="eastAsia" w:ascii="宋体" w:hAnsi="宋体" w:eastAsia="宋体" w:cs="宋体"/>
          <w:b w:val="0"/>
          <w:bCs/>
          <w:color w:val="auto"/>
          <w:spacing w:val="0"/>
          <w:sz w:val="24"/>
          <w:szCs w:val="24"/>
          <w:highlight w:val="none"/>
        </w:rPr>
        <w:t>年，从验收合格之日起计算。任何时候，乙方均不能免除因货物本身的缺陷所应负的责任。在保修期内对设备进行定期维护和保养，年度定期预防性维护保养次数不少于4次，并免费提供维修所需的配件及服务。</w:t>
      </w:r>
    </w:p>
    <w:p w14:paraId="4FA4560C">
      <w:pPr>
        <w:pStyle w:val="287"/>
        <w:shd w:val="clear" w:color="auto" w:fill="auto"/>
        <w:tabs>
          <w:tab w:val="left" w:pos="1028"/>
        </w:tabs>
        <w:spacing w:before="0" w:after="0" w:line="360" w:lineRule="auto"/>
        <w:ind w:firstLine="520"/>
        <w:jc w:val="both"/>
        <w:rPr>
          <w:rFonts w:hint="default" w:ascii="宋体" w:hAnsi="宋体" w:eastAsia="宋体" w:cs="宋体"/>
          <w:b w:val="0"/>
          <w:bCs/>
          <w:color w:val="auto"/>
          <w:sz w:val="24"/>
          <w:szCs w:val="24"/>
          <w:highlight w:val="none"/>
          <w:lang w:val="en-US" w:bidi="zh-CN"/>
        </w:rPr>
      </w:pPr>
      <w:r>
        <w:rPr>
          <w:rFonts w:hint="eastAsia" w:ascii="宋体" w:hAnsi="宋体" w:eastAsia="宋体" w:cs="宋体"/>
          <w:b w:val="0"/>
          <w:bCs/>
          <w:color w:val="auto"/>
          <w:sz w:val="24"/>
          <w:szCs w:val="24"/>
          <w:highlight w:val="none"/>
          <w:lang w:val="en-US" w:bidi="zh-CN"/>
        </w:rPr>
        <w:t>7.2产品质量技术标准按国家法律法规规定的标准、行业标准、招标文件和乙方投标文件所提供的技术标准执行。乙方应提供相关的书面技术标准、资料文件及产品的主要技术指标和性能参数的详细说明、配置清单等，由甲方备查。</w:t>
      </w:r>
    </w:p>
    <w:p w14:paraId="2D60FC39">
      <w:pPr>
        <w:pStyle w:val="287"/>
        <w:shd w:val="clear" w:color="auto" w:fill="auto"/>
        <w:tabs>
          <w:tab w:val="left" w:pos="1028"/>
        </w:tabs>
        <w:spacing w:before="0" w:after="0" w:line="360" w:lineRule="auto"/>
        <w:ind w:firstLine="520"/>
        <w:jc w:val="both"/>
        <w:rPr>
          <w:rFonts w:hint="default" w:ascii="宋体" w:hAnsi="宋体" w:eastAsia="宋体" w:cs="宋体"/>
          <w:b w:val="0"/>
          <w:bCs/>
          <w:color w:val="auto"/>
          <w:sz w:val="24"/>
          <w:szCs w:val="24"/>
          <w:highlight w:val="none"/>
          <w:lang w:val="en-US" w:bidi="zh-CN"/>
        </w:rPr>
      </w:pPr>
      <w:r>
        <w:rPr>
          <w:rFonts w:hint="eastAsia" w:ascii="宋体" w:hAnsi="宋体" w:eastAsia="宋体" w:cs="宋体"/>
          <w:b w:val="0"/>
          <w:bCs/>
          <w:color w:val="auto"/>
          <w:sz w:val="24"/>
          <w:szCs w:val="24"/>
          <w:highlight w:val="none"/>
          <w:lang w:val="en-US" w:bidi="zh-CN"/>
        </w:rPr>
        <w:t>7.3质保期内产品出现超过三次影响设备正常使用的故障，甲方有权要求乙方免费更换全新的同品牌同型号设备。</w:t>
      </w:r>
    </w:p>
    <w:p w14:paraId="2D7EF528">
      <w:pPr>
        <w:pStyle w:val="287"/>
        <w:shd w:val="clear" w:color="auto" w:fill="auto"/>
        <w:tabs>
          <w:tab w:val="left" w:pos="1028"/>
        </w:tabs>
        <w:spacing w:before="0" w:after="0" w:line="360" w:lineRule="auto"/>
        <w:ind w:firstLine="520"/>
        <w:jc w:val="both"/>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lang w:bidi="zh-CN"/>
        </w:rPr>
        <w:t>7.</w:t>
      </w:r>
      <w:r>
        <w:rPr>
          <w:rFonts w:hint="eastAsia" w:ascii="宋体" w:hAnsi="宋体" w:eastAsia="宋体" w:cs="宋体"/>
          <w:b w:val="0"/>
          <w:bCs/>
          <w:color w:val="auto"/>
          <w:sz w:val="24"/>
          <w:szCs w:val="24"/>
          <w:highlight w:val="none"/>
          <w:lang w:val="en-US" w:bidi="zh-CN"/>
        </w:rPr>
        <w:t>4</w:t>
      </w:r>
      <w:r>
        <w:rPr>
          <w:rFonts w:hint="eastAsia" w:ascii="宋体" w:hAnsi="宋体" w:eastAsia="宋体" w:cs="宋体"/>
          <w:b w:val="0"/>
          <w:bCs/>
          <w:color w:val="auto"/>
          <w:sz w:val="24"/>
          <w:szCs w:val="24"/>
          <w:highlight w:val="none"/>
          <w:lang w:val="zh-CN" w:bidi="zh-CN"/>
        </w:rPr>
        <w:t>乙方应按照国家有关法律法规规章和“三包”规定以及合同约定提供售后服务。质保期间如属产品质量引起的配件损坏，一切维修换件保养费用和备品备件，均由乙方免费提供和更换。质保期间如属甲方操作不当引起的配件或耗材的损坏，乙方将提供免费维修，但更换配件的费用则由甲方负责。</w:t>
      </w:r>
    </w:p>
    <w:p w14:paraId="1DA03A5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5</w:t>
      </w:r>
      <w:r>
        <w:rPr>
          <w:rFonts w:hint="eastAsia" w:ascii="宋体" w:hAnsi="宋体" w:eastAsia="宋体" w:cs="宋体"/>
          <w:b w:val="0"/>
          <w:bCs/>
          <w:color w:val="auto"/>
          <w:sz w:val="24"/>
          <w:highlight w:val="none"/>
        </w:rPr>
        <w:t>如设备发生故障，乙方在接到甲方报修电话后</w:t>
      </w:r>
      <w:r>
        <w:rPr>
          <w:rFonts w:hint="eastAsia" w:ascii="宋体" w:hAnsi="宋体" w:cs="宋体"/>
          <w:b w:val="0"/>
          <w:bCs/>
          <w:color w:val="auto"/>
          <w:sz w:val="24"/>
          <w:highlight w:val="none"/>
          <w:u w:val="single"/>
          <w:lang w:val="en-US" w:eastAsia="zh-CN"/>
        </w:rPr>
        <w:t xml:space="preserve"> 1 </w:t>
      </w:r>
      <w:r>
        <w:rPr>
          <w:rFonts w:hint="eastAsia" w:ascii="宋体" w:hAnsi="宋体" w:eastAsia="宋体" w:cs="宋体"/>
          <w:b w:val="0"/>
          <w:bCs/>
          <w:color w:val="auto"/>
          <w:sz w:val="24"/>
          <w:highlight w:val="none"/>
        </w:rPr>
        <w:t>小时内予以响应，</w:t>
      </w:r>
      <w:r>
        <w:rPr>
          <w:rFonts w:hint="eastAsia" w:ascii="宋体" w:hAnsi="宋体" w:cs="宋体"/>
          <w:b w:val="0"/>
          <w:bCs/>
          <w:color w:val="auto"/>
          <w:sz w:val="24"/>
          <w:highlight w:val="none"/>
          <w:u w:val="single"/>
          <w:lang w:val="en-US" w:eastAsia="zh-CN"/>
        </w:rPr>
        <w:t xml:space="preserve"> 24</w:t>
      </w:r>
      <w:r>
        <w:rPr>
          <w:rFonts w:hint="eastAsia" w:ascii="宋体" w:hAnsi="宋体" w:eastAsia="宋体" w:cs="宋体"/>
          <w:b w:val="0"/>
          <w:bCs/>
          <w:color w:val="auto"/>
          <w:sz w:val="24"/>
          <w:highlight w:val="none"/>
        </w:rPr>
        <w:t>小时内到达现场解决问题。故障不能现场排除的，3日内提供备用机（提供备用机一台，设备故障无法及时处理时备用，备用机所有权归厂家所有），否则甲方可自行采取必要的措施，由此产生的风险和费用由乙方承担。如有特殊情况，乙方应立即电话通知甲方不能响应的原因，在获得甲方同意后，才可推迟响应时间。</w:t>
      </w:r>
    </w:p>
    <w:p w14:paraId="7271676F">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6</w:t>
      </w:r>
      <w:r>
        <w:rPr>
          <w:rFonts w:hint="eastAsia" w:ascii="宋体" w:hAnsi="宋体" w:eastAsia="宋体" w:cs="宋体"/>
          <w:b w:val="0"/>
          <w:bCs/>
          <w:color w:val="auto"/>
          <w:sz w:val="24"/>
          <w:highlight w:val="none"/>
        </w:rPr>
        <w:t>质保期内，设备如因故障维修超过2天，按1:2延长质保期（具体时间，按天数算）。</w:t>
      </w:r>
    </w:p>
    <w:p w14:paraId="002C0CF9">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rPr>
        <w:t>无论在质保期内还是质保期外，乙方必须上门维修，乙方工程师来甲方维修本设备，必须事先与甲方设备</w:t>
      </w:r>
      <w:r>
        <w:rPr>
          <w:rFonts w:hint="eastAsia" w:ascii="宋体" w:hAnsi="宋体" w:cs="宋体"/>
          <w:b w:val="0"/>
          <w:bCs/>
          <w:color w:val="auto"/>
          <w:sz w:val="24"/>
          <w:highlight w:val="none"/>
          <w:lang w:val="en-US" w:eastAsia="zh-CN"/>
        </w:rPr>
        <w:t>处</w:t>
      </w:r>
      <w:r>
        <w:rPr>
          <w:rFonts w:hint="eastAsia" w:ascii="宋体" w:hAnsi="宋体" w:eastAsia="宋体" w:cs="宋体"/>
          <w:b w:val="0"/>
          <w:bCs/>
          <w:color w:val="auto"/>
          <w:sz w:val="24"/>
          <w:highlight w:val="none"/>
        </w:rPr>
        <w:t>取得联系，并与甲方工程师共同完成维修工作。乙方未尽到维修质保义务的</w:t>
      </w:r>
      <w:r>
        <w:rPr>
          <w:rFonts w:hint="eastAsia" w:ascii="宋体" w:hAnsi="宋体" w:cs="宋体"/>
          <w:b w:val="0"/>
          <w:bCs/>
          <w:color w:val="auto"/>
          <w:sz w:val="24"/>
          <w:highlight w:val="none"/>
          <w:lang w:eastAsia="zh-CN"/>
        </w:rPr>
        <w:t>，</w:t>
      </w:r>
      <w:r>
        <w:rPr>
          <w:rFonts w:hint="eastAsia" w:ascii="宋体" w:hAnsi="宋体" w:cs="宋体"/>
          <w:b w:val="0"/>
          <w:bCs/>
          <w:color w:val="auto"/>
          <w:sz w:val="24"/>
          <w:highlight w:val="none"/>
          <w:lang w:val="en-US" w:eastAsia="zh-CN"/>
        </w:rPr>
        <w:t>或超过两次联系不到乙方，或约定时间内未到场维修，或维修工作无法完成的</w:t>
      </w:r>
      <w:r>
        <w:rPr>
          <w:rFonts w:hint="eastAsia" w:ascii="宋体" w:hAnsi="宋体" w:eastAsia="宋体" w:cs="宋体"/>
          <w:b w:val="0"/>
          <w:bCs/>
          <w:color w:val="auto"/>
          <w:sz w:val="24"/>
          <w:highlight w:val="none"/>
        </w:rPr>
        <w:t>，甲方可以委托第三方维修，由此产生的费用由乙方支付，并甲方有权追偿合同总金额的百分之</w:t>
      </w:r>
      <w:r>
        <w:rPr>
          <w:rFonts w:hint="eastAsia" w:ascii="宋体" w:hAnsi="宋体" w:cs="宋体"/>
          <w:b w:val="0"/>
          <w:bCs/>
          <w:color w:val="auto"/>
          <w:sz w:val="24"/>
          <w:highlight w:val="none"/>
          <w:lang w:val="en-US" w:eastAsia="zh-CN"/>
        </w:rPr>
        <w:t>15%</w:t>
      </w:r>
      <w:r>
        <w:rPr>
          <w:rFonts w:hint="eastAsia" w:ascii="宋体" w:hAnsi="宋体" w:eastAsia="宋体" w:cs="宋体"/>
          <w:b w:val="0"/>
          <w:bCs/>
          <w:color w:val="auto"/>
          <w:sz w:val="24"/>
          <w:highlight w:val="none"/>
        </w:rPr>
        <w:t>的违约金。</w:t>
      </w:r>
    </w:p>
    <w:p w14:paraId="240DB428">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8</w:t>
      </w:r>
      <w:r>
        <w:rPr>
          <w:rFonts w:hint="eastAsia" w:ascii="宋体" w:hAnsi="宋体" w:eastAsia="宋体" w:cs="宋体"/>
          <w:b w:val="0"/>
          <w:bCs/>
          <w:color w:val="auto"/>
          <w:sz w:val="24"/>
          <w:highlight w:val="none"/>
        </w:rPr>
        <w:t>质保期内设备的开机率≥95％（按全年365天计算）。如因设备故障导致开机率达不到95%即347天以上质保期按1: 4（按天算）顺延。（如果因维修导致停机时间过长</w:t>
      </w:r>
      <w:bookmarkStart w:id="4" w:name="_GoBack"/>
      <w:bookmarkEnd w:id="4"/>
      <w:r>
        <w:rPr>
          <w:rFonts w:hint="eastAsia" w:ascii="宋体" w:hAnsi="宋体" w:eastAsia="宋体" w:cs="宋体"/>
          <w:b w:val="0"/>
          <w:bCs/>
          <w:color w:val="auto"/>
          <w:sz w:val="24"/>
          <w:highlight w:val="none"/>
        </w:rPr>
        <w:t>，其他补偿条款，双方友好协商）。</w:t>
      </w:r>
    </w:p>
    <w:p w14:paraId="0271695C">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9</w:t>
      </w:r>
      <w:r>
        <w:rPr>
          <w:rFonts w:hint="eastAsia" w:ascii="宋体" w:hAnsi="宋体" w:eastAsia="宋体" w:cs="宋体"/>
          <w:b w:val="0"/>
          <w:bCs/>
          <w:color w:val="auto"/>
          <w:sz w:val="24"/>
          <w:highlight w:val="none"/>
        </w:rPr>
        <w:t>软件终身免费升级，并及时提供设备新功能和临床应用资料。</w:t>
      </w:r>
    </w:p>
    <w:p w14:paraId="55DE862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w:t>
      </w:r>
      <w:r>
        <w:rPr>
          <w:rFonts w:hint="eastAsia" w:ascii="宋体" w:hAnsi="宋体" w:cs="宋体"/>
          <w:b w:val="0"/>
          <w:bCs/>
          <w:color w:val="auto"/>
          <w:sz w:val="24"/>
          <w:highlight w:val="none"/>
          <w:lang w:val="en-US" w:eastAsia="zh-CN"/>
        </w:rPr>
        <w:t>10</w:t>
      </w:r>
      <w:r>
        <w:rPr>
          <w:rFonts w:hint="eastAsia" w:ascii="宋体" w:hAnsi="宋体" w:eastAsia="宋体" w:cs="宋体"/>
          <w:b w:val="0"/>
          <w:bCs/>
          <w:color w:val="auto"/>
          <w:sz w:val="24"/>
          <w:highlight w:val="none"/>
        </w:rPr>
        <w:t>质保期后维修时，如更换配件，只收取配件费，且配件费提供优惠价格（不高于</w:t>
      </w:r>
      <w:r>
        <w:rPr>
          <w:rFonts w:hint="eastAsia" w:ascii="宋体" w:hAnsi="宋体" w:cs="宋体"/>
          <w:b w:val="0"/>
          <w:bCs/>
          <w:color w:val="auto"/>
          <w:sz w:val="24"/>
          <w:highlight w:val="none"/>
          <w:lang w:val="en-US" w:eastAsia="zh-CN"/>
        </w:rPr>
        <w:t>七</w:t>
      </w:r>
      <w:r>
        <w:rPr>
          <w:rFonts w:hint="eastAsia" w:ascii="宋体" w:hAnsi="宋体" w:eastAsia="宋体" w:cs="宋体"/>
          <w:b w:val="0"/>
          <w:bCs/>
          <w:color w:val="auto"/>
          <w:sz w:val="24"/>
          <w:highlight w:val="none"/>
        </w:rPr>
        <w:t>折），不得收取上门服务费及差旅费（需附配件价格清单）。维修好后6个月内，对仪器设备再次发生同样的故障并且需要更换同样零配件时，乙方承诺免费维修及更换零配件。</w:t>
      </w:r>
    </w:p>
    <w:p w14:paraId="4E2A0872">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7.1</w:t>
      </w:r>
      <w:r>
        <w:rPr>
          <w:rFonts w:hint="eastAsia" w:ascii="宋体" w:hAnsi="宋体" w:cs="宋体"/>
          <w:b w:val="0"/>
          <w:bCs/>
          <w:color w:val="auto"/>
          <w:sz w:val="24"/>
          <w:highlight w:val="none"/>
          <w:lang w:val="en-US" w:eastAsia="zh-CN"/>
        </w:rPr>
        <w:t>1</w:t>
      </w:r>
      <w:r>
        <w:rPr>
          <w:rFonts w:hint="eastAsia" w:ascii="宋体" w:hAnsi="宋体" w:eastAsia="宋体" w:cs="宋体"/>
          <w:b w:val="0"/>
          <w:bCs/>
          <w:color w:val="auto"/>
          <w:sz w:val="24"/>
          <w:highlight w:val="none"/>
        </w:rPr>
        <w:t>质保期后，如甲方需延长保修时间，乙方质保费不得高于</w:t>
      </w:r>
      <w:r>
        <w:rPr>
          <w:rFonts w:hint="eastAsia" w:ascii="宋体" w:hAnsi="宋体" w:cs="宋体"/>
          <w:b w:val="0"/>
          <w:bCs/>
          <w:color w:val="auto"/>
          <w:sz w:val="24"/>
          <w:highlight w:val="none"/>
          <w:lang w:val="en-US" w:eastAsia="zh-CN"/>
        </w:rPr>
        <w:t>4万元/年</w:t>
      </w:r>
      <w:r>
        <w:rPr>
          <w:rFonts w:hint="eastAsia" w:ascii="宋体" w:hAnsi="宋体" w:eastAsia="宋体" w:cs="宋体"/>
          <w:b w:val="0"/>
          <w:bCs/>
          <w:color w:val="auto"/>
          <w:sz w:val="24"/>
          <w:highlight w:val="none"/>
        </w:rPr>
        <w:t>，年度定期预防性维护保养次数不少于4次。</w:t>
      </w:r>
    </w:p>
    <w:p w14:paraId="5A7C520B">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8. 技术培训</w:t>
      </w:r>
    </w:p>
    <w:p w14:paraId="6917F82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8.1工程师培训：在安装过程中或安装结束后，乙方工程师或有关人员有义务对甲方工程师人员进行设备的结构和工作原理、日常使用、操作、维护、故障诊断维修基础知识理论培训，解答甲方人员提出的问题，并提供该设备的操作手册（一套）、维修手册（一套）交设备管理处，确保甲方能够对设备、系统有足够的了解，能够独立进行日常操作、管理和维护。所有的培训费用包括差旅、食宿、教材、资料等由乙方负责，均计入合同价中。</w:t>
      </w:r>
    </w:p>
    <w:p w14:paraId="2B588157">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8.2临床培训： 免费提供现场临床培训。</w:t>
      </w:r>
    </w:p>
    <w:p w14:paraId="35F62AA4">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9．知识产权 </w:t>
      </w:r>
    </w:p>
    <w:p w14:paraId="63E82F8A">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9.1乙方必须保证，甲方在中华人民共和国境内使用投报货物、资料、技术、服务或其任何一部分时，享有不受限制的无偿使用权，如有第三方向甲方提出侵犯其专利权、商标权或其它知识产权的主张，该责任由乙方承担。 </w:t>
      </w:r>
    </w:p>
    <w:p w14:paraId="32D611D3">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9.2本合同价包含所有应向所有权人支付的专利权、商标权或其它知识产权的一切相关费用。</w:t>
      </w:r>
    </w:p>
    <w:p w14:paraId="16BAE029">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9.3系统软件、通用软件必须是具有在中国境内的合法使用权或版权的正版软件，涉及到第三方提出侵权或知识产权的起诉及支付版税等费用由乙方承担所有责任及费用。</w:t>
      </w:r>
    </w:p>
    <w:p w14:paraId="7366CFF3">
      <w:pPr>
        <w:pStyle w:val="282"/>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9.4乙方需对所有成果、产品的知识产权负有瑕疵担保责任，因使用未被授权使用的技术、组件、系统软件、通用软件等知识产权问题引起的纠纷所产生的所有责任及费用由乙方自行承担。</w:t>
      </w:r>
    </w:p>
    <w:p w14:paraId="164A17F2">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10.违约责任</w:t>
      </w:r>
    </w:p>
    <w:p w14:paraId="019B2D50">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10.1乙方的违约责任：</w:t>
      </w:r>
    </w:p>
    <w:p w14:paraId="3B0E7B07">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10.1.1乙方所交货物品种、型号、规格、质量不符合合同规定的，如果甲方同意使用，应当按质论价；如果甲方不同意使用，应根据货物的具体情况，由乙方在15个工作日内负责更换为符合合同要求的货物，并承担因调换、运输而产生的全部费用。乙方不能在前述时间内完成调换，或者调换后的货物仍不符合合同规定的，甲方有权退货，并要求乙方按合同总货款的20%承担违约金。</w:t>
      </w:r>
    </w:p>
    <w:p w14:paraId="2F85AD4D">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10.1.2乙方逾期交货的，每逾期7天（不足7天的，按7天计算），按总货款的0.5%支付违约金；逾期交货超过1个月的，甲方有权立即解除本合同，由此给甲方造成的一切损失由乙方承担。乙方提前交货的，甲方接货后，仍可按合同规定的交货时间付款。乙方逾期交货的，应在发货前书面通知甲方，与甲方协商，甲方仍需要的，乙方应继续交货，并按每逾期一日支付合同价款的0.1% 承担逾期交货违约责任；甲方不再需要的，乙方应当在接到通知后合同即解除，并按合同总金额的</w:t>
      </w:r>
      <w:r>
        <w:rPr>
          <w:rFonts w:hint="eastAsia" w:ascii="宋体" w:hAnsi="宋体" w:eastAsia="宋体" w:cs="宋体"/>
          <w:b w:val="0"/>
          <w:bCs/>
          <w:color w:val="auto"/>
          <w:sz w:val="24"/>
          <w:highlight w:val="none"/>
          <w:u w:val="single"/>
        </w:rPr>
        <w:t>百分之十</w:t>
      </w:r>
      <w:r>
        <w:rPr>
          <w:rFonts w:hint="eastAsia" w:ascii="宋体" w:hAnsi="宋体" w:eastAsia="宋体" w:cs="宋体"/>
          <w:b w:val="0"/>
          <w:bCs/>
          <w:color w:val="auto"/>
          <w:sz w:val="24"/>
          <w:highlight w:val="none"/>
        </w:rPr>
        <w:t>向甲方支付违约金，并赔偿因此造成的损失。</w:t>
      </w:r>
    </w:p>
    <w:p w14:paraId="0FA64F59">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10.1.3乙方不能按本合同要求提供货物的保修服务的，应向甲方偿付合同总价款的5%的违约金并赔偿甲方的损失。如果此等违约造成本合同项下货物的使用目的无法实现的，甲方有权解除合同并主张除违约金以外的损害赔偿。</w:t>
      </w:r>
    </w:p>
    <w:p w14:paraId="46F1F4F0">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10.1.4乙方不能按本合同要求提供培训服务的，应向甲方偿付合同总价款的5%的违约金。如果此等违约造成本合同项下货物的使用目的无法实现的，甲方有权解除合同并主张除违约金以外的损害赔偿。</w:t>
      </w:r>
    </w:p>
    <w:p w14:paraId="538DC070">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10.1.5乙方不能按本合同要求提供所承诺的服务人员的，应向甲方偿付合同总价款的5%的违约金。如果此等违约造成本合同项下货物的使用目的无法实现的，甲方有权解除合同并主张除违约金以外的损害赔偿。</w:t>
      </w:r>
    </w:p>
    <w:p w14:paraId="19232052">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10.1.6如果发生声称本合同项下货物侵犯他人专利、版权、商标权或商业秘密等权利而针对甲方提起索赔或诉讼仲裁的情况，乙方应支付由此而产生的全部费用及赔偿金、律师费用。</w:t>
      </w:r>
    </w:p>
    <w:p w14:paraId="619402D8">
      <w:pPr>
        <w:spacing w:line="360" w:lineRule="auto"/>
        <w:ind w:firstLine="4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10.1.7合同规定应该偿付的违约金、赔偿金和各种经济损失，应当在明确责任后30日内付清，逾期按应支付金额的日万分之五计收利息。依据本合同乙方应向甲方支付前述款项的，甲方有权自行从应付合同总价款中扣除充抵。</w:t>
      </w:r>
    </w:p>
    <w:p w14:paraId="2CDA16EE">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10.2甲方违约责任：</w:t>
      </w:r>
    </w:p>
    <w:p w14:paraId="2956D859">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10.2.1非乙方供货质量问题，甲方中途不得退货，否则甲方应按合同总额的</w:t>
      </w:r>
      <w:r>
        <w:rPr>
          <w:rFonts w:hint="eastAsia" w:ascii="宋体" w:hAnsi="宋体" w:eastAsia="宋体" w:cs="宋体"/>
          <w:b w:val="0"/>
          <w:bCs/>
          <w:color w:val="auto"/>
          <w:sz w:val="24"/>
          <w:highlight w:val="none"/>
          <w:u w:val="single"/>
        </w:rPr>
        <w:t>百分之十</w:t>
      </w:r>
      <w:r>
        <w:rPr>
          <w:rFonts w:hint="eastAsia" w:ascii="宋体" w:hAnsi="宋体" w:eastAsia="宋体" w:cs="宋体"/>
          <w:b w:val="0"/>
          <w:bCs/>
          <w:color w:val="auto"/>
          <w:sz w:val="24"/>
          <w:highlight w:val="none"/>
        </w:rPr>
        <w:t>向乙方支付违约金。</w:t>
      </w:r>
    </w:p>
    <w:p w14:paraId="19D6A8FF">
      <w:pPr>
        <w:spacing w:line="360" w:lineRule="auto"/>
        <w:ind w:firstLine="482"/>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11.不可抗力</w:t>
      </w:r>
    </w:p>
    <w:p w14:paraId="2961159C">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甲乙任何一方由于不可抗力原因不能履行合同时，应及时向对方通报不能履行或不能完全履行的理由，并在合理期限内提供有关机构出具的证明，以减轻可能给对方造成的损失，并根据情况可部分或全部免予承担违约责任。</w:t>
      </w:r>
    </w:p>
    <w:p w14:paraId="08EAE9CA">
      <w:pPr>
        <w:pStyle w:val="284"/>
        <w:spacing w:before="0" w:beforeAutospacing="0" w:after="0" w:afterAutospacing="0" w:line="360" w:lineRule="auto"/>
        <w:ind w:firstLine="472"/>
        <w:rPr>
          <w:rFonts w:hint="eastAsia" w:ascii="宋体" w:hAnsi="宋体" w:eastAsia="宋体" w:cs="宋体"/>
          <w:b w:val="0"/>
          <w:bCs/>
          <w:color w:val="auto"/>
          <w:highlight w:val="none"/>
        </w:rPr>
      </w:pPr>
      <w:r>
        <w:rPr>
          <w:rFonts w:hint="eastAsia" w:ascii="宋体" w:hAnsi="宋体" w:eastAsia="宋体" w:cs="宋体"/>
          <w:b w:val="0"/>
          <w:bCs/>
          <w:color w:val="auto"/>
          <w:highlight w:val="none"/>
        </w:rPr>
        <w:t>12.争议解决方法</w:t>
      </w:r>
    </w:p>
    <w:p w14:paraId="3B9E7EE9">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甲、乙双方因履行本合同发生争议时，应友好协商；协商不成时，向甲方所在地人民法院提出诉讼。</w:t>
      </w:r>
    </w:p>
    <w:p w14:paraId="56D3E762">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13.其它</w:t>
      </w:r>
    </w:p>
    <w:p w14:paraId="7D162B76">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13.1本合同自双方法定代表人或者授权签字人签字并加盖公章之日起生效。本合同未尽事宜，由甲乙双方另行签订补充协议，补充协议是本合同的组成部分，与本合同具有同等法律效力。</w:t>
      </w:r>
    </w:p>
    <w:p w14:paraId="19807EFB">
      <w:pPr>
        <w:spacing w:line="360" w:lineRule="auto"/>
        <w:ind w:firstLine="48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13.2本合同壹式</w:t>
      </w:r>
      <w:r>
        <w:rPr>
          <w:rFonts w:hint="eastAsia" w:ascii="宋体" w:hAnsi="宋体" w:cs="宋体"/>
          <w:b w:val="0"/>
          <w:bCs/>
          <w:color w:val="auto"/>
          <w:sz w:val="24"/>
          <w:highlight w:val="none"/>
          <w:u w:val="single"/>
          <w:lang w:eastAsia="zh-CN"/>
        </w:rPr>
        <w:t>肆</w:t>
      </w:r>
      <w:r>
        <w:rPr>
          <w:rFonts w:hint="eastAsia" w:ascii="宋体" w:hAnsi="宋体" w:eastAsia="宋体" w:cs="宋体"/>
          <w:b w:val="0"/>
          <w:bCs/>
          <w:color w:val="auto"/>
          <w:sz w:val="24"/>
          <w:highlight w:val="none"/>
        </w:rPr>
        <w:t>份，甲方执</w:t>
      </w:r>
      <w:r>
        <w:rPr>
          <w:rFonts w:hint="eastAsia" w:ascii="宋体" w:hAnsi="宋体" w:cs="宋体"/>
          <w:b w:val="0"/>
          <w:bCs/>
          <w:color w:val="auto"/>
          <w:sz w:val="24"/>
          <w:highlight w:val="none"/>
          <w:u w:val="single"/>
          <w:lang w:eastAsia="zh-CN"/>
        </w:rPr>
        <w:t>贰</w:t>
      </w:r>
      <w:r>
        <w:rPr>
          <w:rFonts w:hint="eastAsia" w:ascii="宋体" w:hAnsi="宋体" w:eastAsia="宋体" w:cs="宋体"/>
          <w:b w:val="0"/>
          <w:bCs/>
          <w:color w:val="auto"/>
          <w:sz w:val="24"/>
          <w:highlight w:val="none"/>
        </w:rPr>
        <w:t>份，乙方执</w:t>
      </w:r>
      <w:r>
        <w:rPr>
          <w:rFonts w:hint="eastAsia" w:ascii="宋体" w:hAnsi="宋体" w:cs="宋体"/>
          <w:b w:val="0"/>
          <w:bCs/>
          <w:color w:val="auto"/>
          <w:sz w:val="24"/>
          <w:highlight w:val="none"/>
          <w:u w:val="single"/>
          <w:lang w:eastAsia="zh-CN"/>
        </w:rPr>
        <w:t>壹</w:t>
      </w:r>
      <w:r>
        <w:rPr>
          <w:rFonts w:hint="eastAsia" w:ascii="宋体" w:hAnsi="宋体" w:eastAsia="宋体" w:cs="宋体"/>
          <w:b w:val="0"/>
          <w:bCs/>
          <w:color w:val="auto"/>
          <w:sz w:val="24"/>
          <w:highlight w:val="none"/>
        </w:rPr>
        <w:t>份，备案</w:t>
      </w:r>
      <w:r>
        <w:rPr>
          <w:rFonts w:hint="eastAsia" w:ascii="宋体" w:hAnsi="宋体" w:cs="宋体"/>
          <w:b w:val="0"/>
          <w:bCs/>
          <w:color w:val="auto"/>
          <w:sz w:val="24"/>
          <w:highlight w:val="none"/>
          <w:u w:val="single"/>
          <w:lang w:eastAsia="zh-CN"/>
        </w:rPr>
        <w:t>壹</w:t>
      </w:r>
      <w:r>
        <w:rPr>
          <w:rFonts w:hint="eastAsia" w:ascii="宋体" w:hAnsi="宋体" w:eastAsia="宋体" w:cs="宋体"/>
          <w:b w:val="0"/>
          <w:bCs/>
          <w:color w:val="auto"/>
          <w:sz w:val="24"/>
          <w:highlight w:val="none"/>
        </w:rPr>
        <w:t>份。</w:t>
      </w:r>
    </w:p>
    <w:p w14:paraId="20BFFAE1">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14.合同附件</w:t>
      </w:r>
    </w:p>
    <w:p w14:paraId="4A59BE0B">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w:t>
      </w:r>
    </w:p>
    <w:p w14:paraId="058C6CB7">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（下页为合同签署页）</w:t>
      </w:r>
    </w:p>
    <w:p w14:paraId="3DC973D1">
      <w:pPr>
        <w:spacing w:line="360" w:lineRule="auto"/>
        <w:rPr>
          <w:rFonts w:hint="eastAsia" w:ascii="宋体" w:hAnsi="宋体" w:eastAsia="宋体" w:cs="宋体"/>
          <w:b w:val="0"/>
          <w:bCs/>
          <w:color w:val="auto"/>
          <w:sz w:val="24"/>
          <w:highlight w:val="none"/>
        </w:rPr>
      </w:pPr>
    </w:p>
    <w:p w14:paraId="558ACF44">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甲  方：</w:t>
      </w:r>
      <w:r>
        <w:rPr>
          <w:rFonts w:hint="eastAsia" w:ascii="宋体" w:hAnsi="宋体" w:cs="宋体"/>
          <w:b w:val="0"/>
          <w:bCs/>
          <w:color w:val="auto"/>
          <w:sz w:val="24"/>
          <w:highlight w:val="none"/>
          <w:lang w:eastAsia="zh-CN"/>
        </w:rPr>
        <w:t>徐州市第一人民医院</w:t>
      </w:r>
      <w:r>
        <w:rPr>
          <w:rFonts w:hint="eastAsia" w:ascii="宋体" w:hAnsi="宋体" w:eastAsia="宋体" w:cs="宋体"/>
          <w:b w:val="0"/>
          <w:bCs/>
          <w:color w:val="auto"/>
          <w:sz w:val="24"/>
          <w:highlight w:val="none"/>
        </w:rPr>
        <w:t xml:space="preserve">           乙 方：</w:t>
      </w:r>
    </w:p>
    <w:p w14:paraId="32F6D48D">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法定代表人：                         法定代表人：                         </w:t>
      </w:r>
    </w:p>
    <w:p w14:paraId="52B6C7D1">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委托代理人：                         委托代理人: </w:t>
      </w:r>
    </w:p>
    <w:p w14:paraId="36C57BAA">
      <w:pPr>
        <w:tabs>
          <w:tab w:val="left" w:pos="4671"/>
        </w:tabs>
        <w:spacing w:line="360" w:lineRule="auto"/>
        <w:ind w:left="6000" w:hanging="6000"/>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地址：                               地址： </w:t>
      </w:r>
    </w:p>
    <w:p w14:paraId="1FEE5E56">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电  话：                             电 话：</w:t>
      </w:r>
    </w:p>
    <w:p w14:paraId="396F4EBD">
      <w:pPr>
        <w:spacing w:line="360" w:lineRule="auto"/>
        <w:ind w:left="4556" w:hanging="3120"/>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开 户 行：</w:t>
      </w:r>
    </w:p>
    <w:p w14:paraId="7D19FEE2">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                                     账 号：  </w:t>
      </w:r>
    </w:p>
    <w:p w14:paraId="09CCAC16">
      <w:pPr>
        <w:spacing w:line="360" w:lineRule="auto"/>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 xml:space="preserve">签订日期：                           签订日期： </w:t>
      </w:r>
    </w:p>
    <w:p w14:paraId="36B469C6">
      <w:pPr>
        <w:jc w:val="center"/>
        <w:rPr>
          <w:rFonts w:hint="eastAsia" w:ascii="仿宋" w:hAnsi="仿宋" w:eastAsia="仿宋" w:cs="仿宋"/>
          <w:b w:val="0"/>
          <w:bCs/>
          <w:color w:val="auto"/>
          <w:sz w:val="24"/>
          <w:highlight w:val="none"/>
        </w:rPr>
      </w:pPr>
    </w:p>
    <w:p w14:paraId="732C887D">
      <w:pPr>
        <w:jc w:val="center"/>
        <w:rPr>
          <w:rFonts w:hint="eastAsia" w:ascii="宋体" w:hAnsi="宋体" w:eastAsia="宋体" w:cs="宋体"/>
          <w:b w:val="0"/>
          <w:bCs/>
          <w:color w:val="auto"/>
          <w:sz w:val="30"/>
          <w:szCs w:val="30"/>
          <w:highlight w:val="none"/>
        </w:rPr>
      </w:pPr>
      <w:r>
        <w:rPr>
          <w:rFonts w:hint="eastAsia" w:ascii="仿宋" w:hAnsi="仿宋" w:eastAsia="仿宋" w:cs="仿宋"/>
          <w:b w:val="0"/>
          <w:bCs/>
          <w:color w:val="auto"/>
          <w:sz w:val="24"/>
          <w:highlight w:val="none"/>
        </w:rPr>
        <w:br w:type="page" w:clear="all"/>
      </w:r>
      <w:r>
        <w:rPr>
          <w:rFonts w:hint="eastAsia" w:ascii="宋体" w:hAnsi="宋体" w:eastAsia="宋体" w:cs="宋体"/>
          <w:b w:val="0"/>
          <w:bCs/>
          <w:color w:val="auto"/>
          <w:sz w:val="30"/>
          <w:szCs w:val="30"/>
          <w:highlight w:val="none"/>
        </w:rPr>
        <w:t>合同附件</w:t>
      </w:r>
    </w:p>
    <w:p w14:paraId="25DE76C3">
      <w:pPr>
        <w:tabs>
          <w:tab w:val="left" w:pos="7506"/>
        </w:tabs>
        <w:jc w:val="left"/>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ab/>
      </w:r>
    </w:p>
    <w:p w14:paraId="7B918559">
      <w:pPr>
        <w:jc w:val="cente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目录</w:t>
      </w:r>
    </w:p>
    <w:p w14:paraId="796901C5">
      <w:pPr>
        <w:jc w:val="center"/>
        <w:rPr>
          <w:rFonts w:hint="eastAsia" w:ascii="宋体" w:hAnsi="宋体" w:eastAsia="宋体" w:cs="宋体"/>
          <w:b w:val="0"/>
          <w:bCs/>
          <w:color w:val="auto"/>
          <w:sz w:val="24"/>
          <w:highlight w:val="none"/>
        </w:rPr>
      </w:pPr>
    </w:p>
    <w:p w14:paraId="0437A223">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合同附件1：合同协议书</w:t>
      </w:r>
    </w:p>
    <w:p w14:paraId="7BD5947C">
      <w:pPr>
        <w:rPr>
          <w:rFonts w:hint="eastAsia" w:ascii="宋体" w:hAnsi="宋体" w:eastAsia="宋体" w:cs="宋体"/>
          <w:b w:val="0"/>
          <w:bCs/>
          <w:color w:val="auto"/>
          <w:sz w:val="24"/>
          <w:highlight w:val="none"/>
        </w:rPr>
      </w:pPr>
    </w:p>
    <w:p w14:paraId="7FC0D141">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合同附件2：技术规格和技术性能</w:t>
      </w:r>
    </w:p>
    <w:p w14:paraId="69F5C023">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(要求见招标文件第六章《采购需求》；合同见卖方投标文件中《技术规格说明》。)</w:t>
      </w:r>
    </w:p>
    <w:p w14:paraId="2B0A3CAA">
      <w:pPr>
        <w:rPr>
          <w:rFonts w:hint="eastAsia" w:ascii="宋体" w:hAnsi="宋体" w:eastAsia="宋体" w:cs="宋体"/>
          <w:b w:val="0"/>
          <w:bCs/>
          <w:color w:val="auto"/>
          <w:sz w:val="24"/>
          <w:highlight w:val="none"/>
        </w:rPr>
      </w:pPr>
    </w:p>
    <w:p w14:paraId="30D16500">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合同附件3：售后服务</w:t>
      </w:r>
    </w:p>
    <w:p w14:paraId="27D3A86C">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(要求见招标文件第六章《采购需求》；合同见卖方投标文件中《售后服务方案》。)</w:t>
      </w:r>
    </w:p>
    <w:p w14:paraId="3C931FA4">
      <w:pPr>
        <w:rPr>
          <w:rFonts w:hint="eastAsia" w:ascii="宋体" w:hAnsi="宋体" w:eastAsia="宋体" w:cs="宋体"/>
          <w:b w:val="0"/>
          <w:bCs/>
          <w:color w:val="auto"/>
          <w:sz w:val="24"/>
          <w:highlight w:val="none"/>
        </w:rPr>
      </w:pPr>
    </w:p>
    <w:p w14:paraId="7AF60D4B">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合同附件4：供货范围和价格清单</w:t>
      </w:r>
    </w:p>
    <w:p w14:paraId="7E9A69DF">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(要求见招标文件第七章《投标文件相关格式》中《开标一览表》和《分项价格表》；合同见卖方投标文件中《开标一览表》和《分项价格表》。)</w:t>
      </w:r>
    </w:p>
    <w:p w14:paraId="44DABCBC">
      <w:pPr>
        <w:rPr>
          <w:rFonts w:hint="eastAsia" w:ascii="宋体" w:hAnsi="宋体" w:eastAsia="宋体" w:cs="宋体"/>
          <w:b w:val="0"/>
          <w:bCs/>
          <w:color w:val="auto"/>
          <w:sz w:val="24"/>
          <w:highlight w:val="none"/>
        </w:rPr>
      </w:pPr>
    </w:p>
    <w:p w14:paraId="0B4145C0">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合同附件5：验收标准（验收要求、验收标准和程序）</w:t>
      </w:r>
    </w:p>
    <w:p w14:paraId="07C3A27F">
      <w:pPr>
        <w:rPr>
          <w:rFonts w:hint="eastAsia" w:ascii="宋体" w:hAnsi="宋体" w:eastAsia="宋体" w:cs="宋体"/>
          <w:b w:val="0"/>
          <w:bCs/>
          <w:color w:val="auto"/>
          <w:sz w:val="24"/>
          <w:highlight w:val="none"/>
        </w:rPr>
      </w:pPr>
    </w:p>
    <w:p w14:paraId="7CB5F2CF">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合同附件6：采购需求</w:t>
      </w:r>
    </w:p>
    <w:p w14:paraId="18A3AC26">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(见招标文件第六章《采购需求》。)</w:t>
      </w:r>
    </w:p>
    <w:p w14:paraId="25CCE466">
      <w:pPr>
        <w:jc w:val="center"/>
        <w:rPr>
          <w:rFonts w:hint="eastAsia" w:ascii="宋体" w:hAnsi="宋体" w:eastAsia="宋体" w:cs="宋体"/>
          <w:b w:val="0"/>
          <w:bCs/>
          <w:color w:val="auto"/>
          <w:sz w:val="24"/>
          <w:highlight w:val="none"/>
        </w:rPr>
      </w:pPr>
    </w:p>
    <w:p w14:paraId="067A9316">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t>合同附件</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rPr>
        <w:t>：廉洁购销合同</w:t>
      </w:r>
    </w:p>
    <w:p w14:paraId="46EF3C01">
      <w:pPr>
        <w:rPr>
          <w:rFonts w:hint="eastAsia" w:ascii="宋体" w:hAnsi="宋体" w:eastAsia="宋体" w:cs="宋体"/>
          <w:b w:val="0"/>
          <w:bCs/>
          <w:color w:val="auto"/>
          <w:sz w:val="24"/>
          <w:highlight w:val="none"/>
        </w:rPr>
      </w:pPr>
      <w:r>
        <w:rPr>
          <w:rFonts w:hint="eastAsia" w:ascii="宋体" w:hAnsi="宋体" w:eastAsia="宋体" w:cs="宋体"/>
          <w:b w:val="0"/>
          <w:bCs/>
          <w:color w:val="auto"/>
          <w:sz w:val="24"/>
          <w:highlight w:val="none"/>
        </w:rPr>
        <w:br w:type="page" w:clear="all"/>
      </w:r>
    </w:p>
    <w:p w14:paraId="302E6AE4">
      <w:pPr>
        <w:jc w:val="both"/>
        <w:rPr>
          <w:rFonts w:hint="default" w:ascii="宋体" w:hAnsi="宋体" w:eastAsia="宋体" w:cs="宋体"/>
          <w:b w:val="0"/>
          <w:bCs/>
          <w:color w:val="auto"/>
          <w:sz w:val="36"/>
          <w:szCs w:val="36"/>
          <w:highlight w:val="none"/>
          <w:lang w:val="en-US" w:eastAsia="zh-CN"/>
        </w:rPr>
      </w:pPr>
      <w:r>
        <w:rPr>
          <w:rFonts w:hint="eastAsia" w:ascii="宋体" w:hAnsi="宋体" w:eastAsia="宋体" w:cs="宋体"/>
          <w:b w:val="0"/>
          <w:bCs/>
          <w:color w:val="auto"/>
          <w:sz w:val="24"/>
          <w:highlight w:val="none"/>
          <w:lang w:val="en-US" w:eastAsia="zh-CN"/>
        </w:rPr>
        <w:t>附件</w:t>
      </w:r>
      <w:r>
        <w:rPr>
          <w:rFonts w:hint="eastAsia" w:ascii="宋体" w:hAnsi="宋体" w:cs="宋体"/>
          <w:b w:val="0"/>
          <w:bCs/>
          <w:color w:val="auto"/>
          <w:sz w:val="24"/>
          <w:highlight w:val="none"/>
          <w:lang w:val="en-US" w:eastAsia="zh-CN"/>
        </w:rPr>
        <w:t>7</w:t>
      </w:r>
      <w:r>
        <w:rPr>
          <w:rFonts w:hint="eastAsia" w:ascii="宋体" w:hAnsi="宋体" w:eastAsia="宋体" w:cs="宋体"/>
          <w:b w:val="0"/>
          <w:bCs/>
          <w:color w:val="auto"/>
          <w:sz w:val="24"/>
          <w:highlight w:val="none"/>
          <w:lang w:val="en-US" w:eastAsia="zh-CN"/>
        </w:rPr>
        <w:t>：</w:t>
      </w:r>
      <w:r>
        <w:rPr>
          <w:rFonts w:hint="eastAsia" w:ascii="宋体" w:hAnsi="宋体" w:eastAsia="宋体" w:cs="宋体"/>
          <w:b w:val="0"/>
          <w:bCs/>
          <w:color w:val="auto"/>
          <w:sz w:val="24"/>
          <w:highlight w:val="none"/>
        </w:rPr>
        <w:t>廉洁购销合同</w:t>
      </w:r>
    </w:p>
    <w:p w14:paraId="2BD6AC1B">
      <w:pPr>
        <w:jc w:val="center"/>
        <w:rPr>
          <w:rFonts w:hint="eastAsia" w:ascii="宋体" w:hAnsi="宋体" w:eastAsia="宋体" w:cs="宋体"/>
          <w:b w:val="0"/>
          <w:bCs/>
          <w:color w:val="auto"/>
          <w:sz w:val="36"/>
          <w:szCs w:val="36"/>
          <w:highlight w:val="none"/>
        </w:rPr>
      </w:pPr>
      <w:r>
        <w:rPr>
          <w:rFonts w:hint="eastAsia" w:ascii="宋体" w:hAnsi="宋体" w:eastAsia="宋体" w:cs="宋体"/>
          <w:b w:val="0"/>
          <w:bCs/>
          <w:color w:val="auto"/>
          <w:sz w:val="36"/>
          <w:szCs w:val="36"/>
          <w:highlight w:val="none"/>
        </w:rPr>
        <w:t>徐州市第一人民医院廉洁购销合同</w:t>
      </w:r>
    </w:p>
    <w:p w14:paraId="04BCD70C">
      <w:pPr>
        <w:rPr>
          <w:rFonts w:hint="eastAsia" w:ascii="宋体" w:hAnsi="宋体" w:eastAsia="宋体" w:cs="宋体"/>
          <w:b w:val="0"/>
          <w:bCs/>
          <w:color w:val="auto"/>
          <w:sz w:val="24"/>
          <w:highlight w:val="none"/>
        </w:rPr>
      </w:pPr>
    </w:p>
    <w:p w14:paraId="30E3C1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甲方：徐州市第一人民医院</w:t>
      </w:r>
    </w:p>
    <w:p w14:paraId="0735C76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乙方：</w:t>
      </w:r>
    </w:p>
    <w:p w14:paraId="61AAEDB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为进一步加强医疗卫生行风建设，规范医疗机构医药购销行为，有效防范商业贿赂行为，营造公平交易、诚实守信的购销环境，经甲、乙双方协商，同意签订本合同，并共同遵守：</w:t>
      </w:r>
    </w:p>
    <w:p w14:paraId="1472B41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一、甲乙双方按照《</w:t>
      </w:r>
      <w:r>
        <w:rPr>
          <w:rFonts w:hint="eastAsia" w:ascii="宋体" w:hAnsi="宋体" w:cs="宋体"/>
          <w:b w:val="0"/>
          <w:bCs/>
          <w:color w:val="auto"/>
          <w:sz w:val="24"/>
          <w:szCs w:val="24"/>
          <w:highlight w:val="none"/>
          <w:lang w:val="en-US" w:eastAsia="zh-CN"/>
        </w:rPr>
        <w:t>中华人民共和国民法典</w:t>
      </w:r>
      <w:r>
        <w:rPr>
          <w:rFonts w:hint="eastAsia" w:ascii="宋体" w:hAnsi="宋体" w:eastAsia="宋体" w:cs="宋体"/>
          <w:b w:val="0"/>
          <w:bCs/>
          <w:color w:val="auto"/>
          <w:sz w:val="24"/>
          <w:szCs w:val="24"/>
          <w:highlight w:val="none"/>
        </w:rPr>
        <w:t>》及医药产品购销合同约定购销药品、医用设备、医用耗材等医药产品。</w:t>
      </w:r>
    </w:p>
    <w:p w14:paraId="6C8D31C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二、甲方应当严格执行医药产品购销合同验收、入库制度，对采购医药产品及发票进行查验，不得违反有关规定合同外采购、违价采购或从非规定渠道采购。</w:t>
      </w:r>
    </w:p>
    <w:p w14:paraId="1A27CEE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三、甲方严禁接受乙方以任何名义、形式给予的回扣，不得将接受捐赠资助与采购挂钩。甲方工作人员不得参加乙方安排并支付费用的营业性娱乐场所的娱乐活动，不得以任何形式向乙方索要现金、有价证券、支付凭证和贵重礼品等。被迫接受乙方给予的钱物，应予退还，无法退还的，有责任如实向有关纪检监察部门反映情况。</w:t>
      </w:r>
    </w:p>
    <w:p w14:paraId="0CA16B8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四、严禁甲方工作人员利用任何途径和方式，为乙方统计医师个人及临床科室有关医药产品用量信息，或为乙方统计提供便利。</w:t>
      </w:r>
    </w:p>
    <w:p w14:paraId="12DEF8E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五、乙方不得以回扣、宴请等方式影响甲方工作人员采购或使用医药产品的选择权，不得在学术活动中提供旅游、超标准支付食宿费用。</w:t>
      </w:r>
    </w:p>
    <w:p w14:paraId="081DC1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六、乙方指定                        作为销售代表洽谈业务。销售代表必须在工作时间到甲方指定地点联系商谈，不得到住院部、门诊部、医技科室等推销医药产品，不得借故到甲方相关领导、部门负责人及相关工作人员家中访谈并提供任何好处费。</w:t>
      </w:r>
    </w:p>
    <w:p w14:paraId="49A9638A">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七、乙方如违反本合同，一经发现，甲方有权终止购销合同，并向有关卫生计生行政部门报告。如乙方被列入商业贿赂不良记录，则严格按照《国家卫生计生委关于建立医药购销领域商业贿赂不良记录的规定》（国卫法制发〔2013〕50号）相关规定处理。</w:t>
      </w:r>
    </w:p>
    <w:p w14:paraId="549B3E4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八、本合同作为医药产品购销合同的重要组成部分，与购销合同一并执行，具有同等的法律效力。</w:t>
      </w:r>
    </w:p>
    <w:p w14:paraId="1ACD8181">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九、本合同一式三份，甲、乙双方各执一份，甲方纪检监察部门（基层医疗卫生机构上报上级卫生计生行政部门）执一份，并从签订之日起生效。</w:t>
      </w:r>
    </w:p>
    <w:p w14:paraId="27F19325">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p>
    <w:p w14:paraId="40A0797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甲方（盖章）：徐州市第一人民医院  </w:t>
      </w:r>
      <w:r>
        <w:rPr>
          <w:rFonts w:hint="eastAsia" w:ascii="宋体" w:hAnsi="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乙方（盖章）：</w:t>
      </w:r>
    </w:p>
    <w:p w14:paraId="3061F77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法定代表人（负责人）：          </w:t>
      </w:r>
      <w:r>
        <w:rPr>
          <w:rFonts w:hint="eastAsia" w:ascii="宋体" w:hAnsi="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法定代表人（负责人）：</w:t>
      </w:r>
    </w:p>
    <w:p w14:paraId="27DC123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经办人签名：                   </w:t>
      </w:r>
      <w:r>
        <w:rPr>
          <w:rFonts w:hint="eastAsia" w:ascii="宋体" w:hAnsi="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经办人签名：</w:t>
      </w:r>
    </w:p>
    <w:p w14:paraId="169A848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t xml:space="preserve">        年   月  日                      </w:t>
      </w:r>
      <w:r>
        <w:rPr>
          <w:rFonts w:hint="eastAsia" w:ascii="宋体" w:hAnsi="宋体" w:cs="宋体"/>
          <w:b w:val="0"/>
          <w:bCs/>
          <w:color w:val="auto"/>
          <w:sz w:val="24"/>
          <w:szCs w:val="24"/>
          <w:highlight w:val="none"/>
          <w:lang w:val="en-US" w:eastAsia="zh-CN"/>
        </w:rPr>
        <w:t xml:space="preserve">         </w:t>
      </w:r>
      <w:r>
        <w:rPr>
          <w:rFonts w:hint="eastAsia" w:ascii="宋体" w:hAnsi="宋体" w:eastAsia="宋体" w:cs="宋体"/>
          <w:b w:val="0"/>
          <w:bCs/>
          <w:color w:val="auto"/>
          <w:sz w:val="24"/>
          <w:szCs w:val="24"/>
          <w:highlight w:val="none"/>
        </w:rPr>
        <w:t>年   月  日</w:t>
      </w:r>
    </w:p>
    <w:p w14:paraId="3E486E7B">
      <w:pPr>
        <w:rPr>
          <w:rFonts w:hint="eastAsia" w:ascii="宋体" w:hAnsi="宋体" w:eastAsia="宋体" w:cs="宋体"/>
          <w:b w:val="0"/>
          <w:bCs/>
          <w:color w:val="auto"/>
          <w:sz w:val="24"/>
          <w:szCs w:val="24"/>
          <w:highlight w:val="none"/>
        </w:rPr>
      </w:pPr>
      <w:r>
        <w:rPr>
          <w:rFonts w:hint="eastAsia" w:ascii="宋体" w:hAnsi="宋体" w:eastAsia="宋体" w:cs="宋体"/>
          <w:b w:val="0"/>
          <w:bCs/>
          <w:color w:val="auto"/>
          <w:sz w:val="24"/>
          <w:szCs w:val="24"/>
          <w:highlight w:val="none"/>
        </w:rPr>
        <w:br w:type="page" w:clear="all"/>
      </w:r>
    </w:p>
    <w:p w14:paraId="42C69A9C">
      <w:pPr>
        <w:spacing w:line="360" w:lineRule="auto"/>
        <w:jc w:val="center"/>
        <w:rPr>
          <w:rStyle w:val="239"/>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color w:val="auto"/>
          <w:sz w:val="32"/>
          <w:szCs w:val="32"/>
        </w:rPr>
        <w:t>第六章</w:t>
      </w:r>
      <w:r>
        <w:rPr>
          <w:rFonts w:hint="eastAsia" w:asciiTheme="minorEastAsia" w:hAnsiTheme="minorEastAsia" w:eastAsiaTheme="minorEastAsia" w:cstheme="minorEastAsia"/>
          <w:b/>
          <w:color w:val="auto"/>
          <w:sz w:val="32"/>
          <w:szCs w:val="32"/>
          <w:lang w:val="en-US" w:eastAsia="zh-CN"/>
        </w:rPr>
        <w:t xml:space="preserve"> </w:t>
      </w:r>
      <w:r>
        <w:rPr>
          <w:rFonts w:hint="eastAsia" w:asciiTheme="minorEastAsia" w:hAnsiTheme="minorEastAsia" w:eastAsiaTheme="minorEastAsia" w:cstheme="minorEastAsia"/>
          <w:b/>
          <w:color w:val="auto"/>
          <w:sz w:val="32"/>
          <w:szCs w:val="32"/>
        </w:rPr>
        <w:t>采购需求</w:t>
      </w:r>
      <w:bookmarkStart w:id="2" w:name="_Toc322457054"/>
      <w:bookmarkEnd w:id="2"/>
      <w:bookmarkStart w:id="3" w:name="_Toc324452802"/>
      <w:bookmarkEnd w:id="3"/>
    </w:p>
    <w:p w14:paraId="3DA98090">
      <w:pPr>
        <w:spacing w:line="360" w:lineRule="auto"/>
        <w:rPr>
          <w:rFonts w:hint="default" w:ascii="宋体" w:hAnsi="宋体" w:eastAsia="宋体" w:cs="宋体"/>
          <w:b/>
          <w:bCs/>
          <w:color w:val="auto"/>
          <w:sz w:val="24"/>
          <w:szCs w:val="24"/>
          <w:lang w:val="en-US" w:eastAsia="zh-CN"/>
        </w:rPr>
      </w:pPr>
      <w:r>
        <w:rPr>
          <w:rFonts w:hint="eastAsia" w:ascii="宋体" w:hAnsi="宋体" w:eastAsia="宋体" w:cs="宋体"/>
          <w:b/>
          <w:bCs/>
          <w:color w:val="auto"/>
          <w:sz w:val="24"/>
          <w:szCs w:val="24"/>
        </w:rPr>
        <w:t>一、本项目不接受超过人民币</w:t>
      </w:r>
      <w:r>
        <w:rPr>
          <w:rFonts w:hint="eastAsia" w:ascii="宋体" w:hAnsi="宋体" w:cs="宋体"/>
          <w:b/>
          <w:bCs/>
          <w:color w:val="auto"/>
          <w:sz w:val="24"/>
          <w:szCs w:val="24"/>
          <w:lang w:val="en-US" w:eastAsia="zh-CN"/>
        </w:rPr>
        <w:t>220</w:t>
      </w:r>
      <w:r>
        <w:rPr>
          <w:rFonts w:hint="eastAsia" w:ascii="宋体" w:hAnsi="宋体" w:eastAsia="宋体" w:cs="宋体"/>
          <w:b/>
          <w:bCs/>
          <w:color w:val="auto"/>
          <w:sz w:val="24"/>
          <w:szCs w:val="24"/>
        </w:rPr>
        <w:t>.00万元（采购项目预算金额）的投标报价</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二、</w:t>
      </w:r>
      <w:r>
        <w:rPr>
          <w:rFonts w:hint="eastAsia" w:ascii="宋体" w:hAnsi="宋体" w:cs="宋体"/>
          <w:b/>
          <w:bCs/>
          <w:color w:val="auto"/>
          <w:sz w:val="24"/>
          <w:szCs w:val="24"/>
          <w:lang w:val="en-US" w:eastAsia="zh-CN"/>
        </w:rPr>
        <w:t>项目说明：</w:t>
      </w:r>
    </w:p>
    <w:p w14:paraId="64CF8048">
      <w:pPr>
        <w:spacing w:line="360" w:lineRule="auto"/>
        <w:rPr>
          <w:rFonts w:hint="default"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1、项目名称：徐州市第一人民医院微视野视野计采购</w:t>
      </w:r>
    </w:p>
    <w:p w14:paraId="76D5BAF3">
      <w:pPr>
        <w:spacing w:line="360" w:lineRule="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2、项目概况：1台微视野视野计采购、安装调试及配套服务。</w:t>
      </w:r>
    </w:p>
    <w:p w14:paraId="39A70D02">
      <w:pPr>
        <w:spacing w:line="360" w:lineRule="auto"/>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3、采购包划分：本项目共分为1个采购包。</w:t>
      </w:r>
    </w:p>
    <w:p w14:paraId="1D08BA4F">
      <w:pPr>
        <w:spacing w:line="360" w:lineRule="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三、此项目不属于专门面向中小微企业采购的项目，且本项目接受进口产品投标。</w:t>
      </w:r>
    </w:p>
    <w:p w14:paraId="0681728B">
      <w:pPr>
        <w:spacing w:line="360" w:lineRule="auto"/>
        <w:rPr>
          <w:rFonts w:hint="eastAsia" w:asciiTheme="minorEastAsia" w:hAnsiTheme="minorEastAsia" w:eastAsiaTheme="minorEastAsia" w:cstheme="minorEastAsia"/>
          <w:b/>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四、技术参数要求（加“★”标志为实质性响应指标不允许负偏离，否则按无效投标处理；加“▲”的指标为次重要响应指标，其他为一般响应指标）</w:t>
      </w:r>
    </w:p>
    <w:p w14:paraId="1BD4FF03">
      <w:pPr>
        <w:spacing w:line="360" w:lineRule="auto"/>
        <w:rPr>
          <w:rFonts w:hint="eastAsia" w:asciiTheme="minorEastAsia" w:hAnsiTheme="minorEastAsia" w:eastAsiaTheme="minorEastAsia" w:cstheme="minorEastAsia"/>
          <w:b/>
          <w:bCs w:val="0"/>
          <w:color w:val="auto"/>
          <w:sz w:val="24"/>
          <w:szCs w:val="24"/>
          <w:lang w:val="en-US" w:eastAsia="zh-CN"/>
        </w:rPr>
      </w:pPr>
      <w:r>
        <w:rPr>
          <w:rFonts w:hint="eastAsia" w:asciiTheme="minorEastAsia" w:hAnsiTheme="minorEastAsia" w:eastAsiaTheme="minorEastAsia" w:cstheme="minorEastAsia"/>
          <w:b/>
          <w:color w:val="auto"/>
          <w:sz w:val="24"/>
          <w:szCs w:val="24"/>
          <w:lang w:val="en-US" w:eastAsia="zh-CN"/>
        </w:rPr>
        <w:t>注：</w:t>
      </w:r>
      <w:r>
        <w:rPr>
          <w:rFonts w:hint="eastAsia" w:asciiTheme="minorEastAsia" w:hAnsiTheme="minorEastAsia" w:eastAsiaTheme="minorEastAsia" w:cstheme="minorEastAsia"/>
          <w:b w:val="0"/>
          <w:bCs/>
          <w:color w:val="auto"/>
          <w:sz w:val="24"/>
          <w:szCs w:val="24"/>
          <w:lang w:val="en-US" w:eastAsia="zh-CN"/>
        </w:rPr>
        <w:t>投标人在投标文件中须提供</w:t>
      </w:r>
      <w:r>
        <w:rPr>
          <w:rFonts w:hint="eastAsia" w:asciiTheme="minorEastAsia" w:hAnsiTheme="minorEastAsia" w:eastAsiaTheme="minorEastAsia" w:cstheme="minorEastAsia"/>
          <w:b/>
          <w:bCs w:val="0"/>
          <w:color w:val="auto"/>
          <w:sz w:val="24"/>
          <w:szCs w:val="24"/>
          <w:lang w:val="en-US" w:eastAsia="zh-CN"/>
        </w:rPr>
        <w:t>加</w:t>
      </w:r>
      <w:r>
        <w:rPr>
          <w:rFonts w:hint="eastAsia" w:asciiTheme="minorEastAsia" w:hAnsiTheme="minorEastAsia" w:eastAsiaTheme="minorEastAsia" w:cstheme="minorEastAsia"/>
          <w:b/>
          <w:color w:val="auto"/>
          <w:sz w:val="24"/>
          <w:szCs w:val="24"/>
          <w:lang w:val="en-US" w:eastAsia="zh-CN"/>
        </w:rPr>
        <w:t>“★”和</w:t>
      </w:r>
      <w:r>
        <w:rPr>
          <w:rFonts w:hint="eastAsia" w:asciiTheme="minorEastAsia" w:hAnsiTheme="minorEastAsia" w:eastAsiaTheme="minorEastAsia" w:cstheme="minorEastAsia"/>
          <w:b/>
          <w:bCs w:val="0"/>
          <w:color w:val="auto"/>
          <w:sz w:val="24"/>
          <w:szCs w:val="24"/>
          <w:lang w:val="en-US" w:eastAsia="zh-CN"/>
        </w:rPr>
        <w:t>“▲”的技术指标的证明材料</w:t>
      </w:r>
      <w:r>
        <w:rPr>
          <w:rFonts w:hint="eastAsia" w:asciiTheme="minorEastAsia" w:hAnsiTheme="minorEastAsia" w:eastAsiaTheme="minorEastAsia" w:cstheme="minorEastAsia"/>
          <w:b w:val="0"/>
          <w:bCs/>
          <w:color w:val="auto"/>
          <w:sz w:val="24"/>
          <w:szCs w:val="24"/>
          <w:lang w:val="en-US" w:eastAsia="zh-CN"/>
        </w:rPr>
        <w:t>，证明材料为产品白皮书（说明书）或产品手册或检测报告或产品彩页或公开印刷的宣传材料或厂家盖章确认的技术材料等，</w:t>
      </w:r>
      <w:r>
        <w:rPr>
          <w:rFonts w:hint="eastAsia" w:asciiTheme="minorEastAsia" w:hAnsiTheme="minorEastAsia" w:eastAsiaTheme="minorEastAsia" w:cstheme="minorEastAsia"/>
          <w:b/>
          <w:bCs w:val="0"/>
          <w:color w:val="auto"/>
          <w:sz w:val="24"/>
          <w:szCs w:val="24"/>
          <w:lang w:val="en-US" w:eastAsia="zh-CN"/>
        </w:rPr>
        <w:t>证明材料需逐条对应或标注索引，未按招标文件要求提供证明材料的视为负偏离。</w:t>
      </w:r>
      <w:r>
        <w:rPr>
          <w:rFonts w:hint="eastAsia" w:asciiTheme="minorEastAsia" w:hAnsiTheme="minorEastAsia" w:eastAsiaTheme="minorEastAsia" w:cstheme="minorEastAsia"/>
          <w:b w:val="0"/>
          <w:bCs/>
          <w:color w:val="auto"/>
          <w:sz w:val="24"/>
          <w:szCs w:val="24"/>
          <w:lang w:val="en-US" w:eastAsia="zh-CN"/>
        </w:rPr>
        <w:t>如技术参数中有具体要求，以具体要求为准，并在投标文件中提供证明材料；</w:t>
      </w:r>
      <w:r>
        <w:rPr>
          <w:rFonts w:hint="eastAsia" w:asciiTheme="minorEastAsia" w:hAnsiTheme="minorEastAsia" w:eastAsiaTheme="minorEastAsia" w:cstheme="minorEastAsia"/>
          <w:b/>
          <w:bCs w:val="0"/>
          <w:color w:val="auto"/>
          <w:sz w:val="24"/>
          <w:szCs w:val="24"/>
          <w:lang w:val="en-US" w:eastAsia="zh-CN"/>
        </w:rPr>
        <w:t>如经查证，供应商虚假响应的，将取消其中标资格并上报主管部门。未按招标文件要求提供证明材料的视为不满足。</w:t>
      </w:r>
    </w:p>
    <w:tbl>
      <w:tblPr>
        <w:tblStyle w:val="42"/>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65"/>
        <w:gridCol w:w="7551"/>
      </w:tblGrid>
      <w:tr w14:paraId="4FF5D5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53E6C4">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序号</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D4D236">
            <w:pPr>
              <w:keepNext w:val="0"/>
              <w:keepLines w:val="0"/>
              <w:widowControl/>
              <w:suppressLineNumbers w:val="0"/>
              <w:jc w:val="center"/>
              <w:textAlignment w:val="center"/>
              <w:rPr>
                <w:rFonts w:hint="eastAsia" w:ascii="宋体" w:hAnsi="宋体" w:eastAsia="宋体" w:cs="宋体"/>
                <w:b/>
                <w:bCs/>
                <w:i w:val="0"/>
                <w:iCs w:val="0"/>
                <w:color w:val="auto"/>
                <w:sz w:val="24"/>
                <w:szCs w:val="24"/>
                <w:u w:val="none"/>
              </w:rPr>
            </w:pPr>
            <w:r>
              <w:rPr>
                <w:rFonts w:hint="eastAsia" w:ascii="宋体" w:hAnsi="宋体" w:eastAsia="宋体" w:cs="宋体"/>
                <w:b/>
                <w:bCs/>
                <w:i w:val="0"/>
                <w:iCs w:val="0"/>
                <w:color w:val="auto"/>
                <w:kern w:val="0"/>
                <w:sz w:val="24"/>
                <w:szCs w:val="24"/>
                <w:u w:val="none"/>
                <w:lang w:val="en-US" w:eastAsia="zh-CN" w:bidi="ar"/>
              </w:rPr>
              <w:t>技术参数</w:t>
            </w:r>
          </w:p>
        </w:tc>
      </w:tr>
      <w:tr w14:paraId="67410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E47F693">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一</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0C3B6">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基本要求</w:t>
            </w:r>
          </w:p>
        </w:tc>
      </w:tr>
      <w:tr w14:paraId="099F9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A82EA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261F9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▲用途：视网膜形态及功能进评估、注视点位置及注视稳定性分析、主要应用于眼底病、青光眼、斜弱视</w:t>
            </w:r>
          </w:p>
        </w:tc>
      </w:tr>
      <w:tr w14:paraId="73035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98614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80AAD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观察方式：≥10.4英寸彩色LCD触摸屏</w:t>
            </w:r>
          </w:p>
        </w:tc>
      </w:tr>
      <w:tr w14:paraId="1A47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BA927B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71B4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工作距离：≥45.7mm（从物镜到角膜表面的距离）</w:t>
            </w:r>
          </w:p>
        </w:tc>
      </w:tr>
      <w:tr w14:paraId="0AE931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AC50E1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AAA26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独立操作系统：可与工作站分离</w:t>
            </w:r>
          </w:p>
        </w:tc>
      </w:tr>
      <w:tr w14:paraId="33E5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FC4B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77C7A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具有视觉敏感度分布功能</w:t>
            </w:r>
          </w:p>
        </w:tc>
      </w:tr>
      <w:tr w14:paraId="2A5085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62F2F3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5664FB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具有眼底摄影功能</w:t>
            </w:r>
          </w:p>
        </w:tc>
      </w:tr>
      <w:tr w14:paraId="5BE432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9D37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60450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具有固视检查功能</w:t>
            </w:r>
          </w:p>
        </w:tc>
      </w:tr>
      <w:tr w14:paraId="163D90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B43F2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38664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具有自动定位被检眼的功能</w:t>
            </w:r>
          </w:p>
        </w:tc>
      </w:tr>
      <w:tr w14:paraId="3C8197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4078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E5F3C5">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具有自动摄影功能</w:t>
            </w:r>
          </w:p>
        </w:tc>
      </w:tr>
      <w:tr w14:paraId="69C62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48460D">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二</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A9230F">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视野测试要求</w:t>
            </w:r>
          </w:p>
        </w:tc>
      </w:tr>
      <w:tr w14:paraId="1BD6C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0E72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CF02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成像原理：静态刺激源</w:t>
            </w:r>
          </w:p>
        </w:tc>
      </w:tr>
      <w:tr w14:paraId="4BCFC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40E45">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9D844C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视野角度：≥40°，满足不同的视网膜功能分析范围</w:t>
            </w:r>
          </w:p>
        </w:tc>
      </w:tr>
      <w:tr w14:paraId="0AD5A3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532B3">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C75FA4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▲背景光和刺激光源：白色</w:t>
            </w:r>
          </w:p>
        </w:tc>
      </w:tr>
      <w:tr w14:paraId="0A9B9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4DE96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6991B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▲最大刺激光源：10，000asb，有效区分低视敏感度与盲点</w:t>
            </w:r>
          </w:p>
        </w:tc>
      </w:tr>
      <w:tr w14:paraId="5AF86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5BC408">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C6B05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 xml:space="preserve">背景亮度：31.4 asb / 4 asb </w:t>
            </w:r>
          </w:p>
        </w:tc>
      </w:tr>
      <w:tr w14:paraId="23C7F8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F929B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862C9B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刺激源亮度范围：35.4asb(34dB)-10031.4asb(0dB)，易于发现早期病变</w:t>
            </w:r>
          </w:p>
        </w:tc>
      </w:tr>
      <w:tr w14:paraId="3295EA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6783B6">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96999E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刺激源持续时间：100毫秒/ 200毫秒</w:t>
            </w:r>
          </w:p>
        </w:tc>
      </w:tr>
      <w:tr w14:paraId="4DD78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DA655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CF77E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▲刺激源大小：Goldman I / II / III / IV / V兼容，用于低视力患者或正常人群视功能监控</w:t>
            </w:r>
          </w:p>
        </w:tc>
      </w:tr>
      <w:tr w14:paraId="231019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844E6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117E2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阈值策略：4-2 4-2-1 4-2（fast）4-2-1(fast)，不同的患者状况选择不同模式</w:t>
            </w:r>
          </w:p>
        </w:tc>
      </w:tr>
      <w:tr w14:paraId="76A80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E6639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5E68C66">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瞳孔要求：免散瞳</w:t>
            </w:r>
          </w:p>
        </w:tc>
      </w:tr>
      <w:tr w14:paraId="555A23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A129EA">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5A7BC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屈光力矫正范围:﹣25 D至﹢15 D</w:t>
            </w:r>
          </w:p>
        </w:tc>
      </w:tr>
      <w:tr w14:paraId="37D60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2"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0295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12</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5B783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眼底自动对焦范围:﹣12D至﹢15D</w:t>
            </w:r>
          </w:p>
        </w:tc>
      </w:tr>
      <w:tr w14:paraId="19735B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1402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13</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43D01E">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固视点形状：十字/环形/四字形，针对不同的疾病选择</w:t>
            </w:r>
          </w:p>
        </w:tc>
      </w:tr>
      <w:tr w14:paraId="4B679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FD6FE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14</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3F7443D">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固视点颜色：从白色/黄色/红色/蓝色中选择其一，针对不同的疾病选择</w:t>
            </w:r>
          </w:p>
        </w:tc>
      </w:tr>
      <w:tr w14:paraId="0361C5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5F286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15</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D4589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固视大小：1.00°~ 20.00°，十字形大小1.00°~  20.00°，环形大小：0.5°~ 20.00°，四十字形大小：1.00°至20.00°，针对不同的患者情况选择</w:t>
            </w:r>
          </w:p>
        </w:tc>
      </w:tr>
      <w:tr w14:paraId="5D98FA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60AB1">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三</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F35DEFD">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注视点检测要求</w:t>
            </w:r>
          </w:p>
        </w:tc>
      </w:tr>
      <w:tr w14:paraId="27341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99A5A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2C7EA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固视点形状：十字/环形/四字形，针对不同的疾病选择</w:t>
            </w:r>
          </w:p>
        </w:tc>
      </w:tr>
      <w:tr w14:paraId="199B96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561A3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D0C143">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固视点颜色：从白色/黄色/红色/蓝色中选择其一，针对不同的患者情况</w:t>
            </w:r>
          </w:p>
        </w:tc>
      </w:tr>
      <w:tr w14:paraId="511295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B5A31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BDB6DFF">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固视大小：1.00°~ 20.00°，十字大小1.00°~  20.00°，环形大小：0.5°~ 20.00°，四十字大小：1.00°至20.00°，针对不同的患者情况</w:t>
            </w:r>
          </w:p>
        </w:tc>
      </w:tr>
      <w:tr w14:paraId="31CF1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B4EDF4">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550ED6B">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测试持续时间：5秒 —3600秒（递增5秒），针对不同患者的配合情况</w:t>
            </w:r>
          </w:p>
        </w:tc>
      </w:tr>
      <w:tr w14:paraId="45EB6C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BB36C">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四</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02BD5AC">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软件与数据分析要求</w:t>
            </w:r>
          </w:p>
        </w:tc>
      </w:tr>
      <w:tr w14:paraId="2CEF2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A94B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2B3BC4">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能够制作、编辑并确认刺激视标设定数据；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自定义检查模板：标准检查与自定义模板，可根据临床疾病需求自定义检查模板</w:t>
            </w:r>
          </w:p>
        </w:tc>
      </w:tr>
      <w:tr w14:paraId="1A570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9263B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AE4AB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个性化靶向检查：自定义，检查过程中发现模板遗漏病变区，可随时加入任意检查点</w:t>
            </w:r>
          </w:p>
        </w:tc>
      </w:tr>
      <w:tr w14:paraId="4783A0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CE0A6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3</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25A27">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假阳性与假阴性测试：确保数据准确性</w:t>
            </w:r>
          </w:p>
        </w:tc>
      </w:tr>
      <w:tr w14:paraId="6861C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796A77">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4</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5DD0E2">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▲能够计算出中心点的固视点分布，显示固视稳定度；</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注视分析：标准注视分析，BCEA注视分析，注视点与测量时间分析统计，确保数据准确性</w:t>
            </w:r>
          </w:p>
        </w:tc>
      </w:tr>
      <w:tr w14:paraId="7DCF6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AE072">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5</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79BC5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▲能够对比微视野检查和固视检查的跟踪检查数据；</w:t>
            </w:r>
            <w:r>
              <w:rPr>
                <w:rFonts w:hint="eastAsia" w:ascii="宋体" w:hAnsi="宋体" w:eastAsia="宋体" w:cs="宋体"/>
                <w:i w:val="0"/>
                <w:iCs w:val="0"/>
                <w:color w:val="auto"/>
                <w:kern w:val="0"/>
                <w:sz w:val="24"/>
                <w:szCs w:val="24"/>
                <w:u w:val="none"/>
                <w:lang w:val="en-US" w:eastAsia="zh-CN" w:bidi="ar"/>
              </w:rPr>
              <w:br w:type="textWrapping"/>
            </w:r>
            <w:r>
              <w:rPr>
                <w:rFonts w:hint="eastAsia" w:ascii="宋体" w:hAnsi="宋体" w:eastAsia="宋体" w:cs="宋体"/>
                <w:i w:val="0"/>
                <w:iCs w:val="0"/>
                <w:color w:val="auto"/>
                <w:kern w:val="0"/>
                <w:sz w:val="24"/>
                <w:szCs w:val="24"/>
                <w:u w:val="none"/>
                <w:lang w:val="en-US" w:eastAsia="zh-CN" w:bidi="ar"/>
              </w:rPr>
              <w:t>随访数据分析软件：分析各点差异值总差异值，均方差值，综合数据分析</w:t>
            </w:r>
          </w:p>
        </w:tc>
      </w:tr>
      <w:tr w14:paraId="5EA862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2E781">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6</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DE6C8">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检查过程自动调节整体刺激光阈值，增加检查效率</w:t>
            </w:r>
          </w:p>
        </w:tc>
      </w:tr>
      <w:tr w14:paraId="4A033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B68B90">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7</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BD0939">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定点随访：全自动随访，零误差</w:t>
            </w:r>
          </w:p>
        </w:tc>
      </w:tr>
      <w:tr w14:paraId="5E8EF0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8C2F3F">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8</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CEA00">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能够计算并显示出指定眼底区域的平均视觉敏感度</w:t>
            </w:r>
          </w:p>
        </w:tc>
      </w:tr>
      <w:tr w14:paraId="3E1BF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6C84B">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9</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1A2BC">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能够显示视觉敏感度的彩色图</w:t>
            </w:r>
          </w:p>
        </w:tc>
      </w:tr>
      <w:tr w14:paraId="1BBED5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2DCA6C">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10</w:t>
            </w:r>
          </w:p>
        </w:tc>
        <w:tc>
          <w:tcPr>
            <w:tcW w:w="4433"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A5FE91">
            <w:pPr>
              <w:keepNext w:val="0"/>
              <w:keepLines w:val="0"/>
              <w:widowControl/>
              <w:suppressLineNumbers w:val="0"/>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能够调整并显示彩色眼底图像的明暗和对比度</w:t>
            </w:r>
          </w:p>
        </w:tc>
      </w:tr>
      <w:tr w14:paraId="5CF565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2FAF5">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五</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830807">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配置要求</w:t>
            </w:r>
          </w:p>
        </w:tc>
      </w:tr>
      <w:tr w14:paraId="3FCA1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DDB1BE">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A1D3A9">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配套工作站电脑1台（处理器≥i7，显示器≥27吋，存储内存≥2T）</w:t>
            </w:r>
          </w:p>
        </w:tc>
      </w:tr>
      <w:tr w14:paraId="17C395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F12ED">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2</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99C6C8D">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配套打印终端1台（彩色）</w:t>
            </w:r>
            <w:r>
              <w:rPr>
                <w:rFonts w:hint="eastAsia" w:ascii="宋体" w:hAnsi="宋体" w:cs="宋体"/>
                <w:i w:val="0"/>
                <w:iCs w:val="0"/>
                <w:color w:val="auto"/>
                <w:kern w:val="0"/>
                <w:sz w:val="24"/>
                <w:szCs w:val="24"/>
                <w:u w:val="none"/>
                <w:lang w:val="en-US" w:eastAsia="zh-CN" w:bidi="ar"/>
              </w:rPr>
              <w:t>、</w:t>
            </w:r>
            <w:r>
              <w:rPr>
                <w:rFonts w:hint="eastAsia" w:ascii="宋体" w:hAnsi="宋体" w:eastAsia="宋体" w:cs="宋体"/>
                <w:i w:val="0"/>
                <w:iCs w:val="0"/>
                <w:color w:val="auto"/>
                <w:kern w:val="0"/>
                <w:sz w:val="24"/>
                <w:szCs w:val="24"/>
                <w:u w:val="none"/>
                <w:lang w:val="en-US" w:eastAsia="zh-CN" w:bidi="ar"/>
              </w:rPr>
              <w:t>电动升降台1台</w:t>
            </w:r>
          </w:p>
        </w:tc>
      </w:tr>
      <w:tr w14:paraId="47A38C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35BCC8">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六</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32E760">
            <w:pPr>
              <w:keepNext w:val="0"/>
              <w:keepLines w:val="0"/>
              <w:widowControl/>
              <w:suppressLineNumbers w:val="0"/>
              <w:jc w:val="left"/>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b/>
                <w:bCs/>
                <w:i w:val="0"/>
                <w:iCs w:val="0"/>
                <w:color w:val="auto"/>
                <w:kern w:val="0"/>
                <w:sz w:val="24"/>
                <w:szCs w:val="24"/>
                <w:u w:val="none"/>
                <w:lang w:val="en-US" w:eastAsia="zh-CN" w:bidi="ar"/>
              </w:rPr>
              <w:t>其他要求</w:t>
            </w:r>
          </w:p>
        </w:tc>
      </w:tr>
      <w:tr w14:paraId="46547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7" w:hRule="atLeast"/>
        </w:trPr>
        <w:tc>
          <w:tcPr>
            <w:tcW w:w="566" w:type="pct"/>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C72B9">
            <w:pPr>
              <w:keepNext w:val="0"/>
              <w:keepLines w:val="0"/>
              <w:widowControl/>
              <w:suppressLineNumbers w:val="0"/>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1</w:t>
            </w:r>
          </w:p>
        </w:tc>
        <w:tc>
          <w:tcPr>
            <w:tcW w:w="443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F086F1E">
            <w:pPr>
              <w:keepNext w:val="0"/>
              <w:keepLines w:val="0"/>
              <w:widowControl/>
              <w:suppressLineNumbers w:val="0"/>
              <w:jc w:val="left"/>
              <w:textAlignment w:val="center"/>
              <w:rPr>
                <w:rFonts w:hint="eastAsia" w:ascii="宋体" w:hAnsi="宋体" w:eastAsia="宋体" w:cs="宋体"/>
                <w:i w:val="0"/>
                <w:iCs w:val="0"/>
                <w:color w:val="auto"/>
                <w:sz w:val="24"/>
                <w:szCs w:val="24"/>
                <w:u w:val="none"/>
              </w:rPr>
            </w:pPr>
            <w:r>
              <w:rPr>
                <w:rFonts w:hint="eastAsia" w:ascii="宋体" w:hAnsi="宋体" w:eastAsia="宋体" w:cs="宋体"/>
                <w:b w:val="0"/>
                <w:bCs w:val="0"/>
                <w:i w:val="0"/>
                <w:iCs w:val="0"/>
                <w:color w:val="auto"/>
                <w:kern w:val="0"/>
                <w:sz w:val="24"/>
                <w:szCs w:val="24"/>
                <w:u w:val="none"/>
                <w:lang w:val="en-US" w:eastAsia="zh-CN" w:bidi="ar"/>
              </w:rPr>
              <w:t>★主机开放网络接口，并与现有的PACS等医院现有需要接入系统连接，保证图像能存储到PACS系统（不低于电子病历五级评审要求），双方接口费用包含在投标报价内</w:t>
            </w:r>
            <w:r>
              <w:rPr>
                <w:rFonts w:hint="eastAsia" w:ascii="宋体" w:hAnsi="宋体" w:cs="宋体"/>
                <w:b w:val="0"/>
                <w:bCs w:val="0"/>
                <w:i w:val="0"/>
                <w:iCs w:val="0"/>
                <w:color w:val="auto"/>
                <w:kern w:val="0"/>
                <w:sz w:val="24"/>
                <w:szCs w:val="24"/>
                <w:u w:val="none"/>
                <w:lang w:val="en-US" w:eastAsia="zh-CN" w:bidi="ar"/>
              </w:rPr>
              <w:t>（投标文件中提供承诺书，格式自拟）</w:t>
            </w:r>
          </w:p>
        </w:tc>
      </w:tr>
    </w:tbl>
    <w:p w14:paraId="27A85CFE">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五</w:t>
      </w:r>
      <w:r>
        <w:rPr>
          <w:rFonts w:hint="eastAsia" w:ascii="宋体" w:hAnsi="宋体" w:eastAsia="宋体" w:cs="宋体"/>
          <w:b/>
          <w:bCs/>
          <w:color w:val="auto"/>
          <w:sz w:val="24"/>
          <w:szCs w:val="24"/>
          <w:lang w:val="en-US" w:eastAsia="zh-CN"/>
        </w:rPr>
        <w:t>、项目实施要求：</w:t>
      </w:r>
    </w:p>
    <w:p w14:paraId="6DD0D6CC">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1、投标人所投产品应能够至少达到以上技术参数要求，同时明确所投产品的品牌、型号、规格及一些必须说明的技术参数，以及设备配置清单，并提供详细的技术参数及性能说明书。</w:t>
      </w:r>
    </w:p>
    <w:p w14:paraId="67692A28">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投标人所投货物必须为原厂原装、全新的、符合国家有关质量标准的产品。采购人对设备验收合格后，双方共同签署验收合格证明。验收中发现设备达不到验收标准或合同规定的性能指标，中标人必须更换，并且赔偿由此给采购人造成的损失。验收合格后由中标人按采购人的需求安装在采购人的指定位置。</w:t>
      </w:r>
    </w:p>
    <w:p w14:paraId="64BABB2C">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3、投标人必须承诺招标文件中提出的全部技术规格与要求，如果以其中某些条款不响应时，应在文件中逐条列出，未列出的视同响应。</w:t>
      </w:r>
    </w:p>
    <w:p w14:paraId="60355ECD">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本项目要求投标人在充分理解系统功能的基础上选用符合招标文件要求的设备，投标文件中编写详细的深化方案，提供详细的设备清单。该清单中所列项目必须能够构成完整的可正常运行并满足本招标要求的系统。</w:t>
      </w:r>
    </w:p>
    <w:p w14:paraId="513CDF45">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5、交付时间</w:t>
      </w:r>
      <w:r>
        <w:rPr>
          <w:rFonts w:hint="eastAsia" w:ascii="宋体" w:hAnsi="宋体" w:cs="宋体"/>
          <w:b/>
          <w:bCs/>
          <w:color w:val="auto"/>
          <w:sz w:val="24"/>
          <w:szCs w:val="24"/>
          <w:lang w:val="en-US" w:eastAsia="zh-CN"/>
        </w:rPr>
        <w:t>要求</w:t>
      </w:r>
      <w:r>
        <w:rPr>
          <w:rFonts w:hint="eastAsia" w:ascii="宋体" w:hAnsi="宋体" w:eastAsia="宋体" w:cs="宋体"/>
          <w:b/>
          <w:bCs/>
          <w:color w:val="auto"/>
          <w:sz w:val="24"/>
          <w:szCs w:val="24"/>
          <w:lang w:val="en-US" w:eastAsia="zh-CN"/>
        </w:rPr>
        <w:t>：中标人须在合同签订之日起60日内完成供货并安装调试完毕（地址</w:t>
      </w:r>
      <w:r>
        <w:rPr>
          <w:rFonts w:hint="eastAsia" w:ascii="宋体" w:hAnsi="宋体" w:cs="宋体"/>
          <w:b/>
          <w:bCs/>
          <w:color w:val="auto"/>
          <w:sz w:val="24"/>
          <w:szCs w:val="24"/>
          <w:lang w:val="en-US" w:eastAsia="zh-CN"/>
        </w:rPr>
        <w:t>：</w:t>
      </w:r>
      <w:r>
        <w:rPr>
          <w:rFonts w:hint="eastAsia" w:ascii="宋体" w:hAnsi="宋体" w:eastAsia="宋体" w:cs="宋体"/>
          <w:b/>
          <w:bCs/>
          <w:color w:val="auto"/>
          <w:sz w:val="24"/>
          <w:szCs w:val="24"/>
          <w:lang w:val="en-US" w:eastAsia="zh-CN"/>
        </w:rPr>
        <w:t>徐州市第一人民医院眼科门诊三楼和6号楼四层手术室，具体情况可现场踏勘）。</w:t>
      </w:r>
    </w:p>
    <w:p w14:paraId="0F829245">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说明：本“交付时间</w:t>
      </w:r>
      <w:r>
        <w:rPr>
          <w:rFonts w:hint="eastAsia" w:ascii="宋体" w:hAnsi="宋体" w:cs="宋体"/>
          <w:b/>
          <w:bCs/>
          <w:color w:val="auto"/>
          <w:sz w:val="24"/>
          <w:szCs w:val="24"/>
          <w:lang w:val="en-US" w:eastAsia="zh-CN"/>
        </w:rPr>
        <w:t>要求</w:t>
      </w:r>
      <w:r>
        <w:rPr>
          <w:rFonts w:hint="eastAsia" w:ascii="宋体" w:hAnsi="宋体" w:eastAsia="宋体" w:cs="宋体"/>
          <w:b/>
          <w:bCs/>
          <w:color w:val="auto"/>
          <w:sz w:val="24"/>
          <w:szCs w:val="24"/>
          <w:lang w:val="en-US" w:eastAsia="zh-CN"/>
        </w:rPr>
        <w:t>”为不允许偏离的实质性要求和条件，如有偏离，在符合性审查时按照响应无效处理。</w:t>
      </w:r>
    </w:p>
    <w:p w14:paraId="2974E855">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6、投标人承担安装或维修的专用设备和人员的安全责任。投标人中标后应及时安装调试，安装调试期间采购人的使用人员协助配合；安装调试完毕，中标人需组织采购人使用人员进行使用及日常维护等的培训。</w:t>
      </w:r>
    </w:p>
    <w:p w14:paraId="16D6A8F1">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7、验收时需提供全部的技术资料（产品中/英文说明书、中文操作手册和产品合格证书）。</w:t>
      </w:r>
    </w:p>
    <w:p w14:paraId="51E4370D">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8、投标人应保证所提供设备涉及到的知识产权和所提供的软件、技术资料是合法取得，并享有完整的知识产权，不会因为采购人的使用而被责令停止使用、追偿或要求赔偿损失，如出现此情况，一切经济和法律责任均由投标人承担。</w:t>
      </w:r>
    </w:p>
    <w:p w14:paraId="4038E449">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9、投标人安装调试时采取必要的安全措施，如有意外或事故发生，由中标人（合同卖方）负全部责任。</w:t>
      </w:r>
    </w:p>
    <w:p w14:paraId="7B015C71">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10、投标人应指派专人全面负责项目的管理、项目协调、项目控制、质量监督等各项管理工作。</w:t>
      </w:r>
    </w:p>
    <w:p w14:paraId="429BEAEE">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六</w:t>
      </w:r>
      <w:r>
        <w:rPr>
          <w:rFonts w:hint="eastAsia" w:ascii="宋体" w:hAnsi="宋体" w:eastAsia="宋体" w:cs="宋体"/>
          <w:b/>
          <w:bCs/>
          <w:color w:val="auto"/>
          <w:sz w:val="24"/>
          <w:szCs w:val="24"/>
          <w:lang w:val="en-US" w:eastAsia="zh-CN"/>
        </w:rPr>
        <w:t>、验收标准</w:t>
      </w:r>
    </w:p>
    <w:p w14:paraId="0899B2A1">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1、验收依据：相关国家标准、行业标准。</w:t>
      </w:r>
    </w:p>
    <w:p w14:paraId="18AFAF99">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2、验收的时间、方式、程序要求：见招标文件第五章《拟签订的合同文本》。</w:t>
      </w:r>
    </w:p>
    <w:p w14:paraId="61A8E58D">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验收标准：以投标文件和投标人（合同乙方（中标人），下同）的澄清、说明或者更正为验收标准；投标人的投标文件和投标人的澄清、说明或者更正不明确的，以《招标文件》相关要求为验收标准；投标人的投标文件和投标人的澄清、说明或者更正和《招标文件》相关要求都不明确的，按国家相关标准；以上都不明确的，以通常标准为准。</w:t>
      </w:r>
    </w:p>
    <w:p w14:paraId="49307F03">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4、验收程序：合同标的全部交付并安装完毕后，乙方可向甲方书面提出验收要求，甲方在接到书面要求后进行验收，如果验收因乙方原因发生迟延和在其它情况下发生额外费用，甲方有权就因迟延发生的损害和损失和任何额外费用请求赔偿。</w:t>
      </w:r>
    </w:p>
    <w:p w14:paraId="3D609D90">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cs="宋体"/>
          <w:b/>
          <w:bCs/>
          <w:color w:val="auto"/>
          <w:sz w:val="24"/>
          <w:szCs w:val="24"/>
          <w:lang w:val="en-US" w:eastAsia="zh-CN"/>
        </w:rPr>
        <w:t>七</w:t>
      </w:r>
      <w:r>
        <w:rPr>
          <w:rFonts w:hint="eastAsia" w:ascii="宋体" w:hAnsi="宋体" w:eastAsia="宋体" w:cs="宋体"/>
          <w:b/>
          <w:bCs/>
          <w:color w:val="auto"/>
          <w:sz w:val="24"/>
          <w:szCs w:val="24"/>
          <w:lang w:val="en-US" w:eastAsia="zh-CN"/>
        </w:rPr>
        <w:t>、售后服务要求</w:t>
      </w:r>
    </w:p>
    <w:p w14:paraId="3DD0F232">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1、质保期</w:t>
      </w:r>
      <w:r>
        <w:rPr>
          <w:rFonts w:hint="eastAsia" w:ascii="宋体" w:hAnsi="宋体" w:cs="宋体"/>
          <w:b/>
          <w:bCs/>
          <w:color w:val="auto"/>
          <w:sz w:val="24"/>
          <w:szCs w:val="24"/>
          <w:lang w:val="en-US" w:eastAsia="zh-CN"/>
        </w:rPr>
        <w:t>要求</w:t>
      </w:r>
      <w:r>
        <w:rPr>
          <w:rFonts w:hint="eastAsia" w:ascii="宋体" w:hAnsi="宋体" w:eastAsia="宋体" w:cs="宋体"/>
          <w:b/>
          <w:bCs/>
          <w:color w:val="auto"/>
          <w:sz w:val="24"/>
          <w:szCs w:val="24"/>
          <w:lang w:val="en-US" w:eastAsia="zh-CN"/>
        </w:rPr>
        <w:t>：提供全套设备不少于5年免费原厂质保和软件终身免费升级服务（自最终验收合格之日起，开始进入质保期</w:t>
      </w:r>
      <w:r>
        <w:rPr>
          <w:rFonts w:hint="eastAsia" w:ascii="宋体" w:hAnsi="宋体" w:cs="宋体"/>
          <w:b/>
          <w:bCs/>
          <w:color w:val="auto"/>
          <w:sz w:val="24"/>
          <w:szCs w:val="24"/>
          <w:lang w:val="en-US" w:eastAsia="zh-CN"/>
        </w:rPr>
        <w:t>，原厂质保情况通过原厂渠道可查</w:t>
      </w:r>
      <w:r>
        <w:rPr>
          <w:rFonts w:hint="eastAsia" w:ascii="宋体" w:hAnsi="宋体" w:eastAsia="宋体" w:cs="宋体"/>
          <w:b/>
          <w:bCs/>
          <w:color w:val="auto"/>
          <w:sz w:val="24"/>
          <w:szCs w:val="24"/>
          <w:lang w:val="en-US" w:eastAsia="zh-CN"/>
        </w:rPr>
        <w:t>）。</w:t>
      </w:r>
    </w:p>
    <w:p w14:paraId="3A217BB0">
      <w:pPr>
        <w:keepNext w:val="0"/>
        <w:keepLines w:val="0"/>
        <w:pageBreakBefore w:val="0"/>
        <w:widowControl/>
        <w:spacing w:line="360" w:lineRule="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说明：本“1、质保期要求”为不允许偏离的实质性要求和条件，如有偏离，在符合性审查时按照响应无效处理。</w:t>
      </w:r>
    </w:p>
    <w:p w14:paraId="5A269590">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质保期内提供7×24小时响应服务，24小时内到达现场维修</w:t>
      </w:r>
      <w:r>
        <w:rPr>
          <w:rFonts w:hint="eastAsia" w:ascii="宋体" w:hAnsi="宋体" w:cs="宋体"/>
          <w:b w:val="0"/>
          <w:bCs w:val="0"/>
          <w:color w:val="auto"/>
          <w:sz w:val="24"/>
          <w:szCs w:val="24"/>
          <w:lang w:val="en-US" w:eastAsia="zh-CN"/>
        </w:rPr>
        <w:t>。</w:t>
      </w:r>
      <w:r>
        <w:rPr>
          <w:rFonts w:hint="eastAsia" w:ascii="宋体" w:hAnsi="宋体" w:eastAsia="宋体" w:cs="宋体"/>
          <w:b w:val="0"/>
          <w:bCs w:val="0"/>
          <w:color w:val="auto"/>
          <w:sz w:val="24"/>
          <w:szCs w:val="24"/>
          <w:lang w:val="en-US" w:eastAsia="zh-CN"/>
        </w:rPr>
        <w:t>保修期外维修仅收取成本费、不额外收取人工费；设备故障维修期间保证提供备用机。</w:t>
      </w:r>
    </w:p>
    <w:p w14:paraId="3687E9AA">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3、</w:t>
      </w:r>
      <w:r>
        <w:rPr>
          <w:rFonts w:hint="eastAsia" w:ascii="宋体" w:hAnsi="宋体" w:eastAsia="宋体" w:cs="宋体"/>
          <w:b w:val="0"/>
          <w:bCs w:val="0"/>
          <w:color w:val="auto"/>
          <w:sz w:val="24"/>
          <w:szCs w:val="24"/>
          <w:lang w:val="en-US" w:eastAsia="zh-CN"/>
        </w:rPr>
        <w:t>备件供应保障至少10年</w:t>
      </w:r>
      <w:r>
        <w:rPr>
          <w:rFonts w:hint="eastAsia" w:ascii="宋体" w:hAnsi="宋体" w:cs="宋体"/>
          <w:b w:val="0"/>
          <w:bCs w:val="0"/>
          <w:color w:val="auto"/>
          <w:sz w:val="24"/>
          <w:szCs w:val="24"/>
          <w:lang w:val="en-US" w:eastAsia="zh-CN"/>
        </w:rPr>
        <w:t>。</w:t>
      </w:r>
    </w:p>
    <w:p w14:paraId="50344966">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4、</w:t>
      </w:r>
      <w:r>
        <w:rPr>
          <w:rFonts w:hint="eastAsia" w:ascii="宋体" w:hAnsi="宋体" w:eastAsia="宋体" w:cs="宋体"/>
          <w:b w:val="0"/>
          <w:bCs w:val="0"/>
          <w:color w:val="auto"/>
          <w:sz w:val="24"/>
          <w:szCs w:val="24"/>
          <w:lang w:val="en-US" w:eastAsia="zh-CN"/>
        </w:rPr>
        <w:t>在质保期内，对采购人所提出的维修要求做出实质性响应，并提供应急策略；严格按照招标文件要求及时供货，并向采购人提供及时的完善的售前、售中、售后服务。</w:t>
      </w:r>
    </w:p>
    <w:p w14:paraId="0B5788A1">
      <w:pPr>
        <w:keepNext w:val="0"/>
        <w:keepLines w:val="0"/>
        <w:pageBreakBefore w:val="0"/>
        <w:widowControl/>
        <w:spacing w:line="360" w:lineRule="auto"/>
        <w:outlineLvl w:val="9"/>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5、质保期满后的服务要求</w:t>
      </w:r>
    </w:p>
    <w:p w14:paraId="5A1528EA">
      <w:pPr>
        <w:keepNext w:val="0"/>
        <w:keepLines w:val="0"/>
        <w:pageBreakBefore w:val="0"/>
        <w:widowControl/>
        <w:spacing w:line="360" w:lineRule="auto"/>
        <w:outlineLvl w:val="9"/>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5.1投标文件中提供后续维保报价、设备常用配件报价。提供的质保期满后的服务方案须满足临床使用需求。后续维保报价、设备常用配件报价须科学合理。</w:t>
      </w:r>
    </w:p>
    <w:p w14:paraId="7A4DD79E">
      <w:pPr>
        <w:keepNext w:val="0"/>
        <w:keepLines w:val="0"/>
        <w:pageBreakBefore w:val="0"/>
        <w:widowControl/>
        <w:spacing w:line="360" w:lineRule="auto"/>
        <w:outlineLvl w:val="9"/>
        <w:rPr>
          <w:rFonts w:hint="eastAsia" w:ascii="宋体" w:hAnsi="宋体" w:cs="宋体"/>
          <w:b w:val="0"/>
          <w:bCs w:val="0"/>
          <w:color w:val="auto"/>
          <w:sz w:val="24"/>
          <w:szCs w:val="24"/>
          <w:lang w:val="en-US" w:eastAsia="zh-CN"/>
        </w:rPr>
      </w:pPr>
      <w:r>
        <w:rPr>
          <w:rFonts w:hint="eastAsia" w:ascii="宋体" w:hAnsi="宋体" w:cs="宋体"/>
          <w:b w:val="0"/>
          <w:bCs w:val="0"/>
          <w:color w:val="auto"/>
          <w:sz w:val="24"/>
          <w:szCs w:val="24"/>
          <w:lang w:val="en-US" w:eastAsia="zh-CN"/>
        </w:rPr>
        <w:t>5.2投标文件中提供质保期满后的响应时间、人员安排。</w:t>
      </w:r>
    </w:p>
    <w:p w14:paraId="2E26B233">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6</w:t>
      </w:r>
      <w:r>
        <w:rPr>
          <w:rFonts w:hint="eastAsia" w:ascii="宋体" w:hAnsi="宋体" w:eastAsia="宋体" w:cs="宋体"/>
          <w:b w:val="0"/>
          <w:bCs w:val="0"/>
          <w:color w:val="auto"/>
          <w:sz w:val="24"/>
          <w:szCs w:val="24"/>
          <w:lang w:val="en-US" w:eastAsia="zh-CN"/>
        </w:rPr>
        <w:t>、软件维保服务要求：</w:t>
      </w:r>
    </w:p>
    <w:p w14:paraId="08744B4C">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系统bug引起的问题，中标人负责提供维护升级进行修复；系统使用过程中，系统异常导致的无法使用协助排查并处理；按照采购人经营调整需求，提供系统配置调整建议；紧急问题，及时提供应急方案，降低影响。</w:t>
      </w:r>
    </w:p>
    <w:p w14:paraId="01FCE553">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7</w:t>
      </w:r>
      <w:r>
        <w:rPr>
          <w:rFonts w:hint="eastAsia" w:ascii="宋体" w:hAnsi="宋体" w:eastAsia="宋体" w:cs="宋体"/>
          <w:b w:val="0"/>
          <w:bCs w:val="0"/>
          <w:color w:val="auto"/>
          <w:sz w:val="24"/>
          <w:szCs w:val="24"/>
          <w:lang w:val="en-US" w:eastAsia="zh-CN"/>
        </w:rPr>
        <w:t>、硬件服务要求：</w:t>
      </w:r>
    </w:p>
    <w:p w14:paraId="6EE524FA">
      <w:pPr>
        <w:keepNext w:val="0"/>
        <w:keepLines w:val="0"/>
        <w:pageBreakBefore w:val="0"/>
        <w:widowControl/>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中标人负责安装以及调试；维保期内，设备出现故障、异常现象或任何异常问题，中标人负责排查以及更换。中标人负责为采购人提供全面的技术支持，帮助采购人及时解决使用中遇到的技术问题。中标人维护人员在采购人授权后，可通过远程连接进入采购人的系统帮助采购人解决问题。中标人可远程连接采购人的系统来进行运维操作，确保系统采购人系统正常运行。 </w:t>
      </w:r>
    </w:p>
    <w:p w14:paraId="04AA791A">
      <w:pPr>
        <w:keepNext w:val="0"/>
        <w:keepLines w:val="0"/>
        <w:pageBreakBefore w:val="0"/>
        <w:widowControl/>
        <w:numPr>
          <w:ilvl w:val="0"/>
          <w:numId w:val="0"/>
        </w:numPr>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bidi="ar-SA"/>
        </w:rPr>
        <w:t>8</w:t>
      </w:r>
      <w:r>
        <w:rPr>
          <w:rFonts w:hint="eastAsia" w:ascii="宋体" w:hAnsi="宋体" w:eastAsia="宋体" w:cs="宋体"/>
          <w:b w:val="0"/>
          <w:bCs w:val="0"/>
          <w:color w:val="auto"/>
          <w:sz w:val="24"/>
          <w:szCs w:val="24"/>
          <w:lang w:val="en-US" w:eastAsia="zh-CN" w:bidi="ar-SA"/>
        </w:rPr>
        <w:t>、</w:t>
      </w:r>
      <w:r>
        <w:rPr>
          <w:rFonts w:hint="eastAsia" w:ascii="宋体" w:hAnsi="宋体" w:eastAsia="宋体" w:cs="宋体"/>
          <w:b w:val="0"/>
          <w:bCs w:val="0"/>
          <w:color w:val="auto"/>
          <w:sz w:val="24"/>
          <w:szCs w:val="24"/>
          <w:lang w:val="en-US" w:eastAsia="zh-CN"/>
        </w:rPr>
        <w:t>培训要求：</w:t>
      </w:r>
    </w:p>
    <w:p w14:paraId="0861886E">
      <w:pPr>
        <w:keepNext w:val="0"/>
        <w:keepLines w:val="0"/>
        <w:pageBreakBefore w:val="0"/>
        <w:widowControl/>
        <w:numPr>
          <w:ilvl w:val="0"/>
          <w:numId w:val="0"/>
        </w:numPr>
        <w:spacing w:line="360" w:lineRule="auto"/>
        <w:outlineLvl w:val="9"/>
        <w:rPr>
          <w:rFonts w:hint="eastAsia" w:ascii="宋体" w:hAnsi="宋体" w:eastAsia="宋体" w:cs="宋体"/>
          <w:b w:val="0"/>
          <w:bCs w:val="0"/>
          <w:color w:val="auto"/>
          <w:sz w:val="24"/>
          <w:szCs w:val="24"/>
          <w:lang w:val="en-US" w:eastAsia="zh-CN"/>
        </w:rPr>
      </w:pPr>
      <w:r>
        <w:rPr>
          <w:rFonts w:hint="eastAsia" w:ascii="宋体" w:hAnsi="宋体" w:cs="宋体"/>
          <w:b w:val="0"/>
          <w:bCs w:val="0"/>
          <w:color w:val="auto"/>
          <w:sz w:val="24"/>
          <w:szCs w:val="24"/>
          <w:lang w:val="en-US" w:eastAsia="zh-CN"/>
        </w:rPr>
        <w:t>8.1 免费提供应用培训服务，确保操作人员熟练使用，</w:t>
      </w:r>
      <w:r>
        <w:rPr>
          <w:rFonts w:hint="eastAsia" w:ascii="宋体" w:hAnsi="宋体" w:eastAsia="宋体" w:cs="宋体"/>
          <w:b w:val="0"/>
          <w:bCs w:val="0"/>
          <w:color w:val="auto"/>
          <w:sz w:val="24"/>
          <w:szCs w:val="24"/>
          <w:lang w:val="en-US" w:eastAsia="zh-CN"/>
        </w:rPr>
        <w:t>培训内容主要包括应急指挥信息系统、融合通信系统以及信息化硬件产品等的工作原理、系统组成、系统操作，并结合需要，对系统管理人员进行系统传输特性、验收、测试方法、验收技术标准和其它相关技术要求的培训。</w:t>
      </w:r>
    </w:p>
    <w:p w14:paraId="789E9777">
      <w:pPr>
        <w:spacing w:line="360" w:lineRule="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8.2 免费提供科研支持服务，包括但不限于开展临床观察、数据采集、数据统计、科研设计、项目申报等，服务期限与质保年限一致。</w:t>
      </w:r>
    </w:p>
    <w:p w14:paraId="4C927C56">
      <w:pPr>
        <w:spacing w:line="360" w:lineRule="auto"/>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lang w:val="en-US" w:eastAsia="zh-CN"/>
        </w:rPr>
        <w:t>八</w:t>
      </w:r>
      <w:r>
        <w:rPr>
          <w:rFonts w:hint="eastAsia" w:asciiTheme="minorEastAsia" w:hAnsiTheme="minorEastAsia" w:eastAsiaTheme="minorEastAsia" w:cstheme="minorEastAsia"/>
          <w:b/>
          <w:color w:val="auto"/>
          <w:sz w:val="24"/>
          <w:szCs w:val="24"/>
        </w:rPr>
        <w:t>、其他要求：见招标文件第五章《拟签订的合同文本》。</w:t>
      </w:r>
    </w:p>
    <w:p w14:paraId="3600594C">
      <w:pPr>
        <w:spacing w:line="360" w:lineRule="auto"/>
        <w:rPr>
          <w:rStyle w:val="239"/>
          <w:rFonts w:hint="eastAsia" w:asciiTheme="minorEastAsia" w:hAnsiTheme="minorEastAsia" w:eastAsiaTheme="minorEastAsia" w:cstheme="minorEastAsia"/>
          <w:b/>
          <w:bCs/>
          <w:color w:val="auto"/>
          <w:sz w:val="24"/>
        </w:rPr>
      </w:pPr>
    </w:p>
    <w:p w14:paraId="1FAF378B">
      <w:pPr>
        <w:pBdr>
          <w:top w:val="none" w:color="000000" w:sz="0" w:space="0"/>
          <w:left w:val="none" w:color="000000" w:sz="0" w:space="0"/>
          <w:bottom w:val="none" w:color="000000" w:sz="0" w:space="0"/>
          <w:right w:val="none" w:color="000000" w:sz="0" w:space="0"/>
        </w:pBdr>
        <w:spacing w:line="239" w:lineRule="atLeast"/>
        <w:jc w:val="center"/>
        <w:rPr>
          <w:rFonts w:hint="eastAsia" w:asciiTheme="minorEastAsia" w:hAnsiTheme="minorEastAsia" w:eastAsiaTheme="minorEastAsia" w:cstheme="minorEastAsia"/>
          <w:b/>
          <w:color w:val="auto"/>
          <w:sz w:val="30"/>
        </w:rPr>
        <w:sectPr>
          <w:headerReference r:id="rId7" w:type="default"/>
          <w:footerReference r:id="rId8" w:type="default"/>
          <w:pgSz w:w="11906" w:h="16838"/>
          <w:pgMar w:top="1440" w:right="1803" w:bottom="1440" w:left="1803" w:header="851" w:footer="992" w:gutter="0"/>
          <w:cols w:space="720" w:num="1"/>
          <w:docGrid w:linePitch="360" w:charSpace="0"/>
        </w:sectPr>
      </w:pPr>
    </w:p>
    <w:p w14:paraId="5B3C7002">
      <w:p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color w:val="auto"/>
          <w:sz w:val="32"/>
        </w:rPr>
      </w:pPr>
      <w:r>
        <w:rPr>
          <w:rFonts w:hint="eastAsia" w:asciiTheme="minorEastAsia" w:hAnsiTheme="minorEastAsia" w:eastAsiaTheme="minorEastAsia" w:cstheme="minorEastAsia"/>
          <w:b/>
          <w:color w:val="auto"/>
          <w:sz w:val="30"/>
        </w:rPr>
        <w:t>第七章</w:t>
      </w:r>
      <w:r>
        <w:rPr>
          <w:rFonts w:hint="eastAsia" w:asciiTheme="minorEastAsia" w:hAnsiTheme="minorEastAsia" w:eastAsiaTheme="minorEastAsia" w:cstheme="minorEastAsia"/>
          <w:b/>
          <w:color w:val="auto"/>
          <w:sz w:val="30"/>
          <w:lang w:val="en-US" w:eastAsia="zh-CN"/>
        </w:rPr>
        <w:t xml:space="preserve"> </w:t>
      </w:r>
      <w:r>
        <w:rPr>
          <w:rFonts w:hint="eastAsia" w:asciiTheme="minorEastAsia" w:hAnsiTheme="minorEastAsia" w:eastAsiaTheme="minorEastAsia" w:cstheme="minorEastAsia"/>
          <w:b/>
          <w:color w:val="auto"/>
          <w:sz w:val="30"/>
        </w:rPr>
        <w:t>投标文件相关格式</w:t>
      </w:r>
    </w:p>
    <w:p w14:paraId="01BDE762">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一、投标函格式</w:t>
      </w:r>
    </w:p>
    <w:p w14:paraId="2E4760BE">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rPr>
          <w:rFonts w:hint="eastAsia" w:asciiTheme="minorEastAsia" w:hAnsiTheme="minorEastAsia" w:eastAsiaTheme="minorEastAsia" w:cstheme="minorEastAsia"/>
          <w:color w:val="auto"/>
          <w:sz w:val="24"/>
          <w:szCs w:val="24"/>
          <w:lang w:eastAsia="zh-CN"/>
        </w:rPr>
      </w:pPr>
      <w:r>
        <w:rPr>
          <w:rFonts w:hint="eastAsia" w:asciiTheme="minorEastAsia" w:hAnsiTheme="minorEastAsia" w:eastAsiaTheme="minorEastAsia" w:cstheme="minorEastAsia"/>
          <w:color w:val="auto"/>
          <w:sz w:val="24"/>
          <w:szCs w:val="24"/>
        </w:rPr>
        <w:t>致：</w:t>
      </w:r>
      <w:r>
        <w:rPr>
          <w:rFonts w:hint="eastAsia" w:asciiTheme="minorEastAsia" w:hAnsiTheme="minorEastAsia" w:eastAsiaTheme="minorEastAsia" w:cstheme="minorEastAsia"/>
          <w:color w:val="auto"/>
          <w:sz w:val="24"/>
          <w:szCs w:val="24"/>
          <w:u w:val="single"/>
          <w:lang w:eastAsia="zh-CN"/>
        </w:rPr>
        <w:t>徐州市第一人民医院</w:t>
      </w:r>
    </w:p>
    <w:p w14:paraId="38E30A67">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根据</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项目[项目编号：</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]招标文件，</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(姓名)代表我方</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（投标人的名称）全权处理本次投标的有关事宜。</w:t>
      </w:r>
    </w:p>
    <w:p w14:paraId="089EEC0B">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据此函，投标人承诺并同意如下： </w:t>
      </w:r>
    </w:p>
    <w:p w14:paraId="26D3D76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 投标人唯一投标报价见《开标一览表》。</w:t>
      </w:r>
    </w:p>
    <w:p w14:paraId="186CF3B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 投标人将按招标文件的规定履行合同责任和义务。</w:t>
      </w:r>
    </w:p>
    <w:p w14:paraId="4C4DF52D">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 投标人已详细审查全部招标文件，包括第[插入编号] [补遗书][如果有的话]。投标人完全理解并同意放弃对这方面有不明及误解的权力。</w:t>
      </w:r>
    </w:p>
    <w:p w14:paraId="160834CC">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 投标有效期为开标之日后90天。</w:t>
      </w:r>
    </w:p>
    <w:p w14:paraId="648506F3">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5</w:t>
      </w:r>
      <w:r>
        <w:rPr>
          <w:rFonts w:hint="eastAsia" w:asciiTheme="minorEastAsia" w:hAnsiTheme="minorEastAsia" w:eastAsiaTheme="minorEastAsia" w:cstheme="minorEastAsia"/>
          <w:color w:val="auto"/>
          <w:sz w:val="24"/>
          <w:szCs w:val="24"/>
        </w:rPr>
        <w:t>. 投标人同意提供按照贵方可能要求的与其投标有关的一切数据或资料，完全理解贵方不一定接受最低价的投标或收到的任何投标。</w:t>
      </w:r>
    </w:p>
    <w:p w14:paraId="13258C73">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6</w:t>
      </w:r>
      <w:r>
        <w:rPr>
          <w:rFonts w:hint="eastAsia" w:asciiTheme="minorEastAsia" w:hAnsiTheme="minorEastAsia" w:eastAsiaTheme="minorEastAsia" w:cstheme="minorEastAsia"/>
          <w:color w:val="auto"/>
          <w:sz w:val="24"/>
          <w:szCs w:val="24"/>
        </w:rPr>
        <w:t>. 投标人同意按照招标文件规定支付招标代理服务费。</w:t>
      </w:r>
    </w:p>
    <w:p w14:paraId="32FC71E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7、采购人或采购代理机构有权将我单位本项目投标文件中的《开标一览表》和《分项价格表》予以公示，公示的方式由采购人或采购代理机构确定。如我单位被确定为中标供应商，采购人或采购代理机构有权将我单位本项目投标文件中的《中小企业声明函》（如有）、《残疾人福利性单位声明函》（如有）和《关于符合本国产品标准的声明函》（如有）或财政部会同有关部门规定的符合本国产品标准的有关证明文件（如有）作为《中标（成交）结果公告》的附件予以公告。</w:t>
      </w:r>
    </w:p>
    <w:p w14:paraId="404E7595">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8</w:t>
      </w:r>
      <w:r>
        <w:rPr>
          <w:rFonts w:hint="eastAsia" w:asciiTheme="minorEastAsia" w:hAnsiTheme="minorEastAsia" w:eastAsiaTheme="minorEastAsia" w:cstheme="minorEastAsia"/>
          <w:color w:val="auto"/>
          <w:sz w:val="24"/>
          <w:szCs w:val="24"/>
        </w:rPr>
        <w:t>. 采购人有权对投标人投标文件的真实性进行核实，如投标人不能在采购人规定的时间内向采购人提供有效的证明文件，将被采购人视为放弃中标资格。</w:t>
      </w:r>
    </w:p>
    <w:p w14:paraId="1159FB39">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9</w:t>
      </w:r>
      <w:r>
        <w:rPr>
          <w:rFonts w:hint="eastAsia" w:asciiTheme="minorEastAsia" w:hAnsiTheme="minorEastAsia" w:eastAsiaTheme="minorEastAsia" w:cstheme="minorEastAsia"/>
          <w:color w:val="auto"/>
          <w:sz w:val="24"/>
          <w:szCs w:val="24"/>
        </w:rPr>
        <w:t>. 与本投标有关的一切正式往来信函请寄：</w:t>
      </w:r>
    </w:p>
    <w:p w14:paraId="0D5EB8F3">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地址： </w:t>
      </w:r>
    </w:p>
    <w:p w14:paraId="4B67622E">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电话： </w:t>
      </w:r>
    </w:p>
    <w:p w14:paraId="5DE24210">
      <w:pPr>
        <w:keepNext w:val="0"/>
        <w:keepLines w:val="0"/>
        <w:pageBreakBefore w:val="0"/>
        <w:widowControl w:val="0"/>
        <w:pBdr>
          <w:top w:val="none" w:color="000000" w:sz="0" w:space="0"/>
          <w:left w:val="none" w:color="000000" w:sz="0" w:space="0"/>
          <w:bottom w:val="none" w:color="000000" w:sz="0" w:space="0"/>
          <w:right w:val="none" w:color="000000" w:sz="0" w:space="0"/>
        </w:pBdr>
        <w:spacing w:line="460" w:lineRule="exact"/>
        <w:ind w:firstLine="12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传真： </w:t>
      </w:r>
    </w:p>
    <w:p w14:paraId="58AF7F6B">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（电子签章）</w:t>
      </w:r>
    </w:p>
    <w:p w14:paraId="3C429A28">
      <w:pPr>
        <w:keepNext w:val="0"/>
        <w:keepLines w:val="0"/>
        <w:pageBreakBefore w:val="0"/>
        <w:widowControl w:val="0"/>
        <w:pBdr>
          <w:top w:val="none" w:color="000000" w:sz="0" w:space="0"/>
          <w:left w:val="none" w:color="000000" w:sz="0" w:space="0"/>
          <w:bottom w:val="none" w:color="000000" w:sz="0" w:space="0"/>
          <w:right w:val="none" w:color="000000" w:sz="0" w:space="0"/>
        </w:pBdr>
        <w:spacing w:line="440" w:lineRule="exact"/>
        <w:ind w:firstLine="33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 月 日</w:t>
      </w:r>
    </w:p>
    <w:p w14:paraId="1826242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clear="all"/>
      </w:r>
    </w:p>
    <w:p w14:paraId="250EC016">
      <w:pPr>
        <w:pBdr>
          <w:top w:val="none" w:color="000000" w:sz="0" w:space="0"/>
          <w:left w:val="none" w:color="000000" w:sz="0" w:space="0"/>
          <w:bottom w:val="none" w:color="000000" w:sz="0" w:space="0"/>
          <w:right w:val="none" w:color="000000" w:sz="0" w:space="0"/>
        </w:pBdr>
        <w:spacing w:line="360" w:lineRule="auto"/>
        <w:ind w:firstLine="640"/>
        <w:jc w:val="center"/>
        <w:rPr>
          <w:rFonts w:hint="eastAsia" w:asciiTheme="minorEastAsia" w:hAnsiTheme="minorEastAsia" w:eastAsiaTheme="minorEastAsia" w:cstheme="minorEastAsia"/>
          <w:b/>
          <w:bCs/>
          <w:color w:val="auto"/>
          <w:sz w:val="32"/>
          <w:szCs w:val="32"/>
          <w:lang w:val="en-US" w:eastAsia="zh-CN"/>
        </w:rPr>
      </w:pPr>
      <w:r>
        <w:rPr>
          <w:rFonts w:hint="eastAsia" w:asciiTheme="minorEastAsia" w:hAnsiTheme="minorEastAsia" w:eastAsiaTheme="minorEastAsia" w:cstheme="minorEastAsia"/>
          <w:b/>
          <w:bCs/>
          <w:color w:val="auto"/>
          <w:sz w:val="32"/>
          <w:szCs w:val="32"/>
        </w:rPr>
        <w:t>二、开标一览表格式</w:t>
      </w:r>
      <w:r>
        <w:rPr>
          <w:rFonts w:hint="eastAsia" w:asciiTheme="minorEastAsia" w:hAnsiTheme="minorEastAsia" w:eastAsiaTheme="minorEastAsia" w:cstheme="minorEastAsia"/>
          <w:b/>
          <w:bCs/>
          <w:color w:val="auto"/>
          <w:sz w:val="32"/>
          <w:szCs w:val="32"/>
          <w:lang w:val="en-US" w:eastAsia="zh-CN"/>
        </w:rPr>
        <w:t xml:space="preserve"> </w:t>
      </w:r>
    </w:p>
    <w:p w14:paraId="3684E5C1">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auto"/>
          <w:sz w:val="24"/>
          <w:szCs w:val="24"/>
        </w:rPr>
      </w:pPr>
    </w:p>
    <w:p w14:paraId="4719EB45">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auto"/>
          <w:sz w:val="24"/>
          <w:szCs w:val="24"/>
        </w:rPr>
      </w:pPr>
    </w:p>
    <w:p w14:paraId="4A6A16AE">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hint="eastAsia" w:ascii="宋体" w:hAnsi="宋体" w:cs="宋体"/>
          <w:color w:val="auto"/>
          <w:sz w:val="24"/>
          <w:szCs w:val="24"/>
        </w:rPr>
      </w:pPr>
    </w:p>
    <w:p w14:paraId="4FE2ECD3">
      <w:pPr>
        <w:widowControl/>
        <w:pBdr>
          <w:top w:val="none" w:color="000000" w:sz="0" w:space="0"/>
          <w:left w:val="none" w:color="000000" w:sz="0" w:space="0"/>
          <w:bottom w:val="none" w:color="000000" w:sz="0" w:space="0"/>
          <w:right w:val="none" w:color="000000" w:sz="0" w:space="0"/>
        </w:pBdr>
        <w:spacing w:after="0" w:line="360" w:lineRule="auto"/>
        <w:ind w:firstLine="480"/>
        <w:jc w:val="center"/>
        <w:rPr>
          <w:rFonts w:ascii="宋体" w:hAnsi="宋体" w:eastAsia="宋体" w:cs="仿宋"/>
          <w:color w:val="auto"/>
          <w:sz w:val="24"/>
          <w:szCs w:val="24"/>
          <w:highlight w:val="none"/>
          <w:lang w:eastAsia="zh-CN"/>
        </w:rPr>
      </w:pPr>
      <w:r>
        <w:rPr>
          <w:rFonts w:hint="eastAsia" w:ascii="宋体" w:hAnsi="宋体" w:cs="宋体"/>
          <w:color w:val="auto"/>
          <w:sz w:val="24"/>
          <w:szCs w:val="24"/>
        </w:rPr>
        <w:t> </w:t>
      </w:r>
      <w:r>
        <w:rPr>
          <w:rFonts w:hint="eastAsia" w:ascii="宋体" w:hAnsi="宋体" w:eastAsia="宋体" w:cs="宋体"/>
          <w:i/>
          <w:iCs/>
          <w:color w:val="auto"/>
          <w:sz w:val="24"/>
          <w:szCs w:val="24"/>
          <w:highlight w:val="none"/>
          <w:u w:val="single"/>
          <w:lang w:eastAsia="en-US"/>
        </w:rPr>
        <w:t>政府采购客户端工具输入报价自动生成</w:t>
      </w:r>
    </w:p>
    <w:p w14:paraId="1746FC25">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Theme="minorEastAsia" w:hAnsiTheme="minorEastAsia" w:eastAsiaTheme="minorEastAsia" w:cstheme="minorEastAsia"/>
          <w:b/>
          <w:bCs/>
          <w:color w:val="auto"/>
          <w:sz w:val="32"/>
          <w:szCs w:val="32"/>
        </w:rPr>
        <w:sectPr>
          <w:pgSz w:w="11906" w:h="16838"/>
          <w:pgMar w:top="1440" w:right="1803" w:bottom="1440" w:left="1803" w:header="851" w:footer="992" w:gutter="0"/>
          <w:cols w:space="720" w:num="1"/>
          <w:docGrid w:linePitch="360" w:charSpace="0"/>
        </w:sectPr>
      </w:pPr>
    </w:p>
    <w:p w14:paraId="58B83F65">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三、分项价格表格式</w:t>
      </w:r>
    </w:p>
    <w:p w14:paraId="1018DEB1">
      <w:pPr>
        <w:pBdr>
          <w:top w:val="none" w:color="000000" w:sz="0" w:space="0"/>
          <w:left w:val="none" w:color="000000" w:sz="0" w:space="0"/>
          <w:bottom w:val="none" w:color="000000" w:sz="0" w:space="0"/>
          <w:right w:val="none" w:color="000000" w:sz="0" w:space="0"/>
        </w:pBdr>
        <w:spacing w:line="479" w:lineRule="atLeast"/>
        <w:ind w:firstLine="600"/>
        <w:rPr>
          <w:rFonts w:hint="eastAsia" w:asciiTheme="minorEastAsia" w:hAnsiTheme="minorEastAsia" w:eastAsiaTheme="minorEastAsia" w:cstheme="minorEastAsia"/>
          <w:color w:val="auto"/>
          <w:sz w:val="30"/>
        </w:rPr>
      </w:pPr>
    </w:p>
    <w:p w14:paraId="70BF35FD">
      <w:pP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14C892E0">
      <w:pP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p>
    <w:p w14:paraId="2AA75B73">
      <w:pPr>
        <w:jc w:val="righ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xml:space="preserve">          　 货币单位：人民币元</w:t>
      </w:r>
    </w:p>
    <w:p w14:paraId="404CF383">
      <w:pPr>
        <w:ind w:firstLine="3120"/>
        <w:rPr>
          <w:rFonts w:hint="eastAsia" w:asciiTheme="minorEastAsia" w:hAnsiTheme="minorEastAsia" w:eastAsiaTheme="minorEastAsia" w:cstheme="minorEastAsia"/>
          <w:color w:val="auto"/>
          <w:sz w:val="24"/>
          <w:szCs w:val="24"/>
        </w:rPr>
      </w:pPr>
    </w:p>
    <w:tbl>
      <w:tblPr>
        <w:tblStyle w:val="42"/>
        <w:tblW w:w="9839" w:type="dxa"/>
        <w:jc w:val="center"/>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0" w:type="dxa"/>
          <w:bottom w:w="0" w:type="dxa"/>
          <w:right w:w="0" w:type="dxa"/>
        </w:tblCellMar>
      </w:tblPr>
      <w:tblGrid>
        <w:gridCol w:w="505"/>
        <w:gridCol w:w="975"/>
        <w:gridCol w:w="1005"/>
        <w:gridCol w:w="1346"/>
        <w:gridCol w:w="1999"/>
        <w:gridCol w:w="750"/>
        <w:gridCol w:w="862"/>
        <w:gridCol w:w="807"/>
        <w:gridCol w:w="806"/>
        <w:gridCol w:w="784"/>
      </w:tblGrid>
      <w:tr w14:paraId="727F145C">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583" w:hRule="atLeast"/>
          <w:jc w:val="center"/>
        </w:trPr>
        <w:tc>
          <w:tcPr>
            <w:tcW w:w="505" w:type="dxa"/>
            <w:shd w:val="clear" w:color="auto" w:fill="auto"/>
            <w:noWrap w:val="0"/>
            <w:tcMar>
              <w:top w:w="15" w:type="dxa"/>
              <w:left w:w="15" w:type="dxa"/>
              <w:bottom w:w="0" w:type="dxa"/>
              <w:right w:w="15" w:type="dxa"/>
            </w:tcMar>
            <w:vAlign w:val="center"/>
          </w:tcPr>
          <w:p w14:paraId="1FAB8726">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序号</w:t>
            </w:r>
          </w:p>
        </w:tc>
        <w:tc>
          <w:tcPr>
            <w:tcW w:w="975" w:type="dxa"/>
            <w:shd w:val="clear" w:color="auto" w:fill="auto"/>
            <w:noWrap w:val="0"/>
            <w:tcMar>
              <w:top w:w="15" w:type="dxa"/>
              <w:left w:w="15" w:type="dxa"/>
              <w:bottom w:w="0" w:type="dxa"/>
              <w:right w:w="15" w:type="dxa"/>
            </w:tcMar>
            <w:vAlign w:val="center"/>
          </w:tcPr>
          <w:p w14:paraId="1E9B4954">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名称</w:t>
            </w:r>
          </w:p>
        </w:tc>
        <w:tc>
          <w:tcPr>
            <w:tcW w:w="1005" w:type="dxa"/>
            <w:shd w:val="clear" w:color="auto" w:fill="auto"/>
            <w:noWrap w:val="0"/>
            <w:tcMar>
              <w:top w:w="15" w:type="dxa"/>
              <w:left w:w="15" w:type="dxa"/>
              <w:bottom w:w="0" w:type="dxa"/>
              <w:right w:w="15" w:type="dxa"/>
            </w:tcMar>
            <w:vAlign w:val="center"/>
          </w:tcPr>
          <w:p w14:paraId="0F43CABA">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品牌、规格、型号</w:t>
            </w:r>
          </w:p>
        </w:tc>
        <w:tc>
          <w:tcPr>
            <w:tcW w:w="1346" w:type="dxa"/>
            <w:shd w:val="clear" w:color="auto" w:fill="auto"/>
            <w:noWrap w:val="0"/>
            <w:tcMar>
              <w:top w:w="15" w:type="dxa"/>
              <w:left w:w="15" w:type="dxa"/>
              <w:bottom w:w="0" w:type="dxa"/>
              <w:right w:w="15" w:type="dxa"/>
            </w:tcMar>
            <w:vAlign w:val="center"/>
          </w:tcPr>
          <w:p w14:paraId="42FB5DA0">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产品制造企业名称（全称）</w:t>
            </w:r>
          </w:p>
        </w:tc>
        <w:tc>
          <w:tcPr>
            <w:tcW w:w="1999" w:type="dxa"/>
            <w:shd w:val="clear" w:color="auto" w:fill="auto"/>
            <w:noWrap w:val="0"/>
            <w:tcMar>
              <w:top w:w="15" w:type="dxa"/>
              <w:left w:w="15" w:type="dxa"/>
              <w:bottom w:w="0" w:type="dxa"/>
              <w:right w:w="15" w:type="dxa"/>
            </w:tcMar>
            <w:vAlign w:val="center"/>
          </w:tcPr>
          <w:p w14:paraId="4014FB50">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产品制造企业的划分（大型、中型、小型、微型、监狱企业、享受政府采购支持政策的残疾人福利性单位）</w:t>
            </w:r>
          </w:p>
        </w:tc>
        <w:tc>
          <w:tcPr>
            <w:tcW w:w="750" w:type="dxa"/>
            <w:shd w:val="clear" w:color="auto" w:fill="auto"/>
            <w:noWrap w:val="0"/>
            <w:tcMar>
              <w:top w:w="15" w:type="dxa"/>
              <w:left w:w="15" w:type="dxa"/>
              <w:bottom w:w="0" w:type="dxa"/>
              <w:right w:w="15" w:type="dxa"/>
            </w:tcMar>
            <w:vAlign w:val="center"/>
          </w:tcPr>
          <w:p w14:paraId="364CC84B">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数量</w:t>
            </w:r>
          </w:p>
        </w:tc>
        <w:tc>
          <w:tcPr>
            <w:tcW w:w="862" w:type="dxa"/>
            <w:shd w:val="clear" w:color="auto" w:fill="auto"/>
            <w:noWrap w:val="0"/>
            <w:tcMar>
              <w:top w:w="15" w:type="dxa"/>
              <w:left w:w="15" w:type="dxa"/>
              <w:bottom w:w="0" w:type="dxa"/>
              <w:right w:w="15" w:type="dxa"/>
            </w:tcMar>
            <w:vAlign w:val="center"/>
          </w:tcPr>
          <w:p w14:paraId="43C83C30">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数量单位</w:t>
            </w:r>
          </w:p>
        </w:tc>
        <w:tc>
          <w:tcPr>
            <w:tcW w:w="807" w:type="dxa"/>
            <w:shd w:val="clear" w:color="auto" w:fill="auto"/>
            <w:noWrap w:val="0"/>
            <w:tcMar>
              <w:top w:w="15" w:type="dxa"/>
              <w:left w:w="15" w:type="dxa"/>
              <w:bottom w:w="0" w:type="dxa"/>
              <w:right w:w="15" w:type="dxa"/>
            </w:tcMar>
            <w:vAlign w:val="center"/>
          </w:tcPr>
          <w:p w14:paraId="6BC8149F">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单价</w:t>
            </w:r>
          </w:p>
        </w:tc>
        <w:tc>
          <w:tcPr>
            <w:tcW w:w="806" w:type="dxa"/>
            <w:shd w:val="clear" w:color="auto" w:fill="auto"/>
            <w:noWrap w:val="0"/>
            <w:vAlign w:val="center"/>
          </w:tcPr>
          <w:p w14:paraId="0CF15E9B">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总价</w:t>
            </w:r>
          </w:p>
        </w:tc>
        <w:tc>
          <w:tcPr>
            <w:tcW w:w="784" w:type="dxa"/>
            <w:shd w:val="clear" w:color="auto" w:fill="auto"/>
            <w:noWrap w:val="0"/>
            <w:tcMar>
              <w:top w:w="15" w:type="dxa"/>
              <w:left w:w="15" w:type="dxa"/>
              <w:bottom w:w="0" w:type="dxa"/>
              <w:right w:w="15" w:type="dxa"/>
            </w:tcMar>
            <w:vAlign w:val="center"/>
          </w:tcPr>
          <w:p w14:paraId="04C44D59">
            <w:pPr>
              <w:jc w:val="center"/>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备注</w:t>
            </w:r>
          </w:p>
        </w:tc>
      </w:tr>
      <w:tr w14:paraId="27733E2D">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00" w:hRule="atLeast"/>
          <w:jc w:val="center"/>
        </w:trPr>
        <w:tc>
          <w:tcPr>
            <w:tcW w:w="505" w:type="dxa"/>
            <w:shd w:val="clear" w:color="auto" w:fill="auto"/>
            <w:noWrap w:val="0"/>
            <w:tcMar>
              <w:top w:w="15" w:type="dxa"/>
              <w:left w:w="15" w:type="dxa"/>
              <w:bottom w:w="0" w:type="dxa"/>
              <w:right w:w="15" w:type="dxa"/>
            </w:tcMar>
            <w:vAlign w:val="bottom"/>
          </w:tcPr>
          <w:p w14:paraId="1F2EB0F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w:t>
            </w:r>
          </w:p>
        </w:tc>
        <w:tc>
          <w:tcPr>
            <w:tcW w:w="975" w:type="dxa"/>
            <w:shd w:val="clear" w:color="auto" w:fill="auto"/>
            <w:noWrap w:val="0"/>
            <w:tcMar>
              <w:top w:w="15" w:type="dxa"/>
              <w:left w:w="15" w:type="dxa"/>
              <w:bottom w:w="0" w:type="dxa"/>
              <w:right w:w="15" w:type="dxa"/>
            </w:tcMar>
            <w:vAlign w:val="bottom"/>
          </w:tcPr>
          <w:p w14:paraId="3EEDE0FA">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2FBC515E">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44806A7E">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71246BEE">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614F7581">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6A8BE402">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245E01AF">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18BD61B4">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3A43817A">
            <w:pPr>
              <w:jc w:val="center"/>
              <w:rPr>
                <w:rFonts w:hint="eastAsia" w:asciiTheme="minorEastAsia" w:hAnsiTheme="minorEastAsia" w:eastAsiaTheme="minorEastAsia" w:cstheme="minorEastAsia"/>
                <w:color w:val="auto"/>
                <w:sz w:val="24"/>
                <w:szCs w:val="24"/>
              </w:rPr>
            </w:pPr>
          </w:p>
        </w:tc>
      </w:tr>
      <w:tr w14:paraId="618CB9B1">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4" w:hRule="atLeast"/>
          <w:jc w:val="center"/>
        </w:trPr>
        <w:tc>
          <w:tcPr>
            <w:tcW w:w="505" w:type="dxa"/>
            <w:shd w:val="clear" w:color="auto" w:fill="auto"/>
            <w:noWrap w:val="0"/>
            <w:tcMar>
              <w:top w:w="15" w:type="dxa"/>
              <w:left w:w="15" w:type="dxa"/>
              <w:bottom w:w="0" w:type="dxa"/>
              <w:right w:w="15" w:type="dxa"/>
            </w:tcMar>
            <w:vAlign w:val="bottom"/>
          </w:tcPr>
          <w:p w14:paraId="2CBE3247">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w:t>
            </w:r>
          </w:p>
        </w:tc>
        <w:tc>
          <w:tcPr>
            <w:tcW w:w="975" w:type="dxa"/>
            <w:shd w:val="clear" w:color="auto" w:fill="auto"/>
            <w:noWrap w:val="0"/>
            <w:tcMar>
              <w:top w:w="15" w:type="dxa"/>
              <w:left w:w="15" w:type="dxa"/>
              <w:bottom w:w="0" w:type="dxa"/>
              <w:right w:w="15" w:type="dxa"/>
            </w:tcMar>
            <w:vAlign w:val="bottom"/>
          </w:tcPr>
          <w:p w14:paraId="25AE4B80">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40324329">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27179486">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2F23AD2F">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1E078B2D">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49DA729C">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0AAA2B5C">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4BA9F458">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45B68C64">
            <w:pPr>
              <w:jc w:val="center"/>
              <w:rPr>
                <w:rFonts w:hint="eastAsia" w:asciiTheme="minorEastAsia" w:hAnsiTheme="minorEastAsia" w:eastAsiaTheme="minorEastAsia" w:cstheme="minorEastAsia"/>
                <w:color w:val="auto"/>
                <w:sz w:val="24"/>
                <w:szCs w:val="24"/>
              </w:rPr>
            </w:pPr>
          </w:p>
        </w:tc>
      </w:tr>
      <w:tr w14:paraId="62195809">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14" w:hRule="atLeast"/>
          <w:jc w:val="center"/>
        </w:trPr>
        <w:tc>
          <w:tcPr>
            <w:tcW w:w="505" w:type="dxa"/>
            <w:shd w:val="clear" w:color="auto" w:fill="auto"/>
            <w:noWrap w:val="0"/>
            <w:tcMar>
              <w:top w:w="15" w:type="dxa"/>
              <w:left w:w="15" w:type="dxa"/>
              <w:bottom w:w="0" w:type="dxa"/>
              <w:right w:w="15" w:type="dxa"/>
            </w:tcMar>
            <w:vAlign w:val="bottom"/>
          </w:tcPr>
          <w:p w14:paraId="3446D024">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3</w:t>
            </w:r>
          </w:p>
        </w:tc>
        <w:tc>
          <w:tcPr>
            <w:tcW w:w="975" w:type="dxa"/>
            <w:shd w:val="clear" w:color="auto" w:fill="auto"/>
            <w:noWrap w:val="0"/>
            <w:tcMar>
              <w:top w:w="15" w:type="dxa"/>
              <w:left w:w="15" w:type="dxa"/>
              <w:bottom w:w="0" w:type="dxa"/>
              <w:right w:w="15" w:type="dxa"/>
            </w:tcMar>
            <w:vAlign w:val="bottom"/>
          </w:tcPr>
          <w:p w14:paraId="14386CF8">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6FDCAAF3">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4A3E05C2">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4C8CEF5F">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2D2E0DD9">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35268713">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5873CF7F">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07D8C845">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51C64AD6">
            <w:pPr>
              <w:jc w:val="center"/>
              <w:rPr>
                <w:rFonts w:hint="eastAsia" w:asciiTheme="minorEastAsia" w:hAnsiTheme="minorEastAsia" w:eastAsiaTheme="minorEastAsia" w:cstheme="minorEastAsia"/>
                <w:color w:val="auto"/>
                <w:sz w:val="24"/>
                <w:szCs w:val="24"/>
              </w:rPr>
            </w:pPr>
          </w:p>
        </w:tc>
      </w:tr>
      <w:tr w14:paraId="6633C941">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322" w:hRule="atLeast"/>
          <w:jc w:val="center"/>
        </w:trPr>
        <w:tc>
          <w:tcPr>
            <w:tcW w:w="505" w:type="dxa"/>
            <w:shd w:val="clear" w:color="auto" w:fill="auto"/>
            <w:noWrap w:val="0"/>
            <w:tcMar>
              <w:top w:w="15" w:type="dxa"/>
              <w:left w:w="15" w:type="dxa"/>
              <w:bottom w:w="0" w:type="dxa"/>
              <w:right w:w="15" w:type="dxa"/>
            </w:tcMar>
            <w:vAlign w:val="bottom"/>
          </w:tcPr>
          <w:p w14:paraId="77AF2292">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4</w:t>
            </w:r>
          </w:p>
        </w:tc>
        <w:tc>
          <w:tcPr>
            <w:tcW w:w="975" w:type="dxa"/>
            <w:shd w:val="clear" w:color="auto" w:fill="auto"/>
            <w:noWrap w:val="0"/>
            <w:tcMar>
              <w:top w:w="15" w:type="dxa"/>
              <w:left w:w="15" w:type="dxa"/>
              <w:bottom w:w="0" w:type="dxa"/>
              <w:right w:w="15" w:type="dxa"/>
            </w:tcMar>
            <w:vAlign w:val="bottom"/>
          </w:tcPr>
          <w:p w14:paraId="65A910FA">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301CDAD5">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095D8D0E">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71A17662">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53DE54D1">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6C05EDCD">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59041932">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5BE32D71">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6ED4F41F">
            <w:pPr>
              <w:jc w:val="center"/>
              <w:rPr>
                <w:rFonts w:hint="eastAsia" w:asciiTheme="minorEastAsia" w:hAnsiTheme="minorEastAsia" w:eastAsiaTheme="minorEastAsia" w:cstheme="minorEastAsia"/>
                <w:color w:val="auto"/>
                <w:sz w:val="24"/>
                <w:szCs w:val="24"/>
              </w:rPr>
            </w:pPr>
          </w:p>
        </w:tc>
      </w:tr>
      <w:tr w14:paraId="7325C40C">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505" w:type="dxa"/>
            <w:shd w:val="clear" w:color="auto" w:fill="auto"/>
            <w:noWrap w:val="0"/>
            <w:tcMar>
              <w:top w:w="15" w:type="dxa"/>
              <w:left w:w="15" w:type="dxa"/>
              <w:bottom w:w="0" w:type="dxa"/>
              <w:right w:w="15" w:type="dxa"/>
            </w:tcMar>
            <w:vAlign w:val="bottom"/>
          </w:tcPr>
          <w:p w14:paraId="5BCCE3DA">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5</w:t>
            </w:r>
          </w:p>
        </w:tc>
        <w:tc>
          <w:tcPr>
            <w:tcW w:w="975" w:type="dxa"/>
            <w:shd w:val="clear" w:color="auto" w:fill="auto"/>
            <w:noWrap w:val="0"/>
            <w:tcMar>
              <w:top w:w="15" w:type="dxa"/>
              <w:left w:w="15" w:type="dxa"/>
              <w:bottom w:w="0" w:type="dxa"/>
              <w:right w:w="15" w:type="dxa"/>
            </w:tcMar>
            <w:vAlign w:val="bottom"/>
          </w:tcPr>
          <w:p w14:paraId="4A5830DC">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15DEDFC4">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06660CCD">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6D59D2EB">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4DDEEC57">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6C6A79CB">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20E87513">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259C9475">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29E567A2">
            <w:pPr>
              <w:jc w:val="center"/>
              <w:rPr>
                <w:rFonts w:hint="eastAsia" w:asciiTheme="minorEastAsia" w:hAnsiTheme="minorEastAsia" w:eastAsiaTheme="minorEastAsia" w:cstheme="minorEastAsia"/>
                <w:color w:val="auto"/>
                <w:sz w:val="24"/>
                <w:szCs w:val="24"/>
              </w:rPr>
            </w:pPr>
          </w:p>
        </w:tc>
      </w:tr>
      <w:tr w14:paraId="5DB0A4BB">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85" w:hRule="atLeast"/>
          <w:jc w:val="center"/>
        </w:trPr>
        <w:tc>
          <w:tcPr>
            <w:tcW w:w="505" w:type="dxa"/>
            <w:shd w:val="clear" w:color="auto" w:fill="auto"/>
            <w:noWrap w:val="0"/>
            <w:tcMar>
              <w:top w:w="15" w:type="dxa"/>
              <w:left w:w="15" w:type="dxa"/>
              <w:bottom w:w="0" w:type="dxa"/>
              <w:right w:w="15" w:type="dxa"/>
            </w:tcMar>
            <w:vAlign w:val="bottom"/>
          </w:tcPr>
          <w:p w14:paraId="4AF49AB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6</w:t>
            </w:r>
          </w:p>
        </w:tc>
        <w:tc>
          <w:tcPr>
            <w:tcW w:w="975" w:type="dxa"/>
            <w:shd w:val="clear" w:color="auto" w:fill="auto"/>
            <w:noWrap w:val="0"/>
            <w:tcMar>
              <w:top w:w="15" w:type="dxa"/>
              <w:left w:w="15" w:type="dxa"/>
              <w:bottom w:w="0" w:type="dxa"/>
              <w:right w:w="15" w:type="dxa"/>
            </w:tcMar>
            <w:vAlign w:val="bottom"/>
          </w:tcPr>
          <w:p w14:paraId="3CF0D9C7">
            <w:pPr>
              <w:jc w:val="center"/>
              <w:rPr>
                <w:rFonts w:hint="eastAsia" w:asciiTheme="minorEastAsia" w:hAnsiTheme="minorEastAsia" w:eastAsiaTheme="minorEastAsia" w:cstheme="minorEastAsia"/>
                <w:color w:val="auto"/>
                <w:sz w:val="24"/>
                <w:szCs w:val="24"/>
              </w:rPr>
            </w:pPr>
          </w:p>
        </w:tc>
        <w:tc>
          <w:tcPr>
            <w:tcW w:w="1005" w:type="dxa"/>
            <w:shd w:val="clear" w:color="auto" w:fill="auto"/>
            <w:noWrap w:val="0"/>
            <w:tcMar>
              <w:top w:w="15" w:type="dxa"/>
              <w:left w:w="15" w:type="dxa"/>
              <w:bottom w:w="0" w:type="dxa"/>
              <w:right w:w="15" w:type="dxa"/>
            </w:tcMar>
            <w:vAlign w:val="bottom"/>
          </w:tcPr>
          <w:p w14:paraId="3ACCD33F">
            <w:pPr>
              <w:jc w:val="center"/>
              <w:rPr>
                <w:rFonts w:hint="eastAsia" w:asciiTheme="minorEastAsia" w:hAnsiTheme="minorEastAsia" w:eastAsiaTheme="minorEastAsia" w:cstheme="minorEastAsia"/>
                <w:color w:val="auto"/>
                <w:sz w:val="24"/>
                <w:szCs w:val="24"/>
              </w:rPr>
            </w:pPr>
          </w:p>
        </w:tc>
        <w:tc>
          <w:tcPr>
            <w:tcW w:w="1346" w:type="dxa"/>
            <w:shd w:val="clear" w:color="auto" w:fill="auto"/>
            <w:noWrap w:val="0"/>
            <w:tcMar>
              <w:top w:w="15" w:type="dxa"/>
              <w:left w:w="15" w:type="dxa"/>
              <w:bottom w:w="0" w:type="dxa"/>
              <w:right w:w="15" w:type="dxa"/>
            </w:tcMar>
          </w:tcPr>
          <w:p w14:paraId="2128743F">
            <w:pPr>
              <w:jc w:val="center"/>
              <w:rPr>
                <w:rFonts w:hint="eastAsia" w:asciiTheme="minorEastAsia" w:hAnsiTheme="minorEastAsia" w:eastAsiaTheme="minorEastAsia" w:cstheme="minorEastAsia"/>
                <w:color w:val="auto"/>
                <w:sz w:val="24"/>
                <w:szCs w:val="24"/>
              </w:rPr>
            </w:pPr>
          </w:p>
        </w:tc>
        <w:tc>
          <w:tcPr>
            <w:tcW w:w="1999" w:type="dxa"/>
            <w:shd w:val="clear" w:color="auto" w:fill="auto"/>
            <w:noWrap w:val="0"/>
            <w:tcMar>
              <w:top w:w="15" w:type="dxa"/>
              <w:left w:w="15" w:type="dxa"/>
              <w:bottom w:w="0" w:type="dxa"/>
              <w:right w:w="15" w:type="dxa"/>
            </w:tcMar>
          </w:tcPr>
          <w:p w14:paraId="3ED8C706">
            <w:pPr>
              <w:jc w:val="center"/>
              <w:rPr>
                <w:rFonts w:hint="eastAsia" w:asciiTheme="minorEastAsia" w:hAnsiTheme="minorEastAsia" w:eastAsiaTheme="minorEastAsia" w:cstheme="minorEastAsia"/>
                <w:color w:val="auto"/>
                <w:sz w:val="24"/>
                <w:szCs w:val="24"/>
              </w:rPr>
            </w:pPr>
          </w:p>
        </w:tc>
        <w:tc>
          <w:tcPr>
            <w:tcW w:w="750" w:type="dxa"/>
            <w:shd w:val="clear" w:color="auto" w:fill="auto"/>
            <w:noWrap w:val="0"/>
            <w:tcMar>
              <w:top w:w="15" w:type="dxa"/>
              <w:left w:w="15" w:type="dxa"/>
              <w:bottom w:w="0" w:type="dxa"/>
              <w:right w:w="15" w:type="dxa"/>
            </w:tcMar>
            <w:vAlign w:val="bottom"/>
          </w:tcPr>
          <w:p w14:paraId="37E6E04C">
            <w:pPr>
              <w:jc w:val="center"/>
              <w:rPr>
                <w:rFonts w:hint="eastAsia" w:asciiTheme="minorEastAsia" w:hAnsiTheme="minorEastAsia" w:eastAsiaTheme="minorEastAsia" w:cstheme="minorEastAsia"/>
                <w:color w:val="auto"/>
                <w:sz w:val="24"/>
                <w:szCs w:val="24"/>
              </w:rPr>
            </w:pPr>
          </w:p>
        </w:tc>
        <w:tc>
          <w:tcPr>
            <w:tcW w:w="862" w:type="dxa"/>
            <w:shd w:val="clear" w:color="auto" w:fill="auto"/>
            <w:noWrap w:val="0"/>
            <w:tcMar>
              <w:top w:w="15" w:type="dxa"/>
              <w:left w:w="15" w:type="dxa"/>
              <w:bottom w:w="0" w:type="dxa"/>
              <w:right w:w="15" w:type="dxa"/>
            </w:tcMar>
            <w:vAlign w:val="bottom"/>
          </w:tcPr>
          <w:p w14:paraId="5C1C24CB">
            <w:pPr>
              <w:jc w:val="center"/>
              <w:rPr>
                <w:rFonts w:hint="eastAsia" w:asciiTheme="minorEastAsia" w:hAnsiTheme="minorEastAsia" w:eastAsiaTheme="minorEastAsia" w:cstheme="minorEastAsia"/>
                <w:color w:val="auto"/>
                <w:sz w:val="24"/>
                <w:szCs w:val="24"/>
              </w:rPr>
            </w:pPr>
          </w:p>
        </w:tc>
        <w:tc>
          <w:tcPr>
            <w:tcW w:w="807" w:type="dxa"/>
            <w:shd w:val="clear" w:color="auto" w:fill="auto"/>
            <w:noWrap w:val="0"/>
            <w:tcMar>
              <w:top w:w="15" w:type="dxa"/>
              <w:left w:w="15" w:type="dxa"/>
              <w:bottom w:w="0" w:type="dxa"/>
              <w:right w:w="15" w:type="dxa"/>
            </w:tcMar>
            <w:vAlign w:val="bottom"/>
          </w:tcPr>
          <w:p w14:paraId="3F963DB6">
            <w:pPr>
              <w:jc w:val="center"/>
              <w:rPr>
                <w:rFonts w:hint="eastAsia" w:asciiTheme="minorEastAsia" w:hAnsiTheme="minorEastAsia" w:eastAsiaTheme="minorEastAsia" w:cstheme="minorEastAsia"/>
                <w:color w:val="auto"/>
                <w:sz w:val="24"/>
                <w:szCs w:val="24"/>
              </w:rPr>
            </w:pPr>
          </w:p>
        </w:tc>
        <w:tc>
          <w:tcPr>
            <w:tcW w:w="806" w:type="dxa"/>
            <w:shd w:val="clear" w:color="auto" w:fill="auto"/>
            <w:noWrap w:val="0"/>
          </w:tcPr>
          <w:p w14:paraId="20398EDF">
            <w:pPr>
              <w:jc w:val="center"/>
              <w:rPr>
                <w:rFonts w:hint="eastAsia" w:asciiTheme="minorEastAsia" w:hAnsiTheme="minorEastAsia" w:eastAsiaTheme="minorEastAsia" w:cstheme="minorEastAsia"/>
                <w:color w:val="auto"/>
                <w:sz w:val="24"/>
                <w:szCs w:val="24"/>
              </w:rPr>
            </w:pPr>
          </w:p>
        </w:tc>
        <w:tc>
          <w:tcPr>
            <w:tcW w:w="784" w:type="dxa"/>
            <w:shd w:val="clear" w:color="auto" w:fill="auto"/>
            <w:noWrap w:val="0"/>
            <w:tcMar>
              <w:top w:w="15" w:type="dxa"/>
              <w:left w:w="15" w:type="dxa"/>
              <w:bottom w:w="0" w:type="dxa"/>
              <w:right w:w="15" w:type="dxa"/>
            </w:tcMar>
            <w:vAlign w:val="bottom"/>
          </w:tcPr>
          <w:p w14:paraId="2164C7F2">
            <w:pPr>
              <w:jc w:val="center"/>
              <w:rPr>
                <w:rFonts w:hint="eastAsia" w:asciiTheme="minorEastAsia" w:hAnsiTheme="minorEastAsia" w:eastAsiaTheme="minorEastAsia" w:cstheme="minorEastAsia"/>
                <w:color w:val="auto"/>
                <w:sz w:val="24"/>
                <w:szCs w:val="24"/>
              </w:rPr>
            </w:pPr>
          </w:p>
        </w:tc>
      </w:tr>
      <w:tr w14:paraId="58A93207">
        <w:tblPrEx>
          <w:tblBorders>
            <w:top w:val="single" w:color="auto" w:sz="8" w:space="0"/>
            <w:left w:val="single" w:color="auto" w:sz="8"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499" w:hRule="atLeast"/>
          <w:jc w:val="center"/>
        </w:trPr>
        <w:tc>
          <w:tcPr>
            <w:tcW w:w="3831" w:type="dxa"/>
            <w:gridSpan w:val="4"/>
            <w:shd w:val="clear" w:color="auto" w:fill="auto"/>
            <w:noWrap w:val="0"/>
            <w:tcMar>
              <w:top w:w="15" w:type="dxa"/>
              <w:left w:w="15" w:type="dxa"/>
              <w:bottom w:w="0" w:type="dxa"/>
              <w:right w:w="15" w:type="dxa"/>
            </w:tcMar>
            <w:vAlign w:val="bottom"/>
          </w:tcPr>
          <w:p w14:paraId="2627E893">
            <w:pP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总价合计（即《开标一览表》中的“总价”）</w:t>
            </w:r>
          </w:p>
        </w:tc>
        <w:tc>
          <w:tcPr>
            <w:tcW w:w="6008" w:type="dxa"/>
            <w:gridSpan w:val="6"/>
            <w:shd w:val="clear" w:color="auto" w:fill="auto"/>
            <w:noWrap w:val="0"/>
          </w:tcPr>
          <w:p w14:paraId="4E9FA11D">
            <w:pPr>
              <w:jc w:val="center"/>
              <w:rPr>
                <w:rFonts w:hint="eastAsia" w:asciiTheme="minorEastAsia" w:hAnsiTheme="minorEastAsia" w:eastAsiaTheme="minorEastAsia" w:cstheme="minorEastAsia"/>
                <w:color w:val="auto"/>
                <w:sz w:val="24"/>
                <w:szCs w:val="24"/>
              </w:rPr>
            </w:pPr>
          </w:p>
        </w:tc>
      </w:tr>
    </w:tbl>
    <w:p w14:paraId="484E8EFA">
      <w:pPr>
        <w:rPr>
          <w:rFonts w:hint="eastAsia" w:asciiTheme="minorEastAsia" w:hAnsiTheme="minorEastAsia" w:eastAsiaTheme="minorEastAsia" w:cstheme="minorEastAsia"/>
          <w:color w:val="auto"/>
          <w:sz w:val="24"/>
          <w:szCs w:val="24"/>
        </w:rPr>
      </w:pPr>
    </w:p>
    <w:p w14:paraId="29222592">
      <w:pPr>
        <w:spacing w:line="300" w:lineRule="auto"/>
        <w:ind w:firstLine="364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（电子签章）</w:t>
      </w:r>
    </w:p>
    <w:p w14:paraId="0149AB04">
      <w:pPr>
        <w:spacing w:line="360" w:lineRule="auto"/>
        <w:ind w:firstLine="364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  月  日</w:t>
      </w:r>
    </w:p>
    <w:p w14:paraId="174579F8">
      <w:pPr>
        <w:rPr>
          <w:rFonts w:hint="eastAsia" w:asciiTheme="minorEastAsia" w:hAnsiTheme="minorEastAsia" w:eastAsiaTheme="minorEastAsia" w:cstheme="minorEastAsia"/>
          <w:color w:val="auto"/>
          <w:sz w:val="24"/>
          <w:szCs w:val="24"/>
        </w:rPr>
      </w:pPr>
    </w:p>
    <w:p w14:paraId="0F5DF64A">
      <w:pPr>
        <w:widowControl/>
        <w:ind w:firstLine="560"/>
        <w:jc w:val="left"/>
        <w:rPr>
          <w:rFonts w:hint="eastAsia" w:asciiTheme="minorEastAsia" w:hAnsiTheme="minorEastAsia" w:eastAsiaTheme="minorEastAsia" w:cstheme="minorEastAsia"/>
          <w:color w:val="auto"/>
          <w:sz w:val="24"/>
          <w:szCs w:val="24"/>
        </w:rPr>
      </w:pPr>
    </w:p>
    <w:p w14:paraId="71F6B19A">
      <w:pPr>
        <w:widowControl/>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注：</w:t>
      </w:r>
    </w:p>
    <w:p w14:paraId="4BCFA595">
      <w:pPr>
        <w:widowControl/>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1、如果不提供详细分项报价将视为没有实质性响应招标文件。</w:t>
      </w:r>
    </w:p>
    <w:p w14:paraId="479AFADA">
      <w:pPr>
        <w:widowControl/>
        <w:numPr>
          <w:ilvl w:val="0"/>
          <w:numId w:val="0"/>
        </w:numPr>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2、</w:t>
      </w:r>
      <w:r>
        <w:rPr>
          <w:rFonts w:hint="eastAsia" w:asciiTheme="minorEastAsia" w:hAnsiTheme="minorEastAsia" w:eastAsiaTheme="minorEastAsia" w:cstheme="minorEastAsia"/>
          <w:color w:val="auto"/>
          <w:sz w:val="24"/>
          <w:szCs w:val="24"/>
        </w:rPr>
        <w:t>投标人对以上数据的真实性负责。</w:t>
      </w:r>
    </w:p>
    <w:p w14:paraId="5DF5A5DC">
      <w:pPr>
        <w:widowControl/>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采购人或采购代理机构有权将以上内容进行公示。</w:t>
      </w:r>
    </w:p>
    <w:p w14:paraId="69C4DAB1">
      <w:pPr>
        <w:pBdr>
          <w:top w:val="none" w:color="000000" w:sz="0" w:space="0"/>
          <w:left w:val="none" w:color="000000" w:sz="0" w:space="0"/>
          <w:bottom w:val="none" w:color="000000" w:sz="0" w:space="0"/>
          <w:right w:val="none" w:color="000000" w:sz="0" w:space="0"/>
        </w:pBdr>
        <w:spacing w:line="479" w:lineRule="atLeast"/>
        <w:ind w:firstLine="56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clear="all"/>
      </w:r>
    </w:p>
    <w:p w14:paraId="5E427B01">
      <w:p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四、偏离表格式</w:t>
      </w:r>
    </w:p>
    <w:p w14:paraId="5FE6E55C">
      <w:pPr>
        <w:pBdr>
          <w:top w:val="none" w:color="000000" w:sz="0" w:space="0"/>
          <w:left w:val="none" w:color="000000" w:sz="0" w:space="0"/>
          <w:bottom w:val="none" w:color="000000" w:sz="0" w:space="0"/>
          <w:right w:val="none" w:color="000000" w:sz="0" w:space="0"/>
        </w:pBdr>
        <w:spacing w:line="479"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720CE4CC">
      <w:pPr>
        <w:pBdr>
          <w:top w:val="none" w:color="000000" w:sz="0" w:space="0"/>
          <w:left w:val="none" w:color="000000" w:sz="0" w:space="0"/>
          <w:bottom w:val="none" w:color="000000" w:sz="0" w:space="0"/>
          <w:right w:val="none" w:color="000000" w:sz="0" w:space="0"/>
        </w:pBdr>
        <w:spacing w:line="479"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p>
    <w:tbl>
      <w:tblPr>
        <w:tblStyle w:val="43"/>
        <w:tblW w:w="851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4"/>
        <w:gridCol w:w="1514"/>
        <w:gridCol w:w="1500"/>
        <w:gridCol w:w="1681"/>
        <w:gridCol w:w="1380"/>
        <w:gridCol w:w="1597"/>
      </w:tblGrid>
      <w:tr w14:paraId="38DF54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vAlign w:val="center"/>
          </w:tcPr>
          <w:p w14:paraId="1A007E35">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序号</w:t>
            </w:r>
          </w:p>
        </w:tc>
        <w:tc>
          <w:tcPr>
            <w:tcW w:w="1514" w:type="dxa"/>
            <w:noWrap w:val="0"/>
            <w:tcMar>
              <w:top w:w="0" w:type="dxa"/>
              <w:left w:w="108" w:type="dxa"/>
              <w:bottom w:w="0" w:type="dxa"/>
              <w:right w:w="108" w:type="dxa"/>
            </w:tcMar>
            <w:vAlign w:val="center"/>
          </w:tcPr>
          <w:p w14:paraId="2C915343">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偏离内容</w:t>
            </w:r>
          </w:p>
        </w:tc>
        <w:tc>
          <w:tcPr>
            <w:tcW w:w="1500" w:type="dxa"/>
            <w:noWrap w:val="0"/>
            <w:tcMar>
              <w:top w:w="0" w:type="dxa"/>
              <w:left w:w="108" w:type="dxa"/>
              <w:bottom w:w="0" w:type="dxa"/>
              <w:right w:w="108" w:type="dxa"/>
            </w:tcMar>
            <w:vAlign w:val="center"/>
          </w:tcPr>
          <w:p w14:paraId="4FAD20A1">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招标文件的要求</w:t>
            </w:r>
          </w:p>
        </w:tc>
        <w:tc>
          <w:tcPr>
            <w:tcW w:w="1681" w:type="dxa"/>
            <w:noWrap w:val="0"/>
            <w:tcMar>
              <w:top w:w="0" w:type="dxa"/>
              <w:left w:w="108" w:type="dxa"/>
              <w:bottom w:w="0" w:type="dxa"/>
              <w:right w:w="108" w:type="dxa"/>
            </w:tcMar>
            <w:vAlign w:val="center"/>
          </w:tcPr>
          <w:p w14:paraId="305BDB68">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投标文件中的内容</w:t>
            </w:r>
          </w:p>
        </w:tc>
        <w:tc>
          <w:tcPr>
            <w:tcW w:w="1380" w:type="dxa"/>
            <w:noWrap w:val="0"/>
            <w:tcMar>
              <w:top w:w="0" w:type="dxa"/>
              <w:left w:w="108" w:type="dxa"/>
              <w:bottom w:w="0" w:type="dxa"/>
              <w:right w:w="108" w:type="dxa"/>
            </w:tcMar>
            <w:vAlign w:val="center"/>
          </w:tcPr>
          <w:p w14:paraId="18714FA4">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（正/负/无）偏离</w:t>
            </w:r>
          </w:p>
        </w:tc>
        <w:tc>
          <w:tcPr>
            <w:tcW w:w="1597" w:type="dxa"/>
            <w:noWrap w:val="0"/>
            <w:tcMar>
              <w:top w:w="0" w:type="dxa"/>
              <w:left w:w="108" w:type="dxa"/>
              <w:bottom w:w="0" w:type="dxa"/>
              <w:right w:w="108" w:type="dxa"/>
            </w:tcMar>
            <w:vAlign w:val="center"/>
          </w:tcPr>
          <w:p w14:paraId="1D415FDB">
            <w:pPr>
              <w:pBdr>
                <w:top w:val="none" w:color="000000" w:sz="0" w:space="0"/>
                <w:left w:val="none" w:color="000000" w:sz="0" w:space="0"/>
                <w:bottom w:val="none" w:color="000000" w:sz="0" w:space="0"/>
                <w:right w:val="none" w:color="000000" w:sz="0" w:space="0"/>
              </w:pBdr>
              <w:jc w:val="cente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说明</w:t>
            </w:r>
          </w:p>
        </w:tc>
      </w:tr>
      <w:tr w14:paraId="79787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51D843E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354D7AF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69DFB73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377022D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3F9AD3D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49B3F89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0F519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21C64CC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09F8AA9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70398BC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3FD52BF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3C4C01E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5661CAB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4992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1064F1B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3F1086A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32BC4A3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61E919C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4AA720F8">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23880DE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7F856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5231779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34DF087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11999F8A">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075DDB9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7D7A35F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6B3A0FC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7A2BC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08EC5CC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5B17C19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55877C4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1B1D023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1A19E41C">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543C691B">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696BE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56D1E56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14" w:type="dxa"/>
            <w:noWrap w:val="0"/>
            <w:tcMar>
              <w:top w:w="0" w:type="dxa"/>
              <w:left w:w="108" w:type="dxa"/>
              <w:bottom w:w="0" w:type="dxa"/>
              <w:right w:w="108" w:type="dxa"/>
            </w:tcMar>
          </w:tcPr>
          <w:p w14:paraId="73E7F75D">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00" w:type="dxa"/>
            <w:noWrap w:val="0"/>
            <w:tcMar>
              <w:top w:w="0" w:type="dxa"/>
              <w:left w:w="108" w:type="dxa"/>
              <w:bottom w:w="0" w:type="dxa"/>
              <w:right w:w="108" w:type="dxa"/>
            </w:tcMar>
          </w:tcPr>
          <w:p w14:paraId="112A481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681" w:type="dxa"/>
            <w:noWrap w:val="0"/>
            <w:tcMar>
              <w:top w:w="0" w:type="dxa"/>
              <w:left w:w="108" w:type="dxa"/>
              <w:bottom w:w="0" w:type="dxa"/>
              <w:right w:w="108" w:type="dxa"/>
            </w:tcMar>
          </w:tcPr>
          <w:p w14:paraId="41AF28A6">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380" w:type="dxa"/>
            <w:noWrap w:val="0"/>
            <w:tcMar>
              <w:top w:w="0" w:type="dxa"/>
              <w:left w:w="108" w:type="dxa"/>
              <w:bottom w:w="0" w:type="dxa"/>
              <w:right w:w="108" w:type="dxa"/>
            </w:tcMar>
          </w:tcPr>
          <w:p w14:paraId="66463FF1">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c>
          <w:tcPr>
            <w:tcW w:w="1597" w:type="dxa"/>
            <w:noWrap w:val="0"/>
            <w:tcMar>
              <w:top w:w="0" w:type="dxa"/>
              <w:left w:w="108" w:type="dxa"/>
              <w:bottom w:w="0" w:type="dxa"/>
              <w:right w:w="108" w:type="dxa"/>
            </w:tcMar>
          </w:tcPr>
          <w:p w14:paraId="28E3572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tc>
      </w:tr>
      <w:tr w14:paraId="51D0E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09BAA88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14" w:type="dxa"/>
            <w:noWrap w:val="0"/>
            <w:tcMar>
              <w:top w:w="0" w:type="dxa"/>
              <w:left w:w="108" w:type="dxa"/>
              <w:bottom w:w="0" w:type="dxa"/>
              <w:right w:w="108" w:type="dxa"/>
            </w:tcMar>
          </w:tcPr>
          <w:p w14:paraId="27434EF4">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00" w:type="dxa"/>
            <w:noWrap w:val="0"/>
            <w:tcMar>
              <w:top w:w="0" w:type="dxa"/>
              <w:left w:w="108" w:type="dxa"/>
              <w:bottom w:w="0" w:type="dxa"/>
              <w:right w:w="108" w:type="dxa"/>
            </w:tcMar>
          </w:tcPr>
          <w:p w14:paraId="46E9717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681" w:type="dxa"/>
            <w:noWrap w:val="0"/>
            <w:tcMar>
              <w:top w:w="0" w:type="dxa"/>
              <w:left w:w="108" w:type="dxa"/>
              <w:bottom w:w="0" w:type="dxa"/>
              <w:right w:w="108" w:type="dxa"/>
            </w:tcMar>
          </w:tcPr>
          <w:p w14:paraId="2BB7FAC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380" w:type="dxa"/>
            <w:noWrap w:val="0"/>
            <w:tcMar>
              <w:top w:w="0" w:type="dxa"/>
              <w:left w:w="108" w:type="dxa"/>
              <w:bottom w:w="0" w:type="dxa"/>
              <w:right w:w="108" w:type="dxa"/>
            </w:tcMar>
          </w:tcPr>
          <w:p w14:paraId="4F3EE4B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97" w:type="dxa"/>
            <w:noWrap w:val="0"/>
            <w:tcMar>
              <w:top w:w="0" w:type="dxa"/>
              <w:left w:w="108" w:type="dxa"/>
              <w:bottom w:w="0" w:type="dxa"/>
              <w:right w:w="108" w:type="dxa"/>
            </w:tcMar>
          </w:tcPr>
          <w:p w14:paraId="7FE9DA0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r>
      <w:tr w14:paraId="2DB55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6E9FFA8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14" w:type="dxa"/>
            <w:noWrap w:val="0"/>
            <w:tcMar>
              <w:top w:w="0" w:type="dxa"/>
              <w:left w:w="108" w:type="dxa"/>
              <w:bottom w:w="0" w:type="dxa"/>
              <w:right w:w="108" w:type="dxa"/>
            </w:tcMar>
          </w:tcPr>
          <w:p w14:paraId="2F70BB7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00" w:type="dxa"/>
            <w:noWrap w:val="0"/>
            <w:tcMar>
              <w:top w:w="0" w:type="dxa"/>
              <w:left w:w="108" w:type="dxa"/>
              <w:bottom w:w="0" w:type="dxa"/>
              <w:right w:w="108" w:type="dxa"/>
            </w:tcMar>
          </w:tcPr>
          <w:p w14:paraId="572304A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681" w:type="dxa"/>
            <w:noWrap w:val="0"/>
            <w:tcMar>
              <w:top w:w="0" w:type="dxa"/>
              <w:left w:w="108" w:type="dxa"/>
              <w:bottom w:w="0" w:type="dxa"/>
              <w:right w:w="108" w:type="dxa"/>
            </w:tcMar>
          </w:tcPr>
          <w:p w14:paraId="7649F52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380" w:type="dxa"/>
            <w:noWrap w:val="0"/>
            <w:tcMar>
              <w:top w:w="0" w:type="dxa"/>
              <w:left w:w="108" w:type="dxa"/>
              <w:bottom w:w="0" w:type="dxa"/>
              <w:right w:w="108" w:type="dxa"/>
            </w:tcMar>
          </w:tcPr>
          <w:p w14:paraId="0EB7D94F">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97" w:type="dxa"/>
            <w:noWrap w:val="0"/>
            <w:tcMar>
              <w:top w:w="0" w:type="dxa"/>
              <w:left w:w="108" w:type="dxa"/>
              <w:bottom w:w="0" w:type="dxa"/>
              <w:right w:w="108" w:type="dxa"/>
            </w:tcMar>
          </w:tcPr>
          <w:p w14:paraId="520B8E2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r>
      <w:tr w14:paraId="4226B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844" w:type="dxa"/>
            <w:noWrap w:val="0"/>
            <w:tcMar>
              <w:top w:w="0" w:type="dxa"/>
              <w:left w:w="108" w:type="dxa"/>
              <w:bottom w:w="0" w:type="dxa"/>
              <w:right w:w="108" w:type="dxa"/>
            </w:tcMar>
          </w:tcPr>
          <w:p w14:paraId="379EFDEE">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14" w:type="dxa"/>
            <w:noWrap w:val="0"/>
            <w:tcMar>
              <w:top w:w="0" w:type="dxa"/>
              <w:left w:w="108" w:type="dxa"/>
              <w:bottom w:w="0" w:type="dxa"/>
              <w:right w:w="108" w:type="dxa"/>
            </w:tcMar>
          </w:tcPr>
          <w:p w14:paraId="7FBC2345">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00" w:type="dxa"/>
            <w:noWrap w:val="0"/>
            <w:tcMar>
              <w:top w:w="0" w:type="dxa"/>
              <w:left w:w="108" w:type="dxa"/>
              <w:bottom w:w="0" w:type="dxa"/>
              <w:right w:w="108" w:type="dxa"/>
            </w:tcMar>
          </w:tcPr>
          <w:p w14:paraId="1DD9F853">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681" w:type="dxa"/>
            <w:noWrap w:val="0"/>
            <w:tcMar>
              <w:top w:w="0" w:type="dxa"/>
              <w:left w:w="108" w:type="dxa"/>
              <w:bottom w:w="0" w:type="dxa"/>
              <w:right w:w="108" w:type="dxa"/>
            </w:tcMar>
          </w:tcPr>
          <w:p w14:paraId="6CB693F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380" w:type="dxa"/>
            <w:noWrap w:val="0"/>
            <w:tcMar>
              <w:top w:w="0" w:type="dxa"/>
              <w:left w:w="108" w:type="dxa"/>
              <w:bottom w:w="0" w:type="dxa"/>
              <w:right w:w="108" w:type="dxa"/>
            </w:tcMar>
          </w:tcPr>
          <w:p w14:paraId="2D0F4087">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c>
          <w:tcPr>
            <w:tcW w:w="1597" w:type="dxa"/>
            <w:noWrap w:val="0"/>
            <w:tcMar>
              <w:top w:w="0" w:type="dxa"/>
              <w:left w:w="108" w:type="dxa"/>
              <w:bottom w:w="0" w:type="dxa"/>
              <w:right w:w="108" w:type="dxa"/>
            </w:tcMar>
          </w:tcPr>
          <w:p w14:paraId="3EB8B802">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rPr>
            </w:pPr>
          </w:p>
        </w:tc>
      </w:tr>
    </w:tbl>
    <w:p w14:paraId="03AD4D09">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color w:val="auto"/>
          <w:sz w:val="24"/>
          <w:szCs w:val="24"/>
        </w:rPr>
        <w:t>注</w:t>
      </w:r>
      <w:r>
        <w:rPr>
          <w:rFonts w:hint="eastAsia" w:asciiTheme="minorEastAsia" w:hAnsiTheme="minorEastAsia" w:eastAsiaTheme="minorEastAsia" w:cstheme="minorEastAsia"/>
          <w:color w:val="auto"/>
          <w:sz w:val="24"/>
          <w:szCs w:val="24"/>
        </w:rPr>
        <w:t>：投标人的投标文件中的内容与招标文件（含招标文件的澄清或者修改的内容）的要求不同时，逐条列在偏离表中，否则将认为投标人接受招标文件的要求</w:t>
      </w:r>
      <w:r>
        <w:rPr>
          <w:rFonts w:hint="eastAsia" w:asciiTheme="minorEastAsia" w:hAnsiTheme="minorEastAsia" w:eastAsiaTheme="minorEastAsia" w:cstheme="minorEastAsia"/>
          <w:color w:val="auto"/>
          <w:sz w:val="24"/>
          <w:szCs w:val="24"/>
          <w:lang w:val="en-US" w:eastAsia="zh-CN"/>
        </w:rPr>
        <w:t>。</w:t>
      </w:r>
    </w:p>
    <w:p w14:paraId="4867DD6B">
      <w:pPr>
        <w:pBdr>
          <w:top w:val="none" w:color="000000" w:sz="0" w:space="0"/>
          <w:left w:val="none" w:color="000000" w:sz="0" w:space="0"/>
          <w:bottom w:val="none" w:color="000000" w:sz="0" w:space="0"/>
          <w:right w:val="none" w:color="000000" w:sz="0" w:space="0"/>
        </w:pBdr>
        <w:spacing w:line="71" w:lineRule="atLeast"/>
        <w:ind w:firstLine="2850"/>
        <w:rPr>
          <w:rFonts w:hint="eastAsia" w:asciiTheme="minorEastAsia" w:hAnsiTheme="minorEastAsia" w:eastAsiaTheme="minorEastAsia" w:cstheme="minorEastAsia"/>
          <w:color w:val="auto"/>
          <w:sz w:val="24"/>
          <w:szCs w:val="24"/>
        </w:rPr>
      </w:pPr>
    </w:p>
    <w:p w14:paraId="66C3C009">
      <w:pPr>
        <w:pBdr>
          <w:top w:val="none" w:color="000000" w:sz="0" w:space="0"/>
          <w:left w:val="none" w:color="000000" w:sz="0" w:space="0"/>
          <w:bottom w:val="none" w:color="000000" w:sz="0" w:space="0"/>
          <w:right w:val="none" w:color="000000" w:sz="0" w:space="0"/>
        </w:pBdr>
        <w:spacing w:line="71"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（电子签章）</w:t>
      </w:r>
    </w:p>
    <w:p w14:paraId="20BC1054">
      <w:pPr>
        <w:pBdr>
          <w:top w:val="none" w:color="000000" w:sz="0" w:space="0"/>
          <w:left w:val="none" w:color="000000" w:sz="0" w:space="0"/>
          <w:bottom w:val="none" w:color="000000" w:sz="0" w:space="0"/>
          <w:right w:val="none" w:color="000000" w:sz="0" w:space="0"/>
        </w:pBdr>
        <w:spacing w:line="85" w:lineRule="atLeast"/>
        <w:ind w:firstLine="39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57B046E4">
      <w:pPr>
        <w:pBdr>
          <w:top w:val="none" w:color="000000" w:sz="0" w:space="0"/>
          <w:left w:val="none" w:color="000000" w:sz="0" w:space="0"/>
          <w:bottom w:val="none" w:color="000000" w:sz="0" w:space="0"/>
          <w:right w:val="none" w:color="000000" w:sz="0" w:space="0"/>
        </w:pBdr>
        <w:spacing w:line="85" w:lineRule="atLeas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 月 日</w:t>
      </w:r>
    </w:p>
    <w:p w14:paraId="7045E9FD">
      <w:pPr>
        <w:pBdr>
          <w:top w:val="none" w:color="000000" w:sz="0" w:space="0"/>
          <w:left w:val="none" w:color="000000" w:sz="0" w:space="0"/>
          <w:bottom w:val="none" w:color="000000" w:sz="0" w:space="0"/>
          <w:right w:val="none" w:color="000000" w:sz="0" w:space="0"/>
        </w:pBdr>
        <w:spacing w:line="479" w:lineRule="atLeast"/>
        <w:ind w:firstLine="600"/>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30"/>
        </w:rPr>
        <w:t xml:space="preserve">  </w:t>
      </w:r>
    </w:p>
    <w:p w14:paraId="7DA04867">
      <w:pPr>
        <w:pBdr>
          <w:top w:val="none" w:color="000000" w:sz="0" w:space="0"/>
          <w:left w:val="none" w:color="000000" w:sz="0" w:space="0"/>
          <w:bottom w:val="none" w:color="000000" w:sz="0" w:space="0"/>
          <w:right w:val="none" w:color="000000" w:sz="0" w:space="0"/>
        </w:pBdr>
        <w:spacing w:line="479" w:lineRule="atLeast"/>
        <w:jc w:val="center"/>
        <w:rPr>
          <w:rFonts w:hint="eastAsia" w:asciiTheme="minorEastAsia" w:hAnsiTheme="minorEastAsia" w:eastAsiaTheme="minorEastAsia" w:cstheme="minorEastAsia"/>
          <w:b/>
          <w:bCs/>
          <w:color w:val="auto"/>
          <w:sz w:val="32"/>
          <w:szCs w:val="32"/>
        </w:rPr>
        <w:sectPr>
          <w:pgSz w:w="11906" w:h="16838"/>
          <w:pgMar w:top="1440" w:right="1803" w:bottom="1440" w:left="1803" w:header="851" w:footer="992" w:gutter="0"/>
          <w:cols w:space="720" w:num="1"/>
          <w:docGrid w:linePitch="360" w:charSpace="0"/>
        </w:sectPr>
      </w:pPr>
    </w:p>
    <w:p w14:paraId="009D6DF5">
      <w:p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color w:val="auto"/>
          <w:sz w:val="28"/>
          <w:szCs w:val="28"/>
        </w:rPr>
      </w:pPr>
      <w:r>
        <w:rPr>
          <w:rFonts w:hint="eastAsia" w:asciiTheme="minorEastAsia" w:hAnsiTheme="minorEastAsia" w:eastAsiaTheme="minorEastAsia" w:cstheme="minorEastAsia"/>
          <w:b/>
          <w:bCs/>
          <w:color w:val="auto"/>
          <w:sz w:val="32"/>
          <w:szCs w:val="32"/>
        </w:rPr>
        <w:t>五、授权委托书格式</w:t>
      </w:r>
    </w:p>
    <w:p w14:paraId="2E954535">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p>
    <w:p w14:paraId="1A1E854F">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委托人：</w:t>
      </w:r>
    </w:p>
    <w:p w14:paraId="695AB30C">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地址：</w:t>
      </w:r>
    </w:p>
    <w:p w14:paraId="07639437">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法定代表人：</w:t>
      </w:r>
    </w:p>
    <w:p w14:paraId="11577AFF">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职务：</w:t>
      </w:r>
    </w:p>
    <w:p w14:paraId="405C0A2C">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统一社会信用代码：</w:t>
      </w:r>
    </w:p>
    <w:p w14:paraId="15196B3E">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受托人：        性别：男（女）</w:t>
      </w:r>
    </w:p>
    <w:p w14:paraId="07A60873">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年龄：  岁      民族：  族</w:t>
      </w:r>
    </w:p>
    <w:p w14:paraId="7BCFD706">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职务：</w:t>
      </w:r>
    </w:p>
    <w:p w14:paraId="2259AE5D">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身份证号：</w:t>
      </w:r>
    </w:p>
    <w:p w14:paraId="16C245EC">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兹委托（</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）全权代表我企业（公司）参与（</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）项目（项目编号：</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）的招、投标活动及签订合同。（</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）以我企业（公司）名义所为的法律行为及签署的文件，我企业（公司）均予以认可。有关法律责任均由我企业（公司）承担。（</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）无转委托权。</w:t>
      </w:r>
    </w:p>
    <w:p w14:paraId="2ADE0D40">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委托期限自</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日起至</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年</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月</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日止。</w:t>
      </w:r>
    </w:p>
    <w:p w14:paraId="568B5600">
      <w:pPr>
        <w:pBdr>
          <w:top w:val="none" w:color="000000" w:sz="0" w:space="0"/>
          <w:left w:val="none" w:color="000000" w:sz="0" w:space="0"/>
          <w:bottom w:val="none" w:color="000000" w:sz="0" w:space="0"/>
          <w:right w:val="none" w:color="000000" w:sz="0" w:space="0"/>
        </w:pBdr>
        <w:spacing w:line="360" w:lineRule="auto"/>
        <w:ind w:firstLine="63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特此授权委托。</w:t>
      </w:r>
    </w:p>
    <w:p w14:paraId="04534EE6">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p>
    <w:p w14:paraId="6A3A951E">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委托人（电子签章）：</w:t>
      </w:r>
    </w:p>
    <w:p w14:paraId="7544BAEC">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 xml:space="preserve">法定代表人（签字或盖章）： </w:t>
      </w:r>
    </w:p>
    <w:p w14:paraId="1AE039D1">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受托人（签字或盖章）：</w:t>
      </w:r>
    </w:p>
    <w:p w14:paraId="03BD8738">
      <w:pPr>
        <w:pStyle w:val="18"/>
        <w:spacing w:line="360" w:lineRule="auto"/>
        <w:ind w:left="0" w:firstLine="60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bCs/>
          <w:color w:val="auto"/>
          <w:sz w:val="24"/>
          <w:szCs w:val="24"/>
        </w:rPr>
        <w:t>受托人联系方式：</w:t>
      </w:r>
      <w:r>
        <w:rPr>
          <w:rFonts w:hint="eastAsia" w:asciiTheme="minorEastAsia" w:hAnsiTheme="minorEastAsia" w:eastAsiaTheme="minorEastAsia" w:cstheme="minorEastAsia"/>
          <w:b/>
          <w:bCs/>
          <w:color w:val="auto"/>
          <w:sz w:val="24"/>
          <w:szCs w:val="24"/>
          <w:lang w:val="en-US" w:eastAsia="zh-CN"/>
        </w:rPr>
        <w:t xml:space="preserve">                   </w:t>
      </w:r>
      <w:r>
        <w:rPr>
          <w:rFonts w:hint="eastAsia" w:asciiTheme="minorEastAsia" w:hAnsiTheme="minorEastAsia" w:eastAsiaTheme="minorEastAsia" w:cstheme="minorEastAsia"/>
          <w:b/>
          <w:bCs/>
          <w:color w:val="auto"/>
          <w:sz w:val="24"/>
          <w:szCs w:val="24"/>
        </w:rPr>
        <w:t>邮箱：</w:t>
      </w:r>
    </w:p>
    <w:p w14:paraId="671856C8">
      <w:pPr>
        <w:pBdr>
          <w:top w:val="none" w:color="000000" w:sz="0" w:space="0"/>
          <w:left w:val="none" w:color="000000" w:sz="0" w:space="0"/>
          <w:bottom w:val="none" w:color="000000" w:sz="0" w:space="0"/>
          <w:right w:val="none" w:color="000000" w:sz="0" w:space="0"/>
        </w:pBdr>
        <w:spacing w:line="360" w:lineRule="auto"/>
        <w:ind w:right="600" w:firstLine="615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color w:val="auto"/>
          <w:sz w:val="24"/>
          <w:szCs w:val="24"/>
        </w:rPr>
        <w:t>年  月</w:t>
      </w:r>
      <w:r>
        <w:rPr>
          <w:rFonts w:hint="eastAsia" w:asciiTheme="minorEastAsia" w:hAnsiTheme="minorEastAsia" w:eastAsiaTheme="minorEastAsia" w:cstheme="minorEastAsia"/>
          <w:color w:val="auto"/>
          <w:sz w:val="24"/>
          <w:szCs w:val="24"/>
          <w:lang w:val="en-US" w:eastAsia="zh-CN"/>
        </w:rPr>
        <w:t xml:space="preserve">  </w:t>
      </w:r>
      <w:r>
        <w:rPr>
          <w:rFonts w:hint="eastAsia" w:asciiTheme="minorEastAsia" w:hAnsiTheme="minorEastAsia" w:eastAsiaTheme="minorEastAsia" w:cstheme="minorEastAsia"/>
          <w:color w:val="auto"/>
          <w:sz w:val="24"/>
          <w:szCs w:val="24"/>
        </w:rPr>
        <w:t xml:space="preserve">日 </w:t>
      </w:r>
    </w:p>
    <w:p w14:paraId="0AA3201B">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(受托人身份证扫描件附后)</w:t>
      </w:r>
    </w:p>
    <w:p w14:paraId="24764D0A">
      <w:pPr>
        <w:pBdr>
          <w:top w:val="none" w:color="000000" w:sz="0" w:space="0"/>
          <w:left w:val="none" w:color="000000" w:sz="0" w:space="0"/>
          <w:bottom w:val="none" w:color="000000" w:sz="0" w:space="0"/>
          <w:right w:val="none" w:color="000000" w:sz="0" w:space="0"/>
        </w:pBdr>
        <w:spacing w:before="100" w:after="100" w:line="479" w:lineRule="atLeast"/>
        <w:jc w:val="center"/>
        <w:rPr>
          <w:rFonts w:hint="eastAsia" w:asciiTheme="minorEastAsia" w:hAnsiTheme="minorEastAsia" w:eastAsiaTheme="minorEastAsia" w:cstheme="minorEastAsia"/>
          <w:b/>
          <w:bCs/>
          <w:color w:val="auto"/>
          <w:sz w:val="28"/>
          <w:szCs w:val="28"/>
        </w:rPr>
        <w:sectPr>
          <w:pgSz w:w="11906" w:h="16838"/>
          <w:pgMar w:top="1440" w:right="1803" w:bottom="1440" w:left="1803" w:header="851" w:footer="992" w:gutter="0"/>
          <w:cols w:space="720" w:num="1"/>
          <w:docGrid w:linePitch="360" w:charSpace="0"/>
        </w:sectPr>
      </w:pPr>
    </w:p>
    <w:p w14:paraId="437AAA0D">
      <w:pPr>
        <w:pBdr>
          <w:top w:val="none" w:color="000000" w:sz="0" w:space="0"/>
          <w:left w:val="none" w:color="000000" w:sz="0" w:space="0"/>
          <w:bottom w:val="none" w:color="000000" w:sz="0" w:space="0"/>
          <w:right w:val="none" w:color="000000" w:sz="0" w:space="0"/>
        </w:pBdr>
        <w:spacing w:before="100" w:after="100" w:line="360" w:lineRule="auto"/>
        <w:ind w:firstLine="600"/>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六、中小企业声明函格式</w:t>
      </w:r>
    </w:p>
    <w:p w14:paraId="761F3176">
      <w:pPr>
        <w:pBdr>
          <w:top w:val="none" w:color="000000" w:sz="0" w:space="0"/>
          <w:left w:val="none" w:color="000000" w:sz="0" w:space="0"/>
          <w:bottom w:val="none" w:color="000000" w:sz="0" w:space="0"/>
          <w:right w:val="none" w:color="000000" w:sz="0" w:space="0"/>
        </w:pBdr>
        <w:spacing w:before="100" w:after="100" w:line="360" w:lineRule="auto"/>
        <w:rPr>
          <w:rFonts w:hint="eastAsia" w:asciiTheme="minorEastAsia" w:hAnsiTheme="minorEastAsia" w:eastAsiaTheme="minorEastAsia" w:cstheme="minorEastAsia"/>
          <w:color w:val="auto"/>
          <w:sz w:val="24"/>
          <w:szCs w:val="24"/>
        </w:rPr>
      </w:pPr>
    </w:p>
    <w:p w14:paraId="2444283D">
      <w:pPr>
        <w:pBdr>
          <w:top w:val="none" w:color="000000" w:sz="0" w:space="0"/>
          <w:left w:val="none" w:color="000000" w:sz="0" w:space="0"/>
          <w:bottom w:val="none" w:color="000000" w:sz="0" w:space="0"/>
          <w:right w:val="none" w:color="000000" w:sz="0" w:space="0"/>
        </w:pBdr>
        <w:spacing w:before="100" w:after="100"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项目编号：</w:t>
      </w:r>
    </w:p>
    <w:p w14:paraId="5FEAA79E">
      <w:pPr>
        <w:pBdr>
          <w:top w:val="none" w:color="000000" w:sz="0" w:space="0"/>
          <w:left w:val="none" w:color="000000" w:sz="0" w:space="0"/>
          <w:bottom w:val="none" w:color="000000" w:sz="0" w:space="0"/>
          <w:right w:val="none" w:color="000000" w:sz="0" w:space="0"/>
        </w:pBdr>
        <w:spacing w:before="100" w:after="100"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项目名称：</w:t>
      </w:r>
    </w:p>
    <w:p w14:paraId="5852EC5A">
      <w:pPr>
        <w:spacing w:line="360" w:lineRule="auto"/>
        <w:ind w:firstLine="48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本公司郑重声明，根据《政府采购促进中小企业发展管理办法》（财库[2020]46号）的规定，本公司参加（</w:t>
      </w:r>
      <w:r>
        <w:rPr>
          <w:rFonts w:hint="eastAsia" w:asciiTheme="minorEastAsia" w:hAnsiTheme="minorEastAsia" w:eastAsiaTheme="minorEastAsia" w:cstheme="minorEastAsia"/>
          <w:color w:val="auto"/>
          <w:sz w:val="24"/>
          <w:szCs w:val="24"/>
          <w:u w:val="single"/>
          <w:lang w:eastAsia="zh-CN"/>
        </w:rPr>
        <w:t>徐州市第一人民医院</w:t>
      </w:r>
      <w:r>
        <w:rPr>
          <w:rFonts w:hint="eastAsia" w:asciiTheme="minorEastAsia" w:hAnsiTheme="minorEastAsia" w:eastAsiaTheme="minorEastAsia" w:cstheme="minorEastAsia"/>
          <w:color w:val="auto"/>
          <w:sz w:val="24"/>
          <w:szCs w:val="24"/>
        </w:rPr>
        <w:t>）的（</w:t>
      </w:r>
      <w:r>
        <w:rPr>
          <w:rFonts w:hint="eastAsia" w:asciiTheme="minorEastAsia" w:hAnsiTheme="minorEastAsia" w:eastAsiaTheme="minorEastAsia" w:cstheme="minorEastAsia"/>
          <w:strike w:val="0"/>
          <w:dstrike w:val="0"/>
          <w:color w:val="auto"/>
          <w:sz w:val="24"/>
          <w:szCs w:val="24"/>
          <w:u w:val="single"/>
          <w:lang w:eastAsia="zh-CN"/>
        </w:rPr>
        <w:t>徐州市第一人民医院微视野视野计采购</w:t>
      </w:r>
      <w:r>
        <w:rPr>
          <w:rFonts w:hint="eastAsia" w:asciiTheme="minorEastAsia" w:hAnsiTheme="minorEastAsia" w:eastAsiaTheme="minorEastAsia" w:cstheme="minorEastAsia"/>
          <w:color w:val="auto"/>
          <w:sz w:val="24"/>
          <w:szCs w:val="24"/>
        </w:rPr>
        <w:t>）采购活动，提供的货物全部由符合政策要求的中小企业制造。相关企业的具体情况如下：</w:t>
      </w:r>
    </w:p>
    <w:p w14:paraId="666BDE73">
      <w:pPr>
        <w:pStyle w:val="17"/>
        <w:spacing w:line="360" w:lineRule="auto"/>
        <w:ind w:left="0" w:firstLine="560"/>
        <w:rPr>
          <w:rFonts w:hint="eastAsia" w:asciiTheme="minorEastAsia" w:hAnsiTheme="minorEastAsia" w:eastAsiaTheme="minorEastAsia" w:cstheme="minorEastAsia"/>
          <w:color w:val="auto"/>
          <w:sz w:val="24"/>
          <w:szCs w:val="24"/>
          <w:lang w:val="en-US" w:eastAsia="zh-CN"/>
        </w:rPr>
      </w:pPr>
    </w:p>
    <w:p w14:paraId="168C6842">
      <w:pPr>
        <w:pStyle w:val="17"/>
        <w:spacing w:line="360" w:lineRule="auto"/>
        <w:ind w:left="0"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lang w:val="en-US" w:eastAsia="zh-CN"/>
        </w:rPr>
        <w:t>1</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u w:val="single"/>
          <w:lang w:val="en-US" w:eastAsia="zh-CN"/>
        </w:rPr>
        <w:t>微视野视野计</w:t>
      </w:r>
      <w:r>
        <w:rPr>
          <w:rFonts w:hint="eastAsia" w:asciiTheme="minorEastAsia" w:hAnsiTheme="minorEastAsia" w:eastAsiaTheme="minorEastAsia" w:cstheme="minorEastAsia"/>
          <w:color w:val="auto"/>
          <w:sz w:val="24"/>
          <w:szCs w:val="24"/>
        </w:rPr>
        <w:t>），属于（</w:t>
      </w:r>
      <w:r>
        <w:rPr>
          <w:rFonts w:hint="eastAsia" w:asciiTheme="minorEastAsia" w:hAnsiTheme="minorEastAsia" w:eastAsiaTheme="minorEastAsia" w:cstheme="minorEastAsia"/>
          <w:color w:val="auto"/>
          <w:sz w:val="24"/>
          <w:szCs w:val="24"/>
          <w:u w:val="single"/>
        </w:rPr>
        <w:t>工业</w:t>
      </w:r>
      <w:r>
        <w:rPr>
          <w:rFonts w:hint="eastAsia" w:asciiTheme="minorEastAsia" w:hAnsiTheme="minorEastAsia" w:eastAsiaTheme="minorEastAsia" w:cstheme="minorEastAsia"/>
          <w:color w:val="auto"/>
          <w:sz w:val="24"/>
          <w:szCs w:val="24"/>
        </w:rPr>
        <w:t>）行业；制造商为（</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）（企业名称），</w:t>
      </w:r>
      <w:r>
        <w:rPr>
          <w:rFonts w:hint="eastAsia" w:asciiTheme="minorEastAsia" w:hAnsiTheme="minorEastAsia" w:eastAsiaTheme="minorEastAsia" w:cstheme="minorEastAsia"/>
          <w:color w:val="auto"/>
          <w:sz w:val="24"/>
          <w:szCs w:val="24"/>
          <w:lang w:val="en-US" w:eastAsia="zh-CN"/>
        </w:rPr>
        <w:t>其</w:t>
      </w:r>
      <w:r>
        <w:rPr>
          <w:rFonts w:hint="eastAsia" w:asciiTheme="minorEastAsia" w:hAnsiTheme="minorEastAsia" w:eastAsiaTheme="minorEastAsia" w:cstheme="minorEastAsia"/>
          <w:color w:val="auto"/>
          <w:sz w:val="24"/>
          <w:szCs w:val="24"/>
        </w:rPr>
        <w:t>从业人员（</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）人，营业收入为（</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rPr>
        <w:t>万元），资产总额为（</w:t>
      </w:r>
      <w:r>
        <w:rPr>
          <w:rFonts w:hint="eastAsia" w:asciiTheme="minorEastAsia" w:hAnsiTheme="minorEastAsia" w:eastAsiaTheme="minorEastAsia" w:cstheme="minorEastAsia"/>
          <w:color w:val="auto"/>
          <w:sz w:val="24"/>
          <w:szCs w:val="24"/>
          <w:u w:val="single"/>
        </w:rPr>
        <w:t xml:space="preserve">  </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万元），属于</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中型企业、</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小型企业、</w:t>
      </w:r>
      <w:r>
        <w:rPr>
          <w:rFonts w:hint="eastAsia" w:asciiTheme="minorEastAsia" w:hAnsiTheme="minorEastAsia" w:eastAsiaTheme="minorEastAsia" w:cstheme="minorEastAsia"/>
          <w:color w:val="auto"/>
          <w:sz w:val="24"/>
          <w:szCs w:val="24"/>
          <w:lang w:val="en-US" w:eastAsia="zh-CN"/>
        </w:rPr>
        <w:t>□</w:t>
      </w:r>
      <w:r>
        <w:rPr>
          <w:rFonts w:hint="eastAsia" w:asciiTheme="minorEastAsia" w:hAnsiTheme="minorEastAsia" w:eastAsiaTheme="minorEastAsia" w:cstheme="minorEastAsia"/>
          <w:color w:val="auto"/>
          <w:sz w:val="24"/>
          <w:szCs w:val="24"/>
        </w:rPr>
        <w:t>微型企业，</w:t>
      </w:r>
      <w:r>
        <w:rPr>
          <w:rFonts w:hint="eastAsia" w:asciiTheme="minorEastAsia" w:hAnsiTheme="minorEastAsia" w:eastAsiaTheme="minorEastAsia" w:cstheme="minorEastAsia"/>
          <w:b/>
          <w:bCs/>
          <w:color w:val="auto"/>
          <w:sz w:val="24"/>
          <w:szCs w:val="24"/>
          <w:lang w:eastAsia="zh-CN"/>
        </w:rPr>
        <w:t>请填写或勾选！</w:t>
      </w:r>
      <w:r>
        <w:rPr>
          <w:rFonts w:hint="eastAsia" w:asciiTheme="minorEastAsia" w:hAnsiTheme="minorEastAsia" w:eastAsiaTheme="minorEastAsia" w:cstheme="minorEastAsia"/>
          <w:color w:val="auto"/>
          <w:sz w:val="24"/>
          <w:szCs w:val="24"/>
        </w:rPr>
        <w:t>）；</w:t>
      </w:r>
    </w:p>
    <w:p w14:paraId="3F914FCC">
      <w:pPr>
        <w:pStyle w:val="17"/>
        <w:spacing w:line="360" w:lineRule="auto"/>
        <w:ind w:left="0" w:leftChars="0" w:firstLine="0" w:firstLineChars="0"/>
        <w:rPr>
          <w:rFonts w:hint="eastAsia" w:asciiTheme="minorEastAsia" w:hAnsiTheme="minorEastAsia" w:eastAsiaTheme="minorEastAsia" w:cstheme="minorEastAsia"/>
          <w:color w:val="auto"/>
          <w:sz w:val="24"/>
          <w:szCs w:val="24"/>
        </w:rPr>
      </w:pPr>
    </w:p>
    <w:p w14:paraId="55ADA639">
      <w:pPr>
        <w:pStyle w:val="17"/>
        <w:keepNext w:val="0"/>
        <w:keepLines w:val="0"/>
        <w:pageBreakBefore w:val="0"/>
        <w:widowControl w:val="0"/>
        <w:spacing w:line="360" w:lineRule="auto"/>
        <w:ind w:left="0"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以上企业，不属于大企业的分支机构，不存在控股股东为大企业的情形，也不存在与大企业的负责人为同一人的情形。</w:t>
      </w:r>
    </w:p>
    <w:p w14:paraId="09924EE5">
      <w:pPr>
        <w:keepNext w:val="0"/>
        <w:keepLines w:val="0"/>
        <w:pageBreakBefore w:val="0"/>
        <w:widowControl w:val="0"/>
        <w:spacing w:line="360" w:lineRule="auto"/>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本企业对上述声明内容的真实性负责。如有虚假，将依法承担相应责任。</w:t>
      </w:r>
    </w:p>
    <w:p w14:paraId="51F3D3ED">
      <w:pPr>
        <w:pStyle w:val="17"/>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企业名称（电子签章）：</w:t>
      </w:r>
    </w:p>
    <w:p w14:paraId="0F9DD75D">
      <w:pPr>
        <w:pStyle w:val="17"/>
        <w:spacing w:line="360" w:lineRule="auto"/>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日期：  年  月  日</w:t>
      </w:r>
    </w:p>
    <w:p w14:paraId="00889244">
      <w:pPr>
        <w:pStyle w:val="17"/>
        <w:spacing w:after="0" w:line="240" w:lineRule="auto"/>
        <w:ind w:left="0"/>
        <w:jc w:val="left"/>
        <w:rPr>
          <w:rFonts w:hint="eastAsia" w:asciiTheme="minorEastAsia" w:hAnsiTheme="minorEastAsia" w:eastAsiaTheme="minorEastAsia" w:cstheme="minorEastAsia"/>
          <w:b/>
          <w:bCs/>
          <w:color w:val="auto"/>
          <w:sz w:val="24"/>
          <w:szCs w:val="24"/>
        </w:rPr>
      </w:pPr>
    </w:p>
    <w:p w14:paraId="59FF49EB">
      <w:pPr>
        <w:pStyle w:val="17"/>
        <w:keepNext w:val="0"/>
        <w:keepLines w:val="0"/>
        <w:pageBreakBefore w:val="0"/>
        <w:spacing w:after="0" w:line="240" w:lineRule="auto"/>
        <w:ind w:left="0"/>
        <w:jc w:val="left"/>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说明：</w:t>
      </w:r>
    </w:p>
    <w:p w14:paraId="44C8C17E">
      <w:pPr>
        <w:pStyle w:val="17"/>
        <w:keepNext w:val="0"/>
        <w:keepLines w:val="0"/>
        <w:pageBreakBefore w:val="0"/>
        <w:spacing w:after="0" w:line="240" w:lineRule="auto"/>
        <w:ind w:lef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1、中小微企业的划分具体以《政府采购促进中小企业发展管理办法》（财库﹝2020﹞46号）和《工业和信息化部、国家统计局、国家发展和改革委员会、财政部关于印发中小企业划型标准规定的通知》（工信部联企业[2011]300号）的规定为准。</w:t>
      </w:r>
    </w:p>
    <w:p w14:paraId="6B435A16">
      <w:pPr>
        <w:pStyle w:val="17"/>
        <w:keepNext w:val="0"/>
        <w:keepLines w:val="0"/>
        <w:pageBreakBefore w:val="0"/>
        <w:spacing w:after="0" w:line="240" w:lineRule="auto"/>
        <w:ind w:lef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2、从业人员、营业收入、资产总额填报上一年度数据，无上一年度数据的新成立企业可不填报。</w:t>
      </w:r>
    </w:p>
    <w:p w14:paraId="242706D0">
      <w:pPr>
        <w:pStyle w:val="17"/>
        <w:keepNext w:val="0"/>
        <w:keepLines w:val="0"/>
        <w:pageBreakBefore w:val="0"/>
        <w:spacing w:after="0" w:line="240" w:lineRule="auto"/>
        <w:ind w:lef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3、中标、成交供应商提供的货物全部由符合政策要求的小型、微型企业</w:t>
      </w:r>
      <w:r>
        <w:rPr>
          <w:rFonts w:hint="eastAsia" w:asciiTheme="minorEastAsia" w:hAnsiTheme="minorEastAsia" w:eastAsiaTheme="minorEastAsia" w:cstheme="minorEastAsia"/>
          <w:b/>
          <w:bCs/>
          <w:color w:val="auto"/>
          <w:sz w:val="24"/>
          <w:szCs w:val="24"/>
          <w:lang w:val="en-US" w:eastAsia="zh-CN"/>
        </w:rPr>
        <w:t>制造</w:t>
      </w:r>
      <w:r>
        <w:rPr>
          <w:rFonts w:hint="eastAsia" w:asciiTheme="minorEastAsia" w:hAnsiTheme="minorEastAsia" w:eastAsiaTheme="minorEastAsia" w:cstheme="minorEastAsia"/>
          <w:b/>
          <w:bCs/>
          <w:color w:val="auto"/>
          <w:sz w:val="24"/>
          <w:szCs w:val="24"/>
        </w:rPr>
        <w:t>的，采购人或者其委托的采购代理机构有权随中标、成交结果同时公告其《中小企业声明函》，接受社会监督。</w:t>
      </w:r>
    </w:p>
    <w:p w14:paraId="661FAAEC">
      <w:pPr>
        <w:pStyle w:val="17"/>
        <w:keepNext w:val="0"/>
        <w:keepLines w:val="0"/>
        <w:pageBreakBefore w:val="0"/>
        <w:spacing w:after="0" w:line="240" w:lineRule="auto"/>
        <w:ind w:left="0"/>
        <w:rPr>
          <w:rFonts w:hint="eastAsia" w:asciiTheme="minorEastAsia" w:hAnsiTheme="minorEastAsia" w:eastAsiaTheme="minorEastAsia" w:cstheme="minorEastAsia"/>
          <w:b/>
          <w:bCs/>
          <w:color w:val="auto"/>
          <w:sz w:val="24"/>
          <w:szCs w:val="24"/>
        </w:rPr>
      </w:pPr>
      <w:r>
        <w:rPr>
          <w:rFonts w:hint="eastAsia" w:asciiTheme="minorEastAsia" w:hAnsiTheme="minorEastAsia" w:eastAsiaTheme="minorEastAsia" w:cstheme="minorEastAsia"/>
          <w:b/>
          <w:bCs/>
          <w:color w:val="auto"/>
          <w:sz w:val="24"/>
          <w:szCs w:val="24"/>
        </w:rPr>
        <w:t>4、执行江苏省财政厅关于进一步加大政府采购支持中小企业力度的通知（苏财购〔2022〕45号）的规定。</w:t>
      </w:r>
    </w:p>
    <w:p w14:paraId="0E437E59">
      <w:pPr>
        <w:pStyle w:val="17"/>
        <w:keepNext w:val="0"/>
        <w:keepLines w:val="0"/>
        <w:pageBreakBefore w:val="0"/>
        <w:spacing w:after="0" w:line="240" w:lineRule="auto"/>
        <w:ind w:left="0"/>
        <w:rPr>
          <w:rFonts w:hint="eastAsia" w:asciiTheme="minorEastAsia" w:hAnsiTheme="minorEastAsia" w:eastAsiaTheme="minorEastAsia" w:cstheme="minorEastAsia"/>
          <w:color w:val="auto"/>
          <w:sz w:val="24"/>
          <w:szCs w:val="24"/>
          <w:lang w:val="en-US" w:eastAsia="zh-CN"/>
        </w:rPr>
      </w:pPr>
      <w:r>
        <w:rPr>
          <w:rFonts w:hint="eastAsia" w:asciiTheme="minorEastAsia" w:hAnsiTheme="minorEastAsia" w:eastAsiaTheme="minorEastAsia" w:cstheme="minorEastAsia"/>
          <w:b/>
          <w:bCs/>
          <w:color w:val="auto"/>
          <w:sz w:val="24"/>
          <w:szCs w:val="24"/>
        </w:rPr>
        <w:t>5、供应商提供的《中小企业声明函》与事实不符的，依照</w:t>
      </w:r>
      <w:r>
        <w:rPr>
          <w:rFonts w:hint="eastAsia" w:asciiTheme="minorEastAsia" w:hAnsiTheme="minorEastAsia" w:eastAsiaTheme="minorEastAsia" w:cstheme="minorEastAsia"/>
          <w:b/>
          <w:bCs/>
          <w:color w:val="auto"/>
          <w:sz w:val="24"/>
          <w:szCs w:val="24"/>
          <w:lang w:eastAsia="zh-CN"/>
        </w:rPr>
        <w:t>《中华人民共和国政府采购法》</w:t>
      </w:r>
      <w:r>
        <w:rPr>
          <w:rFonts w:hint="eastAsia" w:asciiTheme="minorEastAsia" w:hAnsiTheme="minorEastAsia" w:eastAsiaTheme="minorEastAsia" w:cstheme="minorEastAsia"/>
          <w:b/>
          <w:bCs/>
          <w:color w:val="auto"/>
          <w:sz w:val="24"/>
          <w:szCs w:val="24"/>
        </w:rPr>
        <w:t>第七十七条第一款的规定追究法律责任。</w:t>
      </w:r>
    </w:p>
    <w:p w14:paraId="6CEF4F1F">
      <w:pPr>
        <w:keepNext w:val="0"/>
        <w:keepLines w:val="0"/>
        <w:pageBreakBefore w:val="0"/>
        <w:widowControl/>
        <w:spacing w:line="240" w:lineRule="auto"/>
        <w:jc w:val="lef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为方便中小企业和社会各界使用自测结果，小程序增加自测结果打印功能，测试者可按照小程序填写测试企业有关信息并完成自测后，保存自测结果自行打印。如有疑问，可与市工信局中小企业综合协调处咨询联系。联系电话：0516-83861958</w:t>
      </w:r>
    </w:p>
    <w:p w14:paraId="5570FBA2">
      <w:pPr>
        <w:pStyle w:val="12"/>
        <w:jc w:val="center"/>
        <w:rPr>
          <w:rFonts w:hint="eastAsia" w:asciiTheme="minorEastAsia" w:hAnsiTheme="minorEastAsia" w:eastAsiaTheme="minorEastAsia" w:cstheme="minorEastAsia"/>
          <w:color w:val="auto"/>
          <w:sz w:val="24"/>
          <w:szCs w:val="24"/>
        </w:rPr>
      </w:pPr>
      <w:r>
        <w:rPr>
          <w:rFonts w:hint="eastAsia" w:ascii="宋体" w:hAnsi="宋体" w:eastAsia="宋体" w:cs="宋体"/>
          <w:color w:val="auto"/>
        </w:rPr>
        <w:drawing>
          <wp:inline distT="0" distB="0" distL="0" distR="0">
            <wp:extent cx="1877695" cy="3698240"/>
            <wp:effectExtent l="0" t="0" r="8255" b="16510"/>
            <wp:docPr id="1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pic:cNvPicPr>
                      <a:picLocks noChangeAspect="1"/>
                    </pic:cNvPicPr>
                  </pic:nvPicPr>
                  <pic:blipFill>
                    <a:blip r:embed="rId12"/>
                    <a:stretch>
                      <a:fillRect/>
                    </a:stretch>
                  </pic:blipFill>
                  <pic:spPr>
                    <a:xfrm>
                      <a:off x="0" y="0"/>
                      <a:ext cx="1877695" cy="3698240"/>
                    </a:xfrm>
                    <a:prstGeom prst="rect">
                      <a:avLst/>
                    </a:prstGeom>
                    <a:noFill/>
                    <a:ln>
                      <a:noFill/>
                    </a:ln>
                  </pic:spPr>
                </pic:pic>
              </a:graphicData>
            </a:graphic>
          </wp:inline>
        </w:drawing>
      </w:r>
    </w:p>
    <w:p w14:paraId="52D3C22F">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clear="all"/>
      </w:r>
    </w:p>
    <w:p w14:paraId="05D3EBB0">
      <w:pPr>
        <w:pBdr>
          <w:top w:val="none" w:color="000000" w:sz="0" w:space="0"/>
          <w:left w:val="none" w:color="000000" w:sz="0" w:space="0"/>
          <w:bottom w:val="none" w:color="000000" w:sz="0" w:space="0"/>
          <w:right w:val="none" w:color="000000" w:sz="0" w:space="0"/>
        </w:pBdr>
        <w:spacing w:line="360" w:lineRule="auto"/>
        <w:ind w:firstLine="600"/>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七、残疾人福利性单位声明函格式</w:t>
      </w:r>
    </w:p>
    <w:p w14:paraId="4E9E0F47">
      <w:pPr>
        <w:pBdr>
          <w:top w:val="none" w:color="000000" w:sz="0" w:space="0"/>
          <w:left w:val="none" w:color="000000" w:sz="0" w:space="0"/>
          <w:bottom w:val="none" w:color="000000" w:sz="0" w:space="0"/>
          <w:right w:val="none" w:color="000000" w:sz="0" w:space="0"/>
        </w:pBdr>
        <w:spacing w:line="479" w:lineRule="atLeast"/>
        <w:rPr>
          <w:rFonts w:hint="eastAsia" w:asciiTheme="minorEastAsia" w:hAnsiTheme="minorEastAsia" w:eastAsiaTheme="minorEastAsia" w:cstheme="minorEastAsia"/>
          <w:color w:val="auto"/>
          <w:spacing w:val="6"/>
          <w:sz w:val="24"/>
          <w:szCs w:val="24"/>
        </w:rPr>
      </w:pPr>
    </w:p>
    <w:p w14:paraId="77424FBB">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项目编号：</w:t>
      </w:r>
    </w:p>
    <w:p w14:paraId="633D898A">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项目名称：</w:t>
      </w:r>
    </w:p>
    <w:p w14:paraId="345B44F7">
      <w:pPr>
        <w:pBdr>
          <w:top w:val="none" w:color="000000" w:sz="0" w:space="0"/>
          <w:left w:val="none" w:color="000000" w:sz="0" w:space="0"/>
          <w:bottom w:val="none" w:color="000000" w:sz="0" w:space="0"/>
          <w:right w:val="none" w:color="000000" w:sz="0" w:space="0"/>
        </w:pBdr>
        <w:spacing w:line="360" w:lineRule="auto"/>
        <w:ind w:firstLine="624"/>
        <w:rPr>
          <w:rFonts w:hint="eastAsia" w:asciiTheme="minorEastAsia" w:hAnsiTheme="minorEastAsia" w:eastAsiaTheme="minorEastAsia" w:cstheme="minorEastAsia"/>
          <w:color w:val="auto"/>
          <w:spacing w:val="6"/>
          <w:sz w:val="24"/>
          <w:szCs w:val="24"/>
        </w:rPr>
      </w:pPr>
    </w:p>
    <w:p w14:paraId="534C44BD">
      <w:pPr>
        <w:pBdr>
          <w:top w:val="none" w:color="000000" w:sz="0" w:space="0"/>
          <w:left w:val="none" w:color="000000" w:sz="0" w:space="0"/>
          <w:bottom w:val="none" w:color="000000" w:sz="0" w:space="0"/>
          <w:right w:val="none" w:color="000000" w:sz="0" w:space="0"/>
        </w:pBdr>
        <w:spacing w:line="360" w:lineRule="auto"/>
        <w:ind w:firstLine="6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本单位郑重声明，根据《财政部 民政部 中国残疾人联合会关于促进残疾人就业政府采购政策的通知》（财库</w:t>
      </w:r>
      <w:r>
        <w:rPr>
          <w:rFonts w:hint="eastAsia" w:asciiTheme="minorEastAsia" w:hAnsiTheme="minorEastAsia" w:eastAsiaTheme="minorEastAsia" w:cstheme="minorEastAsia"/>
          <w:color w:val="auto"/>
          <w:sz w:val="24"/>
          <w:szCs w:val="24"/>
        </w:rPr>
        <w:t>〔2017〕 141</w:t>
      </w:r>
      <w:r>
        <w:rPr>
          <w:rFonts w:hint="eastAsia" w:asciiTheme="minorEastAsia" w:hAnsiTheme="minorEastAsia" w:eastAsiaTheme="minorEastAsia" w:cstheme="minorEastAsia"/>
          <w:color w:val="auto"/>
          <w:spacing w:val="6"/>
          <w:sz w:val="24"/>
          <w:szCs w:val="24"/>
        </w:rPr>
        <w:t>号）的规定，本单位为符合条件的残疾人福利性单位，且本单位参加</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单位的</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pacing w:val="6"/>
          <w:sz w:val="24"/>
          <w:szCs w:val="24"/>
        </w:rPr>
        <w:t>项目采购活动提供本单位制造的货物（由本单位承担工程/提供服务），或者提供其他残疾人福利性单位制造的货物（不包括使用非残疾人福利性单位注册商标的货物）。</w:t>
      </w:r>
    </w:p>
    <w:p w14:paraId="245D8EEE">
      <w:pPr>
        <w:pBdr>
          <w:top w:val="none" w:color="000000" w:sz="0" w:space="0"/>
          <w:left w:val="none" w:color="000000" w:sz="0" w:space="0"/>
          <w:bottom w:val="none" w:color="000000" w:sz="0" w:space="0"/>
          <w:right w:val="none" w:color="000000" w:sz="0" w:space="0"/>
        </w:pBdr>
        <w:spacing w:line="360" w:lineRule="auto"/>
        <w:ind w:firstLine="6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本单位对上述声明的真实性负责。如有虚假，将依法承担相应责任。</w:t>
      </w:r>
    </w:p>
    <w:p w14:paraId="704779DA">
      <w:pPr>
        <w:pBdr>
          <w:top w:val="none" w:color="000000" w:sz="0" w:space="0"/>
          <w:left w:val="none" w:color="000000" w:sz="0" w:space="0"/>
          <w:bottom w:val="none" w:color="000000" w:sz="0" w:space="0"/>
          <w:right w:val="none" w:color="000000" w:sz="0" w:space="0"/>
        </w:pBdr>
        <w:spacing w:line="360" w:lineRule="auto"/>
        <w:ind w:firstLine="6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 </w:t>
      </w:r>
    </w:p>
    <w:p w14:paraId="5545DA32">
      <w:pPr>
        <w:pBdr>
          <w:top w:val="none" w:color="000000" w:sz="0" w:space="0"/>
          <w:left w:val="none" w:color="000000" w:sz="0" w:space="0"/>
          <w:bottom w:val="none" w:color="000000" w:sz="0" w:space="0"/>
          <w:right w:val="none" w:color="000000" w:sz="0" w:space="0"/>
        </w:pBdr>
        <w:spacing w:line="360" w:lineRule="auto"/>
        <w:ind w:firstLine="624"/>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pacing w:val="6"/>
          <w:sz w:val="24"/>
          <w:szCs w:val="24"/>
        </w:rPr>
        <w:t> </w:t>
      </w:r>
    </w:p>
    <w:p w14:paraId="6A4AD94A">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（电子签章）</w:t>
      </w:r>
    </w:p>
    <w:p w14:paraId="2ECEEAD0">
      <w:pPr>
        <w:pBdr>
          <w:top w:val="none" w:color="000000" w:sz="0" w:space="0"/>
          <w:left w:val="none" w:color="000000" w:sz="0" w:space="0"/>
          <w:bottom w:val="none" w:color="000000" w:sz="0" w:space="0"/>
          <w:right w:val="none" w:color="000000" w:sz="0" w:space="0"/>
        </w:pBdr>
        <w:spacing w:line="360" w:lineRule="auto"/>
        <w:ind w:firstLine="4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6DA37CAE">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 月 日</w:t>
      </w:r>
    </w:p>
    <w:p w14:paraId="699E0FEC">
      <w:pPr>
        <w:pBdr>
          <w:top w:val="none" w:color="000000" w:sz="0" w:space="0"/>
          <w:left w:val="none" w:color="000000" w:sz="0" w:space="0"/>
          <w:bottom w:val="none" w:color="000000" w:sz="0" w:space="0"/>
          <w:right w:val="none" w:color="000000" w:sz="0" w:space="0"/>
        </w:pBdr>
        <w:spacing w:line="479" w:lineRule="atLeast"/>
        <w:ind w:firstLine="4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59AB40AB">
      <w:pPr>
        <w:pBdr>
          <w:top w:val="none" w:color="000000" w:sz="0" w:space="0"/>
          <w:left w:val="none" w:color="000000" w:sz="0" w:space="0"/>
          <w:bottom w:val="none" w:color="000000" w:sz="0" w:space="0"/>
          <w:right w:val="none" w:color="000000" w:sz="0" w:space="0"/>
        </w:pBdr>
        <w:spacing w:line="479" w:lineRule="atLeast"/>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58375DC1">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rPr>
        <w:br w:type="page" w:clear="all"/>
      </w:r>
    </w:p>
    <w:p w14:paraId="1F07F0F0">
      <w:p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rPr>
        <w:t>八、投标人参加政府采购活动前3年内在经营活动中没有重大违法记录的书面声明格式</w:t>
      </w:r>
    </w:p>
    <w:p w14:paraId="6797A103">
      <w:pPr>
        <w:pBdr>
          <w:top w:val="none" w:color="000000" w:sz="0" w:space="0"/>
          <w:left w:val="none" w:color="000000" w:sz="0" w:space="0"/>
          <w:bottom w:val="none" w:color="000000" w:sz="0" w:space="0"/>
          <w:right w:val="none" w:color="000000" w:sz="0" w:space="0"/>
        </w:pBdr>
        <w:spacing w:line="479" w:lineRule="atLeast"/>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34E2CFF5">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我单位在参加</w:t>
      </w:r>
      <w:r>
        <w:rPr>
          <w:rFonts w:hint="eastAsia" w:asciiTheme="minorEastAsia" w:hAnsiTheme="minorEastAsia" w:eastAsiaTheme="minorEastAsia" w:cstheme="minorEastAsia"/>
          <w:strike w:val="0"/>
          <w:dstrike w:val="0"/>
          <w:color w:val="auto"/>
          <w:sz w:val="24"/>
          <w:szCs w:val="24"/>
          <w:u w:val="single"/>
          <w:lang w:eastAsia="zh-CN"/>
        </w:rPr>
        <w:t>徐州市第一人民医院微视野视野计采购</w:t>
      </w:r>
      <w:r>
        <w:rPr>
          <w:rFonts w:hint="eastAsia" w:asciiTheme="minorEastAsia" w:hAnsiTheme="minorEastAsia" w:eastAsiaTheme="minorEastAsia" w:cstheme="minorEastAsia"/>
          <w:strike w:val="0"/>
          <w:dstrike w:val="0"/>
          <w:color w:val="auto"/>
          <w:sz w:val="24"/>
          <w:szCs w:val="24"/>
          <w:u w:val="none"/>
        </w:rPr>
        <w:t>项目</w:t>
      </w:r>
      <w:r>
        <w:rPr>
          <w:rFonts w:hint="eastAsia" w:asciiTheme="minorEastAsia" w:hAnsiTheme="minorEastAsia" w:eastAsiaTheme="minorEastAsia" w:cstheme="minorEastAsia"/>
          <w:strike w:val="0"/>
          <w:dstrike w:val="0"/>
          <w:color w:val="auto"/>
          <w:sz w:val="24"/>
          <w:szCs w:val="24"/>
        </w:rPr>
        <w:t>（项目编号：</w:t>
      </w:r>
      <w:r>
        <w:rPr>
          <w:rFonts w:hint="eastAsia" w:asciiTheme="minorEastAsia" w:hAnsiTheme="minorEastAsia" w:eastAsiaTheme="minorEastAsia" w:cstheme="minorEastAsia"/>
          <w:strike w:val="0"/>
          <w:dstrike w:val="0"/>
          <w:color w:val="auto"/>
          <w:sz w:val="24"/>
          <w:szCs w:val="24"/>
          <w:u w:val="single"/>
          <w:lang w:val="en-US" w:eastAsia="zh-CN"/>
        </w:rPr>
        <w:t>JSZC-320300-HWZX-G2026-0390</w:t>
      </w:r>
      <w:r>
        <w:rPr>
          <w:rFonts w:hint="eastAsia" w:asciiTheme="minorEastAsia" w:hAnsiTheme="minorEastAsia" w:eastAsiaTheme="minorEastAsia" w:cstheme="minorEastAsia"/>
          <w:strike w:val="0"/>
          <w:dstrike w:val="0"/>
          <w:color w:val="auto"/>
          <w:sz w:val="24"/>
          <w:szCs w:val="24"/>
        </w:rPr>
        <w:t>）</w:t>
      </w:r>
      <w:r>
        <w:rPr>
          <w:rFonts w:hint="eastAsia" w:asciiTheme="minorEastAsia" w:hAnsiTheme="minorEastAsia" w:eastAsiaTheme="minorEastAsia" w:cstheme="minorEastAsia"/>
          <w:color w:val="auto"/>
          <w:sz w:val="24"/>
          <w:szCs w:val="24"/>
        </w:rPr>
        <w:t>政府采购活动前3年内，在经营活动中没有重大违法记录。重大违法记录是指因违法经营受到刑事处罚或者责令停产停业、吊销许可证或者执照、较大数额罚款等行政处罚。</w:t>
      </w:r>
    </w:p>
    <w:p w14:paraId="2F58F6CA">
      <w:pPr>
        <w:pBdr>
          <w:top w:val="none" w:color="000000" w:sz="0" w:space="0"/>
          <w:left w:val="none" w:color="000000" w:sz="0" w:space="0"/>
          <w:bottom w:val="none" w:color="000000" w:sz="0" w:space="0"/>
          <w:right w:val="none" w:color="000000" w:sz="0" w:space="0"/>
        </w:pBdr>
        <w:spacing w:line="360" w:lineRule="auto"/>
        <w:ind w:firstLine="6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我单位对上述声明的真实性负责。如有虚假，将依法承担相应责任。</w:t>
      </w:r>
    </w:p>
    <w:p w14:paraId="2EBDE75F">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79F807BB">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1A28E4AE">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投标人：</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（电子签章）</w:t>
      </w:r>
    </w:p>
    <w:p w14:paraId="41002398">
      <w:pPr>
        <w:pBdr>
          <w:top w:val="none" w:color="000000" w:sz="0" w:space="0"/>
          <w:left w:val="none" w:color="000000" w:sz="0" w:space="0"/>
          <w:bottom w:val="none" w:color="000000" w:sz="0" w:space="0"/>
          <w:right w:val="none" w:color="000000" w:sz="0" w:space="0"/>
        </w:pBdr>
        <w:spacing w:line="360" w:lineRule="auto"/>
        <w:ind w:firstLine="450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 </w:t>
      </w:r>
    </w:p>
    <w:p w14:paraId="3A18881A">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日期： 年 月 日</w:t>
      </w:r>
    </w:p>
    <w:p w14:paraId="7A666B19">
      <w:pPr>
        <w:pBdr>
          <w:top w:val="none" w:color="000000" w:sz="0" w:space="0"/>
          <w:left w:val="none" w:color="000000" w:sz="0" w:space="0"/>
          <w:bottom w:val="none" w:color="000000" w:sz="0" w:space="0"/>
          <w:right w:val="none" w:color="000000" w:sz="0" w:space="0"/>
        </w:pBdr>
        <w:spacing w:line="479" w:lineRule="atLeast"/>
        <w:ind w:firstLine="600"/>
        <w:jc w:val="center"/>
        <w:rPr>
          <w:rFonts w:hint="eastAsia" w:asciiTheme="minorEastAsia" w:hAnsiTheme="minorEastAsia" w:eastAsiaTheme="minorEastAsia" w:cstheme="minorEastAsia"/>
          <w:color w:val="auto"/>
          <w:sz w:val="30"/>
        </w:rPr>
        <w:sectPr>
          <w:pgSz w:w="11906" w:h="16838"/>
          <w:pgMar w:top="1440" w:right="1803" w:bottom="1440" w:left="1803" w:header="851" w:footer="992" w:gutter="0"/>
          <w:cols w:space="720" w:num="1"/>
          <w:docGrid w:linePitch="360" w:charSpace="0"/>
        </w:sectPr>
      </w:pPr>
    </w:p>
    <w:p w14:paraId="7481A318">
      <w:pPr>
        <w:pBdr>
          <w:top w:val="none" w:color="000000" w:sz="0" w:space="0"/>
          <w:left w:val="none" w:color="000000" w:sz="0" w:space="0"/>
          <w:bottom w:val="none" w:color="000000" w:sz="0" w:space="0"/>
          <w:right w:val="none" w:color="000000" w:sz="0" w:space="0"/>
        </w:pBdr>
        <w:spacing w:line="360" w:lineRule="auto"/>
        <w:jc w:val="center"/>
        <w:rPr>
          <w:rFonts w:hint="eastAsia"/>
          <w:color w:val="auto"/>
        </w:rPr>
      </w:pPr>
      <w:r>
        <w:rPr>
          <w:rFonts w:hint="eastAsia" w:asciiTheme="minorEastAsia" w:hAnsiTheme="minorEastAsia" w:eastAsiaTheme="minorEastAsia" w:cstheme="minorEastAsia"/>
          <w:b/>
          <w:bCs/>
          <w:color w:val="auto"/>
          <w:sz w:val="32"/>
          <w:szCs w:val="32"/>
          <w:lang w:val="en-US" w:eastAsia="zh-CN"/>
        </w:rPr>
        <w:t>九、关于符合本国产品标准的声明函</w:t>
      </w:r>
      <w:r>
        <w:rPr>
          <w:rFonts w:hint="eastAsia"/>
          <w:color w:val="auto"/>
        </w:rPr>
        <w:t> </w:t>
      </w:r>
    </w:p>
    <w:p w14:paraId="587615BA">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right="0"/>
        <w:jc w:val="both"/>
        <w:rPr>
          <w:rFonts w:hint="eastAsia" w:asciiTheme="minorEastAsia" w:hAnsiTheme="minorEastAsia" w:eastAsiaTheme="minorEastAsia" w:cstheme="minorEastAsia"/>
          <w:b/>
          <w:bCs/>
          <w:color w:val="auto"/>
          <w:sz w:val="24"/>
          <w:szCs w:val="24"/>
          <w:lang w:val="en-US" w:eastAsia="zh-CN"/>
        </w:rPr>
      </w:pPr>
    </w:p>
    <w:p w14:paraId="7CAD73E7">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jc w:val="center"/>
        <w:rPr>
          <w:rFonts w:hint="eastAsia" w:ascii="宋体" w:hAnsi="宋体" w:eastAsia="宋体" w:cs="宋体"/>
          <w:i w:val="0"/>
          <w:iCs w:val="0"/>
          <w:caps w:val="0"/>
          <w:color w:val="auto"/>
          <w:spacing w:val="0"/>
          <w:sz w:val="24"/>
          <w:szCs w:val="24"/>
          <w:shd w:val="clear" w:color="auto" w:fill="FFFFFF"/>
          <w:vertAlign w:val="baseline"/>
        </w:rPr>
      </w:pPr>
      <w:r>
        <w:rPr>
          <w:rFonts w:hint="eastAsia" w:asciiTheme="minorEastAsia" w:hAnsiTheme="minorEastAsia" w:eastAsiaTheme="minorEastAsia" w:cstheme="minorEastAsia"/>
          <w:b/>
          <w:bCs/>
          <w:color w:val="auto"/>
          <w:sz w:val="32"/>
          <w:szCs w:val="32"/>
          <w:lang w:val="en-US" w:eastAsia="zh-CN"/>
        </w:rPr>
        <w:t>关于符合本国产品标准的声明函</w:t>
      </w:r>
    </w:p>
    <w:p w14:paraId="07934D1A">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本公司（单位）郑重声明，根据《国务院办公厅关于在政府采购中实施本国产品标准及相关政策的通知》（国办发〔2025〕34号）的规定，本公司（单位）提供的以下产品属于本国产品。具体情况如下：</w:t>
      </w:r>
    </w:p>
    <w:p w14:paraId="24A47B4D">
      <w:pPr>
        <w:pStyle w:val="3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rPr>
          <w:rFonts w:hint="eastAsia" w:ascii="宋体" w:hAnsi="宋体" w:eastAsia="宋体" w:cs="宋体"/>
          <w:color w:val="auto"/>
          <w:sz w:val="24"/>
          <w:szCs w:val="24"/>
          <w:lang w:val="en-US" w:eastAsia="zh-CN" w:bidi="ar-SA"/>
        </w:rPr>
      </w:pPr>
    </w:p>
    <w:p w14:paraId="4BC367F8">
      <w:pPr>
        <w:pStyle w:val="3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lang w:val="en-US" w:eastAsia="zh-CN" w:bidi="ar-SA"/>
        </w:rPr>
        <w:t>1</w:t>
      </w:r>
      <w:r>
        <w:rPr>
          <w:rFonts w:hint="eastAsia" w:cs="宋体"/>
          <w:color w:val="auto"/>
          <w:sz w:val="24"/>
          <w:szCs w:val="24"/>
          <w:lang w:val="en-US" w:eastAsia="zh-CN" w:bidi="ar-SA"/>
        </w:rPr>
        <w:t>、</w:t>
      </w:r>
      <w:r>
        <w:rPr>
          <w:rFonts w:ascii="宋体" w:hAnsi="宋体" w:eastAsia="宋体" w:cs="宋体"/>
          <w:b/>
          <w:bCs/>
          <w:color w:val="auto"/>
          <w:sz w:val="24"/>
          <w:szCs w:val="24"/>
          <w:highlight w:val="none"/>
          <w:u w:val="single"/>
        </w:rPr>
        <w:t>（</w:t>
      </w:r>
      <w:r>
        <w:rPr>
          <w:rFonts w:hint="eastAsia" w:ascii="宋体" w:hAnsi="宋体" w:cs="宋体"/>
          <w:b/>
          <w:bCs/>
          <w:color w:val="auto"/>
          <w:sz w:val="24"/>
          <w:szCs w:val="24"/>
          <w:highlight w:val="none"/>
          <w:u w:val="single"/>
          <w:lang w:val="en-US" w:eastAsia="zh-CN"/>
        </w:rPr>
        <w:t>微视野视野计</w:t>
      </w:r>
      <w:r>
        <w:rPr>
          <w:rFonts w:ascii="宋体" w:hAnsi="宋体" w:eastAsia="宋体" w:cs="宋体"/>
          <w:b/>
          <w:bCs/>
          <w:color w:val="auto"/>
          <w:sz w:val="24"/>
          <w:szCs w:val="24"/>
          <w:highlight w:val="none"/>
          <w:u w:val="single"/>
        </w:rPr>
        <w:t>）</w:t>
      </w:r>
      <w:r>
        <w:rPr>
          <w:rFonts w:ascii="宋体" w:hAnsi="宋体" w:eastAsia="宋体" w:cs="宋体"/>
          <w:b/>
          <w:bCs/>
          <w:color w:val="auto"/>
          <w:sz w:val="24"/>
          <w:szCs w:val="24"/>
          <w:highlight w:val="none"/>
          <w:vertAlign w:val="superscript"/>
        </w:rPr>
        <w:t>1</w:t>
      </w:r>
      <w:r>
        <w:rPr>
          <w:rFonts w:ascii="宋体" w:hAnsi="宋体" w:eastAsia="宋体" w:cs="宋体"/>
          <w:color w:val="auto"/>
          <w:sz w:val="24"/>
          <w:szCs w:val="24"/>
          <w:highlight w:val="none"/>
        </w:rPr>
        <w:t>，生产厂为</w:t>
      </w:r>
      <w:r>
        <w:rPr>
          <w:rFonts w:ascii="宋体" w:hAnsi="宋体" w:eastAsia="宋体" w:cs="宋体"/>
          <w:color w:val="auto"/>
          <w:sz w:val="24"/>
          <w:szCs w:val="24"/>
          <w:highlight w:val="none"/>
          <w:u w:val="single"/>
        </w:rPr>
        <w:t>（</w:t>
      </w:r>
      <w:r>
        <w:rPr>
          <w:rFonts w:ascii="宋体" w:hAnsi="宋体" w:eastAsia="宋体" w:cs="宋体"/>
          <w:b/>
          <w:bCs/>
          <w:color w:val="auto"/>
          <w:sz w:val="24"/>
          <w:szCs w:val="24"/>
          <w:highlight w:val="none"/>
          <w:u w:val="single"/>
        </w:rPr>
        <w:t>厂名</w:t>
      </w:r>
      <w:r>
        <w:rPr>
          <w:rFonts w:ascii="宋体" w:hAnsi="宋体" w:eastAsia="宋体" w:cs="宋体"/>
          <w:color w:val="auto"/>
          <w:sz w:val="24"/>
          <w:szCs w:val="24"/>
          <w:highlight w:val="none"/>
          <w:u w:val="single"/>
        </w:rPr>
        <w:t>）</w:t>
      </w:r>
      <w:r>
        <w:rPr>
          <w:rFonts w:ascii="宋体" w:hAnsi="宋体" w:eastAsia="宋体" w:cs="宋体"/>
          <w:b/>
          <w:bCs/>
          <w:color w:val="auto"/>
          <w:sz w:val="24"/>
          <w:szCs w:val="24"/>
          <w:highlight w:val="none"/>
          <w:vertAlign w:val="superscript"/>
        </w:rPr>
        <w:t>2</w:t>
      </w:r>
      <w:r>
        <w:rPr>
          <w:rFonts w:ascii="宋体" w:hAnsi="宋体" w:eastAsia="宋体" w:cs="宋体"/>
          <w:color w:val="auto"/>
          <w:sz w:val="24"/>
          <w:szCs w:val="24"/>
          <w:highlight w:val="none"/>
        </w:rPr>
        <w:t>，厂址为</w:t>
      </w:r>
      <w:r>
        <w:rPr>
          <w:rFonts w:ascii="宋体" w:hAnsi="宋体" w:eastAsia="宋体" w:cs="宋体"/>
          <w:color w:val="auto"/>
          <w:sz w:val="24"/>
          <w:szCs w:val="24"/>
          <w:highlight w:val="none"/>
          <w:u w:val="single"/>
        </w:rPr>
        <w:t>（</w:t>
      </w:r>
      <w:r>
        <w:rPr>
          <w:rFonts w:ascii="宋体" w:hAnsi="宋体" w:eastAsia="宋体" w:cs="宋体"/>
          <w:b/>
          <w:bCs/>
          <w:color w:val="auto"/>
          <w:sz w:val="24"/>
          <w:szCs w:val="24"/>
          <w:highlight w:val="none"/>
          <w:u w:val="single"/>
        </w:rPr>
        <w:t>生产厂址</w:t>
      </w:r>
      <w:r>
        <w:rPr>
          <w:rFonts w:ascii="宋体" w:hAnsi="宋体" w:eastAsia="宋体" w:cs="宋体"/>
          <w:color w:val="auto"/>
          <w:sz w:val="24"/>
          <w:szCs w:val="24"/>
          <w:highlight w:val="none"/>
          <w:u w:val="single"/>
        </w:rPr>
        <w:t>）</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 </w:t>
      </w:r>
      <w:r>
        <w:rPr>
          <w:rFonts w:ascii="宋体" w:hAnsi="宋体" w:eastAsia="宋体" w:cs="宋体"/>
          <w:color w:val="auto"/>
          <w:sz w:val="24"/>
          <w:szCs w:val="24"/>
          <w:highlight w:val="none"/>
        </w:rPr>
        <w:t>的中国境内生产的组件成本占比≥</w:t>
      </w:r>
      <w:r>
        <w:rPr>
          <w:rFonts w:ascii="宋体" w:hAnsi="宋体" w:eastAsia="宋体" w:cs="宋体"/>
          <w:color w:val="auto"/>
          <w:sz w:val="24"/>
          <w:szCs w:val="24"/>
          <w:highlight w:val="none"/>
          <w:u w:val="single"/>
        </w:rPr>
        <w:t xml:space="preserve">  /  </w:t>
      </w:r>
      <w:r>
        <w:rPr>
          <w:rFonts w:ascii="宋体" w:hAnsi="宋体" w:eastAsia="宋体" w:cs="宋体"/>
          <w:b/>
          <w:bCs/>
          <w:color w:val="auto"/>
          <w:sz w:val="24"/>
          <w:szCs w:val="24"/>
          <w:highlight w:val="none"/>
          <w:vertAlign w:val="superscript"/>
        </w:rPr>
        <w:t>3</w:t>
      </w:r>
      <w:r>
        <w:rPr>
          <w:rFonts w:ascii="宋体" w:hAnsi="宋体" w:eastAsia="宋体" w:cs="宋体"/>
          <w:color w:val="auto"/>
          <w:sz w:val="24"/>
          <w:szCs w:val="24"/>
          <w:highlight w:val="none"/>
        </w:rPr>
        <w:t>。</w:t>
      </w:r>
      <w:r>
        <w:rPr>
          <w:rFonts w:ascii="宋体" w:hAnsi="宋体" w:eastAsia="宋体" w:cs="宋体"/>
          <w:color w:val="auto"/>
          <w:sz w:val="24"/>
          <w:szCs w:val="24"/>
          <w:highlight w:val="none"/>
          <w:u w:val="single"/>
        </w:rPr>
        <w:t xml:space="preserve">  /  </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 xml:space="preserve">  /  </w:t>
      </w:r>
      <w:r>
        <w:rPr>
          <w:rFonts w:ascii="宋体" w:hAnsi="宋体" w:eastAsia="宋体" w:cs="宋体"/>
          <w:b/>
          <w:bCs/>
          <w:color w:val="auto"/>
          <w:sz w:val="24"/>
          <w:szCs w:val="24"/>
          <w:highlight w:val="none"/>
          <w:vertAlign w:val="superscript"/>
        </w:rPr>
        <w:t>4</w:t>
      </w:r>
      <w:r>
        <w:rPr>
          <w:rFonts w:ascii="宋体" w:hAnsi="宋体" w:eastAsia="宋体" w:cs="宋体"/>
          <w:color w:val="auto"/>
          <w:sz w:val="24"/>
          <w:szCs w:val="24"/>
          <w:highlight w:val="none"/>
        </w:rPr>
        <w:t>在中国境内生产。</w:t>
      </w:r>
      <w:r>
        <w:rPr>
          <w:rFonts w:ascii="宋体" w:hAnsi="宋体" w:eastAsia="宋体" w:cs="宋体"/>
          <w:color w:val="auto"/>
          <w:sz w:val="24"/>
          <w:szCs w:val="24"/>
          <w:highlight w:val="none"/>
          <w:u w:val="single"/>
        </w:rPr>
        <w:t xml:space="preserve">  /  </w:t>
      </w:r>
      <w:r>
        <w:rPr>
          <w:rFonts w:ascii="宋体" w:hAnsi="宋体" w:eastAsia="宋体" w:cs="宋体"/>
          <w:color w:val="auto"/>
          <w:sz w:val="24"/>
          <w:szCs w:val="24"/>
          <w:highlight w:val="none"/>
        </w:rPr>
        <w:t>的</w:t>
      </w:r>
      <w:r>
        <w:rPr>
          <w:rFonts w:ascii="宋体" w:hAnsi="宋体" w:eastAsia="宋体" w:cs="宋体"/>
          <w:color w:val="auto"/>
          <w:sz w:val="24"/>
          <w:szCs w:val="24"/>
          <w:highlight w:val="none"/>
          <w:u w:val="single"/>
        </w:rPr>
        <w:t xml:space="preserve">  /  </w:t>
      </w:r>
      <w:r>
        <w:rPr>
          <w:rFonts w:ascii="宋体" w:hAnsi="宋体" w:eastAsia="宋体" w:cs="宋体"/>
          <w:b/>
          <w:bCs/>
          <w:color w:val="auto"/>
          <w:sz w:val="24"/>
          <w:szCs w:val="24"/>
          <w:highlight w:val="none"/>
          <w:vertAlign w:val="superscript"/>
        </w:rPr>
        <w:t>5</w:t>
      </w:r>
      <w:r>
        <w:rPr>
          <w:rFonts w:ascii="宋体" w:hAnsi="宋体" w:eastAsia="宋体" w:cs="宋体"/>
          <w:color w:val="auto"/>
          <w:sz w:val="24"/>
          <w:szCs w:val="24"/>
          <w:highlight w:val="none"/>
        </w:rPr>
        <w:t>在中国境内完成</w:t>
      </w:r>
      <w:r>
        <w:rPr>
          <w:rFonts w:hint="eastAsia" w:ascii="宋体" w:hAnsi="宋体" w:eastAsia="宋体" w:cs="宋体"/>
          <w:color w:val="auto"/>
          <w:sz w:val="24"/>
          <w:szCs w:val="24"/>
          <w:highlight w:val="none"/>
          <w:lang w:eastAsia="zh-CN"/>
        </w:rPr>
        <w:t>。</w:t>
      </w:r>
    </w:p>
    <w:p w14:paraId="38A7F7C4">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rPr>
          <w:rFonts w:hint="eastAsia" w:ascii="宋体" w:hAnsi="宋体" w:eastAsia="宋体" w:cs="宋体"/>
          <w:i w:val="0"/>
          <w:iCs w:val="0"/>
          <w:caps w:val="0"/>
          <w:color w:val="auto"/>
          <w:spacing w:val="0"/>
          <w:sz w:val="24"/>
          <w:szCs w:val="24"/>
          <w:shd w:val="clear" w:color="auto" w:fill="FFFFFF"/>
          <w:vertAlign w:val="baseline"/>
        </w:rPr>
      </w:pPr>
    </w:p>
    <w:p w14:paraId="7339E3FD">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本公司（单位）对上述声明内容的真实性负责。如有虚假，愿承担相应法律责任。</w:t>
      </w:r>
    </w:p>
    <w:p w14:paraId="39938C2F">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40" w:lineRule="auto"/>
        <w:ind w:left="0" w:right="0" w:firstLine="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 </w:t>
      </w:r>
    </w:p>
    <w:p w14:paraId="017BF2DB">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vertAlign w:val="baseline"/>
        </w:rPr>
        <w:t>公司（单位）名称（</w:t>
      </w:r>
      <w:r>
        <w:rPr>
          <w:rFonts w:hint="eastAsia" w:ascii="宋体" w:hAnsi="宋体" w:cs="宋体"/>
          <w:b/>
          <w:bCs/>
          <w:i w:val="0"/>
          <w:iCs w:val="0"/>
          <w:caps w:val="0"/>
          <w:color w:val="auto"/>
          <w:spacing w:val="0"/>
          <w:sz w:val="24"/>
          <w:szCs w:val="24"/>
          <w:shd w:val="clear" w:color="auto" w:fill="FFFFFF"/>
          <w:vertAlign w:val="baseline"/>
          <w:lang w:val="en-US" w:eastAsia="zh-CN"/>
        </w:rPr>
        <w:t>电子签章</w:t>
      </w:r>
      <w:r>
        <w:rPr>
          <w:rFonts w:hint="eastAsia" w:ascii="宋体" w:hAnsi="宋体" w:eastAsia="宋体" w:cs="宋体"/>
          <w:b/>
          <w:bCs/>
          <w:i w:val="0"/>
          <w:iCs w:val="0"/>
          <w:caps w:val="0"/>
          <w:color w:val="auto"/>
          <w:spacing w:val="0"/>
          <w:sz w:val="24"/>
          <w:szCs w:val="24"/>
          <w:shd w:val="clear" w:color="auto" w:fill="FFFFFF"/>
          <w:vertAlign w:val="baseline"/>
        </w:rPr>
        <w:t>）：　        </w:t>
      </w:r>
    </w:p>
    <w:p w14:paraId="5EE1FD3A">
      <w:pPr>
        <w:pStyle w:val="37"/>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0" w:lineRule="auto"/>
        <w:ind w:left="0" w:right="0" w:firstLine="0"/>
        <w:jc w:val="both"/>
        <w:rPr>
          <w:rFonts w:hint="eastAsia" w:ascii="宋体" w:hAnsi="宋体" w:eastAsia="宋体" w:cs="宋体"/>
          <w:b/>
          <w:bCs/>
          <w:i w:val="0"/>
          <w:iCs w:val="0"/>
          <w:caps w:val="0"/>
          <w:color w:val="auto"/>
          <w:spacing w:val="0"/>
          <w:sz w:val="24"/>
          <w:szCs w:val="24"/>
        </w:rPr>
      </w:pPr>
      <w:r>
        <w:rPr>
          <w:rFonts w:hint="eastAsia" w:ascii="宋体" w:hAnsi="宋体" w:eastAsia="宋体" w:cs="宋体"/>
          <w:b/>
          <w:bCs/>
          <w:i w:val="0"/>
          <w:iCs w:val="0"/>
          <w:caps w:val="0"/>
          <w:color w:val="auto"/>
          <w:spacing w:val="0"/>
          <w:sz w:val="24"/>
          <w:szCs w:val="24"/>
          <w:shd w:val="clear" w:color="auto" w:fill="FFFFFF"/>
          <w:vertAlign w:val="baseline"/>
        </w:rPr>
        <w:t>日期：</w:t>
      </w:r>
      <w:r>
        <w:rPr>
          <w:rFonts w:hint="eastAsia" w:cs="宋体"/>
          <w:b/>
          <w:bCs/>
          <w:i w:val="0"/>
          <w:iCs w:val="0"/>
          <w:caps w:val="0"/>
          <w:color w:val="auto"/>
          <w:spacing w:val="0"/>
          <w:sz w:val="24"/>
          <w:szCs w:val="24"/>
          <w:shd w:val="clear" w:color="auto" w:fill="FFFFFF"/>
          <w:vertAlign w:val="baseline"/>
          <w:lang w:val="en-US" w:eastAsia="zh-CN"/>
        </w:rPr>
        <w:t xml:space="preserve">  </w:t>
      </w:r>
      <w:r>
        <w:rPr>
          <w:rFonts w:hint="eastAsia" w:ascii="宋体" w:hAnsi="宋体" w:eastAsia="宋体" w:cs="宋体"/>
          <w:b/>
          <w:bCs/>
          <w:i w:val="0"/>
          <w:iCs w:val="0"/>
          <w:caps w:val="0"/>
          <w:color w:val="auto"/>
          <w:spacing w:val="0"/>
          <w:sz w:val="24"/>
          <w:szCs w:val="24"/>
          <w:shd w:val="clear" w:color="auto" w:fill="FFFFFF"/>
          <w:vertAlign w:val="baseline"/>
        </w:rPr>
        <w:t>年</w:t>
      </w:r>
      <w:r>
        <w:rPr>
          <w:rFonts w:hint="eastAsia" w:cs="宋体"/>
          <w:b/>
          <w:bCs/>
          <w:i w:val="0"/>
          <w:iCs w:val="0"/>
          <w:caps w:val="0"/>
          <w:color w:val="auto"/>
          <w:spacing w:val="0"/>
          <w:sz w:val="24"/>
          <w:szCs w:val="24"/>
          <w:shd w:val="clear" w:color="auto" w:fill="FFFFFF"/>
          <w:vertAlign w:val="baseline"/>
          <w:lang w:val="en-US" w:eastAsia="zh-CN"/>
        </w:rPr>
        <w:t xml:space="preserve">  </w:t>
      </w:r>
      <w:r>
        <w:rPr>
          <w:rFonts w:hint="eastAsia" w:ascii="宋体" w:hAnsi="宋体" w:eastAsia="宋体" w:cs="宋体"/>
          <w:b/>
          <w:bCs/>
          <w:i w:val="0"/>
          <w:iCs w:val="0"/>
          <w:caps w:val="0"/>
          <w:color w:val="auto"/>
          <w:spacing w:val="0"/>
          <w:sz w:val="24"/>
          <w:szCs w:val="24"/>
          <w:shd w:val="clear" w:color="auto" w:fill="FFFFFF"/>
          <w:vertAlign w:val="baseline"/>
        </w:rPr>
        <w:t>月</w:t>
      </w:r>
      <w:r>
        <w:rPr>
          <w:rFonts w:hint="eastAsia" w:cs="宋体"/>
          <w:b/>
          <w:bCs/>
          <w:i w:val="0"/>
          <w:iCs w:val="0"/>
          <w:caps w:val="0"/>
          <w:color w:val="auto"/>
          <w:spacing w:val="0"/>
          <w:sz w:val="24"/>
          <w:szCs w:val="24"/>
          <w:shd w:val="clear" w:color="auto" w:fill="FFFFFF"/>
          <w:vertAlign w:val="baseline"/>
          <w:lang w:val="en-US" w:eastAsia="zh-CN"/>
        </w:rPr>
        <w:t xml:space="preserve">  </w:t>
      </w:r>
      <w:r>
        <w:rPr>
          <w:rFonts w:hint="eastAsia" w:ascii="宋体" w:hAnsi="宋体" w:eastAsia="宋体" w:cs="宋体"/>
          <w:b/>
          <w:bCs/>
          <w:i w:val="0"/>
          <w:iCs w:val="0"/>
          <w:caps w:val="0"/>
          <w:color w:val="auto"/>
          <w:spacing w:val="0"/>
          <w:sz w:val="24"/>
          <w:szCs w:val="24"/>
          <w:shd w:val="clear" w:color="auto" w:fill="FFFFFF"/>
          <w:vertAlign w:val="baseline"/>
        </w:rPr>
        <w:t>日</w:t>
      </w:r>
    </w:p>
    <w:p w14:paraId="44F0405E">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240" w:lineRule="auto"/>
        <w:ind w:right="0"/>
        <w:rPr>
          <w:rFonts w:hint="eastAsia" w:cs="宋体"/>
          <w:i w:val="0"/>
          <w:iCs w:val="0"/>
          <w:caps w:val="0"/>
          <w:color w:val="auto"/>
          <w:spacing w:val="0"/>
          <w:sz w:val="24"/>
          <w:szCs w:val="24"/>
          <w:shd w:val="clear" w:color="auto" w:fill="FFFFFF"/>
          <w:vertAlign w:val="baseline"/>
          <w:lang w:val="en-US" w:eastAsia="zh-CN"/>
        </w:rPr>
      </w:pPr>
    </w:p>
    <w:p w14:paraId="5354FE83">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right="0"/>
        <w:rPr>
          <w:rFonts w:hint="eastAsia" w:cs="宋体"/>
          <w:i w:val="0"/>
          <w:iCs w:val="0"/>
          <w:caps w:val="0"/>
          <w:color w:val="auto"/>
          <w:spacing w:val="0"/>
          <w:sz w:val="24"/>
          <w:szCs w:val="24"/>
          <w:shd w:val="clear" w:color="auto" w:fill="FFFFFF"/>
          <w:vertAlign w:val="baseline"/>
          <w:lang w:val="en-US" w:eastAsia="zh-CN"/>
        </w:rPr>
      </w:pPr>
      <w:r>
        <w:rPr>
          <w:rFonts w:hint="eastAsia" w:cs="宋体"/>
          <w:i w:val="0"/>
          <w:iCs w:val="0"/>
          <w:caps w:val="0"/>
          <w:color w:val="auto"/>
          <w:spacing w:val="0"/>
          <w:sz w:val="24"/>
          <w:szCs w:val="24"/>
          <w:shd w:val="clear" w:color="auto" w:fill="FFFFFF"/>
          <w:vertAlign w:val="baseline"/>
          <w:lang w:val="en-US" w:eastAsia="zh-CN"/>
        </w:rPr>
        <w:t>注：</w:t>
      </w:r>
    </w:p>
    <w:p w14:paraId="7C91F09C">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1.产品如有型号，请在“产品名称”栏一并填写。</w:t>
      </w:r>
    </w:p>
    <w:p w14:paraId="1CD311A6">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2.生产厂名与厂址应与生产厂营业执照载明的相关信息保持一致。</w:t>
      </w:r>
    </w:p>
    <w:p w14:paraId="1BFCE225">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3.该产品的中国境内生产的组件成本占比相关要求实施前，“规定比例”栏可不填，下同。</w:t>
      </w:r>
    </w:p>
    <w:p w14:paraId="575B29D3">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rPr>
      </w:pPr>
      <w:r>
        <w:rPr>
          <w:rFonts w:hint="eastAsia" w:ascii="宋体" w:hAnsi="宋体" w:eastAsia="宋体" w:cs="宋体"/>
          <w:i w:val="0"/>
          <w:iCs w:val="0"/>
          <w:caps w:val="0"/>
          <w:color w:val="auto"/>
          <w:spacing w:val="0"/>
          <w:sz w:val="24"/>
          <w:szCs w:val="24"/>
          <w:shd w:val="clear" w:color="auto" w:fill="FFFFFF"/>
          <w:vertAlign w:val="baseline"/>
        </w:rPr>
        <w:t>4.该产品的关键组件要求实施前，“关键组件”栏可不填，下同。</w:t>
      </w:r>
    </w:p>
    <w:p w14:paraId="3A59B2C6">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color w:val="auto"/>
          <w:sz w:val="24"/>
          <w:szCs w:val="24"/>
          <w:lang w:val="en-US" w:eastAsia="zh-CN"/>
        </w:rPr>
      </w:pPr>
      <w:r>
        <w:rPr>
          <w:rFonts w:hint="eastAsia" w:ascii="宋体" w:hAnsi="宋体" w:eastAsia="宋体" w:cs="宋体"/>
          <w:i w:val="0"/>
          <w:iCs w:val="0"/>
          <w:caps w:val="0"/>
          <w:color w:val="auto"/>
          <w:spacing w:val="0"/>
          <w:sz w:val="24"/>
          <w:szCs w:val="24"/>
          <w:shd w:val="clear" w:color="auto" w:fill="FFFFFF"/>
          <w:vertAlign w:val="baseline"/>
        </w:rPr>
        <w:t>5.该产品的关键工序要求实施前，“关键工序”栏可不填，下同。</w:t>
      </w:r>
    </w:p>
    <w:p w14:paraId="193A2426">
      <w:pPr>
        <w:pStyle w:val="37"/>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line="360" w:lineRule="auto"/>
        <w:ind w:left="0" w:right="0" w:firstLine="420"/>
        <w:rPr>
          <w:rFonts w:hint="eastAsia" w:ascii="宋体" w:hAnsi="宋体" w:eastAsia="宋体" w:cs="宋体"/>
          <w:i w:val="0"/>
          <w:iCs w:val="0"/>
          <w:caps w:val="0"/>
          <w:color w:val="auto"/>
          <w:spacing w:val="0"/>
          <w:sz w:val="24"/>
          <w:szCs w:val="24"/>
          <w:shd w:val="clear" w:color="auto" w:fill="FFFFFF"/>
          <w:vertAlign w:val="baseline"/>
          <w:lang w:val="en-US" w:eastAsia="zh-CN"/>
        </w:rPr>
        <w:sectPr>
          <w:pgSz w:w="11906" w:h="16838"/>
          <w:pgMar w:top="1440" w:right="1803" w:bottom="1440" w:left="1803" w:header="851" w:footer="992" w:gutter="0"/>
          <w:cols w:space="720" w:num="1"/>
          <w:docGrid w:linePitch="360" w:charSpace="0"/>
        </w:sectPr>
      </w:pPr>
      <w:r>
        <w:rPr>
          <w:rFonts w:hint="eastAsia" w:ascii="宋体" w:hAnsi="宋体" w:cs="宋体"/>
          <w:color w:val="auto"/>
          <w:sz w:val="24"/>
          <w:szCs w:val="24"/>
          <w:highlight w:val="none"/>
          <w:lang w:val="en-US" w:eastAsia="zh-CN"/>
        </w:rPr>
        <w:t>6</w:t>
      </w:r>
      <w:r>
        <w:rPr>
          <w:rFonts w:ascii="宋体" w:hAnsi="宋体" w:eastAsia="宋体" w:cs="宋体"/>
          <w:color w:val="auto"/>
          <w:sz w:val="24"/>
          <w:szCs w:val="24"/>
          <w:highlight w:val="none"/>
        </w:rPr>
        <w:t>.《声明函》中标注“</w:t>
      </w:r>
      <w:r>
        <w:rPr>
          <w:rFonts w:ascii="宋体" w:hAnsi="宋体" w:eastAsia="宋体" w:cs="宋体"/>
          <w:color w:val="auto"/>
          <w:sz w:val="24"/>
          <w:szCs w:val="24"/>
          <w:highlight w:val="none"/>
          <w:u w:val="single"/>
        </w:rPr>
        <w:t>  / </w:t>
      </w:r>
      <w:r>
        <w:rPr>
          <w:rFonts w:ascii="宋体" w:hAnsi="宋体" w:eastAsia="宋体" w:cs="宋体"/>
          <w:color w:val="auto"/>
          <w:sz w:val="24"/>
          <w:szCs w:val="24"/>
          <w:highlight w:val="none"/>
        </w:rPr>
        <w:t>”的地方无需填写</w:t>
      </w:r>
      <w:r>
        <w:rPr>
          <w:rFonts w:hint="eastAsia" w:cs="宋体"/>
          <w:color w:val="auto"/>
          <w:sz w:val="24"/>
          <w:szCs w:val="24"/>
          <w:highlight w:val="none"/>
          <w:lang w:eastAsia="zh-CN"/>
        </w:rPr>
        <w:t>。</w:t>
      </w:r>
    </w:p>
    <w:p w14:paraId="02489126">
      <w:pPr>
        <w:pBdr>
          <w:top w:val="none" w:color="000000" w:sz="0" w:space="0"/>
          <w:left w:val="none" w:color="000000" w:sz="0" w:space="0"/>
          <w:bottom w:val="none" w:color="000000" w:sz="0" w:space="0"/>
          <w:right w:val="none" w:color="000000" w:sz="0" w:space="0"/>
        </w:pBdr>
        <w:spacing w:line="360" w:lineRule="auto"/>
        <w:jc w:val="center"/>
        <w:rPr>
          <w:rFonts w:hint="eastAsia" w:asciiTheme="minorEastAsia" w:hAnsiTheme="minorEastAsia" w:eastAsiaTheme="minorEastAsia" w:cstheme="minorEastAsia"/>
          <w:b/>
          <w:bCs/>
          <w:color w:val="auto"/>
          <w:sz w:val="32"/>
          <w:szCs w:val="32"/>
        </w:rPr>
      </w:pPr>
      <w:r>
        <w:rPr>
          <w:rFonts w:hint="eastAsia" w:asciiTheme="minorEastAsia" w:hAnsiTheme="minorEastAsia" w:eastAsiaTheme="minorEastAsia" w:cstheme="minorEastAsia"/>
          <w:b/>
          <w:bCs/>
          <w:color w:val="auto"/>
          <w:sz w:val="32"/>
          <w:szCs w:val="32"/>
          <w:lang w:val="en-US" w:eastAsia="zh-CN"/>
        </w:rPr>
        <w:t>十</w:t>
      </w:r>
      <w:r>
        <w:rPr>
          <w:rFonts w:hint="eastAsia" w:asciiTheme="minorEastAsia" w:hAnsiTheme="minorEastAsia" w:eastAsiaTheme="minorEastAsia" w:cstheme="minorEastAsia"/>
          <w:b/>
          <w:bCs/>
          <w:color w:val="auto"/>
          <w:sz w:val="32"/>
          <w:szCs w:val="32"/>
        </w:rPr>
        <w:t>、预付款保函支付条款模板</w:t>
      </w:r>
    </w:p>
    <w:p w14:paraId="523B5193">
      <w:pPr>
        <w:pBdr>
          <w:top w:val="none" w:color="000000" w:sz="0" w:space="0"/>
          <w:left w:val="none" w:color="000000" w:sz="0" w:space="0"/>
          <w:bottom w:val="none" w:color="000000" w:sz="0" w:space="0"/>
          <w:right w:val="none" w:color="000000" w:sz="0" w:space="0"/>
        </w:pBdr>
        <w:spacing w:line="360" w:lineRule="auto"/>
        <w:rPr>
          <w:rFonts w:hint="eastAsia" w:asciiTheme="minorEastAsia" w:hAnsiTheme="minorEastAsia" w:eastAsiaTheme="minorEastAsia" w:cstheme="minorEastAsia"/>
          <w:b/>
          <w:color w:val="auto"/>
          <w:sz w:val="24"/>
          <w:szCs w:val="24"/>
        </w:rPr>
      </w:pPr>
    </w:p>
    <w:p w14:paraId="61D651C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符合条件一：提交预付款保函的</w:t>
      </w:r>
    </w:p>
    <w:p w14:paraId="22DC607C">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（1）合同签订且乙方向甲方出具预付款保函后</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个工作日内，由甲方根据审批流程办理政府采购资金结算手续，经审核后支付给乙方合同价款的百分之</w:t>
      </w:r>
      <w:r>
        <w:rPr>
          <w:rFonts w:hint="eastAsia" w:asciiTheme="minorEastAsia" w:hAnsiTheme="minorEastAsia" w:eastAsiaTheme="minorEastAsia" w:cstheme="minorEastAsia"/>
          <w:color w:val="auto"/>
          <w:sz w:val="24"/>
          <w:szCs w:val="24"/>
          <w:u w:val="single"/>
        </w:rPr>
        <w:t>XX（ XX%），</w:t>
      </w:r>
      <w:r>
        <w:rPr>
          <w:rFonts w:hint="eastAsia" w:asciiTheme="minorEastAsia" w:hAnsiTheme="minorEastAsia" w:eastAsiaTheme="minorEastAsia" w:cstheme="minorEastAsia"/>
          <w:color w:val="auto"/>
          <w:sz w:val="24"/>
          <w:szCs w:val="24"/>
        </w:rPr>
        <w:t>小写￥</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大写：人民币</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7997C8BF">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乙方需提交的支付文件：乙方出具的全额正式发票。</w:t>
      </w:r>
    </w:p>
    <w:p w14:paraId="5C1FFBB0">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（2）合同标的全部交付并安装完毕并验收合格后</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个工作日内，由甲方根据审批流程办理政府采购资金结算手续，经审核后支付合同价款的百分之</w:t>
      </w:r>
      <w:r>
        <w:rPr>
          <w:rFonts w:hint="eastAsia" w:asciiTheme="minorEastAsia" w:hAnsiTheme="minorEastAsia" w:eastAsiaTheme="minorEastAsia" w:cstheme="minorEastAsia"/>
          <w:color w:val="auto"/>
          <w:sz w:val="24"/>
          <w:szCs w:val="24"/>
          <w:u w:val="single"/>
        </w:rPr>
        <w:t>XX（ XX%），</w:t>
      </w:r>
      <w:r>
        <w:rPr>
          <w:rFonts w:hint="eastAsia" w:asciiTheme="minorEastAsia" w:hAnsiTheme="minorEastAsia" w:eastAsiaTheme="minorEastAsia" w:cstheme="minorEastAsia"/>
          <w:color w:val="auto"/>
          <w:sz w:val="24"/>
          <w:szCs w:val="24"/>
        </w:rPr>
        <w:t>小写￥</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大写：人民币</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CB81721">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w:t>
      </w:r>
    </w:p>
    <w:p w14:paraId="6746A935">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符合条件二：不提交预付款保函的</w:t>
      </w:r>
    </w:p>
    <w:p w14:paraId="5AB95A50">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（1）合同签订后</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个工作日内，由甲方根据审批流程办理政府采购资金结算手续，经审核后支付合同价款的百分之</w:t>
      </w:r>
      <w:r>
        <w:rPr>
          <w:rFonts w:hint="eastAsia" w:asciiTheme="minorEastAsia" w:hAnsiTheme="minorEastAsia" w:eastAsiaTheme="minorEastAsia" w:cstheme="minorEastAsia"/>
          <w:color w:val="auto"/>
          <w:sz w:val="24"/>
          <w:szCs w:val="24"/>
          <w:u w:val="single"/>
        </w:rPr>
        <w:t>XX（ XX%），</w:t>
      </w:r>
      <w:r>
        <w:rPr>
          <w:rFonts w:hint="eastAsia" w:asciiTheme="minorEastAsia" w:hAnsiTheme="minorEastAsia" w:eastAsiaTheme="minorEastAsia" w:cstheme="minorEastAsia"/>
          <w:color w:val="auto"/>
          <w:sz w:val="24"/>
          <w:szCs w:val="24"/>
        </w:rPr>
        <w:t>小写￥</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大写：人民币</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4B26D4EC">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2"/>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乙方需提交的支付文件：乙方出具的全额正式发票。</w:t>
      </w:r>
    </w:p>
    <w:p w14:paraId="6F809D4D">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（2）合同标的全部交付并安装完毕并验收合格后，由甲方根据审批流程办理政府采购资金结算手续，经审核后</w:t>
      </w:r>
      <w:r>
        <w:rPr>
          <w:rFonts w:hint="eastAsia" w:asciiTheme="minorEastAsia" w:hAnsiTheme="minorEastAsia" w:eastAsiaTheme="minorEastAsia" w:cstheme="minorEastAsia"/>
          <w:color w:val="auto"/>
          <w:sz w:val="24"/>
          <w:szCs w:val="24"/>
          <w:u w:val="single"/>
        </w:rPr>
        <w:t> </w:t>
      </w:r>
      <w:r>
        <w:rPr>
          <w:rFonts w:hint="eastAsia" w:asciiTheme="minorEastAsia" w:hAnsiTheme="minorEastAsia" w:eastAsiaTheme="minorEastAsia" w:cstheme="minorEastAsia"/>
          <w:color w:val="auto"/>
          <w:sz w:val="24"/>
          <w:szCs w:val="24"/>
        </w:rPr>
        <w:t>个工作日内，甲方应支付合同价款的百分之</w:t>
      </w:r>
      <w:r>
        <w:rPr>
          <w:rFonts w:hint="eastAsia" w:asciiTheme="minorEastAsia" w:hAnsiTheme="minorEastAsia" w:eastAsiaTheme="minorEastAsia" w:cstheme="minorEastAsia"/>
          <w:color w:val="auto"/>
          <w:sz w:val="24"/>
          <w:szCs w:val="24"/>
          <w:u w:val="single"/>
        </w:rPr>
        <w:t>XX（  XX%），</w:t>
      </w:r>
      <w:r>
        <w:rPr>
          <w:rFonts w:hint="eastAsia" w:asciiTheme="minorEastAsia" w:hAnsiTheme="minorEastAsia" w:eastAsiaTheme="minorEastAsia" w:cstheme="minorEastAsia"/>
          <w:color w:val="auto"/>
          <w:sz w:val="24"/>
          <w:szCs w:val="24"/>
        </w:rPr>
        <w:t>小写￥</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大写：人民币</w:t>
      </w:r>
      <w:r>
        <w:rPr>
          <w:rFonts w:hint="eastAsia" w:asciiTheme="minorEastAsia" w:hAnsiTheme="minorEastAsia" w:eastAsiaTheme="minorEastAsia" w:cstheme="minorEastAsia"/>
          <w:color w:val="auto"/>
          <w:sz w:val="24"/>
          <w:szCs w:val="24"/>
          <w:u w:val="single"/>
          <w:lang w:val="en-US" w:eastAsia="zh-CN"/>
        </w:rPr>
        <w:t xml:space="preserve">      </w:t>
      </w:r>
      <w:r>
        <w:rPr>
          <w:rFonts w:hint="eastAsia" w:asciiTheme="minorEastAsia" w:hAnsiTheme="minorEastAsia" w:eastAsiaTheme="minorEastAsia" w:cstheme="minorEastAsia"/>
          <w:color w:val="auto"/>
          <w:sz w:val="24"/>
          <w:szCs w:val="24"/>
        </w:rPr>
        <w:t>。</w:t>
      </w:r>
    </w:p>
    <w:p w14:paraId="3E428BE7">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605"/>
        <w:rPr>
          <w:rFonts w:hint="eastAsia" w:asciiTheme="minorEastAsia" w:hAnsiTheme="minorEastAsia" w:eastAsiaTheme="minorEastAsia" w:cstheme="minorEastAsia"/>
          <w:b/>
          <w:color w:val="auto"/>
          <w:sz w:val="24"/>
          <w:szCs w:val="24"/>
        </w:rPr>
      </w:pPr>
      <w:r>
        <w:rPr>
          <w:rFonts w:hint="eastAsia" w:asciiTheme="minorEastAsia" w:hAnsiTheme="minorEastAsia" w:eastAsiaTheme="minorEastAsia" w:cstheme="minorEastAsia"/>
          <w:b/>
          <w:color w:val="auto"/>
          <w:sz w:val="24"/>
          <w:szCs w:val="24"/>
        </w:rPr>
        <w:t>……</w:t>
      </w:r>
    </w:p>
    <w:p w14:paraId="1505122E">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b/>
          <w:color w:val="auto"/>
          <w:sz w:val="24"/>
          <w:szCs w:val="24"/>
        </w:rPr>
        <w:t>注:</w:t>
      </w:r>
    </w:p>
    <w:p w14:paraId="37C8E20F">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Theme="minorEastAsia" w:hAnsiTheme="minorEastAsia" w:eastAsiaTheme="minorEastAsia" w:cstheme="minorEastAsia"/>
          <w:color w:val="auto"/>
          <w:sz w:val="24"/>
          <w:szCs w:val="24"/>
        </w:rPr>
      </w:pPr>
      <w:r>
        <w:rPr>
          <w:rFonts w:hint="eastAsia" w:asciiTheme="minorEastAsia" w:hAnsiTheme="minorEastAsia" w:eastAsiaTheme="minorEastAsia" w:cstheme="minorEastAsia"/>
          <w:color w:val="auto"/>
          <w:sz w:val="24"/>
          <w:szCs w:val="24"/>
        </w:rPr>
        <w:t>1、付款条件一中，出具预付款保函后支付的合同款应当与保函金额一致。</w:t>
      </w:r>
    </w:p>
    <w:p w14:paraId="1F5A65E6">
      <w:pPr>
        <w:keepNext w:val="0"/>
        <w:keepLines w:val="0"/>
        <w:pageBreakBefore w:val="0"/>
        <w:widowControl w:val="0"/>
        <w:pBdr>
          <w:top w:val="none" w:color="000000" w:sz="0" w:space="0"/>
          <w:left w:val="none" w:color="000000" w:sz="0" w:space="0"/>
          <w:bottom w:val="none" w:color="000000" w:sz="0" w:space="0"/>
          <w:right w:val="none" w:color="000000" w:sz="0" w:space="0"/>
        </w:pBdr>
        <w:spacing w:line="480" w:lineRule="exact"/>
        <w:ind w:firstLine="560"/>
        <w:rPr>
          <w:rFonts w:hint="eastAsia" w:asciiTheme="minorEastAsia" w:hAnsiTheme="minorEastAsia" w:eastAsiaTheme="minorEastAsia" w:cstheme="minorEastAsia"/>
          <w:color w:val="auto"/>
          <w:sz w:val="24"/>
          <w:szCs w:val="24"/>
        </w:rPr>
        <w:sectPr>
          <w:pgSz w:w="11906" w:h="16838"/>
          <w:pgMar w:top="1440" w:right="1803" w:bottom="1440" w:left="1803" w:header="851" w:footer="992" w:gutter="0"/>
          <w:cols w:space="720" w:num="1"/>
          <w:docGrid w:linePitch="360" w:charSpace="0"/>
        </w:sectPr>
      </w:pPr>
      <w:r>
        <w:rPr>
          <w:rFonts w:hint="eastAsia" w:asciiTheme="minorEastAsia" w:hAnsiTheme="minorEastAsia" w:eastAsiaTheme="minorEastAsia" w:cstheme="minorEastAsia"/>
          <w:color w:val="auto"/>
          <w:sz w:val="24"/>
          <w:szCs w:val="24"/>
        </w:rPr>
        <w:t>2、付款条件二中，预付款比例设定应符合《关于做好政府采购支持企业发展有关事项的通知》(苏财购〔2020〕52号)要求。 </w:t>
      </w:r>
    </w:p>
    <w:p w14:paraId="322DAE7C">
      <w:pPr>
        <w:pBdr>
          <w:top w:val="none" w:color="000000" w:sz="0" w:space="0"/>
          <w:left w:val="none" w:color="000000" w:sz="0" w:space="0"/>
          <w:bottom w:val="none" w:color="000000" w:sz="0" w:space="0"/>
          <w:right w:val="none" w:color="000000" w:sz="0" w:space="0"/>
        </w:pBdr>
        <w:spacing w:line="479" w:lineRule="atLeast"/>
        <w:ind w:firstLine="560"/>
        <w:jc w:val="center"/>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val="en-US" w:eastAsia="zh-CN"/>
        </w:rPr>
        <w:t>十一</w:t>
      </w:r>
      <w:r>
        <w:rPr>
          <w:rFonts w:hint="eastAsia" w:ascii="宋体" w:hAnsi="宋体" w:eastAsia="宋体" w:cs="宋体"/>
          <w:b/>
          <w:bCs/>
          <w:color w:val="auto"/>
          <w:sz w:val="32"/>
          <w:szCs w:val="32"/>
          <w:highlight w:val="none"/>
          <w:lang w:eastAsia="zh-CN"/>
        </w:rPr>
        <w:t>、投标人明确表示无需预付款的承诺函</w:t>
      </w:r>
    </w:p>
    <w:p w14:paraId="64698465">
      <w:pPr>
        <w:ind w:firstLine="548"/>
        <w:rPr>
          <w:rFonts w:hint="eastAsia" w:ascii="宋体" w:hAnsi="宋体" w:eastAsia="宋体" w:cs="宋体"/>
          <w:bCs/>
          <w:color w:val="auto"/>
          <w:sz w:val="28"/>
          <w:szCs w:val="28"/>
          <w:highlight w:val="none"/>
        </w:rPr>
      </w:pPr>
    </w:p>
    <w:p w14:paraId="22C5275C">
      <w:pPr>
        <w:spacing w:line="360" w:lineRule="auto"/>
        <w:ind w:firstLine="0"/>
        <w:rPr>
          <w:rFonts w:hint="eastAsia" w:ascii="宋体" w:hAnsi="宋体" w:eastAsia="宋体" w:cs="宋体"/>
          <w:bCs/>
          <w:color w:val="auto"/>
          <w:sz w:val="28"/>
          <w:szCs w:val="28"/>
          <w:highlight w:val="none"/>
          <w:lang w:val="en-US" w:eastAsia="zh-CN"/>
        </w:rPr>
      </w:pPr>
    </w:p>
    <w:p w14:paraId="66FA2D22">
      <w:pPr>
        <w:spacing w:line="360" w:lineRule="auto"/>
        <w:ind w:firstLine="0"/>
        <w:rPr>
          <w:rFonts w:hint="default" w:ascii="宋体" w:hAnsi="宋体" w:eastAsia="宋体" w:cs="宋体"/>
          <w:bCs/>
          <w:color w:val="auto"/>
          <w:sz w:val="28"/>
          <w:szCs w:val="28"/>
          <w:highlight w:val="none"/>
          <w:lang w:val="en-US" w:eastAsia="zh-CN"/>
        </w:rPr>
      </w:pPr>
      <w:r>
        <w:rPr>
          <w:rFonts w:hint="eastAsia" w:ascii="宋体" w:hAnsi="宋体" w:eastAsia="宋体" w:cs="宋体"/>
          <w:bCs/>
          <w:color w:val="auto"/>
          <w:sz w:val="28"/>
          <w:szCs w:val="28"/>
          <w:highlight w:val="none"/>
          <w:lang w:val="en-US" w:eastAsia="zh-CN"/>
        </w:rPr>
        <w:t>徐州市第一人民医院：</w:t>
      </w:r>
    </w:p>
    <w:p w14:paraId="53C5CE8E">
      <w:pPr>
        <w:spacing w:line="360" w:lineRule="auto"/>
        <w:ind w:firstLine="560"/>
        <w:rPr>
          <w:rFonts w:hint="eastAsia" w:ascii="宋体" w:hAnsi="宋体" w:eastAsia="宋体" w:cs="宋体"/>
          <w:color w:val="auto"/>
          <w:sz w:val="28"/>
          <w:szCs w:val="28"/>
          <w:highlight w:val="none"/>
          <w:lang w:val="en-US" w:eastAsia="zh-CN"/>
        </w:rPr>
      </w:pPr>
    </w:p>
    <w:p w14:paraId="2935C8A7">
      <w:pPr>
        <w:spacing w:line="360" w:lineRule="auto"/>
        <w:ind w:firstLine="560"/>
        <w:rPr>
          <w:rFonts w:hint="eastAsia"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lang w:val="en-US" w:eastAsia="zh-CN"/>
        </w:rPr>
        <w:t>我单位在</w:t>
      </w:r>
      <w:r>
        <w:rPr>
          <w:rFonts w:hint="eastAsia" w:ascii="宋体" w:hAnsi="宋体" w:cs="宋体"/>
          <w:color w:val="auto"/>
          <w:sz w:val="28"/>
          <w:szCs w:val="28"/>
          <w:highlight w:val="none"/>
          <w:u w:val="single"/>
          <w:lang w:eastAsia="zh-CN"/>
        </w:rPr>
        <w:t>徐州市第一人民医院微视野视野计采购</w:t>
      </w:r>
      <w:r>
        <w:rPr>
          <w:rFonts w:hint="eastAsia" w:ascii="宋体" w:hAnsi="宋体" w:eastAsia="宋体" w:cs="宋体"/>
          <w:color w:val="auto"/>
          <w:sz w:val="28"/>
          <w:szCs w:val="28"/>
          <w:highlight w:val="none"/>
        </w:rPr>
        <w:t>项目</w:t>
      </w:r>
      <w:r>
        <w:rPr>
          <w:rFonts w:hint="eastAsia" w:ascii="宋体" w:hAnsi="宋体" w:eastAsia="宋体" w:cs="宋体"/>
          <w:color w:val="auto"/>
          <w:sz w:val="28"/>
          <w:szCs w:val="28"/>
          <w:highlight w:val="none"/>
          <w:lang w:val="en-US" w:eastAsia="zh-CN"/>
        </w:rPr>
        <w:t>（项目编号：</w:t>
      </w:r>
      <w:r>
        <w:rPr>
          <w:rFonts w:hint="eastAsia" w:ascii="宋体" w:hAnsi="宋体" w:cs="宋体"/>
          <w:color w:val="auto"/>
          <w:sz w:val="28"/>
          <w:szCs w:val="28"/>
          <w:highlight w:val="none"/>
          <w:u w:val="single"/>
          <w:lang w:val="en-US" w:eastAsia="zh-CN"/>
        </w:rPr>
        <w:t>JSZC-320300-HWZX-G2026-0390</w:t>
      </w:r>
      <w:r>
        <w:rPr>
          <w:rFonts w:hint="eastAsia" w:ascii="宋体" w:hAnsi="宋体" w:eastAsia="宋体" w:cs="宋体"/>
          <w:color w:val="auto"/>
          <w:sz w:val="28"/>
          <w:szCs w:val="28"/>
          <w:highlight w:val="none"/>
          <w:lang w:val="en-US" w:eastAsia="zh-CN"/>
        </w:rPr>
        <w:t>号）政府采购活动中承诺：如我单位中标，我单位承诺在签订合同时，明确表示无需预付款。</w:t>
      </w:r>
    </w:p>
    <w:p w14:paraId="23492BA0">
      <w:pPr>
        <w:spacing w:line="360" w:lineRule="auto"/>
        <w:rPr>
          <w:rFonts w:hint="eastAsia" w:ascii="宋体" w:hAnsi="宋体" w:eastAsia="宋体" w:cs="宋体"/>
          <w:color w:val="auto"/>
          <w:sz w:val="28"/>
          <w:szCs w:val="28"/>
          <w:highlight w:val="none"/>
        </w:rPr>
      </w:pPr>
    </w:p>
    <w:p w14:paraId="5CF616E3">
      <w:pPr>
        <w:spacing w:line="360" w:lineRule="auto"/>
        <w:ind w:firstLine="2520"/>
        <w:rPr>
          <w:rFonts w:hint="eastAsia" w:ascii="宋体" w:hAnsi="宋体" w:eastAsia="宋体" w:cs="宋体"/>
          <w:color w:val="auto"/>
          <w:sz w:val="28"/>
          <w:szCs w:val="28"/>
          <w:highlight w:val="none"/>
        </w:rPr>
      </w:pPr>
    </w:p>
    <w:p w14:paraId="0B11E364">
      <w:pPr>
        <w:spacing w:line="360" w:lineRule="auto"/>
        <w:ind w:firstLine="2520"/>
        <w:rPr>
          <w:rFonts w:hint="eastAsia" w:ascii="宋体" w:hAnsi="宋体" w:eastAsia="宋体" w:cs="宋体"/>
          <w:color w:val="auto"/>
          <w:sz w:val="28"/>
          <w:szCs w:val="28"/>
          <w:highlight w:val="none"/>
        </w:rPr>
      </w:pPr>
    </w:p>
    <w:p w14:paraId="7F4B052E">
      <w:pPr>
        <w:spacing w:line="360" w:lineRule="auto"/>
        <w:ind w:firstLine="364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投标人</w:t>
      </w:r>
      <w:r>
        <w:rPr>
          <w:rFonts w:hint="eastAsia" w:ascii="宋体" w:hAnsi="宋体" w:eastAsia="宋体" w:cs="宋体"/>
          <w:color w:val="auto"/>
          <w:sz w:val="28"/>
          <w:szCs w:val="28"/>
          <w:highlight w:val="none"/>
        </w:rPr>
        <w:t>（电子签章）：</w:t>
      </w:r>
    </w:p>
    <w:p w14:paraId="5E31B16D">
      <w:pPr>
        <w:pBdr>
          <w:top w:val="none" w:color="000000" w:sz="0" w:space="0"/>
          <w:left w:val="none" w:color="000000" w:sz="0" w:space="0"/>
          <w:bottom w:val="none" w:color="000000" w:sz="0" w:space="0"/>
          <w:right w:val="none" w:color="000000" w:sz="0" w:space="0"/>
        </w:pBdr>
        <w:spacing w:line="479" w:lineRule="atLeast"/>
        <w:ind w:firstLine="560"/>
        <w:jc w:val="center"/>
        <w:rPr>
          <w:rFonts w:hint="eastAsia"/>
          <w:color w:val="auto"/>
        </w:rPr>
      </w:pP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日期：   年  月  日</w:t>
      </w:r>
    </w:p>
    <w:p w14:paraId="0F963EB8">
      <w:pPr>
        <w:pBdr>
          <w:top w:val="none" w:color="000000" w:sz="0" w:space="0"/>
          <w:left w:val="none" w:color="000000" w:sz="0" w:space="0"/>
          <w:bottom w:val="none" w:color="000000" w:sz="0" w:space="0"/>
          <w:right w:val="none" w:color="000000" w:sz="0" w:space="0"/>
        </w:pBdr>
        <w:rPr>
          <w:rFonts w:hint="eastAsia" w:asciiTheme="minorEastAsia" w:hAnsiTheme="minorEastAsia" w:eastAsiaTheme="minorEastAsia" w:cstheme="minorEastAsia"/>
          <w:color w:val="auto"/>
        </w:rPr>
      </w:pPr>
      <w:r>
        <w:rPr>
          <w:rFonts w:hint="eastAsia" w:asciiTheme="minorEastAsia" w:hAnsiTheme="minorEastAsia" w:eastAsiaTheme="minorEastAsia" w:cstheme="minorEastAsia"/>
          <w:color w:val="auto"/>
          <w:sz w:val="22"/>
        </w:rPr>
        <w:t> </w:t>
      </w:r>
    </w:p>
    <w:p w14:paraId="1926EF4F">
      <w:pPr>
        <w:rPr>
          <w:rFonts w:hint="eastAsia" w:asciiTheme="minorEastAsia" w:hAnsiTheme="minorEastAsia" w:eastAsiaTheme="minorEastAsia" w:cstheme="minorEastAsia"/>
          <w:color w:val="auto"/>
        </w:rPr>
      </w:pPr>
    </w:p>
    <w:p w14:paraId="5870C143">
      <w:pPr>
        <w:rPr>
          <w:rFonts w:hint="eastAsia" w:ascii="宋体" w:hAnsi="宋体" w:eastAsia="宋体" w:cs="宋体"/>
          <w:i w:val="0"/>
          <w:iCs w:val="0"/>
          <w:caps w:val="0"/>
          <w:color w:val="auto"/>
          <w:spacing w:val="0"/>
          <w:sz w:val="24"/>
          <w:szCs w:val="24"/>
          <w:shd w:val="clear" w:color="auto" w:fill="FFFFFF"/>
          <w:vertAlign w:val="baseline"/>
          <w:lang w:val="en-US" w:eastAsia="zh-CN"/>
        </w:rPr>
      </w:pPr>
    </w:p>
    <w:sectPr>
      <w:pgSz w:w="11906" w:h="16838"/>
      <w:pgMar w:top="1440" w:right="1803" w:bottom="1440" w:left="1803" w:header="851" w:footer="992"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 w:name="Calibri Light">
    <w:panose1 w:val="020F0302020204030204"/>
    <w:charset w:val="00"/>
    <w:family w:val="auto"/>
    <w:pitch w:val="default"/>
    <w:sig w:usb0="E4002EFF" w:usb1="C200247B" w:usb2="00000009" w:usb3="00000000" w:csb0="200001FF" w:csb1="00000000"/>
  </w:font>
  <w:font w:name="仿宋_GB2312">
    <w:altName w:val="仿宋"/>
    <w:panose1 w:val="0201060906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monospace">
    <w:altName w:val="DejaVu Math TeX Gyre"/>
    <w:panose1 w:val="020B0503020202020204"/>
    <w:charset w:val="00"/>
    <w:family w:val="auto"/>
    <w:pitch w:val="default"/>
    <w:sig w:usb0="00000000" w:usb1="00000000" w:usb2="00000000" w:usb3="00000000" w:csb0="00000000" w:csb1="00000000"/>
  </w:font>
  <w:font w:name="DejaVu Math TeX Gyre">
    <w:panose1 w:val="02000503000000000000"/>
    <w:charset w:val="00"/>
    <w:family w:val="auto"/>
    <w:pitch w:val="default"/>
    <w:sig w:usb0="A10000EF" w:usb1="4201F9EE" w:usb2="02000000" w:usb3="00000000" w:csb0="60000193" w:csb1="0DD40000"/>
  </w:font>
  <w:font w:name="Tahoma">
    <w:panose1 w:val="020B0604030504040204"/>
    <w:charset w:val="00"/>
    <w:family w:val="auto"/>
    <w:pitch w:val="default"/>
    <w:sig w:usb0="E1002EFF" w:usb1="C000605B" w:usb2="00000029" w:usb3="00000000" w:csb0="200101FF" w:csb1="20280000"/>
  </w:font>
  <w:font w:name="PMingLiU">
    <w:altName w:val="Sitka Text"/>
    <w:panose1 w:val="02020500000000000000"/>
    <w:charset w:val="00"/>
    <w:family w:val="auto"/>
    <w:pitch w:val="default"/>
    <w:sig w:usb0="00000000" w:usb1="00000000" w:usb2="00000000" w:usb3="00000000" w:csb0="00000000" w:csb1="00000000"/>
  </w:font>
  <w:font w:name="Sitka Text">
    <w:panose1 w:val="00000000000000000000"/>
    <w:charset w:val="00"/>
    <w:family w:val="auto"/>
    <w:pitch w:val="default"/>
    <w:sig w:usb0="A00002EF" w:usb1="4000204B" w:usb2="00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5C6892">
    <w:pPr>
      <w:pStyle w:val="2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96F9F8">
                          <w:pPr>
                            <w:pStyle w:val="2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s0lY7tAAAAAFAQAADwAAAAAAAAABACAAAAAiAAAAZHJzL2Rvd25yZXYu&#10;eG1sUEsBAhQAFAAAAAgAh07iQPp4CWU8AgAAbwQAAA4AAAAAAAAAAQAgAAAAHwEAAGRycy9lMm9E&#10;b2MueG1sUEsFBgAAAAAGAAYAWQEAAM0FAAAAAA==&#10;">
              <v:fill on="f" focussize="0,0"/>
              <v:stroke on="f" weight="0.5pt"/>
              <v:imagedata o:title=""/>
              <o:lock v:ext="edit" aspectratio="f"/>
              <v:textbox inset="0mm,0mm,0mm,0mm" style="mso-fit-shape-to-text:t;">
                <w:txbxContent>
                  <w:p w14:paraId="0996F9F8">
                    <w:pPr>
                      <w:pStyle w:val="27"/>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DDEAF5">
    <w:pPr>
      <w:pStyle w:val="280"/>
      <w:tabs>
        <w:tab w:val="left" w:pos="4912"/>
      </w:tabs>
    </w:pPr>
    <w:r>
      <mc:AlternateContent>
        <mc:Choice Requires="wps">
          <w:drawing>
            <wp:anchor distT="0" distB="0" distL="114300" distR="114300" simplePos="0" relativeHeight="251661312" behindDoc="0" locked="0" layoutInCell="1" allowOverlap="1">
              <wp:simplePos x="0" y="0"/>
              <wp:positionH relativeFrom="margin">
                <wp:posOffset>2506345</wp:posOffset>
              </wp:positionH>
              <wp:positionV relativeFrom="paragraph">
                <wp:posOffset>0</wp:posOffset>
              </wp:positionV>
              <wp:extent cx="257175" cy="147955"/>
              <wp:effectExtent l="0" t="0" r="0" b="0"/>
              <wp:wrapNone/>
              <wp:docPr id="2" name="文本框 6"/>
              <wp:cNvGraphicFramePr/>
              <a:graphic xmlns:a="http://schemas.openxmlformats.org/drawingml/2006/main">
                <a:graphicData uri="http://schemas.microsoft.com/office/word/2010/wordprocessingShape">
                  <wps:wsp>
                    <wps:cNvSpPr txBox="1"/>
                    <wps:spPr bwMode="auto">
                      <a:xfrm>
                        <a:off x="0" y="0"/>
                        <a:ext cx="257175" cy="147955"/>
                      </a:xfrm>
                      <a:prstGeom prst="rect">
                        <a:avLst/>
                      </a:prstGeom>
                      <a:noFill/>
                      <a:ln>
                        <a:noFill/>
                      </a:ln>
                    </wps:spPr>
                    <wps:txbx>
                      <w:txbxContent>
                        <w:p w14:paraId="0683420F">
                          <w:pPr>
                            <w:pStyle w:val="280"/>
                            <w:tabs>
                              <w:tab w:val="clear" w:pos="4153"/>
                              <w:tab w:val="clear" w:pos="8306"/>
                            </w:tabs>
                          </w:pPr>
                          <w:r>
                            <w:fldChar w:fldCharType="begin"/>
                          </w:r>
                          <w:r>
                            <w:instrText xml:space="preserve"> PAGE  \* MERGEFORMAT </w:instrText>
                          </w:r>
                          <w:r>
                            <w:fldChar w:fldCharType="separate"/>
                          </w:r>
                          <w:r>
                            <w:t>38</w:t>
                          </w:r>
                          <w:r>
                            <w:fldChar w:fldCharType="end"/>
                          </w:r>
                        </w:p>
                        <w:p w14:paraId="54249A13"/>
                        <w:p w14:paraId="0609E8FC"/>
                      </w:txbxContent>
                    </wps:txbx>
                    <wps:bodyPr wrap="square" lIns="0" tIns="0" rIns="0" bIns="0" upright="1"/>
                  </wps:wsp>
                </a:graphicData>
              </a:graphic>
            </wp:anchor>
          </w:drawing>
        </mc:Choice>
        <mc:Fallback>
          <w:pict>
            <v:shape id="文本框 6" o:spid="_x0000_s1026" o:spt="202" type="#_x0000_t202" style="position:absolute;left:0pt;margin-left:197.35pt;margin-top:0pt;height:11.65pt;width:20.25pt;mso-position-horizontal-relative:margin;z-index:251661312;mso-width-relative:page;mso-height-relative:page;" filled="f" stroked="f" coordsize="21600,21600" o:gfxdata="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esLe1dcAAAAHAQAADwAAAAAAAAABACAAAAAiAAAA&#10;ZHJzL2Rvd25yZXYueG1sUEsBAhQAFAAAAAgAh07iQA7y2SzPAQAAjQMAAA4AAAAAAAAAAQAgAAAA&#10;JgEAAGRycy9lMm9Eb2MueG1sUEsFBgAAAAAGAAYAWQEAAGcFAAAAAA==&#10;">
              <v:fill on="f" focussize="0,0"/>
              <v:stroke on="f"/>
              <v:imagedata o:title=""/>
              <o:lock v:ext="edit" aspectratio="f"/>
              <v:textbox inset="0mm,0mm,0mm,0mm">
                <w:txbxContent>
                  <w:p w14:paraId="0683420F">
                    <w:pPr>
                      <w:pStyle w:val="280"/>
                      <w:tabs>
                        <w:tab w:val="clear" w:pos="4153"/>
                        <w:tab w:val="clear" w:pos="8306"/>
                      </w:tabs>
                    </w:pPr>
                    <w:r>
                      <w:fldChar w:fldCharType="begin"/>
                    </w:r>
                    <w:r>
                      <w:instrText xml:space="preserve"> PAGE  \* MERGEFORMAT </w:instrText>
                    </w:r>
                    <w:r>
                      <w:fldChar w:fldCharType="separate"/>
                    </w:r>
                    <w:r>
                      <w:t>38</w:t>
                    </w:r>
                    <w:r>
                      <w:fldChar w:fldCharType="end"/>
                    </w:r>
                  </w:p>
                  <w:p w14:paraId="54249A13"/>
                  <w:p w14:paraId="0609E8FC"/>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617539">
    <w:pPr>
      <w:pStyle w:val="27"/>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miter/>
                      </a:ln>
                    </wps:spPr>
                    <wps:style>
                      <a:lnRef idx="0">
                        <a:schemeClr val="accent1"/>
                      </a:lnRef>
                      <a:fillRef idx="0">
                        <a:schemeClr val="accent1"/>
                      </a:fillRef>
                      <a:effectRef idx="0">
                        <a:schemeClr val="accent1"/>
                      </a:effectRef>
                      <a:fontRef idx="minor">
                        <a:schemeClr val="dk1"/>
                      </a:fontRef>
                    </wps:style>
                    <wps:txbx>
                      <w:txbxContent>
                        <w:p w14:paraId="135B8FFE">
                          <w:pPr>
                            <w:pStyle w:val="2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">
              <v:fill on="f" focussize="0,0"/>
              <v:stroke on="f" weight="0.5pt" joinstyle="miter"/>
              <v:imagedata o:title=""/>
              <o:lock v:ext="edit" aspectratio="f"/>
              <v:textbox inset="0mm,0mm,0mm,0mm" style="mso-fit-shape-to-text:t;">
                <w:txbxContent>
                  <w:p w14:paraId="135B8FFE">
                    <w:pPr>
                      <w:pStyle w:val="2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2E8D0">
    <w:pPr>
      <w:pStyle w:val="28"/>
      <w:pBdr>
        <w:bottom w:val="single" w:color="auto" w:sz="4" w:space="0"/>
      </w:pBdr>
      <w:jc w:val="right"/>
    </w:pPr>
    <w:r>
      <w:rPr>
        <w:rFonts w:hint="eastAsia" w:ascii="宋体" w:hAnsi="宋体" w:cs="宋体"/>
        <w:color w:val="auto"/>
        <w:sz w:val="18"/>
        <w:szCs w:val="18"/>
        <w:lang w:eastAsia="zh-CN"/>
      </w:rPr>
      <w:t>徐州市第一人民医院微视野视野计采购</w:t>
    </w:r>
    <w:r>
      <w:rPr>
        <w:rFonts w:hint="eastAsia" w:ascii="宋体" w:hAnsi="宋体" w:eastAsia="宋体" w:cs="宋体"/>
        <w:color w:val="auto"/>
        <w:sz w:val="18"/>
        <w:szCs w:val="18"/>
      </w:rPr>
      <w:t>项目招标文件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EDCA34">
    <w:pPr>
      <w:pBdr>
        <w:bottom w:val="single" w:color="000000" w:sz="4" w:space="0"/>
      </w:pBdr>
      <w:jc w:val="right"/>
      <w:rPr>
        <w:sz w:val="21"/>
        <w:szCs w:val="21"/>
      </w:rPr>
    </w:pPr>
    <w:r>
      <w:rPr>
        <w:rFonts w:hint="eastAsia"/>
        <w:sz w:val="18"/>
        <w:szCs w:val="18"/>
        <w:lang w:eastAsia="zh-CN"/>
      </w:rPr>
      <w:t>徐州市第一人民医院微视野视野计采购</w:t>
    </w:r>
    <w:r>
      <w:rPr>
        <w:rFonts w:hint="eastAsia"/>
        <w:sz w:val="18"/>
        <w:szCs w:val="18"/>
      </w:rPr>
      <w:t>项目招标文件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9F351">
    <w:pPr>
      <w:pBdr>
        <w:bottom w:val="single" w:color="auto" w:sz="4" w:space="0"/>
      </w:pBdr>
      <w:jc w:val="right"/>
      <w:rPr>
        <w:i/>
        <w:iCs/>
        <w:sz w:val="18"/>
      </w:rPr>
    </w:pPr>
    <w:r>
      <w:rPr>
        <w:rFonts w:hint="eastAsia" w:ascii="宋体" w:hAnsi="宋体" w:cs="宋体"/>
        <w:color w:val="auto"/>
        <w:sz w:val="18"/>
        <w:szCs w:val="18"/>
        <w:lang w:eastAsia="zh-CN"/>
      </w:rPr>
      <w:t>徐州市第一人民医院微视野视野计采购</w:t>
    </w:r>
    <w:r>
      <w:rPr>
        <w:rFonts w:hint="eastAsia" w:ascii="宋体" w:hAnsi="宋体" w:eastAsia="宋体" w:cs="宋体"/>
        <w:color w:val="auto"/>
        <w:sz w:val="18"/>
        <w:szCs w:val="18"/>
      </w:rPr>
      <w:t>项目</w:t>
    </w:r>
    <w:r>
      <w:rPr>
        <w:rFonts w:hint="eastAsia"/>
        <w:sz w:val="18"/>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suff w:val="space"/>
      <w:lvlText w:val="%1. "/>
      <w:lvlJc w:val="left"/>
      <w:pPr>
        <w:ind w:left="907" w:hanging="907"/>
      </w:pPr>
    </w:lvl>
    <w:lvl w:ilvl="1" w:tentative="0">
      <w:start w:val="1"/>
      <w:numFmt w:val="decimal"/>
      <w:isLgl/>
      <w:suff w:val="space"/>
      <w:lvlText w:val="%1.%2 "/>
      <w:lvlJc w:val="left"/>
      <w:pPr>
        <w:ind w:left="794" w:hanging="794"/>
      </w:pPr>
    </w:lvl>
    <w:lvl w:ilvl="2" w:tentative="0">
      <w:start w:val="0"/>
      <w:numFmt w:val="none"/>
      <w:lvlText w:val=""/>
      <w:lvlJc w:val="left"/>
      <w:pPr>
        <w:tabs>
          <w:tab w:val="left" w:pos="360"/>
        </w:tabs>
        <w:ind w:left="0" w:firstLine="0"/>
      </w:pPr>
      <w:rPr>
        <w:rFonts w:cs="Times New Roman"/>
      </w:rPr>
    </w:lvl>
    <w:lvl w:ilvl="3" w:tentative="0">
      <w:start w:val="0"/>
      <w:numFmt w:val="none"/>
      <w:lvlText w:val=""/>
      <w:lvlJc w:val="left"/>
      <w:pPr>
        <w:tabs>
          <w:tab w:val="left" w:pos="360"/>
        </w:tabs>
        <w:ind w:left="0" w:firstLine="0"/>
      </w:pPr>
      <w:rPr>
        <w:rFonts w:cs="Times New Roman"/>
      </w:rPr>
    </w:lvl>
    <w:lvl w:ilvl="4" w:tentative="0">
      <w:start w:val="0"/>
      <w:numFmt w:val="decimal"/>
      <w:pStyle w:val="258"/>
      <w:lvlText w:val=""/>
      <w:lvlJc w:val="left"/>
      <w:pPr>
        <w:ind w:left="0" w:firstLine="0"/>
      </w:pPr>
      <w:rPr>
        <w:rFonts w:cs="Times New Roman"/>
      </w:rPr>
    </w:lvl>
    <w:lvl w:ilvl="5" w:tentative="0">
      <w:start w:val="0"/>
      <w:numFmt w:val="decimal"/>
      <w:lvlText w:val=""/>
      <w:lvlJc w:val="left"/>
      <w:pPr>
        <w:ind w:left="0" w:firstLine="0"/>
      </w:pPr>
      <w:rPr>
        <w:rFonts w:cs="Times New Roman"/>
      </w:rPr>
    </w:lvl>
    <w:lvl w:ilvl="6" w:tentative="0">
      <w:start w:val="0"/>
      <w:numFmt w:val="decimal"/>
      <w:lvlText w:val=""/>
      <w:lvlJc w:val="left"/>
      <w:pPr>
        <w:ind w:left="0" w:firstLine="0"/>
      </w:pPr>
      <w:rPr>
        <w:rFonts w:cs="Times New Roman"/>
      </w:rPr>
    </w:lvl>
    <w:lvl w:ilvl="7" w:tentative="0">
      <w:start w:val="0"/>
      <w:numFmt w:val="decimal"/>
      <w:lvlText w:val=""/>
      <w:lvlJc w:val="left"/>
      <w:pPr>
        <w:ind w:left="0" w:firstLine="0"/>
      </w:pPr>
      <w:rPr>
        <w:rFonts w:cs="Times New Roman"/>
      </w:rPr>
    </w:lvl>
    <w:lvl w:ilvl="8" w:tentative="0">
      <w:start w:val="0"/>
      <w:numFmt w:val="decimal"/>
      <w:lvlText w:val=""/>
      <w:lvlJc w:val="left"/>
      <w:pPr>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D365FF"/>
    <w:rsid w:val="00DE11B4"/>
    <w:rsid w:val="01510F5A"/>
    <w:rsid w:val="02F756E0"/>
    <w:rsid w:val="0380417C"/>
    <w:rsid w:val="039201D8"/>
    <w:rsid w:val="040A366D"/>
    <w:rsid w:val="05451020"/>
    <w:rsid w:val="077A6A68"/>
    <w:rsid w:val="07D06EC9"/>
    <w:rsid w:val="0B7768AB"/>
    <w:rsid w:val="0BCA19E1"/>
    <w:rsid w:val="0CA70A2C"/>
    <w:rsid w:val="0DE90D3C"/>
    <w:rsid w:val="0E581234"/>
    <w:rsid w:val="11B56CA5"/>
    <w:rsid w:val="1501033F"/>
    <w:rsid w:val="16A034E0"/>
    <w:rsid w:val="1C5B19D0"/>
    <w:rsid w:val="1E222BA5"/>
    <w:rsid w:val="1E3907C2"/>
    <w:rsid w:val="27466F3A"/>
    <w:rsid w:val="27573B7A"/>
    <w:rsid w:val="2BE028D5"/>
    <w:rsid w:val="2C851B48"/>
    <w:rsid w:val="2FC45B6C"/>
    <w:rsid w:val="31BD2FCF"/>
    <w:rsid w:val="33DC27C9"/>
    <w:rsid w:val="34A55F9D"/>
    <w:rsid w:val="34BB131C"/>
    <w:rsid w:val="378B10E8"/>
    <w:rsid w:val="39D81DDD"/>
    <w:rsid w:val="3B2071E6"/>
    <w:rsid w:val="3B5770A6"/>
    <w:rsid w:val="3BC154D3"/>
    <w:rsid w:val="3C5009E2"/>
    <w:rsid w:val="46876964"/>
    <w:rsid w:val="47542AF8"/>
    <w:rsid w:val="4E653A2C"/>
    <w:rsid w:val="4E7D5BAF"/>
    <w:rsid w:val="4F044143"/>
    <w:rsid w:val="4FCF4F01"/>
    <w:rsid w:val="51C76D19"/>
    <w:rsid w:val="521A39F7"/>
    <w:rsid w:val="529848E1"/>
    <w:rsid w:val="58802C7F"/>
    <w:rsid w:val="58D56831"/>
    <w:rsid w:val="58ED6291"/>
    <w:rsid w:val="59C473C7"/>
    <w:rsid w:val="5ACA5413"/>
    <w:rsid w:val="5B034795"/>
    <w:rsid w:val="5B1D1B6B"/>
    <w:rsid w:val="5ED11953"/>
    <w:rsid w:val="6135490B"/>
    <w:rsid w:val="66F84397"/>
    <w:rsid w:val="67201D84"/>
    <w:rsid w:val="6773720C"/>
    <w:rsid w:val="6A831C80"/>
    <w:rsid w:val="6BAE1C71"/>
    <w:rsid w:val="6FB32818"/>
    <w:rsid w:val="706978A3"/>
    <w:rsid w:val="70A9798D"/>
    <w:rsid w:val="71936644"/>
    <w:rsid w:val="72AF5612"/>
    <w:rsid w:val="72B73B47"/>
    <w:rsid w:val="75657F46"/>
    <w:rsid w:val="7891372F"/>
    <w:rsid w:val="79FA00BD"/>
    <w:rsid w:val="7DE73692"/>
    <w:rsid w:val="7F08472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qFormat="1" w:unhideWhenUsed="0" w:uiPriority="99" w:semiHidden="0"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nhideWhenUsed="0" w:uiPriority="0" w:semiHidden="0" w:name="footnote text"/>
    <w:lsdException w:qFormat="1" w:uiPriority="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qFormat="1" w:uiPriority="99" w:semiHidden="0" w:name="footnote reference"/>
    <w:lsdException w:qFormat="1" w:uiPriority="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qFormat="1" w:uiPriority="99" w:name="HTML Keyboard"/>
    <w:lsdException w:uiPriority="99" w:name="HTML Preformatted"/>
    <w:lsdException w:qFormat="1" w:uiPriority="99" w:name="HTML Sample"/>
    <w:lsdException w:qFormat="1" w:uiPriority="99" w:name="HTML Typewriter"/>
    <w:lsdException w:qFormat="1" w:uiPriority="99" w:name="HTML Variable"/>
    <w:lsdException w:qFormat="1" w:uiPriority="99" w:name="Normal Table"/>
    <w:lsdException w:qFormat="1"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link w:val="281"/>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2">
    <w:name w:val="heading 1"/>
    <w:basedOn w:val="1"/>
    <w:next w:val="1"/>
    <w:link w:val="247"/>
    <w:qFormat/>
    <w:uiPriority w:val="0"/>
    <w:pPr>
      <w:keepNext/>
      <w:keepLines/>
      <w:spacing w:line="578" w:lineRule="auto"/>
      <w:jc w:val="center"/>
      <w:outlineLvl w:val="0"/>
    </w:pPr>
    <w:rPr>
      <w:rFonts w:eastAsia="新宋体"/>
      <w:b/>
      <w:bCs/>
      <w:sz w:val="30"/>
      <w:szCs w:val="44"/>
    </w:rPr>
  </w:style>
  <w:style w:type="paragraph" w:styleId="3">
    <w:name w:val="heading 2"/>
    <w:basedOn w:val="1"/>
    <w:next w:val="1"/>
    <w:link w:val="24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6"/>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90"/>
    <w:unhideWhenUsed/>
    <w:qFormat/>
    <w:uiPriority w:val="9"/>
    <w:pPr>
      <w:keepNext/>
      <w:keepLines/>
      <w:spacing w:before="320" w:after="200"/>
      <w:outlineLvl w:val="3"/>
    </w:pPr>
    <w:rPr>
      <w:rFonts w:ascii="Arial" w:hAnsi="Arial" w:eastAsia="Arial" w:cs="Arial"/>
      <w:b/>
      <w:bCs/>
      <w:sz w:val="26"/>
      <w:szCs w:val="26"/>
    </w:rPr>
  </w:style>
  <w:style w:type="paragraph" w:styleId="6">
    <w:name w:val="heading 5"/>
    <w:basedOn w:val="1"/>
    <w:next w:val="1"/>
    <w:link w:val="91"/>
    <w:unhideWhenUsed/>
    <w:qFormat/>
    <w:uiPriority w:val="9"/>
    <w:pPr>
      <w:keepNext/>
      <w:keepLines/>
      <w:spacing w:before="320" w:after="200"/>
      <w:outlineLvl w:val="4"/>
    </w:pPr>
    <w:rPr>
      <w:rFonts w:ascii="Arial" w:hAnsi="Arial" w:eastAsia="Arial" w:cs="Arial"/>
      <w:b/>
      <w:bCs/>
      <w:sz w:val="24"/>
    </w:rPr>
  </w:style>
  <w:style w:type="paragraph" w:styleId="7">
    <w:name w:val="heading 6"/>
    <w:basedOn w:val="1"/>
    <w:next w:val="1"/>
    <w:link w:val="92"/>
    <w:unhideWhenUsed/>
    <w:qFormat/>
    <w:uiPriority w:val="9"/>
    <w:pPr>
      <w:keepNext/>
      <w:keepLines/>
      <w:spacing w:before="320" w:after="200"/>
      <w:outlineLvl w:val="5"/>
    </w:pPr>
    <w:rPr>
      <w:rFonts w:ascii="Arial" w:hAnsi="Arial" w:eastAsia="Arial" w:cs="Arial"/>
      <w:b/>
      <w:bCs/>
      <w:sz w:val="22"/>
      <w:szCs w:val="22"/>
    </w:rPr>
  </w:style>
  <w:style w:type="paragraph" w:styleId="8">
    <w:name w:val="heading 7"/>
    <w:basedOn w:val="1"/>
    <w:next w:val="1"/>
    <w:link w:val="93"/>
    <w:unhideWhenUsed/>
    <w:qFormat/>
    <w:uiPriority w:val="9"/>
    <w:pPr>
      <w:keepNext/>
      <w:keepLines/>
      <w:spacing w:before="320" w:after="200"/>
      <w:outlineLvl w:val="6"/>
    </w:pPr>
    <w:rPr>
      <w:rFonts w:ascii="Arial" w:hAnsi="Arial" w:eastAsia="Arial" w:cs="Arial"/>
      <w:b/>
      <w:bCs/>
      <w:i/>
      <w:iCs/>
      <w:sz w:val="22"/>
      <w:szCs w:val="22"/>
    </w:rPr>
  </w:style>
  <w:style w:type="paragraph" w:styleId="9">
    <w:name w:val="heading 8"/>
    <w:basedOn w:val="1"/>
    <w:next w:val="1"/>
    <w:link w:val="94"/>
    <w:unhideWhenUsed/>
    <w:qFormat/>
    <w:uiPriority w:val="9"/>
    <w:pPr>
      <w:keepNext/>
      <w:keepLines/>
      <w:spacing w:before="320" w:after="200"/>
      <w:outlineLvl w:val="7"/>
    </w:pPr>
    <w:rPr>
      <w:rFonts w:ascii="Arial" w:hAnsi="Arial" w:eastAsia="Arial" w:cs="Arial"/>
      <w:i/>
      <w:iCs/>
      <w:sz w:val="22"/>
      <w:szCs w:val="22"/>
    </w:rPr>
  </w:style>
  <w:style w:type="paragraph" w:styleId="10">
    <w:name w:val="heading 9"/>
    <w:basedOn w:val="1"/>
    <w:next w:val="1"/>
    <w:link w:val="95"/>
    <w:unhideWhenUsed/>
    <w:qFormat/>
    <w:uiPriority w:val="9"/>
    <w:pPr>
      <w:keepNext/>
      <w:keepLines/>
      <w:spacing w:before="320" w:after="200"/>
      <w:outlineLvl w:val="8"/>
    </w:pPr>
    <w:rPr>
      <w:rFonts w:ascii="Arial" w:hAnsi="Arial" w:eastAsia="Arial" w:cs="Arial"/>
      <w:i/>
      <w:iCs/>
      <w:szCs w:val="21"/>
    </w:rPr>
  </w:style>
  <w:style w:type="character" w:default="1" w:styleId="44">
    <w:name w:val="Default Paragraph Font"/>
    <w:semiHidden/>
    <w:unhideWhenUsed/>
    <w:qFormat/>
    <w:uiPriority w:val="1"/>
  </w:style>
  <w:style w:type="table" w:default="1" w:styleId="42">
    <w:name w:val="Normal Table"/>
    <w:semiHidden/>
    <w:unhideWhenUsed/>
    <w:qFormat/>
    <w:uiPriority w:val="99"/>
    <w:tblPr>
      <w:tblCellMar>
        <w:top w:w="0" w:type="dxa"/>
        <w:left w:w="108" w:type="dxa"/>
        <w:bottom w:w="0" w:type="dxa"/>
        <w:right w:w="108" w:type="dxa"/>
      </w:tblCellMar>
    </w:tblPr>
  </w:style>
  <w:style w:type="paragraph" w:styleId="11">
    <w:name w:val="toc 7"/>
    <w:basedOn w:val="1"/>
    <w:next w:val="1"/>
    <w:unhideWhenUsed/>
    <w:qFormat/>
    <w:uiPriority w:val="39"/>
    <w:pPr>
      <w:spacing w:after="57"/>
      <w:ind w:left="1701"/>
    </w:pPr>
  </w:style>
  <w:style w:type="paragraph" w:styleId="12">
    <w:name w:val="Normal Indent"/>
    <w:basedOn w:val="1"/>
    <w:qFormat/>
    <w:uiPriority w:val="0"/>
    <w:pPr>
      <w:ind w:firstLine="420"/>
    </w:pPr>
  </w:style>
  <w:style w:type="paragraph" w:styleId="13">
    <w:name w:val="caption"/>
    <w:basedOn w:val="1"/>
    <w:next w:val="1"/>
    <w:semiHidden/>
    <w:unhideWhenUsed/>
    <w:qFormat/>
    <w:uiPriority w:val="35"/>
    <w:pPr>
      <w:spacing w:line="276" w:lineRule="auto"/>
    </w:pPr>
    <w:rPr>
      <w:b/>
      <w:bCs/>
      <w:color w:val="5B9BD5" w:themeColor="accent1"/>
      <w:sz w:val="18"/>
      <w:szCs w:val="18"/>
      <w14:textFill>
        <w14:solidFill>
          <w14:schemeClr w14:val="accent1"/>
        </w14:solidFill>
      </w14:textFill>
    </w:rPr>
  </w:style>
  <w:style w:type="paragraph" w:styleId="14">
    <w:name w:val="index 5"/>
    <w:basedOn w:val="1"/>
    <w:next w:val="1"/>
    <w:qFormat/>
    <w:uiPriority w:val="0"/>
    <w:pPr>
      <w:ind w:left="798"/>
      <w:jc w:val="left"/>
    </w:pPr>
    <w:rPr>
      <w:rFonts w:ascii="Calibri" w:hAnsi="Calibri"/>
    </w:rPr>
  </w:style>
  <w:style w:type="paragraph" w:styleId="15">
    <w:name w:val="annotation text"/>
    <w:basedOn w:val="1"/>
    <w:link w:val="243"/>
    <w:semiHidden/>
    <w:unhideWhenUsed/>
    <w:qFormat/>
    <w:uiPriority w:val="0"/>
    <w:pPr>
      <w:jc w:val="left"/>
    </w:pPr>
  </w:style>
  <w:style w:type="paragraph" w:styleId="16">
    <w:name w:val="Body Text"/>
    <w:basedOn w:val="1"/>
    <w:next w:val="1"/>
    <w:link w:val="249"/>
    <w:qFormat/>
    <w:uiPriority w:val="99"/>
    <w:pPr>
      <w:spacing w:after="120"/>
    </w:pPr>
    <w:rPr>
      <w:rFonts w:ascii="Calibri" w:hAnsi="Calibri"/>
    </w:rPr>
  </w:style>
  <w:style w:type="paragraph" w:styleId="17">
    <w:name w:val="Body Text Indent"/>
    <w:basedOn w:val="1"/>
    <w:qFormat/>
    <w:uiPriority w:val="0"/>
    <w:pPr>
      <w:spacing w:after="120"/>
      <w:ind w:left="420"/>
    </w:pPr>
    <w:rPr>
      <w:rFonts w:ascii="Calibri" w:hAnsi="Calibri"/>
    </w:rPr>
  </w:style>
  <w:style w:type="paragraph" w:styleId="18">
    <w:name w:val="Block Text"/>
    <w:basedOn w:val="1"/>
    <w:unhideWhenUsed/>
    <w:qFormat/>
    <w:uiPriority w:val="99"/>
    <w:pPr>
      <w:spacing w:after="120"/>
      <w:ind w:left="1440" w:right="1440"/>
    </w:pPr>
  </w:style>
  <w:style w:type="paragraph" w:styleId="19">
    <w:name w:val="index 4"/>
    <w:basedOn w:val="1"/>
    <w:next w:val="1"/>
    <w:qFormat/>
    <w:uiPriority w:val="99"/>
    <w:pPr>
      <w:ind w:left="600"/>
    </w:pPr>
    <w:rPr>
      <w:rFonts w:ascii="Calibri" w:hAnsi="Calibri"/>
    </w:rPr>
  </w:style>
  <w:style w:type="paragraph" w:styleId="20">
    <w:name w:val="toc 5"/>
    <w:basedOn w:val="1"/>
    <w:next w:val="1"/>
    <w:unhideWhenUsed/>
    <w:qFormat/>
    <w:uiPriority w:val="39"/>
    <w:pPr>
      <w:spacing w:after="57"/>
      <w:ind w:left="1134"/>
    </w:pPr>
  </w:style>
  <w:style w:type="paragraph" w:styleId="21">
    <w:name w:val="toc 3"/>
    <w:basedOn w:val="1"/>
    <w:next w:val="1"/>
    <w:unhideWhenUsed/>
    <w:qFormat/>
    <w:uiPriority w:val="39"/>
    <w:pPr>
      <w:spacing w:after="57"/>
      <w:ind w:left="567"/>
    </w:pPr>
  </w:style>
  <w:style w:type="paragraph" w:styleId="22">
    <w:name w:val="Plain Text"/>
    <w:basedOn w:val="1"/>
    <w:link w:val="273"/>
    <w:qFormat/>
    <w:uiPriority w:val="0"/>
    <w:rPr>
      <w:rFonts w:ascii="宋体" w:hAnsi="Courier New"/>
      <w:sz w:val="20"/>
      <w:szCs w:val="20"/>
    </w:rPr>
  </w:style>
  <w:style w:type="paragraph" w:styleId="23">
    <w:name w:val="toc 8"/>
    <w:basedOn w:val="1"/>
    <w:next w:val="1"/>
    <w:unhideWhenUsed/>
    <w:qFormat/>
    <w:uiPriority w:val="39"/>
    <w:pPr>
      <w:spacing w:after="57"/>
      <w:ind w:left="1984"/>
    </w:pPr>
  </w:style>
  <w:style w:type="paragraph" w:styleId="24">
    <w:name w:val="Date"/>
    <w:basedOn w:val="1"/>
    <w:next w:val="1"/>
    <w:qFormat/>
    <w:uiPriority w:val="0"/>
    <w:rPr>
      <w:rFonts w:eastAsia="仿宋_GB2312"/>
      <w:sz w:val="28"/>
      <w:szCs w:val="20"/>
    </w:rPr>
  </w:style>
  <w:style w:type="paragraph" w:styleId="25">
    <w:name w:val="endnote text"/>
    <w:basedOn w:val="1"/>
    <w:link w:val="232"/>
    <w:semiHidden/>
    <w:unhideWhenUsed/>
    <w:qFormat/>
    <w:uiPriority w:val="99"/>
    <w:rPr>
      <w:sz w:val="20"/>
    </w:rPr>
  </w:style>
  <w:style w:type="paragraph" w:styleId="26">
    <w:name w:val="Balloon Text"/>
    <w:basedOn w:val="1"/>
    <w:link w:val="236"/>
    <w:qFormat/>
    <w:uiPriority w:val="0"/>
    <w:rPr>
      <w:sz w:val="18"/>
      <w:szCs w:val="18"/>
    </w:rPr>
  </w:style>
  <w:style w:type="paragraph" w:styleId="27">
    <w:name w:val="footer"/>
    <w:basedOn w:val="1"/>
    <w:link w:val="238"/>
    <w:qFormat/>
    <w:uiPriority w:val="99"/>
    <w:pPr>
      <w:tabs>
        <w:tab w:val="center" w:pos="4153"/>
        <w:tab w:val="right" w:pos="8306"/>
      </w:tabs>
      <w:jc w:val="left"/>
    </w:pPr>
    <w:rPr>
      <w:sz w:val="18"/>
      <w:szCs w:val="18"/>
    </w:rPr>
  </w:style>
  <w:style w:type="paragraph" w:styleId="28">
    <w:name w:val="header"/>
    <w:basedOn w:val="1"/>
    <w:link w:val="248"/>
    <w:qFormat/>
    <w:uiPriority w:val="99"/>
    <w:pPr>
      <w:pBdr>
        <w:bottom w:val="single" w:color="auto" w:sz="6" w:space="1"/>
      </w:pBdr>
      <w:tabs>
        <w:tab w:val="center" w:pos="4153"/>
        <w:tab w:val="right" w:pos="8306"/>
      </w:tabs>
      <w:jc w:val="center"/>
    </w:pPr>
    <w:rPr>
      <w:sz w:val="18"/>
      <w:szCs w:val="18"/>
    </w:rPr>
  </w:style>
  <w:style w:type="paragraph" w:styleId="29">
    <w:name w:val="toc 1"/>
    <w:basedOn w:val="1"/>
    <w:next w:val="1"/>
    <w:qFormat/>
    <w:uiPriority w:val="39"/>
  </w:style>
  <w:style w:type="paragraph" w:styleId="30">
    <w:name w:val="toc 4"/>
    <w:basedOn w:val="1"/>
    <w:next w:val="1"/>
    <w:unhideWhenUsed/>
    <w:qFormat/>
    <w:uiPriority w:val="39"/>
    <w:pPr>
      <w:spacing w:after="57"/>
      <w:ind w:left="850"/>
    </w:pPr>
  </w:style>
  <w:style w:type="paragraph" w:styleId="31">
    <w:name w:val="Subtitle"/>
    <w:basedOn w:val="1"/>
    <w:next w:val="1"/>
    <w:link w:val="98"/>
    <w:qFormat/>
    <w:uiPriority w:val="11"/>
    <w:pPr>
      <w:spacing w:before="200" w:after="200"/>
    </w:pPr>
    <w:rPr>
      <w:sz w:val="24"/>
    </w:rPr>
  </w:style>
  <w:style w:type="paragraph" w:styleId="32">
    <w:name w:val="footnote text"/>
    <w:basedOn w:val="1"/>
    <w:next w:val="14"/>
    <w:qFormat/>
    <w:uiPriority w:val="0"/>
    <w:pPr>
      <w:jc w:val="left"/>
    </w:pPr>
    <w:rPr>
      <w:rFonts w:ascii="宋体" w:eastAsia="Times New Roman"/>
      <w:sz w:val="18"/>
      <w:szCs w:val="18"/>
    </w:rPr>
  </w:style>
  <w:style w:type="paragraph" w:styleId="33">
    <w:name w:val="toc 6"/>
    <w:basedOn w:val="1"/>
    <w:next w:val="1"/>
    <w:unhideWhenUsed/>
    <w:qFormat/>
    <w:uiPriority w:val="39"/>
    <w:pPr>
      <w:spacing w:after="57"/>
      <w:ind w:left="1417"/>
    </w:pPr>
  </w:style>
  <w:style w:type="paragraph" w:styleId="34">
    <w:name w:val="table of figures"/>
    <w:basedOn w:val="1"/>
    <w:next w:val="1"/>
    <w:unhideWhenUsed/>
    <w:qFormat/>
    <w:uiPriority w:val="99"/>
  </w:style>
  <w:style w:type="paragraph" w:styleId="35">
    <w:name w:val="toc 2"/>
    <w:basedOn w:val="1"/>
    <w:next w:val="1"/>
    <w:unhideWhenUsed/>
    <w:qFormat/>
    <w:uiPriority w:val="39"/>
    <w:pPr>
      <w:spacing w:after="57"/>
      <w:ind w:left="283"/>
    </w:pPr>
  </w:style>
  <w:style w:type="paragraph" w:styleId="36">
    <w:name w:val="toc 9"/>
    <w:basedOn w:val="1"/>
    <w:next w:val="1"/>
    <w:unhideWhenUsed/>
    <w:qFormat/>
    <w:uiPriority w:val="39"/>
    <w:pPr>
      <w:spacing w:after="57"/>
      <w:ind w:left="2268"/>
    </w:pPr>
  </w:style>
  <w:style w:type="paragraph" w:styleId="37">
    <w:name w:val="Normal (Web)"/>
    <w:basedOn w:val="1"/>
    <w:qFormat/>
    <w:uiPriority w:val="0"/>
    <w:pPr>
      <w:widowControl/>
      <w:spacing w:before="100" w:beforeAutospacing="1" w:after="100" w:afterAutospacing="1"/>
      <w:jc w:val="left"/>
    </w:pPr>
    <w:rPr>
      <w:rFonts w:ascii="宋体" w:hAnsi="宋体" w:cs="宋体"/>
      <w:sz w:val="24"/>
    </w:rPr>
  </w:style>
  <w:style w:type="paragraph" w:styleId="38">
    <w:name w:val="Title"/>
    <w:basedOn w:val="1"/>
    <w:next w:val="1"/>
    <w:link w:val="97"/>
    <w:qFormat/>
    <w:uiPriority w:val="10"/>
    <w:pPr>
      <w:spacing w:before="300" w:after="200"/>
      <w:contextualSpacing/>
    </w:pPr>
    <w:rPr>
      <w:sz w:val="48"/>
      <w:szCs w:val="48"/>
    </w:rPr>
  </w:style>
  <w:style w:type="paragraph" w:styleId="39">
    <w:name w:val="annotation subject"/>
    <w:basedOn w:val="15"/>
    <w:next w:val="15"/>
    <w:link w:val="244"/>
    <w:semiHidden/>
    <w:unhideWhenUsed/>
    <w:qFormat/>
    <w:uiPriority w:val="0"/>
    <w:rPr>
      <w:b/>
      <w:bCs/>
    </w:rPr>
  </w:style>
  <w:style w:type="paragraph" w:styleId="40">
    <w:name w:val="Body Text First Indent"/>
    <w:basedOn w:val="16"/>
    <w:next w:val="41"/>
    <w:qFormat/>
    <w:uiPriority w:val="0"/>
    <w:pPr>
      <w:ind w:firstLine="420"/>
    </w:pPr>
  </w:style>
  <w:style w:type="paragraph" w:styleId="41">
    <w:name w:val="Body Text First Indent 2"/>
    <w:basedOn w:val="17"/>
    <w:next w:val="1"/>
    <w:qFormat/>
    <w:uiPriority w:val="0"/>
    <w:pPr>
      <w:spacing w:line="360" w:lineRule="auto"/>
      <w:ind w:firstLine="420"/>
    </w:pPr>
    <w:rPr>
      <w:color w:val="000000"/>
      <w:sz w:val="20"/>
    </w:rPr>
  </w:style>
  <w:style w:type="table" w:styleId="43">
    <w:name w:val="Table Grid"/>
    <w:basedOn w:val="42"/>
    <w:qFormat/>
    <w:uiPriority w:val="3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45">
    <w:name w:val="Strong"/>
    <w:basedOn w:val="44"/>
    <w:qFormat/>
    <w:uiPriority w:val="22"/>
    <w:rPr>
      <w:b/>
      <w:vanish/>
    </w:rPr>
  </w:style>
  <w:style w:type="character" w:styleId="46">
    <w:name w:val="endnote reference"/>
    <w:basedOn w:val="44"/>
    <w:semiHidden/>
    <w:unhideWhenUsed/>
    <w:qFormat/>
    <w:uiPriority w:val="99"/>
    <w:rPr>
      <w:vertAlign w:val="superscript"/>
    </w:rPr>
  </w:style>
  <w:style w:type="character" w:styleId="47">
    <w:name w:val="page number"/>
    <w:basedOn w:val="44"/>
    <w:qFormat/>
    <w:uiPriority w:val="0"/>
  </w:style>
  <w:style w:type="character" w:styleId="48">
    <w:name w:val="FollowedHyperlink"/>
    <w:basedOn w:val="44"/>
    <w:semiHidden/>
    <w:unhideWhenUsed/>
    <w:qFormat/>
    <w:uiPriority w:val="99"/>
    <w:rPr>
      <w:color w:val="800080"/>
      <w:u w:val="none"/>
    </w:rPr>
  </w:style>
  <w:style w:type="character" w:styleId="49">
    <w:name w:val="Emphasis"/>
    <w:basedOn w:val="44"/>
    <w:qFormat/>
    <w:uiPriority w:val="20"/>
    <w:rPr>
      <w:b/>
    </w:rPr>
  </w:style>
  <w:style w:type="character" w:styleId="50">
    <w:name w:val="HTML Definition"/>
    <w:basedOn w:val="44"/>
    <w:semiHidden/>
    <w:unhideWhenUsed/>
    <w:qFormat/>
    <w:uiPriority w:val="99"/>
  </w:style>
  <w:style w:type="character" w:styleId="51">
    <w:name w:val="HTML Typewriter"/>
    <w:basedOn w:val="44"/>
    <w:semiHidden/>
    <w:unhideWhenUsed/>
    <w:qFormat/>
    <w:uiPriority w:val="99"/>
    <w:rPr>
      <w:rFonts w:hint="default" w:ascii="monospace" w:hAnsi="monospace" w:eastAsia="monospace" w:cs="monospace"/>
      <w:sz w:val="20"/>
    </w:rPr>
  </w:style>
  <w:style w:type="character" w:styleId="52">
    <w:name w:val="HTML Acronym"/>
    <w:basedOn w:val="44"/>
    <w:semiHidden/>
    <w:unhideWhenUsed/>
    <w:qFormat/>
    <w:uiPriority w:val="99"/>
  </w:style>
  <w:style w:type="character" w:styleId="53">
    <w:name w:val="HTML Variable"/>
    <w:basedOn w:val="44"/>
    <w:semiHidden/>
    <w:unhideWhenUsed/>
    <w:qFormat/>
    <w:uiPriority w:val="99"/>
  </w:style>
  <w:style w:type="character" w:styleId="54">
    <w:name w:val="Hyperlink"/>
    <w:basedOn w:val="44"/>
    <w:unhideWhenUsed/>
    <w:qFormat/>
    <w:uiPriority w:val="99"/>
    <w:rPr>
      <w:color w:val="0000FF"/>
      <w:u w:val="none"/>
    </w:rPr>
  </w:style>
  <w:style w:type="character" w:styleId="55">
    <w:name w:val="HTML Code"/>
    <w:basedOn w:val="44"/>
    <w:semiHidden/>
    <w:unhideWhenUsed/>
    <w:qFormat/>
    <w:uiPriority w:val="99"/>
    <w:rPr>
      <w:rFonts w:hint="default" w:ascii="monospace" w:hAnsi="monospace" w:eastAsia="monospace" w:cs="monospace"/>
      <w:sz w:val="20"/>
    </w:rPr>
  </w:style>
  <w:style w:type="character" w:styleId="56">
    <w:name w:val="annotation reference"/>
    <w:basedOn w:val="44"/>
    <w:semiHidden/>
    <w:unhideWhenUsed/>
    <w:qFormat/>
    <w:uiPriority w:val="0"/>
    <w:rPr>
      <w:sz w:val="21"/>
      <w:szCs w:val="21"/>
    </w:rPr>
  </w:style>
  <w:style w:type="character" w:styleId="57">
    <w:name w:val="HTML Cite"/>
    <w:basedOn w:val="44"/>
    <w:semiHidden/>
    <w:unhideWhenUsed/>
    <w:qFormat/>
    <w:uiPriority w:val="99"/>
  </w:style>
  <w:style w:type="character" w:styleId="58">
    <w:name w:val="footnote reference"/>
    <w:basedOn w:val="44"/>
    <w:unhideWhenUsed/>
    <w:qFormat/>
    <w:uiPriority w:val="99"/>
    <w:rPr>
      <w:vertAlign w:val="superscript"/>
    </w:rPr>
  </w:style>
  <w:style w:type="character" w:styleId="59">
    <w:name w:val="HTML Keyboard"/>
    <w:basedOn w:val="44"/>
    <w:semiHidden/>
    <w:unhideWhenUsed/>
    <w:qFormat/>
    <w:uiPriority w:val="99"/>
    <w:rPr>
      <w:rFonts w:hint="default" w:ascii="monospace" w:hAnsi="monospace" w:eastAsia="monospace" w:cs="monospace"/>
      <w:sz w:val="20"/>
    </w:rPr>
  </w:style>
  <w:style w:type="character" w:styleId="60">
    <w:name w:val="HTML Sample"/>
    <w:basedOn w:val="44"/>
    <w:semiHidden/>
    <w:unhideWhenUsed/>
    <w:qFormat/>
    <w:uiPriority w:val="99"/>
    <w:rPr>
      <w:rFonts w:ascii="monospace" w:hAnsi="monospace" w:eastAsia="monospace" w:cs="monospace"/>
    </w:rPr>
  </w:style>
  <w:style w:type="paragraph" w:customStyle="1" w:styleId="61">
    <w:name w:val="列表段落1"/>
    <w:basedOn w:val="62"/>
    <w:next w:val="1"/>
    <w:qFormat/>
    <w:uiPriority w:val="99"/>
    <w:pPr>
      <w:ind w:firstLine="420"/>
    </w:pPr>
  </w:style>
  <w:style w:type="paragraph" w:customStyle="1" w:styleId="62">
    <w:name w:val="正文1"/>
    <w:basedOn w:val="63"/>
    <w:next w:val="71"/>
    <w:qFormat/>
    <w:uiPriority w:val="0"/>
    <w:pPr>
      <w:spacing w:line="360" w:lineRule="atLeast"/>
      <w:jc w:val="left"/>
    </w:pPr>
    <w:rPr>
      <w:rFonts w:ascii="宋体" w:hAnsiTheme="minorHAnsi" w:eastAsiaTheme="minorEastAsia" w:cstheme="minorBidi"/>
      <w:sz w:val="24"/>
      <w:szCs w:val="20"/>
    </w:rPr>
  </w:style>
  <w:style w:type="paragraph" w:customStyle="1" w:styleId="63">
    <w:name w:val="正文11"/>
    <w:next w:val="64"/>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4">
    <w:name w:val="目录 11"/>
    <w:basedOn w:val="65"/>
    <w:next w:val="63"/>
    <w:qFormat/>
    <w:uiPriority w:val="0"/>
    <w:pPr>
      <w:widowControl/>
      <w:spacing w:before="120" w:after="120"/>
      <w:jc w:val="left"/>
    </w:pPr>
    <w:rPr>
      <w:rFonts w:ascii="Calibri" w:hAnsi="Calibri" w:cs="Calibri"/>
      <w:b/>
      <w:bCs/>
      <w:caps/>
      <w:sz w:val="20"/>
      <w:szCs w:val="20"/>
    </w:rPr>
  </w:style>
  <w:style w:type="paragraph" w:customStyle="1" w:styleId="65">
    <w:name w:val="正文12"/>
    <w:next w:val="66"/>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6">
    <w:name w:val="正文文本11"/>
    <w:basedOn w:val="67"/>
    <w:next w:val="68"/>
    <w:qFormat/>
    <w:uiPriority w:val="0"/>
    <w:pPr>
      <w:spacing w:after="120"/>
    </w:pPr>
  </w:style>
  <w:style w:type="paragraph" w:customStyle="1" w:styleId="67">
    <w:name w:val="正文112"/>
    <w:next w:val="66"/>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68">
    <w:name w:val="一级条标题"/>
    <w:basedOn w:val="69"/>
    <w:next w:val="70"/>
    <w:qFormat/>
    <w:uiPriority w:val="0"/>
    <w:pPr>
      <w:tabs>
        <w:tab w:val="left" w:pos="810"/>
        <w:tab w:val="left" w:pos="907"/>
        <w:tab w:val="left" w:pos="1265"/>
      </w:tabs>
      <w:spacing w:before="0" w:after="0"/>
      <w:ind w:left="907" w:hanging="907"/>
      <w:outlineLvl w:val="2"/>
    </w:pPr>
    <w:rPr>
      <w:rFonts w:hAnsi="宋体"/>
      <w:sz w:val="20"/>
      <w:szCs w:val="20"/>
    </w:rPr>
  </w:style>
  <w:style w:type="paragraph" w:customStyle="1" w:styleId="69">
    <w:name w:val="章标题"/>
    <w:next w:val="62"/>
    <w:qFormat/>
    <w:uiPriority w:val="0"/>
    <w:pPr>
      <w:tabs>
        <w:tab w:val="left" w:pos="810"/>
        <w:tab w:val="left" w:pos="1265"/>
      </w:tabs>
      <w:spacing w:before="50" w:after="50"/>
      <w:ind w:left="810" w:hanging="810"/>
      <w:jc w:val="both"/>
      <w:outlineLvl w:val="1"/>
    </w:pPr>
    <w:rPr>
      <w:rFonts w:hint="default" w:ascii="黑体" w:hAnsi="Calibri" w:eastAsia="黑体" w:cs="Times New Roman"/>
      <w:sz w:val="21"/>
      <w:szCs w:val="22"/>
      <w:lang w:val="en-US" w:eastAsia="zh-CN" w:bidi="ar-SA"/>
    </w:rPr>
  </w:style>
  <w:style w:type="paragraph" w:customStyle="1" w:styleId="70">
    <w:name w:val="段"/>
    <w:basedOn w:val="62"/>
    <w:next w:val="1"/>
    <w:qFormat/>
    <w:uiPriority w:val="0"/>
    <w:pPr>
      <w:widowControl/>
      <w:ind w:firstLine="200"/>
    </w:pPr>
    <w:rPr>
      <w:sz w:val="20"/>
    </w:rPr>
  </w:style>
  <w:style w:type="paragraph" w:customStyle="1" w:styleId="71">
    <w:name w:val="正文文本1"/>
    <w:basedOn w:val="62"/>
    <w:next w:val="62"/>
    <w:qFormat/>
    <w:uiPriority w:val="0"/>
    <w:pPr>
      <w:spacing w:after="120"/>
    </w:pPr>
    <w:rPr>
      <w:lang w:eastAsia="en-US"/>
    </w:rPr>
  </w:style>
  <w:style w:type="paragraph" w:customStyle="1" w:styleId="72">
    <w:name w:val="正文缩进1"/>
    <w:basedOn w:val="1"/>
    <w:qFormat/>
    <w:uiPriority w:val="0"/>
    <w:pPr>
      <w:ind w:firstLine="420"/>
    </w:pPr>
  </w:style>
  <w:style w:type="character" w:customStyle="1" w:styleId="73">
    <w:name w:val="Heading 4 Char"/>
    <w:basedOn w:val="44"/>
    <w:qFormat/>
    <w:uiPriority w:val="9"/>
    <w:rPr>
      <w:rFonts w:ascii="Arial" w:hAnsi="Arial" w:eastAsia="Arial" w:cs="Arial"/>
      <w:b/>
      <w:bCs/>
      <w:sz w:val="26"/>
      <w:szCs w:val="26"/>
    </w:rPr>
  </w:style>
  <w:style w:type="character" w:customStyle="1" w:styleId="74">
    <w:name w:val="Heading 5 Char"/>
    <w:basedOn w:val="44"/>
    <w:qFormat/>
    <w:uiPriority w:val="9"/>
    <w:rPr>
      <w:rFonts w:ascii="Arial" w:hAnsi="Arial" w:eastAsia="Arial" w:cs="Arial"/>
      <w:b/>
      <w:bCs/>
      <w:sz w:val="24"/>
      <w:szCs w:val="24"/>
    </w:rPr>
  </w:style>
  <w:style w:type="character" w:customStyle="1" w:styleId="75">
    <w:name w:val="Heading 6 Char"/>
    <w:basedOn w:val="44"/>
    <w:qFormat/>
    <w:uiPriority w:val="9"/>
    <w:rPr>
      <w:rFonts w:ascii="Arial" w:hAnsi="Arial" w:eastAsia="Arial" w:cs="Arial"/>
      <w:b/>
      <w:bCs/>
      <w:sz w:val="22"/>
      <w:szCs w:val="22"/>
    </w:rPr>
  </w:style>
  <w:style w:type="character" w:customStyle="1" w:styleId="76">
    <w:name w:val="Heading 7 Char"/>
    <w:basedOn w:val="44"/>
    <w:qFormat/>
    <w:uiPriority w:val="9"/>
    <w:rPr>
      <w:rFonts w:ascii="Arial" w:hAnsi="Arial" w:eastAsia="Arial" w:cs="Arial"/>
      <w:b/>
      <w:bCs/>
      <w:i/>
      <w:iCs/>
      <w:sz w:val="22"/>
      <w:szCs w:val="22"/>
    </w:rPr>
  </w:style>
  <w:style w:type="character" w:customStyle="1" w:styleId="77">
    <w:name w:val="Heading 8 Char"/>
    <w:basedOn w:val="44"/>
    <w:qFormat/>
    <w:uiPriority w:val="9"/>
    <w:rPr>
      <w:rFonts w:ascii="Arial" w:hAnsi="Arial" w:eastAsia="Arial" w:cs="Arial"/>
      <w:i/>
      <w:iCs/>
      <w:sz w:val="22"/>
      <w:szCs w:val="22"/>
    </w:rPr>
  </w:style>
  <w:style w:type="character" w:customStyle="1" w:styleId="78">
    <w:name w:val="Heading 9 Char"/>
    <w:basedOn w:val="44"/>
    <w:qFormat/>
    <w:uiPriority w:val="9"/>
    <w:rPr>
      <w:rFonts w:ascii="Arial" w:hAnsi="Arial" w:eastAsia="Arial" w:cs="Arial"/>
      <w:i/>
      <w:iCs/>
      <w:sz w:val="21"/>
      <w:szCs w:val="21"/>
    </w:rPr>
  </w:style>
  <w:style w:type="character" w:customStyle="1" w:styleId="79">
    <w:name w:val="Title Char"/>
    <w:basedOn w:val="44"/>
    <w:qFormat/>
    <w:uiPriority w:val="10"/>
    <w:rPr>
      <w:sz w:val="48"/>
      <w:szCs w:val="48"/>
    </w:rPr>
  </w:style>
  <w:style w:type="character" w:customStyle="1" w:styleId="80">
    <w:name w:val="Subtitle Char"/>
    <w:basedOn w:val="44"/>
    <w:qFormat/>
    <w:uiPriority w:val="11"/>
    <w:rPr>
      <w:sz w:val="24"/>
      <w:szCs w:val="24"/>
    </w:rPr>
  </w:style>
  <w:style w:type="character" w:customStyle="1" w:styleId="81">
    <w:name w:val="Quote Char"/>
    <w:qFormat/>
    <w:uiPriority w:val="29"/>
    <w:rPr>
      <w:i/>
    </w:rPr>
  </w:style>
  <w:style w:type="character" w:customStyle="1" w:styleId="82">
    <w:name w:val="Intense Quote Char"/>
    <w:qFormat/>
    <w:uiPriority w:val="30"/>
    <w:rPr>
      <w:i/>
    </w:rPr>
  </w:style>
  <w:style w:type="character" w:customStyle="1" w:styleId="83">
    <w:name w:val="Endnote Text Char"/>
    <w:qFormat/>
    <w:uiPriority w:val="99"/>
    <w:rPr>
      <w:sz w:val="20"/>
    </w:rPr>
  </w:style>
  <w:style w:type="paragraph" w:customStyle="1" w:styleId="84">
    <w:name w:val="TOC Heading"/>
    <w:unhideWhenUsed/>
    <w:qFormat/>
    <w:uiPriority w:val="39"/>
    <w:rPr>
      <w:rFonts w:hint="default" w:ascii="Times New Roman" w:hAnsi="Times New Roman" w:eastAsia="宋体" w:cs="Times New Roman"/>
    </w:rPr>
  </w:style>
  <w:style w:type="paragraph" w:customStyle="1" w:styleId="85">
    <w:name w:val="脚注文本1"/>
    <w:basedOn w:val="62"/>
    <w:next w:val="86"/>
    <w:qFormat/>
    <w:uiPriority w:val="0"/>
    <w:rPr>
      <w:rFonts w:eastAsia="Times New Roman"/>
      <w:sz w:val="18"/>
      <w:szCs w:val="18"/>
    </w:rPr>
  </w:style>
  <w:style w:type="paragraph" w:customStyle="1" w:styleId="86">
    <w:name w:val="索引 51"/>
    <w:basedOn w:val="62"/>
    <w:next w:val="62"/>
    <w:qFormat/>
    <w:uiPriority w:val="0"/>
    <w:pPr>
      <w:ind w:left="798"/>
    </w:pPr>
    <w:rPr>
      <w:rFonts w:ascii="Calibri" w:hAnsi="Calibri"/>
    </w:rPr>
  </w:style>
  <w:style w:type="character" w:customStyle="1" w:styleId="87">
    <w:name w:val="Heading 1 Char"/>
    <w:basedOn w:val="44"/>
    <w:qFormat/>
    <w:uiPriority w:val="9"/>
    <w:rPr>
      <w:rFonts w:ascii="Arial" w:hAnsi="Arial" w:eastAsia="Arial" w:cs="Arial"/>
      <w:sz w:val="40"/>
      <w:szCs w:val="40"/>
    </w:rPr>
  </w:style>
  <w:style w:type="character" w:customStyle="1" w:styleId="88">
    <w:name w:val="Heading 2 Char"/>
    <w:basedOn w:val="44"/>
    <w:qFormat/>
    <w:uiPriority w:val="9"/>
    <w:rPr>
      <w:rFonts w:ascii="Arial" w:hAnsi="Arial" w:eastAsia="Arial" w:cs="Arial"/>
      <w:sz w:val="34"/>
    </w:rPr>
  </w:style>
  <w:style w:type="character" w:customStyle="1" w:styleId="89">
    <w:name w:val="Heading 3 Char"/>
    <w:basedOn w:val="44"/>
    <w:qFormat/>
    <w:uiPriority w:val="9"/>
    <w:rPr>
      <w:rFonts w:ascii="Arial" w:hAnsi="Arial" w:eastAsia="Arial" w:cs="Arial"/>
      <w:sz w:val="30"/>
      <w:szCs w:val="30"/>
    </w:rPr>
  </w:style>
  <w:style w:type="character" w:customStyle="1" w:styleId="90">
    <w:name w:val="标题 4 Char"/>
    <w:basedOn w:val="44"/>
    <w:link w:val="5"/>
    <w:qFormat/>
    <w:uiPriority w:val="9"/>
    <w:rPr>
      <w:rFonts w:ascii="Arial" w:hAnsi="Arial" w:eastAsia="Arial" w:cs="Arial"/>
      <w:b/>
      <w:bCs/>
      <w:sz w:val="26"/>
      <w:szCs w:val="26"/>
    </w:rPr>
  </w:style>
  <w:style w:type="character" w:customStyle="1" w:styleId="91">
    <w:name w:val="标题 5 Char"/>
    <w:basedOn w:val="44"/>
    <w:link w:val="6"/>
    <w:qFormat/>
    <w:uiPriority w:val="9"/>
    <w:rPr>
      <w:rFonts w:ascii="Arial" w:hAnsi="Arial" w:eastAsia="Arial" w:cs="Arial"/>
      <w:b/>
      <w:bCs/>
      <w:sz w:val="24"/>
      <w:szCs w:val="24"/>
    </w:rPr>
  </w:style>
  <w:style w:type="character" w:customStyle="1" w:styleId="92">
    <w:name w:val="标题 6 Char"/>
    <w:basedOn w:val="44"/>
    <w:link w:val="7"/>
    <w:qFormat/>
    <w:uiPriority w:val="9"/>
    <w:rPr>
      <w:rFonts w:ascii="Arial" w:hAnsi="Arial" w:eastAsia="Arial" w:cs="Arial"/>
      <w:b/>
      <w:bCs/>
      <w:sz w:val="22"/>
      <w:szCs w:val="22"/>
    </w:rPr>
  </w:style>
  <w:style w:type="character" w:customStyle="1" w:styleId="93">
    <w:name w:val="标题 7 Char"/>
    <w:basedOn w:val="44"/>
    <w:link w:val="8"/>
    <w:qFormat/>
    <w:uiPriority w:val="9"/>
    <w:rPr>
      <w:rFonts w:ascii="Arial" w:hAnsi="Arial" w:eastAsia="Arial" w:cs="Arial"/>
      <w:b/>
      <w:bCs/>
      <w:i/>
      <w:iCs/>
      <w:sz w:val="22"/>
      <w:szCs w:val="22"/>
    </w:rPr>
  </w:style>
  <w:style w:type="character" w:customStyle="1" w:styleId="94">
    <w:name w:val="标题 8 Char"/>
    <w:basedOn w:val="44"/>
    <w:link w:val="9"/>
    <w:qFormat/>
    <w:uiPriority w:val="9"/>
    <w:rPr>
      <w:rFonts w:ascii="Arial" w:hAnsi="Arial" w:eastAsia="Arial" w:cs="Arial"/>
      <w:i/>
      <w:iCs/>
      <w:sz w:val="22"/>
      <w:szCs w:val="22"/>
    </w:rPr>
  </w:style>
  <w:style w:type="character" w:customStyle="1" w:styleId="95">
    <w:name w:val="标题 9 Char"/>
    <w:basedOn w:val="44"/>
    <w:link w:val="10"/>
    <w:qFormat/>
    <w:uiPriority w:val="9"/>
    <w:rPr>
      <w:rFonts w:ascii="Arial" w:hAnsi="Arial" w:eastAsia="Arial" w:cs="Arial"/>
      <w:i/>
      <w:iCs/>
      <w:sz w:val="21"/>
      <w:szCs w:val="21"/>
    </w:rPr>
  </w:style>
  <w:style w:type="paragraph" w:styleId="96">
    <w:name w:val="No Spacing"/>
    <w:qFormat/>
    <w:uiPriority w:val="1"/>
    <w:rPr>
      <w:rFonts w:hint="default" w:ascii="Times New Roman" w:hAnsi="Times New Roman" w:eastAsia="宋体" w:cs="Times New Roman"/>
      <w:lang w:val="en-US" w:eastAsia="zh-CN" w:bidi="ar-SA"/>
    </w:rPr>
  </w:style>
  <w:style w:type="character" w:customStyle="1" w:styleId="97">
    <w:name w:val="标题 Char"/>
    <w:basedOn w:val="44"/>
    <w:link w:val="38"/>
    <w:qFormat/>
    <w:uiPriority w:val="10"/>
    <w:rPr>
      <w:sz w:val="48"/>
      <w:szCs w:val="48"/>
    </w:rPr>
  </w:style>
  <w:style w:type="character" w:customStyle="1" w:styleId="98">
    <w:name w:val="副标题 Char"/>
    <w:basedOn w:val="44"/>
    <w:link w:val="31"/>
    <w:qFormat/>
    <w:uiPriority w:val="11"/>
    <w:rPr>
      <w:sz w:val="24"/>
      <w:szCs w:val="24"/>
    </w:rPr>
  </w:style>
  <w:style w:type="paragraph" w:styleId="99">
    <w:name w:val="Quote"/>
    <w:basedOn w:val="1"/>
    <w:next w:val="1"/>
    <w:link w:val="100"/>
    <w:qFormat/>
    <w:uiPriority w:val="29"/>
    <w:pPr>
      <w:ind w:left="720" w:right="720"/>
    </w:pPr>
    <w:rPr>
      <w:i/>
    </w:rPr>
  </w:style>
  <w:style w:type="character" w:customStyle="1" w:styleId="100">
    <w:name w:val="引用 Char"/>
    <w:link w:val="99"/>
    <w:qFormat/>
    <w:uiPriority w:val="29"/>
    <w:rPr>
      <w:i/>
    </w:rPr>
  </w:style>
  <w:style w:type="paragraph" w:styleId="101">
    <w:name w:val="Intense Quote"/>
    <w:basedOn w:val="1"/>
    <w:next w:val="1"/>
    <w:link w:val="102"/>
    <w:qFormat/>
    <w:uiPriority w:val="30"/>
    <w:pPr>
      <w:pBdr>
        <w:top w:val="single" w:color="FFFFFF" w:sz="4" w:space="5"/>
        <w:left w:val="single" w:color="FFFFFF" w:sz="4" w:space="10"/>
        <w:bottom w:val="single" w:color="FFFFFF" w:sz="4" w:space="5"/>
        <w:right w:val="single" w:color="FFFFFF" w:sz="4" w:space="10"/>
      </w:pBdr>
      <w:shd w:val="clear" w:color="auto" w:fill="F2F2F2"/>
      <w:ind w:left="720" w:right="720"/>
    </w:pPr>
    <w:rPr>
      <w:i/>
    </w:rPr>
  </w:style>
  <w:style w:type="character" w:customStyle="1" w:styleId="102">
    <w:name w:val="明显引用 Char"/>
    <w:link w:val="101"/>
    <w:qFormat/>
    <w:uiPriority w:val="30"/>
    <w:rPr>
      <w:i/>
    </w:rPr>
  </w:style>
  <w:style w:type="character" w:customStyle="1" w:styleId="103">
    <w:name w:val="Header Char"/>
    <w:basedOn w:val="44"/>
    <w:qFormat/>
    <w:uiPriority w:val="99"/>
  </w:style>
  <w:style w:type="character" w:customStyle="1" w:styleId="104">
    <w:name w:val="Footer Char"/>
    <w:basedOn w:val="44"/>
    <w:qFormat/>
    <w:uiPriority w:val="99"/>
  </w:style>
  <w:style w:type="character" w:customStyle="1" w:styleId="105">
    <w:name w:val="Caption Char"/>
    <w:qFormat/>
    <w:uiPriority w:val="99"/>
  </w:style>
  <w:style w:type="table" w:customStyle="1" w:styleId="106">
    <w:name w:val="Table Grid Light"/>
    <w:basedOn w:val="4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style>
  <w:style w:type="table" w:customStyle="1" w:styleId="107">
    <w:name w:val="Plain Table 1"/>
    <w:basedOn w:val="42"/>
    <w:qFormat/>
    <w:uiPriority w:val="59"/>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1Horz">
      <w:tcPr>
        <w:shd w:val="clear" w:color="F1F1F1" w:themeColor="text1" w:themeTint="0D" w:fill="F1F1F1" w:themeFill="text1" w:themeFillTint="0D"/>
      </w:tcPr>
    </w:tblStylePr>
  </w:style>
  <w:style w:type="table" w:customStyle="1" w:styleId="108">
    <w:name w:val="Plain Table 2"/>
    <w:basedOn w:val="42"/>
    <w:qFormat/>
    <w:uiPriority w:val="59"/>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style>
  <w:style w:type="table" w:customStyle="1" w:styleId="109">
    <w:name w:val="Plain Table 3"/>
    <w:basedOn w:val="42"/>
    <w:qFormat/>
    <w:uiPriority w:val="99"/>
    <w:tblPr>
      <w:tblCellMar>
        <w:top w:w="0" w:type="dxa"/>
        <w:left w:w="108" w:type="dxa"/>
        <w:bottom w:w="0" w:type="dxa"/>
        <w:right w:w="108" w:type="dxa"/>
      </w:tblCellMar>
    </w:tbl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0">
    <w:name w:val="Plain Table 4"/>
    <w:basedOn w:val="42"/>
    <w:qFormat/>
    <w:uiPriority w:val="99"/>
    <w:tblPr>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1">
    <w:name w:val="Plain Table 5"/>
    <w:basedOn w:val="42"/>
    <w:qFormat/>
    <w:uiPriority w:val="99"/>
    <w:tblPr>
      <w:tblCellMar>
        <w:top w:w="0" w:type="dxa"/>
        <w:left w:w="108" w:type="dxa"/>
        <w:bottom w:w="0" w:type="dxa"/>
        <w:right w:w="108" w:type="dxa"/>
      </w:tblCellMar>
    </w:tbl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cPr>
        <w:shd w:val="clear" w:color="F1F1F1" w:themeColor="text1" w:themeTint="0D" w:fill="F1F1F1" w:themeFill="text1" w:themeFillTint="0D"/>
      </w:tcPr>
    </w:tblStylePr>
  </w:style>
  <w:style w:type="table" w:customStyle="1" w:styleId="112">
    <w:name w:val="Grid Table 1 Light"/>
    <w:basedOn w:val="42"/>
    <w:qFormat/>
    <w:uiPriority w:val="99"/>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CellMar>
        <w:top w:w="0" w:type="dxa"/>
        <w:left w:w="108" w:type="dxa"/>
        <w:bottom w:w="0" w:type="dxa"/>
        <w:right w:w="108" w:type="dxa"/>
      </w:tblCellMar>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style>
  <w:style w:type="table" w:customStyle="1" w:styleId="113">
    <w:name w:val="Grid Table 1 Light - Accent 1"/>
    <w:basedOn w:val="42"/>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b/>
        <w:color w:val="404040"/>
      </w:rPr>
      <w:tcPr>
        <w:tcBorders>
          <w:bottom w:val="single" w:color="9FC4E6"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114">
    <w:name w:val="Grid Table 1 Light - Accent 2"/>
    <w:basedOn w:val="4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b/>
        <w:color w:val="404040"/>
      </w:rPr>
      <w:tcPr>
        <w:tcBorders>
          <w:bottom w:val="single" w:color="F4B38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115">
    <w:name w:val="Grid Table 1 Light - Accent 3"/>
    <w:basedOn w:val="4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b/>
        <w:color w:val="404040"/>
      </w:rPr>
      <w:tcPr>
        <w:tcBorders>
          <w:bottom w:val="single" w:color="CACACA"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116">
    <w:name w:val="Grid Table 1 Light - Accent 4"/>
    <w:basedOn w:val="4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b/>
        <w:color w:val="404040"/>
      </w:rPr>
      <w:tcPr>
        <w:tcBorders>
          <w:bottom w:val="single" w:color="FFDA69"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117">
    <w:name w:val="Grid Table 1 Light - Accent 5"/>
    <w:basedOn w:val="42"/>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b/>
        <w:color w:val="404040"/>
      </w:rPr>
      <w:tcPr>
        <w:tcBorders>
          <w:bottom w:val="single" w:color="91ACDC"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118">
    <w:name w:val="Grid Table 1 Light - Accent 6"/>
    <w:basedOn w:val="4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b/>
        <w:color w:val="404040"/>
      </w:rPr>
      <w:tcPr>
        <w:tcBorders>
          <w:bottom w:val="single" w:color="AAD19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table" w:customStyle="1" w:styleId="119">
    <w:name w:val="Grid Table 2"/>
    <w:basedOn w:val="4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0">
    <w:name w:val="Grid Table 2 - Accent 1"/>
    <w:basedOn w:val="42"/>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single" w:color="68A3D8" w:themeColor="accent1" w:themeTint="EA" w:sz="12" w:space="0"/>
          <w:right w:val="nil"/>
        </w:tcBorders>
        <w:shd w:val="clear" w:color="FFFFFF" w:fill="auto"/>
      </w:tcPr>
    </w:tblStylePr>
    <w:tblStylePr w:type="lastRow">
      <w:rPr>
        <w:b/>
        <w:color w:val="404040"/>
      </w:rPr>
      <w:tcPr>
        <w:tcBorders>
          <w:top w:val="single" w:color="68A3D8"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121">
    <w:name w:val="Grid Table 2 - Accent 2"/>
    <w:basedOn w:val="4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single" w:color="F4B285" w:themeColor="accent2" w:themeTint="97" w:sz="12" w:space="0"/>
          <w:right w:val="nil"/>
        </w:tcBorders>
        <w:shd w:val="clear" w:color="FFFFFF" w:fill="auto"/>
      </w:tcPr>
    </w:tblStylePr>
    <w:tblStylePr w:type="lastRow">
      <w:rPr>
        <w:b/>
        <w:color w:val="404040"/>
      </w:rPr>
      <w:tcPr>
        <w:tcBorders>
          <w:top w:val="single" w:color="F4B28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22">
    <w:name w:val="Grid Table 2 - Accent 3"/>
    <w:basedOn w:val="4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single" w:color="A5A5A5" w:themeColor="accent3" w:themeTint="FE" w:sz="12" w:space="0"/>
          <w:right w:val="nil"/>
        </w:tcBorders>
        <w:shd w:val="clear" w:color="FFFFFF" w:fill="auto"/>
      </w:tcPr>
    </w:tblStylePr>
    <w:tblStylePr w:type="lastRow">
      <w:rPr>
        <w:b/>
        <w:color w:val="404040"/>
      </w:rPr>
      <w:tcPr>
        <w:tcBorders>
          <w:top w:val="single" w:color="A5A5A5"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23">
    <w:name w:val="Grid Table 2 - Accent 4"/>
    <w:basedOn w:val="4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single" w:color="FFD864" w:themeColor="accent4" w:themeTint="9A" w:sz="12" w:space="0"/>
          <w:right w:val="nil"/>
        </w:tcBorders>
        <w:shd w:val="clear" w:color="FFFFFF" w:fill="auto"/>
      </w:tcPr>
    </w:tblStylePr>
    <w:tblStylePr w:type="lastRow">
      <w:rPr>
        <w:b/>
        <w:color w:val="404040"/>
      </w:rPr>
      <w:tcPr>
        <w:tcBorders>
          <w:top w:val="single" w:color="FFD864"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24">
    <w:name w:val="Grid Table 2 - Accent 5"/>
    <w:basedOn w:val="42"/>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single" w:color="4472C4" w:themeColor="accent5" w:sz="12" w:space="0"/>
          <w:right w:val="nil"/>
        </w:tcBorders>
        <w:shd w:val="clear" w:color="FFFFFF" w:fill="auto"/>
      </w:tcPr>
    </w:tblStylePr>
    <w:tblStylePr w:type="lastRow">
      <w:rPr>
        <w:b/>
        <w:color w:val="404040"/>
      </w:rPr>
      <w:tcPr>
        <w:tcBorders>
          <w:top w:val="single" w:color="4472C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25">
    <w:name w:val="Grid Table 2 - Accent 6"/>
    <w:basedOn w:val="42"/>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single" w:color="70AD47" w:themeColor="accent6" w:sz="12" w:space="0"/>
          <w:right w:val="nil"/>
        </w:tcBorders>
        <w:shd w:val="clear" w:color="FFFFFF" w:fill="auto"/>
      </w:tcPr>
    </w:tblStylePr>
    <w:tblStylePr w:type="lastRow">
      <w:rPr>
        <w:b/>
        <w:color w:val="404040"/>
      </w:rPr>
      <w:tcPr>
        <w:tcBorders>
          <w:top w:val="single" w:color="70AD47"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26">
    <w:name w:val="Grid Table 3"/>
    <w:basedOn w:val="42"/>
    <w:qFormat/>
    <w:uiPriority w:val="99"/>
    <w:tblPr>
      <w:tblBorders>
        <w:bottom w:val="single" w:color="696969" w:themeColor="text1" w:themeTint="95" w:sz="4" w:space="0"/>
        <w:insideH w:val="single" w:color="696969" w:themeColor="text1" w:themeTint="95" w:sz="4" w:space="0"/>
        <w:insideV w:val="single" w:color="696969" w:themeColor="text1" w:themeTint="9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27">
    <w:name w:val="Grid Table 3 - Accent 1"/>
    <w:basedOn w:val="42"/>
    <w:qFormat/>
    <w:uiPriority w:val="99"/>
    <w:tblPr>
      <w:tblBorders>
        <w:bottom w:val="single" w:color="68A3D8" w:themeColor="accent1" w:themeTint="EA" w:sz="4" w:space="0"/>
        <w:insideH w:val="single" w:color="68A3D8" w:themeColor="accent1" w:themeTint="EA" w:sz="4" w:space="0"/>
        <w:insideV w:val="single" w:color="68A3D8" w:themeColor="accent1" w:themeTint="E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DEAF6" w:themeColor="accent1" w:themeTint="34" w:fill="DDEAF6" w:themeFill="accent1" w:themeFillTint="34"/>
      </w:tcPr>
    </w:tblStylePr>
    <w:tblStylePr w:type="band1Horz">
      <w:rPr>
        <w:rFonts w:ascii="Arial" w:hAnsi="Arial"/>
        <w:color w:val="404040"/>
        <w:sz w:val="22"/>
      </w:rPr>
      <w:tcPr>
        <w:shd w:val="clear" w:color="DDEAF6" w:themeColor="accent1" w:themeTint="34" w:fill="DDEAF6" w:themeFill="accent1" w:themeFillTint="34"/>
      </w:tcPr>
    </w:tblStylePr>
  </w:style>
  <w:style w:type="table" w:customStyle="1" w:styleId="128">
    <w:name w:val="Grid Table 3 - Accent 2"/>
    <w:basedOn w:val="42"/>
    <w:qFormat/>
    <w:uiPriority w:val="99"/>
    <w:tblPr>
      <w:tblBorders>
        <w:bottom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29">
    <w:name w:val="Grid Table 3 - Accent 3"/>
    <w:basedOn w:val="42"/>
    <w:qFormat/>
    <w:uiPriority w:val="99"/>
    <w:tblPr>
      <w:tblBorders>
        <w:bottom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30">
    <w:name w:val="Grid Table 3 - Accent 4"/>
    <w:basedOn w:val="42"/>
    <w:qFormat/>
    <w:uiPriority w:val="99"/>
    <w:tblPr>
      <w:tblBorders>
        <w:bottom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31">
    <w:name w:val="Grid Table 3 - Accent 5"/>
    <w:basedOn w:val="42"/>
    <w:qFormat/>
    <w:uiPriority w:val="99"/>
    <w:tblPr>
      <w:tblBorders>
        <w:bottom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32">
    <w:name w:val="Grid Table 3 - Accent 6"/>
    <w:basedOn w:val="42"/>
    <w:qFormat/>
    <w:uiPriority w:val="99"/>
    <w:tblPr>
      <w:tblBorders>
        <w:bottom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33">
    <w:name w:val="Grid Table 4"/>
    <w:basedOn w:val="42"/>
    <w:qFormat/>
    <w:uiPriority w:val="59"/>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1Horz">
      <w:rPr>
        <w:rFonts w:ascii="Arial" w:hAnsi="Arial"/>
        <w:color w:val="404040"/>
        <w:sz w:val="22"/>
      </w:rPr>
      <w:tcPr>
        <w:shd w:val="clear" w:color="CACACA" w:themeColor="text1" w:themeTint="34" w:fill="CACACA" w:themeFill="text1" w:themeFillTint="34"/>
      </w:tcPr>
    </w:tblStylePr>
  </w:style>
  <w:style w:type="table" w:customStyle="1" w:styleId="134">
    <w:name w:val="Grid Table 4 - Accent 1"/>
    <w:basedOn w:val="42"/>
    <w:qFormat/>
    <w:uiPriority w:val="5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insideV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68A3D8" w:themeColor="accent1" w:themeTint="EA" w:sz="4" w:space="0"/>
          <w:left w:val="single" w:color="68A3D8" w:themeColor="accent1" w:themeTint="EA" w:sz="4" w:space="0"/>
          <w:bottom w:val="single" w:color="68A3D8" w:themeColor="accent1" w:themeTint="EA" w:sz="4" w:space="0"/>
          <w:right w:val="single" w:color="68A3D8" w:themeColor="accent1" w:themeTint="EA" w:sz="4" w:space="0"/>
        </w:tcBorders>
        <w:shd w:val="clear" w:color="68A3D8" w:themeColor="accent1" w:themeTint="EA" w:fill="68A3D8" w:themeFill="accent1" w:themeFillTint="EA"/>
      </w:tcPr>
    </w:tblStylePr>
    <w:tblStylePr w:type="lastRow">
      <w:rPr>
        <w:b/>
        <w:color w:val="404040"/>
      </w:rPr>
      <w:tcPr>
        <w:tcBorders>
          <w:top w:val="single" w:color="68A3D8"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EEBF6" w:themeColor="accent1" w:themeTint="32" w:fill="DEEBF6" w:themeFill="accent1" w:themeFillTint="32"/>
      </w:tcPr>
    </w:tblStylePr>
    <w:tblStylePr w:type="band1Horz">
      <w:rPr>
        <w:rFonts w:ascii="Arial" w:hAnsi="Arial"/>
        <w:color w:val="404040"/>
        <w:sz w:val="22"/>
      </w:rPr>
      <w:tcPr>
        <w:shd w:val="clear" w:color="DEEBF6" w:themeColor="accent1" w:themeTint="32" w:fill="DEEBF6" w:themeFill="accent1" w:themeFillTint="32"/>
      </w:tcPr>
    </w:tblStylePr>
  </w:style>
  <w:style w:type="table" w:customStyle="1" w:styleId="135">
    <w:name w:val="Grid Table 4 - Accent 2"/>
    <w:basedOn w:val="42"/>
    <w:qFormat/>
    <w:uiPriority w:val="5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insideV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cBorders>
        <w:shd w:val="clear" w:color="F4B285" w:themeColor="accent2" w:themeTint="97" w:fill="F4B285" w:themeFill="accent2" w:themeFillTint="97"/>
      </w:tcPr>
    </w:tblStylePr>
    <w:tblStylePr w:type="lastRow">
      <w:rPr>
        <w:b/>
        <w:color w:val="404040"/>
      </w:rPr>
      <w:tcPr>
        <w:tcBorders>
          <w:top w:val="single" w:color="F4B28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cPr>
        <w:shd w:val="clear" w:color="FBE5D6" w:themeColor="accent2" w:themeTint="32" w:fill="FBE5D6" w:themeFill="accent2" w:themeFillTint="32"/>
      </w:tcPr>
    </w:tblStylePr>
  </w:style>
  <w:style w:type="table" w:customStyle="1" w:styleId="136">
    <w:name w:val="Grid Table 4 - Accent 3"/>
    <w:basedOn w:val="42"/>
    <w:qFormat/>
    <w:uiPriority w:val="5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insideV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tcBorders>
        <w:shd w:val="clear" w:color="A5A5A5" w:themeColor="accent3" w:themeTint="FE" w:fill="A5A5A5" w:themeFill="accent3" w:themeFillTint="FE"/>
      </w:tcPr>
    </w:tblStylePr>
    <w:tblStylePr w:type="lastRow">
      <w:rPr>
        <w:b/>
        <w:color w:val="404040"/>
      </w:rPr>
      <w:tcPr>
        <w:tcBorders>
          <w:top w:val="single" w:color="A5A5A5"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cPr>
        <w:shd w:val="clear" w:color="ECECEC" w:themeColor="accent3" w:themeTint="34" w:fill="ECECEC" w:themeFill="accent3" w:themeFillTint="34"/>
      </w:tcPr>
    </w:tblStylePr>
  </w:style>
  <w:style w:type="table" w:customStyle="1" w:styleId="137">
    <w:name w:val="Grid Table 4 - Accent 4"/>
    <w:basedOn w:val="42"/>
    <w:qFormat/>
    <w:uiPriority w:val="5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insideV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cBorders>
        <w:shd w:val="clear" w:color="FFD864" w:themeColor="accent4" w:themeTint="9A" w:fill="FFD864" w:themeFill="accent4" w:themeFillTint="9A"/>
      </w:tcPr>
    </w:tblStylePr>
    <w:tblStylePr w:type="lastRow">
      <w:rPr>
        <w:b/>
        <w:color w:val="404040"/>
      </w:rPr>
      <w:tcPr>
        <w:tcBorders>
          <w:top w:val="single" w:color="FFD864"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cPr>
        <w:shd w:val="clear" w:color="FEF2CA" w:themeColor="accent4" w:themeTint="34" w:fill="FEF2CA" w:themeFill="accent4" w:themeFillTint="34"/>
      </w:tcPr>
    </w:tblStylePr>
  </w:style>
  <w:style w:type="table" w:customStyle="1" w:styleId="138">
    <w:name w:val="Grid Table 4 - Accent 5"/>
    <w:basedOn w:val="42"/>
    <w:qFormat/>
    <w:uiPriority w:val="5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4472C4" w:themeColor="accent5" w:sz="4" w:space="0"/>
          <w:left w:val="single" w:color="4472C4" w:themeColor="accent5" w:sz="4" w:space="0"/>
          <w:bottom w:val="single" w:color="4472C4" w:themeColor="accent5" w:sz="4" w:space="0"/>
          <w:right w:val="single" w:color="4472C4" w:themeColor="accent5" w:sz="4" w:space="0"/>
        </w:tcBorders>
        <w:shd w:val="clear" w:color="4472C4" w:themeColor="accent5" w:fill="4472C4" w:themeFill="accent5"/>
      </w:tcPr>
    </w:tblStylePr>
    <w:tblStylePr w:type="lastRow">
      <w:rPr>
        <w:b/>
        <w:color w:val="404040"/>
      </w:rPr>
      <w:tcPr>
        <w:tcBorders>
          <w:top w:val="single" w:color="4472C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cPr>
        <w:shd w:val="clear" w:color="D8E2F2" w:themeColor="accent5" w:themeTint="34" w:fill="D8E2F2" w:themeFill="accent5" w:themeFillTint="34"/>
      </w:tcPr>
    </w:tblStylePr>
  </w:style>
  <w:style w:type="table" w:customStyle="1" w:styleId="139">
    <w:name w:val="Grid Table 4 - Accent 6"/>
    <w:basedOn w:val="42"/>
    <w:qFormat/>
    <w:uiPriority w:val="5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tcBorders>
          <w:top w:val="single" w:color="70AD47" w:themeColor="accent6" w:sz="4" w:space="0"/>
          <w:left w:val="single" w:color="70AD47" w:themeColor="accent6" w:sz="4" w:space="0"/>
          <w:bottom w:val="single" w:color="70AD47" w:themeColor="accent6" w:sz="4" w:space="0"/>
          <w:right w:val="single" w:color="70AD47" w:themeColor="accent6" w:sz="4" w:space="0"/>
        </w:tcBorders>
        <w:shd w:val="clear" w:color="70AD47" w:themeColor="accent6" w:fill="70AD47" w:themeFill="accent6"/>
      </w:tcPr>
    </w:tblStylePr>
    <w:tblStylePr w:type="lastRow">
      <w:rPr>
        <w:b/>
        <w:color w:val="404040"/>
      </w:rPr>
      <w:tcPr>
        <w:tcBorders>
          <w:top w:val="single" w:color="70AD47"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cPr>
        <w:shd w:val="clear" w:color="E1EFD8" w:themeColor="accent6" w:themeTint="34" w:fill="E1EFD8" w:themeFill="accent6" w:themeFillTint="34"/>
      </w:tcPr>
    </w:tblStylePr>
  </w:style>
  <w:style w:type="table" w:customStyle="1" w:styleId="140">
    <w:name w:val="Grid Table 5 Dark"/>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1Horz">
      <w:tcPr>
        <w:shd w:val="clear" w:color="898989" w:themeColor="text1" w:themeTint="75" w:fill="898989" w:themeFill="text1" w:themeFillTint="75"/>
      </w:tcPr>
    </w:tblStylePr>
  </w:style>
  <w:style w:type="table" w:customStyle="1" w:styleId="141">
    <w:name w:val="Grid Table 5 Dark- Accent 1"/>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rFonts w:ascii="Arial" w:hAnsi="Arial"/>
        <w:b/>
        <w:color w:val="FFFFFF"/>
        <w:sz w:val="22"/>
      </w:rPr>
      <w:tcPr>
        <w:tcBorders>
          <w:top w:val="single" w:color="FFFFFF" w:themeColor="light1" w:sz="4" w:space="0"/>
        </w:tcBorders>
        <w:shd w:val="clear" w:color="5B9BD5" w:themeColor="accent1" w:fill="5B9BD5" w:themeFill="accent1"/>
      </w:tcPr>
    </w:tblStylePr>
    <w:tblStylePr w:type="firstCol">
      <w:rPr>
        <w:rFonts w:ascii="Arial" w:hAnsi="Arial"/>
        <w:b/>
        <w:color w:val="FFFFFF"/>
        <w:sz w:val="22"/>
      </w:rPr>
      <w:tcPr>
        <w:shd w:val="clear" w:color="5B9BD5" w:themeColor="accent1" w:fill="5B9BD5" w:themeFill="accent1"/>
      </w:tcPr>
    </w:tblStylePr>
    <w:tblStylePr w:type="lastCol">
      <w:rPr>
        <w:rFonts w:ascii="Arial" w:hAnsi="Arial"/>
        <w:b/>
        <w:color w:val="FFFFFF"/>
        <w:sz w:val="22"/>
      </w:rPr>
      <w:tcPr>
        <w:shd w:val="clear" w:color="5B9BD5" w:themeColor="accent1" w:fill="5B9BD5" w:themeFill="accent1"/>
      </w:tcPr>
    </w:tblStylePr>
    <w:tblStylePr w:type="band1Vert">
      <w:tcPr>
        <w:shd w:val="clear" w:color="B3D1EB" w:themeColor="accent1" w:themeTint="75" w:fill="B3D1EB" w:themeFill="accent1" w:themeFillTint="75"/>
      </w:tcPr>
    </w:tblStylePr>
    <w:tblStylePr w:type="band1Horz">
      <w:tcPr>
        <w:shd w:val="clear" w:color="B3D1EB" w:themeColor="accent1" w:themeTint="75" w:fill="B3D1EB" w:themeFill="accent1" w:themeFillTint="75"/>
      </w:tcPr>
    </w:tblStylePr>
  </w:style>
  <w:style w:type="table" w:customStyle="1" w:styleId="142">
    <w:name w:val="Grid Table 5 Dark - Accent 2"/>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rFonts w:ascii="Arial" w:hAnsi="Arial"/>
        <w:b/>
        <w:color w:val="FFFFFF"/>
        <w:sz w:val="22"/>
      </w:rPr>
      <w:tcPr>
        <w:tcBorders>
          <w:top w:val="single" w:color="FFFFFF" w:themeColor="light1" w:sz="4" w:space="0"/>
        </w:tcBorders>
        <w:shd w:val="clear" w:color="ED7D31" w:themeColor="accent2" w:fill="ED7D31" w:themeFill="accent2"/>
      </w:tcPr>
    </w:tblStylePr>
    <w:tblStylePr w:type="firstCol">
      <w:rPr>
        <w:rFonts w:ascii="Arial" w:hAnsi="Arial"/>
        <w:b/>
        <w:color w:val="FFFFFF"/>
        <w:sz w:val="22"/>
      </w:rPr>
      <w:tcPr>
        <w:shd w:val="clear" w:color="ED7D31" w:themeColor="accent2" w:fill="ED7D31" w:themeFill="accent2"/>
      </w:tcPr>
    </w:tblStylePr>
    <w:tblStylePr w:type="lastCol">
      <w:rPr>
        <w:rFonts w:ascii="Arial" w:hAnsi="Arial"/>
        <w:b/>
        <w:color w:val="FFFFFF"/>
        <w:sz w:val="22"/>
      </w:rPr>
      <w:tcPr>
        <w:shd w:val="clear" w:color="ED7D31" w:themeColor="accent2" w:fill="ED7D31" w:themeFill="accent2"/>
      </w:tcPr>
    </w:tblStylePr>
    <w:tblStylePr w:type="band1Vert">
      <w:tcPr>
        <w:shd w:val="clear" w:color="F6C3A0" w:themeColor="accent2" w:themeTint="75" w:fill="F6C3A0" w:themeFill="accent2" w:themeFillTint="75"/>
      </w:tcPr>
    </w:tblStylePr>
    <w:tblStylePr w:type="band1Horz">
      <w:tcPr>
        <w:shd w:val="clear" w:color="F6C3A0" w:themeColor="accent2" w:themeTint="75" w:fill="F6C3A0" w:themeFill="accent2" w:themeFillTint="75"/>
      </w:tcPr>
    </w:tblStylePr>
  </w:style>
  <w:style w:type="table" w:customStyle="1" w:styleId="143">
    <w:name w:val="Grid Table 5 Dark - Accent 3"/>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rFonts w:ascii="Arial" w:hAnsi="Arial"/>
        <w:b/>
        <w:color w:val="FFFFFF"/>
        <w:sz w:val="22"/>
      </w:rPr>
      <w:tcPr>
        <w:tcBorders>
          <w:top w:val="single" w:color="FFFFFF" w:themeColor="light1" w:sz="4" w:space="0"/>
        </w:tcBorders>
        <w:shd w:val="clear" w:color="A5A5A5" w:themeColor="accent3" w:fill="A5A5A5" w:themeFill="accent3"/>
      </w:tcPr>
    </w:tblStylePr>
    <w:tblStylePr w:type="firstCol">
      <w:rPr>
        <w:rFonts w:ascii="Arial" w:hAnsi="Arial"/>
        <w:b/>
        <w:color w:val="FFFFFF"/>
        <w:sz w:val="22"/>
      </w:rPr>
      <w:tcPr>
        <w:shd w:val="clear" w:color="A5A5A5" w:themeColor="accent3" w:fill="A5A5A5" w:themeFill="accent3"/>
      </w:tcPr>
    </w:tblStylePr>
    <w:tblStylePr w:type="lastCol">
      <w:rPr>
        <w:rFonts w:ascii="Arial" w:hAnsi="Arial"/>
        <w:b/>
        <w:color w:val="FFFFFF"/>
        <w:sz w:val="22"/>
      </w:rPr>
      <w:tcPr>
        <w:shd w:val="clear" w:color="A5A5A5" w:themeColor="accent3" w:fill="A5A5A5" w:themeFill="accent3"/>
      </w:tcPr>
    </w:tblStylePr>
    <w:tblStylePr w:type="band1Vert">
      <w:tcPr>
        <w:shd w:val="clear" w:color="D5D5D5" w:themeColor="accent3" w:themeTint="75" w:fill="D5D5D5" w:themeFill="accent3" w:themeFillTint="75"/>
      </w:tcPr>
    </w:tblStylePr>
    <w:tblStylePr w:type="band1Horz">
      <w:tcPr>
        <w:shd w:val="clear" w:color="D5D5D5" w:themeColor="accent3" w:themeTint="75" w:fill="D5D5D5" w:themeFill="accent3" w:themeFillTint="75"/>
      </w:tcPr>
    </w:tblStylePr>
  </w:style>
  <w:style w:type="table" w:customStyle="1" w:styleId="144">
    <w:name w:val="Grid Table 5 Dark- Accent 4"/>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rFonts w:ascii="Arial" w:hAnsi="Arial"/>
        <w:b/>
        <w:color w:val="FFFFFF"/>
        <w:sz w:val="22"/>
      </w:rPr>
      <w:tcPr>
        <w:tcBorders>
          <w:top w:val="single" w:color="FFFFFF" w:themeColor="light1" w:sz="4" w:space="0"/>
        </w:tcBorders>
        <w:shd w:val="clear" w:color="FFC000" w:themeColor="accent4" w:fill="FFC000" w:themeFill="accent4"/>
      </w:tcPr>
    </w:tblStylePr>
    <w:tblStylePr w:type="firstCol">
      <w:rPr>
        <w:rFonts w:ascii="Arial" w:hAnsi="Arial"/>
        <w:b/>
        <w:color w:val="FFFFFF"/>
        <w:sz w:val="22"/>
      </w:rPr>
      <w:tcPr>
        <w:shd w:val="clear" w:color="FFC000" w:themeColor="accent4" w:fill="FFC000" w:themeFill="accent4"/>
      </w:tcPr>
    </w:tblStylePr>
    <w:tblStylePr w:type="lastCol">
      <w:rPr>
        <w:rFonts w:ascii="Arial" w:hAnsi="Arial"/>
        <w:b/>
        <w:color w:val="FFFFFF"/>
        <w:sz w:val="22"/>
      </w:rPr>
      <w:tcPr>
        <w:shd w:val="clear" w:color="FFC000" w:themeColor="accent4" w:fill="FFC000" w:themeFill="accent4"/>
      </w:tcPr>
    </w:tblStylePr>
    <w:tblStylePr w:type="band1Vert">
      <w:tcPr>
        <w:shd w:val="clear" w:color="FEE289" w:themeColor="accent4" w:themeTint="75" w:fill="FEE289" w:themeFill="accent4" w:themeFillTint="75"/>
      </w:tcPr>
    </w:tblStylePr>
    <w:tblStylePr w:type="band1Horz">
      <w:tcPr>
        <w:shd w:val="clear" w:color="FEE289" w:themeColor="accent4" w:themeTint="75" w:fill="FEE289" w:themeFill="accent4" w:themeFillTint="75"/>
      </w:tcPr>
    </w:tblStylePr>
  </w:style>
  <w:style w:type="table" w:customStyle="1" w:styleId="145">
    <w:name w:val="Grid Table 5 Dark - Accent 5"/>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rFonts w:ascii="Arial" w:hAnsi="Arial"/>
        <w:b/>
        <w:color w:val="FFFFFF"/>
        <w:sz w:val="22"/>
      </w:rPr>
      <w:tcPr>
        <w:tcBorders>
          <w:top w:val="single" w:color="FFFFFF" w:themeColor="light1" w:sz="4" w:space="0"/>
        </w:tcBorders>
        <w:shd w:val="clear" w:color="4472C4" w:themeColor="accent5" w:fill="4472C4" w:themeFill="accent5"/>
      </w:tcPr>
    </w:tblStylePr>
    <w:tblStylePr w:type="firstCol">
      <w:rPr>
        <w:rFonts w:ascii="Arial" w:hAnsi="Arial"/>
        <w:b/>
        <w:color w:val="FFFFFF"/>
        <w:sz w:val="22"/>
      </w:rPr>
      <w:tcPr>
        <w:shd w:val="clear" w:color="4472C4" w:themeColor="accent5" w:fill="4472C4" w:themeFill="accent5"/>
      </w:tcPr>
    </w:tblStylePr>
    <w:tblStylePr w:type="lastCol">
      <w:rPr>
        <w:rFonts w:ascii="Arial" w:hAnsi="Arial"/>
        <w:b/>
        <w:color w:val="FFFFFF"/>
        <w:sz w:val="22"/>
      </w:rPr>
      <w:tcPr>
        <w:shd w:val="clear" w:color="4472C4" w:themeColor="accent5" w:fill="4472C4" w:themeFill="accent5"/>
      </w:tcPr>
    </w:tblStylePr>
    <w:tblStylePr w:type="band1Vert">
      <w:tcPr>
        <w:shd w:val="clear" w:color="A9BEE3" w:themeColor="accent5" w:themeTint="75" w:fill="A9BEE3" w:themeFill="accent5" w:themeFillTint="75"/>
      </w:tcPr>
    </w:tblStylePr>
    <w:tblStylePr w:type="band1Horz">
      <w:tcPr>
        <w:shd w:val="clear" w:color="A9BEE3" w:themeColor="accent5" w:themeTint="75" w:fill="A9BEE3" w:themeFill="accent5" w:themeFillTint="75"/>
      </w:tcPr>
    </w:tblStylePr>
  </w:style>
  <w:style w:type="table" w:customStyle="1" w:styleId="146">
    <w:name w:val="Grid Table 5 Dark - Accent 6"/>
    <w:basedOn w:val="42"/>
    <w:qFormat/>
    <w:uiPriority w:val="99"/>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rFonts w:ascii="Arial" w:hAnsi="Arial"/>
        <w:b/>
        <w:color w:val="FFFFFF"/>
        <w:sz w:val="22"/>
      </w:rPr>
      <w:tcPr>
        <w:tcBorders>
          <w:top w:val="single" w:color="FFFFFF" w:themeColor="light1" w:sz="4" w:space="0"/>
        </w:tcBorders>
        <w:shd w:val="clear" w:color="70AD47" w:themeColor="accent6" w:fill="70AD47" w:themeFill="accent6"/>
      </w:tcPr>
    </w:tblStylePr>
    <w:tblStylePr w:type="firstCol">
      <w:rPr>
        <w:rFonts w:ascii="Arial" w:hAnsi="Arial"/>
        <w:b/>
        <w:color w:val="FFFFFF"/>
        <w:sz w:val="22"/>
      </w:rPr>
      <w:tcPr>
        <w:shd w:val="clear" w:color="70AD47" w:themeColor="accent6" w:fill="70AD47" w:themeFill="accent6"/>
      </w:tcPr>
    </w:tblStylePr>
    <w:tblStylePr w:type="lastCol">
      <w:rPr>
        <w:rFonts w:ascii="Arial" w:hAnsi="Arial"/>
        <w:b/>
        <w:color w:val="FFFFFF"/>
        <w:sz w:val="22"/>
      </w:rPr>
      <w:tcPr>
        <w:shd w:val="clear" w:color="70AD47" w:themeColor="accent6" w:fill="70AD47" w:themeFill="accent6"/>
      </w:tcPr>
    </w:tblStylePr>
    <w:tblStylePr w:type="band1Vert">
      <w:tcPr>
        <w:shd w:val="clear" w:color="BCDBA8" w:themeColor="accent6" w:themeTint="75" w:fill="BCDBA8" w:themeFill="accent6" w:themeFillTint="75"/>
      </w:tcPr>
    </w:tblStylePr>
    <w:tblStylePr w:type="band1Horz">
      <w:tcPr>
        <w:shd w:val="clear" w:color="BCDBA8" w:themeColor="accent6" w:themeTint="75" w:fill="BCDBA8" w:themeFill="accent6" w:themeFillTint="75"/>
      </w:tcPr>
    </w:tblStylePr>
  </w:style>
  <w:style w:type="table" w:customStyle="1" w:styleId="147">
    <w:name w:val="Grid Table 6 Colorful"/>
    <w:basedOn w:val="42"/>
    <w:qFormat/>
    <w:uiPriority w:val="99"/>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48">
    <w:name w:val="Grid Table 6 Colorful - Accent 1"/>
    <w:basedOn w:val="42"/>
    <w:qFormat/>
    <w:uiPriority w:val="99"/>
    <w:tblPr>
      <w:tblBorders>
        <w:top w:val="single" w:color="ACCCE9" w:themeColor="accent1" w:themeTint="80" w:sz="4" w:space="0"/>
        <w:left w:val="single" w:color="ACCCE9" w:themeColor="accent1" w:themeTint="80" w:sz="4" w:space="0"/>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b/>
        <w:color w:val="ADCDEA" w:themeColor="accent1" w:themeTint="80"/>
        <w14:textFill>
          <w14:solidFill>
            <w14:schemeClr w14:val="accent1">
              <w14:lumMod w14:val="50000"/>
              <w14:lumOff w14:val="50000"/>
            </w14:schemeClr>
          </w14:solidFill>
        </w14:textFill>
      </w:rPr>
      <w:tcPr>
        <w:tcBorders>
          <w:bottom w:val="single" w:color="ACCCE9" w:themeColor="accent1" w:themeTint="80" w:sz="12" w:space="0"/>
        </w:tcBorders>
      </w:tcPr>
    </w:tblStylePr>
    <w:tblStylePr w:type="lastRow">
      <w:rPr>
        <w:b/>
        <w:color w:val="ADCDEA" w:themeColor="accent1" w:themeTint="80"/>
        <w14:textFill>
          <w14:solidFill>
            <w14:schemeClr w14:val="accent1">
              <w14:lumMod w14:val="50000"/>
              <w14:lumOff w14:val="50000"/>
            </w14:schemeClr>
          </w14:solidFill>
        </w14:textFill>
      </w:rPr>
    </w:tblStylePr>
    <w:tblStylePr w:type="firstCol">
      <w:rPr>
        <w:b/>
        <w:color w:val="ADCDEA" w:themeColor="accent1" w:themeTint="80"/>
        <w14:textFill>
          <w14:solidFill>
            <w14:schemeClr w14:val="accent1">
              <w14:lumMod w14:val="50000"/>
              <w14:lumOff w14:val="50000"/>
            </w14:schemeClr>
          </w14:solidFill>
        </w14:textFill>
      </w:rPr>
    </w:tblStylePr>
    <w:tblStylePr w:type="lastCol">
      <w:rPr>
        <w:b/>
        <w:color w:val="ADCDEA" w:themeColor="accent1" w:themeTint="80"/>
        <w14:textFill>
          <w14:solidFill>
            <w14:schemeClr w14:val="accent1">
              <w14:lumMod w14:val="50000"/>
              <w14:lumOff w14:val="50000"/>
            </w14:schemeClr>
          </w14:solidFill>
        </w14:textFill>
      </w:r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49">
    <w:name w:val="Grid Table 6 Colorful - Accent 2"/>
    <w:basedOn w:val="4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12" w:space="0"/>
        </w:tcBorders>
      </w:tcPr>
    </w:tblStylePr>
    <w:tblStylePr w:type="lastRow">
      <w:rPr>
        <w:b/>
        <w:color w:val="F4B285" w:themeColor="accent2" w:themeTint="96"/>
        <w14:textFill>
          <w14:solidFill>
            <w14:schemeClr w14:val="accent2">
              <w14:lumMod w14:val="59000"/>
              <w14:lumOff w14:val="41000"/>
            </w14:schemeClr>
          </w14:solidFill>
        </w14:textFill>
      </w:r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0">
    <w:name w:val="Grid Table 6 Colorful - Accent 3"/>
    <w:basedOn w:val="42"/>
    <w:qFormat/>
    <w:uiPriority w:val="99"/>
    <w:tblPr>
      <w:tblBorders>
        <w:top w:val="single" w:color="A5A5A5" w:themeColor="accent3" w:themeTint="FE" w:sz="4" w:space="0"/>
        <w:left w:val="single" w:color="A5A5A5" w:themeColor="accent3" w:themeTint="FE" w:sz="4" w:space="0"/>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b/>
        <w:color w:val="A5A5A5" w:themeColor="accent3" w:themeTint="FF"/>
        <w14:textFill>
          <w14:solidFill>
            <w14:schemeClr w14:val="accent3">
              <w14:lumMod w14:val="100000"/>
              <w14:lumOff w14:val="0"/>
            </w14:schemeClr>
          </w14:solidFill>
        </w14:textFill>
      </w:rPr>
      <w:tcPr>
        <w:tcBorders>
          <w:bottom w:val="single" w:color="A5A5A5" w:themeColor="accent3" w:themeTint="FE" w:sz="12" w:space="0"/>
        </w:tcBorders>
      </w:tcPr>
    </w:tblStylePr>
    <w:tblStylePr w:type="lastRow">
      <w:rPr>
        <w:b/>
        <w:color w:val="A5A5A5" w:themeColor="accent3" w:themeTint="FF"/>
        <w14:textFill>
          <w14:solidFill>
            <w14:schemeClr w14:val="accent3">
              <w14:lumMod w14:val="100000"/>
              <w14:lumOff w14:val="0"/>
            </w14:schemeClr>
          </w14:solidFill>
        </w14:textFill>
      </w:rPr>
    </w:tblStylePr>
    <w:tblStylePr w:type="firstCol">
      <w:rPr>
        <w:b/>
        <w:color w:val="A5A5A5" w:themeColor="accent3" w:themeTint="FF"/>
        <w14:textFill>
          <w14:solidFill>
            <w14:schemeClr w14:val="accent3">
              <w14:lumMod w14:val="100000"/>
              <w14:lumOff w14:val="0"/>
            </w14:schemeClr>
          </w14:solidFill>
        </w14:textFill>
      </w:rPr>
    </w:tblStylePr>
    <w:tblStylePr w:type="lastCol">
      <w:rPr>
        <w:b/>
        <w:color w:val="A5A5A5" w:themeColor="accent3" w:themeTint="FF"/>
        <w14:textFill>
          <w14:solidFill>
            <w14:schemeClr w14:val="accent3">
              <w14:lumMod w14:val="100000"/>
              <w14:lumOff w14:val="0"/>
            </w14:schemeClr>
          </w14:solidFill>
        </w14:textFill>
      </w:r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51">
    <w:name w:val="Grid Table 6 Colorful - Accent 4"/>
    <w:basedOn w:val="4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12" w:space="0"/>
        </w:tcBorders>
      </w:tcPr>
    </w:tblStylePr>
    <w:tblStylePr w:type="lastRow">
      <w:rPr>
        <w:b/>
        <w:color w:val="FFD966" w:themeColor="accent4" w:themeTint="99"/>
        <w14:textFill>
          <w14:solidFill>
            <w14:schemeClr w14:val="accent4">
              <w14:lumMod w14:val="60000"/>
              <w14:lumOff w14:val="40000"/>
            </w14:schemeClr>
          </w14:solidFill>
        </w14:textFill>
      </w:r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2">
    <w:name w:val="Grid Table 6 Colorful - Accent 5"/>
    <w:basedOn w:val="42"/>
    <w:qFormat/>
    <w:uiPriority w:val="99"/>
    <w:tblPr>
      <w:tblBorders>
        <w:top w:val="single" w:color="4472C4" w:themeColor="accent5" w:sz="4" w:space="0"/>
        <w:left w:val="single" w:color="4472C4" w:themeColor="accent5" w:sz="4" w:space="0"/>
        <w:bottom w:val="single" w:color="4472C4" w:themeColor="accent5" w:sz="4" w:space="0"/>
        <w:right w:val="single" w:color="4472C4" w:themeColor="accent5" w:sz="4" w:space="0"/>
        <w:insideH w:val="single" w:color="4472C4" w:themeColor="accent5" w:sz="4" w:space="0"/>
        <w:insideV w:val="single" w:color="4472C4" w:themeColor="accent5" w:sz="4" w:space="0"/>
      </w:tblBorders>
      <w:tblCellMar>
        <w:top w:w="0" w:type="dxa"/>
        <w:left w:w="108" w:type="dxa"/>
        <w:bottom w:w="0" w:type="dxa"/>
        <w:right w:w="108" w:type="dxa"/>
      </w:tblCellMar>
    </w:tblPr>
    <w:tblStylePr w:type="firstRow">
      <w:rPr>
        <w:b/>
        <w:color w:val="254174" w:themeColor="accent5" w:themeShade="94"/>
      </w:rPr>
      <w:tcPr>
        <w:tcBorders>
          <w:bottom w:val="single" w:color="4472C4" w:themeColor="accent5"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53">
    <w:name w:val="Grid Table 6 Colorful - Accent 6"/>
    <w:basedOn w:val="42"/>
    <w:qFormat/>
    <w:uiPriority w:val="99"/>
    <w:tblPr>
      <w:tblBorders>
        <w:top w:val="single" w:color="70AD47" w:themeColor="accent6" w:sz="4" w:space="0"/>
        <w:left w:val="single" w:color="70AD47" w:themeColor="accent6" w:sz="4" w:space="0"/>
        <w:bottom w:val="single" w:color="70AD47" w:themeColor="accent6" w:sz="4" w:space="0"/>
        <w:right w:val="single" w:color="70AD47" w:themeColor="accent6" w:sz="4" w:space="0"/>
        <w:insideH w:val="single" w:color="70AD47" w:themeColor="accent6" w:sz="4" w:space="0"/>
        <w:insideV w:val="single" w:color="70AD47" w:themeColor="accent6" w:sz="4" w:space="0"/>
      </w:tblBorders>
      <w:tblCellMar>
        <w:top w:w="0" w:type="dxa"/>
        <w:left w:w="108" w:type="dxa"/>
        <w:bottom w:w="0" w:type="dxa"/>
        <w:right w:w="108" w:type="dxa"/>
      </w:tblCellMar>
    </w:tblPr>
    <w:tblStylePr w:type="firstRow">
      <w:rPr>
        <w:b/>
        <w:color w:val="254174" w:themeColor="accent5" w:themeShade="94"/>
      </w:rPr>
      <w:tcPr>
        <w:tcBorders>
          <w:bottom w:val="single" w:color="70AD47" w:themeColor="accent6" w:sz="12" w:space="0"/>
        </w:tcBorders>
      </w:tcPr>
    </w:tblStylePr>
    <w:tblStylePr w:type="lastRow">
      <w:rPr>
        <w:b/>
        <w:color w:val="254174" w:themeColor="accent5" w:themeShade="94"/>
      </w:rPr>
    </w:tblStylePr>
    <w:tblStylePr w:type="firstCol">
      <w:rPr>
        <w:b/>
        <w:color w:val="254174" w:themeColor="accent5" w:themeShade="94"/>
      </w:rPr>
    </w:tblStylePr>
    <w:tblStylePr w:type="lastCol">
      <w:rPr>
        <w:b/>
        <w:color w:val="254174" w:themeColor="accent5" w:themeShade="94"/>
      </w:rPr>
    </w:tblStylePr>
    <w:tblStylePr w:type="band1Vert">
      <w:tcPr>
        <w:shd w:val="clear" w:color="E1EFD8" w:themeColor="accent6" w:themeTint="34" w:fill="E1EFD8" w:themeFill="accent6" w:themeFillTint="34"/>
      </w:tcPr>
    </w:tblStylePr>
    <w:tblStylePr w:type="band1Horz">
      <w:rPr>
        <w:rFonts w:ascii="Arial" w:hAnsi="Arial"/>
        <w:color w:val="254174" w:themeColor="accent5" w:themeShade="94"/>
        <w:sz w:val="22"/>
      </w:rPr>
      <w:tcPr>
        <w:shd w:val="clear" w:color="E1EFD8" w:themeColor="accent6" w:themeTint="34" w:fill="E1EFD8" w:themeFill="accent6" w:themeFillTint="34"/>
      </w:tcPr>
    </w:tblStylePr>
    <w:tblStylePr w:type="band2Horz">
      <w:rPr>
        <w:rFonts w:ascii="Arial" w:hAnsi="Arial"/>
        <w:color w:val="254174" w:themeColor="accent5" w:themeShade="94"/>
        <w:sz w:val="22"/>
      </w:rPr>
    </w:tblStylePr>
  </w:style>
  <w:style w:type="table" w:customStyle="1" w:styleId="154">
    <w:name w:val="Grid Table 7 Colorful"/>
    <w:basedOn w:val="42"/>
    <w:qFormat/>
    <w:uiPriority w:val="99"/>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CellMar>
        <w:top w:w="0" w:type="dxa"/>
        <w:left w:w="108" w:type="dxa"/>
        <w:bottom w:w="0" w:type="dxa"/>
        <w:right w:w="108" w:type="dxa"/>
      </w:tblCellMar>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155">
    <w:name w:val="Grid Table 7 Colorful - Accent 1"/>
    <w:basedOn w:val="42"/>
    <w:qFormat/>
    <w:uiPriority w:val="99"/>
    <w:tblPr>
      <w:tblBorders>
        <w:bottom w:val="single" w:color="ACCCE9" w:themeColor="accent1" w:themeTint="80" w:sz="4" w:space="0"/>
        <w:right w:val="single" w:color="ACCCE9" w:themeColor="accent1" w:themeTint="80" w:sz="4" w:space="0"/>
        <w:insideH w:val="single" w:color="ACCCE9" w:themeColor="accent1" w:themeTint="80" w:sz="4" w:space="0"/>
        <w:insideV w:val="single" w:color="ACCCE9" w:themeColor="accent1" w:themeTint="80" w:sz="4" w:space="0"/>
      </w:tblBorders>
      <w:tblCellMar>
        <w:top w:w="0" w:type="dxa"/>
        <w:left w:w="108" w:type="dxa"/>
        <w:bottom w:w="0" w:type="dxa"/>
        <w:right w:w="108" w:type="dxa"/>
      </w:tblCellMar>
    </w:tblPr>
    <w:tblStylePr w:type="firstRow">
      <w:rPr>
        <w:rFonts w:ascii="Arial" w:hAnsi="Arial"/>
        <w:b/>
        <w:color w:val="ADCDEA" w:themeColor="accent1" w:themeTint="80"/>
        <w:sz w:val="22"/>
        <w14:textFill>
          <w14:solidFill>
            <w14:schemeClr w14:val="accent1">
              <w14:lumMod w14:val="50000"/>
              <w14:lumOff w14:val="50000"/>
            </w14:schemeClr>
          </w14:solidFill>
        </w14:textFill>
      </w:rPr>
      <w:tcPr>
        <w:tcBorders>
          <w:top w:val="nil"/>
          <w:left w:val="nil"/>
          <w:bottom w:val="single" w:color="ACCCE9" w:themeColor="accent1" w:themeTint="80" w:sz="4" w:space="0"/>
          <w:right w:val="nil"/>
        </w:tcBorders>
        <w:shd w:val="clear" w:color="FFFFFF" w:themeColor="light1" w:fill="FFFFFF" w:themeFill="light1"/>
      </w:tcPr>
    </w:tblStylePr>
    <w:tblStylePr w:type="lastRow">
      <w:rPr>
        <w:rFonts w:ascii="Arial" w:hAnsi="Arial"/>
        <w:b/>
        <w:color w:val="ADCDEA" w:themeColor="accent1" w:themeTint="80"/>
        <w:sz w:val="22"/>
        <w14:textFill>
          <w14:solidFill>
            <w14:schemeClr w14:val="accent1">
              <w14:lumMod w14:val="50000"/>
              <w14:lumOff w14:val="50000"/>
            </w14:schemeClr>
          </w14:solidFill>
        </w14:textFill>
      </w:rPr>
      <w:tcPr>
        <w:tcBorders>
          <w:top w:val="single" w:color="ACCCE9"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nil"/>
          <w:bottom w:val="nil"/>
          <w:right w:val="single" w:color="ACCCE9" w:themeColor="accent1" w:themeTint="80" w:sz="4" w:space="0"/>
        </w:tcBorders>
        <w:shd w:val="clear" w:color="FFFFFF" w:fill="auto"/>
      </w:tcPr>
    </w:tblStylePr>
    <w:tblStylePr w:type="lastCol">
      <w:rPr>
        <w:rFonts w:ascii="Arial" w:hAnsi="Arial"/>
        <w:i/>
        <w:color w:val="ADCDEA" w:themeColor="accent1" w:themeTint="80"/>
        <w:sz w:val="22"/>
        <w14:textFill>
          <w14:solidFill>
            <w14:schemeClr w14:val="accent1">
              <w14:lumMod w14:val="50000"/>
              <w14:lumOff w14:val="50000"/>
            </w14:schemeClr>
          </w14:solidFill>
        </w14:textFill>
      </w:rPr>
      <w:tcPr>
        <w:tcBorders>
          <w:top w:val="nil"/>
          <w:left w:val="single" w:color="ACCCE9" w:themeColor="accent1" w:themeTint="80" w:sz="4" w:space="0"/>
          <w:bottom w:val="nil"/>
          <w:right w:val="nil"/>
        </w:tcBorders>
        <w:shd w:val="clear" w:color="FFFFFF" w:fill="auto"/>
      </w:tcPr>
    </w:tblStylePr>
    <w:tblStylePr w:type="band1Vert">
      <w:tcPr>
        <w:shd w:val="clear" w:color="DDEAF6" w:themeColor="accent1" w:themeTint="34" w:fill="DDEAF6" w:themeFill="accent1" w:themeFillTint="34"/>
      </w:tcPr>
    </w:tblStylePr>
    <w:tblStylePr w:type="band1Horz">
      <w:rPr>
        <w:rFonts w:ascii="Arial" w:hAnsi="Arial"/>
        <w:color w:val="ADCDEA" w:themeColor="accent1" w:themeTint="80"/>
        <w:sz w:val="22"/>
        <w14:textFill>
          <w14:solidFill>
            <w14:schemeClr w14:val="accent1">
              <w14:lumMod w14:val="50000"/>
              <w14:lumOff w14:val="50000"/>
            </w14:schemeClr>
          </w14:solidFill>
        </w14:textFill>
      </w:rPr>
      <w:tcPr>
        <w:shd w:val="clear" w:color="DDEAF6" w:themeColor="accent1" w:themeTint="34" w:fill="DDEAF6" w:themeFill="accent1" w:themeFillTint="34"/>
      </w:tcPr>
    </w:tblStylePr>
    <w:tblStylePr w:type="band2Horz">
      <w:rPr>
        <w:rFonts w:ascii="Arial" w:hAnsi="Arial"/>
        <w:color w:val="ADCDEA" w:themeColor="accent1" w:themeTint="80"/>
        <w:sz w:val="22"/>
        <w14:textFill>
          <w14:solidFill>
            <w14:schemeClr w14:val="accent1">
              <w14:lumMod w14:val="50000"/>
              <w14:lumOff w14:val="50000"/>
            </w14:schemeClr>
          </w14:solidFill>
        </w14:textFill>
      </w:rPr>
    </w:tblStylePr>
  </w:style>
  <w:style w:type="table" w:customStyle="1" w:styleId="156">
    <w:name w:val="Grid Table 7 Colorful - Accent 2"/>
    <w:basedOn w:val="42"/>
    <w:qFormat/>
    <w:uiPriority w:val="99"/>
    <w:tblPr>
      <w:tblBorders>
        <w:bottom w:val="single" w:color="F4B285" w:themeColor="accent2" w:themeTint="97" w:sz="4" w:space="0"/>
        <w:right w:val="single" w:color="F4B285" w:themeColor="accent2" w:themeTint="97" w:sz="4" w:space="0"/>
        <w:insideH w:val="single" w:color="F4B285" w:themeColor="accent2" w:themeTint="97" w:sz="4" w:space="0"/>
        <w:insideV w:val="single" w:color="F4B285" w:themeColor="accent2" w:themeTint="97" w:sz="4" w:space="0"/>
      </w:tblBorders>
      <w:tblCellMar>
        <w:top w:w="0" w:type="dxa"/>
        <w:left w:w="108" w:type="dxa"/>
        <w:bottom w:w="0" w:type="dxa"/>
        <w:right w:w="108" w:type="dxa"/>
      </w:tblCellMar>
    </w:tblPr>
    <w:tblStylePr w:type="firstRow">
      <w:rPr>
        <w:rFonts w:ascii="Arial" w:hAnsi="Arial"/>
        <w:b/>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b/>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BE5D6" w:themeColor="accent2" w:themeTint="32" w:fill="FBE5D6" w:themeFill="accent2" w:themeFillTint="32"/>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BE5D6" w:themeColor="accent2" w:themeTint="32" w:fill="FBE5D6" w:themeFill="accent2" w:themeFillTint="32"/>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57">
    <w:name w:val="Grid Table 7 Colorful - Accent 3"/>
    <w:basedOn w:val="42"/>
    <w:qFormat/>
    <w:uiPriority w:val="99"/>
    <w:tblPr>
      <w:tblBorders>
        <w:bottom w:val="single" w:color="A5A5A5" w:themeColor="accent3" w:themeTint="FE" w:sz="4" w:space="0"/>
        <w:right w:val="single" w:color="A5A5A5" w:themeColor="accent3" w:themeTint="FE" w:sz="4" w:space="0"/>
        <w:insideH w:val="single" w:color="A5A5A5" w:themeColor="accent3" w:themeTint="FE" w:sz="4" w:space="0"/>
        <w:insideV w:val="single" w:color="A5A5A5" w:themeColor="accent3" w:themeTint="FE" w:sz="4" w:space="0"/>
      </w:tblBorders>
      <w:tblCellMar>
        <w:top w:w="0" w:type="dxa"/>
        <w:left w:w="108" w:type="dxa"/>
        <w:bottom w:w="0" w:type="dxa"/>
        <w:right w:w="108" w:type="dxa"/>
      </w:tblCellMar>
    </w:tblPr>
    <w:tblStylePr w:type="firstRow">
      <w:rPr>
        <w:rFonts w:ascii="Arial" w:hAnsi="Arial"/>
        <w:b/>
        <w:color w:val="A5A5A5" w:themeColor="accent3" w:themeTint="FF"/>
        <w:sz w:val="22"/>
        <w14:textFill>
          <w14:solidFill>
            <w14:schemeClr w14:val="accent3">
              <w14:lumMod w14:val="100000"/>
              <w14:lumOff w14:val="0"/>
            </w14:schemeClr>
          </w14:solidFill>
        </w14:textFill>
      </w:rPr>
      <w:tcPr>
        <w:tcBorders>
          <w:top w:val="nil"/>
          <w:left w:val="nil"/>
          <w:bottom w:val="single" w:color="A5A5A5" w:themeColor="accent3" w:themeTint="FE" w:sz="4" w:space="0"/>
          <w:right w:val="nil"/>
        </w:tcBorders>
        <w:shd w:val="clear" w:color="FFFFFF" w:themeColor="light1" w:fill="FFFFFF" w:themeFill="light1"/>
      </w:tcPr>
    </w:tblStylePr>
    <w:tblStylePr w:type="lastRow">
      <w:rPr>
        <w:rFonts w:ascii="Arial" w:hAnsi="Arial"/>
        <w:b/>
        <w:color w:val="A5A5A5" w:themeColor="accent3" w:themeTint="FF"/>
        <w:sz w:val="22"/>
        <w14:textFill>
          <w14:solidFill>
            <w14:schemeClr w14:val="accent3">
              <w14:lumMod w14:val="100000"/>
              <w14:lumOff w14:val="0"/>
            </w14:schemeClr>
          </w14:solidFill>
        </w14:textFill>
      </w:rPr>
      <w:tcPr>
        <w:tcBorders>
          <w:top w:val="single" w:color="A5A5A5"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A5A5A5" w:themeColor="accent3" w:themeTint="FF"/>
        <w:sz w:val="22"/>
        <w14:textFill>
          <w14:solidFill>
            <w14:schemeClr w14:val="accent3">
              <w14:lumMod w14:val="100000"/>
              <w14:lumOff w14:val="0"/>
            </w14:schemeClr>
          </w14:solidFill>
        </w14:textFill>
      </w:rPr>
      <w:tcPr>
        <w:tcBorders>
          <w:top w:val="nil"/>
          <w:left w:val="nil"/>
          <w:bottom w:val="nil"/>
          <w:right w:val="single" w:color="A5A5A5" w:themeColor="accent3" w:themeTint="FE" w:sz="4" w:space="0"/>
        </w:tcBorders>
        <w:shd w:val="clear" w:color="FFFFFF" w:fill="auto"/>
      </w:tcPr>
    </w:tblStylePr>
    <w:tblStylePr w:type="lastCol">
      <w:rPr>
        <w:rFonts w:ascii="Arial" w:hAnsi="Arial"/>
        <w:i/>
        <w:color w:val="A5A5A5" w:themeColor="accent3" w:themeTint="FF"/>
        <w:sz w:val="22"/>
        <w14:textFill>
          <w14:solidFill>
            <w14:schemeClr w14:val="accent3">
              <w14:lumMod w14:val="100000"/>
              <w14:lumOff w14:val="0"/>
            </w14:schemeClr>
          </w14:solidFill>
        </w14:textFill>
      </w:rPr>
      <w:tcPr>
        <w:tcBorders>
          <w:top w:val="nil"/>
          <w:left w:val="single" w:color="A5A5A5" w:themeColor="accent3" w:themeTint="FE" w:sz="4" w:space="0"/>
          <w:bottom w:val="nil"/>
          <w:right w:val="nil"/>
        </w:tcBorders>
        <w:shd w:val="clear" w:color="FFFFFF" w:fill="auto"/>
      </w:tcPr>
    </w:tblStylePr>
    <w:tblStylePr w:type="band1Vert">
      <w:tcPr>
        <w:shd w:val="clear" w:color="ECECEC" w:themeColor="accent3" w:themeTint="34" w:fill="ECECEC" w:themeFill="accent3" w:themeFillTint="34"/>
      </w:tcPr>
    </w:tblStylePr>
    <w:tblStylePr w:type="band1Horz">
      <w:rPr>
        <w:rFonts w:ascii="Arial" w:hAnsi="Arial"/>
        <w:color w:val="A5A5A5" w:themeColor="accent3" w:themeTint="FF"/>
        <w:sz w:val="22"/>
        <w14:textFill>
          <w14:solidFill>
            <w14:schemeClr w14:val="accent3">
              <w14:lumMod w14:val="100000"/>
              <w14:lumOff w14:val="0"/>
            </w14:schemeClr>
          </w14:solidFill>
        </w14:textFill>
      </w:rPr>
      <w:tcPr>
        <w:shd w:val="clear" w:color="ECECEC" w:themeColor="accent3" w:themeTint="34" w:fill="ECECEC" w:themeFill="accent3" w:themeFillTint="34"/>
      </w:tcPr>
    </w:tblStylePr>
    <w:tblStylePr w:type="band2Horz">
      <w:rPr>
        <w:rFonts w:ascii="Arial" w:hAnsi="Arial"/>
        <w:color w:val="A5A5A5" w:themeColor="accent3" w:themeTint="FF"/>
        <w:sz w:val="22"/>
        <w14:textFill>
          <w14:solidFill>
            <w14:schemeClr w14:val="accent3">
              <w14:lumMod w14:val="100000"/>
              <w14:lumOff w14:val="0"/>
            </w14:schemeClr>
          </w14:solidFill>
        </w14:textFill>
      </w:rPr>
    </w:tblStylePr>
  </w:style>
  <w:style w:type="table" w:customStyle="1" w:styleId="158">
    <w:name w:val="Grid Table 7 Colorful - Accent 4"/>
    <w:basedOn w:val="42"/>
    <w:qFormat/>
    <w:uiPriority w:val="99"/>
    <w:tblPr>
      <w:tblBorders>
        <w:bottom w:val="single" w:color="FFD864" w:themeColor="accent4" w:themeTint="9A" w:sz="4" w:space="0"/>
        <w:right w:val="single" w:color="FFD864" w:themeColor="accent4" w:themeTint="9A" w:sz="4" w:space="0"/>
        <w:insideH w:val="single" w:color="FFD864" w:themeColor="accent4" w:themeTint="9A" w:sz="4" w:space="0"/>
        <w:insideV w:val="single" w:color="FFD864" w:themeColor="accent4" w:themeTint="9A" w:sz="4" w:space="0"/>
      </w:tblBorders>
      <w:tblCellMar>
        <w:top w:w="0" w:type="dxa"/>
        <w:left w:w="108" w:type="dxa"/>
        <w:bottom w:w="0" w:type="dxa"/>
        <w:right w:w="108" w:type="dxa"/>
      </w:tblCellMar>
    </w:tblPr>
    <w:tblStylePr w:type="firstRow">
      <w:rPr>
        <w:rFonts w:ascii="Arial" w:hAnsi="Arial"/>
        <w:b/>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b/>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EF2CA" w:themeColor="accent4" w:themeTint="34" w:fill="FEF2CA" w:themeFill="accent4" w:themeFillTint="34"/>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EF2CA" w:themeColor="accent4" w:themeTint="34" w:fill="FEF2CA" w:themeFill="accent4" w:themeFillTint="34"/>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159">
    <w:name w:val="Grid Table 7 Colorful - Accent 5"/>
    <w:basedOn w:val="42"/>
    <w:qFormat/>
    <w:uiPriority w:val="99"/>
    <w:tblPr>
      <w:tblBorders>
        <w:bottom w:val="single" w:color="95AFDD" w:themeColor="accent5" w:themeTint="90" w:sz="4" w:space="0"/>
        <w:right w:val="single" w:color="95AFDD" w:themeColor="accent5" w:themeTint="90" w:sz="4" w:space="0"/>
        <w:insideH w:val="single" w:color="95AFDD" w:themeColor="accent5" w:themeTint="90" w:sz="4" w:space="0"/>
        <w:insideV w:val="single" w:color="95AFDD" w:themeColor="accent5" w:themeTint="90" w:sz="4" w:space="0"/>
      </w:tblBorders>
      <w:tblCellMar>
        <w:top w:w="0" w:type="dxa"/>
        <w:left w:w="108" w:type="dxa"/>
        <w:bottom w:w="0" w:type="dxa"/>
        <w:right w:w="108" w:type="dxa"/>
      </w:tblCellMar>
    </w:tblPr>
    <w:tblStylePr w:type="firstRow">
      <w:rPr>
        <w:rFonts w:ascii="Arial" w:hAnsi="Arial"/>
        <w:b/>
        <w:color w:val="254174" w:themeColor="accent5" w:themeShade="94"/>
        <w:sz w:val="22"/>
      </w:rPr>
      <w:tcPr>
        <w:tcBorders>
          <w:top w:val="nil"/>
          <w:left w:val="nil"/>
          <w:bottom w:val="single" w:color="95AFDD" w:themeColor="accent5" w:themeTint="90" w:sz="4" w:space="0"/>
          <w:right w:val="nil"/>
        </w:tcBorders>
        <w:shd w:val="clear" w:color="FFFFFF" w:themeColor="light1" w:fill="FFFFFF" w:themeFill="light1"/>
      </w:tcPr>
    </w:tblStylePr>
    <w:tblStylePr w:type="lastRow">
      <w:rPr>
        <w:rFonts w:ascii="Arial" w:hAnsi="Arial"/>
        <w:b/>
        <w:color w:val="254174" w:themeColor="accent5" w:themeShade="94"/>
        <w:sz w:val="22"/>
      </w:rPr>
      <w:tcPr>
        <w:tcBorders>
          <w:top w:val="single" w:color="95AFDD"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54174" w:themeColor="accent5" w:themeShade="94"/>
        <w:sz w:val="22"/>
      </w:rPr>
      <w:tcPr>
        <w:tcBorders>
          <w:top w:val="nil"/>
          <w:left w:val="nil"/>
          <w:bottom w:val="nil"/>
          <w:right w:val="single" w:color="95AFDD" w:themeColor="accent5" w:themeTint="90" w:sz="4" w:space="0"/>
        </w:tcBorders>
        <w:shd w:val="clear" w:color="FFFFFF" w:fill="auto"/>
      </w:tcPr>
    </w:tblStylePr>
    <w:tblStylePr w:type="lastCol">
      <w:rPr>
        <w:rFonts w:ascii="Arial" w:hAnsi="Arial"/>
        <w:i/>
        <w:color w:val="254174" w:themeColor="accent5" w:themeShade="94"/>
        <w:sz w:val="22"/>
      </w:rPr>
      <w:tcPr>
        <w:tcBorders>
          <w:top w:val="nil"/>
          <w:left w:val="single" w:color="95AFDD" w:themeColor="accent5" w:themeTint="90" w:sz="4" w:space="0"/>
          <w:bottom w:val="nil"/>
          <w:right w:val="nil"/>
        </w:tcBorders>
        <w:shd w:val="clear" w:color="FFFFFF" w:fill="auto"/>
      </w:tcPr>
    </w:tblStylePr>
    <w:tblStylePr w:type="band1Vert">
      <w:tcPr>
        <w:shd w:val="clear" w:color="D8E2F2" w:themeColor="accent5" w:themeTint="34" w:fill="D8E2F2" w:themeFill="accent5" w:themeFillTint="34"/>
      </w:tcPr>
    </w:tblStylePr>
    <w:tblStylePr w:type="band1Horz">
      <w:rPr>
        <w:rFonts w:ascii="Arial" w:hAnsi="Arial"/>
        <w:color w:val="254174" w:themeColor="accent5" w:themeShade="94"/>
        <w:sz w:val="22"/>
      </w:rPr>
      <w:tcPr>
        <w:shd w:val="clear" w:color="D8E2F2" w:themeColor="accent5" w:themeTint="34" w:fill="D8E2F2" w:themeFill="accent5" w:themeFillTint="34"/>
      </w:tcPr>
    </w:tblStylePr>
    <w:tblStylePr w:type="band2Horz">
      <w:rPr>
        <w:rFonts w:ascii="Arial" w:hAnsi="Arial"/>
        <w:color w:val="254174" w:themeColor="accent5" w:themeShade="94"/>
        <w:sz w:val="22"/>
      </w:rPr>
    </w:tblStylePr>
  </w:style>
  <w:style w:type="table" w:customStyle="1" w:styleId="160">
    <w:name w:val="Grid Table 7 Colorful - Accent 6"/>
    <w:basedOn w:val="42"/>
    <w:qFormat/>
    <w:uiPriority w:val="99"/>
    <w:tblPr>
      <w:tblBorders>
        <w:bottom w:val="single" w:color="ADD394" w:themeColor="accent6" w:themeTint="90" w:sz="4" w:space="0"/>
        <w:right w:val="single" w:color="ADD394" w:themeColor="accent6" w:themeTint="90" w:sz="4" w:space="0"/>
        <w:insideH w:val="single" w:color="ADD394" w:themeColor="accent6" w:themeTint="90" w:sz="4" w:space="0"/>
        <w:insideV w:val="single" w:color="ADD394" w:themeColor="accent6" w:themeTint="90" w:sz="4" w:space="0"/>
      </w:tblBorders>
      <w:tblCellMar>
        <w:top w:w="0" w:type="dxa"/>
        <w:left w:w="108" w:type="dxa"/>
        <w:bottom w:w="0" w:type="dxa"/>
        <w:right w:w="108" w:type="dxa"/>
      </w:tblCellMar>
    </w:tblPr>
    <w:tblStylePr w:type="firstRow">
      <w:rPr>
        <w:rFonts w:ascii="Arial" w:hAnsi="Arial"/>
        <w:b/>
        <w:color w:val="416429" w:themeColor="accent6" w:themeShade="94"/>
        <w:sz w:val="22"/>
      </w:rPr>
      <w:tcPr>
        <w:tcBorders>
          <w:top w:val="nil"/>
          <w:left w:val="nil"/>
          <w:bottom w:val="single" w:color="ADD394" w:themeColor="accent6" w:themeTint="90" w:sz="4" w:space="0"/>
          <w:right w:val="nil"/>
        </w:tcBorders>
        <w:shd w:val="clear" w:color="FFFFFF" w:themeColor="light1" w:fill="FFFFFF" w:themeFill="light1"/>
      </w:tcPr>
    </w:tblStylePr>
    <w:tblStylePr w:type="lastRow">
      <w:rPr>
        <w:rFonts w:ascii="Arial" w:hAnsi="Arial"/>
        <w:b/>
        <w:color w:val="416429" w:themeColor="accent6" w:themeShade="94"/>
        <w:sz w:val="22"/>
      </w:rPr>
      <w:tcPr>
        <w:tcBorders>
          <w:top w:val="single" w:color="ADD39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416429" w:themeColor="accent6" w:themeShade="94"/>
        <w:sz w:val="22"/>
      </w:rPr>
      <w:tcPr>
        <w:tcBorders>
          <w:top w:val="nil"/>
          <w:left w:val="nil"/>
          <w:bottom w:val="nil"/>
          <w:right w:val="single" w:color="ADD394" w:themeColor="accent6" w:themeTint="90" w:sz="4" w:space="0"/>
        </w:tcBorders>
        <w:shd w:val="clear" w:color="FFFFFF" w:fill="auto"/>
      </w:tcPr>
    </w:tblStylePr>
    <w:tblStylePr w:type="lastCol">
      <w:rPr>
        <w:rFonts w:ascii="Arial" w:hAnsi="Arial"/>
        <w:i/>
        <w:color w:val="416429" w:themeColor="accent6" w:themeShade="94"/>
        <w:sz w:val="22"/>
      </w:rPr>
      <w:tcPr>
        <w:tcBorders>
          <w:top w:val="nil"/>
          <w:left w:val="single" w:color="ADD394" w:themeColor="accent6" w:themeTint="90" w:sz="4" w:space="0"/>
          <w:bottom w:val="nil"/>
          <w:right w:val="nil"/>
        </w:tcBorders>
        <w:shd w:val="clear" w:color="FFFFFF" w:fill="auto"/>
      </w:tcPr>
    </w:tblStylePr>
    <w:tblStylePr w:type="band1Vert">
      <w:tcPr>
        <w:shd w:val="clear" w:color="E1EFD8" w:themeColor="accent6" w:themeTint="34" w:fill="E1EFD8" w:themeFill="accent6" w:themeFillTint="34"/>
      </w:tcPr>
    </w:tblStylePr>
    <w:tblStylePr w:type="band1Horz">
      <w:rPr>
        <w:rFonts w:ascii="Arial" w:hAnsi="Arial"/>
        <w:color w:val="416429" w:themeColor="accent6" w:themeShade="94"/>
        <w:sz w:val="22"/>
      </w:rPr>
      <w:tcPr>
        <w:shd w:val="clear" w:color="E1EFD8" w:themeColor="accent6" w:themeTint="34" w:fill="E1EFD8" w:themeFill="accent6" w:themeFillTint="34"/>
      </w:tcPr>
    </w:tblStylePr>
    <w:tblStylePr w:type="band2Horz">
      <w:rPr>
        <w:rFonts w:ascii="Arial" w:hAnsi="Arial"/>
        <w:color w:val="416429" w:themeColor="accent6" w:themeShade="94"/>
        <w:sz w:val="22"/>
      </w:rPr>
    </w:tblStylePr>
  </w:style>
  <w:style w:type="table" w:customStyle="1" w:styleId="161">
    <w:name w:val="List Table 1 Light"/>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1Horz">
      <w:tcPr>
        <w:shd w:val="clear" w:color="BEBEBE" w:themeColor="text1" w:themeTint="40" w:fill="BEBEBE" w:themeFill="text1" w:themeFillTint="40"/>
      </w:tcPr>
    </w:tblStylePr>
  </w:style>
  <w:style w:type="table" w:customStyle="1" w:styleId="162">
    <w:name w:val="List Table 1 Light - Accent 1"/>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5B9BD5" w:themeColor="accent1" w:sz="4" w:space="0"/>
          <w:right w:val="nil"/>
        </w:tcBorders>
      </w:tcPr>
    </w:tblStylePr>
    <w:tblStylePr w:type="lastRow">
      <w:rPr>
        <w:b/>
        <w:color w:val="404040"/>
      </w:rPr>
      <w:tcPr>
        <w:tcBorders>
          <w:top w:val="single" w:color="5B9BD5"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5E5F4" w:themeColor="accent1" w:themeTint="40" w:fill="D5E5F4" w:themeFill="accent1" w:themeFillTint="40"/>
      </w:tcPr>
    </w:tblStylePr>
    <w:tblStylePr w:type="band1Horz">
      <w:tcPr>
        <w:shd w:val="clear" w:color="D5E5F4" w:themeColor="accent1" w:themeTint="40" w:fill="D5E5F4" w:themeFill="accent1" w:themeFillTint="40"/>
      </w:tcPr>
    </w:tblStylePr>
  </w:style>
  <w:style w:type="table" w:customStyle="1" w:styleId="163">
    <w:name w:val="List Table 1 Light - Accent 2"/>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ED7D31" w:themeColor="accent2" w:sz="4" w:space="0"/>
          <w:right w:val="nil"/>
        </w:tcBorders>
      </w:tcPr>
    </w:tblStylePr>
    <w:tblStylePr w:type="lastRow">
      <w:rPr>
        <w:b/>
        <w:color w:val="404040"/>
      </w:rPr>
      <w:tcPr>
        <w:tcBorders>
          <w:top w:val="single" w:color="ED7D31"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ECB" w:themeColor="accent2" w:themeTint="40" w:fill="FADECB" w:themeFill="accent2" w:themeFillTint="40"/>
      </w:tcPr>
    </w:tblStylePr>
    <w:tblStylePr w:type="band1Horz">
      <w:tcPr>
        <w:shd w:val="clear" w:color="FADECB" w:themeColor="accent2" w:themeTint="40" w:fill="FADECB" w:themeFill="accent2" w:themeFillTint="40"/>
      </w:tcPr>
    </w:tblStylePr>
  </w:style>
  <w:style w:type="table" w:customStyle="1" w:styleId="164">
    <w:name w:val="List Table 1 Light - Accent 3"/>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A5A5A5" w:themeColor="accent3" w:sz="4" w:space="0"/>
          <w:right w:val="nil"/>
        </w:tcBorders>
      </w:tcPr>
    </w:tblStylePr>
    <w:tblStylePr w:type="lastRow">
      <w:rPr>
        <w:b/>
        <w:color w:val="404040"/>
      </w:rPr>
      <w:tcPr>
        <w:tcBorders>
          <w:top w:val="single" w:color="A5A5A5"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8E8E8" w:themeColor="accent3" w:themeTint="40" w:fill="E8E8E8" w:themeFill="accent3" w:themeFillTint="40"/>
      </w:tcPr>
    </w:tblStylePr>
    <w:tblStylePr w:type="band1Horz">
      <w:tcPr>
        <w:shd w:val="clear" w:color="E8E8E8" w:themeColor="accent3" w:themeTint="40" w:fill="E8E8E8" w:themeFill="accent3" w:themeFillTint="40"/>
      </w:tcPr>
    </w:tblStylePr>
  </w:style>
  <w:style w:type="table" w:customStyle="1" w:styleId="165">
    <w:name w:val="List Table 1 Light - Accent 4"/>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FFC000" w:themeColor="accent4" w:sz="4" w:space="0"/>
          <w:right w:val="nil"/>
        </w:tcBorders>
      </w:tcPr>
    </w:tblStylePr>
    <w:tblStylePr w:type="lastRow">
      <w:rPr>
        <w:b/>
        <w:color w:val="404040"/>
      </w:rPr>
      <w:tcPr>
        <w:tcBorders>
          <w:top w:val="single" w:color="FFC000"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FEFBE" w:themeColor="accent4" w:themeTint="40" w:fill="FFEFBE" w:themeFill="accent4" w:themeFillTint="40"/>
      </w:tcPr>
    </w:tblStylePr>
    <w:tblStylePr w:type="band1Horz">
      <w:tcPr>
        <w:shd w:val="clear" w:color="FFEFBE" w:themeColor="accent4" w:themeTint="40" w:fill="FFEFBE" w:themeFill="accent4" w:themeFillTint="40"/>
      </w:tcPr>
    </w:tblStylePr>
  </w:style>
  <w:style w:type="table" w:customStyle="1" w:styleId="166">
    <w:name w:val="List Table 1 Light - Accent 5"/>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4472C4" w:themeColor="accent5" w:sz="4" w:space="0"/>
          <w:right w:val="nil"/>
        </w:tcBorders>
      </w:tcPr>
    </w:tblStylePr>
    <w:tblStylePr w:type="lastRow">
      <w:rPr>
        <w:b/>
        <w:color w:val="404040"/>
      </w:rPr>
      <w:tcPr>
        <w:tcBorders>
          <w:top w:val="single" w:color="4472C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0DBF0" w:themeColor="accent5" w:themeTint="40" w:fill="D0DBF0" w:themeFill="accent5" w:themeFillTint="40"/>
      </w:tcPr>
    </w:tblStylePr>
    <w:tblStylePr w:type="band1Horz">
      <w:tcPr>
        <w:shd w:val="clear" w:color="D0DBF0" w:themeColor="accent5" w:themeTint="40" w:fill="D0DBF0" w:themeFill="accent5" w:themeFillTint="40"/>
      </w:tcPr>
    </w:tblStylePr>
  </w:style>
  <w:style w:type="table" w:customStyle="1" w:styleId="167">
    <w:name w:val="List Table 1 Light - Accent 6"/>
    <w:basedOn w:val="42"/>
    <w:qFormat/>
    <w:uiPriority w:val="99"/>
    <w:tblPr>
      <w:tblCellMar>
        <w:top w:w="0" w:type="dxa"/>
        <w:left w:w="108" w:type="dxa"/>
        <w:bottom w:w="0" w:type="dxa"/>
        <w:right w:w="108" w:type="dxa"/>
      </w:tblCellMar>
    </w:tblPr>
    <w:tblStylePr w:type="firstRow">
      <w:rPr>
        <w:b/>
        <w:color w:val="404040"/>
      </w:rPr>
      <w:tcPr>
        <w:tcBorders>
          <w:top w:val="nil"/>
          <w:left w:val="nil"/>
          <w:bottom w:val="single" w:color="70AD47" w:themeColor="accent6" w:sz="4" w:space="0"/>
          <w:right w:val="nil"/>
        </w:tcBorders>
      </w:tcPr>
    </w:tblStylePr>
    <w:tblStylePr w:type="lastRow">
      <w:rPr>
        <w:b/>
        <w:color w:val="404040"/>
      </w:rPr>
      <w:tcPr>
        <w:tcBorders>
          <w:top w:val="single" w:color="70AD47"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AEBCF" w:themeColor="accent6" w:themeTint="40" w:fill="DAEBCF" w:themeFill="accent6" w:themeFillTint="40"/>
      </w:tcPr>
    </w:tblStylePr>
    <w:tblStylePr w:type="band1Horz">
      <w:tcPr>
        <w:shd w:val="clear" w:color="DAEBCF" w:themeColor="accent6" w:themeTint="40" w:fill="DAEBCF" w:themeFill="accent6" w:themeFillTint="40"/>
      </w:tcPr>
    </w:tblStylePr>
  </w:style>
  <w:style w:type="table" w:customStyle="1" w:styleId="168">
    <w:name w:val="List Table 2"/>
    <w:basedOn w:val="42"/>
    <w:qFormat/>
    <w:uiPriority w:val="99"/>
    <w:tblPr>
      <w:tblBorders>
        <w:top w:val="single" w:color="6E6E6E" w:themeColor="text1" w:themeTint="90" w:sz="4" w:space="0"/>
        <w:bottom w:val="single" w:color="6E6E6E" w:themeColor="text1" w:themeTint="90" w:sz="4" w:space="0"/>
        <w:insideH w:val="single" w:color="6E6E6E" w:themeColor="tex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69">
    <w:name w:val="List Table 2 - Accent 1"/>
    <w:basedOn w:val="42"/>
    <w:qFormat/>
    <w:uiPriority w:val="99"/>
    <w:tblPr>
      <w:tblBorders>
        <w:top w:val="single" w:color="A2C6E7" w:themeColor="accent1" w:themeTint="90" w:sz="4" w:space="0"/>
        <w:bottom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lastRow">
      <w:rPr>
        <w:rFonts w:ascii="Arial" w:hAnsi="Arial"/>
        <w:b/>
        <w:color w:val="404040"/>
        <w:sz w:val="22"/>
      </w:rPr>
      <w:tcPr>
        <w:tcBorders>
          <w:top w:val="single" w:color="A2C6E7" w:themeColor="accent1" w:themeTint="90" w:sz="4" w:space="0"/>
          <w:left w:val="nil"/>
          <w:bottom w:val="single" w:color="A2C6E7"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70">
    <w:name w:val="List Table 2 - Accent 2"/>
    <w:basedOn w:val="42"/>
    <w:qFormat/>
    <w:uiPriority w:val="99"/>
    <w:tblPr>
      <w:tblBorders>
        <w:top w:val="single" w:color="F4B58A" w:themeColor="accent2" w:themeTint="90" w:sz="4" w:space="0"/>
        <w:bottom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lastRow">
      <w:rPr>
        <w:rFonts w:ascii="Arial" w:hAnsi="Arial"/>
        <w:b/>
        <w:color w:val="404040"/>
        <w:sz w:val="22"/>
      </w:rPr>
      <w:tcPr>
        <w:tcBorders>
          <w:top w:val="single" w:color="F4B58A" w:themeColor="accent2" w:themeTint="90" w:sz="4" w:space="0"/>
          <w:left w:val="nil"/>
          <w:bottom w:val="single" w:color="F4B58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71">
    <w:name w:val="List Table 2 - Accent 3"/>
    <w:basedOn w:val="42"/>
    <w:qFormat/>
    <w:uiPriority w:val="99"/>
    <w:tblPr>
      <w:tblBorders>
        <w:top w:val="single" w:color="CCCCCC" w:themeColor="accent3" w:themeTint="90" w:sz="4" w:space="0"/>
        <w:bottom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lastRow">
      <w:rPr>
        <w:rFonts w:ascii="Arial" w:hAnsi="Arial"/>
        <w:b/>
        <w:color w:val="404040"/>
        <w:sz w:val="22"/>
      </w:rPr>
      <w:tcPr>
        <w:tcBorders>
          <w:top w:val="single" w:color="CCCCCC" w:themeColor="accent3" w:themeTint="90" w:sz="4" w:space="0"/>
          <w:left w:val="nil"/>
          <w:bottom w:val="single" w:color="CCCCCC"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72">
    <w:name w:val="List Table 2 - Accent 4"/>
    <w:basedOn w:val="42"/>
    <w:qFormat/>
    <w:uiPriority w:val="99"/>
    <w:tblPr>
      <w:tblBorders>
        <w:top w:val="single" w:color="FFDB6E" w:themeColor="accent4" w:themeTint="90" w:sz="4" w:space="0"/>
        <w:bottom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lastRow">
      <w:rPr>
        <w:rFonts w:ascii="Arial" w:hAnsi="Arial"/>
        <w:b/>
        <w:color w:val="404040"/>
        <w:sz w:val="22"/>
      </w:rPr>
      <w:tcPr>
        <w:tcBorders>
          <w:top w:val="single" w:color="FFDB6E" w:themeColor="accent4" w:themeTint="90" w:sz="4" w:space="0"/>
          <w:left w:val="nil"/>
          <w:bottom w:val="single" w:color="FFDB6E"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73">
    <w:name w:val="List Table 2 - Accent 5"/>
    <w:basedOn w:val="42"/>
    <w:qFormat/>
    <w:uiPriority w:val="99"/>
    <w:tblPr>
      <w:tblBorders>
        <w:top w:val="single" w:color="95AFDD" w:themeColor="accent5" w:themeTint="90" w:sz="4" w:space="0"/>
        <w:bottom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lastRow">
      <w:rPr>
        <w:rFonts w:ascii="Arial" w:hAnsi="Arial"/>
        <w:b/>
        <w:color w:val="404040"/>
        <w:sz w:val="22"/>
      </w:rPr>
      <w:tcPr>
        <w:tcBorders>
          <w:top w:val="single" w:color="95AFDD" w:themeColor="accent5" w:themeTint="90" w:sz="4" w:space="0"/>
          <w:left w:val="nil"/>
          <w:bottom w:val="single" w:color="95AFDD"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74">
    <w:name w:val="List Table 2 - Accent 6"/>
    <w:basedOn w:val="42"/>
    <w:qFormat/>
    <w:uiPriority w:val="99"/>
    <w:tblPr>
      <w:tblBorders>
        <w:top w:val="single" w:color="ADD394" w:themeColor="accent6" w:themeTint="90" w:sz="4" w:space="0"/>
        <w:bottom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lastRow">
      <w:rPr>
        <w:rFonts w:ascii="Arial" w:hAnsi="Arial"/>
        <w:b/>
        <w:color w:val="404040"/>
        <w:sz w:val="22"/>
      </w:rPr>
      <w:tcPr>
        <w:tcBorders>
          <w:top w:val="single" w:color="ADD394" w:themeColor="accent6" w:themeTint="90" w:sz="4" w:space="0"/>
          <w:left w:val="nil"/>
          <w:bottom w:val="single" w:color="ADD39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75">
    <w:name w:val="List Table 3"/>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1Horz">
      <w:rPr>
        <w:rFonts w:ascii="Arial" w:hAnsi="Arial"/>
        <w:color w:val="404040"/>
        <w:sz w:val="22"/>
      </w:rPr>
      <w:tcPr>
        <w:tcBorders>
          <w:top w:val="single" w:color="000000" w:themeColor="text1" w:sz="4" w:space="0"/>
          <w:bottom w:val="single" w:color="000000" w:themeColor="text1" w:sz="4" w:space="0"/>
        </w:tcBorders>
      </w:tcPr>
    </w:tblStylePr>
  </w:style>
  <w:style w:type="table" w:customStyle="1" w:styleId="176">
    <w:name w:val="List Table 3 - Accent 1"/>
    <w:basedOn w:val="42"/>
    <w:qFormat/>
    <w:uiPriority w:val="99"/>
    <w:tblPr>
      <w:tblBorders>
        <w:top w:val="single" w:color="5B9BD5" w:themeColor="accent1" w:sz="4" w:space="0"/>
        <w:left w:val="single" w:color="5B9BD5" w:themeColor="accent1" w:sz="4" w:space="0"/>
        <w:bottom w:val="single" w:color="5B9BD5" w:themeColor="accent1" w:sz="4" w:space="0"/>
        <w:right w:val="single" w:color="5B9BD5" w:themeColor="accent1"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5B9BD5" w:themeColor="accent1" w:sz="4" w:space="0"/>
          <w:right w:val="single" w:color="5B9BD5" w:themeColor="accent1" w:sz="4" w:space="0"/>
        </w:tcBorders>
      </w:tcPr>
    </w:tblStylePr>
    <w:tblStylePr w:type="band1Horz">
      <w:rPr>
        <w:rFonts w:ascii="Arial" w:hAnsi="Arial"/>
        <w:color w:val="404040"/>
        <w:sz w:val="22"/>
      </w:rPr>
      <w:tcPr>
        <w:tcBorders>
          <w:top w:val="single" w:color="5B9BD5" w:themeColor="accent1" w:sz="4" w:space="0"/>
          <w:bottom w:val="single" w:color="5B9BD5" w:themeColor="accent1" w:sz="4" w:space="0"/>
        </w:tcBorders>
      </w:tcPr>
    </w:tblStylePr>
  </w:style>
  <w:style w:type="table" w:customStyle="1" w:styleId="177">
    <w:name w:val="List Table 3 - Accent 2"/>
    <w:basedOn w:val="42"/>
    <w:qFormat/>
    <w:uiPriority w:val="99"/>
    <w:tblPr>
      <w:tblBorders>
        <w:top w:val="single" w:color="F4B285" w:themeColor="accent2" w:themeTint="97" w:sz="4" w:space="0"/>
        <w:left w:val="single" w:color="F4B285" w:themeColor="accent2" w:themeTint="97" w:sz="4" w:space="0"/>
        <w:bottom w:val="single" w:color="F4B285" w:themeColor="accent2" w:themeTint="97" w:sz="4" w:space="0"/>
        <w:right w:val="single" w:color="F4B285" w:themeColor="accent2" w:themeTint="97" w:sz="4" w:space="0"/>
      </w:tblBorders>
      <w:tblCellMar>
        <w:top w:w="0" w:type="dxa"/>
        <w:left w:w="108" w:type="dxa"/>
        <w:bottom w:w="0" w:type="dxa"/>
        <w:right w:w="108" w:type="dxa"/>
      </w:tblCellMar>
    </w:tblPr>
    <w:tblStylePr w:type="firstRow">
      <w:rPr>
        <w:rFonts w:ascii="Arial" w:hAnsi="Arial"/>
        <w:b/>
        <w:color w:val="FFFFFF"/>
        <w:sz w:val="22"/>
      </w:rPr>
      <w:tcPr>
        <w:shd w:val="clear" w:color="F4B285" w:themeColor="accent2" w:themeTint="97" w:fill="F4B28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285" w:themeColor="accent2" w:themeTint="97" w:sz="4" w:space="0"/>
          <w:right w:val="single" w:color="F4B285" w:themeColor="accent2" w:themeTint="97" w:sz="4" w:space="0"/>
        </w:tcBorders>
      </w:tcPr>
    </w:tblStylePr>
    <w:tblStylePr w:type="band1Horz">
      <w:rPr>
        <w:rFonts w:ascii="Arial" w:hAnsi="Arial"/>
        <w:color w:val="404040"/>
        <w:sz w:val="22"/>
      </w:rPr>
      <w:tcPr>
        <w:tcBorders>
          <w:top w:val="single" w:color="F4B285" w:themeColor="accent2" w:themeTint="97" w:sz="4" w:space="0"/>
          <w:bottom w:val="single" w:color="F4B285" w:themeColor="accent2" w:themeTint="97" w:sz="4" w:space="0"/>
        </w:tcBorders>
      </w:tcPr>
    </w:tblStylePr>
  </w:style>
  <w:style w:type="table" w:customStyle="1" w:styleId="178">
    <w:name w:val="List Table 3 - Accent 3"/>
    <w:basedOn w:val="42"/>
    <w:qFormat/>
    <w:uiPriority w:val="99"/>
    <w:tblPr>
      <w:tblBorders>
        <w:top w:val="single" w:color="C9C9C9" w:themeColor="accent3" w:themeTint="98" w:sz="4" w:space="0"/>
        <w:left w:val="single" w:color="C9C9C9" w:themeColor="accent3" w:themeTint="98" w:sz="4" w:space="0"/>
        <w:bottom w:val="single" w:color="C9C9C9" w:themeColor="accent3" w:themeTint="98" w:sz="4" w:space="0"/>
        <w:right w:val="single" w:color="C9C9C9" w:themeColor="accent3" w:themeTint="98" w:sz="4" w:space="0"/>
      </w:tblBorders>
      <w:tblCellMar>
        <w:top w:w="0" w:type="dxa"/>
        <w:left w:w="108" w:type="dxa"/>
        <w:bottom w:w="0" w:type="dxa"/>
        <w:right w:w="108" w:type="dxa"/>
      </w:tblCellMar>
    </w:tblPr>
    <w:tblStylePr w:type="firstRow">
      <w:rPr>
        <w:rFonts w:ascii="Arial" w:hAnsi="Arial"/>
        <w:b/>
        <w:color w:val="FFFFFF"/>
        <w:sz w:val="22"/>
      </w:r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9C9C9" w:themeColor="accent3" w:themeTint="98" w:sz="4" w:space="0"/>
          <w:right w:val="single" w:color="C9C9C9" w:themeColor="accent3" w:themeTint="98" w:sz="4" w:space="0"/>
        </w:tcBorders>
      </w:tcPr>
    </w:tblStylePr>
    <w:tblStylePr w:type="band1Horz">
      <w:rPr>
        <w:rFonts w:ascii="Arial" w:hAnsi="Arial"/>
        <w:color w:val="404040"/>
        <w:sz w:val="22"/>
      </w:rPr>
      <w:tcPr>
        <w:tcBorders>
          <w:top w:val="single" w:color="C9C9C9" w:themeColor="accent3" w:themeTint="98" w:sz="4" w:space="0"/>
          <w:bottom w:val="single" w:color="C9C9C9" w:themeColor="accent3" w:themeTint="98" w:sz="4" w:space="0"/>
        </w:tcBorders>
      </w:tcPr>
    </w:tblStylePr>
  </w:style>
  <w:style w:type="table" w:customStyle="1" w:styleId="179">
    <w:name w:val="List Table 3 - Accent 4"/>
    <w:basedOn w:val="42"/>
    <w:qFormat/>
    <w:uiPriority w:val="99"/>
    <w:tblPr>
      <w:tblBorders>
        <w:top w:val="single" w:color="FFD864" w:themeColor="accent4" w:themeTint="9A" w:sz="4" w:space="0"/>
        <w:left w:val="single" w:color="FFD864" w:themeColor="accent4" w:themeTint="9A" w:sz="4" w:space="0"/>
        <w:bottom w:val="single" w:color="FFD864" w:themeColor="accent4" w:themeTint="9A" w:sz="4" w:space="0"/>
        <w:right w:val="single" w:color="FFD864" w:themeColor="accent4" w:themeTint="9A" w:sz="4" w:space="0"/>
      </w:tblBorders>
      <w:tblCellMar>
        <w:top w:w="0" w:type="dxa"/>
        <w:left w:w="108" w:type="dxa"/>
        <w:bottom w:w="0" w:type="dxa"/>
        <w:right w:w="108" w:type="dxa"/>
      </w:tblCellMar>
    </w:tblPr>
    <w:tblStylePr w:type="firstRow">
      <w:rPr>
        <w:rFonts w:ascii="Arial" w:hAnsi="Arial"/>
        <w:b/>
        <w:color w:val="FFFFFF"/>
        <w:sz w:val="22"/>
      </w:rPr>
      <w:tcPr>
        <w:shd w:val="clear" w:color="FFD864" w:themeColor="accent4" w:themeTint="9A" w:fill="FFD864"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FD864" w:themeColor="accent4" w:themeTint="9A" w:sz="4" w:space="0"/>
          <w:right w:val="single" w:color="FFD864" w:themeColor="accent4" w:themeTint="9A" w:sz="4" w:space="0"/>
        </w:tcBorders>
      </w:tcPr>
    </w:tblStylePr>
    <w:tblStylePr w:type="band1Horz">
      <w:rPr>
        <w:rFonts w:ascii="Arial" w:hAnsi="Arial"/>
        <w:color w:val="404040"/>
        <w:sz w:val="22"/>
      </w:rPr>
      <w:tcPr>
        <w:tcBorders>
          <w:top w:val="single" w:color="FFD864" w:themeColor="accent4" w:themeTint="9A" w:sz="4" w:space="0"/>
          <w:bottom w:val="single" w:color="FFD864" w:themeColor="accent4" w:themeTint="9A" w:sz="4" w:space="0"/>
        </w:tcBorders>
      </w:tcPr>
    </w:tblStylePr>
  </w:style>
  <w:style w:type="table" w:customStyle="1" w:styleId="180">
    <w:name w:val="List Table 3 - Accent 5"/>
    <w:basedOn w:val="42"/>
    <w:qFormat/>
    <w:uiPriority w:val="99"/>
    <w:tblPr>
      <w:tblBorders>
        <w:top w:val="single" w:color="8EA9DB" w:themeColor="accent5" w:themeTint="9A" w:sz="4" w:space="0"/>
        <w:left w:val="single" w:color="8EA9DB" w:themeColor="accent5" w:themeTint="9A" w:sz="4" w:space="0"/>
        <w:bottom w:val="single" w:color="8EA9DB" w:themeColor="accent5" w:themeTint="9A" w:sz="4" w:space="0"/>
        <w:right w:val="single" w:color="8EA9DB" w:themeColor="accent5" w:themeTint="9A" w:sz="4" w:space="0"/>
      </w:tblBorders>
      <w:tblCellMar>
        <w:top w:w="0" w:type="dxa"/>
        <w:left w:w="108" w:type="dxa"/>
        <w:bottom w:w="0" w:type="dxa"/>
        <w:right w:w="108" w:type="dxa"/>
      </w:tblCellMar>
    </w:tblPr>
    <w:tblStylePr w:type="firstRow">
      <w:rPr>
        <w:rFonts w:ascii="Arial" w:hAnsi="Arial"/>
        <w:b/>
        <w:color w:val="FFFFFF"/>
        <w:sz w:val="22"/>
      </w:rPr>
      <w:tcPr>
        <w:shd w:val="clear" w:color="8EA9DB" w:themeColor="accent5" w:themeTint="9A" w:fill="8E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8EA9DB" w:themeColor="accent5" w:themeTint="9A" w:sz="4" w:space="0"/>
          <w:right w:val="single" w:color="8EA9DB" w:themeColor="accent5" w:themeTint="9A" w:sz="4" w:space="0"/>
        </w:tcBorders>
      </w:tcPr>
    </w:tblStylePr>
    <w:tblStylePr w:type="band1Horz">
      <w:rPr>
        <w:rFonts w:ascii="Arial" w:hAnsi="Arial"/>
        <w:color w:val="404040"/>
        <w:sz w:val="22"/>
      </w:rPr>
      <w:tcPr>
        <w:tcBorders>
          <w:top w:val="single" w:color="8EA9DB" w:themeColor="accent5" w:themeTint="9A" w:sz="4" w:space="0"/>
          <w:bottom w:val="single" w:color="8EA9DB" w:themeColor="accent5" w:themeTint="9A" w:sz="4" w:space="0"/>
        </w:tcBorders>
      </w:tcPr>
    </w:tblStylePr>
  </w:style>
  <w:style w:type="table" w:customStyle="1" w:styleId="181">
    <w:name w:val="List Table 3 - Accent 6"/>
    <w:basedOn w:val="42"/>
    <w:qFormat/>
    <w:uiPriority w:val="99"/>
    <w:tblPr>
      <w:tblBorders>
        <w:top w:val="single" w:color="A9D08E" w:themeColor="accent6" w:themeTint="98" w:sz="4" w:space="0"/>
        <w:left w:val="single" w:color="A9D08E" w:themeColor="accent6" w:themeTint="98" w:sz="4" w:space="0"/>
        <w:bottom w:val="single" w:color="A9D08E" w:themeColor="accent6" w:themeTint="98" w:sz="4" w:space="0"/>
        <w:right w:val="single" w:color="A9D08E" w:themeColor="accent6" w:themeTint="98" w:sz="4" w:space="0"/>
      </w:tblBorders>
      <w:tblCellMar>
        <w:top w:w="0" w:type="dxa"/>
        <w:left w:w="108" w:type="dxa"/>
        <w:bottom w:w="0" w:type="dxa"/>
        <w:right w:w="108" w:type="dxa"/>
      </w:tblCellMar>
    </w:tblPr>
    <w:tblStylePr w:type="firstRow">
      <w:rPr>
        <w:rFonts w:ascii="Arial" w:hAnsi="Arial"/>
        <w:b/>
        <w:color w:val="FFFFFF"/>
        <w:sz w:val="22"/>
      </w:r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9D08E" w:themeColor="accent6" w:themeTint="98" w:sz="4" w:space="0"/>
          <w:right w:val="single" w:color="A9D08E" w:themeColor="accent6" w:themeTint="98" w:sz="4" w:space="0"/>
        </w:tcBorders>
      </w:tcPr>
    </w:tblStylePr>
    <w:tblStylePr w:type="band1Horz">
      <w:rPr>
        <w:rFonts w:ascii="Arial" w:hAnsi="Arial"/>
        <w:color w:val="404040"/>
        <w:sz w:val="22"/>
      </w:rPr>
      <w:tcPr>
        <w:tcBorders>
          <w:top w:val="single" w:color="A9D08E" w:themeColor="accent6" w:themeTint="98" w:sz="4" w:space="0"/>
          <w:bottom w:val="single" w:color="A9D08E" w:themeColor="accent6" w:themeTint="98" w:sz="4" w:space="0"/>
        </w:tcBorders>
      </w:tcPr>
    </w:tblStylePr>
  </w:style>
  <w:style w:type="table" w:customStyle="1" w:styleId="182">
    <w:name w:val="List Table 4"/>
    <w:basedOn w:val="42"/>
    <w:qFormat/>
    <w:uiPriority w:val="9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CellMar>
        <w:top w:w="0" w:type="dxa"/>
        <w:left w:w="108" w:type="dxa"/>
        <w:bottom w:w="0" w:type="dxa"/>
        <w:right w:w="108" w:type="dxa"/>
      </w:tblCellMar>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1Horz">
      <w:rPr>
        <w:rFonts w:ascii="Arial" w:hAnsi="Arial"/>
        <w:color w:val="404040"/>
        <w:sz w:val="22"/>
      </w:rPr>
      <w:tcPr>
        <w:shd w:val="clear" w:color="BEBEBE" w:themeColor="text1" w:themeTint="40" w:fill="BEBEBE" w:themeFill="text1" w:themeFillTint="40"/>
      </w:tcPr>
    </w:tblStylePr>
  </w:style>
  <w:style w:type="table" w:customStyle="1" w:styleId="183">
    <w:name w:val="List Table 4 - Accent 1"/>
    <w:basedOn w:val="42"/>
    <w:qFormat/>
    <w:uiPriority w:val="99"/>
    <w:tblPr>
      <w:tblBorders>
        <w:top w:val="single" w:color="A2C6E7" w:themeColor="accent1" w:themeTint="90" w:sz="4" w:space="0"/>
        <w:left w:val="single" w:color="A2C6E7" w:themeColor="accent1" w:themeTint="90" w:sz="4" w:space="0"/>
        <w:bottom w:val="single" w:color="A2C6E7" w:themeColor="accent1" w:themeTint="90" w:sz="4" w:space="0"/>
        <w:right w:val="single" w:color="A2C6E7" w:themeColor="accent1" w:themeTint="90" w:sz="4" w:space="0"/>
        <w:insideH w:val="single" w:color="A2C6E7" w:themeColor="accent1" w:themeTint="90" w:sz="4" w:space="0"/>
      </w:tblBorders>
      <w:tblCellMar>
        <w:top w:w="0" w:type="dxa"/>
        <w:left w:w="108" w:type="dxa"/>
        <w:bottom w:w="0" w:type="dxa"/>
        <w:right w:w="108" w:type="dxa"/>
      </w:tblCellMar>
    </w:tblPr>
    <w:tblStylePr w:type="firstRow">
      <w:rPr>
        <w:rFonts w:ascii="Arial" w:hAnsi="Arial"/>
        <w:b/>
        <w:color w:val="FFFFFF"/>
        <w:sz w:val="22"/>
      </w:r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5E5F4" w:themeColor="accent1" w:themeTint="40" w:fill="D5E5F4" w:themeFill="accent1" w:themeFillTint="40"/>
      </w:tcPr>
    </w:tblStylePr>
    <w:tblStylePr w:type="band1Horz">
      <w:rPr>
        <w:rFonts w:ascii="Arial" w:hAnsi="Arial"/>
        <w:color w:val="404040"/>
        <w:sz w:val="22"/>
      </w:rPr>
      <w:tcPr>
        <w:shd w:val="clear" w:color="D5E5F4" w:themeColor="accent1" w:themeTint="40" w:fill="D5E5F4" w:themeFill="accent1" w:themeFillTint="40"/>
      </w:tcPr>
    </w:tblStylePr>
  </w:style>
  <w:style w:type="table" w:customStyle="1" w:styleId="184">
    <w:name w:val="List Table 4 - Accent 2"/>
    <w:basedOn w:val="42"/>
    <w:qFormat/>
    <w:uiPriority w:val="99"/>
    <w:tblPr>
      <w:tblBorders>
        <w:top w:val="single" w:color="F4B58A" w:themeColor="accent2" w:themeTint="90" w:sz="4" w:space="0"/>
        <w:left w:val="single" w:color="F4B58A" w:themeColor="accent2" w:themeTint="90" w:sz="4" w:space="0"/>
        <w:bottom w:val="single" w:color="F4B58A" w:themeColor="accent2" w:themeTint="90" w:sz="4" w:space="0"/>
        <w:right w:val="single" w:color="F4B58A" w:themeColor="accent2" w:themeTint="90" w:sz="4" w:space="0"/>
        <w:insideH w:val="single" w:color="F4B58A" w:themeColor="accent2" w:themeTint="90" w:sz="4" w:space="0"/>
      </w:tblBorders>
      <w:tblCellMar>
        <w:top w:w="0" w:type="dxa"/>
        <w:left w:w="108" w:type="dxa"/>
        <w:bottom w:w="0" w:type="dxa"/>
        <w:right w:w="108" w:type="dxa"/>
      </w:tblCellMar>
    </w:tblPr>
    <w:tblStylePr w:type="firstRow">
      <w:rPr>
        <w:rFonts w:ascii="Arial" w:hAnsi="Arial"/>
        <w:b/>
        <w:color w:val="FFFFFF"/>
        <w:sz w:val="22"/>
      </w:r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ECB" w:themeColor="accent2" w:themeTint="40" w:fill="FADECB" w:themeFill="accent2" w:themeFillTint="40"/>
      </w:tcPr>
    </w:tblStylePr>
    <w:tblStylePr w:type="band1Horz">
      <w:rPr>
        <w:rFonts w:ascii="Arial" w:hAnsi="Arial"/>
        <w:color w:val="404040"/>
        <w:sz w:val="22"/>
      </w:rPr>
      <w:tcPr>
        <w:shd w:val="clear" w:color="FADECB" w:themeColor="accent2" w:themeTint="40" w:fill="FADECB" w:themeFill="accent2" w:themeFillTint="40"/>
      </w:tcPr>
    </w:tblStylePr>
  </w:style>
  <w:style w:type="table" w:customStyle="1" w:styleId="185">
    <w:name w:val="List Table 4 - Accent 3"/>
    <w:basedOn w:val="42"/>
    <w:qFormat/>
    <w:uiPriority w:val="99"/>
    <w:tblPr>
      <w:tblBorders>
        <w:top w:val="single" w:color="CCCCCC" w:themeColor="accent3" w:themeTint="90" w:sz="4" w:space="0"/>
        <w:left w:val="single" w:color="CCCCCC" w:themeColor="accent3" w:themeTint="90" w:sz="4" w:space="0"/>
        <w:bottom w:val="single" w:color="CCCCCC" w:themeColor="accent3" w:themeTint="90" w:sz="4" w:space="0"/>
        <w:right w:val="single" w:color="CCCCCC" w:themeColor="accent3" w:themeTint="90" w:sz="4" w:space="0"/>
        <w:insideH w:val="single" w:color="CCCCCC" w:themeColor="accent3" w:themeTint="90" w:sz="4" w:space="0"/>
      </w:tblBorders>
      <w:tblCellMar>
        <w:top w:w="0" w:type="dxa"/>
        <w:left w:w="108" w:type="dxa"/>
        <w:bottom w:w="0" w:type="dxa"/>
        <w:right w:w="108" w:type="dxa"/>
      </w:tblCellMar>
    </w:tblPr>
    <w:tblStylePr w:type="firstRow">
      <w:rPr>
        <w:rFonts w:ascii="Arial" w:hAnsi="Arial"/>
        <w:b/>
        <w:color w:val="FFFFFF"/>
        <w:sz w:val="22"/>
      </w:r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8E8E8" w:themeColor="accent3" w:themeTint="40" w:fill="E8E8E8" w:themeFill="accent3" w:themeFillTint="40"/>
      </w:tcPr>
    </w:tblStylePr>
    <w:tblStylePr w:type="band1Horz">
      <w:rPr>
        <w:rFonts w:ascii="Arial" w:hAnsi="Arial"/>
        <w:color w:val="404040"/>
        <w:sz w:val="22"/>
      </w:rPr>
      <w:tcPr>
        <w:shd w:val="clear" w:color="E8E8E8" w:themeColor="accent3" w:themeTint="40" w:fill="E8E8E8" w:themeFill="accent3" w:themeFillTint="40"/>
      </w:tcPr>
    </w:tblStylePr>
  </w:style>
  <w:style w:type="table" w:customStyle="1" w:styleId="186">
    <w:name w:val="List Table 4 - Accent 4"/>
    <w:basedOn w:val="42"/>
    <w:qFormat/>
    <w:uiPriority w:val="99"/>
    <w:tblPr>
      <w:tblBorders>
        <w:top w:val="single" w:color="FFDB6E" w:themeColor="accent4" w:themeTint="90" w:sz="4" w:space="0"/>
        <w:left w:val="single" w:color="FFDB6E" w:themeColor="accent4" w:themeTint="90" w:sz="4" w:space="0"/>
        <w:bottom w:val="single" w:color="FFDB6E" w:themeColor="accent4" w:themeTint="90" w:sz="4" w:space="0"/>
        <w:right w:val="single" w:color="FFDB6E" w:themeColor="accent4" w:themeTint="90" w:sz="4" w:space="0"/>
        <w:insideH w:val="single" w:color="FFDB6E" w:themeColor="accent4" w:themeTint="90" w:sz="4" w:space="0"/>
      </w:tblBorders>
      <w:tblCellMar>
        <w:top w:w="0" w:type="dxa"/>
        <w:left w:w="108" w:type="dxa"/>
        <w:bottom w:w="0" w:type="dxa"/>
        <w:right w:w="108" w:type="dxa"/>
      </w:tblCellMar>
    </w:tblPr>
    <w:tblStylePr w:type="firstRow">
      <w:rPr>
        <w:rFonts w:ascii="Arial" w:hAnsi="Arial"/>
        <w:b/>
        <w:color w:val="FFFFFF"/>
        <w:sz w:val="22"/>
      </w:r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FEFBE" w:themeColor="accent4" w:themeTint="40" w:fill="FFEFBE" w:themeFill="accent4" w:themeFillTint="40"/>
      </w:tcPr>
    </w:tblStylePr>
    <w:tblStylePr w:type="band1Horz">
      <w:rPr>
        <w:rFonts w:ascii="Arial" w:hAnsi="Arial"/>
        <w:color w:val="404040"/>
        <w:sz w:val="22"/>
      </w:rPr>
      <w:tcPr>
        <w:shd w:val="clear" w:color="FFEFBE" w:themeColor="accent4" w:themeTint="40" w:fill="FFEFBE" w:themeFill="accent4" w:themeFillTint="40"/>
      </w:tcPr>
    </w:tblStylePr>
  </w:style>
  <w:style w:type="table" w:customStyle="1" w:styleId="187">
    <w:name w:val="List Table 4 - Accent 5"/>
    <w:basedOn w:val="42"/>
    <w:qFormat/>
    <w:uiPriority w:val="99"/>
    <w:tblPr>
      <w:tblBorders>
        <w:top w:val="single" w:color="95AFDD" w:themeColor="accent5" w:themeTint="90" w:sz="4" w:space="0"/>
        <w:left w:val="single" w:color="95AFDD" w:themeColor="accent5" w:themeTint="90" w:sz="4" w:space="0"/>
        <w:bottom w:val="single" w:color="95AFDD" w:themeColor="accent5" w:themeTint="90" w:sz="4" w:space="0"/>
        <w:right w:val="single" w:color="95AFDD" w:themeColor="accent5" w:themeTint="90" w:sz="4" w:space="0"/>
        <w:insideH w:val="single" w:color="95AFDD" w:themeColor="accent5" w:themeTint="90" w:sz="4" w:space="0"/>
      </w:tblBorders>
      <w:tblCellMar>
        <w:top w:w="0" w:type="dxa"/>
        <w:left w:w="108" w:type="dxa"/>
        <w:bottom w:w="0" w:type="dxa"/>
        <w:right w:w="108" w:type="dxa"/>
      </w:tblCellMar>
    </w:tblPr>
    <w:tblStylePr w:type="firstRow">
      <w:rPr>
        <w:rFonts w:ascii="Arial" w:hAnsi="Arial"/>
        <w:b/>
        <w:color w:val="FFFFFF"/>
        <w:sz w:val="22"/>
      </w:r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0DBF0" w:themeColor="accent5" w:themeTint="40" w:fill="D0DBF0" w:themeFill="accent5" w:themeFillTint="40"/>
      </w:tcPr>
    </w:tblStylePr>
    <w:tblStylePr w:type="band1Horz">
      <w:rPr>
        <w:rFonts w:ascii="Arial" w:hAnsi="Arial"/>
        <w:color w:val="404040"/>
        <w:sz w:val="22"/>
      </w:rPr>
      <w:tcPr>
        <w:shd w:val="clear" w:color="D0DBF0" w:themeColor="accent5" w:themeTint="40" w:fill="D0DBF0" w:themeFill="accent5" w:themeFillTint="40"/>
      </w:tcPr>
    </w:tblStylePr>
  </w:style>
  <w:style w:type="table" w:customStyle="1" w:styleId="188">
    <w:name w:val="List Table 4 - Accent 6"/>
    <w:basedOn w:val="42"/>
    <w:qFormat/>
    <w:uiPriority w:val="99"/>
    <w:tblPr>
      <w:tblBorders>
        <w:top w:val="single" w:color="ADD394" w:themeColor="accent6" w:themeTint="90" w:sz="4" w:space="0"/>
        <w:left w:val="single" w:color="ADD394" w:themeColor="accent6" w:themeTint="90" w:sz="4" w:space="0"/>
        <w:bottom w:val="single" w:color="ADD394" w:themeColor="accent6" w:themeTint="90" w:sz="4" w:space="0"/>
        <w:right w:val="single" w:color="ADD394" w:themeColor="accent6" w:themeTint="90" w:sz="4" w:space="0"/>
        <w:insideH w:val="single" w:color="ADD394" w:themeColor="accent6" w:themeTint="90" w:sz="4" w:space="0"/>
      </w:tblBorders>
      <w:tblCellMar>
        <w:top w:w="0" w:type="dxa"/>
        <w:left w:w="108" w:type="dxa"/>
        <w:bottom w:w="0" w:type="dxa"/>
        <w:right w:w="108" w:type="dxa"/>
      </w:tblCellMar>
    </w:tblPr>
    <w:tblStylePr w:type="firstRow">
      <w:rPr>
        <w:rFonts w:ascii="Arial" w:hAnsi="Arial"/>
        <w:b/>
        <w:color w:val="FFFFFF"/>
        <w:sz w:val="22"/>
      </w:r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BCF" w:themeColor="accent6" w:themeTint="40" w:fill="DAEBCF" w:themeFill="accent6" w:themeFillTint="40"/>
      </w:tcPr>
    </w:tblStylePr>
    <w:tblStylePr w:type="band1Horz">
      <w:rPr>
        <w:rFonts w:ascii="Arial" w:hAnsi="Arial"/>
        <w:color w:val="404040"/>
        <w:sz w:val="22"/>
      </w:rPr>
      <w:tcPr>
        <w:shd w:val="clear" w:color="DAEBCF" w:themeColor="accent6" w:themeTint="40" w:fill="DAEBCF" w:themeFill="accent6" w:themeFillTint="40"/>
      </w:tcPr>
    </w:tblStylePr>
  </w:style>
  <w:style w:type="table" w:customStyle="1" w:styleId="189">
    <w:name w:val="List Table 5 Dark"/>
    <w:basedOn w:val="42"/>
    <w:qFormat/>
    <w:uiPriority w:val="99"/>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style>
  <w:style w:type="table" w:customStyle="1" w:styleId="190">
    <w:name w:val="List Table 5 Dark - Accent 1"/>
    <w:basedOn w:val="42"/>
    <w:qFormat/>
    <w:uiPriority w:val="99"/>
    <w:tblPr>
      <w:tblBorders>
        <w:top w:val="single" w:color="5B9BD5" w:themeColor="accent1" w:sz="32" w:space="0"/>
        <w:left w:val="single" w:color="5B9BD5" w:themeColor="accent1" w:sz="32" w:space="0"/>
        <w:bottom w:val="single" w:color="5B9BD5" w:themeColor="accent1" w:sz="32" w:space="0"/>
        <w:right w:val="single" w:color="5B9BD5" w:themeColor="accent1"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5B9BD5" w:themeColor="accent1" w:sz="32" w:space="0"/>
          <w:bottom w:val="single" w:color="FFFFFF" w:themeColor="light1" w:sz="12" w:space="0"/>
        </w:tcBorders>
        <w:shd w:val="clear" w:color="5B9BD5" w:themeColor="accent1" w:fill="5B9BD5"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5B9BD5" w:themeColor="accent1" w:sz="32" w:space="0"/>
          <w:right w:val="single" w:color="FFFFFF" w:themeColor="light1" w:sz="4" w:space="0"/>
        </w:tcBorders>
      </w:tcPr>
    </w:tblStylePr>
    <w:tblStylePr w:type="lastCol">
      <w:tcPr>
        <w:tcBorders>
          <w:left w:val="single" w:color="FFFFFF" w:themeColor="light1" w:sz="4" w:space="0"/>
          <w:right w:val="single" w:color="5B9BD5" w:themeColor="accent1" w:sz="32" w:space="0"/>
        </w:tcBorders>
      </w:tcPr>
    </w:tblStylePr>
    <w:tblStylePr w:type="band1Vert">
      <w:tcPr>
        <w:tcBorders>
          <w:left w:val="single" w:color="FFFFFF" w:themeColor="light1" w:sz="4" w:space="0"/>
          <w:right w:val="single" w:color="FFFFFF" w:themeColor="light1" w:sz="4" w:space="0"/>
        </w:tcBorders>
        <w:shd w:val="clear" w:color="5B9BD5" w:themeColor="accent1" w:fill="5B9BD5"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5B9BD5" w:themeColor="accent1" w:fill="5B9BD5" w:themeFill="accent1"/>
      </w:tcPr>
    </w:tblStylePr>
    <w:tblStylePr w:type="band2Horz">
      <w:tcPr>
        <w:tcBorders>
          <w:top w:val="single" w:color="FFFFFF" w:themeColor="light1" w:sz="4" w:space="0"/>
          <w:bottom w:val="single" w:color="FFFFFF" w:themeColor="light1" w:sz="4" w:space="0"/>
        </w:tcBorders>
        <w:shd w:val="clear" w:color="5B9BD5" w:themeColor="accent1" w:fill="5B9BD5" w:themeFill="accent1"/>
      </w:tcPr>
    </w:tblStylePr>
  </w:style>
  <w:style w:type="table" w:customStyle="1" w:styleId="191">
    <w:name w:val="List Table 5 Dark - Accent 2"/>
    <w:basedOn w:val="42"/>
    <w:qFormat/>
    <w:uiPriority w:val="99"/>
    <w:tblPr>
      <w:tblBorders>
        <w:top w:val="single" w:color="F4B285" w:themeColor="accent2" w:themeTint="97" w:sz="32" w:space="0"/>
        <w:left w:val="single" w:color="F4B285" w:themeColor="accent2" w:themeTint="97" w:sz="32" w:space="0"/>
        <w:bottom w:val="single" w:color="F4B285" w:themeColor="accent2" w:themeTint="97" w:sz="32" w:space="0"/>
        <w:right w:val="single" w:color="F4B285" w:themeColor="accent2" w:themeTint="97"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4B285" w:themeColor="accent2" w:themeTint="97" w:sz="32" w:space="0"/>
          <w:bottom w:val="single" w:color="FFFFFF" w:themeColor="light1" w:sz="12" w:space="0"/>
        </w:tcBorders>
        <w:shd w:val="clear" w:color="F4B285" w:themeColor="accent2" w:themeTint="97" w:fill="F4B28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285" w:themeColor="accent2" w:themeTint="97" w:sz="32" w:space="0"/>
          <w:right w:val="single" w:color="FFFFFF" w:themeColor="light1" w:sz="4" w:space="0"/>
        </w:tcBorders>
      </w:tcPr>
    </w:tblStylePr>
    <w:tblStylePr w:type="lastCol">
      <w:tcPr>
        <w:tcBorders>
          <w:left w:val="single" w:color="FFFFFF" w:themeColor="light1" w:sz="4" w:space="0"/>
          <w:right w:val="single" w:color="F4B285" w:themeColor="accent2" w:themeTint="97" w:sz="32" w:space="0"/>
        </w:tcBorders>
      </w:tcPr>
    </w:tblStylePr>
    <w:tblStylePr w:type="band1Vert">
      <w:tcPr>
        <w:tcBorders>
          <w:left w:val="single" w:color="FFFFFF" w:themeColor="light1" w:sz="4" w:space="0"/>
          <w:right w:val="single" w:color="FFFFFF" w:themeColor="light1" w:sz="4" w:space="0"/>
        </w:tcBorders>
        <w:shd w:val="clear" w:color="F4B285" w:themeColor="accent2" w:themeTint="97" w:fill="F4B28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tblStylePr w:type="band2Horz">
      <w:tcPr>
        <w:tcBorders>
          <w:top w:val="single" w:color="FFFFFF" w:themeColor="light1" w:sz="4" w:space="0"/>
          <w:bottom w:val="single" w:color="FFFFFF" w:themeColor="light1" w:sz="4" w:space="0"/>
        </w:tcBorders>
        <w:shd w:val="clear" w:color="F4B285" w:themeColor="accent2" w:themeTint="97" w:fill="F4B285" w:themeFill="accent2" w:themeFillTint="97"/>
      </w:tcPr>
    </w:tblStylePr>
  </w:style>
  <w:style w:type="table" w:customStyle="1" w:styleId="192">
    <w:name w:val="List Table 5 Dark - Accent 3"/>
    <w:basedOn w:val="42"/>
    <w:qFormat/>
    <w:uiPriority w:val="99"/>
    <w:tblPr>
      <w:tblBorders>
        <w:top w:val="single" w:color="C9C9C9" w:themeColor="accent3" w:themeTint="98" w:sz="32" w:space="0"/>
        <w:left w:val="single" w:color="C9C9C9" w:themeColor="accent3" w:themeTint="98" w:sz="32" w:space="0"/>
        <w:bottom w:val="single" w:color="C9C9C9" w:themeColor="accent3" w:themeTint="98" w:sz="32" w:space="0"/>
        <w:right w:val="single" w:color="C9C9C9" w:themeColor="accent3"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C9C9C9" w:themeColor="accent3" w:themeTint="98" w:sz="32" w:space="0"/>
          <w:bottom w:val="single" w:color="FFFFFF" w:themeColor="light1" w:sz="12" w:space="0"/>
        </w:tcBorders>
        <w:shd w:val="clear" w:color="C9C9C9" w:themeColor="accent3" w:themeTint="98" w:fill="C9C9C9"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9C9C9" w:themeColor="accent3" w:themeTint="98" w:sz="32" w:space="0"/>
          <w:right w:val="single" w:color="FFFFFF" w:themeColor="light1" w:sz="4" w:space="0"/>
        </w:tcBorders>
      </w:tcPr>
    </w:tblStylePr>
    <w:tblStylePr w:type="lastCol">
      <w:tcPr>
        <w:tcBorders>
          <w:left w:val="single" w:color="FFFFFF" w:themeColor="light1" w:sz="4" w:space="0"/>
          <w:right w:val="single" w:color="C9C9C9" w:themeColor="accent3" w:themeTint="98" w:sz="32" w:space="0"/>
        </w:tcBorders>
      </w:tcPr>
    </w:tblStylePr>
    <w:tblStylePr w:type="band1Vert">
      <w:tcPr>
        <w:tcBorders>
          <w:left w:val="single" w:color="FFFFFF" w:themeColor="light1" w:sz="4" w:space="0"/>
          <w:right w:val="single" w:color="FFFFFF" w:themeColor="light1" w:sz="4" w:space="0"/>
        </w:tcBorders>
        <w:shd w:val="clear" w:color="C9C9C9" w:themeColor="accent3" w:themeTint="98" w:fill="C9C9C9"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tblStylePr w:type="band2Horz">
      <w:tcPr>
        <w:tcBorders>
          <w:top w:val="single" w:color="FFFFFF" w:themeColor="light1" w:sz="4" w:space="0"/>
          <w:bottom w:val="single" w:color="FFFFFF" w:themeColor="light1" w:sz="4" w:space="0"/>
        </w:tcBorders>
        <w:shd w:val="clear" w:color="C9C9C9" w:themeColor="accent3" w:themeTint="98" w:fill="C9C9C9" w:themeFill="accent3" w:themeFillTint="98"/>
      </w:tcPr>
    </w:tblStylePr>
  </w:style>
  <w:style w:type="table" w:customStyle="1" w:styleId="193">
    <w:name w:val="List Table 5 Dark - Accent 4"/>
    <w:basedOn w:val="42"/>
    <w:qFormat/>
    <w:uiPriority w:val="99"/>
    <w:tblPr>
      <w:tblBorders>
        <w:top w:val="single" w:color="FFD864" w:themeColor="accent4" w:themeTint="9A" w:sz="32" w:space="0"/>
        <w:left w:val="single" w:color="FFD864" w:themeColor="accent4" w:themeTint="9A" w:sz="32" w:space="0"/>
        <w:bottom w:val="single" w:color="FFD864" w:themeColor="accent4" w:themeTint="9A" w:sz="32" w:space="0"/>
        <w:right w:val="single" w:color="FFD864" w:themeColor="accent4"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FFD864" w:themeColor="accent4" w:themeTint="9A" w:sz="32" w:space="0"/>
          <w:bottom w:val="single" w:color="FFFFFF" w:themeColor="light1" w:sz="12" w:space="0"/>
        </w:tcBorders>
        <w:shd w:val="clear" w:color="FFD864" w:themeColor="accent4" w:themeTint="9A" w:fill="FFD864"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FD864" w:themeColor="accent4" w:themeTint="9A" w:sz="32" w:space="0"/>
          <w:right w:val="single" w:color="FFFFFF" w:themeColor="light1" w:sz="4" w:space="0"/>
        </w:tcBorders>
      </w:tcPr>
    </w:tblStylePr>
    <w:tblStylePr w:type="lastCol">
      <w:tcPr>
        <w:tcBorders>
          <w:left w:val="single" w:color="FFFFFF" w:themeColor="light1" w:sz="4" w:space="0"/>
          <w:right w:val="single" w:color="FFD864" w:themeColor="accent4" w:themeTint="9A" w:sz="32" w:space="0"/>
        </w:tcBorders>
      </w:tcPr>
    </w:tblStylePr>
    <w:tblStylePr w:type="band1Vert">
      <w:tcPr>
        <w:tcBorders>
          <w:left w:val="single" w:color="FFFFFF" w:themeColor="light1" w:sz="4" w:space="0"/>
          <w:right w:val="single" w:color="FFFFFF" w:themeColor="light1" w:sz="4" w:space="0"/>
        </w:tcBorders>
        <w:shd w:val="clear" w:color="FFD864" w:themeColor="accent4" w:themeTint="9A" w:fill="FFD864"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tblStylePr w:type="band2Horz">
      <w:tcPr>
        <w:tcBorders>
          <w:top w:val="single" w:color="FFFFFF" w:themeColor="light1" w:sz="4" w:space="0"/>
          <w:bottom w:val="single" w:color="FFFFFF" w:themeColor="light1" w:sz="4" w:space="0"/>
        </w:tcBorders>
        <w:shd w:val="clear" w:color="FFD864" w:themeColor="accent4" w:themeTint="9A" w:fill="FFD864" w:themeFill="accent4" w:themeFillTint="9A"/>
      </w:tcPr>
    </w:tblStylePr>
  </w:style>
  <w:style w:type="table" w:customStyle="1" w:styleId="194">
    <w:name w:val="List Table 5 Dark - Accent 5"/>
    <w:basedOn w:val="42"/>
    <w:qFormat/>
    <w:uiPriority w:val="99"/>
    <w:tblPr>
      <w:tblBorders>
        <w:top w:val="single" w:color="8EA9DB" w:themeColor="accent5" w:themeTint="9A" w:sz="32" w:space="0"/>
        <w:left w:val="single" w:color="8EA9DB" w:themeColor="accent5" w:themeTint="9A" w:sz="32" w:space="0"/>
        <w:bottom w:val="single" w:color="8EA9DB" w:themeColor="accent5" w:themeTint="9A" w:sz="32" w:space="0"/>
        <w:right w:val="single" w:color="8EA9DB" w:themeColor="accent5" w:themeTint="9A"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8EA9DB" w:themeColor="accent5" w:themeTint="9A" w:sz="32" w:space="0"/>
          <w:bottom w:val="single" w:color="FFFFFF" w:themeColor="light1" w:sz="12" w:space="0"/>
        </w:tcBorders>
        <w:shd w:val="clear" w:color="8EA9DB" w:themeColor="accent5" w:themeTint="9A" w:fill="8EA9DB"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8EA9DB" w:themeColor="accent5" w:themeTint="9A" w:sz="32" w:space="0"/>
          <w:right w:val="single" w:color="FFFFFF" w:themeColor="light1" w:sz="4" w:space="0"/>
        </w:tcBorders>
      </w:tcPr>
    </w:tblStylePr>
    <w:tblStylePr w:type="lastCol">
      <w:tcPr>
        <w:tcBorders>
          <w:left w:val="single" w:color="FFFFFF" w:themeColor="light1" w:sz="4" w:space="0"/>
          <w:right w:val="single" w:color="8EA9DB" w:themeColor="accent5" w:themeTint="9A" w:sz="32" w:space="0"/>
        </w:tcBorders>
      </w:tcPr>
    </w:tblStylePr>
    <w:tblStylePr w:type="band1Vert">
      <w:tcPr>
        <w:tcBorders>
          <w:left w:val="single" w:color="FFFFFF" w:themeColor="light1" w:sz="4" w:space="0"/>
          <w:right w:val="single" w:color="FFFFFF" w:themeColor="light1" w:sz="4" w:space="0"/>
        </w:tcBorders>
        <w:shd w:val="clear" w:color="8EA9DB" w:themeColor="accent5" w:themeTint="9A" w:fill="8EA9DB"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tblStylePr w:type="band2Horz">
      <w:tcPr>
        <w:tcBorders>
          <w:top w:val="single" w:color="FFFFFF" w:themeColor="light1" w:sz="4" w:space="0"/>
          <w:bottom w:val="single" w:color="FFFFFF" w:themeColor="light1" w:sz="4" w:space="0"/>
        </w:tcBorders>
        <w:shd w:val="clear" w:color="8EA9DB" w:themeColor="accent5" w:themeTint="9A" w:fill="8EA9DB" w:themeFill="accent5" w:themeFillTint="9A"/>
      </w:tcPr>
    </w:tblStylePr>
  </w:style>
  <w:style w:type="table" w:customStyle="1" w:styleId="195">
    <w:name w:val="List Table 5 Dark - Accent 6"/>
    <w:basedOn w:val="42"/>
    <w:qFormat/>
    <w:uiPriority w:val="99"/>
    <w:tblPr>
      <w:tblBorders>
        <w:top w:val="single" w:color="A9D08E" w:themeColor="accent6" w:themeTint="98" w:sz="32" w:space="0"/>
        <w:left w:val="single" w:color="A9D08E" w:themeColor="accent6" w:themeTint="98" w:sz="32" w:space="0"/>
        <w:bottom w:val="single" w:color="A9D08E" w:themeColor="accent6" w:themeTint="98" w:sz="32" w:space="0"/>
        <w:right w:val="single" w:color="A9D08E" w:themeColor="accent6" w:themeTint="98" w:sz="32" w:space="0"/>
      </w:tblBorders>
      <w:tblCellMar>
        <w:top w:w="0" w:type="dxa"/>
        <w:left w:w="108" w:type="dxa"/>
        <w:bottom w:w="0" w:type="dxa"/>
        <w:right w:w="108" w:type="dxa"/>
      </w:tblCellMar>
    </w:tblPr>
    <w:tblStylePr w:type="firstRow">
      <w:rPr>
        <w:rFonts w:ascii="Arial" w:hAnsi="Arial"/>
        <w:b/>
        <w:color w:val="FFFFFF" w:themeColor="light1"/>
        <w:sz w:val="22"/>
        <w14:textFill>
          <w14:solidFill>
            <w14:schemeClr w14:val="lt1"/>
          </w14:solidFill>
        </w14:textFill>
      </w:rPr>
      <w:tcPr>
        <w:tcBorders>
          <w:top w:val="single" w:color="A9D08E" w:themeColor="accent6" w:themeTint="98" w:sz="32" w:space="0"/>
          <w:bottom w:val="single" w:color="FFFFFF" w:themeColor="light1" w:sz="12" w:space="0"/>
        </w:tcBorders>
        <w:shd w:val="clear" w:color="A9D08E" w:themeColor="accent6" w:themeTint="98" w:fill="A9D08E"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9D08E" w:themeColor="accent6" w:themeTint="98" w:sz="32" w:space="0"/>
          <w:right w:val="single" w:color="FFFFFF" w:themeColor="light1" w:sz="4" w:space="0"/>
        </w:tcBorders>
      </w:tcPr>
    </w:tblStylePr>
    <w:tblStylePr w:type="lastCol">
      <w:tcPr>
        <w:tcBorders>
          <w:left w:val="single" w:color="FFFFFF" w:themeColor="light1" w:sz="4" w:space="0"/>
          <w:right w:val="single" w:color="A9D08E" w:themeColor="accent6" w:themeTint="98" w:sz="32" w:space="0"/>
        </w:tcBorders>
      </w:tcPr>
    </w:tblStylePr>
    <w:tblStylePr w:type="band1Vert">
      <w:tcPr>
        <w:tcBorders>
          <w:left w:val="single" w:color="FFFFFF" w:themeColor="light1" w:sz="4" w:space="0"/>
          <w:right w:val="single" w:color="FFFFFF" w:themeColor="light1" w:sz="4" w:space="0"/>
        </w:tcBorders>
        <w:shd w:val="clear" w:color="A9D08E" w:themeColor="accent6" w:themeTint="98" w:fill="A9D08E"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tblStylePr w:type="band2Horz">
      <w:tcPr>
        <w:tcBorders>
          <w:top w:val="single" w:color="FFFFFF" w:themeColor="light1" w:sz="4" w:space="0"/>
          <w:bottom w:val="single" w:color="FFFFFF" w:themeColor="light1" w:sz="4" w:space="0"/>
        </w:tcBorders>
        <w:shd w:val="clear" w:color="A9D08E" w:themeColor="accent6" w:themeTint="98" w:fill="A9D08E" w:themeFill="accent6" w:themeFillTint="98"/>
      </w:tcPr>
    </w:tblStylePr>
  </w:style>
  <w:style w:type="table" w:customStyle="1" w:styleId="196">
    <w:name w:val="List Table 6 Colorful"/>
    <w:basedOn w:val="42"/>
    <w:qFormat/>
    <w:uiPriority w:val="99"/>
    <w:tblPr>
      <w:tblBorders>
        <w:top w:val="single" w:color="7E7E7E" w:themeColor="text1" w:themeTint="80" w:sz="4" w:space="0"/>
        <w:bottom w:val="single" w:color="7E7E7E" w:themeColor="text1" w:themeTint="80" w:sz="4" w:space="0"/>
      </w:tblBorders>
      <w:tblCellMar>
        <w:top w:w="0" w:type="dxa"/>
        <w:left w:w="108" w:type="dxa"/>
        <w:bottom w:w="0" w:type="dxa"/>
        <w:right w:w="108" w:type="dxa"/>
      </w:tblCellMar>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style>
  <w:style w:type="table" w:customStyle="1" w:styleId="197">
    <w:name w:val="List Table 6 Colorful - Accent 1"/>
    <w:basedOn w:val="42"/>
    <w:qFormat/>
    <w:uiPriority w:val="99"/>
    <w:tblPr>
      <w:tblBorders>
        <w:top w:val="single" w:color="5B9BD5" w:themeColor="accent1" w:sz="4" w:space="0"/>
        <w:bottom w:val="single" w:color="5B9BD5" w:themeColor="accent1" w:sz="4" w:space="0"/>
      </w:tblBorders>
      <w:tblCellMar>
        <w:top w:w="0" w:type="dxa"/>
        <w:left w:w="108" w:type="dxa"/>
        <w:bottom w:w="0" w:type="dxa"/>
        <w:right w:w="108" w:type="dxa"/>
      </w:tblCellMar>
    </w:tblPr>
    <w:tblStylePr w:type="firstRow">
      <w:rPr>
        <w:b/>
        <w:color w:val="245B8C" w:themeColor="accent1" w:themeShade="94"/>
      </w:rPr>
      <w:tcPr>
        <w:tcBorders>
          <w:bottom w:val="single" w:color="5B9BD5" w:themeColor="accent1" w:sz="4" w:space="0"/>
        </w:tcBorders>
      </w:tcPr>
    </w:tblStylePr>
    <w:tblStylePr w:type="lastRow">
      <w:rPr>
        <w:b/>
        <w:color w:val="245B8C" w:themeColor="accent1" w:themeShade="94"/>
      </w:rPr>
      <w:tcPr>
        <w:tcBorders>
          <w:top w:val="single" w:color="5B9BD5" w:themeColor="accent1" w:sz="4" w:space="0"/>
        </w:tcBorders>
      </w:tcPr>
    </w:tblStylePr>
    <w:tblStylePr w:type="firstCol">
      <w:rPr>
        <w:b/>
        <w:color w:val="245B8C" w:themeColor="accent1" w:themeShade="94"/>
      </w:rPr>
    </w:tblStylePr>
    <w:tblStylePr w:type="lastCol">
      <w:rPr>
        <w:b/>
        <w:color w:val="245B8C" w:themeColor="accent1" w:themeShade="94"/>
      </w:r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198">
    <w:name w:val="List Table 6 Colorful - Accent 2"/>
    <w:basedOn w:val="42"/>
    <w:qFormat/>
    <w:uiPriority w:val="99"/>
    <w:tblPr>
      <w:tblBorders>
        <w:top w:val="single" w:color="F4B285" w:themeColor="accent2" w:themeTint="97" w:sz="4" w:space="0"/>
        <w:bottom w:val="single" w:color="F4B285" w:themeColor="accent2" w:themeTint="97" w:sz="4" w:space="0"/>
      </w:tblBorders>
      <w:tblCellMar>
        <w:top w:w="0" w:type="dxa"/>
        <w:left w:w="108" w:type="dxa"/>
        <w:bottom w:w="0" w:type="dxa"/>
        <w:right w:w="108" w:type="dxa"/>
      </w:tblCellMar>
    </w:tblPr>
    <w:tblStylePr w:type="firstRow">
      <w:rPr>
        <w:b/>
        <w:color w:val="F4B285" w:themeColor="accent2" w:themeTint="96"/>
        <w14:textFill>
          <w14:solidFill>
            <w14:schemeClr w14:val="accent2">
              <w14:lumMod w14:val="59000"/>
              <w14:lumOff w14:val="41000"/>
            </w14:schemeClr>
          </w14:solidFill>
        </w14:textFill>
      </w:rPr>
      <w:tcPr>
        <w:tcBorders>
          <w:bottom w:val="single" w:color="F4B285" w:themeColor="accent2" w:themeTint="97" w:sz="4" w:space="0"/>
        </w:tcBorders>
      </w:tcPr>
    </w:tblStylePr>
    <w:tblStylePr w:type="lastRow">
      <w:rPr>
        <w:b/>
        <w:color w:val="F4B285" w:themeColor="accent2" w:themeTint="96"/>
        <w14:textFill>
          <w14:solidFill>
            <w14:schemeClr w14:val="accent2">
              <w14:lumMod w14:val="59000"/>
              <w14:lumOff w14:val="41000"/>
            </w14:schemeClr>
          </w14:solidFill>
        </w14:textFill>
      </w:rPr>
      <w:tcPr>
        <w:tcBorders>
          <w:top w:val="single" w:color="F4B285" w:themeColor="accent2" w:themeTint="97" w:sz="4" w:space="0"/>
        </w:tcBorders>
      </w:tcPr>
    </w:tblStylePr>
    <w:tblStylePr w:type="firstCol">
      <w:rPr>
        <w:b/>
        <w:color w:val="F4B285" w:themeColor="accent2" w:themeTint="96"/>
        <w14:textFill>
          <w14:solidFill>
            <w14:schemeClr w14:val="accent2">
              <w14:lumMod w14:val="59000"/>
              <w14:lumOff w14:val="41000"/>
            </w14:schemeClr>
          </w14:solidFill>
        </w14:textFill>
      </w:rPr>
    </w:tblStylePr>
    <w:tblStylePr w:type="lastCol">
      <w:rPr>
        <w:b/>
        <w:color w:val="F4B285" w:themeColor="accent2" w:themeTint="96"/>
        <w14:textFill>
          <w14:solidFill>
            <w14:schemeClr w14:val="accent2">
              <w14:lumMod w14:val="59000"/>
              <w14:lumOff w14:val="41000"/>
            </w14:schemeClr>
          </w14:solidFill>
        </w14:textFill>
      </w:r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199">
    <w:name w:val="List Table 6 Colorful - Accent 3"/>
    <w:basedOn w:val="42"/>
    <w:qFormat/>
    <w:uiPriority w:val="99"/>
    <w:tblPr>
      <w:tblBorders>
        <w:top w:val="single" w:color="C9C9C9" w:themeColor="accent3" w:themeTint="98" w:sz="4" w:space="0"/>
        <w:bottom w:val="single" w:color="C9C9C9" w:themeColor="accent3" w:themeTint="98" w:sz="4" w:space="0"/>
      </w:tblBorders>
      <w:tblCellMar>
        <w:top w:w="0" w:type="dxa"/>
        <w:left w:w="108" w:type="dxa"/>
        <w:bottom w:w="0" w:type="dxa"/>
        <w:right w:w="108" w:type="dxa"/>
      </w:tblCellMar>
    </w:tblPr>
    <w:tblStylePr w:type="firstRow">
      <w:rPr>
        <w:b/>
        <w:color w:val="C9C9C9" w:themeColor="accent3" w:themeTint="99"/>
        <w14:textFill>
          <w14:solidFill>
            <w14:schemeClr w14:val="accent3">
              <w14:lumMod w14:val="60000"/>
              <w14:lumOff w14:val="40000"/>
            </w14:schemeClr>
          </w14:solidFill>
        </w14:textFill>
      </w:rPr>
      <w:tcPr>
        <w:tcBorders>
          <w:bottom w:val="single" w:color="C9C9C9" w:themeColor="accent3" w:themeTint="98" w:sz="4" w:space="0"/>
        </w:tcBorders>
      </w:tcPr>
    </w:tblStylePr>
    <w:tblStylePr w:type="lastRow">
      <w:rPr>
        <w:b/>
        <w:color w:val="C9C9C9" w:themeColor="accent3" w:themeTint="99"/>
        <w14:textFill>
          <w14:solidFill>
            <w14:schemeClr w14:val="accent3">
              <w14:lumMod w14:val="60000"/>
              <w14:lumOff w14:val="40000"/>
            </w14:schemeClr>
          </w14:solidFill>
        </w14:textFill>
      </w:rPr>
      <w:tcPr>
        <w:tcBorders>
          <w:top w:val="single" w:color="C9C9C9" w:themeColor="accent3" w:themeTint="98" w:sz="4" w:space="0"/>
        </w:tcBorders>
      </w:tcPr>
    </w:tblStylePr>
    <w:tblStylePr w:type="firstCol">
      <w:rPr>
        <w:b/>
        <w:color w:val="C9C9C9" w:themeColor="accent3" w:themeTint="99"/>
        <w14:textFill>
          <w14:solidFill>
            <w14:schemeClr w14:val="accent3">
              <w14:lumMod w14:val="60000"/>
              <w14:lumOff w14:val="40000"/>
            </w14:schemeClr>
          </w14:solidFill>
        </w14:textFill>
      </w:rPr>
    </w:tblStylePr>
    <w:tblStylePr w:type="lastCol">
      <w:rPr>
        <w:b/>
        <w:color w:val="C9C9C9" w:themeColor="accent3" w:themeTint="99"/>
        <w14:textFill>
          <w14:solidFill>
            <w14:schemeClr w14:val="accent3">
              <w14:lumMod w14:val="60000"/>
              <w14:lumOff w14:val="40000"/>
            </w14:schemeClr>
          </w14:solidFill>
        </w14:textFill>
      </w:r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200">
    <w:name w:val="List Table 6 Colorful - Accent 4"/>
    <w:basedOn w:val="42"/>
    <w:qFormat/>
    <w:uiPriority w:val="99"/>
    <w:tblPr>
      <w:tblBorders>
        <w:top w:val="single" w:color="FFD864" w:themeColor="accent4" w:themeTint="9A" w:sz="4" w:space="0"/>
        <w:bottom w:val="single" w:color="FFD864" w:themeColor="accent4" w:themeTint="9A" w:sz="4" w:space="0"/>
      </w:tblBorders>
      <w:tblCellMar>
        <w:top w:w="0" w:type="dxa"/>
        <w:left w:w="108" w:type="dxa"/>
        <w:bottom w:w="0" w:type="dxa"/>
        <w:right w:w="108" w:type="dxa"/>
      </w:tblCellMar>
    </w:tblPr>
    <w:tblStylePr w:type="firstRow">
      <w:rPr>
        <w:b/>
        <w:color w:val="FFD966" w:themeColor="accent4" w:themeTint="99"/>
        <w14:textFill>
          <w14:solidFill>
            <w14:schemeClr w14:val="accent4">
              <w14:lumMod w14:val="60000"/>
              <w14:lumOff w14:val="40000"/>
            </w14:schemeClr>
          </w14:solidFill>
        </w14:textFill>
      </w:rPr>
      <w:tcPr>
        <w:tcBorders>
          <w:bottom w:val="single" w:color="FFD864" w:themeColor="accent4" w:themeTint="9A" w:sz="4" w:space="0"/>
        </w:tcBorders>
      </w:tcPr>
    </w:tblStylePr>
    <w:tblStylePr w:type="lastRow">
      <w:rPr>
        <w:b/>
        <w:color w:val="FFD966" w:themeColor="accent4" w:themeTint="99"/>
        <w14:textFill>
          <w14:solidFill>
            <w14:schemeClr w14:val="accent4">
              <w14:lumMod w14:val="60000"/>
              <w14:lumOff w14:val="40000"/>
            </w14:schemeClr>
          </w14:solidFill>
        </w14:textFill>
      </w:rPr>
      <w:tcPr>
        <w:tcBorders>
          <w:top w:val="single" w:color="FFD864" w:themeColor="accent4" w:themeTint="9A" w:sz="4" w:space="0"/>
        </w:tcBorders>
      </w:tcPr>
    </w:tblStylePr>
    <w:tblStylePr w:type="firstCol">
      <w:rPr>
        <w:b/>
        <w:color w:val="FFD966" w:themeColor="accent4" w:themeTint="99"/>
        <w14:textFill>
          <w14:solidFill>
            <w14:schemeClr w14:val="accent4">
              <w14:lumMod w14:val="60000"/>
              <w14:lumOff w14:val="40000"/>
            </w14:schemeClr>
          </w14:solidFill>
        </w14:textFill>
      </w:rPr>
    </w:tblStylePr>
    <w:tblStylePr w:type="lastCol">
      <w:rPr>
        <w:b/>
        <w:color w:val="FFD966" w:themeColor="accent4" w:themeTint="99"/>
        <w14:textFill>
          <w14:solidFill>
            <w14:schemeClr w14:val="accent4">
              <w14:lumMod w14:val="60000"/>
              <w14:lumOff w14:val="40000"/>
            </w14:schemeClr>
          </w14:solidFill>
        </w14:textFill>
      </w:r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201">
    <w:name w:val="List Table 6 Colorful - Accent 5"/>
    <w:basedOn w:val="42"/>
    <w:qFormat/>
    <w:uiPriority w:val="99"/>
    <w:tblPr>
      <w:tblBorders>
        <w:top w:val="single" w:color="8EA9DB" w:themeColor="accent5" w:themeTint="9A" w:sz="4" w:space="0"/>
        <w:bottom w:val="single" w:color="8EA9DB" w:themeColor="accent5" w:themeTint="9A" w:sz="4" w:space="0"/>
      </w:tblBorders>
      <w:tblCellMar>
        <w:top w:w="0" w:type="dxa"/>
        <w:left w:w="108" w:type="dxa"/>
        <w:bottom w:w="0" w:type="dxa"/>
        <w:right w:w="108" w:type="dxa"/>
      </w:tblCellMar>
    </w:tblPr>
    <w:tblStylePr w:type="firstRow">
      <w:rPr>
        <w:b/>
        <w:color w:val="8FAADC" w:themeColor="accent5" w:themeTint="99"/>
        <w14:textFill>
          <w14:solidFill>
            <w14:schemeClr w14:val="accent5">
              <w14:lumMod w14:val="60000"/>
              <w14:lumOff w14:val="40000"/>
            </w14:schemeClr>
          </w14:solidFill>
        </w14:textFill>
      </w:rPr>
      <w:tcPr>
        <w:tcBorders>
          <w:bottom w:val="single" w:color="8EA9DB" w:themeColor="accent5" w:themeTint="9A" w:sz="4" w:space="0"/>
        </w:tcBorders>
      </w:tcPr>
    </w:tblStylePr>
    <w:tblStylePr w:type="lastRow">
      <w:rPr>
        <w:b/>
        <w:color w:val="8FAADC" w:themeColor="accent5" w:themeTint="99"/>
        <w14:textFill>
          <w14:solidFill>
            <w14:schemeClr w14:val="accent5">
              <w14:lumMod w14:val="60000"/>
              <w14:lumOff w14:val="40000"/>
            </w14:schemeClr>
          </w14:solidFill>
        </w14:textFill>
      </w:rPr>
      <w:tcPr>
        <w:tcBorders>
          <w:top w:val="single" w:color="8EA9DB" w:themeColor="accent5" w:themeTint="9A" w:sz="4" w:space="0"/>
        </w:tcBorders>
      </w:tcPr>
    </w:tblStylePr>
    <w:tblStylePr w:type="firstCol">
      <w:rPr>
        <w:b/>
        <w:color w:val="8FAADC" w:themeColor="accent5" w:themeTint="99"/>
        <w14:textFill>
          <w14:solidFill>
            <w14:schemeClr w14:val="accent5">
              <w14:lumMod w14:val="60000"/>
              <w14:lumOff w14:val="40000"/>
            </w14:schemeClr>
          </w14:solidFill>
        </w14:textFill>
      </w:rPr>
    </w:tblStylePr>
    <w:tblStylePr w:type="lastCol">
      <w:rPr>
        <w:b/>
        <w:color w:val="8FAADC" w:themeColor="accent5" w:themeTint="99"/>
        <w14:textFill>
          <w14:solidFill>
            <w14:schemeClr w14:val="accent5">
              <w14:lumMod w14:val="60000"/>
              <w14:lumOff w14:val="40000"/>
            </w14:schemeClr>
          </w14:solidFill>
        </w14:textFill>
      </w:r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202">
    <w:name w:val="List Table 6 Colorful - Accent 6"/>
    <w:basedOn w:val="42"/>
    <w:qFormat/>
    <w:uiPriority w:val="99"/>
    <w:tblPr>
      <w:tblBorders>
        <w:top w:val="single" w:color="A9D08E" w:themeColor="accent6" w:themeTint="98" w:sz="4" w:space="0"/>
        <w:bottom w:val="single" w:color="A9D08E" w:themeColor="accent6" w:themeTint="98" w:sz="4" w:space="0"/>
      </w:tblBorders>
      <w:tblCellMar>
        <w:top w:w="0" w:type="dxa"/>
        <w:left w:w="108" w:type="dxa"/>
        <w:bottom w:w="0" w:type="dxa"/>
        <w:right w:w="108" w:type="dxa"/>
      </w:tblCellMar>
    </w:tblPr>
    <w:tblStylePr w:type="firstRow">
      <w:rPr>
        <w:b/>
        <w:color w:val="A9D18E" w:themeColor="accent6" w:themeTint="99"/>
        <w14:textFill>
          <w14:solidFill>
            <w14:schemeClr w14:val="accent6">
              <w14:lumMod w14:val="60000"/>
              <w14:lumOff w14:val="40000"/>
            </w14:schemeClr>
          </w14:solidFill>
        </w14:textFill>
      </w:rPr>
      <w:tcPr>
        <w:tcBorders>
          <w:bottom w:val="single" w:color="A9D08E" w:themeColor="accent6" w:themeTint="98" w:sz="4" w:space="0"/>
        </w:tcBorders>
      </w:tcPr>
    </w:tblStylePr>
    <w:tblStylePr w:type="lastRow">
      <w:rPr>
        <w:b/>
        <w:color w:val="A9D18E" w:themeColor="accent6" w:themeTint="99"/>
        <w14:textFill>
          <w14:solidFill>
            <w14:schemeClr w14:val="accent6">
              <w14:lumMod w14:val="60000"/>
              <w14:lumOff w14:val="40000"/>
            </w14:schemeClr>
          </w14:solidFill>
        </w14:textFill>
      </w:rPr>
      <w:tcPr>
        <w:tcBorders>
          <w:top w:val="single" w:color="A9D08E" w:themeColor="accent6" w:themeTint="98" w:sz="4" w:space="0"/>
        </w:tcBorders>
      </w:tcPr>
    </w:tblStylePr>
    <w:tblStylePr w:type="firstCol">
      <w:rPr>
        <w:b/>
        <w:color w:val="A9D18E" w:themeColor="accent6" w:themeTint="99"/>
        <w14:textFill>
          <w14:solidFill>
            <w14:schemeClr w14:val="accent6">
              <w14:lumMod w14:val="60000"/>
              <w14:lumOff w14:val="40000"/>
            </w14:schemeClr>
          </w14:solidFill>
        </w14:textFill>
      </w:rPr>
    </w:tblStylePr>
    <w:tblStylePr w:type="lastCol">
      <w:rPr>
        <w:b/>
        <w:color w:val="A9D18E" w:themeColor="accent6" w:themeTint="99"/>
        <w14:textFill>
          <w14:solidFill>
            <w14:schemeClr w14:val="accent6">
              <w14:lumMod w14:val="60000"/>
              <w14:lumOff w14:val="40000"/>
            </w14:schemeClr>
          </w14:solidFill>
        </w14:textFill>
      </w:r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203">
    <w:name w:val="List Table 7 Colorful"/>
    <w:basedOn w:val="42"/>
    <w:qFormat/>
    <w:uiPriority w:val="99"/>
    <w:tblPr>
      <w:tblBorders>
        <w:right w:val="single" w:color="7E7E7E" w:themeColor="text1" w:themeTint="80" w:sz="4" w:space="0"/>
      </w:tblBorders>
      <w:tblCellMar>
        <w:top w:w="0" w:type="dxa"/>
        <w:left w:w="108" w:type="dxa"/>
        <w:bottom w:w="0" w:type="dxa"/>
        <w:right w:w="108" w:type="dxa"/>
      </w:tblCellMar>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style>
  <w:style w:type="table" w:customStyle="1" w:styleId="204">
    <w:name w:val="List Table 7 Colorful - Accent 1"/>
    <w:basedOn w:val="42"/>
    <w:qFormat/>
    <w:uiPriority w:val="99"/>
    <w:tblPr>
      <w:tblBorders>
        <w:right w:val="single" w:color="5B9BD5" w:themeColor="accent1" w:sz="4" w:space="0"/>
      </w:tblBorders>
      <w:tblCellMar>
        <w:top w:w="0" w:type="dxa"/>
        <w:left w:w="108" w:type="dxa"/>
        <w:bottom w:w="0" w:type="dxa"/>
        <w:right w:w="108" w:type="dxa"/>
      </w:tblCellMar>
    </w:tblPr>
    <w:tblStylePr w:type="firstRow">
      <w:rPr>
        <w:rFonts w:ascii="Arial" w:hAnsi="Arial"/>
        <w:i/>
        <w:color w:val="245B8C" w:themeColor="accent1" w:themeShade="94"/>
        <w:sz w:val="22"/>
      </w:rPr>
      <w:tcPr>
        <w:tcBorders>
          <w:top w:val="nil"/>
          <w:left w:val="nil"/>
          <w:bottom w:val="single" w:color="5B9BD5" w:themeColor="accent1" w:sz="4" w:space="0"/>
          <w:right w:val="nil"/>
        </w:tcBorders>
        <w:shd w:val="clear" w:color="FFFFFF" w:themeColor="light1" w:fill="FFFFFF" w:themeFill="light1"/>
      </w:tcPr>
    </w:tblStylePr>
    <w:tblStylePr w:type="lastRow">
      <w:rPr>
        <w:rFonts w:ascii="Arial" w:hAnsi="Arial"/>
        <w:i/>
        <w:color w:val="245B8C" w:themeColor="accent1" w:themeShade="94"/>
        <w:sz w:val="22"/>
      </w:rPr>
      <w:tcPr>
        <w:tcBorders>
          <w:top w:val="single" w:color="5B9BD5"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45B8C" w:themeColor="accent1" w:themeShade="94"/>
        <w:sz w:val="22"/>
      </w:rPr>
      <w:tcPr>
        <w:tcBorders>
          <w:top w:val="nil"/>
          <w:left w:val="nil"/>
          <w:bottom w:val="nil"/>
          <w:right w:val="single" w:color="5B9BD5" w:themeColor="accent1" w:sz="4" w:space="0"/>
        </w:tcBorders>
        <w:shd w:val="clear" w:color="FFFFFF" w:fill="auto"/>
      </w:tcPr>
    </w:tblStylePr>
    <w:tblStylePr w:type="lastCol">
      <w:rPr>
        <w:rFonts w:ascii="Arial" w:hAnsi="Arial"/>
        <w:i/>
        <w:color w:val="245B8C" w:themeColor="accent1" w:themeShade="94"/>
        <w:sz w:val="22"/>
      </w:rPr>
      <w:tcPr>
        <w:tcBorders>
          <w:top w:val="nil"/>
          <w:left w:val="single" w:color="5B9BD5" w:themeColor="accent1" w:sz="4" w:space="0"/>
          <w:bottom w:val="nil"/>
          <w:right w:val="nil"/>
        </w:tcBorders>
        <w:shd w:val="clear" w:color="FFFFFF" w:fill="auto"/>
      </w:tcPr>
    </w:tblStylePr>
    <w:tblStylePr w:type="band1Vert">
      <w:tcPr>
        <w:shd w:val="clear" w:color="D5E5F4" w:themeColor="accent1" w:themeTint="40" w:fill="D5E5F4" w:themeFill="accent1" w:themeFillTint="40"/>
      </w:tcPr>
    </w:tblStylePr>
    <w:tblStylePr w:type="band1Horz">
      <w:rPr>
        <w:rFonts w:ascii="Arial" w:hAnsi="Arial"/>
        <w:color w:val="245B8C" w:themeColor="accent1" w:themeShade="94"/>
        <w:sz w:val="22"/>
      </w:rPr>
      <w:tcPr>
        <w:shd w:val="clear" w:color="D5E5F4" w:themeColor="accent1" w:themeTint="40" w:fill="D5E5F4" w:themeFill="accent1" w:themeFillTint="40"/>
      </w:tcPr>
    </w:tblStylePr>
    <w:tblStylePr w:type="band2Horz">
      <w:rPr>
        <w:rFonts w:ascii="Arial" w:hAnsi="Arial"/>
        <w:color w:val="245B8C" w:themeColor="accent1" w:themeShade="94"/>
        <w:sz w:val="22"/>
      </w:rPr>
    </w:tblStylePr>
  </w:style>
  <w:style w:type="table" w:customStyle="1" w:styleId="205">
    <w:name w:val="List Table 7 Colorful - Accent 2"/>
    <w:basedOn w:val="42"/>
    <w:qFormat/>
    <w:uiPriority w:val="99"/>
    <w:tblPr>
      <w:tblBorders>
        <w:right w:val="single" w:color="F4B285" w:themeColor="accent2" w:themeTint="97" w:sz="4" w:space="0"/>
      </w:tblBorders>
      <w:tblCellMar>
        <w:top w:w="0" w:type="dxa"/>
        <w:left w:w="108" w:type="dxa"/>
        <w:bottom w:w="0" w:type="dxa"/>
        <w:right w:w="108" w:type="dxa"/>
      </w:tblCellMar>
    </w:tblPr>
    <w:tblStylePr w:type="firstRow">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single" w:color="F4B285" w:themeColor="accent2" w:themeTint="97" w:sz="4" w:space="0"/>
          <w:right w:val="nil"/>
        </w:tcBorders>
        <w:shd w:val="clear" w:color="FFFFFF" w:themeColor="light1" w:fill="FFFFFF" w:themeFill="light1"/>
      </w:tcPr>
    </w:tblStylePr>
    <w:tblStylePr w:type="lastRow">
      <w:rPr>
        <w:rFonts w:ascii="Arial" w:hAnsi="Arial"/>
        <w:i/>
        <w:color w:val="F4B285" w:themeColor="accent2" w:themeTint="96"/>
        <w:sz w:val="22"/>
        <w14:textFill>
          <w14:solidFill>
            <w14:schemeClr w14:val="accent2">
              <w14:lumMod w14:val="59000"/>
              <w14:lumOff w14:val="41000"/>
            </w14:schemeClr>
          </w14:solidFill>
        </w14:textFill>
      </w:rPr>
      <w:tcPr>
        <w:tcBorders>
          <w:top w:val="single" w:color="F4B28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nil"/>
          <w:bottom w:val="nil"/>
          <w:right w:val="single" w:color="F4B285" w:themeColor="accent2" w:themeTint="97" w:sz="4" w:space="0"/>
        </w:tcBorders>
        <w:shd w:val="clear" w:color="FFFFFF" w:fill="auto"/>
      </w:tcPr>
    </w:tblStylePr>
    <w:tblStylePr w:type="lastCol">
      <w:rPr>
        <w:rFonts w:ascii="Arial" w:hAnsi="Arial"/>
        <w:i/>
        <w:color w:val="F4B285" w:themeColor="accent2" w:themeTint="96"/>
        <w:sz w:val="22"/>
        <w14:textFill>
          <w14:solidFill>
            <w14:schemeClr w14:val="accent2">
              <w14:lumMod w14:val="59000"/>
              <w14:lumOff w14:val="41000"/>
            </w14:schemeClr>
          </w14:solidFill>
        </w14:textFill>
      </w:rPr>
      <w:tcPr>
        <w:tcBorders>
          <w:top w:val="nil"/>
          <w:left w:val="single" w:color="F4B285" w:themeColor="accent2" w:themeTint="97" w:sz="4" w:space="0"/>
          <w:bottom w:val="nil"/>
          <w:right w:val="nil"/>
        </w:tcBorders>
        <w:shd w:val="clear" w:color="FFFFFF" w:fill="auto"/>
      </w:tcPr>
    </w:tblStylePr>
    <w:tblStylePr w:type="band1Vert">
      <w:tcPr>
        <w:shd w:val="clear" w:color="FADECB" w:themeColor="accent2" w:themeTint="40" w:fill="FADECB" w:themeFill="accent2" w:themeFillTint="40"/>
      </w:tcPr>
    </w:tblStylePr>
    <w:tblStylePr w:type="band1Horz">
      <w:rPr>
        <w:rFonts w:ascii="Arial" w:hAnsi="Arial"/>
        <w:color w:val="F4B285" w:themeColor="accent2" w:themeTint="96"/>
        <w:sz w:val="22"/>
        <w14:textFill>
          <w14:solidFill>
            <w14:schemeClr w14:val="accent2">
              <w14:lumMod w14:val="59000"/>
              <w14:lumOff w14:val="41000"/>
            </w14:schemeClr>
          </w14:solidFill>
        </w14:textFill>
      </w:rPr>
      <w:tcPr>
        <w:shd w:val="clear" w:color="FADECB" w:themeColor="accent2" w:themeTint="40" w:fill="FADECB" w:themeFill="accent2" w:themeFillTint="40"/>
      </w:tcPr>
    </w:tblStylePr>
    <w:tblStylePr w:type="band2Horz">
      <w:rPr>
        <w:rFonts w:ascii="Arial" w:hAnsi="Arial"/>
        <w:color w:val="F4B285" w:themeColor="accent2" w:themeTint="96"/>
        <w:sz w:val="22"/>
        <w14:textFill>
          <w14:solidFill>
            <w14:schemeClr w14:val="accent2">
              <w14:lumMod w14:val="59000"/>
              <w14:lumOff w14:val="41000"/>
            </w14:schemeClr>
          </w14:solidFill>
        </w14:textFill>
      </w:rPr>
    </w:tblStylePr>
  </w:style>
  <w:style w:type="table" w:customStyle="1" w:styleId="206">
    <w:name w:val="List Table 7 Colorful - Accent 3"/>
    <w:basedOn w:val="42"/>
    <w:qFormat/>
    <w:uiPriority w:val="99"/>
    <w:tblPr>
      <w:tblBorders>
        <w:right w:val="single" w:color="C9C9C9" w:themeColor="accent3" w:themeTint="98" w:sz="4" w:space="0"/>
      </w:tblBorders>
      <w:tblCellMar>
        <w:top w:w="0" w:type="dxa"/>
        <w:left w:w="108" w:type="dxa"/>
        <w:bottom w:w="0" w:type="dxa"/>
        <w:right w:w="108" w:type="dxa"/>
      </w:tblCellMar>
    </w:tblPr>
    <w:tblStylePr w:type="firstRow">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single" w:color="C9C9C9" w:themeColor="accent3" w:themeTint="98" w:sz="4" w:space="0"/>
          <w:right w:val="nil"/>
        </w:tcBorders>
        <w:shd w:val="clear" w:color="FFFFFF" w:themeColor="light1" w:fill="FFFFFF" w:themeFill="light1"/>
      </w:tcPr>
    </w:tblStylePr>
    <w:tblStylePr w:type="lastRow">
      <w:rPr>
        <w:rFonts w:ascii="Arial" w:hAnsi="Arial"/>
        <w:i/>
        <w:color w:val="C9C9C9" w:themeColor="accent3" w:themeTint="99"/>
        <w:sz w:val="22"/>
        <w14:textFill>
          <w14:solidFill>
            <w14:schemeClr w14:val="accent3">
              <w14:lumMod w14:val="60000"/>
              <w14:lumOff w14:val="40000"/>
            </w14:schemeClr>
          </w14:solidFill>
        </w14:textFill>
      </w:rPr>
      <w:tcPr>
        <w:tcBorders>
          <w:top w:val="single" w:color="C9C9C9"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nil"/>
          <w:bottom w:val="nil"/>
          <w:right w:val="single" w:color="C9C9C9" w:themeColor="accent3" w:themeTint="98" w:sz="4" w:space="0"/>
        </w:tcBorders>
        <w:shd w:val="clear" w:color="FFFFFF" w:fill="auto"/>
      </w:tcPr>
    </w:tblStylePr>
    <w:tblStylePr w:type="lastCol">
      <w:rPr>
        <w:rFonts w:ascii="Arial" w:hAnsi="Arial"/>
        <w:i/>
        <w:color w:val="C9C9C9" w:themeColor="accent3" w:themeTint="99"/>
        <w:sz w:val="22"/>
        <w14:textFill>
          <w14:solidFill>
            <w14:schemeClr w14:val="accent3">
              <w14:lumMod w14:val="60000"/>
              <w14:lumOff w14:val="40000"/>
            </w14:schemeClr>
          </w14:solidFill>
        </w14:textFill>
      </w:rPr>
      <w:tcPr>
        <w:tcBorders>
          <w:top w:val="nil"/>
          <w:left w:val="single" w:color="C9C9C9" w:themeColor="accent3" w:themeTint="98" w:sz="4" w:space="0"/>
          <w:bottom w:val="nil"/>
          <w:right w:val="nil"/>
        </w:tcBorders>
        <w:shd w:val="clear" w:color="FFFFFF" w:fill="auto"/>
      </w:tcPr>
    </w:tblStylePr>
    <w:tblStylePr w:type="band1Vert">
      <w:tcPr>
        <w:shd w:val="clear" w:color="E8E8E8" w:themeColor="accent3" w:themeTint="40" w:fill="E8E8E8" w:themeFill="accent3" w:themeFillTint="40"/>
      </w:tcPr>
    </w:tblStylePr>
    <w:tblStylePr w:type="band1Horz">
      <w:rPr>
        <w:rFonts w:ascii="Arial" w:hAnsi="Arial"/>
        <w:color w:val="C9C9C9" w:themeColor="accent3" w:themeTint="99"/>
        <w:sz w:val="22"/>
        <w14:textFill>
          <w14:solidFill>
            <w14:schemeClr w14:val="accent3">
              <w14:lumMod w14:val="60000"/>
              <w14:lumOff w14:val="40000"/>
            </w14:schemeClr>
          </w14:solidFill>
        </w14:textFill>
      </w:rPr>
      <w:tcPr>
        <w:shd w:val="clear" w:color="E8E8E8" w:themeColor="accent3" w:themeTint="40" w:fill="E8E8E8" w:themeFill="accent3" w:themeFillTint="40"/>
      </w:tcPr>
    </w:tblStylePr>
    <w:tblStylePr w:type="band2Horz">
      <w:rPr>
        <w:rFonts w:ascii="Arial" w:hAnsi="Arial"/>
        <w:color w:val="C9C9C9" w:themeColor="accent3" w:themeTint="99"/>
        <w:sz w:val="22"/>
        <w14:textFill>
          <w14:solidFill>
            <w14:schemeClr w14:val="accent3">
              <w14:lumMod w14:val="60000"/>
              <w14:lumOff w14:val="40000"/>
            </w14:schemeClr>
          </w14:solidFill>
        </w14:textFill>
      </w:rPr>
    </w:tblStylePr>
  </w:style>
  <w:style w:type="table" w:customStyle="1" w:styleId="207">
    <w:name w:val="List Table 7 Colorful - Accent 4"/>
    <w:basedOn w:val="42"/>
    <w:qFormat/>
    <w:uiPriority w:val="99"/>
    <w:tblPr>
      <w:tblBorders>
        <w:right w:val="single" w:color="FFD864" w:themeColor="accent4" w:themeTint="9A" w:sz="4" w:space="0"/>
      </w:tblBorders>
      <w:tblCellMar>
        <w:top w:w="0" w:type="dxa"/>
        <w:left w:w="108" w:type="dxa"/>
        <w:bottom w:w="0" w:type="dxa"/>
        <w:right w:w="108" w:type="dxa"/>
      </w:tblCellMar>
    </w:tblPr>
    <w:tblStylePr w:type="firstRow">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single" w:color="FFD864" w:themeColor="accent4" w:themeTint="9A" w:sz="4" w:space="0"/>
          <w:right w:val="nil"/>
        </w:tcBorders>
        <w:shd w:val="clear" w:color="FFFFFF" w:themeColor="light1" w:fill="FFFFFF" w:themeFill="light1"/>
      </w:tcPr>
    </w:tblStylePr>
    <w:tblStylePr w:type="lastRow">
      <w:rPr>
        <w:rFonts w:ascii="Arial" w:hAnsi="Arial"/>
        <w:i/>
        <w:color w:val="FFD966" w:themeColor="accent4" w:themeTint="99"/>
        <w:sz w:val="22"/>
        <w14:textFill>
          <w14:solidFill>
            <w14:schemeClr w14:val="accent4">
              <w14:lumMod w14:val="60000"/>
              <w14:lumOff w14:val="40000"/>
            </w14:schemeClr>
          </w14:solidFill>
        </w14:textFill>
      </w:rPr>
      <w:tcPr>
        <w:tcBorders>
          <w:top w:val="single" w:color="FFD864"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nil"/>
          <w:bottom w:val="nil"/>
          <w:right w:val="single" w:color="FFD864" w:themeColor="accent4" w:themeTint="9A" w:sz="4" w:space="0"/>
        </w:tcBorders>
        <w:shd w:val="clear" w:color="FFFFFF" w:fill="auto"/>
      </w:tcPr>
    </w:tblStylePr>
    <w:tblStylePr w:type="lastCol">
      <w:rPr>
        <w:rFonts w:ascii="Arial" w:hAnsi="Arial"/>
        <w:i/>
        <w:color w:val="FFD966" w:themeColor="accent4" w:themeTint="99"/>
        <w:sz w:val="22"/>
        <w14:textFill>
          <w14:solidFill>
            <w14:schemeClr w14:val="accent4">
              <w14:lumMod w14:val="60000"/>
              <w14:lumOff w14:val="40000"/>
            </w14:schemeClr>
          </w14:solidFill>
        </w14:textFill>
      </w:rPr>
      <w:tcPr>
        <w:tcBorders>
          <w:top w:val="nil"/>
          <w:left w:val="single" w:color="FFD864" w:themeColor="accent4" w:themeTint="9A" w:sz="4" w:space="0"/>
          <w:bottom w:val="nil"/>
          <w:right w:val="nil"/>
        </w:tcBorders>
        <w:shd w:val="clear" w:color="FFFFFF" w:fill="auto"/>
      </w:tcPr>
    </w:tblStylePr>
    <w:tblStylePr w:type="band1Vert">
      <w:tcPr>
        <w:shd w:val="clear" w:color="FFEFBE" w:themeColor="accent4" w:themeTint="40" w:fill="FFEFBE" w:themeFill="accent4" w:themeFillTint="40"/>
      </w:tcPr>
    </w:tblStylePr>
    <w:tblStylePr w:type="band1Horz">
      <w:rPr>
        <w:rFonts w:ascii="Arial" w:hAnsi="Arial"/>
        <w:color w:val="FFD966" w:themeColor="accent4" w:themeTint="99"/>
        <w:sz w:val="22"/>
        <w14:textFill>
          <w14:solidFill>
            <w14:schemeClr w14:val="accent4">
              <w14:lumMod w14:val="60000"/>
              <w14:lumOff w14:val="40000"/>
            </w14:schemeClr>
          </w14:solidFill>
        </w14:textFill>
      </w:rPr>
      <w:tcPr>
        <w:shd w:val="clear" w:color="FFEFBE" w:themeColor="accent4" w:themeTint="40" w:fill="FFEFBE" w:themeFill="accent4" w:themeFillTint="40"/>
      </w:tcPr>
    </w:tblStylePr>
    <w:tblStylePr w:type="band2Horz">
      <w:rPr>
        <w:rFonts w:ascii="Arial" w:hAnsi="Arial"/>
        <w:color w:val="FFD966" w:themeColor="accent4" w:themeTint="99"/>
        <w:sz w:val="22"/>
        <w14:textFill>
          <w14:solidFill>
            <w14:schemeClr w14:val="accent4">
              <w14:lumMod w14:val="60000"/>
              <w14:lumOff w14:val="40000"/>
            </w14:schemeClr>
          </w14:solidFill>
        </w14:textFill>
      </w:rPr>
    </w:tblStylePr>
  </w:style>
  <w:style w:type="table" w:customStyle="1" w:styleId="208">
    <w:name w:val="List Table 7 Colorful - Accent 5"/>
    <w:basedOn w:val="42"/>
    <w:qFormat/>
    <w:uiPriority w:val="99"/>
    <w:tblPr>
      <w:tblBorders>
        <w:right w:val="single" w:color="8EA9DB" w:themeColor="accent5" w:themeTint="9A" w:sz="4" w:space="0"/>
      </w:tblBorders>
      <w:tblCellMar>
        <w:top w:w="0" w:type="dxa"/>
        <w:left w:w="108" w:type="dxa"/>
        <w:bottom w:w="0" w:type="dxa"/>
        <w:right w:w="108" w:type="dxa"/>
      </w:tblCellMar>
    </w:tblPr>
    <w:tblStylePr w:type="firstRow">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single" w:color="8EA9DB" w:themeColor="accent5" w:themeTint="9A" w:sz="4" w:space="0"/>
          <w:right w:val="nil"/>
        </w:tcBorders>
        <w:shd w:val="clear" w:color="FFFFFF" w:themeColor="light1" w:fill="FFFFFF" w:themeFill="light1"/>
      </w:tcPr>
    </w:tblStylePr>
    <w:tblStylePr w:type="lastRow">
      <w:rPr>
        <w:rFonts w:ascii="Arial" w:hAnsi="Arial"/>
        <w:i/>
        <w:color w:val="8FAADC" w:themeColor="accent5" w:themeTint="99"/>
        <w:sz w:val="22"/>
        <w14:textFill>
          <w14:solidFill>
            <w14:schemeClr w14:val="accent5">
              <w14:lumMod w14:val="60000"/>
              <w14:lumOff w14:val="40000"/>
            </w14:schemeClr>
          </w14:solidFill>
        </w14:textFill>
      </w:rPr>
      <w:tcPr>
        <w:tcBorders>
          <w:top w:val="single" w:color="8EA9DB"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nil"/>
          <w:bottom w:val="nil"/>
          <w:right w:val="single" w:color="8EA9DB" w:themeColor="accent5" w:themeTint="9A" w:sz="4" w:space="0"/>
        </w:tcBorders>
        <w:shd w:val="clear" w:color="FFFFFF" w:fill="auto"/>
      </w:tcPr>
    </w:tblStylePr>
    <w:tblStylePr w:type="lastCol">
      <w:rPr>
        <w:rFonts w:ascii="Arial" w:hAnsi="Arial"/>
        <w:i/>
        <w:color w:val="8FAADC" w:themeColor="accent5" w:themeTint="99"/>
        <w:sz w:val="22"/>
        <w14:textFill>
          <w14:solidFill>
            <w14:schemeClr w14:val="accent5">
              <w14:lumMod w14:val="60000"/>
              <w14:lumOff w14:val="40000"/>
            </w14:schemeClr>
          </w14:solidFill>
        </w14:textFill>
      </w:rPr>
      <w:tcPr>
        <w:tcBorders>
          <w:top w:val="nil"/>
          <w:left w:val="single" w:color="8EA9DB" w:themeColor="accent5" w:themeTint="9A" w:sz="4" w:space="0"/>
          <w:bottom w:val="nil"/>
          <w:right w:val="nil"/>
        </w:tcBorders>
        <w:shd w:val="clear" w:color="FFFFFF" w:fill="auto"/>
      </w:tcPr>
    </w:tblStylePr>
    <w:tblStylePr w:type="band1Vert">
      <w:tcPr>
        <w:shd w:val="clear" w:color="D0DBF0" w:themeColor="accent5" w:themeTint="40" w:fill="D0DBF0" w:themeFill="accent5" w:themeFillTint="40"/>
      </w:tcPr>
    </w:tblStylePr>
    <w:tblStylePr w:type="band1Horz">
      <w:rPr>
        <w:rFonts w:ascii="Arial" w:hAnsi="Arial"/>
        <w:color w:val="8FAADC" w:themeColor="accent5" w:themeTint="99"/>
        <w:sz w:val="22"/>
        <w14:textFill>
          <w14:solidFill>
            <w14:schemeClr w14:val="accent5">
              <w14:lumMod w14:val="60000"/>
              <w14:lumOff w14:val="40000"/>
            </w14:schemeClr>
          </w14:solidFill>
        </w14:textFill>
      </w:rPr>
      <w:tcPr>
        <w:shd w:val="clear" w:color="D0DBF0" w:themeColor="accent5" w:themeTint="40" w:fill="D0DBF0" w:themeFill="accent5" w:themeFillTint="40"/>
      </w:tcPr>
    </w:tblStylePr>
    <w:tblStylePr w:type="band2Horz">
      <w:rPr>
        <w:rFonts w:ascii="Arial" w:hAnsi="Arial"/>
        <w:color w:val="8FAADC" w:themeColor="accent5" w:themeTint="99"/>
        <w:sz w:val="22"/>
        <w14:textFill>
          <w14:solidFill>
            <w14:schemeClr w14:val="accent5">
              <w14:lumMod w14:val="60000"/>
              <w14:lumOff w14:val="40000"/>
            </w14:schemeClr>
          </w14:solidFill>
        </w14:textFill>
      </w:rPr>
    </w:tblStylePr>
  </w:style>
  <w:style w:type="table" w:customStyle="1" w:styleId="209">
    <w:name w:val="List Table 7 Colorful - Accent 6"/>
    <w:basedOn w:val="42"/>
    <w:qFormat/>
    <w:uiPriority w:val="99"/>
    <w:tblPr>
      <w:tblBorders>
        <w:right w:val="single" w:color="A9D08E" w:themeColor="accent6" w:themeTint="98" w:sz="4" w:space="0"/>
      </w:tblBorders>
      <w:tblCellMar>
        <w:top w:w="0" w:type="dxa"/>
        <w:left w:w="108" w:type="dxa"/>
        <w:bottom w:w="0" w:type="dxa"/>
        <w:right w:w="108" w:type="dxa"/>
      </w:tblCellMar>
    </w:tblPr>
    <w:tblStylePr w:type="firstRow">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single" w:color="A9D08E" w:themeColor="accent6" w:themeTint="98" w:sz="4" w:space="0"/>
          <w:right w:val="nil"/>
        </w:tcBorders>
        <w:shd w:val="clear" w:color="FFFFFF" w:themeColor="light1" w:fill="FFFFFF" w:themeFill="light1"/>
      </w:tcPr>
    </w:tblStylePr>
    <w:tblStylePr w:type="lastRow">
      <w:rPr>
        <w:rFonts w:ascii="Arial" w:hAnsi="Arial"/>
        <w:i/>
        <w:color w:val="A9D18E" w:themeColor="accent6" w:themeTint="99"/>
        <w:sz w:val="22"/>
        <w14:textFill>
          <w14:solidFill>
            <w14:schemeClr w14:val="accent6">
              <w14:lumMod w14:val="60000"/>
              <w14:lumOff w14:val="40000"/>
            </w14:schemeClr>
          </w14:solidFill>
        </w14:textFill>
      </w:rPr>
      <w:tcPr>
        <w:tcBorders>
          <w:top w:val="single" w:color="A9D08E"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nil"/>
          <w:bottom w:val="nil"/>
          <w:right w:val="single" w:color="A9D08E" w:themeColor="accent6" w:themeTint="98" w:sz="4" w:space="0"/>
        </w:tcBorders>
        <w:shd w:val="clear" w:color="FFFFFF" w:fill="auto"/>
      </w:tcPr>
    </w:tblStylePr>
    <w:tblStylePr w:type="lastCol">
      <w:rPr>
        <w:rFonts w:ascii="Arial" w:hAnsi="Arial"/>
        <w:i/>
        <w:color w:val="A9D18E" w:themeColor="accent6" w:themeTint="99"/>
        <w:sz w:val="22"/>
        <w14:textFill>
          <w14:solidFill>
            <w14:schemeClr w14:val="accent6">
              <w14:lumMod w14:val="60000"/>
              <w14:lumOff w14:val="40000"/>
            </w14:schemeClr>
          </w14:solidFill>
        </w14:textFill>
      </w:rPr>
      <w:tcPr>
        <w:tcBorders>
          <w:top w:val="nil"/>
          <w:left w:val="single" w:color="A9D08E" w:themeColor="accent6" w:themeTint="98" w:sz="4" w:space="0"/>
          <w:bottom w:val="nil"/>
          <w:right w:val="nil"/>
        </w:tcBorders>
        <w:shd w:val="clear" w:color="FFFFFF" w:fill="auto"/>
      </w:tcPr>
    </w:tblStylePr>
    <w:tblStylePr w:type="band1Vert">
      <w:tcPr>
        <w:shd w:val="clear" w:color="DAEBCF" w:themeColor="accent6" w:themeTint="40" w:fill="DAEBCF" w:themeFill="accent6" w:themeFillTint="40"/>
      </w:tcPr>
    </w:tblStylePr>
    <w:tblStylePr w:type="band1Horz">
      <w:rPr>
        <w:rFonts w:ascii="Arial" w:hAnsi="Arial"/>
        <w:color w:val="A9D18E" w:themeColor="accent6" w:themeTint="99"/>
        <w:sz w:val="22"/>
        <w14:textFill>
          <w14:solidFill>
            <w14:schemeClr w14:val="accent6">
              <w14:lumMod w14:val="60000"/>
              <w14:lumOff w14:val="40000"/>
            </w14:schemeClr>
          </w14:solidFill>
        </w14:textFill>
      </w:rPr>
      <w:tcPr>
        <w:shd w:val="clear" w:color="DAEBCF" w:themeColor="accent6" w:themeTint="40" w:fill="DAEBCF" w:themeFill="accent6" w:themeFillTint="40"/>
      </w:tcPr>
    </w:tblStylePr>
    <w:tblStylePr w:type="band2Horz">
      <w:rPr>
        <w:rFonts w:ascii="Arial" w:hAnsi="Arial"/>
        <w:color w:val="A9D18E" w:themeColor="accent6" w:themeTint="99"/>
        <w:sz w:val="22"/>
        <w14:textFill>
          <w14:solidFill>
            <w14:schemeClr w14:val="accent6">
              <w14:lumMod w14:val="60000"/>
              <w14:lumOff w14:val="40000"/>
            </w14:schemeClr>
          </w14:solidFill>
        </w14:textFill>
      </w:rPr>
    </w:tblStylePr>
  </w:style>
  <w:style w:type="table" w:customStyle="1" w:styleId="210">
    <w:name w:val="Lined - Accent"/>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1">
    <w:name w:val="Lined - Accent 1"/>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212">
    <w:name w:val="Lined - Accent 2"/>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213">
    <w:name w:val="Lined - Accent 3"/>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214">
    <w:name w:val="Lined - Accent 4"/>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215">
    <w:name w:val="Lined - Accent 5"/>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216">
    <w:name w:val="Lined - Accent 6"/>
    <w:basedOn w:val="42"/>
    <w:qFormat/>
    <w:uiPriority w:val="99"/>
    <w:rPr>
      <w:color w:val="404040"/>
    </w:rPr>
    <w:tblPr>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17">
    <w:name w:val="Bordered &amp; Lined - Accent"/>
    <w:basedOn w:val="42"/>
    <w:qFormat/>
    <w:uiPriority w:val="99"/>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CellMar>
        <w:top w:w="0" w:type="dxa"/>
        <w:left w:w="108" w:type="dxa"/>
        <w:bottom w:w="0" w:type="dxa"/>
        <w:right w:w="108" w:type="dxa"/>
      </w:tblCellMar>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style>
  <w:style w:type="table" w:customStyle="1" w:styleId="218">
    <w:name w:val="Bordered &amp; Lined - Accent 1"/>
    <w:basedOn w:val="42"/>
    <w:qFormat/>
    <w:uiPriority w:val="99"/>
    <w:rPr>
      <w:color w:val="404040"/>
    </w:rPr>
    <w:tblPr>
      <w:tblBorders>
        <w:top w:val="single" w:color="245B8D" w:themeColor="accent1" w:themeShade="95" w:sz="4" w:space="0"/>
        <w:left w:val="single" w:color="245B8D" w:themeColor="accent1" w:themeShade="95" w:sz="4" w:space="0"/>
        <w:bottom w:val="single" w:color="245B8D" w:themeColor="accent1" w:themeShade="95" w:sz="4" w:space="0"/>
        <w:right w:val="single" w:color="245B8D" w:themeColor="accent1" w:themeShade="95" w:sz="4" w:space="0"/>
        <w:insideH w:val="single" w:color="245B8D" w:themeColor="accent1" w:themeShade="95" w:sz="4" w:space="0"/>
        <w:insideV w:val="single" w:color="245B8D" w:themeColor="accent1" w:themeShade="95" w:sz="4" w:space="0"/>
      </w:tblBorders>
      <w:tblCellMar>
        <w:top w:w="0" w:type="dxa"/>
        <w:left w:w="108" w:type="dxa"/>
        <w:bottom w:w="0" w:type="dxa"/>
        <w:right w:w="108" w:type="dxa"/>
      </w:tblCellMar>
    </w:tblPr>
    <w:tblStylePr w:type="firstRow">
      <w:rPr>
        <w:rFonts w:ascii="Arial" w:hAnsi="Arial"/>
        <w:color w:val="F2F2F2"/>
        <w:sz w:val="22"/>
      </w:rPr>
      <w:tcPr>
        <w:shd w:val="clear" w:color="68A3D8" w:themeColor="accent1" w:themeTint="EA" w:fill="68A3D8" w:themeFill="accent1" w:themeFillTint="EA"/>
      </w:tcPr>
    </w:tblStylePr>
    <w:tblStylePr w:type="lastRow">
      <w:rPr>
        <w:rFonts w:ascii="Arial" w:hAnsi="Arial"/>
        <w:color w:val="F2F2F2"/>
        <w:sz w:val="22"/>
      </w:rPr>
      <w:tcPr>
        <w:shd w:val="clear" w:color="68A3D8" w:themeColor="accent1" w:themeTint="EA" w:fill="68A3D8" w:themeFill="accent1" w:themeFillTint="EA"/>
      </w:tcPr>
    </w:tblStylePr>
    <w:tblStylePr w:type="firstCol">
      <w:rPr>
        <w:rFonts w:ascii="Arial" w:hAnsi="Arial"/>
        <w:color w:val="F2F2F2"/>
        <w:sz w:val="22"/>
      </w:rPr>
      <w:tcPr>
        <w:shd w:val="clear" w:color="68A3D8" w:themeColor="accent1" w:themeTint="EA" w:fill="68A3D8" w:themeFill="accent1" w:themeFillTint="EA"/>
      </w:tcPr>
    </w:tblStylePr>
    <w:tblStylePr w:type="lastCol">
      <w:rPr>
        <w:rFonts w:ascii="Arial" w:hAnsi="Arial"/>
        <w:color w:val="F2F2F2"/>
        <w:sz w:val="22"/>
      </w:rPr>
      <w:tcPr>
        <w:shd w:val="clear" w:color="68A3D8" w:themeColor="accent1" w:themeTint="EA" w:fill="68A3D8"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BDFF1" w:themeColor="accent1" w:themeTint="50" w:fill="CBDFF1" w:themeFill="accent1" w:themeFillTint="50"/>
      </w:tcPr>
    </w:tblStylePr>
  </w:style>
  <w:style w:type="table" w:customStyle="1" w:styleId="219">
    <w:name w:val="Bordered &amp; Lined - Accent 2"/>
    <w:basedOn w:val="42"/>
    <w:qFormat/>
    <w:uiPriority w:val="99"/>
    <w:rPr>
      <w:color w:val="404040"/>
    </w:rPr>
    <w:tblPr>
      <w:tblBorders>
        <w:top w:val="single" w:color="99460D" w:themeColor="accent2" w:themeShade="95" w:sz="4" w:space="0"/>
        <w:left w:val="single" w:color="99460D" w:themeColor="accent2" w:themeShade="95" w:sz="4" w:space="0"/>
        <w:bottom w:val="single" w:color="99460D" w:themeColor="accent2" w:themeShade="95" w:sz="4" w:space="0"/>
        <w:right w:val="single" w:color="99460D" w:themeColor="accent2" w:themeShade="95" w:sz="4" w:space="0"/>
        <w:insideH w:val="single" w:color="99460D" w:themeColor="accent2" w:themeShade="95" w:sz="4" w:space="0"/>
        <w:insideV w:val="single" w:color="99460D" w:themeColor="accent2" w:themeShade="95" w:sz="4" w:space="0"/>
      </w:tblBorders>
      <w:tblCellMar>
        <w:top w:w="0" w:type="dxa"/>
        <w:left w:w="108" w:type="dxa"/>
        <w:bottom w:w="0" w:type="dxa"/>
        <w:right w:w="108" w:type="dxa"/>
      </w:tblCellMar>
    </w:tblPr>
    <w:tblStylePr w:type="firstRow">
      <w:rPr>
        <w:rFonts w:ascii="Arial" w:hAnsi="Arial"/>
        <w:color w:val="F2F2F2"/>
        <w:sz w:val="22"/>
      </w:rPr>
      <w:tcPr>
        <w:shd w:val="clear" w:color="F4B285" w:themeColor="accent2" w:themeTint="97" w:fill="F4B285" w:themeFill="accent2" w:themeFillTint="97"/>
      </w:tcPr>
    </w:tblStylePr>
    <w:tblStylePr w:type="lastRow">
      <w:rPr>
        <w:rFonts w:ascii="Arial" w:hAnsi="Arial"/>
        <w:color w:val="F2F2F2"/>
        <w:sz w:val="22"/>
      </w:rPr>
      <w:tcPr>
        <w:shd w:val="clear" w:color="F4B285" w:themeColor="accent2" w:themeTint="97" w:fill="F4B285" w:themeFill="accent2" w:themeFillTint="97"/>
      </w:tcPr>
    </w:tblStylePr>
    <w:tblStylePr w:type="firstCol">
      <w:rPr>
        <w:rFonts w:ascii="Arial" w:hAnsi="Arial"/>
        <w:color w:val="F2F2F2"/>
        <w:sz w:val="22"/>
      </w:rPr>
      <w:tcPr>
        <w:shd w:val="clear" w:color="F4B285" w:themeColor="accent2" w:themeTint="97" w:fill="F4B285" w:themeFill="accent2" w:themeFillTint="97"/>
      </w:tcPr>
    </w:tblStylePr>
    <w:tblStylePr w:type="lastCol">
      <w:rPr>
        <w:rFonts w:ascii="Arial" w:hAnsi="Arial"/>
        <w:color w:val="F2F2F2"/>
        <w:sz w:val="22"/>
      </w:rPr>
      <w:tcPr>
        <w:shd w:val="clear" w:color="F4B285" w:themeColor="accent2" w:themeTint="97" w:fill="F4B28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5D6" w:themeColor="accent2" w:themeTint="32" w:fill="FBE5D6" w:themeFill="accent2" w:themeFillTint="32"/>
      </w:tcPr>
    </w:tblStylePr>
  </w:style>
  <w:style w:type="table" w:customStyle="1" w:styleId="220">
    <w:name w:val="Bordered &amp; Lined - Accent 3"/>
    <w:basedOn w:val="42"/>
    <w:qFormat/>
    <w:uiPriority w:val="99"/>
    <w:rPr>
      <w:color w:val="404040"/>
    </w:rPr>
    <w:tblPr>
      <w:tblBorders>
        <w:top w:val="single" w:color="606060" w:themeColor="accent3" w:themeShade="95" w:sz="4" w:space="0"/>
        <w:left w:val="single" w:color="606060" w:themeColor="accent3" w:themeShade="95" w:sz="4" w:space="0"/>
        <w:bottom w:val="single" w:color="606060" w:themeColor="accent3" w:themeShade="95" w:sz="4" w:space="0"/>
        <w:right w:val="single" w:color="606060" w:themeColor="accent3" w:themeShade="95" w:sz="4" w:space="0"/>
        <w:insideH w:val="single" w:color="606060" w:themeColor="accent3" w:themeShade="95" w:sz="4" w:space="0"/>
        <w:insideV w:val="single" w:color="606060" w:themeColor="accent3" w:themeShade="95" w:sz="4" w:space="0"/>
      </w:tblBorders>
      <w:tblCellMar>
        <w:top w:w="0" w:type="dxa"/>
        <w:left w:w="108" w:type="dxa"/>
        <w:bottom w:w="0" w:type="dxa"/>
        <w:right w:w="108" w:type="dxa"/>
      </w:tblCellMar>
    </w:tblPr>
    <w:tblStylePr w:type="firstRow">
      <w:rPr>
        <w:rFonts w:ascii="Arial" w:hAnsi="Arial"/>
        <w:color w:val="F2F2F2"/>
        <w:sz w:val="22"/>
      </w:rPr>
      <w:tcPr>
        <w:shd w:val="clear" w:color="A5A5A5" w:themeColor="accent3" w:themeTint="FE" w:fill="A5A5A5" w:themeFill="accent3" w:themeFillTint="FE"/>
      </w:tcPr>
    </w:tblStylePr>
    <w:tblStylePr w:type="lastRow">
      <w:rPr>
        <w:rFonts w:ascii="Arial" w:hAnsi="Arial"/>
        <w:color w:val="F2F2F2"/>
        <w:sz w:val="22"/>
      </w:rPr>
      <w:tcPr>
        <w:shd w:val="clear" w:color="A5A5A5" w:themeColor="accent3" w:themeTint="FE" w:fill="A5A5A5" w:themeFill="accent3" w:themeFillTint="FE"/>
      </w:tcPr>
    </w:tblStylePr>
    <w:tblStylePr w:type="firstCol">
      <w:rPr>
        <w:rFonts w:ascii="Arial" w:hAnsi="Arial"/>
        <w:color w:val="F2F2F2"/>
        <w:sz w:val="22"/>
      </w:rPr>
      <w:tcPr>
        <w:shd w:val="clear" w:color="A5A5A5" w:themeColor="accent3" w:themeTint="FE" w:fill="A5A5A5" w:themeFill="accent3" w:themeFillTint="FE"/>
      </w:tcPr>
    </w:tblStylePr>
    <w:tblStylePr w:type="lastCol">
      <w:rPr>
        <w:rFonts w:ascii="Arial" w:hAnsi="Arial"/>
        <w:color w:val="F2F2F2"/>
        <w:sz w:val="22"/>
      </w:r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CECEC" w:themeColor="accent3" w:themeTint="34" w:fill="ECECEC" w:themeFill="accent3" w:themeFillTint="34"/>
      </w:tcPr>
    </w:tblStylePr>
  </w:style>
  <w:style w:type="table" w:customStyle="1" w:styleId="221">
    <w:name w:val="Bordered &amp; Lined - Accent 4"/>
    <w:basedOn w:val="42"/>
    <w:qFormat/>
    <w:uiPriority w:val="99"/>
    <w:rPr>
      <w:color w:val="404040"/>
    </w:rPr>
    <w:tblPr>
      <w:tblBorders>
        <w:top w:val="single" w:color="947000" w:themeColor="accent4" w:themeShade="95" w:sz="4" w:space="0"/>
        <w:left w:val="single" w:color="947000" w:themeColor="accent4" w:themeShade="95" w:sz="4" w:space="0"/>
        <w:bottom w:val="single" w:color="947000" w:themeColor="accent4" w:themeShade="95" w:sz="4" w:space="0"/>
        <w:right w:val="single" w:color="947000" w:themeColor="accent4" w:themeShade="95" w:sz="4" w:space="0"/>
        <w:insideH w:val="single" w:color="947000" w:themeColor="accent4" w:themeShade="95" w:sz="4" w:space="0"/>
        <w:insideV w:val="single" w:color="947000" w:themeColor="accent4" w:themeShade="95" w:sz="4" w:space="0"/>
      </w:tblBorders>
      <w:tblCellMar>
        <w:top w:w="0" w:type="dxa"/>
        <w:left w:w="108" w:type="dxa"/>
        <w:bottom w:w="0" w:type="dxa"/>
        <w:right w:w="108" w:type="dxa"/>
      </w:tblCellMar>
    </w:tblPr>
    <w:tblStylePr w:type="firstRow">
      <w:rPr>
        <w:rFonts w:ascii="Arial" w:hAnsi="Arial"/>
        <w:color w:val="F2F2F2"/>
        <w:sz w:val="22"/>
      </w:rPr>
      <w:tcPr>
        <w:shd w:val="clear" w:color="FFD864" w:themeColor="accent4" w:themeTint="9A" w:fill="FFD864" w:themeFill="accent4" w:themeFillTint="9A"/>
      </w:tcPr>
    </w:tblStylePr>
    <w:tblStylePr w:type="lastRow">
      <w:rPr>
        <w:rFonts w:ascii="Arial" w:hAnsi="Arial"/>
        <w:color w:val="F2F2F2"/>
        <w:sz w:val="22"/>
      </w:rPr>
      <w:tcPr>
        <w:shd w:val="clear" w:color="FFD864" w:themeColor="accent4" w:themeTint="9A" w:fill="FFD864" w:themeFill="accent4" w:themeFillTint="9A"/>
      </w:tcPr>
    </w:tblStylePr>
    <w:tblStylePr w:type="firstCol">
      <w:rPr>
        <w:rFonts w:ascii="Arial" w:hAnsi="Arial"/>
        <w:color w:val="F2F2F2"/>
        <w:sz w:val="22"/>
      </w:rPr>
      <w:tcPr>
        <w:shd w:val="clear" w:color="FFD864" w:themeColor="accent4" w:themeTint="9A" w:fill="FFD864" w:themeFill="accent4" w:themeFillTint="9A"/>
      </w:tcPr>
    </w:tblStylePr>
    <w:tblStylePr w:type="lastCol">
      <w:rPr>
        <w:rFonts w:ascii="Arial" w:hAnsi="Arial"/>
        <w:color w:val="F2F2F2"/>
        <w:sz w:val="22"/>
      </w:rPr>
      <w:tcPr>
        <w:shd w:val="clear" w:color="FFD864" w:themeColor="accent4" w:themeTint="9A" w:fill="FFD864"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FEF2CA" w:themeColor="accent4" w:themeTint="34" w:fill="FEF2CA"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FEF2CA" w:themeColor="accent4" w:themeTint="34" w:fill="FEF2CA" w:themeFill="accent4" w:themeFillTint="34"/>
      </w:tcPr>
    </w:tblStylePr>
  </w:style>
  <w:style w:type="table" w:customStyle="1" w:styleId="222">
    <w:name w:val="Bordered &amp; Lined - Accent 5"/>
    <w:basedOn w:val="42"/>
    <w:qFormat/>
    <w:uiPriority w:val="99"/>
    <w:rPr>
      <w:color w:val="404040"/>
    </w:rPr>
    <w:tblPr>
      <w:tblBorders>
        <w:top w:val="single" w:color="244175" w:themeColor="accent5" w:themeShade="95" w:sz="4" w:space="0"/>
        <w:left w:val="single" w:color="244175" w:themeColor="accent5" w:themeShade="95" w:sz="4" w:space="0"/>
        <w:bottom w:val="single" w:color="244175" w:themeColor="accent5" w:themeShade="95" w:sz="4" w:space="0"/>
        <w:right w:val="single" w:color="244175" w:themeColor="accent5" w:themeShade="95" w:sz="4" w:space="0"/>
        <w:insideH w:val="single" w:color="244175" w:themeColor="accent5" w:themeShade="95" w:sz="4" w:space="0"/>
        <w:insideV w:val="single" w:color="244175" w:themeColor="accent5" w:themeShade="95" w:sz="4" w:space="0"/>
      </w:tblBorders>
      <w:tblCellMar>
        <w:top w:w="0" w:type="dxa"/>
        <w:left w:w="108" w:type="dxa"/>
        <w:bottom w:w="0" w:type="dxa"/>
        <w:right w:w="108" w:type="dxa"/>
      </w:tblCellMar>
    </w:tblPr>
    <w:tblStylePr w:type="firstRow">
      <w:rPr>
        <w:rFonts w:ascii="Arial" w:hAnsi="Arial"/>
        <w:color w:val="F2F2F2"/>
        <w:sz w:val="22"/>
      </w:rPr>
      <w:tcPr>
        <w:shd w:val="clear" w:color="4472C4" w:themeColor="accent5" w:fill="4472C4" w:themeFill="accent5"/>
      </w:tcPr>
    </w:tblStylePr>
    <w:tblStylePr w:type="lastRow">
      <w:rPr>
        <w:rFonts w:ascii="Arial" w:hAnsi="Arial"/>
        <w:color w:val="F2F2F2"/>
        <w:sz w:val="22"/>
      </w:rPr>
      <w:tcPr>
        <w:shd w:val="clear" w:color="4472C4" w:themeColor="accent5" w:fill="4472C4" w:themeFill="accent5"/>
      </w:tcPr>
    </w:tblStylePr>
    <w:tblStylePr w:type="firstCol">
      <w:rPr>
        <w:rFonts w:ascii="Arial" w:hAnsi="Arial"/>
        <w:color w:val="F2F2F2"/>
        <w:sz w:val="22"/>
      </w:rPr>
      <w:tcPr>
        <w:shd w:val="clear" w:color="4472C4" w:themeColor="accent5" w:fill="4472C4" w:themeFill="accent5"/>
      </w:tcPr>
    </w:tblStylePr>
    <w:tblStylePr w:type="lastCol">
      <w:rPr>
        <w:rFonts w:ascii="Arial" w:hAnsi="Arial"/>
        <w:color w:val="F2F2F2"/>
        <w:sz w:val="22"/>
      </w:r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cPr>
        <w:shd w:val="clear" w:color="D8E2F2" w:themeColor="accent5" w:themeTint="34" w:fill="D8E2F2"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8E2F2" w:themeColor="accent5" w:themeTint="34" w:fill="D8E2F2" w:themeFill="accent5" w:themeFillTint="34"/>
      </w:tcPr>
    </w:tblStylePr>
  </w:style>
  <w:style w:type="table" w:customStyle="1" w:styleId="223">
    <w:name w:val="Bordered &amp; Lined - Accent 6"/>
    <w:basedOn w:val="42"/>
    <w:qFormat/>
    <w:uiPriority w:val="99"/>
    <w:rPr>
      <w:color w:val="404040"/>
    </w:rPr>
    <w:tblPr>
      <w:tblBorders>
        <w:top w:val="single" w:color="416529" w:themeColor="accent6" w:themeShade="95" w:sz="4" w:space="0"/>
        <w:left w:val="single" w:color="416529" w:themeColor="accent6" w:themeShade="95" w:sz="4" w:space="0"/>
        <w:bottom w:val="single" w:color="416529" w:themeColor="accent6" w:themeShade="95" w:sz="4" w:space="0"/>
        <w:right w:val="single" w:color="416529" w:themeColor="accent6" w:themeShade="95" w:sz="4" w:space="0"/>
        <w:insideH w:val="single" w:color="416529" w:themeColor="accent6" w:themeShade="95" w:sz="4" w:space="0"/>
        <w:insideV w:val="single" w:color="416529" w:themeColor="accent6" w:themeShade="95" w:sz="4" w:space="0"/>
      </w:tblBorders>
      <w:tblCellMar>
        <w:top w:w="0" w:type="dxa"/>
        <w:left w:w="108" w:type="dxa"/>
        <w:bottom w:w="0" w:type="dxa"/>
        <w:right w:w="108" w:type="dxa"/>
      </w:tblCellMar>
    </w:tblPr>
    <w:tblStylePr w:type="firstRow">
      <w:rPr>
        <w:rFonts w:ascii="Arial" w:hAnsi="Arial"/>
        <w:color w:val="F2F2F2"/>
        <w:sz w:val="22"/>
      </w:rPr>
      <w:tcPr>
        <w:shd w:val="clear" w:color="70AD47" w:themeColor="accent6" w:fill="70AD47" w:themeFill="accent6"/>
      </w:tcPr>
    </w:tblStylePr>
    <w:tblStylePr w:type="lastRow">
      <w:rPr>
        <w:rFonts w:ascii="Arial" w:hAnsi="Arial"/>
        <w:color w:val="F2F2F2"/>
        <w:sz w:val="22"/>
      </w:rPr>
      <w:tcPr>
        <w:shd w:val="clear" w:color="70AD47" w:themeColor="accent6" w:fill="70AD47" w:themeFill="accent6"/>
      </w:tcPr>
    </w:tblStylePr>
    <w:tblStylePr w:type="firstCol">
      <w:rPr>
        <w:rFonts w:ascii="Arial" w:hAnsi="Arial"/>
        <w:color w:val="F2F2F2"/>
        <w:sz w:val="22"/>
      </w:rPr>
      <w:tcPr>
        <w:shd w:val="clear" w:color="70AD47" w:themeColor="accent6" w:fill="70AD47" w:themeFill="accent6"/>
      </w:tcPr>
    </w:tblStylePr>
    <w:tblStylePr w:type="lastCol">
      <w:rPr>
        <w:rFonts w:ascii="Arial" w:hAnsi="Arial"/>
        <w:color w:val="F2F2F2"/>
        <w:sz w:val="22"/>
      </w:r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E1EFD8" w:themeColor="accent6" w:themeTint="34" w:fill="E1EFD8" w:themeFill="accent6" w:themeFillTint="34"/>
      </w:tcPr>
    </w:tblStylePr>
  </w:style>
  <w:style w:type="table" w:customStyle="1" w:styleId="224">
    <w:name w:val="Bordered"/>
    <w:basedOn w:val="42"/>
    <w:qFormat/>
    <w:uiPriority w:val="99"/>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CellMar>
        <w:top w:w="0" w:type="dxa"/>
        <w:left w:w="108" w:type="dxa"/>
        <w:bottom w:w="0" w:type="dxa"/>
        <w:right w:w="108" w:type="dxa"/>
      </w:tblCellMar>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style>
  <w:style w:type="table" w:customStyle="1" w:styleId="225">
    <w:name w:val="Bordered - Accent 1"/>
    <w:basedOn w:val="42"/>
    <w:qFormat/>
    <w:uiPriority w:val="99"/>
    <w:tblPr>
      <w:tbl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insideH w:val="single" w:color="BCD6EE" w:themeColor="accent1" w:themeTint="67" w:sz="4" w:space="0"/>
        <w:insideV w:val="single" w:color="BCD6EE" w:themeColor="accent1"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5B9BD5" w:themeColor="accent1" w:sz="12" w:space="0"/>
        </w:tcBorders>
      </w:tcPr>
    </w:tblStylePr>
    <w:tblStylePr w:type="lastRow">
      <w:rPr>
        <w:rFonts w:ascii="Arial" w:hAnsi="Arial"/>
        <w:color w:val="404040"/>
        <w:sz w:val="22"/>
      </w:rPr>
      <w:tcPr>
        <w:tcBorders>
          <w:top w:val="single" w:color="5B9BD5"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5B9BD5" w:themeColor="accent1" w:sz="12" w:space="0"/>
        </w:tcBorders>
      </w:tcPr>
    </w:tblStylePr>
    <w:tblStylePr w:type="band1Horz">
      <w:rPr>
        <w:rFonts w:ascii="Arial" w:hAnsi="Arial"/>
        <w:color w:val="404040"/>
        <w:sz w:val="22"/>
      </w:rPr>
      <w:tcPr>
        <w:tcBorders>
          <w:top w:val="single" w:color="BCD6EE" w:themeColor="accent1" w:themeTint="67" w:sz="4" w:space="0"/>
          <w:left w:val="single" w:color="BCD6EE" w:themeColor="accent1" w:themeTint="67" w:sz="4" w:space="0"/>
          <w:bottom w:val="single" w:color="BCD6EE" w:themeColor="accent1" w:themeTint="67" w:sz="4" w:space="0"/>
          <w:right w:val="single" w:color="BCD6EE" w:themeColor="accent1" w:themeTint="67" w:sz="4" w:space="0"/>
        </w:tcBorders>
      </w:tcPr>
    </w:tblStylePr>
  </w:style>
  <w:style w:type="table" w:customStyle="1" w:styleId="226">
    <w:name w:val="Bordered - Accent 2"/>
    <w:basedOn w:val="42"/>
    <w:qFormat/>
    <w:uiPriority w:val="99"/>
    <w:tblPr>
      <w:tbl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insideH w:val="single" w:color="F7CAAB" w:themeColor="accent2" w:themeTint="67" w:sz="4" w:space="0"/>
        <w:insideV w:val="single" w:color="F7CAAB" w:themeColor="accent2"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4B285" w:themeColor="accent2" w:themeTint="97" w:sz="12" w:space="0"/>
        </w:tcBorders>
      </w:tcPr>
    </w:tblStylePr>
    <w:tblStylePr w:type="lastRow">
      <w:rPr>
        <w:rFonts w:ascii="Arial" w:hAnsi="Arial"/>
        <w:color w:val="404040"/>
        <w:sz w:val="22"/>
      </w:rPr>
      <w:tcPr>
        <w:tcBorders>
          <w:top w:val="single" w:color="F4B28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285" w:themeColor="accent2" w:themeTint="97" w:sz="12" w:space="0"/>
        </w:tcBorders>
      </w:tcPr>
    </w:tblStylePr>
    <w:tblStylePr w:type="band1Horz">
      <w:rPr>
        <w:rFonts w:ascii="Arial" w:hAnsi="Arial"/>
        <w:color w:val="404040"/>
        <w:sz w:val="22"/>
      </w:rPr>
      <w:tcPr>
        <w:tcBorders>
          <w:top w:val="single" w:color="F7CAAB" w:themeColor="accent2" w:themeTint="67" w:sz="4" w:space="0"/>
          <w:left w:val="single" w:color="F7CAAB" w:themeColor="accent2" w:themeTint="67" w:sz="4" w:space="0"/>
          <w:bottom w:val="single" w:color="F7CAAB" w:themeColor="accent2" w:themeTint="67" w:sz="4" w:space="0"/>
          <w:right w:val="single" w:color="F7CAAB" w:themeColor="accent2" w:themeTint="67" w:sz="4" w:space="0"/>
        </w:tcBorders>
      </w:tcPr>
    </w:tblStylePr>
  </w:style>
  <w:style w:type="table" w:customStyle="1" w:styleId="227">
    <w:name w:val="Bordered - Accent 3"/>
    <w:basedOn w:val="42"/>
    <w:qFormat/>
    <w:uiPriority w:val="99"/>
    <w:tblPr>
      <w:tbl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insideH w:val="single" w:color="DADADA" w:themeColor="accent3" w:themeTint="67" w:sz="4" w:space="0"/>
        <w:insideV w:val="single" w:color="DADADA" w:themeColor="accent3"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C9C9C9" w:themeColor="accent3" w:themeTint="98" w:sz="12" w:space="0"/>
        </w:tcBorders>
      </w:tcPr>
    </w:tblStylePr>
    <w:tblStylePr w:type="lastRow">
      <w:rPr>
        <w:rFonts w:ascii="Arial" w:hAnsi="Arial"/>
        <w:color w:val="404040"/>
        <w:sz w:val="22"/>
      </w:rPr>
      <w:tcPr>
        <w:tcBorders>
          <w:top w:val="single" w:color="C9C9C9"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9C9C9" w:themeColor="accent3" w:themeTint="98" w:sz="12" w:space="0"/>
        </w:tcBorders>
      </w:tcPr>
    </w:tblStylePr>
    <w:tblStylePr w:type="band1Horz">
      <w:rPr>
        <w:rFonts w:ascii="Arial" w:hAnsi="Arial"/>
        <w:color w:val="404040"/>
        <w:sz w:val="22"/>
      </w:rPr>
      <w:tcPr>
        <w:tcBorders>
          <w:top w:val="single" w:color="DADADA" w:themeColor="accent3" w:themeTint="67" w:sz="4" w:space="0"/>
          <w:left w:val="single" w:color="DADADA" w:themeColor="accent3" w:themeTint="67" w:sz="4" w:space="0"/>
          <w:bottom w:val="single" w:color="DADADA" w:themeColor="accent3" w:themeTint="67" w:sz="4" w:space="0"/>
          <w:right w:val="single" w:color="DADADA" w:themeColor="accent3" w:themeTint="67" w:sz="4" w:space="0"/>
        </w:tcBorders>
      </w:tcPr>
    </w:tblStylePr>
  </w:style>
  <w:style w:type="table" w:customStyle="1" w:styleId="228">
    <w:name w:val="Bordered - Accent 4"/>
    <w:basedOn w:val="42"/>
    <w:qFormat/>
    <w:uiPriority w:val="99"/>
    <w:tblPr>
      <w:tbl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insideH w:val="single" w:color="FFE597" w:themeColor="accent4" w:themeTint="67" w:sz="4" w:space="0"/>
        <w:insideV w:val="single" w:color="FFE597" w:themeColor="accent4"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FFD864" w:themeColor="accent4" w:themeTint="9A" w:sz="12" w:space="0"/>
        </w:tcBorders>
      </w:tcPr>
    </w:tblStylePr>
    <w:tblStylePr w:type="lastRow">
      <w:rPr>
        <w:rFonts w:ascii="Arial" w:hAnsi="Arial"/>
        <w:color w:val="404040"/>
        <w:sz w:val="22"/>
      </w:rPr>
      <w:tcPr>
        <w:tcBorders>
          <w:top w:val="single" w:color="FFD864"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FD864" w:themeColor="accent4" w:themeTint="9A" w:sz="12" w:space="0"/>
        </w:tcBorders>
      </w:tcPr>
    </w:tblStylePr>
    <w:tblStylePr w:type="band1Horz">
      <w:rPr>
        <w:rFonts w:ascii="Arial" w:hAnsi="Arial"/>
        <w:color w:val="404040"/>
        <w:sz w:val="22"/>
      </w:rPr>
      <w:tcPr>
        <w:tcBorders>
          <w:top w:val="single" w:color="FFE597" w:themeColor="accent4" w:themeTint="67" w:sz="4" w:space="0"/>
          <w:left w:val="single" w:color="FFE597" w:themeColor="accent4" w:themeTint="67" w:sz="4" w:space="0"/>
          <w:bottom w:val="single" w:color="FFE597" w:themeColor="accent4" w:themeTint="67" w:sz="4" w:space="0"/>
          <w:right w:val="single" w:color="FFE597" w:themeColor="accent4" w:themeTint="67" w:sz="4" w:space="0"/>
        </w:tcBorders>
      </w:tcPr>
    </w:tblStylePr>
  </w:style>
  <w:style w:type="table" w:customStyle="1" w:styleId="229">
    <w:name w:val="Bordered - Accent 5"/>
    <w:basedOn w:val="42"/>
    <w:qFormat/>
    <w:uiPriority w:val="99"/>
    <w:tblPr>
      <w:tbl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insideH w:val="single" w:color="B3C6E7" w:themeColor="accent5" w:themeTint="67" w:sz="4" w:space="0"/>
        <w:insideV w:val="single" w:color="B3C6E7" w:themeColor="accent5"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8EA9DB" w:themeColor="accent5" w:themeTint="9A" w:sz="12" w:space="0"/>
        </w:tcBorders>
      </w:tcPr>
    </w:tblStylePr>
    <w:tblStylePr w:type="lastRow">
      <w:rPr>
        <w:rFonts w:ascii="Arial" w:hAnsi="Arial"/>
        <w:color w:val="404040"/>
        <w:sz w:val="22"/>
      </w:rPr>
      <w:tcPr>
        <w:tcBorders>
          <w:top w:val="single" w:color="8EA9DB"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8EA9DB" w:themeColor="accent5" w:themeTint="9A" w:sz="12" w:space="0"/>
        </w:tcBorders>
      </w:tcPr>
    </w:tblStylePr>
    <w:tblStylePr w:type="band1Horz">
      <w:rPr>
        <w:rFonts w:ascii="Arial" w:hAnsi="Arial"/>
        <w:color w:val="404040"/>
        <w:sz w:val="22"/>
      </w:rPr>
      <w:tcPr>
        <w:tcBorders>
          <w:top w:val="single" w:color="B3C6E7" w:themeColor="accent5" w:themeTint="67" w:sz="4" w:space="0"/>
          <w:left w:val="single" w:color="B3C6E7" w:themeColor="accent5" w:themeTint="67" w:sz="4" w:space="0"/>
          <w:bottom w:val="single" w:color="B3C6E7" w:themeColor="accent5" w:themeTint="67" w:sz="4" w:space="0"/>
          <w:right w:val="single" w:color="B3C6E7" w:themeColor="accent5" w:themeTint="67" w:sz="4" w:space="0"/>
        </w:tcBorders>
      </w:tcPr>
    </w:tblStylePr>
  </w:style>
  <w:style w:type="table" w:customStyle="1" w:styleId="230">
    <w:name w:val="Bordered - Accent 6"/>
    <w:basedOn w:val="42"/>
    <w:qFormat/>
    <w:uiPriority w:val="99"/>
    <w:tblPr>
      <w:tbl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insideH w:val="single" w:color="C4DFB2" w:themeColor="accent6" w:themeTint="67" w:sz="4" w:space="0"/>
        <w:insideV w:val="single" w:color="C4DFB2" w:themeColor="accent6" w:themeTint="67" w:sz="4" w:space="0"/>
      </w:tblBorders>
      <w:tblCellMar>
        <w:top w:w="0" w:type="dxa"/>
        <w:left w:w="108" w:type="dxa"/>
        <w:bottom w:w="0" w:type="dxa"/>
        <w:right w:w="108" w:type="dxa"/>
      </w:tblCellMar>
    </w:tblPr>
    <w:tblStylePr w:type="firstRow">
      <w:rPr>
        <w:rFonts w:ascii="Arial" w:hAnsi="Arial"/>
        <w:color w:val="404040"/>
        <w:sz w:val="22"/>
      </w:rPr>
      <w:tcPr>
        <w:tcBorders>
          <w:bottom w:val="single" w:color="A9D08E" w:themeColor="accent6" w:themeTint="98" w:sz="12" w:space="0"/>
        </w:tcBorders>
      </w:tcPr>
    </w:tblStylePr>
    <w:tblStylePr w:type="lastRow">
      <w:rPr>
        <w:rFonts w:ascii="Arial" w:hAnsi="Arial"/>
        <w:color w:val="404040"/>
        <w:sz w:val="22"/>
      </w:rPr>
      <w:tcPr>
        <w:tcBorders>
          <w:top w:val="single" w:color="A9D08E"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9D08E" w:themeColor="accent6" w:themeTint="98" w:sz="12" w:space="0"/>
        </w:tcBorders>
      </w:tcPr>
    </w:tblStylePr>
    <w:tblStylePr w:type="band1Horz">
      <w:rPr>
        <w:rFonts w:ascii="Arial" w:hAnsi="Arial"/>
        <w:color w:val="404040"/>
        <w:sz w:val="22"/>
      </w:rPr>
      <w:tcPr>
        <w:tcBorders>
          <w:top w:val="single" w:color="C4DFB2" w:themeColor="accent6" w:themeTint="67" w:sz="4" w:space="0"/>
          <w:left w:val="single" w:color="C4DFB2" w:themeColor="accent6" w:themeTint="67" w:sz="4" w:space="0"/>
          <w:bottom w:val="single" w:color="C4DFB2" w:themeColor="accent6" w:themeTint="67" w:sz="4" w:space="0"/>
          <w:right w:val="single" w:color="C4DFB2" w:themeColor="accent6" w:themeTint="67" w:sz="4" w:space="0"/>
        </w:tcBorders>
      </w:tcPr>
    </w:tblStylePr>
  </w:style>
  <w:style w:type="character" w:customStyle="1" w:styleId="231">
    <w:name w:val="Footnote Text Char"/>
    <w:qFormat/>
    <w:uiPriority w:val="99"/>
    <w:rPr>
      <w:sz w:val="18"/>
    </w:rPr>
  </w:style>
  <w:style w:type="character" w:customStyle="1" w:styleId="232">
    <w:name w:val="尾注文本 Char"/>
    <w:link w:val="25"/>
    <w:qFormat/>
    <w:uiPriority w:val="99"/>
    <w:rPr>
      <w:sz w:val="20"/>
    </w:rPr>
  </w:style>
  <w:style w:type="paragraph" w:customStyle="1" w:styleId="233">
    <w:name w:val="TOC 标题1"/>
    <w:unhideWhenUsed/>
    <w:qFormat/>
    <w:uiPriority w:val="39"/>
    <w:rPr>
      <w:rFonts w:hint="default" w:ascii="Times New Roman" w:hAnsi="Times New Roman" w:eastAsia="宋体" w:cs="Times New Roman"/>
      <w:lang w:val="en-US" w:eastAsia="zh-CN" w:bidi="ar-SA"/>
    </w:rPr>
  </w:style>
  <w:style w:type="paragraph" w:customStyle="1" w:styleId="234">
    <w:name w:val="p0"/>
    <w:basedOn w:val="1"/>
    <w:qFormat/>
    <w:uiPriority w:val="0"/>
    <w:pPr>
      <w:widowControl/>
    </w:pPr>
    <w:rPr>
      <w:szCs w:val="21"/>
    </w:rPr>
  </w:style>
  <w:style w:type="paragraph" w:styleId="235">
    <w:name w:val="List Paragraph"/>
    <w:basedOn w:val="1"/>
    <w:qFormat/>
    <w:uiPriority w:val="1"/>
    <w:pPr>
      <w:ind w:firstLine="420"/>
    </w:pPr>
  </w:style>
  <w:style w:type="character" w:customStyle="1" w:styleId="236">
    <w:name w:val="批注框文本 Char"/>
    <w:basedOn w:val="44"/>
    <w:link w:val="26"/>
    <w:qFormat/>
    <w:uiPriority w:val="0"/>
    <w:rPr>
      <w:rFonts w:ascii="Times New Roman" w:hAnsi="Times New Roman" w:eastAsia="宋体" w:cs="Times New Roman"/>
      <w:sz w:val="18"/>
      <w:szCs w:val="18"/>
    </w:rPr>
  </w:style>
  <w:style w:type="paragraph" w:customStyle="1" w:styleId="237">
    <w:name w:val="Default"/>
    <w:qFormat/>
    <w:uiPriority w:val="0"/>
    <w:pPr>
      <w:widowControl w:val="0"/>
    </w:pPr>
    <w:rPr>
      <w:rFonts w:hint="default" w:ascii="宋体" w:hAnsi="Times New Roman" w:eastAsia="宋体" w:cs="宋体"/>
      <w:color w:val="000000"/>
      <w:sz w:val="24"/>
      <w:szCs w:val="24"/>
      <w:lang w:val="en-US" w:eastAsia="zh-CN" w:bidi="ar-SA"/>
    </w:rPr>
  </w:style>
  <w:style w:type="character" w:customStyle="1" w:styleId="238">
    <w:name w:val="页脚 Char"/>
    <w:basedOn w:val="44"/>
    <w:link w:val="27"/>
    <w:qFormat/>
    <w:uiPriority w:val="99"/>
    <w:rPr>
      <w:rFonts w:ascii="Times New Roman" w:hAnsi="Times New Roman" w:eastAsia="宋体" w:cs="Times New Roman"/>
      <w:sz w:val="18"/>
      <w:szCs w:val="18"/>
    </w:rPr>
  </w:style>
  <w:style w:type="character" w:customStyle="1" w:styleId="239">
    <w:name w:val="NormalCharacter"/>
    <w:semiHidden/>
    <w:qFormat/>
    <w:uiPriority w:val="0"/>
    <w:rPr>
      <w:sz w:val="28"/>
      <w:lang w:val="en-US" w:eastAsia="zh-CN" w:bidi="ar-SA"/>
    </w:rPr>
  </w:style>
  <w:style w:type="paragraph" w:customStyle="1" w:styleId="240">
    <w:name w:val="179"/>
    <w:basedOn w:val="1"/>
    <w:qFormat/>
    <w:uiPriority w:val="0"/>
    <w:pPr>
      <w:widowControl/>
      <w:ind w:firstLine="420"/>
      <w:jc w:val="left"/>
    </w:pPr>
    <w:rPr>
      <w:rFonts w:ascii="宋体" w:hAnsi="宋体"/>
      <w:sz w:val="24"/>
    </w:rPr>
  </w:style>
  <w:style w:type="paragraph" w:customStyle="1" w:styleId="241">
    <w:name w:val="UserStyle_0"/>
    <w:qFormat/>
    <w:uiPriority w:val="0"/>
    <w:rPr>
      <w:rFonts w:hint="default" w:ascii="Times New Roman" w:hAnsi="Times New Roman" w:eastAsia="宋体" w:cs="Times New Roman"/>
      <w:color w:val="000000"/>
      <w:sz w:val="24"/>
      <w:szCs w:val="24"/>
      <w:lang w:val="en-US" w:eastAsia="zh-CN" w:bidi="ar-SA"/>
    </w:rPr>
  </w:style>
  <w:style w:type="paragraph" w:customStyle="1" w:styleId="242">
    <w:name w:val="标准"/>
    <w:basedOn w:val="1"/>
    <w:qFormat/>
    <w:uiPriority w:val="0"/>
    <w:pPr>
      <w:spacing w:line="360" w:lineRule="auto"/>
      <w:ind w:firstLine="200"/>
    </w:pPr>
    <w:rPr>
      <w:rFonts w:cs="宋体"/>
      <w:sz w:val="20"/>
      <w:szCs w:val="20"/>
    </w:rPr>
  </w:style>
  <w:style w:type="character" w:customStyle="1" w:styleId="243">
    <w:name w:val="批注文字 Char"/>
    <w:basedOn w:val="44"/>
    <w:link w:val="15"/>
    <w:semiHidden/>
    <w:qFormat/>
    <w:uiPriority w:val="0"/>
    <w:rPr>
      <w:rFonts w:ascii="Times New Roman" w:hAnsi="Times New Roman" w:eastAsia="宋体" w:cs="Times New Roman"/>
      <w:sz w:val="21"/>
      <w:szCs w:val="24"/>
    </w:rPr>
  </w:style>
  <w:style w:type="character" w:customStyle="1" w:styleId="244">
    <w:name w:val="批注主题 Char"/>
    <w:basedOn w:val="243"/>
    <w:link w:val="39"/>
    <w:semiHidden/>
    <w:qFormat/>
    <w:uiPriority w:val="0"/>
    <w:rPr>
      <w:rFonts w:ascii="Times New Roman" w:hAnsi="Times New Roman" w:eastAsia="宋体" w:cs="Times New Roman"/>
      <w:b/>
      <w:bCs/>
      <w:sz w:val="21"/>
      <w:szCs w:val="24"/>
    </w:rPr>
  </w:style>
  <w:style w:type="character" w:customStyle="1" w:styleId="245">
    <w:name w:val="标题 2 Char"/>
    <w:basedOn w:val="44"/>
    <w:link w:val="3"/>
    <w:qFormat/>
    <w:uiPriority w:val="9"/>
    <w:rPr>
      <w:rFonts w:asciiTheme="majorHAnsi" w:hAnsiTheme="majorHAnsi" w:eastAsiaTheme="majorEastAsia" w:cstheme="majorBidi"/>
      <w:b/>
      <w:bCs/>
      <w:sz w:val="32"/>
      <w:szCs w:val="32"/>
    </w:rPr>
  </w:style>
  <w:style w:type="character" w:customStyle="1" w:styleId="246">
    <w:name w:val="标题 3 Char"/>
    <w:basedOn w:val="44"/>
    <w:link w:val="4"/>
    <w:qFormat/>
    <w:uiPriority w:val="9"/>
    <w:rPr>
      <w:rFonts w:ascii="Times New Roman" w:hAnsi="Times New Roman" w:eastAsia="宋体" w:cs="Times New Roman"/>
      <w:b/>
      <w:bCs/>
      <w:sz w:val="32"/>
      <w:szCs w:val="32"/>
    </w:rPr>
  </w:style>
  <w:style w:type="character" w:customStyle="1" w:styleId="247">
    <w:name w:val="标题 1 Char"/>
    <w:basedOn w:val="44"/>
    <w:link w:val="2"/>
    <w:qFormat/>
    <w:uiPriority w:val="0"/>
    <w:rPr>
      <w:rFonts w:ascii="Times New Roman" w:hAnsi="Times New Roman" w:eastAsia="新宋体" w:cs="Times New Roman"/>
      <w:b/>
      <w:bCs/>
      <w:sz w:val="30"/>
      <w:szCs w:val="44"/>
    </w:rPr>
  </w:style>
  <w:style w:type="character" w:customStyle="1" w:styleId="248">
    <w:name w:val="页眉 Char"/>
    <w:basedOn w:val="44"/>
    <w:link w:val="28"/>
    <w:qFormat/>
    <w:uiPriority w:val="99"/>
    <w:rPr>
      <w:rFonts w:ascii="Times New Roman" w:hAnsi="Times New Roman" w:eastAsia="宋体" w:cs="Times New Roman"/>
      <w:sz w:val="18"/>
      <w:szCs w:val="18"/>
    </w:rPr>
  </w:style>
  <w:style w:type="character" w:customStyle="1" w:styleId="249">
    <w:name w:val="正文文本 Char"/>
    <w:basedOn w:val="44"/>
    <w:link w:val="16"/>
    <w:qFormat/>
    <w:uiPriority w:val="99"/>
    <w:rPr>
      <w:rFonts w:ascii="Calibri" w:hAnsi="Calibri" w:eastAsia="宋体" w:cs="Times New Roman"/>
      <w:sz w:val="21"/>
      <w:szCs w:val="24"/>
    </w:rPr>
  </w:style>
  <w:style w:type="paragraph" w:customStyle="1" w:styleId="250">
    <w:name w:val="_Style 11"/>
    <w:basedOn w:val="1"/>
    <w:next w:val="235"/>
    <w:qFormat/>
    <w:uiPriority w:val="34"/>
    <w:pPr>
      <w:ind w:firstLine="420"/>
    </w:pPr>
    <w:rPr>
      <w:color w:val="000000"/>
      <w:szCs w:val="21"/>
    </w:rPr>
  </w:style>
  <w:style w:type="paragraph" w:customStyle="1" w:styleId="251">
    <w:name w:val="BodyText1I2"/>
    <w:basedOn w:val="1"/>
    <w:qFormat/>
    <w:uiPriority w:val="0"/>
    <w:pPr>
      <w:widowControl/>
      <w:spacing w:line="360" w:lineRule="auto"/>
      <w:ind w:firstLine="420"/>
    </w:pPr>
    <w:rPr>
      <w:rFonts w:ascii="宋体" w:hAnsi="宋体" w:cstheme="minorBidi"/>
      <w:sz w:val="20"/>
      <w:szCs w:val="20"/>
    </w:rPr>
  </w:style>
  <w:style w:type="paragraph" w:customStyle="1" w:styleId="252">
    <w:name w:val="UserStyle_133"/>
    <w:basedOn w:val="1"/>
    <w:qFormat/>
    <w:uiPriority w:val="0"/>
    <w:pPr>
      <w:widowControl/>
    </w:pPr>
    <w:rPr>
      <w:rFonts w:ascii="Tahoma" w:hAnsi="Tahoma" w:cstheme="minorBidi"/>
      <w:sz w:val="24"/>
    </w:rPr>
  </w:style>
  <w:style w:type="paragraph" w:customStyle="1" w:styleId="253">
    <w:name w:val="AnnotationText"/>
    <w:basedOn w:val="1"/>
    <w:link w:val="254"/>
    <w:qFormat/>
    <w:uiPriority w:val="0"/>
    <w:pPr>
      <w:widowControl/>
      <w:jc w:val="left"/>
    </w:pPr>
    <w:rPr>
      <w:rFonts w:cstheme="minorBidi"/>
    </w:rPr>
  </w:style>
  <w:style w:type="character" w:customStyle="1" w:styleId="254">
    <w:name w:val="UserStyle_12"/>
    <w:link w:val="253"/>
    <w:qFormat/>
    <w:uiPriority w:val="0"/>
    <w:rPr>
      <w:rFonts w:ascii="Times New Roman" w:hAnsi="Times New Roman" w:eastAsia="宋体"/>
      <w:sz w:val="21"/>
      <w:szCs w:val="24"/>
    </w:rPr>
  </w:style>
  <w:style w:type="paragraph" w:customStyle="1" w:styleId="255">
    <w:name w:val="UserStyle_115"/>
    <w:qFormat/>
    <w:uiPriority w:val="0"/>
    <w:rPr>
      <w:rFonts w:hint="default" w:ascii="Times New Roman" w:hAnsi="Times New Roman" w:eastAsia="宋体" w:cstheme="minorBidi"/>
      <w:color w:val="000000"/>
      <w:sz w:val="24"/>
      <w:szCs w:val="24"/>
      <w:lang w:val="en-US" w:eastAsia="zh-CN" w:bidi="ar-SA"/>
    </w:rPr>
  </w:style>
  <w:style w:type="paragraph" w:customStyle="1" w:styleId="256">
    <w:name w:val="*正文-表格"/>
    <w:basedOn w:val="1"/>
    <w:qFormat/>
    <w:uiPriority w:val="0"/>
    <w:rPr>
      <w:sz w:val="24"/>
      <w:szCs w:val="20"/>
    </w:rPr>
  </w:style>
  <w:style w:type="character" w:customStyle="1" w:styleId="257">
    <w:name w:val="font21"/>
    <w:basedOn w:val="44"/>
    <w:qFormat/>
    <w:uiPriority w:val="0"/>
    <w:rPr>
      <w:rFonts w:hint="eastAsia" w:ascii="宋体" w:hAnsi="宋体" w:eastAsia="宋体" w:cs="宋体"/>
      <w:b/>
      <w:bCs/>
      <w:color w:val="000000"/>
      <w:sz w:val="28"/>
      <w:szCs w:val="28"/>
      <w:u w:val="none"/>
    </w:rPr>
  </w:style>
  <w:style w:type="paragraph" w:customStyle="1" w:styleId="258">
    <w:name w:val="标题 5（有编号）（绿盟科技）"/>
    <w:basedOn w:val="1"/>
    <w:next w:val="259"/>
    <w:qFormat/>
    <w:uiPriority w:val="99"/>
    <w:pPr>
      <w:keepNext/>
      <w:keepLines/>
      <w:numPr>
        <w:ilvl w:val="4"/>
        <w:numId w:val="1"/>
      </w:numPr>
      <w:spacing w:before="280" w:after="156" w:line="376" w:lineRule="auto"/>
      <w:jc w:val="left"/>
      <w:outlineLvl w:val="4"/>
    </w:pPr>
    <w:rPr>
      <w:rFonts w:ascii="Arial" w:hAnsi="Arial" w:eastAsia="黑体"/>
      <w:b/>
      <w:sz w:val="24"/>
      <w:szCs w:val="28"/>
    </w:rPr>
  </w:style>
  <w:style w:type="paragraph" w:customStyle="1" w:styleId="259">
    <w:name w:val="正文（绿盟科技）"/>
    <w:qFormat/>
    <w:uiPriority w:val="99"/>
    <w:pPr>
      <w:spacing w:line="300" w:lineRule="auto"/>
    </w:pPr>
    <w:rPr>
      <w:rFonts w:hint="default" w:ascii="Arial" w:hAnsi="Arial" w:eastAsia="宋体" w:cs="黑体"/>
      <w:sz w:val="21"/>
      <w:szCs w:val="21"/>
      <w:lang w:val="en-US" w:eastAsia="zh-CN" w:bidi="ar-SA"/>
    </w:rPr>
  </w:style>
  <w:style w:type="paragraph" w:customStyle="1" w:styleId="260">
    <w:name w:val="投标文件正文"/>
    <w:basedOn w:val="1"/>
    <w:qFormat/>
    <w:uiPriority w:val="0"/>
    <w:pPr>
      <w:spacing w:before="40" w:after="40" w:line="400" w:lineRule="exact"/>
      <w:ind w:firstLine="200"/>
    </w:pPr>
    <w:rPr>
      <w:sz w:val="24"/>
    </w:rPr>
  </w:style>
  <w:style w:type="paragraph" w:customStyle="1" w:styleId="261">
    <w:name w:val="标题 21"/>
    <w:basedOn w:val="1"/>
    <w:next w:val="1"/>
    <w:qFormat/>
    <w:uiPriority w:val="0"/>
    <w:pPr>
      <w:keepNext/>
      <w:keepLines/>
      <w:tabs>
        <w:tab w:val="left" w:pos="0"/>
      </w:tabs>
      <w:spacing w:before="50"/>
      <w:jc w:val="left"/>
    </w:pPr>
    <w:rPr>
      <w:rFonts w:ascii="Arial" w:hAnsi="Arial" w:eastAsia="黑体"/>
      <w:sz w:val="32"/>
      <w:szCs w:val="20"/>
    </w:rPr>
  </w:style>
  <w:style w:type="paragraph" w:customStyle="1" w:styleId="262">
    <w:name w:val="BodyTextIndent"/>
    <w:basedOn w:val="1"/>
    <w:next w:val="263"/>
    <w:qFormat/>
    <w:uiPriority w:val="0"/>
    <w:pPr>
      <w:spacing w:after="120"/>
      <w:ind w:left="420"/>
    </w:pPr>
  </w:style>
  <w:style w:type="paragraph" w:customStyle="1" w:styleId="263">
    <w:name w:val="EnvelopeReturn"/>
    <w:basedOn w:val="1"/>
    <w:qFormat/>
    <w:uiPriority w:val="0"/>
    <w:rPr>
      <w:rFonts w:ascii="Arial" w:hAnsi="Arial"/>
    </w:rPr>
  </w:style>
  <w:style w:type="paragraph" w:customStyle="1" w:styleId="264">
    <w:name w:val="Table Paragraph"/>
    <w:basedOn w:val="1"/>
    <w:qFormat/>
    <w:uiPriority w:val="1"/>
    <w:pPr>
      <w:ind w:left="107"/>
    </w:pPr>
    <w:rPr>
      <w:rFonts w:ascii="宋体" w:hAnsi="宋体" w:cs="宋体"/>
    </w:rPr>
  </w:style>
  <w:style w:type="paragraph" w:customStyle="1" w:styleId="265">
    <w:name w:val="列出段落1"/>
    <w:basedOn w:val="1"/>
    <w:qFormat/>
    <w:uiPriority w:val="34"/>
    <w:pPr>
      <w:ind w:left="480"/>
      <w:jc w:val="left"/>
    </w:pPr>
    <w:rPr>
      <w:rFonts w:ascii="Calibri" w:hAnsi="Calibri" w:eastAsia="PMingLiU"/>
      <w:sz w:val="24"/>
      <w:szCs w:val="20"/>
      <w:lang w:eastAsia="zh-TW"/>
    </w:rPr>
  </w:style>
  <w:style w:type="paragraph" w:customStyle="1" w:styleId="266">
    <w:name w:val="正文文本缩进1"/>
    <w:qFormat/>
    <w:uiPriority w:val="0"/>
    <w:pPr>
      <w:widowControl w:val="0"/>
      <w:spacing w:after="120"/>
      <w:ind w:left="420"/>
      <w:jc w:val="both"/>
    </w:pPr>
    <w:rPr>
      <w:rFonts w:hint="default" w:ascii="Times New Roman" w:hAnsi="Times New Roman" w:eastAsia="宋体" w:cs="Times New Roman"/>
      <w:sz w:val="21"/>
      <w:szCs w:val="24"/>
      <w:lang w:val="en-US" w:eastAsia="zh-CN" w:bidi="ar-SA"/>
    </w:rPr>
  </w:style>
  <w:style w:type="character" w:customStyle="1" w:styleId="267">
    <w:name w:val="font51"/>
    <w:basedOn w:val="44"/>
    <w:qFormat/>
    <w:uiPriority w:val="0"/>
    <w:rPr>
      <w:rFonts w:hint="eastAsia" w:ascii="微软雅黑" w:hAnsi="微软雅黑" w:eastAsia="微软雅黑" w:cs="微软雅黑"/>
      <w:color w:val="000000"/>
      <w:sz w:val="16"/>
      <w:szCs w:val="16"/>
      <w:u w:val="none"/>
    </w:rPr>
  </w:style>
  <w:style w:type="character" w:customStyle="1" w:styleId="268">
    <w:name w:val="font01"/>
    <w:basedOn w:val="44"/>
    <w:qFormat/>
    <w:uiPriority w:val="0"/>
    <w:rPr>
      <w:rFonts w:hint="eastAsia" w:ascii="微软雅黑" w:hAnsi="微软雅黑" w:eastAsia="微软雅黑" w:cs="微软雅黑"/>
      <w:color w:val="000000"/>
      <w:sz w:val="16"/>
      <w:szCs w:val="16"/>
      <w:u w:val="none"/>
    </w:rPr>
  </w:style>
  <w:style w:type="character" w:customStyle="1" w:styleId="269">
    <w:name w:val="font31"/>
    <w:basedOn w:val="44"/>
    <w:qFormat/>
    <w:uiPriority w:val="0"/>
    <w:rPr>
      <w:rFonts w:hint="eastAsia" w:ascii="微软雅黑" w:hAnsi="微软雅黑" w:eastAsia="微软雅黑" w:cs="微软雅黑"/>
      <w:color w:val="000000"/>
      <w:sz w:val="16"/>
      <w:szCs w:val="16"/>
      <w:u w:val="none"/>
    </w:rPr>
  </w:style>
  <w:style w:type="character" w:customStyle="1" w:styleId="270">
    <w:name w:val="font41"/>
    <w:basedOn w:val="44"/>
    <w:qFormat/>
    <w:uiPriority w:val="0"/>
    <w:rPr>
      <w:rFonts w:hint="eastAsia" w:ascii="宋体" w:hAnsi="宋体" w:eastAsia="宋体" w:cs="宋体"/>
      <w:color w:val="000000"/>
      <w:sz w:val="22"/>
      <w:szCs w:val="22"/>
      <w:u w:val="none"/>
    </w:rPr>
  </w:style>
  <w:style w:type="character" w:customStyle="1" w:styleId="271">
    <w:name w:val="font61"/>
    <w:basedOn w:val="44"/>
    <w:qFormat/>
    <w:uiPriority w:val="0"/>
    <w:rPr>
      <w:rFonts w:hint="eastAsia" w:ascii="宋体" w:hAnsi="宋体" w:eastAsia="宋体" w:cs="宋体"/>
      <w:color w:val="000000"/>
      <w:sz w:val="20"/>
      <w:szCs w:val="20"/>
      <w:u w:val="none"/>
    </w:rPr>
  </w:style>
  <w:style w:type="character" w:customStyle="1" w:styleId="272">
    <w:name w:val="font11"/>
    <w:basedOn w:val="44"/>
    <w:qFormat/>
    <w:uiPriority w:val="0"/>
    <w:rPr>
      <w:rFonts w:hint="eastAsia" w:ascii="宋体" w:hAnsi="宋体" w:eastAsia="宋体" w:cs="宋体"/>
      <w:color w:val="000000"/>
      <w:sz w:val="20"/>
      <w:szCs w:val="20"/>
      <w:u w:val="none"/>
    </w:rPr>
  </w:style>
  <w:style w:type="character" w:customStyle="1" w:styleId="273">
    <w:name w:val="纯文本 Char"/>
    <w:basedOn w:val="44"/>
    <w:link w:val="22"/>
    <w:qFormat/>
    <w:uiPriority w:val="0"/>
    <w:rPr>
      <w:rFonts w:ascii="宋体" w:hAnsi="Courier New"/>
      <w:sz w:val="20"/>
      <w:szCs w:val="20"/>
    </w:rPr>
  </w:style>
  <w:style w:type="paragraph" w:customStyle="1" w:styleId="274">
    <w:name w:val="正文111"/>
    <w:next w:val="275"/>
    <w:qFormat/>
    <w:uiPriority w:val="0"/>
    <w:pPr>
      <w:widowControl w:val="0"/>
      <w:spacing w:line="360" w:lineRule="exact"/>
      <w:jc w:val="center"/>
    </w:pPr>
    <w:rPr>
      <w:rFonts w:hint="default" w:ascii="Times New Roman" w:hAnsi="Times New Roman" w:eastAsia="仿宋_GB2312" w:cs="Times New Roman"/>
      <w:sz w:val="28"/>
      <w:szCs w:val="24"/>
      <w:lang w:val="en-US" w:eastAsia="zh-CN" w:bidi="ar-SA"/>
    </w:rPr>
  </w:style>
  <w:style w:type="paragraph" w:customStyle="1" w:styleId="275">
    <w:name w:val="目录 111"/>
    <w:basedOn w:val="274"/>
    <w:next w:val="274"/>
    <w:qFormat/>
    <w:uiPriority w:val="0"/>
    <w:pPr>
      <w:widowControl/>
      <w:spacing w:after="100" w:line="259" w:lineRule="auto"/>
      <w:jc w:val="left"/>
    </w:pPr>
    <w:rPr>
      <w:rFonts w:ascii="Calibri" w:hAnsi="Calibri"/>
      <w:sz w:val="22"/>
      <w:szCs w:val="22"/>
    </w:rPr>
  </w:style>
  <w:style w:type="character" w:customStyle="1" w:styleId="276">
    <w:name w:val="NormalCharacter1"/>
    <w:link w:val="1"/>
    <w:semiHidden/>
    <w:qFormat/>
    <w:uiPriority w:val="0"/>
    <w:rPr>
      <w:rFonts w:ascii="Times New Roman" w:hAnsi="Times New Roman" w:eastAsia="宋体" w:cs="Times New Roman"/>
      <w:sz w:val="21"/>
      <w:szCs w:val="24"/>
      <w:lang w:val="en-US" w:eastAsia="zh-CN" w:bidi="ar-SA"/>
    </w:rPr>
  </w:style>
  <w:style w:type="character" w:customStyle="1" w:styleId="277">
    <w:name w:val="font71"/>
    <w:basedOn w:val="44"/>
    <w:qFormat/>
    <w:uiPriority w:val="0"/>
    <w:rPr>
      <w:rFonts w:hint="eastAsia" w:ascii="宋体" w:hAnsi="宋体" w:eastAsia="宋体" w:cs="宋体"/>
      <w:color w:val="000000"/>
      <w:sz w:val="21"/>
      <w:szCs w:val="21"/>
      <w:u w:val="none"/>
    </w:rPr>
  </w:style>
  <w:style w:type="character" w:customStyle="1" w:styleId="278">
    <w:name w:val="font81"/>
    <w:basedOn w:val="44"/>
    <w:qFormat/>
    <w:uiPriority w:val="0"/>
    <w:rPr>
      <w:rFonts w:hint="default" w:ascii="Times New Roman" w:hAnsi="Times New Roman" w:cs="Times New Roman"/>
      <w:color w:val="000000"/>
      <w:sz w:val="21"/>
      <w:szCs w:val="21"/>
      <w:u w:val="none"/>
    </w:rPr>
  </w:style>
  <w:style w:type="character" w:customStyle="1" w:styleId="279">
    <w:name w:val="font91"/>
    <w:basedOn w:val="44"/>
    <w:qFormat/>
    <w:uiPriority w:val="0"/>
    <w:rPr>
      <w:rFonts w:hint="eastAsia" w:ascii="宋体" w:hAnsi="宋体" w:eastAsia="宋体" w:cs="宋体"/>
      <w:color w:val="000000"/>
      <w:sz w:val="21"/>
      <w:szCs w:val="21"/>
      <w:u w:val="none"/>
    </w:rPr>
  </w:style>
  <w:style w:type="paragraph" w:customStyle="1" w:styleId="280">
    <w:name w:val="页脚1"/>
    <w:basedOn w:val="1"/>
    <w:qFormat/>
    <w:uiPriority w:val="0"/>
    <w:pPr>
      <w:tabs>
        <w:tab w:val="center" w:pos="4153"/>
        <w:tab w:val="right" w:pos="8306"/>
      </w:tabs>
      <w:jc w:val="left"/>
    </w:pPr>
    <w:rPr>
      <w:sz w:val="18"/>
      <w:szCs w:val="18"/>
    </w:rPr>
  </w:style>
  <w:style w:type="character" w:customStyle="1" w:styleId="281">
    <w:name w:val="wyg1"/>
    <w:link w:val="1"/>
    <w:qFormat/>
    <w:uiPriority w:val="6"/>
    <w:rPr>
      <w:rFonts w:hint="default" w:ascii="Times New Roman" w:hAnsi="Times New Roman" w:eastAsia="宋体" w:cs="Times New Roman"/>
      <w:sz w:val="21"/>
      <w:szCs w:val="24"/>
      <w:lang w:val="en-US" w:eastAsia="zh-CN" w:bidi="ar-SA"/>
    </w:rPr>
  </w:style>
  <w:style w:type="paragraph" w:customStyle="1" w:styleId="282">
    <w:name w:val="正文缩进11"/>
    <w:basedOn w:val="1"/>
    <w:unhideWhenUsed/>
    <w:qFormat/>
    <w:uiPriority w:val="0"/>
    <w:pPr>
      <w:ind w:firstLine="420"/>
    </w:pPr>
  </w:style>
  <w:style w:type="paragraph" w:customStyle="1" w:styleId="283">
    <w:name w:val="列表段落"/>
    <w:basedOn w:val="1"/>
    <w:qFormat/>
    <w:uiPriority w:val="34"/>
    <w:pPr>
      <w:ind w:left="720"/>
      <w:contextualSpacing/>
    </w:pPr>
  </w:style>
  <w:style w:type="paragraph" w:customStyle="1" w:styleId="284">
    <w:name w:val="普通(网站)1"/>
    <w:basedOn w:val="1"/>
    <w:qFormat/>
    <w:uiPriority w:val="0"/>
    <w:pPr>
      <w:widowControl/>
      <w:spacing w:before="100" w:beforeAutospacing="1" w:after="100" w:afterAutospacing="1"/>
      <w:jc w:val="left"/>
    </w:pPr>
    <w:rPr>
      <w:rFonts w:ascii="宋体" w:hAnsi="宋体" w:eastAsia="宋体" w:cs="宋体"/>
      <w:color w:val="000000"/>
      <w:sz w:val="24"/>
      <w:szCs w:val="20"/>
    </w:rPr>
  </w:style>
  <w:style w:type="paragraph" w:customStyle="1" w:styleId="285">
    <w:name w:val="纯文本11"/>
    <w:basedOn w:val="1"/>
    <w:qFormat/>
    <w:uiPriority w:val="0"/>
    <w:rPr>
      <w:rFonts w:ascii="宋体" w:hAnsi="Courier New"/>
      <w:szCs w:val="20"/>
    </w:rPr>
  </w:style>
  <w:style w:type="paragraph" w:customStyle="1" w:styleId="286">
    <w:name w:val="纯文本1"/>
    <w:basedOn w:val="62"/>
    <w:qFormat/>
    <w:uiPriority w:val="0"/>
    <w:rPr>
      <w:rFonts w:hAnsi="Courier New"/>
      <w:sz w:val="20"/>
    </w:rPr>
  </w:style>
  <w:style w:type="paragraph" w:customStyle="1" w:styleId="287">
    <w:name w:val="Body text|21"/>
    <w:basedOn w:val="1"/>
    <w:qFormat/>
    <w:uiPriority w:val="0"/>
    <w:pPr>
      <w:shd w:val="clear" w:color="auto" w:fill="FFFFFF"/>
      <w:spacing w:before="500" w:after="260" w:line="200" w:lineRule="exact"/>
    </w:pPr>
    <w:rPr>
      <w:rFonts w:ascii="PMingLiU" w:hAnsi="PMingLiU" w:eastAsia="PMingLiU" w:cs="PMingLiU"/>
      <w:spacing w:val="10"/>
      <w:sz w:val="20"/>
      <w:szCs w:val="20"/>
    </w:rPr>
  </w:style>
  <w:style w:type="table" w:customStyle="1" w:styleId="288">
    <w:name w:val="网格型1"/>
    <w:basedOn w:val="289"/>
    <w:qFormat/>
    <w:uiPriority w:val="39"/>
  </w:style>
  <w:style w:type="table" w:customStyle="1" w:styleId="289">
    <w:name w:val="普通表格1"/>
    <w:unhideWhenUsed/>
    <w:qFormat/>
    <w:uiPriority w:val="99"/>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4.xml"/><Relationship Id="rId16" Type="http://schemas.openxmlformats.org/officeDocument/2006/relationships/customXml" Target="../customXml/item3.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3.png"/><Relationship Id="rId11" Type="http://schemas.openxmlformats.org/officeDocument/2006/relationships/image" Target="media/image2.png"/><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黑体"/>
        <a:cs typeface="Arial"/>
      </a:majorFont>
      <a:minorFont>
        <a:latin typeface="Calibri"/>
        <a:ea typeface="宋体"/>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4cbf5a8c-e171-47e6-95ad-a806c2410e8d</errorID>
      <errorWord>-</errorWord>
      <group>L1_Format</group>
      <groupName>格式问题</groupName>
      <ability>L2_HalfPunc</ability>
      <abilityName>全半角检查</abilityName>
      <candidateList>
        <item>－</item>
      </candidateList>
      <explain>文本全半角错误。</explain>
      <paraID> 479660B</paraID>
      <start>14</start>
      <end>15</end>
      <status>unmodified</status>
      <modifiedWord/>
      <trackRevisions>false</trackRevisions>
    </reviewItem>
    <reviewItem>
      <errorID>1d073f5d-e054-4786-baf2-b870d7d41c9a</errorID>
      <errorWord>-</errorWord>
      <group>L1_Format</group>
      <groupName>格式问题</groupName>
      <ability>L2_HalfPunc</ability>
      <abilityName>全半角检查</abilityName>
      <candidateList>
        <item>－</item>
      </candidateList>
      <explain>文本全半角错误。</explain>
      <paraID> 479660B</paraID>
      <start>15</start>
      <end>16</end>
      <status>unmodified</status>
      <modifiedWord/>
      <trackRevisions>false</trackRevisions>
    </reviewItem>
    <reviewItem>
      <errorID>077750a3-dada-419e-bbd4-baa0331c77f3</errorID>
      <errorWord>-</errorWord>
      <group>L1_Format</group>
      <groupName>格式问题</groupName>
      <ability>L2_HalfPunc</ability>
      <abilityName>全半角检查</abilityName>
      <candidateList>
        <item>－</item>
      </candidateList>
      <explain>文本全半角错误。</explain>
      <paraID> 479660B</paraID>
      <start>41</start>
      <end>42</end>
      <status>unmodified</status>
      <modifiedWord/>
      <trackRevisions>false</trackRevisions>
    </reviewItem>
    <reviewItem>
      <errorID>f5543e49-d33d-428d-9185-d7d7dbc6eb27</errorID>
      <errorWord>-</errorWord>
      <group>L1_Format</group>
      <groupName>格式问题</groupName>
      <ability>L2_HalfPunc</ability>
      <abilityName>全半角检查</abilityName>
      <candidateList>
        <item>－</item>
      </candidateList>
      <explain>文本全半角错误。</explain>
      <paraID> 479660B</paraID>
      <start>42</start>
      <end>43</end>
      <status>unmodified</status>
      <modifiedWord/>
      <trackRevisions>false</trackRevisions>
    </reviewItem>
    <reviewItem>
      <errorID>a0bfc8c6-2d33-4b4f-ae6a-749124c33c86</errorID>
      <errorWord>“.</errorWord>
      <group>L1_Punc</group>
      <groupName>标点问题</groupName>
      <ability>L2_Punc</ability>
      <abilityName>标点符号检查</abilityName>
      <candidateList>
        <item>“</item>
      </candidateList>
      <explain/>
      <paraID> 479660B</paraID>
      <start>54</start>
      <end>56</end>
      <status>unmodified</status>
      <modifiedWord/>
      <trackRevisions>false</trackRevisions>
    </reviewItem>
    <reviewItem>
      <errorID>f21b70c3-b042-4a9a-b29d-67746fea993b</errorID>
      <errorWord>“.</errorWord>
      <group>L1_Punc</group>
      <groupName>标点问题</groupName>
      <ability>L2_Punc</ability>
      <abilityName>标点符号检查</abilityName>
      <candidateList>
        <item>“</item>
      </candidateList>
      <explain/>
      <paraID> 479660B</paraID>
      <start>69</start>
      <end>71</end>
      <status>unmodified</status>
      <modifiedWord/>
      <trackRevisions>false</trackRevisions>
    </reviewItem>
    <reviewItem>
      <errorID>c7a81026-4f81-4499-9961-40e58234cad2</errorID>
      <errorWord>-</errorWord>
      <group>L1_Format</group>
      <groupName>格式问题</groupName>
      <ability>L2_HalfPunc</ability>
      <abilityName>全半角检查</abilityName>
      <candidateList>
        <item>－</item>
      </candidateList>
      <explain>文本全半角错误。</explain>
      <paraID> 479660B</paraID>
      <start>92</start>
      <end>93</end>
      <status>unmodified</status>
      <modifiedWord/>
      <trackRevisions>false</trackRevisions>
    </reviewItem>
    <reviewItem>
      <errorID>757377eb-5bac-4aed-bcc2-db32e0a1fcf8</errorID>
      <errorWord>-</errorWord>
      <group>L1_Format</group>
      <groupName>格式问题</groupName>
      <ability>L2_HalfPunc</ability>
      <abilityName>全半角检查</abilityName>
      <candidateList>
        <item>－</item>
      </candidateList>
      <explain>文本全半角错误。</explain>
      <paraID> 479660B</paraID>
      <start>93</start>
      <end>94</end>
      <status>unmodified</status>
      <modifiedWord/>
      <trackRevisions>false</trackRevisions>
    </reviewItem>
    <reviewItem>
      <errorID>b1b2ffbf-6719-4dbe-b5f0-52d7057405f3</errorID>
      <errorWord>-</errorWord>
      <group>L1_Format</group>
      <groupName>格式问题</groupName>
      <ability>L2_HalfPunc</ability>
      <abilityName>全半角检查</abilityName>
      <candidateList>
        <item>－</item>
      </candidateList>
      <explain>文本全半角错误。</explain>
      <paraID> 479660B</paraID>
      <start>100</start>
      <end>101</end>
      <status>unmodified</status>
      <modifiedWord/>
      <trackRevisions>false</trackRevisions>
    </reviewItem>
    <reviewItem>
      <errorID>93c6cf90-6fe6-4d64-a6eb-7d62f22db393</errorID>
      <errorWord>-</errorWord>
      <group>L1_Format</group>
      <groupName>格式问题</groupName>
      <ability>L2_HalfPunc</ability>
      <abilityName>全半角检查</abilityName>
      <candidateList>
        <item>－</item>
      </candidateList>
      <explain>文本全半角错误。</explain>
      <paraID> 479660B</paraID>
      <start>101</start>
      <end>102</end>
      <status>unmodified</status>
      <modifiedWord/>
      <trackRevisions>false</trackRevisions>
    </reviewItem>
    <reviewItem>
      <errorID>0a03ad97-848f-47a5-8472-8bd3c225380a</errorID>
      <errorWord>-</errorWord>
      <group>L1_Format</group>
      <groupName>格式问题</groupName>
      <ability>L2_HalfPunc</ability>
      <abilityName>全半角检查</abilityName>
      <candidateList>
        <item>－</item>
      </candidateList>
      <explain>文本全半角错误。</explain>
      <paraID>5F083B05</paraID>
      <start>90</start>
      <end>91</end>
      <status>unmodified</status>
      <modifiedWord/>
      <trackRevisions>false</trackRevisions>
    </reviewItem>
    <reviewItem>
      <errorID>1e6ee46a-e2fe-4b86-994a-7283dc412d8b</errorID>
      <errorWord>-</errorWord>
      <group>L1_Format</group>
      <groupName>格式问题</groupName>
      <ability>L2_HalfPunc</ability>
      <abilityName>全半角检查</abilityName>
      <candidateList>
        <item>－</item>
      </candidateList>
      <explain>文本全半角错误。</explain>
      <paraID>5F083B05</paraID>
      <start>95</start>
      <end>96</end>
      <status>unmodified</status>
      <modifiedWord/>
      <trackRevisions>false</trackRevisions>
    </reviewItem>
    <reviewItem>
      <errorID>c6776a4f-c8ad-45b9-8304-cd2e80362b6e</errorID>
      <errorWord>“.</errorWord>
      <group>L1_Punc</group>
      <groupName>标点问题</groupName>
      <ability>L2_Punc</ability>
      <abilityName>标点符号检查</abilityName>
      <candidateList>
        <item>“</item>
      </candidateList>
      <explain/>
      <paraID>769D0600</paraID>
      <start>12</start>
      <end>14</end>
      <status>unmodified</status>
      <modifiedWord/>
      <trackRevisions>false</trackRevisions>
    </reviewItem>
    <reviewItem>
      <errorID>81a132d5-53c0-4b57-85f2-415564ef5e6f</errorID>
      <errorWord>-</errorWord>
      <group>L1_Format</group>
      <groupName>格式问题</groupName>
      <ability>L2_HalfPunc</ability>
      <abilityName>全半角检查</abilityName>
      <candidateList>
        <item>－</item>
      </candidateList>
      <explain>文本全半角错误。</explain>
      <paraID>769D0600</paraID>
      <start>48</start>
      <end>49</end>
      <status>unmodified</status>
      <modifiedWord/>
      <trackRevisions>false</trackRevisions>
    </reviewItem>
    <reviewItem>
      <errorID>fc92e5fb-bfd4-4034-a6a2-243a7e0d72bd</errorID>
      <errorWord>-</errorWord>
      <group>L1_Format</group>
      <groupName>格式问题</groupName>
      <ability>L2_HalfPunc</ability>
      <abilityName>全半角检查</abilityName>
      <candidateList>
        <item>－</item>
      </candidateList>
      <explain>文本全半角错误。</explain>
      <paraID>769D0600</paraID>
      <start>49</start>
      <end>50</end>
      <status>unmodified</status>
      <modifiedWord/>
      <trackRevisions>false</trackRevisions>
    </reviewItem>
    <reviewItem>
      <errorID>10150687-cf08-4e57-9e7f-b95904785e42</errorID>
      <errorWord>-</errorWord>
      <group>L1_Format</group>
      <groupName>格式问题</groupName>
      <ability>L2_HalfPunc</ability>
      <abilityName>全半角检查</abilityName>
      <candidateList>
        <item>－</item>
      </candidateList>
      <explain>文本全半角错误。</explain>
      <paraID>769D0600</paraID>
      <start>55</start>
      <end>56</end>
      <status>unmodified</status>
      <modifiedWord/>
      <trackRevisions>false</trackRevisions>
    </reviewItem>
    <reviewItem>
      <errorID>0f16d84a-bed6-42ac-bd31-d39ecaa544fc</errorID>
      <errorWord>-</errorWord>
      <group>L1_Format</group>
      <groupName>格式问题</groupName>
      <ability>L2_HalfPunc</ability>
      <abilityName>全半角检查</abilityName>
      <candidateList>
        <item>－</item>
      </candidateList>
      <explain>文本全半角错误。</explain>
      <paraID>769D0600</paraID>
      <start>56</start>
      <end>57</end>
      <status>unmodified</status>
      <modifiedWord/>
      <trackRevisions>false</trackRevisions>
    </reviewItem>
    <reviewItem>
      <errorID>ba3c9016-0a4c-436e-a434-271c47333c8b</errorID>
      <errorWord>-</errorWord>
      <group>L1_Format</group>
      <groupName>格式问题</groupName>
      <ability>L2_HalfPunc</ability>
      <abilityName>全半角检查</abilityName>
      <candidateList>
        <item>－</item>
      </candidateList>
      <explain>文本全半角错误。</explain>
      <paraID>769D0600</paraID>
      <start>102</start>
      <end>103</end>
      <status>unmodified</status>
      <modifiedWord/>
      <trackRevisions>false</trackRevisions>
    </reviewItem>
    <reviewItem>
      <errorID>037fa224-e89f-4f8f-b561-f9f332b8144b</errorID>
      <errorWord>-</errorWord>
      <group>L1_Format</group>
      <groupName>格式问题</groupName>
      <ability>L2_HalfPunc</ability>
      <abilityName>全半角检查</abilityName>
      <candidateList>
        <item>－</item>
      </candidateList>
      <explain>文本全半角错误。</explain>
      <paraID>769D0600</paraID>
      <start>107</start>
      <end>108</end>
      <status>unmodified</status>
      <modifiedWord/>
      <trackRevisions>false</trackRevisions>
    </reviewItem>
    <reviewItem>
      <errorID>a9815aeb-739f-452e-b73f-bb7e243aa1e7</errorID>
      <errorWord>-</errorWord>
      <group>L1_Format</group>
      <groupName>格式问题</groupName>
      <ability>L2_HalfPunc</ability>
      <abilityName>全半角检查</abilityName>
      <candidateList>
        <item>－</item>
      </candidateList>
      <explain>文本全半角错误。</explain>
      <paraID>769D0600</paraID>
      <start>108</start>
      <end>109</end>
      <status>unmodified</status>
      <modifiedWord/>
      <trackRevisions>false</trackRevisions>
    </reviewItem>
    <reviewItem>
      <errorID>77ad4260-cf50-4202-85a5-38b9be24f7cf</errorID>
      <errorWord>-</errorWord>
      <group>L1_Format</group>
      <groupName>格式问题</groupName>
      <ability>L2_HalfPunc</ability>
      <abilityName>全半角检查</abilityName>
      <candidateList>
        <item>－</item>
      </candidateList>
      <explain>文本全半角错误。</explain>
      <paraID>769D0600</paraID>
      <start>113</start>
      <end>114</end>
      <status>unmodified</status>
      <modifiedWord/>
      <trackRevisions>false</trackRevisions>
    </reviewItem>
    <reviewItem>
      <errorID>0a2e1a73-df5a-4973-9c3e-3e7c581cf74a</errorID>
      <errorWord>-</errorWord>
      <group>L1_Format</group>
      <groupName>格式问题</groupName>
      <ability>L2_HalfPunc</ability>
      <abilityName>全半角检查</abilityName>
      <candidateList>
        <item>－</item>
      </candidateList>
      <explain>文本全半角错误。</explain>
      <paraID>769D0600</paraID>
      <start>114</start>
      <end>115</end>
      <status>unmodified</status>
      <modifiedWord/>
      <trackRevisions>false</trackRevisions>
    </reviewItem>
    <reviewItem>
      <errorID>6cba09bd-101f-4a9a-9c7c-6cfa87b89fcc</errorID>
      <errorWord>：</errorWord>
      <group>L1_Format</group>
      <groupName>格式问题</groupName>
      <ability>L2_HalfPunc</ability>
      <abilityName>全半角检查</abilityName>
      <candidateList>
        <item>:</item>
      </candidateList>
      <explain>文本全半角错误。</explain>
      <paraID>31F607E9</paraID>
      <start>30</start>
      <end>31</end>
      <status>unmodified</status>
      <modifiedWord/>
      <trackRevisions>false</trackRevisions>
    </reviewItem>
    <reviewItem>
      <errorID>ebec7ac9-aab3-474f-a324-dabfe6fbeca0</errorID>
      <errorWord>：</errorWord>
      <group>L1_Format</group>
      <groupName>格式问题</groupName>
      <ability>L2_HalfPunc</ability>
      <abilityName>全半角检查</abilityName>
      <candidateList>
        <item>:</item>
      </candidateList>
      <explain>文本全半角错误。</explain>
      <paraID>4E4C593E</paraID>
      <start>28</start>
      <end>29</end>
      <status>unmodified</status>
      <modifiedWord/>
      <trackRevisions>false</trackRevisions>
    </reviewItem>
    <reviewItem>
      <errorID>355355d9-f68e-4dee-8ace-866482770860</errorID>
      <errorWord>-</errorWord>
      <group>L1_Format</group>
      <groupName>格式问题</groupName>
      <ability>L2_HalfPunc</ability>
      <abilityName>全半角检查</abilityName>
      <candidateList>
        <item>－</item>
      </candidateList>
      <explain>文本全半角错误。</explain>
      <paraID>41E37B74</paraID>
      <start>32</start>
      <end>33</end>
      <status>unmodified</status>
      <modifiedWord/>
      <trackRevisions>false</trackRevisions>
    </reviewItem>
    <reviewItem>
      <errorID>b171cb88-0425-4538-a99c-7ec3b630f0a1</errorID>
      <errorWord>-</errorWord>
      <group>L1_Format</group>
      <groupName>格式问题</groupName>
      <ability>L2_HalfPunc</ability>
      <abilityName>全半角检查</abilityName>
      <candidateList>
        <item>－</item>
      </candidateList>
      <explain>文本全半角错误。</explain>
      <paraID>41E37B74</paraID>
      <start>37</start>
      <end>38</end>
      <status>unmodified</status>
      <modifiedWord/>
      <trackRevisions>false</trackRevisions>
    </reviewItem>
    <reviewItem>
      <errorID>9cb510da-4547-4634-a4ac-99f9446bd862</errorID>
      <errorWord>-</errorWord>
      <group>L1_Format</group>
      <groupName>格式问题</groupName>
      <ability>L2_HalfPunc</ability>
      <abilityName>全半角检查</abilityName>
      <candidateList>
        <item>－</item>
      </candidateList>
      <explain>文本全半角错误。</explain>
      <paraID>41E37B74</paraID>
      <start>38</start>
      <end>39</end>
      <status>unmodified</status>
      <modifiedWord/>
      <trackRevisions>false</trackRevisions>
    </reviewItem>
    <reviewItem>
      <errorID>627ba236-3261-4326-9af1-635153bf9309</errorID>
      <errorWord>法律、法规</errorWord>
      <group>L1_Word</group>
      <groupName>字词问题</groupName>
      <ability>L2_Typo</ability>
      <abilityName>字词错误</abilityName>
      <candidateList>
        <item>法律法规</item>
      </candidateList>
      <explain/>
      <paraID>2962A31B</paraID>
      <start>3</start>
      <end>8</end>
      <status>unmodified</status>
      <modifiedWord/>
      <trackRevisions>false</trackRevisions>
    </reviewItem>
    <reviewItem>
      <errorID>7ee15b17-7470-4928-bef9-c9921ee4320a</errorID>
      <errorWord>&lt;</errorWord>
      <group>L1_Format</group>
      <groupName>格式问题</groupName>
      <ability>L2_HalfPunc</ability>
      <abilityName>全半角检查</abilityName>
      <candidateList>
        <item>〈</item>
      </candidateList>
      <explain>文本全半角错误。</explain>
      <paraID>193C78E8</paraID>
      <start>49</start>
      <end>50</end>
      <status>unmodified</status>
      <modifiedWord/>
      <trackRevisions>false</trackRevisions>
    </reviewItem>
    <reviewItem>
      <errorID>1fcc8644-181c-4df1-952f-8347b971270e</errorID>
      <errorWord>&lt;</errorWord>
      <group>L1_Format</group>
      <groupName>格式问题</groupName>
      <ability>L2_HalfPunc</ability>
      <abilityName>全半角检查</abilityName>
      <candidateList>
        <item>〈</item>
      </candidateList>
      <explain>文本全半角错误。</explain>
      <paraID>236EEE5B</paraID>
      <start>49</start>
      <end>50</end>
      <status>unmodified</status>
      <modifiedWord/>
      <trackRevisions>false</trackRevisions>
    </reviewItem>
    <reviewItem>
      <errorID>e44ebed6-94bb-4108-a6d3-5a0a7591448e</errorID>
      <errorWord>&lt;</errorWord>
      <group>L1_Format</group>
      <groupName>格式问题</groupName>
      <ability>L2_HalfPunc</ability>
      <abilityName>全半角检查</abilityName>
      <candidateList>
        <item>〈</item>
      </candidateList>
      <explain>文本全半角错误。</explain>
      <paraID>63D2DB22</paraID>
      <start>64</start>
      <end>65</end>
      <status>unmodified</status>
      <modifiedWord/>
      <trackRevisions>false</trackRevisions>
    </reviewItem>
    <reviewItem>
      <errorID>90585e66-efd6-40a9-9212-8b95ad9a5015</errorID>
      <errorWord>(</errorWord>
      <group>L1_Format</group>
      <groupName>格式问题</groupName>
      <ability>L2_HalfPunc</ability>
      <abilityName>全半角检查</abilityName>
      <candidateList>
        <item>（</item>
      </candidateList>
      <explain>文本全半角错误。</explain>
      <paraID>53D7BA04</paraID>
      <start>59</start>
      <end>60</end>
      <status>unmodified</status>
      <modifiedWord/>
      <trackRevisions>false</trackRevisions>
    </reviewItem>
    <reviewItem>
      <errorID>9b2cee35-2a91-4dec-be34-94a14597a1e5</errorID>
      <errorWord>)</errorWord>
      <group>L1_Format</group>
      <groupName>格式问题</groupName>
      <ability>L2_HalfPunc</ability>
      <abilityName>全半角检查</abilityName>
      <candidateList>
        <item>）</item>
      </candidateList>
      <explain>文本全半角错误。</explain>
      <paraID>53D7BA04</paraID>
      <start>62</start>
      <end>63</end>
      <status>unmodified</status>
      <modifiedWord/>
      <trackRevisions>false</trackRevisions>
    </reviewItem>
    <reviewItem>
      <errorID>2c443701-8852-4c3f-8e3b-502a2a02a564</errorID>
      <errorWord>(</errorWord>
      <group>L1_Format</group>
      <groupName>格式问题</groupName>
      <ability>L2_HalfPunc</ability>
      <abilityName>全半角检查</abilityName>
      <candidateList>
        <item>（</item>
      </candidateList>
      <explain>文本全半角错误。</explain>
      <paraID>53D7BA04</paraID>
      <start>84</start>
      <end>85</end>
      <status>unmodified</status>
      <modifiedWord/>
      <trackRevisions>false</trackRevisions>
    </reviewItem>
    <reviewItem>
      <errorID>ee83d2f2-35d5-4bde-a598-f5d7c8fc93e9</errorID>
      <errorWord>)</errorWord>
      <group>L1_Format</group>
      <groupName>格式问题</groupName>
      <ability>L2_HalfPunc</ability>
      <abilityName>全半角检查</abilityName>
      <candidateList>
        <item>）</item>
      </candidateList>
      <explain>文本全半角错误。</explain>
      <paraID>53D7BA04</paraID>
      <start>87</start>
      <end>88</end>
      <status>unmodified</status>
      <modifiedWord/>
      <trackRevisions>false</trackRevisions>
    </reviewItem>
    <reviewItem>
      <errorID>a6d96c9a-6093-4ac1-9bc7-e54152f09806</errorID>
      <errorWord>(</errorWord>
      <group>L1_Format</group>
      <groupName>格式问题</groupName>
      <ability>L2_HalfPunc</ability>
      <abilityName>全半角检查</abilityName>
      <candidateList>
        <item>（</item>
      </candidateList>
      <explain>文本全半角错误。</explain>
      <paraID>34CE8EE0</paraID>
      <start>0</start>
      <end>1</end>
      <status>unmodified</status>
      <modifiedWord/>
      <trackRevisions>false</trackRevisions>
    </reviewItem>
    <reviewItem>
      <errorID>05249cb7-947a-4656-a743-930cfe726b09</errorID>
      <errorWord>)</errorWord>
      <group>L1_Format</group>
      <groupName>格式问题</groupName>
      <ability>L2_HalfPunc</ability>
      <abilityName>全半角检查</abilityName>
      <candidateList>
        <item>）</item>
      </candidateList>
      <explain>文本全半角错误。</explain>
      <paraID>34CE8EE0</paraID>
      <start>2</start>
      <end>3</end>
      <status>unmodified</status>
      <modifiedWord/>
      <trackRevisions>false</trackRevisions>
    </reviewItem>
    <reviewItem>
      <errorID>fcdb9bcc-a0d9-4922-a50f-f06153aa4c2b</errorID>
      <errorWord>(</errorWord>
      <group>L1_Format</group>
      <groupName>格式问题</groupName>
      <ability>L2_HalfPunc</ability>
      <abilityName>全半角检查</abilityName>
      <candidateList>
        <item>（</item>
      </candidateList>
      <explain>文本全半角错误。</explain>
      <paraID> C458375</paraID>
      <start>0</start>
      <end>1</end>
      <status>unmodified</status>
      <modifiedWord/>
      <trackRevisions>false</trackRevisions>
    </reviewItem>
    <reviewItem>
      <errorID>2bbdfe5e-e596-4904-a3d7-257effd68de7</errorID>
      <errorWord>)</errorWord>
      <group>L1_Format</group>
      <groupName>格式问题</groupName>
      <ability>L2_HalfPunc</ability>
      <abilityName>全半角检查</abilityName>
      <candidateList>
        <item>）</item>
      </candidateList>
      <explain>文本全半角错误。</explain>
      <paraID> C458375</paraID>
      <start>2</start>
      <end>3</end>
      <status>unmodified</status>
      <modifiedWord/>
      <trackRevisions>false</trackRevisions>
    </reviewItem>
    <reviewItem>
      <errorID>575ea1b5-e130-4b78-b5aa-3993036c5a74</errorID>
      <errorWord>(</errorWord>
      <group>L1_Format</group>
      <groupName>格式问题</groupName>
      <ability>L2_HalfPunc</ability>
      <abilityName>全半角检查</abilityName>
      <candidateList>
        <item>（</item>
      </candidateList>
      <explain>文本全半角错误。</explain>
      <paraID>3578F212</paraID>
      <start>0</start>
      <end>1</end>
      <status>unmodified</status>
      <modifiedWord/>
      <trackRevisions>false</trackRevisions>
    </reviewItem>
    <reviewItem>
      <errorID>288de7c1-adc5-459c-acf1-992d97c3ccf0</errorID>
      <errorWord>)</errorWord>
      <group>L1_Format</group>
      <groupName>格式问题</groupName>
      <ability>L2_HalfPunc</ability>
      <abilityName>全半角检查</abilityName>
      <candidateList>
        <item>）</item>
      </candidateList>
      <explain>文本全半角错误。</explain>
      <paraID>3578F212</paraID>
      <start>2</start>
      <end>3</end>
      <status>unmodified</status>
      <modifiedWord/>
      <trackRevisions>false</trackRevisions>
    </reviewItem>
    <reviewItem>
      <errorID>0cdcacb3-65d9-40f3-accd-0b0782833e02</errorID>
      <errorWord>(</errorWord>
      <group>L1_Format</group>
      <groupName>格式问题</groupName>
      <ability>L2_HalfPunc</ability>
      <abilityName>全半角检查</abilityName>
      <candidateList>
        <item>（</item>
      </candidateList>
      <explain>文本全半角错误。</explain>
      <paraID>3E2D916C</paraID>
      <start>0</start>
      <end>1</end>
      <status>unmodified</status>
      <modifiedWord/>
      <trackRevisions>false</trackRevisions>
    </reviewItem>
    <reviewItem>
      <errorID>51c67a7a-04df-4d8b-a491-a8da48ff14bb</errorID>
      <errorWord>)</errorWord>
      <group>L1_Format</group>
      <groupName>格式问题</groupName>
      <ability>L2_HalfPunc</ability>
      <abilityName>全半角检查</abilityName>
      <candidateList>
        <item>）</item>
      </candidateList>
      <explain>文本全半角错误。</explain>
      <paraID>3E2D916C</paraID>
      <start>2</start>
      <end>3</end>
      <status>unmodified</status>
      <modifiedWord/>
      <trackRevisions>false</trackRevisions>
    </reviewItem>
    <reviewItem>
      <errorID>4fc671db-390b-4a62-94d4-3696266288c2</errorID>
      <errorWord>(</errorWord>
      <group>L1_Format</group>
      <groupName>格式问题</groupName>
      <ability>L2_HalfPunc</ability>
      <abilityName>全半角检查</abilityName>
      <candidateList>
        <item>（</item>
      </candidateList>
      <explain>文本全半角错误。</explain>
      <paraID>7046EB55</paraID>
      <start>0</start>
      <end>1</end>
      <status>unmodified</status>
      <modifiedWord/>
      <trackRevisions>false</trackRevisions>
    </reviewItem>
    <reviewItem>
      <errorID>a8b53561-4217-4f45-bc52-0ebeb98de8e2</errorID>
      <errorWord>)</errorWord>
      <group>L1_Format</group>
      <groupName>格式问题</groupName>
      <ability>L2_HalfPunc</ability>
      <abilityName>全半角检查</abilityName>
      <candidateList>
        <item>）</item>
      </candidateList>
      <explain>文本全半角错误。</explain>
      <paraID>7046EB55</paraID>
      <start>2</start>
      <end>3</end>
      <status>unmodified</status>
      <modifiedWord/>
      <trackRevisions>false</trackRevisions>
    </reviewItem>
    <reviewItem>
      <errorID>6936d820-7b57-4a98-bef5-4a45c57e18c2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1B9A6B77</paraID>
      <start>0</start>
      <end>2</end>
      <status>unmodified</status>
      <modifiedWord/>
      <trackRevisions>false</trackRevisions>
    </reviewItem>
    <reviewItem>
      <errorID>025182e8-d481-4b3f-81f6-435b446cce28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5E807A93</paraID>
      <start>0</start>
      <end>2</end>
      <status>unmodified</status>
      <modifiedWord/>
      <trackRevisions>false</trackRevisions>
    </reviewItem>
    <reviewItem>
      <errorID>b81f7634-e5e9-44b4-9469-06a429d6b647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21497BA9</paraID>
      <start>0</start>
      <end>2</end>
      <status>unmodified</status>
      <modifiedWord/>
      <trackRevisions>false</trackRevisions>
    </reviewItem>
    <reviewItem>
      <errorID>a4deac0b-fe6b-464e-8bcd-f21e29471df4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40B37037</paraID>
      <start>0</start>
      <end>3</end>
      <status>unmodified</status>
      <modifiedWord/>
      <trackRevisions>false</trackRevisions>
    </reviewItem>
    <reviewItem>
      <errorID>02120f96-2312-468a-a5ba-39fc20973c24</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4F3D1704</paraID>
      <start>0</start>
      <end>3</end>
      <status>unmodified</status>
      <modifiedWord/>
      <trackRevisions>false</trackRevisions>
    </reviewItem>
    <reviewItem>
      <errorID>f57d8492-46af-445a-9b3b-40dcd3ca3687</errorID>
      <errorWord>1、</errorWord>
      <group>L1_Format</group>
      <groupName>格式问题</groupName>
      <ability>L2_Ordinal</ability>
      <abilityName>序号格式</abilityName>
      <candidateList>
        <item>1.</item>
      </candidateList>
      <explain>当前序号格式不规范，建议修改为规范格式[1.]。</explain>
      <paraID>48A36D7F</paraID>
      <start>0</start>
      <end>2</end>
      <status>unmodified</status>
      <modifiedWord/>
      <trackRevisions>false</trackRevisions>
    </reviewItem>
    <reviewItem>
      <errorID>91ba345b-24d2-4a0f-a19d-ba66d58fa4a1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1156E59F</paraID>
      <start>0</start>
      <end>2</end>
      <status>unmodified</status>
      <modifiedWord/>
      <trackRevisions>false</trackRevisions>
    </reviewItem>
    <reviewItem>
      <errorID>b1472dff-c998-4745-940e-777b7aff866d</errorID>
      <errorWord>3、</errorWord>
      <group>L1_Format</group>
      <groupName>格式问题</groupName>
      <ability>L2_Ordinal</ability>
      <abilityName>序号格式</abilityName>
      <candidateList>
        <item>3.</item>
      </candidateList>
      <explain>当前序号格式不规范，建议修改为规范格式[3.]。</explain>
      <paraID>74C91FEC</paraID>
      <start>0</start>
      <end>2</end>
      <status>unmodified</status>
      <modifiedWord/>
      <trackRevisions>false</trackRevisions>
    </reviewItem>
    <reviewItem>
      <errorID>230d6921-1f98-4962-9571-c2ba0e32c09d</errorID>
      <errorWord>4、</errorWord>
      <group>L1_Format</group>
      <groupName>格式问题</groupName>
      <ability>L2_Ordinal</ability>
      <abilityName>序号格式</abilityName>
      <candidateList>
        <item>4.</item>
      </candidateList>
      <explain>当前序号格式不规范，建议修改为规范格式[4.]。</explain>
      <paraID>3191CF64</paraID>
      <start>0</start>
      <end>2</end>
      <status>unmodified</status>
      <modifiedWord/>
      <trackRevisions>false</trackRevisions>
    </reviewItem>
    <reviewItem>
      <errorID>6b8c635a-9bfc-4254-90dc-3bedaed13717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540B900B</paraID>
      <start>0</start>
      <end>3</end>
      <status>unmodified</status>
      <modifiedWord/>
      <trackRevisions>false</trackRevisions>
    </reviewItem>
    <reviewItem>
      <errorID>f7d7864e-c08d-4c0b-ab3d-3cc62242b59f</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C4F387C</paraID>
      <start>0</start>
      <end>3</end>
      <status>unmodified</status>
      <modifiedWord/>
      <trackRevisions>false</trackRevisions>
    </reviewItem>
    <reviewItem>
      <errorID>eb2ad897-0f8a-4e8b-a76f-196129da0da2</errorID>
      <errorWord>(五)</errorWord>
      <group>L1_Format</group>
      <groupName>格式问题</groupName>
      <ability>L2_Ordinal</ability>
      <abilityName>序号格式</abilityName>
      <candidateList>
        <item>（五）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3523F610</paraID>
      <start>0</start>
      <end>3</end>
      <status>unmodified</status>
      <modifiedWord/>
      <trackRevisions>false</trackRevisions>
    </reviewItem>
    <reviewItem>
      <errorID>8eeb9759-dd27-4387-be2a-7dfd6bfc02f6</errorID>
      <errorWord>(</errorWord>
      <group>L1_Format</group>
      <groupName>格式问题</groupName>
      <ability>L2_HalfPunc</ability>
      <abilityName>全半角检查</abilityName>
      <candidateList>
        <item>（</item>
      </candidateList>
      <explain>文本全半角错误。</explain>
      <paraID>25E221A5</paraID>
      <start>0</start>
      <end>1</end>
      <status>unmodified</status>
      <modifiedWord/>
      <trackRevisions>false</trackRevisions>
    </reviewItem>
    <reviewItem>
      <errorID>31ec1e60-4203-4b1b-b6ba-8cf0a6369fe6</errorID>
      <errorWord>)</errorWord>
      <group>L1_Format</group>
      <groupName>格式问题</groupName>
      <ability>L2_HalfPunc</ability>
      <abilityName>全半角检查</abilityName>
      <candidateList>
        <item>）</item>
      </candidateList>
      <explain>文本全半角错误。</explain>
      <paraID>25E221A5</paraID>
      <start>2</start>
      <end>3</end>
      <status>unmodified</status>
      <modifiedWord/>
      <trackRevisions>false</trackRevisions>
    </reviewItem>
    <reviewItem>
      <errorID>ae1b73db-23d4-4cbc-8091-4fe95ea913ca</errorID>
      <errorWord>(</errorWord>
      <group>L1_Format</group>
      <groupName>格式问题</groupName>
      <ability>L2_HalfPunc</ability>
      <abilityName>全半角检查</abilityName>
      <candidateList>
        <item>（</item>
      </candidateList>
      <explain>文本全半角错误。</explain>
      <paraID>7B1A5270</paraID>
      <start>0</start>
      <end>1</end>
      <status>unmodified</status>
      <modifiedWord/>
      <trackRevisions>false</trackRevisions>
    </reviewItem>
    <reviewItem>
      <errorID>32240ea4-7a98-4180-9e05-7f7fb6da1de5</errorID>
      <errorWord>)</errorWord>
      <group>L1_Format</group>
      <groupName>格式问题</groupName>
      <ability>L2_HalfPunc</ability>
      <abilityName>全半角检查</abilityName>
      <candidateList>
        <item>）</item>
      </candidateList>
      <explain>文本全半角错误。</explain>
      <paraID>7B1A5270</paraID>
      <start>2</start>
      <end>3</end>
      <status>unmodified</status>
      <modifiedWord/>
      <trackRevisions>false</trackRevisions>
    </reviewItem>
    <reviewItem>
      <errorID>36909686-f545-42ef-b456-aa7e34b37bb2</errorID>
      <errorWord>(</errorWord>
      <group>L1_Format</group>
      <groupName>格式问题</groupName>
      <ability>L2_HalfPunc</ability>
      <abilityName>全半角检查</abilityName>
      <candidateList>
        <item>（</item>
      </candidateList>
      <explain>文本全半角错误。</explain>
      <paraID>7F0F8A41</paraID>
      <start>0</start>
      <end>1</end>
      <status>unmodified</status>
      <modifiedWord/>
      <trackRevisions>false</trackRevisions>
    </reviewItem>
    <reviewItem>
      <errorID>d9e49e04-90d6-45cd-9739-7fc1814ba450</errorID>
      <errorWord>)</errorWord>
      <group>L1_Format</group>
      <groupName>格式问题</groupName>
      <ability>L2_HalfPunc</ability>
      <abilityName>全半角检查</abilityName>
      <candidateList>
        <item>）</item>
      </candidateList>
      <explain>文本全半角错误。</explain>
      <paraID>7F0F8A41</paraID>
      <start>2</start>
      <end>3</end>
      <status>unmodified</status>
      <modifiedWord/>
      <trackRevisions>false</trackRevisions>
    </reviewItem>
    <reviewItem>
      <errorID>5b44e8af-ca87-4da1-ae42-793b9930de92</errorID>
      <errorWord>(</errorWord>
      <group>L1_Format</group>
      <groupName>格式问题</groupName>
      <ability>L2_HalfPunc</ability>
      <abilityName>全半角检查</abilityName>
      <candidateList>
        <item>（</item>
      </candidateList>
      <explain>文本全半角错误。</explain>
      <paraID>66AE113C</paraID>
      <start>0</start>
      <end>1</end>
      <status>unmodified</status>
      <modifiedWord/>
      <trackRevisions>false</trackRevisions>
    </reviewItem>
    <reviewItem>
      <errorID>9bf42952-0f10-44f3-90e5-a2816eddc3ef</errorID>
      <errorWord>)</errorWord>
      <group>L1_Format</group>
      <groupName>格式问题</groupName>
      <ability>L2_HalfPunc</ability>
      <abilityName>全半角检查</abilityName>
      <candidateList>
        <item>）</item>
      </candidateList>
      <explain>文本全半角错误。</explain>
      <paraID>66AE113C</paraID>
      <start>2</start>
      <end>3</end>
      <status>unmodified</status>
      <modifiedWord/>
      <trackRevisions>false</trackRevisions>
    </reviewItem>
    <reviewItem>
      <errorID>dca93e0e-2c69-4bde-a131-9f4b23bdb417</errorID>
      <errorWord>(十一)</errorWord>
      <group>L1_Format</group>
      <groupName>格式问题</groupName>
      <ability>L2_Ordinal</ability>
      <abilityName>序号格式</abilityName>
      <candidateList>
        <item>（十一）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4533C26</paraID>
      <start>0</start>
      <end>4</end>
      <status>unmodified</status>
      <modifiedWord/>
      <trackRevisions>false</trackRevisions>
    </reviewItem>
    <reviewItem>
      <errorID>88ff4d33-e0c5-4f5e-ac30-ba7193a04560</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6CF3FACE</paraID>
      <start>0</start>
      <end>4</end>
      <status>unmodified</status>
      <modifiedWord/>
      <trackRevisions>false</trackRevisions>
    </reviewItem>
    <reviewItem>
      <errorID>73a20324-beb9-48d0-8ff4-4c30ac846a2d</errorID>
      <errorWord>(十二)</errorWord>
      <group>L1_Format</group>
      <groupName>格式问题</groupName>
      <ability>L2_Ordinal</ability>
      <abilityName>序号格式</abilityName>
      <candidateList>
        <item>（十二）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62DE5C01</paraID>
      <start>0</start>
      <end>4</end>
      <status>unmodified</status>
      <modifiedWord/>
      <trackRevisions>false</trackRevisions>
    </reviewItem>
    <reviewItem>
      <errorID>2f37a687-84e1-44b8-97b1-b091e0a0ec74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4FB4667F</paraID>
      <start>0</start>
      <end>2</end>
      <status>unmodified</status>
      <modifiedWord/>
      <trackRevisions>false</trackRevisions>
    </reviewItem>
    <reviewItem>
      <errorID>4688f566-7489-42de-a42b-cc19821c0c0c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34ABE8FD</paraID>
      <start>0</start>
      <end>2</end>
      <status>unmodified</status>
      <modifiedWord/>
      <trackRevisions>false</trackRevisions>
    </reviewItem>
    <reviewItem>
      <errorID>63048048-111e-428f-a9f4-7e815a2927ea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E2FD2C3</paraID>
      <start>0</start>
      <end>2</end>
      <status>unmodified</status>
      <modifiedWord/>
      <trackRevisions>false</trackRevisions>
    </reviewItem>
    <reviewItem>
      <errorID>d9a681a4-c8ae-45c6-9388-783f26c1f6f2</errorID>
      <errorWord>,</errorWord>
      <group>L1_Format</group>
      <groupName>格式问题</groupName>
      <ability>L2_HalfPunc</ability>
      <abilityName>全半角检查</abilityName>
      <candidateList>
        <item>，</item>
      </candidateList>
      <explain>文本全半角错误。</explain>
      <paraID>5DF2A72F</paraID>
      <start>81</start>
      <end>82</end>
      <status>unmodified</status>
      <modifiedWord/>
      <trackRevisions>false</trackRevisions>
    </reviewItem>
    <reviewItem>
      <errorID>6d3bc4bc-4368-4e2b-b3a4-d9768644bd8f</errorID>
      <errorWord>)</errorWord>
      <group>L1_Format</group>
      <groupName>格式问题</groupName>
      <ability>L2_HalfPunc</ability>
      <abilityName>全半角检查</abilityName>
      <candidateList>
        <item>）</item>
      </candidateList>
      <explain>文本全半角错误。</explain>
      <paraID>5DF2A72F</paraID>
      <start>110</start>
      <end>111</end>
      <status>unmodified</status>
      <modifiedWord/>
      <trackRevisions>false</trackRevisions>
    </reviewItem>
    <reviewItem>
      <errorID>45cb1d1b-d6a6-4800-8db4-9620297ceb86</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41598B8E</paraID>
      <start>0</start>
      <end>3</end>
      <status>unmodified</status>
      <modifiedWord/>
      <trackRevisions>false</trackRevisions>
    </reviewItem>
    <reviewItem>
      <errorID>855f9520-68fe-4957-995a-2cd948444b6c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1C502637</paraID>
      <start>0</start>
      <end>2</end>
      <status>unmodified</status>
      <modifiedWord/>
      <trackRevisions>false</trackRevisions>
    </reviewItem>
    <reviewItem>
      <errorID>c92445c7-c27d-4fe1-a401-460cbeb0bd06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15D2699D</paraID>
      <start>0</start>
      <end>2</end>
      <status>unmodified</status>
      <modifiedWord/>
      <trackRevisions>false</trackRevisions>
    </reviewItem>
    <reviewItem>
      <errorID>dc4c14dc-4c50-4ee8-ad4e-785ce9d4ece2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BCABBC6</paraID>
      <start>0</start>
      <end>2</end>
      <status>unmodified</status>
      <modifiedWord/>
      <trackRevisions>false</trackRevisions>
    </reviewItem>
    <reviewItem>
      <errorID>41e5e187-44be-4f8c-8f44-34d28e68c05e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29649C87</paraID>
      <start>0</start>
      <end>2</end>
      <status>unmodified</status>
      <modifiedWord/>
      <trackRevisions>false</trackRevisions>
    </reviewItem>
    <reviewItem>
      <errorID>d11234b6-7efa-45c9-b272-b8ed33ae170a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34B71E79</paraID>
      <start>0</start>
      <end>2</end>
      <status>unmodified</status>
      <modifiedWord/>
      <trackRevisions>false</trackRevisions>
    </reviewItem>
    <reviewItem>
      <errorID>c9af280d-7afd-44a3-b2a6-d86afb034fb8</errorID>
      <errorWord>法律、法规</errorWord>
      <group>L1_Word</group>
      <groupName>字词问题</groupName>
      <ability>L2_Typo</ability>
      <abilityName>字词错误</abilityName>
      <candidateList>
        <item>法律法规</item>
      </candidateList>
      <explain/>
      <paraID>34B71E79</paraID>
      <start>2</start>
      <end>7</end>
      <status>unmodified</status>
      <modifiedWord/>
      <trackRevisions>false</trackRevisions>
    </reviewItem>
    <reviewItem>
      <errorID>8810ee40-401b-40bc-840c-73712908bca1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66E97CF1</paraID>
      <start>0</start>
      <end>2</end>
      <status>unmodified</status>
      <modifiedWord/>
      <trackRevisions>false</trackRevisions>
    </reviewItem>
    <reviewItem>
      <errorID>27c16f6d-c628-47c5-b55b-49db5e0f6cca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3136A9BC</paraID>
      <start>0</start>
      <end>2</end>
      <status>unmodified</status>
      <modifiedWord/>
      <trackRevisions>false</trackRevisions>
    </reviewItem>
    <reviewItem>
      <errorID>82962210-a264-4180-ba81-083bfe374842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61B2DC9A</paraID>
      <start>0</start>
      <end>2</end>
      <status>unmodified</status>
      <modifiedWord/>
      <trackRevisions>false</trackRevisions>
    </reviewItem>
    <reviewItem>
      <errorID>e0a43445-f750-4acd-b6a6-0e7b8317cb53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767AAADA</paraID>
      <start>0</start>
      <end>2</end>
      <status>unmodified</status>
      <modifiedWord/>
      <trackRevisions>false</trackRevisions>
    </reviewItem>
    <reviewItem>
      <errorID>727220ea-7a28-4389-b68a-b5d867c82f40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76A44D6D</paraID>
      <start>0</start>
      <end>2</end>
      <status>unmodified</status>
      <modifiedWord/>
      <trackRevisions>false</trackRevisions>
    </reviewItem>
    <reviewItem>
      <errorID>aa65def5-f8ec-4217-8f02-597a1c7c80d9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5BF45E41</paraID>
      <start>0</start>
      <end>2</end>
      <status>unmodified</status>
      <modifiedWord/>
      <trackRevisions>false</trackRevisions>
    </reviewItem>
    <reviewItem>
      <errorID>6060863c-a464-48b3-be4c-40b6f38bae69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3984C738</paraID>
      <start>0</start>
      <end>2</end>
      <status>unmodified</status>
      <modifiedWord/>
      <trackRevisions>false</trackRevisions>
    </reviewItem>
    <reviewItem>
      <errorID>b3ff7d0e-412f-4358-9a3b-6b35aa717eb3</errorID>
      <errorWord>、</errorWord>
      <group>L1_Punc</group>
      <groupName>标点问题</groupName>
      <ability>L2_Punc</ability>
      <abilityName>标点符号检查</abilityName>
      <candidateList/>
      <explain/>
      <paraID>15F5858E</paraID>
      <start>0</start>
      <end>1</end>
      <status>unmodified</status>
      <modifiedWord/>
      <trackRevisions>false</trackRevisions>
    </reviewItem>
    <reviewItem>
      <errorID>c4dead42-48e9-46ef-b31a-ddb3a32c93ff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594BC081</paraID>
      <start>0</start>
      <end>2</end>
      <status>unmodified</status>
      <modifiedWord/>
      <trackRevisions>false</trackRevisions>
    </reviewItem>
    <reviewItem>
      <errorID>90f553d2-e5a4-4297-a7d9-a1be04b9faf1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24941784</paraID>
      <start>0</start>
      <end>2</end>
      <status>unmodified</status>
      <modifiedWord/>
      <trackRevisions>false</trackRevisions>
    </reviewItem>
    <reviewItem>
      <errorID>755e0e41-80c1-41bb-9089-1470c11eb40a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2C81102</paraID>
      <start>0</start>
      <end>2</end>
      <status>unmodified</status>
      <modifiedWord/>
      <trackRevisions>false</trackRevisions>
    </reviewItem>
    <reviewItem>
      <errorID>83485fb8-9d9a-47f9-a4f4-7ec6b8e77f7e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B00CDC0</paraID>
      <start>0</start>
      <end>2</end>
      <status>unmodified</status>
      <modifiedWord/>
      <trackRevisions>false</trackRevisions>
    </reviewItem>
    <reviewItem>
      <errorID>03fa551b-d914-4d9c-903c-3d4e9c355417</errorID>
      <errorWord>其它</errorWord>
      <group>L1_Word</group>
      <groupName>字词问题</groupName>
      <ability>L2_Alias</ability>
      <abilityName>也作/曾用词</abilityName>
      <candidateList>
        <item>其他</item>
      </candidateList>
      <explain>词汇[其它]为不规范表述或旧称，其规范书面表述为[其他]。</explain>
      <paraID> B00CDC0</paraID>
      <start>5</start>
      <end>7</end>
      <status>unmodified</status>
      <modifiedWord/>
      <trackRevisions>false</trackRevisions>
    </reviewItem>
    <reviewItem>
      <errorID>8c5ef189-b081-4bb7-9229-7d8c7b2df3c5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7A50ABBB</paraID>
      <start>0</start>
      <end>2</end>
      <status>unmodified</status>
      <modifiedWord/>
      <trackRevisions>false</trackRevisions>
    </reviewItem>
    <reviewItem>
      <errorID>4d98e2a0-eb51-4fd1-9481-56d0861e0187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1F6D9587</paraID>
      <start>0</start>
      <end>2</end>
      <status>unmodified</status>
      <modifiedWord/>
      <trackRevisions>false</trackRevisions>
    </reviewItem>
    <reviewItem>
      <errorID>2c89e434-f4a0-4fe0-89bb-aa7448275771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367E5B56</paraID>
      <start>0</start>
      <end>2</end>
      <status>unmodified</status>
      <modifiedWord/>
      <trackRevisions>false</trackRevisions>
    </reviewItem>
    <reviewItem>
      <errorID>3ed3d844-16fb-4675-a3e0-8e087a9d4127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31C020AF</paraID>
      <start>0</start>
      <end>2</end>
      <status>unmodified</status>
      <modifiedWord/>
      <trackRevisions>false</trackRevisions>
    </reviewItem>
    <reviewItem>
      <errorID>c64f0a9b-4b10-4795-a8fb-8c40b5c6da64</errorID>
      <errorWord>（</errorWord>
      <group>L1_Punc</group>
      <groupName>标点问题</groupName>
      <ability>L2_Punc</ability>
      <abilityName>标点符号检查</abilityName>
      <candidateList>
        <item/>
      </candidateList>
      <explain>同一形式括号套用。</explain>
      <paraID>31C020AF</paraID>
      <start>48</start>
      <end>49</end>
      <status>unmodified</status>
      <modifiedWord/>
      <trackRevisions>false</trackRevisions>
    </reviewItem>
    <reviewItem>
      <errorID>20862934-e245-42ec-bca1-4c0a73cd2231</errorID>
      <errorWord>(</errorWord>
      <group>L1_Punc</group>
      <groupName>标点问题</groupName>
      <ability>L2_Punc</ability>
      <abilityName>标点符号检查</abilityName>
      <candidateList/>
      <explain>同一形式括号套用。</explain>
      <paraID>31C020AF</paraID>
      <start>52</start>
      <end>53</end>
      <status>unmodified</status>
      <modifiedWord/>
      <trackRevisions>false</trackRevisions>
    </reviewItem>
    <reviewItem>
      <errorID>247d74ce-cee1-4b08-b1f1-3d2baffe5bc5</errorID>
      <errorWord>)</errorWord>
      <group>L1_Punc</group>
      <groupName>标点问题</groupName>
      <ability>L2_Punc</ability>
      <abilityName>标点符号检查</abilityName>
      <candidateList/>
      <explain>同一形式括号套用。</explain>
      <paraID>31C020AF</paraID>
      <start>59</start>
      <end>60</end>
      <status>unmodified</status>
      <modifiedWord/>
      <trackRevisions>false</trackRevisions>
    </reviewItem>
    <reviewItem>
      <errorID>aa3c1fbc-6ca7-4693-8466-06d1ae3babbf</errorID>
      <errorWord>）</errorWord>
      <group>L1_Punc</group>
      <groupName>标点问题</groupName>
      <ability>L2_Punc</ability>
      <abilityName>标点符号检查</abilityName>
      <candidateList/>
      <explain>同一形式括号套用。</explain>
      <paraID>31C020AF</paraID>
      <start>65</start>
      <end>66</end>
      <status>unmodified</status>
      <modifiedWord/>
      <trackRevisions>false</trackRevisions>
    </reviewItem>
    <reviewItem>
      <errorID>87a86cdd-3273-4abb-8ac1-634a7482c91f</errorID>
      <errorWord>[2011]300号</errorWord>
      <group>L1_Knowledge</group>
      <groupName>知识性问题</groupName>
      <ability>L2_Knowledge</ability>
      <abilityName>其他知识</abilityName>
      <candidateList>
        <item>〔2011〕300号</item>
      </candidateList>
      <explain>发文字号格式错误。</explain>
      <paraID>31C020AF</paraID>
      <start>121</start>
      <end>131</end>
      <status>unmodified</status>
      <modifiedWord/>
      <trackRevisions>false</trackRevisions>
    </reviewItem>
    <reviewItem>
      <errorID>85dee89e-7f00-4dba-938e-d9af61c86250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713798D5</paraID>
      <start>0</start>
      <end>2</end>
      <status>unmodified</status>
      <modifiedWord/>
      <trackRevisions>false</trackRevisions>
    </reviewItem>
    <reviewItem>
      <errorID>12d53739-b4bc-44d7-a11c-cc1d7f7f9c89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140F5DC7</paraID>
      <start>0</start>
      <end>2</end>
      <status>unmodified</status>
      <modifiedWord/>
      <trackRevisions>false</trackRevisions>
    </reviewItem>
    <reviewItem>
      <errorID>e1568a37-a455-4cf3-84b5-f9267be0d353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3C80F58A</paraID>
      <start>0</start>
      <end>2</end>
      <status>unmodified</status>
      <modifiedWord/>
      <trackRevisions>false</trackRevisions>
    </reviewItem>
    <reviewItem>
      <errorID>3e3c3998-ffa3-4a76-9cf8-68757ea15847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1759BDFE</paraID>
      <start>0</start>
      <end>2</end>
      <status>unmodified</status>
      <modifiedWord/>
      <trackRevisions>false</trackRevisions>
    </reviewItem>
    <reviewItem>
      <errorID>29745202-75da-43d0-af80-82b57d9696c0</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7578509F</paraID>
      <start>0</start>
      <end>4</end>
      <status>unmodified</status>
      <modifiedWord/>
      <trackRevisions>false</trackRevisions>
    </reviewItem>
    <reviewItem>
      <errorID>f906cf07-cfca-4945-8c27-ad392368fc34</errorID>
      <errorWord>(</errorWord>
      <group>L1_Format</group>
      <groupName>格式问题</groupName>
      <ability>L2_HalfPunc</ability>
      <abilityName>全半角检查</abilityName>
      <candidateList>
        <item>（</item>
      </candidateList>
      <explain>文本全半角错误。</explain>
      <paraID>5C61ECDA</paraID>
      <start>16</start>
      <end>17</end>
      <status>unmodified</status>
      <modifiedWord/>
      <trackRevisions>false</trackRevisions>
    </reviewItem>
    <reviewItem>
      <errorID>3e70ba2e-f75d-4549-8ec0-5c4227054bf5</errorID>
      <errorWord>)</errorWord>
      <group>L1_Format</group>
      <groupName>格式问题</groupName>
      <ability>L2_HalfPunc</ability>
      <abilityName>全半角检查</abilityName>
      <candidateList>
        <item>）</item>
      </candidateList>
      <explain>文本全半角错误。</explain>
      <paraID>5C61ECDA</paraID>
      <start>19</start>
      <end>20</end>
      <status>unmodified</status>
      <modifiedWord/>
      <trackRevisions>false</trackRevisions>
    </reviewItem>
    <reviewItem>
      <errorID>1dac48cd-195c-40aa-a277-3ea9e5bca2af</errorID>
      <errorWord>(</errorWord>
      <group>L1_Format</group>
      <groupName>格式问题</groupName>
      <ability>L2_HalfPunc</ability>
      <abilityName>全半角检查</abilityName>
      <candidateList>
        <item>（</item>
      </candidateList>
      <explain>文本全半角错误。</explain>
      <paraID>5C61ECDA</paraID>
      <start>22</start>
      <end>23</end>
      <status>unmodified</status>
      <modifiedWord/>
      <trackRevisions>false</trackRevisions>
    </reviewItem>
    <reviewItem>
      <errorID>88d5ec0f-af78-48c1-8324-08829f1a5f1c</errorID>
      <errorWord>)</errorWord>
      <group>L1_Format</group>
      <groupName>格式问题</groupName>
      <ability>L2_HalfPunc</ability>
      <abilityName>全半角检查</abilityName>
      <candidateList>
        <item>）</item>
      </candidateList>
      <explain>文本全半角错误。</explain>
      <paraID>5C61ECDA</paraID>
      <start>25</start>
      <end>26</end>
      <status>unmodified</status>
      <modifiedWord/>
      <trackRevisions>false</trackRevisions>
    </reviewItem>
    <reviewItem>
      <errorID>0bcf1449-418e-4275-ab83-b9fd04ad9210</errorID>
      <errorWord>(十三)</errorWord>
      <group>L1_Format</group>
      <groupName>格式问题</groupName>
      <ability>L2_Ordinal</ability>
      <abilityName>序号格式</abilityName>
      <candidateList>
        <item>（十三）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1B0D4C69</paraID>
      <start>0</start>
      <end>4</end>
      <status>unmodified</status>
      <modifiedWord/>
      <trackRevisions>false</trackRevisions>
    </reviewItem>
    <reviewItem>
      <errorID>3c9d691d-8be4-4482-945a-d61f11e4d5bd</errorID>
      <errorWord>及或</errorWord>
      <group>L1_Word</group>
      <groupName>字词问题</groupName>
      <ability>L2_Typo</ability>
      <abilityName>字词错误</abilityName>
      <candidateList>
        <item>及</item>
      </candidateList>
      <explain>〈连〉连接并列的名词或名词性词组：图书、仪器、标本～其他。注意用“及”连接的成分多在意义上有主次之分，主要的成分放在“及”的前面。</explain>
      <paraID>5495D62C</paraID>
      <start>29</start>
      <end>31</end>
      <status>unmodified</status>
      <modifiedWord/>
      <trackRevisions>false</trackRevisions>
    </reviewItem>
    <reviewItem>
      <errorID>73a5cb5e-8552-40bb-aa90-97254d7cfb14</errorID>
      <errorWord>(十四)</errorWord>
      <group>L1_Format</group>
      <groupName>格式问题</groupName>
      <ability>L2_Ordinal</ability>
      <abilityName>序号格式</abilityName>
      <candidateList>
        <item>（十四）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9595D1A</paraID>
      <start>0</start>
      <end>4</end>
      <status>unmodified</status>
      <modifiedWord/>
      <trackRevisions>false</trackRevisions>
    </reviewItem>
    <reviewItem>
      <errorID>a9838d55-0ca3-47d2-99af-71e74fd1e18c</errorID>
      <errorWord>价</errorWord>
      <group>L1_Word</group>
      <groupName>字词问题</groupName>
      <ability>L2_Typo</ability>
      <abilityName>字词错误</abilityName>
      <candidateList>
        <item>价格</item>
      </candidateList>
      <explain/>
      <paraID>5A2BBC99</paraID>
      <start>8</start>
      <end>9</end>
      <status>unmodified</status>
      <modifiedWord/>
      <trackRevisions>false</trackRevisions>
    </reviewItem>
    <reviewItem>
      <errorID>cd6e1109-ccdd-44b9-83a6-12a2275c2760</errorID>
      <errorWord>(十五)</errorWord>
      <group>L1_Format</group>
      <groupName>格式问题</groupName>
      <ability>L2_Ordinal</ability>
      <abilityName>序号格式</abilityName>
      <candidateList>
        <item>（十五）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6F8133E0</paraID>
      <start>0</start>
      <end>4</end>
      <status>unmodified</status>
      <modifiedWord/>
      <trackRevisions>false</trackRevisions>
    </reviewItem>
    <reviewItem>
      <errorID>2da3f471-fb4c-4d2c-87ce-6f701f2d26c8</errorID>
      <errorWord>-</errorWord>
      <group>L1_Format</group>
      <groupName>格式问题</groupName>
      <ability>L2_HalfPunc</ability>
      <abilityName>全半角检查</abilityName>
      <candidateList>
        <item>－</item>
      </candidateList>
      <explain>文本全半角错误。</explain>
      <paraID>35A6B03F</paraID>
      <start>255</start>
      <end>256</end>
      <status>unmodified</status>
      <modifiedWord/>
      <trackRevisions>false</trackRevisions>
    </reviewItem>
    <reviewItem>
      <errorID>d10f8b6e-0e34-4124-8b86-673838a34ebf</errorID>
      <errorWord>-</errorWord>
      <group>L1_Format</group>
      <groupName>格式问题</groupName>
      <ability>L2_HalfPunc</ability>
      <abilityName>全半角检查</abilityName>
      <candidateList>
        <item>－</item>
      </candidateList>
      <explain>文本全半角错误。</explain>
      <paraID>35A6B03F</paraID>
      <start>301</start>
      <end>302</end>
      <status>unmodified</status>
      <modifiedWord/>
      <trackRevisions>false</trackRevisions>
    </reviewItem>
    <reviewItem>
      <errorID>b165f0e3-43ce-4a33-831a-25f5473be63d</errorID>
      <errorWord>-</errorWord>
      <group>L1_Format</group>
      <groupName>格式问题</groupName>
      <ability>L2_HalfPunc</ability>
      <abilityName>全半角检查</abilityName>
      <candidateList>
        <item>－</item>
      </candidateList>
      <explain>文本全半角错误。</explain>
      <paraID>35A6B03F</paraID>
      <start>306</start>
      <end>307</end>
      <status>unmodified</status>
      <modifiedWord/>
      <trackRevisions>false</trackRevisions>
    </reviewItem>
    <reviewItem>
      <errorID>cf1d02ed-0872-4671-95e7-69e5f5efcfa1</errorID>
      <errorWord>-</errorWord>
      <group>L1_Format</group>
      <groupName>格式问题</groupName>
      <ability>L2_HalfPunc</ability>
      <abilityName>全半角检查</abilityName>
      <candidateList>
        <item>－</item>
      </candidateList>
      <explain>文本全半角错误。</explain>
      <paraID>35A6B03F</paraID>
      <start>307</start>
      <end>308</end>
      <status>unmodified</status>
      <modifiedWord/>
      <trackRevisions>false</trackRevisions>
    </reviewItem>
    <reviewItem>
      <errorID>6aa997cf-8740-413b-8834-6765b1c06c1f</errorID>
      <errorWord>-</errorWord>
      <group>L1_Format</group>
      <groupName>格式问题</groupName>
      <ability>L2_HalfPunc</ability>
      <abilityName>全半角检查</abilityName>
      <candidateList>
        <item>－</item>
      </candidateList>
      <explain>文本全半角错误。</explain>
      <paraID>35A6B03F</paraID>
      <start>312</start>
      <end>313</end>
      <status>unmodified</status>
      <modifiedWord/>
      <trackRevisions>false</trackRevisions>
    </reviewItem>
    <reviewItem>
      <errorID>00343286-13cf-4d5e-ae06-190f90e971fc</errorID>
      <errorWord>-</errorWord>
      <group>L1_Format</group>
      <groupName>格式问题</groupName>
      <ability>L2_HalfPunc</ability>
      <abilityName>全半角检查</abilityName>
      <candidateList>
        <item>－</item>
      </candidateList>
      <explain>文本全半角错误。</explain>
      <paraID>35A6B03F</paraID>
      <start>313</start>
      <end>314</end>
      <status>unmodified</status>
      <modifiedWord/>
      <trackRevisions>false</trackRevisions>
    </reviewItem>
    <reviewItem>
      <errorID>6a3d2b73-ec52-4a86-a3a8-9d694d856417</errorID>
      <errorWord>“.</errorWord>
      <group>L1_Punc</group>
      <groupName>标点问题</groupName>
      <ability>L2_Punc</ability>
      <abilityName>标点符号检查</abilityName>
      <candidateList>
        <item>“</item>
      </candidateList>
      <explain/>
      <paraID>62A7AD8B</paraID>
      <start>50</start>
      <end>52</end>
      <status>unmodified</status>
      <modifiedWord/>
      <trackRevisions>false</trackRevisions>
    </reviewItem>
    <reviewItem>
      <errorID>8566ed0b-63c6-4f4b-b6fd-34d855f31d84</errorID>
      <errorWord>“.</errorWord>
      <group>L1_Punc</group>
      <groupName>标点问题</groupName>
      <ability>L2_Punc</ability>
      <abilityName>标点符号检查</abilityName>
      <candidateList>
        <item>“</item>
      </candidateList>
      <explain/>
      <paraID>62A7AD8B</paraID>
      <start>78</start>
      <end>80</end>
      <status>unmodified</status>
      <modifiedWord/>
      <trackRevisions>false</trackRevisions>
    </reviewItem>
    <reviewItem>
      <errorID>43822c50-e666-4cf7-89ac-5160b2a2db9d</errorID>
      <errorWord>(十八)</errorWord>
      <group>L1_Format</group>
      <groupName>格式问题</groupName>
      <ability>L2_Ordinal</ability>
      <abilityName>序号格式</abilityName>
      <candidateList>
        <item>（十八）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3596AB56</paraID>
      <start>0</start>
      <end>4</end>
      <status>unmodified</status>
      <modifiedWord/>
      <trackRevisions>false</trackRevisions>
    </reviewItem>
    <reviewItem>
      <errorID>cd2a564f-a51b-4bea-bfe1-fbdb9ddc8230</errorID>
      <errorWord>(</errorWord>
      <group>L1_Format</group>
      <groupName>格式问题</groupName>
      <ability>L2_HalfPunc</ability>
      <abilityName>全半角检查</abilityName>
      <candidateList>
        <item>（</item>
      </candidateList>
      <explain>文本全半角错误。</explain>
      <paraID>7972C059</paraID>
      <start>15</start>
      <end>16</end>
      <status>unmodified</status>
      <modifiedWord/>
      <trackRevisions>false</trackRevisions>
    </reviewItem>
    <reviewItem>
      <errorID>c97e4303-4dfc-401c-9099-28fc05477907</errorID>
      <errorWord>)</errorWord>
      <group>L1_Format</group>
      <groupName>格式问题</groupName>
      <ability>L2_HalfPunc</ability>
      <abilityName>全半角检查</abilityName>
      <candidateList>
        <item>）</item>
      </candidateList>
      <explain>文本全半角错误。</explain>
      <paraID>7972C059</paraID>
      <start>18</start>
      <end>19</end>
      <status>unmodified</status>
      <modifiedWord/>
      <trackRevisions>false</trackRevisions>
    </reviewItem>
    <reviewItem>
      <errorID>a99298ce-f5ff-44dd-97f0-148b775d5be6</errorID>
      <errorWord>(</errorWord>
      <group>L1_Format</group>
      <groupName>格式问题</groupName>
      <ability>L2_HalfPunc</ability>
      <abilityName>全半角检查</abilityName>
      <candidateList>
        <item>（</item>
      </candidateList>
      <explain>文本全半角错误。</explain>
      <paraID>7972C059</paraID>
      <start>21</start>
      <end>22</end>
      <status>unmodified</status>
      <modifiedWord/>
      <trackRevisions>false</trackRevisions>
    </reviewItem>
    <reviewItem>
      <errorID>ed9f9d6e-0969-45b6-95e2-e754728c803f</errorID>
      <errorWord>)</errorWord>
      <group>L1_Format</group>
      <groupName>格式问题</groupName>
      <ability>L2_HalfPunc</ability>
      <abilityName>全半角检查</abilityName>
      <candidateList>
        <item>）</item>
      </candidateList>
      <explain>文本全半角错误。</explain>
      <paraID>7972C059</paraID>
      <start>24</start>
      <end>25</end>
      <status>unmodified</status>
      <modifiedWord/>
      <trackRevisions>false</trackRevisions>
    </reviewItem>
    <reviewItem>
      <errorID>1ebb0e28-7e36-484e-9fc8-710e87e6e3bb</errorID>
      <errorWord>(十九)</errorWord>
      <group>L1_Format</group>
      <groupName>格式问题</groupName>
      <ability>L2_Ordinal</ability>
      <abilityName>序号格式</abilityName>
      <candidateList>
        <item>（十九）</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15BDEC2E</paraID>
      <start>0</start>
      <end>4</end>
      <status>unmodified</status>
      <modifiedWord/>
      <trackRevisions>false</trackRevisions>
    </reviewItem>
    <reviewItem>
      <errorID>fffe9d62-9fac-45f4-ab7b-c692d3ad296e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2FAA25A2</paraID>
      <start>0</start>
      <end>2</end>
      <status>unmodified</status>
      <modifiedWord/>
      <trackRevisions>false</trackRevisions>
    </reviewItem>
    <reviewItem>
      <errorID>46659ba7-075e-4cbe-8877-95c49eac9eb6</errorID>
      <errorWord>：</errorWord>
      <group>L1_Format</group>
      <groupName>格式问题</groupName>
      <ability>L2_HalfPunc</ability>
      <abilityName>全半角检查</abilityName>
      <candidateList>
        <item>:</item>
      </candidateList>
      <explain>文本全半角错误。</explain>
      <paraID>2FAA25A2</paraID>
      <start>27</start>
      <end>28</end>
      <status>unmodified</status>
      <modifiedWord/>
      <trackRevisions>false</trackRevisions>
    </reviewItem>
    <reviewItem>
      <errorID>ebc1e3ec-2dfa-49ab-ab4e-8fbdb900288e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6CA4321E</paraID>
      <start>0</start>
      <end>2</end>
      <status>unmodified</status>
      <modifiedWord/>
      <trackRevisions>false</trackRevisions>
    </reviewItem>
    <reviewItem>
      <errorID>d4cd3d1a-12bd-459d-a786-119db049db6f</errorID>
      <errorWord>登陆</errorWord>
      <group>L1_Word</group>
      <groupName>字词问题</groupName>
      <ability>L2_Typo</ability>
      <abilityName>字词错误</abilityName>
      <candidateList>
        <item>登录</item>
      </candidateList>
      <explain>存在发音相同字词的误用。</explain>
      <paraID>49EDFEC3</paraID>
      <start>43</start>
      <end>45</end>
      <status>unmodified</status>
      <modifiedWord/>
      <trackRevisions>false</trackRevisions>
    </reviewItem>
    <reviewItem>
      <errorID>5a50f077-1ac7-43a7-94e4-197d7ad93fd9</errorID>
      <errorWord>;</errorWord>
      <group>L1_Format</group>
      <groupName>格式问题</groupName>
      <ability>L2_HalfPunc</ability>
      <abilityName>全半角检查</abilityName>
      <candidateList>
        <item>；</item>
      </candidateList>
      <explain>文本全半角错误。</explain>
      <paraID>1CE30F3A</paraID>
      <start>26</start>
      <end>27</end>
      <status>unmodified</status>
      <modifiedWord/>
      <trackRevisions>false</trackRevisions>
    </reviewItem>
    <reviewItem>
      <errorID>36bf8d2b-2614-4c32-b606-3013c7e456fb</errorID>
      <errorWord>(二十五)</errorWord>
      <group>L1_Format</group>
      <groupName>格式问题</groupName>
      <ability>L2_Ordinal</ability>
      <abilityName>序号格式</abilityName>
      <candidateList>
        <item>（二十五）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473D4DBA</paraID>
      <start>0</start>
      <end>5</end>
      <status>unmodified</status>
      <modifiedWord/>
      <trackRevisions>false</trackRevisions>
    </reviewItem>
    <reviewItem>
      <errorID>cc6f75db-f922-44a3-a905-1140ee4d72c1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402A070B</paraID>
      <start>0</start>
      <end>2</end>
      <status>unmodified</status>
      <modifiedWord/>
      <trackRevisions>false</trackRevisions>
    </reviewItem>
    <reviewItem>
      <errorID>5c940aca-8e17-490c-af92-7183caeaea77</errorID>
      <errorWord>：</errorWord>
      <group>L1_Format</group>
      <groupName>格式问题</groupName>
      <ability>L2_HalfPunc</ability>
      <abilityName>全半角检查</abilityName>
      <candidateList>
        <item>:</item>
      </candidateList>
      <explain>文本全半角错误。</explain>
      <paraID>402A070B</paraID>
      <start>22</start>
      <end>23</end>
      <status>unmodified</status>
      <modifiedWord/>
      <trackRevisions>false</trackRevisions>
    </reviewItem>
    <reviewItem>
      <errorID>0bb295c9-e8df-4407-a266-f568d3915fef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7CA27D03</paraID>
      <start>0</start>
      <end>2</end>
      <status>unmodified</status>
      <modifiedWord/>
      <trackRevisions>false</trackRevisions>
    </reviewItem>
    <reviewItem>
      <errorID>3552fd38-e0d2-4f9a-b7f1-99479cb3b986</errorID>
      <errorWord>(二十五)</errorWord>
      <group>L1_Format</group>
      <groupName>格式问题</groupName>
      <ability>L2_Ordinal</ability>
      <abilityName>序号格式</abilityName>
      <candidateList>
        <item>（二十五）</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32EC0D1B</paraID>
      <start>0</start>
      <end>5</end>
      <status>unmodified</status>
      <modifiedWord/>
      <trackRevisions>false</trackRevisions>
    </reviewItem>
    <reviewItem>
      <errorID>2feb9806-1d45-4b9e-8f8f-6411c7d75b4a</errorID>
      <errorWord>(二十七)</errorWord>
      <group>L1_Format</group>
      <groupName>格式问题</groupName>
      <ability>L2_Ordinal</ability>
      <abilityName>序号格式</abilityName>
      <candidateList>
        <item>（二十七）</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7453F596</paraID>
      <start>0</start>
      <end>5</end>
      <status>unmodified</status>
      <modifiedWord/>
      <trackRevisions>false</trackRevisions>
    </reviewItem>
    <reviewItem>
      <errorID>bb477e0e-b8dc-44ac-9d4d-4ac89576487d</errorID>
      <errorWord>(二十八)</errorWord>
      <group>L1_Format</group>
      <groupName>格式问题</groupName>
      <ability>L2_Ordinal</ability>
      <abilityName>序号格式</abilityName>
      <candidateList>
        <item>（二十八）</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204EF608</paraID>
      <start>0</start>
      <end>5</end>
      <status>unmodified</status>
      <modifiedWord/>
      <trackRevisions>false</trackRevisions>
    </reviewItem>
    <reviewItem>
      <errorID>8c2e8d96-3029-4ba4-aa09-d6817f773690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3BB66DD2</paraID>
      <start>0</start>
      <end>2</end>
      <status>unmodified</status>
      <modifiedWord/>
      <trackRevisions>false</trackRevisions>
    </reviewItem>
    <reviewItem>
      <errorID>aba3fa26-d11b-4241-aa20-635764ce3e87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331E0B50</paraID>
      <start>0</start>
      <end>2</end>
      <status>unmodified</status>
      <modifiedWord/>
      <trackRevisions>false</trackRevisions>
    </reviewItem>
    <reviewItem>
      <errorID>003c6dcb-2970-4027-a12d-4d59b0ca29be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383D64B8</paraID>
      <start>0</start>
      <end>2</end>
      <status>unmodified</status>
      <modifiedWord/>
      <trackRevisions>false</trackRevisions>
    </reviewItem>
    <reviewItem>
      <errorID>13f0c55c-4d3f-4790-a1f0-d70709e17d3e</errorID>
      <errorWord>,</errorWord>
      <group>L1_Format</group>
      <groupName>格式问题</groupName>
      <ability>L2_HalfPunc</ability>
      <abilityName>全半角检查</abilityName>
      <candidateList>
        <item>，</item>
      </candidateList>
      <explain>文本全半角错误。</explain>
      <paraID>383D64B8</paraID>
      <start>39</start>
      <end>40</end>
      <status>unmodified</status>
      <modifiedWord/>
      <trackRevisions>false</trackRevisions>
    </reviewItem>
    <reviewItem>
      <errorID>1a784fbc-3f51-48e1-ab1c-1455d8077146</errorID>
      <errorWord>,</errorWord>
      <group>L1_Format</group>
      <groupName>格式问题</groupName>
      <ability>L2_HalfPunc</ability>
      <abilityName>全半角检查</abilityName>
      <candidateList>
        <item>，</item>
      </candidateList>
      <explain>文本全半角错误。</explain>
      <paraID>6303F306</paraID>
      <start>62</start>
      <end>63</end>
      <status>unmodified</status>
      <modifiedWord/>
      <trackRevisions>false</trackRevisions>
    </reviewItem>
    <reviewItem>
      <errorID>a01a030d-07c7-46d1-afac-2853f9447a93</errorID>
      <errorWord>(三十六)</errorWord>
      <group>L1_Format</group>
      <groupName>格式问题</groupName>
      <ability>L2_Ordinal</ability>
      <abilityName>序号格式</abilityName>
      <candidateList>
        <item>（三十六）</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3B4FCDEB</paraID>
      <start>0</start>
      <end>5</end>
      <status>unmodified</status>
      <modifiedWord/>
      <trackRevisions>false</trackRevisions>
    </reviewItem>
    <reviewItem>
      <errorID>a6a907a1-1947-43a5-991a-d6d6535f4764</errorID>
      <errorWord>(四十)</errorWord>
      <group>L1_Format</group>
      <groupName>格式问题</groupName>
      <ability>L2_Ordinal</ability>
      <abilityName>序号格式</abilityName>
      <candidateList>
        <item>（四十）</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13F7BF6E</paraID>
      <start>0</start>
      <end>4</end>
      <status>unmodified</status>
      <modifiedWord/>
      <trackRevisions>false</trackRevisions>
    </reviewItem>
    <reviewItem>
      <errorID>e12a9fdd-d0e4-4807-b2e6-ec62b8e8db36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9D2697</paraID>
      <start>0</start>
      <end>2</end>
      <status>unmodified</status>
      <modifiedWord/>
      <trackRevisions>false</trackRevisions>
    </reviewItem>
    <reviewItem>
      <errorID>15c023f5-f391-4b35-8ad1-d114a8f850a6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5F34F94B</paraID>
      <start>0</start>
      <end>2</end>
      <status>unmodified</status>
      <modifiedWord/>
      <trackRevisions>false</trackRevisions>
    </reviewItem>
    <reviewItem>
      <errorID>b1b26206-25ff-43ea-a2b8-3d9eca5d2d1b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7235B871</paraID>
      <start>0</start>
      <end>2</end>
      <status>unmodified</status>
      <modifiedWord/>
      <trackRevisions>false</trackRevisions>
    </reviewItem>
    <reviewItem>
      <errorID>621582c2-3601-4ee9-a5c6-f2bca3472770</errorID>
      <errorWord>,</errorWord>
      <group>L1_Format</group>
      <groupName>格式问题</groupName>
      <ability>L2_HalfPunc</ability>
      <abilityName>全半角检查</abilityName>
      <candidateList>
        <item>，</item>
      </candidateList>
      <explain>文本全半角错误。</explain>
      <paraID>7235B871</paraID>
      <start>39</start>
      <end>40</end>
      <status>unmodified</status>
      <modifiedWord/>
      <trackRevisions>false</trackRevisions>
    </reviewItem>
    <reviewItem>
      <errorID>cb64863d-893e-4525-835e-db0b4f67c305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12F7DF79</paraID>
      <start>0</start>
      <end>2</end>
      <status>unmodified</status>
      <modifiedWord/>
      <trackRevisions>false</trackRevisions>
    </reviewItem>
    <reviewItem>
      <errorID>4a584638-118c-4e79-a3a7-a82d9224a774</errorID>
      <errorWord>(</errorWord>
      <group>L1_Format</group>
      <groupName>格式问题</groupName>
      <ability>L2_HalfPunc</ability>
      <abilityName>全半角检查</abilityName>
      <candidateList>
        <item>（</item>
      </candidateList>
      <explain>文本全半角错误。</explain>
      <paraID>2F6A527D</paraID>
      <start>6</start>
      <end>7</end>
      <status>unmodified</status>
      <modifiedWord/>
      <trackRevisions>false</trackRevisions>
    </reviewItem>
    <reviewItem>
      <errorID>f44335c3-ed53-4538-8109-9b4a0a441414</errorID>
      <errorWord>)</errorWord>
      <group>L1_Format</group>
      <groupName>格式问题</groupName>
      <ability>L2_HalfPunc</ability>
      <abilityName>全半角检查</abilityName>
      <candidateList>
        <item>）</item>
      </candidateList>
      <explain>文本全半角错误。</explain>
      <paraID>2F6A527D</paraID>
      <start>13</start>
      <end>14</end>
      <status>unmodified</status>
      <modifiedWord/>
      <trackRevisions>false</trackRevisions>
    </reviewItem>
    <reviewItem>
      <errorID>ae73b207-4898-48c1-9253-eab2b7994458</errorID>
      <errorWord>(</errorWord>
      <group>L1_Format</group>
      <groupName>格式问题</groupName>
      <ability>L2_HalfPunc</ability>
      <abilityName>全半角检查</abilityName>
      <candidateList>
        <item>（</item>
      </candidateList>
      <explain>文本全半角错误。</explain>
      <paraID> 940E86B</paraID>
      <start>6</start>
      <end>7</end>
      <status>unmodified</status>
      <modifiedWord/>
      <trackRevisions>false</trackRevisions>
    </reviewItem>
    <reviewItem>
      <errorID>fe85f661-e224-49fb-840a-f82325286652</errorID>
      <errorWord>)</errorWord>
      <group>L1_Format</group>
      <groupName>格式问题</groupName>
      <ability>L2_HalfPunc</ability>
      <abilityName>全半角检查</abilityName>
      <candidateList>
        <item>）</item>
      </candidateList>
      <explain>文本全半角错误。</explain>
      <paraID> 940E86B</paraID>
      <start>12</start>
      <end>13</end>
      <status>unmodified</status>
      <modifiedWord/>
      <trackRevisions>false</trackRevisions>
    </reviewItem>
    <reviewItem>
      <errorID>32d2f6d1-4d8e-4a75-aeb5-fc22e2513351</errorID>
      <errorWord>50-400万</errorWord>
      <group>L1_Knowledge</group>
      <groupName>知识性问题</groupName>
      <ability>L2_Knowledge</ability>
      <abilityName>其他知识</abilityName>
      <candidateList>
        <item>50万—400万</item>
      </candidateList>
      <explain>1. “50-400万”中的单位“万”仅出现在后一个数字上，容易引起歧义；根据《现代汉语标点符号数字用法规范手册》，数字表示范围两边需要使用统一的格式。2.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4EE1704</paraID>
      <start>0</start>
      <end>7</end>
      <status>unmodified</status>
      <modifiedWord/>
      <trackRevisions>false</trackRevisions>
    </reviewItem>
    <reviewItem>
      <errorID>f89a5608-92bd-4305-af38-fae8578a0942</errorID>
      <errorWord>(</errorWord>
      <group>L1_Format</group>
      <groupName>格式问题</groupName>
      <ability>L2_HalfPunc</ability>
      <abilityName>全半角检查</abilityName>
      <candidateList>
        <item>（</item>
      </candidateList>
      <explain>文本全半角错误。</explain>
      <paraID> 4EE1704</paraID>
      <start>8</start>
      <end>9</end>
      <status>unmodified</status>
      <modifiedWord/>
      <trackRevisions>false</trackRevisions>
    </reviewItem>
    <reviewItem>
      <errorID>6113a946-6675-4eb9-a9f7-764c8a5257a2</errorID>
      <errorWord>)</errorWord>
      <group>L1_Format</group>
      <groupName>格式问题</groupName>
      <ability>L2_HalfPunc</ability>
      <abilityName>全半角检查</abilityName>
      <candidateList>
        <item>）</item>
      </candidateList>
      <explain>文本全半角错误。</explain>
      <paraID> 4EE1704</paraID>
      <start>15</start>
      <end>16</end>
      <status>unmodified</status>
      <modifiedWord/>
      <trackRevisions>false</trackRevisions>
    </reviewItem>
    <reviewItem>
      <errorID>13ba738b-a63e-4710-8ac5-1b0dc13c0f6d</errorID>
      <errorWord>400-1000万</errorWord>
      <group>L1_Knowledge</group>
      <groupName>知识性问题</groupName>
      <ability>L2_Knowledge</ability>
      <abilityName>其他知识</abilityName>
      <candidateList>
        <item>400万—1000万</item>
      </candidateList>
      <explain>1. “400-1000万”中的单位“万”仅出现在后一个数字上，容易引起歧义；根据《现代汉语标点符号数字用法规范手册》，数字表示范围两边需要使用统一的格式。2.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 D82332F</paraID>
      <start>0</start>
      <end>9</end>
      <status>unmodified</status>
      <modifiedWord/>
      <trackRevisions>false</trackRevisions>
    </reviewItem>
    <reviewItem>
      <errorID>7643952b-f553-4ff3-a8c0-8bcc7ebef538</errorID>
      <errorWord>(</errorWord>
      <group>L1_Format</group>
      <groupName>格式问题</groupName>
      <ability>L2_HalfPunc</ability>
      <abilityName>全半角检查</abilityName>
      <candidateList>
        <item>（</item>
      </candidateList>
      <explain>文本全半角错误。</explain>
      <paraID> D82332F</paraID>
      <start>10</start>
      <end>11</end>
      <status>unmodified</status>
      <modifiedWord/>
      <trackRevisions>false</trackRevisions>
    </reviewItem>
    <reviewItem>
      <errorID>f7d3a213-bc5a-4d69-beae-ffccbaec0a70</errorID>
      <errorWord>)</errorWord>
      <group>L1_Format</group>
      <groupName>格式问题</groupName>
      <ability>L2_HalfPunc</ability>
      <abilityName>全半角检查</abilityName>
      <candidateList>
        <item>）</item>
      </candidateList>
      <explain>文本全半角错误。</explain>
      <paraID> D82332F</paraID>
      <start>18</start>
      <end>19</end>
      <status>unmodified</status>
      <modifiedWord/>
      <trackRevisions>false</trackRevisions>
    </reviewItem>
    <reviewItem>
      <errorID>40c63ddc-4396-47ae-a019-6baf8e7dd4ba</errorID>
      <errorWord>1000-5000万</errorWord>
      <group>L1_Knowledge</group>
      <groupName>知识性问题</groupName>
      <ability>L2_Knowledge</ability>
      <abilityName>其他知识</abilityName>
      <candidateList>
        <item>1000万—5000万</item>
      </candidateList>
      <explain>1. “1000-5000万”中的单位“万”仅出现在后一个数字上，容易引起歧义；根据《现代汉语标点符号数字用法规范手册》，数字表示范围两边需要使用统一的格式。2. 根据标点国标 4.13 中的规则，数字、时间或地域连接符应使用（视觉上更长的）“—”或“～”。</explain>
      <paraID>5E4D3B8D</paraID>
      <start>0</start>
      <end>10</end>
      <status>unmodified</status>
      <modifiedWord/>
      <trackRevisions>false</trackRevisions>
    </reviewItem>
    <reviewItem>
      <errorID>2e0e9d35-8c87-47d3-adbc-c0a60168513d</errorID>
      <errorWord>(</errorWord>
      <group>L1_Format</group>
      <groupName>格式问题</groupName>
      <ability>L2_HalfPunc</ability>
      <abilityName>全半角检查</abilityName>
      <candidateList>
        <item>（</item>
      </candidateList>
      <explain>文本全半角错误。</explain>
      <paraID>5E4D3B8D</paraID>
      <start>11</start>
      <end>12</end>
      <status>unmodified</status>
      <modifiedWord/>
      <trackRevisions>false</trackRevisions>
    </reviewItem>
    <reviewItem>
      <errorID>8da6590b-1114-41a3-8d8c-8f48fddbe4ed</errorID>
      <errorWord>)</errorWord>
      <group>L1_Format</group>
      <groupName>格式问题</groupName>
      <ability>L2_HalfPunc</ability>
      <abilityName>全半角检查</abilityName>
      <candidateList>
        <item>）</item>
      </candidateList>
      <explain>文本全半角错误。</explain>
      <paraID>5E4D3B8D</paraID>
      <start>19</start>
      <end>20</end>
      <status>unmodified</status>
      <modifiedWord/>
      <trackRevisions>false</trackRevisions>
    </reviewItem>
    <reviewItem>
      <errorID>c219bd56-64bf-4195-a421-2e8d1baad514</errorID>
      <errorWord>5000-1亿</errorWord>
      <group>L1_Knowledge</group>
      <groupName>知识性问题</groupName>
      <ability>L2_Knowledge</ability>
      <abilityName>其他知识</abilityName>
      <candidateList>
        <item>5000—1亿</item>
      </candidateList>
      <explain>1. “5000-1亿”中的单位“亿”仅出现在后一个数字上，容易引起歧义；根据《现代汉语标点符号数字用法规范手册》，数字表示范围两边需要使用统一的格式。2.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7D4658D5</paraID>
      <start>0</start>
      <end>7</end>
      <status>unmodified</status>
      <modifiedWord/>
      <trackRevisions>false</trackRevisions>
    </reviewItem>
    <reviewItem>
      <errorID>dbf2f75f-1a91-4852-8cce-c09968fd89ed</errorID>
      <errorWord>(</errorWord>
      <group>L1_Format</group>
      <groupName>格式问题</groupName>
      <ability>L2_HalfPunc</ability>
      <abilityName>全半角检查</abilityName>
      <candidateList>
        <item>（</item>
      </candidateList>
      <explain>文本全半角错误。</explain>
      <paraID>7D4658D5</paraID>
      <start>8</start>
      <end>9</end>
      <status>unmodified</status>
      <modifiedWord/>
      <trackRevisions>false</trackRevisions>
    </reviewItem>
    <reviewItem>
      <errorID>5c9ac29c-1b56-4211-aedb-808b32f4c0cd</errorID>
      <errorWord>)</errorWord>
      <group>L1_Format</group>
      <groupName>格式问题</groupName>
      <ability>L2_HalfPunc</ability>
      <abilityName>全半角检查</abilityName>
      <candidateList>
        <item>）</item>
      </candidateList>
      <explain>文本全半角错误。</explain>
      <paraID>7D4658D5</paraID>
      <start>13</start>
      <end>14</end>
      <status>unmodified</status>
      <modifiedWord/>
      <trackRevisions>false</trackRevisions>
    </reviewItem>
    <reviewItem>
      <errorID>7c3e8204-1518-44eb-8a4e-92269d0a7061</errorID>
      <errorWord>1-10亿</errorWord>
      <group>L1_Knowledge</group>
      <groupName>知识性问题</groupName>
      <ability>L2_Knowledge</ability>
      <abilityName>其他知识</abilityName>
      <candidateList>
        <item>1亿—10亿</item>
      </candidateList>
      <explain>1. “1-10亿”中的单位“亿”仅出现在后一个数字上，容易引起歧义；根据《现代汉语标点符号数字用法规范手册》，数字表示范围两边需要使用统一的格式。2.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6800E388</paraID>
      <start>0</start>
      <end>5</end>
      <status>unmodified</status>
      <modifiedWord/>
      <trackRevisions>false</trackRevisions>
    </reviewItem>
    <reviewItem>
      <errorID>f3a1ce99-0564-45f9-b8ca-fbc7848f4df4</errorID>
      <errorWord>(</errorWord>
      <group>L1_Format</group>
      <groupName>格式问题</groupName>
      <ability>L2_HalfPunc</ability>
      <abilityName>全半角检查</abilityName>
      <candidateList>
        <item>（</item>
      </candidateList>
      <explain>文本全半角错误。</explain>
      <paraID>6800E388</paraID>
      <start>6</start>
      <end>7</end>
      <status>unmodified</status>
      <modifiedWord/>
      <trackRevisions>false</trackRevisions>
    </reviewItem>
    <reviewItem>
      <errorID>e37f7a6d-7c56-437c-82b9-fdee9a915e36</errorID>
      <errorWord>)</errorWord>
      <group>L1_Format</group>
      <groupName>格式问题</groupName>
      <ability>L2_HalfPunc</ability>
      <abilityName>全半角检查</abilityName>
      <candidateList>
        <item>）</item>
      </candidateList>
      <explain>文本全半角错误。</explain>
      <paraID>6800E388</paraID>
      <start>12</start>
      <end>13</end>
      <status>unmodified</status>
      <modifiedWord/>
      <trackRevisions>false</trackRevisions>
    </reviewItem>
    <reviewItem>
      <errorID>0c927992-83b7-4154-a97a-7a4deb6050e4</errorID>
      <errorWord>10-50亿</errorWord>
      <group>L1_Knowledge</group>
      <groupName>知识性问题</groupName>
      <ability>L2_Knowledge</ability>
      <abilityName>其他知识</abilityName>
      <candidateList>
        <item>10亿—50亿</item>
      </candidateList>
      <explain>1. “10-50亿”中的单位“亿”仅出现在后一个数字上，容易引起歧义；根据《现代汉语标点符号数字用法规范手册》，数字表示范围两边需要使用统一的格式。2.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6AD68888</paraID>
      <start>0</start>
      <end>6</end>
      <status>unmodified</status>
      <modifiedWord/>
      <trackRevisions>false</trackRevisions>
    </reviewItem>
    <reviewItem>
      <errorID>0eec766e-f48b-485f-962d-423be3752fb7</errorID>
      <errorWord>(</errorWord>
      <group>L1_Format</group>
      <groupName>格式问题</groupName>
      <ability>L2_HalfPunc</ability>
      <abilityName>全半角检查</abilityName>
      <candidateList>
        <item>（</item>
      </candidateList>
      <explain>文本全半角错误。</explain>
      <paraID>6AD68888</paraID>
      <start>7</start>
      <end>8</end>
      <status>unmodified</status>
      <modifiedWord/>
      <trackRevisions>false</trackRevisions>
    </reviewItem>
    <reviewItem>
      <errorID>fa755014-d332-42d8-a75a-b8213e315f50</errorID>
      <errorWord>)</errorWord>
      <group>L1_Format</group>
      <groupName>格式问题</groupName>
      <ability>L2_HalfPunc</ability>
      <abilityName>全半角检查</abilityName>
      <candidateList>
        <item>）</item>
      </candidateList>
      <explain>文本全半角错误。</explain>
      <paraID>6AD68888</paraID>
      <start>13</start>
      <end>14</end>
      <status>unmodified</status>
      <modifiedWord/>
      <trackRevisions>false</trackRevisions>
    </reviewItem>
    <reviewItem>
      <errorID>bcb649a2-97ad-44dd-b9db-2d0f07cb46e0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C667308</paraID>
      <start>0</start>
      <end>2</end>
      <status>unmodified</status>
      <modifiedWord/>
      <trackRevisions>false</trackRevisions>
    </reviewItem>
    <reviewItem>
      <errorID>901386b4-310c-44ca-b60a-61e1e2a2dd85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61A73374</paraID>
      <start>0</start>
      <end>2</end>
      <status>unmodified</status>
      <modifiedWord/>
      <trackRevisions>false</trackRevisions>
    </reviewItem>
    <reviewItem>
      <errorID>4989c3db-6a18-4ec5-8397-4f6299a448cd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760AC47A</paraID>
      <start>0</start>
      <end>2</end>
      <status>unmodified</status>
      <modifiedWord/>
      <trackRevisions>false</trackRevisions>
    </reviewItem>
    <reviewItem>
      <errorID>4d5832ad-3b02-4e33-bb21-b616f1194547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FB0F94A</paraID>
      <start>0</start>
      <end>2</end>
      <status>unmodified</status>
      <modifiedWord/>
      <trackRevisions>false</trackRevisions>
    </reviewItem>
    <reviewItem>
      <errorID>81f0ce27-dc2b-4c2a-a585-c5e015ac951d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4F5B1891</paraID>
      <start>0</start>
      <end>2</end>
      <status>unmodified</status>
      <modifiedWord/>
      <trackRevisions>false</trackRevisions>
    </reviewItem>
    <reviewItem>
      <errorID>a34b9521-4027-4535-9dea-f5f0cc600a75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19D29BFE</paraID>
      <start>0</start>
      <end>2</end>
      <status>unmodified</status>
      <modifiedWord/>
      <trackRevisions>false</trackRevisions>
    </reviewItem>
    <reviewItem>
      <errorID>8f6ebd01-5540-4943-bc0c-a0dd192d4a5c</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435F2603</paraID>
      <start>0</start>
      <end>2</end>
      <status>unmodified</status>
      <modifiedWord/>
      <trackRevisions>false</trackRevisions>
    </reviewItem>
    <reviewItem>
      <errorID>ed3a7b0b-e84a-4c0b-a96f-d77c12afc2e1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4CEFA106</paraID>
      <start>0</start>
      <end>2</end>
      <status>unmodified</status>
      <modifiedWord/>
      <trackRevisions>false</trackRevisions>
    </reviewItem>
    <reviewItem>
      <errorID>c4a5790b-480e-461c-a7de-575c810fccc5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1C18D41F</paraID>
      <start>0</start>
      <end>2</end>
      <status>unmodified</status>
      <modifiedWord/>
      <trackRevisions>false</trackRevisions>
    </reviewItem>
    <reviewItem>
      <errorID>081dea65-d552-47e1-8f35-d2e7daabb875</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1C18D41F</paraID>
      <start>60</start>
      <end>63</end>
      <status>unmodified</status>
      <modifiedWord/>
      <trackRevisions>false</trackRevisions>
    </reviewItem>
    <reviewItem>
      <errorID>cdef3696-4700-4d74-87c4-4cb4fb475693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3D3B1193</paraID>
      <start>0</start>
      <end>2</end>
      <status>unmodified</status>
      <modifiedWord/>
      <trackRevisions>false</trackRevisions>
    </reviewItem>
    <reviewItem>
      <errorID>871e1b29-dd76-4dd1-88bf-a352f7a317e5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539A48F6</paraID>
      <start>0</start>
      <end>2</end>
      <status>unmodified</status>
      <modifiedWord/>
      <trackRevisions>false</trackRevisions>
    </reviewItem>
    <reviewItem>
      <errorID>bf1d8f6d-90c6-4487-842c-4255547a1679</errorID>
      <errorWord>(</errorWord>
      <group>L1_Format</group>
      <groupName>格式问题</groupName>
      <ability>L2_HalfPunc</ability>
      <abilityName>全半角检查</abilityName>
      <candidateList>
        <item>（</item>
      </candidateList>
      <explain>文本全半角错误。</explain>
      <paraID>665865F7</paraID>
      <start>3</start>
      <end>4</end>
      <status>unmodified</status>
      <modifiedWord/>
      <trackRevisions>false</trackRevisions>
    </reviewItem>
    <reviewItem>
      <errorID>7307b5a4-a1ce-427f-8251-91f1684bf2ca</errorID>
      <errorWord>)</errorWord>
      <group>L1_Format</group>
      <groupName>格式问题</groupName>
      <ability>L2_HalfPunc</ability>
      <abilityName>全半角检查</abilityName>
      <candidateList>
        <item>）</item>
      </candidateList>
      <explain>文本全半角错误。</explain>
      <paraID>665865F7</paraID>
      <start>6</start>
      <end>7</end>
      <status>unmodified</status>
      <modifiedWord/>
      <trackRevisions>false</trackRevisions>
    </reviewItem>
    <reviewItem>
      <errorID>e65caa90-10ec-4a95-ba11-a98e552aaaca</errorID>
      <errorWord>)</errorWord>
      <group>L1_Format</group>
      <groupName>格式问题</groupName>
      <ability>L2_HalfPunc</ability>
      <abilityName>全半角检查</abilityName>
      <candidateList>
        <item>）</item>
      </candidateList>
      <explain>文本全半角错误。</explain>
      <paraID>1E5D0871</paraID>
      <start>6</start>
      <end>7</end>
      <status>unmodified</status>
      <modifiedWord/>
      <trackRevisions>false</trackRevisions>
    </reviewItem>
    <reviewItem>
      <errorID>4bc9bb39-7a36-456f-8a9f-c836d2668f5e</errorID>
      <errorWord>(</errorWord>
      <group>L1_Format</group>
      <groupName>格式问题</groupName>
      <ability>L2_HalfPunc</ability>
      <abilityName>全半角检查</abilityName>
      <candidateList>
        <item>（</item>
      </candidateList>
      <explain>文本全半角错误。</explain>
      <paraID> 91C23AF</paraID>
      <start>3</start>
      <end>4</end>
      <status>unmodified</status>
      <modifiedWord/>
      <trackRevisions>false</trackRevisions>
    </reviewItem>
    <reviewItem>
      <errorID>4c3a709c-85ca-4824-8bd5-b598d730a5e6</errorID>
      <errorWord>)</errorWord>
      <group>L1_Format</group>
      <groupName>格式问题</groupName>
      <ability>L2_HalfPunc</ability>
      <abilityName>全半角检查</abilityName>
      <candidateList>
        <item>）</item>
      </candidateList>
      <explain>文本全半角错误。</explain>
      <paraID> 91C23AF</paraID>
      <start>6</start>
      <end>7</end>
      <status>unmodified</status>
      <modifiedWord/>
      <trackRevisions>false</trackRevisions>
    </reviewItem>
    <reviewItem>
      <errorID>7cbbf3a0-8644-4a10-bc34-9f3d534666a0</errorID>
      <errorWord>)</errorWord>
      <group>L1_Format</group>
      <groupName>格式问题</groupName>
      <ability>L2_HalfPunc</ability>
      <abilityName>全半角检查</abilityName>
      <candidateList>
        <item>）</item>
      </candidateList>
      <explain>文本全半角错误。</explain>
      <paraID>2390B4E0</paraID>
      <start>6</start>
      <end>7</end>
      <status>unmodified</status>
      <modifiedWord/>
      <trackRevisions>false</trackRevisions>
    </reviewItem>
    <reviewItem>
      <errorID>24332397-08e6-417a-a9c1-a17ea41b0180</errorID>
      <errorWord>(</errorWord>
      <group>L1_Format</group>
      <groupName>格式问题</groupName>
      <ability>L2_HalfPunc</ability>
      <abilityName>全半角检查</abilityName>
      <candidateList>
        <item>（</item>
      </candidateList>
      <explain>文本全半角错误。</explain>
      <paraID> A7F6297</paraID>
      <start>3</start>
      <end>4</end>
      <status>unmodified</status>
      <modifiedWord/>
      <trackRevisions>false</trackRevisions>
    </reviewItem>
    <reviewItem>
      <errorID>60ded1ae-b50a-4290-b3ff-96ffa984df56</errorID>
      <errorWord>)</errorWord>
      <group>L1_Format</group>
      <groupName>格式问题</groupName>
      <ability>L2_HalfPunc</ability>
      <abilityName>全半角检查</abilityName>
      <candidateList>
        <item>）</item>
      </candidateList>
      <explain>文本全半角错误。</explain>
      <paraID> A7F6297</paraID>
      <start>6</start>
      <end>7</end>
      <status>unmodified</status>
      <modifiedWord/>
      <trackRevisions>false</trackRevisions>
    </reviewItem>
    <reviewItem>
      <errorID>4a3b96ef-d9bc-443f-8527-3a2a0c99d775</errorID>
      <errorWord>)</errorWord>
      <group>L1_Format</group>
      <groupName>格式问题</groupName>
      <ability>L2_HalfPunc</ability>
      <abilityName>全半角检查</abilityName>
      <candidateList>
        <item>）</item>
      </candidateList>
      <explain>文本全半角错误。</explain>
      <paraID>142F899C</paraID>
      <start>6</start>
      <end>7</end>
      <status>unmodified</status>
      <modifiedWord/>
      <trackRevisions>false</trackRevisions>
    </reviewItem>
    <reviewItem>
      <errorID>08b34c0f-fe90-4f89-9875-692dad7a3c4b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69C266DC</paraID>
      <start>0</start>
      <end>2</end>
      <status>unmodified</status>
      <modifiedWord/>
      <trackRevisions>false</trackRevisions>
    </reviewItem>
    <reviewItem>
      <errorID>e2a66393-6718-40e5-b7e4-56b15af02fd0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5E579DC1</paraID>
      <start>0</start>
      <end>2</end>
      <status>unmodified</status>
      <modifiedWord/>
      <trackRevisions>false</trackRevisions>
    </reviewItem>
    <reviewItem>
      <errorID>6648d577-0d11-4afb-927d-da4936801cf2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51B6C0FA</paraID>
      <start>0</start>
      <end>2</end>
      <status>unmodified</status>
      <modifiedWord/>
      <trackRevisions>false</trackRevisions>
    </reviewItem>
    <reviewItem>
      <errorID>1ad52aee-2022-429e-bbbf-4cba555693b1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2EE1DB17</paraID>
      <start>0</start>
      <end>2</end>
      <status>unmodified</status>
      <modifiedWord/>
      <trackRevisions>false</trackRevisions>
    </reviewItem>
    <reviewItem>
      <errorID>af12e785-c88a-4c27-8e80-3ca6f77f03cd</errorID>
      <errorWord>(</errorWord>
      <group>L1_Format</group>
      <groupName>格式问题</groupName>
      <ability>L2_HalfPunc</ability>
      <abilityName>全半角检查</abilityName>
      <candidateList>
        <item>（</item>
      </candidateList>
      <explain>文本全半角错误。</explain>
      <paraID>72D67CE2</paraID>
      <start>13</start>
      <end>14</end>
      <status>unmodified</status>
      <modifiedWord/>
      <trackRevisions>false</trackRevisions>
    </reviewItem>
    <reviewItem>
      <errorID>fa6da17b-510b-43a7-8b89-c0c1887ce4a3</errorID>
      <errorWord>)</errorWord>
      <group>L1_Format</group>
      <groupName>格式问题</groupName>
      <ability>L2_HalfPunc</ability>
      <abilityName>全半角检查</abilityName>
      <candidateList>
        <item>）</item>
      </candidateList>
      <explain>文本全半角错误。</explain>
      <paraID>72D67CE2</paraID>
      <start>16</start>
      <end>17</end>
      <status>unmodified</status>
      <modifiedWord/>
      <trackRevisions>false</trackRevisions>
    </reviewItem>
    <reviewItem>
      <errorID>f6319667-5b81-46ec-9d4a-805fb66aec87</errorID>
      <errorWord>其它</errorWord>
      <group>L1_Word</group>
      <groupName>字词问题</groupName>
      <ability>L2_Alias</ability>
      <abilityName>也作/曾用词</abilityName>
      <candidateList>
        <item>其他</item>
      </candidateList>
      <explain>词汇[其它]为不规范表述或旧称，其规范书面表述为[其他]。</explain>
      <paraID>444991B0</paraID>
      <start>45</start>
      <end>47</end>
      <status>unmodified</status>
      <modifiedWord/>
      <trackRevisions>false</trackRevisions>
    </reviewItem>
    <reviewItem>
      <errorID>8d299fa5-642d-4352-9d3d-bbb1f79cc3d9</errorID>
      <errorWord>,</errorWord>
      <group>L1_Format</group>
      <groupName>格式问题</groupName>
      <ability>L2_HalfPunc</ability>
      <abilityName>全半角检查</abilityName>
      <candidateList>
        <item>，</item>
      </candidateList>
      <explain>文本全半角错误。</explain>
      <paraID>5DEDA06A</paraID>
      <start>20</start>
      <end>21</end>
      <status>unmodified</status>
      <modifiedWord/>
      <trackRevisions>false</trackRevisions>
    </reviewItem>
    <reviewItem>
      <errorID>d8366a08-ba19-4b19-a62f-ef84a98d6b12</errorID>
      <errorWord>其它</errorWord>
      <group>L1_Word</group>
      <groupName>字词问题</groupName>
      <ability>L2_Alias</ability>
      <abilityName>也作/曾用词</abilityName>
      <candidateList>
        <item>其他</item>
      </candidateList>
      <explain>词汇[其它]为不规范表述或旧称，其规范书面表述为[其他]。</explain>
      <paraID>5DEDA06A</paraID>
      <start>67</start>
      <end>69</end>
      <status>unmodified</status>
      <modifiedWord/>
      <trackRevisions>false</trackRevisions>
    </reviewItem>
    <reviewItem>
      <errorID>b4ae00df-4a8a-4942-b86f-13d6f170f2fe</errorID>
      <errorWord>,</errorWord>
      <group>L1_Format</group>
      <groupName>格式问题</groupName>
      <ability>L2_HalfPunc</ability>
      <abilityName>全半角检查</abilityName>
      <candidateList>
        <item>，</item>
      </candidateList>
      <explain>文本全半角错误。</explain>
      <paraID>70802D89</paraID>
      <start>29</start>
      <end>30</end>
      <status>unmodified</status>
      <modifiedWord/>
      <trackRevisions>false</trackRevisions>
    </reviewItem>
    <reviewItem>
      <errorID>19696b54-1e04-4f57-8b65-3ae90d7f94ef</errorID>
      <errorWord>其它</errorWord>
      <group>L1_Word</group>
      <groupName>字词问题</groupName>
      <ability>L2_Alias</ability>
      <abilityName>也作/曾用词</abilityName>
      <candidateList>
        <item>其他</item>
      </candidateList>
      <explain>词汇[其它]为不规范表述或旧称，其规范书面表述为[其他]。</explain>
      <paraID> B14CF9B</paraID>
      <start>93</start>
      <end>95</end>
      <status>unmodified</status>
      <modifiedWord/>
      <trackRevisions>false</trackRevisions>
    </reviewItem>
    <reviewItem>
      <errorID>399be2bb-b64b-41f4-bdc5-151afdc23cd2</errorID>
      <errorWord>(</errorWord>
      <group>L1_Format</group>
      <groupName>格式问题</groupName>
      <ability>L2_HalfPunc</ability>
      <abilityName>全半角检查</abilityName>
      <candidateList>
        <item>（</item>
      </candidateList>
      <explain>文本全半角错误。</explain>
      <paraID>12B0163F</paraID>
      <start>55</start>
      <end>56</end>
      <status>unmodified</status>
      <modifiedWord/>
      <trackRevisions>false</trackRevisions>
    </reviewItem>
    <reviewItem>
      <errorID>2bfccc69-3919-4b7e-83cb-089fd747ac54</errorID>
      <errorWord>)</errorWord>
      <group>L1_Format</group>
      <groupName>格式问题</groupName>
      <ability>L2_HalfPunc</ability>
      <abilityName>全半角检查</abilityName>
      <candidateList>
        <item>）</item>
      </candidateList>
      <explain>文本全半角错误。</explain>
      <paraID>12B0163F</paraID>
      <start>68</start>
      <end>69</end>
      <status>unmodified</status>
      <modifiedWord/>
      <trackRevisions>false</trackRevisions>
    </reviewItem>
    <reviewItem>
      <errorID>d43f29b7-5a95-4244-902f-e3c9203a34e7</errorID>
      <errorWord>,</errorWord>
      <group>L1_Format</group>
      <groupName>格式问题</groupName>
      <ability>L2_HalfPunc</ability>
      <abilityName>全半角检查</abilityName>
      <candidateList>
        <item>，</item>
      </candidateList>
      <explain>文本全半角错误。</explain>
      <paraID>7C33E75C</paraID>
      <start>78</start>
      <end>79</end>
      <status>unmodified</status>
      <modifiedWord/>
      <trackRevisions>false</trackRevisions>
    </reviewItem>
    <reviewItem>
      <errorID>f0a1350b-9938-4de0-a2ac-9879e56701e8</errorID>
      <errorWord>价</errorWord>
      <group>L1_Word</group>
      <groupName>字词问题</groupName>
      <ability>L2_Typo</ability>
      <abilityName>字词错误</abilityName>
      <candidateList>
        <item>价格</item>
      </candidateList>
      <explain/>
      <paraID>5D93C5BB</paraID>
      <start>18</start>
      <end>19</end>
      <status>unmodified</status>
      <modifiedWord/>
      <trackRevisions>false</trackRevisions>
    </reviewItem>
    <reviewItem>
      <errorID>c86f4831-a068-477f-a110-a84798834f5d</errorID>
      <errorWord>(</errorWord>
      <group>L1_Format</group>
      <groupName>格式问题</groupName>
      <ability>L2_HalfPunc</ability>
      <abilityName>全半角检查</abilityName>
      <candidateList>
        <item>（</item>
      </candidateList>
      <explain>文本全半角错误。</explain>
      <paraID>3A6AB63E</paraID>
      <start>13</start>
      <end>14</end>
      <status>unmodified</status>
      <modifiedWord/>
      <trackRevisions>false</trackRevisions>
    </reviewItem>
    <reviewItem>
      <errorID>742335ec-6d4d-435a-99bc-5c2860114e1a</errorID>
      <errorWord>)</errorWord>
      <group>L1_Format</group>
      <groupName>格式问题</groupName>
      <ability>L2_HalfPunc</ability>
      <abilityName>全半角检查</abilityName>
      <candidateList>
        <item>）</item>
      </candidateList>
      <explain>文本全半角错误。</explain>
      <paraID>3A6AB63E</paraID>
      <start>17</start>
      <end>18</end>
      <status>unmodified</status>
      <modifiedWord/>
      <trackRevisions>false</trackRevisions>
    </reviewItem>
    <reviewItem>
      <errorID>37652e06-d97c-4d70-9c27-df7598a05ac0</errorID>
      <errorWord>(</errorWord>
      <group>L1_Format</group>
      <groupName>格式问题</groupName>
      <ability>L2_HalfPunc</ability>
      <abilityName>全半角检查</abilityName>
      <candidateList>
        <item>（</item>
      </candidateList>
      <explain>文本全半角错误。</explain>
      <paraID>6E1224AD</paraID>
      <start>14</start>
      <end>15</end>
      <status>unmodified</status>
      <modifiedWord/>
      <trackRevisions>false</trackRevisions>
    </reviewItem>
    <reviewItem>
      <errorID>43ad2a98-0a70-4c89-a6b5-e7b4859dffa7</errorID>
      <errorWord>)</errorWord>
      <group>L1_Format</group>
      <groupName>格式问题</groupName>
      <ability>L2_HalfPunc</ability>
      <abilityName>全半角检查</abilityName>
      <candidateList>
        <item>）</item>
      </candidateList>
      <explain>文本全半角错误。</explain>
      <paraID>6E1224AD</paraID>
      <start>18</start>
      <end>19</end>
      <status>unmodified</status>
      <modifiedWord/>
      <trackRevisions>false</trackRevisions>
    </reviewItem>
    <reviewItem>
      <errorID>ce41ecaf-7945-46d9-bc17-39bb2a4d2a3d</errorID>
      <errorWord>(</errorWord>
      <group>L1_Format</group>
      <groupName>格式问题</groupName>
      <ability>L2_HalfPunc</ability>
      <abilityName>全半角检查</abilityName>
      <candidateList>
        <item>（</item>
      </candidateList>
      <explain>文本全半角错误。</explain>
      <paraID>348C82CD</paraID>
      <start>13</start>
      <end>14</end>
      <status>unmodified</status>
      <modifiedWord/>
      <trackRevisions>false</trackRevisions>
    </reviewItem>
    <reviewItem>
      <errorID>3dd3fa4f-040e-4732-a6d1-2c826dfe8205</errorID>
      <errorWord>)</errorWord>
      <group>L1_Format</group>
      <groupName>格式问题</groupName>
      <ability>L2_HalfPunc</ability>
      <abilityName>全半角检查</abilityName>
      <candidateList>
        <item>）</item>
      </candidateList>
      <explain>文本全半角错误。</explain>
      <paraID>348C82CD</paraID>
      <start>17</start>
      <end>18</end>
      <status>unmodified</status>
      <modifiedWord/>
      <trackRevisions>false</trackRevisions>
    </reviewItem>
    <reviewItem>
      <errorID>05b62518-fcae-4648-a383-d0227feed33f</errorID>
      <errorWord>)</errorWord>
      <group>L1_Format</group>
      <groupName>格式问题</groupName>
      <ability>L2_HalfPunc</ability>
      <abilityName>全半角检查</abilityName>
      <candidateList>
        <item>）</item>
      </candidateList>
      <explain>文本全半角错误。</explain>
      <paraID>26A53CC8</paraID>
      <start>19</start>
      <end>20</end>
      <status>unmodified</status>
      <modifiedWord/>
      <trackRevisions>false</trackRevisions>
    </reviewItem>
    <reviewItem>
      <errorID>e4f9d229-9b32-4bb8-b485-142d963a87da</errorID>
      <errorWord>银行帐号</errorWord>
      <group>L1_Word</group>
      <groupName>字词问题</groupName>
      <ability>L2_Alias</ability>
      <abilityName>也作/曾用词</abilityName>
      <candidateList>
        <item>银行账号</item>
      </candidateList>
      <explain>词汇[银行帐号]为不规范表述或旧称，其规范书面表述为[银行账号]。</explain>
      <paraID>7F606D39</paraID>
      <start>0</start>
      <end>4</end>
      <status>modified</status>
      <modifiedWord>银行账号</modifiedWord>
      <trackRevisions>false</trackRevisions>
    </reviewItem>
    <reviewItem>
      <errorID>2b72d406-fd91-44f9-984f-40e6b4b73b16</errorID>
      <errorWord>)</errorWord>
      <group>L1_Format</group>
      <groupName>格式问题</groupName>
      <ability>L2_HalfPunc</ability>
      <abilityName>全半角检查</abilityName>
      <candidateList>
        <item>）</item>
      </candidateList>
      <explain>文本全半角错误。</explain>
      <paraID>57325399</paraID>
      <start>46</start>
      <end>47</end>
      <status>unmodified</status>
      <modifiedWord/>
      <trackRevisions>false</trackRevisions>
    </reviewItem>
    <reviewItem>
      <errorID>79304b59-9203-4f0b-97fc-4675c5fe21de</errorID>
      <errorWord>(</errorWord>
      <group>L1_Format</group>
      <groupName>格式问题</groupName>
      <ability>L2_HalfPunc</ability>
      <abilityName>全半角检查</abilityName>
      <candidateList>
        <item>（</item>
      </candidateList>
      <explain>文本全半角错误。</explain>
      <paraID>57325399</paraID>
      <start>75</start>
      <end>76</end>
      <status>unmodified</status>
      <modifiedWord/>
      <trackRevisions>false</trackRevisions>
    </reviewItem>
    <reviewItem>
      <errorID>500c570b-0659-42a5-a943-e911f574df05</errorID>
      <errorWord>)</errorWord>
      <group>L1_Format</group>
      <groupName>格式问题</groupName>
      <ability>L2_HalfPunc</ability>
      <abilityName>全半角检查</abilityName>
      <candidateList>
        <item>）</item>
      </candidateList>
      <explain>文本全半角错误。</explain>
      <paraID>57325399</paraID>
      <start>79</start>
      <end>80</end>
      <status>unmodified</status>
      <modifiedWord/>
      <trackRevisions>false</trackRevisions>
    </reviewItem>
    <reviewItem>
      <errorID>dcf94a28-f1b2-4958-9f5c-fcabb4829d30</errorID>
      <errorWord>《</errorWord>
      <group>L1_Punc</group>
      <groupName>标点问题</groupName>
      <ability>L2_Punc</ability>
      <abilityName>标点符号检查</abilityName>
      <candidateList/>
      <explain>同一形式括号套用。</explain>
      <paraID>69612BE8</paraID>
      <start>25</start>
      <end>26</end>
      <status>unmodified</status>
      <modifiedWord/>
      <trackRevisions>false</trackRevisions>
    </reviewItem>
    <reviewItem>
      <errorID>1ac93bed-2fce-4cd8-a817-78746627cef7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69612BE8</paraID>
      <start>42</start>
      <end>45</end>
      <status>unmodified</status>
      <modifiedWord/>
      <trackRevisions>false</trackRevisions>
    </reviewItem>
    <reviewItem>
      <errorID>d5ee5488-8920-403d-b4d8-7c569daeae53</errorID>
      <errorWord>》</errorWord>
      <group>L1_Punc</group>
      <groupName>标点问题</groupName>
      <ability>L2_Punc</ability>
      <abilityName>标点符号检查</abilityName>
      <candidateList/>
      <explain>同一形式括号套用。</explain>
      <paraID>69612BE8</paraID>
      <start>61</start>
      <end>62</end>
      <status>unmodified</status>
      <modifiedWord/>
      <trackRevisions>false</trackRevisions>
    </reviewItem>
    <reviewItem>
      <errorID>a8f633ce-7b4f-4f7e-8589-4f9bce556f03</errorID>
      <errorWord>《</errorWord>
      <group>L1_Punc</group>
      <groupName>标点问题</groupName>
      <ability>L2_Punc</ability>
      <abilityName>标点符号检查</abilityName>
      <candidateList/>
      <explain>同一形式括号套用。</explain>
      <paraID>1FB6F4A8</paraID>
      <start>19</start>
      <end>20</end>
      <status>unmodified</status>
      <modifiedWord/>
      <trackRevisions>false</trackRevisions>
    </reviewItem>
    <reviewItem>
      <errorID>d3eb26d3-da85-4a84-a0e2-3a6a638c4991</errorID>
      <errorWord>》</errorWord>
      <group>L1_Punc</group>
      <groupName>标点问题</groupName>
      <ability>L2_Punc</ability>
      <abilityName>标点符号检查</abilityName>
      <candidateList/>
      <explain>同一形式括号套用。</explain>
      <paraID>1FB6F4A8</paraID>
      <start>36</start>
      <end>37</end>
      <status>unmodified</status>
      <modifiedWord/>
      <trackRevisions>false</trackRevisions>
    </reviewItem>
    <reviewItem>
      <errorID>780f114f-e52c-4ec4-8941-82bae0bd5ff4</errorID>
      <errorWord>《</errorWord>
      <group>L1_Punc</group>
      <groupName>标点问题</groupName>
      <ability>L2_Punc</ability>
      <abilityName>标点符号检查</abilityName>
      <candidateList/>
      <explain>同一形式括号套用。</explain>
      <paraID>1FB6F4A8</paraID>
      <start>39</start>
      <end>40</end>
      <status>unmodified</status>
      <modifiedWord/>
      <trackRevisions>false</trackRevisions>
    </reviewItem>
    <reviewItem>
      <errorID>c8e0457d-178a-4fa9-8958-cbfd22bc9b5f</errorID>
      <errorWord>》</errorWord>
      <group>L1_Punc</group>
      <groupName>标点问题</groupName>
      <ability>L2_Punc</ability>
      <abilityName>标点符号检查</abilityName>
      <candidateList/>
      <explain>同一形式括号套用。</explain>
      <paraID>1FB6F4A8</paraID>
      <start>56</start>
      <end>57</end>
      <status>unmodified</status>
      <modifiedWord/>
      <trackRevisions>false</trackRevisions>
    </reviewItem>
    <reviewItem>
      <errorID>3768dbca-7b80-4d9c-b566-28d1fdace5ec</errorID>
      <errorWord>日</errorWord>
      <group>L1_Word</group>
      <groupName>字词问题</groupName>
      <ability>L2_Typo</ability>
      <abilityName>字词错误</abilityName>
      <candidateList>
        <item>日内</item>
      </candidateList>
      <explain/>
      <paraID>4DF8616B</paraID>
      <start>73</start>
      <end>74</end>
      <status>unmodified</status>
      <modifiedWord/>
      <trackRevisions>false</trackRevisions>
    </reviewItem>
    <reviewItem>
      <errorID>0ede8d92-78d0-4ddb-94e5-9985d6a63123</errorID>
      <errorWord>在其它情况下</errorWord>
      <group>L1_Word</group>
      <groupName>字词问题</groupName>
      <ability>L2_Alias</ability>
      <abilityName>也作/曾用词</abilityName>
      <candidateList>
        <item>在其他情况下</item>
      </candidateList>
      <explain>词汇[在其它情况下]为不规范表述或旧称，其规范书面表述为[在其他情况下]。</explain>
      <paraID>4DF8616B</paraID>
      <start>106</start>
      <end>112</end>
      <status>modified</status>
      <modifiedWord>在其他情况下</modifiedWord>
      <trackRevisions>false</trackRevisions>
    </reviewItem>
    <reviewItem>
      <errorID>e0db6d25-4782-4b47-b455-8b1f0599e19c</errorID>
      <errorWord>)</errorWord>
      <group>L1_Format</group>
      <groupName>格式问题</groupName>
      <ability>L2_HalfPunc</ability>
      <abilityName>全半角检查</abilityName>
      <candidateList>
        <item>）</item>
      </candidateList>
      <explain>文本全半角错误。</explain>
      <paraID>36896D25</paraID>
      <start>83</start>
      <end>84</end>
      <status>unmodified</status>
      <modifiedWord/>
      <trackRevisions>false</trackRevisions>
    </reviewItem>
    <reviewItem>
      <errorID>70e36a06-d92f-410e-8e9f-74d53015ca8e</errorID>
      <errorWord>保守国家秘密法</errorWord>
      <group>L1_Knowledge</group>
      <groupName>知识性问题</groupName>
      <ability>L2_Knowledge</ability>
      <abilityName>其他知识</abilityName>
      <candidateList>
        <item>中华人民共和国保守国家秘密法</item>
      </candidateList>
      <explain>当前法律法规名称使用简称，请注意是否应当使用全称。</explain>
      <paraID>3A6103FC</paraID>
      <start>50</start>
      <end>64</end>
      <status>modified</status>
      <modifiedWord>中华人民共和国保守国家秘密法</modifiedWord>
      <trackRevisions>false</trackRevisions>
    </reviewItem>
    <reviewItem>
      <errorID>dad0c842-49eb-41ca-bde7-7226a1e4e74b</errorID>
      <errorWord>反不正当竞争法</errorWord>
      <group>L1_Knowledge</group>
      <groupName>知识性问题</groupName>
      <ability>L2_Knowledge</ability>
      <abilityName>其他知识</abilityName>
      <candidateList>
        <item>中华人民共和国反不正当竞争法</item>
      </candidateList>
      <explain>当前法律法规名称使用简称，请注意是否应当使用全称。</explain>
      <paraID>3A6103FC</paraID>
      <start>104</start>
      <end>118</end>
      <status>modified</status>
      <modifiedWord>中华人民共和国反不正当竞争法</modifiedWord>
      <trackRevisions>false</trackRevisions>
    </reviewItem>
    <reviewItem>
      <errorID>3b6589ea-8ce4-4c66-9fd1-109a50bd2baa</errorID>
      <errorWord>:</errorWord>
      <group>L1_Format</group>
      <groupName>格式问题</groupName>
      <ability>L2_HalfPunc</ability>
      <abilityName>全半角检查</abilityName>
      <candidateList>
        <item>：</item>
      </candidateList>
      <explain>文本全半角错误。</explain>
      <paraID>45C874A9</paraID>
      <start>2</start>
      <end>3</end>
      <status>unmodified</status>
      <modifiedWord/>
      <trackRevisions>false</trackRevisions>
    </reviewItem>
    <reviewItem>
      <errorID>4450721c-5e11-4704-91e7-5fa8d403fd65</errorID>
      <errorWord>:</errorWord>
      <group>L1_Format</group>
      <groupName>格式问题</groupName>
      <ability>L2_HalfPunc</ability>
      <abilityName>全半角检查</abilityName>
      <candidateList>
        <item>：</item>
      </candidateList>
      <explain>文本全半角错误。</explain>
      <paraID> 60B6EC2</paraID>
      <start>2</start>
      <end>3</end>
      <status>unmodified</status>
      <modifiedWord/>
      <trackRevisions>false</trackRevisions>
    </reviewItem>
    <reviewItem>
      <errorID>e5dcfb6f-b1e1-4334-a764-4105b5541bcc</errorID>
      <errorWord>:</errorWord>
      <group>L1_Format</group>
      <groupName>格式问题</groupName>
      <ability>L2_HalfPunc</ability>
      <abilityName>全半角检查</abilityName>
      <candidateList>
        <item>：</item>
      </candidateList>
      <explain>文本全半角错误。</explain>
      <paraID>27D7103A</paraID>
      <start>2</start>
      <end>3</end>
      <status>unmodified</status>
      <modifiedWord/>
      <trackRevisions>false</trackRevisions>
    </reviewItem>
    <reviewItem>
      <errorID>b1e9f61e-1804-43d5-8f71-ac9f6b5b125d</errorID>
      <errorWord>:</errorWord>
      <group>L1_Format</group>
      <groupName>格式问题</groupName>
      <ability>L2_HalfPunc</ability>
      <abilityName>全半角检查</abilityName>
      <candidateList>
        <item>：</item>
      </candidateList>
      <explain>文本全半角错误。</explain>
      <paraID>3E73D16D</paraID>
      <start>2</start>
      <end>3</end>
      <status>unmodified</status>
      <modifiedWord/>
      <trackRevisions>false</trackRevisions>
    </reviewItem>
    <reviewItem>
      <errorID>a7378c8d-ce5a-4c56-9e65-129fc9b54828</errorID>
      <errorWord>:</errorWord>
      <group>L1_Format</group>
      <groupName>格式问题</groupName>
      <ability>L2_HalfPunc</ability>
      <abilityName>全半角检查</abilityName>
      <candidateList>
        <item>：</item>
      </candidateList>
      <explain>文本全半角错误。</explain>
      <paraID>2399CC79</paraID>
      <start>2</start>
      <end>3</end>
      <status>unmodified</status>
      <modifiedWord/>
      <trackRevisions>false</trackRevisions>
    </reviewItem>
    <reviewItem>
      <errorID>bc4a53fe-8356-485e-90b7-20a8a5e51904</errorID>
      <errorWord>:</errorWord>
      <group>L1_Format</group>
      <groupName>格式问题</groupName>
      <ability>L2_HalfPunc</ability>
      <abilityName>全半角检查</abilityName>
      <candidateList>
        <item>：</item>
      </candidateList>
      <explain>文本全半角错误。</explain>
      <paraID>7428FF1A</paraID>
      <start>2</start>
      <end>3</end>
      <status>unmodified</status>
      <modifiedWord/>
      <trackRevisions>false</trackRevisions>
    </reviewItem>
    <reviewItem>
      <errorID>5a2af183-49f2-4bb8-a215-dfe5c4ec4b85</errorID>
      <errorWord>:</errorWord>
      <group>L1_Format</group>
      <groupName>格式问题</groupName>
      <ability>L2_HalfPunc</ability>
      <abilityName>全半角检查</abilityName>
      <candidateList>
        <item>：</item>
      </candidateList>
      <explain>文本全半角错误。</explain>
      <paraID>567D785A</paraID>
      <start>2</start>
      <end>3</end>
      <status>unmodified</status>
      <modifiedWord/>
      <trackRevisions>false</trackRevisions>
    </reviewItem>
    <reviewItem>
      <errorID>c9fc9675-6a10-46e5-8828-265faf7aff57</errorID>
      <errorWord>:</errorWord>
      <group>L1_Format</group>
      <groupName>格式问题</groupName>
      <ability>L2_HalfPunc</ability>
      <abilityName>全半角检查</abilityName>
      <candidateList>
        <item>：</item>
      </candidateList>
      <explain>文本全半角错误。</explain>
      <paraID>  1D7068</paraID>
      <start>2</start>
      <end>3</end>
      <status>unmodified</status>
      <modifiedWord/>
      <trackRevisions>false</trackRevisions>
    </reviewItem>
    <reviewItem>
      <errorID>ad81553a-c30f-41f1-a56a-25744b6fa19f</errorID>
      <errorWord>:</errorWord>
      <group>L1_Format</group>
      <groupName>格式问题</groupName>
      <ability>L2_HalfPunc</ability>
      <abilityName>全半角检查</abilityName>
      <candidateList>
        <item>：</item>
      </candidateList>
      <explain>文本全半角错误。</explain>
      <paraID>4A5A9AA9</paraID>
      <start>2</start>
      <end>3</end>
      <status>unmodified</status>
      <modifiedWord/>
      <trackRevisions>false</trackRevisions>
    </reviewItem>
    <reviewItem>
      <errorID>6b8ed831-144c-4b1f-a47b-eff6480bcc8a</errorID>
      <errorWord>:</errorWord>
      <group>L1_Format</group>
      <groupName>格式问题</groupName>
      <ability>L2_HalfPunc</ability>
      <abilityName>全半角检查</abilityName>
      <candidateList>
        <item>：</item>
      </candidateList>
      <explain>文本全半角错误。</explain>
      <paraID>147BD2F0</paraID>
      <start>2</start>
      <end>3</end>
      <status>unmodified</status>
      <modifiedWord/>
      <trackRevisions>false</trackRevisions>
    </reviewItem>
    <reviewItem>
      <errorID>8600b000-1ed0-405c-ab3a-e95ada8c2e0b</errorID>
      <errorWord>(</errorWord>
      <group>L1_Format</group>
      <groupName>格式问题</groupName>
      <ability>L2_HalfPunc</ability>
      <abilityName>全半角检查</abilityName>
      <candidateList>
        <item>（</item>
      </candidateList>
      <explain>文本全半角错误。</explain>
      <paraID>7A858F36</paraID>
      <start>0</start>
      <end>1</end>
      <status>unmodified</status>
      <modifiedWord/>
      <trackRevisions>false</trackRevisions>
    </reviewItem>
    <reviewItem>
      <errorID>80b3ec5b-43d9-47fc-ab2a-a7ad1c431a1e</errorID>
      <errorWord>)</errorWord>
      <group>L1_Format</group>
      <groupName>格式问题</groupName>
      <ability>L2_HalfPunc</ability>
      <abilityName>全半角检查</abilityName>
      <candidateList>
        <item>）</item>
      </candidateList>
      <explain>文本全半角错误。</explain>
      <paraID>7A858F36</paraID>
      <start>37</start>
      <end>38</end>
      <status>unmodified</status>
      <modifiedWord/>
      <trackRevisions>false</trackRevisions>
    </reviewItem>
    <reviewItem>
      <errorID>26a9af8d-aa83-4b6b-b4a0-4d604c914c32</errorID>
      <errorWord>(</errorWord>
      <group>L1_Format</group>
      <groupName>格式问题</groupName>
      <ability>L2_HalfPunc</ability>
      <abilityName>全半角检查</abilityName>
      <candidateList>
        <item>（</item>
      </candidateList>
      <explain>文本全半角错误。</explain>
      <paraID>32C87C5E</paraID>
      <start>0</start>
      <end>1</end>
      <status>unmodified</status>
      <modifiedWord/>
      <trackRevisions>false</trackRevisions>
    </reviewItem>
    <reviewItem>
      <errorID>d7646e31-0202-4633-b1b6-d33539ec9d99</errorID>
      <errorWord>)</errorWord>
      <group>L1_Format</group>
      <groupName>格式问题</groupName>
      <ability>L2_HalfPunc</ability>
      <abilityName>全半角检查</abilityName>
      <candidateList>
        <item>）</item>
      </candidateList>
      <explain>文本全半角错误。</explain>
      <paraID>32C87C5E</paraID>
      <start>37</start>
      <end>38</end>
      <status>unmodified</status>
      <modifiedWord/>
      <trackRevisions>false</trackRevisions>
    </reviewItem>
    <reviewItem>
      <errorID>f4a26252-1259-41d8-8798-1559f033dc3b</errorID>
      <errorWord>(</errorWord>
      <group>L1_Format</group>
      <groupName>格式问题</groupName>
      <ability>L2_HalfPunc</ability>
      <abilityName>全半角检查</abilityName>
      <candidateList>
        <item>（</item>
      </candidateList>
      <explain>文本全半角错误。</explain>
      <paraID>1213AE23</paraID>
      <start>0</start>
      <end>1</end>
      <status>unmodified</status>
      <modifiedWord/>
      <trackRevisions>false</trackRevisions>
    </reviewItem>
    <reviewItem>
      <errorID>bdea8807-cd17-47dc-a41b-b359ab61d328</errorID>
      <errorWord>)</errorWord>
      <group>L1_Format</group>
      <groupName>格式问题</groupName>
      <ability>L2_HalfPunc</ability>
      <abilityName>全半角检查</abilityName>
      <candidateList>
        <item>）</item>
      </candidateList>
      <explain>文本全半角错误。</explain>
      <paraID>1213AE23</paraID>
      <start>64</start>
      <end>65</end>
      <status>unmodified</status>
      <modifiedWord/>
      <trackRevisions>false</trackRevisions>
    </reviewItem>
    <reviewItem>
      <errorID>3b380f12-eea8-4b2b-a49a-12f51e5c948d</errorID>
      <errorWord>(</errorWord>
      <group>L1_Format</group>
      <groupName>格式问题</groupName>
      <ability>L2_HalfPunc</ability>
      <abilityName>全半角检查</abilityName>
      <candidateList>
        <item>（</item>
      </candidateList>
      <explain>文本全半角错误。</explain>
      <paraID>3AE1E9B5</paraID>
      <start>0</start>
      <end>1</end>
      <status>unmodified</status>
      <modifiedWord/>
      <trackRevisions>false</trackRevisions>
    </reviewItem>
    <reviewItem>
      <errorID>428275ce-3221-41fb-af21-e0faeabd5eb8</errorID>
      <errorWord>)</errorWord>
      <group>L1_Format</group>
      <groupName>格式问题</groupName>
      <ability>L2_HalfPunc</ability>
      <abilityName>全半角检查</abilityName>
      <candidateList>
        <item>）</item>
      </candidateList>
      <explain>文本全半角错误。</explain>
      <paraID>3AE1E9B5</paraID>
      <start>16</start>
      <end>17</end>
      <status>unmodified</status>
      <modifiedWord/>
      <trackRevisions>false</trackRevisions>
    </reviewItem>
    <reviewItem>
      <errorID>d935c241-e702-4634-bd1f-622f26897d45</errorID>
      <errorWord>:</errorWord>
      <group>L1_Format</group>
      <groupName>格式问题</groupName>
      <ability>L2_HalfPunc</ability>
      <abilityName>全半角检查</abilityName>
      <candidateList>
        <item>：</item>
      </candidateList>
      <explain>文本全半角错误。</explain>
      <paraID>364E5424</paraID>
      <start>4</start>
      <end>5</end>
      <status>unmodified</status>
      <modifiedWord/>
      <trackRevisions>false</trackRevisions>
    </reviewItem>
    <reviewItem>
      <errorID>92678d25-3fdb-4a28-bf89-2fad98fc99e8</errorID>
      <errorWord>:</errorWord>
      <group>L1_Format</group>
      <groupName>格式问题</groupName>
      <ability>L2_HalfPunc</ability>
      <abilityName>全半角检查</abilityName>
      <candidateList>
        <item>：</item>
      </candidateList>
      <explain>文本全半角错误。</explain>
      <paraID>1B89B973</paraID>
      <start>4</start>
      <end>5</end>
      <status>unmodified</status>
      <modifiedWord/>
      <trackRevisions>false</trackRevisions>
    </reviewItem>
    <reviewItem>
      <errorID>e66d9e8f-e592-4680-9215-bd9a4aaa0c56</errorID>
      <errorWord>:</errorWord>
      <group>L1_Format</group>
      <groupName>格式问题</groupName>
      <ability>L2_HalfPunc</ability>
      <abilityName>全半角检查</abilityName>
      <candidateList>
        <item>：</item>
      </candidateList>
      <explain>文本全半角错误。</explain>
      <paraID>4B9DAB6D</paraID>
      <start>4</start>
      <end>5</end>
      <status>unmodified</status>
      <modifiedWord/>
      <trackRevisions>false</trackRevisions>
    </reviewItem>
    <reviewItem>
      <errorID>e37977db-a0eb-4561-9c95-d3b934be96d8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89D7312</paraID>
      <start>0</start>
      <end>3</end>
      <status>unmodified</status>
      <modifiedWord/>
      <trackRevisions>false</trackRevisions>
    </reviewItem>
    <reviewItem>
      <errorID>a06c10ad-e36b-41f9-b7c1-1e4bfff9150f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2103E6E5</paraID>
      <start>0</start>
      <end>3</end>
      <status>unmodified</status>
      <modifiedWord/>
      <trackRevisions>false</trackRevisions>
    </reviewItem>
    <reviewItem>
      <errorID>cc549c1d-720a-4730-812b-622f5974a3ee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6224ADB9</paraID>
      <start>0</start>
      <end>3</end>
      <status>unmodified</status>
      <modifiedWord/>
      <trackRevisions>false</trackRevisions>
    </reviewItem>
    <reviewItem>
      <errorID>13ecac3e-6f7b-406c-b720-755888b9c461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E969672</paraID>
      <start>0</start>
      <end>3</end>
      <status>unmodified</status>
      <modifiedWord/>
      <trackRevisions>false</trackRevisions>
    </reviewItem>
    <reviewItem>
      <errorID>f3ac7c5d-943b-4c09-84fb-25c642cf3ed1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7726D8AE</paraID>
      <start>0</start>
      <end>3</end>
      <status>unmodified</status>
      <modifiedWord/>
      <trackRevisions>false</trackRevisions>
    </reviewItem>
    <reviewItem>
      <errorID>e90a3a60-2eef-4c01-8430-f8eef95b375a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3448AB12</paraID>
      <start>0</start>
      <end>3</end>
      <status>unmodified</status>
      <modifiedWord/>
      <trackRevisions>false</trackRevisions>
    </reviewItem>
    <reviewItem>
      <errorID>ff1c8362-cd43-4e3a-aa81-7c317239b16b</errorID>
      <errorWord>(</errorWord>
      <group>L1_Format</group>
      <groupName>格式问题</groupName>
      <ability>L2_HalfPunc</ability>
      <abilityName>全半角检查</abilityName>
      <candidateList>
        <item>（</item>
      </candidateList>
      <explain>文本全半角错误。</explain>
      <paraID>3646B939</paraID>
      <start>10</start>
      <end>11</end>
      <status>unmodified</status>
      <modifiedWord/>
      <trackRevisions>false</trackRevisions>
    </reviewItem>
    <reviewItem>
      <errorID>30ced17f-071a-41ba-abb9-c94d3881591e</errorID>
      <errorWord>)</errorWord>
      <group>L1_Format</group>
      <groupName>格式问题</groupName>
      <ability>L2_HalfPunc</ability>
      <abilityName>全半角检查</abilityName>
      <candidateList>
        <item>）</item>
      </candidateList>
      <explain>文本全半角错误。</explain>
      <paraID>3646B939</paraID>
      <start>13</start>
      <end>14</end>
      <status>unmodified</status>
      <modifiedWord/>
      <trackRevisions>false</trackRevisions>
    </reviewItem>
    <reviewItem>
      <errorID>a75949bc-c0fe-494f-b129-46fc45b4e930</errorID>
      <errorWord>(</errorWord>
      <group>L1_Format</group>
      <groupName>格式问题</groupName>
      <ability>L2_HalfPunc</ability>
      <abilityName>全半角检查</abilityName>
      <candidateList>
        <item>（</item>
      </candidateList>
      <explain>文本全半角错误。</explain>
      <paraID>620DE2F9</paraID>
      <start>10</start>
      <end>11</end>
      <status>unmodified</status>
      <modifiedWord/>
      <trackRevisions>false</trackRevisions>
    </reviewItem>
    <reviewItem>
      <errorID>90fa9018-5148-45e0-9ffc-2f42d4ce32aa</errorID>
      <errorWord>)</errorWord>
      <group>L1_Format</group>
      <groupName>格式问题</groupName>
      <ability>L2_HalfPunc</ability>
      <abilityName>全半角检查</abilityName>
      <candidateList>
        <item>）</item>
      </candidateList>
      <explain>文本全半角错误。</explain>
      <paraID>620DE2F9</paraID>
      <start>13</start>
      <end>14</end>
      <status>unmodified</status>
      <modifiedWord/>
      <trackRevisions>false</trackRevisions>
    </reviewItem>
    <reviewItem>
      <errorID>192554bc-932a-4826-a086-789253f1b5c1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7F9FC328</paraID>
      <start>0</start>
      <end>2</end>
      <status>unmodified</status>
      <modifiedWord/>
      <trackRevisions>false</trackRevisions>
    </reviewItem>
    <reviewItem>
      <errorID>7ab6e03d-48a0-4469-9973-8afbe67ae406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66EB1DCB</paraID>
      <start>0</start>
      <end>2</end>
      <status>unmodified</status>
      <modifiedWord/>
      <trackRevisions>false</trackRevisions>
    </reviewItem>
    <reviewItem>
      <errorID>c206924b-7f42-44a2-a237-30e350bd517c</errorID>
      <errorWord>团</errorWord>
      <group>L1_Word</group>
      <groupName>字词问题</groupName>
      <ability>L2_Typo</ability>
      <abilityName>字词错误</abilityName>
      <candidateList>
        <item>团第</item>
      </candidateList>
      <explain/>
      <paraID>754412F9</paraID>
      <start>5</start>
      <end>6</end>
      <status>unmodified</status>
      <modifiedWord/>
      <trackRevisions>false</trackRevisions>
    </reviewItem>
    <reviewItem>
      <errorID>dfb8fd3d-66fc-4e37-9144-36a23805b6f7</errorID>
      <errorWord>[2011]300号</errorWord>
      <group>L1_Knowledge</group>
      <groupName>知识性问题</groupName>
      <ability>L2_Knowledge</ability>
      <abilityName>其他知识</abilityName>
      <candidateList>
        <item>〔2011〕300号</item>
      </candidateList>
      <explain>发文字号格式错误。</explain>
      <paraID>4ABBCEEC</paraID>
      <start>69</start>
      <end>79</end>
      <status>unmodified</status>
      <modifiedWord/>
      <trackRevisions>false</trackRevisions>
    </reviewItem>
    <reviewItem>
      <errorID>3bd2b083-9ed4-408b-aef9-ecfa3205b1be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16DC34F1</paraID>
      <start>0</start>
      <end>2</end>
      <status>unmodified</status>
      <modifiedWord/>
      <trackRevisions>false</trackRevisions>
    </reviewItem>
    <reviewItem>
      <errorID>7772e872-3f67-4d58-95c7-9d7218de4a3c</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2029C747</paraID>
      <start>0</start>
      <end>2</end>
      <status>unmodified</status>
      <modifiedWord/>
      <trackRevisions>false</trackRevisions>
    </reviewItem>
    <reviewItem>
      <errorID>373b2608-3d70-4ac1-af00-2f847ce5da97</errorID>
      <errorWord>,</errorWord>
      <group>L1_Format</group>
      <groupName>格式问题</groupName>
      <ability>L2_HalfPunc</ability>
      <abilityName>全半角检查</abilityName>
      <candidateList>
        <item>，</item>
      </candidateList>
      <explain>文本全半角错误。</explain>
      <paraID>50A1B136</paraID>
      <start>30</start>
      <end>31</end>
      <status>unmodified</status>
      <modifiedWord/>
      <trackRevisions>false</trackRevisions>
    </reviewItem>
    <reviewItem>
      <errorID>33a9372e-a9a4-49b5-860e-75d09be48b44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2C15B533</paraID>
      <start>0</start>
      <end>2</end>
      <status>unmodified</status>
      <modifiedWord/>
      <trackRevisions>false</trackRevisions>
    </reviewItem>
    <reviewItem>
      <errorID>d4e98a77-eb9b-41b9-9c2a-320817db1a0e</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2C15B533</paraID>
      <start>4</start>
      <end>6</end>
      <status>unmodified</status>
      <modifiedWord/>
      <trackRevisions>false</trackRevisions>
    </reviewItem>
    <reviewItem>
      <errorID>36355c41-8d53-4472-82f5-a522e09db6a9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39A19AE5</paraID>
      <start>0</start>
      <end>2</end>
      <status>unmodified</status>
      <modifiedWord/>
      <trackRevisions>false</trackRevisions>
    </reviewItem>
    <reviewItem>
      <errorID>6a580e82-7aed-4303-a6d1-213d35497dba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5708ACD1</paraID>
      <start>0</start>
      <end>2</end>
      <status>unmodified</status>
      <modifiedWord/>
      <trackRevisions>false</trackRevisions>
    </reviewItem>
    <reviewItem>
      <errorID>833f5709-cd8f-4443-ac74-8eadccb970b1</errorID>
      <errorWord>(</errorWord>
      <group>L1_Format</group>
      <groupName>格式问题</groupName>
      <ability>L2_HalfPunc</ability>
      <abilityName>全半角检查</abilityName>
      <candidateList>
        <item>（</item>
      </candidateList>
      <explain>文本全半角错误。</explain>
      <paraID>5708ACD1</paraID>
      <start>9</start>
      <end>10</end>
      <status>unmodified</status>
      <modifiedWord/>
      <trackRevisions>false</trackRevisions>
    </reviewItem>
    <reviewItem>
      <errorID>c3224aab-d465-43fc-8ed2-488664725d34</errorID>
      <errorWord>)</errorWord>
      <group>L1_Format</group>
      <groupName>格式问题</groupName>
      <ability>L2_HalfPunc</ability>
      <abilityName>全半角检查</abilityName>
      <candidateList>
        <item>）</item>
      </candidateList>
      <explain>文本全半角错误。</explain>
      <paraID>5708ACD1</paraID>
      <start>11</start>
      <end>12</end>
      <status>unmodified</status>
      <modifiedWord/>
      <trackRevisions>false</trackRevisions>
    </reviewItem>
    <reviewItem>
      <errorID>25869cf2-3bd8-474b-831c-e9fa76bd93f0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7D766BFC</paraID>
      <start>0</start>
      <end>2</end>
      <status>unmodified</status>
      <modifiedWord/>
      <trackRevisions>false</trackRevisions>
    </reviewItem>
    <reviewItem>
      <errorID>ae5aecb6-c9fc-41ed-9663-bcc8db9f5327</errorID>
      <errorWord>(</errorWord>
      <group>L1_Format</group>
      <groupName>格式问题</groupName>
      <ability>L2_HalfPunc</ability>
      <abilityName>全半角检查</abilityName>
      <candidateList>
        <item>（</item>
      </candidateList>
      <explain>文本全半角错误。</explain>
      <paraID>7D766BFC</paraID>
      <start>10</start>
      <end>11</end>
      <status>unmodified</status>
      <modifiedWord/>
      <trackRevisions>false</trackRevisions>
    </reviewItem>
    <reviewItem>
      <errorID>f64ae735-bafc-4f98-85fd-6be6242591c1</errorID>
      <errorWord>)</errorWord>
      <group>L1_Format</group>
      <groupName>格式问题</groupName>
      <ability>L2_HalfPunc</ability>
      <abilityName>全半角检查</abilityName>
      <candidateList>
        <item>）</item>
      </candidateList>
      <explain>文本全半角错误。</explain>
      <paraID>7D766BFC</paraID>
      <start>12</start>
      <end>13</end>
      <status>unmodified</status>
      <modifiedWord/>
      <trackRevisions>false</trackRevisions>
    </reviewItem>
    <reviewItem>
      <errorID>592e6831-d12f-426b-b4cf-72e42f122b4b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2286FA68</paraID>
      <start>0</start>
      <end>2</end>
      <status>unmodified</status>
      <modifiedWord/>
      <trackRevisions>false</trackRevisions>
    </reviewItem>
    <reviewItem>
      <errorID>f701bfb1-4ecd-47eb-b0c3-e76d54fffbcf</errorID>
      <errorWord>(</errorWord>
      <group>L1_Format</group>
      <groupName>格式问题</groupName>
      <ability>L2_HalfPunc</ability>
      <abilityName>全半角检查</abilityName>
      <candidateList>
        <item>（</item>
      </candidateList>
      <explain>文本全半角错误。</explain>
      <paraID>2286FA68</paraID>
      <start>10</start>
      <end>11</end>
      <status>unmodified</status>
      <modifiedWord/>
      <trackRevisions>false</trackRevisions>
    </reviewItem>
    <reviewItem>
      <errorID>3e4b193e-601f-408b-81d5-dc21d3af4f18</errorID>
      <errorWord>)</errorWord>
      <group>L1_Format</group>
      <groupName>格式问题</groupName>
      <ability>L2_HalfPunc</ability>
      <abilityName>全半角检查</abilityName>
      <candidateList>
        <item>）</item>
      </candidateList>
      <explain>文本全半角错误。</explain>
      <paraID>2286FA68</paraID>
      <start>12</start>
      <end>13</end>
      <status>unmodified</status>
      <modifiedWord/>
      <trackRevisions>false</trackRevisions>
    </reviewItem>
    <reviewItem>
      <errorID>d0d0930e-f633-47b5-b050-f765b7e9413d</errorID>
      <errorWord>6、</errorWord>
      <group>L1_Format</group>
      <groupName>格式问题</groupName>
      <ability>L2_Ordinal</ability>
      <abilityName>序号格式</abilityName>
      <candidateList>
        <item>6.</item>
      </candidateList>
      <explain>当前序号格式不规范，建议修改为规范格式[6.]。</explain>
      <paraID>25548AF2</paraID>
      <start>0</start>
      <end>2</end>
      <status>unmodified</status>
      <modifiedWord/>
      <trackRevisions>false</trackRevisions>
    </reviewItem>
    <reviewItem>
      <errorID>669fa6d4-c030-4dcd-8fb1-c0533a1aa6a3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190D206F</paraID>
      <start>0</start>
      <end>2</end>
      <status>unmodified</status>
      <modifiedWord/>
      <trackRevisions>false</trackRevisions>
    </reviewItem>
    <reviewItem>
      <errorID>f4ce1f72-0796-4132-a628-d9b7ff0e182f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764D70BA</paraID>
      <start>0</start>
      <end>2</end>
      <status>unmodified</status>
      <modifiedWord/>
      <trackRevisions>false</trackRevisions>
    </reviewItem>
    <reviewItem>
      <errorID>f87d569b-2880-4426-8c35-a0d7d6c7fbcf</errorID>
      <errorWord>项的</errorWord>
      <group>L1_Word</group>
      <groupName>字词问题</groupName>
      <ability>L2_Typo</ability>
      <abilityName>字词错误</abilityName>
      <candidateList>
        <item>项</item>
      </candidateList>
      <explain/>
      <paraID>5D020EBA</paraID>
      <start>42</start>
      <end>44</end>
      <status>unmodified</status>
      <modifiedWord/>
      <trackRevisions>false</trackRevisions>
    </reviewItem>
    <reviewItem>
      <errorID>eb930369-cf61-4401-bb85-84f79ad606ae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413673B4</paraID>
      <start>0</start>
      <end>2</end>
      <status>unmodified</status>
      <modifiedWord/>
      <trackRevisions>false</trackRevisions>
    </reviewItem>
    <reviewItem>
      <errorID>9d15be3f-2078-4fe4-af2b-ab1eeabb91d8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2ED36956</paraID>
      <start>0</start>
      <end>2</end>
      <status>unmodified</status>
      <modifiedWord/>
      <trackRevisions>false</trackRevisions>
    </reviewItem>
    <reviewItem>
      <errorID>cfe968f4-e106-4840-b5c9-c2fdd18d5967</errorID>
      <errorWord>,</errorWord>
      <group>L1_Format</group>
      <groupName>格式问题</groupName>
      <ability>L2_HalfPunc</ability>
      <abilityName>全半角检查</abilityName>
      <candidateList>
        <item>，</item>
      </candidateList>
      <explain>文本全半角错误。</explain>
      <paraID>2ED36956</paraID>
      <start>25</start>
      <end>26</end>
      <status>unmodified</status>
      <modifiedWord/>
      <trackRevisions>false</trackRevisions>
    </reviewItem>
    <reviewItem>
      <errorID>8e341e3c-989c-4448-9f84-389b7a9d9800</errorID>
      <errorWord>,</errorWord>
      <group>L1_Format</group>
      <groupName>格式问题</groupName>
      <ability>L2_HalfPunc</ability>
      <abilityName>全半角检查</abilityName>
      <candidateList>
        <item>，</item>
      </candidateList>
      <explain>文本全半角错误。</explain>
      <paraID>2ED36956</paraID>
      <start>38</start>
      <end>39</end>
      <status>unmodified</status>
      <modifiedWord/>
      <trackRevisions>false</trackRevisions>
    </reviewItem>
    <reviewItem>
      <errorID>97b937d2-7b34-4730-bab8-cb743d6518b3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5EE0C4</paraID>
      <start>0</start>
      <end>2</end>
      <status>unmodified</status>
      <modifiedWord/>
      <trackRevisions>false</trackRevisions>
    </reviewItem>
    <reviewItem>
      <errorID>b47a9a93-3682-4345-b0ef-35ae9ab67ee2</errorID>
      <errorWord>沾色</errorWord>
      <group>L1_Word</group>
      <groupName>字词问题</groupName>
      <ability>L2_Typo</ability>
      <abilityName>字词错误</abilityName>
      <candidateList>
        <item>褪色</item>
      </candidateList>
      <explain>〈动〉退色。</explain>
      <paraID>  5EE0C4</paraID>
      <start>9</start>
      <end>11</end>
      <status>unmodified</status>
      <modifiedWord/>
      <trackRevisions>false</trackRevisions>
    </reviewItem>
    <reviewItem>
      <errorID>a42e4651-d3db-4cbe-a9ab-7a0e7ebdc1a2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29634FFF</paraID>
      <start>0</start>
      <end>2</end>
      <status>unmodified</status>
      <modifiedWord/>
      <trackRevisions>false</trackRevisions>
    </reviewItem>
    <reviewItem>
      <errorID>df757618-ca80-4329-a812-19bd41282616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655F53C5</paraID>
      <start>0</start>
      <end>2</end>
      <status>unmodified</status>
      <modifiedWord/>
      <trackRevisions>false</trackRevisions>
    </reviewItem>
    <reviewItem>
      <errorID>a20d5083-5a69-4056-a6f0-b9028f07c057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478DDF75</paraID>
      <start>0</start>
      <end>2</end>
      <status>unmodified</status>
      <modifiedWord/>
      <trackRevisions>false</trackRevisions>
    </reviewItem>
    <reviewItem>
      <errorID>b4716bc8-021b-48b0-8e17-b6c504e77eee</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478DDF75</paraID>
      <start>4</start>
      <end>6</end>
      <status>unmodified</status>
      <modifiedWord/>
      <trackRevisions>false</trackRevisions>
    </reviewItem>
    <reviewItem>
      <errorID>0e474de2-5c90-4c7e-8808-af7406e5e048</errorID>
      <errorWord>3、</errorWord>
      <group>L1_Format</group>
      <groupName>格式问题</groupName>
      <ability>L2_Ordinal</ability>
      <abilityName>序号格式</abilityName>
      <candidateList>
        <item>3.</item>
      </candidateList>
      <explain>当前序号格式不规范，建议修改为规范格式[3.]。</explain>
      <paraID>2356646C</paraID>
      <start>0</start>
      <end>2</end>
      <status>unmodified</status>
      <modifiedWord/>
      <trackRevisions>false</trackRevisions>
    </reviewItem>
    <reviewItem>
      <errorID>f8309fa1-790d-4842-94dc-00d46093410f</errorID>
      <errorWord>(</errorWord>
      <group>L1_Format</group>
      <groupName>格式问题</groupName>
      <ability>L2_HalfPunc</ability>
      <abilityName>全半角检查</abilityName>
      <candidateList>
        <item>（</item>
      </candidateList>
      <explain>文本全半角错误。</explain>
      <paraID>2356646C</paraID>
      <start>6</start>
      <end>7</end>
      <status>unmodified</status>
      <modifiedWord/>
      <trackRevisions>false</trackRevisions>
    </reviewItem>
    <reviewItem>
      <errorID>a0e8cb3b-dc9d-4de4-a415-e00e339c5439</errorID>
      <errorWord>)</errorWord>
      <group>L1_Format</group>
      <groupName>格式问题</groupName>
      <ability>L2_HalfPunc</ability>
      <abilityName>全半角检查</abilityName>
      <candidateList>
        <item>）</item>
      </candidateList>
      <explain>文本全半角错误。</explain>
      <paraID>2356646C</paraID>
      <start>12</start>
      <end>13</end>
      <status>unmodified</status>
      <modifiedWord/>
      <trackRevisions>false</trackRevisions>
    </reviewItem>
    <reviewItem>
      <errorID>ce42ad1b-ab37-4627-af1d-4a83cea145ad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7C36EA8A</paraID>
      <start>0</start>
      <end>2</end>
      <status>unmodified</status>
      <modifiedWord/>
      <trackRevisions>false</trackRevisions>
    </reviewItem>
    <reviewItem>
      <errorID>4b7448df-87f0-42b1-87ca-b94a07b31c12</errorID>
      <errorWord>(</errorWord>
      <group>L1_Format</group>
      <groupName>格式问题</groupName>
      <ability>L2_HalfPunc</ability>
      <abilityName>全半角检查</abilityName>
      <candidateList>
        <item>（</item>
      </candidateList>
      <explain>文本全半角错误。</explain>
      <paraID>7C36EA8A</paraID>
      <start>8</start>
      <end>9</end>
      <status>unmodified</status>
      <modifiedWord/>
      <trackRevisions>false</trackRevisions>
    </reviewItem>
    <reviewItem>
      <errorID>a0a0b1dd-3312-40c3-9dc1-6a81c5e19d97</errorID>
      <errorWord>)</errorWord>
      <group>L1_Format</group>
      <groupName>格式问题</groupName>
      <ability>L2_HalfPunc</ability>
      <abilityName>全半角检查</abilityName>
      <candidateList>
        <item>）</item>
      </candidateList>
      <explain>文本全半角错误。</explain>
      <paraID>7C36EA8A</paraID>
      <start>10</start>
      <end>11</end>
      <status>unmodified</status>
      <modifiedWord/>
      <trackRevisions>false</trackRevisions>
    </reviewItem>
    <reviewItem>
      <errorID>3abc7913-c76f-4413-8ac0-6199f26dd392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6A062829</paraID>
      <start>0</start>
      <end>2</end>
      <status>unmodified</status>
      <modifiedWord/>
      <trackRevisions>false</trackRevisions>
    </reviewItem>
    <reviewItem>
      <errorID>3d87a735-12d3-45ed-a7af-f8d3525b938d</errorID>
      <errorWord>(</errorWord>
      <group>L1_Format</group>
      <groupName>格式问题</groupName>
      <ability>L2_HalfPunc</ability>
      <abilityName>全半角检查</abilityName>
      <candidateList>
        <item>（</item>
      </candidateList>
      <explain>文本全半角错误。</explain>
      <paraID>6A062829</paraID>
      <start>9</start>
      <end>10</end>
      <status>unmodified</status>
      <modifiedWord/>
      <trackRevisions>false</trackRevisions>
    </reviewItem>
    <reviewItem>
      <errorID>597d3d12-da6d-4c57-83a2-17515a98c8f7</errorID>
      <errorWord>)</errorWord>
      <group>L1_Format</group>
      <groupName>格式问题</groupName>
      <ability>L2_HalfPunc</ability>
      <abilityName>全半角检查</abilityName>
      <candidateList>
        <item>）</item>
      </candidateList>
      <explain>文本全半角错误。</explain>
      <paraID>6A062829</paraID>
      <start>11</start>
      <end>12</end>
      <status>unmodified</status>
      <modifiedWord/>
      <trackRevisions>false</trackRevisions>
    </reviewItem>
    <reviewItem>
      <errorID>b0636f4f-01ec-4e74-8b29-8929bd4b9543</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215D400B</paraID>
      <start>0</start>
      <end>2</end>
      <status>unmodified</status>
      <modifiedWord/>
      <trackRevisions>false</trackRevisions>
    </reviewItem>
    <reviewItem>
      <errorID>c6b37c83-9833-4db4-9eec-1cc2432b9e76</errorID>
      <errorWord>(</errorWord>
      <group>L1_Format</group>
      <groupName>格式问题</groupName>
      <ability>L2_HalfPunc</ability>
      <abilityName>全半角检查</abilityName>
      <candidateList>
        <item>（</item>
      </candidateList>
      <explain>文本全半角错误。</explain>
      <paraID>215D400B</paraID>
      <start>10</start>
      <end>11</end>
      <status>unmodified</status>
      <modifiedWord/>
      <trackRevisions>false</trackRevisions>
    </reviewItem>
    <reviewItem>
      <errorID>cc8daee9-c214-457e-9512-08036073a9cd</errorID>
      <errorWord>)</errorWord>
      <group>L1_Format</group>
      <groupName>格式问题</groupName>
      <ability>L2_HalfPunc</ability>
      <abilityName>全半角检查</abilityName>
      <candidateList>
        <item>）</item>
      </candidateList>
      <explain>文本全半角错误。</explain>
      <paraID>215D400B</paraID>
      <start>12</start>
      <end>13</end>
      <status>unmodified</status>
      <modifiedWord/>
      <trackRevisions>false</trackRevisions>
    </reviewItem>
    <reviewItem>
      <errorID>a7aba8a1-452b-4869-94d2-23b04bc1f2d2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1FA28F45</paraID>
      <start>0</start>
      <end>2</end>
      <status>unmodified</status>
      <modifiedWord/>
      <trackRevisions>false</trackRevisions>
    </reviewItem>
    <reviewItem>
      <errorID>7383ea72-3d79-48b0-b0af-a88ff95d2c51</errorID>
      <errorWord>(</errorWord>
      <group>L1_Format</group>
      <groupName>格式问题</groupName>
      <ability>L2_HalfPunc</ability>
      <abilityName>全半角检查</abilityName>
      <candidateList>
        <item>（</item>
      </candidateList>
      <explain>文本全半角错误。</explain>
      <paraID>1FA28F45</paraID>
      <start>10</start>
      <end>11</end>
      <status>unmodified</status>
      <modifiedWord/>
      <trackRevisions>false</trackRevisions>
    </reviewItem>
    <reviewItem>
      <errorID>a05e90a1-9ad7-4b69-8833-286aabd0a3c0</errorID>
      <errorWord>)</errorWord>
      <group>L1_Format</group>
      <groupName>格式问题</groupName>
      <ability>L2_HalfPunc</ability>
      <abilityName>全半角检查</abilityName>
      <candidateList>
        <item>）</item>
      </candidateList>
      <explain>文本全半角错误。</explain>
      <paraID>1FA28F45</paraID>
      <start>12</start>
      <end>13</end>
      <status>unmodified</status>
      <modifiedWord/>
      <trackRevisions>false</trackRevisions>
    </reviewItem>
    <reviewItem>
      <errorID>998e1d3f-3b61-477b-9764-4aac814a7f7c</errorID>
      <errorWord>8、</errorWord>
      <group>L1_Format</group>
      <groupName>格式问题</groupName>
      <ability>L2_Ordinal</ability>
      <abilityName>序号格式</abilityName>
      <candidateList>
        <item>8.</item>
      </candidateList>
      <explain>当前序号格式不规范，建议修改为规范格式[8.]。</explain>
      <paraID>6E693C94</paraID>
      <start>0</start>
      <end>2</end>
      <status>unmodified</status>
      <modifiedWord/>
      <trackRevisions>false</trackRevisions>
    </reviewItem>
    <reviewItem>
      <errorID>30cc76b7-7661-434d-8029-985f94da8988</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36F3437A</paraID>
      <start>0</start>
      <end>2</end>
      <status>unmodified</status>
      <modifiedWord/>
      <trackRevisions>false</trackRevisions>
    </reviewItem>
    <reviewItem>
      <errorID>30a4ccce-758a-40ed-abe9-d7a826eef259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7DE5EC62</paraID>
      <start>0</start>
      <end>3</end>
      <status>unmodified</status>
      <modifiedWord/>
      <trackRevisions>false</trackRevisions>
    </reviewItem>
    <reviewItem>
      <errorID>3f1735a1-5ddd-40f0-8dc6-bc5a9c333d96</errorID>
      <errorWord>项的</errorWord>
      <group>L1_Word</group>
      <groupName>字词问题</groupName>
      <ability>L2_Typo</ability>
      <abilityName>字词错误</abilityName>
      <candidateList>
        <item>项</item>
      </candidateList>
      <explain/>
      <paraID>23FA001E</paraID>
      <start>42</start>
      <end>44</end>
      <status>unmodified</status>
      <modifiedWord/>
      <trackRevisions>false</trackRevisions>
    </reviewItem>
    <reviewItem>
      <errorID>4ae94e2f-b67b-412e-87b2-872600f11119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A8EF7D3</paraID>
      <start>0</start>
      <end>2</end>
      <status>unmodified</status>
      <modifiedWord/>
      <trackRevisions>false</trackRevisions>
    </reviewItem>
    <reviewItem>
      <errorID>dc3b8f4f-4572-4db8-99be-c7c832d82fc1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2C21EBF1</paraID>
      <start>0</start>
      <end>2</end>
      <status>unmodified</status>
      <modifiedWord/>
      <trackRevisions>false</trackRevisions>
    </reviewItem>
    <reviewItem>
      <errorID>c886d745-972f-4913-a047-d4bb5ea26ba5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7FE7AE8D</paraID>
      <start>0</start>
      <end>2</end>
      <status>unmodified</status>
      <modifiedWord/>
      <trackRevisions>false</trackRevisions>
    </reviewItem>
    <reviewItem>
      <errorID>202c3d6a-a291-40e8-80f4-0b40bbb21492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4169E3B</paraID>
      <start>0</start>
      <end>2</end>
      <status>unmodified</status>
      <modifiedWord/>
      <trackRevisions>false</trackRevisions>
    </reviewItem>
    <reviewItem>
      <errorID>aabf2f00-4d88-401a-bbc2-ec47db8fc0f4</errorID>
      <errorWord>(</errorWord>
      <group>L1_Format</group>
      <groupName>格式问题</groupName>
      <ability>L2_HalfPunc</ability>
      <abilityName>全半角检查</abilityName>
      <candidateList>
        <item>（</item>
      </candidateList>
      <explain>文本全半角错误。</explain>
      <paraID> 4169E3B</paraID>
      <start>11</start>
      <end>12</end>
      <status>unmodified</status>
      <modifiedWord/>
      <trackRevisions>false</trackRevisions>
    </reviewItem>
    <reviewItem>
      <errorID>e3729bc7-2cb4-4c2e-880f-e74b36a2b7a4</errorID>
      <errorWord>)</errorWord>
      <group>L1_Format</group>
      <groupName>格式问题</groupName>
      <ability>L2_HalfPunc</ability>
      <abilityName>全半角检查</abilityName>
      <candidateList>
        <item>）</item>
      </candidateList>
      <explain>文本全半角错误。</explain>
      <paraID> 4169E3B</paraID>
      <start>16</start>
      <end>17</end>
      <status>unmodified</status>
      <modifiedWord/>
      <trackRevisions>false</trackRevisions>
    </reviewItem>
    <reviewItem>
      <errorID>c97a3924-9c99-4d8a-9c2f-16cac835a912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25AE8C60</paraID>
      <start>0</start>
      <end>2</end>
      <status>unmodified</status>
      <modifiedWord/>
      <trackRevisions>false</trackRevisions>
    </reviewItem>
    <reviewItem>
      <errorID>06c3fb16-0358-48fa-8b65-0c29718112d9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3FFA13DA</paraID>
      <start>0</start>
      <end>2</end>
      <status>unmodified</status>
      <modifiedWord/>
      <trackRevisions>false</trackRevisions>
    </reviewItem>
    <reviewItem>
      <errorID>0dc91b23-b8c7-40b7-bc74-cba5516f605e</errorID>
      <errorWord>项的</errorWord>
      <group>L1_Word</group>
      <groupName>字词问题</groupName>
      <ability>L2_Typo</ability>
      <abilityName>字词错误</abilityName>
      <candidateList>
        <item>项</item>
      </candidateList>
      <explain/>
      <paraID>7DD53BE3</paraID>
      <start>42</start>
      <end>44</end>
      <status>unmodified</status>
      <modifiedWord/>
      <trackRevisions>false</trackRevisions>
    </reviewItem>
    <reviewItem>
      <errorID>3d451cd5-a063-4459-bc19-5c1bf0dc6e3b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6E6A3910</paraID>
      <start>0</start>
      <end>2</end>
      <status>unmodified</status>
      <modifiedWord/>
      <trackRevisions>false</trackRevisions>
    </reviewItem>
    <reviewItem>
      <errorID>d71f8316-3f0c-457d-b088-da06372815f1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6AC44F0D</paraID>
      <start>0</start>
      <end>2</end>
      <status>unmodified</status>
      <modifiedWord/>
      <trackRevisions>false</trackRevisions>
    </reviewItem>
    <reviewItem>
      <errorID>267f5220-0318-42db-b8ab-f12e80340840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714E3FBE</paraID>
      <start>0</start>
      <end>2</end>
      <status>unmodified</status>
      <modifiedWord/>
      <trackRevisions>false</trackRevisions>
    </reviewItem>
    <reviewItem>
      <errorID>da854c9e-e4f6-4ae5-ba12-76c2f49b57f5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2D98BCCA</paraID>
      <start>0</start>
      <end>2</end>
      <status>unmodified</status>
      <modifiedWord/>
      <trackRevisions>false</trackRevisions>
    </reviewItem>
    <reviewItem>
      <errorID>a88b1713-70fd-48ec-84a7-9f2fb9553090</errorID>
      <errorWord>（</errorWord>
      <group>L1_Punc</group>
      <groupName>标点问题</groupName>
      <ability>L2_Punc</ability>
      <abilityName>标点符号检查</abilityName>
      <candidateList/>
      <explain>同一形式括号套用。</explain>
      <paraID>76991123</paraID>
      <start>64</start>
      <end>65</end>
      <status>unmodified</status>
      <modifiedWord/>
      <trackRevisions>false</trackRevisions>
    </reviewItem>
    <reviewItem>
      <errorID>2a151c51-15e3-4a85-bc67-3da14e83e37d</errorID>
      <errorWord>）</errorWord>
      <group>L1_Punc</group>
      <groupName>标点问题</groupName>
      <ability>L2_Punc</ability>
      <abilityName>标点符号检查</abilityName>
      <candidateList/>
      <explain>同一形式括号套用。</explain>
      <paraID>76991123</paraID>
      <start>67</start>
      <end>68</end>
      <status>unmodified</status>
      <modifiedWord/>
      <trackRevisions>false</trackRevisions>
    </reviewItem>
    <reviewItem>
      <errorID>3a586539-620c-4b4a-bd14-78bf99c4e635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667714D2</paraID>
      <start>0</start>
      <end>2</end>
      <status>unmodified</status>
      <modifiedWord/>
      <trackRevisions>false</trackRevisions>
    </reviewItem>
    <reviewItem>
      <errorID>d04ffa6c-8b6b-4353-8317-8a9b3527dd1a</errorID>
      <errorWord>项的</errorWord>
      <group>L1_Word</group>
      <groupName>字词问题</groupName>
      <ability>L2_Typo</ability>
      <abilityName>字词错误</abilityName>
      <candidateList>
        <item>项</item>
      </candidateList>
      <explain/>
      <paraID>29ED9AC0</paraID>
      <start>42</start>
      <end>44</end>
      <status>unmodified</status>
      <modifiedWord/>
      <trackRevisions>false</trackRevisions>
    </reviewItem>
    <reviewItem>
      <errorID>e80f0467-39fa-4477-9f83-6940fc7b87a1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783BC81D</paraID>
      <start>0</start>
      <end>2</end>
      <status>unmodified</status>
      <modifiedWord/>
      <trackRevisions>false</trackRevisions>
    </reviewItem>
    <reviewItem>
      <errorID>49c45ade-38ff-456a-96c6-7110a25005e0</errorID>
      <errorWord>成份</errorWord>
      <group>L1_Word</group>
      <groupName>字词问题</groupName>
      <ability>L2_Typo</ability>
      <abilityName>字词错误</abilityName>
      <candidateList>
        <item>成分</item>
      </candidateList>
      <explain>（成份）chénɡ•fèn〈名〉❶指构成事物的各种不同的物质或因素：化学～｜营养～｜减轻了心里不安的～。❷指个人早先的主要经历或职业：工人～｜他的个人～是学生。</explain>
      <paraID>783BC81D</paraID>
      <start>4</start>
      <end>6</end>
      <status>unmodified</status>
      <modifiedWord/>
      <trackRevisions>false</trackRevisions>
    </reviewItem>
    <reviewItem>
      <errorID>50157628-9512-4241-9435-a121dc1fa84c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32A10C82</paraID>
      <start>0</start>
      <end>2</end>
      <status>unmodified</status>
      <modifiedWord/>
      <trackRevisions>false</trackRevisions>
    </reviewItem>
    <reviewItem>
      <errorID>e58cdf9c-4c1b-4e6a-9090-4fded98af37c</errorID>
      <errorWord>(</errorWord>
      <group>L1_Format</group>
      <groupName>格式问题</groupName>
      <ability>L2_HalfPunc</ability>
      <abilityName>全半角检查</abilityName>
      <candidateList>
        <item>（</item>
      </candidateList>
      <explain>文本全半角错误。</explain>
      <paraID>32A10C82</paraID>
      <start>8</start>
      <end>9</end>
      <status>unmodified</status>
      <modifiedWord/>
      <trackRevisions>false</trackRevisions>
    </reviewItem>
    <reviewItem>
      <errorID>0364041b-097a-4296-9bf7-332058faf9fd</errorID>
      <errorWord>)</errorWord>
      <group>L1_Format</group>
      <groupName>格式问题</groupName>
      <ability>L2_HalfPunc</ability>
      <abilityName>全半角检查</abilityName>
      <candidateList>
        <item>）</item>
      </candidateList>
      <explain>文本全半角错误。</explain>
      <paraID>32A10C82</paraID>
      <start>10</start>
      <end>11</end>
      <status>unmodified</status>
      <modifiedWord/>
      <trackRevisions>false</trackRevisions>
    </reviewItem>
    <reviewItem>
      <errorID>747a92d6-b075-462b-9bb0-3c7903aec7e2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459CFCFA</paraID>
      <start>0</start>
      <end>2</end>
      <status>unmodified</status>
      <modifiedWord/>
      <trackRevisions>false</trackRevisions>
    </reviewItem>
    <reviewItem>
      <errorID>ec508339-298e-4438-a0fd-975b17a47981</errorID>
      <errorWord>(</errorWord>
      <group>L1_Format</group>
      <groupName>格式问题</groupName>
      <ability>L2_HalfPunc</ability>
      <abilityName>全半角检查</abilityName>
      <candidateList>
        <item>（</item>
      </candidateList>
      <explain>文本全半角错误。</explain>
      <paraID>459CFCFA</paraID>
      <start>9</start>
      <end>10</end>
      <status>unmodified</status>
      <modifiedWord/>
      <trackRevisions>false</trackRevisions>
    </reviewItem>
    <reviewItem>
      <errorID>1157089f-16a7-4c56-a8c6-7a220f72b94f</errorID>
      <errorWord>)</errorWord>
      <group>L1_Format</group>
      <groupName>格式问题</groupName>
      <ability>L2_HalfPunc</ability>
      <abilityName>全半角检查</abilityName>
      <candidateList>
        <item>）</item>
      </candidateList>
      <explain>文本全半角错误。</explain>
      <paraID>459CFCFA</paraID>
      <start>11</start>
      <end>12</end>
      <status>unmodified</status>
      <modifiedWord/>
      <trackRevisions>false</trackRevisions>
    </reviewItem>
    <reviewItem>
      <errorID>78f9abbf-2fbf-4dec-91e5-673c0fe59837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214DE406</paraID>
      <start>0</start>
      <end>2</end>
      <status>unmodified</status>
      <modifiedWord/>
      <trackRevisions>false</trackRevisions>
    </reviewItem>
    <reviewItem>
      <errorID>08679506-f842-4d62-ae88-5d36d1303163</errorID>
      <errorWord>(</errorWord>
      <group>L1_Format</group>
      <groupName>格式问题</groupName>
      <ability>L2_HalfPunc</ability>
      <abilityName>全半角检查</abilityName>
      <candidateList>
        <item>（</item>
      </candidateList>
      <explain>文本全半角错误。</explain>
      <paraID>214DE406</paraID>
      <start>10</start>
      <end>11</end>
      <status>unmodified</status>
      <modifiedWord/>
      <trackRevisions>false</trackRevisions>
    </reviewItem>
    <reviewItem>
      <errorID>3eb1b5da-1090-4585-8a5c-37f2b3d6d181</errorID>
      <errorWord>)</errorWord>
      <group>L1_Format</group>
      <groupName>格式问题</groupName>
      <ability>L2_HalfPunc</ability>
      <abilityName>全半角检查</abilityName>
      <candidateList>
        <item>）</item>
      </candidateList>
      <explain>文本全半角错误。</explain>
      <paraID>214DE406</paraID>
      <start>12</start>
      <end>13</end>
      <status>unmodified</status>
      <modifiedWord/>
      <trackRevisions>false</trackRevisions>
    </reviewItem>
    <reviewItem>
      <errorID>828b543c-657a-419d-bcf2-acbc2c71538e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72A004B1</paraID>
      <start>0</start>
      <end>2</end>
      <status>unmodified</status>
      <modifiedWord/>
      <trackRevisions>false</trackRevisions>
    </reviewItem>
    <reviewItem>
      <errorID>bf8ba19e-5721-41bb-a3d5-14d98d2c83ec</errorID>
      <errorWord>(</errorWord>
      <group>L1_Format</group>
      <groupName>格式问题</groupName>
      <ability>L2_HalfPunc</ability>
      <abilityName>全半角检查</abilityName>
      <candidateList>
        <item>（</item>
      </candidateList>
      <explain>文本全半角错误。</explain>
      <paraID>72A004B1</paraID>
      <start>10</start>
      <end>11</end>
      <status>unmodified</status>
      <modifiedWord/>
      <trackRevisions>false</trackRevisions>
    </reviewItem>
    <reviewItem>
      <errorID>0aca8d1a-3a12-4f5e-bc58-fbbacac73822</errorID>
      <errorWord>)</errorWord>
      <group>L1_Format</group>
      <groupName>格式问题</groupName>
      <ability>L2_HalfPunc</ability>
      <abilityName>全半角检查</abilityName>
      <candidateList>
        <item>）</item>
      </candidateList>
      <explain>文本全半角错误。</explain>
      <paraID>72A004B1</paraID>
      <start>12</start>
      <end>13</end>
      <status>unmodified</status>
      <modifiedWord/>
      <trackRevisions>false</trackRevisions>
    </reviewItem>
    <reviewItem>
      <errorID>7a31af86-5f8a-45ca-a017-61a082330740</errorID>
      <errorWord>6、</errorWord>
      <group>L1_Format</group>
      <groupName>格式问题</groupName>
      <ability>L2_Ordinal</ability>
      <abilityName>序号格式</abilityName>
      <candidateList>
        <item>6.</item>
      </candidateList>
      <explain>当前序号格式不规范，建议修改为规范格式[6.]。</explain>
      <paraID>65F42291</paraID>
      <start>0</start>
      <end>2</end>
      <status>unmodified</status>
      <modifiedWord/>
      <trackRevisions>false</trackRevisions>
    </reviewItem>
    <reviewItem>
      <errorID>540e7b12-6980-41eb-afee-fcc0f765e6f4</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28750055</paraID>
      <start>0</start>
      <end>2</end>
      <status>unmodified</status>
      <modifiedWord/>
      <trackRevisions>false</trackRevisions>
    </reviewItem>
    <reviewItem>
      <errorID>e56b1425-b4d3-4153-b1f6-62dbd3380c59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78D41BE6</paraID>
      <start>0</start>
      <end>2</end>
      <status>unmodified</status>
      <modifiedWord/>
      <trackRevisions>false</trackRevisions>
    </reviewItem>
    <reviewItem>
      <errorID>2620910d-11c7-4f55-aba2-e5cbd5794bd8</errorID>
      <errorWord>项的</errorWord>
      <group>L1_Word</group>
      <groupName>字词问题</groupName>
      <ability>L2_Typo</ability>
      <abilityName>字词错误</abilityName>
      <candidateList>
        <item>项</item>
      </candidateList>
      <explain/>
      <paraID>1E8722AC</paraID>
      <start>42</start>
      <end>44</end>
      <status>unmodified</status>
      <modifiedWord/>
      <trackRevisions>false</trackRevisions>
    </reviewItem>
    <reviewItem>
      <errorID>00c7a0f2-8c5b-4cc5-9a1b-267a3def6f3b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7B1BF9F1</paraID>
      <start>0</start>
      <end>2</end>
      <status>unmodified</status>
      <modifiedWord/>
      <trackRevisions>false</trackRevisions>
    </reviewItem>
    <reviewItem>
      <errorID>bbaa08c6-2788-446b-b9c1-f6397cf52194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4971D16B</paraID>
      <start>0</start>
      <end>2</end>
      <status>unmodified</status>
      <modifiedWord/>
      <trackRevisions>false</trackRevisions>
    </reviewItem>
    <reviewItem>
      <errorID>ca1475b6-461a-42ce-ad90-07d790b3c8c7</errorID>
      <errorWord>,</errorWord>
      <group>L1_Format</group>
      <groupName>格式问题</groupName>
      <ability>L2_HalfPunc</ability>
      <abilityName>全半角检查</abilityName>
      <candidateList>
        <item>，</item>
      </candidateList>
      <explain>文本全半角错误。</explain>
      <paraID>4971D16B</paraID>
      <start>25</start>
      <end>26</end>
      <status>unmodified</status>
      <modifiedWord/>
      <trackRevisions>false</trackRevisions>
    </reviewItem>
    <reviewItem>
      <errorID>43631bf8-dac5-4597-beaf-989e9a1f2f22</errorID>
      <errorWord>,</errorWord>
      <group>L1_Format</group>
      <groupName>格式问题</groupName>
      <ability>L2_HalfPunc</ability>
      <abilityName>全半角检查</abilityName>
      <candidateList>
        <item>，</item>
      </candidateList>
      <explain>文本全半角错误。</explain>
      <paraID>4971D16B</paraID>
      <start>38</start>
      <end>39</end>
      <status>unmodified</status>
      <modifiedWord/>
      <trackRevisions>false</trackRevisions>
    </reviewItem>
    <reviewItem>
      <errorID>1c1dc7e2-3004-4e4a-a8a1-cd772047e765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5FA12E25</paraID>
      <start>0</start>
      <end>2</end>
      <status>unmodified</status>
      <modifiedWord/>
      <trackRevisions>false</trackRevisions>
    </reviewItem>
    <reviewItem>
      <errorID>d1b8b5f0-cac8-4161-a4ed-f4b18b0e778e</errorID>
      <errorWord>沾色</errorWord>
      <group>L1_Word</group>
      <groupName>字词问题</groupName>
      <ability>L2_Typo</ability>
      <abilityName>字词错误</abilityName>
      <candidateList>
        <item>褪色</item>
      </candidateList>
      <explain>〈动〉退色。</explain>
      <paraID>5FA12E25</paraID>
      <start>9</start>
      <end>11</end>
      <status>unmodified</status>
      <modifiedWord/>
      <trackRevisions>false</trackRevisions>
    </reviewItem>
    <reviewItem>
      <errorID>2011832f-995c-4cfd-b632-87f32034de2d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4B430F0B</paraID>
      <start>0</start>
      <end>2</end>
      <status>unmodified</status>
      <modifiedWord/>
      <trackRevisions>false</trackRevisions>
    </reviewItem>
    <reviewItem>
      <errorID>1e80bc9d-277f-4895-a53a-21d1bcc0e417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54456672</paraID>
      <start>0</start>
      <end>2</end>
      <status>unmodified</status>
      <modifiedWord/>
      <trackRevisions>false</trackRevisions>
    </reviewItem>
    <reviewItem>
      <errorID>ed95bb07-3a2c-44a5-8e07-dc86f90c241d</errorID>
      <errorWord>至少达到以上</errorWord>
      <group>L1_Grammar</group>
      <groupName>语法问题</groupName>
      <ability>L2_Grammar</ability>
      <abilityName>语法错误</abilityName>
      <candidateList>
        <item>至少达到</item>
      </candidateList>
      <explain/>
      <paraID>54456672</paraID>
      <start>12</start>
      <end>18</end>
      <status>unmodified</status>
      <modifiedWord/>
      <trackRevisions>false</trackRevisions>
    </reviewItem>
    <reviewItem>
      <errorID>6cbe1ced-ac63-418d-8451-baaec7a5a3a0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351DEE27</paraID>
      <start>0</start>
      <end>2</end>
      <status>unmodified</status>
      <modifiedWord/>
      <trackRevisions>false</trackRevisions>
    </reviewItem>
    <reviewItem>
      <errorID>9e2cac23-24c9-43c3-af49-09558fb2a3ad</errorID>
      <errorWord>如果以</errorWord>
      <group>L1_Word</group>
      <groupName>字词问题</groupName>
      <ability>L2_Typo</ability>
      <abilityName>字词错误</abilityName>
      <candidateList>
        <item>如果</item>
      </candidateList>
      <explain>〈连〉表示假设：你～有困难，我可以帮助你。</explain>
      <paraID>351DEE27</paraID>
      <start>27</start>
      <end>30</end>
      <status>unmodified</status>
      <modifiedWord/>
      <trackRevisions>false</trackRevisions>
    </reviewItem>
    <reviewItem>
      <errorID>6f781400-7f4f-4b6d-9c73-a4335040966a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7F814B50</paraID>
      <start>0</start>
      <end>2</end>
      <status>unmodified</status>
      <modifiedWord/>
      <trackRevisions>false</trackRevisions>
    </reviewItem>
    <reviewItem>
      <errorID>1ca64106-5fb7-4a83-b6c5-79f2576fcb18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4E8A570C</paraID>
      <start>0</start>
      <end>2</end>
      <status>unmodified</status>
      <modifiedWord/>
      <trackRevisions>false</trackRevisions>
    </reviewItem>
    <reviewItem>
      <errorID>f9572996-b3ee-43f0-aaec-148611009551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336DDCBD</paraID>
      <start>0</start>
      <end>2</end>
      <status>unmodified</status>
      <modifiedWord/>
      <trackRevisions>false</trackRevisions>
    </reviewItem>
    <reviewItem>
      <errorID>8cbbd994-e436-4ae8-9665-145dc9391c78</errorID>
      <errorWord>涉及到</errorWord>
      <group>L1_Grammar</group>
      <groupName>语法问题</groupName>
      <ability>L2_Grammar</ability>
      <abilityName>语法错误</abilityName>
      <candidateList>
        <item>涉及</item>
      </candidateList>
      <explain>〈动〉牵涉到；关联到：案子～好几个人｜这个问题～面很广。</explain>
      <paraID>336DDCBD</paraID>
      <start>13</start>
      <end>16</end>
      <status>unmodified</status>
      <modifiedWord/>
      <trackRevisions>false</trackRevisions>
    </reviewItem>
    <reviewItem>
      <errorID>13eeaf69-a4e2-40bb-8b3d-7474993a8911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55975642</paraID>
      <start>0</start>
      <end>2</end>
      <status>unmodified</status>
      <modifiedWord/>
      <trackRevisions>false</trackRevisions>
    </reviewItem>
    <reviewItem>
      <errorID>65ec2aee-e9a8-498d-a426-a0e97d4d30c6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11BB77F5</paraID>
      <start>0</start>
      <end>2</end>
      <status>unmodified</status>
      <modifiedWord/>
      <trackRevisions>false</trackRevisions>
    </reviewItem>
    <reviewItem>
      <errorID>1ab7b69b-8a2e-4d0b-9edd-b6acaf310fa9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66432F3</paraID>
      <start>0</start>
      <end>2</end>
      <status>unmodified</status>
      <modifiedWord/>
      <trackRevisions>false</trackRevisions>
    </reviewItem>
    <reviewItem>
      <errorID>4c2146b1-70e7-4d9e-b27f-c4fe0405d2af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1B21473D</paraID>
      <start>0</start>
      <end>2</end>
      <status>unmodified</status>
      <modifiedWord/>
      <trackRevisions>false</trackRevisions>
    </reviewItem>
    <reviewItem>
      <errorID>53804ca3-aad6-4266-b253-3ebf80d31df4</errorID>
      <errorWord>（</errorWord>
      <group>L1_Punc</group>
      <groupName>标点问题</groupName>
      <ability>L2_Punc</ability>
      <abilityName>标点符号检查</abilityName>
      <candidateList/>
      <explain>同一形式括号套用。</explain>
      <paraID>1B21473D</paraID>
      <start>21</start>
      <end>22</end>
      <status>unmodified</status>
      <modifiedWord/>
      <trackRevisions>false</trackRevisions>
    </reviewItem>
    <reviewItem>
      <errorID>433882f3-d8cd-486f-a3b3-e45d7d5a0e77</errorID>
      <errorWord>）</errorWord>
      <group>L1_Punc</group>
      <groupName>标点问题</groupName>
      <ability>L2_Punc</ability>
      <abilityName>标点符号检查</abilityName>
      <candidateList/>
      <explain>同一形式括号套用。</explain>
      <paraID>1B21473D</paraID>
      <start>25</start>
      <end>26</end>
      <status>unmodified</status>
      <modifiedWord/>
      <trackRevisions>false</trackRevisions>
    </reviewItem>
    <reviewItem>
      <errorID>01a95da5-0277-4225-a69c-247459999d0a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6F86057D</paraID>
      <start>0</start>
      <end>2</end>
      <status>unmodified</status>
      <modifiedWord/>
      <trackRevisions>false</trackRevisions>
    </reviewItem>
    <reviewItem>
      <errorID>3df2f0fd-f3e4-4e75-b2af-0b25b4ff6ea4</errorID>
      <errorWord>在其它情况下</errorWord>
      <group>L1_Word</group>
      <groupName>字词问题</groupName>
      <ability>L2_Alias</ability>
      <abilityName>也作/曾用词</abilityName>
      <candidateList>
        <item>在其他情况下</item>
      </candidateList>
      <explain>词汇[在其它情况下]为不规范表述或旧称，其规范书面表述为[在其他情况下]。</explain>
      <paraID>6F86057D</paraID>
      <start>61</start>
      <end>67</end>
      <status>unmodified</status>
      <modifiedWord/>
      <trackRevisions>false</trackRevisions>
    </reviewItem>
    <reviewItem>
      <errorID>404586d9-2290-42c9-a3a2-0b7d7f6513f0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68ACFF9B</paraID>
      <start>0</start>
      <end>2</end>
      <status>unmodified</status>
      <modifiedWord/>
      <trackRevisions>false</trackRevisions>
    </reviewItem>
    <reviewItem>
      <errorID>16c513fa-809e-4751-adbb-616e1201c084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4B28BA05</paraID>
      <start>0</start>
      <end>2</end>
      <status>unmodified</status>
      <modifiedWord/>
      <trackRevisions>false</trackRevisions>
    </reviewItem>
    <reviewItem>
      <errorID>e18858f3-2b0d-44f7-9801-b42bea5a18fb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740856DA</paraID>
      <start>0</start>
      <end>2</end>
      <status>unmodified</status>
      <modifiedWord/>
      <trackRevisions>false</trackRevisions>
    </reviewItem>
    <reviewItem>
      <errorID>b93ba893-9a04-434e-98df-a3348ef75f20</errorID>
      <errorWord>接受</errorWord>
      <group>L1_Word</group>
      <groupName>字词问题</groupName>
      <ability>L2_Typo</ability>
      <abilityName>字词错误</abilityName>
      <candidateList>
        <item>接收</item>
      </candidateList>
      <explain>存在发音相同字词的误用。</explain>
      <paraID>3305EEA5</paraID>
      <start>164</start>
      <end>166</end>
      <status>unmodified</status>
      <modifiedWord/>
      <trackRevisions>false</trackRevisions>
    </reviewItem>
    <reviewItem>
      <errorID>77b18cb8-209d-4391-a01e-56e579b53486</errorID>
      <errorWord>(</errorWord>
      <group>L1_Format</group>
      <groupName>格式问题</groupName>
      <ability>L2_HalfPunc</ability>
      <abilityName>全半角检查</abilityName>
      <candidateList>
        <item>（</item>
      </candidateList>
      <explain>文本全半角错误。</explain>
      <paraID>47A8C5A0</paraID>
      <start>31</start>
      <end>32</end>
      <status>unmodified</status>
      <modifiedWord/>
      <trackRevisions>false</trackRevisions>
    </reviewItem>
    <reviewItem>
      <errorID>796a2d94-4ab0-4623-a631-7c47c005e772</errorID>
      <errorWord>)</errorWord>
      <group>L1_Format</group>
      <groupName>格式问题</groupName>
      <ability>L2_HalfPunc</ability>
      <abilityName>全半角检查</abilityName>
      <candidateList>
        <item>）</item>
      </candidateList>
      <explain>文本全半角错误。</explain>
      <paraID>47A8C5A0</paraID>
      <start>34</start>
      <end>35</end>
      <status>unmodified</status>
      <modifiedWord/>
      <trackRevisions>false</trackRevisions>
    </reviewItem>
    <reviewItem>
      <errorID>561fb2a7-acda-475f-9a2c-c6fe27afff16</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2FAB5DAA</paraID>
      <start>0</start>
      <end>2</end>
      <status>unmodified</status>
      <modifiedWord/>
      <trackRevisions>false</trackRevisions>
    </reviewItem>
    <reviewItem>
      <errorID>c83f4406-98e6-4add-adc4-8058d6a024c8</errorID>
      <errorWord>本</errorWord>
      <group>L1_Word</group>
      <groupName>字词问题</groupName>
      <ability>L2_Typo</ability>
      <abilityName>字词错误</abilityName>
      <candidateList>
        <item>本次</item>
      </candidateList>
      <explain/>
      <paraID>41CCA584</paraID>
      <start>4</start>
      <end>5</end>
      <status>unmodified</status>
      <modifiedWord/>
      <trackRevisions>false</trackRevisions>
    </reviewItem>
    <reviewItem>
      <errorID>f2201b79-749b-42e7-81e7-90f4038987be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3332131A</paraID>
      <start>0</start>
      <end>2</end>
      <status>unmodified</status>
      <modifiedWord/>
      <trackRevisions>false</trackRevisions>
    </reviewItem>
    <reviewItem>
      <errorID>66aefbb2-e87b-4d0b-b4df-9307b26fd646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6E1B9F19</paraID>
      <start>0</start>
      <end>2</end>
      <status>unmodified</status>
      <modifiedWord/>
      <trackRevisions>false</trackRevisions>
    </reviewItem>
    <reviewItem>
      <errorID>f68c77a2-3c66-432a-bc65-722bd63a1e0c</errorID>
      <errorWord>(</errorWord>
      <group>L1_Format</group>
      <groupName>格式问题</groupName>
      <ability>L2_HalfPunc</ability>
      <abilityName>全半角检查</abilityName>
      <candidateList>
        <item>（</item>
      </candidateList>
      <explain>文本全半角错误。</explain>
      <paraID>279FD18E</paraID>
      <start>0</start>
      <end>1</end>
      <status>unmodified</status>
      <modifiedWord/>
      <trackRevisions>false</trackRevisions>
    </reviewItem>
    <reviewItem>
      <errorID>87d5c895-506e-429a-bf7a-53c4accd26ff</errorID>
      <errorWord>)</errorWord>
      <group>L1_Format</group>
      <groupName>格式问题</groupName>
      <ability>L2_HalfPunc</ability>
      <abilityName>全半角检查</abilityName>
      <candidateList>
        <item>）</item>
      </candidateList>
      <explain>文本全半角错误。</explain>
      <paraID>279FD18E</paraID>
      <start>12</start>
      <end>13</end>
      <status>unmodified</status>
      <modifiedWord/>
      <trackRevisions>false</trackRevisions>
    </reviewItem>
    <reviewItem>
      <errorID>323fe261-1987-4c38-aeeb-363307f21644</errorID>
      <errorWord>[2020]46号</errorWord>
      <group>L1_Knowledge</group>
      <groupName>知识性问题</groupName>
      <ability>L2_Knowledge</ability>
      <abilityName>其他知识</abilityName>
      <candidateList>
        <item>〔2020〕46号</item>
      </candidateList>
      <explain>发文字号格式错误。</explain>
      <paraID>5EEBFFFD</paraID>
      <start>31</start>
      <end>40</end>
      <status>unmodified</status>
      <modifiedWord/>
      <trackRevisions>false</trackRevisions>
    </reviewItem>
    <reviewItem>
      <errorID>2d0a19f4-a442-4689-ae87-1291a826f6ab</errorID>
      <errorWord>（</errorWord>
      <group>L1_Punc</group>
      <groupName>标点问题</groupName>
      <ability>L2_Punc</ability>
      <abilityName>标点符号检查</abilityName>
      <candidateList/>
      <explain>同一形式括号套用。</explain>
      <paraID> 67779A4</paraID>
      <start>6</start>
      <end>7</end>
      <status>unmodified</status>
      <modifiedWord/>
      <trackRevisions>false</trackRevisions>
    </reviewItem>
    <reviewItem>
      <errorID>e9bdecd0-84e5-4776-8c44-316db45fa2a6</errorID>
      <errorWord>）</errorWord>
      <group>L1_Punc</group>
      <groupName>标点问题</groupName>
      <ability>L2_Punc</ability>
      <abilityName>标点符号检查</abilityName>
      <candidateList/>
      <explain>同一形式括号套用。</explain>
      <paraID> 67779A4</paraID>
      <start>11</start>
      <end>12</end>
      <status>unmodified</status>
      <modifiedWord/>
      <trackRevisions>false</trackRevisions>
    </reviewItem>
    <reviewItem>
      <errorID>70b8b214-c542-46f1-8f52-ed18435beade</errorID>
      <errorWord>（</errorWord>
      <group>L1_Punc</group>
      <groupName>标点问题</groupName>
      <ability>L2_Punc</ability>
      <abilityName>标点符号检查</abilityName>
      <candidateList/>
      <explain>同一形式括号套用。</explain>
      <paraID>5F5A4E68</paraID>
      <start>7</start>
      <end>8</end>
      <status>unmodified</status>
      <modifiedWord/>
      <trackRevisions>false</trackRevisions>
    </reviewItem>
    <reviewItem>
      <errorID>d8cf59c8-4bf8-4ce3-9e96-7fc041e38088</errorID>
      <errorWord>）</errorWord>
      <group>L1_Punc</group>
      <groupName>标点问题</groupName>
      <ability>L2_Punc</ability>
      <abilityName>标点符号检查</abilityName>
      <candidateList/>
      <explain>同一形式括号套用。</explain>
      <paraID>5F5A4E68</paraID>
      <start>13</start>
      <end>14</end>
      <status>unmodified</status>
      <modifiedWord/>
      <trackRevisions>false</trackRevisions>
    </reviewItem>
    <reviewItem>
      <errorID>e25e71c4-951b-413d-975a-4934f173cb38</errorID>
      <errorWord>......</errorWord>
      <group>L1_Punc</group>
      <groupName>标点问题</groupName>
      <ability>L2_Punc</ability>
      <abilityName>标点符号检查</abilityName>
      <candidateList>
        <item>……</item>
      </candidateList>
      <explain/>
      <paraID>155BDC2F</paraID>
      <start>0</start>
      <end>6</end>
      <status>unmodified</status>
      <modifiedWord/>
      <trackRevisions>false</trackRevisions>
    </reviewItem>
    <reviewItem>
      <errorID>740d187d-29e9-45a9-9468-62dc4c193dd0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550ADA72</paraID>
      <start>0</start>
      <end>2</end>
      <status>unmodified</status>
      <modifiedWord/>
      <trackRevisions>false</trackRevisions>
    </reviewItem>
    <reviewItem>
      <errorID>ff91640f-b313-47fd-82f8-aa64f9802cdb</errorID>
      <errorWord>[2011]300号</errorWord>
      <group>L1_Knowledge</group>
      <groupName>知识性问题</groupName>
      <ability>L2_Knowledge</ability>
      <abilityName>其他知识</abilityName>
      <candidateList>
        <item>〔2011〕300号</item>
      </candidateList>
      <explain>发文字号格式错误。</explain>
      <paraID>550ADA72</paraID>
      <start>99</start>
      <end>109</end>
      <status>unmodified</status>
      <modifiedWord/>
      <trackRevisions>false</trackRevisions>
    </reviewItem>
    <reviewItem>
      <errorID>35cc70d9-c15d-4b8e-81b8-e7b8d4e38b5b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594858A1</paraID>
      <start>0</start>
      <end>2</end>
      <status>unmodified</status>
      <modifiedWord/>
      <trackRevisions>false</trackRevisions>
    </reviewItem>
    <reviewItem>
      <errorID>97371319-6dda-4d8d-94de-3bc9bbe792a5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71283BE8</paraID>
      <start>0</start>
      <end>2</end>
      <status>unmodified</status>
      <modifiedWord/>
      <trackRevisions>false</trackRevisions>
    </reviewItem>
    <reviewItem>
      <errorID>ad6b1fe1-f72c-4b1a-97e3-e991c1e24616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346DE6FD</paraID>
      <start>0</start>
      <end>2</end>
      <status>unmodified</status>
      <modifiedWord/>
      <trackRevisions>false</trackRevisions>
    </reviewItem>
    <reviewItem>
      <errorID>5bff3dc1-4b77-4345-9a40-ab7a869d0043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35CD8590</paraID>
      <start>0</start>
      <end>2</end>
      <status>unmodified</status>
      <modifiedWord/>
      <trackRevisions>false</trackRevisions>
    </reviewItem>
    <reviewItem>
      <errorID>61e0dd0a-a451-43f0-a8ec-a94c412eece6</errorID>
      <errorWord>《政府采购法》</errorWord>
      <group>L1_Word</group>
      <groupName>字词问题</groupName>
      <ability>L2_Typo</ability>
      <abilityName>字词错误</abilityName>
      <candidateList>
        <item>《中华人民共和国政府采购法》</item>
      </candidateList>
      <explain/>
      <paraID>35CD8590</paraID>
      <start>26</start>
      <end>40</end>
      <status>modified</status>
      <modifiedWord>《中华人民共和国政府采购法》</modifiedWord>
      <trackRevisions>false</trackRevisions>
    </reviewItem>
    <reviewItem>
      <errorID>25339381-dadb-4213-8e68-1270993e5628</errorID>
      <errorWord>〔2017〕 141号</errorWord>
      <group>L1_Knowledge</group>
      <groupName>知识性问题</groupName>
      <ability>L2_Knowledge</ability>
      <abilityName>其他知识</abilityName>
      <candidateList>
        <item>〔2017〕141号</item>
      </candidateList>
      <explain>发文字号格式错误。</explain>
      <paraID>7F470647</paraID>
      <start>49</start>
      <end>60</end>
      <status>unmodified</status>
      <modifiedWord/>
      <trackRevisions>false</trackRevisions>
    </reviewItem>
    <reviewItem>
      <errorID>b21c1b60-365e-4360-b0f3-acc3284f43d1</errorID>
      <errorWord>团</errorWord>
      <group>L1_Word</group>
      <groupName>字词问题</groupName>
      <ability>L2_Typo</ability>
      <abilityName>字词错误</abilityName>
      <candidateList>
        <item>团第</item>
      </candidateList>
      <explain/>
      <paraID>2EE0FFC1</paraID>
      <start>11</start>
      <end>12</end>
      <status>unmodified</status>
      <modifiedWord/>
      <trackRevisions>false</trackRevisions>
    </reviewItem>
    <reviewItem>
      <errorID>890565d2-aa76-44a1-a097-960bbd471670</errorID>
      <errorWord>（</errorWord>
      <group>L1_Punc</group>
      <groupName>标点问题</groupName>
      <ability>L2_Punc</ability>
      <abilityName>标点符号检查</abilityName>
      <candidateList/>
      <explain>此处标点可能未正确匹配，请检查句子中是否存在标点冗余、缺失或使用错误的情况。</explain>
      <paraID>526C3542</paraID>
      <start>17</start>
      <end>18</end>
      <status>unmodified</status>
      <modifiedWord/>
      <trackRevisions>false</trackRevisions>
    </reviewItem>
    <reviewItem>
      <errorID>0682614d-2033-402a-a0a8-44fc0ff5f42e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738632C4</paraID>
      <start>0</start>
      <end>2</end>
      <status>unmodified</status>
      <modifiedWord/>
      <trackRevisions>false</trackRevisions>
    </reviewItem>
    <reviewItem>
      <errorID>f7ab60fa-af86-43f7-beb6-6d97d5e6bbbd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6D53450B</paraID>
      <start>0</start>
      <end>2</end>
      <status>unmodified</status>
      <modifiedWord/>
      <trackRevisions>false</trackRevisions>
    </reviewItem>
    <reviewItem>
      <errorID>d520c686-92ff-40c8-bc7b-9ce2f0af0485</errorID>
      <errorWord>…………</errorWord>
      <group>L1_Punc</group>
      <groupName>标点问题</groupName>
      <ability>L2_Punc</ability>
      <abilityName>标点符号检查</abilityName>
      <candidateList>
        <item>…</item>
      </candidateList>
      <explain/>
      <paraID>121721E3</paraID>
      <start>0</start>
      <end>4</end>
      <status>unmodified</status>
      <modifiedWord/>
      <trackRevisions>false</trackRevisions>
    </reviewItem>
    <reviewItem>
      <errorID>2d96842e-696f-403f-9ce2-bdf6ff7473ac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9D5D10</paraID>
      <start>0</start>
      <end>2</end>
      <status>unmodified</status>
      <modifiedWord/>
      <trackRevisions>false</trackRevisions>
    </reviewItem>
    <reviewItem>
      <errorID>9803b543-ef2a-40e3-a025-633ff66d1e2c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7B8F7341</paraID>
      <start>0</start>
      <end>2</end>
      <status>unmodified</status>
      <modifiedWord/>
      <trackRevisions>false</trackRevisions>
    </reviewItem>
    <reviewItem>
      <errorID>ab0f0bc5-17df-4c60-9475-a3dda9426f68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47BDA42C</paraID>
      <start>0</start>
      <end>2</end>
      <status>unmodified</status>
      <modifiedWord/>
      <trackRevisions>false</trackRevisions>
    </reviewItem>
    <reviewItem>
      <errorID>8093d8df-814f-4e4c-820c-0a15b5d45de7</errorID>
      <errorWord>…………</errorWord>
      <group>L1_Punc</group>
      <groupName>标点问题</groupName>
      <ability>L2_Punc</ability>
      <abilityName>标点符号检查</abilityName>
      <candidateList>
        <item>…</item>
      </candidateList>
      <explain/>
      <paraID>5916C288</paraID>
      <start>0</start>
      <end>4</end>
      <status>unmodified</status>
      <modifiedWord/>
      <trackRevisions>false</trackRevisions>
    </reviewItem>
    <reviewItem>
      <errorID>db3e380c-a700-4fbd-a037-ae9ad4bd5e9e</errorID>
      <errorWord>:</errorWord>
      <group>L1_Format</group>
      <groupName>格式问题</groupName>
      <ability>L2_HalfPunc</ability>
      <abilityName>全半角检查</abilityName>
      <candidateList>
        <item>：</item>
      </candidateList>
      <explain>文本全半角错误。</explain>
      <paraID>3DCD3A8B</paraID>
      <start>1</start>
      <end>2</end>
      <status>unmodified</status>
      <modifiedWord/>
      <trackRevisions>false</trackRevisions>
    </reviewItem>
    <reviewItem>
      <errorID>c3de5e92-5879-4292-9629-f8e3cdda523e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585A10DA</paraID>
      <start>0</start>
      <end>2</end>
      <status>unmodified</status>
      <modifiedWord/>
      <trackRevisions>false</trackRevisions>
    </reviewItem>
    <reviewItem>
      <errorID>19e34b57-2798-46af-a157-aff8db6666b3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28459179</paraID>
      <start>0</start>
      <end>2</end>
      <status>unmodified</status>
      <modifiedWord/>
      <trackRevisions>false</trackRevisions>
    </reviewItem>
    <reviewItem>
      <errorID>c4c6af7d-4fd4-4da1-8fcc-3f552c73b7b8</errorID>
      <errorWord>(</errorWord>
      <group>L1_Format</group>
      <groupName>格式问题</groupName>
      <ability>L2_HalfPunc</ability>
      <abilityName>全半角检查</abilityName>
      <candidateList>
        <item>（</item>
      </candidateList>
      <explain>文本全半角错误。</explain>
      <paraID>28459179</paraID>
      <start>42</start>
      <end>43</end>
      <status>unmodified</status>
      <modifiedWord/>
      <trackRevisions>false</trackRevisions>
    </reviewItem>
    <reviewItem>
      <errorID>48644132-269b-482a-a30a-ad09264f8ad5</errorID>
      <errorWord>)</errorWord>
      <group>L1_Format</group>
      <groupName>格式问题</groupName>
      <ability>L2_HalfPunc</ability>
      <abilityName>全半角检查</abilityName>
      <candidateList>
        <item>）</item>
      </candidateList>
      <explain>文本全半角错误。</explain>
      <paraID>28459179</paraID>
      <start>55</start>
      <end>56</end>
      <status>unmodified</status>
      <modifiedWord/>
      <trackRevisions>false</trackRevisions>
    </reviewItem>
    <reviewItem>
      <errorID>295c2073-61d8-4515-be5b-b9081fca4616</errorID>
      <errorWord>（</errorWord>
      <group>L1_Punc</group>
      <groupName>标点问题</groupName>
      <ability>L2_Punc</ability>
      <abilityName>标点符号检查</abilityName>
      <candidateList/>
      <explain>同一形式括号套用。</explain>
      <paraID>5E2C1DA4</paraID>
      <start>6</start>
      <end>7</end>
      <status>unmodified</status>
      <modifiedWord/>
      <trackRevisions>false</trackRevisions>
    </reviewItem>
    <reviewItem>
      <errorID>71b5bd4e-399a-4c21-9c22-3a5d1a30063b</errorID>
      <errorWord>）</errorWord>
      <group>L1_Punc</group>
      <groupName>标点问题</groupName>
      <ability>L2_Punc</ability>
      <abilityName>标点符号检查</abilityName>
      <candidateList/>
      <explain>同一形式括号套用。</explain>
      <paraID>5E2C1DA4</paraID>
      <start>11</start>
      <end>12</end>
      <status>unmodified</status>
      <modifiedWord/>
      <trackRevisions>false</trackRevisions>
    </reviewItem>
    <reviewItem>
      <errorID>583b7645-b372-4d50-be8d-c5fbed3e0f57</errorID>
      <errorWord>（</errorWord>
      <group>L1_Punc</group>
      <groupName>标点问题</groupName>
      <ability>L2_Punc</ability>
      <abilityName>标点符号检查</abilityName>
      <candidateList/>
      <explain>同一形式括号套用。</explain>
      <paraID>21204D50</paraID>
      <start>7</start>
      <end>8</end>
      <status>unmodified</status>
      <modifiedWord/>
      <trackRevisions>false</trackRevisions>
    </reviewItem>
    <reviewItem>
      <errorID>9736f0a1-7c19-4ee0-a64e-ee33cf2fcbe5</errorID>
      <errorWord>）</errorWord>
      <group>L1_Punc</group>
      <groupName>标点问题</groupName>
      <ability>L2_Punc</ability>
      <abilityName>标点符号检查</abilityName>
      <candidateList/>
      <explain>同一形式括号套用。</explain>
      <paraID>21204D50</paraID>
      <start>13</start>
      <end>14</end>
      <status>unmodified</status>
      <modifiedWord/>
      <trackRevisions>false</trackRevisions>
    </reviewItem>
  </reviewItems>
  <config/>
</contractReview>
</file>

<file path=customXml/item3.xml><?xml version="1.0" encoding="utf-8"?>
<w:settings xmlns:w="http://schemas.openxmlformats.org/wordprocessingml/2006/main">
  <w:SpecialFormsHighlight xmlns:w="http://schemas.openxmlformats.org/wordprocessingml/2006/main" w:val="c9c8ff"/>
</w:settings>
</file>

<file path=customXml/item4.xml><?xml version="1.0" encoding="utf-8"?>
<w:settings xmlns:w="http://schemas.openxmlformats.org/wordprocessingml/2006/main">
  <w:SpecialFormsHighlight xmlns:w="http://schemas.openxmlformats.org/wordprocessingml/2006/main" w:val="c9c8ff"/>
</w:setting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B2933E5-5EE6-4083-876D-F551A1D42BD1}">
  <ds:schemaRefs/>
</ds:datastoreItem>
</file>

<file path=customXml/itemProps3.xml><?xml version="1.0" encoding="utf-8"?>
<ds:datastoreItem xmlns:ds="http://schemas.openxmlformats.org/officeDocument/2006/customXml" ds:itemID="{5D0AEA6B-E499-4EEF-98A3-AFBB261C493E}">
  <ds:schemaRefs/>
</ds:datastoreItem>
</file>

<file path=customXml/itemProps4.xml><?xml version="1.0" encoding="utf-8"?>
<ds:datastoreItem xmlns:ds="http://schemas.openxmlformats.org/officeDocument/2006/customXml" ds:itemID="{5D0AEA6B-E499-4EEF-98A3-AFBB261C493E}">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62</Pages>
  <Words>8045</Words>
  <Characters>8352</Characters>
  <TotalTime>1</TotalTime>
  <ScaleCrop>false</ScaleCrop>
  <LinksUpToDate>false</LinksUpToDate>
  <CharactersWithSpaces>8388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2021-06-29T14:28:00Z</dcterms:created>
  <dc:creator>Administrator</dc:creator>
  <cp:lastModifiedBy>lenvo</cp:lastModifiedBy>
  <dcterms:modified xsi:type="dcterms:W3CDTF">2026-07-15T06:33:07Z</dcterms:modified>
  <cp:revision>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09809E3274064CFF9CC8F22E58FF7117_13</vt:lpwstr>
  </property>
  <property fmtid="{D5CDD505-2E9C-101B-9397-08002B2CF9AE}" pid="4" name="KSOTemplateDocerSaveRecord">
    <vt:lpwstr>eyJoZGlkIjoiOThkY2YxMTQ2MGExNzQyNzM1NDMwOGRhODRmMTU2ZTUiLCJ1c2VySWQiOiIzMDM4NTU2ODgifQ==</vt:lpwstr>
  </property>
</Properties>
</file>