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341A59">
      <w:pPr>
        <w:spacing w:before="120" w:after="120" w:line="360" w:lineRule="auto"/>
        <w:jc w:val="center"/>
        <w:rPr>
          <w:rFonts w:hint="eastAsia" w:ascii="宋体" w:hAnsi="宋体" w:eastAsia="宋体" w:cs="宋体"/>
          <w:b/>
          <w:bCs/>
          <w:color w:val="auto"/>
          <w:sz w:val="32"/>
          <w:szCs w:val="24"/>
          <w:highlight w:val="none"/>
        </w:rPr>
      </w:pPr>
    </w:p>
    <w:p w14:paraId="16776D39">
      <w:pPr>
        <w:pStyle w:val="195"/>
        <w:ind w:firstLine="0"/>
        <w:jc w:val="center"/>
        <w:rPr>
          <w:rFonts w:hint="eastAsia" w:ascii="宋体" w:hAnsi="宋体" w:eastAsia="宋体" w:cs="宋体"/>
          <w:b/>
          <w:bCs/>
          <w:color w:val="auto"/>
          <w:sz w:val="84"/>
          <w:highlight w:val="none"/>
        </w:rPr>
      </w:pPr>
    </w:p>
    <w:p w14:paraId="2A762348">
      <w:pPr>
        <w:pStyle w:val="195"/>
        <w:ind w:firstLine="0"/>
        <w:jc w:val="center"/>
        <w:rPr>
          <w:rFonts w:hint="eastAsia" w:ascii="宋体" w:hAnsi="宋体" w:eastAsia="宋体" w:cs="宋体"/>
          <w:b/>
          <w:bCs/>
          <w:color w:val="auto"/>
          <w:sz w:val="84"/>
          <w:highlight w:val="none"/>
        </w:rPr>
      </w:pPr>
    </w:p>
    <w:p w14:paraId="6A4A933D">
      <w:pPr>
        <w:pStyle w:val="195"/>
        <w:ind w:firstLine="0"/>
        <w:jc w:val="center"/>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t>招　标　文　件</w:t>
      </w:r>
    </w:p>
    <w:p w14:paraId="02468133">
      <w:pPr>
        <w:ind w:left="840" w:firstLine="613"/>
        <w:rPr>
          <w:rFonts w:hint="eastAsia" w:ascii="宋体" w:hAnsi="宋体" w:eastAsia="宋体" w:cs="宋体"/>
          <w:bCs/>
          <w:color w:val="auto"/>
          <w:sz w:val="32"/>
          <w:szCs w:val="32"/>
          <w:highlight w:val="none"/>
        </w:rPr>
      </w:pPr>
    </w:p>
    <w:p w14:paraId="7D0D2EA2">
      <w:pPr>
        <w:ind w:left="840" w:firstLine="613"/>
        <w:rPr>
          <w:rFonts w:hint="eastAsia" w:ascii="宋体" w:hAnsi="宋体" w:eastAsia="宋体" w:cs="宋体"/>
          <w:bCs/>
          <w:color w:val="auto"/>
          <w:sz w:val="32"/>
          <w:szCs w:val="32"/>
          <w:highlight w:val="none"/>
        </w:rPr>
      </w:pPr>
    </w:p>
    <w:p w14:paraId="44A76196">
      <w:pPr>
        <w:ind w:left="840" w:firstLine="613"/>
        <w:rPr>
          <w:rFonts w:hint="eastAsia" w:ascii="宋体" w:hAnsi="宋体" w:eastAsia="宋体" w:cs="宋体"/>
          <w:bCs/>
          <w:color w:val="auto"/>
          <w:sz w:val="32"/>
          <w:szCs w:val="32"/>
          <w:highlight w:val="none"/>
        </w:rPr>
      </w:pPr>
    </w:p>
    <w:p w14:paraId="7E815BF7">
      <w:pP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项目名称：2026-2027年灌南县农护工商业保险项目</w:t>
      </w:r>
    </w:p>
    <w:p w14:paraId="3FD2D785">
      <w:pPr>
        <w:ind w:left="840" w:firstLine="613"/>
        <w:rPr>
          <w:rFonts w:hint="eastAsia" w:ascii="宋体" w:hAnsi="宋体" w:eastAsia="宋体" w:cs="宋体"/>
          <w:bCs/>
          <w:color w:val="auto"/>
          <w:sz w:val="32"/>
          <w:szCs w:val="32"/>
          <w:highlight w:val="none"/>
        </w:rPr>
      </w:pPr>
    </w:p>
    <w:p w14:paraId="2D354667">
      <w:pP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项目编号：JSZC-320724-ZMXM-G2026-0006</w:t>
      </w:r>
    </w:p>
    <w:p w14:paraId="0D85AA5A">
      <w:pPr>
        <w:spacing w:before="120" w:after="120" w:line="360" w:lineRule="auto"/>
        <w:jc w:val="center"/>
        <w:rPr>
          <w:rFonts w:hint="eastAsia" w:ascii="宋体" w:hAnsi="宋体" w:eastAsia="宋体" w:cs="宋体"/>
          <w:b/>
          <w:bCs/>
          <w:color w:val="auto"/>
          <w:sz w:val="32"/>
          <w:szCs w:val="24"/>
          <w:highlight w:val="none"/>
        </w:rPr>
      </w:pPr>
    </w:p>
    <w:p w14:paraId="54714621">
      <w:pPr>
        <w:spacing w:before="120" w:after="120" w:line="360" w:lineRule="auto"/>
        <w:jc w:val="center"/>
        <w:rPr>
          <w:rFonts w:hint="eastAsia" w:ascii="宋体" w:hAnsi="宋体" w:eastAsia="宋体" w:cs="宋体"/>
          <w:b/>
          <w:bCs/>
          <w:color w:val="auto"/>
          <w:sz w:val="32"/>
          <w:szCs w:val="24"/>
          <w:highlight w:val="none"/>
        </w:rPr>
      </w:pPr>
    </w:p>
    <w:p w14:paraId="68FB97ED">
      <w:pPr>
        <w:spacing w:line="480" w:lineRule="auto"/>
        <w:ind w:firstLine="128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采   购   人：灌南县农业农村局</w:t>
      </w:r>
    </w:p>
    <w:p w14:paraId="1228D725">
      <w:pPr>
        <w:spacing w:line="480" w:lineRule="auto"/>
        <w:ind w:firstLine="128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采购代理机构：江苏正茂项目管理有限公司</w:t>
      </w:r>
    </w:p>
    <w:p w14:paraId="0168FF0F">
      <w:pPr>
        <w:spacing w:before="120" w:after="120" w:line="360" w:lineRule="auto"/>
        <w:jc w:val="center"/>
        <w:rPr>
          <w:rFonts w:hint="eastAsia" w:ascii="宋体" w:hAnsi="宋体" w:eastAsia="宋体" w:cs="宋体"/>
          <w:b/>
          <w:bCs/>
          <w:color w:val="auto"/>
          <w:sz w:val="32"/>
          <w:szCs w:val="24"/>
          <w:highlight w:val="none"/>
        </w:rPr>
      </w:pPr>
    </w:p>
    <w:p w14:paraId="11554840">
      <w:pPr>
        <w:jc w:val="center"/>
        <w:rPr>
          <w:rFonts w:hint="eastAsia" w:ascii="宋体" w:hAnsi="宋体" w:eastAsia="宋体" w:cs="宋体"/>
          <w:color w:val="auto"/>
          <w:highlight w:val="none"/>
        </w:rPr>
        <w:sectPr>
          <w:footerReference r:id="rId3" w:type="default"/>
          <w:pgSz w:w="11906" w:h="16838"/>
          <w:pgMar w:top="1440" w:right="1800" w:bottom="1440" w:left="1800" w:header="851" w:footer="992" w:gutter="0"/>
          <w:pgNumType w:start="1"/>
          <w:cols w:space="425" w:num="1"/>
          <w:docGrid w:linePitch="360" w:charSpace="0"/>
        </w:sectPr>
      </w:pPr>
      <w:r>
        <w:rPr>
          <w:rFonts w:hint="eastAsia" w:ascii="宋体" w:hAnsi="宋体" w:eastAsia="宋体" w:cs="宋体"/>
          <w:b/>
          <w:bCs/>
          <w:color w:val="auto"/>
          <w:sz w:val="32"/>
          <w:szCs w:val="24"/>
          <w:highlight w:val="none"/>
        </w:rPr>
        <w:t>202</w:t>
      </w:r>
      <w:bookmarkStart w:id="141" w:name="_GoBack"/>
      <w:bookmarkEnd w:id="141"/>
      <w:r>
        <w:rPr>
          <w:rFonts w:hint="eastAsia" w:ascii="宋体" w:hAnsi="宋体" w:eastAsia="宋体" w:cs="宋体"/>
          <w:b/>
          <w:bCs/>
          <w:color w:val="auto"/>
          <w:sz w:val="32"/>
          <w:szCs w:val="24"/>
          <w:highlight w:val="none"/>
        </w:rPr>
        <w:t xml:space="preserve">6年 </w:t>
      </w:r>
      <w:r>
        <w:rPr>
          <w:rFonts w:hint="eastAsia" w:ascii="宋体" w:hAnsi="宋体" w:eastAsia="宋体" w:cs="宋体"/>
          <w:b/>
          <w:bCs/>
          <w:color w:val="auto"/>
          <w:sz w:val="32"/>
          <w:szCs w:val="24"/>
          <w:highlight w:val="none"/>
          <w:lang w:val="en-US" w:eastAsia="zh-CN"/>
        </w:rPr>
        <w:t>7</w:t>
      </w:r>
      <w:r>
        <w:rPr>
          <w:rFonts w:hint="eastAsia" w:ascii="宋体" w:hAnsi="宋体" w:eastAsia="宋体" w:cs="宋体"/>
          <w:b/>
          <w:bCs/>
          <w:color w:val="auto"/>
          <w:sz w:val="32"/>
          <w:szCs w:val="24"/>
          <w:highlight w:val="none"/>
        </w:rPr>
        <w:t>月</w:t>
      </w:r>
    </w:p>
    <w:sdt>
      <w:sdtPr>
        <w:rPr>
          <w:rFonts w:asciiTheme="minorHAnsi" w:hAnsiTheme="minorHAnsi" w:eastAsiaTheme="minorEastAsia" w:cstheme="minorBidi"/>
          <w:b w:val="0"/>
          <w:bCs w:val="0"/>
          <w:color w:val="auto"/>
          <w:sz w:val="40"/>
          <w:szCs w:val="40"/>
          <w:highlight w:val="none"/>
        </w:rPr>
        <w:id w:val="147477088"/>
        <w15:color w:val="DBDBDB"/>
        <w:docPartObj>
          <w:docPartGallery w:val="Table of Contents"/>
          <w:docPartUnique/>
        </w:docPartObj>
      </w:sdtPr>
      <w:sdtEndPr>
        <w:rPr>
          <w:rFonts w:asciiTheme="minorHAnsi" w:hAnsiTheme="minorHAnsi" w:eastAsiaTheme="minorEastAsia" w:cstheme="minorBidi"/>
          <w:b w:val="0"/>
          <w:bCs w:val="0"/>
          <w:color w:val="auto"/>
          <w:sz w:val="40"/>
          <w:szCs w:val="40"/>
          <w:highlight w:val="none"/>
        </w:rPr>
      </w:sdtEndPr>
      <w:sdtContent>
        <w:p w14:paraId="5EE3149E">
          <w:pPr>
            <w:pStyle w:val="3"/>
            <w:jc w:val="center"/>
            <w:rPr>
              <w:color w:val="auto"/>
              <w:sz w:val="40"/>
              <w:szCs w:val="40"/>
              <w:highlight w:val="none"/>
            </w:rPr>
          </w:pPr>
          <w:r>
            <w:rPr>
              <w:color w:val="auto"/>
              <w:sz w:val="40"/>
              <w:szCs w:val="40"/>
              <w:highlight w:val="none"/>
            </w:rPr>
            <w:t>目</w:t>
          </w:r>
          <w:r>
            <w:rPr>
              <w:rFonts w:hint="eastAsia" w:eastAsia="宋体"/>
              <w:color w:val="auto"/>
              <w:sz w:val="40"/>
              <w:szCs w:val="40"/>
              <w:highlight w:val="none"/>
            </w:rPr>
            <w:t xml:space="preserve">   </w:t>
          </w:r>
          <w:r>
            <w:rPr>
              <w:color w:val="auto"/>
              <w:sz w:val="40"/>
              <w:szCs w:val="40"/>
              <w:highlight w:val="none"/>
            </w:rPr>
            <w:t>录</w:t>
          </w:r>
        </w:p>
        <w:p w14:paraId="48B1A9AC">
          <w:pPr>
            <w:pStyle w:val="25"/>
            <w:tabs>
              <w:tab w:val="right" w:leader="dot" w:pos="8306"/>
            </w:tabs>
            <w:spacing w:line="480" w:lineRule="auto"/>
            <w:rPr>
              <w:rFonts w:hint="eastAsia" w:ascii="宋体" w:hAnsi="宋体" w:eastAsia="宋体" w:cs="宋体"/>
              <w:color w:val="auto"/>
              <w:sz w:val="32"/>
              <w:szCs w:val="32"/>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color w:val="auto"/>
              <w:highlight w:val="none"/>
            </w:rPr>
            <w:fldChar w:fldCharType="begin"/>
          </w:r>
          <w:r>
            <w:rPr>
              <w:color w:val="auto"/>
              <w:highlight w:val="none"/>
            </w:rPr>
            <w:instrText xml:space="preserve"> HYPERLINK \l "_Toc11662" </w:instrText>
          </w:r>
          <w:r>
            <w:rPr>
              <w:color w:val="auto"/>
              <w:highlight w:val="none"/>
            </w:rPr>
            <w:fldChar w:fldCharType="separate"/>
          </w:r>
          <w:r>
            <w:rPr>
              <w:rFonts w:hint="eastAsia" w:ascii="宋体" w:hAnsi="宋体" w:eastAsia="宋体" w:cs="宋体"/>
              <w:color w:val="auto"/>
              <w:sz w:val="32"/>
              <w:szCs w:val="32"/>
              <w:highlight w:val="none"/>
            </w:rPr>
            <w:t>第一章 投标邀请</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_Toc11662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2</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3845218F">
          <w:pPr>
            <w:pStyle w:val="25"/>
            <w:tabs>
              <w:tab w:val="right" w:leader="dot" w:pos="8306"/>
            </w:tabs>
            <w:spacing w:line="480" w:lineRule="auto"/>
            <w:rPr>
              <w:rFonts w:hint="eastAsia" w:ascii="宋体" w:hAnsi="宋体" w:eastAsia="宋体" w:cs="宋体"/>
              <w:color w:val="auto"/>
              <w:sz w:val="32"/>
              <w:szCs w:val="32"/>
              <w:highlight w:val="none"/>
            </w:rPr>
          </w:pPr>
          <w:r>
            <w:rPr>
              <w:color w:val="auto"/>
              <w:highlight w:val="none"/>
            </w:rPr>
            <w:fldChar w:fldCharType="begin"/>
          </w:r>
          <w:r>
            <w:rPr>
              <w:color w:val="auto"/>
              <w:highlight w:val="none"/>
            </w:rPr>
            <w:instrText xml:space="preserve"> HYPERLINK \l "_Toc26018" </w:instrText>
          </w:r>
          <w:r>
            <w:rPr>
              <w:color w:val="auto"/>
              <w:highlight w:val="none"/>
            </w:rPr>
            <w:fldChar w:fldCharType="separate"/>
          </w:r>
          <w:r>
            <w:rPr>
              <w:rFonts w:hint="eastAsia" w:ascii="宋体" w:hAnsi="宋体" w:eastAsia="宋体" w:cs="宋体"/>
              <w:color w:val="auto"/>
              <w:sz w:val="32"/>
              <w:szCs w:val="32"/>
              <w:highlight w:val="none"/>
            </w:rPr>
            <w:t>第二章 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_Toc26018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6</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08E0D665">
          <w:pPr>
            <w:pStyle w:val="25"/>
            <w:tabs>
              <w:tab w:val="right" w:leader="dot" w:pos="8306"/>
            </w:tabs>
            <w:spacing w:line="480" w:lineRule="auto"/>
            <w:rPr>
              <w:rFonts w:hint="eastAsia" w:ascii="宋体" w:hAnsi="宋体" w:eastAsia="宋体" w:cs="宋体"/>
              <w:color w:val="auto"/>
              <w:sz w:val="32"/>
              <w:szCs w:val="32"/>
              <w:highlight w:val="none"/>
            </w:rPr>
          </w:pPr>
          <w:r>
            <w:rPr>
              <w:color w:val="auto"/>
              <w:highlight w:val="none"/>
            </w:rPr>
            <w:fldChar w:fldCharType="begin"/>
          </w:r>
          <w:r>
            <w:rPr>
              <w:color w:val="auto"/>
              <w:highlight w:val="none"/>
            </w:rPr>
            <w:instrText xml:space="preserve"> HYPERLINK \l "_Toc10575" </w:instrText>
          </w:r>
          <w:r>
            <w:rPr>
              <w:color w:val="auto"/>
              <w:highlight w:val="none"/>
            </w:rPr>
            <w:fldChar w:fldCharType="separate"/>
          </w:r>
          <w:r>
            <w:rPr>
              <w:rFonts w:hint="eastAsia" w:ascii="宋体" w:hAnsi="宋体" w:eastAsia="宋体" w:cs="宋体"/>
              <w:color w:val="auto"/>
              <w:sz w:val="32"/>
              <w:szCs w:val="32"/>
              <w:highlight w:val="none"/>
            </w:rPr>
            <w:t>第三章 合同文本</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_Toc10575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23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0AE2F278">
          <w:pPr>
            <w:pStyle w:val="25"/>
            <w:tabs>
              <w:tab w:val="right" w:leader="dot" w:pos="8306"/>
            </w:tabs>
            <w:spacing w:line="480" w:lineRule="auto"/>
            <w:rPr>
              <w:rFonts w:hint="eastAsia" w:ascii="宋体" w:hAnsi="宋体" w:eastAsia="宋体" w:cs="宋体"/>
              <w:color w:val="auto"/>
              <w:sz w:val="32"/>
              <w:szCs w:val="32"/>
              <w:highlight w:val="none"/>
            </w:rPr>
          </w:pPr>
          <w:r>
            <w:rPr>
              <w:color w:val="auto"/>
              <w:highlight w:val="none"/>
            </w:rPr>
            <w:fldChar w:fldCharType="begin"/>
          </w:r>
          <w:r>
            <w:rPr>
              <w:color w:val="auto"/>
              <w:highlight w:val="none"/>
            </w:rPr>
            <w:instrText xml:space="preserve"> HYPERLINK \l "_Toc11244" </w:instrText>
          </w:r>
          <w:r>
            <w:rPr>
              <w:color w:val="auto"/>
              <w:highlight w:val="none"/>
            </w:rPr>
            <w:fldChar w:fldCharType="separate"/>
          </w:r>
          <w:r>
            <w:rPr>
              <w:rFonts w:hint="eastAsia" w:ascii="宋体" w:hAnsi="宋体" w:eastAsia="宋体" w:cs="宋体"/>
              <w:color w:val="auto"/>
              <w:sz w:val="32"/>
              <w:szCs w:val="32"/>
              <w:highlight w:val="none"/>
            </w:rPr>
            <w:t>第四章 采购需求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_Toc11244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28</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335A6384">
          <w:pPr>
            <w:pStyle w:val="25"/>
            <w:tabs>
              <w:tab w:val="right" w:leader="dot" w:pos="8306"/>
            </w:tabs>
            <w:spacing w:line="480" w:lineRule="auto"/>
            <w:rPr>
              <w:rFonts w:hint="eastAsia" w:ascii="宋体" w:hAnsi="宋体" w:eastAsia="宋体" w:cs="宋体"/>
              <w:color w:val="auto"/>
              <w:sz w:val="32"/>
              <w:szCs w:val="32"/>
              <w:highlight w:val="none"/>
            </w:rPr>
          </w:pPr>
          <w:r>
            <w:rPr>
              <w:color w:val="auto"/>
              <w:highlight w:val="none"/>
            </w:rPr>
            <w:fldChar w:fldCharType="begin"/>
          </w:r>
          <w:r>
            <w:rPr>
              <w:color w:val="auto"/>
              <w:highlight w:val="none"/>
            </w:rPr>
            <w:instrText xml:space="preserve"> HYPERLINK \l "_Toc3341" </w:instrText>
          </w:r>
          <w:r>
            <w:rPr>
              <w:color w:val="auto"/>
              <w:highlight w:val="none"/>
            </w:rPr>
            <w:fldChar w:fldCharType="separate"/>
          </w:r>
          <w:r>
            <w:rPr>
              <w:rFonts w:hint="eastAsia" w:ascii="宋体" w:hAnsi="宋体" w:eastAsia="宋体" w:cs="宋体"/>
              <w:color w:val="auto"/>
              <w:sz w:val="32"/>
              <w:szCs w:val="32"/>
              <w:highlight w:val="none"/>
            </w:rPr>
            <w:t>第五章 评标方法与评标标准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_Toc3341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33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4F62B589">
          <w:pPr>
            <w:pStyle w:val="25"/>
            <w:tabs>
              <w:tab w:val="right" w:leader="dot" w:pos="8306"/>
            </w:tabs>
            <w:spacing w:line="480" w:lineRule="auto"/>
            <w:rPr>
              <w:color w:val="auto"/>
              <w:sz w:val="20"/>
              <w:szCs w:val="21"/>
              <w:highlight w:val="none"/>
            </w:rPr>
          </w:pPr>
          <w:r>
            <w:rPr>
              <w:color w:val="auto"/>
              <w:highlight w:val="none"/>
            </w:rPr>
            <w:fldChar w:fldCharType="begin"/>
          </w:r>
          <w:r>
            <w:rPr>
              <w:color w:val="auto"/>
              <w:highlight w:val="none"/>
            </w:rPr>
            <w:instrText xml:space="preserve"> HYPERLINK \l "_Toc29841" </w:instrText>
          </w:r>
          <w:r>
            <w:rPr>
              <w:color w:val="auto"/>
              <w:highlight w:val="none"/>
            </w:rPr>
            <w:fldChar w:fldCharType="separate"/>
          </w:r>
          <w:r>
            <w:rPr>
              <w:rFonts w:hint="eastAsia" w:ascii="宋体" w:hAnsi="宋体" w:eastAsia="宋体" w:cs="宋体"/>
              <w:color w:val="auto"/>
              <w:sz w:val="32"/>
              <w:szCs w:val="32"/>
              <w:highlight w:val="none"/>
            </w:rPr>
            <w:t>第六章 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_Toc29841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36</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519A3049">
          <w:pPr>
            <w:pStyle w:val="25"/>
            <w:tabs>
              <w:tab w:val="right" w:leader="dot" w:pos="8306"/>
            </w:tabs>
            <w:rPr>
              <w:color w:val="auto"/>
              <w:highlight w:val="none"/>
            </w:rPr>
          </w:pPr>
        </w:p>
        <w:p w14:paraId="76A7C941">
          <w:pPr>
            <w:rPr>
              <w:color w:val="auto"/>
              <w:highlight w:val="none"/>
            </w:rPr>
          </w:pPr>
          <w:r>
            <w:rPr>
              <w:color w:val="auto"/>
              <w:highlight w:val="none"/>
            </w:rPr>
            <w:fldChar w:fldCharType="end"/>
          </w:r>
        </w:p>
      </w:sdtContent>
    </w:sdt>
    <w:p w14:paraId="03F49BBE">
      <w:pPr>
        <w:rPr>
          <w:color w:val="auto"/>
          <w:highlight w:val="none"/>
        </w:rPr>
      </w:pPr>
    </w:p>
    <w:p w14:paraId="45C1D11C">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73FC9156">
      <w:pPr>
        <w:keepNext/>
        <w:keepLines/>
        <w:spacing w:before="156" w:after="156" w:line="360" w:lineRule="auto"/>
        <w:jc w:val="center"/>
        <w:rPr>
          <w:rFonts w:hint="eastAsia" w:ascii="宋体" w:hAnsi="宋体" w:eastAsia="宋体" w:cs="宋体"/>
          <w:bCs/>
          <w:color w:val="auto"/>
          <w:sz w:val="44"/>
          <w:szCs w:val="44"/>
          <w:highlight w:val="none"/>
        </w:rPr>
        <w:sectPr>
          <w:footerReference r:id="rId4" w:type="default"/>
          <w:pgSz w:w="11906" w:h="16838"/>
          <w:pgMar w:top="1440" w:right="1800" w:bottom="1440" w:left="1800" w:header="851" w:footer="992" w:gutter="0"/>
          <w:pgNumType w:start="1"/>
          <w:cols w:space="425" w:num="1"/>
          <w:docGrid w:linePitch="360" w:charSpace="0"/>
        </w:sectPr>
      </w:pPr>
      <w:bookmarkStart w:id="0" w:name="_Toc155796356"/>
    </w:p>
    <w:p w14:paraId="7CE0A34D">
      <w:pPr>
        <w:pStyle w:val="2"/>
        <w:spacing w:before="156" w:after="156" w:line="360" w:lineRule="auto"/>
        <w:jc w:val="center"/>
        <w:rPr>
          <w:rFonts w:hint="eastAsia" w:ascii="宋体" w:hAnsi="宋体" w:eastAsia="宋体" w:cs="宋体"/>
          <w:b w:val="0"/>
          <w:color w:val="auto"/>
          <w:highlight w:val="none"/>
        </w:rPr>
      </w:pPr>
      <w:bookmarkStart w:id="1" w:name="_Toc31564"/>
      <w:bookmarkStart w:id="2" w:name="_Toc11662"/>
      <w:r>
        <w:rPr>
          <w:rFonts w:hint="eastAsia" w:ascii="宋体" w:hAnsi="宋体" w:eastAsia="宋体" w:cs="宋体"/>
          <w:b w:val="0"/>
          <w:color w:val="auto"/>
          <w:highlight w:val="none"/>
        </w:rPr>
        <w:t>第一章投标邀请</w:t>
      </w:r>
      <w:bookmarkEnd w:id="0"/>
      <w:bookmarkEnd w:id="1"/>
      <w:bookmarkEnd w:id="2"/>
    </w:p>
    <w:tbl>
      <w:tblPr>
        <w:tblStyle w:val="38"/>
        <w:tblW w:w="93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74"/>
      </w:tblGrid>
      <w:tr w14:paraId="51F38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374" w:type="dxa"/>
          </w:tcPr>
          <w:p w14:paraId="688A9941">
            <w:pPr>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269D54B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2026-2027年灌南县农护工商业保险项目</w:t>
            </w:r>
            <w:r>
              <w:rPr>
                <w:rFonts w:hint="eastAsia" w:ascii="宋体" w:hAnsi="宋体" w:eastAsia="宋体" w:cs="宋体"/>
                <w:color w:val="auto"/>
                <w:sz w:val="24"/>
                <w:szCs w:val="24"/>
                <w:highlight w:val="none"/>
              </w:rPr>
              <w:t>的潜在投标人可在“江苏政府采购网”自行免费下载招标文件，并于2026年</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rPr>
              <w:t>日10:00:00（北京时间）前递交（上传）投标文件。</w:t>
            </w:r>
          </w:p>
        </w:tc>
      </w:tr>
    </w:tbl>
    <w:p w14:paraId="107A7E77">
      <w:pPr>
        <w:spacing w:line="500" w:lineRule="exact"/>
        <w:outlineLvl w:val="0"/>
        <w:rPr>
          <w:rFonts w:hint="eastAsia" w:ascii="宋体" w:hAnsi="宋体" w:eastAsia="宋体" w:cs="宋体"/>
          <w:b/>
          <w:bCs/>
          <w:color w:val="auto"/>
          <w:sz w:val="32"/>
          <w:szCs w:val="32"/>
          <w:highlight w:val="none"/>
        </w:rPr>
      </w:pPr>
      <w:bookmarkStart w:id="3" w:name="_Toc1145"/>
      <w:r>
        <w:rPr>
          <w:rFonts w:hint="eastAsia" w:ascii="宋体" w:hAnsi="宋体" w:eastAsia="宋体" w:cs="宋体"/>
          <w:b/>
          <w:bCs/>
          <w:color w:val="auto"/>
          <w:sz w:val="32"/>
          <w:szCs w:val="32"/>
          <w:highlight w:val="none"/>
        </w:rPr>
        <w:t>一、项目基本情况</w:t>
      </w:r>
      <w:bookmarkEnd w:id="3"/>
    </w:p>
    <w:p w14:paraId="4B3AA6C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1.项目编号：JSZC-320724-ZMXM-G2026-0006</w:t>
      </w:r>
    </w:p>
    <w:p w14:paraId="25BD900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2.项目名称：2026-2027年灌南县农护工商业保险项目</w:t>
      </w:r>
    </w:p>
    <w:p w14:paraId="311413C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3.预算金额：</w:t>
      </w:r>
      <w:r>
        <w:rPr>
          <w:rFonts w:hint="eastAsia" w:ascii="宋体" w:hAnsi="宋体" w:eastAsia="宋体" w:cs="宋体"/>
          <w:color w:val="auto"/>
          <w:sz w:val="24"/>
          <w:highlight w:val="none"/>
        </w:rPr>
        <w:t>人民币120万元</w:t>
      </w:r>
    </w:p>
    <w:p w14:paraId="5845C98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4.最高限价：</w:t>
      </w:r>
      <w:r>
        <w:rPr>
          <w:rFonts w:hint="eastAsia" w:ascii="宋体" w:hAnsi="宋体" w:eastAsia="宋体" w:cs="宋体"/>
          <w:color w:val="auto"/>
          <w:sz w:val="24"/>
          <w:highlight w:val="none"/>
        </w:rPr>
        <w:t>人民币120万元，报价超过最高限价的按无效标处理</w:t>
      </w:r>
      <w:r>
        <w:rPr>
          <w:rFonts w:hint="eastAsia" w:ascii="宋体" w:hAnsi="宋体" w:eastAsia="宋体" w:cs="宋体"/>
          <w:color w:val="auto"/>
          <w:sz w:val="24"/>
          <w:szCs w:val="24"/>
          <w:highlight w:val="none"/>
        </w:rPr>
        <w:t>。</w:t>
      </w:r>
    </w:p>
    <w:p w14:paraId="1693017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5.采购需求：全县符合商业保险共计</w:t>
      </w:r>
      <w:r>
        <w:rPr>
          <w:rFonts w:hint="eastAsia" w:ascii="宋体" w:hAnsi="宋体" w:eastAsia="宋体" w:cs="宋体"/>
          <w:color w:val="auto"/>
          <w:sz w:val="24"/>
          <w:szCs w:val="24"/>
          <w:highlight w:val="none"/>
          <w:lang w:eastAsia="zh-CN"/>
        </w:rPr>
        <w:t>约</w:t>
      </w:r>
      <w:r>
        <w:rPr>
          <w:rFonts w:hint="eastAsia" w:ascii="宋体" w:hAnsi="宋体" w:eastAsia="宋体" w:cs="宋体"/>
          <w:color w:val="auto"/>
          <w:sz w:val="24"/>
          <w:szCs w:val="24"/>
          <w:highlight w:val="none"/>
          <w:lang w:val="en-US" w:eastAsia="zh-CN"/>
        </w:rPr>
        <w:t>1850</w:t>
      </w:r>
      <w:r>
        <w:rPr>
          <w:rFonts w:hint="eastAsia" w:ascii="宋体" w:hAnsi="宋体" w:eastAsia="宋体" w:cs="宋体"/>
          <w:color w:val="auto"/>
          <w:sz w:val="24"/>
          <w:szCs w:val="24"/>
          <w:highlight w:val="none"/>
        </w:rPr>
        <w:t>人；其中保洁人员</w:t>
      </w:r>
      <w:r>
        <w:rPr>
          <w:rFonts w:hint="eastAsia" w:ascii="宋体" w:hAnsi="宋体" w:eastAsia="宋体" w:cs="宋体"/>
          <w:color w:val="auto"/>
          <w:sz w:val="24"/>
          <w:szCs w:val="24"/>
          <w:highlight w:val="none"/>
          <w:lang w:eastAsia="zh-CN"/>
        </w:rPr>
        <w:t>约</w:t>
      </w:r>
      <w:r>
        <w:rPr>
          <w:rFonts w:hint="eastAsia" w:ascii="宋体" w:hAnsi="宋体" w:eastAsia="宋体" w:cs="宋体"/>
          <w:color w:val="auto"/>
          <w:sz w:val="24"/>
          <w:szCs w:val="24"/>
          <w:highlight w:val="none"/>
          <w:lang w:val="en-US" w:eastAsia="zh-CN"/>
        </w:rPr>
        <w:t>1400</w:t>
      </w:r>
      <w:r>
        <w:rPr>
          <w:rFonts w:hint="eastAsia" w:ascii="宋体" w:hAnsi="宋体" w:eastAsia="宋体" w:cs="宋体"/>
          <w:color w:val="auto"/>
          <w:sz w:val="24"/>
          <w:szCs w:val="24"/>
          <w:highlight w:val="none"/>
        </w:rPr>
        <w:t>人，清运工及中转站操作工</w:t>
      </w:r>
      <w:r>
        <w:rPr>
          <w:rFonts w:hint="eastAsia" w:ascii="宋体" w:hAnsi="宋体" w:eastAsia="宋体" w:cs="宋体"/>
          <w:color w:val="auto"/>
          <w:sz w:val="24"/>
          <w:szCs w:val="24"/>
          <w:highlight w:val="none"/>
          <w:lang w:eastAsia="zh-CN"/>
        </w:rPr>
        <w:t>约</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人，农护巡查管理人员</w:t>
      </w:r>
      <w:r>
        <w:rPr>
          <w:rFonts w:hint="eastAsia" w:ascii="宋体" w:hAnsi="宋体" w:eastAsia="宋体" w:cs="宋体"/>
          <w:color w:val="auto"/>
          <w:sz w:val="24"/>
          <w:szCs w:val="24"/>
          <w:highlight w:val="none"/>
          <w:lang w:eastAsia="zh-CN"/>
        </w:rPr>
        <w:t>约</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人（具体以实际投保人员名单为准），涵盖因工作发生的意外身故、意外伤残、意外医疗的相关保障。采用循环滚动式，以实际参保人数的实际参保天数结算，不采用叠加累计方式，合同期限一年。具体详见第四章“采购需求”。</w:t>
      </w:r>
    </w:p>
    <w:p w14:paraId="6FCE662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对本项目资格要求、采购需求、评标方法与评标标准等部分的询问、质疑请与采购人联系，由采购人负责答复。</w:t>
      </w:r>
    </w:p>
    <w:p w14:paraId="414B8109">
      <w:pPr>
        <w:numPr>
          <w:ilvl w:val="0"/>
          <w:numId w:val="1"/>
        </w:num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合同履行期限：1年（根据上年度保险到期日签订保单）。</w:t>
      </w:r>
    </w:p>
    <w:p w14:paraId="29F96D04">
      <w:pPr>
        <w:numPr>
          <w:ilvl w:val="0"/>
          <w:numId w:val="1"/>
        </w:num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w:t>
      </w:r>
    </w:p>
    <w:p w14:paraId="7EA09965">
      <w:pPr>
        <w:spacing w:line="500" w:lineRule="exact"/>
        <w:outlineLvl w:val="0"/>
        <w:rPr>
          <w:rFonts w:hint="eastAsia" w:ascii="宋体" w:hAnsi="宋体" w:eastAsia="宋体" w:cs="宋体"/>
          <w:b/>
          <w:bCs/>
          <w:color w:val="auto"/>
          <w:sz w:val="32"/>
          <w:szCs w:val="32"/>
          <w:highlight w:val="none"/>
        </w:rPr>
      </w:pPr>
      <w:bookmarkStart w:id="4" w:name="_Toc30512"/>
      <w:r>
        <w:rPr>
          <w:rFonts w:hint="eastAsia" w:ascii="宋体" w:hAnsi="宋体" w:eastAsia="宋体" w:cs="宋体"/>
          <w:b/>
          <w:bCs/>
          <w:color w:val="auto"/>
          <w:sz w:val="32"/>
          <w:szCs w:val="32"/>
          <w:highlight w:val="none"/>
        </w:rPr>
        <w:t>二、申请人的资格要求</w:t>
      </w:r>
      <w:bookmarkEnd w:id="4"/>
    </w:p>
    <w:p w14:paraId="64566B9D">
      <w:pPr>
        <w:spacing w:line="500" w:lineRule="exact"/>
        <w:ind w:firstLine="240"/>
        <w:outlineLvl w:val="1"/>
        <w:rPr>
          <w:rFonts w:hint="eastAsia" w:ascii="宋体" w:hAnsi="宋体" w:eastAsia="宋体" w:cs="宋体"/>
          <w:color w:val="auto"/>
          <w:sz w:val="24"/>
          <w:szCs w:val="24"/>
          <w:highlight w:val="none"/>
        </w:rPr>
      </w:pPr>
      <w:bookmarkStart w:id="5" w:name="_Toc28372"/>
      <w:r>
        <w:rPr>
          <w:rFonts w:hint="eastAsia" w:ascii="宋体" w:hAnsi="宋体" w:eastAsia="宋体" w:cs="宋体"/>
          <w:color w:val="auto"/>
          <w:sz w:val="24"/>
          <w:szCs w:val="24"/>
          <w:highlight w:val="none"/>
        </w:rPr>
        <w:t>（一）通用资格要求</w:t>
      </w:r>
      <w:bookmarkEnd w:id="5"/>
    </w:p>
    <w:p w14:paraId="56C0A43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1D3F892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1.1法人或者其他组织的营业执照等证明文件，自然人的身份证明；</w:t>
      </w:r>
    </w:p>
    <w:p w14:paraId="38046CE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2024或2025年度的财务状况报告（成立不满一年无需提供）；</w:t>
      </w:r>
    </w:p>
    <w:p w14:paraId="4447416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4A61653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1.4具备履行合同所必需的设备和专业技术能力的声明及证明材料；</w:t>
      </w:r>
    </w:p>
    <w:p w14:paraId="33B95DA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1.5参加政府采购活动前3年内在经营活动中没有重大违法记录的书面声明。</w:t>
      </w:r>
    </w:p>
    <w:p w14:paraId="43ACAF9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根据连财购〔2023〕4号文件精神，2、3项可以提供《财务状况报告及税收、社会保障资金缴纳情况承诺函》，详见投标文件格式。</w:t>
      </w:r>
    </w:p>
    <w:p w14:paraId="708C0F64">
      <w:pPr>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2.落实政府采购政策需满足的资格要求：无。</w:t>
      </w:r>
    </w:p>
    <w:p w14:paraId="2C38165F">
      <w:pPr>
        <w:spacing w:line="500" w:lineRule="exact"/>
        <w:ind w:firstLine="48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3.本项目的特定资格要求：供应商须是经国家保险监督管理机构批准在中华人民共和国境内设立和营业的，并依法被核定许可责任保险业务的法人或机构。【依据有效期内的保险许可证（分公司或中心支公司的保险机构投标的，须提供《经营保险业务许可证》或《保险许可证》；总公司投标的，须提供《保险公司法人许可证》或《保险许可证》）】。</w:t>
      </w:r>
    </w:p>
    <w:p w14:paraId="64B0F200">
      <w:pPr>
        <w:spacing w:line="500" w:lineRule="exact"/>
        <w:ind w:firstLine="480"/>
        <w:jc w:val="left"/>
        <w:outlineLvl w:val="1"/>
        <w:rPr>
          <w:rFonts w:hint="eastAsia" w:ascii="宋体" w:hAnsi="宋体" w:eastAsia="宋体" w:cs="宋体"/>
          <w:color w:val="auto"/>
          <w:sz w:val="24"/>
          <w:szCs w:val="24"/>
          <w:highlight w:val="none"/>
        </w:rPr>
      </w:pPr>
      <w:bookmarkStart w:id="6" w:name="_Toc13821"/>
      <w:r>
        <w:rPr>
          <w:rFonts w:hint="eastAsia" w:ascii="宋体" w:hAnsi="宋体" w:eastAsia="宋体" w:cs="宋体"/>
          <w:color w:val="auto"/>
          <w:sz w:val="24"/>
          <w:szCs w:val="24"/>
          <w:highlight w:val="none"/>
        </w:rPr>
        <w:t>（四）本项目的其他资格要求：</w:t>
      </w:r>
      <w:bookmarkEnd w:id="6"/>
    </w:p>
    <w:p w14:paraId="04FE9A9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（1）资格审查现场查询时，被信用中国、中国政府采购网列入失信被执行人、税收违法黑名单、政府采购严重违法失信行为记录名单的供应商，拒绝其参与政府采购活动。</w:t>
      </w:r>
    </w:p>
    <w:p w14:paraId="34A39E5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备注：采购人或采购代理机构通过信用中国网站（www.creditchina.gov.cn）、中国政府采购网（www.ccgp.gov.cn），对供应商信用记录情况进行查询，查询结果页面打印留存。</w:t>
      </w:r>
    </w:p>
    <w:p w14:paraId="6242327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（2）成交后不允许分包或转包。</w:t>
      </w:r>
    </w:p>
    <w:p w14:paraId="401BF86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（3）法律、法规规定的其他条件。（如有，请按要求提供）</w:t>
      </w:r>
    </w:p>
    <w:p w14:paraId="37A38ADE">
      <w:pPr>
        <w:spacing w:line="500" w:lineRule="exact"/>
        <w:outlineLvl w:val="0"/>
        <w:rPr>
          <w:rFonts w:hint="eastAsia" w:ascii="宋体" w:hAnsi="宋体" w:eastAsia="宋体" w:cs="宋体"/>
          <w:b/>
          <w:bCs/>
          <w:color w:val="auto"/>
          <w:sz w:val="32"/>
          <w:szCs w:val="32"/>
          <w:highlight w:val="none"/>
        </w:rPr>
      </w:pPr>
      <w:bookmarkStart w:id="7" w:name="_Toc15856"/>
      <w:r>
        <w:rPr>
          <w:rFonts w:hint="eastAsia" w:ascii="宋体" w:hAnsi="宋体" w:eastAsia="宋体" w:cs="宋体"/>
          <w:b/>
          <w:bCs/>
          <w:color w:val="auto"/>
          <w:sz w:val="32"/>
          <w:szCs w:val="32"/>
          <w:highlight w:val="none"/>
        </w:rPr>
        <w:t>三、获取招标文件</w:t>
      </w:r>
      <w:bookmarkEnd w:id="7"/>
    </w:p>
    <w:p w14:paraId="5E2F105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时间：自招标文件公告发布之日起5个工作日</w:t>
      </w:r>
    </w:p>
    <w:p w14:paraId="721853D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方式：在“江苏政府采购网”自行免费下载招标文件</w:t>
      </w:r>
    </w:p>
    <w:p w14:paraId="5F90155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地点：投标人办理江苏省政府采购交易系统CA数字证书，登录“苏采云”政府采购交易系统，自行下载。</w:t>
      </w:r>
    </w:p>
    <w:p w14:paraId="7A1DE45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售价：0.00元</w:t>
      </w:r>
    </w:p>
    <w:p w14:paraId="08339560">
      <w:pPr>
        <w:spacing w:line="500" w:lineRule="exact"/>
        <w:outlineLvl w:val="0"/>
        <w:rPr>
          <w:rFonts w:hint="eastAsia" w:ascii="宋体" w:hAnsi="宋体" w:eastAsia="宋体" w:cs="宋体"/>
          <w:b/>
          <w:bCs/>
          <w:color w:val="auto"/>
          <w:sz w:val="32"/>
          <w:szCs w:val="32"/>
          <w:highlight w:val="none"/>
        </w:rPr>
      </w:pPr>
      <w:bookmarkStart w:id="8" w:name="_Toc5825"/>
      <w:r>
        <w:rPr>
          <w:rFonts w:hint="eastAsia" w:ascii="宋体" w:hAnsi="宋体" w:eastAsia="宋体" w:cs="宋体"/>
          <w:b/>
          <w:bCs/>
          <w:color w:val="auto"/>
          <w:sz w:val="32"/>
          <w:szCs w:val="32"/>
          <w:highlight w:val="none"/>
        </w:rPr>
        <w:t>四、提交投标文件截止时间、开标时间和地点</w:t>
      </w:r>
      <w:bookmarkEnd w:id="8"/>
    </w:p>
    <w:p w14:paraId="53C49F1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提交投标文件截止时间：2026年7月</w:t>
      </w:r>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rPr>
        <w:t>日10:00:00（北京时间）</w:t>
      </w:r>
    </w:p>
    <w:p w14:paraId="1B960D1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开标时间：提交投标文件截止时间</w:t>
      </w:r>
    </w:p>
    <w:p w14:paraId="67E0697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开标地点：“苏采云”政府采购交易系统网上开标大厅</w:t>
      </w:r>
    </w:p>
    <w:p w14:paraId="7CB8D8A7">
      <w:pPr>
        <w:spacing w:line="500" w:lineRule="exact"/>
        <w:outlineLvl w:val="0"/>
        <w:rPr>
          <w:rFonts w:hint="eastAsia" w:ascii="宋体" w:hAnsi="宋体" w:eastAsia="宋体" w:cs="宋体"/>
          <w:b/>
          <w:bCs/>
          <w:color w:val="auto"/>
          <w:sz w:val="32"/>
          <w:szCs w:val="32"/>
          <w:highlight w:val="none"/>
        </w:rPr>
      </w:pPr>
      <w:bookmarkStart w:id="9" w:name="_Toc24454"/>
      <w:r>
        <w:rPr>
          <w:rFonts w:hint="eastAsia" w:ascii="宋体" w:hAnsi="宋体" w:eastAsia="宋体" w:cs="宋体"/>
          <w:b/>
          <w:bCs/>
          <w:color w:val="auto"/>
          <w:sz w:val="32"/>
          <w:szCs w:val="32"/>
          <w:highlight w:val="none"/>
        </w:rPr>
        <w:t>五、公告期限</w:t>
      </w:r>
      <w:bookmarkEnd w:id="9"/>
    </w:p>
    <w:p w14:paraId="52D11B2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5523019B">
      <w:pPr>
        <w:spacing w:line="500" w:lineRule="exact"/>
        <w:outlineLvl w:val="0"/>
        <w:rPr>
          <w:rFonts w:hint="eastAsia" w:ascii="宋体" w:hAnsi="宋体" w:eastAsia="宋体" w:cs="宋体"/>
          <w:b/>
          <w:bCs/>
          <w:color w:val="auto"/>
          <w:sz w:val="32"/>
          <w:szCs w:val="32"/>
          <w:highlight w:val="none"/>
        </w:rPr>
      </w:pPr>
      <w:bookmarkStart w:id="10" w:name="_Toc23547"/>
      <w:r>
        <w:rPr>
          <w:rFonts w:hint="eastAsia" w:ascii="宋体" w:hAnsi="宋体" w:eastAsia="宋体" w:cs="宋体"/>
          <w:b/>
          <w:bCs/>
          <w:color w:val="auto"/>
          <w:sz w:val="32"/>
          <w:szCs w:val="32"/>
          <w:highlight w:val="none"/>
        </w:rPr>
        <w:t>六、其他补充事宜</w:t>
      </w:r>
      <w:bookmarkEnd w:id="10"/>
    </w:p>
    <w:p w14:paraId="7AE3EF4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1.本次招标不收取投标保证金。</w:t>
      </w:r>
    </w:p>
    <w:p w14:paraId="65B2674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2.本招标文件中</w:t>
      </w:r>
      <w:r>
        <w:rPr>
          <w:rFonts w:hint="eastAsia" w:ascii="宋体" w:hAnsi="宋体" w:eastAsia="宋体" w:cs="宋体"/>
          <w:color w:val="auto"/>
          <w:sz w:val="24"/>
          <w:highlight w:val="none"/>
        </w:rPr>
        <w:t>标注★的款项</w:t>
      </w:r>
      <w:r>
        <w:rPr>
          <w:rFonts w:hint="eastAsia" w:ascii="宋体" w:hAnsi="宋体" w:eastAsia="宋体" w:cs="宋体"/>
          <w:color w:val="auto"/>
          <w:sz w:val="24"/>
          <w:szCs w:val="24"/>
          <w:highlight w:val="none"/>
        </w:rPr>
        <w:t>为实质性要求和条件，投标人须逐条做出满足实质性要求和条件的响应，否则将按无效响应处理。</w:t>
      </w:r>
    </w:p>
    <w:p w14:paraId="7DE7E4B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74DE2773">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 </w:instrText>
      </w:r>
      <w:r>
        <w:rPr>
          <w:rFonts w:hint="eastAsia" w:ascii="宋体" w:hAnsi="宋体" w:eastAsia="宋体" w:cs="宋体"/>
          <w:color w:val="auto"/>
          <w:sz w:val="24"/>
          <w:szCs w:val="24"/>
          <w:highlight w:val="none"/>
        </w:rPr>
        <w:fldChar w:fldCharType="separate"/>
      </w:r>
      <w:r>
        <w:rPr>
          <w:rStyle w:val="41"/>
          <w:rFonts w:hint="eastAsia" w:ascii="宋体" w:hAnsi="宋体" w:eastAsia="宋体" w:cs="宋体"/>
          <w:color w:val="auto"/>
          <w:sz w:val="24"/>
          <w:szCs w:val="24"/>
          <w:highlight w:val="none"/>
        </w:rPr>
        <w:t>http://www.ccgp-jiangsu.gov.cn/jiangsu/zlxz/ee/ee3a4bc5a3454a</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a2b0d9312230633ce9.html。</w:t>
      </w:r>
    </w:p>
    <w:p w14:paraId="404BCC8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请投标人按照《操作手册》要求获取招标文件，制作、递交（上传）电子投标文件，参加开标，澄清、说明或者补正。因投标人未按要求操作原因导致电子投标文件被拒绝、造成无效响应的，自行承担一切损失。</w:t>
      </w:r>
    </w:p>
    <w:p w14:paraId="2440E332">
      <w:pPr>
        <w:rPr>
          <w:rFonts w:hint="eastAsia" w:ascii="宋体" w:hAnsi="宋体" w:eastAsia="宋体" w:cs="宋体"/>
          <w:b/>
          <w:bCs/>
          <w:color w:val="auto"/>
          <w:sz w:val="32"/>
          <w:szCs w:val="32"/>
          <w:highlight w:val="none"/>
        </w:rPr>
      </w:pPr>
      <w:bookmarkStart w:id="11" w:name="_Toc12545"/>
      <w:r>
        <w:rPr>
          <w:rFonts w:hint="eastAsia" w:ascii="宋体" w:hAnsi="宋体" w:eastAsia="宋体" w:cs="宋体"/>
          <w:b/>
          <w:bCs/>
          <w:color w:val="auto"/>
          <w:sz w:val="32"/>
          <w:szCs w:val="32"/>
          <w:highlight w:val="none"/>
        </w:rPr>
        <w:t>七、对本次招标提出询问，请按以下方式联系</w:t>
      </w:r>
      <w:bookmarkEnd w:id="11"/>
    </w:p>
    <w:p w14:paraId="59E63F22">
      <w:pPr>
        <w:spacing w:line="500" w:lineRule="exact"/>
        <w:ind w:firstLine="480"/>
        <w:jc w:val="left"/>
        <w:outlineLvl w:val="1"/>
        <w:rPr>
          <w:rFonts w:hint="eastAsia" w:ascii="宋体" w:hAnsi="宋体" w:eastAsia="宋体" w:cs="宋体"/>
          <w:color w:val="auto"/>
          <w:sz w:val="24"/>
          <w:szCs w:val="24"/>
          <w:highlight w:val="none"/>
        </w:rPr>
      </w:pPr>
      <w:bookmarkStart w:id="12" w:name="_Toc9904"/>
      <w:r>
        <w:rPr>
          <w:rFonts w:hint="eastAsia" w:ascii="宋体" w:hAnsi="宋体" w:eastAsia="宋体" w:cs="宋体"/>
          <w:color w:val="auto"/>
          <w:sz w:val="24"/>
          <w:szCs w:val="24"/>
          <w:highlight w:val="none"/>
        </w:rPr>
        <w:t>1.采购人信息</w:t>
      </w:r>
      <w:bookmarkEnd w:id="12"/>
    </w:p>
    <w:p w14:paraId="6C9DDE6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名称：灌南县农业农村局</w:t>
      </w:r>
    </w:p>
    <w:p w14:paraId="5C29A72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地址：灌南县人民中路行政集中办公区</w:t>
      </w:r>
    </w:p>
    <w:p w14:paraId="57AFDAE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联系人：朱主任</w:t>
      </w:r>
    </w:p>
    <w:p w14:paraId="7A7AB55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联系电话：0518-83692098</w:t>
      </w:r>
    </w:p>
    <w:p w14:paraId="6AD812EE">
      <w:pPr>
        <w:spacing w:line="500" w:lineRule="exact"/>
        <w:ind w:firstLine="480"/>
        <w:jc w:val="left"/>
        <w:outlineLvl w:val="1"/>
        <w:rPr>
          <w:rFonts w:hint="eastAsia" w:ascii="宋体" w:hAnsi="宋体" w:eastAsia="宋体" w:cs="宋体"/>
          <w:color w:val="auto"/>
          <w:sz w:val="24"/>
          <w:szCs w:val="24"/>
          <w:highlight w:val="none"/>
        </w:rPr>
      </w:pPr>
      <w:bookmarkStart w:id="13" w:name="_Toc11146"/>
      <w:r>
        <w:rPr>
          <w:rFonts w:hint="eastAsia" w:ascii="宋体" w:hAnsi="宋体" w:eastAsia="宋体" w:cs="宋体"/>
          <w:color w:val="auto"/>
          <w:sz w:val="24"/>
          <w:szCs w:val="24"/>
          <w:highlight w:val="none"/>
        </w:rPr>
        <w:t>2.采购代理机构信息</w:t>
      </w:r>
      <w:bookmarkEnd w:id="13"/>
    </w:p>
    <w:p w14:paraId="1E39053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名称：江苏正茂项目管理有限公司</w:t>
      </w:r>
    </w:p>
    <w:p w14:paraId="0A826155">
      <w:pPr>
        <w:spacing w:line="500" w:lineRule="exact"/>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连云港海州区玉兰高新创业园B座12楼</w:t>
      </w:r>
    </w:p>
    <w:p w14:paraId="33C5BA0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联系人：孙工</w:t>
      </w:r>
    </w:p>
    <w:p w14:paraId="1F12CFF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联系方式：18936670014</w:t>
      </w:r>
    </w:p>
    <w:p w14:paraId="1E04D751">
      <w:pPr>
        <w:spacing w:line="500" w:lineRule="exact"/>
        <w:ind w:firstLine="480"/>
        <w:jc w:val="left"/>
        <w:outlineLvl w:val="1"/>
        <w:rPr>
          <w:rFonts w:hint="eastAsia" w:ascii="宋体" w:hAnsi="宋体" w:eastAsia="宋体" w:cs="宋体"/>
          <w:color w:val="auto"/>
          <w:sz w:val="24"/>
          <w:szCs w:val="24"/>
          <w:highlight w:val="none"/>
        </w:rPr>
      </w:pPr>
      <w:bookmarkStart w:id="14" w:name="_Toc24250"/>
      <w:r>
        <w:rPr>
          <w:rFonts w:hint="eastAsia" w:ascii="宋体" w:hAnsi="宋体" w:eastAsia="宋体" w:cs="宋体"/>
          <w:color w:val="auto"/>
          <w:sz w:val="24"/>
          <w:szCs w:val="24"/>
          <w:highlight w:val="none"/>
        </w:rPr>
        <w:t>3.项目联系方式</w:t>
      </w:r>
      <w:bookmarkEnd w:id="14"/>
    </w:p>
    <w:p w14:paraId="757B219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项目联系人：孙工</w:t>
      </w:r>
    </w:p>
    <w:p w14:paraId="672E7FF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电话：18936670014</w:t>
      </w:r>
    </w:p>
    <w:p w14:paraId="643851F2">
      <w:pPr>
        <w:spacing w:line="500" w:lineRule="exact"/>
        <w:ind w:firstLine="480"/>
        <w:jc w:val="left"/>
        <w:rPr>
          <w:rFonts w:hint="eastAsia" w:ascii="宋体" w:hAnsi="宋体" w:eastAsia="宋体" w:cs="宋体"/>
          <w:color w:val="auto"/>
          <w:sz w:val="24"/>
          <w:szCs w:val="24"/>
          <w:highlight w:val="none"/>
        </w:rPr>
      </w:pPr>
      <w:bookmarkStart w:id="15" w:name="_Toc155796357"/>
    </w:p>
    <w:p w14:paraId="5EA5AB52">
      <w:pPr>
        <w:pStyle w:val="33"/>
        <w:rPr>
          <w:rFonts w:hint="eastAsia" w:ascii="宋体" w:hAnsi="宋体" w:cs="宋体"/>
          <w:color w:val="auto"/>
          <w:sz w:val="24"/>
          <w:szCs w:val="24"/>
          <w:highlight w:val="none"/>
        </w:rPr>
      </w:pPr>
    </w:p>
    <w:p w14:paraId="1DA8238D">
      <w:pPr>
        <w:rPr>
          <w:rFonts w:hint="eastAsia" w:ascii="宋体" w:hAnsi="宋体" w:eastAsia="宋体" w:cs="宋体"/>
          <w:color w:val="auto"/>
          <w:sz w:val="24"/>
          <w:szCs w:val="24"/>
          <w:highlight w:val="none"/>
        </w:rPr>
      </w:pPr>
    </w:p>
    <w:p w14:paraId="3984E18D">
      <w:pPr>
        <w:pStyle w:val="33"/>
        <w:rPr>
          <w:rFonts w:hint="eastAsia" w:ascii="宋体" w:hAnsi="宋体" w:cs="宋体"/>
          <w:color w:val="auto"/>
          <w:sz w:val="24"/>
          <w:szCs w:val="24"/>
          <w:highlight w:val="none"/>
        </w:rPr>
      </w:pPr>
    </w:p>
    <w:p w14:paraId="5A66F614">
      <w:pPr>
        <w:rPr>
          <w:rFonts w:hint="eastAsia" w:ascii="宋体" w:hAnsi="宋体" w:eastAsia="宋体" w:cs="宋体"/>
          <w:color w:val="auto"/>
          <w:sz w:val="24"/>
          <w:szCs w:val="24"/>
          <w:highlight w:val="none"/>
        </w:rPr>
      </w:pPr>
    </w:p>
    <w:p w14:paraId="57588A37">
      <w:pPr>
        <w:pStyle w:val="33"/>
        <w:rPr>
          <w:rFonts w:hint="eastAsia" w:ascii="宋体" w:hAnsi="宋体" w:cs="宋体"/>
          <w:color w:val="auto"/>
          <w:sz w:val="24"/>
          <w:szCs w:val="24"/>
          <w:highlight w:val="none"/>
        </w:rPr>
      </w:pPr>
    </w:p>
    <w:p w14:paraId="17AC2C33">
      <w:pPr>
        <w:rPr>
          <w:rFonts w:hint="eastAsia" w:ascii="宋体" w:hAnsi="宋体" w:eastAsia="宋体" w:cs="宋体"/>
          <w:color w:val="auto"/>
          <w:sz w:val="24"/>
          <w:szCs w:val="24"/>
          <w:highlight w:val="none"/>
        </w:rPr>
      </w:pPr>
    </w:p>
    <w:p w14:paraId="00374A59">
      <w:pPr>
        <w:pStyle w:val="33"/>
        <w:rPr>
          <w:rFonts w:hint="eastAsia" w:ascii="宋体" w:hAnsi="宋体" w:cs="宋体"/>
          <w:color w:val="auto"/>
          <w:sz w:val="24"/>
          <w:szCs w:val="24"/>
          <w:highlight w:val="none"/>
        </w:rPr>
      </w:pPr>
    </w:p>
    <w:p w14:paraId="54B67125">
      <w:pPr>
        <w:rPr>
          <w:rFonts w:hint="eastAsia" w:ascii="宋体" w:hAnsi="宋体" w:eastAsia="宋体" w:cs="宋体"/>
          <w:color w:val="auto"/>
          <w:sz w:val="24"/>
          <w:szCs w:val="24"/>
          <w:highlight w:val="none"/>
        </w:rPr>
      </w:pPr>
    </w:p>
    <w:p w14:paraId="15D95A24">
      <w:pPr>
        <w:pStyle w:val="33"/>
        <w:rPr>
          <w:rFonts w:hint="eastAsia" w:ascii="宋体" w:hAnsi="宋体" w:cs="宋体"/>
          <w:color w:val="auto"/>
          <w:sz w:val="24"/>
          <w:szCs w:val="24"/>
          <w:highlight w:val="none"/>
        </w:rPr>
      </w:pPr>
    </w:p>
    <w:p w14:paraId="7DCD775B">
      <w:pPr>
        <w:rPr>
          <w:rFonts w:hint="eastAsia" w:ascii="宋体" w:hAnsi="宋体" w:eastAsia="宋体" w:cs="宋体"/>
          <w:color w:val="auto"/>
          <w:sz w:val="24"/>
          <w:szCs w:val="24"/>
          <w:highlight w:val="none"/>
        </w:rPr>
      </w:pPr>
    </w:p>
    <w:p w14:paraId="65037358">
      <w:pPr>
        <w:pStyle w:val="33"/>
        <w:rPr>
          <w:rFonts w:hint="eastAsia" w:ascii="宋体" w:hAnsi="宋体" w:cs="宋体"/>
          <w:color w:val="auto"/>
          <w:highlight w:val="none"/>
        </w:rPr>
      </w:pPr>
    </w:p>
    <w:p w14:paraId="339528C8">
      <w:pPr>
        <w:keepNext/>
        <w:keepLines/>
        <w:spacing w:before="156" w:after="156" w:line="360" w:lineRule="auto"/>
        <w:jc w:val="center"/>
        <w:rPr>
          <w:rFonts w:hint="eastAsia" w:ascii="宋体" w:hAnsi="宋体" w:eastAsia="宋体" w:cs="宋体"/>
          <w:bCs/>
          <w:color w:val="auto"/>
          <w:sz w:val="44"/>
          <w:szCs w:val="44"/>
          <w:highlight w:val="none"/>
        </w:rPr>
        <w:sectPr>
          <w:footerReference r:id="rId6" w:type="first"/>
          <w:footerReference r:id="rId5" w:type="default"/>
          <w:pgSz w:w="11906" w:h="16838"/>
          <w:pgMar w:top="1440" w:right="1134" w:bottom="1440" w:left="1418" w:header="851" w:footer="992" w:gutter="0"/>
          <w:cols w:space="720" w:num="1"/>
          <w:titlePg/>
          <w:docGrid w:linePitch="360" w:charSpace="0"/>
        </w:sectPr>
      </w:pPr>
    </w:p>
    <w:p w14:paraId="5948D371">
      <w:pPr>
        <w:pStyle w:val="2"/>
        <w:spacing w:before="156" w:after="156" w:line="360" w:lineRule="auto"/>
        <w:jc w:val="center"/>
        <w:rPr>
          <w:rFonts w:hint="eastAsia" w:ascii="宋体" w:hAnsi="宋体" w:eastAsia="宋体" w:cs="宋体"/>
          <w:b w:val="0"/>
          <w:color w:val="auto"/>
          <w:highlight w:val="none"/>
        </w:rPr>
      </w:pPr>
      <w:bookmarkStart w:id="16" w:name="_Toc26018"/>
      <w:bookmarkStart w:id="17" w:name="_Toc8333"/>
      <w:r>
        <w:rPr>
          <w:rFonts w:hint="eastAsia" w:ascii="宋体" w:hAnsi="宋体" w:eastAsia="宋体" w:cs="宋体"/>
          <w:b w:val="0"/>
          <w:color w:val="auto"/>
          <w:highlight w:val="none"/>
        </w:rPr>
        <w:t>第二章 投标人须知</w:t>
      </w:r>
      <w:bookmarkEnd w:id="15"/>
      <w:bookmarkEnd w:id="16"/>
      <w:bookmarkEnd w:id="17"/>
    </w:p>
    <w:p w14:paraId="05382C82">
      <w:pPr>
        <w:pStyle w:val="3"/>
        <w:spacing w:before="0" w:after="0" w:line="500" w:lineRule="exact"/>
        <w:rPr>
          <w:rFonts w:hint="eastAsia" w:ascii="宋体" w:hAnsi="宋体" w:eastAsia="宋体" w:cs="宋体"/>
          <w:b w:val="0"/>
          <w:color w:val="auto"/>
          <w:highlight w:val="none"/>
        </w:rPr>
      </w:pPr>
      <w:bookmarkStart w:id="18" w:name="_Toc32371"/>
      <w:r>
        <w:rPr>
          <w:rFonts w:hint="eastAsia" w:ascii="宋体" w:hAnsi="宋体" w:eastAsia="宋体" w:cs="宋体"/>
          <w:b w:val="0"/>
          <w:color w:val="auto"/>
          <w:highlight w:val="none"/>
        </w:rPr>
        <w:t>一、总则</w:t>
      </w:r>
      <w:bookmarkEnd w:id="18"/>
    </w:p>
    <w:p w14:paraId="00FFCC05">
      <w:pPr>
        <w:pStyle w:val="4"/>
        <w:spacing w:before="0" w:after="0" w:line="500" w:lineRule="exact"/>
        <w:ind w:firstLine="561"/>
        <w:jc w:val="left"/>
        <w:rPr>
          <w:rFonts w:hint="eastAsia" w:ascii="宋体" w:hAnsi="宋体" w:eastAsia="宋体" w:cs="宋体"/>
          <w:color w:val="auto"/>
          <w:sz w:val="28"/>
          <w:szCs w:val="28"/>
          <w:highlight w:val="none"/>
        </w:rPr>
      </w:pPr>
      <w:bookmarkStart w:id="19" w:name="_Toc16017"/>
      <w:r>
        <w:rPr>
          <w:rFonts w:hint="eastAsia" w:ascii="宋体" w:hAnsi="宋体" w:eastAsia="宋体" w:cs="宋体"/>
          <w:color w:val="auto"/>
          <w:sz w:val="28"/>
          <w:szCs w:val="28"/>
          <w:highlight w:val="none"/>
        </w:rPr>
        <w:t>1、招标方式</w:t>
      </w:r>
      <w:bookmarkEnd w:id="19"/>
    </w:p>
    <w:p w14:paraId="6B562FF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038C3569">
      <w:pPr>
        <w:pStyle w:val="4"/>
        <w:spacing w:before="0" w:after="0" w:line="500" w:lineRule="exact"/>
        <w:ind w:firstLine="562"/>
        <w:jc w:val="left"/>
        <w:rPr>
          <w:rFonts w:hint="eastAsia" w:ascii="宋体" w:hAnsi="宋体" w:eastAsia="宋体" w:cs="宋体"/>
          <w:color w:val="auto"/>
          <w:sz w:val="28"/>
          <w:szCs w:val="28"/>
          <w:highlight w:val="none"/>
        </w:rPr>
      </w:pPr>
      <w:bookmarkStart w:id="20" w:name="_Toc25850"/>
      <w:r>
        <w:rPr>
          <w:rFonts w:hint="eastAsia" w:ascii="宋体" w:hAnsi="宋体" w:eastAsia="宋体" w:cs="宋体"/>
          <w:color w:val="auto"/>
          <w:sz w:val="28"/>
          <w:szCs w:val="28"/>
          <w:highlight w:val="none"/>
        </w:rPr>
        <w:t>2、合格的投标人</w:t>
      </w:r>
      <w:bookmarkEnd w:id="20"/>
    </w:p>
    <w:p w14:paraId="7A339AF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满足招标公告中申请人的资格要求的规定。</w:t>
      </w:r>
    </w:p>
    <w:p w14:paraId="07DB8B3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13DFCDD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2.3满足本招标文件全部实质性要求和条件的规定。</w:t>
      </w:r>
    </w:p>
    <w:p w14:paraId="33DAB68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符合上述条件的投标人应承担投标及履约过程应承担的全部责任与义务。</w:t>
      </w:r>
    </w:p>
    <w:p w14:paraId="603AA78B">
      <w:pPr>
        <w:pStyle w:val="4"/>
        <w:spacing w:before="0" w:after="0" w:line="500" w:lineRule="exact"/>
        <w:ind w:firstLine="562"/>
        <w:jc w:val="left"/>
        <w:rPr>
          <w:rFonts w:hint="eastAsia" w:ascii="宋体" w:hAnsi="宋体" w:eastAsia="宋体" w:cs="宋体"/>
          <w:color w:val="auto"/>
          <w:sz w:val="28"/>
          <w:szCs w:val="28"/>
          <w:highlight w:val="none"/>
        </w:rPr>
      </w:pPr>
      <w:bookmarkStart w:id="21" w:name="_Toc27173"/>
      <w:r>
        <w:rPr>
          <w:rFonts w:hint="eastAsia" w:ascii="宋体" w:hAnsi="宋体" w:eastAsia="宋体" w:cs="宋体"/>
          <w:color w:val="auto"/>
          <w:sz w:val="28"/>
          <w:szCs w:val="28"/>
          <w:highlight w:val="none"/>
        </w:rPr>
        <w:t>3、适用法律</w:t>
      </w:r>
      <w:bookmarkEnd w:id="21"/>
    </w:p>
    <w:p w14:paraId="4F0629E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3.1本次招标及由此产生的合同受中华人民共和国有关的法律法规制约和保护。</w:t>
      </w:r>
    </w:p>
    <w:p w14:paraId="79154840">
      <w:pPr>
        <w:pStyle w:val="4"/>
        <w:spacing w:before="0" w:after="0" w:line="500" w:lineRule="exact"/>
        <w:ind w:firstLine="562"/>
        <w:jc w:val="left"/>
        <w:rPr>
          <w:rFonts w:hint="eastAsia" w:ascii="宋体" w:hAnsi="宋体" w:eastAsia="宋体" w:cs="宋体"/>
          <w:color w:val="auto"/>
          <w:sz w:val="28"/>
          <w:szCs w:val="28"/>
          <w:highlight w:val="none"/>
        </w:rPr>
      </w:pPr>
      <w:bookmarkStart w:id="22" w:name="_Toc11107"/>
      <w:r>
        <w:rPr>
          <w:rFonts w:hint="eastAsia" w:ascii="宋体" w:hAnsi="宋体" w:eastAsia="宋体" w:cs="宋体"/>
          <w:color w:val="auto"/>
          <w:sz w:val="28"/>
          <w:szCs w:val="28"/>
          <w:highlight w:val="none"/>
        </w:rPr>
        <w:t>4、投标费用</w:t>
      </w:r>
      <w:bookmarkEnd w:id="22"/>
    </w:p>
    <w:p w14:paraId="78138C2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4.1投标人应自行承担所有与参加投标有关的费用，无论投标过程中的做法和结果如何，采购人和江苏正茂项目管理有限公司（以下简称代理公司）在任何情况下均无义务和责任承担这些费用。</w:t>
      </w:r>
    </w:p>
    <w:p w14:paraId="31291E1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采购代理费按苏政采协【2024】20号文规定的收费标准计取，由成交人支付，支付方式：电汇，网银，现金，该费用不单独计列，综合考虑计入响应文件报价中。相关费用必须在中标公示后中标通知书发出前由中标人一次性付清。</w:t>
      </w:r>
    </w:p>
    <w:p w14:paraId="22D520C8">
      <w:pPr>
        <w:pStyle w:val="4"/>
        <w:spacing w:before="0" w:after="0" w:line="500" w:lineRule="exact"/>
        <w:ind w:firstLine="561"/>
        <w:jc w:val="left"/>
        <w:rPr>
          <w:rFonts w:hint="eastAsia" w:ascii="宋体" w:hAnsi="宋体" w:eastAsia="宋体" w:cs="宋体"/>
          <w:color w:val="auto"/>
          <w:sz w:val="28"/>
          <w:szCs w:val="28"/>
          <w:highlight w:val="none"/>
        </w:rPr>
      </w:pPr>
      <w:bookmarkStart w:id="23" w:name="_Toc1947"/>
      <w:r>
        <w:rPr>
          <w:rFonts w:hint="eastAsia" w:ascii="宋体" w:hAnsi="宋体" w:eastAsia="宋体" w:cs="宋体"/>
          <w:color w:val="auto"/>
          <w:sz w:val="28"/>
          <w:szCs w:val="28"/>
          <w:highlight w:val="none"/>
        </w:rPr>
        <w:t>5、招标文件的约束力</w:t>
      </w:r>
      <w:bookmarkEnd w:id="23"/>
    </w:p>
    <w:p w14:paraId="49D7D87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投标人一旦参加本项目采购活动，即被认为接受了本招标文件的规定和约束。</w:t>
      </w:r>
    </w:p>
    <w:p w14:paraId="35894F40">
      <w:pPr>
        <w:pStyle w:val="3"/>
        <w:spacing w:before="0" w:after="0" w:line="500" w:lineRule="exact"/>
        <w:rPr>
          <w:rFonts w:hint="eastAsia" w:ascii="宋体" w:hAnsi="宋体" w:eastAsia="宋体" w:cs="宋体"/>
          <w:b w:val="0"/>
          <w:color w:val="auto"/>
          <w:highlight w:val="none"/>
        </w:rPr>
      </w:pPr>
      <w:bookmarkStart w:id="24" w:name="_Toc7306"/>
      <w:r>
        <w:rPr>
          <w:rFonts w:hint="eastAsia" w:ascii="宋体" w:hAnsi="宋体" w:eastAsia="宋体" w:cs="宋体"/>
          <w:b w:val="0"/>
          <w:color w:val="auto"/>
          <w:highlight w:val="none"/>
        </w:rPr>
        <w:t>二、招标文件</w:t>
      </w:r>
      <w:bookmarkEnd w:id="24"/>
    </w:p>
    <w:p w14:paraId="07976143">
      <w:pPr>
        <w:pStyle w:val="4"/>
        <w:spacing w:before="0" w:after="0" w:line="500" w:lineRule="exact"/>
        <w:ind w:firstLine="562"/>
        <w:jc w:val="left"/>
        <w:rPr>
          <w:rFonts w:hint="eastAsia" w:ascii="宋体" w:hAnsi="宋体" w:eastAsia="宋体" w:cs="宋体"/>
          <w:color w:val="auto"/>
          <w:sz w:val="28"/>
          <w:szCs w:val="28"/>
          <w:highlight w:val="none"/>
        </w:rPr>
      </w:pPr>
      <w:bookmarkStart w:id="25" w:name="_Toc1196"/>
      <w:r>
        <w:rPr>
          <w:rFonts w:hint="eastAsia" w:ascii="宋体" w:hAnsi="宋体" w:eastAsia="宋体" w:cs="宋体"/>
          <w:color w:val="auto"/>
          <w:sz w:val="28"/>
          <w:szCs w:val="28"/>
          <w:highlight w:val="none"/>
        </w:rPr>
        <w:t>6、招标文件的构成</w:t>
      </w:r>
      <w:bookmarkEnd w:id="25"/>
    </w:p>
    <w:p w14:paraId="37E81B8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6.1招标文件由以下部分</w:t>
      </w:r>
      <w:r>
        <w:rPr>
          <w:rFonts w:hint="eastAsia" w:ascii="宋体" w:hAnsi="宋体" w:eastAsia="宋体" w:cs="宋体"/>
          <w:color w:val="auto"/>
          <w:sz w:val="24"/>
          <w:highlight w:val="none"/>
        </w:rPr>
        <w:t>组成</w:t>
      </w:r>
      <w:r>
        <w:rPr>
          <w:rFonts w:hint="eastAsia" w:ascii="宋体" w:hAnsi="宋体" w:eastAsia="宋体" w:cs="宋体"/>
          <w:color w:val="auto"/>
          <w:sz w:val="24"/>
          <w:szCs w:val="24"/>
          <w:highlight w:val="none"/>
        </w:rPr>
        <w:t>：</w:t>
      </w:r>
    </w:p>
    <w:p w14:paraId="0E3CF61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651C93E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417012B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0852115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73DCC60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2E7FE97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34B974D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请仔细检查招标文件是否齐全，如有缺漏请立即与代理公司联系解决。</w:t>
      </w:r>
    </w:p>
    <w:p w14:paraId="2E29C57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819D87D">
      <w:pPr>
        <w:pStyle w:val="4"/>
        <w:spacing w:before="0" w:after="0" w:line="500" w:lineRule="exact"/>
        <w:ind w:firstLine="562"/>
        <w:jc w:val="left"/>
        <w:rPr>
          <w:rFonts w:hint="eastAsia" w:ascii="宋体" w:hAnsi="宋体" w:eastAsia="宋体" w:cs="宋体"/>
          <w:color w:val="auto"/>
          <w:sz w:val="28"/>
          <w:szCs w:val="28"/>
          <w:highlight w:val="none"/>
        </w:rPr>
      </w:pPr>
      <w:bookmarkStart w:id="26" w:name="_Toc11366"/>
      <w:r>
        <w:rPr>
          <w:rFonts w:hint="eastAsia" w:ascii="宋体" w:hAnsi="宋体" w:eastAsia="宋体" w:cs="宋体"/>
          <w:color w:val="auto"/>
          <w:sz w:val="28"/>
          <w:szCs w:val="28"/>
          <w:highlight w:val="none"/>
        </w:rPr>
        <w:t>7、招标文件的澄清</w:t>
      </w:r>
      <w:bookmarkEnd w:id="26"/>
    </w:p>
    <w:p w14:paraId="12FFF38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7.1任何要求对招标文件进行澄清的投标人，应在投标截止时间十日前按招标公告中的通讯地址，以书面形式通知采购人或者代理公司。</w:t>
      </w:r>
    </w:p>
    <w:p w14:paraId="1D79F85B">
      <w:pPr>
        <w:pStyle w:val="4"/>
        <w:spacing w:before="0" w:after="0" w:line="500" w:lineRule="exact"/>
        <w:ind w:firstLine="562"/>
        <w:jc w:val="left"/>
        <w:rPr>
          <w:rFonts w:hint="eastAsia" w:ascii="宋体" w:hAnsi="宋体" w:eastAsia="宋体" w:cs="宋体"/>
          <w:color w:val="auto"/>
          <w:sz w:val="28"/>
          <w:szCs w:val="28"/>
          <w:highlight w:val="none"/>
        </w:rPr>
      </w:pPr>
      <w:bookmarkStart w:id="27" w:name="_Toc22028"/>
      <w:r>
        <w:rPr>
          <w:rFonts w:hint="eastAsia" w:ascii="宋体" w:hAnsi="宋体" w:eastAsia="宋体" w:cs="宋体"/>
          <w:color w:val="auto"/>
          <w:sz w:val="28"/>
          <w:szCs w:val="28"/>
          <w:highlight w:val="none"/>
        </w:rPr>
        <w:t>8、招标文件的修改</w:t>
      </w:r>
      <w:bookmarkEnd w:id="27"/>
    </w:p>
    <w:p w14:paraId="75AAD06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8.1在投标截止时间前，采购人和代理公司可以对招标文件进行修改。</w:t>
      </w:r>
    </w:p>
    <w:p w14:paraId="57405C8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8.2采购人和代理公司有权按照法定的要求推迟投标截止日期和开标日期。</w:t>
      </w:r>
    </w:p>
    <w:p w14:paraId="1B170E6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8.3招标文件的修改将在江苏政府采购网公布，补充文件将作为招标文件的组成部分，并对投标人具有约束力。</w:t>
      </w:r>
    </w:p>
    <w:p w14:paraId="0A8E64DD">
      <w:pPr>
        <w:pStyle w:val="3"/>
        <w:spacing w:before="0" w:after="0" w:line="500" w:lineRule="exact"/>
        <w:rPr>
          <w:rFonts w:hint="eastAsia" w:ascii="宋体" w:hAnsi="宋体" w:eastAsia="宋体" w:cs="宋体"/>
          <w:b w:val="0"/>
          <w:color w:val="auto"/>
          <w:highlight w:val="none"/>
        </w:rPr>
      </w:pPr>
      <w:bookmarkStart w:id="28" w:name="_Toc29452"/>
      <w:r>
        <w:rPr>
          <w:rFonts w:hint="eastAsia" w:ascii="宋体" w:hAnsi="宋体" w:eastAsia="宋体" w:cs="宋体"/>
          <w:b w:val="0"/>
          <w:color w:val="auto"/>
          <w:highlight w:val="none"/>
        </w:rPr>
        <w:t>三、投标文件编制</w:t>
      </w:r>
      <w:bookmarkEnd w:id="28"/>
    </w:p>
    <w:p w14:paraId="75C8545A">
      <w:pPr>
        <w:pStyle w:val="4"/>
        <w:spacing w:before="0" w:after="0" w:line="500" w:lineRule="exact"/>
        <w:ind w:firstLine="562"/>
        <w:jc w:val="left"/>
        <w:rPr>
          <w:rFonts w:hint="eastAsia" w:ascii="宋体" w:hAnsi="宋体" w:eastAsia="宋体" w:cs="宋体"/>
          <w:color w:val="auto"/>
          <w:sz w:val="28"/>
          <w:szCs w:val="28"/>
          <w:highlight w:val="none"/>
        </w:rPr>
      </w:pPr>
      <w:bookmarkStart w:id="29" w:name="_Toc6370"/>
      <w:r>
        <w:rPr>
          <w:rFonts w:hint="eastAsia" w:ascii="宋体" w:hAnsi="宋体" w:eastAsia="宋体" w:cs="宋体"/>
          <w:color w:val="auto"/>
          <w:sz w:val="28"/>
          <w:szCs w:val="28"/>
          <w:highlight w:val="none"/>
        </w:rPr>
        <w:t>9、投标文件编写注意事项</w:t>
      </w:r>
      <w:bookmarkEnd w:id="29"/>
    </w:p>
    <w:p w14:paraId="029557E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56E32C0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p>
    <w:p w14:paraId="14BDDE47">
      <w:pPr>
        <w:pStyle w:val="4"/>
        <w:spacing w:before="0" w:after="0" w:line="500" w:lineRule="exact"/>
        <w:ind w:firstLine="562"/>
        <w:jc w:val="left"/>
        <w:rPr>
          <w:rFonts w:hint="eastAsia" w:ascii="宋体" w:hAnsi="宋体" w:eastAsia="宋体" w:cs="宋体"/>
          <w:color w:val="auto"/>
          <w:sz w:val="28"/>
          <w:szCs w:val="28"/>
          <w:highlight w:val="none"/>
        </w:rPr>
      </w:pPr>
      <w:bookmarkStart w:id="30" w:name="_Toc4299"/>
      <w:r>
        <w:rPr>
          <w:rFonts w:hint="eastAsia" w:ascii="宋体" w:hAnsi="宋体" w:eastAsia="宋体" w:cs="宋体"/>
          <w:color w:val="auto"/>
          <w:sz w:val="28"/>
          <w:szCs w:val="28"/>
          <w:highlight w:val="none"/>
        </w:rPr>
        <w:t>10、投标文件的语言及度量衡单位</w:t>
      </w:r>
      <w:bookmarkEnd w:id="30"/>
    </w:p>
    <w:p w14:paraId="40C3C78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4AE7BE9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除技术性能另有规定外，投标文件所使用的度量衡单位，均须采用国家法定计量单位。</w:t>
      </w:r>
    </w:p>
    <w:p w14:paraId="2F44241E">
      <w:pPr>
        <w:pStyle w:val="4"/>
        <w:spacing w:before="0" w:after="0" w:line="500" w:lineRule="exact"/>
        <w:ind w:firstLine="562"/>
        <w:jc w:val="left"/>
        <w:rPr>
          <w:rFonts w:hint="eastAsia" w:ascii="宋体" w:hAnsi="宋体" w:eastAsia="宋体" w:cs="宋体"/>
          <w:color w:val="auto"/>
          <w:sz w:val="28"/>
          <w:szCs w:val="28"/>
          <w:highlight w:val="none"/>
        </w:rPr>
      </w:pPr>
      <w:bookmarkStart w:id="31" w:name="_Toc3330"/>
      <w:r>
        <w:rPr>
          <w:rFonts w:hint="eastAsia" w:ascii="宋体" w:hAnsi="宋体" w:eastAsia="宋体" w:cs="宋体"/>
          <w:color w:val="auto"/>
          <w:sz w:val="28"/>
          <w:szCs w:val="28"/>
          <w:highlight w:val="none"/>
        </w:rPr>
        <w:t>11、投标文件的构成</w:t>
      </w:r>
      <w:bookmarkEnd w:id="31"/>
    </w:p>
    <w:p w14:paraId="4CA8B33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11.1投标人编写的投标文件应包括资格证明文件、符合性证明文件、投标分项报价表、技术要求响应及偏离表（如有请提供）、商务要求响应及偏离表、其他证明文件、投标函、开标一览表等部分。</w:t>
      </w:r>
    </w:p>
    <w:p w14:paraId="3A26539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11.2如投标文件制作工具中的格式和内容与江苏政府采购网发布的招标文件不一致，请以江苏政府采购网发布的招标文件为准。</w:t>
      </w:r>
    </w:p>
    <w:p w14:paraId="038C044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特别提醒投标人，混乱的编排导致投标文件被误读或评标委员会（以下简称评委会）查找不到有效文件是投标人的风险。</w:t>
      </w:r>
    </w:p>
    <w:p w14:paraId="03EBB864">
      <w:pPr>
        <w:pStyle w:val="4"/>
        <w:spacing w:before="0" w:after="0" w:line="500" w:lineRule="exact"/>
        <w:ind w:firstLine="562"/>
        <w:jc w:val="left"/>
        <w:rPr>
          <w:rFonts w:hint="eastAsia" w:ascii="宋体" w:hAnsi="宋体" w:eastAsia="宋体" w:cs="宋体"/>
          <w:color w:val="auto"/>
          <w:sz w:val="28"/>
          <w:szCs w:val="28"/>
          <w:highlight w:val="none"/>
        </w:rPr>
      </w:pPr>
      <w:bookmarkStart w:id="32" w:name="_Toc19450"/>
      <w:r>
        <w:rPr>
          <w:rFonts w:hint="eastAsia" w:ascii="宋体" w:hAnsi="宋体" w:eastAsia="宋体" w:cs="宋体"/>
          <w:color w:val="auto"/>
          <w:sz w:val="28"/>
          <w:szCs w:val="28"/>
          <w:highlight w:val="none"/>
        </w:rPr>
        <w:t>12、证明投标人及投标标的符合招标文件规定的文件</w:t>
      </w:r>
      <w:bookmarkEnd w:id="32"/>
    </w:p>
    <w:p w14:paraId="5187F68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12.1投标人应按照招标文件要求提交证明文件，证明其及投标标的符合招标文件规定。</w:t>
      </w:r>
    </w:p>
    <w:p w14:paraId="603EEE2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12.2招标文件对证明文件无明确形式要求的，证明文件可以以文字资料、图纸和数据等形式提交。</w:t>
      </w:r>
    </w:p>
    <w:p w14:paraId="6ABF4DB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投标人委托代理时应当提交授权委托书，请按招标文件第六章规定格式及要求填写并附法定代表人（单位负责人）与委托代理人身份证明。</w:t>
      </w:r>
    </w:p>
    <w:p w14:paraId="04ED254E">
      <w:pPr>
        <w:pStyle w:val="4"/>
        <w:spacing w:before="0" w:after="0" w:line="500" w:lineRule="exact"/>
        <w:ind w:firstLine="562"/>
        <w:jc w:val="left"/>
        <w:rPr>
          <w:rFonts w:hint="eastAsia" w:ascii="宋体" w:hAnsi="宋体" w:eastAsia="宋体" w:cs="宋体"/>
          <w:color w:val="auto"/>
          <w:highlight w:val="none"/>
        </w:rPr>
      </w:pPr>
      <w:bookmarkStart w:id="33" w:name="_Toc5613"/>
      <w:r>
        <w:rPr>
          <w:rFonts w:hint="eastAsia" w:ascii="宋体" w:hAnsi="宋体" w:eastAsia="宋体" w:cs="宋体"/>
          <w:color w:val="auto"/>
          <w:sz w:val="28"/>
          <w:szCs w:val="28"/>
          <w:highlight w:val="none"/>
        </w:rPr>
        <w:t>13、投标分项报价表</w:t>
      </w:r>
      <w:bookmarkEnd w:id="33"/>
    </w:p>
    <w:p w14:paraId="72DD1A1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13.1投标人应根据投标报价要求在投标分项报价表中列明各项投标单价、总价等，未全部列示的作无效响应处理。</w:t>
      </w:r>
    </w:p>
    <w:p w14:paraId="072184C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13.2投标文件中的单价和总价无特殊规定的采用人民币报价，以元为单位标注。招标文件中另有规定的按规定执行。</w:t>
      </w:r>
    </w:p>
    <w:p w14:paraId="7EE58317">
      <w:pPr>
        <w:pStyle w:val="4"/>
        <w:spacing w:before="0" w:after="0" w:line="500" w:lineRule="exact"/>
        <w:ind w:firstLine="562"/>
        <w:jc w:val="left"/>
        <w:rPr>
          <w:rFonts w:hint="eastAsia" w:ascii="宋体" w:hAnsi="宋体" w:eastAsia="宋体" w:cs="宋体"/>
          <w:color w:val="auto"/>
          <w:sz w:val="28"/>
          <w:szCs w:val="28"/>
          <w:highlight w:val="none"/>
        </w:rPr>
      </w:pPr>
      <w:bookmarkStart w:id="34" w:name="_Toc32373"/>
      <w:r>
        <w:rPr>
          <w:rFonts w:hint="eastAsia" w:ascii="宋体" w:hAnsi="宋体" w:eastAsia="宋体" w:cs="宋体"/>
          <w:color w:val="auto"/>
          <w:sz w:val="28"/>
          <w:szCs w:val="28"/>
          <w:highlight w:val="none"/>
        </w:rPr>
        <w:t>14、技术要求响应及偏离表、商务要求响应及偏离表</w:t>
      </w:r>
      <w:bookmarkEnd w:id="34"/>
    </w:p>
    <w:p w14:paraId="1A833D9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2D82D7A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14.2投标人可在投标文件中提供认为需要的其他技术文件或说明。</w:t>
      </w:r>
    </w:p>
    <w:p w14:paraId="2CDBEC3E">
      <w:pPr>
        <w:pStyle w:val="4"/>
        <w:spacing w:before="0" w:after="0" w:line="500" w:lineRule="exact"/>
        <w:ind w:firstLine="562"/>
        <w:jc w:val="left"/>
        <w:rPr>
          <w:rFonts w:hint="eastAsia" w:ascii="宋体" w:hAnsi="宋体" w:eastAsia="宋体" w:cs="宋体"/>
          <w:color w:val="auto"/>
          <w:sz w:val="28"/>
          <w:szCs w:val="28"/>
          <w:highlight w:val="none"/>
        </w:rPr>
      </w:pPr>
      <w:bookmarkStart w:id="35" w:name="_Toc8422"/>
      <w:r>
        <w:rPr>
          <w:rFonts w:hint="eastAsia" w:ascii="宋体" w:hAnsi="宋体" w:eastAsia="宋体" w:cs="宋体"/>
          <w:color w:val="auto"/>
          <w:sz w:val="28"/>
          <w:szCs w:val="28"/>
          <w:highlight w:val="none"/>
        </w:rPr>
        <w:t>15、服务承诺、培训计划、人员安排及其他</w:t>
      </w:r>
      <w:bookmarkEnd w:id="35"/>
    </w:p>
    <w:p w14:paraId="273603C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15.1投标人需根据招标文件要求提供有关售后服务的管理制度，售后服务机构的分布情况，售后服务人员的数量、素质、技术水平及售后服务的反应能力等。</w:t>
      </w:r>
    </w:p>
    <w:p w14:paraId="3D9806F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15.2投标人需根据招标文件要求提供培训计划、人员安排等。</w:t>
      </w:r>
    </w:p>
    <w:p w14:paraId="2118B38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15.3投标人需根据招标文件要求提供所投标的主要组成部分、功能设计、实现思路及关键技术等。</w:t>
      </w:r>
    </w:p>
    <w:p w14:paraId="71444E04">
      <w:pPr>
        <w:pStyle w:val="4"/>
        <w:spacing w:before="0" w:after="0" w:line="500" w:lineRule="exact"/>
        <w:ind w:firstLine="562"/>
        <w:jc w:val="left"/>
        <w:rPr>
          <w:rFonts w:hint="eastAsia" w:ascii="宋体" w:hAnsi="宋体" w:eastAsia="宋体" w:cs="宋体"/>
          <w:color w:val="auto"/>
          <w:sz w:val="28"/>
          <w:szCs w:val="28"/>
          <w:highlight w:val="none"/>
        </w:rPr>
      </w:pPr>
      <w:bookmarkStart w:id="36" w:name="_Toc22502"/>
      <w:r>
        <w:rPr>
          <w:rFonts w:hint="eastAsia" w:ascii="宋体" w:hAnsi="宋体" w:eastAsia="宋体" w:cs="宋体"/>
          <w:color w:val="auto"/>
          <w:sz w:val="28"/>
          <w:szCs w:val="28"/>
          <w:highlight w:val="none"/>
        </w:rPr>
        <w:t>16、投标函和开标一览表</w:t>
      </w:r>
      <w:bookmarkEnd w:id="36"/>
    </w:p>
    <w:p w14:paraId="31DF0EB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16.1投标人应按照招标文件中提供的格式完整、正确填写投标函、开标一览表。</w:t>
      </w:r>
    </w:p>
    <w:p w14:paraId="465BF3B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16.2对于采用货币报价的项目，开标一览表中的投标总报价应与投标分项报价表中的投标总报价一致，如不一致，不做无效投标处理，但评标时以开标一览表中价格为准。</w:t>
      </w:r>
    </w:p>
    <w:p w14:paraId="633AB1BB">
      <w:pPr>
        <w:pStyle w:val="4"/>
        <w:spacing w:before="0" w:after="0" w:line="500" w:lineRule="exact"/>
        <w:ind w:firstLine="562"/>
        <w:jc w:val="left"/>
        <w:rPr>
          <w:rFonts w:hint="eastAsia" w:ascii="宋体" w:hAnsi="宋体" w:eastAsia="宋体" w:cs="宋体"/>
          <w:color w:val="auto"/>
          <w:sz w:val="28"/>
          <w:szCs w:val="28"/>
          <w:highlight w:val="none"/>
        </w:rPr>
      </w:pPr>
      <w:bookmarkStart w:id="37" w:name="_Toc158"/>
      <w:r>
        <w:rPr>
          <w:rFonts w:hint="eastAsia" w:ascii="宋体" w:hAnsi="宋体" w:eastAsia="宋体" w:cs="宋体"/>
          <w:color w:val="auto"/>
          <w:sz w:val="28"/>
          <w:szCs w:val="28"/>
          <w:highlight w:val="none"/>
        </w:rPr>
        <w:t>17、投标有效期</w:t>
      </w:r>
      <w:bookmarkEnd w:id="37"/>
    </w:p>
    <w:p w14:paraId="0F1A055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17.1投标有效期为招标文件规定的开标之日后六十（60）天。投标有效期比规定短的将被视为未实质性响应招标文件而予以拒绝。</w:t>
      </w:r>
    </w:p>
    <w:p w14:paraId="1D6AED8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p>
    <w:p w14:paraId="70B6CAB1">
      <w:pPr>
        <w:pStyle w:val="3"/>
        <w:spacing w:before="0" w:after="0" w:line="500" w:lineRule="exact"/>
        <w:rPr>
          <w:rFonts w:hint="eastAsia" w:ascii="宋体" w:hAnsi="宋体" w:eastAsia="宋体" w:cs="宋体"/>
          <w:b w:val="0"/>
          <w:color w:val="auto"/>
          <w:highlight w:val="none"/>
        </w:rPr>
      </w:pPr>
      <w:bookmarkStart w:id="38" w:name="_Toc25404"/>
      <w:r>
        <w:rPr>
          <w:rFonts w:hint="eastAsia" w:ascii="宋体" w:hAnsi="宋体" w:eastAsia="宋体" w:cs="宋体"/>
          <w:b w:val="0"/>
          <w:color w:val="auto"/>
          <w:highlight w:val="none"/>
        </w:rPr>
        <w:t>四、投标文件递交</w:t>
      </w:r>
      <w:bookmarkEnd w:id="38"/>
    </w:p>
    <w:p w14:paraId="70E7AE7C">
      <w:pPr>
        <w:pStyle w:val="4"/>
        <w:spacing w:before="0" w:after="0" w:line="500" w:lineRule="exact"/>
        <w:ind w:firstLine="562"/>
        <w:jc w:val="left"/>
        <w:rPr>
          <w:rFonts w:hint="eastAsia" w:ascii="宋体" w:hAnsi="宋体" w:eastAsia="宋体" w:cs="宋体"/>
          <w:color w:val="auto"/>
          <w:sz w:val="28"/>
          <w:szCs w:val="28"/>
          <w:highlight w:val="none"/>
        </w:rPr>
      </w:pPr>
      <w:bookmarkStart w:id="39" w:name="_Toc4929"/>
      <w:r>
        <w:rPr>
          <w:rFonts w:hint="eastAsia" w:ascii="宋体" w:hAnsi="宋体" w:eastAsia="宋体" w:cs="宋体"/>
          <w:color w:val="auto"/>
          <w:sz w:val="28"/>
          <w:szCs w:val="28"/>
          <w:highlight w:val="none"/>
        </w:rPr>
        <w:t>18、电子投标文件的递交</w:t>
      </w:r>
      <w:bookmarkEnd w:id="39"/>
    </w:p>
    <w:p w14:paraId="6C38A30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18.1投标人应当按照《操作手册》规定，在投标截止时间前制作并递交（上传）电子投标文件。</w:t>
      </w:r>
    </w:p>
    <w:p w14:paraId="536394E2">
      <w:pPr>
        <w:pStyle w:val="4"/>
        <w:spacing w:before="0" w:after="0" w:line="500" w:lineRule="exact"/>
        <w:ind w:firstLine="562"/>
        <w:jc w:val="left"/>
        <w:rPr>
          <w:rFonts w:hint="eastAsia" w:ascii="宋体" w:hAnsi="宋体" w:eastAsia="宋体" w:cs="宋体"/>
          <w:color w:val="auto"/>
          <w:sz w:val="28"/>
          <w:szCs w:val="28"/>
          <w:highlight w:val="none"/>
        </w:rPr>
      </w:pPr>
      <w:bookmarkStart w:id="40" w:name="_Toc28934"/>
      <w:r>
        <w:rPr>
          <w:rFonts w:hint="eastAsia" w:ascii="宋体" w:hAnsi="宋体" w:eastAsia="宋体" w:cs="宋体"/>
          <w:color w:val="auto"/>
          <w:sz w:val="28"/>
          <w:szCs w:val="28"/>
          <w:highlight w:val="none"/>
        </w:rPr>
        <w:t>19、投标截止时间</w:t>
      </w:r>
      <w:bookmarkEnd w:id="40"/>
    </w:p>
    <w:p w14:paraId="756C2CE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19.1投标人递交（上传）电子投标文件的时间不得迟于招标公告中规定的投标截止时间。</w:t>
      </w:r>
    </w:p>
    <w:p w14:paraId="7022A8B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投标人应充分考虑计算机硬件、软件及网络环境等风险因素，如因投标人自身原因造成电子投标文件递交（上传）不成功的按照本招标文件第二章第27.1条规定做无效投标处理。</w:t>
      </w:r>
    </w:p>
    <w:p w14:paraId="1F1AA08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19.2采购人和代理公司可以按照规定，通过修改招标文件酌情延长投标截止时间，在此情况下，投标人的所有权利和义务以及投标人受制的截止时间均应以延长后新的截止时间为准。</w:t>
      </w:r>
    </w:p>
    <w:p w14:paraId="4D9A6193">
      <w:pPr>
        <w:pStyle w:val="4"/>
        <w:spacing w:before="0" w:after="0" w:line="500" w:lineRule="exact"/>
        <w:ind w:firstLine="562"/>
        <w:jc w:val="left"/>
        <w:rPr>
          <w:rFonts w:hint="eastAsia" w:ascii="宋体" w:hAnsi="宋体" w:eastAsia="宋体" w:cs="宋体"/>
          <w:color w:val="auto"/>
          <w:sz w:val="28"/>
          <w:szCs w:val="28"/>
          <w:highlight w:val="none"/>
        </w:rPr>
      </w:pPr>
      <w:bookmarkStart w:id="41" w:name="_Toc28139"/>
      <w:r>
        <w:rPr>
          <w:rFonts w:hint="eastAsia" w:ascii="宋体" w:hAnsi="宋体" w:eastAsia="宋体" w:cs="宋体"/>
          <w:color w:val="auto"/>
          <w:sz w:val="28"/>
          <w:szCs w:val="28"/>
          <w:highlight w:val="none"/>
        </w:rPr>
        <w:t>20、投标文件的拒收</w:t>
      </w:r>
      <w:bookmarkEnd w:id="41"/>
    </w:p>
    <w:p w14:paraId="4BF817D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代理公司拒绝接收在招标文件规定的投标截止时间后递交（上传）的任何投标文件。</w:t>
      </w:r>
    </w:p>
    <w:p w14:paraId="05791A5D">
      <w:pPr>
        <w:pStyle w:val="4"/>
        <w:spacing w:before="0" w:after="0" w:line="500" w:lineRule="exact"/>
        <w:ind w:firstLine="562"/>
        <w:jc w:val="left"/>
        <w:rPr>
          <w:rFonts w:hint="eastAsia" w:ascii="宋体" w:hAnsi="宋体" w:eastAsia="宋体" w:cs="宋体"/>
          <w:color w:val="auto"/>
          <w:sz w:val="28"/>
          <w:szCs w:val="28"/>
          <w:highlight w:val="none"/>
        </w:rPr>
      </w:pPr>
      <w:bookmarkStart w:id="42" w:name="_Toc21904"/>
      <w:r>
        <w:rPr>
          <w:rFonts w:hint="eastAsia" w:ascii="宋体" w:hAnsi="宋体" w:eastAsia="宋体" w:cs="宋体"/>
          <w:color w:val="auto"/>
          <w:sz w:val="28"/>
          <w:szCs w:val="28"/>
          <w:highlight w:val="none"/>
        </w:rPr>
        <w:t>21、投标文件的撤回和修改</w:t>
      </w:r>
      <w:bookmarkEnd w:id="42"/>
    </w:p>
    <w:p w14:paraId="1C2F043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21.1投标人可在投标截止时间前，撤回其电子投标文件，具体操作方法见《操作手册》。投标人撤回电子投标文件的，则认为其不再参与本项目投标活动。</w:t>
      </w:r>
    </w:p>
    <w:p w14:paraId="15C31E1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21.2投标人可在投标截止时间前，对其电子投标文件进行修改，具体操作方法见《操作手册》。在投标截止时间之后，投标人不得对其电子投标文件做任何修改。</w:t>
      </w:r>
    </w:p>
    <w:p w14:paraId="25AFBDE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21.3在投标截止时间至招标文件中规定的投标有效期满之间的这段时间内，投标人不得撤回其投标。</w:t>
      </w:r>
    </w:p>
    <w:p w14:paraId="43D0B5C0">
      <w:pPr>
        <w:pStyle w:val="3"/>
        <w:spacing w:before="0" w:after="0" w:line="500" w:lineRule="exact"/>
        <w:rPr>
          <w:rFonts w:hint="eastAsia" w:ascii="宋体" w:hAnsi="宋体" w:eastAsia="宋体" w:cs="宋体"/>
          <w:b w:val="0"/>
          <w:color w:val="auto"/>
          <w:highlight w:val="none"/>
        </w:rPr>
      </w:pPr>
      <w:bookmarkStart w:id="43" w:name="_Toc24785"/>
      <w:r>
        <w:rPr>
          <w:rFonts w:hint="eastAsia" w:ascii="宋体" w:hAnsi="宋体" w:eastAsia="宋体" w:cs="宋体"/>
          <w:b w:val="0"/>
          <w:color w:val="auto"/>
          <w:highlight w:val="none"/>
        </w:rPr>
        <w:t>五、开标与评标</w:t>
      </w:r>
      <w:bookmarkEnd w:id="43"/>
    </w:p>
    <w:p w14:paraId="2F401DB7">
      <w:pPr>
        <w:pStyle w:val="4"/>
        <w:spacing w:before="0" w:after="0" w:line="500" w:lineRule="exact"/>
        <w:ind w:firstLine="562"/>
        <w:jc w:val="left"/>
        <w:rPr>
          <w:rFonts w:hint="eastAsia" w:ascii="宋体" w:hAnsi="宋体" w:eastAsia="宋体" w:cs="宋体"/>
          <w:color w:val="auto"/>
          <w:sz w:val="28"/>
          <w:szCs w:val="28"/>
          <w:highlight w:val="none"/>
        </w:rPr>
      </w:pPr>
      <w:bookmarkStart w:id="44" w:name="_Toc8431"/>
      <w:r>
        <w:rPr>
          <w:rFonts w:hint="eastAsia" w:ascii="宋体" w:hAnsi="宋体" w:eastAsia="宋体" w:cs="宋体"/>
          <w:color w:val="auto"/>
          <w:sz w:val="28"/>
          <w:szCs w:val="28"/>
          <w:highlight w:val="none"/>
        </w:rPr>
        <w:t>22、开标</w:t>
      </w:r>
      <w:bookmarkEnd w:id="44"/>
    </w:p>
    <w:p w14:paraId="00DA9F2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22.1代理公司将在招标公告中规定的时间和地点组织公开开标。投标人应当按时参加开标活动，并在“苏采云”系统规定的时间内对投标文件进行解密。</w:t>
      </w:r>
    </w:p>
    <w:p w14:paraId="019845D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22.2开标仪式由代理公司组织。“苏采云”系统将自动对项目进行开标，并宣布各投标人名称和投标价格。</w:t>
      </w:r>
    </w:p>
    <w:p w14:paraId="375E14C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22.3投标人在开标过程中涉及的投标文件解密、开标结果确认等工作，应当按照《操作手册》规定执行。</w:t>
      </w:r>
    </w:p>
    <w:p w14:paraId="6C61486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22.4投标人如果对开标过程和开标记录有疑义，应当按照《操作手册》规定提出，未在“苏采云”系统《开标记录表》宣布后5分钟内提出的，视同认可开标结果。</w:t>
      </w:r>
    </w:p>
    <w:p w14:paraId="6D0E711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22.5 投标人未参加开标的，视同认可开标结果。</w:t>
      </w:r>
    </w:p>
    <w:p w14:paraId="01ACF6B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22.6 投标人在开、评标全过程中应保持通信畅通，及时登录“苏采云”系统查阅、答复相关信息，并安排专人与代理公司及评委会联系。</w:t>
      </w:r>
    </w:p>
    <w:p w14:paraId="33C231E6">
      <w:pPr>
        <w:pStyle w:val="4"/>
        <w:spacing w:before="0" w:after="0" w:line="500" w:lineRule="exact"/>
        <w:ind w:firstLine="562"/>
        <w:jc w:val="left"/>
        <w:rPr>
          <w:rFonts w:hint="eastAsia" w:ascii="宋体" w:hAnsi="宋体" w:eastAsia="宋体" w:cs="宋体"/>
          <w:color w:val="auto"/>
          <w:sz w:val="28"/>
          <w:szCs w:val="28"/>
          <w:highlight w:val="none"/>
        </w:rPr>
      </w:pPr>
      <w:bookmarkStart w:id="45" w:name="_Toc416"/>
      <w:r>
        <w:rPr>
          <w:rFonts w:hint="eastAsia" w:ascii="宋体" w:hAnsi="宋体" w:eastAsia="宋体" w:cs="宋体"/>
          <w:color w:val="auto"/>
          <w:sz w:val="28"/>
          <w:szCs w:val="28"/>
          <w:highlight w:val="none"/>
        </w:rPr>
        <w:t>23、评标委员会</w:t>
      </w:r>
      <w:bookmarkEnd w:id="45"/>
    </w:p>
    <w:p w14:paraId="0E82294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23.1开标后，代理公司将组织评委会进行评标。</w:t>
      </w:r>
    </w:p>
    <w:p w14:paraId="7A00AB5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23.2评委会由采购人代表和有关技术、经济等方面的评审专家组成，且人员构成符合政府采购有关规定。</w:t>
      </w:r>
    </w:p>
    <w:p w14:paraId="63D786B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23.3评委会按照采购文件规定的评审程序、评审方法和评审标准进行独立评审并确定中标候选人。</w:t>
      </w:r>
    </w:p>
    <w:p w14:paraId="45EFCD7D">
      <w:pPr>
        <w:pStyle w:val="4"/>
        <w:spacing w:before="0" w:after="0" w:line="500" w:lineRule="exact"/>
        <w:ind w:firstLine="562"/>
        <w:jc w:val="left"/>
        <w:rPr>
          <w:rFonts w:hint="eastAsia" w:ascii="宋体" w:hAnsi="宋体" w:eastAsia="宋体" w:cs="宋体"/>
          <w:color w:val="auto"/>
          <w:sz w:val="28"/>
          <w:szCs w:val="28"/>
          <w:highlight w:val="none"/>
        </w:rPr>
      </w:pPr>
      <w:bookmarkStart w:id="46" w:name="_Toc26719"/>
      <w:r>
        <w:rPr>
          <w:rFonts w:hint="eastAsia" w:ascii="宋体" w:hAnsi="宋体" w:eastAsia="宋体" w:cs="宋体"/>
          <w:color w:val="auto"/>
          <w:sz w:val="28"/>
          <w:szCs w:val="28"/>
          <w:highlight w:val="none"/>
        </w:rPr>
        <w:t>24、评标过程的保密与公正</w:t>
      </w:r>
      <w:bookmarkEnd w:id="46"/>
    </w:p>
    <w:p w14:paraId="307D7FE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24.1凡与审查、澄清、评价和比较投标的有关资料以及投标建议等，采购人、评审专家、代理公司均不得向投标人或与评标无关的其他人员透露。</w:t>
      </w:r>
    </w:p>
    <w:p w14:paraId="32E9B6D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24.2在评标过程中，投标人不得以任何行为影响评标过程，否则其投标文件将被作为无效投标文件。</w:t>
      </w:r>
    </w:p>
    <w:p w14:paraId="029AF61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24.3代理公司和评委会不向未中标的投标人解释未中标原因，也不公布评标过程中的相关细节。</w:t>
      </w:r>
    </w:p>
    <w:p w14:paraId="7B6296C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24.4采用综合评分法的项目，未中标的投标人可于中标结果公告期限届满之日起通过“苏采云”系统查看自己的评审得分及排序情况。</w:t>
      </w:r>
    </w:p>
    <w:p w14:paraId="272AED0C">
      <w:pPr>
        <w:pStyle w:val="4"/>
        <w:spacing w:before="0" w:after="0" w:line="500" w:lineRule="exact"/>
        <w:ind w:firstLine="562"/>
        <w:jc w:val="left"/>
        <w:rPr>
          <w:rFonts w:hint="eastAsia" w:ascii="宋体" w:hAnsi="宋体" w:eastAsia="宋体" w:cs="宋体"/>
          <w:color w:val="auto"/>
          <w:sz w:val="28"/>
          <w:szCs w:val="28"/>
          <w:highlight w:val="none"/>
        </w:rPr>
      </w:pPr>
      <w:bookmarkStart w:id="47" w:name="_Toc5597"/>
      <w:r>
        <w:rPr>
          <w:rFonts w:hint="eastAsia" w:ascii="宋体" w:hAnsi="宋体" w:eastAsia="宋体" w:cs="宋体"/>
          <w:color w:val="auto"/>
          <w:sz w:val="28"/>
          <w:szCs w:val="28"/>
          <w:highlight w:val="none"/>
        </w:rPr>
        <w:t>25、投标文件的澄清</w:t>
      </w:r>
      <w:bookmarkEnd w:id="47"/>
    </w:p>
    <w:p w14:paraId="376A4B6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25.1评标期间，评委会对投标文件中含义不明确、同类问题表述不一致或者有明显文字和计算错误的内容，有权要求投标人作出必要的澄清、说明或者补正。</w:t>
      </w:r>
    </w:p>
    <w:p w14:paraId="34C629C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投标人的澄清、说明或者补正应当采用书面形式，并加盖公章，或者由法定代表人（单位负责人）或其授权的代表人签字。投标人的澄清、说明或者补正不得超出投标文件的范围或者改变投标文件的实质性内容。</w:t>
      </w:r>
    </w:p>
    <w:p w14:paraId="71B61E0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评委会并非对每个投标人都提出澄清、说明或者补正要求。</w:t>
      </w:r>
    </w:p>
    <w:p w14:paraId="1AB64FD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p>
    <w:p w14:paraId="7352160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25.3接到评委会澄清、说明或者补正要求的投标人如未按要求响应，其风险由投标人自行承担。</w:t>
      </w:r>
    </w:p>
    <w:p w14:paraId="5762C1F1">
      <w:pPr>
        <w:pStyle w:val="4"/>
        <w:spacing w:before="0" w:after="0" w:line="500" w:lineRule="exact"/>
        <w:ind w:firstLine="562"/>
        <w:jc w:val="left"/>
        <w:rPr>
          <w:rFonts w:hint="eastAsia" w:ascii="宋体" w:hAnsi="宋体" w:eastAsia="宋体" w:cs="宋体"/>
          <w:color w:val="auto"/>
          <w:sz w:val="28"/>
          <w:szCs w:val="28"/>
          <w:highlight w:val="none"/>
        </w:rPr>
      </w:pPr>
      <w:bookmarkStart w:id="48" w:name="_Toc13217"/>
      <w:r>
        <w:rPr>
          <w:rFonts w:hint="eastAsia" w:ascii="宋体" w:hAnsi="宋体" w:eastAsia="宋体" w:cs="宋体"/>
          <w:color w:val="auto"/>
          <w:sz w:val="28"/>
          <w:szCs w:val="28"/>
          <w:highlight w:val="none"/>
        </w:rPr>
        <w:t>26、对投标文件的初审</w:t>
      </w:r>
      <w:bookmarkEnd w:id="48"/>
    </w:p>
    <w:p w14:paraId="47C12E6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26.1投标文件初审分为资格审查和符合性审查。</w:t>
      </w:r>
    </w:p>
    <w:p w14:paraId="4445D40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（1）资格审查：依据法律法规和招标文件的规定，由采购人对投标文件中的资格证明文件进行审查。资格审查的结论，采购人以书面形式向评委会进行反馈。</w:t>
      </w:r>
    </w:p>
    <w:p w14:paraId="1DECFF3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采购人在进行资格性审查的同时，将在“信用中国”网</w:t>
      </w:r>
      <w:r>
        <w:rPr>
          <w:rFonts w:hint="eastAsia" w:ascii="宋体" w:hAnsi="宋体" w:eastAsia="宋体" w:cs="宋体"/>
          <w:color w:val="auto"/>
          <w:sz w:val="24"/>
          <w:szCs w:val="24"/>
          <w:highlight w:val="none"/>
        </w:rPr>
        <w:t>（www.creditchina.gov.</w:t>
      </w:r>
    </w:p>
    <w:p w14:paraId="47F600AC">
      <w:pPr>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cn）、中国政府采购网（www.ccgp.gov.cn）查询投标人的信用记录，以确定投标人是否具备投标资格，查询结果留存并归档。</w:t>
      </w:r>
    </w:p>
    <w:p w14:paraId="4EA4B41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接受联合体的项目，两个以上的自然人、法人或者其他组织组成一个联合体，以一个投标人的身份共同参加政府采购活动的，联合体成员中任何一方存在不良信用记录的，视同联合体存在不良信用记录。</w:t>
      </w:r>
    </w:p>
    <w:p w14:paraId="65D1F120">
      <w:pPr>
        <w:numPr>
          <w:ilvl w:val="0"/>
          <w:numId w:val="2"/>
        </w:num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符合性审查：评委会依据招标文件的规定，从投标文件的有效性、完整性和对招标文件的响应程度进行审查，以确定其是否对招标文件的实质性要求作出响应。</w:t>
      </w:r>
    </w:p>
    <w:p w14:paraId="2D7C83D4">
      <w:pPr>
        <w:numPr>
          <w:ilvl w:val="0"/>
          <w:numId w:val="2"/>
        </w:numPr>
        <w:spacing w:line="360" w:lineRule="auto"/>
        <w:ind w:firstLine="482"/>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政府采购异常低价审查：</w:t>
      </w:r>
    </w:p>
    <w:p w14:paraId="208F320D">
      <w:pPr>
        <w:tabs>
          <w:tab w:val="left" w:pos="900"/>
        </w:tabs>
        <w:spacing w:line="360" w:lineRule="auto"/>
        <w:ind w:firstLine="482"/>
        <w:jc w:val="left"/>
        <w:rPr>
          <w:rFonts w:hint="eastAsia" w:ascii="宋体" w:hAnsi="宋体" w:eastAsia="宋体" w:cs="Times New Roman"/>
          <w:b/>
          <w:bCs/>
          <w:color w:val="auto"/>
          <w:sz w:val="24"/>
          <w:szCs w:val="21"/>
          <w:highlight w:val="none"/>
        </w:rPr>
      </w:pPr>
      <w:r>
        <w:rPr>
          <w:rFonts w:hint="eastAsia" w:ascii="宋体" w:hAnsi="宋体" w:eastAsia="宋体" w:cs="Times New Roman"/>
          <w:b/>
          <w:bCs/>
          <w:color w:val="auto"/>
          <w:sz w:val="24"/>
          <w:szCs w:val="21"/>
          <w:highlight w:val="none"/>
        </w:rPr>
        <w:t>（一）评审过程中出现下列情形之一的，评审委员会应当启动异常低价投标（响应）审查程序：</w:t>
      </w:r>
    </w:p>
    <w:p w14:paraId="7367FA62">
      <w:pPr>
        <w:tabs>
          <w:tab w:val="left" w:pos="900"/>
        </w:tabs>
        <w:spacing w:line="360" w:lineRule="auto"/>
        <w:ind w:firstLine="482"/>
        <w:jc w:val="left"/>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（1）投标（响应）报价低于全部通过符合性审查供应商投标（响应）报价平均值50%的，即投标（响应）报价&lt;全部通过符合性审查供应商投标（响应）报价平均值×50%；</w:t>
      </w:r>
    </w:p>
    <w:p w14:paraId="55E96D96">
      <w:pPr>
        <w:tabs>
          <w:tab w:val="left" w:pos="900"/>
        </w:tabs>
        <w:spacing w:line="360" w:lineRule="auto"/>
        <w:ind w:firstLine="482"/>
        <w:jc w:val="left"/>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（2）投标（响应）报价低于通过符合性审查的次低报价供应商投标（响应）报价50%的，即投标（响应）报价&lt;通过符合性审查的次低报价供应商投标（响应）报价×50%；</w:t>
      </w:r>
    </w:p>
    <w:p w14:paraId="28AA2765">
      <w:pPr>
        <w:tabs>
          <w:tab w:val="left" w:pos="900"/>
        </w:tabs>
        <w:spacing w:line="360" w:lineRule="auto"/>
        <w:ind w:firstLine="482"/>
        <w:jc w:val="left"/>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（3）投标（响应）报价低于采购项目最高限价45%的，即投标（响应）报价&lt;采购项目最高限价×45%；</w:t>
      </w:r>
    </w:p>
    <w:p w14:paraId="4A0E7F72">
      <w:pPr>
        <w:tabs>
          <w:tab w:val="left" w:pos="900"/>
        </w:tabs>
        <w:spacing w:line="360" w:lineRule="auto"/>
        <w:ind w:firstLine="482"/>
        <w:jc w:val="left"/>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（4）评审委员会基于专业判断，认为供应商报价过低，有可能影响产品质量或者不能诚信履约的其他情形。 </w:t>
      </w:r>
    </w:p>
    <w:p w14:paraId="03745506">
      <w:pPr>
        <w:tabs>
          <w:tab w:val="left" w:pos="900"/>
        </w:tabs>
        <w:spacing w:line="360" w:lineRule="auto"/>
        <w:ind w:firstLine="482"/>
        <w:jc w:val="left"/>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752C28A">
      <w:pPr>
        <w:tabs>
          <w:tab w:val="left" w:pos="900"/>
        </w:tabs>
        <w:spacing w:line="360" w:lineRule="auto"/>
        <w:ind w:firstLine="482"/>
        <w:jc w:val="left"/>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868C17">
      <w:pPr>
        <w:tabs>
          <w:tab w:val="left" w:pos="900"/>
        </w:tabs>
        <w:spacing w:line="360" w:lineRule="auto"/>
        <w:ind w:firstLine="482"/>
        <w:jc w:val="left"/>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A4242DE">
      <w:pPr>
        <w:tabs>
          <w:tab w:val="left" w:pos="900"/>
        </w:tabs>
        <w:spacing w:line="360" w:lineRule="auto"/>
        <w:ind w:firstLine="482"/>
        <w:jc w:val="left"/>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6B79C08E">
      <w:pPr>
        <w:tabs>
          <w:tab w:val="left" w:pos="900"/>
        </w:tabs>
        <w:spacing w:line="360" w:lineRule="auto"/>
        <w:ind w:firstLine="482"/>
        <w:jc w:val="left"/>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4342F11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未通过资格审查或符合性审查的投标人，将在“苏采云”系统中告知其未通过资格审查或符合性审查的原因，评审结束后，将不再告知。</w:t>
      </w:r>
    </w:p>
    <w:p w14:paraId="7BCF1A9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26.2在详细评标之前，评委会将首先审查每份投标文件是否实质性响应了招标文件的要求。实质性响应的投标应当是与招标文件要求的全部条款、条件和规格相符，没有重大偏离或保留的投标。</w:t>
      </w:r>
    </w:p>
    <w:p w14:paraId="799406A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14:paraId="5D750D3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26.3如果投标文件实质上没有响应招标文件的要求，评委会将予以拒绝，投标人不得通过修改或撤销不符合要求的偏离或保留而使其投标成为实质性响应的投标。</w:t>
      </w:r>
    </w:p>
    <w:p w14:paraId="451E6DC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26.4评委会将对确定为实质性响应的投标进行进一步审核，看其是否有计算上或累加上的算术错误，修正错误的原则如下：</w:t>
      </w:r>
    </w:p>
    <w:p w14:paraId="6D43A56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15F45A6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750D199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1C960B0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7B85EB0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61EFCAF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26.5评委会将按上述修正错误的方法调整投标文件中的投标报价，并通过“苏采云”系统告知投标人，调整后的价格对投标人具有约束力。如果投标人不接受修正后的价格，则其投标将被拒绝。</w:t>
      </w:r>
    </w:p>
    <w:p w14:paraId="6C49283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确定一个参加评标的投标人，招标文件未规定的采取随机抽取方式确定，其他投标无效。</w:t>
      </w:r>
    </w:p>
    <w:p w14:paraId="0CF9817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14:paraId="758C311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非单一产品采购项目，招标文件中将载明核心产品。多家投标人提供的核心产品品牌相同的，按前两款规定处理。</w:t>
      </w:r>
    </w:p>
    <w:p w14:paraId="7044345D">
      <w:pPr>
        <w:pStyle w:val="4"/>
        <w:spacing w:before="0" w:after="0" w:line="500" w:lineRule="exact"/>
        <w:ind w:firstLine="562"/>
        <w:jc w:val="left"/>
        <w:rPr>
          <w:rFonts w:hint="eastAsia" w:ascii="宋体" w:hAnsi="宋体" w:eastAsia="宋体" w:cs="宋体"/>
          <w:color w:val="auto"/>
          <w:sz w:val="28"/>
          <w:szCs w:val="28"/>
          <w:highlight w:val="none"/>
        </w:rPr>
      </w:pPr>
      <w:bookmarkStart w:id="49" w:name="_Toc17745"/>
      <w:r>
        <w:rPr>
          <w:rFonts w:hint="eastAsia" w:ascii="宋体" w:hAnsi="宋体" w:eastAsia="宋体" w:cs="宋体"/>
          <w:color w:val="auto"/>
          <w:sz w:val="28"/>
          <w:szCs w:val="28"/>
          <w:highlight w:val="none"/>
        </w:rPr>
        <w:t>27、无效投标条款和废标条款</w:t>
      </w:r>
      <w:bookmarkEnd w:id="49"/>
    </w:p>
    <w:p w14:paraId="33785D0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27.1无效投标条款：</w:t>
      </w:r>
    </w:p>
    <w:p w14:paraId="66BFC77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（1）投标人未按照招标文件要求递交（上传）电子投标文件的。</w:t>
      </w:r>
    </w:p>
    <w:p w14:paraId="5F65B54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（2）投标人在“苏采云”系统规定的时间内未成功解密电子投标文件的。</w:t>
      </w:r>
    </w:p>
    <w:p w14:paraId="613F96E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（3）投标人不具备招标文件中规定的资格要求的。</w:t>
      </w:r>
    </w:p>
    <w:p w14:paraId="61F292B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61B9803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（5）投标人提交两个（含两个）以上不同的投标报价的。</w:t>
      </w:r>
    </w:p>
    <w:p w14:paraId="480E86C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（6）投标人的报价超过了采购预算或者最高限价的。</w:t>
      </w:r>
    </w:p>
    <w:p w14:paraId="4C12725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p>
    <w:p w14:paraId="308ED82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（8）不符合招标文件中规定的实质性要求和条件的（本招标文件中斜体且有下划线部分为实质性要求和条件）。</w:t>
      </w:r>
    </w:p>
    <w:p w14:paraId="5764F0D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项目采购产品（如有）被财政部、国家发展改革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2B57342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（10）投标人未通过符合性审查的。</w:t>
      </w:r>
    </w:p>
    <w:p w14:paraId="5B1E714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（11）投标文件含有采购人不能接受的附加条件的。</w:t>
      </w:r>
    </w:p>
    <w:p w14:paraId="44DA50B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（12）投标文件未按照招标文件要求加盖公章（CA电子公章）的。</w:t>
      </w:r>
    </w:p>
    <w:p w14:paraId="609AA29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（13）其他法律、法规及本招标文件规定的属于无效投标的情形。</w:t>
      </w:r>
    </w:p>
    <w:p w14:paraId="64EB929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有下列情形之一的，视为投标人串通投标，投标无效：</w:t>
      </w:r>
    </w:p>
    <w:p w14:paraId="6351413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（1）不同投标人的投标文件由同一单位或者个人编制。</w:t>
      </w:r>
    </w:p>
    <w:p w14:paraId="09D64D5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（2）不同投标人委托同一单位或者个人办理投标事宜。</w:t>
      </w:r>
    </w:p>
    <w:p w14:paraId="35FABDC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（3）不同投标人的投标文件载明的项目管理成员或者联系人员为同一人。</w:t>
      </w:r>
    </w:p>
    <w:p w14:paraId="1ED5AD9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（4）不同投标人的投标文件异常一致或者投标报价呈规律性差异。</w:t>
      </w:r>
    </w:p>
    <w:p w14:paraId="20230E5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（5）不同投标人的投标文件相互混装。</w:t>
      </w:r>
    </w:p>
    <w:p w14:paraId="7084702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27.3废标条款：</w:t>
      </w:r>
    </w:p>
    <w:p w14:paraId="3AEEF3F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（1）因“苏采云”系统故障原因造成开标不成功的。</w:t>
      </w:r>
    </w:p>
    <w:p w14:paraId="0C7BB3C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（2）评委会认定招标文件存在歧义、重大缺陷导致评审工作无法进行的。</w:t>
      </w:r>
    </w:p>
    <w:p w14:paraId="0C3D685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（3）符合专业条件的投标人或者对招标文件做实质响应的投标人不足三家的。</w:t>
      </w:r>
    </w:p>
    <w:p w14:paraId="6B53632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（4）出现影响采购公正的违法、违规行为的。</w:t>
      </w:r>
    </w:p>
    <w:p w14:paraId="2ABF63D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（5）因重大变故，采购任务取消的。</w:t>
      </w:r>
    </w:p>
    <w:p w14:paraId="220D923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27.4出现投标截止时间结束后参加投标的投标人或者在评标期间对招标文件做出实质响应的投标人不足三家情况的，按照政府采购相关规定执行。</w:t>
      </w:r>
    </w:p>
    <w:p w14:paraId="5716BEFD">
      <w:pPr>
        <w:pStyle w:val="3"/>
        <w:spacing w:before="0" w:after="0" w:line="500" w:lineRule="exact"/>
        <w:rPr>
          <w:rFonts w:hint="eastAsia" w:ascii="宋体" w:hAnsi="宋体" w:eastAsia="宋体" w:cs="宋体"/>
          <w:b w:val="0"/>
          <w:color w:val="auto"/>
          <w:highlight w:val="none"/>
        </w:rPr>
      </w:pPr>
      <w:bookmarkStart w:id="50" w:name="_Toc30265"/>
      <w:r>
        <w:rPr>
          <w:rFonts w:hint="eastAsia" w:ascii="宋体" w:hAnsi="宋体" w:eastAsia="宋体" w:cs="宋体"/>
          <w:b w:val="0"/>
          <w:color w:val="auto"/>
          <w:highlight w:val="none"/>
        </w:rPr>
        <w:t>六、定标</w:t>
      </w:r>
      <w:bookmarkEnd w:id="50"/>
    </w:p>
    <w:p w14:paraId="249F1387">
      <w:pPr>
        <w:pStyle w:val="4"/>
        <w:spacing w:before="0" w:after="0" w:line="500" w:lineRule="exact"/>
        <w:ind w:firstLine="562"/>
        <w:jc w:val="left"/>
        <w:rPr>
          <w:rFonts w:hint="eastAsia" w:ascii="宋体" w:hAnsi="宋体" w:eastAsia="宋体" w:cs="宋体"/>
          <w:color w:val="auto"/>
          <w:sz w:val="28"/>
          <w:szCs w:val="28"/>
          <w:highlight w:val="none"/>
        </w:rPr>
      </w:pPr>
      <w:bookmarkStart w:id="51" w:name="_Toc31941"/>
      <w:r>
        <w:rPr>
          <w:rFonts w:hint="eastAsia" w:ascii="宋体" w:hAnsi="宋体" w:eastAsia="宋体" w:cs="宋体"/>
          <w:color w:val="auto"/>
          <w:sz w:val="28"/>
          <w:szCs w:val="28"/>
          <w:highlight w:val="none"/>
        </w:rPr>
        <w:t>28、确定中标单位</w:t>
      </w:r>
      <w:bookmarkEnd w:id="51"/>
    </w:p>
    <w:p w14:paraId="6908FBC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28.1中标候选人的选取原则和数量详见招标文件第五章规定。</w:t>
      </w:r>
    </w:p>
    <w:p w14:paraId="44E61EC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28.2采购人应根据评委会推荐的中标候选人确定中标人。</w:t>
      </w:r>
    </w:p>
    <w:p w14:paraId="314F98A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28.3代理公司将在江苏政府采购网发布中标公告，公告期限为1个工作日。</w:t>
      </w:r>
    </w:p>
    <w:p w14:paraId="75F4D02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28.4若有充分证据证明，中标人存在下列情形之一的，一经查实，将被取消中标资格：</w:t>
      </w:r>
    </w:p>
    <w:p w14:paraId="33A9BCF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（1）提供虚假材料谋取中标的。</w:t>
      </w:r>
    </w:p>
    <w:p w14:paraId="09B1152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（2）向采购人、采购中心行贿或者提供其他不正当利益的。</w:t>
      </w:r>
    </w:p>
    <w:p w14:paraId="43B4A33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（3）属于本文件规定的无效条件，但在评标过程中又未被评委会发现的。</w:t>
      </w:r>
    </w:p>
    <w:p w14:paraId="724400C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（4）与采购人或者其他投标人恶意串通的。</w:t>
      </w:r>
    </w:p>
    <w:p w14:paraId="2A3C1D6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（5）采取不正当手段诋毁、排挤其他投标人的。</w:t>
      </w:r>
    </w:p>
    <w:p w14:paraId="3CD5C58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有下列情形之一的，视为投标人串通投标，投标无效：</w:t>
      </w:r>
    </w:p>
    <w:p w14:paraId="3F21846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（1）不同投标人的投标文件由同一单位或者个人编制。</w:t>
      </w:r>
    </w:p>
    <w:p w14:paraId="3410724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（2）不同投标人委托同一单位或者个人办理投标事宜。</w:t>
      </w:r>
    </w:p>
    <w:p w14:paraId="11EEB3C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不同投标人的投标文件载明的项目管理成员或者联系人员为同一人。</w:t>
      </w:r>
    </w:p>
    <w:p w14:paraId="2C0A858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（4）不同投标人的投标文件异常一致或者投标报价呈规律性差异。</w:t>
      </w:r>
    </w:p>
    <w:p w14:paraId="382F77B3">
      <w:pPr>
        <w:pStyle w:val="4"/>
        <w:spacing w:before="0" w:after="0" w:line="500" w:lineRule="exact"/>
        <w:ind w:firstLine="562"/>
        <w:jc w:val="left"/>
        <w:rPr>
          <w:rFonts w:hint="eastAsia" w:ascii="宋体" w:hAnsi="宋体" w:eastAsia="宋体" w:cs="宋体"/>
          <w:color w:val="auto"/>
          <w:sz w:val="28"/>
          <w:szCs w:val="28"/>
          <w:highlight w:val="none"/>
        </w:rPr>
      </w:pPr>
      <w:bookmarkStart w:id="52" w:name="_Toc31684"/>
      <w:r>
        <w:rPr>
          <w:rFonts w:hint="eastAsia" w:ascii="宋体" w:hAnsi="宋体" w:eastAsia="宋体" w:cs="宋体"/>
          <w:color w:val="auto"/>
          <w:sz w:val="28"/>
          <w:szCs w:val="28"/>
          <w:highlight w:val="none"/>
        </w:rPr>
        <w:t>29、中标通知书</w:t>
      </w:r>
      <w:bookmarkEnd w:id="52"/>
    </w:p>
    <w:p w14:paraId="1079E5F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p>
    <w:p w14:paraId="13308F2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29.2中标通知书将作为政府采购合同的一个组成部分。对采购人和中标人均具有法律效力。中标通知书发出后，采购人改变中标结果的，或者中标人放弃中标项目的，应当依法承担法律责任。</w:t>
      </w:r>
    </w:p>
    <w:p w14:paraId="0528C4A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 中标人应在中标后七个工作日内，向采购人和代理公司各提供</w:t>
      </w:r>
      <w:r>
        <w:rPr>
          <w:rFonts w:hint="eastAsia" w:ascii="宋体" w:hAnsi="宋体" w:eastAsia="宋体" w:cs="宋体"/>
          <w:b/>
          <w:bCs/>
          <w:color w:val="auto"/>
          <w:sz w:val="24"/>
          <w:szCs w:val="24"/>
          <w:highlight w:val="none"/>
        </w:rPr>
        <w:t>一正四副</w:t>
      </w:r>
      <w:r>
        <w:rPr>
          <w:rFonts w:hint="eastAsia" w:ascii="宋体" w:hAnsi="宋体" w:eastAsia="宋体" w:cs="宋体"/>
          <w:color w:val="auto"/>
          <w:sz w:val="24"/>
          <w:szCs w:val="24"/>
          <w:highlight w:val="none"/>
        </w:rPr>
        <w:t>与电子投标文件一致的纸质打印胶装投标文件，封面、骑缝需加盖公章。</w:t>
      </w:r>
    </w:p>
    <w:p w14:paraId="5C502EE1">
      <w:pPr>
        <w:pStyle w:val="3"/>
        <w:spacing w:before="0" w:after="0" w:line="500" w:lineRule="exact"/>
        <w:rPr>
          <w:rFonts w:hint="eastAsia" w:ascii="宋体" w:hAnsi="宋体" w:eastAsia="宋体" w:cs="宋体"/>
          <w:b w:val="0"/>
          <w:color w:val="auto"/>
          <w:highlight w:val="none"/>
        </w:rPr>
      </w:pPr>
      <w:bookmarkStart w:id="53" w:name="_Toc27539"/>
      <w:r>
        <w:rPr>
          <w:rFonts w:hint="eastAsia" w:ascii="宋体" w:hAnsi="宋体" w:eastAsia="宋体" w:cs="宋体"/>
          <w:b w:val="0"/>
          <w:color w:val="auto"/>
          <w:highlight w:val="none"/>
        </w:rPr>
        <w:t>七、授予合同</w:t>
      </w:r>
      <w:bookmarkEnd w:id="53"/>
    </w:p>
    <w:p w14:paraId="3AD8D7A3">
      <w:pPr>
        <w:pStyle w:val="4"/>
        <w:spacing w:before="0" w:after="0" w:line="500" w:lineRule="exact"/>
        <w:ind w:firstLine="562"/>
        <w:jc w:val="left"/>
        <w:rPr>
          <w:rFonts w:hint="eastAsia" w:ascii="宋体" w:hAnsi="宋体" w:eastAsia="宋体" w:cs="宋体"/>
          <w:color w:val="auto"/>
          <w:sz w:val="28"/>
          <w:szCs w:val="28"/>
          <w:highlight w:val="none"/>
        </w:rPr>
      </w:pPr>
      <w:bookmarkStart w:id="54" w:name="_Toc10163"/>
      <w:r>
        <w:rPr>
          <w:rFonts w:hint="eastAsia" w:ascii="宋体" w:hAnsi="宋体" w:eastAsia="宋体" w:cs="宋体"/>
          <w:color w:val="auto"/>
          <w:sz w:val="28"/>
          <w:szCs w:val="28"/>
          <w:highlight w:val="none"/>
        </w:rPr>
        <w:t>30、签订合同</w:t>
      </w:r>
      <w:bookmarkEnd w:id="54"/>
    </w:p>
    <w:p w14:paraId="05A9F5D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 中标人应当在中标通知书发出之日起三十日内，按照招标文件和中标人投标文件的规定，与采购人签订政府采购合同。</w:t>
      </w:r>
    </w:p>
    <w:p w14:paraId="0FB83C0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30.2招标文件、中标人的投标文件及招标过程中有关澄清、承诺等文件均应作为合同附件。</w:t>
      </w:r>
    </w:p>
    <w:p w14:paraId="4CED596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30.3签订合同后，中标人不得将合同标的转包。未经采购人同意，中标人也不得采用分包的形式履行合同，否则采购人有权终止合同。转包或分包造成采购人损失的，中标人应承担相应赔偿责任。</w:t>
      </w:r>
    </w:p>
    <w:p w14:paraId="60CD46B4">
      <w:pPr>
        <w:pStyle w:val="4"/>
        <w:spacing w:before="0" w:after="0" w:line="500" w:lineRule="exact"/>
        <w:ind w:firstLine="562"/>
        <w:jc w:val="left"/>
        <w:rPr>
          <w:rFonts w:hint="eastAsia" w:ascii="宋体" w:hAnsi="宋体" w:eastAsia="宋体" w:cs="宋体"/>
          <w:color w:val="auto"/>
          <w:sz w:val="28"/>
          <w:szCs w:val="28"/>
          <w:highlight w:val="none"/>
        </w:rPr>
      </w:pPr>
      <w:bookmarkStart w:id="55" w:name="_Toc6877"/>
      <w:r>
        <w:rPr>
          <w:rFonts w:hint="eastAsia" w:ascii="宋体" w:hAnsi="宋体" w:eastAsia="宋体" w:cs="宋体"/>
          <w:color w:val="auto"/>
          <w:sz w:val="28"/>
          <w:szCs w:val="28"/>
          <w:highlight w:val="none"/>
        </w:rPr>
        <w:t>31、合同标的的追加</w:t>
      </w:r>
      <w:bookmarkEnd w:id="55"/>
    </w:p>
    <w:p w14:paraId="5359951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10%。</w:t>
      </w:r>
    </w:p>
    <w:p w14:paraId="49BC1607">
      <w:pPr>
        <w:pStyle w:val="4"/>
        <w:spacing w:before="0" w:after="0" w:line="500" w:lineRule="exact"/>
        <w:ind w:firstLine="562"/>
        <w:jc w:val="left"/>
        <w:rPr>
          <w:rFonts w:hint="eastAsia" w:ascii="宋体" w:hAnsi="宋体" w:eastAsia="宋体" w:cs="宋体"/>
          <w:color w:val="auto"/>
          <w:sz w:val="28"/>
          <w:szCs w:val="28"/>
          <w:highlight w:val="none"/>
        </w:rPr>
      </w:pPr>
      <w:bookmarkStart w:id="56" w:name="_Toc11313"/>
      <w:r>
        <w:rPr>
          <w:rFonts w:hint="eastAsia" w:ascii="宋体" w:hAnsi="宋体" w:eastAsia="宋体" w:cs="宋体"/>
          <w:color w:val="auto"/>
          <w:sz w:val="28"/>
          <w:szCs w:val="28"/>
          <w:highlight w:val="none"/>
        </w:rPr>
        <w:t>32、政府采购履约资金扶持政策</w:t>
      </w:r>
      <w:bookmarkEnd w:id="56"/>
    </w:p>
    <w:p w14:paraId="393C9FC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中标人可凭政府采购合同办理融资贷款，详情请见江苏政府采购网“政采贷”专栏。</w:t>
      </w:r>
    </w:p>
    <w:p w14:paraId="2AC5689E">
      <w:pPr>
        <w:pStyle w:val="3"/>
        <w:spacing w:before="0" w:after="0" w:line="500" w:lineRule="exact"/>
        <w:rPr>
          <w:rFonts w:hint="eastAsia" w:ascii="宋体" w:hAnsi="宋体" w:eastAsia="宋体" w:cs="宋体"/>
          <w:b w:val="0"/>
          <w:color w:val="auto"/>
          <w:highlight w:val="none"/>
        </w:rPr>
      </w:pPr>
      <w:bookmarkStart w:id="57" w:name="_Toc21356"/>
      <w:r>
        <w:rPr>
          <w:rFonts w:hint="eastAsia" w:ascii="宋体" w:hAnsi="宋体" w:eastAsia="宋体" w:cs="宋体"/>
          <w:b w:val="0"/>
          <w:color w:val="auto"/>
          <w:highlight w:val="none"/>
        </w:rPr>
        <w:t>八、询问与质疑</w:t>
      </w:r>
      <w:bookmarkEnd w:id="57"/>
    </w:p>
    <w:p w14:paraId="0D159C36">
      <w:pPr>
        <w:pStyle w:val="4"/>
        <w:spacing w:before="0" w:after="0" w:line="500" w:lineRule="exact"/>
        <w:ind w:firstLine="562"/>
        <w:jc w:val="left"/>
        <w:rPr>
          <w:rFonts w:hint="eastAsia" w:ascii="宋体" w:hAnsi="宋体" w:eastAsia="宋体" w:cs="宋体"/>
          <w:color w:val="auto"/>
          <w:sz w:val="28"/>
          <w:szCs w:val="28"/>
          <w:highlight w:val="none"/>
        </w:rPr>
      </w:pPr>
      <w:bookmarkStart w:id="58" w:name="_Toc14601"/>
      <w:r>
        <w:rPr>
          <w:rFonts w:hint="eastAsia" w:ascii="宋体" w:hAnsi="宋体" w:eastAsia="宋体" w:cs="宋体"/>
          <w:color w:val="auto"/>
          <w:sz w:val="28"/>
          <w:szCs w:val="28"/>
          <w:highlight w:val="none"/>
        </w:rPr>
        <w:t>33、询问</w:t>
      </w:r>
      <w:bookmarkEnd w:id="58"/>
    </w:p>
    <w:p w14:paraId="299203E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p>
    <w:p w14:paraId="142C5965">
      <w:pPr>
        <w:pStyle w:val="4"/>
        <w:spacing w:before="0" w:after="0" w:line="500" w:lineRule="exact"/>
        <w:ind w:firstLine="562"/>
        <w:jc w:val="left"/>
        <w:rPr>
          <w:rFonts w:hint="eastAsia" w:ascii="宋体" w:hAnsi="宋体" w:eastAsia="宋体" w:cs="宋体"/>
          <w:color w:val="auto"/>
          <w:sz w:val="28"/>
          <w:szCs w:val="28"/>
          <w:highlight w:val="none"/>
        </w:rPr>
      </w:pPr>
      <w:bookmarkStart w:id="59" w:name="_Toc28539"/>
      <w:r>
        <w:rPr>
          <w:rFonts w:hint="eastAsia" w:ascii="宋体" w:hAnsi="宋体" w:eastAsia="宋体" w:cs="宋体"/>
          <w:color w:val="auto"/>
          <w:sz w:val="28"/>
          <w:szCs w:val="28"/>
          <w:highlight w:val="none"/>
        </w:rPr>
        <w:t>34、质疑提出</w:t>
      </w:r>
      <w:bookmarkEnd w:id="59"/>
    </w:p>
    <w:p w14:paraId="0156386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34.1提出质疑的投标人应当是参与所质疑项目采购活动的投标人。</w:t>
      </w:r>
    </w:p>
    <w:p w14:paraId="6EEF0CD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投标人认为采购文件、采购过程、采购结果使自己的权益受到损害的，可以在知道或者应知其权益受到损害之日（获取采购文件之日、中标公告发布之日）起七个工作日内以书面形式向采购人、代理公司提出质疑。</w:t>
      </w:r>
    </w:p>
    <w:p w14:paraId="6CBC3DA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投标人应当在法定质疑期内一次性提出针对同一采购程序环节的质疑，投标人如在法定期限内对同一采购程序环节提出多次质疑的，采购人、代理公司将只对投标人第一次质疑作出答复。</w:t>
      </w:r>
    </w:p>
    <w:p w14:paraId="398A1A7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未依照采购公告要求获取采购文件的投标人，视为未参与该项目采购活动，不具备对该采购文件提出质疑的法定权利。</w:t>
      </w:r>
    </w:p>
    <w:p w14:paraId="0488392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p>
    <w:p w14:paraId="352EE7A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34.4质疑函的接收方式为投标人书面原件提交。联系部门、联系电话和通讯地址详见招标文件第一章。质疑实行实名制，不得进行虚假、恶意质疑。</w:t>
      </w:r>
    </w:p>
    <w:p w14:paraId="264D6EE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34.5 质疑函应当使用范本，详见招标文件第六章。投标人提出质疑应当提交质疑函和必要的证明材料，应当包括下列内容：</w:t>
      </w:r>
    </w:p>
    <w:p w14:paraId="49DB90E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（1）投标人的姓名或者名称、地址、邮编、联系人及联系电话；</w:t>
      </w:r>
    </w:p>
    <w:p w14:paraId="003FFF8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17D1972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06E7FFD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6202AE4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1984784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156CFA8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（7）必要的证明材料；</w:t>
      </w:r>
    </w:p>
    <w:p w14:paraId="0CB02B4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（8）营业执照复印件及授权委托书原件、法定代表人（单位负责人）身份证复印件、委托代理人身份证复印件。</w:t>
      </w:r>
    </w:p>
    <w:p w14:paraId="0A333F7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投标人为自然人的，应当由本人签字；投标人为法人或者其他组织的，应当由法定代表人、主要负责人，或者其委托代理人签字或者盖章，并加盖单位公章。</w:t>
      </w:r>
    </w:p>
    <w:p w14:paraId="4716575A">
      <w:pPr>
        <w:pStyle w:val="4"/>
        <w:spacing w:before="0" w:after="0" w:line="500" w:lineRule="exact"/>
        <w:ind w:firstLine="562"/>
        <w:jc w:val="left"/>
        <w:rPr>
          <w:rFonts w:hint="eastAsia" w:ascii="宋体" w:hAnsi="宋体" w:eastAsia="宋体" w:cs="宋体"/>
          <w:color w:val="auto"/>
          <w:sz w:val="24"/>
          <w:szCs w:val="24"/>
          <w:highlight w:val="none"/>
        </w:rPr>
      </w:pPr>
      <w:bookmarkStart w:id="60" w:name="_Toc27316"/>
      <w:r>
        <w:rPr>
          <w:rFonts w:hint="eastAsia" w:ascii="宋体" w:hAnsi="宋体" w:eastAsia="宋体" w:cs="宋体"/>
          <w:color w:val="auto"/>
          <w:sz w:val="28"/>
          <w:szCs w:val="28"/>
          <w:highlight w:val="none"/>
        </w:rPr>
        <w:t>35、质疑函的受理和答复</w:t>
      </w:r>
      <w:bookmarkEnd w:id="60"/>
    </w:p>
    <w:p w14:paraId="0842ED6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p>
    <w:p w14:paraId="1DCA19C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p>
    <w:p w14:paraId="58F9BF9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 对不符合质疑要求的，采购人、代理公司有权要求其补充必要的证明材料，质疑投标人未在法定的时间内提供补充必要的证明材料的，视同放弃质疑。</w:t>
      </w:r>
    </w:p>
    <w:p w14:paraId="52B0DCC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 以下情形的质疑依法不予受理：</w:t>
      </w:r>
    </w:p>
    <w:p w14:paraId="0285967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（1）内容不符合《政府采购质疑和投诉办法》第十二条规定的质疑。</w:t>
      </w:r>
    </w:p>
    <w:p w14:paraId="5A18553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（2）超出政府采购法定期限的质疑。</w:t>
      </w:r>
    </w:p>
    <w:p w14:paraId="3437655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（3）以传真、电子邮件等方式递交的非原件形式的质疑。</w:t>
      </w:r>
    </w:p>
    <w:p w14:paraId="461ABFB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（4）未参加采购活动的投标人或在采购活动中自身权益未受到损害的投标人提出的质疑。</w:t>
      </w:r>
    </w:p>
    <w:p w14:paraId="331F998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（5）投标人组成联合体，联合体中任何一方或多方未按要求签字（盖章）、加盖公章的质疑。</w:t>
      </w:r>
    </w:p>
    <w:p w14:paraId="00E94F2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35.5采购人、代理公司依法受理的质疑，将按照政府采购有关规定，在法定期限内答复。</w:t>
      </w:r>
    </w:p>
    <w:p w14:paraId="15680D3B">
      <w:pPr>
        <w:pStyle w:val="4"/>
        <w:spacing w:before="0" w:after="0" w:line="500" w:lineRule="exact"/>
        <w:ind w:firstLine="562"/>
        <w:jc w:val="left"/>
        <w:rPr>
          <w:rFonts w:hint="eastAsia" w:ascii="宋体" w:hAnsi="宋体" w:eastAsia="宋体" w:cs="宋体"/>
          <w:color w:val="auto"/>
          <w:sz w:val="28"/>
          <w:szCs w:val="28"/>
          <w:highlight w:val="none"/>
        </w:rPr>
      </w:pPr>
      <w:bookmarkStart w:id="61" w:name="_Toc24583"/>
      <w:r>
        <w:rPr>
          <w:rFonts w:hint="eastAsia" w:ascii="宋体" w:hAnsi="宋体" w:eastAsia="宋体" w:cs="宋体"/>
          <w:color w:val="auto"/>
          <w:sz w:val="28"/>
          <w:szCs w:val="28"/>
          <w:highlight w:val="none"/>
        </w:rPr>
        <w:t>36、质疑处理</w:t>
      </w:r>
      <w:bookmarkEnd w:id="61"/>
    </w:p>
    <w:p w14:paraId="24C6EC3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36.1 质疑投标人未按照法定程序进行质疑投诉的，视为一般失信行为。</w:t>
      </w:r>
    </w:p>
    <w:p w14:paraId="3182ACA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36.2 质疑投标人不配合或者采用不正当手段干扰政府采购质疑、投诉处理工作的，视为一般失信行为。</w:t>
      </w:r>
    </w:p>
    <w:p w14:paraId="13E57FF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36.3 质疑投标人投诉受理期间，就同一事项多头举报，干扰财政部门投诉处理的，视为一般失信行为。</w:t>
      </w:r>
    </w:p>
    <w:p w14:paraId="1BFB0FB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36.4 质疑投标人在全国范围12个月内三次以上质疑查无实据的，视为一般失信行为。</w:t>
      </w:r>
    </w:p>
    <w:p w14:paraId="59828F6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332A0BF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36.6 质疑投标人在全国范围12个月内三次以上投诉查无实据的，视为严重失信行为。</w:t>
      </w:r>
    </w:p>
    <w:p w14:paraId="73E0E0B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36.7未尽事宜，依照有关法律、法规执行。</w:t>
      </w:r>
    </w:p>
    <w:p w14:paraId="7875E968">
      <w:pPr>
        <w:pStyle w:val="4"/>
        <w:spacing w:before="0" w:after="0" w:line="500" w:lineRule="exact"/>
        <w:ind w:firstLine="562"/>
        <w:jc w:val="left"/>
        <w:rPr>
          <w:rFonts w:hint="eastAsia" w:ascii="宋体" w:hAnsi="宋体" w:eastAsia="宋体" w:cs="宋体"/>
          <w:color w:val="auto"/>
          <w:sz w:val="28"/>
          <w:szCs w:val="28"/>
          <w:highlight w:val="none"/>
        </w:rPr>
      </w:pPr>
      <w:bookmarkStart w:id="62" w:name="_Toc17159"/>
      <w:r>
        <w:rPr>
          <w:rFonts w:hint="eastAsia" w:ascii="宋体" w:hAnsi="宋体" w:eastAsia="宋体" w:cs="宋体"/>
          <w:color w:val="auto"/>
          <w:sz w:val="28"/>
          <w:szCs w:val="28"/>
          <w:highlight w:val="none"/>
          <w:lang w:val="en-US" w:eastAsia="zh-CN"/>
        </w:rPr>
        <w:t>37</w:t>
      </w:r>
      <w:r>
        <w:rPr>
          <w:rFonts w:hint="eastAsia" w:ascii="宋体" w:hAnsi="宋体" w:eastAsia="宋体" w:cs="宋体"/>
          <w:color w:val="auto"/>
          <w:sz w:val="28"/>
          <w:szCs w:val="28"/>
          <w:highlight w:val="none"/>
        </w:rPr>
        <w:t>、政府采购政策功能</w:t>
      </w:r>
      <w:bookmarkEnd w:id="62"/>
    </w:p>
    <w:p w14:paraId="0FC42515">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37.1</w:t>
      </w:r>
      <w:r>
        <w:rPr>
          <w:rFonts w:hint="eastAsia" w:ascii="宋体" w:hAnsi="宋体" w:eastAsia="宋体" w:cs="宋体"/>
          <w:color w:val="auto"/>
          <w:sz w:val="24"/>
          <w:szCs w:val="24"/>
          <w:highlight w:val="none"/>
        </w:rPr>
        <w:t>对于小型、微型企业、监狱企业、残疾人福利性单位报价以扣除优惠比率后的价格参与评审，但不作为中标价和合同签约价。中标价和合同签约价仍以其投标文件中的一次报价为准。</w:t>
      </w:r>
    </w:p>
    <w:p w14:paraId="5AE903F3">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37.2</w:t>
      </w:r>
      <w:r>
        <w:rPr>
          <w:rFonts w:hint="eastAsia" w:ascii="宋体" w:hAnsi="宋体" w:eastAsia="宋体" w:cs="宋体"/>
          <w:color w:val="auto"/>
          <w:sz w:val="24"/>
          <w:szCs w:val="24"/>
          <w:highlight w:val="none"/>
        </w:rPr>
        <w:t>价格给予扣除标准：</w:t>
      </w:r>
    </w:p>
    <w:p w14:paraId="7F5583D1">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p>
    <w:p w14:paraId="49768697">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p>
    <w:p w14:paraId="6458C4E8">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本项目价格扣除计算方法如下：参与报价得分计算的价格＝投标人的投标报价-小型、微型企业、监狱企业、残疾人福利性单位的投标报价×10%。</w:t>
      </w:r>
    </w:p>
    <w:p w14:paraId="60679BF1">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37.3</w:t>
      </w:r>
      <w:r>
        <w:rPr>
          <w:rFonts w:hint="eastAsia" w:ascii="宋体" w:hAnsi="宋体" w:eastAsia="宋体" w:cs="宋体"/>
          <w:color w:val="auto"/>
          <w:sz w:val="24"/>
          <w:szCs w:val="24"/>
          <w:highlight w:val="none"/>
        </w:rPr>
        <w:t>参加政府采购活动的供应商享受价格评审优惠的应当提供的材料：</w:t>
      </w:r>
    </w:p>
    <w:p w14:paraId="600BEF47">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（1）供应商为小型、微型企业的，提供《中小企业声明函》（第六部分“投标文件格式”）。</w:t>
      </w:r>
    </w:p>
    <w:p w14:paraId="199469FC">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（2）供应商为残疾人福利性单位的，符合财库〔2017〕141号文件规定条件的残疾人福利性单位视同小型、微型企业，提供《残疾人福利性单位声明函》（第六部分“投标文件格式”）。</w:t>
      </w:r>
    </w:p>
    <w:p w14:paraId="48DBBFD2">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（3）供应商为监狱企业的，提供省级以上监狱管理局、戒毒管理局（含新疆生产建设兵团）出具的属于监狱企业的证明文件。</w:t>
      </w:r>
    </w:p>
    <w:p w14:paraId="418134F9">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6E30C987">
      <w:pPr>
        <w:pStyle w:val="4"/>
        <w:spacing w:before="0" w:after="0" w:line="500" w:lineRule="exact"/>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38、</w:t>
      </w:r>
      <w:r>
        <w:rPr>
          <w:rFonts w:hint="eastAsia" w:ascii="宋体" w:hAnsi="宋体" w:eastAsia="宋体" w:cs="宋体"/>
          <w:color w:val="auto"/>
          <w:sz w:val="28"/>
          <w:szCs w:val="28"/>
          <w:highlight w:val="none"/>
        </w:rPr>
        <w:t>支持绿色发展</w:t>
      </w:r>
    </w:p>
    <w:p w14:paraId="0EA15EDE">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38.1</w:t>
      </w:r>
      <w:r>
        <w:rPr>
          <w:rFonts w:hint="eastAsia" w:ascii="宋体" w:hAnsi="宋体" w:eastAsia="宋体" w:cs="宋体"/>
          <w:color w:val="auto"/>
          <w:sz w:val="24"/>
          <w:szCs w:val="24"/>
          <w:highlight w:val="none"/>
        </w:rPr>
        <w:t>本项目执行《关于印发环境标志产品政府采购品目清单的通知》（财库〔2019〕18号）、《关于印发节能产品政府采购品目清单的通知》（财库〔2019〕19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72AAC05D">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38.2</w:t>
      </w:r>
      <w:r>
        <w:rPr>
          <w:rFonts w:hint="eastAsia" w:ascii="宋体" w:hAnsi="宋体" w:eastAsia="宋体" w:cs="宋体"/>
          <w:color w:val="auto"/>
          <w:sz w:val="24"/>
          <w:szCs w:val="24"/>
          <w:highlight w:val="none"/>
        </w:rPr>
        <w:t>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23E40F0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38.3</w:t>
      </w:r>
      <w:r>
        <w:rPr>
          <w:rFonts w:hint="eastAsia" w:ascii="宋体" w:hAnsi="宋体" w:eastAsia="宋体" w:cs="宋体"/>
          <w:color w:val="auto"/>
          <w:sz w:val="24"/>
          <w:szCs w:val="24"/>
          <w:highlight w:val="none"/>
        </w:rPr>
        <w:t>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5BC106B5">
      <w:pPr>
        <w:pStyle w:val="4"/>
        <w:spacing w:before="0" w:after="0" w:line="500" w:lineRule="exact"/>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39</w:t>
      </w:r>
      <w:r>
        <w:rPr>
          <w:rFonts w:hint="eastAsia" w:ascii="宋体" w:hAnsi="宋体" w:eastAsia="宋体" w:cs="宋体"/>
          <w:color w:val="auto"/>
          <w:sz w:val="28"/>
          <w:szCs w:val="28"/>
          <w:highlight w:val="none"/>
        </w:rPr>
        <w:t>、采购本国产品的支持政策</w:t>
      </w:r>
    </w:p>
    <w:p w14:paraId="2BE195F3">
      <w:pPr>
        <w:spacing w:line="500" w:lineRule="exact"/>
        <w:ind w:firstLine="480"/>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根据《国务院办公厅关于在政府采购中实施本国产品标准及相关政策的通知》（国办发〔2025〕34号），本项目不涉及货物，不执行本国产品价格评审优惠。</w:t>
      </w:r>
    </w:p>
    <w:p w14:paraId="42180336">
      <w:pPr>
        <w:pStyle w:val="44"/>
        <w:rPr>
          <w:rFonts w:hint="eastAsia"/>
          <w:color w:val="auto"/>
          <w:highlight w:val="none"/>
        </w:rPr>
      </w:pPr>
    </w:p>
    <w:p w14:paraId="50DE7BFC">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3E05435E">
      <w:pPr>
        <w:pStyle w:val="2"/>
        <w:spacing w:before="156" w:after="156" w:line="360" w:lineRule="auto"/>
        <w:jc w:val="center"/>
        <w:rPr>
          <w:rFonts w:hint="eastAsia" w:ascii="宋体" w:hAnsi="宋体" w:eastAsia="宋体" w:cs="宋体"/>
          <w:b w:val="0"/>
          <w:color w:val="auto"/>
          <w:highlight w:val="none"/>
        </w:rPr>
      </w:pPr>
      <w:bookmarkStart w:id="63" w:name="_Toc10575"/>
      <w:bookmarkStart w:id="64" w:name="_Toc155796358"/>
      <w:bookmarkStart w:id="65" w:name="_Toc21196"/>
      <w:r>
        <w:rPr>
          <w:rFonts w:hint="eastAsia" w:ascii="宋体" w:hAnsi="宋体" w:eastAsia="宋体" w:cs="宋体"/>
          <w:b w:val="0"/>
          <w:color w:val="auto"/>
          <w:highlight w:val="none"/>
        </w:rPr>
        <w:t>第三章合同文本</w:t>
      </w:r>
      <w:bookmarkEnd w:id="63"/>
      <w:bookmarkEnd w:id="64"/>
      <w:bookmarkEnd w:id="65"/>
    </w:p>
    <w:p w14:paraId="6C37E40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（备注：以下为中标后签订本项目合同的通用条款，中标人不得提出实质性的修改）</w:t>
      </w:r>
    </w:p>
    <w:p w14:paraId="539D7E5F">
      <w:pPr>
        <w:spacing w:line="500" w:lineRule="exact"/>
        <w:jc w:val="center"/>
        <w:outlineLvl w:val="0"/>
        <w:rPr>
          <w:rFonts w:hint="eastAsia" w:ascii="宋体" w:hAnsi="宋体" w:eastAsia="宋体" w:cs="宋体"/>
          <w:color w:val="auto"/>
          <w:sz w:val="32"/>
          <w:szCs w:val="24"/>
          <w:highlight w:val="none"/>
        </w:rPr>
      </w:pPr>
      <w:bookmarkStart w:id="66" w:name="_Toc16"/>
      <w:r>
        <w:rPr>
          <w:rFonts w:hint="eastAsia" w:ascii="宋体" w:hAnsi="宋体" w:eastAsia="宋体" w:cs="宋体"/>
          <w:color w:val="auto"/>
          <w:sz w:val="32"/>
          <w:szCs w:val="24"/>
          <w:highlight w:val="none"/>
        </w:rPr>
        <w:t>连云港市政府采购合同（服务）</w:t>
      </w:r>
      <w:bookmarkEnd w:id="66"/>
    </w:p>
    <w:p w14:paraId="143FFBCC">
      <w:pPr>
        <w:spacing w:line="500" w:lineRule="exact"/>
        <w:jc w:val="center"/>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（合同编号：***）</w:t>
      </w:r>
    </w:p>
    <w:p w14:paraId="15B6BED0">
      <w:pPr>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p>
    <w:p w14:paraId="77B5461D">
      <w:pPr>
        <w:spacing w:line="500" w:lineRule="exact"/>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乙方：（卖方）</w:t>
      </w:r>
    </w:p>
    <w:p w14:paraId="393A5FA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highlight w:val="none"/>
        </w:rPr>
        <w:t>年月日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（项目编号）公开招标的结果，签订本合同。</w:t>
      </w:r>
    </w:p>
    <w:p w14:paraId="20036A90">
      <w:pPr>
        <w:spacing w:line="500" w:lineRule="exact"/>
        <w:ind w:firstLine="480"/>
        <w:jc w:val="left"/>
        <w:outlineLvl w:val="0"/>
        <w:rPr>
          <w:rFonts w:hint="eastAsia" w:ascii="宋体" w:hAnsi="宋体" w:eastAsia="宋体" w:cs="宋体"/>
          <w:color w:val="auto"/>
          <w:sz w:val="24"/>
          <w:szCs w:val="24"/>
          <w:highlight w:val="none"/>
        </w:rPr>
      </w:pPr>
      <w:bookmarkStart w:id="67" w:name="_Toc30892"/>
      <w:r>
        <w:rPr>
          <w:rFonts w:hint="eastAsia" w:ascii="宋体" w:hAnsi="宋体" w:eastAsia="宋体" w:cs="宋体"/>
          <w:color w:val="auto"/>
          <w:sz w:val="24"/>
          <w:szCs w:val="24"/>
          <w:highlight w:val="none"/>
        </w:rPr>
        <w:t>一、合同内容</w:t>
      </w:r>
      <w:bookmarkEnd w:id="67"/>
    </w:p>
    <w:p w14:paraId="4B50630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服务内容：</w:t>
      </w:r>
    </w:p>
    <w:p w14:paraId="5F18E3B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服务要求：</w:t>
      </w:r>
    </w:p>
    <w:p w14:paraId="241D0B3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服务标准：</w:t>
      </w:r>
    </w:p>
    <w:p w14:paraId="6087B03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1.4补充条款：</w:t>
      </w:r>
    </w:p>
    <w:p w14:paraId="18FD3136">
      <w:pPr>
        <w:spacing w:line="500" w:lineRule="exact"/>
        <w:ind w:firstLine="480"/>
        <w:jc w:val="left"/>
        <w:outlineLvl w:val="0"/>
        <w:rPr>
          <w:rFonts w:hint="eastAsia" w:ascii="宋体" w:hAnsi="宋体" w:eastAsia="宋体" w:cs="宋体"/>
          <w:color w:val="auto"/>
          <w:sz w:val="24"/>
          <w:szCs w:val="24"/>
          <w:highlight w:val="none"/>
        </w:rPr>
      </w:pPr>
      <w:bookmarkStart w:id="68" w:name="_Toc2857"/>
      <w:r>
        <w:rPr>
          <w:rFonts w:hint="eastAsia" w:ascii="宋体" w:hAnsi="宋体" w:eastAsia="宋体" w:cs="宋体"/>
          <w:color w:val="auto"/>
          <w:sz w:val="24"/>
          <w:szCs w:val="24"/>
          <w:highlight w:val="none"/>
        </w:rPr>
        <w:t>二、合同金额</w:t>
      </w:r>
      <w:bookmarkEnd w:id="68"/>
    </w:p>
    <w:p w14:paraId="5C18345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2.1本合同金额为人民币（大写）：元（¥）。</w:t>
      </w:r>
    </w:p>
    <w:p w14:paraId="768B81B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2.2本合同价款包含所有乙方提供合同约定产品和服务的报酬及乙方提供合同中产品和服务所支出的必要费用，甲方在上述合同价款之外不再向乙方支付其他任何费用。</w:t>
      </w:r>
    </w:p>
    <w:p w14:paraId="7B14F5EF">
      <w:pPr>
        <w:spacing w:line="500" w:lineRule="exact"/>
        <w:ind w:firstLine="480"/>
        <w:jc w:val="left"/>
        <w:outlineLvl w:val="0"/>
        <w:rPr>
          <w:rFonts w:hint="eastAsia" w:ascii="宋体" w:hAnsi="宋体" w:eastAsia="宋体" w:cs="宋体"/>
          <w:color w:val="auto"/>
          <w:sz w:val="24"/>
          <w:szCs w:val="24"/>
          <w:highlight w:val="none"/>
        </w:rPr>
      </w:pPr>
      <w:bookmarkStart w:id="69" w:name="_Toc17907"/>
      <w:r>
        <w:rPr>
          <w:rFonts w:hint="eastAsia" w:ascii="宋体" w:hAnsi="宋体" w:eastAsia="宋体" w:cs="宋体"/>
          <w:color w:val="auto"/>
          <w:sz w:val="24"/>
          <w:szCs w:val="24"/>
          <w:highlight w:val="none"/>
        </w:rPr>
        <w:t>三、技术资料</w:t>
      </w:r>
      <w:bookmarkEnd w:id="69"/>
    </w:p>
    <w:p w14:paraId="5AF1797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乙方应按招标文件规定的时间向甲方提供有关技术资料：为每个被保险人制作《保险服务手册》，详细介绍保障内容及理赔流程，报案电话；另需制作数量不低于投保人数的单页《快速理赔指引》，尺寸在13CM*9CM以内，便于随身携带，内容需经采购方确认，简明易懂，实用。</w:t>
      </w:r>
    </w:p>
    <w:p w14:paraId="133EAD2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p>
    <w:p w14:paraId="6BDB5EBE">
      <w:pPr>
        <w:spacing w:line="500" w:lineRule="exact"/>
        <w:ind w:firstLine="480"/>
        <w:jc w:val="left"/>
        <w:outlineLvl w:val="0"/>
        <w:rPr>
          <w:rFonts w:hint="eastAsia" w:ascii="宋体" w:hAnsi="宋体" w:eastAsia="宋体" w:cs="宋体"/>
          <w:color w:val="auto"/>
          <w:sz w:val="24"/>
          <w:szCs w:val="24"/>
          <w:highlight w:val="none"/>
        </w:rPr>
      </w:pPr>
      <w:bookmarkStart w:id="70" w:name="_Toc18756"/>
      <w:r>
        <w:rPr>
          <w:rFonts w:hint="eastAsia" w:ascii="宋体" w:hAnsi="宋体" w:eastAsia="宋体" w:cs="宋体"/>
          <w:color w:val="auto"/>
          <w:sz w:val="24"/>
          <w:szCs w:val="24"/>
          <w:highlight w:val="none"/>
        </w:rPr>
        <w:t>四、知识产权</w:t>
      </w:r>
      <w:bookmarkEnd w:id="70"/>
    </w:p>
    <w:p w14:paraId="0D0A30A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4.1乙方应保证甲方在使用、接受本合同产品和服务或其任何一部分时不受第三方提出侵犯其专利权、版权、商标权和工业设计权等知识产权的起诉。一旦出现侵权，由乙方负全部责任。</w:t>
      </w:r>
    </w:p>
    <w:p w14:paraId="3AC75957">
      <w:pPr>
        <w:spacing w:line="500" w:lineRule="exact"/>
        <w:ind w:firstLine="480"/>
        <w:jc w:val="left"/>
        <w:outlineLvl w:val="0"/>
        <w:rPr>
          <w:rFonts w:hint="eastAsia" w:ascii="宋体" w:hAnsi="宋体" w:eastAsia="宋体" w:cs="宋体"/>
          <w:color w:val="auto"/>
          <w:sz w:val="24"/>
          <w:szCs w:val="24"/>
          <w:highlight w:val="none"/>
        </w:rPr>
      </w:pPr>
      <w:bookmarkStart w:id="71" w:name="_Toc17648"/>
      <w:r>
        <w:rPr>
          <w:rFonts w:hint="eastAsia" w:ascii="宋体" w:hAnsi="宋体" w:eastAsia="宋体" w:cs="宋体"/>
          <w:color w:val="auto"/>
          <w:sz w:val="24"/>
          <w:szCs w:val="24"/>
          <w:highlight w:val="none"/>
        </w:rPr>
        <w:t>五、产权担保</w:t>
      </w:r>
      <w:bookmarkEnd w:id="71"/>
    </w:p>
    <w:p w14:paraId="420706F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5.1乙方保证所交付标的的所有权完全属于乙方且无任何抵押、查封等产权瑕疵。</w:t>
      </w:r>
    </w:p>
    <w:p w14:paraId="420EC937">
      <w:pPr>
        <w:spacing w:line="500" w:lineRule="exact"/>
        <w:ind w:firstLine="480"/>
        <w:jc w:val="left"/>
        <w:outlineLvl w:val="0"/>
        <w:rPr>
          <w:rFonts w:hint="eastAsia" w:ascii="宋体" w:hAnsi="宋体" w:eastAsia="宋体" w:cs="宋体"/>
          <w:color w:val="auto"/>
          <w:sz w:val="24"/>
          <w:szCs w:val="24"/>
          <w:highlight w:val="none"/>
        </w:rPr>
      </w:pPr>
      <w:bookmarkStart w:id="72" w:name="_Toc7937"/>
      <w:r>
        <w:rPr>
          <w:rFonts w:hint="eastAsia" w:ascii="宋体" w:hAnsi="宋体" w:eastAsia="宋体" w:cs="宋体"/>
          <w:color w:val="auto"/>
          <w:sz w:val="24"/>
          <w:szCs w:val="24"/>
          <w:highlight w:val="none"/>
        </w:rPr>
        <w:t>六、履约保证金</w:t>
      </w:r>
      <w:bookmarkEnd w:id="72"/>
    </w:p>
    <w:p w14:paraId="7F602E6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6.1本合同不收取履约保证金。</w:t>
      </w:r>
    </w:p>
    <w:p w14:paraId="4706AC37">
      <w:pPr>
        <w:spacing w:line="500" w:lineRule="exact"/>
        <w:ind w:firstLine="480"/>
        <w:jc w:val="left"/>
        <w:outlineLvl w:val="0"/>
        <w:rPr>
          <w:rFonts w:hint="eastAsia" w:ascii="宋体" w:hAnsi="宋体" w:eastAsia="宋体" w:cs="宋体"/>
          <w:color w:val="auto"/>
          <w:sz w:val="24"/>
          <w:szCs w:val="24"/>
          <w:highlight w:val="none"/>
        </w:rPr>
      </w:pPr>
      <w:bookmarkStart w:id="73" w:name="_Toc20419"/>
      <w:r>
        <w:rPr>
          <w:rFonts w:hint="eastAsia" w:ascii="宋体" w:hAnsi="宋体" w:eastAsia="宋体" w:cs="宋体"/>
          <w:color w:val="auto"/>
          <w:sz w:val="24"/>
          <w:szCs w:val="24"/>
          <w:highlight w:val="none"/>
        </w:rPr>
        <w:t>七、合同转包或分包</w:t>
      </w:r>
      <w:bookmarkEnd w:id="73"/>
    </w:p>
    <w:p w14:paraId="551D70D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7.1本合同范围内产品或服务，应由乙方直接供应，不得转让他人供应或部分分包给他人供应。</w:t>
      </w:r>
    </w:p>
    <w:p w14:paraId="76B127B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如有转让和未经甲方同意的分包行为，甲方有权终止合同。</w:t>
      </w:r>
    </w:p>
    <w:p w14:paraId="1153ED5D">
      <w:pPr>
        <w:spacing w:line="500" w:lineRule="exact"/>
        <w:ind w:firstLine="480"/>
        <w:jc w:val="left"/>
        <w:outlineLvl w:val="0"/>
        <w:rPr>
          <w:rFonts w:hint="eastAsia" w:ascii="宋体" w:hAnsi="宋体" w:eastAsia="宋体" w:cs="宋体"/>
          <w:color w:val="auto"/>
          <w:sz w:val="24"/>
          <w:szCs w:val="24"/>
          <w:highlight w:val="none"/>
        </w:rPr>
      </w:pPr>
      <w:bookmarkStart w:id="74" w:name="_Toc19981"/>
      <w:r>
        <w:rPr>
          <w:rFonts w:hint="eastAsia" w:ascii="宋体" w:hAnsi="宋体" w:eastAsia="宋体" w:cs="宋体"/>
          <w:color w:val="auto"/>
          <w:sz w:val="24"/>
          <w:szCs w:val="24"/>
          <w:highlight w:val="none"/>
        </w:rPr>
        <w:t>八、服务时间</w:t>
      </w:r>
      <w:bookmarkEnd w:id="74"/>
    </w:p>
    <w:p w14:paraId="5C3942C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8.1服务时间：</w:t>
      </w:r>
    </w:p>
    <w:p w14:paraId="3AA30380">
      <w:pPr>
        <w:spacing w:line="500" w:lineRule="exact"/>
        <w:ind w:firstLine="480"/>
        <w:jc w:val="left"/>
        <w:outlineLvl w:val="0"/>
        <w:rPr>
          <w:rFonts w:hint="eastAsia" w:ascii="宋体" w:hAnsi="宋体" w:eastAsia="宋体" w:cs="宋体"/>
          <w:color w:val="auto"/>
          <w:sz w:val="24"/>
          <w:szCs w:val="24"/>
          <w:highlight w:val="none"/>
        </w:rPr>
      </w:pPr>
      <w:bookmarkStart w:id="75" w:name="_Toc31017"/>
      <w:r>
        <w:rPr>
          <w:rFonts w:hint="eastAsia" w:ascii="宋体" w:hAnsi="宋体" w:eastAsia="宋体" w:cs="宋体"/>
          <w:color w:val="auto"/>
          <w:sz w:val="24"/>
          <w:szCs w:val="24"/>
          <w:highlight w:val="none"/>
        </w:rPr>
        <w:t>九、合同内容的交付</w:t>
      </w:r>
      <w:bookmarkEnd w:id="75"/>
    </w:p>
    <w:p w14:paraId="4C8909D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交付期：_________。</w:t>
      </w:r>
    </w:p>
    <w:p w14:paraId="42D1F90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交付方式：_________。</w:t>
      </w:r>
    </w:p>
    <w:p w14:paraId="197CC8A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 交付地点：_________。</w:t>
      </w:r>
    </w:p>
    <w:p w14:paraId="780367E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2535A45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9.5乙方在合同标的交付甲方48小时前通知甲方准备接收。合同标的在规定的交付期限内由乙方送达甲方指定的地点视为交付，乙方同时需通知甲方已送达。</w:t>
      </w:r>
    </w:p>
    <w:p w14:paraId="1D3A3A92">
      <w:pPr>
        <w:spacing w:line="500" w:lineRule="exact"/>
        <w:ind w:firstLine="480"/>
        <w:jc w:val="left"/>
        <w:outlineLvl w:val="0"/>
        <w:rPr>
          <w:rFonts w:hint="eastAsia" w:ascii="宋体" w:hAnsi="宋体" w:eastAsia="宋体" w:cs="宋体"/>
          <w:color w:val="auto"/>
          <w:sz w:val="24"/>
          <w:szCs w:val="24"/>
          <w:highlight w:val="none"/>
        </w:rPr>
      </w:pPr>
      <w:bookmarkStart w:id="76" w:name="_Toc16089"/>
      <w:r>
        <w:rPr>
          <w:rFonts w:hint="eastAsia" w:ascii="宋体" w:hAnsi="宋体" w:eastAsia="宋体" w:cs="宋体"/>
          <w:color w:val="auto"/>
          <w:sz w:val="24"/>
          <w:szCs w:val="24"/>
          <w:highlight w:val="none"/>
        </w:rPr>
        <w:t>十、合同款支付</w:t>
      </w:r>
      <w:bookmarkEnd w:id="76"/>
    </w:p>
    <w:p w14:paraId="53730AB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10.1付款方式：_________。</w:t>
      </w:r>
    </w:p>
    <w:p w14:paraId="109E7FB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10.2当采购数量与实际使用数量不一致时，乙方应根据实际使用量提供产品和服务，合同的最终结算金额按实际使用量乘以中标单价计算。</w:t>
      </w:r>
    </w:p>
    <w:p w14:paraId="4B6BF83C">
      <w:pPr>
        <w:spacing w:line="500" w:lineRule="exact"/>
        <w:ind w:firstLine="480"/>
        <w:jc w:val="left"/>
        <w:outlineLvl w:val="0"/>
        <w:rPr>
          <w:rFonts w:hint="eastAsia" w:ascii="宋体" w:hAnsi="宋体" w:eastAsia="宋体" w:cs="宋体"/>
          <w:color w:val="auto"/>
          <w:sz w:val="24"/>
          <w:szCs w:val="24"/>
          <w:highlight w:val="none"/>
        </w:rPr>
      </w:pPr>
      <w:bookmarkStart w:id="77" w:name="_Toc11759"/>
      <w:r>
        <w:rPr>
          <w:rFonts w:hint="eastAsia" w:ascii="宋体" w:hAnsi="宋体" w:eastAsia="宋体" w:cs="宋体"/>
          <w:color w:val="auto"/>
          <w:sz w:val="24"/>
          <w:szCs w:val="24"/>
          <w:highlight w:val="none"/>
        </w:rPr>
        <w:t>十一、税费</w:t>
      </w:r>
      <w:bookmarkEnd w:id="77"/>
    </w:p>
    <w:p w14:paraId="5E49509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11.1本合同执行中相关的一切税费均由乙方负担。</w:t>
      </w:r>
    </w:p>
    <w:p w14:paraId="368A59DA">
      <w:pPr>
        <w:spacing w:line="500" w:lineRule="exact"/>
        <w:ind w:firstLine="480"/>
        <w:jc w:val="left"/>
        <w:outlineLvl w:val="0"/>
        <w:rPr>
          <w:rFonts w:hint="eastAsia" w:ascii="宋体" w:hAnsi="宋体" w:eastAsia="宋体" w:cs="宋体"/>
          <w:color w:val="auto"/>
          <w:sz w:val="24"/>
          <w:szCs w:val="24"/>
          <w:highlight w:val="none"/>
        </w:rPr>
      </w:pPr>
      <w:bookmarkStart w:id="78" w:name="_Toc8364"/>
      <w:r>
        <w:rPr>
          <w:rFonts w:hint="eastAsia" w:ascii="宋体" w:hAnsi="宋体" w:eastAsia="宋体" w:cs="宋体"/>
          <w:color w:val="auto"/>
          <w:sz w:val="24"/>
          <w:szCs w:val="24"/>
          <w:highlight w:val="none"/>
        </w:rPr>
        <w:t>十二、质量保证及售后服务</w:t>
      </w:r>
      <w:bookmarkEnd w:id="78"/>
    </w:p>
    <w:p w14:paraId="102E658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乙方应按招标文件规定和投标文件承诺的性能、技术要求、质量标准向甲方提供产品或服务。</w:t>
      </w:r>
    </w:p>
    <w:p w14:paraId="1ED69B3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12.2乙方提供的产品或服务在服务期内因其本身出现质量问题，根据实际情况，经双方协商，可按以下办法处理：</w:t>
      </w:r>
    </w:p>
    <w:p w14:paraId="218102A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（1）更换：由乙方承担所产生的全部费用。</w:t>
      </w:r>
    </w:p>
    <w:p w14:paraId="139C137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（2）合同终止处理：合同终止，乙方退还甲方支付的合同款，同时承担由此产生的全部费用，甲方不承担任何产生费用。</w:t>
      </w:r>
    </w:p>
    <w:p w14:paraId="2665D66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如在使用过程中发生质量问题，乙方在接到甲方通知后小时内到达甲方现场。</w:t>
      </w:r>
    </w:p>
    <w:p w14:paraId="1AD687D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在服务期内，乙方应对产品或服务出现的质量及安全问题负责处理解决并承担一切费用。</w:t>
      </w:r>
    </w:p>
    <w:p w14:paraId="6FC0CDE6">
      <w:pPr>
        <w:spacing w:line="500" w:lineRule="exact"/>
        <w:ind w:firstLine="480"/>
        <w:jc w:val="left"/>
        <w:outlineLvl w:val="0"/>
        <w:rPr>
          <w:rFonts w:hint="eastAsia" w:ascii="宋体" w:hAnsi="宋体" w:eastAsia="宋体" w:cs="宋体"/>
          <w:color w:val="auto"/>
          <w:sz w:val="24"/>
          <w:szCs w:val="24"/>
          <w:highlight w:val="none"/>
        </w:rPr>
      </w:pPr>
      <w:bookmarkStart w:id="79" w:name="_Toc18213"/>
      <w:r>
        <w:rPr>
          <w:rFonts w:hint="eastAsia" w:ascii="宋体" w:hAnsi="宋体" w:eastAsia="宋体" w:cs="宋体"/>
          <w:color w:val="auto"/>
          <w:sz w:val="24"/>
          <w:szCs w:val="24"/>
          <w:highlight w:val="none"/>
        </w:rPr>
        <w:t>十三、项目验收</w:t>
      </w:r>
      <w:bookmarkEnd w:id="79"/>
    </w:p>
    <w:p w14:paraId="166F780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13.1甲方依法组织履约验收工作。</w:t>
      </w:r>
    </w:p>
    <w:p w14:paraId="6AEE2D8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17AC54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13.3对于实际使用人和甲方分离的项目，甲方邀请实际使用人参与验收。</w:t>
      </w:r>
    </w:p>
    <w:p w14:paraId="2EA6D58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13.4如有必要，甲方邀请参加本项目的其他投标人或第三方专业机构及专家参与验收，相关意见将作为验收书的参考资料。</w:t>
      </w:r>
    </w:p>
    <w:p w14:paraId="4E04D45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F295A6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highlight w:val="none"/>
        </w:rPr>
        <w:t>中华人民共和国民法典</w:t>
      </w:r>
      <w:r>
        <w:rPr>
          <w:rFonts w:hint="eastAsia" w:ascii="宋体" w:hAnsi="宋体" w:eastAsia="宋体" w:cs="宋体"/>
          <w:color w:val="auto"/>
          <w:sz w:val="24"/>
          <w:szCs w:val="24"/>
          <w:highlight w:val="none"/>
        </w:rPr>
        <w:t>》。乙方在履约过程中有政府采购法律法规规定的违法违规情形的，甲方将及时报告本级财政部门。</w:t>
      </w:r>
    </w:p>
    <w:p w14:paraId="24062BCF">
      <w:pPr>
        <w:spacing w:line="500" w:lineRule="exact"/>
        <w:ind w:firstLine="480"/>
        <w:jc w:val="left"/>
        <w:outlineLvl w:val="0"/>
        <w:rPr>
          <w:rFonts w:hint="eastAsia" w:ascii="宋体" w:hAnsi="宋体" w:eastAsia="宋体" w:cs="宋体"/>
          <w:color w:val="auto"/>
          <w:sz w:val="24"/>
          <w:szCs w:val="24"/>
          <w:highlight w:val="none"/>
        </w:rPr>
      </w:pPr>
      <w:bookmarkStart w:id="80" w:name="_Toc23450"/>
      <w:r>
        <w:rPr>
          <w:rFonts w:hint="eastAsia" w:ascii="宋体" w:hAnsi="宋体" w:eastAsia="宋体" w:cs="宋体"/>
          <w:color w:val="auto"/>
          <w:sz w:val="24"/>
          <w:szCs w:val="24"/>
          <w:highlight w:val="none"/>
        </w:rPr>
        <w:t>十四、违约责任</w:t>
      </w:r>
      <w:bookmarkEnd w:id="80"/>
    </w:p>
    <w:p w14:paraId="50D5A52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14.1甲方无正当理由拒收的，甲方向乙方偿付拒收标的总值的违约金。</w:t>
      </w:r>
    </w:p>
    <w:p w14:paraId="316AE94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14.2甲方无故逾期验收和办理合同款支付手续的，甲方应按逾期付款总额每日向乙方支付违约金，最高限额为本合同总额的。</w:t>
      </w:r>
    </w:p>
    <w:p w14:paraId="11921C2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乙方逾期交付合同标的的，乙方应按逾期交付总额每日向甲方支付违约金，由甲方从待付合同款中扣除，最高限额为本合同总额的。逾期超过约定日期不能交付的，甲方可解除本合同。乙方因逾期交付或因其他违约行为导致甲方解除合同的，乙方应向甲方支付合同总额的违约金，如造成甲方损失超过违约金的，超出部分由乙方继续承担赔偿责任。</w:t>
      </w:r>
    </w:p>
    <w:p w14:paraId="5FE3813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p>
    <w:p w14:paraId="5CD2F23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对于下列的违约情况，将从保费中扣除相应金额：第一次有效投诉通报批评，第二次有效投诉扣1000.00元，第三次有效投诉扣4000.00元，第四次有效投诉扣5000.00元，取消下一年度参与连云港市市区残疾人联合会所有采购项目的资格，情节特别严重，对被保险人名誉和利益造成特别重大损害者，投保人或被保险人有权立即终止本合同，并要求退回所有未到期保费。</w:t>
      </w:r>
    </w:p>
    <w:p w14:paraId="4B54070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（1）收到被保险人对保险公司的投诉，经查情况属实；</w:t>
      </w:r>
    </w:p>
    <w:p w14:paraId="03F44D4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（2）检查发现投保手续偏离基本服务要求中的“承保服务”部分任何一条，经查情况属实； </w:t>
      </w:r>
    </w:p>
    <w:p w14:paraId="525826C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（3）检查发现理赔服务手续偏离基本服务要求中的“理赔服务”部分任何一条，经查情况属实；</w:t>
      </w:r>
    </w:p>
    <w:p w14:paraId="1A7E8832">
      <w:pPr>
        <w:spacing w:line="500" w:lineRule="exact"/>
        <w:ind w:firstLine="480"/>
        <w:jc w:val="left"/>
        <w:outlineLvl w:val="0"/>
        <w:rPr>
          <w:rFonts w:hint="eastAsia" w:ascii="宋体" w:hAnsi="宋体" w:eastAsia="宋体" w:cs="宋体"/>
          <w:color w:val="auto"/>
          <w:sz w:val="24"/>
          <w:szCs w:val="24"/>
          <w:highlight w:val="none"/>
        </w:rPr>
      </w:pPr>
      <w:bookmarkStart w:id="81" w:name="_Toc15055"/>
      <w:r>
        <w:rPr>
          <w:rFonts w:hint="eastAsia" w:ascii="宋体" w:hAnsi="宋体" w:eastAsia="宋体" w:cs="宋体"/>
          <w:color w:val="auto"/>
          <w:sz w:val="24"/>
          <w:szCs w:val="24"/>
          <w:highlight w:val="none"/>
        </w:rPr>
        <w:t>十五、不可抗力事件处理</w:t>
      </w:r>
      <w:bookmarkEnd w:id="81"/>
    </w:p>
    <w:p w14:paraId="2857CA3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15.1在合同有效期内，任何一方因不可抗力事件导致不能履行合同的，则合同履行期可延长，其延长期与不可抗力影响期相同。</w:t>
      </w:r>
    </w:p>
    <w:p w14:paraId="50A3F12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15.2不可抗力事件发生后，应立即通知对方，并寄送有关权威机构出具的证明。</w:t>
      </w:r>
    </w:p>
    <w:p w14:paraId="3AAF58E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15.3不可抗力事件延续120天以上，双方应通过友好协商，确定是否继续履行合同。</w:t>
      </w:r>
    </w:p>
    <w:p w14:paraId="0C98DAC0">
      <w:pPr>
        <w:spacing w:line="500" w:lineRule="exact"/>
        <w:ind w:firstLine="480"/>
        <w:jc w:val="left"/>
        <w:outlineLvl w:val="0"/>
        <w:rPr>
          <w:rFonts w:hint="eastAsia" w:ascii="宋体" w:hAnsi="宋体" w:eastAsia="宋体" w:cs="宋体"/>
          <w:color w:val="auto"/>
          <w:sz w:val="24"/>
          <w:szCs w:val="24"/>
          <w:highlight w:val="none"/>
        </w:rPr>
      </w:pPr>
      <w:bookmarkStart w:id="82" w:name="_Toc27369"/>
      <w:r>
        <w:rPr>
          <w:rFonts w:hint="eastAsia" w:ascii="宋体" w:hAnsi="宋体" w:eastAsia="宋体" w:cs="宋体"/>
          <w:color w:val="auto"/>
          <w:sz w:val="24"/>
          <w:szCs w:val="24"/>
          <w:highlight w:val="none"/>
        </w:rPr>
        <w:t>十六、解决争议的方法</w:t>
      </w:r>
      <w:bookmarkEnd w:id="82"/>
    </w:p>
    <w:p w14:paraId="7A7C75C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16.1甲乙双方因合同签订、履行而发生的一切争议，应通过友好协商解决。如协商不成，按下列第</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种方式解决：</w:t>
      </w:r>
    </w:p>
    <w:p w14:paraId="30423A3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（1）向连云港仲裁委员会申请仲裁。</w:t>
      </w:r>
    </w:p>
    <w:p w14:paraId="0CED416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（2）向合同签订地法院起诉，合同签订地在此约定为连云港市灌南县。</w:t>
      </w:r>
    </w:p>
    <w:p w14:paraId="0FA44EE8">
      <w:pPr>
        <w:spacing w:line="500" w:lineRule="exact"/>
        <w:ind w:firstLine="480"/>
        <w:jc w:val="left"/>
        <w:outlineLvl w:val="0"/>
        <w:rPr>
          <w:rFonts w:hint="eastAsia" w:ascii="宋体" w:hAnsi="宋体" w:eastAsia="宋体" w:cs="宋体"/>
          <w:color w:val="auto"/>
          <w:sz w:val="24"/>
          <w:szCs w:val="24"/>
          <w:highlight w:val="none"/>
        </w:rPr>
      </w:pPr>
      <w:bookmarkStart w:id="83" w:name="_Toc18204"/>
      <w:r>
        <w:rPr>
          <w:rFonts w:hint="eastAsia" w:ascii="宋体" w:hAnsi="宋体" w:eastAsia="宋体" w:cs="宋体"/>
          <w:color w:val="auto"/>
          <w:sz w:val="24"/>
          <w:szCs w:val="24"/>
          <w:highlight w:val="none"/>
        </w:rPr>
        <w:t>十七、合同生效及其他</w:t>
      </w:r>
      <w:bookmarkEnd w:id="83"/>
    </w:p>
    <w:p w14:paraId="6284EC4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17.1合同经双方法定代表人或授权代表签字并加盖单位公章后生效。</w:t>
      </w:r>
    </w:p>
    <w:p w14:paraId="076278F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17.2本合同未尽事宜，遵照</w:t>
      </w:r>
      <w:r>
        <w:rPr>
          <w:rFonts w:hint="eastAsia" w:ascii="宋体" w:hAnsi="宋体" w:eastAsia="宋体" w:cs="宋体"/>
          <w:color w:val="auto"/>
          <w:sz w:val="24"/>
          <w:highlight w:val="none"/>
        </w:rPr>
        <w:t>《中华人民共和国民法典》《中华人民共和国</w:t>
      </w:r>
      <w:r>
        <w:rPr>
          <w:rFonts w:hint="eastAsia" w:ascii="宋体" w:hAnsi="宋体" w:eastAsia="宋体" w:cs="宋体"/>
          <w:color w:val="auto"/>
          <w:sz w:val="24"/>
          <w:szCs w:val="24"/>
          <w:highlight w:val="none"/>
        </w:rPr>
        <w:t>政府采购法》有关条文执行。</w:t>
      </w:r>
    </w:p>
    <w:p w14:paraId="029694A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17.3本合同正本一式四份，具有同等法律效力，甲方、乙方各执二份。</w:t>
      </w:r>
    </w:p>
    <w:p w14:paraId="475D3BC2">
      <w:pPr>
        <w:spacing w:line="500" w:lineRule="exact"/>
        <w:ind w:firstLine="480"/>
        <w:jc w:val="left"/>
        <w:rPr>
          <w:rFonts w:hint="eastAsia" w:ascii="宋体" w:hAnsi="宋体" w:eastAsia="宋体" w:cs="宋体"/>
          <w:color w:val="auto"/>
          <w:sz w:val="24"/>
          <w:szCs w:val="24"/>
          <w:highlight w:val="none"/>
        </w:rPr>
      </w:pPr>
    </w:p>
    <w:p w14:paraId="751EFB93">
      <w:pPr>
        <w:spacing w:line="500" w:lineRule="exact"/>
        <w:ind w:firstLine="480"/>
        <w:jc w:val="left"/>
        <w:rPr>
          <w:rFonts w:hint="eastAsia" w:ascii="宋体" w:hAnsi="宋体" w:eastAsia="宋体" w:cs="宋体"/>
          <w:color w:val="auto"/>
          <w:sz w:val="24"/>
          <w:szCs w:val="24"/>
          <w:highlight w:val="none"/>
        </w:rPr>
      </w:pPr>
    </w:p>
    <w:p w14:paraId="306701B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                              乙方：</w:t>
      </w:r>
    </w:p>
    <w:p w14:paraId="3A26E8E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                              地址：</w:t>
      </w:r>
    </w:p>
    <w:p w14:paraId="5D3590B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              法定代表人或授权代表：</w:t>
      </w:r>
    </w:p>
    <w:p w14:paraId="51D72F7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                          联系电话：</w:t>
      </w:r>
    </w:p>
    <w:p w14:paraId="161B79A9">
      <w:pPr>
        <w:spacing w:line="500" w:lineRule="exact"/>
        <w:ind w:firstLine="480"/>
        <w:jc w:val="left"/>
        <w:rPr>
          <w:rFonts w:hint="eastAsia" w:ascii="宋体" w:hAnsi="宋体" w:eastAsia="宋体" w:cs="宋体"/>
          <w:color w:val="auto"/>
          <w:sz w:val="24"/>
          <w:szCs w:val="24"/>
          <w:highlight w:val="none"/>
        </w:rPr>
      </w:pPr>
    </w:p>
    <w:p w14:paraId="5DF2C6AA">
      <w:pPr>
        <w:spacing w:line="500" w:lineRule="exact"/>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签订日期：年月日</w:t>
      </w:r>
    </w:p>
    <w:p w14:paraId="5683E135">
      <w:pPr>
        <w:spacing w:line="480" w:lineRule="exact"/>
        <w:ind w:firstLine="540"/>
        <w:rPr>
          <w:rFonts w:hint="eastAsia" w:ascii="宋体" w:hAnsi="宋体" w:eastAsia="宋体" w:cs="宋体"/>
          <w:color w:val="auto"/>
          <w:sz w:val="36"/>
          <w:szCs w:val="20"/>
          <w:highlight w:val="none"/>
        </w:rPr>
        <w:sectPr>
          <w:pgSz w:w="11906" w:h="16838"/>
          <w:pgMar w:top="1440" w:right="1134" w:bottom="1440" w:left="1418" w:header="851" w:footer="992" w:gutter="0"/>
          <w:cols w:space="720" w:num="1"/>
          <w:titlePg/>
          <w:docGrid w:linePitch="360" w:charSpace="0"/>
        </w:sectPr>
      </w:pPr>
    </w:p>
    <w:p w14:paraId="7B8BD54C">
      <w:pPr>
        <w:pStyle w:val="2"/>
        <w:spacing w:before="156" w:after="156" w:line="460" w:lineRule="exact"/>
        <w:jc w:val="center"/>
        <w:rPr>
          <w:rFonts w:hint="eastAsia" w:ascii="宋体" w:hAnsi="宋体" w:eastAsia="宋体" w:cs="宋体"/>
          <w:b w:val="0"/>
          <w:color w:val="auto"/>
          <w:highlight w:val="none"/>
        </w:rPr>
      </w:pPr>
      <w:bookmarkStart w:id="84" w:name="_Toc155796359"/>
      <w:bookmarkStart w:id="85" w:name="_Toc11244"/>
      <w:bookmarkStart w:id="86" w:name="_Toc3380"/>
      <w:r>
        <w:rPr>
          <w:rFonts w:hint="eastAsia" w:ascii="宋体" w:hAnsi="宋体" w:eastAsia="宋体" w:cs="宋体"/>
          <w:b w:val="0"/>
          <w:color w:val="auto"/>
          <w:highlight w:val="none"/>
        </w:rPr>
        <w:t>第四章采购需求</w:t>
      </w:r>
      <w:bookmarkEnd w:id="84"/>
      <w:bookmarkEnd w:id="85"/>
      <w:bookmarkEnd w:id="86"/>
    </w:p>
    <w:p w14:paraId="506F2F5B">
      <w:pPr>
        <w:spacing w:line="460" w:lineRule="exact"/>
        <w:ind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说明：本项目采购方式为公开招标，本项目属性为</w:t>
      </w:r>
      <w:r>
        <w:rPr>
          <w:rFonts w:hint="eastAsia" w:ascii="宋体" w:hAnsi="宋体" w:eastAsia="宋体" w:cs="宋体"/>
          <w:b/>
          <w:color w:val="auto"/>
          <w:sz w:val="24"/>
          <w:szCs w:val="24"/>
          <w:highlight w:val="none"/>
        </w:rPr>
        <w:t>服务</w:t>
      </w:r>
      <w:r>
        <w:rPr>
          <w:rFonts w:hint="eastAsia" w:ascii="宋体" w:hAnsi="宋体" w:eastAsia="宋体" w:cs="宋体"/>
          <w:color w:val="auto"/>
          <w:sz w:val="24"/>
          <w:szCs w:val="24"/>
          <w:highlight w:val="none"/>
        </w:rPr>
        <w:t>，采购标的对应的中小企业划分标准所属行业为：</w:t>
      </w:r>
      <w:r>
        <w:rPr>
          <w:rFonts w:hint="eastAsia" w:ascii="宋体" w:hAnsi="宋体" w:eastAsia="宋体" w:cs="宋体"/>
          <w:b/>
          <w:bCs/>
          <w:color w:val="auto"/>
          <w:sz w:val="24"/>
          <w:szCs w:val="24"/>
          <w:highlight w:val="none"/>
          <w:u w:val="single"/>
        </w:rPr>
        <w:t>其他未列明行业</w:t>
      </w:r>
      <w:r>
        <w:rPr>
          <w:rFonts w:hint="eastAsia" w:ascii="宋体" w:hAnsi="宋体" w:eastAsia="宋体" w:cs="宋体"/>
          <w:color w:val="auto"/>
          <w:sz w:val="24"/>
          <w:szCs w:val="24"/>
          <w:highlight w:val="none"/>
        </w:rPr>
        <w:t>。</w:t>
      </w:r>
    </w:p>
    <w:p w14:paraId="615054FD">
      <w:pPr>
        <w:spacing w:line="360" w:lineRule="auto"/>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1、根据《政府采购需求管理办法》等有关规定，采购人确定采购需求。</w:t>
      </w:r>
    </w:p>
    <w:p w14:paraId="23A9DE3E">
      <w:pPr>
        <w:spacing w:line="360" w:lineRule="auto"/>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w:t>
      </w:r>
      <w:r>
        <w:rPr>
          <w:rFonts w:hint="eastAsia" w:ascii="Calibri" w:hAnsi="Calibri" w:eastAsia="宋体" w:cs="Times New Roman"/>
          <w:b/>
          <w:color w:val="auto"/>
          <w:sz w:val="24"/>
          <w:szCs w:val="24"/>
          <w:highlight w:val="none"/>
        </w:rPr>
        <w:t>本招标文件中</w:t>
      </w:r>
      <w:r>
        <w:rPr>
          <w:rFonts w:hint="eastAsia" w:ascii="Calibri" w:hAnsi="Calibri" w:eastAsia="宋体" w:cs="Times New Roman"/>
          <w:b/>
          <w:i/>
          <w:color w:val="auto"/>
          <w:sz w:val="24"/>
          <w:szCs w:val="24"/>
          <w:highlight w:val="none"/>
          <w:u w:val="single"/>
        </w:rPr>
        <w:t>斜体且有下划线部分</w:t>
      </w:r>
      <w:r>
        <w:rPr>
          <w:rFonts w:hint="eastAsia" w:ascii="Calibri" w:hAnsi="Calibri" w:eastAsia="宋体" w:cs="Times New Roman"/>
          <w:b/>
          <w:color w:val="auto"/>
          <w:sz w:val="24"/>
          <w:szCs w:val="24"/>
          <w:highlight w:val="none"/>
        </w:rPr>
        <w:t>为实质性要求和条件</w:t>
      </w:r>
      <w:r>
        <w:rPr>
          <w:rFonts w:hint="eastAsia" w:ascii="Calibri" w:hAnsi="Calibri" w:eastAsia="宋体" w:cs="Times New Roman"/>
          <w:color w:val="auto"/>
          <w:sz w:val="24"/>
          <w:szCs w:val="24"/>
          <w:highlight w:val="none"/>
        </w:rPr>
        <w:t>，由采购人根据实际情况设置，供应商须逐条明确作出满足实质性要求和条件的响应，否则将按无效响应处理。</w:t>
      </w:r>
    </w:p>
    <w:tbl>
      <w:tblPr>
        <w:tblStyle w:val="3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362DB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vAlign w:val="center"/>
          </w:tcPr>
          <w:p w14:paraId="1DB9DCEA">
            <w:pPr>
              <w:spacing w:line="500" w:lineRule="exact"/>
              <w:jc w:val="center"/>
              <w:rPr>
                <w:rFonts w:hint="eastAsia" w:ascii="黑体" w:hAnsi="黑体" w:eastAsia="黑体" w:cs="Times New Roman"/>
                <w:color w:val="auto"/>
                <w:sz w:val="24"/>
                <w:szCs w:val="24"/>
                <w:highlight w:val="none"/>
              </w:rPr>
            </w:pPr>
            <w:r>
              <w:rPr>
                <w:rFonts w:ascii="黑体" w:hAnsi="黑体" w:eastAsia="黑体" w:cs="Times New Roman"/>
                <w:color w:val="auto"/>
                <w:sz w:val="24"/>
                <w:szCs w:val="24"/>
                <w:highlight w:val="none"/>
              </w:rPr>
              <w:t>采购需求中须满足的实质性要求和条件</w:t>
            </w:r>
          </w:p>
        </w:tc>
      </w:tr>
      <w:tr w14:paraId="0DD56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816" w:type="dxa"/>
            <w:tcBorders>
              <w:top w:val="single" w:color="auto" w:sz="4" w:space="0"/>
            </w:tcBorders>
            <w:vAlign w:val="center"/>
          </w:tcPr>
          <w:p w14:paraId="22F56F8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7689" w:type="dxa"/>
            <w:tcBorders>
              <w:top w:val="single" w:color="auto" w:sz="4" w:space="0"/>
            </w:tcBorders>
            <w:vAlign w:val="center"/>
          </w:tcPr>
          <w:p w14:paraId="0BC4C30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实质性要求和条件</w:t>
            </w:r>
          </w:p>
        </w:tc>
      </w:tr>
      <w:tr w14:paraId="17CE6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6" w:type="dxa"/>
            <w:vAlign w:val="center"/>
          </w:tcPr>
          <w:p w14:paraId="3316EA0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689" w:type="dxa"/>
            <w:vAlign w:val="center"/>
          </w:tcPr>
          <w:p w14:paraId="1999ADB7">
            <w:pP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合同履行期限：一年，具体保险期间以保单所载为准。</w:t>
            </w:r>
          </w:p>
        </w:tc>
      </w:tr>
      <w:tr w14:paraId="131E6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16" w:type="dxa"/>
            <w:vAlign w:val="center"/>
          </w:tcPr>
          <w:p w14:paraId="13977FF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689" w:type="dxa"/>
            <w:vAlign w:val="center"/>
          </w:tcPr>
          <w:p w14:paraId="47CEDF0C">
            <w:pP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付款方式：</w:t>
            </w:r>
            <w:r>
              <w:rPr>
                <w:rFonts w:hint="eastAsia" w:ascii="宋体" w:hAnsi="宋体" w:eastAsia="宋体" w:cs="宋体"/>
                <w:i/>
                <w:iCs/>
                <w:color w:val="auto"/>
                <w:sz w:val="24"/>
                <w:szCs w:val="24"/>
                <w:highlight w:val="none"/>
                <w:u w:val="single"/>
                <w:lang w:eastAsia="zh-CN"/>
              </w:rPr>
              <w:t>合同签订后三个月内付清</w:t>
            </w:r>
            <w:r>
              <w:rPr>
                <w:rFonts w:hint="eastAsia" w:ascii="宋体" w:hAnsi="宋体" w:eastAsia="宋体" w:cs="宋体"/>
                <w:i/>
                <w:iCs/>
                <w:color w:val="auto"/>
                <w:sz w:val="24"/>
                <w:szCs w:val="24"/>
                <w:highlight w:val="none"/>
                <w:u w:val="single"/>
              </w:rPr>
              <w:t>，</w:t>
            </w:r>
            <w:r>
              <w:rPr>
                <w:rFonts w:hint="eastAsia" w:ascii="宋体" w:hAnsi="宋体" w:eastAsia="宋体" w:cs="宋体"/>
                <w:i/>
                <w:iCs/>
                <w:color w:val="auto"/>
                <w:sz w:val="24"/>
                <w:szCs w:val="24"/>
                <w:highlight w:val="none"/>
                <w:u w:val="single"/>
                <w:lang w:eastAsia="zh-CN"/>
              </w:rPr>
              <w:t>提供</w:t>
            </w:r>
            <w:r>
              <w:rPr>
                <w:rFonts w:hint="eastAsia" w:ascii="宋体" w:hAnsi="宋体" w:eastAsia="宋体" w:cs="宋体"/>
                <w:i/>
                <w:iCs/>
                <w:color w:val="auto"/>
                <w:sz w:val="24"/>
                <w:szCs w:val="24"/>
                <w:highlight w:val="none"/>
                <w:u w:val="single"/>
              </w:rPr>
              <w:t>保单发票。</w:t>
            </w:r>
          </w:p>
        </w:tc>
      </w:tr>
      <w:tr w14:paraId="7D329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16" w:type="dxa"/>
            <w:vAlign w:val="center"/>
          </w:tcPr>
          <w:p w14:paraId="1E9A193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689" w:type="dxa"/>
            <w:vAlign w:val="center"/>
          </w:tcPr>
          <w:p w14:paraId="7BF1C41A">
            <w:pPr>
              <w:rPr>
                <w:rFonts w:hint="eastAsia" w:ascii="宋体" w:hAnsi="宋体" w:eastAsia="宋体" w:cs="Times New Roman"/>
                <w:i/>
                <w:iCs/>
                <w:color w:val="auto"/>
                <w:sz w:val="24"/>
                <w:highlight w:val="none"/>
                <w:u w:val="single"/>
              </w:rPr>
            </w:pPr>
            <w:r>
              <w:rPr>
                <w:rFonts w:hint="eastAsia" w:ascii="宋体" w:hAnsi="宋体" w:eastAsia="宋体" w:cs="宋体"/>
                <w:i/>
                <w:iCs/>
                <w:color w:val="auto"/>
                <w:sz w:val="24"/>
                <w:szCs w:val="24"/>
                <w:highlight w:val="none"/>
                <w:u w:val="single"/>
              </w:rPr>
              <w:t>服务质量要求：符合国家新《中华人民共和国保险法》的相关标准或行业标准。</w:t>
            </w:r>
          </w:p>
        </w:tc>
      </w:tr>
      <w:tr w14:paraId="5F04F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16" w:type="dxa"/>
            <w:vAlign w:val="center"/>
          </w:tcPr>
          <w:p w14:paraId="10206026">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7689" w:type="dxa"/>
            <w:vAlign w:val="center"/>
          </w:tcPr>
          <w:p w14:paraId="71240B83">
            <w:pPr>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最高限价：人民币120万元，报价超过最高限价的按无效标处理。</w:t>
            </w:r>
            <w:r>
              <w:rPr>
                <w:rFonts w:hint="eastAsia" w:ascii="宋体" w:hAnsi="宋体" w:eastAsia="宋体" w:cs="宋体"/>
                <w:i/>
                <w:iCs/>
                <w:color w:val="auto"/>
                <w:sz w:val="24"/>
                <w:szCs w:val="24"/>
                <w:highlight w:val="none"/>
                <w:u w:val="single"/>
                <w:lang w:eastAsia="zh-CN"/>
              </w:rPr>
              <w:t>本项目设置单价最高限价，</w:t>
            </w:r>
            <w:r>
              <w:rPr>
                <w:rFonts w:hint="eastAsia" w:ascii="宋体" w:hAnsi="宋体" w:eastAsia="宋体" w:cs="宋体"/>
                <w:i/>
                <w:iCs/>
                <w:color w:val="auto"/>
                <w:sz w:val="24"/>
                <w:szCs w:val="24"/>
                <w:highlight w:val="none"/>
                <w:u w:val="single"/>
              </w:rPr>
              <w:t>保洁人员</w:t>
            </w:r>
            <w:r>
              <w:rPr>
                <w:rFonts w:hint="eastAsia" w:ascii="宋体" w:hAnsi="宋体" w:eastAsia="宋体" w:cs="宋体"/>
                <w:i/>
                <w:iCs/>
                <w:color w:val="auto"/>
                <w:sz w:val="24"/>
                <w:szCs w:val="24"/>
                <w:highlight w:val="none"/>
                <w:u w:val="single"/>
                <w:lang w:eastAsia="zh-CN"/>
              </w:rPr>
              <w:t>保险费不超过</w:t>
            </w:r>
            <w:r>
              <w:rPr>
                <w:rFonts w:hint="eastAsia" w:ascii="宋体" w:hAnsi="宋体" w:eastAsia="宋体" w:cs="宋体"/>
                <w:i/>
                <w:iCs/>
                <w:color w:val="auto"/>
                <w:sz w:val="24"/>
                <w:szCs w:val="24"/>
                <w:highlight w:val="none"/>
                <w:u w:val="single"/>
                <w:lang w:val="en-US" w:eastAsia="zh-CN"/>
              </w:rPr>
              <w:t>600元/人；</w:t>
            </w:r>
            <w:r>
              <w:rPr>
                <w:rFonts w:hint="eastAsia" w:ascii="宋体" w:hAnsi="宋体" w:eastAsia="宋体" w:cs="宋体"/>
                <w:i/>
                <w:iCs/>
                <w:color w:val="auto"/>
                <w:sz w:val="24"/>
                <w:szCs w:val="24"/>
                <w:highlight w:val="none"/>
                <w:u w:val="single"/>
              </w:rPr>
              <w:t>清运工</w:t>
            </w:r>
            <w:r>
              <w:rPr>
                <w:rFonts w:hint="eastAsia" w:ascii="宋体" w:hAnsi="宋体" w:eastAsia="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中转站操作工</w:t>
            </w:r>
            <w:r>
              <w:rPr>
                <w:rFonts w:hint="eastAsia" w:ascii="宋体" w:hAnsi="宋体" w:eastAsia="宋体" w:cs="宋体"/>
                <w:i/>
                <w:iCs/>
                <w:color w:val="auto"/>
                <w:sz w:val="24"/>
                <w:szCs w:val="24"/>
                <w:highlight w:val="none"/>
                <w:u w:val="single"/>
                <w:lang w:eastAsia="zh-CN"/>
              </w:rPr>
              <w:t>及</w:t>
            </w:r>
            <w:r>
              <w:rPr>
                <w:rFonts w:hint="eastAsia" w:ascii="宋体" w:hAnsi="宋体" w:eastAsia="宋体" w:cs="宋体"/>
                <w:i/>
                <w:iCs/>
                <w:color w:val="auto"/>
                <w:sz w:val="24"/>
                <w:szCs w:val="24"/>
                <w:highlight w:val="none"/>
                <w:u w:val="single"/>
              </w:rPr>
              <w:t>农护巡查管理人员</w:t>
            </w:r>
            <w:r>
              <w:rPr>
                <w:rFonts w:hint="eastAsia" w:ascii="宋体" w:hAnsi="宋体" w:eastAsia="宋体" w:cs="宋体"/>
                <w:i/>
                <w:iCs/>
                <w:color w:val="auto"/>
                <w:sz w:val="24"/>
                <w:szCs w:val="24"/>
                <w:highlight w:val="none"/>
                <w:u w:val="single"/>
                <w:lang w:eastAsia="zh-CN"/>
              </w:rPr>
              <w:t>保险费不超过</w:t>
            </w:r>
            <w:r>
              <w:rPr>
                <w:rFonts w:hint="eastAsia" w:ascii="宋体" w:hAnsi="宋体" w:eastAsia="宋体" w:cs="宋体"/>
                <w:i/>
                <w:iCs/>
                <w:color w:val="auto"/>
                <w:sz w:val="24"/>
                <w:szCs w:val="24"/>
                <w:highlight w:val="none"/>
                <w:u w:val="single"/>
                <w:lang w:val="en-US" w:eastAsia="zh-CN"/>
              </w:rPr>
              <w:t>800元/人，</w:t>
            </w:r>
            <w:r>
              <w:rPr>
                <w:rFonts w:hint="eastAsia" w:ascii="宋体" w:hAnsi="宋体" w:eastAsia="宋体" w:cs="宋体"/>
                <w:i/>
                <w:iCs/>
                <w:color w:val="auto"/>
                <w:sz w:val="24"/>
                <w:szCs w:val="24"/>
                <w:highlight w:val="none"/>
                <w:u w:val="single"/>
              </w:rPr>
              <w:t>报价超过</w:t>
            </w:r>
            <w:r>
              <w:rPr>
                <w:rFonts w:hint="eastAsia" w:ascii="宋体" w:hAnsi="宋体" w:eastAsia="宋体" w:cs="宋体"/>
                <w:i/>
                <w:iCs/>
                <w:color w:val="auto"/>
                <w:sz w:val="24"/>
                <w:szCs w:val="24"/>
                <w:highlight w:val="none"/>
                <w:u w:val="single"/>
                <w:lang w:eastAsia="zh-CN"/>
              </w:rPr>
              <w:t>单价</w:t>
            </w:r>
            <w:r>
              <w:rPr>
                <w:rFonts w:hint="eastAsia" w:ascii="宋体" w:hAnsi="宋体" w:eastAsia="宋体" w:cs="宋体"/>
                <w:i/>
                <w:iCs/>
                <w:color w:val="auto"/>
                <w:sz w:val="24"/>
                <w:szCs w:val="24"/>
                <w:highlight w:val="none"/>
                <w:u w:val="single"/>
              </w:rPr>
              <w:t>最高限价的按无效标处理。</w:t>
            </w:r>
          </w:p>
        </w:tc>
      </w:tr>
    </w:tbl>
    <w:p w14:paraId="6B52F23E">
      <w:pPr>
        <w:spacing w:line="360" w:lineRule="auto"/>
        <w:ind w:firstLine="480"/>
        <w:jc w:val="left"/>
        <w:rPr>
          <w:rFonts w:ascii="Calibri" w:hAnsi="Calibri" w:eastAsia="宋体" w:cs="Times New Roman"/>
          <w:color w:val="auto"/>
          <w:sz w:val="24"/>
          <w:szCs w:val="24"/>
          <w:highlight w:val="none"/>
        </w:rPr>
      </w:pPr>
    </w:p>
    <w:p w14:paraId="7A3B4354">
      <w:pPr>
        <w:spacing w:line="360" w:lineRule="auto"/>
        <w:outlineLvl w:val="0"/>
        <w:rPr>
          <w:rFonts w:hint="eastAsia" w:ascii="宋体" w:hAnsi="宋体" w:eastAsia="宋体" w:cs="Times New Roman"/>
          <w:b/>
          <w:bCs/>
          <w:color w:val="auto"/>
          <w:sz w:val="24"/>
          <w:szCs w:val="24"/>
          <w:highlight w:val="none"/>
        </w:rPr>
      </w:pPr>
      <w:bookmarkStart w:id="87" w:name="_Toc5238"/>
      <w:r>
        <w:rPr>
          <w:rFonts w:hint="eastAsia" w:ascii="宋体" w:hAnsi="宋体" w:eastAsia="宋体" w:cs="Times New Roman"/>
          <w:b/>
          <w:bCs/>
          <w:color w:val="auto"/>
          <w:sz w:val="24"/>
          <w:szCs w:val="24"/>
          <w:highlight w:val="none"/>
        </w:rPr>
        <w:t>一、项目基本情况</w:t>
      </w:r>
      <w:bookmarkEnd w:id="87"/>
    </w:p>
    <w:p w14:paraId="4985540E">
      <w:pPr>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1、项目名称：2026-2027年灌南县农护工商业保险项目</w:t>
      </w:r>
    </w:p>
    <w:p w14:paraId="13AEEB01">
      <w:pPr>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2、采购需求：</w:t>
      </w:r>
      <w:r>
        <w:rPr>
          <w:rFonts w:hint="eastAsia" w:ascii="宋体" w:hAnsi="宋体" w:eastAsia="宋体" w:cs="宋体"/>
          <w:color w:val="auto"/>
          <w:sz w:val="24"/>
          <w:szCs w:val="24"/>
          <w:highlight w:val="none"/>
        </w:rPr>
        <w:t>全县符合商业保险共计</w:t>
      </w:r>
      <w:r>
        <w:rPr>
          <w:rFonts w:hint="eastAsia" w:ascii="宋体" w:hAnsi="宋体" w:eastAsia="宋体" w:cs="宋体"/>
          <w:color w:val="auto"/>
          <w:sz w:val="24"/>
          <w:szCs w:val="24"/>
          <w:highlight w:val="none"/>
          <w:lang w:eastAsia="zh-CN"/>
        </w:rPr>
        <w:t>约</w:t>
      </w:r>
      <w:r>
        <w:rPr>
          <w:rFonts w:hint="eastAsia" w:ascii="宋体" w:hAnsi="宋体" w:eastAsia="宋体" w:cs="宋体"/>
          <w:color w:val="auto"/>
          <w:sz w:val="24"/>
          <w:szCs w:val="24"/>
          <w:highlight w:val="none"/>
          <w:lang w:val="en-US" w:eastAsia="zh-CN"/>
        </w:rPr>
        <w:t>1850</w:t>
      </w:r>
      <w:r>
        <w:rPr>
          <w:rFonts w:hint="eastAsia" w:ascii="宋体" w:hAnsi="宋体" w:eastAsia="宋体" w:cs="宋体"/>
          <w:color w:val="auto"/>
          <w:sz w:val="24"/>
          <w:szCs w:val="24"/>
          <w:highlight w:val="none"/>
        </w:rPr>
        <w:t>人；其中保洁人员</w:t>
      </w:r>
      <w:r>
        <w:rPr>
          <w:rFonts w:hint="eastAsia" w:ascii="宋体" w:hAnsi="宋体" w:eastAsia="宋体" w:cs="宋体"/>
          <w:color w:val="auto"/>
          <w:sz w:val="24"/>
          <w:szCs w:val="24"/>
          <w:highlight w:val="none"/>
          <w:lang w:eastAsia="zh-CN"/>
        </w:rPr>
        <w:t>约</w:t>
      </w:r>
      <w:r>
        <w:rPr>
          <w:rFonts w:hint="eastAsia" w:ascii="宋体" w:hAnsi="宋体" w:eastAsia="宋体" w:cs="宋体"/>
          <w:color w:val="auto"/>
          <w:sz w:val="24"/>
          <w:szCs w:val="24"/>
          <w:highlight w:val="none"/>
          <w:lang w:val="en-US" w:eastAsia="zh-CN"/>
        </w:rPr>
        <w:t>1400</w:t>
      </w:r>
      <w:r>
        <w:rPr>
          <w:rFonts w:hint="eastAsia" w:ascii="宋体" w:hAnsi="宋体" w:eastAsia="宋体" w:cs="宋体"/>
          <w:color w:val="auto"/>
          <w:sz w:val="24"/>
          <w:szCs w:val="24"/>
          <w:highlight w:val="none"/>
        </w:rPr>
        <w:t>人，清运工及中转站操作工</w:t>
      </w:r>
      <w:r>
        <w:rPr>
          <w:rFonts w:hint="eastAsia" w:ascii="宋体" w:hAnsi="宋体" w:eastAsia="宋体" w:cs="宋体"/>
          <w:color w:val="auto"/>
          <w:sz w:val="24"/>
          <w:szCs w:val="24"/>
          <w:highlight w:val="none"/>
          <w:lang w:eastAsia="zh-CN"/>
        </w:rPr>
        <w:t>约</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人，农护巡查管理人员</w:t>
      </w:r>
      <w:r>
        <w:rPr>
          <w:rFonts w:hint="eastAsia" w:ascii="宋体" w:hAnsi="宋体" w:eastAsia="宋体" w:cs="宋体"/>
          <w:color w:val="auto"/>
          <w:sz w:val="24"/>
          <w:szCs w:val="24"/>
          <w:highlight w:val="none"/>
          <w:lang w:eastAsia="zh-CN"/>
        </w:rPr>
        <w:t>约</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人（具体以实际投保人员名单为准</w:t>
      </w:r>
      <w:r>
        <w:rPr>
          <w:rFonts w:hint="eastAsia" w:ascii="宋体" w:hAnsi="宋体" w:eastAsia="宋体" w:cs="宋体"/>
          <w:color w:val="auto"/>
          <w:sz w:val="24"/>
          <w:szCs w:val="24"/>
          <w:highlight w:val="none"/>
          <w:lang w:eastAsia="zh-CN"/>
        </w:rPr>
        <w:t>，结算时以中标单价按实结算</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，涵盖因工作发生的意外身故、意外伤残、意外医疗的相关保障。采用循环滚动式，以实际参保人数的实际参保天数结算，不采用叠加累计方式，合同期限一年。</w:t>
      </w:r>
    </w:p>
    <w:p w14:paraId="78B7148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rPr>
        <w:t>3、服务期限：自签订合同之日</w:t>
      </w:r>
      <w:r>
        <w:rPr>
          <w:rFonts w:hint="eastAsia" w:ascii="宋体" w:hAnsi="宋体" w:eastAsia="宋体" w:cs="宋体"/>
          <w:color w:val="auto"/>
          <w:sz w:val="24"/>
          <w:highlight w:val="none"/>
        </w:rPr>
        <w:t>起一年(保险生效时间：2026年8月1日00:00-2027年7月31日24:00)。</w:t>
      </w:r>
    </w:p>
    <w:p w14:paraId="1849C456">
      <w:pPr>
        <w:spacing w:line="360" w:lineRule="auto"/>
        <w:outlineLvl w:val="0"/>
        <w:rPr>
          <w:rFonts w:hint="eastAsia" w:ascii="宋体" w:hAnsi="宋体" w:eastAsia="宋体" w:cs="Times New Roman"/>
          <w:b/>
          <w:bCs/>
          <w:color w:val="auto"/>
          <w:sz w:val="24"/>
          <w:szCs w:val="24"/>
          <w:highlight w:val="none"/>
        </w:rPr>
      </w:pPr>
      <w:bookmarkStart w:id="88" w:name="_Toc19544"/>
      <w:r>
        <w:rPr>
          <w:rFonts w:hint="eastAsia" w:ascii="宋体" w:hAnsi="宋体" w:eastAsia="宋体" w:cs="Times New Roman"/>
          <w:b/>
          <w:bCs/>
          <w:color w:val="auto"/>
          <w:sz w:val="24"/>
          <w:szCs w:val="24"/>
          <w:highlight w:val="none"/>
        </w:rPr>
        <w:t>二、项目工作具体内容</w:t>
      </w:r>
      <w:bookmarkEnd w:id="88"/>
    </w:p>
    <w:p w14:paraId="5164AABE">
      <w:pPr>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2026-2027年灌南县农护工商业保险项目：</w:t>
      </w:r>
      <w:r>
        <w:rPr>
          <w:rFonts w:hint="eastAsia" w:ascii="宋体" w:hAnsi="宋体" w:eastAsia="宋体" w:cs="Times New Roman"/>
          <w:color w:val="auto"/>
          <w:sz w:val="24"/>
          <w:szCs w:val="24"/>
          <w:highlight w:val="none"/>
        </w:rPr>
        <w:tab/>
      </w:r>
    </w:p>
    <w:p w14:paraId="4012CFEC">
      <w:pPr>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具体保障责任及保险金额标准：</w:t>
      </w:r>
    </w:p>
    <w:p w14:paraId="6D5092C5">
      <w:pPr>
        <w:spacing w:line="360" w:lineRule="auto"/>
        <w:ind w:firstLine="480"/>
        <w:jc w:val="left"/>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(1)清洁工：死亡/伤残保额：65万；医疗保额：8万；误工费：1.8万。</w:t>
      </w:r>
    </w:p>
    <w:p w14:paraId="0219D69E">
      <w:pPr>
        <w:spacing w:line="360" w:lineRule="auto"/>
        <w:ind w:firstLine="480"/>
        <w:jc w:val="left"/>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(2)转运工、农护巡查管理人员及其他：死亡/伤残保额：85万；医疗保额：10万；误工费：1.8万。</w:t>
      </w:r>
    </w:p>
    <w:p w14:paraId="4245BA35">
      <w:pPr>
        <w:spacing w:line="360" w:lineRule="auto"/>
        <w:ind w:firstLine="480"/>
        <w:jc w:val="left"/>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2、误工费用：按出险前3个月工资流水平均日薪标准赔付上限按照100元/天/人（如果出险前3个月工资流水平均日薪标准低于100元，按照实际日工资标准赔付）。</w:t>
      </w:r>
    </w:p>
    <w:p w14:paraId="4BF8001B">
      <w:pPr>
        <w:spacing w:line="360" w:lineRule="auto"/>
        <w:ind w:firstLine="480"/>
        <w:jc w:val="left"/>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3、每次事故每人意外医疗绝对免赔额为100元。</w:t>
      </w:r>
    </w:p>
    <w:p w14:paraId="32825ABF">
      <w:pPr>
        <w:spacing w:line="360" w:lineRule="auto"/>
        <w:outlineLvl w:val="0"/>
        <w:rPr>
          <w:rFonts w:hint="eastAsia" w:ascii="宋体" w:hAnsi="宋体" w:eastAsia="宋体" w:cs="Times New Roman"/>
          <w:b/>
          <w:bCs/>
          <w:color w:val="auto"/>
          <w:sz w:val="24"/>
          <w:szCs w:val="24"/>
          <w:highlight w:val="none"/>
        </w:rPr>
      </w:pPr>
      <w:bookmarkStart w:id="89" w:name="_Toc27874"/>
      <w:r>
        <w:rPr>
          <w:rFonts w:hint="eastAsia" w:ascii="宋体" w:hAnsi="宋体" w:eastAsia="宋体" w:cs="Times New Roman"/>
          <w:b/>
          <w:bCs/>
          <w:color w:val="auto"/>
          <w:sz w:val="24"/>
          <w:szCs w:val="24"/>
          <w:highlight w:val="none"/>
        </w:rPr>
        <w:t>三、服务技术要求及其他</w:t>
      </w:r>
      <w:bookmarkEnd w:id="89"/>
    </w:p>
    <w:p w14:paraId="667FECBA">
      <w:pPr>
        <w:widowControl/>
        <w:pBdr>
          <w:top w:val="none" w:color="000000" w:sz="0" w:space="0"/>
          <w:left w:val="none" w:color="000000" w:sz="0" w:space="0"/>
          <w:bottom w:val="none" w:color="000000" w:sz="0" w:space="0"/>
          <w:right w:val="none" w:color="000000" w:sz="0" w:space="0"/>
        </w:pBdr>
        <w:spacing w:line="360" w:lineRule="auto"/>
        <w:ind w:firstLine="480"/>
        <w:rPr>
          <w:rFonts w:ascii="Calibri" w:hAnsi="Calibri" w:eastAsia="宋体" w:cs="Times New Roman"/>
          <w:color w:val="auto"/>
          <w:sz w:val="24"/>
          <w:szCs w:val="24"/>
          <w:highlight w:val="none"/>
        </w:rPr>
      </w:pPr>
      <w:r>
        <w:rPr>
          <w:rFonts w:ascii="宋体" w:hAnsi="宋体" w:eastAsia="宋体" w:cs="宋体"/>
          <w:i/>
          <w:iCs/>
          <w:color w:val="auto"/>
          <w:sz w:val="24"/>
          <w:szCs w:val="24"/>
          <w:highlight w:val="none"/>
          <w:u w:val="single"/>
        </w:rPr>
        <w:t>★根据被保险人单位用工情况，被保险人可以对投保人员（未出险）名单实时进行替换，同工种类同人数替换无需增加额外保费；人员增加或减少按照条款规定的短期费率进行增减保费。保险人对投保人、被保险人的增减人员在一个工作日内确认并批改。</w:t>
      </w:r>
      <w:r>
        <w:rPr>
          <w:rFonts w:ascii="宋体" w:hAnsi="宋体" w:eastAsia="宋体" w:cs="宋体"/>
          <w:b/>
          <w:color w:val="auto"/>
          <w:sz w:val="24"/>
          <w:szCs w:val="24"/>
          <w:highlight w:val="none"/>
        </w:rPr>
        <w:t>（提供承诺书，否则作无效响应）</w:t>
      </w:r>
    </w:p>
    <w:p w14:paraId="003AB51C">
      <w:pPr>
        <w:widowControl/>
        <w:pBdr>
          <w:top w:val="none" w:color="000000" w:sz="0" w:space="0"/>
          <w:left w:val="none" w:color="000000" w:sz="0" w:space="0"/>
          <w:bottom w:val="none" w:color="000000" w:sz="0" w:space="0"/>
          <w:right w:val="none" w:color="000000" w:sz="0" w:space="0"/>
        </w:pBdr>
        <w:spacing w:line="360" w:lineRule="auto"/>
        <w:ind w:left="450"/>
        <w:rPr>
          <w:rFonts w:ascii="Calibri" w:hAnsi="Calibri" w:eastAsia="宋体" w:cs="Times New Roman"/>
          <w:color w:val="auto"/>
          <w:sz w:val="24"/>
          <w:szCs w:val="24"/>
          <w:highlight w:val="none"/>
        </w:rPr>
      </w:pPr>
      <w:r>
        <w:rPr>
          <w:rFonts w:ascii="宋体" w:hAnsi="宋体" w:eastAsia="宋体" w:cs="宋体"/>
          <w:color w:val="auto"/>
          <w:sz w:val="24"/>
          <w:szCs w:val="24"/>
          <w:highlight w:val="none"/>
        </w:rPr>
        <w:t>合同履行期限：一年，具体保险期间以保单所载为准。</w:t>
      </w:r>
    </w:p>
    <w:p w14:paraId="0CFC72E0">
      <w:pPr>
        <w:widowControl/>
        <w:pBdr>
          <w:top w:val="none" w:color="000000" w:sz="0" w:space="0"/>
          <w:left w:val="none" w:color="000000" w:sz="0" w:space="0"/>
          <w:bottom w:val="none" w:color="000000" w:sz="0" w:space="0"/>
          <w:right w:val="none" w:color="000000" w:sz="0" w:space="0"/>
        </w:pBdr>
        <w:spacing w:line="360" w:lineRule="auto"/>
        <w:ind w:firstLine="480"/>
        <w:rPr>
          <w:rFonts w:ascii="Calibri" w:hAnsi="Calibri" w:eastAsia="宋体" w:cs="Times New Roman"/>
          <w:color w:val="auto"/>
          <w:sz w:val="24"/>
          <w:szCs w:val="24"/>
          <w:highlight w:val="none"/>
        </w:rPr>
      </w:pPr>
      <w:r>
        <w:rPr>
          <w:rFonts w:ascii="宋体" w:hAnsi="宋体" w:eastAsia="宋体" w:cs="宋体"/>
          <w:color w:val="auto"/>
          <w:sz w:val="24"/>
          <w:szCs w:val="24"/>
          <w:highlight w:val="none"/>
        </w:rPr>
        <w:t>服务质量要求：符合国家新《</w:t>
      </w:r>
      <w:r>
        <w:rPr>
          <w:rFonts w:hint="eastAsia" w:ascii="宋体" w:hAnsi="宋体" w:eastAsia="宋体" w:cs="宋体"/>
          <w:color w:val="auto"/>
          <w:sz w:val="24"/>
          <w:szCs w:val="24"/>
          <w:highlight w:val="none"/>
        </w:rPr>
        <w:t>中华人民共和国保险法</w:t>
      </w:r>
      <w:r>
        <w:rPr>
          <w:rFonts w:ascii="宋体" w:hAnsi="宋体" w:eastAsia="宋体" w:cs="宋体"/>
          <w:color w:val="auto"/>
          <w:sz w:val="24"/>
          <w:szCs w:val="24"/>
          <w:highlight w:val="none"/>
        </w:rPr>
        <w:t>》的相关标准或行业标准。</w:t>
      </w:r>
    </w:p>
    <w:p w14:paraId="6CDC614E">
      <w:pPr>
        <w:widowControl/>
        <w:pBdr>
          <w:top w:val="none" w:color="000000" w:sz="0" w:space="0"/>
          <w:left w:val="none" w:color="000000" w:sz="0" w:space="0"/>
          <w:bottom w:val="none" w:color="000000" w:sz="0" w:space="0"/>
          <w:right w:val="none" w:color="000000" w:sz="0" w:space="0"/>
        </w:pBdr>
        <w:spacing w:line="360" w:lineRule="auto"/>
        <w:outlineLvl w:val="0"/>
        <w:rPr>
          <w:rFonts w:ascii="Calibri" w:hAnsi="Calibri" w:eastAsia="宋体" w:cs="Times New Roman"/>
          <w:color w:val="auto"/>
          <w:sz w:val="24"/>
          <w:szCs w:val="24"/>
          <w:highlight w:val="none"/>
        </w:rPr>
      </w:pPr>
      <w:bookmarkStart w:id="90" w:name="_Toc7327"/>
      <w:r>
        <w:rPr>
          <w:rFonts w:hint="eastAsia" w:ascii="宋体" w:hAnsi="宋体" w:eastAsia="宋体" w:cs="宋体"/>
          <w:b/>
          <w:color w:val="auto"/>
          <w:sz w:val="24"/>
          <w:szCs w:val="24"/>
          <w:highlight w:val="none"/>
        </w:rPr>
        <w:t>四</w:t>
      </w:r>
      <w:r>
        <w:rPr>
          <w:rFonts w:ascii="宋体" w:hAnsi="宋体" w:eastAsia="宋体" w:cs="宋体"/>
          <w:b/>
          <w:color w:val="auto"/>
          <w:sz w:val="24"/>
          <w:szCs w:val="24"/>
          <w:highlight w:val="none"/>
        </w:rPr>
        <w:t>、保险方案</w:t>
      </w:r>
      <w:bookmarkEnd w:id="90"/>
    </w:p>
    <w:p w14:paraId="4DE7EEC7">
      <w:pPr>
        <w:widowControl/>
        <w:pBdr>
          <w:top w:val="none" w:color="000000" w:sz="0" w:space="0"/>
          <w:left w:val="none" w:color="000000" w:sz="0" w:space="0"/>
          <w:bottom w:val="none" w:color="000000" w:sz="0" w:space="0"/>
          <w:right w:val="none" w:color="000000" w:sz="0" w:space="0"/>
        </w:pBdr>
        <w:spacing w:line="360" w:lineRule="auto"/>
        <w:ind w:firstLine="480"/>
        <w:outlineLvl w:val="1"/>
        <w:rPr>
          <w:rFonts w:ascii="Calibri" w:hAnsi="Calibri" w:eastAsia="宋体" w:cs="Times New Roman"/>
          <w:color w:val="auto"/>
          <w:sz w:val="24"/>
          <w:szCs w:val="24"/>
          <w:highlight w:val="none"/>
        </w:rPr>
      </w:pPr>
      <w:bookmarkStart w:id="91" w:name="_Toc23433"/>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保险险种名称及条款报备:</w:t>
      </w:r>
      <w:bookmarkEnd w:id="91"/>
    </w:p>
    <w:p w14:paraId="4D3B73D6">
      <w:pPr>
        <w:widowControl/>
        <w:pBdr>
          <w:top w:val="none" w:color="000000" w:sz="0" w:space="0"/>
          <w:left w:val="none" w:color="000000" w:sz="0" w:space="0"/>
          <w:bottom w:val="none" w:color="000000" w:sz="0" w:space="0"/>
          <w:right w:val="none" w:color="000000" w:sz="0" w:space="0"/>
        </w:pBdr>
        <w:spacing w:line="360" w:lineRule="auto"/>
        <w:ind w:firstLine="47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本项目涉及保险险种：雇主对雇员在受雇期间因工作原因遭受人身伤害或职业病依法应承担的赔偿责任为保险标的的商业保险</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雇主责任保险</w:t>
      </w:r>
      <w:r>
        <w:rPr>
          <w:rFonts w:hint="eastAsia" w:ascii="宋体" w:hAnsi="宋体" w:eastAsia="宋体" w:cs="宋体"/>
          <w:color w:val="auto"/>
          <w:sz w:val="24"/>
          <w:szCs w:val="24"/>
          <w:highlight w:val="none"/>
        </w:rPr>
        <w:t>)。</w:t>
      </w:r>
    </w:p>
    <w:p w14:paraId="4E864AEE">
      <w:pPr>
        <w:widowControl/>
        <w:pBdr>
          <w:top w:val="none" w:color="000000" w:sz="0" w:space="0"/>
          <w:left w:val="none" w:color="000000" w:sz="0" w:space="0"/>
          <w:bottom w:val="none" w:color="000000" w:sz="0" w:space="0"/>
          <w:right w:val="none" w:color="000000" w:sz="0" w:space="0"/>
        </w:pBdr>
        <w:spacing w:line="360" w:lineRule="auto"/>
        <w:ind w:firstLine="480"/>
        <w:rPr>
          <w:rFonts w:ascii="Calibri" w:hAnsi="Calibri" w:eastAsia="宋体" w:cs="Times New Roman"/>
          <w:color w:val="auto"/>
          <w:sz w:val="24"/>
          <w:szCs w:val="24"/>
          <w:highlight w:val="none"/>
        </w:rPr>
      </w:pPr>
      <w:r>
        <w:rPr>
          <w:rFonts w:ascii="宋体" w:hAnsi="宋体" w:eastAsia="宋体" w:cs="宋体"/>
          <w:color w:val="auto"/>
          <w:sz w:val="24"/>
          <w:szCs w:val="24"/>
          <w:highlight w:val="none"/>
        </w:rPr>
        <w:t>本项目保险条款名称以中标单位向</w:t>
      </w:r>
      <w:r>
        <w:rPr>
          <w:rFonts w:hint="eastAsia" w:ascii="宋体" w:hAnsi="宋体" w:eastAsia="宋体" w:cs="宋体"/>
          <w:b/>
          <w:bCs/>
          <w:color w:val="auto"/>
          <w:sz w:val="24"/>
          <w:szCs w:val="24"/>
          <w:highlight w:val="none"/>
        </w:rPr>
        <w:t>中国银行保险监督管理委员会</w:t>
      </w:r>
      <w:r>
        <w:rPr>
          <w:rFonts w:ascii="宋体" w:hAnsi="宋体" w:eastAsia="宋体" w:cs="宋体"/>
          <w:color w:val="auto"/>
          <w:sz w:val="24"/>
          <w:szCs w:val="24"/>
          <w:highlight w:val="none"/>
        </w:rPr>
        <w:t>报备的条款名称为准。投标文件中所用各条款须充分响应本标书所涵盖的保险责任，若有差异，需要在差异表中体现，并在投标前自行履行条款报备手续，否则将严重影响标书的实质性响应程度。</w:t>
      </w:r>
    </w:p>
    <w:p w14:paraId="7812459E">
      <w:pPr>
        <w:widowControl/>
        <w:pBdr>
          <w:top w:val="none" w:color="000000" w:sz="0" w:space="0"/>
          <w:left w:val="none" w:color="000000" w:sz="0" w:space="0"/>
          <w:bottom w:val="none" w:color="000000" w:sz="0" w:space="0"/>
          <w:right w:val="none" w:color="000000" w:sz="0" w:space="0"/>
        </w:pBdr>
        <w:spacing w:line="360" w:lineRule="auto"/>
        <w:ind w:firstLine="480" w:firstLineChars="200"/>
        <w:outlineLvl w:val="1"/>
        <w:rPr>
          <w:rFonts w:ascii="Calibri" w:hAnsi="Calibri" w:eastAsia="宋体" w:cs="Times New Roman"/>
          <w:i/>
          <w:iCs/>
          <w:color w:val="auto"/>
          <w:sz w:val="24"/>
          <w:szCs w:val="24"/>
          <w:highlight w:val="none"/>
          <w:u w:val="single"/>
        </w:rPr>
      </w:pPr>
      <w:bookmarkStart w:id="92" w:name="_Toc28123"/>
      <w:r>
        <w:rPr>
          <w:rFonts w:hint="eastAsia" w:ascii="宋体" w:hAnsi="宋体" w:eastAsia="宋体" w:cs="宋体"/>
          <w:i/>
          <w:iCs/>
          <w:color w:val="auto"/>
          <w:sz w:val="24"/>
          <w:szCs w:val="24"/>
          <w:highlight w:val="none"/>
          <w:u w:val="single"/>
        </w:rPr>
        <w:t>2、灌南县农护工</w:t>
      </w:r>
      <w:r>
        <w:rPr>
          <w:rFonts w:ascii="宋体" w:hAnsi="宋体" w:eastAsia="宋体" w:cs="宋体"/>
          <w:i/>
          <w:iCs/>
          <w:color w:val="auto"/>
          <w:sz w:val="24"/>
          <w:szCs w:val="24"/>
          <w:highlight w:val="none"/>
          <w:u w:val="single"/>
        </w:rPr>
        <w:t>工人雇主责任保险方案</w:t>
      </w:r>
      <w:bookmarkEnd w:id="92"/>
    </w:p>
    <w:tbl>
      <w:tblPr>
        <w:tblStyle w:val="3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90"/>
        <w:gridCol w:w="7132"/>
      </w:tblGrid>
      <w:tr w14:paraId="378A53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jc w:val="center"/>
        </w:trPr>
        <w:tc>
          <w:tcPr>
            <w:tcW w:w="139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F496F39">
            <w:pPr>
              <w:widowControl/>
              <w:pBdr>
                <w:top w:val="none" w:color="000000" w:sz="0" w:space="0"/>
                <w:left w:val="none" w:color="000000" w:sz="0" w:space="0"/>
                <w:bottom w:val="none" w:color="000000" w:sz="0" w:space="0"/>
                <w:right w:val="none" w:color="000000" w:sz="0" w:space="0"/>
              </w:pBdr>
              <w:spacing w:line="360" w:lineRule="auto"/>
              <w:ind w:firstLine="207"/>
              <w:rPr>
                <w:rFonts w:hint="eastAsia" w:ascii="宋体" w:hAnsi="宋体" w:eastAsia="宋体" w:cs="宋体"/>
                <w:i/>
                <w:iCs/>
                <w:color w:val="auto"/>
                <w:sz w:val="24"/>
                <w:szCs w:val="24"/>
                <w:highlight w:val="none"/>
                <w:u w:val="single"/>
              </w:rPr>
            </w:pPr>
            <w:r>
              <w:rPr>
                <w:rFonts w:hint="eastAsia" w:ascii="宋体" w:hAnsi="宋体" w:eastAsia="宋体" w:cs="宋体"/>
                <w:b/>
                <w:i/>
                <w:iCs/>
                <w:color w:val="auto"/>
                <w:sz w:val="24"/>
                <w:szCs w:val="24"/>
                <w:highlight w:val="none"/>
                <w:u w:val="single"/>
              </w:rPr>
              <w:t> </w:t>
            </w:r>
          </w:p>
        </w:tc>
        <w:tc>
          <w:tcPr>
            <w:tcW w:w="713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C0F555D">
            <w:pPr>
              <w:widowControl/>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i/>
                <w:iCs/>
                <w:color w:val="auto"/>
                <w:sz w:val="24"/>
                <w:szCs w:val="24"/>
                <w:highlight w:val="none"/>
                <w:u w:val="single"/>
              </w:rPr>
            </w:pPr>
            <w:r>
              <w:rPr>
                <w:rFonts w:hint="eastAsia" w:ascii="宋体" w:hAnsi="宋体" w:eastAsia="宋体" w:cs="宋体"/>
                <w:b/>
                <w:i/>
                <w:iCs/>
                <w:color w:val="auto"/>
                <w:sz w:val="24"/>
                <w:szCs w:val="24"/>
                <w:highlight w:val="none"/>
                <w:u w:val="single"/>
              </w:rPr>
              <w:t>雇主责任保险</w:t>
            </w:r>
          </w:p>
        </w:tc>
      </w:tr>
      <w:tr w14:paraId="6FB308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jc w:val="center"/>
        </w:trPr>
        <w:tc>
          <w:tcPr>
            <w:tcW w:w="139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94C43F5">
            <w:pPr>
              <w:widowControl/>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b/>
                <w:i/>
                <w:iCs/>
                <w:color w:val="auto"/>
                <w:sz w:val="24"/>
                <w:szCs w:val="24"/>
                <w:highlight w:val="none"/>
                <w:u w:val="single"/>
              </w:rPr>
              <w:t>责任范围</w:t>
            </w:r>
          </w:p>
        </w:tc>
        <w:tc>
          <w:tcPr>
            <w:tcW w:w="71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20B993">
            <w:pPr>
              <w:spacing w:line="360" w:lineRule="auto"/>
              <w:ind w:firstLine="482" w:firstLineChars="200"/>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在保险期间内，被保险人的雇员在承保区域内因从事保险单载明的业务工作而遭受意外事故，包括但不限于下列情形，导致负伤、残疾或死亡，依照《中华人民共和国民法典》应由被保险人承担的经济赔偿责任，保险人按照本保险合同约定负责赔偿：</w:t>
            </w:r>
          </w:p>
          <w:p w14:paraId="705E108B">
            <w:pPr>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（一）在工作时间和工作场所内，因工作原因受到事故伤害；</w:t>
            </w:r>
          </w:p>
          <w:p w14:paraId="56C70D21">
            <w:pPr>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（二）工作时间前后在工作场所内，从事与工作有关的预备性或者收尾性工作受到事故伤害；</w:t>
            </w:r>
          </w:p>
          <w:p w14:paraId="6BB25ECD">
            <w:pPr>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（三）在工作时间和工作场所内，因履行工作职责受到暴力等意外伤害；</w:t>
            </w:r>
          </w:p>
          <w:p w14:paraId="19D808CE">
            <w:pPr>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（四）因工外出期间，由于工作原因受到伤害或者发生事故下落不明；</w:t>
            </w:r>
          </w:p>
          <w:p w14:paraId="5031E128">
            <w:pPr>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（五）在上下班途中，受到非本人主要责任的交通事故或者城市轨道交通、客运轮渡、火车事故伤害；</w:t>
            </w:r>
          </w:p>
          <w:p w14:paraId="5A5B9A6F">
            <w:pPr>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（六）在工作时间和工作岗位，突发疾病死亡或者在48小时之内经抢救无效死亡；</w:t>
            </w:r>
          </w:p>
          <w:p w14:paraId="61A64C0C">
            <w:pPr>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（七）在抢险救灾等维护国家利益、公共利益活动中受到伤害；</w:t>
            </w:r>
          </w:p>
          <w:p w14:paraId="1E7FBBC8">
            <w:pPr>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（八）原在军队服役，因战、因公负伤致残，已取得革命伤残军人证，到用人单位后旧伤复发；</w:t>
            </w:r>
          </w:p>
          <w:p w14:paraId="3A01BF4A">
            <w:pPr>
              <w:tabs>
                <w:tab w:val="left" w:pos="1560"/>
              </w:tabs>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b/>
                <w:bCs/>
                <w:i/>
                <w:iCs/>
                <w:color w:val="auto"/>
                <w:sz w:val="24"/>
                <w:szCs w:val="24"/>
                <w:highlight w:val="none"/>
                <w:u w:val="single"/>
              </w:rPr>
              <w:t>（九）法律、行政法规规定应当由被保险人承担经济赔偿责任的其他情形。</w:t>
            </w:r>
          </w:p>
        </w:tc>
      </w:tr>
      <w:tr w14:paraId="5D25CD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139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1B3FB47">
            <w:pPr>
              <w:widowControl/>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b/>
                <w:i/>
                <w:iCs/>
                <w:color w:val="auto"/>
                <w:sz w:val="24"/>
                <w:szCs w:val="24"/>
                <w:highlight w:val="none"/>
                <w:u w:val="single"/>
              </w:rPr>
              <w:t>赔偿限额</w:t>
            </w:r>
          </w:p>
        </w:tc>
        <w:tc>
          <w:tcPr>
            <w:tcW w:w="71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C4FF6EB">
            <w:pPr>
              <w:widowControl/>
              <w:numPr>
                <w:ilvl w:val="0"/>
                <w:numId w:val="3"/>
              </w:num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t>清洁工：死亡/伤残保额：65 万；工伤医疗保额：8万。误工费保额：1.8万。</w:t>
            </w:r>
          </w:p>
          <w:p w14:paraId="20EE5389">
            <w:pPr>
              <w:widowControl/>
              <w:numPr>
                <w:ilvl w:val="0"/>
                <w:numId w:val="3"/>
              </w:num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t>转运工、农护巡查管理人员及其他：死亡/伤残保额：85 万；工伤医疗保额：10万。误工费保额：1.8万。</w:t>
            </w:r>
          </w:p>
          <w:p w14:paraId="11D091BA">
            <w:pPr>
              <w:widowControl/>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b/>
                <w:i/>
                <w:iCs/>
                <w:color w:val="auto"/>
                <w:sz w:val="24"/>
                <w:szCs w:val="24"/>
                <w:highlight w:val="none"/>
                <w:u w:val="single"/>
              </w:rPr>
              <w:t>3、误工费用：按出险前3个月工资流水平均日薪标准赔付上限按照100元/天/人（如果出险前3个月工资流水平均日薪标准低于100元，按照实际日工资标准赔付）。</w:t>
            </w:r>
          </w:p>
        </w:tc>
      </w:tr>
      <w:tr w14:paraId="70105D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jc w:val="center"/>
        </w:trPr>
        <w:tc>
          <w:tcPr>
            <w:tcW w:w="139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7390019">
            <w:pPr>
              <w:widowControl/>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i/>
                <w:iCs/>
                <w:color w:val="auto"/>
                <w:sz w:val="24"/>
                <w:szCs w:val="24"/>
                <w:highlight w:val="none"/>
                <w:u w:val="single"/>
              </w:rPr>
            </w:pPr>
            <w:r>
              <w:rPr>
                <w:rFonts w:hint="eastAsia" w:ascii="宋体" w:hAnsi="宋体" w:eastAsia="宋体" w:cs="宋体"/>
                <w:b/>
                <w:i/>
                <w:iCs/>
                <w:color w:val="auto"/>
                <w:sz w:val="24"/>
                <w:szCs w:val="24"/>
                <w:highlight w:val="none"/>
                <w:u w:val="single"/>
              </w:rPr>
              <w:t>免赔额</w:t>
            </w:r>
          </w:p>
        </w:tc>
        <w:tc>
          <w:tcPr>
            <w:tcW w:w="71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C0DDFB4">
            <w:pPr>
              <w:widowControl/>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t>1、工伤医疗每人扣除100元后按照100%比例赔付（符合医保报销）。</w:t>
            </w:r>
          </w:p>
          <w:p w14:paraId="19BDC607">
            <w:pPr>
              <w:widowControl/>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b/>
                <w:i/>
                <w:iCs/>
                <w:color w:val="auto"/>
                <w:sz w:val="24"/>
                <w:szCs w:val="24"/>
                <w:highlight w:val="none"/>
                <w:u w:val="single"/>
              </w:rPr>
              <w:t>2、误工费每人每天100元，免赔3天，累计赔付180天。</w:t>
            </w:r>
          </w:p>
        </w:tc>
      </w:tr>
      <w:tr w14:paraId="7599AB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6" w:hRule="atLeast"/>
          <w:jc w:val="center"/>
        </w:trPr>
        <w:tc>
          <w:tcPr>
            <w:tcW w:w="139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ABF7F6">
            <w:pPr>
              <w:widowControl/>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i/>
                <w:iCs/>
                <w:color w:val="auto"/>
                <w:sz w:val="24"/>
                <w:szCs w:val="24"/>
                <w:highlight w:val="none"/>
                <w:u w:val="single"/>
              </w:rPr>
            </w:pPr>
            <w:r>
              <w:rPr>
                <w:rFonts w:hint="eastAsia" w:ascii="宋体" w:hAnsi="宋体" w:eastAsia="宋体" w:cs="宋体"/>
                <w:b/>
                <w:i/>
                <w:iCs/>
                <w:color w:val="auto"/>
                <w:sz w:val="24"/>
                <w:szCs w:val="24"/>
                <w:highlight w:val="none"/>
                <w:u w:val="single"/>
              </w:rPr>
              <w:t>保险期限</w:t>
            </w:r>
          </w:p>
        </w:tc>
        <w:tc>
          <w:tcPr>
            <w:tcW w:w="71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9B55233">
            <w:pPr>
              <w:widowControl/>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b/>
                <w:i/>
                <w:iCs/>
                <w:color w:val="auto"/>
                <w:sz w:val="24"/>
                <w:szCs w:val="24"/>
                <w:highlight w:val="none"/>
                <w:u w:val="single"/>
              </w:rPr>
              <w:t>一年</w:t>
            </w:r>
          </w:p>
        </w:tc>
      </w:tr>
      <w:tr w14:paraId="1B3398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8" w:hRule="atLeast"/>
          <w:jc w:val="center"/>
        </w:trPr>
        <w:tc>
          <w:tcPr>
            <w:tcW w:w="139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4011263">
            <w:pPr>
              <w:widowControl/>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i/>
                <w:iCs/>
                <w:color w:val="auto"/>
                <w:sz w:val="24"/>
                <w:szCs w:val="24"/>
                <w:highlight w:val="none"/>
                <w:u w:val="single"/>
              </w:rPr>
            </w:pPr>
            <w:r>
              <w:rPr>
                <w:rFonts w:hint="eastAsia" w:ascii="宋体" w:hAnsi="宋体" w:eastAsia="宋体" w:cs="宋体"/>
                <w:b/>
                <w:i/>
                <w:iCs/>
                <w:color w:val="auto"/>
                <w:sz w:val="24"/>
                <w:szCs w:val="24"/>
                <w:highlight w:val="none"/>
                <w:u w:val="single"/>
              </w:rPr>
              <w:t>付款方式</w:t>
            </w:r>
          </w:p>
        </w:tc>
        <w:tc>
          <w:tcPr>
            <w:tcW w:w="71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23AD3A">
            <w:pPr>
              <w:widowControl/>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b/>
                <w:i/>
                <w:iCs/>
                <w:color w:val="auto"/>
                <w:sz w:val="24"/>
                <w:szCs w:val="24"/>
                <w:highlight w:val="none"/>
                <w:u w:val="single"/>
              </w:rPr>
              <w:t>付款方式：</w:t>
            </w:r>
            <w:r>
              <w:rPr>
                <w:rFonts w:hint="eastAsia" w:ascii="宋体" w:hAnsi="宋体" w:eastAsia="宋体" w:cs="宋体"/>
                <w:b/>
                <w:i/>
                <w:iCs/>
                <w:color w:val="auto"/>
                <w:sz w:val="24"/>
                <w:szCs w:val="24"/>
                <w:highlight w:val="none"/>
                <w:u w:val="single"/>
                <w:lang w:eastAsia="zh-CN"/>
              </w:rPr>
              <w:t>合同签订后三个月内付清，提供保单发票</w:t>
            </w:r>
            <w:r>
              <w:rPr>
                <w:rFonts w:hint="eastAsia" w:ascii="宋体" w:hAnsi="宋体" w:eastAsia="宋体" w:cs="宋体"/>
                <w:b/>
                <w:i/>
                <w:iCs/>
                <w:color w:val="auto"/>
                <w:sz w:val="24"/>
                <w:szCs w:val="24"/>
                <w:highlight w:val="none"/>
                <w:u w:val="single"/>
              </w:rPr>
              <w:t>。</w:t>
            </w:r>
          </w:p>
        </w:tc>
      </w:tr>
    </w:tbl>
    <w:p w14:paraId="3EA3476D">
      <w:pPr>
        <w:widowControl/>
        <w:spacing w:line="360" w:lineRule="auto"/>
        <w:ind w:firstLine="480"/>
        <w:outlineLvl w:val="1"/>
        <w:rPr>
          <w:rFonts w:hint="eastAsia" w:ascii="宋体" w:hAnsi="宋体" w:eastAsia="宋体" w:cs="宋体"/>
          <w:i/>
          <w:iCs/>
          <w:color w:val="auto"/>
          <w:sz w:val="24"/>
          <w:szCs w:val="24"/>
          <w:highlight w:val="none"/>
          <w:u w:val="single"/>
        </w:rPr>
      </w:pPr>
      <w:bookmarkStart w:id="93" w:name="_Toc23905"/>
    </w:p>
    <w:p w14:paraId="4A72936F">
      <w:pPr>
        <w:widowControl/>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3、补充约定</w:t>
      </w:r>
      <w:bookmarkEnd w:id="93"/>
    </w:p>
    <w:p w14:paraId="54F52664">
      <w:pPr>
        <w:widowControl/>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为使被保险人获得完善的保险服务，投标人同意以下各项补充约定并将其视为未来保险合同的一部分，由保险双方共同遵守。</w:t>
      </w:r>
    </w:p>
    <w:p w14:paraId="73D14570">
      <w:pPr>
        <w:widowControl/>
        <w:spacing w:line="360" w:lineRule="auto"/>
        <w:ind w:firstLine="480"/>
        <w:outlineLvl w:val="2"/>
        <w:rPr>
          <w:rFonts w:hint="eastAsia" w:ascii="宋体" w:hAnsi="宋体" w:eastAsia="宋体" w:cs="宋体"/>
          <w:color w:val="auto"/>
          <w:sz w:val="24"/>
          <w:szCs w:val="24"/>
          <w:highlight w:val="none"/>
        </w:rPr>
      </w:pPr>
      <w:bookmarkStart w:id="94" w:name="_Toc8266"/>
      <w:r>
        <w:rPr>
          <w:rFonts w:hint="eastAsia" w:ascii="宋体" w:hAnsi="宋体" w:eastAsia="宋体" w:cs="宋体"/>
          <w:color w:val="auto"/>
          <w:sz w:val="24"/>
          <w:szCs w:val="24"/>
          <w:highlight w:val="none"/>
        </w:rPr>
        <w:t>（1）承担保险责任开始时间的约定</w:t>
      </w:r>
      <w:bookmarkEnd w:id="94"/>
    </w:p>
    <w:p w14:paraId="66B91765">
      <w:pPr>
        <w:widowControl/>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基于最大诚信原则，投标人一经中标公告确认为中标候选人，即确认保险责任自2026年8月1日零时起开始，不得以中标通知书未收到和保费未到账为由拒绝承保和承担保险责任。</w:t>
      </w:r>
    </w:p>
    <w:p w14:paraId="5A5D45CA">
      <w:pPr>
        <w:widowControl/>
        <w:spacing w:line="360" w:lineRule="auto"/>
        <w:ind w:firstLine="480"/>
        <w:outlineLvl w:val="2"/>
        <w:rPr>
          <w:rFonts w:hint="eastAsia" w:ascii="宋体" w:hAnsi="宋体" w:eastAsia="宋体" w:cs="宋体"/>
          <w:color w:val="auto"/>
          <w:sz w:val="24"/>
          <w:szCs w:val="24"/>
          <w:highlight w:val="none"/>
        </w:rPr>
      </w:pPr>
      <w:bookmarkStart w:id="95" w:name="_Toc21586"/>
      <w:r>
        <w:rPr>
          <w:rFonts w:hint="eastAsia" w:ascii="宋体" w:hAnsi="宋体" w:eastAsia="宋体" w:cs="宋体"/>
          <w:color w:val="auto"/>
          <w:sz w:val="24"/>
          <w:szCs w:val="24"/>
          <w:highlight w:val="none"/>
        </w:rPr>
        <w:t>（2）关于报表</w:t>
      </w:r>
      <w:bookmarkEnd w:id="95"/>
    </w:p>
    <w:p w14:paraId="641C5815">
      <w:pPr>
        <w:widowControl/>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中标保险人按月汇总承保及理赔数据，于次月10日前向本项目的采购人递交相关承保及理赔数据月报，并于保险年度结束后15日内递交承保及理赔数据年报。</w:t>
      </w:r>
    </w:p>
    <w:p w14:paraId="7492A2E2">
      <w:pPr>
        <w:widowControl/>
        <w:spacing w:line="360" w:lineRule="auto"/>
        <w:ind w:firstLine="480"/>
        <w:outlineLvl w:val="2"/>
        <w:rPr>
          <w:rFonts w:hint="eastAsia" w:ascii="宋体" w:hAnsi="宋体" w:eastAsia="宋体" w:cs="宋体"/>
          <w:color w:val="auto"/>
          <w:sz w:val="24"/>
          <w:szCs w:val="24"/>
          <w:highlight w:val="none"/>
        </w:rPr>
      </w:pPr>
      <w:bookmarkStart w:id="96" w:name="_Toc28264"/>
      <w:r>
        <w:rPr>
          <w:rFonts w:hint="eastAsia" w:ascii="宋体" w:hAnsi="宋体" w:eastAsia="宋体" w:cs="宋体"/>
          <w:color w:val="auto"/>
          <w:sz w:val="24"/>
          <w:szCs w:val="24"/>
          <w:highlight w:val="none"/>
        </w:rPr>
        <w:t>（3）关于对中标保险人的监督</w:t>
      </w:r>
      <w:bookmarkEnd w:id="96"/>
    </w:p>
    <w:p w14:paraId="1C6B36A8">
      <w:pPr>
        <w:widowControl/>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中标保险人在有效期内，应接受采购人监督。如一年内发生有效投诉超过三起（含），经查实，立即上报政府采购监督部门，不予返还履约保证金。</w:t>
      </w:r>
    </w:p>
    <w:p w14:paraId="0C91686E">
      <w:pPr>
        <w:widowControl/>
        <w:spacing w:line="360" w:lineRule="auto"/>
        <w:ind w:firstLine="480"/>
        <w:outlineLvl w:val="2"/>
        <w:rPr>
          <w:rFonts w:hint="eastAsia" w:ascii="宋体" w:hAnsi="宋体" w:eastAsia="宋体" w:cs="宋体"/>
          <w:color w:val="auto"/>
          <w:sz w:val="24"/>
          <w:szCs w:val="24"/>
          <w:highlight w:val="none"/>
        </w:rPr>
      </w:pPr>
      <w:bookmarkStart w:id="97" w:name="_Toc14407"/>
      <w:r>
        <w:rPr>
          <w:rFonts w:hint="eastAsia" w:ascii="宋体" w:hAnsi="宋体" w:eastAsia="宋体" w:cs="宋体"/>
          <w:color w:val="auto"/>
          <w:sz w:val="24"/>
          <w:szCs w:val="24"/>
          <w:highlight w:val="none"/>
        </w:rPr>
        <w:t>（4）关于保险合同</w:t>
      </w:r>
      <w:bookmarkEnd w:id="97"/>
    </w:p>
    <w:p w14:paraId="6080843D">
      <w:pPr>
        <w:widowControl/>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本采购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招标文件及最终协议为准；</w:t>
      </w:r>
    </w:p>
    <w:p w14:paraId="3D03CBDD">
      <w:pPr>
        <w:widowControl/>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p>
    <w:p w14:paraId="64BFE435">
      <w:pPr>
        <w:widowControl/>
        <w:spacing w:line="360" w:lineRule="auto"/>
        <w:ind w:firstLine="480"/>
        <w:outlineLvl w:val="2"/>
        <w:rPr>
          <w:rFonts w:hint="eastAsia" w:ascii="宋体" w:hAnsi="宋体" w:eastAsia="宋体" w:cs="宋体"/>
          <w:color w:val="auto"/>
          <w:sz w:val="24"/>
          <w:szCs w:val="24"/>
          <w:highlight w:val="none"/>
        </w:rPr>
      </w:pPr>
      <w:bookmarkStart w:id="98" w:name="_Toc8753"/>
      <w:r>
        <w:rPr>
          <w:rFonts w:hint="eastAsia" w:ascii="宋体" w:hAnsi="宋体" w:eastAsia="宋体" w:cs="宋体"/>
          <w:color w:val="auto"/>
          <w:sz w:val="24"/>
          <w:szCs w:val="24"/>
          <w:highlight w:val="none"/>
        </w:rPr>
        <w:t>（5）关于赔偿处理</w:t>
      </w:r>
      <w:bookmarkEnd w:id="98"/>
    </w:p>
    <w:p w14:paraId="1C5B5821">
      <w:pPr>
        <w:widowControl/>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(5.1)基本原则：保险人不得以任何理由推卸、拖延和拒绝被保险人索赔要求，除非有合理和足够的证据证明，否则其行为构成违约并须承担违约责任；</w:t>
      </w:r>
    </w:p>
    <w:p w14:paraId="2EDD818B">
      <w:pPr>
        <w:widowControl/>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(5.2)一旦接到被保险人通知，保险人代表应尽早赶赴事故现场开始初步调</w:t>
      </w:r>
      <w:r>
        <w:rPr>
          <w:rFonts w:hint="eastAsia" w:ascii="宋体" w:hAnsi="宋体" w:eastAsia="宋体" w:cs="宋体"/>
          <w:color w:val="auto"/>
          <w:highlight w:val="none"/>
        </w:rPr>
        <w:t>查并</w:t>
      </w:r>
      <w:r>
        <w:rPr>
          <w:rFonts w:hint="eastAsia" w:ascii="宋体" w:hAnsi="宋体" w:eastAsia="宋体" w:cs="宋体"/>
          <w:color w:val="auto"/>
          <w:sz w:val="24"/>
          <w:szCs w:val="24"/>
          <w:highlight w:val="none"/>
        </w:rPr>
        <w:t>提出止损建议，被保险人应予以配合；</w:t>
      </w:r>
    </w:p>
    <w:p w14:paraId="700D9171">
      <w:pPr>
        <w:widowControl/>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(5.3)被保险人应尽可能为保险人、公估人调查和取证工作保留事故现场；对确因运营需要而无法留待保险人/公估人查勘的事故现场，被保险人应尽可能留下照片、录像、文字记录供保险人审核之用；</w:t>
      </w:r>
    </w:p>
    <w:p w14:paraId="39182DD9">
      <w:pPr>
        <w:widowControl/>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(5.4)涉及有责任的第三方事故时，被保险人不能在获得保险人书面同意以前放弃向其追索的权利；</w:t>
      </w:r>
    </w:p>
    <w:p w14:paraId="2DA838B2">
      <w:pP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(5.5)保险人自收到赔偿或者给付保险金的请求和有关证明、资料之日起60日内，对其赔偿或者给付保险金的数额不能确定的，应当根据已有证明和资料可以确定的数额先予支付；保险人最终确定赔偿或者给付保险金的数额后，应当支付相应的差额。</w:t>
      </w:r>
    </w:p>
    <w:p w14:paraId="03C62AE3">
      <w:pPr>
        <w:spacing w:line="360" w:lineRule="auto"/>
        <w:outlineLvl w:val="0"/>
        <w:rPr>
          <w:rFonts w:hint="eastAsia" w:ascii="宋体" w:hAnsi="宋体" w:eastAsia="宋体" w:cs="宋体"/>
          <w:b/>
          <w:bCs/>
          <w:color w:val="auto"/>
          <w:sz w:val="24"/>
          <w:szCs w:val="24"/>
          <w:highlight w:val="none"/>
        </w:rPr>
      </w:pPr>
      <w:bookmarkStart w:id="99" w:name="_Toc7696"/>
      <w:r>
        <w:rPr>
          <w:rFonts w:hint="eastAsia" w:ascii="宋体" w:hAnsi="宋体" w:eastAsia="宋体" w:cs="宋体"/>
          <w:b/>
          <w:bCs/>
          <w:color w:val="auto"/>
          <w:sz w:val="24"/>
          <w:szCs w:val="24"/>
          <w:highlight w:val="none"/>
        </w:rPr>
        <w:t>五、其他</w:t>
      </w:r>
      <w:bookmarkEnd w:id="99"/>
    </w:p>
    <w:p w14:paraId="01D535A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本项目报价不得超过预算价。</w:t>
      </w:r>
    </w:p>
    <w:p w14:paraId="31F3ABD9">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特别提醒供应商：应根据国家收费标准并结合市场实际进行报价，总价包干。</w:t>
      </w:r>
    </w:p>
    <w:p w14:paraId="6109920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工作中涉及的敏感资料、电子数据等相关信息，成交供应商应严格执行保密的相关规定，不得以任何方式向任何第三人披露、泄露或许可第三人使用，否则追究其相应法律责任。</w:t>
      </w:r>
    </w:p>
    <w:p w14:paraId="3E5F3097">
      <w:pPr>
        <w:ind w:firstLine="562" w:firstLineChars="200"/>
        <w:jc w:val="center"/>
        <w:rPr>
          <w:rFonts w:hint="eastAsia" w:ascii="宋体" w:hAnsi="宋体" w:cs="宋体"/>
          <w:color w:val="auto"/>
          <w:sz w:val="28"/>
          <w:szCs w:val="28"/>
          <w:highlight w:val="none"/>
        </w:rPr>
      </w:pPr>
      <w:r>
        <w:rPr>
          <w:rFonts w:hint="eastAsia" w:ascii="宋体" w:hAnsi="宋体" w:eastAsia="宋体" w:cs="宋体"/>
          <w:b/>
          <w:bCs/>
          <w:color w:val="auto"/>
          <w:sz w:val="28"/>
          <w:szCs w:val="28"/>
          <w:highlight w:val="none"/>
        </w:rPr>
        <w:t>伤残赔偿比例表</w:t>
      </w:r>
    </w:p>
    <w:tbl>
      <w:tblPr>
        <w:tblStyle w:val="37"/>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6"/>
        <w:gridCol w:w="4785"/>
        <w:gridCol w:w="1771"/>
      </w:tblGrid>
      <w:tr w14:paraId="48FCA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504" w:type="dxa"/>
          </w:tcPr>
          <w:p w14:paraId="2F218E74">
            <w:pPr>
              <w:jc w:val="center"/>
              <w:rPr>
                <w:rFonts w:hint="eastAsia" w:ascii="宋体" w:hAnsi="宋体" w:cs="宋体"/>
                <w:b/>
                <w:bCs/>
                <w:color w:val="auto"/>
                <w:szCs w:val="21"/>
                <w:highlight w:val="none"/>
              </w:rPr>
            </w:pPr>
            <w:r>
              <w:rPr>
                <w:rFonts w:hint="eastAsia" w:ascii="宋体" w:hAnsi="宋体" w:eastAsia="宋体" w:cs="宋体"/>
                <w:b/>
                <w:bCs/>
                <w:color w:val="auto"/>
                <w:szCs w:val="21"/>
                <w:highlight w:val="none"/>
              </w:rPr>
              <w:t>项目</w:t>
            </w:r>
          </w:p>
        </w:tc>
        <w:tc>
          <w:tcPr>
            <w:tcW w:w="3918" w:type="dxa"/>
          </w:tcPr>
          <w:p w14:paraId="43FD2D44">
            <w:pPr>
              <w:jc w:val="center"/>
              <w:rPr>
                <w:rFonts w:hint="eastAsia" w:ascii="宋体" w:hAnsi="宋体" w:cs="宋体"/>
                <w:b/>
                <w:bCs/>
                <w:color w:val="auto"/>
                <w:szCs w:val="21"/>
                <w:highlight w:val="none"/>
              </w:rPr>
            </w:pPr>
            <w:r>
              <w:rPr>
                <w:rFonts w:hint="eastAsia" w:ascii="宋体" w:hAnsi="宋体" w:eastAsia="宋体" w:cs="宋体"/>
                <w:b/>
                <w:bCs/>
                <w:color w:val="auto"/>
                <w:szCs w:val="21"/>
                <w:highlight w:val="none"/>
              </w:rPr>
              <w:t>伤残等级</w:t>
            </w:r>
          </w:p>
        </w:tc>
        <w:tc>
          <w:tcPr>
            <w:tcW w:w="1450" w:type="dxa"/>
          </w:tcPr>
          <w:p w14:paraId="0FDFCADC">
            <w:pPr>
              <w:jc w:val="center"/>
              <w:rPr>
                <w:rFonts w:hint="eastAsia" w:ascii="宋体" w:hAnsi="宋体" w:cs="宋体"/>
                <w:b/>
                <w:bCs/>
                <w:color w:val="auto"/>
                <w:szCs w:val="21"/>
                <w:highlight w:val="none"/>
              </w:rPr>
            </w:pPr>
            <w:r>
              <w:rPr>
                <w:rFonts w:hint="eastAsia" w:ascii="宋体" w:hAnsi="宋体" w:eastAsia="宋体" w:cs="宋体"/>
                <w:b/>
                <w:bCs/>
                <w:color w:val="auto"/>
                <w:szCs w:val="21"/>
                <w:highlight w:val="none"/>
              </w:rPr>
              <w:t>比例</w:t>
            </w:r>
          </w:p>
        </w:tc>
      </w:tr>
      <w:tr w14:paraId="46C6C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504" w:type="dxa"/>
          </w:tcPr>
          <w:p w14:paraId="046200A6">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（一）</w:t>
            </w:r>
          </w:p>
        </w:tc>
        <w:tc>
          <w:tcPr>
            <w:tcW w:w="3918" w:type="dxa"/>
          </w:tcPr>
          <w:p w14:paraId="42807DBD">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一级伤残</w:t>
            </w:r>
          </w:p>
        </w:tc>
        <w:tc>
          <w:tcPr>
            <w:tcW w:w="1450" w:type="dxa"/>
          </w:tcPr>
          <w:p w14:paraId="1E78D272">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100%</w:t>
            </w:r>
          </w:p>
        </w:tc>
      </w:tr>
      <w:tr w14:paraId="525A5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504" w:type="dxa"/>
          </w:tcPr>
          <w:p w14:paraId="4A520C1A">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（二）</w:t>
            </w:r>
          </w:p>
        </w:tc>
        <w:tc>
          <w:tcPr>
            <w:tcW w:w="3918" w:type="dxa"/>
          </w:tcPr>
          <w:p w14:paraId="524FFE06">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二级伤残</w:t>
            </w:r>
          </w:p>
        </w:tc>
        <w:tc>
          <w:tcPr>
            <w:tcW w:w="1450" w:type="dxa"/>
          </w:tcPr>
          <w:p w14:paraId="63F046AD">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80%</w:t>
            </w:r>
          </w:p>
        </w:tc>
      </w:tr>
      <w:tr w14:paraId="21938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504" w:type="dxa"/>
          </w:tcPr>
          <w:p w14:paraId="35118FE3">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（三）</w:t>
            </w:r>
          </w:p>
        </w:tc>
        <w:tc>
          <w:tcPr>
            <w:tcW w:w="3918" w:type="dxa"/>
          </w:tcPr>
          <w:p w14:paraId="79CB1F2A">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三级伤残</w:t>
            </w:r>
          </w:p>
        </w:tc>
        <w:tc>
          <w:tcPr>
            <w:tcW w:w="1450" w:type="dxa"/>
          </w:tcPr>
          <w:p w14:paraId="665FCABC">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65%</w:t>
            </w:r>
          </w:p>
        </w:tc>
      </w:tr>
      <w:tr w14:paraId="030AC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504" w:type="dxa"/>
          </w:tcPr>
          <w:p w14:paraId="6B94255D">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（四）</w:t>
            </w:r>
          </w:p>
        </w:tc>
        <w:tc>
          <w:tcPr>
            <w:tcW w:w="3918" w:type="dxa"/>
          </w:tcPr>
          <w:p w14:paraId="058DCF59">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四级伤残</w:t>
            </w:r>
          </w:p>
        </w:tc>
        <w:tc>
          <w:tcPr>
            <w:tcW w:w="1450" w:type="dxa"/>
          </w:tcPr>
          <w:p w14:paraId="34CCC99F">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55%</w:t>
            </w:r>
          </w:p>
        </w:tc>
      </w:tr>
      <w:tr w14:paraId="3D813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504" w:type="dxa"/>
          </w:tcPr>
          <w:p w14:paraId="225086E9">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（五）</w:t>
            </w:r>
          </w:p>
        </w:tc>
        <w:tc>
          <w:tcPr>
            <w:tcW w:w="3918" w:type="dxa"/>
          </w:tcPr>
          <w:p w14:paraId="6AB56D19">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五级伤残</w:t>
            </w:r>
          </w:p>
        </w:tc>
        <w:tc>
          <w:tcPr>
            <w:tcW w:w="1450" w:type="dxa"/>
          </w:tcPr>
          <w:p w14:paraId="3E4A0612">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45%</w:t>
            </w:r>
          </w:p>
        </w:tc>
      </w:tr>
      <w:tr w14:paraId="3AF6D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504" w:type="dxa"/>
          </w:tcPr>
          <w:p w14:paraId="5B789E24">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（六）</w:t>
            </w:r>
          </w:p>
        </w:tc>
        <w:tc>
          <w:tcPr>
            <w:tcW w:w="3918" w:type="dxa"/>
          </w:tcPr>
          <w:p w14:paraId="339EC81B">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六级伤残</w:t>
            </w:r>
          </w:p>
        </w:tc>
        <w:tc>
          <w:tcPr>
            <w:tcW w:w="1450" w:type="dxa"/>
          </w:tcPr>
          <w:p w14:paraId="50E43993">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25%</w:t>
            </w:r>
          </w:p>
        </w:tc>
      </w:tr>
      <w:tr w14:paraId="149ED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504" w:type="dxa"/>
          </w:tcPr>
          <w:p w14:paraId="38996279">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（七）</w:t>
            </w:r>
          </w:p>
        </w:tc>
        <w:tc>
          <w:tcPr>
            <w:tcW w:w="3918" w:type="dxa"/>
          </w:tcPr>
          <w:p w14:paraId="7322A142">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七级伤残</w:t>
            </w:r>
          </w:p>
        </w:tc>
        <w:tc>
          <w:tcPr>
            <w:tcW w:w="1450" w:type="dxa"/>
          </w:tcPr>
          <w:p w14:paraId="58D8619E">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15%</w:t>
            </w:r>
          </w:p>
        </w:tc>
      </w:tr>
      <w:tr w14:paraId="4CD0A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504" w:type="dxa"/>
          </w:tcPr>
          <w:p w14:paraId="4EEBF0B3">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（八）</w:t>
            </w:r>
          </w:p>
        </w:tc>
        <w:tc>
          <w:tcPr>
            <w:tcW w:w="3918" w:type="dxa"/>
          </w:tcPr>
          <w:p w14:paraId="74555CB9">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八级伤残</w:t>
            </w:r>
          </w:p>
        </w:tc>
        <w:tc>
          <w:tcPr>
            <w:tcW w:w="1450" w:type="dxa"/>
          </w:tcPr>
          <w:p w14:paraId="27835789">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10%</w:t>
            </w:r>
          </w:p>
        </w:tc>
      </w:tr>
      <w:tr w14:paraId="05141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504" w:type="dxa"/>
          </w:tcPr>
          <w:p w14:paraId="68FA8C56">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（九）</w:t>
            </w:r>
          </w:p>
        </w:tc>
        <w:tc>
          <w:tcPr>
            <w:tcW w:w="3918" w:type="dxa"/>
          </w:tcPr>
          <w:p w14:paraId="32F34428">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九级伤残</w:t>
            </w:r>
          </w:p>
        </w:tc>
        <w:tc>
          <w:tcPr>
            <w:tcW w:w="1450" w:type="dxa"/>
          </w:tcPr>
          <w:p w14:paraId="4E66A610">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4%</w:t>
            </w:r>
          </w:p>
        </w:tc>
      </w:tr>
      <w:tr w14:paraId="53659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504" w:type="dxa"/>
          </w:tcPr>
          <w:p w14:paraId="2C6C994C">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（十）</w:t>
            </w:r>
          </w:p>
        </w:tc>
        <w:tc>
          <w:tcPr>
            <w:tcW w:w="3918" w:type="dxa"/>
          </w:tcPr>
          <w:p w14:paraId="5EEC8567">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十级伤残</w:t>
            </w:r>
          </w:p>
        </w:tc>
        <w:tc>
          <w:tcPr>
            <w:tcW w:w="1450" w:type="dxa"/>
          </w:tcPr>
          <w:p w14:paraId="385792F4">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1%</w:t>
            </w:r>
          </w:p>
        </w:tc>
      </w:tr>
    </w:tbl>
    <w:p w14:paraId="75F87D97">
      <w:pPr>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Cs w:val="21"/>
          <w:highlight w:val="none"/>
        </w:rPr>
        <w:t>注：伤残等级依照《人体损伤致残程度分级》（最高人民法院、最高人民检察院、公安部、国家安全部、司法部2016年4月发布）确定</w:t>
      </w:r>
      <w:r>
        <w:rPr>
          <w:rFonts w:hint="eastAsia" w:ascii="宋体" w:hAnsi="宋体" w:eastAsia="宋体" w:cs="宋体"/>
          <w:color w:val="auto"/>
          <w:szCs w:val="21"/>
          <w:highlight w:val="none"/>
          <w:lang w:eastAsia="zh-CN"/>
        </w:rPr>
        <w:t>。</w:t>
      </w:r>
    </w:p>
    <w:p w14:paraId="32597310">
      <w:pPr>
        <w:spacing w:line="460" w:lineRule="exact"/>
        <w:ind w:firstLine="480"/>
        <w:rPr>
          <w:rFonts w:hint="eastAsia" w:ascii="宋体" w:hAnsi="宋体" w:eastAsia="宋体" w:cs="宋体"/>
          <w:bCs/>
          <w:color w:val="auto"/>
          <w:sz w:val="24"/>
          <w:szCs w:val="24"/>
          <w:highlight w:val="none"/>
        </w:rPr>
        <w:sectPr>
          <w:footerReference r:id="rId8" w:type="first"/>
          <w:footerReference r:id="rId7" w:type="default"/>
          <w:pgSz w:w="11906" w:h="16838"/>
          <w:pgMar w:top="1440" w:right="1134" w:bottom="1440" w:left="1418" w:header="851" w:footer="992" w:gutter="0"/>
          <w:cols w:space="720" w:num="1"/>
          <w:titlePg/>
          <w:docGrid w:linePitch="360" w:charSpace="0"/>
        </w:sectPr>
      </w:pPr>
      <w:r>
        <w:rPr>
          <w:rFonts w:hint="eastAsia" w:ascii="宋体" w:hAnsi="宋体" w:eastAsia="宋体" w:cs="宋体"/>
          <w:color w:val="auto"/>
          <w:sz w:val="24"/>
          <w:highlight w:val="none"/>
        </w:rPr>
        <w:t xml:space="preserve"> </w:t>
      </w:r>
    </w:p>
    <w:p w14:paraId="2CAF0937">
      <w:pPr>
        <w:pStyle w:val="2"/>
        <w:spacing w:before="156" w:after="156" w:line="360" w:lineRule="auto"/>
        <w:jc w:val="center"/>
        <w:rPr>
          <w:rFonts w:hint="eastAsia" w:ascii="宋体" w:hAnsi="宋体" w:eastAsia="宋体" w:cs="宋体"/>
          <w:b w:val="0"/>
          <w:color w:val="auto"/>
          <w:highlight w:val="none"/>
        </w:rPr>
      </w:pPr>
      <w:bookmarkStart w:id="100" w:name="_Toc1282"/>
      <w:bookmarkStart w:id="101" w:name="_Toc3341"/>
      <w:bookmarkStart w:id="102" w:name="_Toc155796360"/>
      <w:r>
        <w:rPr>
          <w:rFonts w:hint="eastAsia" w:ascii="宋体" w:hAnsi="宋体" w:eastAsia="宋体" w:cs="宋体"/>
          <w:b w:val="0"/>
          <w:color w:val="auto"/>
          <w:highlight w:val="none"/>
        </w:rPr>
        <w:t>第五章评标方法与评标标准</w:t>
      </w:r>
      <w:bookmarkEnd w:id="100"/>
      <w:bookmarkEnd w:id="101"/>
      <w:bookmarkEnd w:id="102"/>
    </w:p>
    <w:p w14:paraId="0DF8C1C8">
      <w:pPr>
        <w:spacing w:line="500" w:lineRule="exact"/>
        <w:ind w:firstLine="480"/>
        <w:jc w:val="left"/>
        <w:outlineLvl w:val="0"/>
        <w:rPr>
          <w:rFonts w:hint="eastAsia" w:ascii="宋体" w:hAnsi="宋体" w:eastAsia="宋体" w:cs="宋体"/>
          <w:color w:val="auto"/>
          <w:sz w:val="24"/>
          <w:szCs w:val="24"/>
          <w:highlight w:val="none"/>
        </w:rPr>
      </w:pPr>
      <w:bookmarkStart w:id="103" w:name="_Toc10748"/>
      <w:r>
        <w:rPr>
          <w:rFonts w:hint="eastAsia" w:ascii="宋体" w:hAnsi="宋体" w:eastAsia="宋体" w:cs="宋体"/>
          <w:color w:val="auto"/>
          <w:sz w:val="24"/>
          <w:szCs w:val="24"/>
          <w:highlight w:val="none"/>
        </w:rPr>
        <w:t>一、评标方法</w:t>
      </w:r>
      <w:bookmarkEnd w:id="103"/>
    </w:p>
    <w:p w14:paraId="1B45A39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综合评分法：评标结果按评审后得分由高到低顺序排列。得分相同的，按投标报价由低到高顺序排列。得分且投标报价相同的并列。投标文件满足招标文件全部实质性要求，</w:t>
      </w:r>
      <w:r>
        <w:rPr>
          <w:rFonts w:hint="eastAsia" w:ascii="宋体" w:hAnsi="宋体"/>
          <w:color w:val="000000"/>
          <w:sz w:val="24"/>
        </w:rPr>
        <w:t>且按照评审因素的量化指标评审得分最高的投标人为为排名第一</w:t>
      </w:r>
      <w:r>
        <w:rPr>
          <w:rFonts w:hint="eastAsia" w:ascii="宋体" w:hAnsi="宋体"/>
          <w:color w:val="000000"/>
          <w:sz w:val="24"/>
          <w:lang w:val="en-US" w:eastAsia="zh-CN"/>
        </w:rPr>
        <w:t>的</w:t>
      </w:r>
      <w:r>
        <w:rPr>
          <w:rFonts w:hint="eastAsia" w:ascii="宋体" w:hAnsi="宋体"/>
          <w:color w:val="000000"/>
          <w:sz w:val="24"/>
        </w:rPr>
        <w:t>中标候选人</w:t>
      </w:r>
      <w:r>
        <w:rPr>
          <w:rFonts w:hint="eastAsia" w:ascii="宋体" w:hAnsi="宋体" w:eastAsia="宋体" w:cs="宋体"/>
          <w:color w:val="auto"/>
          <w:sz w:val="24"/>
          <w:szCs w:val="24"/>
          <w:highlight w:val="none"/>
        </w:rPr>
        <w:t>。</w:t>
      </w:r>
    </w:p>
    <w:p w14:paraId="526EDCE8">
      <w:pPr>
        <w:spacing w:line="500" w:lineRule="exact"/>
        <w:ind w:firstLine="480"/>
        <w:jc w:val="left"/>
        <w:outlineLvl w:val="0"/>
        <w:rPr>
          <w:rFonts w:hint="eastAsia" w:ascii="宋体" w:hAnsi="宋体" w:eastAsia="宋体" w:cs="宋体"/>
          <w:color w:val="auto"/>
          <w:sz w:val="24"/>
          <w:szCs w:val="24"/>
          <w:highlight w:val="none"/>
        </w:rPr>
      </w:pPr>
      <w:bookmarkStart w:id="104" w:name="_Toc8300"/>
      <w:r>
        <w:rPr>
          <w:rFonts w:hint="eastAsia" w:ascii="宋体" w:hAnsi="宋体" w:eastAsia="宋体" w:cs="宋体"/>
          <w:color w:val="auto"/>
          <w:sz w:val="24"/>
          <w:szCs w:val="24"/>
          <w:highlight w:val="none"/>
        </w:rPr>
        <w:t>二、评标标准</w:t>
      </w:r>
      <w:bookmarkEnd w:id="104"/>
    </w:p>
    <w:p w14:paraId="5176A97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（1）评标时，评委会以招标文件为评标依据，评委会各成员独立对每个投标人的投标文件进行评价，并汇总每个投标人的得分。评标过程中，不得去掉报价中的最高报价和最低报价。</w:t>
      </w:r>
    </w:p>
    <w:p w14:paraId="2DED22F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（2）本项目评分总分为100分，按四舍五入取至小数点后两位。</w:t>
      </w:r>
    </w:p>
    <w:p w14:paraId="17DC2A4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（3）总得分=价格分+商务技术分。</w:t>
      </w:r>
    </w:p>
    <w:p w14:paraId="34916C2F">
      <w:pPr>
        <w:pBdr>
          <w:top w:val="none" w:color="000000" w:sz="0" w:space="0"/>
          <w:left w:val="none" w:color="000000" w:sz="0" w:space="0"/>
          <w:bottom w:val="none" w:color="000000" w:sz="0" w:space="0"/>
          <w:right w:val="none" w:color="000000" w:sz="0" w:space="0"/>
        </w:pBdr>
        <w:spacing w:before="120" w:after="120" w:line="400" w:lineRule="atLeast"/>
        <w:ind w:firstLine="643"/>
        <w:jc w:val="center"/>
        <w:rPr>
          <w:rFonts w:ascii="Calibri" w:hAnsi="Calibri" w:eastAsia="宋体" w:cs="Times New Roman"/>
          <w:color w:val="auto"/>
          <w:highlight w:val="none"/>
        </w:rPr>
      </w:pPr>
      <w:bookmarkStart w:id="105" w:name="_Toc155796361"/>
      <w:r>
        <w:rPr>
          <w:rFonts w:ascii="宋体" w:hAnsi="宋体" w:eastAsia="宋体" w:cs="宋体"/>
          <w:b/>
          <w:color w:val="auto"/>
          <w:sz w:val="32"/>
          <w:highlight w:val="none"/>
        </w:rPr>
        <w:t>综合评分法</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8"/>
        <w:gridCol w:w="7064"/>
      </w:tblGrid>
      <w:tr w14:paraId="092F7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21" w:type="dxa"/>
          </w:tcPr>
          <w:p w14:paraId="4433E6C3">
            <w:pPr>
              <w:spacing w:line="400" w:lineRule="exact"/>
              <w:jc w:val="center"/>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评审因素</w:t>
            </w:r>
          </w:p>
        </w:tc>
        <w:tc>
          <w:tcPr>
            <w:tcW w:w="8045" w:type="dxa"/>
          </w:tcPr>
          <w:p w14:paraId="362D2AF1">
            <w:pPr>
              <w:spacing w:line="400" w:lineRule="exact"/>
              <w:jc w:val="center"/>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评审内容</w:t>
            </w:r>
          </w:p>
        </w:tc>
      </w:tr>
      <w:tr w14:paraId="54410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1621" w:type="dxa"/>
            <w:vAlign w:val="center"/>
          </w:tcPr>
          <w:p w14:paraId="7ECEB8E2">
            <w:pPr>
              <w:spacing w:line="400" w:lineRule="exact"/>
              <w:jc w:val="center"/>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价格分</w:t>
            </w:r>
          </w:p>
          <w:p w14:paraId="3A01AD99">
            <w:pPr>
              <w:spacing w:line="400" w:lineRule="exact"/>
              <w:jc w:val="center"/>
              <w:rPr>
                <w:rFonts w:hint="eastAsia" w:ascii="宋体" w:hAnsi="宋体" w:eastAsia="宋体" w:cs="宋体"/>
                <w:color w:val="auto"/>
                <w:spacing w:val="1"/>
                <w:sz w:val="24"/>
                <w:szCs w:val="24"/>
                <w:highlight w:val="none"/>
              </w:rPr>
            </w:pPr>
            <w:r>
              <w:rPr>
                <w:rFonts w:hint="eastAsia" w:ascii="宋体" w:hAnsi="宋体" w:eastAsia="宋体" w:cs="宋体"/>
                <w:b/>
                <w:bCs/>
                <w:color w:val="auto"/>
                <w:spacing w:val="1"/>
                <w:sz w:val="24"/>
                <w:szCs w:val="24"/>
                <w:highlight w:val="none"/>
              </w:rPr>
              <w:t>30分</w:t>
            </w:r>
          </w:p>
        </w:tc>
        <w:tc>
          <w:tcPr>
            <w:tcW w:w="8045" w:type="dxa"/>
          </w:tcPr>
          <w:p w14:paraId="345EFA12">
            <w:pPr>
              <w:spacing w:line="400" w:lineRule="exact"/>
              <w:jc w:val="left"/>
              <w:rPr>
                <w:rFonts w:hint="eastAsia"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满足招标文件要求且投标价格最低的投标报价为评标基准价，其价格分为满分。其他投标人的价格分统一按照下列公式计算：</w:t>
            </w:r>
          </w:p>
          <w:p w14:paraId="649FC403">
            <w:pPr>
              <w:spacing w:line="400" w:lineRule="exact"/>
              <w:jc w:val="left"/>
              <w:rPr>
                <w:rFonts w:hint="eastAsia"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投标报价得分=(评标基准价／投标报价)×</w:t>
            </w:r>
            <w:r>
              <w:rPr>
                <w:rFonts w:hint="eastAsia" w:ascii="宋体" w:hAnsi="宋体" w:eastAsia="宋体" w:cs="宋体"/>
                <w:color w:val="auto"/>
                <w:spacing w:val="1"/>
                <w:sz w:val="24"/>
                <w:szCs w:val="24"/>
                <w:highlight w:val="none"/>
              </w:rPr>
              <w:t>30</w:t>
            </w:r>
          </w:p>
        </w:tc>
      </w:tr>
      <w:tr w14:paraId="1D886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9" w:hRule="atLeast"/>
        </w:trPr>
        <w:tc>
          <w:tcPr>
            <w:tcW w:w="1621" w:type="dxa"/>
            <w:vMerge w:val="restart"/>
            <w:vAlign w:val="center"/>
          </w:tcPr>
          <w:p w14:paraId="1B17C6B9">
            <w:pPr>
              <w:spacing w:line="400" w:lineRule="exact"/>
              <w:jc w:val="center"/>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商务分</w:t>
            </w:r>
          </w:p>
          <w:p w14:paraId="11C49584">
            <w:pPr>
              <w:spacing w:line="400" w:lineRule="exact"/>
              <w:jc w:val="center"/>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31分</w:t>
            </w:r>
          </w:p>
        </w:tc>
        <w:tc>
          <w:tcPr>
            <w:tcW w:w="8045" w:type="dxa"/>
          </w:tcPr>
          <w:p w14:paraId="5BD228B1">
            <w:pPr>
              <w:spacing w:line="400" w:lineRule="exac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总公司偿付能力状况（3分）</w:t>
            </w:r>
          </w:p>
          <w:p w14:paraId="302D375C">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供应商总公司经审计的2025年度偿付能力报告或保监会下发的2025年度保险公司偿付能力文件。</w:t>
            </w:r>
          </w:p>
          <w:p w14:paraId="276EAB03">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综合偿付能力充足率 100%以下得0分；偿付能力充足率 100%（含）-150%得1分；150%（含）-200%（含）得2分；200%（含）以上得3分。</w:t>
            </w:r>
          </w:p>
          <w:p w14:paraId="1A04EFC2">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b/>
                <w:bCs/>
                <w:color w:val="auto"/>
                <w:spacing w:val="1"/>
                <w:sz w:val="24"/>
                <w:szCs w:val="24"/>
                <w:highlight w:val="none"/>
              </w:rPr>
              <w:t>注：提供相关证明资料原件扫描上传至电子投标文件中，未提供的不得分。</w:t>
            </w:r>
          </w:p>
        </w:tc>
      </w:tr>
      <w:tr w14:paraId="403F2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8" w:hRule="atLeast"/>
        </w:trPr>
        <w:tc>
          <w:tcPr>
            <w:tcW w:w="1621" w:type="dxa"/>
            <w:vMerge w:val="continue"/>
            <w:vAlign w:val="center"/>
          </w:tcPr>
          <w:p w14:paraId="0D9E739F">
            <w:pPr>
              <w:spacing w:line="400" w:lineRule="exact"/>
              <w:jc w:val="center"/>
              <w:rPr>
                <w:rFonts w:hint="eastAsia" w:ascii="宋体" w:hAnsi="宋体" w:eastAsia="宋体" w:cs="宋体"/>
                <w:color w:val="auto"/>
                <w:spacing w:val="1"/>
                <w:sz w:val="24"/>
                <w:szCs w:val="24"/>
                <w:highlight w:val="none"/>
              </w:rPr>
            </w:pPr>
          </w:p>
        </w:tc>
        <w:tc>
          <w:tcPr>
            <w:tcW w:w="8045" w:type="dxa"/>
          </w:tcPr>
          <w:p w14:paraId="31969BC1">
            <w:pPr>
              <w:spacing w:line="400" w:lineRule="exac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供应商所属总公司2025年穆迪评级或标准普尔评级或惠誉国际信用评级的长期债（投资级）（4 分）</w:t>
            </w:r>
          </w:p>
          <w:p w14:paraId="56C4ECAD">
            <w:pPr>
              <w:numPr>
                <w:ilvl w:val="0"/>
                <w:numId w:val="0"/>
              </w:num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1</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rPr>
              <w:t>A 类得 4 分；（2）B 类得 3 分；（3）C 类得 2 分；（4）D 类得 1 分。</w:t>
            </w:r>
          </w:p>
          <w:p w14:paraId="0B943B0C">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b/>
                <w:bCs/>
                <w:color w:val="auto"/>
                <w:spacing w:val="1"/>
                <w:sz w:val="24"/>
                <w:szCs w:val="24"/>
                <w:highlight w:val="none"/>
              </w:rPr>
              <w:t>注：提供总公司的评级等级截图并加盖投标人公章，未提供的不得分。</w:t>
            </w:r>
          </w:p>
        </w:tc>
      </w:tr>
      <w:tr w14:paraId="5DF82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1" w:type="dxa"/>
            <w:vMerge w:val="continue"/>
            <w:vAlign w:val="center"/>
          </w:tcPr>
          <w:p w14:paraId="5EAB16A8">
            <w:pPr>
              <w:spacing w:line="400" w:lineRule="exact"/>
              <w:jc w:val="center"/>
              <w:rPr>
                <w:rFonts w:hint="eastAsia" w:ascii="宋体" w:hAnsi="宋体" w:eastAsia="宋体" w:cs="宋体"/>
                <w:color w:val="auto"/>
                <w:spacing w:val="1"/>
                <w:sz w:val="24"/>
                <w:szCs w:val="24"/>
                <w:highlight w:val="none"/>
              </w:rPr>
            </w:pPr>
          </w:p>
        </w:tc>
        <w:tc>
          <w:tcPr>
            <w:tcW w:w="8045" w:type="dxa"/>
          </w:tcPr>
          <w:p w14:paraId="2E089FC1">
            <w:pPr>
              <w:spacing w:line="400" w:lineRule="exac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投标人2023年（含）以来开展过雇主责任险承保理赔工作（18 分）</w:t>
            </w:r>
          </w:p>
          <w:p w14:paraId="7AE0C495">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b/>
                <w:bCs/>
                <w:color w:val="auto"/>
                <w:spacing w:val="1"/>
                <w:sz w:val="24"/>
                <w:szCs w:val="24"/>
                <w:highlight w:val="none"/>
              </w:rPr>
              <w:t>承保经验：</w:t>
            </w:r>
            <w:r>
              <w:rPr>
                <w:rFonts w:hint="eastAsia" w:ascii="宋体" w:hAnsi="宋体" w:eastAsia="宋体" w:cs="宋体"/>
                <w:color w:val="auto"/>
                <w:spacing w:val="1"/>
                <w:sz w:val="24"/>
                <w:szCs w:val="24"/>
                <w:highlight w:val="none"/>
              </w:rPr>
              <w:t>提供类似项目承保服务协议或保险单并加盖公章，每个得 3 分，最高得 9 分。</w:t>
            </w:r>
          </w:p>
          <w:p w14:paraId="70CF6CF5">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b/>
                <w:bCs/>
                <w:color w:val="auto"/>
                <w:spacing w:val="1"/>
                <w:sz w:val="24"/>
                <w:szCs w:val="24"/>
                <w:highlight w:val="none"/>
              </w:rPr>
              <w:t>理赔经验：</w:t>
            </w:r>
            <w:r>
              <w:rPr>
                <w:rFonts w:hint="eastAsia" w:ascii="宋体" w:hAnsi="宋体" w:eastAsia="宋体" w:cs="宋体"/>
                <w:color w:val="auto"/>
                <w:spacing w:val="1"/>
                <w:sz w:val="24"/>
                <w:szCs w:val="24"/>
                <w:highlight w:val="none"/>
              </w:rPr>
              <w:t>提供单笔理赔案件金额超过50万元的理赔材料及支付凭证并加盖公章或理赔业务专用章，每个得 3 分，最高得 9 分。</w:t>
            </w:r>
          </w:p>
          <w:p w14:paraId="174A9634">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b/>
                <w:bCs/>
                <w:color w:val="auto"/>
                <w:spacing w:val="1"/>
                <w:sz w:val="24"/>
                <w:szCs w:val="24"/>
                <w:highlight w:val="none"/>
              </w:rPr>
              <w:t>注：提供相关证明资料原件扫描上传至电子投标文件中，未提供的不得分。</w:t>
            </w:r>
          </w:p>
        </w:tc>
      </w:tr>
      <w:tr w14:paraId="36C7B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8" w:hRule="atLeast"/>
        </w:trPr>
        <w:tc>
          <w:tcPr>
            <w:tcW w:w="1621" w:type="dxa"/>
            <w:vMerge w:val="continue"/>
            <w:vAlign w:val="center"/>
          </w:tcPr>
          <w:p w14:paraId="0EB3ED11">
            <w:pPr>
              <w:spacing w:line="400" w:lineRule="exact"/>
              <w:jc w:val="center"/>
              <w:rPr>
                <w:rFonts w:hint="eastAsia" w:ascii="宋体" w:hAnsi="宋体" w:eastAsia="宋体" w:cs="宋体"/>
                <w:color w:val="auto"/>
                <w:spacing w:val="1"/>
                <w:sz w:val="24"/>
                <w:szCs w:val="24"/>
                <w:highlight w:val="none"/>
              </w:rPr>
            </w:pPr>
          </w:p>
        </w:tc>
        <w:tc>
          <w:tcPr>
            <w:tcW w:w="8045" w:type="dxa"/>
          </w:tcPr>
          <w:p w14:paraId="230E936D">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投标单位为总公司或分支机构有经中国保监会批准设立分机构的，服务机构需提供分支机构的营业执照、经营保险业务许可证原件扫描件并加盖公章，资料齐全的每设一个得2分，最高得6分，否则不得分。</w:t>
            </w:r>
          </w:p>
          <w:p w14:paraId="189A8CB1">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b/>
                <w:bCs/>
                <w:color w:val="auto"/>
                <w:spacing w:val="1"/>
                <w:sz w:val="24"/>
                <w:szCs w:val="24"/>
                <w:highlight w:val="none"/>
              </w:rPr>
              <w:t>注：提供营业执照、经营保险业务许可证原件扫描上传至电子投标文件中，未提供的不得分。</w:t>
            </w:r>
          </w:p>
        </w:tc>
      </w:tr>
      <w:tr w14:paraId="18128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1621" w:type="dxa"/>
            <w:vMerge w:val="restart"/>
            <w:vAlign w:val="center"/>
          </w:tcPr>
          <w:p w14:paraId="57159234">
            <w:pPr>
              <w:spacing w:line="400" w:lineRule="exact"/>
              <w:jc w:val="center"/>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技术分</w:t>
            </w:r>
          </w:p>
          <w:p w14:paraId="13B4A326">
            <w:pPr>
              <w:spacing w:line="400" w:lineRule="exact"/>
              <w:jc w:val="center"/>
              <w:rPr>
                <w:rFonts w:hint="eastAsia" w:ascii="宋体" w:hAnsi="宋体" w:eastAsia="宋体" w:cs="宋体"/>
                <w:color w:val="auto"/>
                <w:spacing w:val="1"/>
                <w:sz w:val="24"/>
                <w:szCs w:val="24"/>
                <w:highlight w:val="none"/>
              </w:rPr>
            </w:pPr>
            <w:r>
              <w:rPr>
                <w:rFonts w:hint="eastAsia" w:ascii="宋体" w:hAnsi="宋体" w:eastAsia="宋体" w:cs="宋体"/>
                <w:b/>
                <w:bCs/>
                <w:color w:val="auto"/>
                <w:spacing w:val="1"/>
                <w:sz w:val="24"/>
                <w:szCs w:val="24"/>
                <w:highlight w:val="none"/>
              </w:rPr>
              <w:t>39分</w:t>
            </w:r>
          </w:p>
        </w:tc>
        <w:tc>
          <w:tcPr>
            <w:tcW w:w="8045" w:type="dxa"/>
          </w:tcPr>
          <w:p w14:paraId="3D5E270D">
            <w:pPr>
              <w:spacing w:line="400" w:lineRule="exac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整体统筹规划、认识程度、合理定位的全面性、针对性（6分）</w:t>
            </w:r>
          </w:p>
          <w:p w14:paraId="0004E9E9">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供应商根据本项目实际情况提供整体统筹规划、认识程度、合理定位的全面性、针对性方案，进行综合打分。</w:t>
            </w:r>
          </w:p>
          <w:p w14:paraId="6068C651">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方案全面性效果非常好的得6分；</w:t>
            </w:r>
          </w:p>
          <w:p w14:paraId="53ECD4E2">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方案全面性效果比较好的得4分；</w:t>
            </w:r>
          </w:p>
          <w:p w14:paraId="6187A341">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方案全面性效果一般的得2分；</w:t>
            </w:r>
          </w:p>
          <w:p w14:paraId="6FE114EA">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没有不得分。</w:t>
            </w:r>
          </w:p>
        </w:tc>
      </w:tr>
      <w:tr w14:paraId="76C8E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1" w:type="dxa"/>
            <w:vMerge w:val="continue"/>
            <w:vAlign w:val="center"/>
          </w:tcPr>
          <w:p w14:paraId="3B282E3A">
            <w:pPr>
              <w:spacing w:line="400" w:lineRule="exact"/>
              <w:jc w:val="center"/>
              <w:rPr>
                <w:rFonts w:hint="eastAsia" w:ascii="宋体" w:hAnsi="宋体" w:eastAsia="宋体" w:cs="宋体"/>
                <w:color w:val="auto"/>
                <w:spacing w:val="1"/>
                <w:sz w:val="24"/>
                <w:szCs w:val="24"/>
                <w:highlight w:val="none"/>
              </w:rPr>
            </w:pPr>
          </w:p>
        </w:tc>
        <w:tc>
          <w:tcPr>
            <w:tcW w:w="8045" w:type="dxa"/>
          </w:tcPr>
          <w:p w14:paraId="565EFD03">
            <w:pPr>
              <w:spacing w:line="400" w:lineRule="exact"/>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3"/>
                <w:sz w:val="24"/>
                <w:szCs w:val="24"/>
                <w:highlight w:val="none"/>
              </w:rPr>
              <w:t>团队建设、人员配置、合理分工、职责明确（6分）</w:t>
            </w:r>
          </w:p>
          <w:p w14:paraId="00066C8A">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供应商根据本项目实际情况提供团队建设、人员配置、合理分工、职责明确等方面，进行综合打分。</w:t>
            </w:r>
          </w:p>
          <w:p w14:paraId="68C41CCF">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方案全面性效果非常好的得6分；</w:t>
            </w:r>
          </w:p>
          <w:p w14:paraId="6F6F4191">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方案全面性效果比较好的得4分；</w:t>
            </w:r>
          </w:p>
          <w:p w14:paraId="2FCE949D">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方案全面性效果一般的得2分；</w:t>
            </w:r>
          </w:p>
          <w:p w14:paraId="679D75EA">
            <w:pPr>
              <w:spacing w:line="400" w:lineRule="exact"/>
              <w:jc w:val="lef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没有不得分。</w:t>
            </w:r>
          </w:p>
        </w:tc>
      </w:tr>
      <w:tr w14:paraId="3A60B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621" w:type="dxa"/>
            <w:vMerge w:val="continue"/>
            <w:vAlign w:val="center"/>
          </w:tcPr>
          <w:p w14:paraId="3266A628">
            <w:pPr>
              <w:spacing w:line="400" w:lineRule="exact"/>
              <w:jc w:val="center"/>
              <w:rPr>
                <w:rFonts w:hint="eastAsia" w:ascii="宋体" w:hAnsi="宋体" w:eastAsia="宋体" w:cs="宋体"/>
                <w:color w:val="auto"/>
                <w:spacing w:val="1"/>
                <w:sz w:val="24"/>
                <w:szCs w:val="24"/>
                <w:highlight w:val="none"/>
              </w:rPr>
            </w:pPr>
          </w:p>
        </w:tc>
        <w:tc>
          <w:tcPr>
            <w:tcW w:w="8045" w:type="dxa"/>
          </w:tcPr>
          <w:p w14:paraId="69B8300E">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b/>
                <w:bCs/>
                <w:color w:val="auto"/>
                <w:sz w:val="24"/>
                <w:szCs w:val="24"/>
                <w:highlight w:val="none"/>
              </w:rPr>
              <w:t>承保服务方案（6分）</w:t>
            </w:r>
            <w:r>
              <w:rPr>
                <w:rFonts w:hint="eastAsia" w:ascii="宋体" w:hAnsi="宋体" w:eastAsia="宋体" w:cs="宋体"/>
                <w:color w:val="auto"/>
                <w:sz w:val="24"/>
                <w:szCs w:val="24"/>
                <w:highlight w:val="none"/>
              </w:rPr>
              <w:br w:type="textWrapping"/>
            </w:r>
            <w:r>
              <w:rPr>
                <w:rFonts w:hint="eastAsia" w:ascii="宋体" w:hAnsi="宋体" w:eastAsia="宋体" w:cs="宋体"/>
                <w:color w:val="auto"/>
                <w:spacing w:val="1"/>
                <w:sz w:val="24"/>
                <w:szCs w:val="24"/>
                <w:highlight w:val="none"/>
              </w:rPr>
              <w:t>供应商根据本项目实际情况提供承保服务方案，进行综合打分。</w:t>
            </w:r>
          </w:p>
          <w:p w14:paraId="23ED4AE8">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方案的合理性、可行性、预期效果非常好的得6分；</w:t>
            </w:r>
          </w:p>
          <w:p w14:paraId="7FAA516C">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方案基本完整、有一定可实施性，合理性、可行性、预期效果比较好的得4分；</w:t>
            </w:r>
          </w:p>
          <w:p w14:paraId="214AD2EA">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方案较粗略，合理性、可行性、预期效果一般的得2分；</w:t>
            </w:r>
          </w:p>
          <w:p w14:paraId="2B13C083">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没有不得分。</w:t>
            </w:r>
          </w:p>
        </w:tc>
      </w:tr>
      <w:tr w14:paraId="3779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1" w:type="dxa"/>
            <w:vMerge w:val="continue"/>
            <w:vAlign w:val="center"/>
          </w:tcPr>
          <w:p w14:paraId="342F07CD">
            <w:pPr>
              <w:spacing w:line="400" w:lineRule="exact"/>
              <w:jc w:val="center"/>
              <w:rPr>
                <w:rFonts w:hint="eastAsia" w:ascii="宋体" w:hAnsi="宋体" w:eastAsia="宋体" w:cs="宋体"/>
                <w:color w:val="auto"/>
                <w:spacing w:val="1"/>
                <w:sz w:val="24"/>
                <w:szCs w:val="24"/>
                <w:highlight w:val="none"/>
              </w:rPr>
            </w:pPr>
          </w:p>
        </w:tc>
        <w:tc>
          <w:tcPr>
            <w:tcW w:w="8045" w:type="dxa"/>
          </w:tcPr>
          <w:p w14:paraId="069FF135">
            <w:pPr>
              <w:spacing w:line="400" w:lineRule="exac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服务质量保证措施、保密措施（6分）</w:t>
            </w:r>
          </w:p>
          <w:p w14:paraId="1DF2AAE9">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供应商根据本项目实际情况提供服务质量保证措施、保密措施方案，进行综合打分。</w:t>
            </w:r>
          </w:p>
          <w:p w14:paraId="69EA508C">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方案全面性效果非常好的得6分；</w:t>
            </w:r>
          </w:p>
          <w:p w14:paraId="10B5D9BA">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方案全面性效果比较好的得4分；</w:t>
            </w:r>
          </w:p>
          <w:p w14:paraId="77C37556">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方案全面性效果一般的得2分；</w:t>
            </w:r>
          </w:p>
          <w:p w14:paraId="3B08A9DC">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没有不得分。</w:t>
            </w:r>
          </w:p>
        </w:tc>
      </w:tr>
      <w:tr w14:paraId="05723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1" w:type="dxa"/>
            <w:vMerge w:val="continue"/>
            <w:vAlign w:val="center"/>
          </w:tcPr>
          <w:p w14:paraId="3E40122B">
            <w:pPr>
              <w:spacing w:line="400" w:lineRule="exact"/>
              <w:jc w:val="center"/>
              <w:rPr>
                <w:rFonts w:hint="eastAsia" w:ascii="宋体" w:hAnsi="宋体" w:eastAsia="宋体" w:cs="宋体"/>
                <w:color w:val="auto"/>
                <w:spacing w:val="1"/>
                <w:sz w:val="24"/>
                <w:szCs w:val="24"/>
                <w:highlight w:val="none"/>
              </w:rPr>
            </w:pPr>
          </w:p>
        </w:tc>
        <w:tc>
          <w:tcPr>
            <w:tcW w:w="8045" w:type="dxa"/>
          </w:tcPr>
          <w:p w14:paraId="32A216E1">
            <w:pPr>
              <w:spacing w:line="400" w:lineRule="exac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理赔服务流程、方案措施的针对性、全面性</w:t>
            </w:r>
            <w:r>
              <w:rPr>
                <w:rFonts w:hint="eastAsia" w:ascii="宋体" w:hAnsi="宋体" w:eastAsia="宋体" w:cs="宋体"/>
                <w:b/>
                <w:bCs/>
                <w:color w:val="auto"/>
                <w:sz w:val="24"/>
                <w:szCs w:val="24"/>
                <w:highlight w:val="none"/>
              </w:rPr>
              <w:t>（5分）</w:t>
            </w:r>
          </w:p>
          <w:p w14:paraId="38C23CCF">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供应商根据本项目实际情况提供理赔服务流程、方案措施的针对性、全面性方案，进行综合打分。</w:t>
            </w:r>
          </w:p>
          <w:p w14:paraId="54E16CA9">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方案全面性效果非常好的得5分；</w:t>
            </w:r>
          </w:p>
          <w:p w14:paraId="07F82C7B">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方案全面性效果比较好的得3分；</w:t>
            </w:r>
          </w:p>
          <w:p w14:paraId="4D8CD0BE">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方案全面性效果一般的得1分；</w:t>
            </w:r>
          </w:p>
          <w:p w14:paraId="4C5E02C2">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没有不得分。</w:t>
            </w:r>
          </w:p>
        </w:tc>
      </w:tr>
      <w:tr w14:paraId="01035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1" w:type="dxa"/>
            <w:vMerge w:val="continue"/>
            <w:vAlign w:val="center"/>
          </w:tcPr>
          <w:p w14:paraId="27346F1E">
            <w:pPr>
              <w:spacing w:line="400" w:lineRule="exact"/>
              <w:jc w:val="center"/>
              <w:rPr>
                <w:rFonts w:hint="eastAsia" w:ascii="宋体" w:hAnsi="宋体" w:eastAsia="宋体" w:cs="宋体"/>
                <w:color w:val="auto"/>
                <w:spacing w:val="1"/>
                <w:sz w:val="24"/>
                <w:szCs w:val="24"/>
                <w:highlight w:val="none"/>
              </w:rPr>
            </w:pPr>
          </w:p>
        </w:tc>
        <w:tc>
          <w:tcPr>
            <w:tcW w:w="8045" w:type="dxa"/>
          </w:tcPr>
          <w:p w14:paraId="69CA7E13">
            <w:pPr>
              <w:spacing w:line="400" w:lineRule="exac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培训方案（5分）</w:t>
            </w:r>
          </w:p>
          <w:p w14:paraId="15CDF394">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供应商根据本项目实际情况提供培训方案，进行综合打分。</w:t>
            </w:r>
          </w:p>
          <w:p w14:paraId="71F9B80B">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方案全面性效果非常好的得5分；</w:t>
            </w:r>
          </w:p>
          <w:p w14:paraId="2CB7AE68">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方案全面性效果比较好的得3分；</w:t>
            </w:r>
          </w:p>
          <w:p w14:paraId="310CF059">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方案全面性效果一般的得1分；</w:t>
            </w:r>
          </w:p>
          <w:p w14:paraId="320F4EDD">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没有不得分。</w:t>
            </w:r>
          </w:p>
        </w:tc>
      </w:tr>
      <w:tr w14:paraId="60717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1" w:type="dxa"/>
            <w:vMerge w:val="continue"/>
            <w:vAlign w:val="center"/>
          </w:tcPr>
          <w:p w14:paraId="78FEF732">
            <w:pPr>
              <w:spacing w:line="400" w:lineRule="exact"/>
              <w:jc w:val="center"/>
              <w:rPr>
                <w:rFonts w:hint="eastAsia" w:ascii="宋体" w:hAnsi="宋体" w:eastAsia="宋体" w:cs="宋体"/>
                <w:color w:val="auto"/>
                <w:spacing w:val="1"/>
                <w:sz w:val="24"/>
                <w:szCs w:val="24"/>
                <w:highlight w:val="none"/>
              </w:rPr>
            </w:pPr>
          </w:p>
        </w:tc>
        <w:tc>
          <w:tcPr>
            <w:tcW w:w="8045" w:type="dxa"/>
          </w:tcPr>
          <w:p w14:paraId="4B54896D">
            <w:pPr>
              <w:spacing w:line="400" w:lineRule="exac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优惠服务承诺及合理化建议（5分）</w:t>
            </w:r>
          </w:p>
          <w:p w14:paraId="1025A7FE">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供应商根据本项目实际情况提供优惠服务承诺及合理化建议，进行综合打分。</w:t>
            </w:r>
          </w:p>
          <w:p w14:paraId="4C756F05">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方案全面性效果非常好的得5分；</w:t>
            </w:r>
          </w:p>
          <w:p w14:paraId="4180F370">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方案全面性效果比较好的得3分；</w:t>
            </w:r>
          </w:p>
          <w:p w14:paraId="58B35BD0">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方案全面性效果一般的得1分；</w:t>
            </w:r>
          </w:p>
          <w:p w14:paraId="6862D2F7">
            <w:pPr>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没有不得分。</w:t>
            </w:r>
          </w:p>
        </w:tc>
      </w:tr>
    </w:tbl>
    <w:p w14:paraId="629FA198">
      <w:pPr>
        <w:rPr>
          <w:rFonts w:hint="eastAsia" w:ascii="宋体" w:hAnsi="宋体" w:eastAsia="宋体" w:cs="宋体"/>
          <w:color w:val="auto"/>
          <w:highlight w:val="none"/>
        </w:rPr>
      </w:pPr>
    </w:p>
    <w:p w14:paraId="4EDD7A89">
      <w:pPr>
        <w:pStyle w:val="33"/>
        <w:ind w:left="0"/>
        <w:rPr>
          <w:rFonts w:hint="eastAsia" w:ascii="宋体" w:hAnsi="宋体" w:cs="宋体"/>
          <w:color w:val="auto"/>
          <w:highlight w:val="none"/>
        </w:rPr>
      </w:pPr>
    </w:p>
    <w:p w14:paraId="0BACEFAE">
      <w:pPr>
        <w:keepNext/>
        <w:keepLines/>
        <w:spacing w:before="156" w:after="156" w:line="360" w:lineRule="auto"/>
        <w:jc w:val="center"/>
        <w:rPr>
          <w:rFonts w:hint="eastAsia" w:ascii="宋体" w:hAnsi="宋体" w:eastAsia="宋体" w:cs="宋体"/>
          <w:bCs/>
          <w:color w:val="auto"/>
          <w:sz w:val="44"/>
          <w:szCs w:val="44"/>
          <w:highlight w:val="none"/>
        </w:rPr>
      </w:pPr>
    </w:p>
    <w:p w14:paraId="11FBC1D9">
      <w:pPr>
        <w:rPr>
          <w:rFonts w:hint="eastAsia" w:ascii="宋体" w:hAnsi="宋体" w:eastAsia="宋体" w:cs="宋体"/>
          <w:color w:val="auto"/>
          <w:highlight w:val="none"/>
        </w:rPr>
      </w:pPr>
    </w:p>
    <w:p w14:paraId="0AE1AB78">
      <w:pPr>
        <w:rPr>
          <w:rFonts w:hint="eastAsia" w:ascii="宋体" w:hAnsi="宋体" w:eastAsia="宋体" w:cs="宋体"/>
          <w:color w:val="auto"/>
          <w:highlight w:val="none"/>
        </w:rPr>
      </w:pPr>
    </w:p>
    <w:p w14:paraId="3981D507">
      <w:pPr>
        <w:rPr>
          <w:rFonts w:hint="eastAsia" w:ascii="宋体" w:hAnsi="宋体" w:eastAsia="宋体" w:cs="宋体"/>
          <w:color w:val="auto"/>
          <w:highlight w:val="none"/>
        </w:rPr>
      </w:pPr>
      <w:bookmarkStart w:id="106" w:name="_Toc29841"/>
      <w:bookmarkStart w:id="107" w:name="_Toc6457"/>
      <w:r>
        <w:rPr>
          <w:rFonts w:hint="eastAsia" w:ascii="宋体" w:hAnsi="宋体" w:eastAsia="宋体" w:cs="宋体"/>
          <w:color w:val="auto"/>
          <w:highlight w:val="none"/>
        </w:rPr>
        <w:br w:type="page"/>
      </w:r>
    </w:p>
    <w:p w14:paraId="119F6F79">
      <w:pPr>
        <w:pStyle w:val="2"/>
        <w:spacing w:before="156" w:after="156" w:line="360" w:lineRule="auto"/>
        <w:jc w:val="center"/>
        <w:rPr>
          <w:rFonts w:hint="eastAsia" w:ascii="宋体" w:hAnsi="宋体" w:eastAsia="宋体" w:cs="宋体"/>
          <w:b w:val="0"/>
          <w:color w:val="auto"/>
          <w:highlight w:val="none"/>
        </w:rPr>
      </w:pPr>
      <w:r>
        <w:rPr>
          <w:rFonts w:hint="eastAsia" w:ascii="宋体" w:hAnsi="宋体" w:eastAsia="宋体" w:cs="宋体"/>
          <w:b w:val="0"/>
          <w:color w:val="auto"/>
          <w:highlight w:val="none"/>
        </w:rPr>
        <w:t>第六章投标文件格式</w:t>
      </w:r>
      <w:bookmarkEnd w:id="105"/>
      <w:bookmarkEnd w:id="106"/>
      <w:bookmarkEnd w:id="107"/>
    </w:p>
    <w:p w14:paraId="1F480231">
      <w:pPr>
        <w:spacing w:line="500" w:lineRule="exact"/>
        <w:jc w:val="left"/>
        <w:rPr>
          <w:rFonts w:hint="eastAsia" w:ascii="宋体" w:hAnsi="宋体" w:eastAsia="宋体" w:cs="宋体"/>
          <w:color w:val="auto"/>
          <w:sz w:val="24"/>
          <w:szCs w:val="24"/>
          <w:highlight w:val="none"/>
        </w:rPr>
      </w:pPr>
    </w:p>
    <w:p w14:paraId="1AF303A7">
      <w:pPr>
        <w:jc w:val="center"/>
        <w:rPr>
          <w:rFonts w:hint="eastAsia" w:ascii="宋体" w:hAnsi="宋体" w:eastAsia="宋体" w:cs="宋体"/>
          <w:b/>
          <w:color w:val="auto"/>
          <w:sz w:val="72"/>
          <w:szCs w:val="21"/>
          <w:highlight w:val="none"/>
        </w:rPr>
      </w:pPr>
    </w:p>
    <w:p w14:paraId="6ECAEB50">
      <w:pPr>
        <w:jc w:val="center"/>
        <w:outlineLvl w:val="0"/>
        <w:rPr>
          <w:rFonts w:hint="eastAsia" w:ascii="宋体" w:hAnsi="宋体" w:eastAsia="宋体" w:cs="宋体"/>
          <w:b/>
          <w:color w:val="auto"/>
          <w:sz w:val="72"/>
          <w:szCs w:val="21"/>
          <w:highlight w:val="none"/>
        </w:rPr>
      </w:pPr>
      <w:bookmarkStart w:id="108" w:name="_Toc13361"/>
      <w:r>
        <w:rPr>
          <w:rFonts w:hint="eastAsia" w:ascii="宋体" w:hAnsi="宋体" w:eastAsia="宋体" w:cs="宋体"/>
          <w:b/>
          <w:color w:val="auto"/>
          <w:sz w:val="72"/>
          <w:szCs w:val="21"/>
          <w:highlight w:val="none"/>
        </w:rPr>
        <w:t>投标文件</w:t>
      </w:r>
      <w:bookmarkEnd w:id="108"/>
    </w:p>
    <w:p w14:paraId="7CD8167A">
      <w:pPr>
        <w:jc w:val="center"/>
        <w:rPr>
          <w:rFonts w:hint="eastAsia" w:ascii="宋体" w:hAnsi="宋体" w:eastAsia="宋体" w:cs="宋体"/>
          <w:b/>
          <w:color w:val="auto"/>
          <w:sz w:val="72"/>
          <w:szCs w:val="21"/>
          <w:highlight w:val="none"/>
        </w:rPr>
      </w:pPr>
    </w:p>
    <w:p w14:paraId="15545670">
      <w:pPr>
        <w:jc w:val="center"/>
        <w:rPr>
          <w:rFonts w:hint="eastAsia" w:ascii="宋体" w:hAnsi="宋体" w:eastAsia="宋体" w:cs="宋体"/>
          <w:b/>
          <w:color w:val="auto"/>
          <w:sz w:val="72"/>
          <w:szCs w:val="21"/>
          <w:highlight w:val="none"/>
        </w:rPr>
      </w:pPr>
    </w:p>
    <w:p w14:paraId="50565F33">
      <w:pPr>
        <w:jc w:val="center"/>
        <w:rPr>
          <w:rFonts w:hint="eastAsia" w:ascii="宋体" w:hAnsi="宋体" w:eastAsia="宋体" w:cs="宋体"/>
          <w:b/>
          <w:color w:val="auto"/>
          <w:sz w:val="36"/>
          <w:szCs w:val="21"/>
          <w:highlight w:val="none"/>
        </w:rPr>
      </w:pPr>
    </w:p>
    <w:p w14:paraId="0FD896DF">
      <w:pPr>
        <w:jc w:val="center"/>
        <w:rPr>
          <w:rFonts w:hint="eastAsia" w:ascii="宋体" w:hAnsi="宋体" w:eastAsia="宋体" w:cs="宋体"/>
          <w:b/>
          <w:color w:val="auto"/>
          <w:sz w:val="36"/>
          <w:szCs w:val="21"/>
          <w:highlight w:val="none"/>
        </w:rPr>
      </w:pPr>
    </w:p>
    <w:p w14:paraId="6E3A13E0">
      <w:pPr>
        <w:jc w:val="center"/>
        <w:rPr>
          <w:rFonts w:hint="eastAsia" w:ascii="宋体" w:hAnsi="宋体" w:eastAsia="宋体" w:cs="宋体"/>
          <w:b/>
          <w:color w:val="auto"/>
          <w:sz w:val="36"/>
          <w:szCs w:val="21"/>
          <w:highlight w:val="none"/>
        </w:rPr>
      </w:pPr>
    </w:p>
    <w:p w14:paraId="74DDFA59">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项目名称：</w:t>
      </w:r>
    </w:p>
    <w:p w14:paraId="3748304F">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项目编号：</w:t>
      </w:r>
    </w:p>
    <w:p w14:paraId="02B3FDA6">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投标人名称：</w:t>
      </w:r>
      <w:r>
        <w:rPr>
          <w:rFonts w:hint="eastAsia" w:ascii="宋体" w:hAnsi="宋体" w:eastAsia="宋体" w:cs="宋体"/>
          <w:b/>
          <w:color w:val="auto"/>
          <w:sz w:val="36"/>
          <w:szCs w:val="21"/>
          <w:highlight w:val="none"/>
          <w:u w:val="single"/>
        </w:rPr>
        <w:t>（加盖CA电子公章）</w:t>
      </w:r>
    </w:p>
    <w:p w14:paraId="225E394F">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日期：</w:t>
      </w:r>
    </w:p>
    <w:p w14:paraId="0F8453AB">
      <w:pPr>
        <w:spacing w:line="440" w:lineRule="exact"/>
        <w:jc w:val="center"/>
        <w:rPr>
          <w:rFonts w:hint="eastAsia" w:ascii="宋体" w:hAnsi="宋体" w:eastAsia="宋体" w:cs="宋体"/>
          <w:b/>
          <w:bCs/>
          <w:color w:val="auto"/>
          <w:sz w:val="32"/>
          <w:szCs w:val="32"/>
          <w:highlight w:val="none"/>
        </w:rPr>
      </w:pPr>
    </w:p>
    <w:p w14:paraId="23996B6A">
      <w:pPr>
        <w:spacing w:line="440" w:lineRule="exact"/>
        <w:rPr>
          <w:rFonts w:hint="eastAsia" w:ascii="宋体" w:hAnsi="宋体" w:eastAsia="宋体" w:cs="宋体"/>
          <w:color w:val="auto"/>
          <w:szCs w:val="21"/>
          <w:highlight w:val="none"/>
        </w:rPr>
      </w:pPr>
    </w:p>
    <w:p w14:paraId="15FEEF84">
      <w:pPr>
        <w:spacing w:line="500" w:lineRule="exact"/>
        <w:jc w:val="left"/>
        <w:rPr>
          <w:rFonts w:hint="eastAsia" w:ascii="宋体" w:hAnsi="宋体" w:eastAsia="宋体" w:cs="宋体"/>
          <w:color w:val="auto"/>
          <w:sz w:val="24"/>
          <w:szCs w:val="24"/>
          <w:highlight w:val="none"/>
        </w:rPr>
      </w:pPr>
    </w:p>
    <w:p w14:paraId="73605283">
      <w:pPr>
        <w:spacing w:line="500" w:lineRule="exact"/>
        <w:jc w:val="left"/>
        <w:rPr>
          <w:rFonts w:hint="eastAsia" w:ascii="宋体" w:hAnsi="宋体" w:eastAsia="宋体" w:cs="宋体"/>
          <w:color w:val="auto"/>
          <w:sz w:val="24"/>
          <w:szCs w:val="24"/>
          <w:highlight w:val="none"/>
        </w:rPr>
      </w:pPr>
    </w:p>
    <w:p w14:paraId="7CF27CA3">
      <w:pPr>
        <w:spacing w:line="500" w:lineRule="exact"/>
        <w:jc w:val="left"/>
        <w:rPr>
          <w:rFonts w:hint="eastAsia" w:ascii="宋体" w:hAnsi="宋体" w:eastAsia="宋体" w:cs="宋体"/>
          <w:color w:val="auto"/>
          <w:sz w:val="24"/>
          <w:szCs w:val="24"/>
          <w:highlight w:val="none"/>
        </w:rPr>
      </w:pPr>
    </w:p>
    <w:p w14:paraId="1260A59A">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68FA694F">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09" w:name="_Toc22999"/>
      <w:r>
        <w:rPr>
          <w:rFonts w:hint="eastAsia" w:ascii="宋体" w:hAnsi="宋体" w:eastAsia="宋体" w:cs="宋体"/>
          <w:i/>
          <w:color w:val="auto"/>
          <w:sz w:val="30"/>
          <w:szCs w:val="30"/>
          <w:highlight w:val="none"/>
          <w:u w:val="single"/>
        </w:rPr>
        <w:t>一、法人或者其他组织的营业执照等证明文件，自然人的身份证明</w:t>
      </w:r>
      <w:bookmarkEnd w:id="109"/>
    </w:p>
    <w:p w14:paraId="384C1B5C">
      <w:pPr>
        <w:rPr>
          <w:rFonts w:hint="eastAsia" w:ascii="宋体" w:hAnsi="宋体" w:eastAsia="宋体" w:cs="宋体"/>
          <w:color w:val="auto"/>
          <w:sz w:val="30"/>
          <w:szCs w:val="30"/>
          <w:highlight w:val="none"/>
        </w:rPr>
      </w:pPr>
    </w:p>
    <w:p w14:paraId="170B6315">
      <w:pPr>
        <w:rPr>
          <w:rFonts w:hint="eastAsia" w:ascii="宋体" w:hAnsi="宋体" w:eastAsia="宋体" w:cs="宋体"/>
          <w:color w:val="auto"/>
          <w:sz w:val="30"/>
          <w:szCs w:val="30"/>
          <w:highlight w:val="none"/>
        </w:rPr>
      </w:pPr>
    </w:p>
    <w:p w14:paraId="48CBF72D">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10" w:name="_Toc12614"/>
      <w:r>
        <w:rPr>
          <w:rFonts w:hint="eastAsia" w:ascii="宋体" w:hAnsi="宋体" w:eastAsia="宋体" w:cs="宋体"/>
          <w:i/>
          <w:color w:val="auto"/>
          <w:sz w:val="30"/>
          <w:szCs w:val="30"/>
          <w:highlight w:val="none"/>
          <w:u w:val="single"/>
        </w:rPr>
        <w:t>二、2024或2025年度的财务状况报告</w:t>
      </w:r>
      <w:bookmarkEnd w:id="110"/>
    </w:p>
    <w:p w14:paraId="26561DF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（成立不满一年无需提供）</w:t>
      </w:r>
    </w:p>
    <w:p w14:paraId="003534C1">
      <w:pPr>
        <w:rPr>
          <w:rFonts w:hint="eastAsia" w:ascii="宋体" w:hAnsi="宋体" w:eastAsia="宋体" w:cs="宋体"/>
          <w:color w:val="auto"/>
          <w:highlight w:val="none"/>
        </w:rPr>
      </w:pPr>
    </w:p>
    <w:p w14:paraId="5DCFA4F2">
      <w:pPr>
        <w:rPr>
          <w:rFonts w:hint="eastAsia" w:ascii="宋体" w:hAnsi="宋体" w:eastAsia="宋体" w:cs="宋体"/>
          <w:color w:val="auto"/>
          <w:highlight w:val="none"/>
        </w:rPr>
      </w:pPr>
    </w:p>
    <w:p w14:paraId="2799CFCA">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11" w:name="_Toc12291"/>
      <w:r>
        <w:rPr>
          <w:rFonts w:hint="eastAsia" w:ascii="宋体" w:hAnsi="宋体" w:eastAsia="宋体" w:cs="宋体"/>
          <w:i/>
          <w:color w:val="auto"/>
          <w:sz w:val="30"/>
          <w:szCs w:val="30"/>
          <w:highlight w:val="none"/>
          <w:u w:val="single"/>
        </w:rPr>
        <w:t>三、依法缴纳税收和社会保障资金的相关材料</w:t>
      </w:r>
      <w:bookmarkEnd w:id="111"/>
    </w:p>
    <w:p w14:paraId="11685C5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（提供提交投标文件截止时间前一年内至少一个月依法缴纳税收及缴纳社会保障资金的证明材料，投标人依法享受缓缴、免缴税收、社会保障资金的提供证明材料）</w:t>
      </w:r>
    </w:p>
    <w:p w14:paraId="5A6D54E3">
      <w:pPr>
        <w:rPr>
          <w:rFonts w:hint="eastAsia" w:ascii="宋体" w:hAnsi="宋体" w:eastAsia="宋体" w:cs="宋体"/>
          <w:color w:val="auto"/>
          <w:highlight w:val="none"/>
        </w:rPr>
      </w:pPr>
    </w:p>
    <w:p w14:paraId="6DC338B1">
      <w:pPr>
        <w:rPr>
          <w:rFonts w:hint="eastAsia" w:ascii="宋体" w:hAnsi="宋体" w:eastAsia="宋体" w:cs="宋体"/>
          <w:color w:val="auto"/>
          <w:highlight w:val="none"/>
        </w:rPr>
      </w:pPr>
    </w:p>
    <w:p w14:paraId="256EAE6D">
      <w:pPr>
        <w:spacing w:line="360" w:lineRule="auto"/>
        <w:jc w:val="center"/>
        <w:rPr>
          <w:rFonts w:hint="eastAsia" w:ascii="宋体" w:hAnsi="宋体" w:eastAsia="宋体" w:cs="宋体"/>
          <w:bCs/>
          <w:color w:val="auto"/>
          <w:sz w:val="36"/>
          <w:szCs w:val="28"/>
          <w:highlight w:val="none"/>
        </w:rPr>
      </w:pPr>
    </w:p>
    <w:p w14:paraId="2EF6C27C">
      <w:pPr>
        <w:spacing w:line="360" w:lineRule="auto"/>
        <w:jc w:val="center"/>
        <w:rPr>
          <w:rFonts w:hint="eastAsia" w:ascii="宋体" w:hAnsi="宋体" w:eastAsia="宋体" w:cs="宋体"/>
          <w:bCs/>
          <w:color w:val="auto"/>
          <w:sz w:val="36"/>
          <w:szCs w:val="28"/>
          <w:highlight w:val="none"/>
        </w:rPr>
      </w:pPr>
    </w:p>
    <w:p w14:paraId="16223250">
      <w:pPr>
        <w:spacing w:line="360" w:lineRule="auto"/>
        <w:jc w:val="center"/>
        <w:rPr>
          <w:rFonts w:hint="eastAsia" w:ascii="宋体" w:hAnsi="宋体" w:eastAsia="宋体" w:cs="宋体"/>
          <w:bCs/>
          <w:color w:val="auto"/>
          <w:sz w:val="36"/>
          <w:szCs w:val="28"/>
          <w:highlight w:val="none"/>
        </w:rPr>
      </w:pPr>
    </w:p>
    <w:p w14:paraId="6465883C">
      <w:pPr>
        <w:spacing w:line="360" w:lineRule="auto"/>
        <w:jc w:val="center"/>
        <w:rPr>
          <w:rFonts w:hint="eastAsia" w:ascii="宋体" w:hAnsi="宋体" w:eastAsia="宋体" w:cs="宋体"/>
          <w:bCs/>
          <w:color w:val="auto"/>
          <w:sz w:val="36"/>
          <w:szCs w:val="28"/>
          <w:highlight w:val="none"/>
        </w:rPr>
      </w:pPr>
    </w:p>
    <w:p w14:paraId="4FD3FE16">
      <w:pPr>
        <w:spacing w:line="360" w:lineRule="auto"/>
        <w:jc w:val="center"/>
        <w:rPr>
          <w:rFonts w:hint="eastAsia" w:ascii="宋体" w:hAnsi="宋体" w:eastAsia="宋体" w:cs="宋体"/>
          <w:bCs/>
          <w:color w:val="auto"/>
          <w:sz w:val="36"/>
          <w:szCs w:val="28"/>
          <w:highlight w:val="none"/>
        </w:rPr>
      </w:pPr>
    </w:p>
    <w:p w14:paraId="65075442">
      <w:pPr>
        <w:spacing w:line="360" w:lineRule="auto"/>
        <w:jc w:val="center"/>
        <w:rPr>
          <w:rFonts w:hint="eastAsia" w:ascii="宋体" w:hAnsi="宋体" w:eastAsia="宋体" w:cs="宋体"/>
          <w:bCs/>
          <w:color w:val="auto"/>
          <w:sz w:val="36"/>
          <w:szCs w:val="28"/>
          <w:highlight w:val="none"/>
        </w:rPr>
      </w:pPr>
    </w:p>
    <w:p w14:paraId="2E67D43A">
      <w:pPr>
        <w:spacing w:line="360" w:lineRule="auto"/>
        <w:jc w:val="center"/>
        <w:rPr>
          <w:rFonts w:hint="eastAsia" w:ascii="宋体" w:hAnsi="宋体" w:eastAsia="宋体" w:cs="宋体"/>
          <w:bCs/>
          <w:color w:val="auto"/>
          <w:sz w:val="36"/>
          <w:szCs w:val="28"/>
          <w:highlight w:val="none"/>
        </w:rPr>
      </w:pPr>
    </w:p>
    <w:p w14:paraId="6824208C">
      <w:pPr>
        <w:spacing w:line="360" w:lineRule="auto"/>
        <w:jc w:val="center"/>
        <w:rPr>
          <w:rFonts w:hint="eastAsia" w:ascii="宋体" w:hAnsi="宋体" w:eastAsia="宋体" w:cs="宋体"/>
          <w:bCs/>
          <w:color w:val="auto"/>
          <w:sz w:val="36"/>
          <w:szCs w:val="28"/>
          <w:highlight w:val="none"/>
        </w:rPr>
      </w:pPr>
    </w:p>
    <w:p w14:paraId="3E8B0664">
      <w:pPr>
        <w:spacing w:line="360" w:lineRule="auto"/>
        <w:jc w:val="center"/>
        <w:rPr>
          <w:rFonts w:hint="eastAsia" w:ascii="宋体" w:hAnsi="宋体" w:eastAsia="宋体" w:cs="宋体"/>
          <w:bCs/>
          <w:color w:val="auto"/>
          <w:sz w:val="36"/>
          <w:szCs w:val="28"/>
          <w:highlight w:val="none"/>
        </w:rPr>
      </w:pPr>
    </w:p>
    <w:p w14:paraId="4F0FDAA6">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财务状况报告及税收、社会保障资金缴纳情况承诺函</w:t>
      </w:r>
    </w:p>
    <w:p w14:paraId="3AF9E3D9">
      <w:pPr>
        <w:jc w:val="left"/>
        <w:rPr>
          <w:rFonts w:hint="eastAsia" w:ascii="宋体" w:hAnsi="宋体" w:eastAsia="宋体" w:cs="宋体"/>
          <w:color w:val="auto"/>
          <w:szCs w:val="24"/>
          <w:highlight w:val="none"/>
        </w:rPr>
      </w:pPr>
    </w:p>
    <w:p w14:paraId="094FA9FE">
      <w:pPr>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i/>
          <w:color w:val="auto"/>
          <w:sz w:val="24"/>
          <w:szCs w:val="24"/>
          <w:highlight w:val="none"/>
          <w:u w:val="single"/>
        </w:rPr>
        <w:t>采购人名称</w:t>
      </w:r>
    </w:p>
    <w:p w14:paraId="329C5AC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w:t>
      </w:r>
      <w:r>
        <w:rPr>
          <w:rFonts w:hint="eastAsia" w:ascii="宋体" w:hAnsi="宋体" w:eastAsia="宋体" w:cs="宋体"/>
          <w:i/>
          <w:color w:val="auto"/>
          <w:sz w:val="24"/>
          <w:szCs w:val="24"/>
          <w:highlight w:val="none"/>
          <w:u w:val="single"/>
        </w:rPr>
        <w:t>投标人名称</w:t>
      </w:r>
      <w:r>
        <w:rPr>
          <w:rFonts w:hint="eastAsia" w:ascii="宋体" w:hAnsi="宋体" w:eastAsia="宋体" w:cs="宋体"/>
          <w:color w:val="auto"/>
          <w:sz w:val="24"/>
          <w:szCs w:val="24"/>
          <w:highlight w:val="none"/>
        </w:rPr>
        <w:t>参加</w:t>
      </w:r>
      <w:r>
        <w:rPr>
          <w:rFonts w:hint="eastAsia" w:ascii="宋体" w:hAnsi="宋体" w:eastAsia="宋体" w:cs="宋体"/>
          <w:i/>
          <w:color w:val="auto"/>
          <w:sz w:val="24"/>
          <w:szCs w:val="24"/>
          <w:highlight w:val="none"/>
          <w:u w:val="single"/>
        </w:rPr>
        <w:t>项目名称</w:t>
      </w:r>
      <w:r>
        <w:rPr>
          <w:rFonts w:hint="eastAsia" w:ascii="宋体" w:hAnsi="宋体" w:eastAsia="宋体" w:cs="宋体"/>
          <w:color w:val="auto"/>
          <w:sz w:val="24"/>
          <w:szCs w:val="24"/>
          <w:highlight w:val="none"/>
        </w:rPr>
        <w:t>（项目编号：</w:t>
      </w:r>
      <w:r>
        <w:rPr>
          <w:rFonts w:hint="eastAsia" w:ascii="宋体" w:hAnsi="宋体" w:eastAsia="宋体" w:cs="宋体"/>
          <w:i/>
          <w:color w:val="auto"/>
          <w:sz w:val="24"/>
          <w:szCs w:val="24"/>
          <w:highlight w:val="none"/>
          <w:u w:val="single"/>
        </w:rPr>
        <w:t>项目编号</w:t>
      </w:r>
      <w:r>
        <w:rPr>
          <w:rFonts w:hint="eastAsia" w:ascii="宋体" w:hAnsi="宋体" w:eastAsia="宋体" w:cs="宋体"/>
          <w:color w:val="auto"/>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12535F2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（1）具有良好的商业信誉和健全的财务会计制度（财务状况报告）；</w:t>
      </w:r>
    </w:p>
    <w:p w14:paraId="184AC63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（2）有依法缴纳税收和社会保障资金的良好记录。</w:t>
      </w:r>
    </w:p>
    <w:p w14:paraId="778B603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2865687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292FB9AA">
      <w:pPr>
        <w:spacing w:line="500" w:lineRule="exact"/>
        <w:ind w:firstLine="480"/>
        <w:jc w:val="left"/>
        <w:rPr>
          <w:rFonts w:hint="eastAsia" w:ascii="宋体" w:hAnsi="宋体" w:eastAsia="宋体" w:cs="宋体"/>
          <w:color w:val="auto"/>
          <w:sz w:val="24"/>
          <w:szCs w:val="24"/>
          <w:highlight w:val="none"/>
        </w:rPr>
      </w:pPr>
    </w:p>
    <w:p w14:paraId="0A63AC3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投标人（公章）：</w:t>
      </w:r>
    </w:p>
    <w:p w14:paraId="55F746E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法定代表人（单位负责人）或委托代理人（签名或签章）：</w:t>
      </w:r>
    </w:p>
    <w:p w14:paraId="712B8E9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14:paraId="2C1483C7">
      <w:pPr>
        <w:rPr>
          <w:rFonts w:hint="eastAsia" w:ascii="宋体" w:hAnsi="宋体" w:eastAsia="宋体" w:cs="宋体"/>
          <w:color w:val="auto"/>
          <w:highlight w:val="none"/>
        </w:rPr>
      </w:pPr>
    </w:p>
    <w:p w14:paraId="3AB499CF">
      <w:pPr>
        <w:rPr>
          <w:rFonts w:hint="eastAsia" w:ascii="宋体" w:hAnsi="宋体" w:eastAsia="宋体" w:cs="宋体"/>
          <w:color w:val="auto"/>
          <w:highlight w:val="none"/>
        </w:rPr>
      </w:pPr>
    </w:p>
    <w:p w14:paraId="7BF6F489">
      <w:pPr>
        <w:rPr>
          <w:rFonts w:hint="eastAsia" w:ascii="宋体" w:hAnsi="宋体" w:eastAsia="宋体" w:cs="宋体"/>
          <w:color w:val="auto"/>
          <w:highlight w:val="none"/>
        </w:rPr>
      </w:pPr>
    </w:p>
    <w:p w14:paraId="175CAA50">
      <w:pPr>
        <w:rPr>
          <w:rFonts w:hint="eastAsia" w:ascii="宋体" w:hAnsi="宋体" w:eastAsia="宋体" w:cs="宋体"/>
          <w:color w:val="auto"/>
          <w:highlight w:val="none"/>
        </w:rPr>
      </w:pPr>
    </w:p>
    <w:p w14:paraId="36685063">
      <w:pPr>
        <w:rPr>
          <w:rFonts w:hint="eastAsia" w:ascii="宋体" w:hAnsi="宋体" w:eastAsia="宋体" w:cs="宋体"/>
          <w:color w:val="auto"/>
          <w:highlight w:val="none"/>
        </w:rPr>
      </w:pPr>
    </w:p>
    <w:p w14:paraId="587BB742">
      <w:pPr>
        <w:rPr>
          <w:rFonts w:hint="eastAsia" w:ascii="宋体" w:hAnsi="宋体" w:eastAsia="宋体" w:cs="宋体"/>
          <w:color w:val="auto"/>
          <w:highlight w:val="none"/>
        </w:rPr>
      </w:pPr>
    </w:p>
    <w:p w14:paraId="21BC542F">
      <w:pPr>
        <w:rPr>
          <w:rFonts w:hint="eastAsia" w:ascii="宋体" w:hAnsi="宋体" w:eastAsia="宋体" w:cs="宋体"/>
          <w:color w:val="auto"/>
          <w:highlight w:val="none"/>
        </w:rPr>
      </w:pPr>
    </w:p>
    <w:p w14:paraId="0D174318">
      <w:pPr>
        <w:rPr>
          <w:rFonts w:hint="eastAsia" w:ascii="宋体" w:hAnsi="宋体" w:eastAsia="宋体" w:cs="宋体"/>
          <w:color w:val="auto"/>
          <w:highlight w:val="none"/>
        </w:rPr>
      </w:pPr>
    </w:p>
    <w:p w14:paraId="3BDEC1ED">
      <w:pPr>
        <w:rPr>
          <w:rFonts w:hint="eastAsia" w:ascii="宋体" w:hAnsi="宋体" w:eastAsia="宋体" w:cs="宋体"/>
          <w:color w:val="auto"/>
          <w:highlight w:val="none"/>
        </w:rPr>
      </w:pPr>
    </w:p>
    <w:p w14:paraId="7A86C76E">
      <w:pPr>
        <w:rPr>
          <w:rFonts w:hint="eastAsia" w:ascii="宋体" w:hAnsi="宋体" w:eastAsia="宋体" w:cs="宋体"/>
          <w:color w:val="auto"/>
          <w:highlight w:val="none"/>
        </w:rPr>
      </w:pPr>
    </w:p>
    <w:p w14:paraId="45ABBACE">
      <w:pPr>
        <w:rPr>
          <w:rFonts w:hint="eastAsia" w:ascii="宋体" w:hAnsi="宋体" w:eastAsia="宋体" w:cs="宋体"/>
          <w:color w:val="auto"/>
          <w:highlight w:val="none"/>
        </w:rPr>
      </w:pPr>
    </w:p>
    <w:p w14:paraId="1204DE92">
      <w:pPr>
        <w:rPr>
          <w:rFonts w:hint="eastAsia" w:ascii="宋体" w:hAnsi="宋体" w:eastAsia="宋体" w:cs="宋体"/>
          <w:color w:val="auto"/>
          <w:highlight w:val="none"/>
        </w:rPr>
      </w:pPr>
    </w:p>
    <w:p w14:paraId="127E983F">
      <w:pPr>
        <w:rPr>
          <w:rFonts w:hint="eastAsia" w:ascii="宋体" w:hAnsi="宋体" w:eastAsia="宋体" w:cs="宋体"/>
          <w:color w:val="auto"/>
          <w:highlight w:val="none"/>
        </w:rPr>
      </w:pPr>
    </w:p>
    <w:p w14:paraId="13EC3C11">
      <w:pPr>
        <w:rPr>
          <w:rFonts w:hint="eastAsia" w:ascii="宋体" w:hAnsi="宋体" w:eastAsia="宋体" w:cs="宋体"/>
          <w:color w:val="auto"/>
          <w:highlight w:val="none"/>
        </w:rPr>
      </w:pPr>
    </w:p>
    <w:p w14:paraId="592CD82B">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12" w:name="_Toc18972"/>
      <w:r>
        <w:rPr>
          <w:rFonts w:hint="eastAsia" w:ascii="宋体" w:hAnsi="宋体" w:eastAsia="宋体" w:cs="宋体"/>
          <w:i/>
          <w:color w:val="auto"/>
          <w:sz w:val="30"/>
          <w:szCs w:val="30"/>
          <w:highlight w:val="none"/>
          <w:u w:val="single"/>
        </w:rPr>
        <w:t>四、具备履行合同所必需的设备和专业技术能力的声明及证明材料</w:t>
      </w:r>
      <w:bookmarkEnd w:id="112"/>
    </w:p>
    <w:p w14:paraId="06867349">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具备履行合同所必需的设备和专业技术能力的声明及证明材料</w:t>
      </w:r>
    </w:p>
    <w:p w14:paraId="61F932C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我单位郑重声明：我单位具备履行本项采购合同所必需的设备和专业技术能力，为履行本项采购合同我公司具备如下主要设备和主要专业技术能力：</w:t>
      </w:r>
    </w:p>
    <w:p w14:paraId="38C34BE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主要设备有：（须附证明材料）</w:t>
      </w:r>
    </w:p>
    <w:p w14:paraId="5FE0FC57">
      <w:pPr>
        <w:jc w:val="left"/>
        <w:rPr>
          <w:rFonts w:hint="eastAsia" w:ascii="宋体" w:hAnsi="宋体" w:eastAsia="宋体" w:cs="宋体"/>
          <w:color w:val="auto"/>
          <w:sz w:val="24"/>
          <w:szCs w:val="24"/>
          <w:highlight w:val="none"/>
        </w:rPr>
      </w:pPr>
    </w:p>
    <w:p w14:paraId="642D251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主要专业技术能力有：（须附证明材料）</w:t>
      </w:r>
    </w:p>
    <w:p w14:paraId="579D7734">
      <w:pPr>
        <w:spacing w:line="360" w:lineRule="auto"/>
        <w:ind w:firstLine="480"/>
        <w:rPr>
          <w:rFonts w:hint="eastAsia" w:ascii="宋体" w:hAnsi="宋体" w:eastAsia="宋体" w:cs="宋体"/>
          <w:color w:val="auto"/>
          <w:sz w:val="24"/>
          <w:szCs w:val="24"/>
          <w:highlight w:val="none"/>
        </w:rPr>
      </w:pPr>
    </w:p>
    <w:p w14:paraId="0BE7661E">
      <w:pPr>
        <w:spacing w:line="360" w:lineRule="auto"/>
        <w:ind w:firstLine="480"/>
        <w:rPr>
          <w:rFonts w:hint="eastAsia" w:ascii="宋体" w:hAnsi="宋体" w:eastAsia="宋体" w:cs="宋体"/>
          <w:color w:val="auto"/>
          <w:sz w:val="24"/>
          <w:szCs w:val="24"/>
          <w:highlight w:val="none"/>
        </w:rPr>
      </w:pPr>
    </w:p>
    <w:p w14:paraId="7239F89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6ACC71D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148FB2C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14:paraId="125C0470">
      <w:pPr>
        <w:jc w:val="left"/>
        <w:rPr>
          <w:rFonts w:hint="eastAsia" w:ascii="宋体" w:hAnsi="宋体" w:eastAsia="宋体" w:cs="宋体"/>
          <w:color w:val="auto"/>
          <w:szCs w:val="24"/>
          <w:highlight w:val="none"/>
        </w:rPr>
      </w:pPr>
    </w:p>
    <w:p w14:paraId="7AE5306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附主要设备和主要专业技术能力的证明材料如下：</w:t>
      </w:r>
    </w:p>
    <w:p w14:paraId="415B9436">
      <w:pPr>
        <w:spacing w:line="360" w:lineRule="auto"/>
        <w:jc w:val="left"/>
        <w:rPr>
          <w:rFonts w:hint="eastAsia" w:ascii="宋体" w:hAnsi="宋体" w:eastAsia="宋体" w:cs="宋体"/>
          <w:color w:val="auto"/>
          <w:sz w:val="24"/>
          <w:szCs w:val="24"/>
          <w:highlight w:val="none"/>
        </w:rPr>
      </w:pPr>
    </w:p>
    <w:p w14:paraId="466947BE">
      <w:pPr>
        <w:spacing w:line="360" w:lineRule="auto"/>
        <w:jc w:val="left"/>
        <w:rPr>
          <w:rFonts w:hint="eastAsia" w:ascii="宋体" w:hAnsi="宋体" w:eastAsia="宋体" w:cs="宋体"/>
          <w:color w:val="auto"/>
          <w:sz w:val="24"/>
          <w:szCs w:val="24"/>
          <w:highlight w:val="none"/>
        </w:rPr>
      </w:pPr>
    </w:p>
    <w:p w14:paraId="187E3D08">
      <w:pPr>
        <w:spacing w:line="360" w:lineRule="auto"/>
        <w:jc w:val="left"/>
        <w:rPr>
          <w:rFonts w:hint="eastAsia" w:ascii="宋体" w:hAnsi="宋体" w:eastAsia="宋体" w:cs="宋体"/>
          <w:color w:val="auto"/>
          <w:sz w:val="24"/>
          <w:szCs w:val="24"/>
          <w:highlight w:val="none"/>
        </w:rPr>
      </w:pPr>
    </w:p>
    <w:p w14:paraId="144B6AA3">
      <w:pPr>
        <w:spacing w:line="360" w:lineRule="auto"/>
        <w:jc w:val="left"/>
        <w:rPr>
          <w:rFonts w:hint="eastAsia" w:ascii="宋体" w:hAnsi="宋体" w:eastAsia="宋体" w:cs="宋体"/>
          <w:color w:val="auto"/>
          <w:sz w:val="24"/>
          <w:szCs w:val="24"/>
          <w:highlight w:val="none"/>
        </w:rPr>
      </w:pPr>
    </w:p>
    <w:p w14:paraId="5DC8AF24">
      <w:pPr>
        <w:spacing w:line="360" w:lineRule="auto"/>
        <w:jc w:val="left"/>
        <w:rPr>
          <w:rFonts w:hint="eastAsia" w:ascii="宋体" w:hAnsi="宋体" w:eastAsia="宋体" w:cs="宋体"/>
          <w:color w:val="auto"/>
          <w:sz w:val="24"/>
          <w:szCs w:val="24"/>
          <w:highlight w:val="none"/>
        </w:rPr>
      </w:pPr>
    </w:p>
    <w:p w14:paraId="3ED4A7E1">
      <w:pPr>
        <w:spacing w:line="360" w:lineRule="auto"/>
        <w:jc w:val="left"/>
        <w:rPr>
          <w:rFonts w:hint="eastAsia" w:ascii="宋体" w:hAnsi="宋体" w:eastAsia="宋体" w:cs="宋体"/>
          <w:color w:val="auto"/>
          <w:sz w:val="24"/>
          <w:szCs w:val="24"/>
          <w:highlight w:val="none"/>
        </w:rPr>
      </w:pPr>
    </w:p>
    <w:p w14:paraId="5847CDAA">
      <w:pPr>
        <w:spacing w:line="360" w:lineRule="auto"/>
        <w:jc w:val="left"/>
        <w:rPr>
          <w:rFonts w:hint="eastAsia" w:ascii="宋体" w:hAnsi="宋体" w:eastAsia="宋体" w:cs="宋体"/>
          <w:color w:val="auto"/>
          <w:sz w:val="24"/>
          <w:szCs w:val="24"/>
          <w:highlight w:val="none"/>
        </w:rPr>
      </w:pPr>
    </w:p>
    <w:p w14:paraId="6D81F369">
      <w:pPr>
        <w:spacing w:line="360" w:lineRule="auto"/>
        <w:jc w:val="left"/>
        <w:rPr>
          <w:rFonts w:hint="eastAsia" w:ascii="宋体" w:hAnsi="宋体" w:eastAsia="宋体" w:cs="宋体"/>
          <w:color w:val="auto"/>
          <w:sz w:val="24"/>
          <w:szCs w:val="24"/>
          <w:highlight w:val="none"/>
        </w:rPr>
      </w:pPr>
    </w:p>
    <w:p w14:paraId="77F98042">
      <w:pPr>
        <w:spacing w:line="360" w:lineRule="auto"/>
        <w:jc w:val="left"/>
        <w:rPr>
          <w:rFonts w:hint="eastAsia" w:ascii="宋体" w:hAnsi="宋体" w:eastAsia="宋体" w:cs="宋体"/>
          <w:color w:val="auto"/>
          <w:sz w:val="24"/>
          <w:szCs w:val="24"/>
          <w:highlight w:val="none"/>
        </w:rPr>
      </w:pPr>
    </w:p>
    <w:p w14:paraId="4B7E52D7">
      <w:pPr>
        <w:spacing w:line="360" w:lineRule="auto"/>
        <w:jc w:val="left"/>
        <w:rPr>
          <w:rFonts w:hint="eastAsia" w:ascii="宋体" w:hAnsi="宋体" w:eastAsia="宋体" w:cs="宋体"/>
          <w:color w:val="auto"/>
          <w:sz w:val="24"/>
          <w:szCs w:val="24"/>
          <w:highlight w:val="none"/>
        </w:rPr>
      </w:pPr>
    </w:p>
    <w:p w14:paraId="649F4E5D">
      <w:pPr>
        <w:spacing w:line="360" w:lineRule="auto"/>
        <w:jc w:val="left"/>
        <w:rPr>
          <w:rFonts w:hint="eastAsia" w:ascii="宋体" w:hAnsi="宋体" w:eastAsia="宋体" w:cs="宋体"/>
          <w:color w:val="auto"/>
          <w:sz w:val="24"/>
          <w:szCs w:val="24"/>
          <w:highlight w:val="none"/>
        </w:rPr>
      </w:pPr>
    </w:p>
    <w:p w14:paraId="0208EC3E">
      <w:pPr>
        <w:spacing w:line="360" w:lineRule="auto"/>
        <w:jc w:val="left"/>
        <w:rPr>
          <w:rFonts w:hint="eastAsia" w:ascii="宋体" w:hAnsi="宋体" w:eastAsia="宋体" w:cs="宋体"/>
          <w:color w:val="auto"/>
          <w:sz w:val="24"/>
          <w:szCs w:val="24"/>
          <w:highlight w:val="none"/>
        </w:rPr>
      </w:pPr>
    </w:p>
    <w:p w14:paraId="0509983B">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13" w:name="_Toc2193"/>
      <w:r>
        <w:rPr>
          <w:rFonts w:hint="eastAsia" w:ascii="宋体" w:hAnsi="宋体" w:eastAsia="宋体" w:cs="宋体"/>
          <w:i/>
          <w:color w:val="auto"/>
          <w:sz w:val="30"/>
          <w:szCs w:val="30"/>
          <w:highlight w:val="none"/>
          <w:u w:val="single"/>
        </w:rPr>
        <w:t>五、参加政府采购活动前3年内在经营活动中没有重大违法记录的书面声明</w:t>
      </w:r>
      <w:bookmarkEnd w:id="113"/>
    </w:p>
    <w:p w14:paraId="742A24D9">
      <w:pPr>
        <w:spacing w:line="460" w:lineRule="exact"/>
        <w:jc w:val="center"/>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声明</w:t>
      </w:r>
    </w:p>
    <w:p w14:paraId="1713D6F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5E8A7CE9">
      <w:pPr>
        <w:spacing w:line="500" w:lineRule="exact"/>
        <w:ind w:firstLine="480"/>
        <w:jc w:val="left"/>
        <w:rPr>
          <w:rFonts w:hint="eastAsia" w:ascii="宋体" w:hAnsi="宋体" w:eastAsia="宋体" w:cs="宋体"/>
          <w:color w:val="auto"/>
          <w:sz w:val="24"/>
          <w:szCs w:val="24"/>
          <w:highlight w:val="none"/>
        </w:rPr>
      </w:pPr>
    </w:p>
    <w:p w14:paraId="28192BB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6BD1680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77231B0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14:paraId="5244D0B5">
      <w:pPr>
        <w:rPr>
          <w:rFonts w:hint="eastAsia" w:ascii="宋体" w:hAnsi="宋体" w:eastAsia="宋体" w:cs="宋体"/>
          <w:color w:val="auto"/>
          <w:highlight w:val="none"/>
        </w:rPr>
      </w:pPr>
    </w:p>
    <w:p w14:paraId="6623617A">
      <w:pPr>
        <w:rPr>
          <w:rFonts w:hint="eastAsia" w:ascii="宋体" w:hAnsi="宋体" w:eastAsia="宋体" w:cs="宋体"/>
          <w:color w:val="auto"/>
          <w:highlight w:val="none"/>
        </w:rPr>
      </w:pPr>
    </w:p>
    <w:p w14:paraId="566CAA4D">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14" w:name="_Toc30692"/>
      <w:r>
        <w:rPr>
          <w:rFonts w:hint="eastAsia" w:ascii="宋体" w:hAnsi="宋体" w:eastAsia="宋体" w:cs="宋体"/>
          <w:i/>
          <w:color w:val="auto"/>
          <w:sz w:val="30"/>
          <w:szCs w:val="30"/>
          <w:highlight w:val="none"/>
          <w:u w:val="single"/>
        </w:rPr>
        <w:t>六、法律、行政法规规定的其他条件的证明文件</w:t>
      </w:r>
      <w:bookmarkEnd w:id="114"/>
    </w:p>
    <w:p w14:paraId="0D2167D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（如有，请按要求提供）</w:t>
      </w:r>
    </w:p>
    <w:p w14:paraId="27DDD61D">
      <w:pPr>
        <w:rPr>
          <w:rFonts w:hint="eastAsia" w:ascii="宋体" w:hAnsi="宋体" w:eastAsia="宋体" w:cs="宋体"/>
          <w:color w:val="auto"/>
          <w:highlight w:val="none"/>
        </w:rPr>
      </w:pPr>
    </w:p>
    <w:p w14:paraId="2005A242">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15" w:name="_Toc30472"/>
      <w:r>
        <w:rPr>
          <w:rFonts w:hint="eastAsia" w:ascii="宋体" w:hAnsi="宋体" w:eastAsia="宋体" w:cs="宋体"/>
          <w:i/>
          <w:color w:val="auto"/>
          <w:sz w:val="30"/>
          <w:szCs w:val="30"/>
          <w:highlight w:val="none"/>
          <w:u w:val="single"/>
        </w:rPr>
        <w:t>七、落实政府采购政策需满足的资格要求的证明文件</w:t>
      </w:r>
      <w:bookmarkEnd w:id="115"/>
    </w:p>
    <w:p w14:paraId="3E3231C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（如有，请按要求提供）</w:t>
      </w:r>
    </w:p>
    <w:p w14:paraId="6A66D053">
      <w:pPr>
        <w:rPr>
          <w:rFonts w:hint="eastAsia" w:ascii="宋体" w:hAnsi="宋体" w:eastAsia="宋体" w:cs="宋体"/>
          <w:color w:val="auto"/>
          <w:highlight w:val="none"/>
        </w:rPr>
      </w:pPr>
    </w:p>
    <w:p w14:paraId="668FFD1D">
      <w:pPr>
        <w:rPr>
          <w:rFonts w:hint="eastAsia" w:ascii="宋体" w:hAnsi="宋体" w:eastAsia="宋体" w:cs="宋体"/>
          <w:color w:val="auto"/>
          <w:highlight w:val="none"/>
        </w:rPr>
      </w:pPr>
    </w:p>
    <w:p w14:paraId="2D965457">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16" w:name="_Toc27322"/>
      <w:r>
        <w:rPr>
          <w:rFonts w:hint="eastAsia" w:ascii="宋体" w:hAnsi="宋体" w:eastAsia="宋体" w:cs="宋体"/>
          <w:i/>
          <w:color w:val="auto"/>
          <w:sz w:val="30"/>
          <w:szCs w:val="30"/>
          <w:highlight w:val="none"/>
          <w:u w:val="single"/>
        </w:rPr>
        <w:t>八、特定资格要求的证明文件</w:t>
      </w:r>
      <w:bookmarkEnd w:id="116"/>
    </w:p>
    <w:p w14:paraId="3E60C5D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（如有，请按要求提供）</w:t>
      </w:r>
    </w:p>
    <w:p w14:paraId="0484032F">
      <w:pPr>
        <w:rPr>
          <w:rFonts w:hint="eastAsia" w:ascii="宋体" w:hAnsi="宋体" w:eastAsia="宋体" w:cs="宋体"/>
          <w:color w:val="auto"/>
          <w:highlight w:val="none"/>
        </w:rPr>
      </w:pPr>
    </w:p>
    <w:p w14:paraId="741AF109">
      <w:pPr>
        <w:rPr>
          <w:rFonts w:hint="eastAsia" w:ascii="宋体" w:hAnsi="宋体" w:eastAsia="宋体" w:cs="宋体"/>
          <w:color w:val="auto"/>
          <w:highlight w:val="none"/>
        </w:rPr>
      </w:pPr>
    </w:p>
    <w:p w14:paraId="1D7EA5B0">
      <w:pPr>
        <w:rPr>
          <w:rFonts w:hint="eastAsia" w:ascii="宋体" w:hAnsi="宋体" w:eastAsia="宋体" w:cs="宋体"/>
          <w:color w:val="auto"/>
          <w:highlight w:val="none"/>
        </w:rPr>
      </w:pPr>
    </w:p>
    <w:p w14:paraId="11EABBD4">
      <w:pPr>
        <w:rPr>
          <w:rFonts w:hint="eastAsia" w:ascii="宋体" w:hAnsi="宋体" w:eastAsia="宋体" w:cs="宋体"/>
          <w:color w:val="auto"/>
          <w:highlight w:val="none"/>
        </w:rPr>
      </w:pPr>
    </w:p>
    <w:p w14:paraId="043313E9">
      <w:pPr>
        <w:rPr>
          <w:rFonts w:hint="eastAsia" w:ascii="宋体" w:hAnsi="宋体" w:eastAsia="宋体" w:cs="宋体"/>
          <w:color w:val="auto"/>
          <w:highlight w:val="none"/>
        </w:rPr>
      </w:pPr>
    </w:p>
    <w:p w14:paraId="4DD7B005">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17" w:name="_Toc29434"/>
      <w:r>
        <w:rPr>
          <w:rFonts w:hint="eastAsia" w:ascii="宋体" w:hAnsi="宋体" w:eastAsia="宋体" w:cs="宋体"/>
          <w:i/>
          <w:color w:val="auto"/>
          <w:sz w:val="30"/>
          <w:szCs w:val="30"/>
          <w:highlight w:val="none"/>
          <w:u w:val="single"/>
        </w:rPr>
        <w:t>九、授权委托书与法定代表人（单位负责人）身份证明</w:t>
      </w:r>
      <w:bookmarkEnd w:id="117"/>
    </w:p>
    <w:p w14:paraId="39384C97">
      <w:pPr>
        <w:pStyle w:val="19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本授权书声明：____________（投标人名称）授权________________（被授权人的姓名）为我方就JSZC-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号项目采购活动的合法代理人，以本单位名义全权处理一切与该项目采购有关的事务。</w:t>
      </w:r>
    </w:p>
    <w:p w14:paraId="5CE43070">
      <w:pPr>
        <w:pStyle w:val="19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14:paraId="05FF4F79">
      <w:pPr>
        <w:pStyle w:val="194"/>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p>
    <w:p w14:paraId="5488D5AC">
      <w:pPr>
        <w:pStyle w:val="194"/>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p>
    <w:p w14:paraId="43C8517E">
      <w:pPr>
        <w:pStyle w:val="194"/>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14:paraId="1797B41A">
      <w:pPr>
        <w:pStyle w:val="194"/>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p>
    <w:p w14:paraId="5D924AA9">
      <w:pPr>
        <w:pStyle w:val="19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118" w:name="_Hlt26955070"/>
      <w:bookmarkEnd w:id="118"/>
      <w:bookmarkStart w:id="119" w:name="_Hlt26671380"/>
      <w:bookmarkEnd w:id="119"/>
      <w:bookmarkStart w:id="120" w:name="_格式3__银行出具的资信证明"/>
      <w:bookmarkEnd w:id="120"/>
      <w:r>
        <w:rPr>
          <w:rFonts w:hint="eastAsia" w:ascii="宋体" w:hAnsi="宋体" w:eastAsia="宋体" w:cs="宋体"/>
          <w:color w:val="auto"/>
          <w:sz w:val="24"/>
          <w:szCs w:val="24"/>
          <w:highlight w:val="none"/>
          <w:u w:val="single"/>
        </w:rPr>
        <w:t xml:space="preserve">                                         </w:t>
      </w:r>
    </w:p>
    <w:p w14:paraId="7B00F135">
      <w:pPr>
        <w:tabs>
          <w:tab w:val="left" w:pos="5580"/>
        </w:tabs>
        <w:spacing w:line="360" w:lineRule="auto"/>
        <w:ind w:firstLine="480"/>
        <w:jc w:val="left"/>
        <w:rPr>
          <w:rFonts w:hint="eastAsia" w:ascii="宋体" w:hAnsi="宋体" w:eastAsia="宋体" w:cs="宋体"/>
          <w:color w:val="auto"/>
          <w:sz w:val="24"/>
          <w:szCs w:val="24"/>
          <w:highlight w:val="none"/>
        </w:rPr>
      </w:pPr>
    </w:p>
    <w:p w14:paraId="2676C78D">
      <w:pPr>
        <w:rPr>
          <w:rFonts w:hint="eastAsia" w:ascii="宋体" w:hAnsi="宋体" w:eastAsia="宋体" w:cs="宋体"/>
          <w:color w:val="auto"/>
          <w:highlight w:val="none"/>
        </w:rPr>
      </w:pPr>
    </w:p>
    <w:p w14:paraId="6F7B52EF">
      <w:pPr>
        <w:rPr>
          <w:rFonts w:hint="eastAsia" w:ascii="宋体" w:hAnsi="宋体" w:eastAsia="宋体" w:cs="宋体"/>
          <w:color w:val="auto"/>
          <w:highlight w:val="none"/>
        </w:rPr>
      </w:pPr>
    </w:p>
    <w:p w14:paraId="4DC267F8">
      <w:pPr>
        <w:spacing w:line="36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法定代表人（单位负责人）身份证明</w:t>
      </w:r>
    </w:p>
    <w:p w14:paraId="0A5A58FF">
      <w:pPr>
        <w:spacing w:line="200" w:lineRule="exact"/>
        <w:rPr>
          <w:rFonts w:hint="eastAsia" w:ascii="宋体" w:hAnsi="宋体" w:eastAsia="宋体" w:cs="宋体"/>
          <w:color w:val="auto"/>
          <w:sz w:val="20"/>
          <w:szCs w:val="20"/>
          <w:highlight w:val="none"/>
        </w:rPr>
      </w:pPr>
    </w:p>
    <w:p w14:paraId="08AA4C1D">
      <w:pPr>
        <w:tabs>
          <w:tab w:val="left" w:pos="558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采购单位</w:t>
      </w:r>
    </w:p>
    <w:p w14:paraId="08C77654">
      <w:pPr>
        <w:tabs>
          <w:tab w:val="left" w:pos="567"/>
          <w:tab w:val="left" w:pos="2412"/>
          <w:tab w:val="left" w:pos="3883"/>
          <w:tab w:val="left" w:pos="5352"/>
          <w:tab w:val="left" w:pos="6821"/>
        </w:tabs>
        <w:spacing w:before="120" w:line="335"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兹证明，</w:t>
      </w:r>
    </w:p>
    <w:p w14:paraId="29E7751D">
      <w:pPr>
        <w:tabs>
          <w:tab w:val="left" w:pos="567"/>
          <w:tab w:val="left" w:pos="1690"/>
          <w:tab w:val="left" w:pos="3400"/>
          <w:tab w:val="left" w:pos="5110"/>
          <w:tab w:val="left" w:pos="6821"/>
        </w:tabs>
        <w:spacing w:before="120" w:line="335"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姓名：性别：年龄：职务：</w:t>
      </w:r>
    </w:p>
    <w:p w14:paraId="0B870D85">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795E0F3C">
      <w:pPr>
        <w:tabs>
          <w:tab w:val="left" w:pos="2250"/>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（投标人名称）</w:t>
      </w:r>
      <w:r>
        <w:rPr>
          <w:rFonts w:hint="eastAsia" w:ascii="宋体" w:hAnsi="宋体" w:eastAsia="宋体" w:cs="宋体"/>
          <w:color w:val="auto"/>
          <w:sz w:val="24"/>
          <w:szCs w:val="24"/>
          <w:highlight w:val="none"/>
        </w:rPr>
        <w:t>的法定代表人（单位负责人）。</w:t>
      </w:r>
    </w:p>
    <w:p w14:paraId="1C7108F0">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085D0834">
      <w:pPr>
        <w:tabs>
          <w:tab w:val="left" w:pos="567"/>
        </w:tabs>
        <w:spacing w:before="120" w:line="583" w:lineRule="auto"/>
        <w:ind w:right="-46"/>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附：</w:t>
      </w:r>
      <w:r>
        <w:rPr>
          <w:rFonts w:hint="eastAsia" w:ascii="宋体" w:hAnsi="宋体" w:eastAsia="宋体" w:cs="宋体"/>
          <w:color w:val="auto"/>
          <w:spacing w:val="-3"/>
          <w:sz w:val="24"/>
          <w:szCs w:val="24"/>
          <w:highlight w:val="none"/>
        </w:rPr>
        <w:t>法</w:t>
      </w:r>
      <w:r>
        <w:rPr>
          <w:rFonts w:hint="eastAsia" w:ascii="宋体" w:hAnsi="宋体" w:eastAsia="宋体" w:cs="宋体"/>
          <w:color w:val="auto"/>
          <w:sz w:val="24"/>
          <w:szCs w:val="24"/>
          <w:highlight w:val="none"/>
        </w:rPr>
        <w:t>定</w:t>
      </w:r>
      <w:r>
        <w:rPr>
          <w:rFonts w:hint="eastAsia" w:ascii="宋体" w:hAnsi="宋体" w:eastAsia="宋体" w:cs="宋体"/>
          <w:color w:val="auto"/>
          <w:spacing w:val="-3"/>
          <w:sz w:val="24"/>
          <w:szCs w:val="24"/>
          <w:highlight w:val="none"/>
        </w:rPr>
        <w:t>代</w:t>
      </w:r>
      <w:r>
        <w:rPr>
          <w:rFonts w:hint="eastAsia" w:ascii="宋体" w:hAnsi="宋体" w:eastAsia="宋体" w:cs="宋体"/>
          <w:color w:val="auto"/>
          <w:sz w:val="24"/>
          <w:szCs w:val="24"/>
          <w:highlight w:val="none"/>
        </w:rPr>
        <w:t>表</w:t>
      </w:r>
      <w:r>
        <w:rPr>
          <w:rFonts w:hint="eastAsia" w:ascii="宋体" w:hAnsi="宋体" w:eastAsia="宋体" w:cs="宋体"/>
          <w:color w:val="auto"/>
          <w:spacing w:val="-3"/>
          <w:sz w:val="24"/>
          <w:szCs w:val="24"/>
          <w:highlight w:val="none"/>
        </w:rPr>
        <w:t>人</w:t>
      </w:r>
      <w:r>
        <w:rPr>
          <w:rFonts w:hint="eastAsia" w:ascii="宋体" w:hAnsi="宋体" w:eastAsia="宋体" w:cs="宋体"/>
          <w:color w:val="auto"/>
          <w:sz w:val="24"/>
          <w:szCs w:val="24"/>
          <w:highlight w:val="none"/>
        </w:rPr>
        <w:t>（</w:t>
      </w:r>
      <w:r>
        <w:rPr>
          <w:rFonts w:hint="eastAsia" w:ascii="宋体" w:hAnsi="宋体" w:eastAsia="宋体" w:cs="宋体"/>
          <w:color w:val="auto"/>
          <w:spacing w:val="-3"/>
          <w:sz w:val="24"/>
          <w:szCs w:val="24"/>
          <w:highlight w:val="none"/>
        </w:rPr>
        <w:t>单</w:t>
      </w:r>
      <w:r>
        <w:rPr>
          <w:rFonts w:hint="eastAsia" w:ascii="宋体" w:hAnsi="宋体" w:eastAsia="宋体" w:cs="宋体"/>
          <w:color w:val="auto"/>
          <w:sz w:val="24"/>
          <w:szCs w:val="24"/>
          <w:highlight w:val="none"/>
        </w:rPr>
        <w:t>位</w:t>
      </w:r>
      <w:r>
        <w:rPr>
          <w:rFonts w:hint="eastAsia" w:ascii="宋体" w:hAnsi="宋体" w:eastAsia="宋体" w:cs="宋体"/>
          <w:color w:val="auto"/>
          <w:spacing w:val="-3"/>
          <w:sz w:val="24"/>
          <w:szCs w:val="24"/>
          <w:highlight w:val="none"/>
        </w:rPr>
        <w:t>负</w:t>
      </w:r>
      <w:r>
        <w:rPr>
          <w:rFonts w:hint="eastAsia" w:ascii="宋体" w:hAnsi="宋体" w:eastAsia="宋体" w:cs="宋体"/>
          <w:color w:val="auto"/>
          <w:sz w:val="24"/>
          <w:szCs w:val="24"/>
          <w:highlight w:val="none"/>
        </w:rPr>
        <w:t>责人</w:t>
      </w:r>
      <w:r>
        <w:rPr>
          <w:rFonts w:hint="eastAsia" w:ascii="宋体" w:hAnsi="宋体" w:eastAsia="宋体" w:cs="宋体"/>
          <w:color w:val="auto"/>
          <w:spacing w:val="-3"/>
          <w:sz w:val="24"/>
          <w:szCs w:val="24"/>
          <w:highlight w:val="none"/>
        </w:rPr>
        <w:t>）有效期内的身份证正反面电子件。</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6E7E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54905AD3">
            <w:pPr>
              <w:tabs>
                <w:tab w:val="left" w:pos="5580"/>
              </w:tabs>
              <w:spacing w:line="360" w:lineRule="auto"/>
              <w:jc w:val="left"/>
              <w:rPr>
                <w:rFonts w:hint="eastAsia" w:ascii="宋体" w:hAnsi="宋体" w:eastAsia="宋体" w:cs="宋体"/>
                <w:color w:val="auto"/>
                <w:sz w:val="24"/>
                <w:szCs w:val="20"/>
                <w:highlight w:val="none"/>
              </w:rPr>
            </w:pPr>
          </w:p>
          <w:p w14:paraId="0735B4E5">
            <w:pPr>
              <w:tabs>
                <w:tab w:val="left" w:pos="5580"/>
              </w:tabs>
              <w:spacing w:line="360" w:lineRule="auto"/>
              <w:jc w:val="left"/>
              <w:rPr>
                <w:rFonts w:hint="eastAsia" w:ascii="宋体" w:hAnsi="宋体" w:eastAsia="宋体" w:cs="宋体"/>
                <w:color w:val="auto"/>
                <w:sz w:val="24"/>
                <w:szCs w:val="20"/>
                <w:highlight w:val="none"/>
              </w:rPr>
            </w:pPr>
          </w:p>
          <w:p w14:paraId="33BABA93">
            <w:pPr>
              <w:tabs>
                <w:tab w:val="left" w:pos="5580"/>
              </w:tabs>
              <w:spacing w:line="360" w:lineRule="auto"/>
              <w:jc w:val="left"/>
              <w:rPr>
                <w:rFonts w:hint="eastAsia" w:ascii="宋体" w:hAnsi="宋体" w:eastAsia="宋体" w:cs="宋体"/>
                <w:color w:val="auto"/>
                <w:sz w:val="24"/>
                <w:szCs w:val="20"/>
                <w:highlight w:val="none"/>
              </w:rPr>
            </w:pPr>
          </w:p>
        </w:tc>
        <w:tc>
          <w:tcPr>
            <w:tcW w:w="4536" w:type="dxa"/>
          </w:tcPr>
          <w:p w14:paraId="3FBACB99">
            <w:pPr>
              <w:tabs>
                <w:tab w:val="left" w:pos="5580"/>
              </w:tabs>
              <w:spacing w:line="360" w:lineRule="auto"/>
              <w:jc w:val="left"/>
              <w:rPr>
                <w:rFonts w:hint="eastAsia" w:ascii="宋体" w:hAnsi="宋体" w:eastAsia="宋体" w:cs="宋体"/>
                <w:color w:val="auto"/>
                <w:sz w:val="24"/>
                <w:szCs w:val="20"/>
                <w:highlight w:val="none"/>
              </w:rPr>
            </w:pPr>
          </w:p>
          <w:p w14:paraId="5F0D9BCA">
            <w:pPr>
              <w:tabs>
                <w:tab w:val="left" w:pos="5580"/>
              </w:tabs>
              <w:spacing w:line="360" w:lineRule="auto"/>
              <w:jc w:val="left"/>
              <w:rPr>
                <w:rFonts w:hint="eastAsia" w:ascii="宋体" w:hAnsi="宋体" w:eastAsia="宋体" w:cs="宋体"/>
                <w:color w:val="auto"/>
                <w:sz w:val="24"/>
                <w:szCs w:val="20"/>
                <w:highlight w:val="none"/>
              </w:rPr>
            </w:pPr>
          </w:p>
          <w:p w14:paraId="045C9BAA">
            <w:pPr>
              <w:tabs>
                <w:tab w:val="left" w:pos="5580"/>
              </w:tabs>
              <w:spacing w:line="360" w:lineRule="auto"/>
              <w:jc w:val="left"/>
              <w:rPr>
                <w:rFonts w:hint="eastAsia" w:ascii="宋体" w:hAnsi="宋体" w:eastAsia="宋体" w:cs="宋体"/>
                <w:color w:val="auto"/>
                <w:sz w:val="24"/>
                <w:szCs w:val="20"/>
                <w:highlight w:val="none"/>
              </w:rPr>
            </w:pPr>
          </w:p>
        </w:tc>
      </w:tr>
    </w:tbl>
    <w:p w14:paraId="7EB2ACE0">
      <w:pPr>
        <w:tabs>
          <w:tab w:val="left" w:pos="567"/>
        </w:tabs>
        <w:spacing w:before="120" w:line="583" w:lineRule="auto"/>
        <w:ind w:right="4305"/>
        <w:rPr>
          <w:rFonts w:hint="eastAsia" w:ascii="宋体" w:hAnsi="宋体" w:eastAsia="宋体" w:cs="宋体"/>
          <w:color w:val="auto"/>
          <w:spacing w:val="-3"/>
          <w:sz w:val="24"/>
          <w:szCs w:val="24"/>
          <w:highlight w:val="none"/>
        </w:rPr>
      </w:pPr>
    </w:p>
    <w:p w14:paraId="1EBE169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投标人名称（加盖公章）</w:t>
      </w:r>
      <w:r>
        <w:rPr>
          <w:rFonts w:hint="eastAsia" w:ascii="宋体" w:hAnsi="宋体" w:eastAsia="宋体" w:cs="宋体"/>
          <w:color w:val="auto"/>
          <w:sz w:val="24"/>
          <w:szCs w:val="24"/>
          <w:highlight w:val="none"/>
          <w:lang w:val="zh-CN"/>
        </w:rPr>
        <w:t>：</w:t>
      </w:r>
    </w:p>
    <w:p w14:paraId="198AA7A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法定代表人（</w:t>
      </w:r>
      <w:r>
        <w:rPr>
          <w:rFonts w:hint="eastAsia" w:ascii="宋体" w:hAnsi="宋体" w:eastAsia="宋体" w:cs="宋体"/>
          <w:color w:val="auto"/>
          <w:sz w:val="24"/>
          <w:szCs w:val="24"/>
          <w:highlight w:val="none"/>
        </w:rPr>
        <w:t>单位负责人</w:t>
      </w:r>
      <w:r>
        <w:rPr>
          <w:rFonts w:hint="eastAsia" w:ascii="宋体" w:hAnsi="宋体" w:eastAsia="宋体" w:cs="宋体"/>
          <w:color w:val="auto"/>
          <w:spacing w:val="-3"/>
          <w:sz w:val="24"/>
          <w:szCs w:val="24"/>
          <w:highlight w:val="none"/>
        </w:rPr>
        <w:t>）（签字、签章或印鉴）：</w:t>
      </w:r>
    </w:p>
    <w:p w14:paraId="41F3A17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14:paraId="51B9122F">
      <w:pPr>
        <w:spacing w:line="360" w:lineRule="auto"/>
        <w:rPr>
          <w:rFonts w:hint="eastAsia" w:ascii="宋体" w:hAnsi="宋体" w:eastAsia="宋体" w:cs="宋体"/>
          <w:color w:val="auto"/>
          <w:sz w:val="24"/>
          <w:szCs w:val="24"/>
          <w:highlight w:val="none"/>
        </w:rPr>
      </w:pPr>
    </w:p>
    <w:p w14:paraId="0326C359">
      <w:pPr>
        <w:rPr>
          <w:rFonts w:hint="eastAsia" w:ascii="宋体" w:hAnsi="宋体" w:eastAsia="宋体" w:cs="宋体"/>
          <w:color w:val="auto"/>
          <w:highlight w:val="none"/>
        </w:rPr>
      </w:pPr>
    </w:p>
    <w:p w14:paraId="159315EA">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21" w:name="_Toc19495"/>
      <w:r>
        <w:rPr>
          <w:rFonts w:hint="eastAsia" w:ascii="宋体" w:hAnsi="宋体" w:eastAsia="宋体" w:cs="宋体"/>
          <w:i/>
          <w:color w:val="auto"/>
          <w:sz w:val="30"/>
          <w:szCs w:val="30"/>
          <w:highlight w:val="none"/>
          <w:u w:val="single"/>
        </w:rPr>
        <w:t>十、投标函</w:t>
      </w:r>
      <w:bookmarkEnd w:id="121"/>
    </w:p>
    <w:p w14:paraId="173D2F48">
      <w:pPr>
        <w:tabs>
          <w:tab w:val="left" w:pos="36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投标函</w:t>
      </w:r>
    </w:p>
    <w:p w14:paraId="4CA0C356">
      <w:pPr>
        <w:spacing w:line="500" w:lineRule="exact"/>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致：江苏正茂项目管理有限公司</w:t>
      </w:r>
    </w:p>
    <w:p w14:paraId="2C7DC39D">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根据贵方的JSZC-____________号招标文件，正式授权下述签字人________（姓名）代表我方___________（投标人的名称），全权处理本次项目投标的有关事宜。</w:t>
      </w:r>
    </w:p>
    <w:p w14:paraId="0EAC79FB">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据此函，_______签字人兹宣布同意如下：</w:t>
      </w:r>
    </w:p>
    <w:p w14:paraId="41001976">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1.按招标文件规定的各项要求，向买方提供所需服务（包含与服务相关的货物、工程）。</w:t>
      </w:r>
    </w:p>
    <w:p w14:paraId="43482CAD">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2.我们完全理解贵方不一定将合同授予最低报价的投标人。</w:t>
      </w:r>
    </w:p>
    <w:p w14:paraId="3F1E8025">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3.我们已详细审核全部招标文件及其有效补充文件，我们知道必须放弃提出含糊不清或误解问题的权利。</w:t>
      </w:r>
    </w:p>
    <w:p w14:paraId="2F576101">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4.我们同意从规定的开标日期起遵循本投标文件，并在规定的投标有效期期满之前均具有约束力。</w:t>
      </w:r>
    </w:p>
    <w:p w14:paraId="46D2D38E">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5.同意向贵方提供贵方可能另外要求的与投标有关的任何证据或资料，并保证我方已提供和将要提供的文件是真实的、准确的。</w:t>
      </w:r>
    </w:p>
    <w:p w14:paraId="59FD8227">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6.一旦我方中标，我方将根据招标文件的规定，严格履行合同的责任和义务，并保证在招标文件规定的时间完成项目，交付买方验收、使用。</w:t>
      </w:r>
    </w:p>
    <w:p w14:paraId="53E42F65">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7.与本投标有关的正式通讯地址为：</w:t>
      </w:r>
    </w:p>
    <w:p w14:paraId="00538D17">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地址：                邮编：</w:t>
      </w:r>
    </w:p>
    <w:p w14:paraId="5D236125">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电话：                传真：</w:t>
      </w:r>
    </w:p>
    <w:p w14:paraId="33071BDE">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投标人开户行：</w:t>
      </w:r>
    </w:p>
    <w:p w14:paraId="3D68BEFD">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账号：</w:t>
      </w:r>
    </w:p>
    <w:p w14:paraId="22A528CD">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投标人（盖章）：</w:t>
      </w:r>
    </w:p>
    <w:p w14:paraId="777CC36D">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法定代表人（单位负责人）或委托代理人（签字或盖章）：</w:t>
      </w:r>
    </w:p>
    <w:p w14:paraId="5B256479">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日期：年月日</w:t>
      </w:r>
    </w:p>
    <w:p w14:paraId="1F608032">
      <w:pPr>
        <w:rPr>
          <w:rFonts w:hint="eastAsia" w:ascii="宋体" w:hAnsi="宋体" w:eastAsia="宋体" w:cs="宋体"/>
          <w:color w:val="auto"/>
          <w:highlight w:val="none"/>
        </w:rPr>
      </w:pPr>
    </w:p>
    <w:p w14:paraId="3C6BB0CE">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22" w:name="_Toc22280"/>
      <w:r>
        <w:rPr>
          <w:rFonts w:hint="eastAsia" w:ascii="宋体" w:hAnsi="宋体" w:eastAsia="宋体" w:cs="宋体"/>
          <w:i/>
          <w:color w:val="auto"/>
          <w:sz w:val="30"/>
          <w:szCs w:val="30"/>
          <w:highlight w:val="none"/>
          <w:u w:val="single"/>
        </w:rPr>
        <w:t>十一、中小企业声明函（服务）（分包号：**）</w:t>
      </w:r>
      <w:bookmarkEnd w:id="122"/>
    </w:p>
    <w:p w14:paraId="3D2BDCE5">
      <w:pPr>
        <w:tabs>
          <w:tab w:val="left" w:pos="36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中小企业声明函</w:t>
      </w:r>
    </w:p>
    <w:p w14:paraId="29443D5A">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（项目编号：分包号：）采购活动，提供的</w:t>
      </w:r>
      <w:r>
        <w:rPr>
          <w:rFonts w:hint="eastAsia" w:ascii="宋体" w:hAnsi="宋体" w:eastAsia="宋体" w:cs="宋体"/>
          <w:color w:val="auto"/>
          <w:sz w:val="24"/>
          <w:highlight w:val="none"/>
        </w:rPr>
        <w:t>服务全部由符合政策要求的中小企业承接。</w:t>
      </w:r>
    </w:p>
    <w:p w14:paraId="05726BE0">
      <w:pPr>
        <w:spacing w:line="500" w:lineRule="exact"/>
        <w:ind w:firstLine="48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5DDE4AD6">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65374E9E">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2B01CAC">
      <w:pPr>
        <w:spacing w:line="560" w:lineRule="exact"/>
        <w:ind w:right="1620"/>
        <w:rPr>
          <w:rFonts w:hint="eastAsia" w:ascii="宋体" w:hAnsi="宋体" w:eastAsia="宋体" w:cs="宋体"/>
          <w:color w:val="auto"/>
          <w:sz w:val="24"/>
          <w:szCs w:val="24"/>
          <w:highlight w:val="none"/>
        </w:rPr>
      </w:pPr>
    </w:p>
    <w:p w14:paraId="712866D9">
      <w:pPr>
        <w:spacing w:line="560" w:lineRule="exact"/>
        <w:ind w:right="162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3F50E3FD">
      <w:pPr>
        <w:spacing w:line="560" w:lineRule="exact"/>
        <w:ind w:right="114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631E91BE">
      <w:pPr>
        <w:spacing w:line="360" w:lineRule="auto"/>
        <w:ind w:right="480"/>
        <w:jc w:val="left"/>
        <w:rPr>
          <w:rFonts w:hint="eastAsia" w:ascii="宋体" w:hAnsi="宋体" w:eastAsia="宋体" w:cs="宋体"/>
          <w:color w:val="auto"/>
          <w:sz w:val="24"/>
          <w:szCs w:val="24"/>
          <w:highlight w:val="none"/>
        </w:rPr>
      </w:pPr>
    </w:p>
    <w:p w14:paraId="7C1B1D7D">
      <w:pPr>
        <w:spacing w:line="360" w:lineRule="auto"/>
        <w:ind w:right="480"/>
        <w:jc w:val="left"/>
        <w:rPr>
          <w:rFonts w:hint="eastAsia" w:ascii="宋体" w:hAnsi="宋体" w:eastAsia="宋体" w:cs="宋体"/>
          <w:color w:val="auto"/>
          <w:sz w:val="24"/>
          <w:szCs w:val="24"/>
          <w:highlight w:val="none"/>
        </w:rPr>
      </w:pPr>
    </w:p>
    <w:p w14:paraId="41BA4B37">
      <w:pPr>
        <w:spacing w:line="360" w:lineRule="auto"/>
        <w:ind w:right="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填报说明：</w:t>
      </w:r>
    </w:p>
    <w:p w14:paraId="5EC187A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12D741F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2、请投标人如实填写，</w:t>
      </w:r>
      <w:r>
        <w:rPr>
          <w:rFonts w:hint="eastAsia" w:ascii="宋体" w:hAnsi="宋体" w:eastAsia="宋体" w:cs="宋体"/>
          <w:color w:val="auto"/>
          <w:sz w:val="24"/>
          <w:highlight w:val="none"/>
        </w:rPr>
        <w:t>所填内容将作为评审的依据</w:t>
      </w:r>
      <w:r>
        <w:rPr>
          <w:rFonts w:hint="eastAsia" w:ascii="宋体" w:hAnsi="宋体" w:eastAsia="宋体" w:cs="宋体"/>
          <w:color w:val="auto"/>
          <w:sz w:val="24"/>
          <w:szCs w:val="24"/>
          <w:highlight w:val="none"/>
        </w:rPr>
        <w:t>，如填写不完整或不一致或填写有误，将不享受扶持政策。</w:t>
      </w:r>
    </w:p>
    <w:p w14:paraId="381FB36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3、中标人的《中小企业声明函》随中标结果公开，接受社会监督。</w:t>
      </w:r>
    </w:p>
    <w:p w14:paraId="63A751C3">
      <w:pPr>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br w:type="page"/>
      </w:r>
    </w:p>
    <w:p w14:paraId="5EAAB7D5">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23" w:name="_Toc28315"/>
      <w:r>
        <w:rPr>
          <w:rFonts w:hint="eastAsia" w:ascii="宋体" w:hAnsi="宋体" w:eastAsia="宋体" w:cs="宋体"/>
          <w:i/>
          <w:color w:val="auto"/>
          <w:sz w:val="30"/>
          <w:szCs w:val="30"/>
          <w:highlight w:val="none"/>
          <w:u w:val="single"/>
        </w:rPr>
        <w:t>十二、残疾人福利性单位声明函（分包号：**）</w:t>
      </w:r>
      <w:bookmarkEnd w:id="123"/>
    </w:p>
    <w:p w14:paraId="2927202A">
      <w:pPr>
        <w:tabs>
          <w:tab w:val="left" w:pos="360"/>
        </w:tabs>
        <w:spacing w:line="360" w:lineRule="auto"/>
        <w:jc w:val="center"/>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残疾人福利性单位声明函</w:t>
      </w:r>
    </w:p>
    <w:p w14:paraId="2453CC05">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本单位郑重声明，根据《财政部民政部中国残疾人联合会关于促进残疾人就业政府采购政策的通知》（财库</w:t>
      </w:r>
      <w:r>
        <w:rPr>
          <w:rFonts w:hint="eastAsia" w:ascii="宋体" w:hAnsi="宋体" w:eastAsia="宋体" w:cs="宋体"/>
          <w:color w:val="auto"/>
          <w:sz w:val="24"/>
          <w:szCs w:val="24"/>
          <w:highlight w:val="none"/>
        </w:rPr>
        <w:t>〔2017〕</w:t>
      </w:r>
      <w:r>
        <w:rPr>
          <w:rFonts w:hint="eastAsia" w:ascii="宋体" w:hAnsi="宋体" w:eastAsia="宋体" w:cs="宋体"/>
          <w:color w:val="auto"/>
          <w:sz w:val="24"/>
          <w:szCs w:val="21"/>
          <w:highlight w:val="none"/>
        </w:rPr>
        <w:t>141号）的规定，本单位为符合条件的残疾人福利性单位，且本单位参加单位的项目（</w:t>
      </w:r>
      <w:r>
        <w:rPr>
          <w:rFonts w:hint="eastAsia" w:ascii="宋体" w:hAnsi="宋体" w:eastAsia="宋体" w:cs="宋体"/>
          <w:color w:val="auto"/>
          <w:sz w:val="24"/>
          <w:szCs w:val="24"/>
          <w:highlight w:val="none"/>
        </w:rPr>
        <w:t>项目编号：分包号：</w:t>
      </w:r>
      <w:r>
        <w:rPr>
          <w:rFonts w:hint="eastAsia" w:ascii="宋体" w:hAnsi="宋体" w:eastAsia="宋体" w:cs="宋体"/>
          <w:color w:val="auto"/>
          <w:sz w:val="24"/>
          <w:szCs w:val="21"/>
          <w:highlight w:val="none"/>
        </w:rPr>
        <w:t>）采购活动由本单位提供全部服务。</w:t>
      </w:r>
    </w:p>
    <w:p w14:paraId="35065B42">
      <w:pPr>
        <w:spacing w:line="5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0A47E33B">
      <w:pPr>
        <w:spacing w:line="500" w:lineRule="exact"/>
        <w:ind w:firstLine="480"/>
        <w:rPr>
          <w:rFonts w:hint="eastAsia" w:ascii="宋体" w:hAnsi="宋体" w:eastAsia="宋体" w:cs="宋体"/>
          <w:color w:val="auto"/>
          <w:sz w:val="24"/>
          <w:szCs w:val="21"/>
          <w:highlight w:val="none"/>
        </w:rPr>
      </w:pPr>
    </w:p>
    <w:p w14:paraId="79B5E295">
      <w:pPr>
        <w:spacing w:line="560" w:lineRule="exact"/>
        <w:ind w:right="162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单位名称（盖章）：</w:t>
      </w:r>
    </w:p>
    <w:p w14:paraId="362C6A67">
      <w:pPr>
        <w:spacing w:line="560" w:lineRule="exact"/>
        <w:ind w:right="114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24C65C60">
      <w:pPr>
        <w:rPr>
          <w:rFonts w:hint="eastAsia" w:ascii="宋体" w:hAnsi="宋体" w:eastAsia="宋体" w:cs="宋体"/>
          <w:color w:val="auto"/>
          <w:highlight w:val="none"/>
        </w:rPr>
      </w:pPr>
    </w:p>
    <w:p w14:paraId="72BF1CA8">
      <w:pPr>
        <w:rPr>
          <w:rFonts w:hint="eastAsia" w:ascii="宋体" w:hAnsi="宋体" w:eastAsia="宋体" w:cs="宋体"/>
          <w:color w:val="auto"/>
          <w:highlight w:val="none"/>
        </w:rPr>
      </w:pPr>
    </w:p>
    <w:p w14:paraId="23D2857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填报说明：</w:t>
      </w:r>
    </w:p>
    <w:p w14:paraId="66270A07">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请投标人如实填写，</w:t>
      </w:r>
      <w:r>
        <w:rPr>
          <w:rFonts w:hint="eastAsia" w:ascii="宋体" w:hAnsi="宋体" w:eastAsia="宋体" w:cs="宋体"/>
          <w:bCs/>
          <w:color w:val="auto"/>
          <w:sz w:val="24"/>
          <w:highlight w:val="none"/>
        </w:rPr>
        <w:t>所填内容将作为评审的依据</w:t>
      </w:r>
      <w:r>
        <w:rPr>
          <w:rFonts w:hint="eastAsia" w:ascii="宋体" w:hAnsi="宋体" w:eastAsia="宋体" w:cs="宋体"/>
          <w:color w:val="auto"/>
          <w:sz w:val="24"/>
          <w:szCs w:val="24"/>
          <w:highlight w:val="none"/>
        </w:rPr>
        <w:t>，如填写不完整或不一致或填写有误，将不享受扶持政策。</w:t>
      </w:r>
    </w:p>
    <w:p w14:paraId="1D135B0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2、中标人的《残疾人福利性单位声明函》随中标结果公开</w:t>
      </w:r>
      <w:r>
        <w:rPr>
          <w:rFonts w:hint="eastAsia" w:ascii="宋体" w:hAnsi="宋体" w:eastAsia="宋体" w:cs="宋体"/>
          <w:color w:val="auto"/>
          <w:sz w:val="24"/>
          <w:szCs w:val="24"/>
          <w:highlight w:val="none"/>
        </w:rPr>
        <w:t>，接受社会监督</w:t>
      </w:r>
      <w:r>
        <w:rPr>
          <w:rFonts w:hint="eastAsia" w:ascii="宋体" w:hAnsi="宋体" w:eastAsia="宋体" w:cs="宋体"/>
          <w:bCs/>
          <w:color w:val="auto"/>
          <w:sz w:val="24"/>
          <w:szCs w:val="24"/>
          <w:highlight w:val="none"/>
        </w:rPr>
        <w:t>。</w:t>
      </w:r>
    </w:p>
    <w:p w14:paraId="4C7B7EFD">
      <w:pPr>
        <w:rPr>
          <w:rFonts w:hint="eastAsia" w:ascii="宋体" w:hAnsi="宋体" w:eastAsia="宋体" w:cs="宋体"/>
          <w:color w:val="auto"/>
          <w:highlight w:val="none"/>
        </w:rPr>
      </w:pPr>
    </w:p>
    <w:p w14:paraId="69E07F99">
      <w:pPr>
        <w:rPr>
          <w:rFonts w:hint="eastAsia" w:ascii="宋体" w:hAnsi="宋体" w:eastAsia="宋体" w:cs="宋体"/>
          <w:color w:val="auto"/>
          <w:highlight w:val="none"/>
        </w:rPr>
      </w:pPr>
    </w:p>
    <w:p w14:paraId="585FA55B">
      <w:pPr>
        <w:rPr>
          <w:rFonts w:hint="eastAsia" w:ascii="宋体" w:hAnsi="宋体" w:eastAsia="宋体" w:cs="宋体"/>
          <w:color w:val="auto"/>
          <w:highlight w:val="none"/>
        </w:rPr>
      </w:pPr>
    </w:p>
    <w:p w14:paraId="5EA43B15">
      <w:pPr>
        <w:rPr>
          <w:rFonts w:hint="eastAsia" w:ascii="宋体" w:hAnsi="宋体" w:eastAsia="宋体" w:cs="宋体"/>
          <w:color w:val="auto"/>
          <w:highlight w:val="none"/>
        </w:rPr>
      </w:pPr>
    </w:p>
    <w:p w14:paraId="28F2D02B">
      <w:pPr>
        <w:rPr>
          <w:rFonts w:hint="eastAsia" w:ascii="宋体" w:hAnsi="宋体" w:eastAsia="宋体" w:cs="宋体"/>
          <w:color w:val="auto"/>
          <w:highlight w:val="none"/>
        </w:rPr>
      </w:pPr>
    </w:p>
    <w:p w14:paraId="302F86AE">
      <w:pPr>
        <w:rPr>
          <w:rFonts w:hint="eastAsia" w:ascii="宋体" w:hAnsi="宋体" w:eastAsia="宋体" w:cs="宋体"/>
          <w:color w:val="auto"/>
          <w:highlight w:val="none"/>
        </w:rPr>
      </w:pPr>
    </w:p>
    <w:p w14:paraId="0B3A0FD6">
      <w:pPr>
        <w:rPr>
          <w:rFonts w:hint="eastAsia" w:ascii="宋体" w:hAnsi="宋体" w:eastAsia="宋体" w:cs="宋体"/>
          <w:color w:val="auto"/>
          <w:highlight w:val="none"/>
        </w:rPr>
      </w:pPr>
    </w:p>
    <w:p w14:paraId="0EF607FC">
      <w:pPr>
        <w:rPr>
          <w:rFonts w:hint="eastAsia" w:ascii="宋体" w:hAnsi="宋体" w:eastAsia="宋体" w:cs="宋体"/>
          <w:color w:val="auto"/>
          <w:highlight w:val="none"/>
        </w:rPr>
      </w:pPr>
    </w:p>
    <w:p w14:paraId="1D35690E">
      <w:pPr>
        <w:rPr>
          <w:rFonts w:hint="eastAsia" w:ascii="宋体" w:hAnsi="宋体" w:eastAsia="宋体" w:cs="宋体"/>
          <w:color w:val="auto"/>
          <w:highlight w:val="none"/>
        </w:rPr>
      </w:pPr>
    </w:p>
    <w:p w14:paraId="2EFC59DC">
      <w:pPr>
        <w:rPr>
          <w:rFonts w:hint="eastAsia" w:ascii="宋体" w:hAnsi="宋体" w:eastAsia="宋体" w:cs="宋体"/>
          <w:color w:val="auto"/>
          <w:highlight w:val="none"/>
        </w:rPr>
      </w:pPr>
    </w:p>
    <w:p w14:paraId="68E50BA9">
      <w:pPr>
        <w:rPr>
          <w:rFonts w:hint="eastAsia" w:ascii="宋体" w:hAnsi="宋体" w:eastAsia="宋体" w:cs="宋体"/>
          <w:color w:val="auto"/>
          <w:highlight w:val="none"/>
        </w:rPr>
      </w:pPr>
    </w:p>
    <w:p w14:paraId="017AC8A5">
      <w:pPr>
        <w:rPr>
          <w:rFonts w:hint="eastAsia" w:ascii="宋体" w:hAnsi="宋体" w:eastAsia="宋体" w:cs="宋体"/>
          <w:color w:val="auto"/>
          <w:highlight w:val="none"/>
        </w:rPr>
      </w:pPr>
    </w:p>
    <w:p w14:paraId="3DB633B3">
      <w:pPr>
        <w:rPr>
          <w:rFonts w:hint="eastAsia" w:ascii="宋体" w:hAnsi="宋体" w:eastAsia="宋体" w:cs="宋体"/>
          <w:color w:val="auto"/>
          <w:highlight w:val="none"/>
        </w:rPr>
      </w:pPr>
    </w:p>
    <w:p w14:paraId="1A91103E">
      <w:pPr>
        <w:rPr>
          <w:rFonts w:hint="eastAsia" w:ascii="宋体" w:hAnsi="宋体" w:eastAsia="宋体" w:cs="宋体"/>
          <w:color w:val="auto"/>
          <w:highlight w:val="none"/>
        </w:rPr>
      </w:pPr>
    </w:p>
    <w:p w14:paraId="1EC0B117">
      <w:pPr>
        <w:rPr>
          <w:rFonts w:hint="eastAsia" w:ascii="宋体" w:hAnsi="宋体" w:eastAsia="宋体" w:cs="宋体"/>
          <w:color w:val="auto"/>
          <w:highlight w:val="none"/>
        </w:rPr>
      </w:pPr>
    </w:p>
    <w:p w14:paraId="57E786B9">
      <w:pPr>
        <w:rPr>
          <w:rFonts w:hint="eastAsia" w:ascii="宋体" w:hAnsi="宋体" w:eastAsia="宋体" w:cs="宋体"/>
          <w:color w:val="auto"/>
          <w:highlight w:val="none"/>
        </w:rPr>
      </w:pPr>
    </w:p>
    <w:p w14:paraId="7451F6EF">
      <w:pPr>
        <w:rPr>
          <w:rFonts w:hint="eastAsia" w:ascii="宋体" w:hAnsi="宋体" w:eastAsia="宋体" w:cs="宋体"/>
          <w:color w:val="auto"/>
          <w:highlight w:val="none"/>
        </w:rPr>
      </w:pPr>
    </w:p>
    <w:p w14:paraId="36F40AE8">
      <w:pPr>
        <w:rPr>
          <w:rFonts w:hint="eastAsia" w:ascii="宋体" w:hAnsi="宋体" w:eastAsia="宋体" w:cs="宋体"/>
          <w:color w:val="auto"/>
          <w:highlight w:val="none"/>
        </w:rPr>
      </w:pPr>
    </w:p>
    <w:p w14:paraId="063DD265">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24" w:name="_Toc19690"/>
      <w:r>
        <w:rPr>
          <w:rFonts w:hint="eastAsia" w:ascii="宋体" w:hAnsi="宋体" w:eastAsia="宋体" w:cs="宋体"/>
          <w:i/>
          <w:color w:val="auto"/>
          <w:sz w:val="30"/>
          <w:szCs w:val="30"/>
          <w:highlight w:val="none"/>
          <w:u w:val="single"/>
        </w:rPr>
        <w:t>十三、联合体协议（参考格式）（分包号：**）</w:t>
      </w:r>
      <w:bookmarkEnd w:id="124"/>
    </w:p>
    <w:p w14:paraId="08643239">
      <w:pPr>
        <w:tabs>
          <w:tab w:val="left" w:pos="360"/>
        </w:tabs>
        <w:spacing w:line="360" w:lineRule="auto"/>
        <w:jc w:val="center"/>
        <w:rPr>
          <w:rFonts w:hint="eastAsia" w:ascii="宋体" w:hAnsi="宋体" w:eastAsia="宋体" w:cs="宋体"/>
          <w:color w:val="auto"/>
          <w:sz w:val="24"/>
          <w:szCs w:val="21"/>
          <w:highlight w:val="none"/>
          <w:u w:val="single"/>
        </w:rPr>
      </w:pPr>
      <w:r>
        <w:rPr>
          <w:rFonts w:hint="eastAsia" w:ascii="宋体" w:hAnsi="宋体" w:eastAsia="宋体" w:cs="宋体"/>
          <w:bCs/>
          <w:color w:val="auto"/>
          <w:sz w:val="36"/>
          <w:szCs w:val="28"/>
          <w:highlight w:val="none"/>
        </w:rPr>
        <w:t>联合体协议</w:t>
      </w:r>
    </w:p>
    <w:p w14:paraId="723C49C4">
      <w:pPr>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（联合体中各投标人全称）</w:t>
      </w:r>
      <w:r>
        <w:rPr>
          <w:rFonts w:hint="eastAsia" w:ascii="宋体" w:hAnsi="宋体" w:eastAsia="宋体" w:cs="宋体"/>
          <w:color w:val="auto"/>
          <w:sz w:val="24"/>
          <w:szCs w:val="21"/>
          <w:highlight w:val="none"/>
        </w:rPr>
        <w:t>在此达成以下协议：</w:t>
      </w:r>
    </w:p>
    <w:p w14:paraId="70BE50DE">
      <w:pPr>
        <w:spacing w:line="5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1、我们</w:t>
      </w:r>
      <w:r>
        <w:rPr>
          <w:rFonts w:hint="eastAsia" w:ascii="宋体" w:hAnsi="宋体" w:eastAsia="宋体" w:cs="宋体"/>
          <w:color w:val="auto"/>
          <w:sz w:val="24"/>
          <w:szCs w:val="21"/>
          <w:highlight w:val="none"/>
          <w:u w:val="single"/>
        </w:rPr>
        <w:t>（投标人1），（投标人2），……</w:t>
      </w:r>
      <w:r>
        <w:rPr>
          <w:rFonts w:hint="eastAsia" w:ascii="宋体" w:hAnsi="宋体" w:eastAsia="宋体" w:cs="宋体"/>
          <w:color w:val="auto"/>
          <w:sz w:val="24"/>
          <w:szCs w:val="21"/>
          <w:highlight w:val="none"/>
        </w:rPr>
        <w:t>自愿组成联合体，参加</w:t>
      </w:r>
      <w:r>
        <w:rPr>
          <w:rFonts w:hint="eastAsia" w:ascii="宋体" w:hAnsi="宋体" w:eastAsia="宋体" w:cs="宋体"/>
          <w:color w:val="auto"/>
          <w:sz w:val="24"/>
          <w:szCs w:val="24"/>
          <w:highlight w:val="none"/>
        </w:rPr>
        <w:t>江苏正茂项目管理有限公司</w:t>
      </w:r>
      <w:r>
        <w:rPr>
          <w:rFonts w:hint="eastAsia" w:ascii="宋体" w:hAnsi="宋体" w:eastAsia="宋体" w:cs="宋体"/>
          <w:color w:val="auto"/>
          <w:sz w:val="24"/>
          <w:szCs w:val="21"/>
          <w:highlight w:val="none"/>
        </w:rPr>
        <w:t>组织的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（项目编号：分包号：）</w:t>
      </w:r>
      <w:r>
        <w:rPr>
          <w:rFonts w:hint="eastAsia" w:ascii="宋体" w:hAnsi="宋体" w:eastAsia="宋体" w:cs="宋体"/>
          <w:color w:val="auto"/>
          <w:sz w:val="24"/>
          <w:szCs w:val="21"/>
          <w:highlight w:val="none"/>
        </w:rPr>
        <w:t>的政府采购活动，我联合体指定</w:t>
      </w:r>
      <w:r>
        <w:rPr>
          <w:rFonts w:hint="eastAsia" w:ascii="宋体" w:hAnsi="宋体" w:eastAsia="宋体" w:cs="宋体"/>
          <w:color w:val="auto"/>
          <w:sz w:val="24"/>
          <w:szCs w:val="21"/>
          <w:highlight w:val="none"/>
          <w:u w:val="single"/>
        </w:rPr>
        <w:t>（投标人*）</w:t>
      </w:r>
      <w:r>
        <w:rPr>
          <w:rFonts w:hint="eastAsia" w:ascii="宋体" w:hAnsi="宋体" w:eastAsia="宋体" w:cs="宋体"/>
          <w:color w:val="auto"/>
          <w:sz w:val="24"/>
          <w:szCs w:val="21"/>
          <w:highlight w:val="none"/>
        </w:rPr>
        <w:t>为牵头单位（牵头单位必须为联合体成员）。</w:t>
      </w:r>
    </w:p>
    <w:p w14:paraId="75056967">
      <w:pPr>
        <w:spacing w:line="5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2、若我们联合中标、成交，</w:t>
      </w:r>
      <w:r>
        <w:rPr>
          <w:rFonts w:hint="eastAsia" w:ascii="宋体" w:hAnsi="宋体" w:eastAsia="宋体" w:cs="宋体"/>
          <w:color w:val="auto"/>
          <w:sz w:val="24"/>
          <w:szCs w:val="21"/>
          <w:highlight w:val="none"/>
          <w:u w:val="single"/>
        </w:rPr>
        <w:t>（投标人单位1全称）</w:t>
      </w:r>
      <w:r>
        <w:rPr>
          <w:rFonts w:hint="eastAsia" w:ascii="宋体" w:hAnsi="宋体" w:eastAsia="宋体" w:cs="宋体"/>
          <w:color w:val="auto"/>
          <w:sz w:val="24"/>
          <w:szCs w:val="21"/>
          <w:highlight w:val="none"/>
        </w:rPr>
        <w:t>实施项目中</w:t>
      </w:r>
      <w:r>
        <w:rPr>
          <w:rFonts w:hint="eastAsia" w:ascii="宋体" w:hAnsi="宋体" w:eastAsia="宋体" w:cs="宋体"/>
          <w:color w:val="auto"/>
          <w:sz w:val="24"/>
          <w:szCs w:val="21"/>
          <w:highlight w:val="none"/>
          <w:u w:val="single"/>
        </w:rPr>
        <w:t>（工作内容）</w:t>
      </w:r>
      <w:r>
        <w:rPr>
          <w:rFonts w:hint="eastAsia" w:ascii="宋体" w:hAnsi="宋体" w:eastAsia="宋体" w:cs="宋体"/>
          <w:color w:val="auto"/>
          <w:sz w:val="24"/>
          <w:szCs w:val="21"/>
          <w:highlight w:val="none"/>
        </w:rPr>
        <w:t>部分工作，并承担相应的责任。</w:t>
      </w:r>
      <w:r>
        <w:rPr>
          <w:rFonts w:hint="eastAsia" w:ascii="宋体" w:hAnsi="宋体" w:eastAsia="宋体" w:cs="宋体"/>
          <w:color w:val="auto"/>
          <w:sz w:val="24"/>
          <w:szCs w:val="21"/>
          <w:highlight w:val="none"/>
          <w:u w:val="single"/>
        </w:rPr>
        <w:t>（投标人单位2全称）</w:t>
      </w:r>
      <w:r>
        <w:rPr>
          <w:rFonts w:hint="eastAsia" w:ascii="宋体" w:hAnsi="宋体" w:eastAsia="宋体" w:cs="宋体"/>
          <w:color w:val="auto"/>
          <w:sz w:val="24"/>
          <w:szCs w:val="21"/>
          <w:highlight w:val="none"/>
        </w:rPr>
        <w:t>实施项目中</w:t>
      </w:r>
      <w:r>
        <w:rPr>
          <w:rFonts w:hint="eastAsia" w:ascii="宋体" w:hAnsi="宋体" w:eastAsia="宋体" w:cs="宋体"/>
          <w:color w:val="auto"/>
          <w:sz w:val="24"/>
          <w:szCs w:val="21"/>
          <w:highlight w:val="none"/>
          <w:u w:val="single"/>
        </w:rPr>
        <w:t>（工作内容）</w:t>
      </w:r>
      <w:r>
        <w:rPr>
          <w:rFonts w:hint="eastAsia" w:ascii="宋体" w:hAnsi="宋体" w:eastAsia="宋体" w:cs="宋体"/>
          <w:color w:val="auto"/>
          <w:sz w:val="24"/>
          <w:szCs w:val="21"/>
          <w:highlight w:val="none"/>
        </w:rPr>
        <w:t>部分工作，并承担相应的责任……。（注：联合体中各投标人都应明示所承担的工作和相应的责任）。</w:t>
      </w:r>
    </w:p>
    <w:p w14:paraId="200CF042">
      <w:pPr>
        <w:spacing w:line="5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3、其中（小型、微型企业/残疾人福利性单位/监狱企业全称）为（小型、微型企业/残疾人福利性单位/监狱企业）企业，且我们约定该公司/单位所承担的合同金额将占本项目合同总金额的%。（可选）</w:t>
      </w:r>
    </w:p>
    <w:p w14:paraId="3A79FCA9">
      <w:pPr>
        <w:spacing w:line="500" w:lineRule="exact"/>
        <w:ind w:firstLine="480"/>
        <w:rPr>
          <w:rFonts w:hint="eastAsia" w:ascii="宋体" w:hAnsi="宋体" w:eastAsia="宋体" w:cs="宋体"/>
          <w:color w:val="auto"/>
          <w:sz w:val="24"/>
          <w:szCs w:val="21"/>
          <w:highlight w:val="none"/>
        </w:rPr>
      </w:pPr>
    </w:p>
    <w:p w14:paraId="3FA4EEC8">
      <w:pPr>
        <w:spacing w:line="500" w:lineRule="exact"/>
        <w:ind w:firstLine="480"/>
        <w:rPr>
          <w:rFonts w:hint="eastAsia" w:ascii="宋体" w:hAnsi="宋体" w:eastAsia="宋体" w:cs="宋体"/>
          <w:color w:val="auto"/>
          <w:sz w:val="24"/>
          <w:szCs w:val="21"/>
          <w:highlight w:val="none"/>
        </w:rPr>
      </w:pPr>
    </w:p>
    <w:p w14:paraId="416FDA4E">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投标人1全称（公章）：</w:t>
      </w:r>
    </w:p>
    <w:p w14:paraId="40342707">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法定代表人（单位负责人）或委托代理人（签字或盖章）：</w:t>
      </w:r>
    </w:p>
    <w:p w14:paraId="20AFC866">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日期：年月日</w:t>
      </w:r>
    </w:p>
    <w:p w14:paraId="689A9458">
      <w:pPr>
        <w:spacing w:line="360" w:lineRule="auto"/>
        <w:ind w:firstLine="480"/>
        <w:rPr>
          <w:rFonts w:hint="eastAsia" w:ascii="宋体" w:hAnsi="宋体" w:eastAsia="宋体" w:cs="宋体"/>
          <w:color w:val="auto"/>
          <w:sz w:val="24"/>
          <w:szCs w:val="24"/>
          <w:highlight w:val="none"/>
        </w:rPr>
      </w:pPr>
    </w:p>
    <w:p w14:paraId="43145EDB">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投标人2全称（公章）：</w:t>
      </w:r>
    </w:p>
    <w:p w14:paraId="5E9E9EAD">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法定代表人（单位负责人）或委托代理人（签字或盖章）：</w:t>
      </w:r>
    </w:p>
    <w:p w14:paraId="6C74E673">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日期：年月日</w:t>
      </w:r>
    </w:p>
    <w:p w14:paraId="46A49F95">
      <w:pPr>
        <w:spacing w:line="360" w:lineRule="auto"/>
        <w:ind w:firstLine="480"/>
        <w:rPr>
          <w:rFonts w:hint="eastAsia" w:ascii="宋体" w:hAnsi="宋体" w:eastAsia="宋体" w:cs="宋体"/>
          <w:color w:val="auto"/>
          <w:sz w:val="24"/>
          <w:szCs w:val="24"/>
          <w:highlight w:val="none"/>
        </w:rPr>
      </w:pPr>
    </w:p>
    <w:p w14:paraId="281EFC7E">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316BF23">
      <w:pPr>
        <w:spacing w:line="500" w:lineRule="exact"/>
        <w:ind w:firstLine="480"/>
        <w:rPr>
          <w:rFonts w:hint="eastAsia" w:ascii="宋体" w:hAnsi="宋体" w:eastAsia="宋体" w:cs="宋体"/>
          <w:color w:val="auto"/>
          <w:sz w:val="24"/>
          <w:szCs w:val="24"/>
          <w:highlight w:val="none"/>
        </w:rPr>
      </w:pPr>
    </w:p>
    <w:p w14:paraId="10B34A28">
      <w:pPr>
        <w:spacing w:line="500" w:lineRule="exact"/>
        <w:ind w:firstLine="480"/>
        <w:rPr>
          <w:rFonts w:hint="eastAsia" w:ascii="宋体" w:hAnsi="宋体" w:eastAsia="宋体" w:cs="宋体"/>
          <w:color w:val="auto"/>
          <w:highlight w:val="none"/>
        </w:rPr>
      </w:pPr>
      <w:r>
        <w:rPr>
          <w:rFonts w:hint="eastAsia" w:ascii="宋体" w:hAnsi="宋体" w:eastAsia="宋体" w:cs="宋体"/>
          <w:color w:val="auto"/>
          <w:sz w:val="24"/>
          <w:szCs w:val="21"/>
          <w:highlight w:val="none"/>
        </w:rPr>
        <w:t>备注：本招标文件中要求加盖公章的内容，仅需加盖牵头单位的公章。</w:t>
      </w:r>
    </w:p>
    <w:p w14:paraId="4AABE136">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25" w:name="_Toc6610"/>
      <w:r>
        <w:rPr>
          <w:rFonts w:hint="eastAsia" w:ascii="宋体" w:hAnsi="宋体" w:eastAsia="宋体" w:cs="宋体"/>
          <w:i/>
          <w:color w:val="auto"/>
          <w:sz w:val="30"/>
          <w:szCs w:val="30"/>
          <w:highlight w:val="none"/>
          <w:u w:val="single"/>
        </w:rPr>
        <w:t>十四、投标分项报价表（分包号：**）</w:t>
      </w:r>
      <w:bookmarkEnd w:id="125"/>
    </w:p>
    <w:p w14:paraId="0CBA9B8C">
      <w:pPr>
        <w:widowControl/>
        <w:spacing w:line="0" w:lineRule="atLeast"/>
        <w:rPr>
          <w:rFonts w:hint="eastAsia" w:ascii="宋体" w:hAnsi="宋体" w:eastAsia="宋体" w:cs="宋体"/>
          <w:i/>
          <w:color w:val="auto"/>
          <w:sz w:val="30"/>
          <w:szCs w:val="30"/>
          <w:highlight w:val="none"/>
          <w:u w:val="single"/>
        </w:rPr>
      </w:pPr>
    </w:p>
    <w:p w14:paraId="7B0445EF">
      <w:pPr>
        <w:tabs>
          <w:tab w:val="left" w:pos="360"/>
        </w:tabs>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投标分项报价表</w:t>
      </w:r>
    </w:p>
    <w:p w14:paraId="4A81E012">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项目名称：      项目编号：      分包号：</w:t>
      </w:r>
      <w:r>
        <w:rPr>
          <w:rFonts w:hint="eastAsia" w:ascii="宋体" w:hAnsi="宋体" w:eastAsia="宋体" w:cs="宋体"/>
          <w:bCs/>
          <w:color w:val="auto"/>
          <w:sz w:val="24"/>
          <w:szCs w:val="24"/>
          <w:highlight w:val="none"/>
        </w:rPr>
        <w:t xml:space="preserve"> </w:t>
      </w:r>
    </w:p>
    <w:p w14:paraId="4F63EBC8">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单位：元</w:t>
      </w:r>
    </w:p>
    <w:tbl>
      <w:tblPr>
        <w:tblStyle w:val="37"/>
        <w:tblW w:w="10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6"/>
        <w:gridCol w:w="1721"/>
        <w:gridCol w:w="1245"/>
        <w:gridCol w:w="1260"/>
        <w:gridCol w:w="1845"/>
        <w:gridCol w:w="1140"/>
        <w:gridCol w:w="2794"/>
      </w:tblGrid>
      <w:tr w14:paraId="135A2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49" w:hRule="atLeast"/>
          <w:jc w:val="center"/>
        </w:trPr>
        <w:tc>
          <w:tcPr>
            <w:tcW w:w="826" w:type="dxa"/>
            <w:noWrap w:val="0"/>
            <w:vAlign w:val="center"/>
          </w:tcPr>
          <w:p w14:paraId="76C1EE4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序号</w:t>
            </w:r>
          </w:p>
        </w:tc>
        <w:tc>
          <w:tcPr>
            <w:tcW w:w="1721" w:type="dxa"/>
            <w:noWrap w:val="0"/>
            <w:vAlign w:val="center"/>
          </w:tcPr>
          <w:p w14:paraId="39EAB2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产品、服务（标的）名称</w:t>
            </w:r>
          </w:p>
        </w:tc>
        <w:tc>
          <w:tcPr>
            <w:tcW w:w="1245" w:type="dxa"/>
            <w:noWrap w:val="0"/>
            <w:vAlign w:val="center"/>
          </w:tcPr>
          <w:p w14:paraId="3DED569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分项单位</w:t>
            </w:r>
          </w:p>
        </w:tc>
        <w:tc>
          <w:tcPr>
            <w:tcW w:w="1260" w:type="dxa"/>
            <w:noWrap w:val="0"/>
            <w:vAlign w:val="center"/>
          </w:tcPr>
          <w:p w14:paraId="12E89D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数量</w:t>
            </w:r>
          </w:p>
        </w:tc>
        <w:tc>
          <w:tcPr>
            <w:tcW w:w="1845" w:type="dxa"/>
            <w:noWrap w:val="0"/>
            <w:vAlign w:val="center"/>
          </w:tcPr>
          <w:p w14:paraId="3EB71BA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lang w:eastAsia="zh-CN"/>
              </w:rPr>
            </w:pPr>
            <w:r>
              <w:rPr>
                <w:rFonts w:hint="eastAsia" w:ascii="宋体" w:hAnsi="宋体" w:eastAsia="宋体" w:cs="宋体"/>
                <w:color w:val="auto"/>
                <w:sz w:val="22"/>
                <w:szCs w:val="21"/>
                <w:highlight w:val="none"/>
              </w:rPr>
              <w:t>单价</w:t>
            </w:r>
            <w:r>
              <w:rPr>
                <w:rFonts w:hint="eastAsia" w:ascii="宋体" w:hAnsi="宋体" w:eastAsia="宋体" w:cs="宋体"/>
                <w:color w:val="auto"/>
                <w:sz w:val="22"/>
                <w:szCs w:val="21"/>
                <w:highlight w:val="none"/>
                <w:lang w:eastAsia="zh-CN"/>
              </w:rPr>
              <w:t>（元</w:t>
            </w:r>
            <w:r>
              <w:rPr>
                <w:rFonts w:hint="eastAsia" w:ascii="宋体" w:hAnsi="宋体" w:eastAsia="宋体" w:cs="宋体"/>
                <w:color w:val="auto"/>
                <w:sz w:val="22"/>
                <w:szCs w:val="21"/>
                <w:highlight w:val="none"/>
                <w:lang w:val="en-US" w:eastAsia="zh-CN"/>
              </w:rPr>
              <w:t>/人</w:t>
            </w:r>
            <w:r>
              <w:rPr>
                <w:rFonts w:hint="eastAsia" w:ascii="宋体" w:hAnsi="宋体" w:eastAsia="宋体" w:cs="宋体"/>
                <w:color w:val="auto"/>
                <w:sz w:val="22"/>
                <w:szCs w:val="21"/>
                <w:highlight w:val="none"/>
                <w:lang w:eastAsia="zh-CN"/>
              </w:rPr>
              <w:t>）</w:t>
            </w:r>
          </w:p>
        </w:tc>
        <w:tc>
          <w:tcPr>
            <w:tcW w:w="1140" w:type="dxa"/>
            <w:noWrap w:val="0"/>
            <w:vAlign w:val="center"/>
          </w:tcPr>
          <w:p w14:paraId="56D11E9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单项</w:t>
            </w:r>
          </w:p>
          <w:p w14:paraId="6AB5897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合计价</w:t>
            </w:r>
          </w:p>
        </w:tc>
        <w:tc>
          <w:tcPr>
            <w:tcW w:w="2794" w:type="dxa"/>
            <w:noWrap w:val="0"/>
            <w:vAlign w:val="center"/>
          </w:tcPr>
          <w:p w14:paraId="3F0BA68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lang w:eastAsia="zh-CN"/>
              </w:rPr>
            </w:pPr>
            <w:r>
              <w:rPr>
                <w:rFonts w:hint="eastAsia" w:ascii="宋体" w:hAnsi="宋体" w:cs="宋体"/>
                <w:color w:val="auto"/>
                <w:sz w:val="22"/>
                <w:szCs w:val="21"/>
                <w:highlight w:val="none"/>
                <w:lang w:eastAsia="zh-CN"/>
              </w:rPr>
              <w:t>备注</w:t>
            </w:r>
          </w:p>
        </w:tc>
      </w:tr>
      <w:tr w14:paraId="4DA9D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826" w:type="dxa"/>
            <w:noWrap w:val="0"/>
            <w:vAlign w:val="center"/>
          </w:tcPr>
          <w:p w14:paraId="39113D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1</w:t>
            </w:r>
          </w:p>
        </w:tc>
        <w:tc>
          <w:tcPr>
            <w:tcW w:w="1721" w:type="dxa"/>
            <w:noWrap w:val="0"/>
            <w:vAlign w:val="center"/>
          </w:tcPr>
          <w:p w14:paraId="00E0DA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保洁人员</w:t>
            </w:r>
          </w:p>
        </w:tc>
        <w:tc>
          <w:tcPr>
            <w:tcW w:w="1245" w:type="dxa"/>
            <w:noWrap w:val="0"/>
            <w:vAlign w:val="center"/>
          </w:tcPr>
          <w:p w14:paraId="57971CA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lang w:eastAsia="zh-CN"/>
              </w:rPr>
            </w:pPr>
            <w:r>
              <w:rPr>
                <w:rFonts w:hint="eastAsia" w:ascii="宋体" w:hAnsi="宋体" w:eastAsia="宋体" w:cs="宋体"/>
                <w:color w:val="auto"/>
                <w:sz w:val="22"/>
                <w:szCs w:val="21"/>
                <w:highlight w:val="none"/>
                <w:lang w:eastAsia="zh-CN"/>
              </w:rPr>
              <w:t>人</w:t>
            </w:r>
          </w:p>
        </w:tc>
        <w:tc>
          <w:tcPr>
            <w:tcW w:w="1260" w:type="dxa"/>
            <w:noWrap w:val="0"/>
            <w:vAlign w:val="center"/>
          </w:tcPr>
          <w:p w14:paraId="732353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1400</w:t>
            </w:r>
          </w:p>
        </w:tc>
        <w:tc>
          <w:tcPr>
            <w:tcW w:w="1845" w:type="dxa"/>
            <w:noWrap w:val="0"/>
            <w:vAlign w:val="center"/>
          </w:tcPr>
          <w:p w14:paraId="17D5F51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rPr>
            </w:pPr>
          </w:p>
        </w:tc>
        <w:tc>
          <w:tcPr>
            <w:tcW w:w="1140" w:type="dxa"/>
            <w:noWrap w:val="0"/>
            <w:vAlign w:val="center"/>
          </w:tcPr>
          <w:p w14:paraId="02FD4C0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rPr>
            </w:pPr>
          </w:p>
        </w:tc>
        <w:tc>
          <w:tcPr>
            <w:tcW w:w="2794" w:type="dxa"/>
            <w:noWrap w:val="0"/>
            <w:vAlign w:val="center"/>
          </w:tcPr>
          <w:p w14:paraId="6087525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rPr>
              <w:t>保洁人员</w:t>
            </w:r>
            <w:r>
              <w:rPr>
                <w:rFonts w:hint="eastAsia" w:ascii="宋体" w:hAnsi="宋体" w:eastAsia="宋体" w:cs="宋体"/>
                <w:color w:val="auto"/>
                <w:sz w:val="21"/>
                <w:szCs w:val="20"/>
                <w:highlight w:val="none"/>
                <w:lang w:eastAsia="zh-CN"/>
              </w:rPr>
              <w:t>保险费不超过</w:t>
            </w:r>
            <w:r>
              <w:rPr>
                <w:rFonts w:hint="eastAsia" w:ascii="宋体" w:hAnsi="宋体" w:eastAsia="宋体" w:cs="宋体"/>
                <w:color w:val="auto"/>
                <w:sz w:val="21"/>
                <w:szCs w:val="20"/>
                <w:highlight w:val="none"/>
                <w:lang w:val="en-US" w:eastAsia="zh-CN"/>
              </w:rPr>
              <w:t>600元/人，</w:t>
            </w:r>
            <w:r>
              <w:rPr>
                <w:rFonts w:hint="eastAsia" w:ascii="宋体" w:hAnsi="宋体" w:eastAsia="宋体" w:cs="宋体"/>
                <w:color w:val="auto"/>
                <w:sz w:val="21"/>
                <w:szCs w:val="20"/>
                <w:highlight w:val="none"/>
              </w:rPr>
              <w:t>报价超过</w:t>
            </w:r>
            <w:r>
              <w:rPr>
                <w:rFonts w:hint="eastAsia" w:ascii="宋体" w:hAnsi="宋体" w:eastAsia="宋体" w:cs="宋体"/>
                <w:color w:val="auto"/>
                <w:sz w:val="21"/>
                <w:szCs w:val="20"/>
                <w:highlight w:val="none"/>
                <w:lang w:eastAsia="zh-CN"/>
              </w:rPr>
              <w:t>单价</w:t>
            </w:r>
            <w:r>
              <w:rPr>
                <w:rFonts w:hint="eastAsia" w:ascii="宋体" w:hAnsi="宋体" w:eastAsia="宋体" w:cs="宋体"/>
                <w:color w:val="auto"/>
                <w:sz w:val="21"/>
                <w:szCs w:val="20"/>
                <w:highlight w:val="none"/>
              </w:rPr>
              <w:t>最高限价的按无效标处理。</w:t>
            </w:r>
          </w:p>
        </w:tc>
      </w:tr>
      <w:tr w14:paraId="77ECD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826" w:type="dxa"/>
            <w:noWrap w:val="0"/>
            <w:vAlign w:val="center"/>
          </w:tcPr>
          <w:p w14:paraId="2E4B5A9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2</w:t>
            </w:r>
          </w:p>
        </w:tc>
        <w:tc>
          <w:tcPr>
            <w:tcW w:w="1721" w:type="dxa"/>
            <w:noWrap w:val="0"/>
            <w:vAlign w:val="center"/>
          </w:tcPr>
          <w:p w14:paraId="665BFD8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清运工</w:t>
            </w:r>
            <w:r>
              <w:rPr>
                <w:rFonts w:hint="eastAsia" w:ascii="宋体" w:hAnsi="宋体" w:eastAsia="宋体" w:cs="宋体"/>
                <w:color w:val="auto"/>
                <w:sz w:val="22"/>
                <w:szCs w:val="21"/>
                <w:highlight w:val="none"/>
                <w:lang w:eastAsia="zh-CN"/>
              </w:rPr>
              <w:t>、</w:t>
            </w:r>
            <w:r>
              <w:rPr>
                <w:rFonts w:hint="eastAsia" w:ascii="宋体" w:hAnsi="宋体" w:eastAsia="宋体" w:cs="宋体"/>
                <w:color w:val="auto"/>
                <w:sz w:val="22"/>
                <w:szCs w:val="21"/>
                <w:highlight w:val="none"/>
              </w:rPr>
              <w:t>中转站操作工</w:t>
            </w:r>
            <w:r>
              <w:rPr>
                <w:rFonts w:hint="eastAsia" w:ascii="宋体" w:hAnsi="宋体" w:eastAsia="宋体" w:cs="宋体"/>
                <w:color w:val="auto"/>
                <w:sz w:val="22"/>
                <w:szCs w:val="21"/>
                <w:highlight w:val="none"/>
                <w:lang w:eastAsia="zh-CN"/>
              </w:rPr>
              <w:t>及</w:t>
            </w:r>
            <w:r>
              <w:rPr>
                <w:rFonts w:hint="eastAsia" w:ascii="宋体" w:hAnsi="宋体" w:eastAsia="宋体" w:cs="宋体"/>
                <w:color w:val="auto"/>
                <w:sz w:val="22"/>
                <w:szCs w:val="21"/>
                <w:highlight w:val="none"/>
              </w:rPr>
              <w:t>农护巡查管理人员</w:t>
            </w:r>
          </w:p>
        </w:tc>
        <w:tc>
          <w:tcPr>
            <w:tcW w:w="1245" w:type="dxa"/>
            <w:noWrap w:val="0"/>
            <w:vAlign w:val="center"/>
          </w:tcPr>
          <w:p w14:paraId="77EFE86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eastAsia="zh-CN"/>
              </w:rPr>
              <w:t>人</w:t>
            </w:r>
          </w:p>
        </w:tc>
        <w:tc>
          <w:tcPr>
            <w:tcW w:w="1260" w:type="dxa"/>
            <w:noWrap w:val="0"/>
            <w:vAlign w:val="center"/>
          </w:tcPr>
          <w:p w14:paraId="3E205F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450</w:t>
            </w:r>
          </w:p>
        </w:tc>
        <w:tc>
          <w:tcPr>
            <w:tcW w:w="1845" w:type="dxa"/>
            <w:noWrap w:val="0"/>
            <w:vAlign w:val="center"/>
          </w:tcPr>
          <w:p w14:paraId="7886D6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rPr>
            </w:pPr>
          </w:p>
        </w:tc>
        <w:tc>
          <w:tcPr>
            <w:tcW w:w="1140" w:type="dxa"/>
            <w:noWrap w:val="0"/>
            <w:vAlign w:val="center"/>
          </w:tcPr>
          <w:p w14:paraId="210ED8D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2"/>
                <w:szCs w:val="21"/>
                <w:highlight w:val="none"/>
                <w:lang w:val="en-US" w:eastAsia="zh-CN"/>
              </w:rPr>
            </w:pPr>
          </w:p>
        </w:tc>
        <w:tc>
          <w:tcPr>
            <w:tcW w:w="2794" w:type="dxa"/>
            <w:noWrap w:val="0"/>
            <w:vAlign w:val="center"/>
          </w:tcPr>
          <w:p w14:paraId="3264A9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0"/>
                <w:highlight w:val="none"/>
                <w:lang w:val="en-US" w:eastAsia="zh-CN"/>
              </w:rPr>
            </w:pPr>
            <w:r>
              <w:rPr>
                <w:rFonts w:hint="eastAsia" w:ascii="宋体" w:hAnsi="宋体" w:eastAsia="宋体" w:cs="宋体"/>
                <w:color w:val="auto"/>
                <w:sz w:val="21"/>
                <w:szCs w:val="20"/>
                <w:highlight w:val="none"/>
              </w:rPr>
              <w:t>清运工</w:t>
            </w:r>
            <w:r>
              <w:rPr>
                <w:rFonts w:hint="eastAsia" w:ascii="宋体" w:hAnsi="宋体" w:eastAsia="宋体" w:cs="宋体"/>
                <w:color w:val="auto"/>
                <w:sz w:val="21"/>
                <w:szCs w:val="20"/>
                <w:highlight w:val="none"/>
                <w:lang w:eastAsia="zh-CN"/>
              </w:rPr>
              <w:t>、</w:t>
            </w:r>
            <w:r>
              <w:rPr>
                <w:rFonts w:hint="eastAsia" w:ascii="宋体" w:hAnsi="宋体" w:eastAsia="宋体" w:cs="宋体"/>
                <w:color w:val="auto"/>
                <w:sz w:val="21"/>
                <w:szCs w:val="20"/>
                <w:highlight w:val="none"/>
              </w:rPr>
              <w:t>中转站操作工</w:t>
            </w:r>
            <w:r>
              <w:rPr>
                <w:rFonts w:hint="eastAsia" w:ascii="宋体" w:hAnsi="宋体" w:eastAsia="宋体" w:cs="宋体"/>
                <w:color w:val="auto"/>
                <w:sz w:val="21"/>
                <w:szCs w:val="20"/>
                <w:highlight w:val="none"/>
                <w:lang w:eastAsia="zh-CN"/>
              </w:rPr>
              <w:t>及</w:t>
            </w:r>
            <w:r>
              <w:rPr>
                <w:rFonts w:hint="eastAsia" w:ascii="宋体" w:hAnsi="宋体" w:eastAsia="宋体" w:cs="宋体"/>
                <w:color w:val="auto"/>
                <w:sz w:val="21"/>
                <w:szCs w:val="20"/>
                <w:highlight w:val="none"/>
              </w:rPr>
              <w:t>农护巡查管理人员</w:t>
            </w:r>
            <w:r>
              <w:rPr>
                <w:rFonts w:hint="eastAsia" w:ascii="宋体" w:hAnsi="宋体" w:eastAsia="宋体" w:cs="宋体"/>
                <w:color w:val="auto"/>
                <w:sz w:val="21"/>
                <w:szCs w:val="20"/>
                <w:highlight w:val="none"/>
                <w:lang w:eastAsia="zh-CN"/>
              </w:rPr>
              <w:t>保险费不超过</w:t>
            </w:r>
            <w:r>
              <w:rPr>
                <w:rFonts w:hint="eastAsia" w:ascii="宋体" w:hAnsi="宋体" w:eastAsia="宋体" w:cs="宋体"/>
                <w:color w:val="auto"/>
                <w:sz w:val="21"/>
                <w:szCs w:val="20"/>
                <w:highlight w:val="none"/>
                <w:lang w:val="en-US" w:eastAsia="zh-CN"/>
              </w:rPr>
              <w:t>800元/人，</w:t>
            </w:r>
            <w:r>
              <w:rPr>
                <w:rFonts w:hint="eastAsia" w:ascii="宋体" w:hAnsi="宋体" w:eastAsia="宋体" w:cs="宋体"/>
                <w:color w:val="auto"/>
                <w:sz w:val="21"/>
                <w:szCs w:val="20"/>
                <w:highlight w:val="none"/>
              </w:rPr>
              <w:t>报价超过</w:t>
            </w:r>
            <w:r>
              <w:rPr>
                <w:rFonts w:hint="eastAsia" w:ascii="宋体" w:hAnsi="宋体" w:eastAsia="宋体" w:cs="宋体"/>
                <w:color w:val="auto"/>
                <w:sz w:val="21"/>
                <w:szCs w:val="20"/>
                <w:highlight w:val="none"/>
                <w:lang w:eastAsia="zh-CN"/>
              </w:rPr>
              <w:t>单价</w:t>
            </w:r>
            <w:r>
              <w:rPr>
                <w:rFonts w:hint="eastAsia" w:ascii="宋体" w:hAnsi="宋体" w:eastAsia="宋体" w:cs="宋体"/>
                <w:color w:val="auto"/>
                <w:sz w:val="21"/>
                <w:szCs w:val="20"/>
                <w:highlight w:val="none"/>
              </w:rPr>
              <w:t>最高限价的按无效标处理。</w:t>
            </w:r>
          </w:p>
        </w:tc>
      </w:tr>
      <w:tr w14:paraId="33AC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0" w:hRule="atLeast"/>
          <w:jc w:val="center"/>
        </w:trPr>
        <w:tc>
          <w:tcPr>
            <w:tcW w:w="6897" w:type="dxa"/>
            <w:gridSpan w:val="5"/>
            <w:noWrap w:val="0"/>
            <w:vAlign w:val="center"/>
          </w:tcPr>
          <w:p w14:paraId="40128A4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总计（元）</w:t>
            </w:r>
          </w:p>
        </w:tc>
        <w:tc>
          <w:tcPr>
            <w:tcW w:w="1140" w:type="dxa"/>
            <w:noWrap w:val="0"/>
            <w:vAlign w:val="center"/>
          </w:tcPr>
          <w:p w14:paraId="20AF3F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rPr>
            </w:pPr>
          </w:p>
        </w:tc>
        <w:tc>
          <w:tcPr>
            <w:tcW w:w="2794" w:type="dxa"/>
            <w:noWrap w:val="0"/>
            <w:vAlign w:val="center"/>
          </w:tcPr>
          <w:p w14:paraId="3E249A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1"/>
                <w:highlight w:val="none"/>
              </w:rPr>
            </w:pPr>
          </w:p>
        </w:tc>
      </w:tr>
    </w:tbl>
    <w:p w14:paraId="10D500BA">
      <w:pPr>
        <w:spacing w:line="360" w:lineRule="auto"/>
        <w:ind w:firstLine="420"/>
        <w:rPr>
          <w:rFonts w:hint="eastAsia" w:ascii="宋体" w:hAnsi="宋体" w:eastAsia="宋体" w:cs="宋体"/>
          <w:color w:val="auto"/>
          <w:szCs w:val="24"/>
          <w:highlight w:val="none"/>
        </w:rPr>
      </w:pPr>
    </w:p>
    <w:p w14:paraId="304A11F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3D369C8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3212E48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286C3C3B">
      <w:pPr>
        <w:widowControl/>
        <w:spacing w:line="0" w:lineRule="atLeast"/>
        <w:rPr>
          <w:rFonts w:hint="eastAsia" w:ascii="宋体" w:hAnsi="宋体" w:cs="宋体" w:eastAsiaTheme="minorEastAsia"/>
          <w:i/>
          <w:color w:val="auto"/>
          <w:sz w:val="30"/>
          <w:szCs w:val="30"/>
          <w:highlight w:val="none"/>
          <w:u w:val="single"/>
          <w:lang w:eastAsia="zh-CN"/>
        </w:rPr>
        <w:sectPr>
          <w:pgSz w:w="11906" w:h="16838"/>
          <w:pgMar w:top="1440" w:right="1800" w:bottom="1440" w:left="1800" w:header="851" w:footer="992" w:gutter="0"/>
          <w:cols w:space="425" w:num="1"/>
          <w:docGrid w:linePitch="360" w:charSpace="0"/>
        </w:sectPr>
      </w:pPr>
      <w:r>
        <w:rPr>
          <w:rFonts w:hint="eastAsia" w:ascii="宋体" w:hAnsi="宋体" w:cs="宋体"/>
          <w:color w:val="auto"/>
          <w:sz w:val="24"/>
          <w:szCs w:val="24"/>
          <w:highlight w:val="none"/>
          <w:lang w:val="en-US" w:eastAsia="zh-CN"/>
        </w:rPr>
        <w:t>注：1.</w:t>
      </w:r>
      <w:r>
        <w:rPr>
          <w:rFonts w:hint="eastAsia" w:ascii="宋体" w:hAnsi="宋体" w:eastAsia="宋体" w:cs="宋体"/>
          <w:color w:val="auto"/>
          <w:sz w:val="24"/>
          <w:szCs w:val="24"/>
          <w:highlight w:val="none"/>
          <w:lang w:eastAsia="zh-CN"/>
        </w:rPr>
        <w:t>本项目采用固定单价方式，结算时以实际发生数量进行结算。</w:t>
      </w:r>
    </w:p>
    <w:p w14:paraId="206DEF77">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26" w:name="_Hlt26955054"/>
      <w:bookmarkEnd w:id="126"/>
      <w:bookmarkStart w:id="127" w:name="_Toc14027"/>
      <w:r>
        <w:rPr>
          <w:rFonts w:hint="eastAsia" w:ascii="宋体" w:hAnsi="宋体" w:eastAsia="宋体" w:cs="宋体"/>
          <w:i/>
          <w:color w:val="auto"/>
          <w:sz w:val="30"/>
          <w:szCs w:val="30"/>
          <w:highlight w:val="none"/>
          <w:u w:val="single"/>
        </w:rPr>
        <w:t>十五、商务要求响应及偏离表（分包号：**）</w:t>
      </w:r>
      <w:bookmarkEnd w:id="127"/>
    </w:p>
    <w:p w14:paraId="49509EE4">
      <w:pPr>
        <w:tabs>
          <w:tab w:val="left" w:pos="360"/>
        </w:tabs>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商务要求响应及偏离表</w:t>
      </w:r>
    </w:p>
    <w:p w14:paraId="2B27F3C5">
      <w:pPr>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项目名称：项目编号：分包号：</w:t>
      </w:r>
    </w:p>
    <w:tbl>
      <w:tblPr>
        <w:tblStyle w:val="3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784F8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211087EB">
            <w:pPr>
              <w:jc w:val="center"/>
              <w:rPr>
                <w:rFonts w:hint="eastAsia" w:ascii="宋体" w:hAnsi="宋体" w:eastAsia="宋体" w:cs="宋体"/>
                <w:color w:val="auto"/>
                <w:sz w:val="24"/>
                <w:szCs w:val="24"/>
                <w:highlight w:val="none"/>
              </w:rPr>
            </w:pPr>
            <w:bookmarkStart w:id="128" w:name="_Hlt26955064"/>
            <w:bookmarkEnd w:id="128"/>
            <w:bookmarkStart w:id="129" w:name="_Hlt24879081"/>
            <w:bookmarkEnd w:id="129"/>
            <w:bookmarkStart w:id="130" w:name="_Hlt26671372"/>
            <w:bookmarkEnd w:id="130"/>
            <w:bookmarkStart w:id="131" w:name="_Hlt26955056"/>
            <w:bookmarkEnd w:id="131"/>
            <w:bookmarkStart w:id="132" w:name="_Hlt26580838"/>
            <w:bookmarkEnd w:id="132"/>
            <w:bookmarkStart w:id="133" w:name="_Hlt26609391"/>
            <w:bookmarkEnd w:id="133"/>
            <w:bookmarkStart w:id="134" w:name="_Hlt26671343"/>
            <w:bookmarkEnd w:id="134"/>
            <w:bookmarkStart w:id="135" w:name="_Hlt26782999"/>
            <w:bookmarkEnd w:id="135"/>
            <w:r>
              <w:rPr>
                <w:rFonts w:hint="eastAsia" w:ascii="宋体" w:hAnsi="宋体" w:eastAsia="宋体" w:cs="宋体"/>
                <w:color w:val="auto"/>
                <w:sz w:val="24"/>
                <w:szCs w:val="24"/>
                <w:highlight w:val="none"/>
              </w:rPr>
              <w:t>序号</w:t>
            </w:r>
          </w:p>
        </w:tc>
        <w:tc>
          <w:tcPr>
            <w:tcW w:w="3263" w:type="dxa"/>
            <w:vAlign w:val="center"/>
          </w:tcPr>
          <w:p w14:paraId="3C2D62A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3034" w:type="dxa"/>
            <w:vAlign w:val="center"/>
          </w:tcPr>
          <w:p w14:paraId="6F5834B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1391" w:type="dxa"/>
            <w:vAlign w:val="center"/>
          </w:tcPr>
          <w:p w14:paraId="3DA2D6C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2FD97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4169E4E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263" w:type="dxa"/>
            <w:vAlign w:val="center"/>
          </w:tcPr>
          <w:p w14:paraId="7BD9ADD9">
            <w:pPr>
              <w:jc w:val="center"/>
              <w:rPr>
                <w:rFonts w:hint="eastAsia" w:ascii="宋体" w:hAnsi="宋体" w:eastAsia="宋体" w:cs="宋体"/>
                <w:color w:val="auto"/>
                <w:sz w:val="24"/>
                <w:szCs w:val="24"/>
                <w:highlight w:val="none"/>
              </w:rPr>
            </w:pPr>
          </w:p>
        </w:tc>
        <w:tc>
          <w:tcPr>
            <w:tcW w:w="3034" w:type="dxa"/>
            <w:vAlign w:val="center"/>
          </w:tcPr>
          <w:p w14:paraId="7C7C9D3D">
            <w:pPr>
              <w:jc w:val="center"/>
              <w:rPr>
                <w:rFonts w:hint="eastAsia" w:ascii="宋体" w:hAnsi="宋体" w:eastAsia="宋体" w:cs="宋体"/>
                <w:color w:val="auto"/>
                <w:sz w:val="24"/>
                <w:szCs w:val="24"/>
                <w:highlight w:val="none"/>
              </w:rPr>
            </w:pPr>
          </w:p>
        </w:tc>
        <w:tc>
          <w:tcPr>
            <w:tcW w:w="1391" w:type="dxa"/>
            <w:vAlign w:val="center"/>
          </w:tcPr>
          <w:p w14:paraId="1C88BC23">
            <w:pPr>
              <w:jc w:val="center"/>
              <w:rPr>
                <w:rFonts w:hint="eastAsia" w:ascii="宋体" w:hAnsi="宋体" w:eastAsia="宋体" w:cs="宋体"/>
                <w:color w:val="auto"/>
                <w:sz w:val="24"/>
                <w:szCs w:val="24"/>
                <w:highlight w:val="none"/>
              </w:rPr>
            </w:pPr>
          </w:p>
        </w:tc>
      </w:tr>
      <w:tr w14:paraId="2D292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639393A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263" w:type="dxa"/>
            <w:vAlign w:val="center"/>
          </w:tcPr>
          <w:p w14:paraId="4457BF1E">
            <w:pPr>
              <w:jc w:val="center"/>
              <w:rPr>
                <w:rFonts w:hint="eastAsia" w:ascii="宋体" w:hAnsi="宋体" w:eastAsia="宋体" w:cs="宋体"/>
                <w:color w:val="auto"/>
                <w:sz w:val="24"/>
                <w:szCs w:val="24"/>
                <w:highlight w:val="none"/>
              </w:rPr>
            </w:pPr>
          </w:p>
        </w:tc>
        <w:tc>
          <w:tcPr>
            <w:tcW w:w="3034" w:type="dxa"/>
            <w:vAlign w:val="center"/>
          </w:tcPr>
          <w:p w14:paraId="33E07315">
            <w:pPr>
              <w:jc w:val="center"/>
              <w:rPr>
                <w:rFonts w:hint="eastAsia" w:ascii="宋体" w:hAnsi="宋体" w:eastAsia="宋体" w:cs="宋体"/>
                <w:color w:val="auto"/>
                <w:sz w:val="24"/>
                <w:szCs w:val="24"/>
                <w:highlight w:val="none"/>
              </w:rPr>
            </w:pPr>
          </w:p>
        </w:tc>
        <w:tc>
          <w:tcPr>
            <w:tcW w:w="1391" w:type="dxa"/>
            <w:vAlign w:val="center"/>
          </w:tcPr>
          <w:p w14:paraId="7B1CBB39">
            <w:pPr>
              <w:jc w:val="center"/>
              <w:rPr>
                <w:rFonts w:hint="eastAsia" w:ascii="宋体" w:hAnsi="宋体" w:eastAsia="宋体" w:cs="宋体"/>
                <w:color w:val="auto"/>
                <w:sz w:val="24"/>
                <w:szCs w:val="24"/>
                <w:highlight w:val="none"/>
              </w:rPr>
            </w:pPr>
          </w:p>
        </w:tc>
      </w:tr>
      <w:tr w14:paraId="633D5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546D2E6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263" w:type="dxa"/>
            <w:vAlign w:val="center"/>
          </w:tcPr>
          <w:p w14:paraId="65E22035">
            <w:pPr>
              <w:jc w:val="center"/>
              <w:rPr>
                <w:rFonts w:hint="eastAsia" w:ascii="宋体" w:hAnsi="宋体" w:eastAsia="宋体" w:cs="宋体"/>
                <w:color w:val="auto"/>
                <w:sz w:val="24"/>
                <w:szCs w:val="24"/>
                <w:highlight w:val="none"/>
              </w:rPr>
            </w:pPr>
          </w:p>
        </w:tc>
        <w:tc>
          <w:tcPr>
            <w:tcW w:w="3034" w:type="dxa"/>
            <w:vAlign w:val="center"/>
          </w:tcPr>
          <w:p w14:paraId="31D5E18B">
            <w:pPr>
              <w:jc w:val="center"/>
              <w:rPr>
                <w:rFonts w:hint="eastAsia" w:ascii="宋体" w:hAnsi="宋体" w:eastAsia="宋体" w:cs="宋体"/>
                <w:color w:val="auto"/>
                <w:sz w:val="24"/>
                <w:szCs w:val="24"/>
                <w:highlight w:val="none"/>
              </w:rPr>
            </w:pPr>
          </w:p>
        </w:tc>
        <w:tc>
          <w:tcPr>
            <w:tcW w:w="1391" w:type="dxa"/>
            <w:vAlign w:val="center"/>
          </w:tcPr>
          <w:p w14:paraId="428CE507">
            <w:pPr>
              <w:jc w:val="center"/>
              <w:rPr>
                <w:rFonts w:hint="eastAsia" w:ascii="宋体" w:hAnsi="宋体" w:eastAsia="宋体" w:cs="宋体"/>
                <w:color w:val="auto"/>
                <w:sz w:val="24"/>
                <w:szCs w:val="24"/>
                <w:highlight w:val="none"/>
              </w:rPr>
            </w:pPr>
          </w:p>
        </w:tc>
      </w:tr>
      <w:tr w14:paraId="71CDB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589AE21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263" w:type="dxa"/>
            <w:vAlign w:val="center"/>
          </w:tcPr>
          <w:p w14:paraId="508CECD2">
            <w:pPr>
              <w:jc w:val="center"/>
              <w:rPr>
                <w:rFonts w:hint="eastAsia" w:ascii="宋体" w:hAnsi="宋体" w:eastAsia="宋体" w:cs="宋体"/>
                <w:color w:val="auto"/>
                <w:sz w:val="24"/>
                <w:szCs w:val="24"/>
                <w:highlight w:val="none"/>
              </w:rPr>
            </w:pPr>
          </w:p>
        </w:tc>
        <w:tc>
          <w:tcPr>
            <w:tcW w:w="3034" w:type="dxa"/>
            <w:vAlign w:val="center"/>
          </w:tcPr>
          <w:p w14:paraId="73C29D03">
            <w:pPr>
              <w:jc w:val="center"/>
              <w:rPr>
                <w:rFonts w:hint="eastAsia" w:ascii="宋体" w:hAnsi="宋体" w:eastAsia="宋体" w:cs="宋体"/>
                <w:color w:val="auto"/>
                <w:sz w:val="24"/>
                <w:szCs w:val="24"/>
                <w:highlight w:val="none"/>
              </w:rPr>
            </w:pPr>
          </w:p>
        </w:tc>
        <w:tc>
          <w:tcPr>
            <w:tcW w:w="1391" w:type="dxa"/>
            <w:vAlign w:val="center"/>
          </w:tcPr>
          <w:p w14:paraId="0C15FC47">
            <w:pPr>
              <w:jc w:val="center"/>
              <w:rPr>
                <w:rFonts w:hint="eastAsia" w:ascii="宋体" w:hAnsi="宋体" w:eastAsia="宋体" w:cs="宋体"/>
                <w:color w:val="auto"/>
                <w:sz w:val="24"/>
                <w:szCs w:val="24"/>
                <w:highlight w:val="none"/>
              </w:rPr>
            </w:pPr>
          </w:p>
        </w:tc>
      </w:tr>
    </w:tbl>
    <w:p w14:paraId="5ECEF844">
      <w:pPr>
        <w:spacing w:line="500" w:lineRule="exact"/>
        <w:ind w:firstLine="480"/>
        <w:rPr>
          <w:rFonts w:hint="eastAsia" w:ascii="宋体" w:hAnsi="宋体" w:eastAsia="宋体" w:cs="宋体"/>
          <w:color w:val="auto"/>
          <w:sz w:val="24"/>
          <w:szCs w:val="24"/>
          <w:highlight w:val="none"/>
        </w:rPr>
      </w:pPr>
    </w:p>
    <w:p w14:paraId="180933CF">
      <w:pPr>
        <w:spacing w:line="500" w:lineRule="exact"/>
        <w:ind w:firstLine="480"/>
        <w:rPr>
          <w:rFonts w:hint="eastAsia" w:ascii="宋体" w:hAnsi="宋体" w:eastAsia="宋体" w:cs="宋体"/>
          <w:color w:val="auto"/>
          <w:sz w:val="24"/>
          <w:szCs w:val="24"/>
          <w:highlight w:val="none"/>
        </w:rPr>
      </w:pPr>
    </w:p>
    <w:p w14:paraId="5E72E1A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0A0B452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081879FF">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14:paraId="364C4C64">
      <w:pPr>
        <w:rPr>
          <w:rFonts w:hint="eastAsia" w:ascii="宋体" w:hAnsi="宋体" w:eastAsia="宋体" w:cs="宋体"/>
          <w:color w:val="auto"/>
          <w:highlight w:val="none"/>
        </w:rPr>
      </w:pPr>
      <w:bookmarkStart w:id="136" w:name="_Hlt26671374"/>
      <w:bookmarkEnd w:id="136"/>
      <w:bookmarkStart w:id="137" w:name="_格式2__法定代表人授权书"/>
      <w:bookmarkEnd w:id="137"/>
      <w:bookmarkStart w:id="138" w:name="_Hlt26609389"/>
      <w:bookmarkEnd w:id="138"/>
      <w:bookmarkStart w:id="139" w:name="_Hlt26955066"/>
      <w:bookmarkEnd w:id="139"/>
    </w:p>
    <w:p w14:paraId="0C0E9440">
      <w:pPr>
        <w:rPr>
          <w:rFonts w:hint="eastAsia" w:ascii="宋体" w:hAnsi="宋体" w:eastAsia="宋体" w:cs="宋体"/>
          <w:color w:val="auto"/>
          <w:highlight w:val="none"/>
        </w:rPr>
      </w:pPr>
    </w:p>
    <w:p w14:paraId="68797F0A">
      <w:pPr>
        <w:keepNext/>
        <w:keepLines/>
        <w:spacing w:before="360" w:after="200" w:line="360" w:lineRule="auto"/>
        <w:jc w:val="left"/>
        <w:outlineLvl w:val="0"/>
        <w:rPr>
          <w:rFonts w:hint="eastAsia" w:ascii="宋体" w:hAnsi="宋体" w:eastAsia="宋体" w:cs="宋体"/>
          <w:i/>
          <w:color w:val="auto"/>
          <w:sz w:val="30"/>
          <w:szCs w:val="30"/>
          <w:highlight w:val="none"/>
          <w:u w:val="single"/>
        </w:rPr>
      </w:pPr>
      <w:bookmarkStart w:id="140" w:name="_Toc25407"/>
      <w:r>
        <w:rPr>
          <w:rFonts w:hint="eastAsia" w:ascii="宋体" w:hAnsi="宋体" w:eastAsia="宋体" w:cs="宋体"/>
          <w:i/>
          <w:color w:val="auto"/>
          <w:sz w:val="30"/>
          <w:szCs w:val="30"/>
          <w:highlight w:val="none"/>
          <w:u w:val="single"/>
        </w:rPr>
        <w:t>十六、开标一览表</w:t>
      </w:r>
      <w:bookmarkEnd w:id="140"/>
    </w:p>
    <w:p w14:paraId="24CCEE8A">
      <w:pPr>
        <w:spacing w:line="360" w:lineRule="auto"/>
        <w:jc w:val="left"/>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项目编号：分包号：</w:t>
      </w:r>
    </w:p>
    <w:p w14:paraId="032D5266">
      <w:pPr>
        <w:spacing w:line="500" w:lineRule="exact"/>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货币单位：人民币元</w:t>
      </w:r>
    </w:p>
    <w:tbl>
      <w:tblPr>
        <w:tblStyle w:val="38"/>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0"/>
        <w:gridCol w:w="2841"/>
        <w:gridCol w:w="2841"/>
      </w:tblGrid>
      <w:tr w14:paraId="4ECDF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tcPr>
          <w:p w14:paraId="05357155">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841" w:type="dxa"/>
          </w:tcPr>
          <w:p w14:paraId="4B18D3A0">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2841" w:type="dxa"/>
          </w:tcPr>
          <w:p w14:paraId="20123EDF">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总价（小写）</w:t>
            </w:r>
          </w:p>
        </w:tc>
      </w:tr>
      <w:tr w14:paraId="55EB1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tcPr>
          <w:p w14:paraId="0E36A5C9">
            <w:pPr>
              <w:spacing w:line="500" w:lineRule="exact"/>
              <w:jc w:val="center"/>
              <w:rPr>
                <w:rFonts w:hint="eastAsia" w:ascii="宋体" w:hAnsi="宋体" w:eastAsia="宋体" w:cs="宋体"/>
                <w:color w:val="auto"/>
                <w:sz w:val="24"/>
                <w:szCs w:val="24"/>
                <w:highlight w:val="none"/>
              </w:rPr>
            </w:pPr>
          </w:p>
        </w:tc>
        <w:tc>
          <w:tcPr>
            <w:tcW w:w="2841" w:type="dxa"/>
          </w:tcPr>
          <w:p w14:paraId="4BDF9510">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详见投标文件</w:t>
            </w:r>
          </w:p>
        </w:tc>
        <w:tc>
          <w:tcPr>
            <w:tcW w:w="2841" w:type="dxa"/>
          </w:tcPr>
          <w:p w14:paraId="3A611422">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w:t>
            </w:r>
          </w:p>
        </w:tc>
      </w:tr>
      <w:tr w14:paraId="0071B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tcPr>
          <w:p w14:paraId="3D382A0C">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总价（大写）</w:t>
            </w:r>
          </w:p>
        </w:tc>
        <w:tc>
          <w:tcPr>
            <w:tcW w:w="5682" w:type="dxa"/>
            <w:gridSpan w:val="2"/>
          </w:tcPr>
          <w:p w14:paraId="0B51A50E">
            <w:pPr>
              <w:spacing w:line="500" w:lineRule="exact"/>
              <w:jc w:val="center"/>
              <w:rPr>
                <w:rFonts w:hint="eastAsia" w:ascii="宋体" w:hAnsi="宋体" w:eastAsia="宋体" w:cs="宋体"/>
                <w:color w:val="auto"/>
                <w:sz w:val="24"/>
                <w:szCs w:val="24"/>
                <w:highlight w:val="none"/>
              </w:rPr>
            </w:pPr>
          </w:p>
        </w:tc>
      </w:tr>
    </w:tbl>
    <w:p w14:paraId="38A99D86">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投标人公章：（电子签章）</w:t>
      </w:r>
    </w:p>
    <w:p w14:paraId="7101BC84">
      <w:pPr>
        <w:rPr>
          <w:rFonts w:hint="eastAsia" w:ascii="宋体" w:hAnsi="宋体" w:eastAsia="宋体" w:cs="宋体"/>
          <w:color w:val="auto"/>
          <w:highlight w:val="none"/>
        </w:rPr>
      </w:pPr>
    </w:p>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Mincho">
    <w:panose1 w:val="02020609040205080304"/>
    <w:charset w:val="80"/>
    <w:family w:val="auto"/>
    <w:pitch w:val="default"/>
    <w:sig w:usb0="E00002FF" w:usb1="6AC7FDFB" w:usb2="00000012" w:usb3="00000000" w:csb0="4002009F" w:csb1="DFD70000"/>
  </w:font>
  <w:font w:name="方正中等线简体">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DDD8A">
    <w:pPr>
      <w:pStyle w:val="23"/>
      <w:jc w:val="center"/>
    </w:pPr>
  </w:p>
  <w:p w14:paraId="33DF9F20">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0469E">
    <w:pPr>
      <w:pStyle w:val="23"/>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E5C26E">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24E5C26E">
                    <w:pPr>
                      <w:pStyle w:val="23"/>
                    </w:pPr>
                    <w:r>
                      <w:fldChar w:fldCharType="begin"/>
                    </w:r>
                    <w:r>
                      <w:instrText xml:space="preserve"> PAGE  \* MERGEFORMAT </w:instrText>
                    </w:r>
                    <w:r>
                      <w:fldChar w:fldCharType="separate"/>
                    </w:r>
                    <w:r>
                      <w:t>2</w:t>
                    </w:r>
                    <w:r>
                      <w:fldChar w:fldCharType="end"/>
                    </w:r>
                  </w:p>
                </w:txbxContent>
              </v:textbox>
            </v:shape>
          </w:pict>
        </mc:Fallback>
      </mc:AlternateContent>
    </w:r>
  </w:p>
  <w:p w14:paraId="2DBF7981">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04CA7">
    <w:pPr>
      <w:pStyle w:val="2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9270858"/>
                          </w:sdtPr>
                          <w:sdtContent>
                            <w:p w14:paraId="5CCFA523">
                              <w:pPr>
                                <w:pStyle w:val="23"/>
                                <w:jc w:val="center"/>
                              </w:pPr>
                              <w:r>
                                <w:fldChar w:fldCharType="begin"/>
                              </w:r>
                              <w:r>
                                <w:instrText xml:space="preserve"> PAGE   \* MERGEFORMAT </w:instrText>
                              </w:r>
                              <w:r>
                                <w:fldChar w:fldCharType="separate"/>
                              </w:r>
                              <w:r>
                                <w:rPr>
                                  <w:lang w:val="zh-CN"/>
                                </w:rPr>
                                <w:t>15</w:t>
                              </w:r>
                              <w:r>
                                <w:rPr>
                                  <w:lang w:val="zh-CN"/>
                                </w:rPr>
                                <w:fldChar w:fldCharType="end"/>
                              </w:r>
                            </w:p>
                          </w:sdtContent>
                        </w:sdt>
                        <w:p w14:paraId="58B3EA6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B9afho2AgAAYwQAAA4AAAAAAAAAAQAgAAAAHwEAAGRycy9lMm9Eb2MueG1s&#10;UEsFBgAAAAAGAAYAWQEAAMcFAAAAAA==&#10;">
              <v:fill on="f" focussize="0,0"/>
              <v:stroke on="f" weight="0.5pt"/>
              <v:imagedata o:title=""/>
              <o:lock v:ext="edit" aspectratio="f"/>
              <v:textbox inset="0mm,0mm,0mm,0mm" style="mso-fit-shape-to-text:t;">
                <w:txbxContent>
                  <w:sdt>
                    <w:sdtPr>
                      <w:id w:val="29270858"/>
                    </w:sdtPr>
                    <w:sdtContent>
                      <w:p w14:paraId="5CCFA523">
                        <w:pPr>
                          <w:pStyle w:val="23"/>
                          <w:jc w:val="center"/>
                        </w:pPr>
                        <w:r>
                          <w:fldChar w:fldCharType="begin"/>
                        </w:r>
                        <w:r>
                          <w:instrText xml:space="preserve"> PAGE   \* MERGEFORMAT </w:instrText>
                        </w:r>
                        <w:r>
                          <w:fldChar w:fldCharType="separate"/>
                        </w:r>
                        <w:r>
                          <w:rPr>
                            <w:lang w:val="zh-CN"/>
                          </w:rPr>
                          <w:t>15</w:t>
                        </w:r>
                        <w:r>
                          <w:rPr>
                            <w:lang w:val="zh-CN"/>
                          </w:rPr>
                          <w:fldChar w:fldCharType="end"/>
                        </w:r>
                      </w:p>
                    </w:sdtContent>
                  </w:sdt>
                  <w:p w14:paraId="58B3EA6C"/>
                </w:txbxContent>
              </v:textbox>
            </v:shape>
          </w:pict>
        </mc:Fallback>
      </mc:AlternateContent>
    </w:r>
  </w:p>
  <w:p w14:paraId="2C220936">
    <w:pPr>
      <w:pStyle w:val="2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06E9E">
    <w:pPr>
      <w:pStyle w:val="2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F6F84D">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H1RM42AgAAYwQAAA4AAAAAAAAAAQAgAAAAHwEAAGRycy9lMm9Eb2MueG1s&#10;UEsFBgAAAAAGAAYAWQEAAMcFAAAAAA==&#10;">
              <v:fill on="f" focussize="0,0"/>
              <v:stroke on="f" weight="0.5pt"/>
              <v:imagedata o:title=""/>
              <o:lock v:ext="edit" aspectratio="f"/>
              <v:textbox inset="0mm,0mm,0mm,0mm" style="mso-fit-shape-to-text:t;">
                <w:txbxContent>
                  <w:p w14:paraId="3BF6F84D">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510BE">
    <w:pPr>
      <w:pStyle w:val="23"/>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sdt>
                          <w:sdtPr>
                            <w:id w:val="147474176"/>
                          </w:sdtPr>
                          <w:sdtContent>
                            <w:p w14:paraId="5F406F5E">
                              <w:pPr>
                                <w:pStyle w:val="23"/>
                                <w:jc w:val="center"/>
                              </w:pPr>
                              <w:r>
                                <w:fldChar w:fldCharType="begin"/>
                              </w:r>
                              <w:r>
                                <w:instrText xml:space="preserve"> PAGE   \* MERGEFORMAT </w:instrText>
                              </w:r>
                              <w:r>
                                <w:fldChar w:fldCharType="separate"/>
                              </w:r>
                              <w:r>
                                <w:rPr>
                                  <w:lang w:val="zh-CN"/>
                                </w:rPr>
                                <w:t>71</w:t>
                              </w:r>
                              <w:r>
                                <w:rPr>
                                  <w:lang w:val="zh-CN"/>
                                </w:rPr>
                                <w:fldChar w:fldCharType="end"/>
                              </w:r>
                            </w:p>
                          </w:sdtContent>
                        </w:sdt>
                        <w:p w14:paraId="12C4B1A1">
                          <w:pPr>
                            <w:pStyle w:val="5"/>
                          </w:pPr>
                        </w:p>
                      </w:txbxContent>
                    </wps:txbx>
                    <wps:bodyPr wrap="none" lIns="0" tIns="0" rIns="0" bIns="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lBY9BzAEAAJsDAAAOAAAAAAAAAAEAIAAAAB4BAABkcnMvZTJv&#10;RG9jLnhtbFBLBQYAAAAABgAGAFkBAABcBQAAAAA=&#10;">
              <v:fill on="f" focussize="0,0"/>
              <v:stroke on="f"/>
              <v:imagedata o:title=""/>
              <o:lock v:ext="edit" aspectratio="f"/>
              <v:textbox inset="0mm,0mm,0mm,0mm" style="mso-fit-shape-to-text:t;">
                <w:txbxContent>
                  <w:sdt>
                    <w:sdtPr>
                      <w:id w:val="147474176"/>
                    </w:sdtPr>
                    <w:sdtContent>
                      <w:p w14:paraId="5F406F5E">
                        <w:pPr>
                          <w:pStyle w:val="23"/>
                          <w:jc w:val="center"/>
                        </w:pPr>
                        <w:r>
                          <w:fldChar w:fldCharType="begin"/>
                        </w:r>
                        <w:r>
                          <w:instrText xml:space="preserve"> PAGE   \* MERGEFORMAT </w:instrText>
                        </w:r>
                        <w:r>
                          <w:fldChar w:fldCharType="separate"/>
                        </w:r>
                        <w:r>
                          <w:rPr>
                            <w:lang w:val="zh-CN"/>
                          </w:rPr>
                          <w:t>71</w:t>
                        </w:r>
                        <w:r>
                          <w:rPr>
                            <w:lang w:val="zh-CN"/>
                          </w:rPr>
                          <w:fldChar w:fldCharType="end"/>
                        </w:r>
                      </w:p>
                    </w:sdtContent>
                  </w:sdt>
                  <w:p w14:paraId="12C4B1A1">
                    <w:pPr>
                      <w:pStyle w:val="5"/>
                    </w:pPr>
                  </w:p>
                </w:txbxContent>
              </v:textbox>
            </v:shape>
          </w:pict>
        </mc:Fallback>
      </mc:AlternateContent>
    </w:r>
  </w:p>
  <w:p w14:paraId="4735F5EA">
    <w:pPr>
      <w:pStyle w:val="2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92501">
    <w:pPr>
      <w:pStyle w:val="2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6034A6D">
                          <w:pPr>
                            <w:pStyle w:val="23"/>
                          </w:pPr>
                          <w:r>
                            <w:fldChar w:fldCharType="begin"/>
                          </w:r>
                          <w:r>
                            <w:instrText xml:space="preserve"> PAGE  \* MERGEFORMAT </w:instrText>
                          </w:r>
                          <w:r>
                            <w:fldChar w:fldCharType="separate"/>
                          </w:r>
                          <w:r>
                            <w:t>48</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8NIOnzAEAAJsDAAAOAAAAAAAAAAEAIAAAAB4BAABkcnMvZTJv&#10;RG9jLnhtbFBLBQYAAAAABgAGAFkBAABcBQAAAAA=&#10;">
              <v:fill on="f" focussize="0,0"/>
              <v:stroke on="f"/>
              <v:imagedata o:title=""/>
              <o:lock v:ext="edit" aspectratio="f"/>
              <v:textbox inset="0mm,0mm,0mm,0mm" style="mso-fit-shape-to-text:t;">
                <w:txbxContent>
                  <w:p w14:paraId="26034A6D">
                    <w:pPr>
                      <w:pStyle w:val="23"/>
                    </w:pPr>
                    <w:r>
                      <w:fldChar w:fldCharType="begin"/>
                    </w:r>
                    <w:r>
                      <w:instrText xml:space="preserve"> PAGE  \* MERGEFORMAT </w:instrText>
                    </w:r>
                    <w:r>
                      <w:fldChar w:fldCharType="separate"/>
                    </w:r>
                    <w:r>
                      <w:t>48</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43B010"/>
    <w:multiLevelType w:val="singleLevel"/>
    <w:tmpl w:val="9843B010"/>
    <w:lvl w:ilvl="0" w:tentative="0">
      <w:start w:val="2"/>
      <w:numFmt w:val="decimal"/>
      <w:suff w:val="nothing"/>
      <w:lvlText w:val="（%1）"/>
      <w:lvlJc w:val="left"/>
    </w:lvl>
  </w:abstractNum>
  <w:abstractNum w:abstractNumId="1">
    <w:nsid w:val="A724091A"/>
    <w:multiLevelType w:val="singleLevel"/>
    <w:tmpl w:val="A724091A"/>
    <w:lvl w:ilvl="0" w:tentative="0">
      <w:start w:val="1"/>
      <w:numFmt w:val="decimal"/>
      <w:suff w:val="nothing"/>
      <w:lvlText w:val="%1、"/>
      <w:lvlJc w:val="left"/>
    </w:lvl>
  </w:abstractNum>
  <w:abstractNum w:abstractNumId="2">
    <w:nsid w:val="A83F89C4"/>
    <w:multiLevelType w:val="singleLevel"/>
    <w:tmpl w:val="A83F89C4"/>
    <w:lvl w:ilvl="0" w:tentative="0">
      <w:start w:val="6"/>
      <w:numFmt w:val="decimal"/>
      <w:lvlText w:val="%1."/>
      <w:lvlJc w:val="left"/>
      <w:pPr>
        <w:tabs>
          <w:tab w:val="left" w:pos="312"/>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2N2EzNWI1Nzg5MGUwM2I0YTJlNTFhMjJhMzU3ZjQifQ=="/>
  </w:docVars>
  <w:rsids>
    <w:rsidRoot w:val="00251009"/>
    <w:rsid w:val="00251009"/>
    <w:rsid w:val="004465BF"/>
    <w:rsid w:val="004E405F"/>
    <w:rsid w:val="005D7137"/>
    <w:rsid w:val="00BB6195"/>
    <w:rsid w:val="01497A7F"/>
    <w:rsid w:val="0455014D"/>
    <w:rsid w:val="07CC6811"/>
    <w:rsid w:val="07F813C7"/>
    <w:rsid w:val="0D415BDD"/>
    <w:rsid w:val="0EB421D9"/>
    <w:rsid w:val="112F1851"/>
    <w:rsid w:val="12421CB2"/>
    <w:rsid w:val="12C16C73"/>
    <w:rsid w:val="13476524"/>
    <w:rsid w:val="144D6A10"/>
    <w:rsid w:val="184D14C9"/>
    <w:rsid w:val="1D3C37A4"/>
    <w:rsid w:val="1DA022A7"/>
    <w:rsid w:val="1F4924CA"/>
    <w:rsid w:val="215869F4"/>
    <w:rsid w:val="21E22D8A"/>
    <w:rsid w:val="2314697F"/>
    <w:rsid w:val="25231339"/>
    <w:rsid w:val="2FA967C7"/>
    <w:rsid w:val="300F07AF"/>
    <w:rsid w:val="307D6DD7"/>
    <w:rsid w:val="33A855B9"/>
    <w:rsid w:val="378131E1"/>
    <w:rsid w:val="37FD6BB2"/>
    <w:rsid w:val="39F63332"/>
    <w:rsid w:val="3A7709CE"/>
    <w:rsid w:val="3B756ABD"/>
    <w:rsid w:val="3DF8713D"/>
    <w:rsid w:val="45257FB6"/>
    <w:rsid w:val="45DF23A0"/>
    <w:rsid w:val="48101781"/>
    <w:rsid w:val="49374FBE"/>
    <w:rsid w:val="49C04F42"/>
    <w:rsid w:val="521C68BA"/>
    <w:rsid w:val="5342566A"/>
    <w:rsid w:val="54596730"/>
    <w:rsid w:val="57256D9D"/>
    <w:rsid w:val="5AB126F6"/>
    <w:rsid w:val="5B555777"/>
    <w:rsid w:val="5F9920D6"/>
    <w:rsid w:val="61407047"/>
    <w:rsid w:val="655E0D9E"/>
    <w:rsid w:val="6AF6662F"/>
    <w:rsid w:val="6DC044B0"/>
    <w:rsid w:val="6F5431EC"/>
    <w:rsid w:val="78F341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0"/>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1"/>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2"/>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3"/>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5"/>
    <w:qFormat/>
    <w:uiPriority w:val="0"/>
    <w:rPr>
      <w:rFonts w:eastAsia="楷体_GB2312"/>
      <w:b/>
      <w:bCs/>
      <w:color w:val="FF0000"/>
      <w:sz w:val="32"/>
      <w:szCs w:val="32"/>
      <w:lang w:val="zh-CN"/>
    </w:rPr>
  </w:style>
  <w:style w:type="paragraph" w:styleId="15">
    <w:name w:val="Body Text 2"/>
    <w:next w:val="14"/>
    <w:qFormat/>
    <w:uiPriority w:val="0"/>
    <w:pPr>
      <w:widowControl w:val="0"/>
      <w:spacing w:line="560" w:lineRule="exact"/>
      <w:jc w:val="both"/>
    </w:pPr>
    <w:rPr>
      <w:rFonts w:ascii="仿宋_GB2312" w:hAnsi="Times New Roman" w:eastAsia="仿宋_GB2312" w:cs="Times New Roman"/>
      <w:sz w:val="28"/>
      <w:szCs w:val="30"/>
      <w:lang w:val="en-US" w:eastAsia="zh-CN" w:bidi="ar-SA"/>
    </w:rPr>
  </w:style>
  <w:style w:type="paragraph" w:styleId="16">
    <w:name w:val="Body Text Indent"/>
    <w:basedOn w:val="1"/>
    <w:qFormat/>
    <w:uiPriority w:val="0"/>
    <w:pPr>
      <w:ind w:firstLine="630"/>
    </w:pPr>
    <w:rPr>
      <w:rFonts w:ascii="楷体_GB2312" w:eastAsia="楷体_GB2312"/>
      <w:sz w:val="32"/>
      <w:szCs w:val="20"/>
    </w:rPr>
  </w:style>
  <w:style w:type="paragraph" w:styleId="17">
    <w:name w:val="Block Text"/>
    <w:basedOn w:val="1"/>
    <w:qFormat/>
    <w:uiPriority w:val="0"/>
    <w:pPr>
      <w:tabs>
        <w:tab w:val="left" w:pos="9420"/>
      </w:tabs>
      <w:ind w:left="840" w:right="210"/>
    </w:pPr>
    <w:rPr>
      <w:rFonts w:ascii="宋体" w:hAnsi="宋体" w:eastAsia="宋体" w:cs="Times New Roman"/>
      <w:sz w:val="24"/>
      <w:szCs w:val="24"/>
    </w:rPr>
  </w:style>
  <w:style w:type="paragraph" w:styleId="18">
    <w:name w:val="toc 5"/>
    <w:basedOn w:val="1"/>
    <w:next w:val="1"/>
    <w:unhideWhenUsed/>
    <w:qFormat/>
    <w:uiPriority w:val="39"/>
    <w:pPr>
      <w:spacing w:after="57"/>
      <w:ind w:left="1134"/>
    </w:pPr>
  </w:style>
  <w:style w:type="paragraph" w:styleId="19">
    <w:name w:val="toc 3"/>
    <w:basedOn w:val="1"/>
    <w:next w:val="1"/>
    <w:autoRedefine/>
    <w:unhideWhenUsed/>
    <w:qFormat/>
    <w:uiPriority w:val="39"/>
    <w:pPr>
      <w:spacing w:after="57"/>
      <w:ind w:left="567"/>
    </w:pPr>
  </w:style>
  <w:style w:type="paragraph" w:styleId="20">
    <w:name w:val="Plain Text"/>
    <w:basedOn w:val="1"/>
    <w:qFormat/>
    <w:uiPriority w:val="0"/>
    <w:rPr>
      <w:rFonts w:ascii="宋体" w:hAnsi="Courier New" w:eastAsia="宋体" w:cs="Times New Roman"/>
      <w:szCs w:val="20"/>
    </w:rPr>
  </w:style>
  <w:style w:type="paragraph" w:styleId="21">
    <w:name w:val="toc 8"/>
    <w:basedOn w:val="1"/>
    <w:next w:val="1"/>
    <w:autoRedefine/>
    <w:unhideWhenUsed/>
    <w:qFormat/>
    <w:uiPriority w:val="39"/>
    <w:pPr>
      <w:spacing w:after="57"/>
      <w:ind w:left="1984"/>
    </w:pPr>
  </w:style>
  <w:style w:type="paragraph" w:styleId="22">
    <w:name w:val="endnote text"/>
    <w:basedOn w:val="1"/>
    <w:link w:val="190"/>
    <w:semiHidden/>
    <w:unhideWhenUsed/>
    <w:qFormat/>
    <w:uiPriority w:val="99"/>
    <w:rPr>
      <w:sz w:val="20"/>
    </w:rPr>
  </w:style>
  <w:style w:type="paragraph" w:styleId="23">
    <w:name w:val="footer"/>
    <w:basedOn w:val="1"/>
    <w:unhideWhenUsed/>
    <w:qFormat/>
    <w:uiPriority w:val="99"/>
    <w:pPr>
      <w:tabs>
        <w:tab w:val="center" w:pos="4153"/>
        <w:tab w:val="right" w:pos="8306"/>
      </w:tabs>
      <w:jc w:val="left"/>
    </w:pPr>
    <w:rPr>
      <w:sz w:val="18"/>
      <w:szCs w:val="18"/>
    </w:rPr>
  </w:style>
  <w:style w:type="paragraph" w:styleId="2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5">
    <w:name w:val="toc 1"/>
    <w:basedOn w:val="1"/>
    <w:next w:val="1"/>
    <w:unhideWhenUsed/>
    <w:qFormat/>
    <w:uiPriority w:val="39"/>
  </w:style>
  <w:style w:type="paragraph" w:styleId="26">
    <w:name w:val="toc 4"/>
    <w:basedOn w:val="1"/>
    <w:next w:val="1"/>
    <w:unhideWhenUsed/>
    <w:qFormat/>
    <w:uiPriority w:val="39"/>
    <w:pPr>
      <w:spacing w:after="57"/>
      <w:ind w:left="850"/>
    </w:pPr>
  </w:style>
  <w:style w:type="paragraph" w:styleId="27">
    <w:name w:val="Subtitle"/>
    <w:basedOn w:val="1"/>
    <w:next w:val="1"/>
    <w:link w:val="56"/>
    <w:qFormat/>
    <w:uiPriority w:val="11"/>
    <w:pPr>
      <w:spacing w:before="200" w:after="200"/>
    </w:pPr>
    <w:rPr>
      <w:sz w:val="24"/>
      <w:szCs w:val="24"/>
    </w:rPr>
  </w:style>
  <w:style w:type="paragraph" w:styleId="28">
    <w:name w:val="footnote text"/>
    <w:basedOn w:val="1"/>
    <w:link w:val="189"/>
    <w:autoRedefine/>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List Continue 2"/>
    <w:basedOn w:val="1"/>
    <w:next w:val="1"/>
    <w:qFormat/>
    <w:uiPriority w:val="0"/>
    <w:pPr>
      <w:spacing w:after="120"/>
      <w:ind w:left="840"/>
    </w:pPr>
    <w:rPr>
      <w:rFonts w:eastAsia="宋体"/>
    </w:rPr>
  </w:style>
  <w:style w:type="paragraph" w:styleId="3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35">
    <w:name w:val="Normal (Web)"/>
    <w:unhideWhenUsed/>
    <w:qFormat/>
    <w:uiPriority w:val="99"/>
    <w:pPr>
      <w:widowControl w:val="0"/>
      <w:spacing w:before="100" w:beforeAutospacing="1" w:after="100" w:afterAutospacing="1"/>
    </w:pPr>
    <w:rPr>
      <w:rFonts w:ascii="Calibri" w:hAnsi="Calibri" w:eastAsia="宋体" w:cs="Times New Roman"/>
      <w:sz w:val="24"/>
      <w:szCs w:val="22"/>
      <w:lang w:val="en-US" w:eastAsia="zh-CN" w:bidi="ar-SA"/>
    </w:rPr>
  </w:style>
  <w:style w:type="paragraph" w:styleId="36">
    <w:name w:val="Title"/>
    <w:basedOn w:val="1"/>
    <w:next w:val="1"/>
    <w:link w:val="55"/>
    <w:qFormat/>
    <w:uiPriority w:val="10"/>
    <w:pPr>
      <w:spacing w:before="300" w:after="200"/>
      <w:contextualSpacing/>
    </w:pPr>
    <w:rPr>
      <w:sz w:val="48"/>
      <w:szCs w:val="48"/>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endnote reference"/>
    <w:basedOn w:val="39"/>
    <w:semiHidden/>
    <w:unhideWhenUsed/>
    <w:qFormat/>
    <w:uiPriority w:val="99"/>
    <w:rPr>
      <w:vertAlign w:val="superscript"/>
    </w:rPr>
  </w:style>
  <w:style w:type="character" w:styleId="41">
    <w:name w:val="Hyperlink"/>
    <w:qFormat/>
    <w:uiPriority w:val="99"/>
    <w:rPr>
      <w:color w:val="0000FF"/>
      <w:u w:val="none"/>
    </w:rPr>
  </w:style>
  <w:style w:type="character" w:styleId="42">
    <w:name w:val="annotation reference"/>
    <w:qFormat/>
    <w:uiPriority w:val="0"/>
    <w:rPr>
      <w:sz w:val="21"/>
      <w:szCs w:val="21"/>
    </w:rPr>
  </w:style>
  <w:style w:type="character" w:styleId="43">
    <w:name w:val="footnote reference"/>
    <w:basedOn w:val="39"/>
    <w:unhideWhenUsed/>
    <w:qFormat/>
    <w:uiPriority w:val="99"/>
    <w:rPr>
      <w:vertAlign w:val="superscript"/>
    </w:rPr>
  </w:style>
  <w:style w:type="paragraph" w:customStyle="1" w:styleId="44">
    <w:name w:val="Default"/>
    <w:qFormat/>
    <w:uiPriority w:val="99"/>
    <w:pPr>
      <w:widowControl w:val="0"/>
    </w:pPr>
    <w:rPr>
      <w:rFonts w:ascii="MS Mincho" w:hAnsi="Calibri" w:eastAsia="宋体" w:cs="Times New Roman"/>
      <w:color w:val="000000"/>
      <w:sz w:val="21"/>
      <w:szCs w:val="24"/>
      <w:lang w:val="en-US" w:eastAsia="zh-CN" w:bidi="ar-SA"/>
    </w:rPr>
  </w:style>
  <w:style w:type="character" w:customStyle="1" w:styleId="45">
    <w:name w:val="Heading 1 Char"/>
    <w:basedOn w:val="39"/>
    <w:qFormat/>
    <w:uiPriority w:val="9"/>
    <w:rPr>
      <w:rFonts w:ascii="Arial" w:hAnsi="Arial" w:eastAsia="Arial" w:cs="Arial"/>
      <w:sz w:val="40"/>
      <w:szCs w:val="40"/>
    </w:rPr>
  </w:style>
  <w:style w:type="character" w:customStyle="1" w:styleId="46">
    <w:name w:val="Heading 2 Char"/>
    <w:basedOn w:val="39"/>
    <w:qFormat/>
    <w:uiPriority w:val="9"/>
    <w:rPr>
      <w:rFonts w:ascii="Arial" w:hAnsi="Arial" w:eastAsia="Arial" w:cs="Arial"/>
      <w:sz w:val="34"/>
    </w:rPr>
  </w:style>
  <w:style w:type="character" w:customStyle="1" w:styleId="47">
    <w:name w:val="Heading 3 Char"/>
    <w:basedOn w:val="39"/>
    <w:qFormat/>
    <w:uiPriority w:val="9"/>
    <w:rPr>
      <w:rFonts w:ascii="Arial" w:hAnsi="Arial" w:eastAsia="Arial" w:cs="Arial"/>
      <w:sz w:val="30"/>
      <w:szCs w:val="30"/>
    </w:rPr>
  </w:style>
  <w:style w:type="character" w:customStyle="1" w:styleId="48">
    <w:name w:val="Heading 4 Char"/>
    <w:basedOn w:val="39"/>
    <w:qFormat/>
    <w:uiPriority w:val="9"/>
    <w:rPr>
      <w:rFonts w:ascii="Arial" w:hAnsi="Arial" w:eastAsia="Arial" w:cs="Arial"/>
      <w:b/>
      <w:bCs/>
      <w:sz w:val="26"/>
      <w:szCs w:val="26"/>
    </w:rPr>
  </w:style>
  <w:style w:type="character" w:customStyle="1" w:styleId="49">
    <w:name w:val="标题 5 字符"/>
    <w:basedOn w:val="39"/>
    <w:link w:val="6"/>
    <w:qFormat/>
    <w:uiPriority w:val="9"/>
    <w:rPr>
      <w:rFonts w:ascii="Arial" w:hAnsi="Arial" w:eastAsia="Arial" w:cs="Arial"/>
      <w:b/>
      <w:bCs/>
      <w:sz w:val="24"/>
      <w:szCs w:val="24"/>
    </w:rPr>
  </w:style>
  <w:style w:type="character" w:customStyle="1" w:styleId="50">
    <w:name w:val="标题 6 字符"/>
    <w:basedOn w:val="39"/>
    <w:link w:val="7"/>
    <w:qFormat/>
    <w:uiPriority w:val="9"/>
    <w:rPr>
      <w:rFonts w:ascii="Arial" w:hAnsi="Arial" w:eastAsia="Arial" w:cs="Arial"/>
      <w:b/>
      <w:bCs/>
      <w:sz w:val="22"/>
      <w:szCs w:val="22"/>
    </w:rPr>
  </w:style>
  <w:style w:type="character" w:customStyle="1" w:styleId="51">
    <w:name w:val="标题 7 字符"/>
    <w:basedOn w:val="39"/>
    <w:link w:val="8"/>
    <w:qFormat/>
    <w:uiPriority w:val="9"/>
    <w:rPr>
      <w:rFonts w:ascii="Arial" w:hAnsi="Arial" w:eastAsia="Arial" w:cs="Arial"/>
      <w:b/>
      <w:bCs/>
      <w:i/>
      <w:iCs/>
      <w:sz w:val="22"/>
      <w:szCs w:val="22"/>
    </w:rPr>
  </w:style>
  <w:style w:type="character" w:customStyle="1" w:styleId="52">
    <w:name w:val="标题 8 字符"/>
    <w:basedOn w:val="39"/>
    <w:link w:val="9"/>
    <w:qFormat/>
    <w:uiPriority w:val="9"/>
    <w:rPr>
      <w:rFonts w:ascii="Arial" w:hAnsi="Arial" w:eastAsia="Arial" w:cs="Arial"/>
      <w:i/>
      <w:iCs/>
      <w:sz w:val="22"/>
      <w:szCs w:val="22"/>
    </w:rPr>
  </w:style>
  <w:style w:type="character" w:customStyle="1" w:styleId="53">
    <w:name w:val="标题 9 字符"/>
    <w:basedOn w:val="39"/>
    <w:link w:val="10"/>
    <w:qFormat/>
    <w:uiPriority w:val="9"/>
    <w:rPr>
      <w:rFonts w:ascii="Arial" w:hAnsi="Arial" w:eastAsia="Arial" w:cs="Arial"/>
      <w:i/>
      <w:iCs/>
      <w:sz w:val="21"/>
      <w:szCs w:val="21"/>
    </w:rPr>
  </w:style>
  <w:style w:type="paragraph" w:styleId="54">
    <w:name w:val="No Spacing"/>
    <w:qFormat/>
    <w:uiPriority w:val="1"/>
    <w:rPr>
      <w:rFonts w:ascii="Times New Roman" w:hAnsi="Times New Roman" w:eastAsia="宋体" w:cs="Times New Roman"/>
      <w:lang w:val="en-US" w:eastAsia="zh-CN" w:bidi="ar-SA"/>
    </w:rPr>
  </w:style>
  <w:style w:type="character" w:customStyle="1" w:styleId="55">
    <w:name w:val="标题 字符"/>
    <w:basedOn w:val="39"/>
    <w:link w:val="36"/>
    <w:qFormat/>
    <w:uiPriority w:val="10"/>
    <w:rPr>
      <w:sz w:val="48"/>
      <w:szCs w:val="48"/>
    </w:rPr>
  </w:style>
  <w:style w:type="character" w:customStyle="1" w:styleId="56">
    <w:name w:val="副标题 字符"/>
    <w:basedOn w:val="39"/>
    <w:link w:val="27"/>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字符"/>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字符"/>
    <w:link w:val="59"/>
    <w:qFormat/>
    <w:uiPriority w:val="30"/>
    <w:rPr>
      <w:i/>
    </w:rPr>
  </w:style>
  <w:style w:type="character" w:customStyle="1" w:styleId="61">
    <w:name w:val="Header Char"/>
    <w:basedOn w:val="39"/>
    <w:qFormat/>
    <w:uiPriority w:val="99"/>
  </w:style>
  <w:style w:type="character" w:customStyle="1" w:styleId="62">
    <w:name w:val="Footer Char"/>
    <w:basedOn w:val="39"/>
    <w:qFormat/>
    <w:uiPriority w:val="99"/>
  </w:style>
  <w:style w:type="character" w:customStyle="1" w:styleId="63">
    <w:name w:val="Caption Char"/>
    <w:qFormat/>
    <w:uiPriority w:val="99"/>
  </w:style>
  <w:style w:type="table" w:customStyle="1" w:styleId="64">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5">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无格式表格 31"/>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41"/>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51"/>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basedOn w:val="37"/>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2">
    <w:name w:val="Grid Table 1 Light - Accent 2"/>
    <w:basedOn w:val="37"/>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3">
    <w:name w:val="Grid Table 1 Light - Accent 3"/>
    <w:basedOn w:val="37"/>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4">
    <w:name w:val="Grid Table 1 Light - Accent 4"/>
    <w:basedOn w:val="37"/>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5">
    <w:name w:val="Grid Table 1 Light - Accent 5"/>
    <w:basedOn w:val="37"/>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6">
    <w:name w:val="Grid Table 1 Light - Accent 6"/>
    <w:basedOn w:val="37"/>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7">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basedOn w:val="37"/>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9">
    <w:name w:val="Grid Table 2 - Accent 2"/>
    <w:basedOn w:val="37"/>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0">
    <w:name w:val="Grid Table 2 - Accent 3"/>
    <w:basedOn w:val="37"/>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1">
    <w:name w:val="Grid Table 2 - Accent 4"/>
    <w:basedOn w:val="37"/>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2">
    <w:name w:val="Grid Table 2 - Accent 5"/>
    <w:basedOn w:val="37"/>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3">
    <w:name w:val="Grid Table 2 - Accent 6"/>
    <w:basedOn w:val="37"/>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4">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basedOn w:val="37"/>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6">
    <w:name w:val="Grid Table 3 - Accent 2"/>
    <w:basedOn w:val="37"/>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7">
    <w:name w:val="Grid Table 3 - Accent 3"/>
    <w:basedOn w:val="37"/>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8">
    <w:name w:val="Grid Table 3 - Accent 4"/>
    <w:basedOn w:val="37"/>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9">
    <w:name w:val="Grid Table 3 - Accent 5"/>
    <w:basedOn w:val="37"/>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0">
    <w:name w:val="Grid Table 3 - Accent 6"/>
    <w:basedOn w:val="37"/>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1">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basedOn w:val="37"/>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3">
    <w:name w:val="Grid Table 4 - Accent 2"/>
    <w:basedOn w:val="37"/>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4">
    <w:name w:val="Grid Table 4 - Accent 3"/>
    <w:basedOn w:val="37"/>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5">
    <w:name w:val="Grid Table 4 - Accent 4"/>
    <w:basedOn w:val="37"/>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6">
    <w:name w:val="Grid Table 4 - Accent 5"/>
    <w:basedOn w:val="37"/>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7">
    <w:name w:val="Grid Table 4 - Accent 6"/>
    <w:basedOn w:val="37"/>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8">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0">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1">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2">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3">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4">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5">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basedOn w:val="37"/>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basedOn w:val="37"/>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basedOn w:val="37"/>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09">
    <w:name w:val="Grid Table 6 Colorful - Accent 4"/>
    <w:basedOn w:val="37"/>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basedOn w:val="37"/>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1">
    <w:name w:val="Grid Table 6 Colorful - Accent 6"/>
    <w:basedOn w:val="37"/>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2">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basedOn w:val="37"/>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basedOn w:val="37"/>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basedOn w:val="37"/>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16">
    <w:name w:val="Grid Table 7 Colorful - Accent 4"/>
    <w:basedOn w:val="37"/>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basedOn w:val="37"/>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8">
    <w:name w:val="Grid Table 7 Colorful - Accent 6"/>
    <w:basedOn w:val="37"/>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9">
    <w:name w:val="清单表 1 浅色1"/>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basedOn w:val="37"/>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1">
    <w:name w:val="List Table 1 Light - Accent 2"/>
    <w:basedOn w:val="37"/>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2">
    <w:name w:val="List Table 1 Light - Accent 3"/>
    <w:basedOn w:val="37"/>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3">
    <w:name w:val="List Table 1 Light - Accent 4"/>
    <w:basedOn w:val="37"/>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4">
    <w:name w:val="List Table 1 Light - Accent 5"/>
    <w:basedOn w:val="37"/>
    <w:autoRedefine/>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5">
    <w:name w:val="List Table 1 Light - Accent 6"/>
    <w:basedOn w:val="37"/>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6">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basedOn w:val="37"/>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8">
    <w:name w:val="List Table 2 - Accent 2"/>
    <w:basedOn w:val="37"/>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9">
    <w:name w:val="List Table 2 - Accent 3"/>
    <w:basedOn w:val="37"/>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0">
    <w:name w:val="List Table 2 - Accent 4"/>
    <w:basedOn w:val="37"/>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1">
    <w:name w:val="List Table 2 - Accent 5"/>
    <w:basedOn w:val="37"/>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2">
    <w:name w:val="List Table 2 - Accent 6"/>
    <w:basedOn w:val="37"/>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3">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basedOn w:val="37"/>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5">
    <w:name w:val="List Table 3 - Accent 2"/>
    <w:basedOn w:val="37"/>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6">
    <w:name w:val="List Table 3 - Accent 3"/>
    <w:basedOn w:val="37"/>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7">
    <w:name w:val="List Table 3 - Accent 4"/>
    <w:basedOn w:val="37"/>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8">
    <w:name w:val="List Table 3 - Accent 5"/>
    <w:basedOn w:val="37"/>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9">
    <w:name w:val="List Table 3 - Accent 6"/>
    <w:basedOn w:val="37"/>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0">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basedOn w:val="37"/>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2">
    <w:name w:val="List Table 4 - Accent 2"/>
    <w:basedOn w:val="37"/>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3">
    <w:name w:val="List Table 4 - Accent 3"/>
    <w:basedOn w:val="37"/>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4">
    <w:name w:val="List Table 4 - Accent 4"/>
    <w:basedOn w:val="37"/>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5">
    <w:name w:val="List Table 4 - Accent 5"/>
    <w:basedOn w:val="37"/>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6">
    <w:name w:val="List Table 4 - Accent 6"/>
    <w:basedOn w:val="37"/>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7">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basedOn w:val="37"/>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9">
    <w:name w:val="List Table 5 Dark - Accent 2"/>
    <w:basedOn w:val="37"/>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0">
    <w:name w:val="List Table 5 Dark - Accent 3"/>
    <w:basedOn w:val="37"/>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1">
    <w:name w:val="List Table 5 Dark - Accent 4"/>
    <w:basedOn w:val="37"/>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2">
    <w:name w:val="List Table 5 Dark - Accent 5"/>
    <w:basedOn w:val="37"/>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3">
    <w:name w:val="List Table 5 Dark - Accent 6"/>
    <w:basedOn w:val="37"/>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4">
    <w:name w:val="清单表 6 彩色1"/>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basedOn w:val="37"/>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6">
    <w:name w:val="List Table 6 Colorful - Accent 2"/>
    <w:basedOn w:val="37"/>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basedOn w:val="37"/>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basedOn w:val="37"/>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basedOn w:val="37"/>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basedOn w:val="37"/>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1">
    <w:name w:val="清单表 7 彩色1"/>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basedOn w:val="37"/>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3">
    <w:name w:val="List Table 7 Colorful - Accent 2"/>
    <w:basedOn w:val="37"/>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basedOn w:val="37"/>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basedOn w:val="37"/>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basedOn w:val="37"/>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basedOn w:val="37"/>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8">
    <w:name w:val="Lined - Accent"/>
    <w:basedOn w:val="3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basedOn w:val="37"/>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0">
    <w:name w:val="Lined - Accent 2"/>
    <w:basedOn w:val="37"/>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1">
    <w:name w:val="Lined - Accent 3"/>
    <w:basedOn w:val="37"/>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2">
    <w:name w:val="Lined - Accent 4"/>
    <w:basedOn w:val="37"/>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3">
    <w:name w:val="Lined - Accent 5"/>
    <w:basedOn w:val="37"/>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4">
    <w:name w:val="Lined - Accent 6"/>
    <w:basedOn w:val="37"/>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5">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basedOn w:val="37"/>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7">
    <w:name w:val="Bordered &amp; Lined - Accent 2"/>
    <w:basedOn w:val="37"/>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8">
    <w:name w:val="Bordered &amp; Lined - Accent 3"/>
    <w:basedOn w:val="37"/>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9">
    <w:name w:val="Bordered &amp; Lined - Accent 4"/>
    <w:basedOn w:val="37"/>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0">
    <w:name w:val="Bordered &amp; Lined - Accent 5"/>
    <w:basedOn w:val="37"/>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1">
    <w:name w:val="Bordered &amp; Lined - Accent 6"/>
    <w:basedOn w:val="37"/>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2">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basedOn w:val="37"/>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4">
    <w:name w:val="Bordered - Accent 2"/>
    <w:basedOn w:val="37"/>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5">
    <w:name w:val="Bordered - Accent 3"/>
    <w:basedOn w:val="37"/>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6">
    <w:name w:val="Bordered - Accent 4"/>
    <w:basedOn w:val="37"/>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7">
    <w:name w:val="Bordered - Accent 5"/>
    <w:basedOn w:val="37"/>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8">
    <w:name w:val="Bordered - Accent 6"/>
    <w:basedOn w:val="37"/>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9">
    <w:name w:val="脚注文本 字符"/>
    <w:link w:val="28"/>
    <w:qFormat/>
    <w:uiPriority w:val="99"/>
    <w:rPr>
      <w:sz w:val="18"/>
    </w:rPr>
  </w:style>
  <w:style w:type="character" w:customStyle="1" w:styleId="190">
    <w:name w:val="尾注文本 字符"/>
    <w:link w:val="22"/>
    <w:qFormat/>
    <w:uiPriority w:val="99"/>
    <w:rPr>
      <w:sz w:val="20"/>
    </w:rPr>
  </w:style>
  <w:style w:type="paragraph" w:customStyle="1" w:styleId="191">
    <w:name w:val="TOC 标题1"/>
    <w:unhideWhenUsed/>
    <w:qFormat/>
    <w:uiPriority w:val="39"/>
    <w:rPr>
      <w:rFonts w:ascii="Times New Roman" w:hAnsi="Times New Roman" w:eastAsia="宋体" w:cs="Times New Roman"/>
      <w:lang w:val="en-US" w:eastAsia="zh-CN" w:bidi="ar-SA"/>
    </w:rPr>
  </w:style>
  <w:style w:type="paragraph" w:customStyle="1" w:styleId="192">
    <w:name w:val="Table Text"/>
    <w:basedOn w:val="1"/>
    <w:semiHidden/>
    <w:qFormat/>
    <w:uiPriority w:val="0"/>
    <w:rPr>
      <w:rFonts w:ascii="宋体" w:hAnsi="宋体" w:eastAsia="宋体" w:cs="宋体"/>
      <w:sz w:val="24"/>
      <w:szCs w:val="24"/>
      <w:lang w:eastAsia="en-US"/>
    </w:rPr>
  </w:style>
  <w:style w:type="table" w:customStyle="1" w:styleId="193">
    <w:name w:val="Table Normal"/>
    <w:unhideWhenUsed/>
    <w:qFormat/>
    <w:uiPriority w:val="0"/>
    <w:tblPr>
      <w:tblCellMar>
        <w:top w:w="0" w:type="dxa"/>
        <w:left w:w="0" w:type="dxa"/>
        <w:bottom w:w="0" w:type="dxa"/>
        <w:right w:w="0" w:type="dxa"/>
      </w:tblCellMar>
    </w:tblPr>
  </w:style>
  <w:style w:type="paragraph" w:customStyle="1" w:styleId="194">
    <w:name w:val="Char"/>
    <w:basedOn w:val="1"/>
    <w:qFormat/>
    <w:uiPriority w:val="0"/>
    <w:pPr>
      <w:tabs>
        <w:tab w:val="left" w:pos="360"/>
      </w:tabs>
      <w:ind w:firstLine="200"/>
    </w:pPr>
    <w:rPr>
      <w:sz w:val="28"/>
      <w:szCs w:val="30"/>
    </w:rPr>
  </w:style>
  <w:style w:type="paragraph" w:customStyle="1" w:styleId="195">
    <w:name w:val="普通正文"/>
    <w:basedOn w:val="1"/>
    <w:qFormat/>
    <w:uiPriority w:val="0"/>
    <w:pPr>
      <w:spacing w:before="120" w:after="120" w:line="360" w:lineRule="auto"/>
      <w:ind w:firstLine="480"/>
      <w:jc w:val="left"/>
    </w:pPr>
    <w:rPr>
      <w:rFonts w:ascii="Arial" w:hAnsi="Arial"/>
      <w:sz w:val="24"/>
      <w:szCs w:val="24"/>
    </w:rPr>
  </w:style>
  <w:style w:type="paragraph" w:styleId="196">
    <w:name w:val="List Paragraph"/>
    <w:basedOn w:val="1"/>
    <w:qFormat/>
    <w:uiPriority w:val="0"/>
    <w:pPr>
      <w:ind w:firstLine="420"/>
    </w:pPr>
    <w:rPr>
      <w:rFonts w:ascii="Calibri" w:hAnsi="Calibri"/>
    </w:rPr>
  </w:style>
  <w:style w:type="paragraph" w:customStyle="1" w:styleId="197">
    <w:name w:val="段落大意"/>
    <w:qFormat/>
    <w:uiPriority w:val="0"/>
    <w:pPr>
      <w:spacing w:line="300" w:lineRule="auto"/>
      <w:ind w:firstLine="200"/>
      <w:jc w:val="both"/>
    </w:pPr>
    <w:rPr>
      <w:rFonts w:ascii="方正中等线简体" w:hAnsi="方正中等线简体" w:eastAsia="方正中等线简体" w:cs="方正中等线简体"/>
      <w:sz w:val="21"/>
      <w:szCs w:val="22"/>
      <w:lang w:val="en-US" w:eastAsia="zh-CN" w:bidi="ar-SA"/>
    </w:rPr>
  </w:style>
  <w:style w:type="paragraph" w:customStyle="1" w:styleId="198">
    <w:name w:val="列表段落1"/>
    <w:basedOn w:val="1"/>
    <w:qFormat/>
    <w:uiPriority w:val="99"/>
    <w:pPr>
      <w:ind w:firstLine="420"/>
      <w:jc w:val="left"/>
    </w:pPr>
    <w:rPr>
      <w:rFonts w:ascii="宋体" w:hAnsi="宋体" w:eastAsia="宋体" w:cs="宋体"/>
      <w:sz w:val="22"/>
      <w:lang w:val="zh-CN" w:bidi="zh-CN"/>
    </w:rPr>
  </w:style>
  <w:style w:type="paragraph" w:customStyle="1" w:styleId="199">
    <w:name w:val="列出段落4"/>
    <w:basedOn w:val="1"/>
    <w:unhideWhenUsed/>
    <w:qFormat/>
    <w:uiPriority w:val="99"/>
    <w:pPr>
      <w:ind w:firstLine="420"/>
    </w:pPr>
    <w:rPr>
      <w:rFonts w:ascii="Calibri" w:hAnsi="Calibri" w:eastAsia="楷体"/>
    </w:rPr>
  </w:style>
  <w:style w:type="character" w:customStyle="1" w:styleId="200">
    <w:name w:val="font41"/>
    <w:qFormat/>
    <w:uiPriority w:val="0"/>
    <w:rPr>
      <w:rFonts w:hint="eastAsia" w:ascii="宋体" w:hAnsi="宋体" w:eastAsia="宋体" w:cs="宋体"/>
      <w:color w:val="000000"/>
      <w:sz w:val="24"/>
      <w:szCs w:val="24"/>
      <w:u w:val="none"/>
    </w:rPr>
  </w:style>
  <w:style w:type="paragraph" w:customStyle="1" w:styleId="201">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02">
    <w:name w:val="段"/>
    <w:next w:val="1"/>
    <w:qFormat/>
    <w:uiPriority w:val="0"/>
    <w:pPr>
      <w:ind w:firstLine="200"/>
      <w:jc w:val="both"/>
    </w:pPr>
    <w:rPr>
      <w:rFonts w:ascii="宋体" w:hAnsi="Calibri" w:eastAsia="宋体" w:cs="Times New Roman"/>
      <w:sz w:val="21"/>
      <w:lang w:val="en-US" w:eastAsia="zh-CN" w:bidi="ar-SA"/>
    </w:rPr>
  </w:style>
  <w:style w:type="paragraph" w:customStyle="1" w:styleId="203">
    <w:name w:val="纯文本1"/>
    <w:basedOn w:val="1"/>
    <w:qFormat/>
    <w:uiPriority w:val="0"/>
    <w:pPr>
      <w:spacing w:line="360" w:lineRule="auto"/>
      <w:ind w:firstLine="922"/>
    </w:pPr>
    <w:rPr>
      <w:rFonts w:ascii="宋体" w:hAnsi="Courier New"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DoubleOX</Company>
  <Pages>49</Pages>
  <Words>24700</Words>
  <Characters>25987</Characters>
  <Lines>552</Lines>
  <Paragraphs>690</Paragraphs>
  <TotalTime>2</TotalTime>
  <ScaleCrop>false</ScaleCrop>
  <LinksUpToDate>false</LinksUpToDate>
  <CharactersWithSpaces>26440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2024-04-18T07:05:00Z</dcterms:created>
  <dc:creator>ღ_wEn</dc:creator>
  <cp:lastModifiedBy>蓶旳洊在</cp:lastModifiedBy>
  <dcterms:modified xsi:type="dcterms:W3CDTF">2026-07-06T04:52:39Z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73E35CB42D7645828287EB28E546D79F_13</vt:lpwstr>
  </property>
  <property fmtid="{D5CDD505-2E9C-101B-9397-08002B2CF9AE}" pid="4" name="KSOTemplateDocerSaveRecord">
    <vt:lpwstr>eyJoZGlkIjoiOGE5NWExNmNiMGRlYmI3Y2FiMmM4ZTJhNWY1ZTM3MDEiLCJ1c2VySWQiOiIxNDg2OTY4In0=</vt:lpwstr>
  </property>
</Properties>
</file>