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B945F3">
      <w:pPr>
        <w:pStyle w:val="124"/>
        <w:spacing w:line="360" w:lineRule="auto"/>
        <w:jc w:val="center"/>
        <w:rPr>
          <w:rFonts w:hint="eastAsia" w:ascii="黑体" w:hAnsi="黑体" w:eastAsia="黑体" w:cs="Times New Roman"/>
          <w:bCs/>
          <w:color w:val="auto"/>
          <w:sz w:val="48"/>
          <w:szCs w:val="48"/>
          <w:highlight w:val="none"/>
          <w:lang w:eastAsia="zh-CN"/>
        </w:rPr>
      </w:pPr>
      <w:r>
        <w:rPr>
          <w:rFonts w:hint="eastAsia" w:ascii="黑体" w:hAnsi="黑体" w:eastAsia="黑体" w:cs="Times New Roman"/>
          <w:bCs/>
          <w:color w:val="auto"/>
          <w:sz w:val="48"/>
          <w:szCs w:val="48"/>
          <w:highlight w:val="none"/>
          <w:lang w:eastAsia="zh-CN"/>
        </w:rPr>
        <w:t>江宁监狱综合管网维修改造</w:t>
      </w:r>
    </w:p>
    <w:p w14:paraId="4FBD9862">
      <w:pPr>
        <w:pStyle w:val="124"/>
        <w:spacing w:line="360" w:lineRule="auto"/>
        <w:jc w:val="center"/>
        <w:rPr>
          <w:rFonts w:hint="eastAsia" w:ascii="黑体" w:hAnsi="黑体" w:eastAsia="黑体"/>
          <w:color w:val="auto"/>
          <w:sz w:val="84"/>
          <w:szCs w:val="84"/>
          <w:highlight w:val="none"/>
        </w:rPr>
      </w:pPr>
    </w:p>
    <w:p w14:paraId="6359B9C6">
      <w:pPr>
        <w:pStyle w:val="124"/>
        <w:spacing w:line="360" w:lineRule="auto"/>
        <w:jc w:val="center"/>
        <w:rPr>
          <w:rFonts w:hint="eastAsia" w:ascii="黑体" w:hAnsi="黑体" w:eastAsia="黑体" w:cs="Times New Roman"/>
          <w:color w:val="auto"/>
          <w:sz w:val="84"/>
          <w:szCs w:val="84"/>
          <w:highlight w:val="none"/>
        </w:rPr>
      </w:pPr>
      <w:r>
        <w:rPr>
          <w:rFonts w:hint="eastAsia" w:ascii="黑体" w:hAnsi="黑体" w:eastAsia="黑体"/>
          <w:color w:val="auto"/>
          <w:sz w:val="84"/>
          <w:szCs w:val="84"/>
          <w:highlight w:val="none"/>
        </w:rPr>
        <w:t>竞争性磋商文件</w:t>
      </w:r>
    </w:p>
    <w:p w14:paraId="65C56F31">
      <w:pPr>
        <w:pStyle w:val="124"/>
        <w:spacing w:line="360" w:lineRule="auto"/>
        <w:jc w:val="center"/>
        <w:rPr>
          <w:rFonts w:hint="eastAsia" w:ascii="黑体" w:hAnsi="黑体" w:eastAsia="黑体" w:cs="Times New Roman"/>
          <w:color w:val="auto"/>
          <w:sz w:val="52"/>
          <w:szCs w:val="52"/>
          <w:highlight w:val="none"/>
        </w:rPr>
      </w:pPr>
      <w:r>
        <w:rPr>
          <w:rFonts w:hint="eastAsia" w:ascii="黑体" w:hAnsi="黑体" w:eastAsia="黑体" w:cs="Times New Roman"/>
          <w:color w:val="auto"/>
          <w:sz w:val="52"/>
          <w:szCs w:val="52"/>
          <w:highlight w:val="none"/>
        </w:rPr>
        <w:t>工程类</w:t>
      </w:r>
    </w:p>
    <w:p w14:paraId="4D7F4EE3">
      <w:pPr>
        <w:pStyle w:val="124"/>
        <w:spacing w:before="240" w:after="240" w:line="360" w:lineRule="auto"/>
        <w:rPr>
          <w:rFonts w:ascii="黑体" w:hAnsi="黑体" w:eastAsia="黑体" w:cs="Times New Roman"/>
          <w:color w:val="auto"/>
          <w:sz w:val="52"/>
          <w:szCs w:val="52"/>
          <w:highlight w:val="none"/>
        </w:rPr>
      </w:pPr>
    </w:p>
    <w:p w14:paraId="50D0C6A9">
      <w:pPr>
        <w:adjustRightInd w:val="0"/>
        <w:snapToGrid w:val="0"/>
        <w:ind w:firstLine="2241" w:firstLineChars="700"/>
        <w:rPr>
          <w:rFonts w:ascii="宋体" w:hAnsi="宋体" w:cs="宋体"/>
          <w:b/>
          <w:bCs/>
          <w:color w:val="auto"/>
          <w:sz w:val="32"/>
          <w:szCs w:val="32"/>
          <w:highlight w:val="none"/>
          <w:lang w:eastAsia="zh-CN"/>
        </w:rPr>
      </w:pPr>
      <w:r>
        <w:rPr>
          <w:rFonts w:hint="eastAsia" w:ascii="宋体" w:hAnsi="宋体" w:cs="宋体"/>
          <w:b/>
          <w:bCs/>
          <w:color w:val="auto"/>
          <w:sz w:val="32"/>
          <w:szCs w:val="32"/>
          <w:highlight w:val="none"/>
          <w:lang w:eastAsia="zh-CN"/>
        </w:rPr>
        <w:t>采购编号：JSZC-320000-NJJC-C2026-0075</w:t>
      </w:r>
    </w:p>
    <w:p w14:paraId="4A888081">
      <w:pPr>
        <w:adjustRightInd w:val="0"/>
        <w:snapToGrid w:val="0"/>
        <w:ind w:left="640" w:leftChars="291" w:firstLine="1281" w:firstLineChars="400"/>
        <w:rPr>
          <w:rFonts w:ascii="宋体" w:hAnsi="宋体" w:cs="宋体"/>
          <w:b/>
          <w:bCs/>
          <w:color w:val="auto"/>
          <w:sz w:val="32"/>
          <w:szCs w:val="32"/>
          <w:highlight w:val="none"/>
          <w:lang w:eastAsia="zh-CN"/>
        </w:rPr>
      </w:pPr>
    </w:p>
    <w:p w14:paraId="1E9DE77B">
      <w:pPr>
        <w:adjustRightInd w:val="0"/>
        <w:snapToGrid w:val="0"/>
        <w:ind w:left="640" w:leftChars="291" w:firstLine="1601" w:firstLineChars="500"/>
        <w:rPr>
          <w:rFonts w:ascii="宋体" w:hAnsi="宋体" w:cs="宋体"/>
          <w:b/>
          <w:bCs/>
          <w:color w:val="auto"/>
          <w:sz w:val="32"/>
          <w:szCs w:val="32"/>
          <w:highlight w:val="none"/>
          <w:lang w:eastAsia="zh-CN"/>
        </w:rPr>
      </w:pPr>
      <w:r>
        <w:rPr>
          <w:rFonts w:hint="eastAsia" w:ascii="宋体" w:hAnsi="宋体" w:cs="宋体"/>
          <w:b/>
          <w:bCs/>
          <w:color w:val="auto"/>
          <w:sz w:val="32"/>
          <w:szCs w:val="32"/>
          <w:highlight w:val="none"/>
          <w:lang w:eastAsia="zh-CN"/>
        </w:rPr>
        <w:t>采 购 人：江苏省江宁监狱</w:t>
      </w:r>
    </w:p>
    <w:p w14:paraId="528FD148">
      <w:pPr>
        <w:adjustRightInd w:val="0"/>
        <w:snapToGrid w:val="0"/>
        <w:ind w:left="698"/>
        <w:jc w:val="center"/>
        <w:rPr>
          <w:rFonts w:ascii="宋体" w:hAnsi="宋体" w:cs="宋体"/>
          <w:b/>
          <w:bCs/>
          <w:color w:val="auto"/>
          <w:sz w:val="32"/>
          <w:szCs w:val="32"/>
          <w:highlight w:val="none"/>
          <w:lang w:eastAsia="zh-CN"/>
        </w:rPr>
      </w:pPr>
    </w:p>
    <w:p w14:paraId="7903DFAC">
      <w:pPr>
        <w:adjustRightInd w:val="0"/>
        <w:snapToGrid w:val="0"/>
        <w:ind w:left="698"/>
        <w:jc w:val="center"/>
        <w:rPr>
          <w:rFonts w:ascii="宋体" w:hAnsi="宋体" w:cs="宋体"/>
          <w:b/>
          <w:bCs/>
          <w:color w:val="auto"/>
          <w:sz w:val="32"/>
          <w:szCs w:val="32"/>
          <w:highlight w:val="none"/>
          <w:lang w:eastAsia="zh-CN"/>
        </w:rPr>
      </w:pPr>
      <w:r>
        <w:rPr>
          <w:rFonts w:hint="eastAsia" w:ascii="宋体" w:hAnsi="宋体" w:cs="宋体"/>
          <w:b/>
          <w:bCs/>
          <w:color w:val="auto"/>
          <w:sz w:val="32"/>
          <w:szCs w:val="32"/>
          <w:highlight w:val="none"/>
          <w:lang w:eastAsia="zh-CN"/>
        </w:rPr>
        <w:t xml:space="preserve"> 采购代理机构：南京江城工程项目管理有限公司</w:t>
      </w:r>
    </w:p>
    <w:p w14:paraId="352C9862">
      <w:pPr>
        <w:adjustRightInd w:val="0"/>
        <w:snapToGrid w:val="0"/>
        <w:jc w:val="center"/>
        <w:rPr>
          <w:rFonts w:ascii="宋体" w:hAnsi="宋体" w:cs="宋体"/>
          <w:color w:val="auto"/>
          <w:sz w:val="32"/>
          <w:szCs w:val="32"/>
          <w:highlight w:val="none"/>
          <w:lang w:eastAsia="zh-CN"/>
        </w:rPr>
      </w:pPr>
    </w:p>
    <w:p w14:paraId="473C71B2">
      <w:pPr>
        <w:adjustRightInd w:val="0"/>
        <w:snapToGrid w:val="0"/>
        <w:spacing w:line="357" w:lineRule="auto"/>
        <w:ind w:right="1933" w:firstLine="2241" w:firstLineChars="700"/>
        <w:rPr>
          <w:rFonts w:eastAsia="Times New Roman"/>
          <w:color w:val="auto"/>
          <w:highlight w:val="none"/>
          <w:lang w:eastAsia="zh-CN"/>
        </w:rPr>
      </w:pPr>
      <w:r>
        <w:rPr>
          <w:rFonts w:hint="eastAsia" w:ascii="宋体" w:hAnsi="宋体" w:cs="宋体"/>
          <w:b/>
          <w:bCs/>
          <w:color w:val="auto"/>
          <w:sz w:val="32"/>
          <w:szCs w:val="32"/>
          <w:highlight w:val="none"/>
          <w:lang w:eastAsia="zh-CN"/>
        </w:rPr>
        <w:t>日   期：</w:t>
      </w:r>
      <w:r>
        <w:rPr>
          <w:rFonts w:ascii="宋体" w:hAnsi="宋体" w:cs="宋体"/>
          <w:b/>
          <w:bCs/>
          <w:color w:val="auto"/>
          <w:sz w:val="32"/>
          <w:szCs w:val="32"/>
          <w:highlight w:val="none"/>
          <w:lang w:eastAsia="zh-CN"/>
        </w:rPr>
        <w:t>二○二</w:t>
      </w:r>
      <w:r>
        <w:rPr>
          <w:rFonts w:hint="eastAsia" w:ascii="宋体" w:hAnsi="宋体" w:cs="宋体"/>
          <w:b/>
          <w:bCs/>
          <w:color w:val="auto"/>
          <w:sz w:val="32"/>
          <w:szCs w:val="32"/>
          <w:highlight w:val="none"/>
          <w:lang w:eastAsia="zh-CN"/>
        </w:rPr>
        <w:t>六</w:t>
      </w:r>
      <w:r>
        <w:rPr>
          <w:rFonts w:ascii="宋体" w:hAnsi="宋体" w:cs="宋体"/>
          <w:b/>
          <w:bCs/>
          <w:color w:val="auto"/>
          <w:sz w:val="32"/>
          <w:szCs w:val="32"/>
          <w:highlight w:val="none"/>
          <w:lang w:eastAsia="zh-CN"/>
        </w:rPr>
        <w:t>年</w:t>
      </w:r>
      <w:r>
        <w:rPr>
          <w:rFonts w:hint="eastAsia" w:ascii="宋体" w:hAnsi="宋体" w:cs="宋体"/>
          <w:b/>
          <w:bCs/>
          <w:color w:val="auto"/>
          <w:sz w:val="32"/>
          <w:szCs w:val="32"/>
          <w:highlight w:val="none"/>
          <w:lang w:val="en-US" w:eastAsia="zh-CN"/>
        </w:rPr>
        <w:t>七</w:t>
      </w:r>
      <w:r>
        <w:rPr>
          <w:rFonts w:ascii="宋体" w:hAnsi="宋体" w:cs="宋体"/>
          <w:b/>
          <w:bCs/>
          <w:color w:val="auto"/>
          <w:sz w:val="32"/>
          <w:szCs w:val="32"/>
          <w:highlight w:val="none"/>
          <w:lang w:eastAsia="zh-CN"/>
        </w:rPr>
        <w:t>月</w:t>
      </w:r>
    </w:p>
    <w:p w14:paraId="3A27F730">
      <w:pPr>
        <w:spacing w:line="357" w:lineRule="auto"/>
        <w:ind w:left="1572" w:right="1933"/>
        <w:jc w:val="center"/>
        <w:rPr>
          <w:rFonts w:ascii="黑体" w:hAnsi="黑体" w:eastAsia="黑体" w:cs="黑体"/>
          <w:color w:val="auto"/>
          <w:sz w:val="36"/>
          <w:szCs w:val="36"/>
          <w:highlight w:val="none"/>
          <w:lang w:eastAsia="zh-CN"/>
        </w:rPr>
      </w:pPr>
    </w:p>
    <w:p w14:paraId="5EEE5EB8">
      <w:pPr>
        <w:spacing w:line="357" w:lineRule="auto"/>
        <w:jc w:val="center"/>
        <w:rPr>
          <w:rFonts w:ascii="黑体" w:hAnsi="黑体" w:eastAsia="黑体" w:cs="黑体"/>
          <w:color w:val="auto"/>
          <w:sz w:val="36"/>
          <w:szCs w:val="36"/>
          <w:highlight w:val="none"/>
          <w:lang w:eastAsia="zh-CN"/>
        </w:rPr>
        <w:sectPr>
          <w:headerReference r:id="rId3" w:type="default"/>
          <w:footerReference r:id="rId4" w:type="default"/>
          <w:type w:val="continuous"/>
          <w:pgSz w:w="11910" w:h="16840"/>
          <w:pgMar w:top="1440" w:right="1080" w:bottom="1440" w:left="1080" w:header="720" w:footer="720" w:gutter="0"/>
          <w:pgBorders>
            <w:top w:val="none" w:sz="0" w:space="0"/>
            <w:left w:val="none" w:sz="0" w:space="0"/>
            <w:bottom w:val="none" w:sz="0" w:space="0"/>
            <w:right w:val="none" w:sz="0" w:space="0"/>
          </w:pgBorders>
          <w:cols w:space="720" w:num="1"/>
        </w:sectPr>
      </w:pPr>
    </w:p>
    <w:p w14:paraId="1F33C732">
      <w:pPr>
        <w:spacing w:before="8"/>
        <w:rPr>
          <w:rFonts w:ascii="黑体" w:hAnsi="黑体" w:eastAsia="黑体" w:cs="黑体"/>
          <w:color w:val="auto"/>
          <w:sz w:val="23"/>
          <w:szCs w:val="23"/>
          <w:highlight w:val="none"/>
          <w:lang w:eastAsia="zh-CN"/>
        </w:rPr>
      </w:pPr>
    </w:p>
    <w:p w14:paraId="341C9FD8">
      <w:pPr>
        <w:tabs>
          <w:tab w:val="left" w:pos="719"/>
        </w:tabs>
        <w:spacing w:line="460" w:lineRule="exact"/>
        <w:ind w:right="1"/>
        <w:jc w:val="center"/>
        <w:rPr>
          <w:rFonts w:ascii="黑体" w:hAnsi="黑体" w:eastAsia="黑体" w:cs="黑体"/>
          <w:color w:val="auto"/>
          <w:sz w:val="36"/>
          <w:szCs w:val="36"/>
          <w:highlight w:val="none"/>
          <w:lang w:eastAsia="zh-CN"/>
        </w:rPr>
      </w:pPr>
      <w:bookmarkStart w:id="0" w:name="_bookmark0"/>
      <w:bookmarkEnd w:id="0"/>
      <w:r>
        <w:rPr>
          <w:rFonts w:ascii="黑体" w:hAnsi="黑体" w:eastAsia="黑体" w:cs="黑体"/>
          <w:color w:val="auto"/>
          <w:sz w:val="36"/>
          <w:szCs w:val="36"/>
          <w:highlight w:val="none"/>
          <w:lang w:eastAsia="zh-CN"/>
        </w:rPr>
        <w:t>目</w:t>
      </w:r>
      <w:r>
        <w:rPr>
          <w:rFonts w:ascii="黑体" w:hAnsi="黑体" w:eastAsia="黑体" w:cs="黑体"/>
          <w:color w:val="auto"/>
          <w:sz w:val="36"/>
          <w:szCs w:val="36"/>
          <w:highlight w:val="none"/>
          <w:lang w:eastAsia="zh-CN"/>
        </w:rPr>
        <w:tab/>
      </w:r>
      <w:r>
        <w:rPr>
          <w:rFonts w:ascii="黑体" w:hAnsi="黑体" w:eastAsia="黑体" w:cs="黑体"/>
          <w:color w:val="auto"/>
          <w:sz w:val="36"/>
          <w:szCs w:val="36"/>
          <w:highlight w:val="none"/>
          <w:lang w:eastAsia="zh-CN"/>
        </w:rPr>
        <w:t>录</w:t>
      </w:r>
    </w:p>
    <w:p w14:paraId="76387210">
      <w:pPr>
        <w:pStyle w:val="25"/>
        <w:tabs>
          <w:tab w:val="right" w:leader="dot" w:pos="9750"/>
        </w:tabs>
        <w:rPr>
          <w:color w:val="auto"/>
          <w:highlight w:val="none"/>
        </w:rPr>
      </w:pPr>
      <w:r>
        <w:rPr>
          <w:color w:val="auto"/>
          <w:highlight w:val="none"/>
        </w:rPr>
        <w:fldChar w:fldCharType="begin"/>
      </w:r>
      <w:r>
        <w:rPr>
          <w:color w:val="auto"/>
          <w:highlight w:val="none"/>
        </w:rPr>
        <w:instrText xml:space="preserve">TOC \o "1-1" \h \u </w:instrText>
      </w:r>
      <w:r>
        <w:rPr>
          <w:color w:val="auto"/>
          <w:highlight w:val="none"/>
        </w:rPr>
        <w:fldChar w:fldCharType="separate"/>
      </w:r>
      <w:r>
        <w:rPr>
          <w:color w:val="auto"/>
          <w:highlight w:val="none"/>
        </w:rPr>
        <w:fldChar w:fldCharType="begin"/>
      </w:r>
      <w:r>
        <w:rPr>
          <w:color w:val="auto"/>
          <w:highlight w:val="none"/>
        </w:rPr>
        <w:instrText xml:space="preserve"> HYPERLINK \l _Toc20878 </w:instrText>
      </w:r>
      <w:r>
        <w:rPr>
          <w:color w:val="auto"/>
          <w:highlight w:val="none"/>
        </w:rPr>
        <w:fldChar w:fldCharType="separate"/>
      </w:r>
      <w:r>
        <w:rPr>
          <w:color w:val="auto"/>
          <w:w w:val="95"/>
          <w:szCs w:val="36"/>
          <w:highlight w:val="none"/>
          <w:lang w:eastAsia="zh-CN"/>
        </w:rPr>
        <w:t>第一章</w:t>
      </w:r>
      <w:r>
        <w:rPr>
          <w:rFonts w:hint="eastAsia"/>
          <w:color w:val="auto"/>
          <w:w w:val="95"/>
          <w:szCs w:val="36"/>
          <w:highlight w:val="none"/>
          <w:lang w:eastAsia="zh-CN"/>
        </w:rPr>
        <w:t xml:space="preserve">  </w:t>
      </w:r>
      <w:r>
        <w:rPr>
          <w:color w:val="auto"/>
          <w:szCs w:val="36"/>
          <w:highlight w:val="none"/>
          <w:lang w:eastAsia="zh-CN"/>
        </w:rPr>
        <w:t>竞争性磋商邀请</w:t>
      </w:r>
      <w:r>
        <w:rPr>
          <w:color w:val="auto"/>
          <w:highlight w:val="none"/>
        </w:rPr>
        <w:tab/>
      </w:r>
      <w:r>
        <w:rPr>
          <w:color w:val="auto"/>
          <w:highlight w:val="none"/>
        </w:rPr>
        <w:fldChar w:fldCharType="begin"/>
      </w:r>
      <w:r>
        <w:rPr>
          <w:color w:val="auto"/>
          <w:highlight w:val="none"/>
        </w:rPr>
        <w:instrText xml:space="preserve"> PAGEREF _Toc20878 \h </w:instrText>
      </w:r>
      <w:r>
        <w:rPr>
          <w:color w:val="auto"/>
          <w:highlight w:val="none"/>
        </w:rPr>
        <w:fldChar w:fldCharType="separate"/>
      </w:r>
      <w:r>
        <w:rPr>
          <w:color w:val="auto"/>
          <w:highlight w:val="none"/>
        </w:rPr>
        <w:t>3</w:t>
      </w:r>
      <w:r>
        <w:rPr>
          <w:color w:val="auto"/>
          <w:highlight w:val="none"/>
        </w:rPr>
        <w:fldChar w:fldCharType="end"/>
      </w:r>
      <w:r>
        <w:rPr>
          <w:color w:val="auto"/>
          <w:highlight w:val="none"/>
        </w:rPr>
        <w:fldChar w:fldCharType="end"/>
      </w:r>
    </w:p>
    <w:p w14:paraId="0C26E18F">
      <w:pPr>
        <w:pStyle w:val="25"/>
        <w:tabs>
          <w:tab w:val="right" w:leader="dot" w:pos="9750"/>
        </w:tabs>
        <w:rPr>
          <w:color w:val="auto"/>
          <w:highlight w:val="none"/>
        </w:rPr>
      </w:pPr>
      <w:r>
        <w:rPr>
          <w:color w:val="auto"/>
          <w:highlight w:val="none"/>
        </w:rPr>
        <w:fldChar w:fldCharType="begin"/>
      </w:r>
      <w:r>
        <w:rPr>
          <w:color w:val="auto"/>
          <w:highlight w:val="none"/>
        </w:rPr>
        <w:instrText xml:space="preserve"> HYPERLINK \l _Toc24193 </w:instrText>
      </w:r>
      <w:r>
        <w:rPr>
          <w:color w:val="auto"/>
          <w:highlight w:val="none"/>
        </w:rPr>
        <w:fldChar w:fldCharType="separate"/>
      </w:r>
      <w:r>
        <w:rPr>
          <w:color w:val="auto"/>
          <w:w w:val="95"/>
          <w:szCs w:val="36"/>
          <w:highlight w:val="none"/>
          <w:lang w:eastAsia="zh-CN"/>
        </w:rPr>
        <w:t>第二章</w:t>
      </w:r>
      <w:r>
        <w:rPr>
          <w:rFonts w:hint="eastAsia"/>
          <w:color w:val="auto"/>
          <w:w w:val="95"/>
          <w:szCs w:val="36"/>
          <w:highlight w:val="none"/>
          <w:lang w:eastAsia="zh-CN"/>
        </w:rPr>
        <w:t xml:space="preserve">  </w:t>
      </w:r>
      <w:r>
        <w:rPr>
          <w:color w:val="auto"/>
          <w:w w:val="95"/>
          <w:szCs w:val="36"/>
          <w:highlight w:val="none"/>
          <w:lang w:eastAsia="zh-CN"/>
        </w:rPr>
        <w:t>供应商须知</w:t>
      </w:r>
      <w:r>
        <w:rPr>
          <w:color w:val="auto"/>
          <w:highlight w:val="none"/>
        </w:rPr>
        <w:tab/>
      </w:r>
      <w:r>
        <w:rPr>
          <w:color w:val="auto"/>
          <w:highlight w:val="none"/>
        </w:rPr>
        <w:fldChar w:fldCharType="begin"/>
      </w:r>
      <w:r>
        <w:rPr>
          <w:color w:val="auto"/>
          <w:highlight w:val="none"/>
        </w:rPr>
        <w:instrText xml:space="preserve"> PAGEREF _Toc24193 \h </w:instrText>
      </w:r>
      <w:r>
        <w:rPr>
          <w:color w:val="auto"/>
          <w:highlight w:val="none"/>
        </w:rPr>
        <w:fldChar w:fldCharType="separate"/>
      </w:r>
      <w:r>
        <w:rPr>
          <w:color w:val="auto"/>
          <w:highlight w:val="none"/>
        </w:rPr>
        <w:t>7</w:t>
      </w:r>
      <w:r>
        <w:rPr>
          <w:color w:val="auto"/>
          <w:highlight w:val="none"/>
        </w:rPr>
        <w:fldChar w:fldCharType="end"/>
      </w:r>
      <w:r>
        <w:rPr>
          <w:color w:val="auto"/>
          <w:highlight w:val="none"/>
        </w:rPr>
        <w:fldChar w:fldCharType="end"/>
      </w:r>
    </w:p>
    <w:p w14:paraId="5A274B8F">
      <w:pPr>
        <w:pStyle w:val="25"/>
        <w:tabs>
          <w:tab w:val="right" w:leader="dot" w:pos="9750"/>
        </w:tabs>
        <w:rPr>
          <w:color w:val="auto"/>
          <w:highlight w:val="none"/>
        </w:rPr>
      </w:pPr>
      <w:r>
        <w:rPr>
          <w:color w:val="auto"/>
          <w:highlight w:val="none"/>
        </w:rPr>
        <w:fldChar w:fldCharType="begin"/>
      </w:r>
      <w:r>
        <w:rPr>
          <w:color w:val="auto"/>
          <w:highlight w:val="none"/>
        </w:rPr>
        <w:instrText xml:space="preserve"> HYPERLINK \l _Toc2666 </w:instrText>
      </w:r>
      <w:r>
        <w:rPr>
          <w:color w:val="auto"/>
          <w:highlight w:val="none"/>
        </w:rPr>
        <w:fldChar w:fldCharType="separate"/>
      </w:r>
      <w:r>
        <w:rPr>
          <w:rFonts w:hint="eastAsia"/>
          <w:color w:val="auto"/>
          <w:w w:val="95"/>
          <w:szCs w:val="36"/>
          <w:highlight w:val="none"/>
          <w:lang w:eastAsia="zh-CN"/>
        </w:rPr>
        <w:t xml:space="preserve">第三章  </w:t>
      </w:r>
      <w:r>
        <w:rPr>
          <w:color w:val="auto"/>
          <w:w w:val="95"/>
          <w:szCs w:val="36"/>
          <w:highlight w:val="none"/>
          <w:lang w:eastAsia="zh-CN"/>
        </w:rPr>
        <w:t>成交标准</w:t>
      </w:r>
      <w:r>
        <w:rPr>
          <w:color w:val="auto"/>
          <w:highlight w:val="none"/>
        </w:rPr>
        <w:tab/>
      </w:r>
      <w:r>
        <w:rPr>
          <w:color w:val="auto"/>
          <w:highlight w:val="none"/>
        </w:rPr>
        <w:fldChar w:fldCharType="begin"/>
      </w:r>
      <w:r>
        <w:rPr>
          <w:color w:val="auto"/>
          <w:highlight w:val="none"/>
        </w:rPr>
        <w:instrText xml:space="preserve"> PAGEREF _Toc2666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14:paraId="3513507C">
      <w:pPr>
        <w:pStyle w:val="25"/>
        <w:tabs>
          <w:tab w:val="right" w:leader="dot" w:pos="9750"/>
        </w:tabs>
        <w:rPr>
          <w:color w:val="auto"/>
          <w:highlight w:val="none"/>
        </w:rPr>
      </w:pPr>
      <w:r>
        <w:rPr>
          <w:color w:val="auto"/>
          <w:highlight w:val="none"/>
        </w:rPr>
        <w:fldChar w:fldCharType="begin"/>
      </w:r>
      <w:r>
        <w:rPr>
          <w:color w:val="auto"/>
          <w:highlight w:val="none"/>
        </w:rPr>
        <w:instrText xml:space="preserve"> HYPERLINK \l _Toc30487 </w:instrText>
      </w:r>
      <w:r>
        <w:rPr>
          <w:color w:val="auto"/>
          <w:highlight w:val="none"/>
        </w:rPr>
        <w:fldChar w:fldCharType="separate"/>
      </w:r>
      <w:r>
        <w:rPr>
          <w:rFonts w:hint="eastAsia"/>
          <w:color w:val="auto"/>
          <w:w w:val="95"/>
          <w:szCs w:val="36"/>
          <w:highlight w:val="none"/>
          <w:lang w:eastAsia="zh-CN"/>
        </w:rPr>
        <w:t>第四章  采购项目需求</w:t>
      </w:r>
      <w:r>
        <w:rPr>
          <w:color w:val="auto"/>
          <w:highlight w:val="none"/>
        </w:rPr>
        <w:tab/>
      </w:r>
      <w:r>
        <w:rPr>
          <w:color w:val="auto"/>
          <w:highlight w:val="none"/>
        </w:rPr>
        <w:fldChar w:fldCharType="begin"/>
      </w:r>
      <w:r>
        <w:rPr>
          <w:color w:val="auto"/>
          <w:highlight w:val="none"/>
        </w:rPr>
        <w:instrText xml:space="preserve"> PAGEREF _Toc30487 \h </w:instrText>
      </w:r>
      <w:r>
        <w:rPr>
          <w:color w:val="auto"/>
          <w:highlight w:val="none"/>
        </w:rPr>
        <w:fldChar w:fldCharType="separate"/>
      </w:r>
      <w:r>
        <w:rPr>
          <w:color w:val="auto"/>
          <w:highlight w:val="none"/>
        </w:rPr>
        <w:t>23</w:t>
      </w:r>
      <w:r>
        <w:rPr>
          <w:color w:val="auto"/>
          <w:highlight w:val="none"/>
        </w:rPr>
        <w:fldChar w:fldCharType="end"/>
      </w:r>
      <w:r>
        <w:rPr>
          <w:color w:val="auto"/>
          <w:highlight w:val="none"/>
        </w:rPr>
        <w:fldChar w:fldCharType="end"/>
      </w:r>
    </w:p>
    <w:p w14:paraId="475BF601">
      <w:pPr>
        <w:pStyle w:val="25"/>
        <w:tabs>
          <w:tab w:val="right" w:leader="dot" w:pos="9750"/>
        </w:tabs>
        <w:rPr>
          <w:color w:val="auto"/>
          <w:highlight w:val="none"/>
        </w:rPr>
      </w:pPr>
      <w:r>
        <w:rPr>
          <w:color w:val="auto"/>
          <w:highlight w:val="none"/>
        </w:rPr>
        <w:fldChar w:fldCharType="begin"/>
      </w:r>
      <w:r>
        <w:rPr>
          <w:color w:val="auto"/>
          <w:highlight w:val="none"/>
        </w:rPr>
        <w:instrText xml:space="preserve"> HYPERLINK \l _Toc26053 </w:instrText>
      </w:r>
      <w:r>
        <w:rPr>
          <w:color w:val="auto"/>
          <w:highlight w:val="none"/>
        </w:rPr>
        <w:fldChar w:fldCharType="separate"/>
      </w:r>
      <w:r>
        <w:rPr>
          <w:rFonts w:hint="eastAsia"/>
          <w:color w:val="auto"/>
          <w:w w:val="95"/>
          <w:szCs w:val="36"/>
          <w:highlight w:val="none"/>
          <w:lang w:eastAsia="zh-CN"/>
        </w:rPr>
        <w:t>第五章 合同主要条款</w:t>
      </w:r>
      <w:r>
        <w:rPr>
          <w:color w:val="auto"/>
          <w:highlight w:val="none"/>
        </w:rPr>
        <w:tab/>
      </w:r>
      <w:r>
        <w:rPr>
          <w:color w:val="auto"/>
          <w:highlight w:val="none"/>
        </w:rPr>
        <w:fldChar w:fldCharType="begin"/>
      </w:r>
      <w:r>
        <w:rPr>
          <w:color w:val="auto"/>
          <w:highlight w:val="none"/>
        </w:rPr>
        <w:instrText xml:space="preserve"> PAGEREF _Toc26053 \h </w:instrText>
      </w:r>
      <w:r>
        <w:rPr>
          <w:color w:val="auto"/>
          <w:highlight w:val="none"/>
        </w:rPr>
        <w:fldChar w:fldCharType="separate"/>
      </w:r>
      <w:r>
        <w:rPr>
          <w:color w:val="auto"/>
          <w:highlight w:val="none"/>
        </w:rPr>
        <w:t>26</w:t>
      </w:r>
      <w:r>
        <w:rPr>
          <w:color w:val="auto"/>
          <w:highlight w:val="none"/>
        </w:rPr>
        <w:fldChar w:fldCharType="end"/>
      </w:r>
      <w:r>
        <w:rPr>
          <w:color w:val="auto"/>
          <w:highlight w:val="none"/>
        </w:rPr>
        <w:fldChar w:fldCharType="end"/>
      </w:r>
    </w:p>
    <w:p w14:paraId="69B5C161">
      <w:pPr>
        <w:pStyle w:val="25"/>
        <w:tabs>
          <w:tab w:val="right" w:leader="dot" w:pos="9750"/>
        </w:tabs>
        <w:rPr>
          <w:color w:val="auto"/>
          <w:highlight w:val="none"/>
        </w:rPr>
      </w:pPr>
      <w:r>
        <w:rPr>
          <w:color w:val="auto"/>
          <w:highlight w:val="none"/>
        </w:rPr>
        <w:fldChar w:fldCharType="begin"/>
      </w:r>
      <w:r>
        <w:rPr>
          <w:color w:val="auto"/>
          <w:highlight w:val="none"/>
        </w:rPr>
        <w:instrText xml:space="preserve"> HYPERLINK \l _Toc10697 </w:instrText>
      </w:r>
      <w:r>
        <w:rPr>
          <w:color w:val="auto"/>
          <w:highlight w:val="none"/>
        </w:rPr>
        <w:fldChar w:fldCharType="separate"/>
      </w:r>
      <w:r>
        <w:rPr>
          <w:rFonts w:hint="eastAsia"/>
          <w:color w:val="auto"/>
          <w:w w:val="95"/>
          <w:szCs w:val="36"/>
          <w:highlight w:val="none"/>
          <w:lang w:eastAsia="zh-CN"/>
        </w:rPr>
        <w:t>第六章  响应文件</w:t>
      </w:r>
      <w:bookmarkStart w:id="1" w:name="_Hlt224050443"/>
      <w:bookmarkStart w:id="2" w:name="_Hlt224050620"/>
      <w:bookmarkStart w:id="3" w:name="_Hlt224050442"/>
      <w:r>
        <w:rPr>
          <w:rFonts w:hint="eastAsia"/>
          <w:color w:val="auto"/>
          <w:w w:val="95"/>
          <w:szCs w:val="36"/>
          <w:highlight w:val="none"/>
          <w:lang w:eastAsia="zh-CN"/>
        </w:rPr>
        <w:t>格</w:t>
      </w:r>
      <w:bookmarkEnd w:id="1"/>
      <w:bookmarkEnd w:id="2"/>
      <w:bookmarkEnd w:id="3"/>
      <w:r>
        <w:rPr>
          <w:rFonts w:hint="eastAsia"/>
          <w:color w:val="auto"/>
          <w:w w:val="95"/>
          <w:szCs w:val="36"/>
          <w:highlight w:val="none"/>
          <w:lang w:eastAsia="zh-CN"/>
        </w:rPr>
        <w:t>式</w:t>
      </w:r>
      <w:bookmarkStart w:id="4" w:name="_Hlt224050651"/>
      <w:r>
        <w:rPr>
          <w:color w:val="auto"/>
          <w:highlight w:val="none"/>
        </w:rPr>
        <w:tab/>
      </w:r>
      <w:bookmarkEnd w:id="4"/>
      <w:r>
        <w:rPr>
          <w:color w:val="auto"/>
          <w:highlight w:val="none"/>
        </w:rPr>
        <w:fldChar w:fldCharType="begin"/>
      </w:r>
      <w:r>
        <w:rPr>
          <w:color w:val="auto"/>
          <w:highlight w:val="none"/>
        </w:rPr>
        <w:instrText xml:space="preserve"> PAGEREF _Toc10697 \h </w:instrText>
      </w:r>
      <w:r>
        <w:rPr>
          <w:color w:val="auto"/>
          <w:highlight w:val="none"/>
        </w:rPr>
        <w:fldChar w:fldCharType="separate"/>
      </w:r>
      <w:r>
        <w:rPr>
          <w:color w:val="auto"/>
          <w:highlight w:val="none"/>
        </w:rPr>
        <w:t>141</w:t>
      </w:r>
      <w:r>
        <w:rPr>
          <w:color w:val="auto"/>
          <w:highlight w:val="none"/>
        </w:rPr>
        <w:fldChar w:fldCharType="end"/>
      </w:r>
      <w:r>
        <w:rPr>
          <w:color w:val="auto"/>
          <w:highlight w:val="none"/>
        </w:rPr>
        <w:fldChar w:fldCharType="end"/>
      </w:r>
    </w:p>
    <w:p w14:paraId="2D5FB9E8">
      <w:pPr>
        <w:pStyle w:val="31"/>
        <w:jc w:val="left"/>
        <w:outlineLvl w:val="9"/>
        <w:rPr>
          <w:color w:val="auto"/>
          <w:highlight w:val="none"/>
        </w:rPr>
      </w:pPr>
      <w:r>
        <w:rPr>
          <w:color w:val="auto"/>
          <w:highlight w:val="none"/>
        </w:rPr>
        <w:fldChar w:fldCharType="end"/>
      </w:r>
    </w:p>
    <w:p w14:paraId="192BB9FC">
      <w:pPr>
        <w:rPr>
          <w:color w:val="auto"/>
          <w:highlight w:val="none"/>
        </w:rPr>
      </w:pPr>
    </w:p>
    <w:p w14:paraId="3C038727">
      <w:pPr>
        <w:pStyle w:val="2"/>
        <w:tabs>
          <w:tab w:val="left" w:pos="4171"/>
        </w:tabs>
        <w:adjustRightInd w:val="0"/>
        <w:snapToGrid w:val="0"/>
        <w:spacing w:line="360" w:lineRule="auto"/>
        <w:jc w:val="center"/>
        <w:rPr>
          <w:color w:val="auto"/>
          <w:sz w:val="36"/>
          <w:szCs w:val="36"/>
          <w:highlight w:val="none"/>
          <w:lang w:eastAsia="zh-CN"/>
        </w:rPr>
      </w:pPr>
      <w:r>
        <w:rPr>
          <w:color w:val="auto"/>
          <w:w w:val="95"/>
          <w:sz w:val="36"/>
          <w:szCs w:val="36"/>
          <w:highlight w:val="none"/>
          <w:lang w:eastAsia="zh-CN"/>
        </w:rPr>
        <w:br w:type="page"/>
      </w:r>
      <w:bookmarkStart w:id="5" w:name="_Toc20878"/>
      <w:r>
        <w:rPr>
          <w:color w:val="auto"/>
          <w:w w:val="95"/>
          <w:sz w:val="36"/>
          <w:szCs w:val="36"/>
          <w:highlight w:val="none"/>
          <w:lang w:eastAsia="zh-CN"/>
        </w:rPr>
        <w:t>第一章</w:t>
      </w:r>
      <w:r>
        <w:rPr>
          <w:rFonts w:hint="eastAsia"/>
          <w:color w:val="auto"/>
          <w:w w:val="95"/>
          <w:sz w:val="36"/>
          <w:szCs w:val="36"/>
          <w:highlight w:val="none"/>
          <w:lang w:eastAsia="zh-CN"/>
        </w:rPr>
        <w:t xml:space="preserve"> </w:t>
      </w:r>
      <w:r>
        <w:rPr>
          <w:color w:val="auto"/>
          <w:sz w:val="36"/>
          <w:szCs w:val="36"/>
          <w:highlight w:val="none"/>
          <w:lang w:eastAsia="zh-CN"/>
        </w:rPr>
        <w:t>竞争性磋商邀请</w:t>
      </w:r>
      <w:bookmarkEnd w:id="5"/>
    </w:p>
    <w:p w14:paraId="4C932F30">
      <w:pPr>
        <w:adjustRightInd w:val="0"/>
        <w:snapToGrid w:val="0"/>
        <w:spacing w:line="360" w:lineRule="auto"/>
        <w:ind w:firstLine="512" w:firstLineChars="200"/>
        <w:rPr>
          <w:rFonts w:hint="eastAsia" w:ascii="宋体" w:hAnsi="宋体" w:eastAsia="宋体" w:cs="宋体"/>
          <w:color w:val="auto"/>
          <w:sz w:val="24"/>
          <w:szCs w:val="24"/>
          <w:highlight w:val="none"/>
          <w:lang w:eastAsia="zh-CN"/>
        </w:rPr>
      </w:pPr>
      <w:r>
        <w:rPr>
          <w:rStyle w:val="76"/>
          <w:rFonts w:hint="eastAsia" w:ascii="宋体" w:hAnsi="宋体" w:eastAsia="宋体" w:cs="宋体"/>
          <w:color w:val="auto"/>
          <w:spacing w:val="8"/>
          <w:sz w:val="24"/>
          <w:szCs w:val="24"/>
          <w:highlight w:val="none"/>
          <w:u w:val="single"/>
          <w:lang w:eastAsia="zh-CN"/>
        </w:rPr>
        <w:t>江宁监狱综合管网维修改造</w:t>
      </w:r>
      <w:r>
        <w:rPr>
          <w:rStyle w:val="76"/>
          <w:rFonts w:hint="eastAsia" w:ascii="宋体" w:hAnsi="宋体" w:eastAsia="宋体" w:cs="宋体"/>
          <w:color w:val="auto"/>
          <w:spacing w:val="8"/>
          <w:sz w:val="24"/>
          <w:szCs w:val="24"/>
          <w:highlight w:val="none"/>
          <w:lang w:eastAsia="zh-CN"/>
        </w:rPr>
        <w:t>采购项目</w:t>
      </w:r>
      <w:r>
        <w:rPr>
          <w:rFonts w:hint="eastAsia" w:ascii="宋体" w:hAnsi="宋体" w:eastAsia="宋体" w:cs="宋体"/>
          <w:color w:val="auto"/>
          <w:sz w:val="24"/>
          <w:szCs w:val="24"/>
          <w:highlight w:val="none"/>
          <w:lang w:eastAsia="zh-CN"/>
        </w:rPr>
        <w:t>的潜在供应商应在</w:t>
      </w:r>
      <w:r>
        <w:rPr>
          <w:rFonts w:hint="eastAsia" w:ascii="宋体" w:hAnsi="宋体" w:eastAsia="宋体" w:cs="宋体"/>
          <w:color w:val="auto"/>
          <w:sz w:val="24"/>
          <w:szCs w:val="24"/>
          <w:highlight w:val="none"/>
          <w:u w:val="single"/>
          <w:lang w:eastAsia="zh-CN"/>
        </w:rPr>
        <w:t>江苏政府采购网</w:t>
      </w:r>
      <w:r>
        <w:rPr>
          <w:rFonts w:hint="eastAsia" w:ascii="宋体" w:hAnsi="宋体" w:eastAsia="宋体" w:cs="宋体"/>
          <w:color w:val="auto"/>
          <w:sz w:val="24"/>
          <w:szCs w:val="24"/>
          <w:highlight w:val="none"/>
          <w:lang w:eastAsia="zh-CN"/>
        </w:rPr>
        <w:t>获取采购文件，并于</w:t>
      </w:r>
      <w:r>
        <w:rPr>
          <w:rFonts w:hint="eastAsia" w:ascii="宋体" w:hAnsi="宋体" w:eastAsia="宋体" w:cs="宋体"/>
          <w:color w:val="auto"/>
          <w:sz w:val="24"/>
          <w:szCs w:val="24"/>
          <w:highlight w:val="none"/>
          <w:u w:val="single"/>
          <w:lang w:eastAsia="zh-CN"/>
        </w:rPr>
        <w:t>2026年0</w:t>
      </w:r>
      <w:r>
        <w:rPr>
          <w:rFonts w:hint="eastAsia" w:ascii="宋体" w:hAnsi="宋体" w:eastAsia="宋体" w:cs="宋体"/>
          <w:color w:val="auto"/>
          <w:sz w:val="24"/>
          <w:szCs w:val="24"/>
          <w:highlight w:val="none"/>
          <w:u w:val="single"/>
          <w:lang w:val="en-US" w:eastAsia="zh-CN"/>
        </w:rPr>
        <w:t>7</w:t>
      </w:r>
      <w:r>
        <w:rPr>
          <w:rFonts w:hint="eastAsia" w:ascii="宋体" w:hAnsi="宋体" w:eastAsia="宋体" w:cs="宋体"/>
          <w:color w:val="auto"/>
          <w:sz w:val="24"/>
          <w:szCs w:val="24"/>
          <w:highlight w:val="none"/>
          <w:u w:val="single"/>
          <w:lang w:eastAsia="zh-CN"/>
        </w:rPr>
        <w:t>月</w:t>
      </w:r>
      <w:r>
        <w:rPr>
          <w:rFonts w:hint="eastAsia" w:ascii="宋体" w:hAnsi="宋体" w:eastAsia="宋体" w:cs="宋体"/>
          <w:color w:val="auto"/>
          <w:sz w:val="24"/>
          <w:szCs w:val="24"/>
          <w:highlight w:val="none"/>
          <w:u w:val="single"/>
          <w:lang w:val="en-US" w:eastAsia="zh-CN"/>
        </w:rPr>
        <w:t>17</w:t>
      </w:r>
      <w:r>
        <w:rPr>
          <w:rFonts w:hint="eastAsia" w:ascii="宋体" w:hAnsi="宋体" w:eastAsia="宋体" w:cs="宋体"/>
          <w:color w:val="auto"/>
          <w:sz w:val="24"/>
          <w:szCs w:val="24"/>
          <w:highlight w:val="none"/>
          <w:u w:val="single"/>
          <w:lang w:eastAsia="zh-CN"/>
        </w:rPr>
        <w:t>日</w:t>
      </w:r>
      <w:r>
        <w:rPr>
          <w:rFonts w:hint="eastAsia" w:ascii="宋体" w:hAnsi="宋体" w:eastAsia="宋体" w:cs="宋体"/>
          <w:color w:val="auto"/>
          <w:sz w:val="24"/>
          <w:szCs w:val="24"/>
          <w:highlight w:val="none"/>
          <w:u w:val="single"/>
          <w:lang w:val="en-US" w:eastAsia="zh-CN"/>
        </w:rPr>
        <w:t>09</w:t>
      </w:r>
      <w:r>
        <w:rPr>
          <w:rFonts w:hint="eastAsia" w:ascii="宋体" w:hAnsi="宋体" w:eastAsia="宋体" w:cs="宋体"/>
          <w:color w:val="auto"/>
          <w:sz w:val="24"/>
          <w:szCs w:val="24"/>
          <w:highlight w:val="none"/>
          <w:u w:val="single"/>
          <w:lang w:eastAsia="zh-CN"/>
        </w:rPr>
        <w:t>点</w:t>
      </w:r>
      <w:r>
        <w:rPr>
          <w:rFonts w:hint="eastAsia" w:ascii="宋体" w:hAnsi="宋体" w:eastAsia="宋体"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lang w:eastAsia="zh-CN"/>
        </w:rPr>
        <w:t>0分</w:t>
      </w:r>
      <w:r>
        <w:rPr>
          <w:rFonts w:hint="eastAsia" w:ascii="宋体" w:hAnsi="宋体" w:eastAsia="宋体" w:cs="宋体"/>
          <w:color w:val="auto"/>
          <w:sz w:val="24"/>
          <w:szCs w:val="24"/>
          <w:highlight w:val="none"/>
          <w:lang w:eastAsia="zh-CN"/>
        </w:rPr>
        <w:t>（北京时间）前提交响应文件。</w:t>
      </w:r>
    </w:p>
    <w:p w14:paraId="54E22BC6">
      <w:pPr>
        <w:pStyle w:val="70"/>
        <w:adjustRightInd w:val="0"/>
        <w:snapToGrid w:val="0"/>
        <w:ind w:firstLine="482"/>
        <w:rPr>
          <w:rFonts w:hint="eastAsia" w:eastAsia="宋体" w:cs="宋体"/>
          <w:b/>
          <w:bCs/>
          <w:color w:val="auto"/>
          <w:highlight w:val="none"/>
          <w:lang w:eastAsia="zh-CN"/>
        </w:rPr>
      </w:pPr>
      <w:bookmarkStart w:id="6" w:name="_Toc35393798"/>
      <w:bookmarkStart w:id="7" w:name="_Toc28359089"/>
      <w:bookmarkStart w:id="8" w:name="_Toc35393629"/>
      <w:bookmarkStart w:id="9" w:name="_Toc28359012"/>
      <w:r>
        <w:rPr>
          <w:rFonts w:hint="eastAsia" w:eastAsia="宋体" w:cs="宋体"/>
          <w:b/>
          <w:bCs/>
          <w:color w:val="auto"/>
          <w:highlight w:val="none"/>
          <w:lang w:eastAsia="zh-CN"/>
        </w:rPr>
        <w:t>一、项目基本情况</w:t>
      </w:r>
      <w:bookmarkEnd w:id="6"/>
      <w:bookmarkEnd w:id="7"/>
      <w:bookmarkEnd w:id="8"/>
      <w:bookmarkEnd w:id="9"/>
    </w:p>
    <w:p w14:paraId="55CC5F3E">
      <w:pPr>
        <w:pStyle w:val="16"/>
        <w:adjustRightInd w:val="0"/>
        <w:snapToGrid w:val="0"/>
        <w:spacing w:before="0" w:line="360" w:lineRule="auto"/>
        <w:ind w:left="0" w:firstLine="480" w:firstLineChars="200"/>
        <w:rPr>
          <w:rFonts w:hint="eastAsia" w:cs="宋体"/>
          <w:color w:val="auto"/>
          <w:highlight w:val="none"/>
          <w:lang w:eastAsia="zh-CN"/>
        </w:rPr>
      </w:pPr>
      <w:r>
        <w:rPr>
          <w:rFonts w:hint="eastAsia" w:cs="宋体"/>
          <w:color w:val="auto"/>
          <w:highlight w:val="none"/>
          <w:lang w:eastAsia="zh-CN"/>
        </w:rPr>
        <w:t>1.项目编号：JSZC-320000-NJJC-C2026-0075</w:t>
      </w:r>
    </w:p>
    <w:p w14:paraId="56EBD978">
      <w:pPr>
        <w:pStyle w:val="16"/>
        <w:adjustRightInd w:val="0"/>
        <w:snapToGrid w:val="0"/>
        <w:spacing w:before="0" w:line="360" w:lineRule="auto"/>
        <w:ind w:left="0" w:firstLine="480" w:firstLineChars="200"/>
        <w:rPr>
          <w:rFonts w:hint="eastAsia" w:cs="宋体"/>
          <w:b/>
          <w:bCs/>
          <w:color w:val="auto"/>
          <w:sz w:val="48"/>
          <w:szCs w:val="48"/>
          <w:highlight w:val="none"/>
          <w:lang w:eastAsia="zh-CN"/>
        </w:rPr>
      </w:pPr>
      <w:r>
        <w:rPr>
          <w:rFonts w:hint="eastAsia" w:cs="宋体"/>
          <w:color w:val="auto"/>
          <w:highlight w:val="none"/>
          <w:lang w:eastAsia="zh-CN"/>
        </w:rPr>
        <w:t xml:space="preserve">2.项目名称：江宁监狱综合管网维修改造 </w:t>
      </w:r>
    </w:p>
    <w:tbl>
      <w:tblPr>
        <w:tblStyle w:val="34"/>
        <w:tblpPr w:leftFromText="180" w:rightFromText="180" w:vertAnchor="text" w:horzAnchor="page" w:tblpX="1114" w:tblpY="403"/>
        <w:tblOverlap w:val="never"/>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3"/>
        <w:gridCol w:w="1912"/>
        <w:gridCol w:w="2639"/>
        <w:gridCol w:w="1257"/>
        <w:gridCol w:w="1737"/>
        <w:gridCol w:w="1698"/>
      </w:tblGrid>
      <w:tr w14:paraId="23EB9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358" w:type="pct"/>
            <w:noWrap w:val="0"/>
            <w:vAlign w:val="center"/>
          </w:tcPr>
          <w:p w14:paraId="1247AD58">
            <w:pPr>
              <w:widowControl w:val="0"/>
              <w:spacing w:line="360" w:lineRule="auto"/>
              <w:jc w:val="center"/>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序号</w:t>
            </w:r>
          </w:p>
        </w:tc>
        <w:tc>
          <w:tcPr>
            <w:tcW w:w="960" w:type="pct"/>
            <w:noWrap w:val="0"/>
            <w:vAlign w:val="center"/>
          </w:tcPr>
          <w:p w14:paraId="43E83228">
            <w:pPr>
              <w:widowControl w:val="0"/>
              <w:spacing w:line="360" w:lineRule="auto"/>
              <w:jc w:val="center"/>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包名称</w:t>
            </w:r>
          </w:p>
        </w:tc>
        <w:tc>
          <w:tcPr>
            <w:tcW w:w="1325" w:type="pct"/>
            <w:noWrap w:val="0"/>
            <w:vAlign w:val="center"/>
          </w:tcPr>
          <w:p w14:paraId="13F50604">
            <w:pPr>
              <w:widowControl w:val="0"/>
              <w:spacing w:line="360" w:lineRule="auto"/>
              <w:jc w:val="center"/>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采购需求</w:t>
            </w:r>
          </w:p>
        </w:tc>
        <w:tc>
          <w:tcPr>
            <w:tcW w:w="631" w:type="pct"/>
            <w:noWrap w:val="0"/>
            <w:vAlign w:val="center"/>
          </w:tcPr>
          <w:p w14:paraId="02EDF7B3">
            <w:pPr>
              <w:widowControl w:val="0"/>
              <w:spacing w:line="360" w:lineRule="auto"/>
              <w:jc w:val="center"/>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预算金额</w:t>
            </w:r>
          </w:p>
        </w:tc>
        <w:tc>
          <w:tcPr>
            <w:tcW w:w="872" w:type="pct"/>
            <w:noWrap w:val="0"/>
            <w:vAlign w:val="center"/>
          </w:tcPr>
          <w:p w14:paraId="55951127">
            <w:pPr>
              <w:widowControl w:val="0"/>
              <w:spacing w:line="360" w:lineRule="auto"/>
              <w:jc w:val="center"/>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最高限价</w:t>
            </w:r>
          </w:p>
        </w:tc>
        <w:tc>
          <w:tcPr>
            <w:tcW w:w="852" w:type="pct"/>
            <w:noWrap w:val="0"/>
            <w:vAlign w:val="center"/>
          </w:tcPr>
          <w:p w14:paraId="126712EF">
            <w:pPr>
              <w:widowControl w:val="0"/>
              <w:spacing w:line="360" w:lineRule="auto"/>
              <w:jc w:val="center"/>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合同履行期限</w:t>
            </w:r>
          </w:p>
        </w:tc>
      </w:tr>
      <w:tr w14:paraId="7D0D9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358" w:type="pct"/>
            <w:noWrap w:val="0"/>
            <w:vAlign w:val="center"/>
          </w:tcPr>
          <w:p w14:paraId="535B5403">
            <w:pPr>
              <w:widowControl w:val="0"/>
              <w:spacing w:line="360" w:lineRule="auto"/>
              <w:jc w:val="center"/>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val="en-US" w:eastAsia="zh-CN"/>
              </w:rPr>
              <w:t>1</w:t>
            </w:r>
          </w:p>
        </w:tc>
        <w:tc>
          <w:tcPr>
            <w:tcW w:w="960" w:type="pct"/>
            <w:noWrap w:val="0"/>
            <w:vAlign w:val="center"/>
          </w:tcPr>
          <w:p w14:paraId="0E0A482A">
            <w:pPr>
              <w:widowControl w:val="0"/>
              <w:spacing w:line="360" w:lineRule="auto"/>
              <w:jc w:val="center"/>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val="en-US" w:eastAsia="zh-CN"/>
              </w:rPr>
              <w:t>一</w:t>
            </w:r>
            <w:r>
              <w:rPr>
                <w:rFonts w:hint="eastAsia" w:ascii="宋体" w:hAnsi="宋体" w:eastAsia="宋体" w:cs="宋体"/>
                <w:color w:val="auto"/>
                <w:kern w:val="2"/>
                <w:sz w:val="24"/>
                <w:szCs w:val="24"/>
                <w:highlight w:val="none"/>
                <w:lang w:eastAsia="zh-CN"/>
              </w:rPr>
              <w:t>包：江宁监狱蒸汽管网改造</w:t>
            </w:r>
          </w:p>
        </w:tc>
        <w:tc>
          <w:tcPr>
            <w:tcW w:w="1325" w:type="pct"/>
            <w:noWrap w:val="0"/>
            <w:vAlign w:val="center"/>
          </w:tcPr>
          <w:p w14:paraId="194E2B09">
            <w:pPr>
              <w:widowControl w:val="0"/>
              <w:spacing w:line="360" w:lineRule="auto"/>
              <w:jc w:val="center"/>
              <w:textAlignment w:val="baseline"/>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蒸汽管网改造，具体详见图纸及工程量清单</w:t>
            </w:r>
          </w:p>
        </w:tc>
        <w:tc>
          <w:tcPr>
            <w:tcW w:w="631" w:type="pct"/>
            <w:noWrap w:val="0"/>
            <w:vAlign w:val="center"/>
          </w:tcPr>
          <w:p w14:paraId="1E588CE3">
            <w:pPr>
              <w:widowControl w:val="0"/>
              <w:spacing w:line="360" w:lineRule="auto"/>
              <w:jc w:val="center"/>
              <w:textAlignment w:val="baseline"/>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val="en-US" w:eastAsia="zh-CN"/>
              </w:rPr>
              <w:t>100</w:t>
            </w:r>
            <w:r>
              <w:rPr>
                <w:rFonts w:hint="eastAsia" w:ascii="宋体" w:hAnsi="宋体" w:eastAsia="宋体" w:cs="宋体"/>
                <w:color w:val="auto"/>
                <w:kern w:val="2"/>
                <w:sz w:val="24"/>
                <w:szCs w:val="24"/>
                <w:highlight w:val="none"/>
                <w:lang w:eastAsia="zh-CN"/>
              </w:rPr>
              <w:t>万元</w:t>
            </w:r>
          </w:p>
        </w:tc>
        <w:tc>
          <w:tcPr>
            <w:tcW w:w="872" w:type="pct"/>
            <w:noWrap w:val="0"/>
            <w:vAlign w:val="center"/>
          </w:tcPr>
          <w:p w14:paraId="53612D95">
            <w:pPr>
              <w:widowControl w:val="0"/>
              <w:spacing w:line="360" w:lineRule="auto"/>
              <w:jc w:val="center"/>
              <w:textAlignment w:val="baseline"/>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sz w:val="24"/>
                <w:szCs w:val="24"/>
                <w:highlight w:val="none"/>
                <w:lang w:val="en-US" w:eastAsia="zh-CN"/>
              </w:rPr>
              <w:t>92.828630万元，</w:t>
            </w:r>
            <w:r>
              <w:rPr>
                <w:rFonts w:hint="eastAsia" w:ascii="宋体" w:hAnsi="宋体" w:eastAsia="宋体" w:cs="宋体"/>
                <w:color w:val="auto"/>
                <w:sz w:val="24"/>
                <w:szCs w:val="24"/>
                <w:highlight w:val="none"/>
                <w:lang w:eastAsia="zh-CN"/>
              </w:rPr>
              <w:t>超过最高限价为无效响应</w:t>
            </w:r>
          </w:p>
        </w:tc>
        <w:tc>
          <w:tcPr>
            <w:tcW w:w="852" w:type="pct"/>
            <w:noWrap w:val="0"/>
            <w:vAlign w:val="center"/>
          </w:tcPr>
          <w:p w14:paraId="6F8E2F9D">
            <w:pPr>
              <w:widowControl w:val="0"/>
              <w:spacing w:line="360" w:lineRule="auto"/>
              <w:jc w:val="center"/>
              <w:textAlignment w:val="baseline"/>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val="en-US" w:eastAsia="zh-CN"/>
              </w:rPr>
              <w:t>60日历天</w:t>
            </w:r>
          </w:p>
        </w:tc>
      </w:tr>
    </w:tbl>
    <w:p w14:paraId="03181CE9">
      <w:pPr>
        <w:pStyle w:val="16"/>
        <w:adjustRightInd w:val="0"/>
        <w:snapToGrid w:val="0"/>
        <w:spacing w:before="0" w:line="360" w:lineRule="auto"/>
        <w:ind w:left="0" w:firstLine="480" w:firstLineChars="200"/>
        <w:rPr>
          <w:rFonts w:hint="eastAsia" w:cs="宋体"/>
          <w:color w:val="auto"/>
          <w:highlight w:val="none"/>
          <w:lang w:eastAsia="zh-CN"/>
        </w:rPr>
      </w:pPr>
      <w:r>
        <w:rPr>
          <w:rFonts w:hint="eastAsia" w:cs="宋体"/>
          <w:color w:val="auto"/>
          <w:highlight w:val="none"/>
          <w:lang w:eastAsia="zh-CN"/>
        </w:rPr>
        <w:t>3.采购方式：竞争性磋商</w:t>
      </w:r>
    </w:p>
    <w:p w14:paraId="1F321DA2">
      <w:pPr>
        <w:pStyle w:val="70"/>
        <w:adjustRightInd w:val="0"/>
        <w:snapToGrid w:val="0"/>
        <w:rPr>
          <w:rFonts w:hint="eastAsia" w:eastAsia="宋体" w:cs="宋体"/>
          <w:bCs/>
          <w:color w:val="auto"/>
          <w:highlight w:val="none"/>
          <w:lang w:val="en-US" w:eastAsia="zh-CN"/>
        </w:rPr>
      </w:pPr>
      <w:r>
        <w:rPr>
          <w:rFonts w:hint="eastAsia" w:eastAsia="宋体" w:cs="宋体"/>
          <w:bCs/>
          <w:color w:val="auto"/>
          <w:highlight w:val="none"/>
          <w:lang w:val="en-US" w:eastAsia="zh-CN"/>
        </w:rPr>
        <w:t>4</w:t>
      </w:r>
      <w:r>
        <w:rPr>
          <w:rFonts w:hint="eastAsia" w:eastAsia="宋体" w:cs="宋体"/>
          <w:bCs/>
          <w:color w:val="auto"/>
          <w:highlight w:val="none"/>
          <w:lang w:eastAsia="zh-CN"/>
        </w:rPr>
        <w:t>.本项目是否接受联合体</w:t>
      </w:r>
      <w:bookmarkStart w:id="10" w:name="_Toc35393791"/>
      <w:bookmarkStart w:id="11" w:name="_Toc28359003"/>
      <w:bookmarkStart w:id="12" w:name="_Toc28359080"/>
      <w:bookmarkStart w:id="13" w:name="_Toc35393622"/>
      <w:r>
        <w:rPr>
          <w:rFonts w:hint="eastAsia" w:eastAsia="宋体" w:cs="宋体"/>
          <w:bCs/>
          <w:color w:val="auto"/>
          <w:highlight w:val="none"/>
          <w:lang w:eastAsia="zh-CN"/>
        </w:rPr>
        <w:t>：</w:t>
      </w:r>
      <w:r>
        <w:rPr>
          <w:rFonts w:hint="eastAsia" w:eastAsia="宋体" w:cs="宋体"/>
          <w:bCs/>
          <w:color w:val="auto"/>
          <w:highlight w:val="none"/>
          <w:lang w:val="en-US" w:eastAsia="zh-CN"/>
        </w:rPr>
        <w:t>接受；</w:t>
      </w:r>
    </w:p>
    <w:p w14:paraId="5D5300B5">
      <w:pPr>
        <w:pStyle w:val="70"/>
        <w:adjustRightInd w:val="0"/>
        <w:snapToGrid w:val="0"/>
        <w:ind w:firstLine="482"/>
        <w:rPr>
          <w:rFonts w:hint="eastAsia" w:eastAsia="宋体" w:cs="宋体"/>
          <w:b/>
          <w:bCs/>
          <w:color w:val="auto"/>
          <w:highlight w:val="none"/>
          <w:lang w:eastAsia="zh-CN"/>
        </w:rPr>
      </w:pPr>
      <w:r>
        <w:rPr>
          <w:rFonts w:hint="eastAsia" w:eastAsia="宋体" w:cs="宋体"/>
          <w:b/>
          <w:bCs/>
          <w:color w:val="auto"/>
          <w:highlight w:val="none"/>
          <w:lang w:eastAsia="zh-CN"/>
        </w:rPr>
        <w:t>二、申请人的资格要求：</w:t>
      </w:r>
      <w:bookmarkEnd w:id="10"/>
      <w:bookmarkEnd w:id="11"/>
      <w:bookmarkEnd w:id="12"/>
      <w:bookmarkEnd w:id="13"/>
    </w:p>
    <w:p w14:paraId="4B2778DC">
      <w:pPr>
        <w:pStyle w:val="70"/>
        <w:adjustRightInd w:val="0"/>
        <w:snapToGrid w:val="0"/>
        <w:rPr>
          <w:rFonts w:hint="eastAsia" w:eastAsia="宋体" w:cs="宋体"/>
          <w:bCs/>
          <w:color w:val="auto"/>
          <w:highlight w:val="none"/>
          <w:lang w:eastAsia="zh-CN"/>
        </w:rPr>
      </w:pPr>
      <w:r>
        <w:rPr>
          <w:rFonts w:hint="eastAsia" w:eastAsia="宋体" w:cs="宋体"/>
          <w:bCs/>
          <w:color w:val="auto"/>
          <w:highlight w:val="none"/>
          <w:lang w:eastAsia="zh-CN"/>
        </w:rPr>
        <w:t>1.满足《中华人民共和国政府采购法》第二十二条规定：</w:t>
      </w:r>
    </w:p>
    <w:p w14:paraId="0CF59808">
      <w:pPr>
        <w:pStyle w:val="70"/>
        <w:adjustRightInd w:val="0"/>
        <w:snapToGrid w:val="0"/>
        <w:rPr>
          <w:rFonts w:hint="eastAsia" w:eastAsia="宋体" w:cs="宋体"/>
          <w:bCs/>
          <w:color w:val="auto"/>
          <w:highlight w:val="none"/>
          <w:lang w:eastAsia="zh-CN"/>
        </w:rPr>
      </w:pPr>
      <w:bookmarkStart w:id="14" w:name="_Toc28359081"/>
      <w:bookmarkStart w:id="15" w:name="_Toc28359004"/>
      <w:r>
        <w:rPr>
          <w:rFonts w:hint="eastAsia" w:eastAsia="宋体" w:cs="宋体"/>
          <w:bCs/>
          <w:color w:val="auto"/>
          <w:highlight w:val="none"/>
          <w:lang w:eastAsia="zh-CN"/>
        </w:rPr>
        <w:t>（1）具有独立承担民事责任的能力（提供法人或者其他组织的营业执照，自然人的身份证明扫描件加盖公章）；</w:t>
      </w:r>
    </w:p>
    <w:p w14:paraId="022F2836">
      <w:pPr>
        <w:pStyle w:val="70"/>
        <w:adjustRightInd w:val="0"/>
        <w:snapToGrid w:val="0"/>
        <w:rPr>
          <w:rFonts w:hint="eastAsia" w:eastAsia="宋体" w:cs="宋体"/>
          <w:bCs/>
          <w:color w:val="auto"/>
          <w:highlight w:val="none"/>
          <w:lang w:eastAsia="zh-CN"/>
        </w:rPr>
      </w:pPr>
      <w:r>
        <w:rPr>
          <w:rFonts w:hint="eastAsia" w:eastAsia="宋体" w:cs="宋体"/>
          <w:bCs/>
          <w:color w:val="auto"/>
          <w:highlight w:val="none"/>
          <w:lang w:eastAsia="zh-CN"/>
        </w:rPr>
        <w:t>（2）具有良好的商业信誉和健全的财务会计制度（提供由第三方专业机构出具的2024年度或2025年度财务审计报告（财务审计报告至少包含资产负债表、利润表、现金流量表、第三方专业机构盖章和注册会计师签章、签字页）或近半年内（2026年1月起至今）任一月的财务报表（至少包括资产负债表和利润表）的扫描件加盖公章或近半年内（2026年1月起至今）银行出具的企业资信证明的扫描件加盖公章</w:t>
      </w:r>
      <w:r>
        <w:rPr>
          <w:rFonts w:hint="eastAsia" w:eastAsia="宋体" w:cs="宋体"/>
          <w:bCs/>
          <w:color w:val="auto"/>
          <w:highlight w:val="none"/>
          <w:lang w:val="zh-TW" w:eastAsia="zh-CN"/>
        </w:rPr>
        <w:t>，</w:t>
      </w:r>
      <w:r>
        <w:rPr>
          <w:rFonts w:hint="eastAsia" w:eastAsia="宋体" w:cs="宋体"/>
          <w:bCs/>
          <w:color w:val="auto"/>
          <w:highlight w:val="none"/>
          <w:lang w:eastAsia="zh-CN"/>
        </w:rPr>
        <w:t>或财政部门认可的政府采购专业担保机构出具的投标担保函，法人或者其他组织成立未满一年的无需提供）；</w:t>
      </w:r>
    </w:p>
    <w:p w14:paraId="11274661">
      <w:pPr>
        <w:pStyle w:val="70"/>
        <w:adjustRightInd w:val="0"/>
        <w:snapToGrid w:val="0"/>
        <w:rPr>
          <w:rFonts w:hint="eastAsia" w:eastAsia="宋体" w:cs="宋体"/>
          <w:bCs/>
          <w:color w:val="auto"/>
          <w:highlight w:val="none"/>
          <w:lang w:eastAsia="zh-CN"/>
        </w:rPr>
      </w:pPr>
      <w:r>
        <w:rPr>
          <w:rFonts w:hint="eastAsia" w:eastAsia="宋体" w:cs="宋体"/>
          <w:bCs/>
          <w:color w:val="auto"/>
          <w:highlight w:val="none"/>
          <w:lang w:eastAsia="zh-CN"/>
        </w:rPr>
        <w:t xml:space="preserve">（3）具有履行合同所必需的设备和专业技术能力（根据项目需求提供履行合同所必需的设备和专业技术能力的证明材料或书面声明原件）； </w:t>
      </w:r>
    </w:p>
    <w:p w14:paraId="38A8BD2C">
      <w:pPr>
        <w:pStyle w:val="70"/>
        <w:adjustRightInd w:val="0"/>
        <w:snapToGrid w:val="0"/>
        <w:rPr>
          <w:rFonts w:hint="eastAsia" w:eastAsia="宋体" w:cs="宋体"/>
          <w:bCs/>
          <w:color w:val="auto"/>
          <w:highlight w:val="none"/>
          <w:lang w:eastAsia="zh-CN"/>
        </w:rPr>
      </w:pPr>
      <w:r>
        <w:rPr>
          <w:rFonts w:hint="eastAsia" w:eastAsia="宋体" w:cs="宋体"/>
          <w:bCs/>
          <w:color w:val="auto"/>
          <w:highlight w:val="none"/>
          <w:lang w:eastAsia="zh-CN"/>
        </w:rPr>
        <w:t>（4）有依法缴纳税收和社会保障资金的良好记录（提供参加本次政府采购活动近半年内（2026年1月起至今）任一月的缴纳税收和社会保险的凭据扫描件加盖公章，依法享受缓缴、免缴税收、社会保障资金的提供证明材料扫描件加盖公章）；</w:t>
      </w:r>
    </w:p>
    <w:p w14:paraId="0FDCA9D7">
      <w:pPr>
        <w:pStyle w:val="70"/>
        <w:adjustRightInd w:val="0"/>
        <w:snapToGrid w:val="0"/>
        <w:rPr>
          <w:rFonts w:hint="eastAsia" w:eastAsia="宋体" w:cs="宋体"/>
          <w:bCs/>
          <w:color w:val="auto"/>
          <w:highlight w:val="none"/>
          <w:lang w:eastAsia="zh-CN"/>
        </w:rPr>
      </w:pPr>
      <w:r>
        <w:rPr>
          <w:rFonts w:hint="eastAsia" w:eastAsia="宋体" w:cs="宋体"/>
          <w:bCs/>
          <w:color w:val="auto"/>
          <w:highlight w:val="none"/>
          <w:lang w:eastAsia="zh-CN"/>
        </w:rPr>
        <w:t>（5）参加政府采购活动前三年内，在经营活动中没有重大违法记录（提供参加本次政府采购活动前3年内在经营活动中没有重大违法记录的书面声明）（格式见后附件）；</w:t>
      </w:r>
    </w:p>
    <w:p w14:paraId="17B5D8FF">
      <w:pPr>
        <w:pStyle w:val="70"/>
        <w:adjustRightInd w:val="0"/>
        <w:snapToGrid w:val="0"/>
        <w:rPr>
          <w:rFonts w:hint="eastAsia" w:eastAsia="宋体" w:cs="宋体"/>
          <w:bCs/>
          <w:color w:val="auto"/>
          <w:highlight w:val="none"/>
          <w:lang w:eastAsia="zh-CN"/>
        </w:rPr>
      </w:pPr>
      <w:r>
        <w:rPr>
          <w:rFonts w:hint="eastAsia" w:eastAsia="宋体" w:cs="宋体"/>
          <w:bCs/>
          <w:color w:val="auto"/>
          <w:highlight w:val="none"/>
          <w:lang w:eastAsia="zh-CN"/>
        </w:rPr>
        <w:t>（6）法律、行政法规规定的其他条件。</w:t>
      </w:r>
    </w:p>
    <w:p w14:paraId="041D27DD">
      <w:pPr>
        <w:pStyle w:val="70"/>
        <w:adjustRightInd w:val="0"/>
        <w:snapToGrid w:val="0"/>
        <w:ind w:firstLine="482"/>
        <w:rPr>
          <w:rFonts w:hint="eastAsia" w:eastAsia="宋体" w:cs="宋体"/>
          <w:bCs/>
          <w:color w:val="auto"/>
          <w:highlight w:val="none"/>
          <w:lang w:eastAsia="zh-CN"/>
        </w:rPr>
      </w:pPr>
      <w:r>
        <w:rPr>
          <w:rFonts w:hint="eastAsia" w:eastAsia="宋体" w:cs="宋体"/>
          <w:b/>
          <w:color w:val="auto"/>
          <w:highlight w:val="none"/>
          <w:lang w:eastAsia="zh-CN"/>
        </w:rPr>
        <w:t>2.落实政府采购政策需满足的资格要求：</w:t>
      </w:r>
      <w:r>
        <w:rPr>
          <w:rFonts w:hint="eastAsia" w:eastAsia="宋体" w:cs="宋体"/>
          <w:bCs/>
          <w:color w:val="auto"/>
          <w:highlight w:val="none"/>
          <w:lang w:eastAsia="zh-CN"/>
        </w:rPr>
        <w:t>本项目非专门面向中小企业采购，采用以下第</w:t>
      </w:r>
      <w:r>
        <w:rPr>
          <w:rFonts w:hint="eastAsia" w:eastAsia="宋体" w:cs="宋体"/>
          <w:bCs/>
          <w:color w:val="auto"/>
          <w:highlight w:val="none"/>
          <w:u w:val="single"/>
          <w:lang w:eastAsia="zh-CN"/>
        </w:rPr>
        <w:t>（4）</w:t>
      </w:r>
      <w:r>
        <w:rPr>
          <w:rFonts w:hint="eastAsia" w:eastAsia="宋体" w:cs="宋体"/>
          <w:bCs/>
          <w:color w:val="auto"/>
          <w:highlight w:val="none"/>
          <w:lang w:eastAsia="zh-CN"/>
        </w:rPr>
        <w:t>种方式落实政府采购促进中小企业发展的要求：</w:t>
      </w:r>
    </w:p>
    <w:p w14:paraId="79D514EF">
      <w:pPr>
        <w:pStyle w:val="70"/>
        <w:adjustRightInd w:val="0"/>
        <w:snapToGrid w:val="0"/>
        <w:ind w:firstLine="482"/>
        <w:rPr>
          <w:rFonts w:hint="eastAsia" w:eastAsia="宋体" w:cs="宋体"/>
          <w:bCs/>
          <w:color w:val="auto"/>
          <w:highlight w:val="none"/>
          <w:lang w:eastAsia="zh-CN"/>
        </w:rPr>
      </w:pPr>
      <w:r>
        <w:rPr>
          <w:rFonts w:hint="eastAsia" w:eastAsia="宋体" w:cs="宋体"/>
          <w:bCs/>
          <w:color w:val="auto"/>
          <w:highlight w:val="none"/>
          <w:lang w:eastAsia="zh-CN"/>
        </w:rPr>
        <w:t>（1）本项目整体专门面向中小企业采购；</w:t>
      </w:r>
    </w:p>
    <w:p w14:paraId="73A04B96">
      <w:pPr>
        <w:pStyle w:val="70"/>
        <w:adjustRightInd w:val="0"/>
        <w:snapToGrid w:val="0"/>
        <w:ind w:firstLine="482"/>
        <w:rPr>
          <w:rFonts w:hint="eastAsia" w:eastAsia="宋体" w:cs="宋体"/>
          <w:bCs/>
          <w:color w:val="auto"/>
          <w:highlight w:val="none"/>
          <w:lang w:eastAsia="zh-CN"/>
        </w:rPr>
      </w:pPr>
      <w:r>
        <w:rPr>
          <w:rFonts w:hint="eastAsia" w:eastAsia="宋体" w:cs="宋体"/>
          <w:bCs/>
          <w:color w:val="auto"/>
          <w:highlight w:val="none"/>
          <w:lang w:eastAsia="zh-CN"/>
        </w:rPr>
        <w:t>（2）本项目整体专门面向小微企业采购；</w:t>
      </w:r>
    </w:p>
    <w:p w14:paraId="5F3AABD1">
      <w:pPr>
        <w:pStyle w:val="70"/>
        <w:adjustRightInd w:val="0"/>
        <w:snapToGrid w:val="0"/>
        <w:ind w:firstLine="482"/>
        <w:rPr>
          <w:rFonts w:hint="eastAsia" w:eastAsia="宋体" w:cs="宋体"/>
          <w:bCs/>
          <w:color w:val="auto"/>
          <w:highlight w:val="none"/>
          <w:lang w:eastAsia="zh-CN"/>
        </w:rPr>
      </w:pPr>
      <w:r>
        <w:rPr>
          <w:rFonts w:hint="eastAsia" w:eastAsia="宋体" w:cs="宋体"/>
          <w:bCs/>
          <w:color w:val="auto"/>
          <w:highlight w:val="none"/>
          <w:lang w:eastAsia="zh-CN"/>
        </w:rPr>
        <w:t>（3）本项目通过以下第 / 种方式预留部分采购份额采购中小企业。</w:t>
      </w:r>
    </w:p>
    <w:p w14:paraId="19C66CB9">
      <w:pPr>
        <w:pStyle w:val="70"/>
        <w:adjustRightInd w:val="0"/>
        <w:snapToGrid w:val="0"/>
        <w:ind w:firstLine="482"/>
        <w:rPr>
          <w:rFonts w:hint="eastAsia" w:eastAsia="宋体" w:cs="宋体"/>
          <w:bCs/>
          <w:color w:val="auto"/>
          <w:highlight w:val="none"/>
          <w:lang w:eastAsia="zh-CN"/>
        </w:rPr>
      </w:pPr>
      <w:r>
        <w:rPr>
          <w:rFonts w:hint="eastAsia" w:eastAsia="宋体" w:cs="宋体"/>
          <w:bCs/>
          <w:color w:val="auto"/>
          <w:highlight w:val="none"/>
          <w:lang w:eastAsia="zh-CN"/>
        </w:rPr>
        <w:t>①本项目要求供应商以联合体形式参加，企业合同金额应当达到的比例为 / %。</w:t>
      </w:r>
    </w:p>
    <w:p w14:paraId="4A033C80">
      <w:pPr>
        <w:pStyle w:val="70"/>
        <w:adjustRightInd w:val="0"/>
        <w:snapToGrid w:val="0"/>
        <w:ind w:firstLine="482"/>
        <w:rPr>
          <w:rFonts w:hint="eastAsia" w:eastAsia="宋体" w:cs="宋体"/>
          <w:bCs/>
          <w:color w:val="auto"/>
          <w:highlight w:val="none"/>
          <w:lang w:eastAsia="zh-CN"/>
        </w:rPr>
      </w:pPr>
      <w:r>
        <w:rPr>
          <w:rFonts w:hint="eastAsia" w:eastAsia="宋体" w:cs="宋体"/>
          <w:bCs/>
          <w:color w:val="auto"/>
          <w:highlight w:val="none"/>
          <w:lang w:eastAsia="zh-CN"/>
        </w:rPr>
        <w:t>②本项目要求供应商进行合同分包，企业合同金额应当达到的比例为 / %。</w:t>
      </w:r>
    </w:p>
    <w:p w14:paraId="02940783">
      <w:pPr>
        <w:pStyle w:val="70"/>
        <w:adjustRightInd w:val="0"/>
        <w:snapToGrid w:val="0"/>
        <w:ind w:firstLine="482"/>
        <w:rPr>
          <w:rFonts w:hint="eastAsia" w:eastAsia="宋体" w:cs="宋体"/>
          <w:bCs/>
          <w:color w:val="auto"/>
          <w:highlight w:val="none"/>
          <w:lang w:eastAsia="zh-CN"/>
        </w:rPr>
      </w:pPr>
      <w:r>
        <w:rPr>
          <w:rFonts w:hint="eastAsia" w:eastAsia="宋体" w:cs="宋体"/>
          <w:bCs/>
          <w:color w:val="auto"/>
          <w:highlight w:val="none"/>
          <w:lang w:eastAsia="zh-CN"/>
        </w:rPr>
        <w:t>（4）本项目为非预留份额的采购项目或采购包，执行价格扣除优惠政策，具体详见招标文件“第三章 评标标准”。</w:t>
      </w:r>
    </w:p>
    <w:p w14:paraId="4C3C327E">
      <w:pPr>
        <w:pStyle w:val="70"/>
        <w:adjustRightInd w:val="0"/>
        <w:snapToGrid w:val="0"/>
        <w:ind w:firstLine="482"/>
        <w:rPr>
          <w:rFonts w:eastAsia="宋体" w:cs="宋体"/>
          <w:b/>
          <w:color w:val="auto"/>
          <w:highlight w:val="none"/>
          <w:lang w:eastAsia="zh-CN"/>
        </w:rPr>
      </w:pPr>
      <w:r>
        <w:rPr>
          <w:rFonts w:hint="eastAsia" w:eastAsia="宋体" w:cs="宋体"/>
          <w:b/>
          <w:color w:val="auto"/>
          <w:highlight w:val="none"/>
          <w:lang w:eastAsia="zh-CN"/>
        </w:rPr>
        <w:t>3.本项目的特定资格要求：</w:t>
      </w:r>
    </w:p>
    <w:p w14:paraId="25097C08">
      <w:pPr>
        <w:pStyle w:val="70"/>
        <w:adjustRightInd w:val="0"/>
        <w:snapToGrid w:val="0"/>
        <w:rPr>
          <w:rFonts w:hint="eastAsia" w:eastAsia="宋体" w:cs="宋体"/>
          <w:bCs/>
          <w:color w:val="auto"/>
          <w:highlight w:val="none"/>
          <w:lang w:eastAsia="zh-CN"/>
        </w:rPr>
      </w:pPr>
      <w:bookmarkStart w:id="16" w:name="_Toc35393623"/>
      <w:bookmarkStart w:id="17" w:name="_Toc35393792"/>
      <w:r>
        <w:rPr>
          <w:rFonts w:hint="eastAsia" w:ascii="宋体" w:hAnsi="宋体" w:eastAsia="宋体" w:cs="宋体"/>
          <w:b/>
          <w:bCs/>
          <w:color w:val="auto"/>
          <w:kern w:val="2"/>
          <w:sz w:val="24"/>
          <w:szCs w:val="24"/>
          <w:highlight w:val="none"/>
          <w:lang w:val="en-US" w:eastAsia="zh-CN"/>
        </w:rPr>
        <w:t>一包：</w:t>
      </w:r>
      <w:r>
        <w:rPr>
          <w:rFonts w:hint="eastAsia" w:ascii="宋体" w:hAnsi="宋体" w:eastAsia="宋体" w:cs="宋体"/>
          <w:b/>
          <w:bCs/>
          <w:color w:val="auto"/>
          <w:kern w:val="2"/>
          <w:sz w:val="24"/>
          <w:szCs w:val="24"/>
          <w:highlight w:val="none"/>
          <w:lang w:eastAsia="zh-CN"/>
        </w:rPr>
        <w:t>江宁监狱蒸汽管网改造</w:t>
      </w:r>
    </w:p>
    <w:p w14:paraId="3DBC72EE">
      <w:pPr>
        <w:pStyle w:val="70"/>
        <w:adjustRightInd w:val="0"/>
        <w:snapToGrid w:val="0"/>
        <w:rPr>
          <w:rFonts w:hint="eastAsia" w:eastAsia="宋体" w:cs="宋体"/>
          <w:bCs/>
          <w:color w:val="auto"/>
          <w:highlight w:val="none"/>
          <w:lang w:eastAsia="zh-CN"/>
        </w:rPr>
      </w:pPr>
      <w:r>
        <w:rPr>
          <w:rFonts w:hint="eastAsia" w:eastAsia="宋体" w:cs="宋体"/>
          <w:bCs/>
          <w:color w:val="auto"/>
          <w:highlight w:val="none"/>
          <w:lang w:eastAsia="zh-CN"/>
        </w:rPr>
        <w:t>（1）供应商资质等级及范围：具有市政公用工程施工总承包三级及以上资质</w:t>
      </w:r>
      <w:r>
        <w:rPr>
          <w:rFonts w:hint="eastAsia" w:eastAsia="宋体" w:cs="宋体"/>
          <w:bCs/>
          <w:color w:val="auto"/>
          <w:highlight w:val="none"/>
          <w:lang w:val="en-US" w:eastAsia="zh-CN"/>
        </w:rPr>
        <w:t>且同时具备国家质量监督部门颁发的中华人民共和国特种设备安装改造维修许可证（工业管道安装 GC2 级）</w:t>
      </w:r>
      <w:r>
        <w:rPr>
          <w:rFonts w:hint="eastAsia" w:eastAsia="宋体" w:cs="宋体"/>
          <w:bCs/>
          <w:color w:val="auto"/>
          <w:highlight w:val="none"/>
          <w:lang w:eastAsia="zh-CN"/>
        </w:rPr>
        <w:t>，并具有安全生产许可证；（需提供有效的资质证书、安全生产许可证复印件加盖供应商公章）</w:t>
      </w:r>
    </w:p>
    <w:p w14:paraId="66D954A3">
      <w:pPr>
        <w:pStyle w:val="70"/>
        <w:adjustRightInd w:val="0"/>
        <w:snapToGrid w:val="0"/>
        <w:rPr>
          <w:rFonts w:hint="eastAsia" w:eastAsia="宋体" w:cs="宋体"/>
          <w:bCs/>
          <w:color w:val="auto"/>
          <w:highlight w:val="none"/>
          <w:lang w:eastAsia="zh-CN"/>
        </w:rPr>
      </w:pPr>
      <w:r>
        <w:rPr>
          <w:rFonts w:hint="eastAsia" w:eastAsia="宋体" w:cs="宋体"/>
          <w:bCs/>
          <w:color w:val="auto"/>
          <w:highlight w:val="none"/>
          <w:lang w:eastAsia="zh-CN"/>
        </w:rPr>
        <w:t>（2）项目负责人具有注册建造师市政公用工程二级(含)以上并且具有有效的安全生产考核合格证书(B证)。（提供建造师证书、安全生产考核证书及供应商为其缴纳的近半年内（2026年1月起至今）任意一个月的社保缴纳证明材料扫描件加盖公章）</w:t>
      </w:r>
    </w:p>
    <w:p w14:paraId="56C8F38B">
      <w:pPr>
        <w:pStyle w:val="70"/>
        <w:adjustRightInd w:val="0"/>
        <w:snapToGrid w:val="0"/>
        <w:rPr>
          <w:rFonts w:hint="eastAsia" w:eastAsia="宋体" w:cs="宋体"/>
          <w:bCs/>
          <w:color w:val="auto"/>
          <w:highlight w:val="none"/>
          <w:lang w:eastAsia="zh-CN"/>
        </w:rPr>
      </w:pPr>
      <w:r>
        <w:rPr>
          <w:rFonts w:hint="eastAsia" w:eastAsia="宋体" w:cs="宋体"/>
          <w:bCs/>
          <w:color w:val="auto"/>
          <w:highlight w:val="none"/>
          <w:lang w:eastAsia="zh-CN"/>
        </w:rPr>
        <w:t xml:space="preserve">（3）响应供应商满足以下条件（提供承诺书原件）： </w:t>
      </w:r>
    </w:p>
    <w:p w14:paraId="34F48A83">
      <w:pPr>
        <w:pStyle w:val="70"/>
        <w:adjustRightInd w:val="0"/>
        <w:snapToGrid w:val="0"/>
        <w:rPr>
          <w:rFonts w:hint="eastAsia" w:eastAsia="宋体" w:cs="宋体"/>
          <w:bCs/>
          <w:color w:val="auto"/>
          <w:highlight w:val="none"/>
          <w:lang w:eastAsia="zh-CN"/>
        </w:rPr>
      </w:pPr>
      <w:r>
        <w:rPr>
          <w:rFonts w:hint="eastAsia" w:eastAsia="宋体" w:cs="宋体"/>
          <w:bCs/>
          <w:color w:val="auto"/>
          <w:highlight w:val="none"/>
          <w:lang w:eastAsia="zh-CN"/>
        </w:rPr>
        <w:t xml:space="preserve">a.未处于被责令停业、投标资格被取消或财产被接管、冻结和破产状态的企业； </w:t>
      </w:r>
    </w:p>
    <w:p w14:paraId="10D23F2E">
      <w:pPr>
        <w:pStyle w:val="70"/>
        <w:adjustRightInd w:val="0"/>
        <w:snapToGrid w:val="0"/>
        <w:rPr>
          <w:rFonts w:hint="eastAsia" w:eastAsia="宋体" w:cs="宋体"/>
          <w:bCs/>
          <w:color w:val="auto"/>
          <w:highlight w:val="none"/>
          <w:lang w:eastAsia="zh-CN"/>
        </w:rPr>
      </w:pPr>
      <w:r>
        <w:rPr>
          <w:rFonts w:hint="eastAsia" w:eastAsia="宋体" w:cs="宋体"/>
          <w:bCs/>
          <w:color w:val="auto"/>
          <w:highlight w:val="none"/>
          <w:lang w:eastAsia="zh-CN"/>
        </w:rPr>
        <w:t>b.企业没有因骗取中标、严重违约或者违规用工、拖欠工人工资以及发生重大工程质量、安全生产事故等问题，被有关部门暂停投标资格并在暂停期内的。</w:t>
      </w:r>
    </w:p>
    <w:p w14:paraId="75AA52EE">
      <w:pPr>
        <w:pStyle w:val="70"/>
        <w:adjustRightInd w:val="0"/>
        <w:snapToGrid w:val="0"/>
        <w:rPr>
          <w:rFonts w:hint="eastAsia" w:eastAsia="宋体" w:cs="宋体"/>
          <w:bCs/>
          <w:color w:val="auto"/>
          <w:highlight w:val="none"/>
          <w:lang w:eastAsia="zh-CN"/>
        </w:rPr>
      </w:pPr>
      <w:r>
        <w:rPr>
          <w:rFonts w:hint="eastAsia" w:eastAsia="宋体" w:cs="宋体"/>
          <w:bCs/>
          <w:color w:val="auto"/>
          <w:highlight w:val="none"/>
          <w:lang w:eastAsia="zh-CN"/>
        </w:rPr>
        <w:t>（</w:t>
      </w:r>
      <w:r>
        <w:rPr>
          <w:rFonts w:hint="eastAsia" w:eastAsia="宋体" w:cs="宋体"/>
          <w:bCs/>
          <w:color w:val="auto"/>
          <w:highlight w:val="none"/>
          <w:lang w:val="en-US" w:eastAsia="zh-CN"/>
        </w:rPr>
        <w:t>4</w:t>
      </w:r>
      <w:r>
        <w:rPr>
          <w:rFonts w:hint="eastAsia" w:eastAsia="宋体" w:cs="宋体"/>
          <w:bCs/>
          <w:color w:val="auto"/>
          <w:highlight w:val="none"/>
          <w:lang w:eastAsia="zh-CN"/>
        </w:rPr>
        <w:t>）拒绝下述供应商参加本次采购活动：</w:t>
      </w:r>
    </w:p>
    <w:p w14:paraId="7E6112C4">
      <w:pPr>
        <w:pStyle w:val="70"/>
        <w:adjustRightInd w:val="0"/>
        <w:snapToGrid w:val="0"/>
        <w:ind w:firstLine="720" w:firstLineChars="300"/>
        <w:rPr>
          <w:rFonts w:hint="eastAsia" w:eastAsia="宋体" w:cs="宋体"/>
          <w:bCs/>
          <w:color w:val="auto"/>
          <w:highlight w:val="none"/>
          <w:lang w:eastAsia="zh-CN"/>
        </w:rPr>
      </w:pPr>
      <w:r>
        <w:rPr>
          <w:rFonts w:hint="eastAsia" w:eastAsia="宋体" w:cs="宋体"/>
          <w:bCs/>
          <w:color w:val="auto"/>
          <w:highlight w:val="none"/>
          <w:lang w:eastAsia="zh-CN"/>
        </w:rPr>
        <w:t>1）供应商单位负责人为同一人或者存在直接控股、管理关系的不同供应商，不得参加同一合同项下的政府采购活动。</w:t>
      </w:r>
    </w:p>
    <w:p w14:paraId="18FEC98A">
      <w:pPr>
        <w:pStyle w:val="70"/>
        <w:adjustRightInd w:val="0"/>
        <w:snapToGrid w:val="0"/>
        <w:rPr>
          <w:rFonts w:hint="eastAsia" w:eastAsia="宋体" w:cs="宋体"/>
          <w:bCs/>
          <w:color w:val="auto"/>
          <w:highlight w:val="none"/>
          <w:lang w:eastAsia="zh-CN"/>
        </w:rPr>
      </w:pPr>
      <w:r>
        <w:rPr>
          <w:rFonts w:hint="eastAsia" w:eastAsia="宋体" w:cs="宋体"/>
          <w:bCs/>
          <w:color w:val="auto"/>
          <w:highlight w:val="none"/>
          <w:lang w:val="en-US" w:eastAsia="zh-CN"/>
        </w:rPr>
        <w:t xml:space="preserve">  </w:t>
      </w:r>
      <w:r>
        <w:rPr>
          <w:rFonts w:hint="eastAsia" w:eastAsia="宋体" w:cs="宋体"/>
          <w:bCs/>
          <w:color w:val="auto"/>
          <w:highlight w:val="none"/>
          <w:lang w:eastAsia="zh-CN"/>
        </w:rPr>
        <w:t>2）凡为采购项目提供整体设计、规范编制或者项目管理、监理、检测等服务的供应商，不得再参加本项目的采购活动。</w:t>
      </w:r>
    </w:p>
    <w:p w14:paraId="40927F0B">
      <w:pPr>
        <w:pStyle w:val="70"/>
        <w:adjustRightInd w:val="0"/>
        <w:snapToGrid w:val="0"/>
        <w:rPr>
          <w:rFonts w:hint="eastAsia" w:eastAsia="宋体" w:cs="宋体"/>
          <w:bCs/>
          <w:color w:val="auto"/>
          <w:highlight w:val="none"/>
          <w:lang w:eastAsia="zh-CN"/>
        </w:rPr>
      </w:pPr>
      <w:r>
        <w:rPr>
          <w:rFonts w:hint="eastAsia" w:eastAsia="宋体" w:cs="宋体"/>
          <w:bCs/>
          <w:color w:val="auto"/>
          <w:highlight w:val="none"/>
          <w:lang w:val="en-US" w:eastAsia="zh-CN"/>
        </w:rPr>
        <w:t xml:space="preserve">  </w:t>
      </w:r>
      <w:r>
        <w:rPr>
          <w:rFonts w:hint="eastAsia" w:eastAsia="宋体" w:cs="宋体"/>
          <w:bCs/>
          <w:color w:val="auto"/>
          <w:highlight w:val="none"/>
          <w:lang w:eastAsia="zh-CN"/>
        </w:rPr>
        <w:t>3）供应商被“信用中国”网站（www.creditchina.gov.cn）、“中国政府采购网"(www.ccgp.gov.cn)列入失信被执行人、重大税收违法案件当事人名单、政府采购严重违法失信行为记录名单。</w:t>
      </w:r>
    </w:p>
    <w:p w14:paraId="3D58FEF8">
      <w:pPr>
        <w:pStyle w:val="70"/>
        <w:adjustRightInd w:val="0"/>
        <w:snapToGrid w:val="0"/>
        <w:ind w:firstLine="482"/>
        <w:rPr>
          <w:rFonts w:hint="eastAsia" w:eastAsia="宋体" w:cs="宋体"/>
          <w:b/>
          <w:bCs/>
          <w:color w:val="auto"/>
          <w:highlight w:val="none"/>
          <w:lang w:eastAsia="zh-CN"/>
        </w:rPr>
      </w:pPr>
      <w:r>
        <w:rPr>
          <w:rFonts w:hint="eastAsia" w:eastAsia="宋体" w:cs="宋体"/>
          <w:b/>
          <w:bCs/>
          <w:color w:val="auto"/>
          <w:highlight w:val="none"/>
          <w:lang w:eastAsia="zh-CN"/>
        </w:rPr>
        <w:t>三、获取采购文件</w:t>
      </w:r>
      <w:bookmarkEnd w:id="14"/>
      <w:bookmarkEnd w:id="15"/>
      <w:bookmarkEnd w:id="16"/>
      <w:bookmarkEnd w:id="17"/>
    </w:p>
    <w:p w14:paraId="70B365FD">
      <w:pPr>
        <w:adjustRightInd w:val="0"/>
        <w:snapToGrid w:val="0"/>
        <w:spacing w:line="360" w:lineRule="auto"/>
        <w:ind w:firstLine="480" w:firstLineChars="200"/>
        <w:rPr>
          <w:rFonts w:hint="eastAsia" w:ascii="宋体" w:hAnsi="宋体" w:eastAsia="宋体" w:cs="宋体"/>
          <w:bCs/>
          <w:color w:val="auto"/>
          <w:sz w:val="24"/>
          <w:szCs w:val="24"/>
          <w:highlight w:val="none"/>
          <w:lang w:val="zh-TW" w:eastAsia="zh-CN"/>
        </w:rPr>
      </w:pPr>
      <w:bookmarkStart w:id="18" w:name="_Toc28359092"/>
      <w:bookmarkStart w:id="19" w:name="_Toc35393632"/>
      <w:bookmarkStart w:id="20" w:name="_Toc35393801"/>
      <w:bookmarkStart w:id="21" w:name="_Toc28359015"/>
      <w:bookmarkStart w:id="22" w:name="_Toc35393626"/>
      <w:bookmarkStart w:id="23" w:name="_Toc35393795"/>
      <w:r>
        <w:rPr>
          <w:rFonts w:hint="eastAsia" w:ascii="宋体" w:hAnsi="宋体" w:eastAsia="宋体" w:cs="宋体"/>
          <w:bCs/>
          <w:color w:val="auto"/>
          <w:sz w:val="24"/>
          <w:szCs w:val="24"/>
          <w:highlight w:val="none"/>
          <w:lang w:eastAsia="zh-CN"/>
        </w:rPr>
        <w:t>时间：</w:t>
      </w:r>
      <w:r>
        <w:rPr>
          <w:rFonts w:hint="eastAsia" w:ascii="宋体" w:hAnsi="宋体" w:eastAsia="宋体" w:cs="宋体"/>
          <w:bCs/>
          <w:color w:val="auto"/>
          <w:sz w:val="24"/>
          <w:szCs w:val="24"/>
          <w:highlight w:val="none"/>
          <w:lang w:val="zh-TW" w:eastAsia="zh-CN"/>
        </w:rPr>
        <w:t>自</w:t>
      </w:r>
      <w:r>
        <w:rPr>
          <w:rFonts w:hint="eastAsia" w:ascii="宋体" w:hAnsi="宋体" w:eastAsia="宋体" w:cs="宋体"/>
          <w:bCs/>
          <w:color w:val="auto"/>
          <w:sz w:val="24"/>
          <w:szCs w:val="24"/>
          <w:highlight w:val="none"/>
          <w:lang w:eastAsia="zh-CN"/>
        </w:rPr>
        <w:t>采购</w:t>
      </w:r>
      <w:r>
        <w:rPr>
          <w:rFonts w:hint="eastAsia" w:ascii="宋体" w:hAnsi="宋体" w:eastAsia="宋体" w:cs="宋体"/>
          <w:bCs/>
          <w:color w:val="auto"/>
          <w:sz w:val="24"/>
          <w:szCs w:val="24"/>
          <w:highlight w:val="none"/>
          <w:lang w:val="zh-TW" w:eastAsia="zh-CN"/>
        </w:rPr>
        <w:t>文件公告发布之日起5个工作日</w:t>
      </w:r>
    </w:p>
    <w:p w14:paraId="59EF04FF">
      <w:pPr>
        <w:adjustRightInd w:val="0"/>
        <w:snapToGrid w:val="0"/>
        <w:spacing w:line="360" w:lineRule="auto"/>
        <w:ind w:firstLine="480" w:firstLineChars="200"/>
        <w:rPr>
          <w:rFonts w:hint="eastAsia" w:ascii="宋体" w:hAnsi="宋体" w:eastAsia="宋体" w:cs="宋体"/>
          <w:bCs/>
          <w:color w:val="auto"/>
          <w:sz w:val="24"/>
          <w:szCs w:val="24"/>
          <w:highlight w:val="none"/>
          <w:lang w:val="zh-TW" w:eastAsia="zh-CN"/>
        </w:rPr>
      </w:pPr>
      <w:r>
        <w:rPr>
          <w:rFonts w:hint="eastAsia" w:ascii="宋体" w:hAnsi="宋体" w:eastAsia="宋体" w:cs="宋体"/>
          <w:bCs/>
          <w:color w:val="auto"/>
          <w:sz w:val="24"/>
          <w:szCs w:val="24"/>
          <w:highlight w:val="none"/>
          <w:lang w:val="zh-TW" w:eastAsia="zh-CN"/>
        </w:rPr>
        <w:t>地点:江苏政府采购网苏采云系统</w:t>
      </w:r>
    </w:p>
    <w:p w14:paraId="0196D796">
      <w:pPr>
        <w:adjustRightInd w:val="0"/>
        <w:snapToGrid w:val="0"/>
        <w:spacing w:line="360" w:lineRule="auto"/>
        <w:ind w:firstLine="480" w:firstLineChars="200"/>
        <w:rPr>
          <w:rFonts w:hint="eastAsia" w:ascii="宋体" w:hAnsi="宋体" w:eastAsia="宋体" w:cs="宋体"/>
          <w:bCs/>
          <w:color w:val="auto"/>
          <w:sz w:val="24"/>
          <w:szCs w:val="24"/>
          <w:highlight w:val="none"/>
          <w:lang w:val="zh-TW" w:eastAsia="zh-CN"/>
        </w:rPr>
      </w:pPr>
      <w:r>
        <w:rPr>
          <w:rFonts w:hint="eastAsia" w:ascii="宋体" w:hAnsi="宋体" w:eastAsia="宋体" w:cs="宋体"/>
          <w:bCs/>
          <w:color w:val="auto"/>
          <w:sz w:val="24"/>
          <w:szCs w:val="24"/>
          <w:highlight w:val="none"/>
          <w:lang w:val="zh-TW" w:eastAsia="zh-CN"/>
        </w:rPr>
        <w:t>方式:在“江苏政府采购网”自行免费下载采购文件</w:t>
      </w:r>
    </w:p>
    <w:p w14:paraId="7865805A">
      <w:pPr>
        <w:adjustRightInd w:val="0"/>
        <w:snapToGrid w:val="0"/>
        <w:spacing w:line="360" w:lineRule="auto"/>
        <w:ind w:firstLine="480" w:firstLineChars="200"/>
        <w:rPr>
          <w:rFonts w:hint="eastAsia" w:ascii="宋体" w:hAnsi="宋体" w:eastAsia="宋体" w:cs="宋体"/>
          <w:bCs/>
          <w:color w:val="auto"/>
          <w:sz w:val="24"/>
          <w:szCs w:val="24"/>
          <w:highlight w:val="none"/>
          <w:lang w:val="zh-TW" w:eastAsia="zh-CN"/>
        </w:rPr>
      </w:pPr>
      <w:r>
        <w:rPr>
          <w:rFonts w:hint="eastAsia" w:ascii="宋体" w:hAnsi="宋体" w:eastAsia="宋体" w:cs="宋体"/>
          <w:bCs/>
          <w:color w:val="auto"/>
          <w:sz w:val="24"/>
          <w:szCs w:val="24"/>
          <w:highlight w:val="none"/>
          <w:lang w:val="zh-TW" w:eastAsia="zh-CN"/>
        </w:rPr>
        <w:t>售价:0.00元。</w:t>
      </w:r>
    </w:p>
    <w:p w14:paraId="208C66EF">
      <w:pPr>
        <w:pStyle w:val="70"/>
        <w:adjustRightInd w:val="0"/>
        <w:snapToGrid w:val="0"/>
        <w:ind w:firstLine="482"/>
        <w:rPr>
          <w:rFonts w:hint="eastAsia" w:eastAsia="宋体" w:cs="宋体"/>
          <w:b/>
          <w:bCs/>
          <w:color w:val="auto"/>
          <w:highlight w:val="none"/>
          <w:lang w:eastAsia="zh-CN"/>
        </w:rPr>
      </w:pPr>
      <w:r>
        <w:rPr>
          <w:rFonts w:hint="eastAsia" w:eastAsia="宋体" w:cs="宋体"/>
          <w:b/>
          <w:bCs/>
          <w:color w:val="auto"/>
          <w:highlight w:val="none"/>
          <w:lang w:eastAsia="zh-CN"/>
        </w:rPr>
        <w:t>四、响应文件提交</w:t>
      </w:r>
      <w:bookmarkEnd w:id="18"/>
      <w:bookmarkEnd w:id="19"/>
      <w:bookmarkEnd w:id="20"/>
      <w:bookmarkEnd w:id="21"/>
    </w:p>
    <w:p w14:paraId="6EFA12D5">
      <w:pPr>
        <w:pStyle w:val="70"/>
        <w:adjustRightInd w:val="0"/>
        <w:snapToGrid w:val="0"/>
        <w:rPr>
          <w:rFonts w:hint="eastAsia" w:eastAsia="宋体" w:cs="宋体"/>
          <w:bCs/>
          <w:color w:val="auto"/>
          <w:highlight w:val="none"/>
          <w:u w:val="single"/>
          <w:lang w:eastAsia="zh-CN"/>
        </w:rPr>
      </w:pPr>
      <w:r>
        <w:rPr>
          <w:rFonts w:hint="eastAsia" w:eastAsia="宋体" w:cs="宋体"/>
          <w:bCs/>
          <w:color w:val="auto"/>
          <w:highlight w:val="none"/>
          <w:lang w:eastAsia="zh-CN"/>
        </w:rPr>
        <w:t>截止时间：</w:t>
      </w:r>
      <w:r>
        <w:rPr>
          <w:rFonts w:hint="eastAsia" w:eastAsia="宋体" w:cs="宋体"/>
          <w:bCs/>
          <w:color w:val="auto"/>
          <w:highlight w:val="none"/>
          <w:u w:val="single"/>
          <w:lang w:eastAsia="zh-CN"/>
        </w:rPr>
        <w:t>2026年0</w:t>
      </w:r>
      <w:r>
        <w:rPr>
          <w:rFonts w:hint="eastAsia" w:eastAsia="宋体" w:cs="宋体"/>
          <w:bCs/>
          <w:color w:val="auto"/>
          <w:highlight w:val="none"/>
          <w:u w:val="single"/>
          <w:lang w:val="en-US" w:eastAsia="zh-CN"/>
        </w:rPr>
        <w:t>7</w:t>
      </w:r>
      <w:r>
        <w:rPr>
          <w:rFonts w:hint="eastAsia" w:eastAsia="宋体" w:cs="宋体"/>
          <w:bCs/>
          <w:color w:val="auto"/>
          <w:highlight w:val="none"/>
          <w:u w:val="single"/>
          <w:lang w:eastAsia="zh-CN"/>
        </w:rPr>
        <w:t>月</w:t>
      </w:r>
      <w:r>
        <w:rPr>
          <w:rFonts w:hint="eastAsia" w:eastAsia="宋体" w:cs="宋体"/>
          <w:bCs/>
          <w:color w:val="auto"/>
          <w:highlight w:val="none"/>
          <w:u w:val="single"/>
          <w:lang w:val="en-US" w:eastAsia="zh-CN"/>
        </w:rPr>
        <w:t>17</w:t>
      </w:r>
      <w:r>
        <w:rPr>
          <w:rFonts w:hint="eastAsia" w:eastAsia="宋体" w:cs="宋体"/>
          <w:bCs/>
          <w:color w:val="auto"/>
          <w:highlight w:val="none"/>
          <w:u w:val="single"/>
          <w:lang w:eastAsia="zh-CN"/>
        </w:rPr>
        <w:t>日</w:t>
      </w:r>
      <w:r>
        <w:rPr>
          <w:rFonts w:hint="eastAsia" w:eastAsia="宋体" w:cs="宋体"/>
          <w:bCs/>
          <w:color w:val="auto"/>
          <w:highlight w:val="none"/>
          <w:u w:val="single"/>
          <w:lang w:val="en-US" w:eastAsia="zh-CN"/>
        </w:rPr>
        <w:t>09</w:t>
      </w:r>
      <w:r>
        <w:rPr>
          <w:rFonts w:hint="eastAsia" w:eastAsia="宋体" w:cs="宋体"/>
          <w:bCs/>
          <w:color w:val="auto"/>
          <w:highlight w:val="none"/>
          <w:u w:val="single"/>
          <w:lang w:eastAsia="zh-CN"/>
        </w:rPr>
        <w:t>点</w:t>
      </w:r>
      <w:r>
        <w:rPr>
          <w:rFonts w:hint="eastAsia" w:eastAsia="宋体" w:cs="宋体"/>
          <w:bCs/>
          <w:color w:val="auto"/>
          <w:highlight w:val="none"/>
          <w:u w:val="single"/>
          <w:lang w:val="en-US" w:eastAsia="zh-CN"/>
        </w:rPr>
        <w:t>3</w:t>
      </w:r>
      <w:r>
        <w:rPr>
          <w:rFonts w:hint="eastAsia" w:eastAsia="宋体" w:cs="宋体"/>
          <w:bCs/>
          <w:color w:val="auto"/>
          <w:highlight w:val="none"/>
          <w:u w:val="single"/>
          <w:lang w:eastAsia="zh-CN"/>
        </w:rPr>
        <w:t>0分</w:t>
      </w:r>
      <w:r>
        <w:rPr>
          <w:rFonts w:hint="eastAsia" w:eastAsia="宋体" w:cs="宋体"/>
          <w:bCs/>
          <w:color w:val="auto"/>
          <w:highlight w:val="none"/>
          <w:lang w:eastAsia="zh-CN"/>
        </w:rPr>
        <w:t>（北京时间）</w:t>
      </w:r>
    </w:p>
    <w:p w14:paraId="0F77E63F">
      <w:pPr>
        <w:pStyle w:val="70"/>
        <w:adjustRightInd w:val="0"/>
        <w:snapToGrid w:val="0"/>
        <w:rPr>
          <w:rFonts w:hint="eastAsia" w:eastAsia="宋体" w:cs="宋体"/>
          <w:bCs/>
          <w:color w:val="auto"/>
          <w:highlight w:val="none"/>
          <w:u w:val="single"/>
          <w:lang w:eastAsia="zh-CN"/>
        </w:rPr>
      </w:pPr>
      <w:r>
        <w:rPr>
          <w:rFonts w:hint="eastAsia" w:eastAsia="宋体" w:cs="宋体"/>
          <w:bCs/>
          <w:color w:val="auto"/>
          <w:highlight w:val="none"/>
          <w:lang w:eastAsia="zh-CN"/>
        </w:rPr>
        <w:t>地点：“苏采云”政府采购交易系统网上开标大厅</w:t>
      </w:r>
    </w:p>
    <w:p w14:paraId="455AD235">
      <w:pPr>
        <w:pStyle w:val="70"/>
        <w:adjustRightInd w:val="0"/>
        <w:snapToGrid w:val="0"/>
        <w:ind w:firstLine="482"/>
        <w:rPr>
          <w:rFonts w:hint="eastAsia" w:eastAsia="宋体" w:cs="宋体"/>
          <w:b/>
          <w:bCs/>
          <w:color w:val="auto"/>
          <w:highlight w:val="none"/>
          <w:lang w:eastAsia="zh-CN"/>
        </w:rPr>
      </w:pPr>
      <w:bookmarkStart w:id="24" w:name="_Toc28359016"/>
      <w:bookmarkStart w:id="25" w:name="_Toc35393633"/>
      <w:bookmarkStart w:id="26" w:name="_Toc28359093"/>
      <w:bookmarkStart w:id="27" w:name="_Toc35393802"/>
      <w:r>
        <w:rPr>
          <w:rFonts w:hint="eastAsia" w:eastAsia="宋体" w:cs="宋体"/>
          <w:b/>
          <w:bCs/>
          <w:color w:val="auto"/>
          <w:highlight w:val="none"/>
          <w:lang w:eastAsia="zh-CN"/>
        </w:rPr>
        <w:t>五、开启</w:t>
      </w:r>
      <w:bookmarkEnd w:id="24"/>
      <w:bookmarkEnd w:id="25"/>
      <w:bookmarkEnd w:id="26"/>
      <w:bookmarkEnd w:id="27"/>
    </w:p>
    <w:p w14:paraId="3F41A635">
      <w:pPr>
        <w:pStyle w:val="70"/>
        <w:adjustRightInd w:val="0"/>
        <w:snapToGrid w:val="0"/>
        <w:rPr>
          <w:rFonts w:hint="eastAsia" w:eastAsia="宋体" w:cs="宋体"/>
          <w:bCs/>
          <w:color w:val="auto"/>
          <w:highlight w:val="none"/>
          <w:u w:val="single"/>
          <w:lang w:eastAsia="zh-CN"/>
        </w:rPr>
      </w:pPr>
      <w:r>
        <w:rPr>
          <w:rFonts w:hint="eastAsia" w:eastAsia="宋体" w:cs="宋体"/>
          <w:bCs/>
          <w:color w:val="auto"/>
          <w:highlight w:val="none"/>
          <w:lang w:eastAsia="zh-CN"/>
        </w:rPr>
        <w:t>时间：</w:t>
      </w:r>
      <w:r>
        <w:rPr>
          <w:rFonts w:hint="eastAsia" w:eastAsia="宋体" w:cs="宋体"/>
          <w:bCs/>
          <w:color w:val="auto"/>
          <w:highlight w:val="none"/>
          <w:u w:val="single"/>
          <w:lang w:eastAsia="zh-CN"/>
        </w:rPr>
        <w:t>2026年0</w:t>
      </w:r>
      <w:r>
        <w:rPr>
          <w:rFonts w:hint="eastAsia" w:eastAsia="宋体" w:cs="宋体"/>
          <w:bCs/>
          <w:color w:val="auto"/>
          <w:highlight w:val="none"/>
          <w:u w:val="single"/>
          <w:lang w:val="en-US" w:eastAsia="zh-CN"/>
        </w:rPr>
        <w:t>7</w:t>
      </w:r>
      <w:r>
        <w:rPr>
          <w:rFonts w:hint="eastAsia" w:eastAsia="宋体" w:cs="宋体"/>
          <w:bCs/>
          <w:color w:val="auto"/>
          <w:highlight w:val="none"/>
          <w:u w:val="single"/>
          <w:lang w:eastAsia="zh-CN"/>
        </w:rPr>
        <w:t>月</w:t>
      </w:r>
      <w:r>
        <w:rPr>
          <w:rFonts w:hint="eastAsia" w:eastAsia="宋体" w:cs="宋体"/>
          <w:bCs/>
          <w:color w:val="auto"/>
          <w:highlight w:val="none"/>
          <w:u w:val="single"/>
          <w:lang w:val="en-US" w:eastAsia="zh-CN"/>
        </w:rPr>
        <w:t>17</w:t>
      </w:r>
      <w:r>
        <w:rPr>
          <w:rFonts w:hint="eastAsia" w:eastAsia="宋体" w:cs="宋体"/>
          <w:bCs/>
          <w:color w:val="auto"/>
          <w:highlight w:val="none"/>
          <w:u w:val="single"/>
          <w:lang w:eastAsia="zh-CN"/>
        </w:rPr>
        <w:t>日</w:t>
      </w:r>
      <w:r>
        <w:rPr>
          <w:rFonts w:hint="eastAsia" w:eastAsia="宋体" w:cs="宋体"/>
          <w:bCs/>
          <w:color w:val="auto"/>
          <w:highlight w:val="none"/>
          <w:u w:val="single"/>
          <w:lang w:val="en-US" w:eastAsia="zh-CN"/>
        </w:rPr>
        <w:t>09</w:t>
      </w:r>
      <w:r>
        <w:rPr>
          <w:rFonts w:hint="eastAsia" w:eastAsia="宋体" w:cs="宋体"/>
          <w:bCs/>
          <w:color w:val="auto"/>
          <w:highlight w:val="none"/>
          <w:u w:val="single"/>
          <w:lang w:eastAsia="zh-CN"/>
        </w:rPr>
        <w:t>点</w:t>
      </w:r>
      <w:r>
        <w:rPr>
          <w:rFonts w:hint="eastAsia" w:eastAsia="宋体" w:cs="宋体"/>
          <w:bCs/>
          <w:color w:val="auto"/>
          <w:highlight w:val="none"/>
          <w:u w:val="single"/>
          <w:lang w:val="en-US" w:eastAsia="zh-CN"/>
        </w:rPr>
        <w:t>3</w:t>
      </w:r>
      <w:r>
        <w:rPr>
          <w:rFonts w:hint="eastAsia" w:eastAsia="宋体" w:cs="宋体"/>
          <w:bCs/>
          <w:color w:val="auto"/>
          <w:highlight w:val="none"/>
          <w:u w:val="single"/>
          <w:lang w:eastAsia="zh-CN"/>
        </w:rPr>
        <w:t>0分</w:t>
      </w:r>
      <w:r>
        <w:rPr>
          <w:rFonts w:hint="eastAsia" w:eastAsia="宋体" w:cs="宋体"/>
          <w:bCs/>
          <w:color w:val="auto"/>
          <w:highlight w:val="none"/>
          <w:lang w:eastAsia="zh-CN"/>
        </w:rPr>
        <w:t>（北京时间）</w:t>
      </w:r>
    </w:p>
    <w:p w14:paraId="2F9B2A04">
      <w:pPr>
        <w:pStyle w:val="70"/>
        <w:adjustRightInd w:val="0"/>
        <w:snapToGrid w:val="0"/>
        <w:rPr>
          <w:rFonts w:hint="eastAsia" w:eastAsia="宋体" w:cs="宋体"/>
          <w:bCs/>
          <w:color w:val="auto"/>
          <w:highlight w:val="none"/>
          <w:lang w:eastAsia="zh-CN"/>
        </w:rPr>
      </w:pPr>
      <w:r>
        <w:rPr>
          <w:rFonts w:hint="eastAsia" w:eastAsia="宋体" w:cs="宋体"/>
          <w:bCs/>
          <w:color w:val="auto"/>
          <w:highlight w:val="none"/>
          <w:lang w:eastAsia="zh-CN"/>
        </w:rPr>
        <w:t>地点：</w:t>
      </w:r>
      <w:bookmarkStart w:id="28" w:name="_Toc35393803"/>
      <w:bookmarkStart w:id="29" w:name="_Toc28359094"/>
      <w:bookmarkStart w:id="30" w:name="_Toc28359017"/>
      <w:bookmarkStart w:id="31" w:name="_Toc35393634"/>
      <w:r>
        <w:rPr>
          <w:rFonts w:hint="eastAsia" w:eastAsia="宋体" w:cs="宋体"/>
          <w:bCs/>
          <w:color w:val="auto"/>
          <w:highlight w:val="none"/>
          <w:lang w:eastAsia="zh-CN"/>
        </w:rPr>
        <w:t>“苏采云”政府采购交易系统网上开标大厅</w:t>
      </w:r>
    </w:p>
    <w:p w14:paraId="0EE0913E">
      <w:pPr>
        <w:pStyle w:val="70"/>
        <w:adjustRightInd w:val="0"/>
        <w:snapToGrid w:val="0"/>
        <w:ind w:firstLine="482"/>
        <w:rPr>
          <w:rFonts w:hint="eastAsia" w:eastAsia="宋体" w:cs="宋体"/>
          <w:b/>
          <w:bCs/>
          <w:color w:val="auto"/>
          <w:highlight w:val="none"/>
          <w:lang w:eastAsia="zh-CN"/>
        </w:rPr>
      </w:pPr>
      <w:r>
        <w:rPr>
          <w:rFonts w:hint="eastAsia" w:eastAsia="宋体" w:cs="宋体"/>
          <w:b/>
          <w:bCs/>
          <w:color w:val="auto"/>
          <w:highlight w:val="none"/>
          <w:lang w:eastAsia="zh-CN"/>
        </w:rPr>
        <w:t>六、公告期限</w:t>
      </w:r>
      <w:bookmarkEnd w:id="28"/>
      <w:bookmarkEnd w:id="29"/>
      <w:bookmarkEnd w:id="30"/>
      <w:bookmarkEnd w:id="31"/>
    </w:p>
    <w:p w14:paraId="307EFAC1">
      <w:pPr>
        <w:pStyle w:val="70"/>
        <w:adjustRightInd w:val="0"/>
        <w:snapToGrid w:val="0"/>
        <w:rPr>
          <w:rFonts w:hint="eastAsia" w:eastAsia="宋体" w:cs="宋体"/>
          <w:bCs/>
          <w:color w:val="auto"/>
          <w:highlight w:val="none"/>
          <w:lang w:eastAsia="zh-CN"/>
        </w:rPr>
      </w:pPr>
      <w:r>
        <w:rPr>
          <w:rFonts w:hint="eastAsia" w:eastAsia="宋体" w:cs="宋体"/>
          <w:bCs/>
          <w:color w:val="auto"/>
          <w:highlight w:val="none"/>
          <w:lang w:eastAsia="zh-CN"/>
        </w:rPr>
        <w:t>自公告发布之日起3个工作日</w:t>
      </w:r>
    </w:p>
    <w:p w14:paraId="2520965D">
      <w:pPr>
        <w:pStyle w:val="70"/>
        <w:adjustRightInd w:val="0"/>
        <w:snapToGrid w:val="0"/>
        <w:ind w:firstLine="482"/>
        <w:rPr>
          <w:rFonts w:hint="eastAsia" w:eastAsia="宋体" w:cs="宋体"/>
          <w:b/>
          <w:bCs/>
          <w:color w:val="auto"/>
          <w:highlight w:val="none"/>
          <w:lang w:eastAsia="zh-CN"/>
        </w:rPr>
      </w:pPr>
      <w:r>
        <w:rPr>
          <w:rFonts w:hint="eastAsia" w:eastAsia="宋体" w:cs="宋体"/>
          <w:b/>
          <w:bCs/>
          <w:color w:val="auto"/>
          <w:highlight w:val="none"/>
          <w:lang w:eastAsia="zh-CN"/>
        </w:rPr>
        <w:t>七、其他补充事宜</w:t>
      </w:r>
      <w:bookmarkEnd w:id="22"/>
      <w:bookmarkEnd w:id="23"/>
      <w:bookmarkStart w:id="32" w:name="_Toc28359085"/>
      <w:bookmarkStart w:id="33" w:name="_Toc28359008"/>
      <w:bookmarkStart w:id="34" w:name="_Toc35393627"/>
      <w:bookmarkStart w:id="35" w:name="_Toc35393796"/>
    </w:p>
    <w:p w14:paraId="08AD6DCA">
      <w:pPr>
        <w:adjustRightInd w:val="0"/>
        <w:snapToGrid w:val="0"/>
        <w:spacing w:line="360" w:lineRule="auto"/>
        <w:ind w:firstLine="480" w:firstLineChars="20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1.集中考察现场或答疑：</w:t>
      </w:r>
      <w:r>
        <w:rPr>
          <w:rFonts w:hint="eastAsia" w:ascii="宋体" w:hAnsi="宋体" w:eastAsia="宋体" w:cs="宋体"/>
          <w:color w:val="auto"/>
          <w:sz w:val="24"/>
          <w:szCs w:val="24"/>
          <w:highlight w:val="none"/>
          <w:lang w:val="en-US" w:eastAsia="zh-CN"/>
        </w:rPr>
        <w:t>采购人定于2026年07月13日08时30分（</w:t>
      </w:r>
      <w:r>
        <w:rPr>
          <w:rFonts w:hint="eastAsia" w:ascii="宋体" w:hAnsi="宋体" w:eastAsia="宋体" w:cs="宋体"/>
          <w:b/>
          <w:bCs/>
          <w:color w:val="auto"/>
          <w:sz w:val="24"/>
          <w:szCs w:val="24"/>
          <w:highlight w:val="none"/>
          <w:lang w:val="en-US" w:eastAsia="zh-CN"/>
        </w:rPr>
        <w:t>请勿迟到</w:t>
      </w:r>
      <w:r>
        <w:rPr>
          <w:rFonts w:hint="eastAsia" w:ascii="宋体" w:hAnsi="宋体" w:eastAsia="宋体" w:cs="宋体"/>
          <w:color w:val="auto"/>
          <w:sz w:val="24"/>
          <w:szCs w:val="24"/>
          <w:highlight w:val="none"/>
          <w:lang w:val="en-US" w:eastAsia="zh-CN"/>
        </w:rPr>
        <w:t>）统一组织现场勘察，集合及登记地点：江苏省江宁监狱交易办，联系人：宋主任，电话：025-52295040。</w:t>
      </w:r>
      <w:r>
        <w:rPr>
          <w:rFonts w:hint="eastAsia" w:ascii="宋体" w:hAnsi="宋体" w:eastAsia="宋体" w:cs="宋体"/>
          <w:b/>
          <w:bCs/>
          <w:color w:val="auto"/>
          <w:sz w:val="24"/>
          <w:szCs w:val="24"/>
          <w:highlight w:val="none"/>
          <w:lang w:val="en-US" w:eastAsia="zh-CN"/>
        </w:rPr>
        <w:t>现场踏勘人员必须为男性，且须携带本人身份证原件（不接受电子身份证件，未携带身份证原件者将无法进入监区踏勘）。</w:t>
      </w:r>
      <w:r>
        <w:rPr>
          <w:rFonts w:hint="eastAsia" w:ascii="宋体" w:hAnsi="宋体" w:eastAsia="宋体" w:cs="宋体"/>
          <w:color w:val="auto"/>
          <w:sz w:val="24"/>
          <w:szCs w:val="24"/>
          <w:highlight w:val="none"/>
          <w:lang w:val="en-US" w:eastAsia="zh-CN"/>
        </w:rPr>
        <w:t>未参加本次集中踏勘的供应商，可自行前往项目现场踏勘，采购人不单独接待供应商，且自行踏勘阶段不接受任何现场答疑。</w:t>
      </w:r>
    </w:p>
    <w:p w14:paraId="4AE0C42D">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2.潜在供应商访问政府采购管理交易系统（苏采云）的网络地址和方法：</w:t>
      </w:r>
    </w:p>
    <w:p w14:paraId="132BFD07">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潜在供应商访问政府采购管理交易系统（苏采云）的方法：“苏采云”系统用户注册--获取“CA数字证书”--CA绑定与登录--网上报名--下载采购文件（后缀名为“.kedt”）--将后缀名为“.kedt”的采购文件导入政府采购客户端工具--制作投标文件--导出加密的投标文件（后缀名为zip）--通过“苏采云”系统上传投标文件。</w:t>
      </w:r>
    </w:p>
    <w:p w14:paraId="09121C98">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（2）“CA数字证书”的获取：供应商需办理CA锁，“苏采云”系统目前仅支持“苏采云”系统下的政务CA，省内各地区办理的“苏采云”系统下的政务CA全省通用。</w:t>
      </w:r>
    </w:p>
    <w:p w14:paraId="4DDCB8CD">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（3）“CA数字证书”的办理材料以及供应商操作手册详见：http://jsxcmm.com/help/gys.html。</w:t>
      </w:r>
    </w:p>
    <w:p w14:paraId="148BEAB8">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（4）潜在供应商访问“苏采云”系统的网络地址和方法：“苏采云”系统的网址：http://jszfcg.jsczt.cn/jszc/login。</w:t>
      </w:r>
    </w:p>
    <w:p w14:paraId="74C74F75">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（5）采购文件（后缀名为“.kedt”）、供应商操作手册及政府采购客户端工具也可通过“苏采云”系统--已报名项目--报名详情页面内相应链接进行下载。</w:t>
      </w:r>
    </w:p>
    <w:p w14:paraId="059D0717">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（6）招标代理机构（采购代理机构）将数据电文形式的采购文件加载至“苏采云”系统，供潜在供应商下载或者查阅。    </w:t>
      </w:r>
    </w:p>
    <w:p w14:paraId="44C62371">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（7）苏采云系统使用谷歌浏览器参与不见面开标。</w:t>
      </w:r>
    </w:p>
    <w:p w14:paraId="6871BDCD">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本次采购采用“政府采购管理交易系统（苏采云）”，招标、投标、评标和中标结果发布全程电子化，开标方式为不见面开标。供应商应当按照《政府采购管理交易系统（苏采云）供应商操作手册》参加投标活动。如供应商未按要求操作，由此所产生的风险由供应商自行承担。</w:t>
      </w:r>
    </w:p>
    <w:p w14:paraId="2F1BB1FA">
      <w:pPr>
        <w:spacing w:line="360" w:lineRule="auto"/>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4.对于接受供应商以联合体形式参加采购活动的项目：</w:t>
      </w:r>
    </w:p>
    <w:p w14:paraId="4EF63F02">
      <w:pPr>
        <w:spacing w:line="360" w:lineRule="auto"/>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（1）两个以上的自然人、法人或者其他组织可以组成一个联合体，以一个供应商的身份共同参加政府采购。</w:t>
      </w:r>
    </w:p>
    <w:p w14:paraId="0EF4A7DB">
      <w:pPr>
        <w:spacing w:line="360" w:lineRule="auto"/>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以联合体形式进行政府采购的，参加联合体的供应商均应当具备政府采购法第二十二条规定的条件，并应当向采购人提交联合协议，载明联合体各方承担的工作和义务。联合体各方应当共同与采购人签订采购合同，就采购合同约定的事项对采购人承担连带责任。</w:t>
      </w:r>
    </w:p>
    <w:p w14:paraId="17A32BB0">
      <w:pPr>
        <w:spacing w:line="360" w:lineRule="auto"/>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（3）联合体中有同类资质的供应商按照联合体分工承担相同工作的，应当按照资质等级较低的供应商确定资质等级。</w:t>
      </w:r>
    </w:p>
    <w:p w14:paraId="454F2542">
      <w:pPr>
        <w:spacing w:line="360" w:lineRule="auto"/>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（4）以联合体形式参加政府采购活动的，联合体各方不得再单独参加或者与其他供应商另外组成联合体参加同一合同项下的政府采购活动。</w:t>
      </w:r>
    </w:p>
    <w:p w14:paraId="644307F0">
      <w:pPr>
        <w:spacing w:line="360" w:lineRule="auto"/>
        <w:ind w:firstLine="482" w:firstLineChars="200"/>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（5）联合体成员存在不良信用记录的，视同联合体存在不良信用记录。</w:t>
      </w:r>
    </w:p>
    <w:p w14:paraId="0F19ED0E">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.磋商保证金数额及交纳办法：本项目不收取磋商保证金。</w:t>
      </w:r>
    </w:p>
    <w:p w14:paraId="55BA8965">
      <w:pPr>
        <w:pStyle w:val="70"/>
        <w:adjustRightInd w:val="0"/>
        <w:snapToGrid w:val="0"/>
        <w:rPr>
          <w:rFonts w:hint="eastAsia" w:cs="宋体"/>
          <w:bCs/>
          <w:color w:val="auto"/>
          <w:highlight w:val="none"/>
          <w:lang w:eastAsia="zh-CN"/>
        </w:rPr>
      </w:pPr>
      <w:r>
        <w:rPr>
          <w:rFonts w:hint="eastAsia" w:eastAsia="宋体" w:cs="宋体"/>
          <w:color w:val="auto"/>
          <w:highlight w:val="none"/>
          <w:lang w:val="en-US" w:eastAsia="zh-CN"/>
        </w:rPr>
        <w:t>6</w:t>
      </w:r>
      <w:r>
        <w:rPr>
          <w:rFonts w:hint="eastAsia" w:eastAsia="宋体" w:cs="宋体"/>
          <w:color w:val="auto"/>
          <w:highlight w:val="none"/>
          <w:lang w:eastAsia="zh-CN"/>
        </w:rPr>
        <w:t>.发布平台：</w:t>
      </w:r>
      <w:r>
        <w:rPr>
          <w:rFonts w:hint="eastAsia" w:cs="宋体"/>
          <w:bCs/>
          <w:color w:val="auto"/>
          <w:highlight w:val="none"/>
          <w:lang w:eastAsia="zh-CN"/>
        </w:rPr>
        <w:t>江苏政府采购网</w:t>
      </w:r>
    </w:p>
    <w:p w14:paraId="1E8F7598">
      <w:pPr>
        <w:pStyle w:val="70"/>
        <w:adjustRightInd w:val="0"/>
        <w:snapToGrid w:val="0"/>
        <w:ind w:firstLine="482"/>
        <w:rPr>
          <w:rFonts w:hint="eastAsia" w:eastAsia="宋体" w:cs="宋体"/>
          <w:b/>
          <w:bCs/>
          <w:color w:val="auto"/>
          <w:highlight w:val="none"/>
          <w:lang w:eastAsia="zh-CN"/>
        </w:rPr>
      </w:pPr>
      <w:r>
        <w:rPr>
          <w:rFonts w:hint="eastAsia" w:eastAsia="宋体" w:cs="宋体"/>
          <w:b/>
          <w:bCs/>
          <w:color w:val="auto"/>
          <w:highlight w:val="none"/>
          <w:lang w:eastAsia="zh-CN"/>
        </w:rPr>
        <w:t>八、对本次采购提出询问，请按以下方式联系</w:t>
      </w:r>
      <w:bookmarkEnd w:id="32"/>
      <w:bookmarkEnd w:id="33"/>
      <w:bookmarkEnd w:id="34"/>
      <w:bookmarkEnd w:id="35"/>
    </w:p>
    <w:p w14:paraId="4E602F45">
      <w:pPr>
        <w:pStyle w:val="70"/>
        <w:adjustRightInd w:val="0"/>
        <w:snapToGrid w:val="0"/>
        <w:rPr>
          <w:rFonts w:hint="eastAsia" w:eastAsia="宋体" w:cs="宋体"/>
          <w:bCs/>
          <w:color w:val="auto"/>
          <w:highlight w:val="none"/>
          <w:lang w:eastAsia="zh-CN"/>
        </w:rPr>
      </w:pPr>
      <w:r>
        <w:rPr>
          <w:rFonts w:hint="eastAsia" w:eastAsia="宋体" w:cs="宋体"/>
          <w:bCs/>
          <w:color w:val="auto"/>
          <w:highlight w:val="none"/>
          <w:lang w:eastAsia="zh-CN"/>
        </w:rPr>
        <w:t>1.采购人信息</w:t>
      </w:r>
    </w:p>
    <w:p w14:paraId="33FA996B">
      <w:pPr>
        <w:adjustRightInd w:val="0"/>
        <w:snapToGrid w:val="0"/>
        <w:spacing w:line="360" w:lineRule="auto"/>
        <w:ind w:firstLine="480" w:firstLineChars="200"/>
        <w:rPr>
          <w:rFonts w:hint="eastAsia" w:ascii="宋体" w:hAnsi="宋体" w:eastAsia="宋体" w:cs="宋体"/>
          <w:color w:val="auto"/>
          <w:sz w:val="24"/>
          <w:szCs w:val="24"/>
          <w:highlight w:val="none"/>
          <w:lang w:eastAsia="zh-CN"/>
        </w:rPr>
      </w:pPr>
      <w:bookmarkStart w:id="36" w:name="_Toc28359086"/>
      <w:bookmarkStart w:id="37" w:name="_Toc28359009"/>
      <w:r>
        <w:rPr>
          <w:rFonts w:hint="eastAsia" w:ascii="宋体" w:hAnsi="宋体" w:eastAsia="宋体" w:cs="宋体"/>
          <w:color w:val="auto"/>
          <w:sz w:val="24"/>
          <w:szCs w:val="24"/>
          <w:highlight w:val="none"/>
          <w:lang w:eastAsia="zh-CN"/>
        </w:rPr>
        <w:t>采购人：江苏省江宁监狱</w:t>
      </w:r>
    </w:p>
    <w:p w14:paraId="2DA014A1">
      <w:pPr>
        <w:adjustRightInd w:val="0"/>
        <w:snapToGri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地址：南京市江宁区淳化街道</w:t>
      </w:r>
    </w:p>
    <w:p w14:paraId="06F83793">
      <w:pPr>
        <w:pStyle w:val="70"/>
        <w:adjustRightInd w:val="0"/>
        <w:snapToGrid w:val="0"/>
        <w:rPr>
          <w:rFonts w:hint="eastAsia" w:eastAsia="宋体" w:cs="宋体"/>
          <w:bCs/>
          <w:color w:val="auto"/>
          <w:highlight w:val="none"/>
          <w:lang w:eastAsia="zh-CN"/>
        </w:rPr>
      </w:pPr>
      <w:r>
        <w:rPr>
          <w:rFonts w:hint="eastAsia" w:eastAsia="宋体" w:cs="宋体"/>
          <w:bCs/>
          <w:color w:val="auto"/>
          <w:highlight w:val="none"/>
          <w:lang w:eastAsia="zh-CN"/>
        </w:rPr>
        <w:t>联系人：宋主任  025-52295040</w:t>
      </w:r>
    </w:p>
    <w:p w14:paraId="6A8E443F">
      <w:pPr>
        <w:pStyle w:val="70"/>
        <w:adjustRightInd w:val="0"/>
        <w:snapToGrid w:val="0"/>
        <w:rPr>
          <w:rFonts w:hint="eastAsia" w:eastAsia="宋体" w:cs="宋体"/>
          <w:bCs/>
          <w:color w:val="auto"/>
          <w:highlight w:val="none"/>
          <w:lang w:eastAsia="zh-CN"/>
        </w:rPr>
      </w:pPr>
      <w:r>
        <w:rPr>
          <w:rFonts w:hint="eastAsia" w:eastAsia="宋体" w:cs="宋体"/>
          <w:bCs/>
          <w:color w:val="auto"/>
          <w:highlight w:val="none"/>
          <w:lang w:eastAsia="zh-CN"/>
        </w:rPr>
        <w:t>2.采购代理机构信息</w:t>
      </w:r>
      <w:bookmarkEnd w:id="36"/>
      <w:bookmarkEnd w:id="37"/>
    </w:p>
    <w:p w14:paraId="46E0B534">
      <w:pPr>
        <w:pStyle w:val="70"/>
        <w:adjustRightInd w:val="0"/>
        <w:snapToGrid w:val="0"/>
        <w:rPr>
          <w:rFonts w:hint="eastAsia" w:eastAsia="宋体" w:cs="宋体"/>
          <w:bCs/>
          <w:color w:val="auto"/>
          <w:highlight w:val="none"/>
          <w:lang w:eastAsia="zh-CN"/>
        </w:rPr>
      </w:pPr>
      <w:r>
        <w:rPr>
          <w:rFonts w:hint="eastAsia" w:eastAsia="宋体" w:cs="宋体"/>
          <w:bCs/>
          <w:color w:val="auto"/>
          <w:highlight w:val="none"/>
          <w:lang w:eastAsia="zh-CN"/>
        </w:rPr>
        <w:t>名称：南京江城工程项目管理有限公司　</w:t>
      </w:r>
    </w:p>
    <w:p w14:paraId="45768C5A">
      <w:pPr>
        <w:pStyle w:val="70"/>
        <w:adjustRightInd w:val="0"/>
        <w:snapToGrid w:val="0"/>
        <w:rPr>
          <w:rFonts w:hint="eastAsia" w:eastAsia="宋体" w:cs="宋体"/>
          <w:bCs/>
          <w:color w:val="auto"/>
          <w:highlight w:val="none"/>
          <w:lang w:eastAsia="zh-CN"/>
        </w:rPr>
      </w:pPr>
      <w:r>
        <w:rPr>
          <w:rFonts w:hint="eastAsia" w:eastAsia="宋体" w:cs="宋体"/>
          <w:bCs/>
          <w:color w:val="auto"/>
          <w:highlight w:val="none"/>
          <w:lang w:eastAsia="zh-CN"/>
        </w:rPr>
        <w:t>地址：南京市建邺区云龙山路89号龙湖时代上城1栋29楼</w:t>
      </w:r>
    </w:p>
    <w:p w14:paraId="20208630">
      <w:pPr>
        <w:pStyle w:val="70"/>
        <w:adjustRightInd w:val="0"/>
        <w:snapToGrid w:val="0"/>
        <w:rPr>
          <w:rFonts w:hint="eastAsia" w:eastAsia="宋体" w:cs="宋体"/>
          <w:bCs/>
          <w:color w:val="auto"/>
          <w:highlight w:val="none"/>
          <w:lang w:eastAsia="zh-CN"/>
        </w:rPr>
      </w:pPr>
      <w:r>
        <w:rPr>
          <w:rFonts w:hint="eastAsia" w:eastAsia="宋体" w:cs="宋体"/>
          <w:bCs/>
          <w:color w:val="auto"/>
          <w:highlight w:val="none"/>
          <w:lang w:eastAsia="zh-CN"/>
        </w:rPr>
        <w:t>联系方式：</w:t>
      </w:r>
      <w:bookmarkStart w:id="38" w:name="_Toc28359010"/>
      <w:bookmarkStart w:id="39" w:name="_Toc28359087"/>
      <w:r>
        <w:rPr>
          <w:rFonts w:hint="eastAsia" w:eastAsia="宋体" w:cs="宋体"/>
          <w:bCs/>
          <w:color w:val="auto"/>
          <w:highlight w:val="none"/>
          <w:lang w:eastAsia="zh-CN"/>
        </w:rPr>
        <w:t>025-58835827-8047</w:t>
      </w:r>
    </w:p>
    <w:p w14:paraId="0C4D14FF">
      <w:pPr>
        <w:pStyle w:val="70"/>
        <w:adjustRightInd w:val="0"/>
        <w:snapToGrid w:val="0"/>
        <w:rPr>
          <w:rFonts w:hint="eastAsia" w:eastAsia="宋体" w:cs="宋体"/>
          <w:bCs/>
          <w:color w:val="auto"/>
          <w:highlight w:val="none"/>
          <w:lang w:eastAsia="zh-CN"/>
        </w:rPr>
      </w:pPr>
      <w:r>
        <w:rPr>
          <w:rFonts w:hint="eastAsia" w:eastAsia="宋体" w:cs="宋体"/>
          <w:bCs/>
          <w:color w:val="auto"/>
          <w:highlight w:val="none"/>
          <w:lang w:eastAsia="zh-CN"/>
        </w:rPr>
        <w:t>3.项目联系方式</w:t>
      </w:r>
      <w:bookmarkEnd w:id="38"/>
      <w:bookmarkEnd w:id="39"/>
    </w:p>
    <w:p w14:paraId="486C771F">
      <w:pPr>
        <w:pStyle w:val="70"/>
        <w:adjustRightInd w:val="0"/>
        <w:snapToGrid w:val="0"/>
        <w:rPr>
          <w:rFonts w:hint="eastAsia" w:eastAsia="宋体" w:cs="宋体"/>
          <w:bCs/>
          <w:color w:val="auto"/>
          <w:highlight w:val="none"/>
          <w:lang w:eastAsia="zh-CN"/>
        </w:rPr>
      </w:pPr>
      <w:r>
        <w:rPr>
          <w:rFonts w:hint="eastAsia" w:eastAsia="宋体" w:cs="宋体"/>
          <w:bCs/>
          <w:color w:val="auto"/>
          <w:highlight w:val="none"/>
          <w:lang w:eastAsia="zh-CN"/>
        </w:rPr>
        <w:t xml:space="preserve">项目联系人：高婷、韦洪林 </w:t>
      </w:r>
    </w:p>
    <w:p w14:paraId="017E9025">
      <w:pPr>
        <w:pStyle w:val="70"/>
        <w:adjustRightInd w:val="0"/>
        <w:snapToGrid w:val="0"/>
        <w:rPr>
          <w:rFonts w:hint="eastAsia" w:eastAsia="宋体" w:cs="宋体"/>
          <w:bCs/>
          <w:color w:val="auto"/>
          <w:highlight w:val="none"/>
          <w:lang w:eastAsia="zh-CN"/>
        </w:rPr>
      </w:pPr>
      <w:r>
        <w:rPr>
          <w:rFonts w:hint="eastAsia" w:eastAsia="宋体" w:cs="宋体"/>
          <w:bCs/>
          <w:color w:val="auto"/>
          <w:highlight w:val="none"/>
          <w:lang w:eastAsia="zh-CN"/>
        </w:rPr>
        <w:t>电话：025-58835827-8047</w:t>
      </w:r>
    </w:p>
    <w:p w14:paraId="23530560">
      <w:pPr>
        <w:pStyle w:val="2"/>
        <w:tabs>
          <w:tab w:val="left" w:pos="4171"/>
        </w:tabs>
        <w:adjustRightInd w:val="0"/>
        <w:snapToGrid w:val="0"/>
        <w:spacing w:line="360" w:lineRule="auto"/>
        <w:jc w:val="center"/>
        <w:rPr>
          <w:color w:val="auto"/>
          <w:highlight w:val="none"/>
          <w:lang w:eastAsia="zh-CN"/>
        </w:rPr>
      </w:pPr>
      <w:bookmarkStart w:id="40" w:name="_Toc24193"/>
      <w:r>
        <w:rPr>
          <w:color w:val="auto"/>
          <w:w w:val="95"/>
          <w:sz w:val="36"/>
          <w:szCs w:val="36"/>
          <w:highlight w:val="none"/>
          <w:lang w:eastAsia="zh-CN"/>
        </w:rPr>
        <w:br w:type="page"/>
      </w:r>
      <w:r>
        <w:rPr>
          <w:color w:val="auto"/>
          <w:w w:val="95"/>
          <w:sz w:val="36"/>
          <w:szCs w:val="36"/>
          <w:highlight w:val="none"/>
          <w:lang w:eastAsia="zh-CN"/>
        </w:rPr>
        <w:t>第二章</w:t>
      </w:r>
      <w:r>
        <w:rPr>
          <w:rFonts w:hint="eastAsia"/>
          <w:color w:val="auto"/>
          <w:w w:val="95"/>
          <w:sz w:val="36"/>
          <w:szCs w:val="36"/>
          <w:highlight w:val="none"/>
          <w:lang w:eastAsia="zh-CN"/>
        </w:rPr>
        <w:t xml:space="preserve">  </w:t>
      </w:r>
      <w:r>
        <w:rPr>
          <w:color w:val="auto"/>
          <w:w w:val="95"/>
          <w:sz w:val="36"/>
          <w:szCs w:val="36"/>
          <w:highlight w:val="none"/>
          <w:lang w:eastAsia="zh-CN"/>
        </w:rPr>
        <w:t>供应商须知</w:t>
      </w:r>
      <w:bookmarkEnd w:id="40"/>
      <w:bookmarkStart w:id="41" w:name="_bookmark2"/>
      <w:bookmarkEnd w:id="41"/>
    </w:p>
    <w:p w14:paraId="7F6E4DC6">
      <w:pPr>
        <w:autoSpaceDE w:val="0"/>
        <w:autoSpaceDN w:val="0"/>
        <w:adjustRightInd w:val="0"/>
        <w:snapToGrid w:val="0"/>
        <w:spacing w:line="360" w:lineRule="auto"/>
        <w:ind w:firstLine="482" w:firstLineChars="200"/>
        <w:rPr>
          <w:rFonts w:hint="eastAsia" w:ascii="宋体" w:hAnsi="宋体" w:eastAsia="宋体" w:cs="宋体"/>
          <w:b/>
          <w:bCs/>
          <w:color w:val="auto"/>
          <w:sz w:val="24"/>
          <w:szCs w:val="24"/>
          <w:highlight w:val="none"/>
          <w:lang w:val="zh-CN" w:eastAsia="zh-CN"/>
        </w:rPr>
      </w:pPr>
      <w:r>
        <w:rPr>
          <w:rFonts w:hint="eastAsia" w:ascii="宋体" w:hAnsi="宋体" w:eastAsia="宋体" w:cs="宋体"/>
          <w:b/>
          <w:bCs/>
          <w:color w:val="auto"/>
          <w:sz w:val="24"/>
          <w:szCs w:val="24"/>
          <w:highlight w:val="none"/>
          <w:lang w:val="zh-CN" w:eastAsia="zh-CN"/>
        </w:rPr>
        <w:t>一、总则</w:t>
      </w:r>
    </w:p>
    <w:p w14:paraId="2AEAEB82">
      <w:pPr>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lang w:val="zh-CN" w:eastAsia="zh-CN"/>
        </w:rPr>
      </w:pPr>
      <w:bookmarkStart w:id="42" w:name="_Toc508699410"/>
      <w:r>
        <w:rPr>
          <w:rFonts w:hint="eastAsia" w:ascii="宋体" w:hAnsi="宋体" w:eastAsia="宋体" w:cs="宋体"/>
          <w:color w:val="auto"/>
          <w:sz w:val="24"/>
          <w:szCs w:val="24"/>
          <w:highlight w:val="none"/>
          <w:lang w:val="zh-CN" w:eastAsia="zh-CN"/>
        </w:rPr>
        <w:t>1、法律</w:t>
      </w:r>
      <w:bookmarkEnd w:id="42"/>
    </w:p>
    <w:p w14:paraId="1DA22869">
      <w:pPr>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1.1 《中华人民共和国政府采购法》《中华人民共和国政府采购法实施条例》</w:t>
      </w:r>
      <w:r>
        <w:rPr>
          <w:rFonts w:hint="eastAsia" w:ascii="宋体" w:hAnsi="宋体" w:eastAsia="宋体" w:cs="宋体"/>
          <w:color w:val="auto"/>
          <w:sz w:val="24"/>
          <w:szCs w:val="24"/>
          <w:highlight w:val="none"/>
          <w:lang w:eastAsia="zh-CN"/>
        </w:rPr>
        <w:t>《政府采购竞争性磋商采购方式管理暂行办法》</w:t>
      </w:r>
      <w:r>
        <w:rPr>
          <w:rFonts w:hint="eastAsia" w:ascii="宋体" w:hAnsi="宋体" w:eastAsia="宋体" w:cs="宋体"/>
          <w:color w:val="auto"/>
          <w:sz w:val="24"/>
          <w:szCs w:val="24"/>
          <w:highlight w:val="none"/>
          <w:lang w:val="zh-CN" w:eastAsia="zh-CN"/>
        </w:rPr>
        <w:t>等有关法律、规章和规定等。</w:t>
      </w:r>
    </w:p>
    <w:p w14:paraId="7269D36C">
      <w:pPr>
        <w:autoSpaceDE w:val="0"/>
        <w:autoSpaceDN w:val="0"/>
        <w:adjustRightInd w:val="0"/>
        <w:snapToGrid w:val="0"/>
        <w:spacing w:line="360" w:lineRule="auto"/>
        <w:ind w:firstLine="482" w:firstLineChars="200"/>
        <w:rPr>
          <w:rFonts w:hint="eastAsia" w:ascii="宋体" w:hAnsi="宋体" w:eastAsia="宋体" w:cs="宋体"/>
          <w:b/>
          <w:color w:val="auto"/>
          <w:sz w:val="24"/>
          <w:szCs w:val="24"/>
          <w:highlight w:val="none"/>
          <w:lang w:val="zh-CN" w:eastAsia="zh-CN"/>
        </w:rPr>
      </w:pPr>
      <w:bookmarkStart w:id="43" w:name="_Toc508699411"/>
      <w:r>
        <w:rPr>
          <w:rFonts w:hint="eastAsia" w:ascii="宋体" w:hAnsi="宋体" w:eastAsia="宋体" w:cs="宋体"/>
          <w:b/>
          <w:color w:val="auto"/>
          <w:sz w:val="24"/>
          <w:szCs w:val="24"/>
          <w:highlight w:val="none"/>
          <w:lang w:val="zh-CN" w:eastAsia="zh-CN"/>
        </w:rPr>
        <w:t>2、定义</w:t>
      </w:r>
      <w:bookmarkEnd w:id="43"/>
    </w:p>
    <w:p w14:paraId="10785B4E">
      <w:pPr>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2.1 “</w:t>
      </w:r>
      <w:r>
        <w:rPr>
          <w:rFonts w:hint="eastAsia" w:ascii="宋体" w:hAnsi="宋体" w:eastAsia="宋体" w:cs="宋体"/>
          <w:b/>
          <w:color w:val="auto"/>
          <w:sz w:val="24"/>
          <w:szCs w:val="24"/>
          <w:highlight w:val="none"/>
          <w:lang w:val="zh-CN" w:eastAsia="zh-CN"/>
        </w:rPr>
        <w:t>供应商</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eastAsia="zh-CN"/>
        </w:rPr>
        <w:t>是指参加磋商竞争，并符合采购文件规定资格条件的法人、其他组织或者自然人。</w:t>
      </w:r>
    </w:p>
    <w:p w14:paraId="630C1665">
      <w:pPr>
        <w:autoSpaceDE w:val="0"/>
        <w:autoSpaceDN w:val="0"/>
        <w:adjustRightInd w:val="0"/>
        <w:snapToGrid w:val="0"/>
        <w:spacing w:line="360" w:lineRule="auto"/>
        <w:ind w:firstLine="480" w:firstLineChars="200"/>
        <w:rPr>
          <w:rFonts w:hint="eastAsia" w:ascii="宋体" w:hAnsi="宋体" w:eastAsia="宋体" w:cs="宋体"/>
          <w:b/>
          <w:color w:val="auto"/>
          <w:sz w:val="24"/>
          <w:szCs w:val="24"/>
          <w:highlight w:val="none"/>
          <w:lang w:val="zh-CN" w:eastAsia="zh-CN"/>
        </w:rPr>
      </w:pPr>
      <w:r>
        <w:rPr>
          <w:rFonts w:hint="eastAsia" w:ascii="宋体" w:hAnsi="宋体" w:eastAsia="宋体" w:cs="宋体"/>
          <w:color w:val="auto"/>
          <w:sz w:val="24"/>
          <w:szCs w:val="24"/>
          <w:highlight w:val="none"/>
          <w:lang w:val="zh-CN" w:eastAsia="zh-CN"/>
        </w:rPr>
        <w:t>2.2 “工程”指本采购文件中所述相关工程。</w:t>
      </w:r>
    </w:p>
    <w:p w14:paraId="3C4AC9F2">
      <w:pPr>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2.3 “用户或使用单位”是指使用</w:t>
      </w:r>
      <w:r>
        <w:rPr>
          <w:rFonts w:hint="eastAsia" w:ascii="宋体" w:hAnsi="宋体" w:eastAsia="宋体" w:cs="宋体"/>
          <w:color w:val="auto"/>
          <w:sz w:val="24"/>
          <w:szCs w:val="24"/>
          <w:highlight w:val="none"/>
          <w:lang w:eastAsia="zh-CN"/>
        </w:rPr>
        <w:t>本工程</w:t>
      </w:r>
      <w:r>
        <w:rPr>
          <w:rFonts w:hint="eastAsia" w:ascii="宋体" w:hAnsi="宋体" w:eastAsia="宋体" w:cs="宋体"/>
          <w:color w:val="auto"/>
          <w:sz w:val="24"/>
          <w:szCs w:val="24"/>
          <w:highlight w:val="none"/>
          <w:lang w:val="zh-CN" w:eastAsia="zh-CN"/>
        </w:rPr>
        <w:t>的单位。</w:t>
      </w:r>
    </w:p>
    <w:p w14:paraId="3DE98CB9">
      <w:pPr>
        <w:autoSpaceDE w:val="0"/>
        <w:autoSpaceDN w:val="0"/>
        <w:adjustRightInd w:val="0"/>
        <w:snapToGrid w:val="0"/>
        <w:spacing w:line="360" w:lineRule="auto"/>
        <w:ind w:firstLine="482" w:firstLineChars="200"/>
        <w:rPr>
          <w:rFonts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val="zh-CN" w:eastAsia="zh-CN"/>
        </w:rPr>
        <w:t>3、政策功能</w:t>
      </w:r>
    </w:p>
    <w:p w14:paraId="041155B1">
      <w:pPr>
        <w:autoSpaceDE w:val="0"/>
        <w:autoSpaceDN w:val="0"/>
        <w:adjustRightInd w:val="0"/>
        <w:snapToGrid w:val="0"/>
        <w:spacing w:line="360" w:lineRule="auto"/>
        <w:ind w:firstLine="420"/>
        <w:outlineLvl w:val="0"/>
        <w:rPr>
          <w:rFonts w:hint="eastAsia" w:ascii="宋体" w:hAnsi="宋体" w:eastAsia="宋体" w:cs="宋体"/>
          <w:b/>
          <w:color w:val="auto"/>
          <w:sz w:val="24"/>
          <w:szCs w:val="24"/>
          <w:highlight w:val="none"/>
          <w:lang w:eastAsia="zh-CN"/>
        </w:rPr>
      </w:pPr>
      <w:bookmarkStart w:id="44" w:name="_Toc508699412"/>
      <w:r>
        <w:rPr>
          <w:rFonts w:hint="eastAsia" w:ascii="宋体" w:hAnsi="宋体" w:eastAsia="宋体" w:cs="宋体"/>
          <w:b/>
          <w:color w:val="auto"/>
          <w:sz w:val="24"/>
          <w:szCs w:val="24"/>
          <w:highlight w:val="none"/>
          <w:lang w:eastAsia="zh-CN"/>
        </w:rPr>
        <w:t>3.1 中小企业、监狱企业、残疾人福利性单位相关政策</w:t>
      </w:r>
    </w:p>
    <w:p w14:paraId="44544FAB">
      <w:pPr>
        <w:autoSpaceDE w:val="0"/>
        <w:autoSpaceDN w:val="0"/>
        <w:adjustRightInd w:val="0"/>
        <w:snapToGrid w:val="0"/>
        <w:spacing w:line="360" w:lineRule="auto"/>
        <w:ind w:firstLine="480" w:firstLineChars="200"/>
        <w:outlineLvl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政府采购促进中小企业发展，小企业（含小型、微型企业）提供的产品和服务在评标时将获得优势，参加投标（响应）的小企业，应当提供《中小企业声明函》（“中小企业划型标准”详见《关于印发中小企业划型标准规定的通知》工信部联企业〔2011〕300号及国家统计局关于印发《统计上大中小微型企业划分办法（2017）》的通知》）。</w:t>
      </w:r>
    </w:p>
    <w:p w14:paraId="302E01E6">
      <w:pPr>
        <w:autoSpaceDE w:val="0"/>
        <w:autoSpaceDN w:val="0"/>
        <w:adjustRightInd w:val="0"/>
        <w:snapToGrid w:val="0"/>
        <w:spacing w:line="360" w:lineRule="auto"/>
        <w:ind w:firstLine="420"/>
        <w:outlineLvl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对于专门面向中小企业或小型、微型企业的项目，只面向中小企业或小型、微型企业采购。对于非专门面向中小企业的货物服务采购项目，对符合规定的小微企业报价给予10%的扣除，用扣除后的价格参加评审。政府采购工程的价格评审优惠按照财库〔2020〕46号文件的规定执行（工程项目为5%）。</w:t>
      </w:r>
    </w:p>
    <w:p w14:paraId="70EBA934">
      <w:pPr>
        <w:autoSpaceDE w:val="0"/>
        <w:autoSpaceDN w:val="0"/>
        <w:adjustRightInd w:val="0"/>
        <w:snapToGrid w:val="0"/>
        <w:spacing w:line="360" w:lineRule="auto"/>
        <w:ind w:firstLine="420"/>
        <w:outlineLvl w:val="0"/>
        <w:rPr>
          <w:rFonts w:hint="eastAsia" w:ascii="宋体" w:hAnsi="宋体" w:eastAsia="宋体" w:cs="宋体"/>
          <w:b/>
          <w:bCs/>
          <w:color w:val="auto"/>
          <w:sz w:val="24"/>
          <w:szCs w:val="24"/>
          <w:highlight w:val="none"/>
          <w:lang w:eastAsia="zh-CN"/>
        </w:rPr>
      </w:pPr>
      <w:r>
        <w:rPr>
          <w:rFonts w:hint="eastAsia" w:ascii="宋体" w:hAnsi="宋体" w:eastAsia="宋体" w:cs="宋体"/>
          <w:color w:val="auto"/>
          <w:sz w:val="24"/>
          <w:szCs w:val="24"/>
          <w:highlight w:val="none"/>
          <w:lang w:eastAsia="zh-CN"/>
        </w:rPr>
        <w:t>（3）对于接受供应商以联合体形式参加采购活动的项目，小型、微型企业联合体应当符合《政府采购促进中小企业发展管理办法》的通知（财库〔2020〕46号）第四条的规定。联合协议中约定，小型、微型企业的协议合同金额占到联合体协议合同总金额30%以上的，给予联合体4%的价格扣除。联合体各方均为小型、微型企业的，联合体视同为小型、微型企业给予10%价格扣除（工程项目为5%）。组成联合体的大中型企业和其他自然人、法人或者其他组织，与小型、微型企业之间不得存在投资关系。政府采购工程的价格评审优惠按照财库〔2020〕46号文件的规定执行。</w:t>
      </w:r>
    </w:p>
    <w:p w14:paraId="2BC6A60E">
      <w:pPr>
        <w:autoSpaceDE w:val="0"/>
        <w:autoSpaceDN w:val="0"/>
        <w:adjustRightInd w:val="0"/>
        <w:snapToGrid w:val="0"/>
        <w:spacing w:line="360" w:lineRule="auto"/>
        <w:ind w:firstLine="420"/>
        <w:outlineLvl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根据《财库〔2014〕68号》监狱企业视同小型、微型企业，享受中小企业发展的政府采购政策（监狱企业参加政府采购活动时，应当提供由省级以上监狱管理局、戒毒管理局（含新疆生产建设兵团）出具的属于监狱企业的证明文件），未提供上述资料的报价，其价格不予扣除。</w:t>
      </w:r>
    </w:p>
    <w:p w14:paraId="5DD1B499">
      <w:pPr>
        <w:autoSpaceDE w:val="0"/>
        <w:autoSpaceDN w:val="0"/>
        <w:adjustRightInd w:val="0"/>
        <w:snapToGrid w:val="0"/>
        <w:spacing w:line="360" w:lineRule="auto"/>
        <w:ind w:firstLine="420"/>
        <w:outlineLvl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根据《财库〔2017〕141号》符合条件的残疾人福利性单位视同小型、微型企业，享受中小企业发展的政府采购政策。残疾人福利性单位属于小型、微型企业的，不重复享受政策。参加投标（响应）的残疾人福利性单位，应当提供 《残疾人福利性单位声明函》，未提供上述资料的报价，其价格不予扣除。</w:t>
      </w:r>
    </w:p>
    <w:p w14:paraId="362C9038">
      <w:pPr>
        <w:autoSpaceDE w:val="0"/>
        <w:autoSpaceDN w:val="0"/>
        <w:adjustRightInd w:val="0"/>
        <w:snapToGrid w:val="0"/>
        <w:spacing w:line="360" w:lineRule="auto"/>
        <w:ind w:firstLine="420"/>
        <w:outlineLvl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（6）参加政府采购活动的中小企业应当按“关于印发《政府采购促进中小企业发展管理办法》的通知[财库〔2020〕46号]” 规定提供《中小企业声明函》，未提供上述资料的报价，其价格不予扣除。</w:t>
      </w:r>
    </w:p>
    <w:p w14:paraId="2AAC28A4">
      <w:pPr>
        <w:autoSpaceDE w:val="0"/>
        <w:autoSpaceDN w:val="0"/>
        <w:adjustRightInd w:val="0"/>
        <w:snapToGrid w:val="0"/>
        <w:spacing w:line="360" w:lineRule="auto"/>
        <w:ind w:firstLine="420"/>
        <w:outlineLvl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7）中小企业依据《政府采购促进中小企业发展管理办法》的通知（财库〔2020〕46号）、《关于进一步加大政府采购支持中小企业力度的通知》（财库〔2022〕19号）规定的政策获取政府采购合同后，小微企业不得将合同分包给大中型企业，中型企业不得将合同分包给大型企业。</w:t>
      </w:r>
    </w:p>
    <w:p w14:paraId="41E83300">
      <w:pPr>
        <w:autoSpaceDE w:val="0"/>
        <w:autoSpaceDN w:val="0"/>
        <w:adjustRightInd w:val="0"/>
        <w:snapToGrid w:val="0"/>
        <w:spacing w:line="360" w:lineRule="auto"/>
        <w:ind w:firstLine="482" w:firstLineChars="200"/>
        <w:rPr>
          <w:rFonts w:hint="eastAsia" w:ascii="宋体" w:hAnsi="宋体" w:eastAsia="宋体" w:cs="宋体"/>
          <w:b/>
          <w:bCs/>
          <w:color w:val="auto"/>
          <w:sz w:val="24"/>
          <w:szCs w:val="24"/>
          <w:highlight w:val="none"/>
          <w:lang w:val="zh-CN" w:eastAsia="zh-CN"/>
        </w:rPr>
      </w:pPr>
      <w:r>
        <w:rPr>
          <w:rFonts w:hint="eastAsia" w:ascii="宋体" w:hAnsi="宋体" w:eastAsia="宋体" w:cs="宋体"/>
          <w:b/>
          <w:color w:val="auto"/>
          <w:sz w:val="24"/>
          <w:szCs w:val="24"/>
          <w:highlight w:val="none"/>
          <w:lang w:eastAsia="zh-CN"/>
        </w:rPr>
        <w:t>4、</w:t>
      </w:r>
      <w:r>
        <w:rPr>
          <w:rFonts w:hint="eastAsia" w:ascii="宋体" w:hAnsi="宋体" w:eastAsia="宋体" w:cs="宋体"/>
          <w:b/>
          <w:bCs/>
          <w:color w:val="auto"/>
          <w:sz w:val="24"/>
          <w:szCs w:val="24"/>
          <w:highlight w:val="none"/>
          <w:lang w:val="zh-CN" w:eastAsia="zh-CN"/>
        </w:rPr>
        <w:t>磋商费用</w:t>
      </w:r>
      <w:bookmarkEnd w:id="44"/>
    </w:p>
    <w:p w14:paraId="6A5A1958">
      <w:pPr>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4.1 供应商应承担所有与准备和参加磋商有关的费用，无论采购结果如何，代理人和采购人在任何情况下均无义务和责任承担这些费用。</w:t>
      </w:r>
    </w:p>
    <w:p w14:paraId="1AD69E4F">
      <w:pPr>
        <w:autoSpaceDE w:val="0"/>
        <w:autoSpaceDN w:val="0"/>
        <w:adjustRightInd w:val="0"/>
        <w:snapToGrid w:val="0"/>
        <w:spacing w:line="360" w:lineRule="auto"/>
        <w:ind w:firstLine="482" w:firstLineChars="200"/>
        <w:rPr>
          <w:rFonts w:hint="eastAsia" w:ascii="宋体" w:hAnsi="宋体" w:eastAsia="宋体" w:cs="宋体"/>
          <w:b/>
          <w:bCs/>
          <w:color w:val="auto"/>
          <w:sz w:val="24"/>
          <w:szCs w:val="24"/>
          <w:highlight w:val="none"/>
          <w:lang w:eastAsia="zh-CN"/>
        </w:rPr>
      </w:pPr>
      <w:r>
        <w:rPr>
          <w:rFonts w:hint="eastAsia" w:ascii="宋体" w:hAnsi="宋体" w:eastAsia="宋体" w:cs="宋体"/>
          <w:b/>
          <w:color w:val="auto"/>
          <w:sz w:val="24"/>
          <w:szCs w:val="24"/>
          <w:highlight w:val="none"/>
          <w:lang w:val="zh-CN" w:eastAsia="zh-CN"/>
        </w:rPr>
        <w:t>4.2本次项目代理费用由成交人承担，按《江苏省招标代理服务收费的指导意见》(苏招协【2022】002号)招标代理服务费率计算方法的基准价乘以30%计算，计算基数为成交价，并在领取成交通知书前一次性向招标代理机构支付招标服务费。</w:t>
      </w:r>
    </w:p>
    <w:p w14:paraId="0A14A9C9">
      <w:pPr>
        <w:autoSpaceDE w:val="0"/>
        <w:autoSpaceDN w:val="0"/>
        <w:adjustRightInd w:val="0"/>
        <w:snapToGrid w:val="0"/>
        <w:spacing w:line="360" w:lineRule="auto"/>
        <w:ind w:firstLine="482" w:firstLineChars="200"/>
        <w:rPr>
          <w:rFonts w:hint="eastAsia" w:ascii="宋体" w:hAnsi="宋体" w:eastAsia="宋体" w:cs="宋体"/>
          <w:b/>
          <w:color w:val="auto"/>
          <w:sz w:val="24"/>
          <w:szCs w:val="24"/>
          <w:highlight w:val="none"/>
          <w:lang w:val="zh-CN" w:eastAsia="zh-CN"/>
        </w:rPr>
      </w:pPr>
      <w:r>
        <w:rPr>
          <w:rFonts w:hint="eastAsia" w:ascii="宋体" w:hAnsi="宋体" w:eastAsia="宋体" w:cs="宋体"/>
          <w:b/>
          <w:color w:val="auto"/>
          <w:sz w:val="24"/>
          <w:szCs w:val="24"/>
          <w:highlight w:val="none"/>
          <w:lang w:val="zh-CN" w:eastAsia="zh-CN"/>
        </w:rPr>
        <w:t>二、响应文件编制</w:t>
      </w:r>
    </w:p>
    <w:p w14:paraId="31CF360E">
      <w:pPr>
        <w:autoSpaceDE w:val="0"/>
        <w:autoSpaceDN w:val="0"/>
        <w:adjustRightInd w:val="0"/>
        <w:snapToGrid w:val="0"/>
        <w:spacing w:line="360" w:lineRule="auto"/>
        <w:ind w:firstLine="482" w:firstLineChars="200"/>
        <w:rPr>
          <w:rFonts w:hint="eastAsia" w:ascii="宋体" w:hAnsi="宋体" w:eastAsia="宋体" w:cs="宋体"/>
          <w:b/>
          <w:bCs/>
          <w:color w:val="auto"/>
          <w:sz w:val="24"/>
          <w:szCs w:val="24"/>
          <w:highlight w:val="none"/>
          <w:lang w:val="zh-CN" w:eastAsia="zh-CN"/>
        </w:rPr>
      </w:pPr>
      <w:r>
        <w:rPr>
          <w:rFonts w:hint="eastAsia" w:ascii="宋体" w:hAnsi="宋体" w:eastAsia="宋体" w:cs="宋体"/>
          <w:b/>
          <w:bCs/>
          <w:color w:val="auto"/>
          <w:sz w:val="24"/>
          <w:szCs w:val="24"/>
          <w:highlight w:val="none"/>
          <w:lang w:val="zh-CN" w:eastAsia="zh-CN"/>
        </w:rPr>
        <w:t>5、</w:t>
      </w:r>
      <w:r>
        <w:rPr>
          <w:rFonts w:hint="eastAsia" w:ascii="宋体" w:hAnsi="宋体" w:eastAsia="宋体" w:cs="宋体"/>
          <w:color w:val="auto"/>
          <w:sz w:val="24"/>
          <w:szCs w:val="24"/>
          <w:highlight w:val="none"/>
          <w:lang w:val="zh-CN" w:eastAsia="zh-CN"/>
        </w:rPr>
        <w:t>供应商应当按照采购文件的要求编制响应文件，并对其提交的响应文件真实性、合法性承担法律责任。</w:t>
      </w:r>
    </w:p>
    <w:p w14:paraId="61FF3BE7">
      <w:pPr>
        <w:autoSpaceDE w:val="0"/>
        <w:autoSpaceDN w:val="0"/>
        <w:adjustRightInd w:val="0"/>
        <w:snapToGrid w:val="0"/>
        <w:spacing w:line="360" w:lineRule="auto"/>
        <w:ind w:firstLine="482" w:firstLineChars="200"/>
        <w:rPr>
          <w:rFonts w:hint="eastAsia" w:ascii="宋体" w:hAnsi="宋体" w:eastAsia="宋体" w:cs="宋体"/>
          <w:b/>
          <w:bCs/>
          <w:color w:val="auto"/>
          <w:sz w:val="24"/>
          <w:szCs w:val="24"/>
          <w:highlight w:val="none"/>
          <w:lang w:val="zh-CN" w:eastAsia="zh-CN"/>
        </w:rPr>
      </w:pPr>
      <w:r>
        <w:rPr>
          <w:rFonts w:hint="eastAsia" w:ascii="宋体" w:hAnsi="宋体" w:eastAsia="宋体" w:cs="宋体"/>
          <w:b/>
          <w:bCs/>
          <w:color w:val="auto"/>
          <w:sz w:val="24"/>
          <w:szCs w:val="24"/>
          <w:highlight w:val="none"/>
          <w:lang w:val="zh-CN" w:eastAsia="zh-CN"/>
        </w:rPr>
        <w:t>6、响应文件的语言、计量单位、货币和编制</w:t>
      </w:r>
    </w:p>
    <w:p w14:paraId="69E3591B">
      <w:pPr>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6.1 提交的响应文件、技术文件和资料，包括图纸中的说明，以及供应商与代理人就有关磋商的所有来往函电均应使用中文。响应文件中若有英文或其他语言文字的资料，应提供相应的中文翻译资料。对不同文本响应文件的解释发生异议的，以中文文本为准。</w:t>
      </w:r>
    </w:p>
    <w:p w14:paraId="39B8558D">
      <w:pPr>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6.2 供应商所使用的计量单位应为国家法定计量单位。</w:t>
      </w:r>
    </w:p>
    <w:p w14:paraId="0C0008E4">
      <w:pPr>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6.3 供应商应用人民币报价。</w:t>
      </w:r>
    </w:p>
    <w:p w14:paraId="756E2511">
      <w:pPr>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6.4 响应文件应字迹清楚、内容齐全、不得涂改。如有修改，修改处须有供应商</w:t>
      </w:r>
      <w:r>
        <w:rPr>
          <w:rFonts w:hint="eastAsia" w:ascii="宋体" w:hAnsi="宋体" w:eastAsia="宋体" w:cs="宋体"/>
          <w:color w:val="auto"/>
          <w:sz w:val="24"/>
          <w:szCs w:val="24"/>
          <w:highlight w:val="none"/>
          <w:lang w:eastAsia="zh-CN"/>
        </w:rPr>
        <w:t>电子</w:t>
      </w:r>
      <w:r>
        <w:rPr>
          <w:rFonts w:hint="eastAsia" w:ascii="宋体" w:hAnsi="宋体" w:eastAsia="宋体" w:cs="宋体"/>
          <w:color w:val="auto"/>
          <w:sz w:val="24"/>
          <w:szCs w:val="24"/>
          <w:highlight w:val="none"/>
          <w:lang w:val="zh-CN" w:eastAsia="zh-CN"/>
        </w:rPr>
        <w:t>公章或法定代表人或其授权磋商代表签字</w:t>
      </w:r>
      <w:r>
        <w:rPr>
          <w:rFonts w:hint="eastAsia" w:ascii="宋体" w:hAnsi="宋体" w:eastAsia="宋体" w:cs="宋体"/>
          <w:color w:val="auto"/>
          <w:sz w:val="24"/>
          <w:szCs w:val="24"/>
          <w:highlight w:val="none"/>
          <w:lang w:eastAsia="zh-CN"/>
        </w:rPr>
        <w:t>或签章</w:t>
      </w:r>
      <w:r>
        <w:rPr>
          <w:rFonts w:hint="eastAsia" w:ascii="宋体" w:hAnsi="宋体" w:eastAsia="宋体" w:cs="宋体"/>
          <w:color w:val="auto"/>
          <w:sz w:val="24"/>
          <w:szCs w:val="24"/>
          <w:highlight w:val="none"/>
          <w:lang w:val="zh-CN" w:eastAsia="zh-CN"/>
        </w:rPr>
        <w:t>。</w:t>
      </w:r>
    </w:p>
    <w:p w14:paraId="47863398">
      <w:pPr>
        <w:adjustRightInd w:val="0"/>
        <w:snapToGrid w:val="0"/>
        <w:spacing w:line="360" w:lineRule="auto"/>
        <w:ind w:firstLine="480" w:firstLineChars="20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6.5响应文件应逐页编码，不得跳页（包括但不限于授权、证明材料、声明及产品介绍、彩页等）。</w:t>
      </w:r>
    </w:p>
    <w:p w14:paraId="331D14CD">
      <w:pPr>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6.</w:t>
      </w:r>
      <w:r>
        <w:rPr>
          <w:rFonts w:hint="eastAsia" w:ascii="宋体" w:hAnsi="宋体" w:eastAsia="宋体" w:cs="宋体"/>
          <w:color w:val="auto"/>
          <w:sz w:val="24"/>
          <w:szCs w:val="24"/>
          <w:highlight w:val="none"/>
          <w:lang w:eastAsia="zh-CN"/>
        </w:rPr>
        <w:t>6</w:t>
      </w:r>
      <w:r>
        <w:rPr>
          <w:rFonts w:hint="eastAsia" w:ascii="宋体" w:hAnsi="宋体" w:eastAsia="宋体" w:cs="宋体"/>
          <w:color w:val="auto"/>
          <w:sz w:val="24"/>
          <w:szCs w:val="24"/>
          <w:highlight w:val="none"/>
          <w:lang w:val="zh-CN" w:eastAsia="zh-CN"/>
        </w:rPr>
        <w:t xml:space="preserve"> 供应商应在响应文件中写清相应的项目编号、项目名称、供应商名称、地址、电话、传真等。</w:t>
      </w:r>
    </w:p>
    <w:p w14:paraId="7BF16420">
      <w:pPr>
        <w:widowControl/>
        <w:numPr>
          <w:ilvl w:val="0"/>
          <w:numId w:val="1"/>
        </w:numPr>
        <w:shd w:val="clear" w:color="auto" w:fill="FFFFFF"/>
        <w:spacing w:line="360" w:lineRule="auto"/>
        <w:ind w:firstLine="420"/>
        <w:rPr>
          <w:rFonts w:hint="eastAsia" w:ascii="宋体" w:hAnsi="宋体" w:cs="宋体"/>
          <w:b/>
          <w:bCs/>
          <w:color w:val="auto"/>
          <w:szCs w:val="21"/>
          <w:highlight w:val="none"/>
          <w:lang w:eastAsia="zh-CN"/>
        </w:rPr>
      </w:pPr>
      <w:r>
        <w:rPr>
          <w:rFonts w:hint="eastAsia" w:ascii="宋体" w:hAnsi="宋体" w:cs="宋体"/>
          <w:b/>
          <w:bCs/>
          <w:color w:val="auto"/>
          <w:szCs w:val="21"/>
          <w:highlight w:val="none"/>
          <w:lang w:eastAsia="zh-CN"/>
        </w:rPr>
        <w:t>联合体投标</w:t>
      </w:r>
    </w:p>
    <w:p w14:paraId="1E3E6F85">
      <w:pPr>
        <w:widowControl/>
        <w:shd w:val="clear" w:color="auto" w:fill="FFFFFF"/>
        <w:spacing w:line="360" w:lineRule="auto"/>
        <w:ind w:firstLine="42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7.1 两个以上的自然人、法人或者其他组织可以组成一个联合体，以一个投标人的身份共同参加政府采购。</w:t>
      </w:r>
    </w:p>
    <w:p w14:paraId="3F2930F3">
      <w:pPr>
        <w:widowControl/>
        <w:shd w:val="clear" w:color="auto" w:fill="FFFFFF"/>
        <w:spacing w:line="360" w:lineRule="auto"/>
        <w:ind w:firstLine="42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7.2 联合体中有同类资质的投标人按照联合体分工承担相同工作的，按照资质等级较低的投标人确定资质等级。</w:t>
      </w:r>
    </w:p>
    <w:p w14:paraId="442A5D68">
      <w:pPr>
        <w:widowControl/>
        <w:shd w:val="clear" w:color="auto" w:fill="FFFFFF"/>
        <w:spacing w:line="360" w:lineRule="auto"/>
        <w:ind w:firstLine="42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7.3 联合体各方之间应当签订联合体协议，明确约定联合体各方承担的工作和相应的责任，并将联合体协议连同响应文件一同提交。</w:t>
      </w:r>
    </w:p>
    <w:p w14:paraId="2AD87485">
      <w:pPr>
        <w:widowControl/>
        <w:shd w:val="clear" w:color="auto" w:fill="FFFFFF"/>
        <w:spacing w:line="360" w:lineRule="auto"/>
        <w:ind w:firstLine="42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7.4 以联合体形式参加政府采购活动的，联合体各方不得再单独参加或者与其他投标人另外组成联合体参加同一合同项下的政府采购活动。</w:t>
      </w:r>
    </w:p>
    <w:p w14:paraId="56E1FD34">
      <w:pPr>
        <w:autoSpaceDE w:val="0"/>
        <w:autoSpaceDN w:val="0"/>
        <w:adjustRightInd w:val="0"/>
        <w:snapToGrid w:val="0"/>
        <w:spacing w:line="360" w:lineRule="auto"/>
        <w:ind w:firstLine="482" w:firstLineChars="200"/>
        <w:rPr>
          <w:rFonts w:hint="eastAsia" w:ascii="宋体" w:hAnsi="宋体" w:eastAsia="宋体" w:cs="宋体"/>
          <w:b/>
          <w:bCs/>
          <w:color w:val="auto"/>
          <w:sz w:val="24"/>
          <w:szCs w:val="24"/>
          <w:highlight w:val="none"/>
          <w:lang w:val="zh-CN" w:eastAsia="zh-CN"/>
        </w:rPr>
      </w:pPr>
      <w:r>
        <w:rPr>
          <w:rFonts w:hint="eastAsia" w:ascii="宋体" w:hAnsi="宋体" w:eastAsia="宋体" w:cs="宋体"/>
          <w:b/>
          <w:bCs/>
          <w:color w:val="auto"/>
          <w:sz w:val="24"/>
          <w:szCs w:val="24"/>
          <w:highlight w:val="none"/>
          <w:lang w:eastAsia="zh-CN"/>
        </w:rPr>
        <w:t>8</w:t>
      </w:r>
      <w:r>
        <w:rPr>
          <w:rFonts w:hint="eastAsia" w:ascii="宋体" w:hAnsi="宋体" w:eastAsia="宋体" w:cs="宋体"/>
          <w:b/>
          <w:bCs/>
          <w:color w:val="auto"/>
          <w:sz w:val="24"/>
          <w:szCs w:val="24"/>
          <w:highlight w:val="none"/>
          <w:lang w:val="zh-CN" w:eastAsia="zh-CN"/>
        </w:rPr>
        <w:t>、响应文件的组成</w:t>
      </w:r>
    </w:p>
    <w:p w14:paraId="09B40415">
      <w:pPr>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lang w:val="zh-CN" w:eastAsia="zh-CN"/>
        </w:rPr>
        <w:t xml:space="preserve">.1 </w:t>
      </w:r>
      <w:r>
        <w:rPr>
          <w:rFonts w:hint="eastAsia" w:ascii="宋体" w:hAnsi="宋体" w:eastAsia="宋体" w:cs="宋体"/>
          <w:color w:val="auto"/>
          <w:sz w:val="24"/>
          <w:szCs w:val="24"/>
          <w:highlight w:val="none"/>
          <w:lang w:eastAsia="zh-CN"/>
        </w:rPr>
        <w:t>供应商应当根据磋商文件要求编制响应文件，并根据自己的商务能力、技术水平对磋商文件提出的要求和条件逐条标明是否响应。</w:t>
      </w:r>
      <w:r>
        <w:rPr>
          <w:rFonts w:hint="eastAsia" w:ascii="宋体" w:hAnsi="宋体" w:eastAsia="宋体" w:cs="宋体"/>
          <w:color w:val="auto"/>
          <w:sz w:val="24"/>
          <w:szCs w:val="24"/>
          <w:highlight w:val="none"/>
          <w:lang w:val="zh-CN" w:eastAsia="zh-CN"/>
        </w:rPr>
        <w:t>响应文件由商务部分、技术部分、价格部分，以及其他部分组成。</w:t>
      </w:r>
    </w:p>
    <w:p w14:paraId="4E12D3FF">
      <w:pPr>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lang w:val="zh-CN" w:eastAsia="zh-CN"/>
        </w:rPr>
      </w:pPr>
      <w:r>
        <w:rPr>
          <w:rFonts w:hint="eastAsia" w:ascii="宋体" w:hAnsi="宋体" w:eastAsia="宋体" w:cs="宋体"/>
          <w:bCs/>
          <w:color w:val="auto"/>
          <w:sz w:val="24"/>
          <w:szCs w:val="24"/>
          <w:highlight w:val="none"/>
          <w:lang w:eastAsia="zh-CN"/>
        </w:rPr>
        <w:t>8</w:t>
      </w:r>
      <w:r>
        <w:rPr>
          <w:rFonts w:hint="eastAsia" w:ascii="宋体" w:hAnsi="宋体" w:eastAsia="宋体" w:cs="宋体"/>
          <w:bCs/>
          <w:color w:val="auto"/>
          <w:sz w:val="24"/>
          <w:szCs w:val="24"/>
          <w:highlight w:val="none"/>
          <w:lang w:val="zh-CN" w:eastAsia="zh-CN"/>
        </w:rPr>
        <w:t xml:space="preserve">.2 </w:t>
      </w:r>
      <w:r>
        <w:rPr>
          <w:rFonts w:hint="eastAsia" w:ascii="宋体" w:hAnsi="宋体" w:eastAsia="宋体" w:cs="宋体"/>
          <w:b/>
          <w:bCs/>
          <w:color w:val="auto"/>
          <w:sz w:val="24"/>
          <w:szCs w:val="24"/>
          <w:highlight w:val="none"/>
          <w:lang w:val="zh-CN" w:eastAsia="zh-CN"/>
        </w:rPr>
        <w:t>响应文件的商务部分。</w:t>
      </w:r>
      <w:r>
        <w:rPr>
          <w:rFonts w:hint="eastAsia" w:ascii="宋体" w:hAnsi="宋体" w:eastAsia="宋体" w:cs="宋体"/>
          <w:color w:val="auto"/>
          <w:sz w:val="24"/>
          <w:szCs w:val="24"/>
          <w:highlight w:val="none"/>
          <w:lang w:val="zh-CN" w:eastAsia="zh-CN"/>
        </w:rPr>
        <w:t>商务部分是证明供应商有资格参加磋商和成交后有能力履行合同的文件，</w:t>
      </w:r>
      <w:r>
        <w:rPr>
          <w:rFonts w:hint="eastAsia" w:ascii="宋体" w:hAnsi="宋体" w:eastAsia="宋体" w:cs="宋体"/>
          <w:color w:val="auto"/>
          <w:sz w:val="24"/>
          <w:szCs w:val="24"/>
          <w:highlight w:val="none"/>
          <w:lang w:eastAsia="zh-CN"/>
        </w:rPr>
        <w:t>这些文件应能满足竞争性磋商采购文件的要求</w:t>
      </w:r>
      <w:r>
        <w:rPr>
          <w:rFonts w:hint="eastAsia" w:ascii="宋体" w:hAnsi="宋体" w:eastAsia="宋体" w:cs="宋体"/>
          <w:color w:val="auto"/>
          <w:sz w:val="24"/>
          <w:szCs w:val="24"/>
          <w:highlight w:val="none"/>
          <w:lang w:val="zh-CN" w:eastAsia="zh-CN"/>
        </w:rPr>
        <w:t>，包括但不限于下列文件，其中加“★”项目不得有缺失或无效：</w:t>
      </w:r>
    </w:p>
    <w:p w14:paraId="3F01C7FE">
      <w:pPr>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（1）★磋商申请及声明；</w:t>
      </w:r>
    </w:p>
    <w:p w14:paraId="75F33236">
      <w:pPr>
        <w:widowControl/>
        <w:adjustRightInd w:val="0"/>
        <w:snapToGrid w:val="0"/>
        <w:spacing w:line="360" w:lineRule="auto"/>
        <w:ind w:firstLine="480" w:firstLineChars="20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 xml:space="preserve">（2）★法定代表人授权委托书及委托代理人的身份证复印件扫描件； </w:t>
      </w:r>
    </w:p>
    <w:p w14:paraId="79A7D363">
      <w:pPr>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（3）★</w:t>
      </w:r>
      <w:r>
        <w:rPr>
          <w:rFonts w:hint="eastAsia" w:ascii="宋体" w:hAnsi="宋体" w:eastAsia="宋体" w:cs="宋体"/>
          <w:color w:val="auto"/>
          <w:sz w:val="24"/>
          <w:szCs w:val="24"/>
          <w:highlight w:val="none"/>
          <w:lang w:eastAsia="zh-CN"/>
        </w:rPr>
        <w:t>第一章磋商邀请中</w:t>
      </w:r>
      <w:r>
        <w:rPr>
          <w:rFonts w:hint="eastAsia" w:ascii="宋体" w:hAnsi="宋体" w:eastAsia="宋体" w:cs="宋体"/>
          <w:color w:val="auto"/>
          <w:sz w:val="24"/>
          <w:szCs w:val="24"/>
          <w:highlight w:val="none"/>
          <w:lang w:val="zh-CN" w:eastAsia="zh-CN"/>
        </w:rPr>
        <w:t>《中华人民共和国政府采购法》规定的资格条件证明文件；</w:t>
      </w:r>
    </w:p>
    <w:p w14:paraId="4147F95A">
      <w:pPr>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（4）★</w:t>
      </w:r>
      <w:r>
        <w:rPr>
          <w:rFonts w:hint="eastAsia" w:ascii="宋体" w:hAnsi="宋体" w:eastAsia="宋体" w:cs="宋体"/>
          <w:color w:val="auto"/>
          <w:sz w:val="24"/>
          <w:szCs w:val="24"/>
          <w:highlight w:val="none"/>
          <w:lang w:eastAsia="zh-CN"/>
        </w:rPr>
        <w:t>第一章磋商邀请中采购人根据采购项目的特殊要求规定的特定条件证明文件；</w:t>
      </w:r>
    </w:p>
    <w:p w14:paraId="3B106498">
      <w:pPr>
        <w:widowControl/>
        <w:adjustRightInd w:val="0"/>
        <w:snapToGrid w:val="0"/>
        <w:spacing w:line="360" w:lineRule="auto"/>
        <w:ind w:firstLine="480" w:firstLineChars="20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（5）★《商务条款偏离表》；</w:t>
      </w:r>
    </w:p>
    <w:p w14:paraId="207087DB">
      <w:pPr>
        <w:adjustRightInd w:val="0"/>
        <w:snapToGri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（6）供应商认为需要</w:t>
      </w:r>
      <w:r>
        <w:rPr>
          <w:rFonts w:hint="eastAsia" w:ascii="宋体" w:hAnsi="宋体" w:eastAsia="宋体" w:cs="宋体"/>
          <w:color w:val="auto"/>
          <w:sz w:val="24"/>
          <w:szCs w:val="24"/>
          <w:highlight w:val="none"/>
          <w:lang w:val="zh-CN" w:eastAsia="zh-CN"/>
        </w:rPr>
        <w:t>提供的其他资格证明文件和商务资料。</w:t>
      </w:r>
    </w:p>
    <w:p w14:paraId="4C5F43C6">
      <w:pPr>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lang w:val="zh-CN" w:eastAsia="zh-CN"/>
        </w:rPr>
      </w:pPr>
      <w:r>
        <w:rPr>
          <w:rFonts w:hint="eastAsia" w:ascii="宋体" w:hAnsi="宋体" w:eastAsia="宋体" w:cs="宋体"/>
          <w:bCs/>
          <w:color w:val="auto"/>
          <w:sz w:val="24"/>
          <w:szCs w:val="24"/>
          <w:highlight w:val="none"/>
          <w:lang w:eastAsia="zh-CN"/>
        </w:rPr>
        <w:t>8</w:t>
      </w:r>
      <w:r>
        <w:rPr>
          <w:rFonts w:hint="eastAsia" w:ascii="宋体" w:hAnsi="宋体" w:eastAsia="宋体" w:cs="宋体"/>
          <w:bCs/>
          <w:color w:val="auto"/>
          <w:sz w:val="24"/>
          <w:szCs w:val="24"/>
          <w:highlight w:val="none"/>
          <w:lang w:val="zh-CN" w:eastAsia="zh-CN"/>
        </w:rPr>
        <w:t xml:space="preserve">.3 </w:t>
      </w:r>
      <w:r>
        <w:rPr>
          <w:rFonts w:hint="eastAsia" w:ascii="宋体" w:hAnsi="宋体" w:eastAsia="宋体" w:cs="宋体"/>
          <w:b/>
          <w:bCs/>
          <w:color w:val="auto"/>
          <w:sz w:val="24"/>
          <w:szCs w:val="24"/>
          <w:highlight w:val="none"/>
          <w:lang w:val="zh-CN" w:eastAsia="zh-CN"/>
        </w:rPr>
        <w:t>响应文件的技术部分。</w:t>
      </w:r>
      <w:r>
        <w:rPr>
          <w:rFonts w:hint="eastAsia" w:ascii="宋体" w:hAnsi="宋体" w:eastAsia="宋体" w:cs="宋体"/>
          <w:color w:val="auto"/>
          <w:sz w:val="24"/>
          <w:szCs w:val="24"/>
          <w:highlight w:val="none"/>
          <w:lang w:val="zh-CN" w:eastAsia="zh-CN"/>
        </w:rPr>
        <w:t>技术部分是证明</w:t>
      </w:r>
      <w:r>
        <w:rPr>
          <w:rFonts w:hint="eastAsia" w:ascii="宋体" w:hAnsi="宋体" w:eastAsia="宋体" w:cs="宋体"/>
          <w:color w:val="auto"/>
          <w:sz w:val="24"/>
          <w:szCs w:val="24"/>
          <w:highlight w:val="none"/>
          <w:lang w:eastAsia="zh-CN"/>
        </w:rPr>
        <w:t>供应商提供的工程是合格的，并符合磋商文件要求的证明文件，以及</w:t>
      </w:r>
      <w:r>
        <w:rPr>
          <w:rFonts w:hint="eastAsia" w:ascii="宋体" w:hAnsi="宋体" w:eastAsia="宋体" w:cs="宋体"/>
          <w:color w:val="auto"/>
          <w:sz w:val="24"/>
          <w:szCs w:val="24"/>
          <w:highlight w:val="none"/>
          <w:lang w:val="zh-CN" w:eastAsia="zh-CN"/>
        </w:rPr>
        <w:t>对</w:t>
      </w:r>
      <w:r>
        <w:rPr>
          <w:rFonts w:hint="eastAsia" w:ascii="宋体" w:hAnsi="宋体" w:eastAsia="宋体" w:cs="宋体"/>
          <w:color w:val="auto"/>
          <w:sz w:val="24"/>
          <w:szCs w:val="24"/>
          <w:highlight w:val="none"/>
          <w:lang w:eastAsia="zh-CN"/>
        </w:rPr>
        <w:t>工程</w:t>
      </w:r>
      <w:r>
        <w:rPr>
          <w:rFonts w:hint="eastAsia" w:ascii="宋体" w:hAnsi="宋体" w:eastAsia="宋体" w:cs="宋体"/>
          <w:color w:val="auto"/>
          <w:sz w:val="24"/>
          <w:szCs w:val="24"/>
          <w:highlight w:val="none"/>
          <w:lang w:val="zh-CN" w:eastAsia="zh-CN"/>
        </w:rPr>
        <w:t>的详细说明，这些文件可以是文字资料、图纸和数据等。提供的</w:t>
      </w:r>
      <w:r>
        <w:rPr>
          <w:rFonts w:hint="eastAsia" w:ascii="宋体" w:hAnsi="宋体" w:eastAsia="宋体" w:cs="宋体"/>
          <w:color w:val="auto"/>
          <w:sz w:val="24"/>
          <w:szCs w:val="24"/>
          <w:highlight w:val="none"/>
          <w:lang w:eastAsia="zh-CN"/>
        </w:rPr>
        <w:t>工程</w:t>
      </w:r>
      <w:r>
        <w:rPr>
          <w:rFonts w:hint="eastAsia" w:ascii="宋体" w:hAnsi="宋体" w:eastAsia="宋体" w:cs="宋体"/>
          <w:color w:val="auto"/>
          <w:sz w:val="24"/>
          <w:szCs w:val="24"/>
          <w:highlight w:val="none"/>
          <w:lang w:val="zh-CN" w:eastAsia="zh-CN"/>
        </w:rPr>
        <w:t>如与磋商文件要求有不符之处，应说明其差别之所在。包括但不限于下列文件，其中加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zh-CN" w:eastAsia="zh-CN"/>
        </w:rPr>
        <w:t>项目不得有缺失或无效：</w:t>
      </w:r>
    </w:p>
    <w:p w14:paraId="0D52240A">
      <w:pPr>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（1）★《技术条款偏离表》；</w:t>
      </w:r>
    </w:p>
    <w:p w14:paraId="654214B3">
      <w:pPr>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lang w:val="zh-CN" w:eastAsia="zh-CN"/>
        </w:rPr>
        <w:t>）实施方案；</w:t>
      </w:r>
    </w:p>
    <w:p w14:paraId="7EC07C30">
      <w:pPr>
        <w:widowControl/>
        <w:adjustRightInd w:val="0"/>
        <w:snapToGrid w:val="0"/>
        <w:spacing w:line="360" w:lineRule="auto"/>
        <w:ind w:firstLine="480" w:firstLineChars="20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eastAsia="zh-CN"/>
        </w:rPr>
        <w:t>（3）供应商认为需要</w:t>
      </w:r>
      <w:r>
        <w:rPr>
          <w:rFonts w:hint="eastAsia" w:ascii="宋体" w:hAnsi="宋体" w:eastAsia="宋体" w:cs="宋体"/>
          <w:color w:val="auto"/>
          <w:sz w:val="24"/>
          <w:szCs w:val="24"/>
          <w:highlight w:val="none"/>
          <w:lang w:val="zh-CN" w:eastAsia="zh-CN"/>
        </w:rPr>
        <w:t>提供的其他技术资料。</w:t>
      </w:r>
    </w:p>
    <w:p w14:paraId="79FCF495">
      <w:pPr>
        <w:autoSpaceDE w:val="0"/>
        <w:autoSpaceDN w:val="0"/>
        <w:adjustRightInd w:val="0"/>
        <w:snapToGrid w:val="0"/>
        <w:spacing w:line="360" w:lineRule="auto"/>
        <w:ind w:firstLine="480" w:firstLineChars="200"/>
        <w:rPr>
          <w:rFonts w:hint="eastAsia" w:ascii="宋体" w:hAnsi="宋体" w:eastAsia="宋体" w:cs="宋体"/>
          <w:b/>
          <w:color w:val="auto"/>
          <w:sz w:val="24"/>
          <w:szCs w:val="24"/>
          <w:highlight w:val="none"/>
          <w:lang w:val="zh-CN" w:eastAsia="zh-CN"/>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lang w:val="zh-CN" w:eastAsia="zh-CN"/>
        </w:rPr>
        <w:t xml:space="preserve">.4 </w:t>
      </w:r>
      <w:r>
        <w:rPr>
          <w:rFonts w:hint="eastAsia" w:ascii="宋体" w:hAnsi="宋体" w:eastAsia="宋体" w:cs="宋体"/>
          <w:b/>
          <w:color w:val="auto"/>
          <w:sz w:val="24"/>
          <w:szCs w:val="24"/>
          <w:highlight w:val="none"/>
          <w:lang w:val="zh-CN" w:eastAsia="zh-CN"/>
        </w:rPr>
        <w:t>响应文件的价格部分</w:t>
      </w:r>
    </w:p>
    <w:p w14:paraId="248B414A">
      <w:pPr>
        <w:autoSpaceDE w:val="0"/>
        <w:autoSpaceDN w:val="0"/>
        <w:adjustRightInd w:val="0"/>
        <w:snapToGrid w:val="0"/>
        <w:spacing w:line="360" w:lineRule="auto"/>
        <w:ind w:firstLine="480" w:firstLineChars="200"/>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1）磋商报价应根据供应商实际情况自主进行，并最大限度地满足竞争性磋商文件的要求，但不得低于成本。应充分考虑政策性调整、建材市场风险和施工过程中可能发生的费用进行报价，包括相关政策规定的由采购人办理的手续，请供应商代为办理，所有有关取样检测费用及其他费用请列入报价。若未单独列出，将视为已列入其他子项中，成交后综合单价将不再调整。</w:t>
      </w:r>
    </w:p>
    <w:p w14:paraId="4DB74FBF">
      <w:pPr>
        <w:autoSpaceDE w:val="0"/>
        <w:autoSpaceDN w:val="0"/>
        <w:adjustRightInd w:val="0"/>
        <w:snapToGrid w:val="0"/>
        <w:spacing w:line="360" w:lineRule="auto"/>
        <w:ind w:firstLine="480" w:firstLineChars="200"/>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（2）供应商必须按照竞争性磋商文件规定的报价编制要求，工程量清单格式及要求进行报价，除了工程量清单报价，采购人不再接受其他任何形式的报价以及说明（如降价函、报价修正函、优惠报价说明等）。</w:t>
      </w:r>
    </w:p>
    <w:p w14:paraId="6FAC84B1">
      <w:pPr>
        <w:autoSpaceDE w:val="0"/>
        <w:autoSpaceDN w:val="0"/>
        <w:adjustRightInd w:val="0"/>
        <w:snapToGrid w:val="0"/>
        <w:spacing w:line="360" w:lineRule="auto"/>
        <w:ind w:firstLine="480" w:firstLineChars="200"/>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3）磋商报价以工程量清单和图纸为准，供应商所报的综合单价应包括工程量清单子项中所需的显在的和隐含的一切费用，包括清单中没有反映但施工过程中所需的工作的内容。供应商的磋商报价一经报出，即被认为是包括了本项目下的所有施工内容的全部费用。如果报出的清单中没有列项，且施工中又必须发生的项目，业主有权认为，其已经综合在分部分项工程量清单的综合单价中，竣工结算时不予调整。</w:t>
      </w:r>
    </w:p>
    <w:p w14:paraId="71B453E9">
      <w:pPr>
        <w:autoSpaceDE w:val="0"/>
        <w:autoSpaceDN w:val="0"/>
        <w:adjustRightInd w:val="0"/>
        <w:snapToGrid w:val="0"/>
        <w:spacing w:line="360" w:lineRule="auto"/>
        <w:ind w:firstLine="480" w:firstLineChars="200"/>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（4）供应商除按竞争性磋商文件所列的措施项目报价外，供应商可自愿至现场踏勘以充分了解工地位置、环境、道路、装卸限制等任何足以影响报价的情况及施工组织设计进行措施项目的报价。</w:t>
      </w:r>
    </w:p>
    <w:p w14:paraId="74988F59">
      <w:pPr>
        <w:autoSpaceDE w:val="0"/>
        <w:autoSpaceDN w:val="0"/>
        <w:adjustRightInd w:val="0"/>
        <w:snapToGrid w:val="0"/>
        <w:spacing w:line="360" w:lineRule="auto"/>
        <w:ind w:firstLine="480" w:firstLineChars="200"/>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（5）对于工程量清单中“项目特征”，只是采购人对该部分分部分项工程特征的概述，而非是工程特征的全部描述，计价时必须按施工图纸及相关的国家规范的要求。</w:t>
      </w:r>
    </w:p>
    <w:p w14:paraId="46335797">
      <w:pPr>
        <w:autoSpaceDE w:val="0"/>
        <w:autoSpaceDN w:val="0"/>
        <w:adjustRightInd w:val="0"/>
        <w:snapToGrid w:val="0"/>
        <w:spacing w:line="360" w:lineRule="auto"/>
        <w:ind w:firstLine="480" w:firstLineChars="200"/>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（6）本工程设备和材料由供应商自购部分，其规格、技术指标、质量等级详见施工图及工程量清单，同时必须满足相应技术规范或技术标准的要求。</w:t>
      </w:r>
    </w:p>
    <w:p w14:paraId="421BEAE8">
      <w:pPr>
        <w:autoSpaceDE w:val="0"/>
        <w:autoSpaceDN w:val="0"/>
        <w:adjustRightInd w:val="0"/>
        <w:snapToGrid w:val="0"/>
        <w:spacing w:line="360" w:lineRule="auto"/>
        <w:ind w:firstLine="480" w:firstLineChars="200"/>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7）所有材料磋商报价时均应包括但不限于采保费、安装费、卸力费、二次搬运、国家有关管理部门要求的对工程的所有材料检测费以及夜间施工办证费、排污费、道路占用费、噪音费、安全施工费、交通安全防护费等均包含在磋商报价内，采购人不另行支付，供应商在磋商报价时自行考虑，结算时不调整。</w:t>
      </w:r>
    </w:p>
    <w:p w14:paraId="59B62F53">
      <w:pPr>
        <w:autoSpaceDE w:val="0"/>
        <w:autoSpaceDN w:val="0"/>
        <w:adjustRightInd w:val="0"/>
        <w:snapToGrid w:val="0"/>
        <w:spacing w:line="360" w:lineRule="auto"/>
        <w:ind w:firstLine="480" w:firstLineChars="200"/>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8）工程量清单报价应包括完成竞争性磋商文件、施工图纸及技术规范规定全部内容的工程量清单项目所需的全部费用，其内含：1分部分项工程费、措施费、其他项目费和规费、税金；2完成每分部分项工程所含全部工程内容的费用（包含现存的和隐含的工作内容）；3完成每项工程内容所需的全部费用；4工程量清单项目中没有体现的施工图纸所含的工程内容，施工中又必须发生的工程内容所需的费用；5考虑风险因素而调整的费用；6因采购人在竞争性磋商文件中的要求而发生的费用。</w:t>
      </w:r>
    </w:p>
    <w:p w14:paraId="017D3890">
      <w:pPr>
        <w:autoSpaceDE w:val="0"/>
        <w:autoSpaceDN w:val="0"/>
        <w:adjustRightInd w:val="0"/>
        <w:snapToGrid w:val="0"/>
        <w:spacing w:line="360" w:lineRule="auto"/>
        <w:ind w:firstLine="480" w:firstLineChars="200"/>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（9）供应商应对清单中的每一个项目进行报价（包括综合单价及合价），对采购人所列专业分包项目应含服务费、配合费等，如漏报或少报项目，则视为已包含在其他项目的综合单价或合价中，结算时不调整。</w:t>
      </w:r>
    </w:p>
    <w:p w14:paraId="33B3DADC">
      <w:pPr>
        <w:autoSpaceDE w:val="0"/>
        <w:autoSpaceDN w:val="0"/>
        <w:adjustRightInd w:val="0"/>
        <w:snapToGrid w:val="0"/>
        <w:spacing w:line="360" w:lineRule="auto"/>
        <w:ind w:firstLine="480" w:firstLineChars="200"/>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（10）本项目工程量清单中所列措施项目为一般性项目，供应商须根据本工程的实际要求进行增补，并计算其费用，但不得低于成本，且本项目的所有措施项目费用结算时不调整。</w:t>
      </w:r>
    </w:p>
    <w:p w14:paraId="152DE1BF">
      <w:pPr>
        <w:autoSpaceDE w:val="0"/>
        <w:autoSpaceDN w:val="0"/>
        <w:adjustRightInd w:val="0"/>
        <w:snapToGrid w:val="0"/>
        <w:spacing w:line="360" w:lineRule="auto"/>
        <w:ind w:firstLine="480" w:firstLineChars="200"/>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（11）成交单位必须在约定工期内完成所有施工，并清理完毕撤出场地。</w:t>
      </w:r>
    </w:p>
    <w:p w14:paraId="3496DF45">
      <w:pPr>
        <w:autoSpaceDE w:val="0"/>
        <w:autoSpaceDN w:val="0"/>
        <w:adjustRightInd w:val="0"/>
        <w:snapToGrid w:val="0"/>
        <w:spacing w:line="360" w:lineRule="auto"/>
        <w:ind w:firstLine="480" w:firstLineChars="200"/>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（12）暂定材料的名称、规格型号及单价详见“工程量清单总说明”（如有）。</w:t>
      </w:r>
    </w:p>
    <w:p w14:paraId="3CF37EB4">
      <w:pPr>
        <w:autoSpaceDE w:val="0"/>
        <w:autoSpaceDN w:val="0"/>
        <w:adjustRightInd w:val="0"/>
        <w:snapToGrid w:val="0"/>
        <w:spacing w:line="360" w:lineRule="auto"/>
        <w:ind w:firstLine="480" w:firstLineChars="200"/>
        <w:rPr>
          <w:rFonts w:hint="eastAsia" w:ascii="宋体" w:hAnsi="宋体" w:eastAsia="宋体"/>
          <w:b/>
          <w:bCs/>
          <w:color w:val="auto"/>
          <w:sz w:val="24"/>
          <w:szCs w:val="24"/>
          <w:highlight w:val="none"/>
          <w:lang w:val="zh-CN" w:eastAsia="zh-CN"/>
        </w:rPr>
      </w:pPr>
      <w:r>
        <w:rPr>
          <w:rFonts w:hint="eastAsia" w:ascii="宋体" w:hAnsi="宋体" w:eastAsia="宋体"/>
          <w:color w:val="auto"/>
          <w:sz w:val="24"/>
          <w:szCs w:val="24"/>
          <w:highlight w:val="none"/>
          <w:lang w:val="zh-CN" w:eastAsia="zh-CN"/>
        </w:rPr>
        <w:t>（</w:t>
      </w:r>
      <w:r>
        <w:rPr>
          <w:rFonts w:hint="eastAsia" w:ascii="宋体" w:hAnsi="宋体" w:eastAsia="宋体"/>
          <w:color w:val="auto"/>
          <w:sz w:val="24"/>
          <w:szCs w:val="24"/>
          <w:highlight w:val="none"/>
          <w:lang w:eastAsia="zh-CN"/>
        </w:rPr>
        <w:t>13</w:t>
      </w:r>
      <w:r>
        <w:rPr>
          <w:rFonts w:hint="eastAsia" w:ascii="宋体" w:hAnsi="宋体" w:eastAsia="宋体"/>
          <w:color w:val="auto"/>
          <w:sz w:val="24"/>
          <w:szCs w:val="24"/>
          <w:highlight w:val="none"/>
          <w:lang w:val="zh-CN" w:eastAsia="zh-CN"/>
        </w:rPr>
        <w:t>）</w:t>
      </w:r>
      <w:r>
        <w:rPr>
          <w:rFonts w:ascii="宋体" w:hAnsi="宋体" w:eastAsia="宋体"/>
          <w:b/>
          <w:bCs/>
          <w:color w:val="auto"/>
          <w:sz w:val="24"/>
          <w:szCs w:val="24"/>
          <w:highlight w:val="none"/>
          <w:lang w:val="zh-CN" w:eastAsia="zh-CN"/>
        </w:rPr>
        <w:t>经磋商后，二次报价为最终报价，二次报价原则上不高于首次报价，如果成交价低于供应商在响应文件首次报价的，分项报价（除暂列金额、材料暂估价、专业工程暂估价以外</w:t>
      </w:r>
      <w:r>
        <w:rPr>
          <w:rFonts w:hint="eastAsia" w:ascii="宋体" w:hAnsi="宋体" w:eastAsia="宋体"/>
          <w:b/>
          <w:bCs/>
          <w:color w:val="auto"/>
          <w:sz w:val="24"/>
          <w:szCs w:val="24"/>
          <w:highlight w:val="none"/>
          <w:lang w:val="zh-CN" w:eastAsia="zh-CN"/>
        </w:rPr>
        <w:t>的所有费用）同比例调整。</w:t>
      </w:r>
    </w:p>
    <w:p w14:paraId="26BD61DA">
      <w:pPr>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lang w:val="zh-CN" w:eastAsia="zh-CN"/>
        </w:rPr>
        <w:t xml:space="preserve">.5 </w:t>
      </w:r>
      <w:r>
        <w:rPr>
          <w:rFonts w:hint="eastAsia" w:ascii="宋体" w:hAnsi="宋体" w:eastAsia="宋体" w:cs="宋体"/>
          <w:b/>
          <w:color w:val="auto"/>
          <w:sz w:val="24"/>
          <w:szCs w:val="24"/>
          <w:highlight w:val="none"/>
          <w:lang w:val="zh-CN" w:eastAsia="zh-CN"/>
        </w:rPr>
        <w:t>响应文件的其他部分。</w:t>
      </w:r>
      <w:r>
        <w:rPr>
          <w:rFonts w:hint="eastAsia" w:ascii="宋体" w:hAnsi="宋体" w:eastAsia="宋体" w:cs="宋体"/>
          <w:color w:val="auto"/>
          <w:sz w:val="24"/>
          <w:szCs w:val="24"/>
          <w:highlight w:val="none"/>
          <w:lang w:val="zh-CN" w:eastAsia="zh-CN"/>
        </w:rPr>
        <w:t>其他部分由供应商根据编制响应文件需要提供的其他相关文件。</w:t>
      </w:r>
    </w:p>
    <w:p w14:paraId="5246A7FB">
      <w:pPr>
        <w:autoSpaceDE w:val="0"/>
        <w:autoSpaceDN w:val="0"/>
        <w:adjustRightInd w:val="0"/>
        <w:snapToGrid w:val="0"/>
        <w:spacing w:line="360" w:lineRule="auto"/>
        <w:ind w:firstLine="482" w:firstLineChars="200"/>
        <w:rPr>
          <w:rFonts w:hint="eastAsia" w:ascii="宋体" w:hAnsi="宋体" w:eastAsia="宋体" w:cs="宋体"/>
          <w:b/>
          <w:bCs/>
          <w:color w:val="auto"/>
          <w:sz w:val="24"/>
          <w:szCs w:val="24"/>
          <w:highlight w:val="none"/>
          <w:lang w:val="zh-CN" w:eastAsia="zh-CN"/>
        </w:rPr>
      </w:pPr>
      <w:bookmarkStart w:id="45" w:name="_Toc508699413"/>
      <w:r>
        <w:rPr>
          <w:rFonts w:hint="eastAsia" w:ascii="宋体" w:hAnsi="宋体" w:eastAsia="宋体" w:cs="宋体"/>
          <w:b/>
          <w:bCs/>
          <w:color w:val="auto"/>
          <w:sz w:val="24"/>
          <w:szCs w:val="24"/>
          <w:highlight w:val="none"/>
          <w:lang w:val="zh-CN" w:eastAsia="zh-CN"/>
        </w:rPr>
        <w:t>三、响应文件</w:t>
      </w:r>
      <w:bookmarkEnd w:id="45"/>
      <w:r>
        <w:rPr>
          <w:rFonts w:hint="eastAsia" w:ascii="宋体" w:hAnsi="宋体" w:eastAsia="宋体" w:cs="宋体"/>
          <w:b/>
          <w:bCs/>
          <w:color w:val="auto"/>
          <w:sz w:val="24"/>
          <w:szCs w:val="24"/>
          <w:highlight w:val="none"/>
          <w:lang w:val="zh-CN" w:eastAsia="zh-CN"/>
        </w:rPr>
        <w:t>递交</w:t>
      </w:r>
    </w:p>
    <w:p w14:paraId="6B31A9F9">
      <w:pPr>
        <w:autoSpaceDE w:val="0"/>
        <w:autoSpaceDN w:val="0"/>
        <w:adjustRightInd w:val="0"/>
        <w:snapToGrid w:val="0"/>
        <w:spacing w:line="360" w:lineRule="auto"/>
        <w:ind w:firstLine="482" w:firstLineChars="200"/>
        <w:rPr>
          <w:rFonts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9</w:t>
      </w:r>
      <w:r>
        <w:rPr>
          <w:rFonts w:hint="eastAsia" w:ascii="宋体" w:hAnsi="宋体" w:eastAsia="宋体" w:cs="宋体"/>
          <w:b/>
          <w:bCs/>
          <w:color w:val="auto"/>
          <w:sz w:val="24"/>
          <w:szCs w:val="24"/>
          <w:highlight w:val="none"/>
          <w:lang w:val="zh-CN" w:eastAsia="zh-CN"/>
        </w:rPr>
        <w:t>、响应文件递交</w:t>
      </w:r>
    </w:p>
    <w:p w14:paraId="1EF68F9A">
      <w:pPr>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eastAsia="zh-CN"/>
        </w:rPr>
        <w:t>9</w:t>
      </w:r>
      <w:r>
        <w:rPr>
          <w:rFonts w:hint="eastAsia" w:ascii="宋体" w:hAnsi="宋体" w:eastAsia="宋体" w:cs="宋体"/>
          <w:color w:val="auto"/>
          <w:sz w:val="24"/>
          <w:szCs w:val="24"/>
          <w:highlight w:val="none"/>
          <w:lang w:val="zh-CN" w:eastAsia="zh-CN"/>
        </w:rPr>
        <w:t>.1 供应商应当按照《操作手册》的规定递交电子响应文件，在磋商响应截止时间前制作并上传电子响应文件。招标代理机构拒绝接收提交响应文件截止时间后上传的任何电子响应文件。</w:t>
      </w:r>
    </w:p>
    <w:p w14:paraId="76A8C25B">
      <w:pPr>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9.</w:t>
      </w:r>
      <w:r>
        <w:rPr>
          <w:rFonts w:hint="eastAsia" w:ascii="宋体" w:hAnsi="宋体" w:eastAsia="宋体" w:cs="宋体"/>
          <w:color w:val="auto"/>
          <w:sz w:val="24"/>
          <w:szCs w:val="24"/>
          <w:highlight w:val="none"/>
          <w:lang w:eastAsia="zh-CN"/>
        </w:rPr>
        <w:t xml:space="preserve">2 </w:t>
      </w:r>
      <w:r>
        <w:rPr>
          <w:rFonts w:hint="eastAsia" w:ascii="宋体" w:hAnsi="宋体" w:eastAsia="宋体" w:cs="宋体"/>
          <w:color w:val="auto"/>
          <w:sz w:val="24"/>
          <w:szCs w:val="24"/>
          <w:highlight w:val="none"/>
          <w:lang w:val="zh-CN" w:eastAsia="zh-CN"/>
        </w:rPr>
        <w:t>供应商应充分考虑到网络环境、网络带宽等风险因素，如因供应商自身原因造成电子响应文件未在“苏采云”系统规定的时间内成功解密的，按照本磋商文件规定做无效响应处理。</w:t>
      </w:r>
    </w:p>
    <w:p w14:paraId="54ECB4D4">
      <w:pPr>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10、响应文件的撤回和修改</w:t>
      </w:r>
    </w:p>
    <w:p w14:paraId="0F262D22">
      <w:pPr>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10.1 响应文件的撤回</w:t>
      </w:r>
    </w:p>
    <w:p w14:paraId="359F1CC6">
      <w:pPr>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（1）供应商可在提交响应文件截止时间前撤回其电子响应文件，具体操作方法见《操作手册》。</w:t>
      </w:r>
    </w:p>
    <w:p w14:paraId="2D88B0BE">
      <w:pPr>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（2）供应商撤回电子响应文件，则认为其不再参与本项目磋商活动。</w:t>
      </w:r>
    </w:p>
    <w:p w14:paraId="12D0859A">
      <w:pPr>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10.2 响应文件的修改</w:t>
      </w:r>
    </w:p>
    <w:p w14:paraId="37808E2A">
      <w:pPr>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（1）供应商可在提交响应文件截止时间前对其电子响应文件进行修改，具体操作方法见《操作手册》。</w:t>
      </w:r>
    </w:p>
    <w:p w14:paraId="7DBA19F3">
      <w:pPr>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（2）提交响应文件截止时间之后，供应商不得对其电子响应文件作任何修改。</w:t>
      </w:r>
    </w:p>
    <w:p w14:paraId="3F5D9219">
      <w:pPr>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10.3 在提交响应文件截止时间至磋商文件中规定的磋商有效期满之间的这段时间内，供应商不得撤回其响应文件。</w:t>
      </w:r>
    </w:p>
    <w:p w14:paraId="77694392">
      <w:pPr>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10.4 如标书制作工具中格式和内容与“江苏政府采购网”发布的磋商文件不一致，以上述网站发布的磋商文件为准。</w:t>
      </w:r>
    </w:p>
    <w:p w14:paraId="6A014426">
      <w:pPr>
        <w:autoSpaceDE w:val="0"/>
        <w:autoSpaceDN w:val="0"/>
        <w:adjustRightInd w:val="0"/>
        <w:snapToGrid w:val="0"/>
        <w:spacing w:line="360" w:lineRule="auto"/>
        <w:ind w:firstLine="482" w:firstLineChars="200"/>
        <w:rPr>
          <w:rFonts w:hint="eastAsia" w:ascii="宋体" w:hAnsi="宋体" w:eastAsia="宋体" w:cs="宋体"/>
          <w:b/>
          <w:bCs/>
          <w:color w:val="auto"/>
          <w:sz w:val="24"/>
          <w:szCs w:val="24"/>
          <w:highlight w:val="none"/>
          <w:lang w:val="zh-CN" w:eastAsia="zh-CN"/>
        </w:rPr>
      </w:pPr>
      <w:r>
        <w:rPr>
          <w:rFonts w:hint="eastAsia" w:ascii="宋体" w:hAnsi="宋体" w:eastAsia="宋体" w:cs="宋体"/>
          <w:b/>
          <w:bCs/>
          <w:color w:val="auto"/>
          <w:sz w:val="24"/>
          <w:szCs w:val="24"/>
          <w:highlight w:val="none"/>
          <w:lang w:eastAsia="zh-CN"/>
        </w:rPr>
        <w:t xml:space="preserve">10.5 </w:t>
      </w:r>
      <w:r>
        <w:rPr>
          <w:rFonts w:hint="eastAsia" w:ascii="宋体" w:hAnsi="宋体" w:eastAsia="宋体" w:cs="宋体"/>
          <w:b/>
          <w:bCs/>
          <w:color w:val="auto"/>
          <w:sz w:val="24"/>
          <w:szCs w:val="24"/>
          <w:highlight w:val="none"/>
          <w:lang w:val="zh-CN" w:eastAsia="zh-CN"/>
        </w:rPr>
        <w:t>成交供应商需无偿提供纸质版响应文件一式叁份（壹份正本、贰份副本）；(加盖公章电子版标书一份,U盘形式，响应文件电子版中必须包含响应文件的全部内容，不得加密，所有文档、图表等采用WORD格式)。</w:t>
      </w:r>
    </w:p>
    <w:p w14:paraId="29F6AE46">
      <w:pPr>
        <w:autoSpaceDE w:val="0"/>
        <w:autoSpaceDN w:val="0"/>
        <w:adjustRightInd w:val="0"/>
        <w:snapToGrid w:val="0"/>
        <w:spacing w:line="360" w:lineRule="auto"/>
        <w:ind w:firstLine="482" w:firstLineChars="200"/>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val="zh-CN" w:eastAsia="zh-CN"/>
        </w:rPr>
        <w:t>四、磋商</w:t>
      </w:r>
    </w:p>
    <w:p w14:paraId="294A504F">
      <w:pPr>
        <w:autoSpaceDE w:val="0"/>
        <w:autoSpaceDN w:val="0"/>
        <w:adjustRightInd w:val="0"/>
        <w:snapToGrid w:val="0"/>
        <w:spacing w:line="360" w:lineRule="auto"/>
        <w:ind w:firstLine="482" w:firstLineChars="200"/>
        <w:rPr>
          <w:rFonts w:hint="eastAsia" w:ascii="宋体" w:hAnsi="宋体" w:eastAsia="宋体" w:cs="宋体"/>
          <w:b/>
          <w:bCs/>
          <w:color w:val="auto"/>
          <w:sz w:val="24"/>
          <w:szCs w:val="24"/>
          <w:highlight w:val="none"/>
          <w:lang w:val="zh-CN" w:eastAsia="zh-CN"/>
        </w:rPr>
      </w:pPr>
      <w:r>
        <w:rPr>
          <w:rFonts w:hint="eastAsia" w:ascii="宋体" w:hAnsi="宋体" w:eastAsia="宋体" w:cs="宋体"/>
          <w:b/>
          <w:bCs/>
          <w:color w:val="auto"/>
          <w:sz w:val="24"/>
          <w:szCs w:val="24"/>
          <w:highlight w:val="none"/>
          <w:lang w:val="zh-CN" w:eastAsia="zh-CN"/>
        </w:rPr>
        <w:t>1</w:t>
      </w: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lang w:val="zh-CN" w:eastAsia="zh-CN"/>
        </w:rPr>
        <w:t>、响应文件解密</w:t>
      </w:r>
    </w:p>
    <w:p w14:paraId="17428079">
      <w:pPr>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eastAsia="zh-CN"/>
        </w:rPr>
        <w:t>11</w:t>
      </w:r>
      <w:r>
        <w:rPr>
          <w:rFonts w:hint="eastAsia" w:ascii="宋体" w:hAnsi="宋体" w:eastAsia="宋体" w:cs="宋体"/>
          <w:color w:val="auto"/>
          <w:sz w:val="24"/>
          <w:szCs w:val="24"/>
          <w:highlight w:val="none"/>
          <w:lang w:val="zh-CN" w:eastAsia="zh-CN"/>
        </w:rPr>
        <w:t>.1 供应商应当按照《操作手册》规定，在苏采云系统规定的时间内对响应文件进行解密。</w:t>
      </w:r>
    </w:p>
    <w:p w14:paraId="5089341A">
      <w:pPr>
        <w:autoSpaceDE w:val="0"/>
        <w:autoSpaceDN w:val="0"/>
        <w:adjustRightInd w:val="0"/>
        <w:snapToGrid w:val="0"/>
        <w:spacing w:line="360" w:lineRule="auto"/>
        <w:ind w:firstLine="482" w:firstLineChars="200"/>
        <w:rPr>
          <w:rFonts w:hint="eastAsia" w:ascii="宋体" w:hAnsi="宋体" w:eastAsia="宋体" w:cs="宋体"/>
          <w:b/>
          <w:bCs/>
          <w:color w:val="auto"/>
          <w:sz w:val="24"/>
          <w:szCs w:val="24"/>
          <w:highlight w:val="none"/>
          <w:lang w:val="zh-CN" w:eastAsia="zh-CN"/>
        </w:rPr>
      </w:pPr>
      <w:r>
        <w:rPr>
          <w:rFonts w:hint="eastAsia" w:ascii="宋体" w:hAnsi="宋体" w:eastAsia="宋体" w:cs="宋体"/>
          <w:b/>
          <w:bCs/>
          <w:color w:val="auto"/>
          <w:sz w:val="24"/>
          <w:szCs w:val="24"/>
          <w:highlight w:val="none"/>
          <w:lang w:val="zh-CN" w:eastAsia="zh-CN"/>
        </w:rPr>
        <w:t>1</w:t>
      </w:r>
      <w:r>
        <w:rPr>
          <w:rFonts w:hint="eastAsia" w:ascii="宋体" w:hAnsi="宋体" w:eastAsia="宋体" w:cs="宋体"/>
          <w:b/>
          <w:bCs/>
          <w:color w:val="auto"/>
          <w:sz w:val="24"/>
          <w:szCs w:val="24"/>
          <w:highlight w:val="none"/>
          <w:lang w:eastAsia="zh-CN"/>
        </w:rPr>
        <w:t>2</w:t>
      </w:r>
      <w:r>
        <w:rPr>
          <w:rFonts w:hint="eastAsia" w:ascii="宋体" w:hAnsi="宋体" w:eastAsia="宋体" w:cs="宋体"/>
          <w:b/>
          <w:bCs/>
          <w:color w:val="auto"/>
          <w:sz w:val="24"/>
          <w:szCs w:val="24"/>
          <w:highlight w:val="none"/>
          <w:lang w:val="zh-CN" w:eastAsia="zh-CN"/>
        </w:rPr>
        <w:t>、磋商组织</w:t>
      </w:r>
    </w:p>
    <w:p w14:paraId="011AF73E">
      <w:pPr>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w:t>
      </w: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lang w:val="zh-CN" w:eastAsia="zh-CN"/>
        </w:rPr>
        <w:t xml:space="preserve">.1 </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lang w:val="zh-CN" w:eastAsia="zh-CN"/>
        </w:rPr>
        <w:t>工作由代理人负责组织，具体</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lang w:val="zh-CN" w:eastAsia="zh-CN"/>
        </w:rPr>
        <w:t>事务由依法组建的磋商小组负责。</w:t>
      </w:r>
    </w:p>
    <w:p w14:paraId="07F8B3FC">
      <w:pPr>
        <w:autoSpaceDE w:val="0"/>
        <w:autoSpaceDN w:val="0"/>
        <w:adjustRightInd w:val="0"/>
        <w:snapToGrid w:val="0"/>
        <w:spacing w:line="360" w:lineRule="auto"/>
        <w:ind w:firstLine="482" w:firstLineChars="200"/>
        <w:rPr>
          <w:rFonts w:hint="eastAsia" w:ascii="宋体" w:hAnsi="宋体" w:eastAsia="宋体" w:cs="宋体"/>
          <w:b/>
          <w:color w:val="auto"/>
          <w:sz w:val="24"/>
          <w:szCs w:val="24"/>
          <w:highlight w:val="none"/>
          <w:lang w:val="zh-CN" w:eastAsia="zh-CN"/>
        </w:rPr>
      </w:pPr>
      <w:r>
        <w:rPr>
          <w:rFonts w:hint="eastAsia" w:ascii="宋体" w:hAnsi="宋体" w:eastAsia="宋体" w:cs="宋体"/>
          <w:b/>
          <w:color w:val="auto"/>
          <w:sz w:val="24"/>
          <w:szCs w:val="24"/>
          <w:highlight w:val="none"/>
          <w:lang w:val="zh-CN" w:eastAsia="zh-CN"/>
        </w:rPr>
        <w:t>1</w:t>
      </w:r>
      <w:r>
        <w:rPr>
          <w:rFonts w:hint="eastAsia" w:ascii="宋体" w:hAnsi="宋体" w:eastAsia="宋体" w:cs="宋体"/>
          <w:b/>
          <w:color w:val="auto"/>
          <w:sz w:val="24"/>
          <w:szCs w:val="24"/>
          <w:highlight w:val="none"/>
          <w:lang w:eastAsia="zh-CN"/>
        </w:rPr>
        <w:t>3</w:t>
      </w:r>
      <w:r>
        <w:rPr>
          <w:rFonts w:hint="eastAsia" w:ascii="宋体" w:hAnsi="宋体" w:eastAsia="宋体" w:cs="宋体"/>
          <w:b/>
          <w:color w:val="auto"/>
          <w:sz w:val="24"/>
          <w:szCs w:val="24"/>
          <w:highlight w:val="none"/>
          <w:lang w:val="zh-CN" w:eastAsia="zh-CN"/>
        </w:rPr>
        <w:t>、磋商程序</w:t>
      </w:r>
    </w:p>
    <w:p w14:paraId="076713A1">
      <w:pPr>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lang w:val="zh-CN" w:eastAsia="zh-CN"/>
        </w:rPr>
        <w:t>.1磋商小组审阅供应商所递交的响应文件，凡不具备资格条件的供应商不得进入磋商程序。</w:t>
      </w:r>
    </w:p>
    <w:p w14:paraId="4BA3FFBA">
      <w:pPr>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lang w:val="zh-CN" w:eastAsia="zh-CN"/>
        </w:rPr>
        <w:t>.2 磋商小组将与通过资格审查和符合性审查的供应商分别进行磋商。磋商小组通过“苏采云”系统向供应商发出《磋商函》，供应商应当按照要求在“苏采云”系统提交《磋商响应函》并加盖电子公章。</w:t>
      </w:r>
    </w:p>
    <w:p w14:paraId="31248BD9">
      <w:pPr>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lang w:val="zh-CN" w:eastAsia="zh-CN"/>
        </w:rPr>
        <w:t>.3 磋商过程中，磋商小组可以根据磋商文件和磋商情况实质性变动采购需求中的技术、服务要求以及合同草案条款，但不得变动磋商文件中的其他内容。实质性变动的内容，须经采购人代表确认。</w:t>
      </w:r>
    </w:p>
    <w:p w14:paraId="437BF2FF">
      <w:pPr>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对磋商文件作出的实质性变动是磋商文件的有效组成部分，磋商小组应当及时以书面形式同时通知所有参加磋商的供应商。</w:t>
      </w:r>
    </w:p>
    <w:p w14:paraId="625BE4E5">
      <w:pPr>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lang w:val="zh-CN" w:eastAsia="zh-CN"/>
        </w:rPr>
        <w:t>.4 如磋商文件有实质性变动的，供应商应当按照磋商文件的变动情况和磋商小组的要求在苏采云系统中重新提交响应文件，并加盖电子公章。</w:t>
      </w:r>
    </w:p>
    <w:p w14:paraId="68D92A37">
      <w:pPr>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lang w:val="zh-CN" w:eastAsia="zh-CN"/>
        </w:rPr>
        <w:t>.5 磋商结束后，磋商小组将在“苏采云”系统向所有实质性响应的供应商发出《最后报价要求函》及最后报价格式表，要求所有实质性响应的供应商在规定时间内提交最后报价并加盖电子公章，提交最后报价的供应商不得少于3家。最后报价是供应商响应文件的有效组成部分，除项目扩大了供货范围，增加了采购内容、提高了技术要求外，原则上不得高于上一轮报价。符合《政府采购竞争性磋商采购方式理暂行办法》第三条第四项及《财政部关于竞争性磋商采购方式管理暂行办法有关问题的补充通知》（财库〔2015〕124号）规定情形的，提交最后报价的供应商可以为2家。</w:t>
      </w:r>
    </w:p>
    <w:p w14:paraId="1B3D1964">
      <w:pPr>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lang w:val="zh-CN" w:eastAsia="zh-CN"/>
        </w:rPr>
        <w:t>.6 供应商未在磋商小组规定的时间内在“苏采云”系统中提交最后报价的视为放弃磋商，其响应文件按无效响应处理，最后报价格式表须加盖电子公章,否则视为未提交最后报价。已提交响应文件的供应商，在提交最后报价之前，可以根据磋商情况退出磋商，并在“苏采云”系统中提交加盖电子公章的《退出磋商函》。</w:t>
      </w:r>
    </w:p>
    <w:p w14:paraId="3965966D">
      <w:pPr>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eastAsia="zh-CN"/>
        </w:rPr>
        <w:t xml:space="preserve">7 </w:t>
      </w:r>
      <w:r>
        <w:rPr>
          <w:rFonts w:hint="eastAsia" w:ascii="宋体" w:hAnsi="宋体" w:eastAsia="宋体" w:cs="宋体"/>
          <w:color w:val="auto"/>
          <w:sz w:val="24"/>
          <w:szCs w:val="24"/>
          <w:highlight w:val="none"/>
          <w:lang w:val="zh-CN" w:eastAsia="zh-CN"/>
        </w:rPr>
        <w:t>项目评审期间，磋商小组有权要求供应商对响应文件中含义不明确、同类问题表述不一致或者有明显文字和计算错误的内容等作出必要的澄清、说明或者补正。</w:t>
      </w:r>
    </w:p>
    <w:p w14:paraId="1C85F998">
      <w:pPr>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供应商的澄清、说明或者补正不得超出响应文件的范围或者改变响应文件的实质性内容。</w:t>
      </w:r>
    </w:p>
    <w:p w14:paraId="78048527">
      <w:pPr>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磋商小组并非对每个供应商都作澄清要求。</w:t>
      </w:r>
    </w:p>
    <w:p w14:paraId="307525C2">
      <w:pPr>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lang w:val="zh-CN" w:eastAsia="zh-CN"/>
        </w:rPr>
        <w:t xml:space="preserve"> 需要供应商进行澄清、说明和补正的，磋商小组将通过苏采云系统向供应商发出《澄清要求函》，接到《澄清要求函》的供应商应当按照要求在苏采云系统中提交《澄清要求函》并加盖电子公章。澄清、说明和补正的内容作为响应文件的补充部分，具体操作方式见《操作手册》。</w:t>
      </w:r>
    </w:p>
    <w:p w14:paraId="4B32CB91">
      <w:pPr>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eastAsia="zh-CN"/>
        </w:rPr>
        <w:t xml:space="preserve">9 </w:t>
      </w:r>
      <w:r>
        <w:rPr>
          <w:rFonts w:hint="eastAsia" w:ascii="宋体" w:hAnsi="宋体" w:eastAsia="宋体" w:cs="宋体"/>
          <w:color w:val="auto"/>
          <w:sz w:val="24"/>
          <w:szCs w:val="24"/>
          <w:highlight w:val="none"/>
          <w:lang w:val="zh-CN" w:eastAsia="zh-CN"/>
        </w:rPr>
        <w:t>接到磋商小组澄清、说明和补正要求的供应商如未按规定做出澄清、说明和补正，其风险由供应商自行承担。</w:t>
      </w:r>
    </w:p>
    <w:p w14:paraId="5A5D5D19">
      <w:pPr>
        <w:widowControl/>
        <w:adjustRightInd w:val="0"/>
        <w:snapToGrid w:val="0"/>
        <w:spacing w:line="360" w:lineRule="auto"/>
        <w:ind w:firstLine="421"/>
        <w:rPr>
          <w:rFonts w:hint="eastAsia" w:ascii="宋体" w:hAnsi="宋体" w:eastAsia="宋体" w:cs="宋体"/>
          <w:b/>
          <w:color w:val="auto"/>
          <w:sz w:val="24"/>
          <w:szCs w:val="24"/>
          <w:highlight w:val="none"/>
          <w:lang w:eastAsia="zh-CN"/>
        </w:rPr>
      </w:pPr>
      <w:r>
        <w:rPr>
          <w:rFonts w:hint="eastAsia" w:ascii="宋体" w:hAnsi="宋体" w:eastAsia="宋体" w:cs="宋体"/>
          <w:b/>
          <w:bCs/>
          <w:color w:val="auto"/>
          <w:sz w:val="24"/>
          <w:szCs w:val="24"/>
          <w:highlight w:val="none"/>
          <w:lang w:eastAsia="zh-CN"/>
        </w:rPr>
        <w:t xml:space="preserve">13.10 </w:t>
      </w:r>
      <w:r>
        <w:rPr>
          <w:rFonts w:hint="eastAsia" w:ascii="宋体" w:hAnsi="宋体" w:eastAsia="宋体" w:cs="宋体"/>
          <w:b/>
          <w:color w:val="auto"/>
          <w:sz w:val="24"/>
          <w:szCs w:val="24"/>
          <w:highlight w:val="none"/>
          <w:lang w:eastAsia="zh-CN"/>
        </w:rPr>
        <w:t>采购评审中出现下列情形之一的，评审委员会应当启动异常低价投标（响应）审查程序：</w:t>
      </w:r>
    </w:p>
    <w:p w14:paraId="4FD22B00">
      <w:pPr>
        <w:widowControl/>
        <w:adjustRightInd w:val="0"/>
        <w:snapToGrid w:val="0"/>
        <w:spacing w:line="360" w:lineRule="auto"/>
        <w:ind w:firstLine="421"/>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（1）投标（响应）报价低于全部通过符合性审查供应商投标（响应）报价平均值50%的，即投标（响应）报价&lt;全部通过符合性审查供应商投标（响应）报价平均值×50%；</w:t>
      </w:r>
    </w:p>
    <w:p w14:paraId="04D2DD18">
      <w:pPr>
        <w:widowControl/>
        <w:adjustRightInd w:val="0"/>
        <w:snapToGrid w:val="0"/>
        <w:spacing w:line="360" w:lineRule="auto"/>
        <w:ind w:firstLine="421"/>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（2）投标（响应）报价低于通过符合性审查的次低报价供应商投标（响应）报价50%的，即投标（响应）报价&lt;通过符合性审查的次低报价供应商投标（响应）报价×50%；</w:t>
      </w:r>
    </w:p>
    <w:p w14:paraId="63D4AEAE">
      <w:pPr>
        <w:widowControl/>
        <w:adjustRightInd w:val="0"/>
        <w:snapToGrid w:val="0"/>
        <w:spacing w:line="360" w:lineRule="auto"/>
        <w:ind w:firstLine="421"/>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（3）投标（响应）报价低于采购项目最高限价50%的，即投标（响应）报价&lt;采购项目最高限价×50%；</w:t>
      </w:r>
    </w:p>
    <w:p w14:paraId="46D30695">
      <w:pPr>
        <w:widowControl/>
        <w:adjustRightInd w:val="0"/>
        <w:snapToGrid w:val="0"/>
        <w:spacing w:line="360" w:lineRule="auto"/>
        <w:ind w:firstLine="421"/>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（4）评审委员会基于专业判断，认为供应商报价过低，有可能影响产品质量或者不能诚信履约的其他情形。</w:t>
      </w:r>
    </w:p>
    <w:p w14:paraId="58A0FD55">
      <w:pPr>
        <w:widowControl/>
        <w:adjustRightInd w:val="0"/>
        <w:snapToGrid w:val="0"/>
        <w:spacing w:line="360" w:lineRule="auto"/>
        <w:ind w:firstLine="421"/>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72761A61">
      <w:pPr>
        <w:widowControl/>
        <w:adjustRightInd w:val="0"/>
        <w:snapToGrid w:val="0"/>
        <w:spacing w:line="360" w:lineRule="auto"/>
        <w:ind w:firstLine="421"/>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5F309F25">
      <w:pPr>
        <w:widowControl/>
        <w:adjustRightInd w:val="0"/>
        <w:snapToGrid w:val="0"/>
        <w:spacing w:line="360" w:lineRule="auto"/>
        <w:ind w:firstLine="421"/>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383B6C68">
      <w:pPr>
        <w:widowControl/>
        <w:adjustRightInd w:val="0"/>
        <w:snapToGrid w:val="0"/>
        <w:spacing w:line="360" w:lineRule="auto"/>
        <w:ind w:firstLine="421"/>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异常低价投标（响应）审查的启动原因、审查意见和审查结果应当在评审报告中记录，并随供应商提供的相关书面说明及证明材料，以及评审委员会有关互联网浏览、查询历史一并归档。</w:t>
      </w:r>
    </w:p>
    <w:p w14:paraId="686BEFC2">
      <w:pPr>
        <w:adjustRightInd w:val="0"/>
        <w:snapToGrid w:val="0"/>
        <w:spacing w:line="360" w:lineRule="auto"/>
        <w:ind w:firstLine="480" w:firstLineChars="200"/>
        <w:rPr>
          <w:rFonts w:hint="eastAsia" w:ascii="宋体" w:hAnsi="宋体" w:eastAsia="宋体" w:cs="宋体"/>
          <w:b/>
          <w:color w:val="auto"/>
          <w:sz w:val="24"/>
          <w:szCs w:val="24"/>
          <w:highlight w:val="none"/>
          <w:lang w:eastAsia="zh-CN"/>
        </w:rPr>
      </w:pPr>
      <w:r>
        <w:rPr>
          <w:rFonts w:hint="eastAsia" w:ascii="宋体" w:hAnsi="宋体" w:eastAsia="宋体" w:cs="宋体"/>
          <w:color w:val="auto"/>
          <w:sz w:val="24"/>
          <w:szCs w:val="24"/>
          <w:highlight w:val="none"/>
          <w:lang w:val="zh-CN" w:eastAsia="zh-CN"/>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eastAsia="zh-CN"/>
        </w:rPr>
        <w:t>11</w:t>
      </w:r>
      <w:r>
        <w:rPr>
          <w:rFonts w:hint="eastAsia" w:ascii="宋体" w:hAnsi="宋体" w:eastAsia="宋体" w:cs="宋体"/>
          <w:color w:val="auto"/>
          <w:sz w:val="24"/>
          <w:szCs w:val="24"/>
          <w:highlight w:val="none"/>
          <w:lang w:val="zh-CN" w:eastAsia="zh-CN"/>
        </w:rPr>
        <w:t xml:space="preserve"> 出现下列情形之一的响应文件按照</w:t>
      </w:r>
      <w:r>
        <w:rPr>
          <w:rFonts w:hint="eastAsia" w:ascii="宋体" w:hAnsi="宋体" w:eastAsia="宋体" w:cs="宋体"/>
          <w:b/>
          <w:color w:val="auto"/>
          <w:sz w:val="24"/>
          <w:szCs w:val="24"/>
          <w:highlight w:val="none"/>
          <w:lang w:val="zh-CN" w:eastAsia="zh-CN"/>
        </w:rPr>
        <w:t>无效处理：</w:t>
      </w:r>
    </w:p>
    <w:p w14:paraId="7512DAE1">
      <w:pPr>
        <w:autoSpaceDE w:val="0"/>
        <w:autoSpaceDN w:val="0"/>
        <w:adjustRightInd w:val="0"/>
        <w:snapToGrid w:val="0"/>
        <w:spacing w:line="360" w:lineRule="auto"/>
        <w:ind w:firstLine="420"/>
        <w:rPr>
          <w:rFonts w:hint="eastAsia" w:ascii="宋体" w:hAnsi="宋体" w:eastAsia="宋体"/>
          <w:color w:val="auto"/>
          <w:sz w:val="24"/>
          <w:szCs w:val="24"/>
          <w:highlight w:val="none"/>
          <w:lang w:val="zh-CN" w:eastAsia="zh-CN"/>
        </w:rPr>
      </w:pPr>
      <w:r>
        <w:rPr>
          <w:rFonts w:hint="eastAsia" w:ascii="宋体" w:hAnsi="宋体" w:eastAsia="宋体"/>
          <w:color w:val="auto"/>
          <w:sz w:val="24"/>
          <w:szCs w:val="24"/>
          <w:highlight w:val="none"/>
          <w:lang w:val="zh-CN" w:eastAsia="zh-CN"/>
        </w:rPr>
        <w:t>（1）响应文件所报的投标价格超过磋商文件规定的预算价、限价的；</w:t>
      </w:r>
    </w:p>
    <w:p w14:paraId="02BFC689">
      <w:pPr>
        <w:autoSpaceDE w:val="0"/>
        <w:autoSpaceDN w:val="0"/>
        <w:adjustRightInd w:val="0"/>
        <w:snapToGrid w:val="0"/>
        <w:spacing w:line="360" w:lineRule="auto"/>
        <w:ind w:firstLine="420"/>
        <w:rPr>
          <w:rFonts w:hint="eastAsia" w:ascii="宋体" w:hAnsi="宋体" w:eastAsia="宋体"/>
          <w:color w:val="auto"/>
          <w:sz w:val="24"/>
          <w:szCs w:val="24"/>
          <w:highlight w:val="none"/>
          <w:lang w:val="zh-CN" w:eastAsia="zh-CN"/>
        </w:rPr>
      </w:pPr>
      <w:r>
        <w:rPr>
          <w:rFonts w:hint="eastAsia" w:ascii="宋体" w:hAnsi="宋体" w:eastAsia="宋体"/>
          <w:color w:val="auto"/>
          <w:sz w:val="24"/>
          <w:szCs w:val="24"/>
          <w:highlight w:val="none"/>
          <w:lang w:val="zh-CN" w:eastAsia="zh-CN"/>
        </w:rPr>
        <w:t>（2）未实质性响应磋商文件要求的；</w:t>
      </w:r>
      <w:r>
        <w:rPr>
          <w:rFonts w:hint="eastAsia" w:ascii="宋体" w:hAnsi="宋体" w:eastAsia="宋体"/>
          <w:b/>
          <w:color w:val="auto"/>
          <w:sz w:val="24"/>
          <w:szCs w:val="24"/>
          <w:highlight w:val="none"/>
          <w:lang w:val="zh-CN" w:eastAsia="zh-CN"/>
        </w:rPr>
        <w:t>(实质性要求是指本竞争性磋商文件中用带星（“★”）</w:t>
      </w:r>
      <w:r>
        <w:rPr>
          <w:rFonts w:hint="eastAsia" w:ascii="宋体" w:hAnsi="宋体" w:eastAsia="宋体"/>
          <w:b/>
          <w:color w:val="auto"/>
          <w:sz w:val="24"/>
          <w:szCs w:val="24"/>
          <w:highlight w:val="none"/>
          <w:lang w:eastAsia="zh-CN"/>
        </w:rPr>
        <w:t>或</w:t>
      </w:r>
      <w:r>
        <w:rPr>
          <w:rFonts w:hint="eastAsia" w:ascii="宋体" w:hAnsi="宋体" w:eastAsia="宋体"/>
          <w:b/>
          <w:color w:val="auto"/>
          <w:sz w:val="24"/>
          <w:szCs w:val="24"/>
          <w:highlight w:val="none"/>
          <w:lang w:val="zh-CN" w:eastAsia="zh-CN"/>
        </w:rPr>
        <w:t>其他文字说明的要求)</w:t>
      </w:r>
      <w:r>
        <w:rPr>
          <w:rFonts w:hint="eastAsia" w:ascii="宋体" w:hAnsi="宋体" w:eastAsia="宋体"/>
          <w:color w:val="auto"/>
          <w:sz w:val="24"/>
          <w:szCs w:val="24"/>
          <w:highlight w:val="none"/>
          <w:lang w:val="zh-CN" w:eastAsia="zh-CN"/>
        </w:rPr>
        <w:t>；</w:t>
      </w:r>
    </w:p>
    <w:p w14:paraId="68E8807C">
      <w:pPr>
        <w:autoSpaceDE w:val="0"/>
        <w:autoSpaceDN w:val="0"/>
        <w:adjustRightInd w:val="0"/>
        <w:snapToGrid w:val="0"/>
        <w:spacing w:line="360" w:lineRule="auto"/>
        <w:ind w:firstLine="420"/>
        <w:rPr>
          <w:rFonts w:hint="eastAsia" w:ascii="宋体" w:hAnsi="宋体" w:eastAsia="宋体"/>
          <w:color w:val="auto"/>
          <w:sz w:val="24"/>
          <w:szCs w:val="24"/>
          <w:highlight w:val="none"/>
          <w:lang w:val="zh-CN" w:eastAsia="zh-CN"/>
        </w:rPr>
      </w:pPr>
      <w:r>
        <w:rPr>
          <w:rFonts w:hint="eastAsia" w:ascii="宋体" w:hAnsi="宋体" w:eastAsia="宋体"/>
          <w:color w:val="auto"/>
          <w:sz w:val="24"/>
          <w:szCs w:val="24"/>
          <w:highlight w:val="none"/>
          <w:lang w:val="zh-CN" w:eastAsia="zh-CN"/>
        </w:rPr>
        <w:t>（3）响应文件中已标价工程量清单与采购文件规定的暂估价、暂列金额及甲供材料价格不一致的；</w:t>
      </w:r>
    </w:p>
    <w:p w14:paraId="74B3877F">
      <w:pPr>
        <w:autoSpaceDE w:val="0"/>
        <w:autoSpaceDN w:val="0"/>
        <w:adjustRightInd w:val="0"/>
        <w:snapToGrid w:val="0"/>
        <w:spacing w:line="360" w:lineRule="auto"/>
        <w:ind w:firstLine="420"/>
        <w:rPr>
          <w:rFonts w:hint="eastAsia" w:ascii="宋体" w:hAnsi="宋体" w:eastAsia="宋体"/>
          <w:color w:val="auto"/>
          <w:sz w:val="24"/>
          <w:szCs w:val="24"/>
          <w:highlight w:val="none"/>
          <w:lang w:val="zh-CN" w:eastAsia="zh-CN"/>
        </w:rPr>
      </w:pPr>
      <w:r>
        <w:rPr>
          <w:rFonts w:hint="eastAsia" w:ascii="宋体" w:hAnsi="宋体" w:eastAsia="宋体"/>
          <w:color w:val="auto"/>
          <w:sz w:val="24"/>
          <w:szCs w:val="24"/>
          <w:highlight w:val="none"/>
          <w:lang w:val="zh-CN" w:eastAsia="zh-CN"/>
        </w:rPr>
        <w:t>（4）响应文件中已标价工程量清单与采购文件明确列出的不可竞争费用项目或费率或计算基础不一致的；</w:t>
      </w:r>
    </w:p>
    <w:p w14:paraId="57188F22">
      <w:pPr>
        <w:autoSpaceDE w:val="0"/>
        <w:autoSpaceDN w:val="0"/>
        <w:adjustRightInd w:val="0"/>
        <w:snapToGrid w:val="0"/>
        <w:spacing w:line="360" w:lineRule="auto"/>
        <w:ind w:firstLine="420"/>
        <w:rPr>
          <w:rFonts w:hint="eastAsia" w:ascii="宋体" w:hAnsi="宋体" w:eastAsia="宋体"/>
          <w:color w:val="auto"/>
          <w:sz w:val="24"/>
          <w:szCs w:val="24"/>
          <w:highlight w:val="none"/>
          <w:lang w:val="zh-CN" w:eastAsia="zh-CN"/>
        </w:rPr>
      </w:pPr>
      <w:r>
        <w:rPr>
          <w:rFonts w:hint="eastAsia" w:ascii="宋体" w:hAnsi="宋体" w:eastAsia="宋体"/>
          <w:color w:val="auto"/>
          <w:sz w:val="24"/>
          <w:szCs w:val="24"/>
          <w:highlight w:val="none"/>
          <w:lang w:val="zh-CN" w:eastAsia="zh-CN"/>
        </w:rPr>
        <w:t>（5）响应文件中已标价工程量清单与采购文件提供的工程量清单中的项目编码、项目名称、项目特征、计量单位、工程量不一致的（措施项目增项除外）；</w:t>
      </w:r>
    </w:p>
    <w:p w14:paraId="29BCD0F5">
      <w:pPr>
        <w:autoSpaceDE w:val="0"/>
        <w:autoSpaceDN w:val="0"/>
        <w:adjustRightInd w:val="0"/>
        <w:snapToGrid w:val="0"/>
        <w:spacing w:line="360" w:lineRule="auto"/>
        <w:ind w:firstLine="420"/>
        <w:rPr>
          <w:rFonts w:hint="eastAsia" w:ascii="宋体" w:hAnsi="宋体" w:eastAsia="宋体"/>
          <w:color w:val="auto"/>
          <w:sz w:val="24"/>
          <w:szCs w:val="24"/>
          <w:highlight w:val="none"/>
          <w:lang w:val="zh-CN" w:eastAsia="zh-CN"/>
        </w:rPr>
      </w:pPr>
      <w:r>
        <w:rPr>
          <w:rFonts w:hint="eastAsia" w:ascii="宋体" w:hAnsi="宋体" w:eastAsia="宋体"/>
          <w:color w:val="auto"/>
          <w:sz w:val="24"/>
          <w:szCs w:val="24"/>
          <w:highlight w:val="none"/>
          <w:lang w:val="zh-CN" w:eastAsia="zh-CN"/>
        </w:rPr>
        <w:t>（6）不符合法律、法规和磋商文件规定的其他实质性要求的。</w:t>
      </w:r>
    </w:p>
    <w:p w14:paraId="67CBFAAE">
      <w:pPr>
        <w:autoSpaceDE w:val="0"/>
        <w:autoSpaceDN w:val="0"/>
        <w:adjustRightInd w:val="0"/>
        <w:snapToGrid w:val="0"/>
        <w:spacing w:line="360" w:lineRule="auto"/>
        <w:ind w:firstLine="480" w:firstLineChars="200"/>
        <w:rPr>
          <w:rFonts w:hint="eastAsia" w:ascii="宋体" w:hAnsi="宋体" w:eastAsia="宋体" w:cs="宋体"/>
          <w:b/>
          <w:bCs/>
          <w:color w:val="auto"/>
          <w:sz w:val="24"/>
          <w:szCs w:val="24"/>
          <w:highlight w:val="none"/>
          <w:lang w:eastAsia="zh-CN"/>
        </w:rPr>
      </w:pPr>
      <w:bookmarkStart w:id="46" w:name="_Toc508699414"/>
      <w:r>
        <w:rPr>
          <w:rFonts w:hint="eastAsia" w:ascii="宋体" w:hAnsi="宋体" w:eastAsia="宋体" w:cs="宋体"/>
          <w:color w:val="auto"/>
          <w:sz w:val="24"/>
          <w:szCs w:val="24"/>
          <w:highlight w:val="none"/>
          <w:lang w:val="zh-CN" w:eastAsia="zh-CN"/>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eastAsia="zh-CN"/>
        </w:rPr>
        <w:t>12</w:t>
      </w:r>
      <w:r>
        <w:rPr>
          <w:rFonts w:hint="eastAsia" w:ascii="宋体" w:hAnsi="宋体" w:eastAsia="宋体" w:cs="宋体"/>
          <w:color w:val="auto"/>
          <w:sz w:val="24"/>
          <w:szCs w:val="24"/>
          <w:highlight w:val="none"/>
          <w:lang w:val="zh-CN" w:eastAsia="zh-CN"/>
        </w:rPr>
        <w:t xml:space="preserve"> </w:t>
      </w:r>
      <w:r>
        <w:rPr>
          <w:rFonts w:hint="eastAsia" w:ascii="宋体" w:hAnsi="宋体" w:eastAsia="宋体" w:cs="宋体"/>
          <w:b/>
          <w:bCs/>
          <w:color w:val="auto"/>
          <w:sz w:val="24"/>
          <w:szCs w:val="24"/>
          <w:highlight w:val="none"/>
          <w:lang w:eastAsia="zh-CN"/>
        </w:rPr>
        <w:t>出现下列情形之一的，磋商终止：</w:t>
      </w:r>
      <w:bookmarkEnd w:id="46"/>
    </w:p>
    <w:p w14:paraId="4F313550">
      <w:pPr>
        <w:autoSpaceDE w:val="0"/>
        <w:autoSpaceDN w:val="0"/>
        <w:adjustRightInd w:val="0"/>
        <w:snapToGrid w:val="0"/>
        <w:spacing w:line="360" w:lineRule="auto"/>
        <w:ind w:firstLine="480" w:firstLineChars="200"/>
        <w:rPr>
          <w:rFonts w:hint="eastAsia" w:ascii="宋体" w:hAnsi="宋体" w:eastAsia="宋体" w:cs="宋体"/>
          <w:bCs/>
          <w:color w:val="auto"/>
          <w:sz w:val="24"/>
          <w:szCs w:val="24"/>
          <w:highlight w:val="none"/>
          <w:lang w:val="zh-CN" w:eastAsia="zh-CN"/>
        </w:rPr>
      </w:pPr>
      <w:bookmarkStart w:id="47" w:name="_Toc508699415"/>
      <w:r>
        <w:rPr>
          <w:rFonts w:hint="eastAsia" w:ascii="宋体" w:hAnsi="宋体" w:eastAsia="宋体" w:cs="宋体"/>
          <w:bCs/>
          <w:color w:val="auto"/>
          <w:sz w:val="24"/>
          <w:szCs w:val="24"/>
          <w:highlight w:val="none"/>
          <w:lang w:val="zh-CN" w:eastAsia="zh-CN"/>
        </w:rPr>
        <w:t>（1）因情况变化，不再符合规定的竞争性磋商采购方式适用情形的；</w:t>
      </w:r>
    </w:p>
    <w:p w14:paraId="3A0CD4EE">
      <w:pPr>
        <w:autoSpaceDE w:val="0"/>
        <w:autoSpaceDN w:val="0"/>
        <w:adjustRightInd w:val="0"/>
        <w:snapToGrid w:val="0"/>
        <w:spacing w:line="360" w:lineRule="auto"/>
        <w:ind w:firstLine="480" w:firstLineChars="200"/>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zh-CN" w:eastAsia="zh-CN"/>
        </w:rPr>
        <w:t>（2）出现影响采购公正的违法、违规行为的；</w:t>
      </w:r>
    </w:p>
    <w:p w14:paraId="4A4BF2BB">
      <w:pPr>
        <w:autoSpaceDE w:val="0"/>
        <w:autoSpaceDN w:val="0"/>
        <w:adjustRightInd w:val="0"/>
        <w:snapToGrid w:val="0"/>
        <w:spacing w:line="360" w:lineRule="auto"/>
        <w:ind w:firstLine="480" w:firstLineChars="200"/>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zh-CN" w:eastAsia="zh-CN"/>
        </w:rPr>
        <w:t>（3）除《政府采购竞争性磋商采购方式理暂行办法》第三条第四项及《财政部关于竞争性磋商采购方式管理暂行办法有关问题的补充通知》（财库〔2015〕124号）规定情形外，在采购过程中符合要求的供应商或者报价未超过采购预算的供应商不足3家的；</w:t>
      </w:r>
    </w:p>
    <w:p w14:paraId="46322DBF">
      <w:pPr>
        <w:autoSpaceDE w:val="0"/>
        <w:autoSpaceDN w:val="0"/>
        <w:adjustRightInd w:val="0"/>
        <w:snapToGrid w:val="0"/>
        <w:spacing w:line="360" w:lineRule="auto"/>
        <w:ind w:firstLine="480" w:firstLineChars="200"/>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zh-CN" w:eastAsia="zh-CN"/>
        </w:rPr>
        <w:t>（4）在“苏采云”系统规定时间内成功解密电子响应文件的供应商不足3家的。</w:t>
      </w:r>
    </w:p>
    <w:bookmarkEnd w:id="47"/>
    <w:p w14:paraId="4F5AB539">
      <w:pPr>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w:t>
      </w: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lang w:val="zh-CN" w:eastAsia="zh-CN"/>
        </w:rPr>
        <w:t>、未通过资格审查或符合性审查的供应商，磋商小组将通过苏采云系统告知具体原因，评审结束后将不再接受有关询问。</w:t>
      </w:r>
    </w:p>
    <w:p w14:paraId="41779C1E">
      <w:pPr>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lang w:val="zh-CN" w:eastAsia="zh-CN"/>
        </w:rPr>
        <w:t>、供应商在项目评审全过程中应保持通讯畅通，及时登录苏采云系统查阅、答复相关信息，并安排专人与采购代理机构及磋商小组联系。</w:t>
      </w:r>
    </w:p>
    <w:p w14:paraId="1D6DDAE3">
      <w:pPr>
        <w:autoSpaceDE w:val="0"/>
        <w:autoSpaceDN w:val="0"/>
        <w:adjustRightInd w:val="0"/>
        <w:snapToGrid w:val="0"/>
        <w:spacing w:line="360" w:lineRule="auto"/>
        <w:ind w:firstLine="482" w:firstLineChars="200"/>
        <w:rPr>
          <w:rFonts w:hint="eastAsia" w:ascii="宋体" w:hAnsi="宋体" w:eastAsia="宋体" w:cs="宋体"/>
          <w:b/>
          <w:bCs/>
          <w:color w:val="auto"/>
          <w:sz w:val="24"/>
          <w:szCs w:val="24"/>
          <w:highlight w:val="none"/>
          <w:lang w:val="zh-CN" w:eastAsia="zh-CN"/>
        </w:rPr>
      </w:pPr>
      <w:r>
        <w:rPr>
          <w:rFonts w:hint="eastAsia" w:ascii="宋体" w:hAnsi="宋体" w:eastAsia="宋体" w:cs="宋体"/>
          <w:b/>
          <w:bCs/>
          <w:color w:val="auto"/>
          <w:sz w:val="24"/>
          <w:szCs w:val="24"/>
          <w:highlight w:val="none"/>
          <w:lang w:val="zh-CN" w:eastAsia="zh-CN"/>
        </w:rPr>
        <w:t>1</w:t>
      </w:r>
      <w:r>
        <w:rPr>
          <w:rFonts w:hint="eastAsia" w:ascii="宋体" w:hAnsi="宋体" w:eastAsia="宋体" w:cs="宋体"/>
          <w:b/>
          <w:bCs/>
          <w:color w:val="auto"/>
          <w:sz w:val="24"/>
          <w:szCs w:val="24"/>
          <w:highlight w:val="none"/>
          <w:lang w:eastAsia="zh-CN"/>
        </w:rPr>
        <w:t>6</w:t>
      </w:r>
      <w:r>
        <w:rPr>
          <w:rFonts w:hint="eastAsia" w:ascii="宋体" w:hAnsi="宋体" w:eastAsia="宋体" w:cs="宋体"/>
          <w:b/>
          <w:bCs/>
          <w:color w:val="auto"/>
          <w:sz w:val="24"/>
          <w:szCs w:val="24"/>
          <w:highlight w:val="none"/>
          <w:lang w:val="zh-CN" w:eastAsia="zh-CN"/>
        </w:rPr>
        <w:t>、评分方法和标准</w:t>
      </w:r>
    </w:p>
    <w:p w14:paraId="5B0267D0">
      <w:pPr>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w:t>
      </w:r>
      <w:r>
        <w:rPr>
          <w:rFonts w:hint="eastAsia" w:ascii="宋体" w:hAnsi="宋体" w:eastAsia="宋体" w:cs="宋体"/>
          <w:color w:val="auto"/>
          <w:sz w:val="24"/>
          <w:szCs w:val="24"/>
          <w:highlight w:val="none"/>
          <w:lang w:eastAsia="zh-CN"/>
        </w:rPr>
        <w:t>6</w:t>
      </w:r>
      <w:r>
        <w:rPr>
          <w:rFonts w:hint="eastAsia" w:ascii="宋体" w:hAnsi="宋体" w:eastAsia="宋体" w:cs="宋体"/>
          <w:color w:val="auto"/>
          <w:sz w:val="24"/>
          <w:szCs w:val="24"/>
          <w:highlight w:val="none"/>
          <w:lang w:val="zh-CN" w:eastAsia="zh-CN"/>
        </w:rPr>
        <w:t>.1 采用综合评分法。即在最大限度地满足磋商文件实质性要求前提下，按照磋商文件中规定的各项因素进行综合评审后，以评审总得分最高的供应商作为成交候选供应商或者成交供应商的评分方法。</w:t>
      </w:r>
    </w:p>
    <w:p w14:paraId="391FD7DA">
      <w:pPr>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w:t>
      </w:r>
      <w:r>
        <w:rPr>
          <w:rFonts w:hint="eastAsia" w:ascii="宋体" w:hAnsi="宋体" w:eastAsia="宋体" w:cs="宋体"/>
          <w:color w:val="auto"/>
          <w:sz w:val="24"/>
          <w:szCs w:val="24"/>
          <w:highlight w:val="none"/>
          <w:lang w:eastAsia="zh-CN"/>
        </w:rPr>
        <w:t>6</w:t>
      </w:r>
      <w:r>
        <w:rPr>
          <w:rFonts w:hint="eastAsia" w:ascii="宋体" w:hAnsi="宋体" w:eastAsia="宋体" w:cs="宋体"/>
          <w:color w:val="auto"/>
          <w:sz w:val="24"/>
          <w:szCs w:val="24"/>
          <w:highlight w:val="none"/>
          <w:lang w:val="zh-CN" w:eastAsia="zh-CN"/>
        </w:rPr>
        <w:t>.2 综合评分的主要因素是：评分标准详见第三章。</w:t>
      </w:r>
    </w:p>
    <w:p w14:paraId="5564D453">
      <w:pPr>
        <w:autoSpaceDE w:val="0"/>
        <w:autoSpaceDN w:val="0"/>
        <w:adjustRightInd w:val="0"/>
        <w:snapToGrid w:val="0"/>
        <w:spacing w:line="360" w:lineRule="auto"/>
        <w:ind w:firstLine="482" w:firstLineChars="200"/>
        <w:rPr>
          <w:rFonts w:hint="eastAsia" w:ascii="宋体" w:hAnsi="宋体" w:eastAsia="宋体" w:cs="宋体"/>
          <w:b/>
          <w:bCs/>
          <w:color w:val="auto"/>
          <w:sz w:val="24"/>
          <w:szCs w:val="24"/>
          <w:highlight w:val="none"/>
          <w:lang w:val="zh-CN" w:eastAsia="zh-CN"/>
        </w:rPr>
      </w:pPr>
      <w:r>
        <w:rPr>
          <w:rFonts w:hint="eastAsia" w:ascii="宋体" w:hAnsi="宋体" w:eastAsia="宋体" w:cs="宋体"/>
          <w:b/>
          <w:bCs/>
          <w:color w:val="auto"/>
          <w:sz w:val="24"/>
          <w:szCs w:val="24"/>
          <w:highlight w:val="none"/>
          <w:lang w:val="zh-CN" w:eastAsia="zh-CN"/>
        </w:rPr>
        <w:t>1</w:t>
      </w:r>
      <w:r>
        <w:rPr>
          <w:rFonts w:hint="eastAsia" w:ascii="宋体" w:hAnsi="宋体" w:eastAsia="宋体" w:cs="宋体"/>
          <w:b/>
          <w:bCs/>
          <w:color w:val="auto"/>
          <w:sz w:val="24"/>
          <w:szCs w:val="24"/>
          <w:highlight w:val="none"/>
          <w:lang w:eastAsia="zh-CN"/>
        </w:rPr>
        <w:t>7</w:t>
      </w:r>
      <w:r>
        <w:rPr>
          <w:rFonts w:hint="eastAsia" w:ascii="宋体" w:hAnsi="宋体" w:eastAsia="宋体" w:cs="宋体"/>
          <w:b/>
          <w:bCs/>
          <w:color w:val="auto"/>
          <w:sz w:val="24"/>
          <w:szCs w:val="24"/>
          <w:highlight w:val="none"/>
          <w:lang w:val="zh-CN" w:eastAsia="zh-CN"/>
        </w:rPr>
        <w:t>、成交供应商候选人推荐原则</w:t>
      </w:r>
    </w:p>
    <w:p w14:paraId="17C273CF">
      <w:pPr>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zh-CN" w:eastAsia="zh-CN"/>
        </w:rPr>
        <w:t>1</w:t>
      </w:r>
      <w:r>
        <w:rPr>
          <w:rFonts w:hint="eastAsia" w:ascii="宋体" w:hAnsi="宋体" w:eastAsia="宋体" w:cs="宋体"/>
          <w:color w:val="auto"/>
          <w:sz w:val="24"/>
          <w:szCs w:val="24"/>
          <w:highlight w:val="none"/>
          <w:lang w:eastAsia="zh-CN"/>
        </w:rPr>
        <w:t>7</w:t>
      </w:r>
      <w:r>
        <w:rPr>
          <w:rFonts w:hint="eastAsia" w:ascii="宋体" w:hAnsi="宋体" w:eastAsia="宋体" w:cs="宋体"/>
          <w:color w:val="auto"/>
          <w:sz w:val="24"/>
          <w:szCs w:val="24"/>
          <w:highlight w:val="none"/>
          <w:lang w:val="zh-CN" w:eastAsia="zh-CN"/>
        </w:rPr>
        <w:t>.1 磋商小组将根据综合评分情况，对实质上响应竞争性磋商文件的供应商按综合评审得分由高到低的顺序进行排序。评审得分相同的，按照最后报价由低到高顺序排列，评审得分且最后报价相同的，按</w:t>
      </w:r>
      <w:r>
        <w:rPr>
          <w:rFonts w:hint="eastAsia" w:ascii="宋体" w:hAnsi="宋体" w:eastAsia="宋体" w:cs="宋体"/>
          <w:color w:val="auto"/>
          <w:sz w:val="24"/>
          <w:szCs w:val="24"/>
          <w:highlight w:val="none"/>
          <w:lang w:eastAsia="zh-CN"/>
        </w:rPr>
        <w:t>施工组织设计</w:t>
      </w:r>
      <w:r>
        <w:rPr>
          <w:rFonts w:hint="eastAsia" w:ascii="宋体" w:hAnsi="宋体" w:eastAsia="宋体" w:cs="宋体"/>
          <w:color w:val="auto"/>
          <w:sz w:val="24"/>
          <w:szCs w:val="24"/>
          <w:highlight w:val="none"/>
          <w:lang w:val="zh-CN" w:eastAsia="zh-CN"/>
        </w:rPr>
        <w:t>优劣顺序排列。</w:t>
      </w:r>
    </w:p>
    <w:p w14:paraId="1F8AEBEC">
      <w:pPr>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w:t>
      </w:r>
      <w:r>
        <w:rPr>
          <w:rFonts w:hint="eastAsia" w:ascii="宋体" w:hAnsi="宋体" w:eastAsia="宋体" w:cs="宋体"/>
          <w:color w:val="auto"/>
          <w:sz w:val="24"/>
          <w:szCs w:val="24"/>
          <w:highlight w:val="none"/>
          <w:lang w:eastAsia="zh-CN"/>
        </w:rPr>
        <w:t>7</w:t>
      </w:r>
      <w:r>
        <w:rPr>
          <w:rFonts w:hint="eastAsia" w:ascii="宋体" w:hAnsi="宋体" w:eastAsia="宋体" w:cs="宋体"/>
          <w:color w:val="auto"/>
          <w:sz w:val="24"/>
          <w:szCs w:val="24"/>
          <w:highlight w:val="none"/>
          <w:lang w:val="zh-CN" w:eastAsia="zh-CN"/>
        </w:rPr>
        <w:t>.2 磋商小组根据上述原则，依次推荐排序前三名的供应商为成交候选人。</w:t>
      </w:r>
    </w:p>
    <w:p w14:paraId="48032705">
      <w:pPr>
        <w:autoSpaceDE w:val="0"/>
        <w:autoSpaceDN w:val="0"/>
        <w:adjustRightInd w:val="0"/>
        <w:snapToGrid w:val="0"/>
        <w:spacing w:line="360" w:lineRule="auto"/>
        <w:ind w:firstLine="480" w:firstLineChars="200"/>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zh-CN" w:eastAsia="zh-CN"/>
        </w:rPr>
        <w:t>1</w:t>
      </w:r>
      <w:r>
        <w:rPr>
          <w:rFonts w:hint="eastAsia" w:ascii="宋体" w:hAnsi="宋体" w:eastAsia="宋体" w:cs="宋体"/>
          <w:bCs/>
          <w:color w:val="auto"/>
          <w:sz w:val="24"/>
          <w:szCs w:val="24"/>
          <w:highlight w:val="none"/>
          <w:lang w:eastAsia="zh-CN"/>
        </w:rPr>
        <w:t>7</w:t>
      </w:r>
      <w:r>
        <w:rPr>
          <w:rFonts w:hint="eastAsia" w:ascii="宋体" w:hAnsi="宋体" w:eastAsia="宋体" w:cs="宋体"/>
          <w:bCs/>
          <w:color w:val="auto"/>
          <w:sz w:val="24"/>
          <w:szCs w:val="24"/>
          <w:highlight w:val="none"/>
          <w:lang w:val="zh-CN" w:eastAsia="zh-CN"/>
        </w:rPr>
        <w:t>.</w:t>
      </w:r>
      <w:r>
        <w:rPr>
          <w:rFonts w:hint="eastAsia" w:ascii="宋体" w:hAnsi="宋体" w:eastAsia="宋体" w:cs="宋体"/>
          <w:bCs/>
          <w:color w:val="auto"/>
          <w:sz w:val="24"/>
          <w:szCs w:val="24"/>
          <w:highlight w:val="none"/>
          <w:lang w:eastAsia="zh-CN"/>
        </w:rPr>
        <w:t>3</w:t>
      </w:r>
      <w:r>
        <w:rPr>
          <w:rFonts w:hint="eastAsia" w:ascii="宋体" w:hAnsi="宋体" w:eastAsia="宋体" w:cs="宋体"/>
          <w:bCs/>
          <w:color w:val="auto"/>
          <w:sz w:val="24"/>
          <w:szCs w:val="24"/>
          <w:highlight w:val="none"/>
          <w:lang w:val="zh-CN" w:eastAsia="zh-CN"/>
        </w:rPr>
        <w:t xml:space="preserve"> 磋商小组根据磋商过程和结果编写磋商（评审）报告。</w:t>
      </w:r>
    </w:p>
    <w:p w14:paraId="2C796EB4">
      <w:pPr>
        <w:autoSpaceDE w:val="0"/>
        <w:autoSpaceDN w:val="0"/>
        <w:adjustRightInd w:val="0"/>
        <w:snapToGrid w:val="0"/>
        <w:spacing w:line="360" w:lineRule="auto"/>
        <w:ind w:firstLine="482" w:firstLineChars="200"/>
        <w:rPr>
          <w:rFonts w:hint="eastAsia" w:ascii="宋体" w:hAnsi="宋体" w:eastAsia="宋体" w:cs="宋体"/>
          <w:color w:val="auto"/>
          <w:sz w:val="24"/>
          <w:szCs w:val="24"/>
          <w:highlight w:val="none"/>
          <w:lang w:val="zh-CN" w:eastAsia="zh-CN"/>
        </w:rPr>
      </w:pPr>
      <w:r>
        <w:rPr>
          <w:rFonts w:hint="eastAsia" w:ascii="宋体" w:hAnsi="宋体" w:eastAsia="宋体" w:cs="宋体"/>
          <w:b/>
          <w:color w:val="auto"/>
          <w:sz w:val="24"/>
          <w:szCs w:val="24"/>
          <w:highlight w:val="none"/>
          <w:lang w:val="zh-CN" w:eastAsia="zh-CN"/>
        </w:rPr>
        <w:t>1</w:t>
      </w:r>
      <w:r>
        <w:rPr>
          <w:rFonts w:hint="eastAsia" w:ascii="宋体" w:hAnsi="宋体" w:eastAsia="宋体" w:cs="宋体"/>
          <w:b/>
          <w:color w:val="auto"/>
          <w:sz w:val="24"/>
          <w:szCs w:val="24"/>
          <w:highlight w:val="none"/>
          <w:lang w:eastAsia="zh-CN"/>
        </w:rPr>
        <w:t>8</w:t>
      </w:r>
      <w:r>
        <w:rPr>
          <w:rFonts w:hint="eastAsia" w:ascii="宋体" w:hAnsi="宋体" w:eastAsia="宋体" w:cs="宋体"/>
          <w:b/>
          <w:color w:val="auto"/>
          <w:sz w:val="24"/>
          <w:szCs w:val="24"/>
          <w:highlight w:val="none"/>
          <w:lang w:val="zh-CN" w:eastAsia="zh-CN"/>
        </w:rPr>
        <w:t>、定标原则</w:t>
      </w:r>
    </w:p>
    <w:p w14:paraId="065F4D95">
      <w:pPr>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w:t>
      </w: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lang w:val="zh-CN" w:eastAsia="zh-CN"/>
        </w:rPr>
        <w:t>.1 采购人将按磋商小组推荐的排序将成交合同授予综合评分最高的供应商。</w:t>
      </w:r>
    </w:p>
    <w:p w14:paraId="35ABEE83">
      <w:pPr>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w:t>
      </w: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lang w:val="zh-CN" w:eastAsia="zh-CN"/>
        </w:rPr>
        <w:t>.2 成交供应商确定之日起2个工作日内，采购人或者采购代理机构将在磋商公告发布</w:t>
      </w:r>
      <w:r>
        <w:rPr>
          <w:rFonts w:hint="eastAsia" w:ascii="宋体" w:hAnsi="宋体" w:eastAsia="宋体" w:cs="宋体"/>
          <w:color w:val="auto"/>
          <w:sz w:val="24"/>
          <w:szCs w:val="24"/>
          <w:highlight w:val="none"/>
          <w:lang w:eastAsia="zh-CN"/>
        </w:rPr>
        <w:t>平台</w:t>
      </w:r>
      <w:r>
        <w:rPr>
          <w:rFonts w:hint="eastAsia" w:ascii="宋体" w:hAnsi="宋体" w:eastAsia="宋体" w:cs="宋体"/>
          <w:color w:val="auto"/>
          <w:sz w:val="24"/>
          <w:szCs w:val="24"/>
          <w:highlight w:val="none"/>
          <w:lang w:val="zh-CN" w:eastAsia="zh-CN"/>
        </w:rPr>
        <w:t>上</w:t>
      </w:r>
      <w:r>
        <w:rPr>
          <w:rFonts w:hint="eastAsia" w:ascii="宋体" w:hAnsi="宋体" w:eastAsia="宋体" w:cs="宋体"/>
          <w:color w:val="auto"/>
          <w:sz w:val="24"/>
          <w:szCs w:val="24"/>
          <w:highlight w:val="none"/>
          <w:lang w:eastAsia="zh-CN"/>
        </w:rPr>
        <w:t>发布</w:t>
      </w:r>
      <w:r>
        <w:rPr>
          <w:rFonts w:hint="eastAsia" w:ascii="宋体" w:hAnsi="宋体" w:eastAsia="宋体" w:cs="宋体"/>
          <w:color w:val="auto"/>
          <w:sz w:val="24"/>
          <w:szCs w:val="24"/>
          <w:highlight w:val="none"/>
          <w:lang w:val="zh-CN" w:eastAsia="zh-CN"/>
        </w:rPr>
        <w:t>成交结果</w:t>
      </w:r>
      <w:r>
        <w:rPr>
          <w:rFonts w:hint="eastAsia" w:ascii="宋体" w:hAnsi="宋体" w:eastAsia="宋体" w:cs="宋体"/>
          <w:color w:val="auto"/>
          <w:sz w:val="24"/>
          <w:szCs w:val="24"/>
          <w:highlight w:val="none"/>
          <w:lang w:eastAsia="zh-CN"/>
        </w:rPr>
        <w:t>公告</w:t>
      </w:r>
      <w:r>
        <w:rPr>
          <w:rFonts w:hint="eastAsia" w:ascii="宋体" w:hAnsi="宋体" w:eastAsia="宋体" w:cs="宋体"/>
          <w:color w:val="auto"/>
          <w:sz w:val="24"/>
          <w:szCs w:val="24"/>
          <w:highlight w:val="none"/>
          <w:lang w:val="zh-CN" w:eastAsia="zh-CN"/>
        </w:rPr>
        <w:t>，同时代理机构将向成交供应商发出《成交通知书》。成交供应商可在成交结果公告届满之日起三十日内，登录“苏采云”系统下载。</w:t>
      </w:r>
    </w:p>
    <w:p w14:paraId="4728A6B0">
      <w:pPr>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因系统存储空间有限，成交结果公告届满之日起三十日后，“苏采云”系统不再保证提供下载《成交通知书》服务,因未及时下载而造成的不利后果由成交供应商自行承担。</w:t>
      </w:r>
    </w:p>
    <w:p w14:paraId="77122AA3">
      <w:pPr>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w:t>
      </w: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lang w:val="zh-CN" w:eastAsia="zh-CN"/>
        </w:rPr>
        <w:t>.3 成交通知书对采购人和成交供应商具有同等法律效力。</w:t>
      </w:r>
    </w:p>
    <w:p w14:paraId="5B857207">
      <w:pPr>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w:t>
      </w: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lang w:val="zh-CN" w:eastAsia="zh-CN"/>
        </w:rPr>
        <w:t>.4 成交通知书发出后，采购人或成交供应商拒绝签订合同的，拒绝签订合同的一方向另一方支付双方商定的补偿费用，并承担相应的法律责任。</w:t>
      </w:r>
    </w:p>
    <w:p w14:paraId="26FDCE6F">
      <w:pPr>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w:t>
      </w: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lang w:val="zh-CN" w:eastAsia="zh-CN"/>
        </w:rPr>
        <w:t>.5 成交通知书发出后，成交供应商除发生法律规定的不能预见、不能避免并不能克服的客观情况外不得放弃或拒绝签订合同。放弃或拒绝签订合同，情节严重的提请财政部门将其列入不良行为名单，在一至三年内不得参加政府采购活动，并予以通报。</w:t>
      </w:r>
    </w:p>
    <w:p w14:paraId="4ADA8D7D">
      <w:pPr>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w:t>
      </w: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lang w:val="zh-CN" w:eastAsia="zh-CN"/>
        </w:rPr>
        <w:t>.6 采购代理机构对未成交的供应商不作未成交原因的解释。</w:t>
      </w:r>
    </w:p>
    <w:p w14:paraId="5FFEE416">
      <w:pPr>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w:t>
      </w: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lang w:val="zh-CN" w:eastAsia="zh-CN"/>
        </w:rPr>
        <w:t>.7 所有响应文件不论成交与否，采购代理机构均不退回。</w:t>
      </w:r>
    </w:p>
    <w:p w14:paraId="70E76BF9">
      <w:pPr>
        <w:autoSpaceDE w:val="0"/>
        <w:autoSpaceDN w:val="0"/>
        <w:adjustRightInd w:val="0"/>
        <w:snapToGrid w:val="0"/>
        <w:spacing w:line="360" w:lineRule="auto"/>
        <w:ind w:firstLine="482" w:firstLineChars="200"/>
        <w:rPr>
          <w:rFonts w:hint="eastAsia" w:ascii="宋体" w:hAnsi="宋体" w:eastAsia="宋体" w:cs="宋体"/>
          <w:b/>
          <w:bCs/>
          <w:color w:val="auto"/>
          <w:sz w:val="24"/>
          <w:szCs w:val="24"/>
          <w:highlight w:val="none"/>
          <w:lang w:val="zh-CN" w:eastAsia="zh-CN"/>
        </w:rPr>
      </w:pPr>
      <w:r>
        <w:rPr>
          <w:rFonts w:hint="eastAsia" w:ascii="宋体" w:hAnsi="宋体" w:eastAsia="宋体" w:cs="宋体"/>
          <w:b/>
          <w:color w:val="auto"/>
          <w:sz w:val="24"/>
          <w:szCs w:val="24"/>
          <w:highlight w:val="none"/>
          <w:lang w:val="zh-CN" w:eastAsia="zh-CN"/>
        </w:rPr>
        <w:t>1</w:t>
      </w:r>
      <w:r>
        <w:rPr>
          <w:rFonts w:hint="eastAsia" w:ascii="宋体" w:hAnsi="宋体" w:eastAsia="宋体" w:cs="宋体"/>
          <w:b/>
          <w:color w:val="auto"/>
          <w:sz w:val="24"/>
          <w:szCs w:val="24"/>
          <w:highlight w:val="none"/>
          <w:lang w:eastAsia="zh-CN"/>
        </w:rPr>
        <w:t>9</w:t>
      </w:r>
      <w:r>
        <w:rPr>
          <w:rFonts w:hint="eastAsia" w:ascii="宋体" w:hAnsi="宋体" w:eastAsia="宋体" w:cs="宋体"/>
          <w:b/>
          <w:color w:val="auto"/>
          <w:sz w:val="24"/>
          <w:szCs w:val="24"/>
          <w:highlight w:val="none"/>
          <w:lang w:val="zh-CN" w:eastAsia="zh-CN"/>
        </w:rPr>
        <w:t>、</w:t>
      </w:r>
      <w:r>
        <w:rPr>
          <w:rFonts w:hint="eastAsia" w:ascii="宋体" w:hAnsi="宋体" w:eastAsia="宋体" w:cs="宋体"/>
          <w:b/>
          <w:bCs/>
          <w:color w:val="auto"/>
          <w:sz w:val="24"/>
          <w:szCs w:val="24"/>
          <w:highlight w:val="none"/>
          <w:lang w:val="zh-CN" w:eastAsia="zh-CN"/>
        </w:rPr>
        <w:t>签订合同</w:t>
      </w:r>
    </w:p>
    <w:p w14:paraId="6372558F">
      <w:pPr>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eastAsia="zh-CN"/>
        </w:rPr>
        <w:t>19</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eastAsia="zh-CN"/>
        </w:rPr>
        <w:t>1 成交供应商应当</w:t>
      </w:r>
      <w:r>
        <w:rPr>
          <w:rFonts w:hint="eastAsia" w:ascii="宋体" w:hAnsi="宋体" w:eastAsia="宋体" w:cs="宋体"/>
          <w:color w:val="auto"/>
          <w:sz w:val="24"/>
          <w:szCs w:val="24"/>
          <w:highlight w:val="none"/>
          <w:lang w:val="zh-CN" w:eastAsia="zh-CN"/>
        </w:rPr>
        <w:t>自成交通知书发出之日起三十日内，</w:t>
      </w:r>
      <w:r>
        <w:rPr>
          <w:rFonts w:hint="eastAsia" w:ascii="宋体" w:hAnsi="宋体" w:eastAsia="宋体" w:cs="宋体"/>
          <w:color w:val="auto"/>
          <w:sz w:val="24"/>
          <w:szCs w:val="24"/>
          <w:highlight w:val="none"/>
          <w:lang w:eastAsia="zh-CN"/>
        </w:rPr>
        <w:t>与采购人签订政府采购合同，所签订的合同不得对采购文件和响应文件作实质性修改。</w:t>
      </w:r>
    </w:p>
    <w:p w14:paraId="10AC76B9">
      <w:pPr>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19</w:t>
      </w:r>
      <w:r>
        <w:rPr>
          <w:rFonts w:hint="eastAsia" w:ascii="宋体" w:hAnsi="宋体" w:eastAsia="宋体" w:cs="宋体"/>
          <w:color w:val="auto"/>
          <w:sz w:val="24"/>
          <w:szCs w:val="24"/>
          <w:highlight w:val="none"/>
          <w:lang w:val="zh-CN" w:eastAsia="zh-CN"/>
        </w:rPr>
        <w:t xml:space="preserve">.2 </w:t>
      </w:r>
      <w:r>
        <w:rPr>
          <w:rFonts w:hint="eastAsia" w:ascii="宋体" w:hAnsi="宋体" w:eastAsia="宋体" w:cs="宋体"/>
          <w:color w:val="auto"/>
          <w:sz w:val="24"/>
          <w:szCs w:val="24"/>
          <w:highlight w:val="none"/>
          <w:lang w:eastAsia="zh-CN"/>
        </w:rPr>
        <w:t>采购人不得向成交供应商提出任何不合理的要求作为签订合同的条件，不得与成交供应商私下订立背离合同实质性内容的协议。</w:t>
      </w:r>
    </w:p>
    <w:p w14:paraId="76A762BF">
      <w:pPr>
        <w:adjustRightInd w:val="0"/>
        <w:snapToGrid w:val="0"/>
        <w:spacing w:line="360" w:lineRule="auto"/>
        <w:ind w:firstLine="480" w:firstLineChars="20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w:t>
      </w:r>
      <w:r>
        <w:rPr>
          <w:rFonts w:hint="eastAsia" w:ascii="宋体" w:hAnsi="宋体" w:eastAsia="宋体" w:cs="宋体"/>
          <w:color w:val="auto"/>
          <w:sz w:val="24"/>
          <w:szCs w:val="24"/>
          <w:highlight w:val="none"/>
          <w:lang w:eastAsia="zh-CN"/>
        </w:rPr>
        <w:t>9</w:t>
      </w:r>
      <w:r>
        <w:rPr>
          <w:rFonts w:hint="eastAsia" w:ascii="宋体" w:hAnsi="宋体" w:eastAsia="宋体" w:cs="宋体"/>
          <w:color w:val="auto"/>
          <w:sz w:val="24"/>
          <w:szCs w:val="24"/>
          <w:highlight w:val="none"/>
          <w:lang w:val="zh-CN" w:eastAsia="zh-CN"/>
        </w:rPr>
        <w:t>.3</w:t>
      </w:r>
      <w:r>
        <w:rPr>
          <w:rFonts w:hint="eastAsia" w:ascii="宋体" w:hAnsi="宋体" w:eastAsia="宋体" w:cs="宋体"/>
          <w:color w:val="auto"/>
          <w:sz w:val="24"/>
          <w:szCs w:val="24"/>
          <w:highlight w:val="none"/>
          <w:lang w:eastAsia="zh-CN"/>
        </w:rPr>
        <w:t xml:space="preserve"> 除不可抗力等因素外，</w:t>
      </w:r>
      <w:r>
        <w:rPr>
          <w:rFonts w:hint="eastAsia" w:ascii="宋体" w:hAnsi="宋体" w:eastAsia="宋体" w:cs="宋体"/>
          <w:color w:val="auto"/>
          <w:sz w:val="24"/>
          <w:szCs w:val="24"/>
          <w:highlight w:val="none"/>
          <w:lang w:val="zh-CN" w:eastAsia="zh-CN"/>
        </w:rPr>
        <w:t>成交通知书发出后，采购人改变成交结果，或者成交供应商拒绝签订政府采购合同的，应当承担相应的法律责任。</w:t>
      </w:r>
    </w:p>
    <w:p w14:paraId="0BA4D7BF">
      <w:pPr>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w:t>
      </w:r>
      <w:r>
        <w:rPr>
          <w:rFonts w:hint="eastAsia" w:ascii="宋体" w:hAnsi="宋体" w:eastAsia="宋体" w:cs="宋体"/>
          <w:color w:val="auto"/>
          <w:sz w:val="24"/>
          <w:szCs w:val="24"/>
          <w:highlight w:val="none"/>
          <w:lang w:eastAsia="zh-CN"/>
        </w:rPr>
        <w:t>9</w:t>
      </w:r>
      <w:r>
        <w:rPr>
          <w:rFonts w:hint="eastAsia" w:ascii="宋体" w:hAnsi="宋体" w:eastAsia="宋体" w:cs="宋体"/>
          <w:color w:val="auto"/>
          <w:sz w:val="24"/>
          <w:szCs w:val="24"/>
          <w:highlight w:val="none"/>
          <w:lang w:val="zh-CN" w:eastAsia="zh-CN"/>
        </w:rPr>
        <w:t>.4 成交供应商除发生法律规定的不能预见、不能避免并不能克服的客观情况外不得放弃或拒绝签订合同。放弃或拒绝签订合同的，财政部门视情将其列入不良行为名单，在一至三年内不得参加政府采购活动。</w:t>
      </w:r>
    </w:p>
    <w:p w14:paraId="1E5EED93">
      <w:pPr>
        <w:adjustRightInd w:val="0"/>
        <w:snapToGrid w:val="0"/>
        <w:spacing w:line="360" w:lineRule="auto"/>
        <w:ind w:firstLine="480" w:firstLineChars="20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eastAsia="zh-CN"/>
        </w:rPr>
        <w:t>19</w:t>
      </w:r>
      <w:r>
        <w:rPr>
          <w:rFonts w:hint="eastAsia" w:ascii="宋体" w:hAnsi="宋体" w:eastAsia="宋体" w:cs="宋体"/>
          <w:color w:val="auto"/>
          <w:sz w:val="24"/>
          <w:szCs w:val="24"/>
          <w:highlight w:val="none"/>
          <w:lang w:val="zh-CN" w:eastAsia="zh-CN"/>
        </w:rPr>
        <w:t>.5成交供应商拒绝签订政府采购合同的，</w:t>
      </w:r>
      <w:r>
        <w:rPr>
          <w:rFonts w:hint="eastAsia" w:ascii="宋体" w:hAnsi="宋体" w:eastAsia="宋体" w:cs="宋体"/>
          <w:color w:val="auto"/>
          <w:sz w:val="24"/>
          <w:szCs w:val="24"/>
          <w:highlight w:val="none"/>
          <w:lang w:eastAsia="zh-CN"/>
        </w:rPr>
        <w:t>或因不可抗力或者自身原因不能履行政府采购合同的，</w:t>
      </w:r>
      <w:r>
        <w:rPr>
          <w:rFonts w:hint="eastAsia" w:ascii="宋体" w:hAnsi="宋体" w:eastAsia="宋体" w:cs="宋体"/>
          <w:color w:val="auto"/>
          <w:sz w:val="24"/>
          <w:szCs w:val="24"/>
          <w:highlight w:val="none"/>
          <w:lang w:val="zh-CN" w:eastAsia="zh-CN"/>
        </w:rPr>
        <w:t>采购人可以视情与排位在成交供应商之后第一位的成交候选供应商签订政府采购合同，也可以重新开展采购活动。</w:t>
      </w:r>
    </w:p>
    <w:p w14:paraId="104359CC">
      <w:pPr>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eastAsia="zh-CN"/>
        </w:rPr>
        <w:t>19</w:t>
      </w:r>
      <w:r>
        <w:rPr>
          <w:rFonts w:hint="eastAsia" w:ascii="宋体" w:hAnsi="宋体" w:eastAsia="宋体" w:cs="宋体"/>
          <w:color w:val="auto"/>
          <w:sz w:val="24"/>
          <w:szCs w:val="24"/>
          <w:highlight w:val="none"/>
          <w:lang w:val="zh-CN" w:eastAsia="zh-CN"/>
        </w:rPr>
        <w:t>.6 政府采购合同履行中，采购人需追加与合同标的相同的服务的，在不改变合同其他条款的前提下，可以与供应商协商签订补充合同，但所有补充合同的采购金额不得超过原合同采购金额的百分之十。</w:t>
      </w:r>
    </w:p>
    <w:p w14:paraId="731E8459">
      <w:pPr>
        <w:autoSpaceDE w:val="0"/>
        <w:autoSpaceDN w:val="0"/>
        <w:adjustRightInd w:val="0"/>
        <w:snapToGrid w:val="0"/>
        <w:spacing w:line="360" w:lineRule="auto"/>
        <w:ind w:firstLine="482" w:firstLineChars="200"/>
        <w:rPr>
          <w:rFonts w:hint="eastAsia" w:ascii="宋体" w:hAnsi="宋体" w:eastAsia="宋体" w:cs="宋体"/>
          <w:b/>
          <w:bCs/>
          <w:color w:val="auto"/>
          <w:sz w:val="24"/>
          <w:szCs w:val="24"/>
          <w:highlight w:val="none"/>
          <w:lang w:val="zh-CN" w:eastAsia="zh-CN"/>
        </w:rPr>
      </w:pPr>
      <w:bookmarkStart w:id="48" w:name="_Toc508699419"/>
      <w:r>
        <w:rPr>
          <w:rFonts w:hint="eastAsia" w:ascii="宋体" w:hAnsi="宋体" w:eastAsia="宋体" w:cs="宋体"/>
          <w:b/>
          <w:bCs/>
          <w:color w:val="auto"/>
          <w:sz w:val="24"/>
          <w:szCs w:val="24"/>
          <w:highlight w:val="none"/>
          <w:lang w:val="zh-CN" w:eastAsia="zh-CN"/>
        </w:rPr>
        <w:t>六、询问、质疑、投诉和诚实信用</w:t>
      </w:r>
      <w:bookmarkEnd w:id="48"/>
    </w:p>
    <w:p w14:paraId="3CDF0DBC">
      <w:pPr>
        <w:autoSpaceDE w:val="0"/>
        <w:autoSpaceDN w:val="0"/>
        <w:adjustRightInd w:val="0"/>
        <w:snapToGrid w:val="0"/>
        <w:spacing w:line="360" w:lineRule="auto"/>
        <w:ind w:firstLine="482" w:firstLineChars="200"/>
        <w:rPr>
          <w:rFonts w:hint="eastAsia" w:ascii="宋体" w:hAnsi="宋体" w:eastAsia="宋体" w:cs="宋体"/>
          <w:b/>
          <w:bCs/>
          <w:color w:val="auto"/>
          <w:sz w:val="24"/>
          <w:szCs w:val="24"/>
          <w:highlight w:val="none"/>
          <w:lang w:val="zh-CN" w:eastAsia="zh-CN"/>
        </w:rPr>
      </w:pPr>
      <w:r>
        <w:rPr>
          <w:rFonts w:hint="eastAsia" w:ascii="宋体" w:hAnsi="宋体" w:eastAsia="宋体" w:cs="宋体"/>
          <w:b/>
          <w:bCs/>
          <w:color w:val="auto"/>
          <w:sz w:val="24"/>
          <w:szCs w:val="24"/>
          <w:highlight w:val="none"/>
          <w:lang w:eastAsia="zh-CN"/>
        </w:rPr>
        <w:t>20</w:t>
      </w:r>
      <w:r>
        <w:rPr>
          <w:rFonts w:hint="eastAsia" w:ascii="宋体" w:hAnsi="宋体" w:eastAsia="宋体" w:cs="宋体"/>
          <w:b/>
          <w:bCs/>
          <w:color w:val="auto"/>
          <w:sz w:val="24"/>
          <w:szCs w:val="24"/>
          <w:highlight w:val="none"/>
          <w:lang w:val="zh-CN" w:eastAsia="zh-CN"/>
        </w:rPr>
        <w:t>、询问</w:t>
      </w:r>
    </w:p>
    <w:p w14:paraId="04A235FE">
      <w:pPr>
        <w:autoSpaceDE w:val="0"/>
        <w:autoSpaceDN w:val="0"/>
        <w:adjustRightInd w:val="0"/>
        <w:snapToGrid w:val="0"/>
        <w:spacing w:line="360" w:lineRule="auto"/>
        <w:ind w:firstLine="480" w:firstLineChars="200"/>
        <w:rPr>
          <w:rFonts w:hint="eastAsia" w:ascii="宋体" w:hAnsi="宋体" w:eastAsia="宋体" w:cs="宋体"/>
          <w:b/>
          <w:color w:val="auto"/>
          <w:sz w:val="24"/>
          <w:szCs w:val="24"/>
          <w:highlight w:val="none"/>
          <w:lang w:val="zh-CN" w:eastAsia="zh-CN"/>
        </w:rPr>
      </w:pPr>
      <w:r>
        <w:rPr>
          <w:rFonts w:hint="eastAsia" w:ascii="宋体" w:hAnsi="宋体" w:eastAsia="宋体" w:cs="宋体"/>
          <w:color w:val="auto"/>
          <w:sz w:val="24"/>
          <w:szCs w:val="24"/>
          <w:highlight w:val="none"/>
          <w:lang w:eastAsia="zh-CN"/>
        </w:rPr>
        <w:t>20</w:t>
      </w:r>
      <w:r>
        <w:rPr>
          <w:rFonts w:hint="eastAsia" w:ascii="宋体" w:hAnsi="宋体" w:eastAsia="宋体" w:cs="宋体"/>
          <w:color w:val="auto"/>
          <w:sz w:val="24"/>
          <w:szCs w:val="24"/>
          <w:highlight w:val="none"/>
          <w:lang w:val="zh-CN" w:eastAsia="zh-CN"/>
        </w:rPr>
        <w:t>.1 供应商对采购活动事项有疑问的，可以向代理人提出询问，代理人将在两个工作日内作出答复，但答复的内容不涉及商业秘密。</w:t>
      </w:r>
    </w:p>
    <w:p w14:paraId="60F90482">
      <w:pPr>
        <w:autoSpaceDE w:val="0"/>
        <w:autoSpaceDN w:val="0"/>
        <w:adjustRightInd w:val="0"/>
        <w:snapToGrid w:val="0"/>
        <w:spacing w:line="360" w:lineRule="auto"/>
        <w:ind w:firstLine="482" w:firstLineChars="200"/>
        <w:rPr>
          <w:rFonts w:hint="eastAsia" w:ascii="宋体" w:hAnsi="宋体" w:eastAsia="宋体" w:cs="宋体"/>
          <w:b/>
          <w:color w:val="auto"/>
          <w:sz w:val="24"/>
          <w:szCs w:val="24"/>
          <w:highlight w:val="none"/>
          <w:lang w:val="zh-CN" w:eastAsia="zh-CN"/>
        </w:rPr>
      </w:pPr>
      <w:r>
        <w:rPr>
          <w:rFonts w:hint="eastAsia" w:ascii="宋体" w:hAnsi="宋体" w:eastAsia="宋体" w:cs="宋体"/>
          <w:b/>
          <w:color w:val="auto"/>
          <w:sz w:val="24"/>
          <w:szCs w:val="24"/>
          <w:highlight w:val="none"/>
          <w:lang w:eastAsia="zh-CN"/>
        </w:rPr>
        <w:t>21</w:t>
      </w:r>
      <w:r>
        <w:rPr>
          <w:rFonts w:hint="eastAsia" w:ascii="宋体" w:hAnsi="宋体" w:eastAsia="宋体" w:cs="宋体"/>
          <w:b/>
          <w:color w:val="auto"/>
          <w:sz w:val="24"/>
          <w:szCs w:val="24"/>
          <w:highlight w:val="none"/>
          <w:lang w:val="zh-CN" w:eastAsia="zh-CN"/>
        </w:rPr>
        <w:t>、质疑</w:t>
      </w:r>
    </w:p>
    <w:p w14:paraId="1A4E09BA">
      <w:pPr>
        <w:adjustRightInd w:val="0"/>
        <w:snapToGrid w:val="0"/>
        <w:spacing w:line="360" w:lineRule="auto"/>
        <w:ind w:firstLine="480" w:firstLineChars="20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eastAsia="zh-CN"/>
        </w:rPr>
        <w:t>21</w:t>
      </w:r>
      <w:r>
        <w:rPr>
          <w:rFonts w:hint="eastAsia" w:ascii="宋体" w:hAnsi="宋体" w:eastAsia="宋体" w:cs="宋体"/>
          <w:color w:val="auto"/>
          <w:sz w:val="24"/>
          <w:szCs w:val="24"/>
          <w:highlight w:val="none"/>
          <w:lang w:val="zh-CN" w:eastAsia="zh-CN"/>
        </w:rPr>
        <w:t>.1质疑供应商是指直接参加本次采购活动的供应商，未参加采购活动的供应商或在采购活动中自身权益未受到损害的供应商所提出的质疑不予受理。</w:t>
      </w:r>
    </w:p>
    <w:p w14:paraId="79C26D40">
      <w:pPr>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lang w:val="zh-CN" w:eastAsia="zh-CN"/>
        </w:rPr>
        <w:t>1.2 供应商认为采购文件、采购过程和成交结果使自己的合法权益受到损害的，可以在知道或者应当知道其权益受到损害之日起七个工作日内，将质疑文件</w:t>
      </w:r>
      <w:r>
        <w:rPr>
          <w:rFonts w:hint="eastAsia" w:ascii="宋体" w:hAnsi="宋体" w:eastAsia="宋体" w:cs="宋体"/>
          <w:b/>
          <w:color w:val="auto"/>
          <w:sz w:val="24"/>
          <w:szCs w:val="24"/>
          <w:highlight w:val="none"/>
          <w:lang w:val="zh-CN" w:eastAsia="zh-CN"/>
        </w:rPr>
        <w:t>原件送达</w:t>
      </w:r>
      <w:r>
        <w:rPr>
          <w:rFonts w:hint="eastAsia" w:ascii="宋体" w:hAnsi="宋体" w:eastAsia="宋体" w:cs="宋体"/>
          <w:color w:val="auto"/>
          <w:sz w:val="24"/>
          <w:szCs w:val="24"/>
          <w:highlight w:val="none"/>
          <w:lang w:val="zh-CN" w:eastAsia="zh-CN"/>
        </w:rPr>
        <w:t>南京江城工程项目管理有限公司。</w:t>
      </w:r>
    </w:p>
    <w:p w14:paraId="4238FDED">
      <w:pPr>
        <w:adjustRightInd w:val="0"/>
        <w:snapToGrid w:val="0"/>
        <w:spacing w:line="360" w:lineRule="auto"/>
        <w:ind w:firstLine="480" w:firstLineChars="20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eastAsia="zh-CN"/>
        </w:rPr>
        <w:t>21</w:t>
      </w:r>
      <w:r>
        <w:rPr>
          <w:rFonts w:hint="eastAsia" w:ascii="宋体" w:hAnsi="宋体" w:eastAsia="宋体" w:cs="宋体"/>
          <w:color w:val="auto"/>
          <w:sz w:val="24"/>
          <w:szCs w:val="24"/>
          <w:highlight w:val="none"/>
          <w:lang w:val="zh-CN" w:eastAsia="zh-CN"/>
        </w:rPr>
        <w:t>.3上述应知其权益受到损害之日是指：</w:t>
      </w:r>
    </w:p>
    <w:p w14:paraId="2362D40A">
      <w:pPr>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（1）对磋商文件提出质疑的，为磋商文件公告期限届满之日起计算；</w:t>
      </w:r>
    </w:p>
    <w:p w14:paraId="53A494D3">
      <w:pPr>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（2）对采购过程提出质疑的，自采购程序环节结束之日起计算；</w:t>
      </w:r>
    </w:p>
    <w:p w14:paraId="00FCFFE0">
      <w:pPr>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 xml:space="preserve">（3）对成交结果提出质疑的，自成交结果公告期限届满之日起计算。  </w:t>
      </w:r>
    </w:p>
    <w:p w14:paraId="727582BC">
      <w:pPr>
        <w:autoSpaceDE w:val="0"/>
        <w:autoSpaceDN w:val="0"/>
        <w:adjustRightInd w:val="0"/>
        <w:snapToGrid w:val="0"/>
        <w:spacing w:line="360" w:lineRule="auto"/>
        <w:ind w:firstLine="480" w:firstLineChars="200"/>
        <w:rPr>
          <w:rFonts w:hint="eastAsia" w:ascii="宋体" w:hAnsi="宋体" w:eastAsia="宋体" w:cs="宋体"/>
          <w:snapToGrid w:val="0"/>
          <w:color w:val="auto"/>
          <w:sz w:val="24"/>
          <w:szCs w:val="24"/>
          <w:highlight w:val="none"/>
          <w:lang w:eastAsia="zh-CN"/>
        </w:rPr>
      </w:pPr>
      <w:r>
        <w:rPr>
          <w:rFonts w:hint="eastAsia" w:ascii="宋体" w:hAnsi="宋体" w:eastAsia="宋体" w:cs="宋体"/>
          <w:color w:val="auto"/>
          <w:sz w:val="24"/>
          <w:szCs w:val="24"/>
          <w:highlight w:val="none"/>
          <w:lang w:eastAsia="zh-CN"/>
        </w:rPr>
        <w:t>21</w:t>
      </w:r>
      <w:r>
        <w:rPr>
          <w:rFonts w:hint="eastAsia" w:ascii="宋体" w:hAnsi="宋体" w:eastAsia="宋体" w:cs="宋体"/>
          <w:color w:val="auto"/>
          <w:sz w:val="24"/>
          <w:szCs w:val="24"/>
          <w:highlight w:val="none"/>
          <w:lang w:val="zh-CN" w:eastAsia="zh-CN"/>
        </w:rPr>
        <w:t>.4 质疑文件应包括以下主要内容，并</w:t>
      </w:r>
      <w:r>
        <w:rPr>
          <w:rFonts w:hint="eastAsia" w:ascii="宋体" w:hAnsi="宋体" w:eastAsia="宋体" w:cs="宋体"/>
          <w:color w:val="auto"/>
          <w:sz w:val="24"/>
          <w:szCs w:val="24"/>
          <w:highlight w:val="none"/>
          <w:lang w:eastAsia="zh-CN"/>
        </w:rPr>
        <w:t>按照“谁主张、谁举证”的原则，附上相关证明材料。否则，代理人不予受理：</w:t>
      </w:r>
    </w:p>
    <w:p w14:paraId="147BFA6D">
      <w:pPr>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eastAsia="zh-CN"/>
        </w:rPr>
        <w:t>（1）质疑项目名称、项目编号、采购公告发布时间、磋商时间；</w:t>
      </w:r>
    </w:p>
    <w:p w14:paraId="2E5BF420">
      <w:pPr>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（2）提起质疑的日期、具体的质疑事项及事实根据（具体条款）；</w:t>
      </w:r>
    </w:p>
    <w:p w14:paraId="15AC795C">
      <w:pPr>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（3）认为自己合法权益受到损害或可能受到损害的相关证据材料；</w:t>
      </w:r>
    </w:p>
    <w:p w14:paraId="2E97A1FD">
      <w:pPr>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（4）质疑供应商名称、地址、邮编、联系人、联系电话</w:t>
      </w:r>
      <w:r>
        <w:rPr>
          <w:rFonts w:hint="eastAsia" w:ascii="宋体" w:hAnsi="宋体" w:eastAsia="宋体" w:cs="宋体"/>
          <w:color w:val="auto"/>
          <w:sz w:val="24"/>
          <w:szCs w:val="24"/>
          <w:highlight w:val="none"/>
          <w:lang w:eastAsia="zh-CN"/>
        </w:rPr>
        <w:t>（包括座机、手机、传真号码等）</w:t>
      </w:r>
      <w:r>
        <w:rPr>
          <w:rFonts w:hint="eastAsia" w:ascii="宋体" w:hAnsi="宋体" w:eastAsia="宋体" w:cs="宋体"/>
          <w:color w:val="auto"/>
          <w:sz w:val="24"/>
          <w:szCs w:val="24"/>
          <w:highlight w:val="none"/>
          <w:lang w:val="zh-CN" w:eastAsia="zh-CN"/>
        </w:rPr>
        <w:t>；</w:t>
      </w:r>
    </w:p>
    <w:p w14:paraId="083E5660">
      <w:pPr>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（5）质疑函应当署名，质疑人为自然人的，应当由本人签字并附有效身份证明；质疑人为法人或其他组织的，应当由法定代表人签字并加盖单位公章；</w:t>
      </w:r>
    </w:p>
    <w:p w14:paraId="6A2D9D3A">
      <w:pPr>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zh-CN" w:eastAsia="zh-CN"/>
        </w:rPr>
        <w:t>（6）供应商委托代理质疑的，应当提交授权委托书，并载明委托代理的具体权限和事项。</w:t>
      </w:r>
    </w:p>
    <w:p w14:paraId="3ADB6B5B">
      <w:pPr>
        <w:adjustRightInd w:val="0"/>
        <w:snapToGrid w:val="0"/>
        <w:spacing w:line="360" w:lineRule="auto"/>
        <w:ind w:firstLine="480" w:firstLineChars="20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eastAsia="zh-CN"/>
        </w:rPr>
        <w:t>21.5 采购人（代理人）在收到供应商的书面质疑后将及时组织调查核实，在</w:t>
      </w:r>
      <w:r>
        <w:rPr>
          <w:rFonts w:hint="eastAsia" w:ascii="宋体" w:hAnsi="宋体" w:eastAsia="宋体" w:cs="宋体"/>
          <w:b/>
          <w:bCs/>
          <w:color w:val="auto"/>
          <w:sz w:val="24"/>
          <w:szCs w:val="24"/>
          <w:highlight w:val="none"/>
          <w:lang w:val="zh-CN" w:eastAsia="zh-CN"/>
        </w:rPr>
        <w:t>七个工作日内</w:t>
      </w:r>
      <w:r>
        <w:rPr>
          <w:rFonts w:hint="eastAsia" w:ascii="宋体" w:hAnsi="宋体" w:eastAsia="宋体" w:cs="宋体"/>
          <w:color w:val="auto"/>
          <w:sz w:val="24"/>
          <w:szCs w:val="24"/>
          <w:highlight w:val="none"/>
          <w:lang w:val="zh-CN" w:eastAsia="zh-CN"/>
        </w:rPr>
        <w:t>作出答复，并以书面通知质疑供应商和其他有关供应商，答复的内容不涉及商业秘密。代理人</w:t>
      </w:r>
      <w:r>
        <w:rPr>
          <w:rFonts w:hint="eastAsia" w:ascii="宋体" w:hAnsi="宋体" w:eastAsia="宋体" w:cs="宋体"/>
          <w:color w:val="auto"/>
          <w:sz w:val="24"/>
          <w:szCs w:val="24"/>
          <w:highlight w:val="none"/>
          <w:lang w:eastAsia="zh-CN"/>
        </w:rPr>
        <w:t>遵循“谁过错谁负担”的原则，有过错的一方承担调查论证费用。</w:t>
      </w:r>
    </w:p>
    <w:p w14:paraId="672E5601">
      <w:pPr>
        <w:autoSpaceDE w:val="0"/>
        <w:autoSpaceDN w:val="0"/>
        <w:adjustRightInd w:val="0"/>
        <w:snapToGrid w:val="0"/>
        <w:spacing w:line="360" w:lineRule="auto"/>
        <w:ind w:firstLine="482" w:firstLineChars="200"/>
        <w:rPr>
          <w:rFonts w:hint="eastAsia" w:ascii="宋体" w:hAnsi="宋体" w:eastAsia="宋体" w:cs="宋体"/>
          <w:color w:val="auto"/>
          <w:sz w:val="24"/>
          <w:szCs w:val="24"/>
          <w:highlight w:val="none"/>
          <w:lang w:val="zh-CN" w:eastAsia="zh-CN"/>
        </w:rPr>
      </w:pPr>
      <w:r>
        <w:rPr>
          <w:rFonts w:hint="eastAsia" w:ascii="宋体" w:hAnsi="宋体" w:eastAsia="宋体" w:cs="宋体"/>
          <w:b/>
          <w:bCs/>
          <w:color w:val="auto"/>
          <w:sz w:val="24"/>
          <w:szCs w:val="24"/>
          <w:highlight w:val="none"/>
          <w:lang w:eastAsia="zh-CN"/>
        </w:rPr>
        <w:t>22</w:t>
      </w:r>
      <w:r>
        <w:rPr>
          <w:rFonts w:hint="eastAsia" w:ascii="宋体" w:hAnsi="宋体" w:eastAsia="宋体" w:cs="宋体"/>
          <w:b/>
          <w:bCs/>
          <w:color w:val="auto"/>
          <w:sz w:val="24"/>
          <w:szCs w:val="24"/>
          <w:highlight w:val="none"/>
          <w:lang w:val="zh-CN" w:eastAsia="zh-CN"/>
        </w:rPr>
        <w:t>、投诉</w:t>
      </w:r>
    </w:p>
    <w:p w14:paraId="7C49E848">
      <w:pPr>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eastAsia="zh-CN"/>
        </w:rPr>
        <w:t>22</w:t>
      </w:r>
      <w:r>
        <w:rPr>
          <w:rFonts w:hint="eastAsia" w:ascii="宋体" w:hAnsi="宋体" w:eastAsia="宋体" w:cs="宋体"/>
          <w:color w:val="auto"/>
          <w:sz w:val="24"/>
          <w:szCs w:val="24"/>
          <w:highlight w:val="none"/>
          <w:lang w:val="zh-CN" w:eastAsia="zh-CN"/>
        </w:rPr>
        <w:t>.1 质疑供应商对代理人的答复不满意，或代理人未在规定的时间内作出答复的，可以在答复期满后</w:t>
      </w:r>
      <w:r>
        <w:rPr>
          <w:rFonts w:hint="eastAsia" w:ascii="宋体" w:hAnsi="宋体" w:eastAsia="宋体" w:cs="宋体"/>
          <w:b/>
          <w:bCs/>
          <w:color w:val="auto"/>
          <w:sz w:val="24"/>
          <w:szCs w:val="24"/>
          <w:highlight w:val="none"/>
          <w:lang w:val="zh-CN" w:eastAsia="zh-CN"/>
        </w:rPr>
        <w:t>十五个工作日内</w:t>
      </w:r>
      <w:r>
        <w:rPr>
          <w:rFonts w:hint="eastAsia" w:ascii="宋体" w:hAnsi="宋体" w:eastAsia="宋体" w:cs="宋体"/>
          <w:color w:val="auto"/>
          <w:sz w:val="24"/>
          <w:szCs w:val="24"/>
          <w:highlight w:val="none"/>
          <w:lang w:val="zh-CN" w:eastAsia="zh-CN"/>
        </w:rPr>
        <w:t>向采购项目同级财政部门投诉。</w:t>
      </w:r>
    </w:p>
    <w:p w14:paraId="533C1421">
      <w:pPr>
        <w:autoSpaceDE w:val="0"/>
        <w:autoSpaceDN w:val="0"/>
        <w:adjustRightInd w:val="0"/>
        <w:snapToGrid w:val="0"/>
        <w:spacing w:line="360" w:lineRule="auto"/>
        <w:ind w:firstLine="482" w:firstLineChars="200"/>
        <w:rPr>
          <w:rFonts w:hint="eastAsia" w:ascii="宋体" w:hAnsi="宋体" w:eastAsia="宋体" w:cs="宋体"/>
          <w:b/>
          <w:bCs/>
          <w:color w:val="auto"/>
          <w:sz w:val="24"/>
          <w:szCs w:val="24"/>
          <w:highlight w:val="none"/>
          <w:lang w:val="zh-CN" w:eastAsia="zh-CN"/>
        </w:rPr>
      </w:pPr>
      <w:r>
        <w:rPr>
          <w:rFonts w:hint="eastAsia" w:ascii="宋体" w:hAnsi="宋体" w:eastAsia="宋体" w:cs="宋体"/>
          <w:b/>
          <w:bCs/>
          <w:color w:val="auto"/>
          <w:sz w:val="24"/>
          <w:szCs w:val="24"/>
          <w:highlight w:val="none"/>
          <w:lang w:eastAsia="zh-CN"/>
        </w:rPr>
        <w:t>23</w:t>
      </w:r>
      <w:r>
        <w:rPr>
          <w:rFonts w:hint="eastAsia" w:ascii="宋体" w:hAnsi="宋体" w:eastAsia="宋体" w:cs="宋体"/>
          <w:b/>
          <w:bCs/>
          <w:color w:val="auto"/>
          <w:sz w:val="24"/>
          <w:szCs w:val="24"/>
          <w:highlight w:val="none"/>
          <w:lang w:val="zh-CN" w:eastAsia="zh-CN"/>
        </w:rPr>
        <w:t>、诚实信用</w:t>
      </w:r>
    </w:p>
    <w:p w14:paraId="3C88D239">
      <w:pPr>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eastAsia="zh-CN"/>
        </w:rPr>
        <w:t>23</w:t>
      </w:r>
      <w:r>
        <w:rPr>
          <w:rFonts w:hint="eastAsia" w:ascii="宋体" w:hAnsi="宋体" w:eastAsia="宋体" w:cs="宋体"/>
          <w:color w:val="auto"/>
          <w:sz w:val="24"/>
          <w:szCs w:val="24"/>
          <w:highlight w:val="none"/>
          <w:lang w:val="zh-CN" w:eastAsia="zh-CN"/>
        </w:rPr>
        <w:t>.1 供应商之间不得相互串通投标报价，不得妨碍其他供应商的公平竞争，不得损害采购人和其他供应商的合法权益。</w:t>
      </w:r>
    </w:p>
    <w:p w14:paraId="4E63B0B6">
      <w:pPr>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eastAsia="zh-CN"/>
        </w:rPr>
        <w:t>23</w:t>
      </w:r>
      <w:r>
        <w:rPr>
          <w:rFonts w:hint="eastAsia" w:ascii="宋体" w:hAnsi="宋体" w:eastAsia="宋体" w:cs="宋体"/>
          <w:color w:val="auto"/>
          <w:sz w:val="24"/>
          <w:szCs w:val="24"/>
          <w:highlight w:val="none"/>
          <w:lang w:val="zh-CN" w:eastAsia="zh-CN"/>
        </w:rPr>
        <w:t>.2 供应商不得以向代理人工作人员、磋商小组成员行贿或者采取其他不正当手段谋取成交。经查实供应商有此行为的，</w:t>
      </w:r>
      <w:r>
        <w:rPr>
          <w:rFonts w:hint="eastAsia" w:ascii="宋体" w:hAnsi="宋体" w:eastAsia="宋体" w:cs="宋体"/>
          <w:color w:val="auto"/>
          <w:sz w:val="24"/>
          <w:szCs w:val="24"/>
          <w:highlight w:val="none"/>
          <w:lang w:eastAsia="zh-CN"/>
        </w:rPr>
        <w:t>政府采购管理部门将供应商列入不良行为记录名单，按照《政府采购法》有关规定处理。</w:t>
      </w:r>
    </w:p>
    <w:p w14:paraId="350F2107">
      <w:pPr>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eastAsia="zh-CN"/>
        </w:rPr>
        <w:t>23</w:t>
      </w:r>
      <w:r>
        <w:rPr>
          <w:rFonts w:hint="eastAsia" w:ascii="宋体" w:hAnsi="宋体" w:eastAsia="宋体" w:cs="宋体"/>
          <w:color w:val="auto"/>
          <w:sz w:val="24"/>
          <w:szCs w:val="24"/>
          <w:highlight w:val="none"/>
          <w:lang w:val="zh-CN" w:eastAsia="zh-CN"/>
        </w:rPr>
        <w:t>.3 供应商提出书面质疑必须有理、有据，不得虚假质疑和恶意质疑，并对质疑内容的真实性承担责任。一经查实，代理人有权依据政府采购的有关规定，报请政府采购监管部门对该供应商进行相应的行政处罚并在网站上予以公示。如果供应商或者其他利害关系人通过捏造事实、伪造证明材料等方式提出质疑，干扰政府采购活动正常进行的，属于严重不良行为，代理人将提请财政部门将其列入不良行为记录名单，并依法予以处罚。</w:t>
      </w:r>
    </w:p>
    <w:p w14:paraId="5896CA90">
      <w:pPr>
        <w:adjustRightInd w:val="0"/>
        <w:snapToGrid w:val="0"/>
        <w:spacing w:line="360" w:lineRule="auto"/>
        <w:ind w:firstLine="480" w:firstLineChars="20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eastAsia="zh-CN"/>
        </w:rPr>
        <w:t>23</w:t>
      </w:r>
      <w:r>
        <w:rPr>
          <w:rFonts w:hint="eastAsia" w:ascii="宋体" w:hAnsi="宋体" w:eastAsia="宋体" w:cs="宋体"/>
          <w:color w:val="auto"/>
          <w:sz w:val="24"/>
          <w:szCs w:val="24"/>
          <w:highlight w:val="none"/>
          <w:lang w:val="zh-CN" w:eastAsia="zh-CN"/>
        </w:rPr>
        <w:t>.4 供应商不得虚假承诺，否则，按照提供虚假材料谋取中标成交处理。</w:t>
      </w:r>
    </w:p>
    <w:p w14:paraId="52BADCEC">
      <w:pPr>
        <w:adjustRightInd w:val="0"/>
        <w:snapToGrid w:val="0"/>
        <w:spacing w:line="360" w:lineRule="auto"/>
        <w:ind w:firstLine="480" w:firstLineChars="200"/>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4"/>
          <w:szCs w:val="24"/>
          <w:highlight w:val="none"/>
          <w:lang w:eastAsia="zh-CN"/>
        </w:rPr>
        <w:t>23.</w:t>
      </w:r>
      <w:r>
        <w:rPr>
          <w:rFonts w:hint="eastAsia" w:ascii="宋体" w:hAnsi="宋体" w:eastAsia="宋体" w:cs="宋体"/>
          <w:color w:val="auto"/>
          <w:sz w:val="24"/>
          <w:szCs w:val="24"/>
          <w:highlight w:val="none"/>
          <w:lang w:val="zh-CN" w:eastAsia="zh-CN"/>
        </w:rPr>
        <w:t>5 供应商应自觉遵守磋商纪律，</w:t>
      </w:r>
      <w:r>
        <w:rPr>
          <w:rFonts w:hint="eastAsia" w:ascii="宋体" w:hAnsi="宋体" w:eastAsia="宋体" w:cs="宋体"/>
          <w:color w:val="auto"/>
          <w:sz w:val="24"/>
          <w:szCs w:val="24"/>
          <w:highlight w:val="none"/>
          <w:lang w:eastAsia="zh-CN"/>
        </w:rPr>
        <w:t>不得</w:t>
      </w:r>
      <w:r>
        <w:rPr>
          <w:rFonts w:hint="eastAsia" w:ascii="宋体" w:hAnsi="宋体" w:eastAsia="宋体" w:cs="宋体"/>
          <w:color w:val="auto"/>
          <w:sz w:val="24"/>
          <w:szCs w:val="24"/>
          <w:highlight w:val="none"/>
          <w:lang w:val="zh-CN" w:eastAsia="zh-CN"/>
        </w:rPr>
        <w:t>扰乱磋商现场秩序。</w:t>
      </w:r>
    </w:p>
    <w:p w14:paraId="6522F025">
      <w:pPr>
        <w:adjustRightInd w:val="0"/>
        <w:snapToGrid w:val="0"/>
        <w:spacing w:line="360" w:lineRule="auto"/>
        <w:ind w:firstLine="420" w:firstLineChars="200"/>
        <w:jc w:val="both"/>
        <w:rPr>
          <w:rFonts w:hint="eastAsia" w:ascii="宋体" w:hAnsi="宋体" w:eastAsia="宋体" w:cs="宋体"/>
          <w:color w:val="auto"/>
          <w:sz w:val="21"/>
          <w:szCs w:val="21"/>
          <w:highlight w:val="none"/>
          <w:lang w:eastAsia="zh-CN"/>
        </w:rPr>
        <w:sectPr>
          <w:headerReference r:id="rId5" w:type="default"/>
          <w:footerReference r:id="rId6" w:type="default"/>
          <w:pgSz w:w="11910" w:h="16840"/>
          <w:pgMar w:top="1440" w:right="1080" w:bottom="1440" w:left="1080" w:header="880" w:footer="726" w:gutter="0"/>
          <w:pgBorders>
            <w:top w:val="none" w:sz="0" w:space="0"/>
            <w:left w:val="none" w:sz="0" w:space="0"/>
            <w:bottom w:val="none" w:sz="0" w:space="0"/>
            <w:right w:val="none" w:sz="0" w:space="0"/>
          </w:pgBorders>
          <w:cols w:space="720" w:num="1"/>
        </w:sectPr>
      </w:pPr>
    </w:p>
    <w:p w14:paraId="716C90B9">
      <w:pPr>
        <w:pStyle w:val="2"/>
        <w:tabs>
          <w:tab w:val="left" w:pos="4171"/>
        </w:tabs>
        <w:adjustRightInd w:val="0"/>
        <w:snapToGrid w:val="0"/>
        <w:spacing w:line="360" w:lineRule="auto"/>
        <w:jc w:val="center"/>
        <w:rPr>
          <w:color w:val="auto"/>
          <w:w w:val="95"/>
          <w:sz w:val="36"/>
          <w:szCs w:val="36"/>
          <w:highlight w:val="none"/>
          <w:lang w:eastAsia="zh-CN"/>
        </w:rPr>
      </w:pPr>
      <w:bookmarkStart w:id="49" w:name="_bookmark7"/>
      <w:bookmarkEnd w:id="49"/>
      <w:bookmarkStart w:id="50" w:name="_Toc2666"/>
      <w:r>
        <w:rPr>
          <w:rFonts w:hint="eastAsia"/>
          <w:color w:val="auto"/>
          <w:w w:val="95"/>
          <w:sz w:val="36"/>
          <w:szCs w:val="36"/>
          <w:highlight w:val="none"/>
          <w:lang w:eastAsia="zh-CN"/>
        </w:rPr>
        <w:t xml:space="preserve">第三章  </w:t>
      </w:r>
      <w:r>
        <w:rPr>
          <w:color w:val="auto"/>
          <w:w w:val="95"/>
          <w:sz w:val="36"/>
          <w:szCs w:val="36"/>
          <w:highlight w:val="none"/>
          <w:lang w:eastAsia="zh-CN"/>
        </w:rPr>
        <w:t>成交标准</w:t>
      </w:r>
      <w:bookmarkEnd w:id="50"/>
    </w:p>
    <w:p w14:paraId="1FA25239">
      <w:pPr>
        <w:widowControl/>
        <w:spacing w:line="360" w:lineRule="auto"/>
        <w:ind w:firstLine="630" w:firstLineChars="3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本项目采用综合评分法，评分统计方法采用百分制（满分100分），将全部磋商小组成员评分进行算术平均，小数点后保留2位。按评审后得分由高到低顺序排列，得分相同的，按报价由低到高顺序排列，得分且报价相同的，按施工组织设计优劣顺序排列，由磋商小组推荐成交供应商。</w:t>
      </w:r>
    </w:p>
    <w:p w14:paraId="42079291">
      <w:pPr>
        <w:widowControl/>
        <w:spacing w:line="360" w:lineRule="auto"/>
        <w:ind w:firstLine="632" w:firstLineChars="300"/>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一包：江宁监狱蒸汽管网改造</w:t>
      </w:r>
    </w:p>
    <w:tbl>
      <w:tblPr>
        <w:tblStyle w:val="34"/>
        <w:tblpPr w:leftFromText="181" w:rightFromText="181" w:vertAnchor="text" w:horzAnchor="page" w:tblpX="817" w:tblpY="1"/>
        <w:tblW w:w="5244" w:type="pct"/>
        <w:tblInd w:w="0" w:type="dxa"/>
        <w:tblLayout w:type="autofit"/>
        <w:tblCellMar>
          <w:top w:w="0" w:type="dxa"/>
          <w:left w:w="108" w:type="dxa"/>
          <w:bottom w:w="0" w:type="dxa"/>
          <w:right w:w="108" w:type="dxa"/>
        </w:tblCellMar>
      </w:tblPr>
      <w:tblGrid>
        <w:gridCol w:w="655"/>
        <w:gridCol w:w="1543"/>
        <w:gridCol w:w="698"/>
        <w:gridCol w:w="7556"/>
      </w:tblGrid>
      <w:tr w14:paraId="75DCD254">
        <w:tblPrEx>
          <w:tblCellMar>
            <w:top w:w="0" w:type="dxa"/>
            <w:left w:w="108" w:type="dxa"/>
            <w:bottom w:w="0" w:type="dxa"/>
            <w:right w:w="108" w:type="dxa"/>
          </w:tblCellMar>
        </w:tblPrEx>
        <w:trPr>
          <w:trHeight w:val="529" w:hRule="atLeast"/>
        </w:trPr>
        <w:tc>
          <w:tcPr>
            <w:tcW w:w="313" w:type="pct"/>
            <w:tcBorders>
              <w:top w:val="single" w:color="000000" w:sz="4" w:space="0"/>
              <w:left w:val="single" w:color="000000" w:sz="4" w:space="0"/>
              <w:bottom w:val="single" w:color="000000" w:sz="4" w:space="0"/>
              <w:right w:val="single" w:color="000000" w:sz="4" w:space="0"/>
            </w:tcBorders>
            <w:noWrap w:val="0"/>
            <w:vAlign w:val="center"/>
          </w:tcPr>
          <w:p w14:paraId="6D8D90C9">
            <w:pPr>
              <w:widowControl w:val="0"/>
              <w:spacing w:before="34" w:line="360" w:lineRule="auto"/>
              <w:jc w:val="center"/>
              <w:rPr>
                <w:rFonts w:hint="eastAsia" w:ascii="宋体" w:hAnsi="宋体" w:eastAsia="宋体" w:cs="宋体"/>
                <w:b/>
                <w:color w:val="auto"/>
                <w:sz w:val="21"/>
                <w:szCs w:val="21"/>
                <w:highlight w:val="none"/>
                <w:lang w:val="en-US" w:eastAsia="en-US" w:bidi="ar-SA"/>
              </w:rPr>
            </w:pPr>
            <w:r>
              <w:rPr>
                <w:rFonts w:hint="eastAsia" w:ascii="宋体" w:hAnsi="宋体" w:eastAsia="宋体" w:cs="宋体"/>
                <w:b/>
                <w:color w:val="auto"/>
                <w:sz w:val="21"/>
                <w:szCs w:val="21"/>
                <w:highlight w:val="none"/>
                <w:lang w:val="en-US" w:eastAsia="zh-CN" w:bidi="ar-SA"/>
              </w:rPr>
              <w:t>序号</w:t>
            </w:r>
          </w:p>
        </w:tc>
        <w:tc>
          <w:tcPr>
            <w:tcW w:w="738" w:type="pct"/>
            <w:tcBorders>
              <w:top w:val="single" w:color="000000" w:sz="4" w:space="0"/>
              <w:left w:val="nil"/>
              <w:bottom w:val="single" w:color="000000" w:sz="4" w:space="0"/>
              <w:right w:val="single" w:color="000000" w:sz="4" w:space="0"/>
            </w:tcBorders>
            <w:noWrap w:val="0"/>
            <w:vAlign w:val="center"/>
          </w:tcPr>
          <w:p w14:paraId="6F4E2C83">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评分因素</w:t>
            </w:r>
          </w:p>
        </w:tc>
        <w:tc>
          <w:tcPr>
            <w:tcW w:w="334" w:type="pct"/>
            <w:tcBorders>
              <w:top w:val="single" w:color="000000" w:sz="4" w:space="0"/>
              <w:left w:val="nil"/>
              <w:bottom w:val="single" w:color="000000" w:sz="4" w:space="0"/>
              <w:right w:val="single" w:color="000000" w:sz="4" w:space="0"/>
            </w:tcBorders>
            <w:noWrap w:val="0"/>
            <w:vAlign w:val="center"/>
          </w:tcPr>
          <w:p w14:paraId="2D4476AB">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分数</w:t>
            </w:r>
          </w:p>
        </w:tc>
        <w:tc>
          <w:tcPr>
            <w:tcW w:w="3613" w:type="pct"/>
            <w:tcBorders>
              <w:top w:val="single" w:color="000000" w:sz="4" w:space="0"/>
              <w:left w:val="nil"/>
              <w:bottom w:val="single" w:color="000000" w:sz="4" w:space="0"/>
              <w:right w:val="single" w:color="000000" w:sz="4" w:space="0"/>
            </w:tcBorders>
            <w:noWrap w:val="0"/>
            <w:vAlign w:val="center"/>
          </w:tcPr>
          <w:p w14:paraId="2F8E99C6">
            <w:pPr>
              <w:spacing w:line="360" w:lineRule="auto"/>
              <w:ind w:firstLine="482"/>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评分</w:t>
            </w:r>
            <w:r>
              <w:rPr>
                <w:rFonts w:hint="eastAsia" w:ascii="宋体" w:hAnsi="宋体" w:eastAsia="宋体" w:cs="宋体"/>
                <w:b/>
                <w:color w:val="auto"/>
                <w:sz w:val="21"/>
                <w:szCs w:val="21"/>
                <w:highlight w:val="none"/>
              </w:rPr>
              <w:t>依据</w:t>
            </w:r>
          </w:p>
        </w:tc>
      </w:tr>
      <w:tr w14:paraId="523A7FEF">
        <w:tblPrEx>
          <w:tblCellMar>
            <w:top w:w="0" w:type="dxa"/>
            <w:left w:w="108" w:type="dxa"/>
            <w:bottom w:w="0" w:type="dxa"/>
            <w:right w:w="108" w:type="dxa"/>
          </w:tblCellMar>
        </w:tblPrEx>
        <w:trPr>
          <w:trHeight w:val="1352" w:hRule="atLeast"/>
        </w:trPr>
        <w:tc>
          <w:tcPr>
            <w:tcW w:w="313" w:type="pct"/>
            <w:tcBorders>
              <w:top w:val="single" w:color="000000" w:sz="4" w:space="0"/>
              <w:left w:val="single" w:color="000000" w:sz="4" w:space="0"/>
              <w:bottom w:val="single" w:color="000000" w:sz="4" w:space="0"/>
              <w:right w:val="single" w:color="000000" w:sz="4" w:space="0"/>
            </w:tcBorders>
            <w:noWrap w:val="0"/>
            <w:vAlign w:val="center"/>
          </w:tcPr>
          <w:p w14:paraId="5745AEAE">
            <w:pPr>
              <w:widowControl/>
              <w:spacing w:line="360" w:lineRule="auto"/>
              <w:jc w:val="center"/>
              <w:rPr>
                <w:rFonts w:hint="eastAsia" w:ascii="宋体" w:hAnsi="宋体" w:eastAsia="宋体" w:cs="宋体"/>
                <w:color w:val="auto"/>
                <w:sz w:val="21"/>
                <w:szCs w:val="21"/>
                <w:highlight w:val="none"/>
                <w:lang w:val="zh-TW" w:eastAsia="zh-CN"/>
              </w:rPr>
            </w:pPr>
            <w:r>
              <w:rPr>
                <w:rFonts w:hint="eastAsia" w:ascii="宋体" w:hAnsi="宋体" w:eastAsia="宋体" w:cs="宋体"/>
                <w:color w:val="auto"/>
                <w:sz w:val="21"/>
                <w:szCs w:val="21"/>
                <w:highlight w:val="none"/>
                <w:lang w:val="zh-TW" w:eastAsia="zh-CN"/>
              </w:rPr>
              <w:t>1</w:t>
            </w:r>
          </w:p>
        </w:tc>
        <w:tc>
          <w:tcPr>
            <w:tcW w:w="738" w:type="pct"/>
            <w:tcBorders>
              <w:top w:val="single" w:color="000000" w:sz="4" w:space="0"/>
              <w:left w:val="nil"/>
              <w:bottom w:val="single" w:color="000000" w:sz="4" w:space="0"/>
              <w:right w:val="single" w:color="000000" w:sz="4" w:space="0"/>
            </w:tcBorders>
            <w:noWrap w:val="0"/>
            <w:vAlign w:val="center"/>
          </w:tcPr>
          <w:p w14:paraId="245AB711">
            <w:pPr>
              <w:widowControl/>
              <w:spacing w:line="360" w:lineRule="auto"/>
              <w:jc w:val="center"/>
              <w:rPr>
                <w:rFonts w:hint="eastAsia" w:ascii="宋体" w:hAnsi="宋体" w:eastAsia="宋体" w:cs="宋体"/>
                <w:color w:val="auto"/>
                <w:sz w:val="21"/>
                <w:szCs w:val="21"/>
                <w:highlight w:val="none"/>
                <w:lang w:val="zh-TW" w:eastAsia="zh-CN"/>
              </w:rPr>
            </w:pPr>
            <w:r>
              <w:rPr>
                <w:rFonts w:hint="eastAsia" w:ascii="宋体" w:hAnsi="宋体" w:eastAsia="宋体" w:cs="宋体"/>
                <w:color w:val="auto"/>
                <w:sz w:val="21"/>
                <w:szCs w:val="21"/>
                <w:highlight w:val="none"/>
                <w:lang w:val="zh-TW" w:eastAsia="zh-CN"/>
              </w:rPr>
              <w:t>报价</w:t>
            </w:r>
          </w:p>
          <w:p w14:paraId="28BF7AAF">
            <w:pPr>
              <w:widowControl/>
              <w:spacing w:line="360" w:lineRule="auto"/>
              <w:jc w:val="center"/>
              <w:rPr>
                <w:rFonts w:hint="eastAsia" w:ascii="宋体" w:hAnsi="宋体" w:eastAsia="宋体" w:cs="宋体"/>
                <w:color w:val="auto"/>
                <w:sz w:val="21"/>
                <w:szCs w:val="21"/>
                <w:highlight w:val="none"/>
                <w:lang w:val="zh-TW" w:eastAsia="zh-CN"/>
              </w:rPr>
            </w:pPr>
            <w:r>
              <w:rPr>
                <w:rFonts w:hint="eastAsia" w:ascii="宋体" w:hAnsi="宋体" w:eastAsia="宋体" w:cs="宋体"/>
                <w:color w:val="auto"/>
                <w:sz w:val="21"/>
                <w:szCs w:val="21"/>
                <w:highlight w:val="none"/>
                <w:lang w:val="zh-TW" w:eastAsia="zh-CN"/>
              </w:rPr>
              <w:t>（</w:t>
            </w:r>
            <w:r>
              <w:rPr>
                <w:rFonts w:hint="eastAsia" w:ascii="宋体" w:hAnsi="宋体" w:eastAsia="宋体" w:cs="宋体"/>
                <w:color w:val="auto"/>
                <w:sz w:val="21"/>
                <w:szCs w:val="21"/>
                <w:highlight w:val="none"/>
                <w:lang w:val="en-US" w:eastAsia="zh-CN"/>
              </w:rPr>
              <w:t>55</w:t>
            </w:r>
            <w:r>
              <w:rPr>
                <w:rFonts w:hint="eastAsia" w:ascii="宋体" w:hAnsi="宋体" w:eastAsia="宋体" w:cs="宋体"/>
                <w:color w:val="auto"/>
                <w:sz w:val="21"/>
                <w:szCs w:val="21"/>
                <w:highlight w:val="none"/>
                <w:lang w:val="zh-TW" w:eastAsia="zh-CN"/>
              </w:rPr>
              <w:t>分）</w:t>
            </w:r>
          </w:p>
        </w:tc>
        <w:tc>
          <w:tcPr>
            <w:tcW w:w="334" w:type="pct"/>
            <w:tcBorders>
              <w:top w:val="single" w:color="000000" w:sz="4" w:space="0"/>
              <w:left w:val="nil"/>
              <w:bottom w:val="single" w:color="000000" w:sz="4" w:space="0"/>
              <w:right w:val="single" w:color="000000" w:sz="4" w:space="0"/>
            </w:tcBorders>
            <w:noWrap w:val="0"/>
            <w:vAlign w:val="center"/>
          </w:tcPr>
          <w:p w14:paraId="78398B5B">
            <w:pPr>
              <w:widowControl/>
              <w:spacing w:line="360" w:lineRule="auto"/>
              <w:jc w:val="center"/>
              <w:rPr>
                <w:rFonts w:hint="eastAsia" w:ascii="宋体" w:hAnsi="宋体" w:eastAsia="宋体" w:cs="宋体"/>
                <w:color w:val="auto"/>
                <w:sz w:val="21"/>
                <w:szCs w:val="21"/>
                <w:highlight w:val="none"/>
                <w:lang w:val="zh-TW" w:eastAsia="zh-CN"/>
              </w:rPr>
            </w:pPr>
            <w:r>
              <w:rPr>
                <w:rFonts w:hint="eastAsia" w:ascii="宋体" w:hAnsi="宋体" w:eastAsia="宋体" w:cs="宋体"/>
                <w:color w:val="auto"/>
                <w:sz w:val="21"/>
                <w:szCs w:val="21"/>
                <w:highlight w:val="none"/>
                <w:lang w:val="en-US" w:eastAsia="zh-CN"/>
              </w:rPr>
              <w:t>55</w:t>
            </w:r>
          </w:p>
        </w:tc>
        <w:tc>
          <w:tcPr>
            <w:tcW w:w="3613" w:type="pct"/>
            <w:tcBorders>
              <w:top w:val="single" w:color="000000" w:sz="4" w:space="0"/>
              <w:left w:val="nil"/>
              <w:bottom w:val="single" w:color="000000" w:sz="4" w:space="0"/>
              <w:right w:val="single" w:color="000000" w:sz="4" w:space="0"/>
            </w:tcBorders>
            <w:noWrap w:val="0"/>
            <w:vAlign w:val="center"/>
          </w:tcPr>
          <w:p w14:paraId="328D3631">
            <w:pPr>
              <w:widowControl/>
              <w:spacing w:line="360" w:lineRule="auto"/>
              <w:rPr>
                <w:rFonts w:hint="eastAsia" w:ascii="宋体" w:hAnsi="宋体" w:eastAsia="宋体" w:cs="宋体"/>
                <w:color w:val="auto"/>
                <w:sz w:val="21"/>
                <w:szCs w:val="21"/>
                <w:highlight w:val="none"/>
                <w:lang w:val="zh-TW" w:eastAsia="zh-CN"/>
              </w:rPr>
            </w:pPr>
            <w:r>
              <w:rPr>
                <w:rFonts w:hint="eastAsia" w:ascii="宋体" w:hAnsi="宋体" w:eastAsia="宋体" w:cs="宋体"/>
                <w:color w:val="auto"/>
                <w:sz w:val="21"/>
                <w:szCs w:val="21"/>
                <w:highlight w:val="none"/>
                <w:lang w:val="zh-TW" w:eastAsia="zh-TW"/>
              </w:rPr>
              <w:t>采用低价优先法计算，即满足磋商文件要求且最终</w:t>
            </w:r>
            <w:r>
              <w:rPr>
                <w:rFonts w:hint="eastAsia" w:ascii="宋体" w:hAnsi="宋体" w:eastAsia="宋体" w:cs="宋体"/>
                <w:color w:val="auto"/>
                <w:sz w:val="21"/>
                <w:szCs w:val="21"/>
                <w:highlight w:val="none"/>
                <w:lang w:val="zh-TW" w:eastAsia="zh-CN"/>
              </w:rPr>
              <w:t>磋商</w:t>
            </w:r>
            <w:r>
              <w:rPr>
                <w:rFonts w:hint="eastAsia" w:ascii="宋体" w:hAnsi="宋体" w:eastAsia="宋体" w:cs="宋体"/>
                <w:color w:val="auto"/>
                <w:sz w:val="21"/>
                <w:szCs w:val="21"/>
                <w:highlight w:val="none"/>
                <w:lang w:val="zh-TW" w:eastAsia="zh-TW"/>
              </w:rPr>
              <w:t>价格最低的报价为基准价，其价格分为满分。</w:t>
            </w:r>
          </w:p>
          <w:p w14:paraId="03C9AEBC">
            <w:pPr>
              <w:widowControl/>
              <w:spacing w:line="360" w:lineRule="auto"/>
              <w:rPr>
                <w:rFonts w:hint="eastAsia" w:ascii="宋体" w:hAnsi="宋体" w:eastAsia="宋体" w:cs="宋体"/>
                <w:color w:val="auto"/>
                <w:sz w:val="21"/>
                <w:szCs w:val="21"/>
                <w:highlight w:val="none"/>
                <w:lang w:val="zh-TW" w:eastAsia="zh-CN"/>
              </w:rPr>
            </w:pPr>
            <w:r>
              <w:rPr>
                <w:rFonts w:hint="eastAsia" w:ascii="宋体" w:hAnsi="宋体" w:eastAsia="宋体" w:cs="宋体"/>
                <w:color w:val="auto"/>
                <w:sz w:val="21"/>
                <w:szCs w:val="21"/>
                <w:highlight w:val="none"/>
                <w:lang w:val="zh-TW" w:eastAsia="zh-TW"/>
              </w:rPr>
              <w:t>其他供应商的价格分统一按照下列公式计算：</w:t>
            </w:r>
            <w:r>
              <w:rPr>
                <w:rFonts w:hint="eastAsia" w:ascii="宋体" w:hAnsi="宋体" w:eastAsia="宋体" w:cs="宋体"/>
                <w:color w:val="auto"/>
                <w:sz w:val="21"/>
                <w:szCs w:val="21"/>
                <w:highlight w:val="none"/>
                <w:lang w:val="zh-TW" w:eastAsia="zh-CN"/>
              </w:rPr>
              <w:t>磋商</w:t>
            </w:r>
            <w:r>
              <w:rPr>
                <w:rFonts w:hint="eastAsia" w:ascii="宋体" w:hAnsi="宋体" w:eastAsia="宋体" w:cs="宋体"/>
                <w:color w:val="auto"/>
                <w:sz w:val="21"/>
                <w:szCs w:val="21"/>
                <w:highlight w:val="none"/>
                <w:lang w:val="zh-TW" w:eastAsia="zh-TW"/>
              </w:rPr>
              <w:t>报价得分</w:t>
            </w:r>
            <w:r>
              <w:rPr>
                <w:rFonts w:hint="eastAsia" w:ascii="宋体" w:hAnsi="宋体" w:eastAsia="宋体" w:cs="宋体"/>
                <w:color w:val="auto"/>
                <w:sz w:val="21"/>
                <w:szCs w:val="21"/>
                <w:highlight w:val="none"/>
                <w:lang w:val="zh-TW" w:eastAsia="zh-CN"/>
              </w:rPr>
              <w:t>=(竞争性磋商</w:t>
            </w:r>
            <w:r>
              <w:rPr>
                <w:rFonts w:hint="eastAsia" w:ascii="宋体" w:hAnsi="宋体" w:eastAsia="宋体" w:cs="宋体"/>
                <w:color w:val="auto"/>
                <w:sz w:val="21"/>
                <w:szCs w:val="21"/>
                <w:highlight w:val="none"/>
                <w:lang w:val="zh-TW" w:eastAsia="zh-TW"/>
              </w:rPr>
              <w:t>基准价</w:t>
            </w:r>
            <w:r>
              <w:rPr>
                <w:rFonts w:hint="eastAsia" w:ascii="宋体" w:hAnsi="宋体" w:eastAsia="宋体" w:cs="宋体"/>
                <w:color w:val="auto"/>
                <w:sz w:val="21"/>
                <w:szCs w:val="21"/>
                <w:highlight w:val="none"/>
                <w:lang w:val="zh-TW" w:eastAsia="zh-CN"/>
              </w:rPr>
              <w:t>/最终磋商</w:t>
            </w:r>
            <w:r>
              <w:rPr>
                <w:rFonts w:hint="eastAsia" w:ascii="宋体" w:hAnsi="宋体" w:eastAsia="宋体" w:cs="宋体"/>
                <w:color w:val="auto"/>
                <w:sz w:val="21"/>
                <w:szCs w:val="21"/>
                <w:highlight w:val="none"/>
                <w:lang w:val="zh-TW" w:eastAsia="zh-TW"/>
              </w:rPr>
              <w:t>报价</w:t>
            </w:r>
            <w:r>
              <w:rPr>
                <w:rFonts w:hint="eastAsia" w:ascii="宋体" w:hAnsi="宋体" w:eastAsia="宋体" w:cs="宋体"/>
                <w:color w:val="auto"/>
                <w:sz w:val="21"/>
                <w:szCs w:val="21"/>
                <w:highlight w:val="none"/>
                <w:lang w:val="zh-TW" w:eastAsia="zh-CN"/>
              </w:rPr>
              <w:t>)×</w:t>
            </w:r>
            <w:r>
              <w:rPr>
                <w:rFonts w:hint="eastAsia" w:ascii="宋体" w:hAnsi="宋体" w:eastAsia="宋体" w:cs="宋体"/>
                <w:color w:val="auto"/>
                <w:sz w:val="21"/>
                <w:szCs w:val="21"/>
                <w:highlight w:val="none"/>
                <w:lang w:val="en-US" w:eastAsia="zh-CN"/>
              </w:rPr>
              <w:t>55</w:t>
            </w:r>
            <w:r>
              <w:rPr>
                <w:rFonts w:hint="eastAsia" w:ascii="宋体" w:hAnsi="宋体" w:eastAsia="宋体" w:cs="宋体"/>
                <w:color w:val="auto"/>
                <w:sz w:val="21"/>
                <w:szCs w:val="21"/>
                <w:highlight w:val="none"/>
                <w:lang w:val="zh-TW" w:eastAsia="zh-CN"/>
              </w:rPr>
              <w:t>（</w:t>
            </w:r>
            <w:r>
              <w:rPr>
                <w:rFonts w:hint="eastAsia" w:ascii="宋体" w:hAnsi="宋体" w:eastAsia="宋体" w:cs="宋体"/>
                <w:color w:val="auto"/>
                <w:sz w:val="21"/>
                <w:szCs w:val="21"/>
                <w:highlight w:val="none"/>
                <w:lang w:val="zh-TW" w:eastAsia="zh-TW"/>
              </w:rPr>
              <w:t>小数点保留两位）</w:t>
            </w:r>
          </w:p>
        </w:tc>
      </w:tr>
      <w:tr w14:paraId="13AF94AC">
        <w:tblPrEx>
          <w:tblCellMar>
            <w:top w:w="0" w:type="dxa"/>
            <w:left w:w="108" w:type="dxa"/>
            <w:bottom w:w="0" w:type="dxa"/>
            <w:right w:w="108" w:type="dxa"/>
          </w:tblCellMar>
        </w:tblPrEx>
        <w:trPr>
          <w:trHeight w:val="917" w:hRule="atLeast"/>
        </w:trPr>
        <w:tc>
          <w:tcPr>
            <w:tcW w:w="313" w:type="pct"/>
            <w:vMerge w:val="restart"/>
            <w:tcBorders>
              <w:top w:val="single" w:color="000000" w:sz="4" w:space="0"/>
              <w:left w:val="single" w:color="000000" w:sz="4" w:space="0"/>
              <w:bottom w:val="single" w:color="000000" w:sz="4" w:space="0"/>
              <w:right w:val="single" w:color="000000" w:sz="4" w:space="0"/>
            </w:tcBorders>
            <w:noWrap w:val="0"/>
            <w:vAlign w:val="center"/>
          </w:tcPr>
          <w:p w14:paraId="79ABFCDA">
            <w:pPr>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w:t>
            </w:r>
          </w:p>
        </w:tc>
        <w:tc>
          <w:tcPr>
            <w:tcW w:w="738" w:type="pct"/>
            <w:vMerge w:val="restart"/>
            <w:tcBorders>
              <w:top w:val="single" w:color="000000" w:sz="4" w:space="0"/>
              <w:left w:val="single" w:color="000000" w:sz="4" w:space="0"/>
              <w:bottom w:val="single" w:color="000000" w:sz="4" w:space="0"/>
              <w:right w:val="single" w:color="000000" w:sz="4" w:space="0"/>
            </w:tcBorders>
            <w:noWrap w:val="0"/>
            <w:vAlign w:val="center"/>
          </w:tcPr>
          <w:p w14:paraId="4486DBDE">
            <w:pPr>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施工组织设计</w:t>
            </w:r>
          </w:p>
          <w:p w14:paraId="41C0EBB5">
            <w:pPr>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lang w:eastAsia="zh-CN"/>
              </w:rPr>
              <w:t>分）</w:t>
            </w:r>
          </w:p>
        </w:tc>
        <w:tc>
          <w:tcPr>
            <w:tcW w:w="334" w:type="pct"/>
            <w:tcBorders>
              <w:top w:val="single" w:color="000000" w:sz="4" w:space="0"/>
              <w:left w:val="single" w:color="000000" w:sz="4" w:space="0"/>
              <w:bottom w:val="single" w:color="000000" w:sz="4" w:space="0"/>
              <w:right w:val="single" w:color="000000" w:sz="4" w:space="0"/>
            </w:tcBorders>
            <w:noWrap w:val="0"/>
            <w:vAlign w:val="center"/>
          </w:tcPr>
          <w:p w14:paraId="05D74E2A">
            <w:pPr>
              <w:widowControl/>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3613" w:type="pct"/>
            <w:tcBorders>
              <w:top w:val="single" w:color="000000" w:sz="4" w:space="0"/>
              <w:left w:val="single" w:color="000000" w:sz="4" w:space="0"/>
              <w:bottom w:val="single" w:color="000000" w:sz="4" w:space="0"/>
              <w:right w:val="single" w:color="000000" w:sz="4" w:space="0"/>
            </w:tcBorders>
            <w:noWrap w:val="0"/>
            <w:vAlign w:val="center"/>
          </w:tcPr>
          <w:p w14:paraId="656590C6">
            <w:pPr>
              <w:widowControl/>
              <w:spacing w:line="360" w:lineRule="auto"/>
              <w:rPr>
                <w:rFonts w:hint="eastAsia" w:ascii="宋体" w:hAnsi="宋体" w:eastAsia="宋体" w:cs="宋体"/>
                <w:color w:val="auto"/>
                <w:sz w:val="21"/>
                <w:szCs w:val="21"/>
                <w:highlight w:val="none"/>
                <w:lang w:val="zh-TW" w:eastAsia="zh-TW"/>
              </w:rPr>
            </w:pPr>
            <w:r>
              <w:rPr>
                <w:rFonts w:hint="eastAsia" w:ascii="宋体" w:hAnsi="宋体" w:eastAsia="宋体" w:cs="宋体"/>
                <w:color w:val="auto"/>
                <w:sz w:val="21"/>
                <w:szCs w:val="21"/>
                <w:highlight w:val="none"/>
                <w:lang w:val="zh-TW" w:eastAsia="zh-TW"/>
              </w:rPr>
              <w:t>评委根据各供应商提供的项目总体实施方案的清晰性、全面性、合理性、科学性、可行性及针对性进行评分：</w:t>
            </w:r>
          </w:p>
          <w:p w14:paraId="23397469">
            <w:pPr>
              <w:widowControl/>
              <w:spacing w:line="360" w:lineRule="auto"/>
              <w:rPr>
                <w:rFonts w:hint="eastAsia" w:ascii="宋体" w:hAnsi="宋体" w:eastAsia="宋体" w:cs="宋体"/>
                <w:color w:val="auto"/>
                <w:sz w:val="21"/>
                <w:szCs w:val="21"/>
                <w:highlight w:val="none"/>
                <w:lang w:val="zh-TW" w:eastAsia="zh-TW"/>
              </w:rPr>
            </w:pPr>
            <w:r>
              <w:rPr>
                <w:rFonts w:hint="eastAsia" w:ascii="宋体" w:hAnsi="宋体" w:eastAsia="宋体" w:cs="宋体"/>
                <w:color w:val="auto"/>
                <w:sz w:val="21"/>
                <w:szCs w:val="21"/>
                <w:highlight w:val="none"/>
                <w:lang w:val="zh-TW" w:eastAsia="zh-TW"/>
              </w:rPr>
              <w:t>（1）总体实施方案表述清晰完整、严谨、科学合理，针对性强、可操作性强的得</w:t>
            </w:r>
            <w:r>
              <w:rPr>
                <w:rFonts w:hint="eastAsia" w:ascii="宋体" w:hAnsi="宋体" w:eastAsia="宋体" w:cs="宋体"/>
                <w:color w:val="auto"/>
                <w:sz w:val="21"/>
                <w:szCs w:val="21"/>
                <w:highlight w:val="none"/>
                <w:lang w:val="en-US" w:eastAsia="zh-TW"/>
              </w:rPr>
              <w:t>6</w:t>
            </w:r>
            <w:r>
              <w:rPr>
                <w:rFonts w:hint="eastAsia" w:ascii="宋体" w:hAnsi="宋体" w:eastAsia="宋体" w:cs="宋体"/>
                <w:color w:val="auto"/>
                <w:sz w:val="21"/>
                <w:szCs w:val="21"/>
                <w:highlight w:val="none"/>
                <w:lang w:val="zh-TW" w:eastAsia="zh-TW"/>
              </w:rPr>
              <w:t>分；</w:t>
            </w:r>
          </w:p>
          <w:p w14:paraId="46DFE4A5">
            <w:pPr>
              <w:widowControl/>
              <w:spacing w:line="360" w:lineRule="auto"/>
              <w:rPr>
                <w:rFonts w:hint="eastAsia" w:ascii="宋体" w:hAnsi="宋体" w:eastAsia="宋体" w:cs="宋体"/>
                <w:color w:val="auto"/>
                <w:sz w:val="21"/>
                <w:szCs w:val="21"/>
                <w:highlight w:val="none"/>
                <w:lang w:val="zh-TW" w:eastAsia="zh-TW"/>
              </w:rPr>
            </w:pPr>
            <w:r>
              <w:rPr>
                <w:rFonts w:hint="eastAsia" w:ascii="宋体" w:hAnsi="宋体" w:eastAsia="宋体" w:cs="宋体"/>
                <w:color w:val="auto"/>
                <w:sz w:val="21"/>
                <w:szCs w:val="21"/>
                <w:highlight w:val="none"/>
                <w:lang w:val="zh-TW" w:eastAsia="zh-TW"/>
              </w:rPr>
              <w:t>（2）总体实施方案表述清晰完整但不够严谨、合理，具有针对性和可操作性的得</w:t>
            </w:r>
            <w:r>
              <w:rPr>
                <w:rFonts w:hint="eastAsia" w:ascii="宋体" w:hAnsi="宋体" w:eastAsia="宋体" w:cs="宋体"/>
                <w:color w:val="auto"/>
                <w:sz w:val="21"/>
                <w:szCs w:val="21"/>
                <w:highlight w:val="none"/>
                <w:lang w:val="en-US" w:eastAsia="zh-TW"/>
              </w:rPr>
              <w:t>4</w:t>
            </w:r>
            <w:r>
              <w:rPr>
                <w:rFonts w:hint="eastAsia" w:ascii="宋体" w:hAnsi="宋体" w:eastAsia="宋体" w:cs="宋体"/>
                <w:color w:val="auto"/>
                <w:sz w:val="21"/>
                <w:szCs w:val="21"/>
                <w:highlight w:val="none"/>
                <w:lang w:val="zh-TW" w:eastAsia="zh-TW"/>
              </w:rPr>
              <w:t>分；</w:t>
            </w:r>
          </w:p>
          <w:p w14:paraId="736A5DA9">
            <w:pPr>
              <w:widowControl/>
              <w:spacing w:line="360" w:lineRule="auto"/>
              <w:rPr>
                <w:rFonts w:hint="eastAsia" w:ascii="宋体" w:hAnsi="宋体" w:eastAsia="宋体" w:cs="宋体"/>
                <w:color w:val="auto"/>
                <w:sz w:val="21"/>
                <w:szCs w:val="21"/>
                <w:highlight w:val="none"/>
                <w:lang w:val="zh-TW" w:eastAsia="zh-TW"/>
              </w:rPr>
            </w:pPr>
            <w:r>
              <w:rPr>
                <w:rFonts w:hint="eastAsia" w:ascii="宋体" w:hAnsi="宋体" w:eastAsia="宋体" w:cs="宋体"/>
                <w:color w:val="auto"/>
                <w:sz w:val="21"/>
                <w:szCs w:val="21"/>
                <w:highlight w:val="none"/>
                <w:lang w:val="zh-TW" w:eastAsia="zh-TW"/>
              </w:rPr>
              <w:t>（3）总体实施方案表述清晰但不够完整、无针对性，可操作性一般的得</w:t>
            </w:r>
            <w:r>
              <w:rPr>
                <w:rFonts w:hint="eastAsia" w:ascii="宋体" w:hAnsi="宋体" w:eastAsia="宋体" w:cs="宋体"/>
                <w:color w:val="auto"/>
                <w:sz w:val="21"/>
                <w:szCs w:val="21"/>
                <w:highlight w:val="none"/>
                <w:lang w:val="en-US" w:eastAsia="zh-TW"/>
              </w:rPr>
              <w:t>2</w:t>
            </w:r>
            <w:r>
              <w:rPr>
                <w:rFonts w:hint="eastAsia" w:ascii="宋体" w:hAnsi="宋体" w:eastAsia="宋体" w:cs="宋体"/>
                <w:color w:val="auto"/>
                <w:sz w:val="21"/>
                <w:szCs w:val="21"/>
                <w:highlight w:val="none"/>
                <w:lang w:val="zh-TW" w:eastAsia="zh-TW"/>
              </w:rPr>
              <w:t>分；</w:t>
            </w:r>
          </w:p>
          <w:p w14:paraId="2100F752">
            <w:pPr>
              <w:widowControl/>
              <w:spacing w:line="360" w:lineRule="auto"/>
              <w:rPr>
                <w:rFonts w:hint="eastAsia" w:ascii="宋体" w:hAnsi="宋体" w:eastAsia="宋体" w:cs="宋体"/>
                <w:color w:val="auto"/>
                <w:sz w:val="21"/>
                <w:szCs w:val="21"/>
                <w:highlight w:val="none"/>
                <w:lang w:val="zh-TW" w:eastAsia="zh-TW"/>
              </w:rPr>
            </w:pPr>
            <w:r>
              <w:rPr>
                <w:rFonts w:hint="eastAsia" w:ascii="宋体" w:hAnsi="宋体" w:eastAsia="宋体" w:cs="宋体"/>
                <w:color w:val="auto"/>
                <w:sz w:val="21"/>
                <w:szCs w:val="21"/>
                <w:highlight w:val="none"/>
                <w:lang w:val="zh-TW" w:eastAsia="zh-TW"/>
              </w:rPr>
              <w:t>（4）未提供不得分。</w:t>
            </w:r>
          </w:p>
        </w:tc>
      </w:tr>
      <w:tr w14:paraId="499703A1">
        <w:tblPrEx>
          <w:tblCellMar>
            <w:top w:w="0" w:type="dxa"/>
            <w:left w:w="108" w:type="dxa"/>
            <w:bottom w:w="0" w:type="dxa"/>
            <w:right w:w="108" w:type="dxa"/>
          </w:tblCellMar>
        </w:tblPrEx>
        <w:trPr>
          <w:trHeight w:val="413" w:hRule="atLeast"/>
        </w:trPr>
        <w:tc>
          <w:tcPr>
            <w:tcW w:w="3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7995E07F">
            <w:pPr>
              <w:spacing w:line="360" w:lineRule="auto"/>
              <w:jc w:val="center"/>
              <w:rPr>
                <w:rFonts w:hint="eastAsia" w:ascii="宋体" w:hAnsi="宋体" w:eastAsia="宋体" w:cs="宋体"/>
                <w:color w:val="auto"/>
                <w:sz w:val="21"/>
                <w:szCs w:val="21"/>
                <w:highlight w:val="none"/>
                <w:lang w:eastAsia="zh-CN"/>
              </w:rPr>
            </w:pPr>
          </w:p>
        </w:tc>
        <w:tc>
          <w:tcPr>
            <w:tcW w:w="738" w:type="pct"/>
            <w:vMerge w:val="continue"/>
            <w:tcBorders>
              <w:top w:val="single" w:color="000000" w:sz="4" w:space="0"/>
              <w:left w:val="single" w:color="000000" w:sz="4" w:space="0"/>
              <w:bottom w:val="single" w:color="000000" w:sz="4" w:space="0"/>
              <w:right w:val="single" w:color="000000" w:sz="4" w:space="0"/>
            </w:tcBorders>
            <w:noWrap w:val="0"/>
            <w:vAlign w:val="center"/>
          </w:tcPr>
          <w:p w14:paraId="2E460401">
            <w:pPr>
              <w:spacing w:line="360" w:lineRule="auto"/>
              <w:jc w:val="center"/>
              <w:rPr>
                <w:rFonts w:hint="eastAsia" w:ascii="宋体" w:hAnsi="宋体" w:eastAsia="宋体" w:cs="宋体"/>
                <w:color w:val="auto"/>
                <w:sz w:val="21"/>
                <w:szCs w:val="21"/>
                <w:highlight w:val="none"/>
                <w:lang w:eastAsia="zh-CN"/>
              </w:rPr>
            </w:pPr>
          </w:p>
        </w:tc>
        <w:tc>
          <w:tcPr>
            <w:tcW w:w="334" w:type="pct"/>
            <w:tcBorders>
              <w:top w:val="single" w:color="000000" w:sz="4" w:space="0"/>
              <w:left w:val="single" w:color="000000" w:sz="4" w:space="0"/>
              <w:bottom w:val="single" w:color="000000" w:sz="4" w:space="0"/>
              <w:right w:val="single" w:color="000000" w:sz="4" w:space="0"/>
            </w:tcBorders>
            <w:noWrap w:val="0"/>
            <w:vAlign w:val="center"/>
          </w:tcPr>
          <w:p w14:paraId="50823447">
            <w:pPr>
              <w:widowControl/>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3613" w:type="pct"/>
            <w:tcBorders>
              <w:top w:val="single" w:color="000000" w:sz="4" w:space="0"/>
              <w:left w:val="single" w:color="000000" w:sz="4" w:space="0"/>
              <w:bottom w:val="single" w:color="000000" w:sz="4" w:space="0"/>
              <w:right w:val="single" w:color="000000" w:sz="4" w:space="0"/>
            </w:tcBorders>
            <w:noWrap w:val="0"/>
            <w:vAlign w:val="top"/>
          </w:tcPr>
          <w:p w14:paraId="6B948513">
            <w:pPr>
              <w:widowControl/>
              <w:spacing w:line="360" w:lineRule="auto"/>
              <w:rPr>
                <w:rFonts w:hint="eastAsia" w:ascii="宋体" w:hAnsi="宋体" w:eastAsia="宋体" w:cs="宋体"/>
                <w:color w:val="auto"/>
                <w:sz w:val="21"/>
                <w:szCs w:val="21"/>
                <w:highlight w:val="none"/>
                <w:lang w:val="zh-TW" w:eastAsia="zh-TW"/>
              </w:rPr>
            </w:pPr>
            <w:r>
              <w:rPr>
                <w:rFonts w:hint="eastAsia" w:ascii="宋体" w:hAnsi="宋体" w:eastAsia="宋体" w:cs="宋体"/>
                <w:color w:val="auto"/>
                <w:sz w:val="21"/>
                <w:szCs w:val="21"/>
                <w:highlight w:val="none"/>
                <w:lang w:val="zh-TW" w:eastAsia="zh-TW"/>
              </w:rPr>
              <w:t>评委根据各供应商提供的项目进度计划和各阶段进度的保证措施的思路清晰、准确、完整，计划进行评分：</w:t>
            </w:r>
          </w:p>
          <w:p w14:paraId="3EAD86B4">
            <w:pPr>
              <w:widowControl/>
              <w:spacing w:line="360" w:lineRule="auto"/>
              <w:rPr>
                <w:rFonts w:hint="eastAsia" w:ascii="宋体" w:hAnsi="宋体" w:eastAsia="宋体" w:cs="宋体"/>
                <w:color w:val="auto"/>
                <w:sz w:val="21"/>
                <w:szCs w:val="21"/>
                <w:highlight w:val="none"/>
                <w:lang w:val="zh-TW" w:eastAsia="zh-TW"/>
              </w:rPr>
            </w:pPr>
            <w:r>
              <w:rPr>
                <w:rFonts w:hint="eastAsia" w:ascii="宋体" w:hAnsi="宋体" w:eastAsia="宋体" w:cs="宋体"/>
                <w:color w:val="auto"/>
                <w:sz w:val="21"/>
                <w:szCs w:val="21"/>
                <w:highlight w:val="none"/>
                <w:lang w:val="zh-TW" w:eastAsia="zh-TW"/>
              </w:rPr>
              <w:t>（1）进度计划安排清晰完整、严谨、科学合理，针对性强、可操作性强的得</w:t>
            </w:r>
            <w:r>
              <w:rPr>
                <w:rFonts w:hint="eastAsia" w:ascii="宋体" w:hAnsi="宋体" w:eastAsia="宋体" w:cs="宋体"/>
                <w:color w:val="auto"/>
                <w:sz w:val="21"/>
                <w:szCs w:val="21"/>
                <w:highlight w:val="none"/>
                <w:lang w:val="en-US" w:eastAsia="zh-TW"/>
              </w:rPr>
              <w:t>6</w:t>
            </w:r>
            <w:r>
              <w:rPr>
                <w:rFonts w:hint="eastAsia" w:ascii="宋体" w:hAnsi="宋体" w:eastAsia="宋体" w:cs="宋体"/>
                <w:color w:val="auto"/>
                <w:sz w:val="21"/>
                <w:szCs w:val="21"/>
                <w:highlight w:val="none"/>
                <w:lang w:val="zh-TW" w:eastAsia="zh-TW"/>
              </w:rPr>
              <w:t>分；</w:t>
            </w:r>
          </w:p>
          <w:p w14:paraId="1D7332DC">
            <w:pPr>
              <w:widowControl/>
              <w:spacing w:line="360" w:lineRule="auto"/>
              <w:rPr>
                <w:rFonts w:hint="eastAsia" w:ascii="宋体" w:hAnsi="宋体" w:eastAsia="宋体" w:cs="宋体"/>
                <w:color w:val="auto"/>
                <w:sz w:val="21"/>
                <w:szCs w:val="21"/>
                <w:highlight w:val="none"/>
                <w:lang w:val="zh-TW" w:eastAsia="zh-TW"/>
              </w:rPr>
            </w:pPr>
            <w:r>
              <w:rPr>
                <w:rFonts w:hint="eastAsia" w:ascii="宋体" w:hAnsi="宋体" w:eastAsia="宋体" w:cs="宋体"/>
                <w:color w:val="auto"/>
                <w:sz w:val="21"/>
                <w:szCs w:val="21"/>
                <w:highlight w:val="none"/>
                <w:lang w:val="zh-TW" w:eastAsia="zh-TW"/>
              </w:rPr>
              <w:t>（2）进度计划安排清晰完整但不够严谨、合理，具有针对性和可操作性的得</w:t>
            </w:r>
            <w:r>
              <w:rPr>
                <w:rFonts w:hint="eastAsia" w:ascii="宋体" w:hAnsi="宋体" w:eastAsia="宋体" w:cs="宋体"/>
                <w:color w:val="auto"/>
                <w:sz w:val="21"/>
                <w:szCs w:val="21"/>
                <w:highlight w:val="none"/>
                <w:lang w:val="en-US" w:eastAsia="zh-TW"/>
              </w:rPr>
              <w:t>4</w:t>
            </w:r>
            <w:r>
              <w:rPr>
                <w:rFonts w:hint="eastAsia" w:ascii="宋体" w:hAnsi="宋体" w:eastAsia="宋体" w:cs="宋体"/>
                <w:color w:val="auto"/>
                <w:sz w:val="21"/>
                <w:szCs w:val="21"/>
                <w:highlight w:val="none"/>
                <w:lang w:val="zh-TW" w:eastAsia="zh-TW"/>
              </w:rPr>
              <w:t>分；</w:t>
            </w:r>
          </w:p>
          <w:p w14:paraId="261FA46A">
            <w:pPr>
              <w:widowControl/>
              <w:spacing w:line="360" w:lineRule="auto"/>
              <w:rPr>
                <w:rFonts w:hint="eastAsia" w:ascii="宋体" w:hAnsi="宋体" w:eastAsia="宋体" w:cs="宋体"/>
                <w:color w:val="auto"/>
                <w:sz w:val="21"/>
                <w:szCs w:val="21"/>
                <w:highlight w:val="none"/>
                <w:lang w:val="zh-TW" w:eastAsia="zh-TW"/>
              </w:rPr>
            </w:pPr>
            <w:r>
              <w:rPr>
                <w:rFonts w:hint="eastAsia" w:ascii="宋体" w:hAnsi="宋体" w:eastAsia="宋体" w:cs="宋体"/>
                <w:color w:val="auto"/>
                <w:sz w:val="21"/>
                <w:szCs w:val="21"/>
                <w:highlight w:val="none"/>
                <w:lang w:val="zh-TW" w:eastAsia="zh-TW"/>
              </w:rPr>
              <w:t>（3）进度计划安排清晰但不够完整、无针对性，可操作性一般的得</w:t>
            </w:r>
            <w:r>
              <w:rPr>
                <w:rFonts w:hint="eastAsia" w:ascii="宋体" w:hAnsi="宋体" w:eastAsia="宋体" w:cs="宋体"/>
                <w:color w:val="auto"/>
                <w:sz w:val="21"/>
                <w:szCs w:val="21"/>
                <w:highlight w:val="none"/>
                <w:lang w:val="en-US" w:eastAsia="zh-TW"/>
              </w:rPr>
              <w:t>2</w:t>
            </w:r>
            <w:r>
              <w:rPr>
                <w:rFonts w:hint="eastAsia" w:ascii="宋体" w:hAnsi="宋体" w:eastAsia="宋体" w:cs="宋体"/>
                <w:color w:val="auto"/>
                <w:sz w:val="21"/>
                <w:szCs w:val="21"/>
                <w:highlight w:val="none"/>
                <w:lang w:val="zh-TW" w:eastAsia="zh-TW"/>
              </w:rPr>
              <w:t>分；</w:t>
            </w:r>
          </w:p>
          <w:p w14:paraId="34E36597">
            <w:pPr>
              <w:widowControl/>
              <w:spacing w:line="360" w:lineRule="auto"/>
              <w:rPr>
                <w:rFonts w:hint="eastAsia" w:ascii="宋体" w:hAnsi="宋体" w:eastAsia="宋体" w:cs="宋体"/>
                <w:color w:val="auto"/>
                <w:sz w:val="21"/>
                <w:szCs w:val="21"/>
                <w:highlight w:val="none"/>
                <w:lang w:val="zh-TW" w:eastAsia="zh-TW"/>
              </w:rPr>
            </w:pPr>
            <w:r>
              <w:rPr>
                <w:rFonts w:hint="eastAsia" w:ascii="宋体" w:hAnsi="宋体" w:eastAsia="宋体" w:cs="宋体"/>
                <w:color w:val="auto"/>
                <w:sz w:val="21"/>
                <w:szCs w:val="21"/>
                <w:highlight w:val="none"/>
                <w:lang w:val="zh-TW" w:eastAsia="zh-TW"/>
              </w:rPr>
              <w:t>（4）未提供不得分。</w:t>
            </w:r>
          </w:p>
        </w:tc>
      </w:tr>
      <w:tr w14:paraId="6B665E38">
        <w:tblPrEx>
          <w:tblCellMar>
            <w:top w:w="0" w:type="dxa"/>
            <w:left w:w="108" w:type="dxa"/>
            <w:bottom w:w="0" w:type="dxa"/>
            <w:right w:w="108" w:type="dxa"/>
          </w:tblCellMar>
        </w:tblPrEx>
        <w:trPr>
          <w:trHeight w:val="404" w:hRule="atLeast"/>
        </w:trPr>
        <w:tc>
          <w:tcPr>
            <w:tcW w:w="313" w:type="pct"/>
            <w:vMerge w:val="continue"/>
            <w:tcBorders>
              <w:top w:val="single" w:color="000000" w:sz="4" w:space="0"/>
              <w:left w:val="single" w:color="000000" w:sz="4" w:space="0"/>
              <w:bottom w:val="nil"/>
              <w:right w:val="single" w:color="000000" w:sz="4" w:space="0"/>
            </w:tcBorders>
            <w:noWrap w:val="0"/>
            <w:vAlign w:val="center"/>
          </w:tcPr>
          <w:p w14:paraId="6C5F17D1">
            <w:pPr>
              <w:spacing w:line="360" w:lineRule="auto"/>
              <w:jc w:val="center"/>
              <w:rPr>
                <w:rFonts w:hint="eastAsia" w:ascii="宋体" w:hAnsi="宋体" w:eastAsia="宋体" w:cs="宋体"/>
                <w:color w:val="auto"/>
                <w:sz w:val="21"/>
                <w:szCs w:val="21"/>
                <w:highlight w:val="none"/>
                <w:lang w:eastAsia="zh-CN"/>
              </w:rPr>
            </w:pPr>
          </w:p>
        </w:tc>
        <w:tc>
          <w:tcPr>
            <w:tcW w:w="738" w:type="pct"/>
            <w:vMerge w:val="continue"/>
            <w:tcBorders>
              <w:top w:val="single" w:color="000000" w:sz="4" w:space="0"/>
              <w:left w:val="nil"/>
              <w:bottom w:val="nil"/>
              <w:right w:val="single" w:color="000000" w:sz="4" w:space="0"/>
            </w:tcBorders>
            <w:noWrap w:val="0"/>
            <w:vAlign w:val="center"/>
          </w:tcPr>
          <w:p w14:paraId="028755CC">
            <w:pPr>
              <w:spacing w:line="360" w:lineRule="auto"/>
              <w:jc w:val="center"/>
              <w:rPr>
                <w:rFonts w:hint="eastAsia" w:ascii="宋体" w:hAnsi="宋体" w:eastAsia="宋体" w:cs="宋体"/>
                <w:color w:val="auto"/>
                <w:sz w:val="21"/>
                <w:szCs w:val="21"/>
                <w:highlight w:val="none"/>
                <w:lang w:eastAsia="zh-CN"/>
              </w:rPr>
            </w:pPr>
          </w:p>
        </w:tc>
        <w:tc>
          <w:tcPr>
            <w:tcW w:w="334" w:type="pct"/>
            <w:tcBorders>
              <w:top w:val="single" w:color="000000" w:sz="4" w:space="0"/>
              <w:left w:val="nil"/>
              <w:bottom w:val="single" w:color="000000" w:sz="4" w:space="0"/>
              <w:right w:val="single" w:color="000000" w:sz="4" w:space="0"/>
            </w:tcBorders>
            <w:noWrap w:val="0"/>
            <w:vAlign w:val="center"/>
          </w:tcPr>
          <w:p w14:paraId="2C97C8A6">
            <w:pPr>
              <w:widowControl/>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3613" w:type="pct"/>
            <w:tcBorders>
              <w:top w:val="single" w:color="000000" w:sz="4" w:space="0"/>
              <w:left w:val="nil"/>
              <w:bottom w:val="single" w:color="000000" w:sz="4" w:space="0"/>
              <w:right w:val="single" w:color="000000" w:sz="4" w:space="0"/>
            </w:tcBorders>
            <w:noWrap w:val="0"/>
            <w:vAlign w:val="top"/>
          </w:tcPr>
          <w:p w14:paraId="483FA2DE">
            <w:pPr>
              <w:widowControl/>
              <w:spacing w:line="360" w:lineRule="auto"/>
              <w:rPr>
                <w:rFonts w:hint="eastAsia" w:ascii="宋体" w:hAnsi="宋体" w:eastAsia="宋体" w:cs="宋体"/>
                <w:color w:val="auto"/>
                <w:sz w:val="21"/>
                <w:szCs w:val="21"/>
                <w:highlight w:val="none"/>
                <w:lang w:val="zh-TW" w:eastAsia="zh-TW"/>
              </w:rPr>
            </w:pPr>
            <w:r>
              <w:rPr>
                <w:rFonts w:hint="eastAsia" w:ascii="宋体" w:hAnsi="宋体" w:eastAsia="宋体" w:cs="宋体"/>
                <w:color w:val="auto"/>
                <w:sz w:val="21"/>
                <w:szCs w:val="21"/>
                <w:highlight w:val="none"/>
                <w:lang w:val="zh-TW" w:eastAsia="zh-TW"/>
              </w:rPr>
              <w:t>评委根据供应商提供的针对本项目的劳动力、机械设备和材料投入计划等进行评分：</w:t>
            </w:r>
          </w:p>
          <w:p w14:paraId="281C03C7">
            <w:pPr>
              <w:widowControl/>
              <w:spacing w:line="360" w:lineRule="auto"/>
              <w:rPr>
                <w:rFonts w:hint="eastAsia" w:ascii="宋体" w:hAnsi="宋体" w:eastAsia="宋体" w:cs="宋体"/>
                <w:color w:val="auto"/>
                <w:sz w:val="21"/>
                <w:szCs w:val="21"/>
                <w:highlight w:val="none"/>
                <w:lang w:val="zh-TW" w:eastAsia="zh-TW"/>
              </w:rPr>
            </w:pPr>
            <w:r>
              <w:rPr>
                <w:rFonts w:hint="eastAsia" w:ascii="宋体" w:hAnsi="宋体" w:eastAsia="宋体" w:cs="宋体"/>
                <w:color w:val="auto"/>
                <w:sz w:val="21"/>
                <w:szCs w:val="21"/>
                <w:highlight w:val="none"/>
                <w:lang w:val="zh-TW" w:eastAsia="zh-TW"/>
              </w:rPr>
              <w:t>（1）劳动力、机械设备和材料投入计划科学合理，针对性强、可操作性强的得</w:t>
            </w:r>
            <w:r>
              <w:rPr>
                <w:rFonts w:hint="eastAsia" w:ascii="宋体" w:hAnsi="宋体" w:eastAsia="宋体" w:cs="宋体"/>
                <w:color w:val="auto"/>
                <w:sz w:val="21"/>
                <w:szCs w:val="21"/>
                <w:highlight w:val="none"/>
                <w:lang w:val="en-US" w:eastAsia="zh-TW"/>
              </w:rPr>
              <w:t>6</w:t>
            </w:r>
            <w:r>
              <w:rPr>
                <w:rFonts w:hint="eastAsia" w:ascii="宋体" w:hAnsi="宋体" w:eastAsia="宋体" w:cs="宋体"/>
                <w:color w:val="auto"/>
                <w:sz w:val="21"/>
                <w:szCs w:val="21"/>
                <w:highlight w:val="none"/>
                <w:lang w:val="zh-TW" w:eastAsia="zh-TW"/>
              </w:rPr>
              <w:t>分；</w:t>
            </w:r>
          </w:p>
          <w:p w14:paraId="3E3286D7">
            <w:pPr>
              <w:widowControl/>
              <w:spacing w:line="360" w:lineRule="auto"/>
              <w:rPr>
                <w:rFonts w:hint="eastAsia" w:ascii="宋体" w:hAnsi="宋体" w:eastAsia="宋体" w:cs="宋体"/>
                <w:color w:val="auto"/>
                <w:sz w:val="21"/>
                <w:szCs w:val="21"/>
                <w:highlight w:val="none"/>
                <w:lang w:val="zh-TW" w:eastAsia="zh-TW"/>
              </w:rPr>
            </w:pPr>
            <w:r>
              <w:rPr>
                <w:rFonts w:hint="eastAsia" w:ascii="宋体" w:hAnsi="宋体" w:eastAsia="宋体" w:cs="宋体"/>
                <w:color w:val="auto"/>
                <w:sz w:val="21"/>
                <w:szCs w:val="21"/>
                <w:highlight w:val="none"/>
                <w:lang w:val="zh-TW" w:eastAsia="zh-TW"/>
              </w:rPr>
              <w:t>（2）劳动力、机械设备和材料投入计划合理但不够科学，具有针对性和可操作性的得</w:t>
            </w:r>
            <w:r>
              <w:rPr>
                <w:rFonts w:hint="eastAsia" w:ascii="宋体" w:hAnsi="宋体" w:eastAsia="宋体" w:cs="宋体"/>
                <w:color w:val="auto"/>
                <w:sz w:val="21"/>
                <w:szCs w:val="21"/>
                <w:highlight w:val="none"/>
                <w:lang w:val="en-US" w:eastAsia="zh-TW"/>
              </w:rPr>
              <w:t>4</w:t>
            </w:r>
            <w:r>
              <w:rPr>
                <w:rFonts w:hint="eastAsia" w:ascii="宋体" w:hAnsi="宋体" w:eastAsia="宋体" w:cs="宋体"/>
                <w:color w:val="auto"/>
                <w:sz w:val="21"/>
                <w:szCs w:val="21"/>
                <w:highlight w:val="none"/>
                <w:lang w:val="zh-TW" w:eastAsia="zh-TW"/>
              </w:rPr>
              <w:t>分；</w:t>
            </w:r>
          </w:p>
          <w:p w14:paraId="5997DD16">
            <w:pPr>
              <w:widowControl/>
              <w:spacing w:line="360" w:lineRule="auto"/>
              <w:rPr>
                <w:rFonts w:hint="eastAsia" w:ascii="宋体" w:hAnsi="宋体" w:eastAsia="宋体" w:cs="宋体"/>
                <w:color w:val="auto"/>
                <w:sz w:val="21"/>
                <w:szCs w:val="21"/>
                <w:highlight w:val="none"/>
                <w:lang w:val="zh-TW" w:eastAsia="zh-TW"/>
              </w:rPr>
            </w:pPr>
            <w:r>
              <w:rPr>
                <w:rFonts w:hint="eastAsia" w:ascii="宋体" w:hAnsi="宋体" w:eastAsia="宋体" w:cs="宋体"/>
                <w:color w:val="auto"/>
                <w:sz w:val="21"/>
                <w:szCs w:val="21"/>
                <w:highlight w:val="none"/>
                <w:lang w:val="zh-TW" w:eastAsia="zh-TW"/>
              </w:rPr>
              <w:t>（3）劳动力、机械设备和材料投入计划无针对性，可操作性一般的得</w:t>
            </w:r>
            <w:r>
              <w:rPr>
                <w:rFonts w:hint="eastAsia" w:ascii="宋体" w:hAnsi="宋体" w:eastAsia="宋体" w:cs="宋体"/>
                <w:color w:val="auto"/>
                <w:sz w:val="21"/>
                <w:szCs w:val="21"/>
                <w:highlight w:val="none"/>
                <w:lang w:val="en-US" w:eastAsia="zh-TW"/>
              </w:rPr>
              <w:t>2</w:t>
            </w:r>
            <w:r>
              <w:rPr>
                <w:rFonts w:hint="eastAsia" w:ascii="宋体" w:hAnsi="宋体" w:eastAsia="宋体" w:cs="宋体"/>
                <w:color w:val="auto"/>
                <w:sz w:val="21"/>
                <w:szCs w:val="21"/>
                <w:highlight w:val="none"/>
                <w:lang w:val="zh-TW" w:eastAsia="zh-TW"/>
              </w:rPr>
              <w:t>分；</w:t>
            </w:r>
          </w:p>
          <w:p w14:paraId="65985BA2">
            <w:pPr>
              <w:widowControl/>
              <w:spacing w:line="360" w:lineRule="auto"/>
              <w:rPr>
                <w:rFonts w:hint="eastAsia" w:ascii="宋体" w:hAnsi="宋体" w:eastAsia="宋体" w:cs="宋体"/>
                <w:color w:val="auto"/>
                <w:sz w:val="21"/>
                <w:szCs w:val="21"/>
                <w:highlight w:val="none"/>
                <w:lang w:val="zh-TW" w:eastAsia="zh-CN"/>
              </w:rPr>
            </w:pPr>
            <w:r>
              <w:rPr>
                <w:rFonts w:hint="eastAsia" w:ascii="宋体" w:hAnsi="宋体" w:eastAsia="宋体" w:cs="宋体"/>
                <w:color w:val="auto"/>
                <w:sz w:val="21"/>
                <w:szCs w:val="21"/>
                <w:highlight w:val="none"/>
                <w:lang w:val="zh-TW" w:eastAsia="zh-TW"/>
              </w:rPr>
              <w:t>（4）未提供不得分。</w:t>
            </w:r>
          </w:p>
        </w:tc>
      </w:tr>
      <w:tr w14:paraId="6489D690">
        <w:tblPrEx>
          <w:tblCellMar>
            <w:top w:w="0" w:type="dxa"/>
            <w:left w:w="108" w:type="dxa"/>
            <w:bottom w:w="0" w:type="dxa"/>
            <w:right w:w="108" w:type="dxa"/>
          </w:tblCellMar>
        </w:tblPrEx>
        <w:trPr>
          <w:trHeight w:val="412" w:hRule="atLeast"/>
        </w:trPr>
        <w:tc>
          <w:tcPr>
            <w:tcW w:w="313" w:type="pct"/>
            <w:vMerge w:val="continue"/>
            <w:tcBorders>
              <w:top w:val="nil"/>
              <w:left w:val="single" w:color="000000" w:sz="4" w:space="0"/>
              <w:bottom w:val="single" w:color="000000" w:sz="4" w:space="0"/>
              <w:right w:val="single" w:color="000000" w:sz="4" w:space="0"/>
            </w:tcBorders>
            <w:noWrap w:val="0"/>
            <w:vAlign w:val="center"/>
          </w:tcPr>
          <w:p w14:paraId="301580A0">
            <w:pPr>
              <w:spacing w:line="360" w:lineRule="auto"/>
              <w:jc w:val="center"/>
              <w:rPr>
                <w:rFonts w:hint="eastAsia" w:ascii="宋体" w:hAnsi="宋体" w:eastAsia="宋体" w:cs="宋体"/>
                <w:color w:val="auto"/>
                <w:sz w:val="21"/>
                <w:szCs w:val="21"/>
                <w:highlight w:val="none"/>
                <w:lang w:eastAsia="zh-CN"/>
              </w:rPr>
            </w:pPr>
          </w:p>
        </w:tc>
        <w:tc>
          <w:tcPr>
            <w:tcW w:w="738" w:type="pct"/>
            <w:vMerge w:val="continue"/>
            <w:tcBorders>
              <w:top w:val="nil"/>
              <w:left w:val="nil"/>
              <w:bottom w:val="single" w:color="000000" w:sz="4" w:space="0"/>
              <w:right w:val="single" w:color="000000" w:sz="4" w:space="0"/>
            </w:tcBorders>
            <w:noWrap w:val="0"/>
            <w:vAlign w:val="center"/>
          </w:tcPr>
          <w:p w14:paraId="61450B3E">
            <w:pPr>
              <w:spacing w:line="360" w:lineRule="auto"/>
              <w:jc w:val="center"/>
              <w:rPr>
                <w:rFonts w:hint="eastAsia" w:ascii="宋体" w:hAnsi="宋体" w:eastAsia="宋体" w:cs="宋体"/>
                <w:color w:val="auto"/>
                <w:sz w:val="21"/>
                <w:szCs w:val="21"/>
                <w:highlight w:val="none"/>
                <w:lang w:eastAsia="zh-CN"/>
              </w:rPr>
            </w:pPr>
          </w:p>
        </w:tc>
        <w:tc>
          <w:tcPr>
            <w:tcW w:w="334" w:type="pct"/>
            <w:tcBorders>
              <w:top w:val="single" w:color="000000" w:sz="4" w:space="0"/>
              <w:left w:val="nil"/>
              <w:bottom w:val="single" w:color="000000" w:sz="4" w:space="0"/>
              <w:right w:val="single" w:color="000000" w:sz="4" w:space="0"/>
            </w:tcBorders>
            <w:noWrap w:val="0"/>
            <w:vAlign w:val="center"/>
          </w:tcPr>
          <w:p w14:paraId="4E6BE015">
            <w:pPr>
              <w:widowControl/>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3613" w:type="pct"/>
            <w:tcBorders>
              <w:top w:val="single" w:color="000000" w:sz="4" w:space="0"/>
              <w:left w:val="nil"/>
              <w:bottom w:val="single" w:color="000000" w:sz="4" w:space="0"/>
              <w:right w:val="single" w:color="000000" w:sz="4" w:space="0"/>
            </w:tcBorders>
            <w:noWrap w:val="0"/>
            <w:vAlign w:val="top"/>
          </w:tcPr>
          <w:p w14:paraId="6C60DE24">
            <w:pPr>
              <w:widowControl/>
              <w:spacing w:line="360" w:lineRule="auto"/>
              <w:rPr>
                <w:rFonts w:hint="eastAsia" w:ascii="宋体" w:hAnsi="宋体" w:eastAsia="宋体" w:cs="宋体"/>
                <w:color w:val="auto"/>
                <w:sz w:val="21"/>
                <w:szCs w:val="21"/>
                <w:highlight w:val="none"/>
                <w:lang w:val="zh-TW" w:eastAsia="zh-TW"/>
              </w:rPr>
            </w:pPr>
            <w:r>
              <w:rPr>
                <w:rFonts w:hint="eastAsia" w:ascii="宋体" w:hAnsi="宋体" w:eastAsia="宋体" w:cs="宋体"/>
                <w:color w:val="auto"/>
                <w:sz w:val="21"/>
                <w:szCs w:val="21"/>
                <w:highlight w:val="none"/>
                <w:lang w:val="zh-TW" w:eastAsia="zh-TW"/>
              </w:rPr>
              <w:t xml:space="preserve">评委根据供应商提供的针对本项目质量保证体系及措施符合规范要求，各项措施方法可靠、详尽，有质量保证承诺等进行评分： </w:t>
            </w:r>
          </w:p>
          <w:p w14:paraId="73CF03E2">
            <w:pPr>
              <w:widowControl/>
              <w:spacing w:line="360" w:lineRule="auto"/>
              <w:rPr>
                <w:rFonts w:hint="eastAsia" w:ascii="宋体" w:hAnsi="宋体" w:eastAsia="宋体" w:cs="宋体"/>
                <w:color w:val="auto"/>
                <w:sz w:val="21"/>
                <w:szCs w:val="21"/>
                <w:highlight w:val="none"/>
                <w:lang w:val="zh-TW" w:eastAsia="zh-TW"/>
              </w:rPr>
            </w:pPr>
            <w:r>
              <w:rPr>
                <w:rFonts w:hint="eastAsia" w:ascii="宋体" w:hAnsi="宋体" w:eastAsia="宋体" w:cs="宋体"/>
                <w:color w:val="auto"/>
                <w:sz w:val="21"/>
                <w:szCs w:val="21"/>
                <w:highlight w:val="none"/>
                <w:lang w:val="zh-TW" w:eastAsia="zh-TW"/>
              </w:rPr>
              <w:t>（1）质量保证体系及措施表述清晰完整、严谨、科学合理，针对性强、可操作性强的得</w:t>
            </w:r>
            <w:r>
              <w:rPr>
                <w:rFonts w:hint="eastAsia" w:ascii="宋体" w:hAnsi="宋体" w:eastAsia="宋体" w:cs="宋体"/>
                <w:color w:val="auto"/>
                <w:sz w:val="21"/>
                <w:szCs w:val="21"/>
                <w:highlight w:val="none"/>
                <w:lang w:val="en-US" w:eastAsia="zh-TW"/>
              </w:rPr>
              <w:t>6</w:t>
            </w:r>
            <w:r>
              <w:rPr>
                <w:rFonts w:hint="eastAsia" w:ascii="宋体" w:hAnsi="宋体" w:eastAsia="宋体" w:cs="宋体"/>
                <w:color w:val="auto"/>
                <w:sz w:val="21"/>
                <w:szCs w:val="21"/>
                <w:highlight w:val="none"/>
                <w:lang w:val="zh-TW" w:eastAsia="zh-TW"/>
              </w:rPr>
              <w:t>分；</w:t>
            </w:r>
          </w:p>
          <w:p w14:paraId="64B8CA12">
            <w:pPr>
              <w:widowControl/>
              <w:spacing w:line="360" w:lineRule="auto"/>
              <w:rPr>
                <w:rFonts w:hint="eastAsia" w:ascii="宋体" w:hAnsi="宋体" w:eastAsia="宋体" w:cs="宋体"/>
                <w:color w:val="auto"/>
                <w:sz w:val="21"/>
                <w:szCs w:val="21"/>
                <w:highlight w:val="none"/>
                <w:lang w:val="zh-TW" w:eastAsia="zh-TW"/>
              </w:rPr>
            </w:pPr>
            <w:r>
              <w:rPr>
                <w:rFonts w:hint="eastAsia" w:ascii="宋体" w:hAnsi="宋体" w:eastAsia="宋体" w:cs="宋体"/>
                <w:color w:val="auto"/>
                <w:sz w:val="21"/>
                <w:szCs w:val="21"/>
                <w:highlight w:val="none"/>
                <w:lang w:val="zh-TW" w:eastAsia="zh-TW"/>
              </w:rPr>
              <w:t>（2）质量保证体系及措施表述清晰完整但不够严谨、合理，具有针对性和可操作性的得</w:t>
            </w:r>
            <w:r>
              <w:rPr>
                <w:rFonts w:hint="eastAsia" w:ascii="宋体" w:hAnsi="宋体" w:eastAsia="宋体" w:cs="宋体"/>
                <w:color w:val="auto"/>
                <w:sz w:val="21"/>
                <w:szCs w:val="21"/>
                <w:highlight w:val="none"/>
                <w:lang w:val="en-US" w:eastAsia="zh-TW"/>
              </w:rPr>
              <w:t>4</w:t>
            </w:r>
            <w:r>
              <w:rPr>
                <w:rFonts w:hint="eastAsia" w:ascii="宋体" w:hAnsi="宋体" w:eastAsia="宋体" w:cs="宋体"/>
                <w:color w:val="auto"/>
                <w:sz w:val="21"/>
                <w:szCs w:val="21"/>
                <w:highlight w:val="none"/>
                <w:lang w:val="zh-TW" w:eastAsia="zh-TW"/>
              </w:rPr>
              <w:t>分；</w:t>
            </w:r>
          </w:p>
          <w:p w14:paraId="7AA63194">
            <w:pPr>
              <w:widowControl/>
              <w:spacing w:line="360" w:lineRule="auto"/>
              <w:rPr>
                <w:rFonts w:hint="eastAsia" w:ascii="宋体" w:hAnsi="宋体" w:eastAsia="宋体" w:cs="宋体"/>
                <w:color w:val="auto"/>
                <w:sz w:val="21"/>
                <w:szCs w:val="21"/>
                <w:highlight w:val="none"/>
                <w:lang w:val="zh-TW" w:eastAsia="zh-TW"/>
              </w:rPr>
            </w:pPr>
            <w:r>
              <w:rPr>
                <w:rFonts w:hint="eastAsia" w:ascii="宋体" w:hAnsi="宋体" w:eastAsia="宋体" w:cs="宋体"/>
                <w:color w:val="auto"/>
                <w:sz w:val="21"/>
                <w:szCs w:val="21"/>
                <w:highlight w:val="none"/>
                <w:lang w:val="zh-TW" w:eastAsia="zh-TW"/>
              </w:rPr>
              <w:t>（3）质量保证体系及措施表述清晰但不够完整、无针对性，可操作性一般的得</w:t>
            </w:r>
            <w:r>
              <w:rPr>
                <w:rFonts w:hint="eastAsia" w:ascii="宋体" w:hAnsi="宋体" w:eastAsia="宋体" w:cs="宋体"/>
                <w:color w:val="auto"/>
                <w:sz w:val="21"/>
                <w:szCs w:val="21"/>
                <w:highlight w:val="none"/>
                <w:lang w:val="en-US" w:eastAsia="zh-TW"/>
              </w:rPr>
              <w:t>2</w:t>
            </w:r>
            <w:r>
              <w:rPr>
                <w:rFonts w:hint="eastAsia" w:ascii="宋体" w:hAnsi="宋体" w:eastAsia="宋体" w:cs="宋体"/>
                <w:color w:val="auto"/>
                <w:sz w:val="21"/>
                <w:szCs w:val="21"/>
                <w:highlight w:val="none"/>
                <w:lang w:val="zh-TW" w:eastAsia="zh-TW"/>
              </w:rPr>
              <w:t>分；</w:t>
            </w:r>
          </w:p>
          <w:p w14:paraId="636AD377">
            <w:pPr>
              <w:widowControl/>
              <w:spacing w:line="360" w:lineRule="auto"/>
              <w:rPr>
                <w:rFonts w:hint="eastAsia" w:ascii="宋体" w:hAnsi="宋体" w:eastAsia="宋体" w:cs="宋体"/>
                <w:color w:val="auto"/>
                <w:sz w:val="21"/>
                <w:szCs w:val="21"/>
                <w:highlight w:val="none"/>
                <w:lang w:val="zh-TW" w:eastAsia="zh-CN"/>
              </w:rPr>
            </w:pPr>
            <w:r>
              <w:rPr>
                <w:rFonts w:hint="eastAsia" w:ascii="宋体" w:hAnsi="宋体" w:eastAsia="宋体" w:cs="宋体"/>
                <w:color w:val="auto"/>
                <w:sz w:val="21"/>
                <w:szCs w:val="21"/>
                <w:highlight w:val="none"/>
                <w:lang w:val="zh-TW" w:eastAsia="zh-TW"/>
              </w:rPr>
              <w:t>（4）未提供不得分。</w:t>
            </w:r>
          </w:p>
        </w:tc>
      </w:tr>
      <w:tr w14:paraId="21F95F8B">
        <w:tblPrEx>
          <w:tblCellMar>
            <w:top w:w="0" w:type="dxa"/>
            <w:left w:w="108" w:type="dxa"/>
            <w:bottom w:w="0" w:type="dxa"/>
            <w:right w:w="108" w:type="dxa"/>
          </w:tblCellMar>
        </w:tblPrEx>
        <w:trPr>
          <w:trHeight w:val="185" w:hRule="atLeast"/>
        </w:trPr>
        <w:tc>
          <w:tcPr>
            <w:tcW w:w="3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46C55121">
            <w:pPr>
              <w:spacing w:line="360" w:lineRule="auto"/>
              <w:jc w:val="center"/>
              <w:rPr>
                <w:rFonts w:hint="eastAsia" w:ascii="宋体" w:hAnsi="宋体" w:eastAsia="宋体" w:cs="宋体"/>
                <w:color w:val="auto"/>
                <w:sz w:val="21"/>
                <w:szCs w:val="21"/>
                <w:highlight w:val="none"/>
                <w:lang w:eastAsia="zh-CN"/>
              </w:rPr>
            </w:pPr>
          </w:p>
        </w:tc>
        <w:tc>
          <w:tcPr>
            <w:tcW w:w="738" w:type="pct"/>
            <w:vMerge w:val="continue"/>
            <w:tcBorders>
              <w:top w:val="single" w:color="000000" w:sz="4" w:space="0"/>
              <w:left w:val="single" w:color="000000" w:sz="4" w:space="0"/>
              <w:bottom w:val="single" w:color="000000" w:sz="4" w:space="0"/>
              <w:right w:val="single" w:color="000000" w:sz="4" w:space="0"/>
            </w:tcBorders>
            <w:noWrap w:val="0"/>
            <w:vAlign w:val="center"/>
          </w:tcPr>
          <w:p w14:paraId="2B6B0464">
            <w:pPr>
              <w:spacing w:line="360" w:lineRule="auto"/>
              <w:jc w:val="center"/>
              <w:rPr>
                <w:rFonts w:hint="eastAsia" w:ascii="宋体" w:hAnsi="宋体" w:eastAsia="宋体" w:cs="宋体"/>
                <w:color w:val="auto"/>
                <w:sz w:val="21"/>
                <w:szCs w:val="21"/>
                <w:highlight w:val="none"/>
                <w:lang w:eastAsia="zh-CN"/>
              </w:rPr>
            </w:pPr>
          </w:p>
        </w:tc>
        <w:tc>
          <w:tcPr>
            <w:tcW w:w="334" w:type="pct"/>
            <w:tcBorders>
              <w:top w:val="single" w:color="000000" w:sz="4" w:space="0"/>
              <w:left w:val="single" w:color="000000" w:sz="4" w:space="0"/>
              <w:bottom w:val="single" w:color="000000" w:sz="4" w:space="0"/>
              <w:right w:val="single" w:color="000000" w:sz="4" w:space="0"/>
            </w:tcBorders>
            <w:noWrap w:val="0"/>
            <w:vAlign w:val="center"/>
          </w:tcPr>
          <w:p w14:paraId="39E64865">
            <w:pPr>
              <w:widowControl/>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3613" w:type="pct"/>
            <w:tcBorders>
              <w:top w:val="single" w:color="000000" w:sz="4" w:space="0"/>
              <w:left w:val="single" w:color="000000" w:sz="4" w:space="0"/>
              <w:bottom w:val="single" w:color="000000" w:sz="4" w:space="0"/>
              <w:right w:val="single" w:color="000000" w:sz="4" w:space="0"/>
            </w:tcBorders>
            <w:noWrap w:val="0"/>
            <w:vAlign w:val="top"/>
          </w:tcPr>
          <w:p w14:paraId="7014A2C6">
            <w:pPr>
              <w:widowControl/>
              <w:spacing w:line="360" w:lineRule="auto"/>
              <w:rPr>
                <w:rFonts w:hint="eastAsia" w:ascii="宋体" w:hAnsi="宋体" w:eastAsia="宋体" w:cs="宋体"/>
                <w:color w:val="auto"/>
                <w:sz w:val="21"/>
                <w:szCs w:val="21"/>
                <w:highlight w:val="none"/>
                <w:lang w:val="zh-TW" w:eastAsia="zh-TW"/>
              </w:rPr>
            </w:pPr>
            <w:r>
              <w:rPr>
                <w:rFonts w:hint="eastAsia" w:ascii="宋体" w:hAnsi="宋体" w:eastAsia="宋体" w:cs="宋体"/>
                <w:color w:val="auto"/>
                <w:sz w:val="21"/>
                <w:szCs w:val="21"/>
                <w:highlight w:val="none"/>
                <w:lang w:val="zh-TW" w:eastAsia="zh-TW"/>
              </w:rPr>
              <w:t>评委根据供应商提供的针对本项目关键施工技术、工艺及工程项目实施的重点、难点和解决方案进行评分：</w:t>
            </w:r>
          </w:p>
          <w:p w14:paraId="30DF4A4C">
            <w:pPr>
              <w:widowControl/>
              <w:spacing w:line="360" w:lineRule="auto"/>
              <w:rPr>
                <w:rFonts w:hint="eastAsia" w:ascii="宋体" w:hAnsi="宋体" w:eastAsia="宋体" w:cs="宋体"/>
                <w:color w:val="auto"/>
                <w:sz w:val="21"/>
                <w:szCs w:val="21"/>
                <w:highlight w:val="none"/>
                <w:lang w:val="zh-TW" w:eastAsia="zh-TW"/>
              </w:rPr>
            </w:pPr>
            <w:r>
              <w:rPr>
                <w:rFonts w:hint="eastAsia" w:ascii="宋体" w:hAnsi="宋体" w:eastAsia="宋体" w:cs="宋体"/>
                <w:color w:val="auto"/>
                <w:sz w:val="21"/>
                <w:szCs w:val="21"/>
                <w:highlight w:val="none"/>
                <w:lang w:val="zh-TW" w:eastAsia="zh-TW"/>
              </w:rPr>
              <w:t>（1）关键方案表述清晰完整、严谨、科学合理，针对性强、可操作性强的得</w:t>
            </w:r>
            <w:r>
              <w:rPr>
                <w:rFonts w:hint="eastAsia" w:ascii="宋体" w:hAnsi="宋体" w:eastAsia="宋体" w:cs="宋体"/>
                <w:color w:val="auto"/>
                <w:sz w:val="21"/>
                <w:szCs w:val="21"/>
                <w:highlight w:val="none"/>
                <w:lang w:val="en-US" w:eastAsia="zh-TW"/>
              </w:rPr>
              <w:t>6</w:t>
            </w:r>
            <w:r>
              <w:rPr>
                <w:rFonts w:hint="eastAsia" w:ascii="宋体" w:hAnsi="宋体" w:eastAsia="宋体" w:cs="宋体"/>
                <w:color w:val="auto"/>
                <w:sz w:val="21"/>
                <w:szCs w:val="21"/>
                <w:highlight w:val="none"/>
                <w:lang w:val="zh-TW" w:eastAsia="zh-TW"/>
              </w:rPr>
              <w:t>分；</w:t>
            </w:r>
          </w:p>
          <w:p w14:paraId="5B8BC380">
            <w:pPr>
              <w:widowControl/>
              <w:spacing w:line="360" w:lineRule="auto"/>
              <w:rPr>
                <w:rFonts w:hint="eastAsia" w:ascii="宋体" w:hAnsi="宋体" w:eastAsia="宋体" w:cs="宋体"/>
                <w:color w:val="auto"/>
                <w:sz w:val="21"/>
                <w:szCs w:val="21"/>
                <w:highlight w:val="none"/>
                <w:lang w:val="zh-TW" w:eastAsia="zh-TW"/>
              </w:rPr>
            </w:pPr>
            <w:r>
              <w:rPr>
                <w:rFonts w:hint="eastAsia" w:ascii="宋体" w:hAnsi="宋体" w:eastAsia="宋体" w:cs="宋体"/>
                <w:color w:val="auto"/>
                <w:sz w:val="21"/>
                <w:szCs w:val="21"/>
                <w:highlight w:val="none"/>
                <w:lang w:val="zh-TW" w:eastAsia="zh-TW"/>
              </w:rPr>
              <w:t>（2）关键方案表述清晰完整但不够严谨、合理，具有针对性和可操作性的得</w:t>
            </w:r>
            <w:r>
              <w:rPr>
                <w:rFonts w:hint="eastAsia" w:ascii="宋体" w:hAnsi="宋体" w:eastAsia="宋体" w:cs="宋体"/>
                <w:color w:val="auto"/>
                <w:sz w:val="21"/>
                <w:szCs w:val="21"/>
                <w:highlight w:val="none"/>
                <w:lang w:val="en-US" w:eastAsia="zh-TW"/>
              </w:rPr>
              <w:t>4</w:t>
            </w:r>
            <w:r>
              <w:rPr>
                <w:rFonts w:hint="eastAsia" w:ascii="宋体" w:hAnsi="宋体" w:eastAsia="宋体" w:cs="宋体"/>
                <w:color w:val="auto"/>
                <w:sz w:val="21"/>
                <w:szCs w:val="21"/>
                <w:highlight w:val="none"/>
                <w:lang w:val="zh-TW" w:eastAsia="zh-TW"/>
              </w:rPr>
              <w:t>分；</w:t>
            </w:r>
          </w:p>
          <w:p w14:paraId="4A47231E">
            <w:pPr>
              <w:widowControl/>
              <w:spacing w:line="360" w:lineRule="auto"/>
              <w:rPr>
                <w:rFonts w:hint="eastAsia" w:ascii="宋体" w:hAnsi="宋体" w:eastAsia="宋体" w:cs="宋体"/>
                <w:color w:val="auto"/>
                <w:sz w:val="21"/>
                <w:szCs w:val="21"/>
                <w:highlight w:val="none"/>
                <w:lang w:val="zh-TW" w:eastAsia="zh-TW"/>
              </w:rPr>
            </w:pPr>
            <w:r>
              <w:rPr>
                <w:rFonts w:hint="eastAsia" w:ascii="宋体" w:hAnsi="宋体" w:eastAsia="宋体" w:cs="宋体"/>
                <w:color w:val="auto"/>
                <w:sz w:val="21"/>
                <w:szCs w:val="21"/>
                <w:highlight w:val="none"/>
                <w:lang w:val="zh-TW" w:eastAsia="zh-TW"/>
              </w:rPr>
              <w:t>（3）关键方案表述清晰但不够完整、无针对性，可操作性一般的得</w:t>
            </w:r>
            <w:r>
              <w:rPr>
                <w:rFonts w:hint="eastAsia" w:ascii="宋体" w:hAnsi="宋体" w:eastAsia="宋体" w:cs="宋体"/>
                <w:color w:val="auto"/>
                <w:sz w:val="21"/>
                <w:szCs w:val="21"/>
                <w:highlight w:val="none"/>
                <w:lang w:val="en-US" w:eastAsia="zh-TW"/>
              </w:rPr>
              <w:t>2</w:t>
            </w:r>
            <w:r>
              <w:rPr>
                <w:rFonts w:hint="eastAsia" w:ascii="宋体" w:hAnsi="宋体" w:eastAsia="宋体" w:cs="宋体"/>
                <w:color w:val="auto"/>
                <w:sz w:val="21"/>
                <w:szCs w:val="21"/>
                <w:highlight w:val="none"/>
                <w:lang w:val="zh-TW" w:eastAsia="zh-TW"/>
              </w:rPr>
              <w:t>分；</w:t>
            </w:r>
          </w:p>
          <w:p w14:paraId="3E57B5E5">
            <w:pPr>
              <w:widowControl/>
              <w:spacing w:line="360" w:lineRule="auto"/>
              <w:rPr>
                <w:rFonts w:hint="eastAsia" w:ascii="宋体" w:hAnsi="宋体" w:eastAsia="宋体" w:cs="宋体"/>
                <w:color w:val="auto"/>
                <w:sz w:val="21"/>
                <w:szCs w:val="21"/>
                <w:highlight w:val="none"/>
                <w:lang w:val="zh-TW" w:eastAsia="zh-CN"/>
              </w:rPr>
            </w:pPr>
            <w:r>
              <w:rPr>
                <w:rFonts w:hint="eastAsia" w:ascii="宋体" w:hAnsi="宋体" w:eastAsia="宋体" w:cs="宋体"/>
                <w:color w:val="auto"/>
                <w:sz w:val="21"/>
                <w:szCs w:val="21"/>
                <w:highlight w:val="none"/>
                <w:lang w:val="zh-TW" w:eastAsia="zh-TW"/>
              </w:rPr>
              <w:t>（4）未提供不得分。</w:t>
            </w:r>
          </w:p>
        </w:tc>
      </w:tr>
      <w:tr w14:paraId="5D75D02E">
        <w:tblPrEx>
          <w:tblCellMar>
            <w:top w:w="0" w:type="dxa"/>
            <w:left w:w="108" w:type="dxa"/>
            <w:bottom w:w="0" w:type="dxa"/>
            <w:right w:w="108" w:type="dxa"/>
          </w:tblCellMar>
        </w:tblPrEx>
        <w:trPr>
          <w:trHeight w:val="1352" w:hRule="atLeast"/>
        </w:trPr>
        <w:tc>
          <w:tcPr>
            <w:tcW w:w="313" w:type="pct"/>
            <w:tcBorders>
              <w:top w:val="single" w:color="000000" w:sz="4" w:space="0"/>
              <w:left w:val="single" w:color="000000" w:sz="4" w:space="0"/>
              <w:bottom w:val="single" w:color="000000" w:sz="4" w:space="0"/>
              <w:right w:val="single" w:color="000000" w:sz="4" w:space="0"/>
            </w:tcBorders>
            <w:noWrap w:val="0"/>
            <w:vAlign w:val="center"/>
          </w:tcPr>
          <w:p w14:paraId="4BB3379D">
            <w:pPr>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w:t>
            </w:r>
          </w:p>
        </w:tc>
        <w:tc>
          <w:tcPr>
            <w:tcW w:w="738" w:type="pct"/>
            <w:tcBorders>
              <w:top w:val="single" w:color="000000" w:sz="4" w:space="0"/>
              <w:left w:val="single" w:color="000000" w:sz="4" w:space="0"/>
              <w:bottom w:val="single" w:color="000000" w:sz="4" w:space="0"/>
              <w:right w:val="single" w:color="000000" w:sz="4" w:space="0"/>
            </w:tcBorders>
            <w:noWrap w:val="0"/>
            <w:vAlign w:val="center"/>
          </w:tcPr>
          <w:p w14:paraId="5EE6A4B6">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企业业绩</w:t>
            </w:r>
          </w:p>
          <w:p w14:paraId="64BB4CF9">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（9分）</w:t>
            </w:r>
          </w:p>
        </w:tc>
        <w:tc>
          <w:tcPr>
            <w:tcW w:w="334" w:type="pct"/>
            <w:tcBorders>
              <w:top w:val="single" w:color="000000" w:sz="4" w:space="0"/>
              <w:left w:val="single" w:color="000000" w:sz="4" w:space="0"/>
              <w:bottom w:val="single" w:color="000000" w:sz="4" w:space="0"/>
              <w:right w:val="single" w:color="000000" w:sz="4" w:space="0"/>
            </w:tcBorders>
            <w:noWrap w:val="0"/>
            <w:vAlign w:val="center"/>
          </w:tcPr>
          <w:p w14:paraId="5ACA036E">
            <w:pPr>
              <w:widowControl/>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w:t>
            </w:r>
          </w:p>
        </w:tc>
        <w:tc>
          <w:tcPr>
            <w:tcW w:w="3613" w:type="pct"/>
            <w:tcBorders>
              <w:top w:val="single" w:color="000000" w:sz="4" w:space="0"/>
              <w:left w:val="single" w:color="000000" w:sz="4" w:space="0"/>
              <w:bottom w:val="single" w:color="000000" w:sz="4" w:space="0"/>
              <w:right w:val="single" w:color="000000" w:sz="4" w:space="0"/>
            </w:tcBorders>
            <w:noWrap w:val="0"/>
            <w:vAlign w:val="center"/>
          </w:tcPr>
          <w:p w14:paraId="7DC0ACB6">
            <w:pPr>
              <w:widowControl/>
              <w:spacing w:line="360" w:lineRule="auto"/>
              <w:rPr>
                <w:rFonts w:hint="eastAsia" w:ascii="宋体" w:hAnsi="宋体" w:eastAsia="宋体" w:cs="宋体"/>
                <w:color w:val="auto"/>
                <w:sz w:val="21"/>
                <w:szCs w:val="21"/>
                <w:highlight w:val="none"/>
                <w:lang w:val="zh-TW" w:eastAsia="zh-TW"/>
              </w:rPr>
            </w:pPr>
            <w:r>
              <w:rPr>
                <w:rFonts w:hint="eastAsia" w:ascii="宋体" w:hAnsi="宋体" w:eastAsia="宋体" w:cs="宋体"/>
                <w:color w:val="auto"/>
                <w:sz w:val="21"/>
                <w:szCs w:val="21"/>
                <w:highlight w:val="none"/>
                <w:lang w:val="zh-TW" w:eastAsia="zh-TW"/>
              </w:rPr>
              <w:t>供应商自202</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zh-TW" w:eastAsia="zh-TW"/>
              </w:rPr>
              <w:t>年</w:t>
            </w:r>
            <w:r>
              <w:rPr>
                <w:rFonts w:hint="eastAsia" w:ascii="宋体" w:hAnsi="宋体" w:eastAsia="宋体" w:cs="宋体"/>
                <w:color w:val="auto"/>
                <w:sz w:val="21"/>
                <w:szCs w:val="21"/>
                <w:highlight w:val="none"/>
                <w:lang w:val="en-US" w:eastAsia="zh-TW"/>
              </w:rPr>
              <w:t>1</w:t>
            </w:r>
            <w:r>
              <w:rPr>
                <w:rFonts w:hint="eastAsia" w:ascii="宋体" w:hAnsi="宋体" w:eastAsia="宋体" w:cs="宋体"/>
                <w:color w:val="auto"/>
                <w:sz w:val="21"/>
                <w:szCs w:val="21"/>
                <w:highlight w:val="none"/>
                <w:lang w:val="zh-TW" w:eastAsia="zh-TW"/>
              </w:rPr>
              <w:t>月1日（</w:t>
            </w:r>
            <w:r>
              <w:rPr>
                <w:rFonts w:hint="eastAsia" w:ascii="宋体" w:hAnsi="宋体" w:eastAsia="宋体" w:cs="宋体"/>
                <w:color w:val="auto"/>
                <w:sz w:val="21"/>
                <w:szCs w:val="21"/>
                <w:highlight w:val="none"/>
                <w:lang w:val="en-US" w:eastAsia="zh-TW"/>
              </w:rPr>
              <w:t>含</w:t>
            </w:r>
            <w:r>
              <w:rPr>
                <w:rFonts w:hint="eastAsia" w:ascii="宋体" w:hAnsi="宋体" w:eastAsia="宋体" w:cs="宋体"/>
                <w:color w:val="auto"/>
                <w:sz w:val="21"/>
                <w:szCs w:val="21"/>
                <w:highlight w:val="none"/>
                <w:lang w:val="zh-TW" w:eastAsia="zh-TW"/>
              </w:rPr>
              <w:t>）以来承担过类似项目业绩的，每提供1个得</w:t>
            </w:r>
            <w:r>
              <w:rPr>
                <w:rFonts w:hint="eastAsia" w:ascii="宋体" w:hAnsi="宋体" w:eastAsia="宋体" w:cs="宋体"/>
                <w:color w:val="auto"/>
                <w:sz w:val="21"/>
                <w:szCs w:val="21"/>
                <w:highlight w:val="none"/>
                <w:lang w:val="en-US" w:eastAsia="zh-TW"/>
              </w:rPr>
              <w:t>3</w:t>
            </w:r>
            <w:r>
              <w:rPr>
                <w:rFonts w:hint="eastAsia" w:ascii="宋体" w:hAnsi="宋体" w:eastAsia="宋体" w:cs="宋体"/>
                <w:color w:val="auto"/>
                <w:sz w:val="21"/>
                <w:szCs w:val="21"/>
                <w:highlight w:val="none"/>
                <w:lang w:val="zh-TW" w:eastAsia="zh-TW"/>
              </w:rPr>
              <w:t>分，最多得</w:t>
            </w:r>
            <w:r>
              <w:rPr>
                <w:rFonts w:hint="eastAsia" w:ascii="宋体" w:hAnsi="宋体" w:eastAsia="宋体" w:cs="宋体"/>
                <w:color w:val="auto"/>
                <w:sz w:val="21"/>
                <w:szCs w:val="21"/>
                <w:highlight w:val="none"/>
                <w:lang w:val="en-US" w:eastAsia="zh-TW"/>
              </w:rPr>
              <w:t>9</w:t>
            </w:r>
            <w:r>
              <w:rPr>
                <w:rFonts w:hint="eastAsia" w:ascii="宋体" w:hAnsi="宋体" w:eastAsia="宋体" w:cs="宋体"/>
                <w:color w:val="auto"/>
                <w:sz w:val="21"/>
                <w:szCs w:val="21"/>
                <w:highlight w:val="none"/>
                <w:lang w:val="zh-TW" w:eastAsia="zh-TW"/>
              </w:rPr>
              <w:t>分。（提供中标</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zh-TW" w:eastAsia="zh-TW"/>
              </w:rPr>
              <w:t>成交通知书、合同、竣工验收证明文件复印件加盖公章，时间以竣工验收证明文件时间为准，提供的证明材料</w:t>
            </w:r>
            <w:r>
              <w:rPr>
                <w:rFonts w:hint="eastAsia" w:ascii="宋体" w:hAnsi="宋体" w:eastAsia="宋体" w:cs="宋体"/>
                <w:color w:val="auto"/>
                <w:sz w:val="21"/>
                <w:szCs w:val="21"/>
                <w:highlight w:val="none"/>
                <w:lang w:val="en-US" w:eastAsia="zh-TW"/>
              </w:rPr>
              <w:t>要体现相关内容和数据</w:t>
            </w:r>
            <w:r>
              <w:rPr>
                <w:rFonts w:hint="eastAsia" w:ascii="宋体" w:hAnsi="宋体" w:eastAsia="宋体" w:cs="宋体"/>
                <w:color w:val="auto"/>
                <w:sz w:val="21"/>
                <w:szCs w:val="21"/>
                <w:highlight w:val="none"/>
                <w:lang w:val="zh-TW" w:eastAsia="zh-TW"/>
              </w:rPr>
              <w:t>，否则视为未提供。）</w:t>
            </w:r>
          </w:p>
        </w:tc>
      </w:tr>
      <w:tr w14:paraId="2CE112AC">
        <w:tblPrEx>
          <w:tblCellMar>
            <w:top w:w="0" w:type="dxa"/>
            <w:left w:w="108" w:type="dxa"/>
            <w:bottom w:w="0" w:type="dxa"/>
            <w:right w:w="108" w:type="dxa"/>
          </w:tblCellMar>
        </w:tblPrEx>
        <w:trPr>
          <w:trHeight w:val="1352" w:hRule="atLeast"/>
        </w:trPr>
        <w:tc>
          <w:tcPr>
            <w:tcW w:w="313" w:type="pct"/>
            <w:tcBorders>
              <w:top w:val="single" w:color="000000" w:sz="4" w:space="0"/>
              <w:left w:val="single" w:color="000000" w:sz="4" w:space="0"/>
              <w:bottom w:val="single" w:color="000000" w:sz="4" w:space="0"/>
              <w:right w:val="single" w:color="000000" w:sz="4" w:space="0"/>
            </w:tcBorders>
            <w:noWrap w:val="0"/>
            <w:vAlign w:val="center"/>
          </w:tcPr>
          <w:p w14:paraId="28FA0D13">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738" w:type="pct"/>
            <w:tcBorders>
              <w:top w:val="single" w:color="000000" w:sz="4" w:space="0"/>
              <w:left w:val="single" w:color="000000" w:sz="4" w:space="0"/>
              <w:bottom w:val="single" w:color="000000" w:sz="4" w:space="0"/>
              <w:right w:val="single" w:color="000000" w:sz="4" w:space="0"/>
            </w:tcBorders>
            <w:noWrap w:val="0"/>
            <w:vAlign w:val="center"/>
          </w:tcPr>
          <w:p w14:paraId="4D708C1B">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项目管理机构</w:t>
            </w:r>
          </w:p>
          <w:p w14:paraId="160D25AC">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分）</w:t>
            </w:r>
          </w:p>
        </w:tc>
        <w:tc>
          <w:tcPr>
            <w:tcW w:w="334" w:type="pct"/>
            <w:tcBorders>
              <w:top w:val="single" w:color="000000" w:sz="4" w:space="0"/>
              <w:left w:val="single" w:color="000000" w:sz="4" w:space="0"/>
              <w:bottom w:val="single" w:color="000000" w:sz="4" w:space="0"/>
              <w:right w:val="single" w:color="000000" w:sz="4" w:space="0"/>
            </w:tcBorders>
            <w:noWrap w:val="0"/>
            <w:vAlign w:val="center"/>
          </w:tcPr>
          <w:p w14:paraId="2FEC1806">
            <w:pPr>
              <w:widowControl/>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3613" w:type="pct"/>
            <w:tcBorders>
              <w:top w:val="single" w:color="000000" w:sz="4" w:space="0"/>
              <w:left w:val="single" w:color="000000" w:sz="4" w:space="0"/>
              <w:bottom w:val="single" w:color="000000" w:sz="4" w:space="0"/>
              <w:right w:val="single" w:color="000000" w:sz="4" w:space="0"/>
            </w:tcBorders>
            <w:noWrap w:val="0"/>
            <w:vAlign w:val="center"/>
          </w:tcPr>
          <w:p w14:paraId="7503B577">
            <w:pPr>
              <w:widowControl/>
              <w:spacing w:line="360" w:lineRule="auto"/>
              <w:rPr>
                <w:rFonts w:hint="eastAsia" w:ascii="宋体" w:hAnsi="宋体" w:eastAsia="宋体" w:cs="宋体"/>
                <w:color w:val="auto"/>
                <w:sz w:val="21"/>
                <w:szCs w:val="21"/>
                <w:highlight w:val="none"/>
                <w:lang w:val="en-US" w:eastAsia="zh-TW"/>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TW"/>
              </w:rPr>
              <w:t>项目负责人具有工程师及以上职称的得2分。</w:t>
            </w:r>
            <w:r>
              <w:rPr>
                <w:rFonts w:hint="eastAsia" w:ascii="宋体" w:hAnsi="宋体" w:eastAsia="宋体" w:cs="宋体"/>
                <w:color w:val="auto"/>
                <w:sz w:val="21"/>
                <w:szCs w:val="21"/>
                <w:highlight w:val="none"/>
                <w:lang w:val="zh-TW" w:eastAsia="zh-TW"/>
              </w:rPr>
              <w:t>（提供</w:t>
            </w:r>
            <w:r>
              <w:rPr>
                <w:rFonts w:hint="eastAsia" w:ascii="宋体" w:hAnsi="宋体" w:eastAsia="宋体" w:cs="宋体"/>
                <w:color w:val="auto"/>
                <w:sz w:val="21"/>
                <w:szCs w:val="21"/>
                <w:highlight w:val="none"/>
                <w:lang w:val="en-US" w:eastAsia="zh-TW"/>
              </w:rPr>
              <w:t>职称</w:t>
            </w:r>
            <w:r>
              <w:rPr>
                <w:rFonts w:hint="eastAsia" w:ascii="宋体" w:hAnsi="宋体" w:eastAsia="宋体" w:cs="宋体"/>
                <w:color w:val="auto"/>
                <w:sz w:val="21"/>
                <w:szCs w:val="21"/>
                <w:highlight w:val="none"/>
                <w:lang w:val="zh-TW" w:eastAsia="zh-TW"/>
              </w:rPr>
              <w:t>证书复印件加盖公章及社保机构近半年（</w:t>
            </w:r>
            <w:r>
              <w:rPr>
                <w:rFonts w:hint="eastAsia" w:ascii="宋体" w:hAnsi="宋体" w:eastAsia="宋体" w:cs="宋体"/>
                <w:color w:val="auto"/>
                <w:sz w:val="21"/>
                <w:szCs w:val="21"/>
                <w:highlight w:val="none"/>
                <w:lang w:val="zh-TW" w:eastAsia="zh-CN"/>
              </w:rPr>
              <w:t>即202</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val="zh-TW" w:eastAsia="zh-CN"/>
              </w:rPr>
              <w:t>年</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zh-TW" w:eastAsia="zh-CN"/>
              </w:rPr>
              <w:t>月（含）以来</w:t>
            </w:r>
            <w:r>
              <w:rPr>
                <w:rFonts w:hint="eastAsia" w:ascii="宋体" w:hAnsi="宋体" w:eastAsia="宋体" w:cs="宋体"/>
                <w:color w:val="auto"/>
                <w:sz w:val="21"/>
                <w:szCs w:val="21"/>
                <w:highlight w:val="none"/>
                <w:lang w:val="zh-TW" w:eastAsia="zh-TW"/>
              </w:rPr>
              <w:t>）任意一个月投标供应商为其缴纳的养老保险金缴费证明材料(并加盖社保中心章或社保中心参保缴费证明电子专用章)）。</w:t>
            </w:r>
            <w:r>
              <w:rPr>
                <w:rFonts w:hint="eastAsia" w:ascii="宋体" w:hAnsi="宋体" w:eastAsia="宋体" w:cs="宋体"/>
                <w:color w:val="auto"/>
                <w:sz w:val="21"/>
                <w:szCs w:val="21"/>
                <w:highlight w:val="none"/>
                <w:lang w:val="en-US" w:eastAsia="zh-TW"/>
              </w:rPr>
              <w:t xml:space="preserve">       </w:t>
            </w:r>
          </w:p>
          <w:p w14:paraId="508A4DCA">
            <w:pPr>
              <w:widowControl/>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zh-TW" w:eastAsia="zh-TW"/>
              </w:rPr>
              <w:t>项目管理机构（</w:t>
            </w:r>
            <w:r>
              <w:rPr>
                <w:rFonts w:hint="eastAsia" w:ascii="宋体" w:hAnsi="宋体" w:eastAsia="宋体" w:cs="宋体"/>
                <w:color w:val="auto"/>
                <w:sz w:val="21"/>
                <w:szCs w:val="21"/>
                <w:highlight w:val="none"/>
                <w:lang w:val="en-US" w:eastAsia="zh-TW"/>
              </w:rPr>
              <w:t>项目负责人除外</w:t>
            </w:r>
            <w:r>
              <w:rPr>
                <w:rFonts w:hint="eastAsia" w:ascii="宋体" w:hAnsi="宋体" w:eastAsia="宋体" w:cs="宋体"/>
                <w:color w:val="auto"/>
                <w:sz w:val="21"/>
                <w:szCs w:val="21"/>
                <w:highlight w:val="none"/>
                <w:lang w:val="zh-TW" w:eastAsia="zh-TW"/>
              </w:rPr>
              <w:t>）配备施工员、资料员、安全员、质量(检)员，以上人员每提供一个得</w:t>
            </w:r>
            <w:r>
              <w:rPr>
                <w:rFonts w:hint="eastAsia" w:ascii="宋体" w:hAnsi="宋体" w:eastAsia="宋体" w:cs="宋体"/>
                <w:color w:val="auto"/>
                <w:sz w:val="21"/>
                <w:szCs w:val="21"/>
                <w:highlight w:val="none"/>
                <w:lang w:val="en-US" w:eastAsia="zh-TW"/>
              </w:rPr>
              <w:t>1</w:t>
            </w:r>
            <w:r>
              <w:rPr>
                <w:rFonts w:hint="eastAsia" w:ascii="宋体" w:hAnsi="宋体" w:eastAsia="宋体" w:cs="宋体"/>
                <w:color w:val="auto"/>
                <w:sz w:val="21"/>
                <w:szCs w:val="21"/>
                <w:highlight w:val="none"/>
                <w:lang w:val="zh-TW" w:eastAsia="zh-TW"/>
              </w:rPr>
              <w:t>分，最高得</w:t>
            </w:r>
            <w:r>
              <w:rPr>
                <w:rFonts w:hint="eastAsia" w:ascii="宋体" w:hAnsi="宋体" w:eastAsia="宋体" w:cs="宋体"/>
                <w:color w:val="auto"/>
                <w:sz w:val="21"/>
                <w:szCs w:val="21"/>
                <w:highlight w:val="none"/>
                <w:lang w:val="en-US" w:eastAsia="zh-TW"/>
              </w:rPr>
              <w:t>4</w:t>
            </w:r>
            <w:r>
              <w:rPr>
                <w:rFonts w:hint="eastAsia" w:ascii="宋体" w:hAnsi="宋体" w:eastAsia="宋体" w:cs="宋体"/>
                <w:color w:val="auto"/>
                <w:sz w:val="21"/>
                <w:szCs w:val="21"/>
                <w:highlight w:val="none"/>
                <w:lang w:val="zh-TW" w:eastAsia="zh-TW"/>
              </w:rPr>
              <w:t>分。（提供</w:t>
            </w:r>
            <w:r>
              <w:rPr>
                <w:rFonts w:hint="eastAsia" w:ascii="宋体" w:hAnsi="宋体" w:eastAsia="宋体" w:cs="宋体"/>
                <w:color w:val="auto"/>
                <w:sz w:val="21"/>
                <w:szCs w:val="21"/>
                <w:highlight w:val="none"/>
                <w:lang w:val="en-US" w:eastAsia="zh-TW"/>
              </w:rPr>
              <w:t>以上</w:t>
            </w:r>
            <w:r>
              <w:rPr>
                <w:rFonts w:hint="eastAsia" w:ascii="宋体" w:hAnsi="宋体" w:eastAsia="宋体" w:cs="宋体"/>
                <w:color w:val="auto"/>
                <w:sz w:val="21"/>
                <w:szCs w:val="21"/>
                <w:highlight w:val="none"/>
                <w:lang w:val="zh-TW" w:eastAsia="zh-TW"/>
              </w:rPr>
              <w:t>人员岗位证书复印件加盖公章及社保机构近半年（</w:t>
            </w:r>
            <w:r>
              <w:rPr>
                <w:rFonts w:hint="eastAsia" w:ascii="宋体" w:hAnsi="宋体" w:eastAsia="宋体" w:cs="宋体"/>
                <w:color w:val="auto"/>
                <w:sz w:val="21"/>
                <w:szCs w:val="21"/>
                <w:highlight w:val="none"/>
                <w:lang w:val="zh-TW" w:eastAsia="zh-CN"/>
              </w:rPr>
              <w:t>即202</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val="zh-TW" w:eastAsia="zh-CN"/>
              </w:rPr>
              <w:t>年</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zh-TW" w:eastAsia="zh-CN"/>
              </w:rPr>
              <w:t>月（含）以来</w:t>
            </w:r>
            <w:r>
              <w:rPr>
                <w:rFonts w:hint="eastAsia" w:ascii="宋体" w:hAnsi="宋体" w:eastAsia="宋体" w:cs="宋体"/>
                <w:color w:val="auto"/>
                <w:sz w:val="21"/>
                <w:szCs w:val="21"/>
                <w:highlight w:val="none"/>
                <w:lang w:val="zh-TW" w:eastAsia="zh-TW"/>
              </w:rPr>
              <w:t>）任意一个月投标供应商为其缴纳的养老保险金缴费证明材料(并加盖社保中心章或社保中心参保缴费证明电子专用章)，项目管理机构人员不得重复计分，一人计分一次）。</w:t>
            </w:r>
          </w:p>
        </w:tc>
      </w:tr>
    </w:tbl>
    <w:p w14:paraId="62E56C3A">
      <w:pPr>
        <w:pStyle w:val="70"/>
        <w:ind w:firstLine="422"/>
        <w:rPr>
          <w:rFonts w:cs="宋体"/>
          <w:b/>
          <w:bCs/>
          <w:color w:val="auto"/>
          <w:sz w:val="21"/>
          <w:szCs w:val="21"/>
          <w:highlight w:val="none"/>
          <w:lang w:eastAsia="zh-CN"/>
        </w:rPr>
      </w:pPr>
      <w:r>
        <w:rPr>
          <w:rFonts w:hint="eastAsia" w:cs="宋体"/>
          <w:b/>
          <w:bCs/>
          <w:color w:val="auto"/>
          <w:sz w:val="21"/>
          <w:szCs w:val="21"/>
          <w:highlight w:val="none"/>
          <w:lang w:eastAsia="zh-CN"/>
        </w:rPr>
        <w:t>说明：</w:t>
      </w:r>
    </w:p>
    <w:p w14:paraId="5E6258FF">
      <w:pPr>
        <w:pStyle w:val="70"/>
        <w:ind w:firstLine="420"/>
        <w:rPr>
          <w:rFonts w:hint="eastAsia" w:cs="宋体"/>
          <w:bCs/>
          <w:color w:val="auto"/>
          <w:sz w:val="21"/>
          <w:szCs w:val="21"/>
          <w:highlight w:val="none"/>
          <w:lang w:eastAsia="zh-CN"/>
        </w:rPr>
      </w:pPr>
      <w:r>
        <w:rPr>
          <w:rFonts w:hint="eastAsia" w:cs="宋体"/>
          <w:bCs/>
          <w:color w:val="auto"/>
          <w:sz w:val="21"/>
          <w:szCs w:val="21"/>
          <w:highlight w:val="none"/>
          <w:lang w:eastAsia="zh-CN"/>
        </w:rPr>
        <w:t>1.小微企业的价格扣除</w:t>
      </w:r>
    </w:p>
    <w:p w14:paraId="5F50E8A0">
      <w:pPr>
        <w:pStyle w:val="70"/>
        <w:ind w:firstLine="420"/>
        <w:rPr>
          <w:rFonts w:hint="eastAsia" w:cs="宋体"/>
          <w:bCs/>
          <w:color w:val="auto"/>
          <w:sz w:val="21"/>
          <w:szCs w:val="21"/>
          <w:highlight w:val="none"/>
          <w:lang w:eastAsia="zh-CN"/>
        </w:rPr>
      </w:pPr>
      <w:r>
        <w:rPr>
          <w:rFonts w:hint="eastAsia" w:cs="宋体"/>
          <w:bCs/>
          <w:color w:val="auto"/>
          <w:sz w:val="21"/>
          <w:szCs w:val="21"/>
          <w:highlight w:val="none"/>
          <w:lang w:eastAsia="zh-CN"/>
        </w:rPr>
        <w:t>1.1 对小微企业承接的工程给予报价5%价格扣除，用扣除后的价格参与评审。</w:t>
      </w:r>
    </w:p>
    <w:p w14:paraId="7472E8C3">
      <w:pPr>
        <w:pStyle w:val="70"/>
        <w:ind w:firstLine="420"/>
        <w:rPr>
          <w:rFonts w:hint="eastAsia" w:cs="宋体"/>
          <w:bCs/>
          <w:color w:val="auto"/>
          <w:sz w:val="21"/>
          <w:szCs w:val="21"/>
          <w:highlight w:val="none"/>
          <w:lang w:eastAsia="zh-CN"/>
        </w:rPr>
      </w:pPr>
      <w:r>
        <w:rPr>
          <w:rFonts w:hint="eastAsia" w:cs="宋体"/>
          <w:bCs/>
          <w:color w:val="auto"/>
          <w:sz w:val="21"/>
          <w:szCs w:val="21"/>
          <w:highlight w:val="none"/>
          <w:lang w:eastAsia="zh-CN"/>
        </w:rPr>
        <w:t>1.2 大中型企业和其他自然人、法人或者其他组织与小型、微型企业组成联合体共同参加磋商，如果联合协议中约定，小型、微型企业的协议合同金额占到联合体协议合同总金额30%以上的，给予联合体4%的价格扣除。联合体各方均为小型、微型企业的，联合体视同为小型、微型企业享受5%价格扣除，用扣除后的价格参与评审。小企业（含小型、微型企业）应当同时符合以下条件：</w:t>
      </w:r>
    </w:p>
    <w:p w14:paraId="2D38C82F">
      <w:pPr>
        <w:pStyle w:val="70"/>
        <w:ind w:firstLine="420"/>
        <w:rPr>
          <w:rFonts w:hint="eastAsia" w:cs="宋体"/>
          <w:bCs/>
          <w:color w:val="auto"/>
          <w:sz w:val="21"/>
          <w:szCs w:val="21"/>
          <w:highlight w:val="none"/>
          <w:lang w:eastAsia="zh-CN"/>
        </w:rPr>
      </w:pPr>
      <w:r>
        <w:rPr>
          <w:rFonts w:hint="eastAsia" w:cs="宋体"/>
          <w:bCs/>
          <w:color w:val="auto"/>
          <w:sz w:val="21"/>
          <w:szCs w:val="21"/>
          <w:highlight w:val="none"/>
          <w:lang w:eastAsia="zh-CN"/>
        </w:rPr>
        <w:t>1.3小企业（含小型、微型企业）应当同时符合以下条件：</w:t>
      </w:r>
    </w:p>
    <w:p w14:paraId="0639E117">
      <w:pPr>
        <w:pStyle w:val="70"/>
        <w:ind w:firstLine="420"/>
        <w:rPr>
          <w:rFonts w:hint="eastAsia" w:cs="宋体"/>
          <w:bCs/>
          <w:color w:val="auto"/>
          <w:sz w:val="21"/>
          <w:szCs w:val="21"/>
          <w:highlight w:val="none"/>
          <w:lang w:eastAsia="zh-CN"/>
        </w:rPr>
      </w:pPr>
      <w:r>
        <w:rPr>
          <w:rFonts w:hint="eastAsia" w:cs="宋体"/>
          <w:bCs/>
          <w:color w:val="auto"/>
          <w:sz w:val="21"/>
          <w:szCs w:val="21"/>
          <w:highlight w:val="none"/>
          <w:lang w:eastAsia="zh-CN"/>
        </w:rPr>
        <w:t>（1）供应商为小企业，且符合中小企业划分标准；</w:t>
      </w:r>
    </w:p>
    <w:p w14:paraId="00C66B9A">
      <w:pPr>
        <w:pStyle w:val="70"/>
        <w:ind w:firstLine="420"/>
        <w:rPr>
          <w:rFonts w:hint="eastAsia" w:cs="宋体"/>
          <w:bCs/>
          <w:color w:val="auto"/>
          <w:sz w:val="21"/>
          <w:szCs w:val="21"/>
          <w:highlight w:val="none"/>
          <w:lang w:eastAsia="zh-CN"/>
        </w:rPr>
      </w:pPr>
      <w:r>
        <w:rPr>
          <w:rFonts w:hint="eastAsia" w:cs="宋体"/>
          <w:bCs/>
          <w:color w:val="auto"/>
          <w:sz w:val="21"/>
          <w:szCs w:val="21"/>
          <w:highlight w:val="none"/>
          <w:lang w:eastAsia="zh-CN"/>
        </w:rPr>
        <w:t>（2）提供本企业制造的货物、承担的工程或者服务，或者提供其他小企业制造的货物。如果提供的货物为大中型企业注册商标的货物，视同大中型企业。</w:t>
      </w:r>
    </w:p>
    <w:p w14:paraId="76A492EC">
      <w:pPr>
        <w:pStyle w:val="70"/>
        <w:ind w:firstLine="420"/>
        <w:rPr>
          <w:rFonts w:hint="eastAsia" w:cs="宋体"/>
          <w:bCs/>
          <w:color w:val="auto"/>
          <w:sz w:val="21"/>
          <w:szCs w:val="21"/>
          <w:highlight w:val="none"/>
          <w:lang w:eastAsia="zh-CN"/>
        </w:rPr>
      </w:pPr>
      <w:r>
        <w:rPr>
          <w:rFonts w:hint="eastAsia" w:cs="宋体"/>
          <w:bCs/>
          <w:color w:val="auto"/>
          <w:sz w:val="21"/>
          <w:szCs w:val="21"/>
          <w:highlight w:val="none"/>
          <w:lang w:eastAsia="zh-CN"/>
        </w:rPr>
        <w:t>2.监狱和戒毒企业的价格扣除</w:t>
      </w:r>
    </w:p>
    <w:p w14:paraId="2ABF48DF">
      <w:pPr>
        <w:pStyle w:val="70"/>
        <w:ind w:firstLine="420"/>
        <w:rPr>
          <w:rFonts w:hint="eastAsia" w:cs="宋体"/>
          <w:bCs/>
          <w:color w:val="auto"/>
          <w:sz w:val="21"/>
          <w:szCs w:val="21"/>
          <w:highlight w:val="none"/>
          <w:lang w:eastAsia="zh-CN"/>
        </w:rPr>
      </w:pPr>
      <w:r>
        <w:rPr>
          <w:rFonts w:hint="eastAsia" w:cs="宋体"/>
          <w:bCs/>
          <w:color w:val="auto"/>
          <w:sz w:val="21"/>
          <w:szCs w:val="21"/>
          <w:highlight w:val="none"/>
          <w:lang w:eastAsia="zh-CN"/>
        </w:rPr>
        <w:t>2.1 本项目对监狱和戒毒企业（简称监狱企业），给予5%的价格扣除，用扣除后的价格参与评审。</w:t>
      </w:r>
    </w:p>
    <w:p w14:paraId="074EF48A">
      <w:pPr>
        <w:pStyle w:val="70"/>
        <w:ind w:firstLine="420"/>
        <w:rPr>
          <w:rFonts w:hint="eastAsia" w:cs="宋体"/>
          <w:bCs/>
          <w:color w:val="auto"/>
          <w:sz w:val="21"/>
          <w:szCs w:val="21"/>
          <w:highlight w:val="none"/>
          <w:lang w:eastAsia="zh-CN"/>
        </w:rPr>
      </w:pPr>
      <w:r>
        <w:rPr>
          <w:rFonts w:hint="eastAsia" w:cs="宋体"/>
          <w:bCs/>
          <w:color w:val="auto"/>
          <w:sz w:val="21"/>
          <w:szCs w:val="21"/>
          <w:highlight w:val="none"/>
          <w:lang w:eastAsia="zh-CN"/>
        </w:rPr>
        <w:t>2.2 监狱企业需提供由省级以上监狱管理局、戒毒管理局（含新疆生产建设兵团）出具的属于监狱企业的证明文件。</w:t>
      </w:r>
    </w:p>
    <w:p w14:paraId="3C870BE1">
      <w:pPr>
        <w:pStyle w:val="70"/>
        <w:ind w:firstLine="420"/>
        <w:rPr>
          <w:rFonts w:hint="eastAsia" w:cs="宋体"/>
          <w:bCs/>
          <w:color w:val="auto"/>
          <w:sz w:val="21"/>
          <w:szCs w:val="21"/>
          <w:highlight w:val="none"/>
          <w:lang w:eastAsia="zh-CN"/>
        </w:rPr>
      </w:pPr>
      <w:r>
        <w:rPr>
          <w:rFonts w:hint="eastAsia" w:cs="宋体"/>
          <w:bCs/>
          <w:color w:val="auto"/>
          <w:sz w:val="21"/>
          <w:szCs w:val="21"/>
          <w:highlight w:val="none"/>
          <w:lang w:eastAsia="zh-CN"/>
        </w:rPr>
        <w:t>2.3 监狱企业标准请参照《关于政府采购支持监狱企业发展有关问题的通知》（财库[2014]68号）。</w:t>
      </w:r>
    </w:p>
    <w:p w14:paraId="5CB5D12A">
      <w:pPr>
        <w:pStyle w:val="70"/>
        <w:ind w:firstLine="420"/>
        <w:rPr>
          <w:rFonts w:hint="eastAsia" w:cs="宋体"/>
          <w:bCs/>
          <w:color w:val="auto"/>
          <w:sz w:val="21"/>
          <w:szCs w:val="21"/>
          <w:highlight w:val="none"/>
          <w:lang w:eastAsia="zh-CN"/>
        </w:rPr>
      </w:pPr>
      <w:r>
        <w:rPr>
          <w:rFonts w:hint="eastAsia" w:cs="宋体"/>
          <w:bCs/>
          <w:color w:val="auto"/>
          <w:sz w:val="21"/>
          <w:szCs w:val="21"/>
          <w:highlight w:val="none"/>
          <w:lang w:eastAsia="zh-CN"/>
        </w:rPr>
        <w:t>3.残疾人福利性单位的价格扣除</w:t>
      </w:r>
    </w:p>
    <w:p w14:paraId="5744618B">
      <w:pPr>
        <w:pStyle w:val="70"/>
        <w:ind w:firstLine="420"/>
        <w:rPr>
          <w:rFonts w:hint="eastAsia" w:cs="宋体"/>
          <w:bCs/>
          <w:color w:val="auto"/>
          <w:sz w:val="21"/>
          <w:szCs w:val="21"/>
          <w:highlight w:val="none"/>
          <w:lang w:eastAsia="zh-CN"/>
        </w:rPr>
      </w:pPr>
      <w:r>
        <w:rPr>
          <w:rFonts w:hint="eastAsia" w:cs="宋体"/>
          <w:bCs/>
          <w:color w:val="auto"/>
          <w:sz w:val="21"/>
          <w:szCs w:val="21"/>
          <w:highlight w:val="none"/>
          <w:lang w:eastAsia="zh-CN"/>
        </w:rPr>
        <w:t>3.1 本项目对残疾人福利性单位，给予5%的价格扣除，用扣除后的价格参与评审。</w:t>
      </w:r>
    </w:p>
    <w:p w14:paraId="7555E9DE">
      <w:pPr>
        <w:pStyle w:val="70"/>
        <w:ind w:firstLine="420"/>
        <w:rPr>
          <w:rFonts w:hint="eastAsia" w:cs="宋体"/>
          <w:bCs/>
          <w:color w:val="auto"/>
          <w:sz w:val="21"/>
          <w:szCs w:val="21"/>
          <w:highlight w:val="none"/>
          <w:lang w:eastAsia="zh-CN"/>
        </w:rPr>
      </w:pPr>
      <w:r>
        <w:rPr>
          <w:rFonts w:hint="eastAsia" w:cs="宋体"/>
          <w:bCs/>
          <w:color w:val="auto"/>
          <w:sz w:val="21"/>
          <w:szCs w:val="21"/>
          <w:highlight w:val="none"/>
          <w:lang w:eastAsia="zh-CN"/>
        </w:rPr>
        <w:t>3.2 残疾人福利单位需按照采购文件的要求提供《残疾人福利性单位声明函》。</w:t>
      </w:r>
    </w:p>
    <w:p w14:paraId="2E779833">
      <w:pPr>
        <w:pStyle w:val="70"/>
        <w:ind w:firstLine="420"/>
        <w:rPr>
          <w:rFonts w:hint="eastAsia" w:cs="宋体"/>
          <w:bCs/>
          <w:color w:val="auto"/>
          <w:sz w:val="21"/>
          <w:szCs w:val="21"/>
          <w:highlight w:val="none"/>
          <w:lang w:eastAsia="zh-CN"/>
        </w:rPr>
      </w:pPr>
      <w:r>
        <w:rPr>
          <w:rFonts w:hint="eastAsia" w:cs="宋体"/>
          <w:bCs/>
          <w:color w:val="auto"/>
          <w:sz w:val="21"/>
          <w:szCs w:val="21"/>
          <w:highlight w:val="none"/>
          <w:lang w:eastAsia="zh-CN"/>
        </w:rPr>
        <w:t>3.3 残疾人福利单位标准请参照《关于促进残疾人就业政府采购政策的通知》（财库〔2017〕141号）。</w:t>
      </w:r>
    </w:p>
    <w:p w14:paraId="016BEF8D">
      <w:pPr>
        <w:pStyle w:val="70"/>
        <w:ind w:firstLine="420"/>
        <w:rPr>
          <w:rFonts w:hint="eastAsia" w:cs="宋体"/>
          <w:bCs/>
          <w:color w:val="auto"/>
          <w:sz w:val="21"/>
          <w:szCs w:val="21"/>
          <w:highlight w:val="none"/>
          <w:lang w:eastAsia="zh-CN"/>
        </w:rPr>
      </w:pPr>
      <w:r>
        <w:rPr>
          <w:rFonts w:hint="eastAsia" w:cs="宋体"/>
          <w:bCs/>
          <w:color w:val="auto"/>
          <w:sz w:val="21"/>
          <w:szCs w:val="21"/>
          <w:highlight w:val="none"/>
          <w:lang w:eastAsia="zh-CN"/>
        </w:rPr>
        <w:t>4.监狱企业、残疾人福利单位属于小型、微型企业的，不重复享受政策。</w:t>
      </w:r>
    </w:p>
    <w:p w14:paraId="61735513">
      <w:pPr>
        <w:pStyle w:val="70"/>
        <w:ind w:firstLine="420"/>
        <w:rPr>
          <w:rFonts w:hint="eastAsia" w:cs="宋体"/>
          <w:bCs/>
          <w:color w:val="auto"/>
          <w:sz w:val="21"/>
          <w:szCs w:val="21"/>
          <w:highlight w:val="none"/>
          <w:lang w:eastAsia="zh-CN"/>
        </w:rPr>
      </w:pPr>
      <w:r>
        <w:rPr>
          <w:rFonts w:hint="eastAsia" w:cs="宋体"/>
          <w:bCs/>
          <w:color w:val="auto"/>
          <w:sz w:val="21"/>
          <w:szCs w:val="21"/>
          <w:highlight w:val="none"/>
          <w:lang w:eastAsia="zh-CN"/>
        </w:rPr>
        <w:t>5.评审小组不保证有效报价最低的供应商成交。</w:t>
      </w:r>
    </w:p>
    <w:p w14:paraId="4469770B">
      <w:pPr>
        <w:pStyle w:val="70"/>
        <w:ind w:firstLine="420"/>
        <w:rPr>
          <w:rFonts w:hint="eastAsia" w:cs="宋体"/>
          <w:bCs/>
          <w:color w:val="auto"/>
          <w:sz w:val="21"/>
          <w:szCs w:val="21"/>
          <w:highlight w:val="none"/>
          <w:lang w:eastAsia="zh-CN"/>
        </w:rPr>
      </w:pPr>
      <w:r>
        <w:rPr>
          <w:rFonts w:hint="eastAsia" w:cs="宋体"/>
          <w:bCs/>
          <w:color w:val="auto"/>
          <w:sz w:val="21"/>
          <w:szCs w:val="21"/>
          <w:highlight w:val="none"/>
          <w:lang w:eastAsia="zh-CN"/>
        </w:rPr>
        <w:t>6.采购标的对应的中小企业划分标准所属行业：</w:t>
      </w:r>
      <w:r>
        <w:rPr>
          <w:rFonts w:hint="eastAsia" w:cs="宋体"/>
          <w:bCs/>
          <w:color w:val="auto"/>
          <w:sz w:val="21"/>
          <w:szCs w:val="21"/>
          <w:highlight w:val="none"/>
          <w:u w:val="single"/>
          <w:lang w:eastAsia="zh-CN"/>
        </w:rPr>
        <w:t>建筑业。</w:t>
      </w:r>
      <w:bookmarkStart w:id="51" w:name="第四章  采购项目需求"/>
      <w:bookmarkEnd w:id="51"/>
    </w:p>
    <w:p w14:paraId="23304E29">
      <w:pPr>
        <w:pStyle w:val="70"/>
        <w:ind w:firstLine="420"/>
        <w:rPr>
          <w:rFonts w:hint="eastAsia" w:cs="宋体"/>
          <w:bCs/>
          <w:color w:val="auto"/>
          <w:sz w:val="21"/>
          <w:szCs w:val="21"/>
          <w:highlight w:val="none"/>
          <w:lang w:eastAsia="zh-CN"/>
        </w:rPr>
      </w:pPr>
      <w:r>
        <w:rPr>
          <w:rFonts w:hint="eastAsia" w:cs="宋体"/>
          <w:bCs/>
          <w:color w:val="auto"/>
          <w:sz w:val="21"/>
          <w:szCs w:val="21"/>
          <w:highlight w:val="none"/>
          <w:lang w:eastAsia="zh-CN"/>
        </w:rPr>
        <w:t>7.所有认证、证明和业绩除上表要求外均需提供有效的证明材料复印件加盖公章，原件备查。</w:t>
      </w:r>
    </w:p>
    <w:p w14:paraId="7007F79E">
      <w:pPr>
        <w:pStyle w:val="70"/>
        <w:ind w:firstLine="420"/>
        <w:rPr>
          <w:rFonts w:hint="eastAsia" w:cs="宋体"/>
          <w:bCs/>
          <w:color w:val="auto"/>
          <w:sz w:val="21"/>
          <w:szCs w:val="21"/>
          <w:highlight w:val="none"/>
          <w:lang w:eastAsia="zh-CN"/>
        </w:rPr>
      </w:pPr>
      <w:r>
        <w:rPr>
          <w:rFonts w:hint="eastAsia" w:cs="宋体"/>
          <w:color w:val="auto"/>
          <w:sz w:val="21"/>
          <w:szCs w:val="21"/>
          <w:highlight w:val="none"/>
          <w:lang w:eastAsia="zh-CN"/>
        </w:rPr>
        <w:t>8.</w:t>
      </w:r>
      <w:r>
        <w:rPr>
          <w:rFonts w:hint="eastAsia" w:cs="宋体"/>
          <w:bCs/>
          <w:color w:val="auto"/>
          <w:sz w:val="21"/>
          <w:szCs w:val="21"/>
          <w:highlight w:val="none"/>
          <w:lang w:eastAsia="zh-CN"/>
        </w:rPr>
        <w:t>根据住房和城乡建设部办公厅关于全面实行一级建造师电子注册证书的通知(建办市〔2021〕40号)要求，自2021年10月15日起，在全国范围内实行一级建造师电子证书，电子证书式样按照《全国一体化在线政务服务平台电子证照一级建造师注册证书》标准执行。自2022年1月1日起，一级建造师统一使用电子证书，纸质注册证书作废。各投标人若使用一级建造师证书电子注册证书编入响应文件的，电子注册证书应当符合相关文件规定，签名图像应当与持证人个人手写签名笔迹一致，证书应当在使用有效期限内。若提供的电子件无法识别有效信息的，视为无效。投标人将自行承担资格审查不通过或不予计分等相应后果。</w:t>
      </w:r>
    </w:p>
    <w:p w14:paraId="49964538">
      <w:pPr>
        <w:pStyle w:val="70"/>
        <w:ind w:firstLine="420"/>
        <w:rPr>
          <w:rFonts w:hint="eastAsia" w:cs="宋体"/>
          <w:bCs/>
          <w:color w:val="auto"/>
          <w:sz w:val="21"/>
          <w:szCs w:val="21"/>
          <w:highlight w:val="none"/>
          <w:lang w:eastAsia="zh-CN"/>
        </w:rPr>
      </w:pPr>
      <w:r>
        <w:rPr>
          <w:rFonts w:hint="eastAsia" w:cs="宋体"/>
          <w:bCs/>
          <w:color w:val="auto"/>
          <w:sz w:val="21"/>
          <w:szCs w:val="21"/>
          <w:highlight w:val="none"/>
          <w:lang w:eastAsia="zh-CN"/>
        </w:rPr>
        <w:t>9.根据江苏省住房和城乡建设厅颁发的“省住房和城乡建设厅关于我省二级建造师、二级造价工程师、二级注册建筑师、二级注册结构工程师注册证书电子证照换发的公告”请各投标人自行提供有效且满足招标文件要求的证书，若未提供有效的电子证书，视为无效。投标人将自行承担资格审查不通过或不予计分等相应后果。</w:t>
      </w:r>
    </w:p>
    <w:p w14:paraId="3B6F824D">
      <w:pPr>
        <w:rPr>
          <w:rFonts w:hint="eastAsia"/>
          <w:color w:val="auto"/>
          <w:w w:val="95"/>
          <w:sz w:val="36"/>
          <w:szCs w:val="36"/>
          <w:highlight w:val="none"/>
          <w:lang w:eastAsia="zh-CN"/>
        </w:rPr>
      </w:pPr>
      <w:bookmarkStart w:id="52" w:name="_Toc30487"/>
      <w:r>
        <w:rPr>
          <w:rFonts w:hint="eastAsia"/>
          <w:color w:val="auto"/>
          <w:w w:val="95"/>
          <w:sz w:val="36"/>
          <w:szCs w:val="36"/>
          <w:highlight w:val="none"/>
          <w:lang w:eastAsia="zh-CN"/>
        </w:rPr>
        <w:br w:type="page"/>
      </w:r>
    </w:p>
    <w:p w14:paraId="06024E5B">
      <w:pPr>
        <w:pStyle w:val="2"/>
        <w:tabs>
          <w:tab w:val="left" w:pos="4171"/>
        </w:tabs>
        <w:adjustRightInd w:val="0"/>
        <w:snapToGrid w:val="0"/>
        <w:spacing w:line="360" w:lineRule="auto"/>
        <w:jc w:val="center"/>
        <w:rPr>
          <w:color w:val="auto"/>
          <w:sz w:val="32"/>
          <w:szCs w:val="32"/>
          <w:highlight w:val="none"/>
          <w:lang w:eastAsia="zh-CN"/>
        </w:rPr>
      </w:pPr>
      <w:r>
        <w:rPr>
          <w:rFonts w:hint="eastAsia"/>
          <w:color w:val="auto"/>
          <w:w w:val="95"/>
          <w:sz w:val="36"/>
          <w:szCs w:val="36"/>
          <w:highlight w:val="none"/>
          <w:lang w:eastAsia="zh-CN"/>
        </w:rPr>
        <w:t>第四章  采购项目需求</w:t>
      </w:r>
      <w:bookmarkEnd w:id="52"/>
    </w:p>
    <w:p w14:paraId="3A4BEEC7">
      <w:pPr>
        <w:widowControl/>
        <w:adjustRightInd w:val="0"/>
        <w:snapToGrid w:val="0"/>
        <w:spacing w:line="360" w:lineRule="auto"/>
        <w:rPr>
          <w:rFonts w:hint="eastAsia" w:ascii="宋体" w:hAnsi="宋体" w:eastAsia="宋体"/>
          <w:color w:val="auto"/>
          <w:sz w:val="24"/>
          <w:szCs w:val="24"/>
          <w:highlight w:val="none"/>
          <w:lang w:eastAsia="zh-CN"/>
        </w:rPr>
      </w:pPr>
      <w:r>
        <w:rPr>
          <w:rFonts w:hint="eastAsia" w:ascii="宋体" w:hAnsi="宋体" w:eastAsia="宋体"/>
          <w:b/>
          <w:color w:val="auto"/>
          <w:sz w:val="21"/>
          <w:szCs w:val="21"/>
          <w:highlight w:val="none"/>
          <w:lang w:eastAsia="zh-CN"/>
        </w:rPr>
        <w:t xml:space="preserve"> </w:t>
      </w:r>
      <w:r>
        <w:rPr>
          <w:rFonts w:hint="eastAsia" w:ascii="宋体" w:hAnsi="宋体" w:eastAsia="宋体"/>
          <w:b/>
          <w:bCs/>
          <w:color w:val="auto"/>
          <w:sz w:val="24"/>
          <w:szCs w:val="24"/>
          <w:highlight w:val="none"/>
          <w:lang w:eastAsia="zh-CN"/>
        </w:rPr>
        <w:t>一、项目名称:</w:t>
      </w:r>
      <w:r>
        <w:rPr>
          <w:rFonts w:hint="eastAsia" w:ascii="宋体" w:hAnsi="宋体" w:eastAsia="宋体"/>
          <w:color w:val="auto"/>
          <w:sz w:val="24"/>
          <w:szCs w:val="24"/>
          <w:highlight w:val="none"/>
          <w:lang w:eastAsia="zh-CN"/>
        </w:rPr>
        <w:t>江宁监狱综合管网维修改造</w:t>
      </w:r>
    </w:p>
    <w:p w14:paraId="1D239174">
      <w:pPr>
        <w:adjustRightInd w:val="0"/>
        <w:snapToGrid w:val="0"/>
        <w:spacing w:line="360" w:lineRule="auto"/>
        <w:rPr>
          <w:rFonts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 xml:space="preserve"> 二、项目概况</w:t>
      </w:r>
    </w:p>
    <w:p w14:paraId="7ACA15FA">
      <w:pPr>
        <w:adjustRightInd w:val="0"/>
        <w:snapToGrid w:val="0"/>
        <w:spacing w:line="360" w:lineRule="auto"/>
        <w:ind w:firstLine="241" w:firstLineChars="100"/>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（一）项目概况：</w:t>
      </w:r>
    </w:p>
    <w:p w14:paraId="5AE2EDA4">
      <w:pPr>
        <w:adjustRightInd w:val="0"/>
        <w:snapToGrid w:val="0"/>
        <w:spacing w:line="360" w:lineRule="auto"/>
        <w:ind w:firstLine="480" w:firstLineChars="20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一包：江宁监狱蒸汽管网改造，具体详见图纸及工程量清单</w:t>
      </w:r>
    </w:p>
    <w:p w14:paraId="7CC2BC06">
      <w:pPr>
        <w:adjustRightInd w:val="0"/>
        <w:snapToGrid w:val="0"/>
        <w:spacing w:line="360" w:lineRule="auto"/>
        <w:ind w:firstLine="241" w:firstLineChars="100"/>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（二）施工地点：</w:t>
      </w:r>
      <w:r>
        <w:rPr>
          <w:rFonts w:hint="eastAsia" w:ascii="宋体" w:hAnsi="宋体" w:eastAsia="宋体" w:cs="宋体"/>
          <w:color w:val="auto"/>
          <w:sz w:val="24"/>
          <w:szCs w:val="24"/>
          <w:highlight w:val="none"/>
          <w:lang w:eastAsia="zh-CN"/>
        </w:rPr>
        <w:t>南京市</w:t>
      </w:r>
    </w:p>
    <w:p w14:paraId="2BC123F3">
      <w:pPr>
        <w:adjustRightInd w:val="0"/>
        <w:snapToGrid w:val="0"/>
        <w:spacing w:line="360" w:lineRule="auto"/>
        <w:ind w:firstLine="241" w:firstLineChars="100"/>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三、总体要求</w:t>
      </w:r>
    </w:p>
    <w:p w14:paraId="46D79D8A">
      <w:pPr>
        <w:adjustRightInd w:val="0"/>
        <w:snapToGrid w:val="0"/>
        <w:spacing w:line="360" w:lineRule="auto"/>
        <w:ind w:firstLine="241" w:firstLineChars="100"/>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★（一）工程质量要求：</w:t>
      </w:r>
      <w:r>
        <w:rPr>
          <w:rFonts w:hint="eastAsia" w:ascii="宋体" w:hAnsi="宋体" w:eastAsia="宋体" w:cs="宋体"/>
          <w:bCs/>
          <w:color w:val="auto"/>
          <w:sz w:val="24"/>
          <w:szCs w:val="24"/>
          <w:highlight w:val="none"/>
          <w:lang w:eastAsia="zh-CN"/>
        </w:rPr>
        <w:t>按照国家颁发的现行相关专业质量验收规范验收，要求达到合格标准。</w:t>
      </w:r>
    </w:p>
    <w:p w14:paraId="078A1631">
      <w:pPr>
        <w:adjustRightInd w:val="0"/>
        <w:snapToGrid w:val="0"/>
        <w:spacing w:line="360" w:lineRule="auto"/>
        <w:ind w:firstLine="241" w:firstLineChars="100"/>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★（二）工期要求：</w:t>
      </w:r>
    </w:p>
    <w:p w14:paraId="590CBDD6">
      <w:pPr>
        <w:adjustRightInd w:val="0"/>
        <w:snapToGrid w:val="0"/>
        <w:spacing w:line="360" w:lineRule="auto"/>
        <w:ind w:firstLine="240" w:firstLineChars="100"/>
        <w:rPr>
          <w:rFonts w:hint="eastAsia" w:ascii="宋体" w:hAnsi="宋体" w:eastAsia="宋体" w:cs="宋体"/>
          <w:color w:val="auto"/>
          <w:sz w:val="24"/>
          <w:szCs w:val="24"/>
          <w:highlight w:val="none"/>
          <w:lang w:eastAsia="zh-CN"/>
        </w:rPr>
      </w:pPr>
      <w:r>
        <w:rPr>
          <w:rFonts w:hint="eastAsia" w:ascii="宋体" w:hAnsi="宋体" w:eastAsia="宋体" w:cs="宋体"/>
          <w:bCs/>
          <w:color w:val="auto"/>
          <w:sz w:val="24"/>
          <w:szCs w:val="24"/>
          <w:highlight w:val="none"/>
          <w:lang w:eastAsia="zh-CN"/>
        </w:rPr>
        <w:t>一包：江宁监狱蒸汽管网改造</w:t>
      </w:r>
      <w:r>
        <w:rPr>
          <w:rFonts w:hint="eastAsia" w:ascii="宋体" w:hAnsi="宋体" w:eastAsia="宋体" w:cs="宋体"/>
          <w:bCs/>
          <w:color w:val="auto"/>
          <w:sz w:val="24"/>
          <w:szCs w:val="24"/>
          <w:highlight w:val="none"/>
          <w:lang w:val="en-US" w:eastAsia="zh-CN"/>
        </w:rPr>
        <w:t>,60</w:t>
      </w:r>
      <w:r>
        <w:rPr>
          <w:rFonts w:hint="eastAsia" w:ascii="宋体" w:hAnsi="宋体" w:eastAsia="宋体" w:cs="宋体"/>
          <w:bCs/>
          <w:color w:val="auto"/>
          <w:sz w:val="24"/>
          <w:szCs w:val="24"/>
          <w:highlight w:val="none"/>
          <w:lang w:eastAsia="zh-CN"/>
        </w:rPr>
        <w:t>日历日（</w:t>
      </w:r>
      <w:r>
        <w:rPr>
          <w:rFonts w:hint="eastAsia" w:ascii="宋体" w:hAnsi="宋体" w:eastAsia="宋体" w:cs="宋体"/>
          <w:bCs/>
          <w:color w:val="auto"/>
          <w:sz w:val="24"/>
          <w:szCs w:val="24"/>
          <w:highlight w:val="none"/>
          <w:lang w:val="en-US" w:eastAsia="zh-CN"/>
        </w:rPr>
        <w:t>其中每个车间</w:t>
      </w:r>
      <w:r>
        <w:rPr>
          <w:rFonts w:hint="eastAsia" w:ascii="宋体" w:hAnsi="宋体" w:eastAsia="宋体" w:cs="宋体"/>
          <w:bCs/>
          <w:color w:val="auto"/>
          <w:sz w:val="24"/>
          <w:szCs w:val="24"/>
          <w:highlight w:val="none"/>
          <w:lang w:eastAsia="zh-CN"/>
        </w:rPr>
        <w:t>蒸汽管网</w:t>
      </w:r>
      <w:r>
        <w:rPr>
          <w:rFonts w:hint="eastAsia" w:ascii="宋体" w:hAnsi="宋体" w:eastAsia="宋体" w:cs="宋体"/>
          <w:bCs/>
          <w:color w:val="auto"/>
          <w:sz w:val="24"/>
          <w:szCs w:val="24"/>
          <w:highlight w:val="none"/>
          <w:lang w:val="en-US" w:eastAsia="zh-CN"/>
        </w:rPr>
        <w:t>改造时间不超过2天，共计8个车间</w:t>
      </w:r>
      <w:r>
        <w:rPr>
          <w:rFonts w:hint="eastAsia" w:ascii="宋体" w:hAnsi="宋体" w:eastAsia="宋体" w:cs="宋体"/>
          <w:bCs/>
          <w:color w:val="auto"/>
          <w:sz w:val="24"/>
          <w:szCs w:val="24"/>
          <w:highlight w:val="none"/>
          <w:lang w:eastAsia="zh-CN"/>
        </w:rPr>
        <w:t>）（具体开工时间以甲方通知为准）</w:t>
      </w:r>
      <w:r>
        <w:rPr>
          <w:rFonts w:hint="eastAsia" w:ascii="宋体" w:hAnsi="宋体" w:eastAsia="宋体" w:cs="宋体"/>
          <w:color w:val="auto"/>
          <w:sz w:val="24"/>
          <w:szCs w:val="24"/>
          <w:highlight w:val="none"/>
          <w:lang w:eastAsia="zh-CN"/>
        </w:rPr>
        <w:t>。</w:t>
      </w:r>
    </w:p>
    <w:p w14:paraId="324A50DA">
      <w:pPr>
        <w:adjustRightInd w:val="0"/>
        <w:snapToGrid w:val="0"/>
        <w:spacing w:line="360" w:lineRule="auto"/>
        <w:ind w:firstLine="241" w:firstLineChars="100"/>
        <w:rPr>
          <w:rFonts w:hint="eastAsia" w:ascii="宋体" w:hAnsi="宋体" w:eastAsia="宋体" w:cs="宋体"/>
          <w:color w:val="auto"/>
          <w:sz w:val="24"/>
          <w:szCs w:val="24"/>
          <w:highlight w:val="none"/>
          <w:lang w:eastAsia="zh-CN"/>
        </w:rPr>
      </w:pP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lang w:val="en-US" w:eastAsia="zh-CN"/>
        </w:rPr>
        <w:t>三</w:t>
      </w:r>
      <w:r>
        <w:rPr>
          <w:rFonts w:hint="eastAsia" w:ascii="宋体" w:hAnsi="宋体" w:eastAsia="宋体" w:cs="宋体"/>
          <w:b/>
          <w:color w:val="auto"/>
          <w:sz w:val="24"/>
          <w:szCs w:val="24"/>
          <w:highlight w:val="none"/>
          <w:lang w:eastAsia="zh-CN"/>
        </w:rPr>
        <w:t>）一包：江宁监狱蒸汽管网改造</w:t>
      </w:r>
      <w:r>
        <w:rPr>
          <w:rFonts w:ascii="宋体" w:hAnsi="宋体" w:eastAsia="宋体" w:cs="宋体"/>
          <w:color w:val="auto"/>
          <w:sz w:val="24"/>
          <w:szCs w:val="24"/>
          <w:highlight w:val="none"/>
        </w:rPr>
        <w:t>为蒸汽压力管道改造工程，属于特种设备作业范畴，所有进场作业人员须依法依规持证上岗。管道焊接人员须持有市场监管部门核发的特种设备焊接作业证、应急管理部门核发的焊接与热切割特种作业证；无损检测人员具备 UT、RT 二级及以上无损检测资格证；电气作业人员持有低压电工证；设备吊装、高空作业人员分别持有对应起重、高处作业特种作业证。</w:t>
      </w:r>
      <w:r>
        <w:rPr>
          <w:rFonts w:hint="eastAsia" w:ascii="宋体" w:hAnsi="宋体" w:eastAsia="宋体" w:cs="宋体"/>
          <w:color w:val="auto"/>
          <w:sz w:val="24"/>
          <w:szCs w:val="24"/>
          <w:highlight w:val="none"/>
          <w:lang w:val="en-US" w:eastAsia="zh-CN"/>
        </w:rPr>
        <w:t>供应商</w:t>
      </w:r>
      <w:r>
        <w:rPr>
          <w:rFonts w:ascii="宋体" w:hAnsi="宋体" w:eastAsia="宋体" w:cs="宋体"/>
          <w:color w:val="auto"/>
          <w:sz w:val="24"/>
          <w:szCs w:val="24"/>
          <w:highlight w:val="none"/>
        </w:rPr>
        <w:t>须承诺现场作业人员证书真实有效，施工期间随时接受查验，并提交人员持证上岗承诺书。</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参与一包的供应商须提供承诺书并加盖供应商公章</w:t>
      </w:r>
      <w:r>
        <w:rPr>
          <w:rFonts w:hint="eastAsia" w:ascii="宋体" w:hAnsi="宋体" w:eastAsia="宋体" w:cs="宋体"/>
          <w:color w:val="auto"/>
          <w:sz w:val="24"/>
          <w:szCs w:val="24"/>
          <w:highlight w:val="none"/>
          <w:lang w:eastAsia="zh-CN"/>
        </w:rPr>
        <w:t>）</w:t>
      </w:r>
    </w:p>
    <w:p w14:paraId="02683C7A">
      <w:pPr>
        <w:adjustRightInd w:val="0"/>
        <w:snapToGrid w:val="0"/>
        <w:spacing w:line="360" w:lineRule="auto"/>
        <w:ind w:firstLine="241" w:firstLineChars="100"/>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四、建设总体原则</w:t>
      </w:r>
    </w:p>
    <w:p w14:paraId="7DF2A415">
      <w:pPr>
        <w:adjustRightInd w:val="0"/>
        <w:snapToGrid w:val="0"/>
        <w:spacing w:line="360" w:lineRule="auto"/>
        <w:ind w:firstLine="480" w:firstLineChars="20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1.建筑材料绿色环保</w:t>
      </w:r>
    </w:p>
    <w:p w14:paraId="41A6F882">
      <w:pPr>
        <w:adjustRightInd w:val="0"/>
        <w:snapToGrid w:val="0"/>
        <w:spacing w:line="360" w:lineRule="auto"/>
        <w:ind w:firstLine="480" w:firstLineChars="20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提倡环保低碳，提供的各类材料要符合现行环保、节能标准，严格执行国家强制性标准。</w:t>
      </w:r>
    </w:p>
    <w:p w14:paraId="26C1481B">
      <w:pPr>
        <w:adjustRightInd w:val="0"/>
        <w:snapToGrid w:val="0"/>
        <w:spacing w:line="360" w:lineRule="auto"/>
        <w:ind w:firstLine="480" w:firstLineChars="20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2、施工组织周密</w:t>
      </w:r>
    </w:p>
    <w:p w14:paraId="52A02DE7">
      <w:pPr>
        <w:adjustRightInd w:val="0"/>
        <w:snapToGrid w:val="0"/>
        <w:spacing w:line="360" w:lineRule="auto"/>
        <w:ind w:firstLine="480" w:firstLineChars="20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科学制定合理的施工组织实施方案，各分项组织实施的全过程及各个环节始终处于受控状态，施工工艺满足国家、省、市现行标准、规范和本项目设计要求。供应商应做到文明施工，不得扰民，做好施工现场及院内整洁，做好已有设施和装修的保护措施，如有损坏采购人有权要求赔偿，施工垃圾及时清运，清运手续、费用由施工方自行解决。</w:t>
      </w:r>
    </w:p>
    <w:p w14:paraId="29DB2105">
      <w:pPr>
        <w:adjustRightInd w:val="0"/>
        <w:snapToGrid w:val="0"/>
        <w:spacing w:line="360" w:lineRule="auto"/>
        <w:ind w:firstLine="480" w:firstLineChars="20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3、坚持安全施工</w:t>
      </w:r>
    </w:p>
    <w:p w14:paraId="1115C19F">
      <w:pPr>
        <w:adjustRightInd w:val="0"/>
        <w:snapToGrid w:val="0"/>
        <w:spacing w:line="360" w:lineRule="auto"/>
        <w:ind w:firstLine="480" w:firstLineChars="20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强化安全生产意识，建立规范化、标准化、制度化的管理体系，确保项目现场的结构安全、消防安全、电气安全，以及人身安全等。供应商应严格执行建筑施工规范、安全操作规范、安全防火规定、环境保护等规定，施工中所发生的一切安全责任事故均由供应商承担，采购人不承担任何责任。</w:t>
      </w:r>
    </w:p>
    <w:p w14:paraId="29FB8E8D">
      <w:pPr>
        <w:adjustRightInd w:val="0"/>
        <w:snapToGrid w:val="0"/>
        <w:spacing w:line="360" w:lineRule="auto"/>
        <w:ind w:firstLine="241" w:firstLineChars="100"/>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五、项目管理要求</w:t>
      </w:r>
    </w:p>
    <w:p w14:paraId="6CEE7DE4">
      <w:pPr>
        <w:adjustRightInd w:val="0"/>
        <w:snapToGrid w:val="0"/>
        <w:spacing w:line="360" w:lineRule="auto"/>
        <w:ind w:firstLine="240" w:firstLineChars="10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1.本项目不得分包。一经发现立即取消承包资格，作违约处理，并承担由此引起的一切经济损失。</w:t>
      </w:r>
    </w:p>
    <w:p w14:paraId="6F0551BC">
      <w:pPr>
        <w:adjustRightInd w:val="0"/>
        <w:snapToGrid w:val="0"/>
        <w:spacing w:line="360" w:lineRule="auto"/>
        <w:ind w:firstLine="240" w:firstLineChars="10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2.供应商应无条件地接受采购人对工程质量的监督和管理。</w:t>
      </w:r>
    </w:p>
    <w:p w14:paraId="6C2082CB">
      <w:pPr>
        <w:adjustRightInd w:val="0"/>
        <w:snapToGrid w:val="0"/>
        <w:spacing w:line="360" w:lineRule="auto"/>
        <w:ind w:firstLine="240" w:firstLineChars="10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3.采购人有权要求供应商撤换工作不负责任、管理不力、贻误工期和造成严重安全事故和质量事故、违法乱纪的专业技术、管理人员、项目经理，直至采购人满意为止。如项目经理及相应资质的专业技术人员未按要求到位，视作违约，采购人有权单方面终止合同。</w:t>
      </w:r>
    </w:p>
    <w:p w14:paraId="6E8986EF">
      <w:pPr>
        <w:adjustRightInd w:val="0"/>
        <w:snapToGrid w:val="0"/>
        <w:spacing w:line="360" w:lineRule="auto"/>
        <w:ind w:firstLine="241" w:firstLineChars="100"/>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val="en-US" w:eastAsia="zh-CN"/>
        </w:rPr>
        <w:t>六</w:t>
      </w:r>
      <w:r>
        <w:rPr>
          <w:rFonts w:hint="eastAsia" w:ascii="宋体" w:hAnsi="宋体" w:eastAsia="宋体" w:cs="宋体"/>
          <w:b/>
          <w:color w:val="auto"/>
          <w:sz w:val="24"/>
          <w:szCs w:val="24"/>
          <w:highlight w:val="none"/>
          <w:lang w:eastAsia="zh-CN"/>
        </w:rPr>
        <w:t>、质量要求</w:t>
      </w:r>
    </w:p>
    <w:p w14:paraId="75B82A19">
      <w:pPr>
        <w:adjustRightInd w:val="0"/>
        <w:snapToGrid w:val="0"/>
        <w:spacing w:line="360" w:lineRule="auto"/>
        <w:ind w:firstLine="240" w:firstLineChars="10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1.本项目质量目标为符合国家及省市设计、施工验收规定合格标准。</w:t>
      </w:r>
    </w:p>
    <w:p w14:paraId="3D5F8428">
      <w:pPr>
        <w:adjustRightInd w:val="0"/>
        <w:snapToGrid w:val="0"/>
        <w:spacing w:line="360" w:lineRule="auto"/>
        <w:ind w:firstLine="240" w:firstLineChars="10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2.供应商须无条件接受质量监督管理部门和监理单位的质量检查和管理，共同把好质量关。</w:t>
      </w:r>
    </w:p>
    <w:p w14:paraId="7774D515">
      <w:pPr>
        <w:adjustRightInd w:val="0"/>
        <w:snapToGrid w:val="0"/>
        <w:spacing w:line="360" w:lineRule="auto"/>
        <w:ind w:firstLine="240" w:firstLineChars="100"/>
        <w:rPr>
          <w:rFonts w:hint="eastAsia" w:ascii="宋体" w:hAnsi="宋体" w:eastAsia="宋体" w:cs="宋体"/>
          <w:b/>
          <w:color w:val="auto"/>
          <w:sz w:val="24"/>
          <w:szCs w:val="24"/>
          <w:highlight w:val="none"/>
          <w:lang w:eastAsia="zh-CN"/>
        </w:rPr>
      </w:pPr>
      <w:r>
        <w:rPr>
          <w:rFonts w:hint="eastAsia" w:ascii="宋体" w:hAnsi="宋体" w:eastAsia="宋体" w:cs="宋体"/>
          <w:bCs/>
          <w:color w:val="auto"/>
          <w:sz w:val="24"/>
          <w:szCs w:val="24"/>
          <w:highlight w:val="none"/>
          <w:lang w:eastAsia="zh-CN"/>
        </w:rPr>
        <w:t>3.隐蔽工程经采购人验收合格后方可进入下道工序施工。程序不符合要求的，视为不合格，由此所产生的返工费用由供应商承担。</w:t>
      </w:r>
    </w:p>
    <w:p w14:paraId="257721C0">
      <w:pPr>
        <w:adjustRightInd w:val="0"/>
        <w:snapToGrid w:val="0"/>
        <w:spacing w:line="360" w:lineRule="auto"/>
        <w:ind w:firstLine="241" w:firstLineChars="100"/>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val="en-US" w:eastAsia="zh-CN"/>
        </w:rPr>
        <w:t>七</w:t>
      </w:r>
      <w:r>
        <w:rPr>
          <w:rFonts w:hint="eastAsia" w:ascii="宋体" w:hAnsi="宋体" w:eastAsia="宋体" w:cs="宋体"/>
          <w:b/>
          <w:color w:val="auto"/>
          <w:sz w:val="24"/>
          <w:szCs w:val="24"/>
          <w:highlight w:val="none"/>
          <w:lang w:eastAsia="zh-CN"/>
        </w:rPr>
        <w:t>、付款方式</w:t>
      </w:r>
    </w:p>
    <w:p w14:paraId="7AD4ED6A">
      <w:pPr>
        <w:autoSpaceDE w:val="0"/>
        <w:autoSpaceDN w:val="0"/>
        <w:adjustRightInd w:val="0"/>
        <w:snapToGrid w:val="0"/>
        <w:spacing w:line="360" w:lineRule="auto"/>
        <w:ind w:firstLine="480" w:firstLineChars="20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本合同项下所有款项均以人民币支付，并在付款前开具正规发票。</w:t>
      </w:r>
    </w:p>
    <w:p w14:paraId="6F36804B">
      <w:pPr>
        <w:autoSpaceDE w:val="0"/>
        <w:autoSpaceDN w:val="0"/>
        <w:adjustRightInd w:val="0"/>
        <w:snapToGrid w:val="0"/>
        <w:spacing w:line="360" w:lineRule="auto"/>
        <w:ind w:firstLine="480" w:firstLineChars="20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（1）合同签订生效后，采购方支付合同价款10%；</w:t>
      </w:r>
    </w:p>
    <w:p w14:paraId="212C65FB">
      <w:pPr>
        <w:autoSpaceDE w:val="0"/>
        <w:autoSpaceDN w:val="0"/>
        <w:adjustRightInd w:val="0"/>
        <w:snapToGrid w:val="0"/>
        <w:spacing w:line="360" w:lineRule="auto"/>
        <w:ind w:firstLine="480" w:firstLineChars="20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（2）项目竣工验收前，达到项目形象进度50%时，由施工方申请，经监理方、采购方审核确认后支付至合同价款40%；</w:t>
      </w:r>
    </w:p>
    <w:p w14:paraId="02BD4958">
      <w:pPr>
        <w:autoSpaceDE w:val="0"/>
        <w:autoSpaceDN w:val="0"/>
        <w:adjustRightInd w:val="0"/>
        <w:snapToGrid w:val="0"/>
        <w:spacing w:line="360" w:lineRule="auto"/>
        <w:ind w:firstLine="480" w:firstLineChars="20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（3）全部完成并经验收合格，2026年12月31日前付至合同价的50%；</w:t>
      </w:r>
    </w:p>
    <w:p w14:paraId="471C8FCC">
      <w:pPr>
        <w:autoSpaceDE w:val="0"/>
        <w:autoSpaceDN w:val="0"/>
        <w:adjustRightInd w:val="0"/>
        <w:snapToGrid w:val="0"/>
        <w:spacing w:line="360" w:lineRule="auto"/>
        <w:ind w:firstLine="480" w:firstLineChars="200"/>
        <w:rPr>
          <w:rFonts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（4)乙方提交全套工程资料及决算书报甲方单位审核，双方确认无异且经审计审核后，乙方按审定结算价款的 3% 向甲方缴纳工程质保金，甲方于2027年12月31日前付至审核价款的100%（如乙方未按要求支付质保金，甲方可拒绝支付工程款）。缺陷责任期24个月期满后30日内如无质量问题，质保金一次性全额退还乙方。</w:t>
      </w:r>
    </w:p>
    <w:p w14:paraId="5CD30BDE">
      <w:pPr>
        <w:autoSpaceDE w:val="0"/>
        <w:autoSpaceDN w:val="0"/>
        <w:adjustRightInd w:val="0"/>
        <w:snapToGrid w:val="0"/>
        <w:spacing w:line="360" w:lineRule="auto"/>
        <w:ind w:firstLine="241" w:firstLineChars="100"/>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八、其他要求</w:t>
      </w:r>
    </w:p>
    <w:p w14:paraId="04615880">
      <w:pPr>
        <w:autoSpaceDE w:val="0"/>
        <w:autoSpaceDN w:val="0"/>
        <w:adjustRightInd w:val="0"/>
        <w:snapToGrid w:val="0"/>
        <w:spacing w:line="360" w:lineRule="auto"/>
        <w:ind w:firstLine="480" w:firstLineChars="2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1.按工程量清单进行报价。</w:t>
      </w:r>
    </w:p>
    <w:p w14:paraId="60DBB659">
      <w:pPr>
        <w:autoSpaceDE w:val="0"/>
        <w:autoSpaceDN w:val="0"/>
        <w:adjustRightInd w:val="0"/>
        <w:snapToGrid w:val="0"/>
        <w:spacing w:line="360" w:lineRule="auto"/>
        <w:ind w:firstLine="480" w:firstLineChars="2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2.因本项目施工场地特殊，可能存在人员、材料进出受限，影响施工进度，造成窝工的情形。供应商应充分考虑该因素以及其他所有可能影响到报价的价格及政策等风险因素。</w:t>
      </w:r>
    </w:p>
    <w:p w14:paraId="41D9189F">
      <w:pPr>
        <w:autoSpaceDE w:val="0"/>
        <w:autoSpaceDN w:val="0"/>
        <w:adjustRightInd w:val="0"/>
        <w:snapToGrid w:val="0"/>
        <w:spacing w:line="360" w:lineRule="auto"/>
        <w:ind w:firstLine="480" w:firstLineChars="200"/>
        <w:rPr>
          <w:rFonts w:hint="eastAsia" w:ascii="宋体" w:hAnsi="宋体" w:eastAsia="宋体" w:cs="宋体"/>
          <w:b/>
          <w:color w:val="auto"/>
          <w:sz w:val="24"/>
          <w:szCs w:val="24"/>
          <w:highlight w:val="none"/>
          <w:lang w:eastAsia="zh-CN"/>
        </w:rPr>
      </w:pPr>
      <w:r>
        <w:rPr>
          <w:rFonts w:hint="eastAsia" w:ascii="宋体" w:hAnsi="宋体" w:eastAsia="宋体" w:cs="宋体"/>
          <w:bCs/>
          <w:color w:val="auto"/>
          <w:sz w:val="24"/>
          <w:szCs w:val="24"/>
          <w:highlight w:val="none"/>
          <w:lang w:val="en-US" w:eastAsia="zh-CN"/>
        </w:rPr>
        <w:t>3.投标报价应是采购文件所确定的采购范围内的全部工作内容的价格体现。其应包括但不限于施工、辅材辅料采购、人工、土建、安装、设备、后期维保、利润、管理、税金等全部费用。供应商的任何错漏、优惠报价不得作为减轻责任、减少服务、增加收费、降低质量的理由。</w:t>
      </w:r>
    </w:p>
    <w:p w14:paraId="3507FAC4">
      <w:pPr>
        <w:autoSpaceDE w:val="0"/>
        <w:autoSpaceDN w:val="0"/>
        <w:adjustRightInd w:val="0"/>
        <w:snapToGrid w:val="0"/>
        <w:spacing w:line="360" w:lineRule="auto"/>
        <w:ind w:firstLine="241" w:firstLineChars="100"/>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val="en-US" w:eastAsia="zh-CN"/>
        </w:rPr>
        <w:t>九</w:t>
      </w:r>
      <w:r>
        <w:rPr>
          <w:rFonts w:hint="eastAsia" w:ascii="宋体" w:hAnsi="宋体" w:eastAsia="宋体" w:cs="宋体"/>
          <w:b/>
          <w:color w:val="auto"/>
          <w:sz w:val="24"/>
          <w:szCs w:val="24"/>
          <w:highlight w:val="none"/>
          <w:lang w:eastAsia="zh-CN"/>
        </w:rPr>
        <w:t>、备注：本章加“★”项要求均为实质性要求，不可负偏离，否则作为无效响应文件。</w:t>
      </w:r>
    </w:p>
    <w:p w14:paraId="48E5766E">
      <w:pPr>
        <w:autoSpaceDE w:val="0"/>
        <w:autoSpaceDN w:val="0"/>
        <w:adjustRightInd w:val="0"/>
        <w:snapToGrid w:val="0"/>
        <w:spacing w:line="360" w:lineRule="auto"/>
        <w:ind w:firstLine="241" w:firstLineChars="100"/>
        <w:rPr>
          <w:rFonts w:hint="eastAsia" w:ascii="宋体" w:hAnsi="宋体" w:eastAsia="宋体" w:cs="宋体"/>
          <w:b/>
          <w:color w:val="auto"/>
          <w:sz w:val="24"/>
          <w:szCs w:val="24"/>
          <w:highlight w:val="yellow"/>
          <w:lang w:eastAsia="zh-CN"/>
        </w:rPr>
      </w:pPr>
      <w:r>
        <w:rPr>
          <w:rFonts w:hint="eastAsia" w:ascii="宋体" w:hAnsi="宋体" w:eastAsia="宋体" w:cs="宋体"/>
          <w:b/>
          <w:color w:val="auto"/>
          <w:sz w:val="24"/>
          <w:szCs w:val="24"/>
          <w:highlight w:val="yellow"/>
          <w:lang w:val="en-US" w:eastAsia="zh-CN"/>
        </w:rPr>
        <w:t>十、</w:t>
      </w:r>
      <w:r>
        <w:rPr>
          <w:rFonts w:hint="eastAsia" w:ascii="宋体" w:hAnsi="宋体" w:eastAsia="宋体" w:cs="宋体"/>
          <w:b/>
          <w:color w:val="auto"/>
          <w:sz w:val="24"/>
          <w:szCs w:val="24"/>
          <w:highlight w:val="yellow"/>
          <w:lang w:eastAsia="zh-CN"/>
        </w:rPr>
        <w:t>图纸、工程量清单：</w:t>
      </w:r>
    </w:p>
    <w:p w14:paraId="01DB903E">
      <w:pPr>
        <w:autoSpaceDE w:val="0"/>
        <w:autoSpaceDN w:val="0"/>
        <w:adjustRightInd w:val="0"/>
        <w:snapToGrid w:val="0"/>
        <w:spacing w:line="360" w:lineRule="auto"/>
        <w:ind w:firstLine="240" w:firstLineChars="100"/>
        <w:rPr>
          <w:rFonts w:hint="eastAsia" w:ascii="宋体" w:hAnsi="宋体" w:eastAsia="宋体" w:cs="宋体"/>
          <w:bCs/>
          <w:color w:val="auto"/>
          <w:sz w:val="24"/>
          <w:szCs w:val="24"/>
          <w:highlight w:val="yellow"/>
          <w:lang w:eastAsia="zh-CN"/>
        </w:rPr>
      </w:pPr>
      <w:r>
        <w:rPr>
          <w:rFonts w:hint="eastAsia" w:ascii="宋体" w:hAnsi="宋体" w:eastAsia="宋体" w:cs="宋体"/>
          <w:bCs/>
          <w:color w:val="auto"/>
          <w:sz w:val="24"/>
          <w:szCs w:val="24"/>
          <w:highlight w:val="yellow"/>
          <w:lang w:eastAsia="zh-CN"/>
        </w:rPr>
        <w:t>通过</w:t>
      </w:r>
      <w:r>
        <w:rPr>
          <w:rFonts w:hint="eastAsia" w:ascii="宋体" w:hAnsi="宋体" w:eastAsia="宋体" w:cs="宋体"/>
          <w:bCs/>
          <w:color w:val="auto"/>
          <w:sz w:val="24"/>
          <w:szCs w:val="24"/>
          <w:highlight w:val="yellow"/>
          <w:lang w:val="en-US" w:eastAsia="zh-CN"/>
        </w:rPr>
        <w:t>百度</w:t>
      </w:r>
      <w:r>
        <w:rPr>
          <w:rFonts w:hint="eastAsia" w:ascii="宋体" w:hAnsi="宋体" w:eastAsia="宋体" w:cs="宋体"/>
          <w:bCs/>
          <w:color w:val="auto"/>
          <w:sz w:val="24"/>
          <w:szCs w:val="24"/>
          <w:highlight w:val="yellow"/>
          <w:lang w:eastAsia="zh-CN"/>
        </w:rPr>
        <w:t>网盘分享</w:t>
      </w:r>
    </w:p>
    <w:p w14:paraId="70B89C6F">
      <w:pPr>
        <w:autoSpaceDE w:val="0"/>
        <w:autoSpaceDN w:val="0"/>
        <w:adjustRightInd w:val="0"/>
        <w:snapToGrid w:val="0"/>
        <w:spacing w:line="360" w:lineRule="auto"/>
        <w:ind w:firstLine="240" w:firstLineChars="100"/>
        <w:rPr>
          <w:rFonts w:hint="eastAsia" w:ascii="宋体" w:hAnsi="宋体" w:eastAsia="宋体" w:cs="宋体"/>
          <w:bCs/>
          <w:color w:val="auto"/>
          <w:sz w:val="24"/>
          <w:szCs w:val="24"/>
          <w:highlight w:val="yellow"/>
          <w:lang w:eastAsia="zh-CN"/>
        </w:rPr>
      </w:pPr>
      <w:r>
        <w:rPr>
          <w:rFonts w:hint="eastAsia" w:ascii="宋体" w:hAnsi="宋体" w:eastAsia="宋体" w:cs="宋体"/>
          <w:bCs/>
          <w:color w:val="auto"/>
          <w:sz w:val="24"/>
          <w:szCs w:val="24"/>
          <w:highlight w:val="yellow"/>
          <w:lang w:eastAsia="zh-CN"/>
        </w:rPr>
        <w:t xml:space="preserve">链接: https://pan.baidu.com/s/1NYek2_1i2PsqNX0bSlKFsA?pwd=989e </w:t>
      </w:r>
    </w:p>
    <w:p w14:paraId="1420BF52">
      <w:pPr>
        <w:autoSpaceDE w:val="0"/>
        <w:autoSpaceDN w:val="0"/>
        <w:adjustRightInd w:val="0"/>
        <w:snapToGrid w:val="0"/>
        <w:spacing w:line="360" w:lineRule="auto"/>
        <w:ind w:firstLine="240" w:firstLineChars="100"/>
        <w:rPr>
          <w:rFonts w:hint="eastAsia" w:ascii="宋体" w:hAnsi="宋体" w:eastAsia="宋体" w:cs="宋体"/>
          <w:bCs/>
          <w:color w:val="auto"/>
          <w:sz w:val="24"/>
          <w:szCs w:val="24"/>
          <w:highlight w:val="yellow"/>
          <w:lang w:eastAsia="zh-CN"/>
        </w:rPr>
      </w:pPr>
      <w:r>
        <w:rPr>
          <w:rFonts w:hint="eastAsia" w:ascii="宋体" w:hAnsi="宋体" w:eastAsia="宋体" w:cs="宋体"/>
          <w:bCs/>
          <w:color w:val="auto"/>
          <w:sz w:val="24"/>
          <w:szCs w:val="24"/>
          <w:highlight w:val="yellow"/>
          <w:lang w:eastAsia="zh-CN"/>
        </w:rPr>
        <w:t xml:space="preserve">提取码: 989e </w:t>
      </w:r>
      <w:bookmarkStart w:id="91" w:name="_GoBack"/>
      <w:bookmarkEnd w:id="91"/>
    </w:p>
    <w:p w14:paraId="7A904643">
      <w:pPr>
        <w:autoSpaceDE w:val="0"/>
        <w:autoSpaceDN w:val="0"/>
        <w:adjustRightInd w:val="0"/>
        <w:snapToGrid w:val="0"/>
        <w:spacing w:line="360" w:lineRule="auto"/>
        <w:ind w:firstLine="220" w:firstLineChars="100"/>
        <w:jc w:val="center"/>
        <w:rPr>
          <w:color w:val="auto"/>
          <w:highlight w:val="none"/>
          <w:lang w:eastAsia="zh-CN"/>
        </w:rPr>
      </w:pPr>
      <w:r>
        <w:rPr>
          <w:color w:val="auto"/>
          <w:highlight w:val="none"/>
          <w:lang w:eastAsia="zh-CN"/>
        </w:rPr>
        <w:br w:type="page"/>
      </w:r>
      <w:bookmarkStart w:id="53" w:name="_Toc26053"/>
      <w:r>
        <w:rPr>
          <w:rFonts w:hint="eastAsia"/>
          <w:color w:val="auto"/>
          <w:w w:val="95"/>
          <w:sz w:val="36"/>
          <w:szCs w:val="36"/>
          <w:highlight w:val="none"/>
          <w:lang w:eastAsia="zh-CN"/>
        </w:rPr>
        <w:t>第五章 合同主要条款</w:t>
      </w:r>
      <w:bookmarkEnd w:id="53"/>
    </w:p>
    <w:p w14:paraId="2D9BEFAA">
      <w:pPr>
        <w:spacing w:before="9"/>
        <w:rPr>
          <w:rFonts w:hint="eastAsia" w:ascii="宋体" w:hAnsi="宋体" w:eastAsia="宋体" w:cs="宋体"/>
          <w:b/>
          <w:color w:val="auto"/>
          <w:highlight w:val="none"/>
        </w:rPr>
      </w:pPr>
    </w:p>
    <w:p w14:paraId="70FC3419">
      <w:pPr>
        <w:tabs>
          <w:tab w:val="left" w:pos="0"/>
          <w:tab w:val="left" w:pos="1134"/>
        </w:tabs>
        <w:spacing w:line="580" w:lineRule="exact"/>
        <w:jc w:val="center"/>
        <w:rPr>
          <w:rFonts w:hint="eastAsia" w:ascii="宋体" w:hAnsi="宋体" w:eastAsia="宋体" w:cs="宋体"/>
          <w:b/>
          <w:color w:val="auto"/>
          <w:spacing w:val="60"/>
          <w:sz w:val="52"/>
          <w:szCs w:val="52"/>
          <w:highlight w:val="none"/>
          <w:lang w:eastAsia="zh-CN"/>
        </w:rPr>
      </w:pPr>
      <w:r>
        <w:rPr>
          <w:rFonts w:hint="eastAsia" w:ascii="宋体" w:hAnsi="宋体" w:eastAsia="宋体" w:cs="宋体"/>
          <w:b/>
          <w:color w:val="auto"/>
          <w:spacing w:val="60"/>
          <w:sz w:val="52"/>
          <w:szCs w:val="52"/>
          <w:highlight w:val="none"/>
          <w:lang w:eastAsia="zh-CN"/>
        </w:rPr>
        <w:t>江宁监狱综合管网维修改造</w:t>
      </w:r>
    </w:p>
    <w:p w14:paraId="0CCFD26A">
      <w:pPr>
        <w:tabs>
          <w:tab w:val="left" w:pos="0"/>
          <w:tab w:val="left" w:pos="1134"/>
        </w:tabs>
        <w:spacing w:line="580" w:lineRule="exact"/>
        <w:jc w:val="center"/>
        <w:rPr>
          <w:rFonts w:hint="eastAsia" w:ascii="宋体" w:hAnsi="宋体" w:eastAsia="宋体" w:cs="宋体"/>
          <w:b/>
          <w:color w:val="auto"/>
          <w:spacing w:val="60"/>
          <w:sz w:val="52"/>
          <w:szCs w:val="52"/>
          <w:highlight w:val="none"/>
        </w:rPr>
      </w:pPr>
      <w:r>
        <w:rPr>
          <w:rFonts w:hint="eastAsia" w:ascii="宋体" w:hAnsi="宋体" w:eastAsia="宋体" w:cs="宋体"/>
          <w:b/>
          <w:color w:val="auto"/>
          <w:spacing w:val="60"/>
          <w:sz w:val="52"/>
          <w:szCs w:val="52"/>
          <w:highlight w:val="none"/>
        </w:rPr>
        <w:t xml:space="preserve"> </w:t>
      </w:r>
    </w:p>
    <w:p w14:paraId="2398136B">
      <w:pPr>
        <w:tabs>
          <w:tab w:val="left" w:pos="0"/>
          <w:tab w:val="left" w:pos="1134"/>
        </w:tabs>
        <w:spacing w:before="156" w:line="440" w:lineRule="exact"/>
        <w:jc w:val="center"/>
        <w:rPr>
          <w:rFonts w:hint="eastAsia" w:ascii="宋体" w:hAnsi="宋体" w:eastAsia="宋体" w:cs="宋体"/>
          <w:color w:val="auto"/>
          <w:sz w:val="32"/>
          <w:szCs w:val="20"/>
          <w:highlight w:val="none"/>
        </w:rPr>
      </w:pPr>
      <w:r>
        <w:rPr>
          <w:rFonts w:hint="eastAsia" w:ascii="宋体" w:hAnsi="宋体" w:eastAsia="宋体" w:cs="宋体"/>
          <w:b/>
          <w:color w:val="auto"/>
          <w:sz w:val="32"/>
          <w:szCs w:val="32"/>
          <w:highlight w:val="none"/>
          <w:u w:val="single"/>
          <w:lang w:val="en-US" w:eastAsia="zh-CN"/>
        </w:rPr>
        <w:t>一包：江宁监狱蒸汽管网改造</w:t>
      </w:r>
    </w:p>
    <w:p w14:paraId="5FAD80CE">
      <w:pPr>
        <w:tabs>
          <w:tab w:val="left" w:pos="0"/>
          <w:tab w:val="left" w:pos="1134"/>
        </w:tabs>
        <w:spacing w:before="156" w:line="440" w:lineRule="exact"/>
        <w:jc w:val="right"/>
        <w:rPr>
          <w:rFonts w:hint="eastAsia" w:ascii="宋体" w:hAnsi="宋体" w:eastAsia="宋体" w:cs="宋体"/>
          <w:color w:val="auto"/>
          <w:sz w:val="32"/>
          <w:szCs w:val="20"/>
          <w:highlight w:val="none"/>
        </w:rPr>
      </w:pPr>
    </w:p>
    <w:p w14:paraId="780D75B9">
      <w:pPr>
        <w:tabs>
          <w:tab w:val="left" w:pos="0"/>
          <w:tab w:val="left" w:pos="1134"/>
        </w:tabs>
        <w:spacing w:before="156" w:line="440" w:lineRule="exact"/>
        <w:jc w:val="right"/>
        <w:rPr>
          <w:rFonts w:hint="eastAsia" w:ascii="宋体" w:hAnsi="宋体" w:eastAsia="宋体" w:cs="宋体"/>
          <w:color w:val="auto"/>
          <w:sz w:val="32"/>
          <w:szCs w:val="20"/>
          <w:highlight w:val="none"/>
        </w:rPr>
      </w:pPr>
    </w:p>
    <w:p w14:paraId="7A8FB66F">
      <w:pPr>
        <w:tabs>
          <w:tab w:val="left" w:pos="0"/>
          <w:tab w:val="left" w:pos="1134"/>
        </w:tabs>
        <w:spacing w:before="156" w:line="440" w:lineRule="exact"/>
        <w:jc w:val="center"/>
        <w:rPr>
          <w:rFonts w:hint="eastAsia" w:ascii="宋体" w:hAnsi="宋体" w:eastAsia="宋体" w:cs="宋体"/>
          <w:b/>
          <w:color w:val="auto"/>
          <w:spacing w:val="60"/>
          <w:sz w:val="52"/>
          <w:szCs w:val="52"/>
          <w:highlight w:val="none"/>
        </w:rPr>
      </w:pPr>
      <w:bookmarkStart w:id="54" w:name="_Toc16562_WPSOffice_Level3"/>
      <w:r>
        <w:rPr>
          <w:rFonts w:hint="eastAsia" w:ascii="宋体" w:hAnsi="宋体" w:eastAsia="宋体" w:cs="宋体"/>
          <w:b/>
          <w:color w:val="auto"/>
          <w:spacing w:val="60"/>
          <w:sz w:val="52"/>
          <w:szCs w:val="52"/>
          <w:highlight w:val="none"/>
        </w:rPr>
        <w:t>建设工程施工合同</w:t>
      </w:r>
      <w:bookmarkEnd w:id="54"/>
    </w:p>
    <w:p w14:paraId="1ACC5067">
      <w:pPr>
        <w:tabs>
          <w:tab w:val="left" w:pos="0"/>
          <w:tab w:val="left" w:pos="1134"/>
        </w:tabs>
        <w:spacing w:before="156" w:line="440" w:lineRule="exact"/>
        <w:jc w:val="center"/>
        <w:rPr>
          <w:rFonts w:hint="eastAsia" w:ascii="宋体" w:hAnsi="宋体" w:eastAsia="宋体" w:cs="宋体"/>
          <w:color w:val="auto"/>
          <w:sz w:val="32"/>
          <w:szCs w:val="20"/>
          <w:highlight w:val="none"/>
        </w:rPr>
      </w:pPr>
    </w:p>
    <w:p w14:paraId="2F68FAEE">
      <w:pPr>
        <w:tabs>
          <w:tab w:val="left" w:pos="0"/>
          <w:tab w:val="left" w:pos="1134"/>
        </w:tabs>
        <w:spacing w:before="156" w:line="440" w:lineRule="exact"/>
        <w:jc w:val="center"/>
        <w:rPr>
          <w:rFonts w:hint="eastAsia" w:ascii="宋体" w:hAnsi="宋体" w:eastAsia="宋体" w:cs="宋体"/>
          <w:color w:val="auto"/>
          <w:sz w:val="32"/>
          <w:szCs w:val="22"/>
          <w:highlight w:val="none"/>
        </w:rPr>
      </w:pPr>
    </w:p>
    <w:p w14:paraId="2A7E91A9">
      <w:pPr>
        <w:tabs>
          <w:tab w:val="left" w:pos="0"/>
          <w:tab w:val="left" w:pos="1134"/>
        </w:tabs>
        <w:spacing w:before="156" w:line="440" w:lineRule="exact"/>
        <w:jc w:val="center"/>
        <w:rPr>
          <w:rFonts w:hint="eastAsia" w:ascii="宋体" w:hAnsi="宋体" w:eastAsia="宋体" w:cs="宋体"/>
          <w:color w:val="auto"/>
          <w:sz w:val="32"/>
          <w:szCs w:val="22"/>
          <w:highlight w:val="none"/>
        </w:rPr>
      </w:pPr>
    </w:p>
    <w:p w14:paraId="38853DF0">
      <w:pPr>
        <w:tabs>
          <w:tab w:val="left" w:pos="0"/>
          <w:tab w:val="left" w:pos="1134"/>
        </w:tabs>
        <w:spacing w:before="156" w:line="440" w:lineRule="exact"/>
        <w:jc w:val="center"/>
        <w:rPr>
          <w:rFonts w:hint="eastAsia" w:ascii="宋体" w:hAnsi="宋体" w:eastAsia="宋体" w:cs="宋体"/>
          <w:color w:val="auto"/>
          <w:sz w:val="32"/>
          <w:szCs w:val="22"/>
          <w:highlight w:val="none"/>
        </w:rPr>
      </w:pPr>
    </w:p>
    <w:p w14:paraId="6F885807">
      <w:pPr>
        <w:tabs>
          <w:tab w:val="left" w:pos="0"/>
          <w:tab w:val="left" w:pos="1134"/>
        </w:tabs>
        <w:spacing w:before="156" w:line="440" w:lineRule="exact"/>
        <w:jc w:val="center"/>
        <w:rPr>
          <w:rFonts w:hint="eastAsia" w:ascii="宋体" w:hAnsi="宋体" w:eastAsia="宋体" w:cs="宋体"/>
          <w:color w:val="auto"/>
          <w:sz w:val="32"/>
          <w:szCs w:val="22"/>
          <w:highlight w:val="none"/>
        </w:rPr>
      </w:pPr>
    </w:p>
    <w:p w14:paraId="286F44C8">
      <w:pPr>
        <w:tabs>
          <w:tab w:val="left" w:pos="0"/>
          <w:tab w:val="left" w:pos="1134"/>
        </w:tabs>
        <w:spacing w:before="156" w:line="440" w:lineRule="exact"/>
        <w:jc w:val="center"/>
        <w:rPr>
          <w:rFonts w:hint="eastAsia" w:ascii="宋体" w:hAnsi="宋体" w:eastAsia="宋体" w:cs="宋体"/>
          <w:color w:val="auto"/>
          <w:sz w:val="32"/>
          <w:szCs w:val="22"/>
          <w:highlight w:val="none"/>
        </w:rPr>
      </w:pPr>
    </w:p>
    <w:p w14:paraId="4F680DE8">
      <w:pPr>
        <w:tabs>
          <w:tab w:val="left" w:pos="0"/>
          <w:tab w:val="left" w:pos="1134"/>
        </w:tabs>
        <w:spacing w:before="156" w:line="440" w:lineRule="exact"/>
        <w:jc w:val="center"/>
        <w:rPr>
          <w:rFonts w:hint="eastAsia" w:ascii="宋体" w:hAnsi="宋体" w:eastAsia="宋体" w:cs="宋体"/>
          <w:color w:val="auto"/>
          <w:sz w:val="32"/>
          <w:szCs w:val="22"/>
          <w:highlight w:val="none"/>
        </w:rPr>
      </w:pPr>
    </w:p>
    <w:p w14:paraId="60060E1E">
      <w:pPr>
        <w:tabs>
          <w:tab w:val="left" w:pos="0"/>
          <w:tab w:val="left" w:pos="1134"/>
        </w:tabs>
        <w:spacing w:before="156" w:line="440" w:lineRule="exact"/>
        <w:jc w:val="center"/>
        <w:rPr>
          <w:rFonts w:hint="eastAsia" w:ascii="宋体" w:hAnsi="宋体" w:eastAsia="宋体" w:cs="宋体"/>
          <w:color w:val="auto"/>
          <w:sz w:val="32"/>
          <w:szCs w:val="22"/>
          <w:highlight w:val="none"/>
        </w:rPr>
      </w:pPr>
    </w:p>
    <w:p w14:paraId="1E161058">
      <w:pPr>
        <w:tabs>
          <w:tab w:val="left" w:pos="0"/>
          <w:tab w:val="left" w:pos="1134"/>
        </w:tabs>
        <w:spacing w:before="156" w:line="440" w:lineRule="exact"/>
        <w:jc w:val="center"/>
        <w:rPr>
          <w:rFonts w:hint="eastAsia" w:ascii="宋体" w:hAnsi="宋体" w:eastAsia="宋体" w:cs="宋体"/>
          <w:color w:val="auto"/>
          <w:sz w:val="32"/>
          <w:szCs w:val="22"/>
          <w:highlight w:val="none"/>
        </w:rPr>
      </w:pPr>
    </w:p>
    <w:p w14:paraId="0D7394BB">
      <w:pPr>
        <w:tabs>
          <w:tab w:val="left" w:pos="0"/>
          <w:tab w:val="left" w:pos="1134"/>
        </w:tabs>
        <w:spacing w:before="156" w:line="440" w:lineRule="exact"/>
        <w:jc w:val="center"/>
        <w:rPr>
          <w:rFonts w:hint="eastAsia" w:ascii="宋体" w:hAnsi="宋体" w:eastAsia="宋体" w:cs="宋体"/>
          <w:color w:val="auto"/>
          <w:sz w:val="32"/>
          <w:szCs w:val="22"/>
          <w:highlight w:val="none"/>
        </w:rPr>
      </w:pPr>
    </w:p>
    <w:p w14:paraId="7648CD6B">
      <w:pPr>
        <w:ind w:right="2719" w:firstLine="2738"/>
        <w:jc w:val="both"/>
        <w:rPr>
          <w:rFonts w:hint="eastAsia" w:ascii="宋体" w:hAnsi="宋体" w:eastAsia="宋体" w:cs="宋体"/>
          <w:b/>
          <w:color w:val="auto"/>
          <w:sz w:val="32"/>
          <w:highlight w:val="none"/>
        </w:rPr>
      </w:pPr>
      <w:r>
        <w:rPr>
          <w:rFonts w:hint="eastAsia" w:ascii="宋体" w:hAnsi="宋体" w:eastAsia="宋体" w:cs="宋体"/>
          <w:color w:val="auto"/>
          <w:highlight w:val="none"/>
          <w:lang w:val="en-US" w:bidi="ar-SA"/>
        </w:rPr>
        <mc:AlternateContent>
          <mc:Choice Requires="wps">
            <w:drawing>
              <wp:anchor distT="0" distB="0" distL="114300" distR="114300" simplePos="0" relativeHeight="251660288" behindDoc="0" locked="0" layoutInCell="1" allowOverlap="1">
                <wp:simplePos x="0" y="0"/>
                <wp:positionH relativeFrom="column">
                  <wp:posOffset>3970020</wp:posOffset>
                </wp:positionH>
                <wp:positionV relativeFrom="paragraph">
                  <wp:posOffset>120015</wp:posOffset>
                </wp:positionV>
                <wp:extent cx="723900" cy="457200"/>
                <wp:effectExtent l="0" t="0" r="0" b="0"/>
                <wp:wrapNone/>
                <wp:docPr id="11" name="文本框 2"/>
                <wp:cNvGraphicFramePr/>
                <a:graphic xmlns:a="http://schemas.openxmlformats.org/drawingml/2006/main">
                  <a:graphicData uri="http://schemas.microsoft.com/office/word/2010/wordprocessingShape">
                    <wps:wsp>
                      <wps:cNvSpPr txBox="1"/>
                      <wps:spPr bwMode="auto">
                        <a:xfrm>
                          <a:off x="0" y="0"/>
                          <a:ext cx="723900" cy="457200"/>
                        </a:xfrm>
                        <a:prstGeom prst="rect">
                          <a:avLst/>
                        </a:prstGeom>
                        <a:noFill/>
                        <a:ln>
                          <a:noFill/>
                          <a:miter/>
                        </a:ln>
                        <a:effectLst/>
                      </wps:spPr>
                      <wps:txbx>
                        <w:txbxContent>
                          <w:p w14:paraId="580397FC">
                            <w:pPr>
                              <w:rPr>
                                <w:rFonts w:hint="default" w:ascii="Times New Roman" w:hAnsi="Times New Roman" w:cs="Times New Roman"/>
                                <w:b/>
                                <w:bCs/>
                                <w:sz w:val="32"/>
                              </w:rPr>
                            </w:pPr>
                            <w:r>
                              <w:rPr>
                                <w:rFonts w:hint="eastAsia" w:ascii="Times New Roman" w:hAnsi="Times New Roman" w:cs="Times New Roman"/>
                                <w:b/>
                                <w:bCs/>
                                <w:sz w:val="32"/>
                              </w:rPr>
                              <w:t>制定</w:t>
                            </w:r>
                          </w:p>
                        </w:txbxContent>
                      </wps:txbx>
                      <wps:bodyPr vert="horz" wrap="square" anchor="t" anchorCtr="0" upright="1"/>
                    </wps:wsp>
                  </a:graphicData>
                </a:graphic>
              </wp:anchor>
            </w:drawing>
          </mc:Choice>
          <mc:Fallback>
            <w:pict>
              <v:shape id="文本框 2" o:spid="_x0000_s1026" o:spt="202" type="#_x0000_t202" style="position:absolute;left:0pt;margin-left:312.6pt;margin-top:9.45pt;height:36pt;width:57pt;z-index:251660288;mso-width-relative:page;mso-height-relative:page;" filled="f" stroked="f" coordsize="21600,21600" o:gfxdata="UEsDBAoAAAAAAIdO4kAAAAAAAAAAAAAAAAAEAAAAZHJzL1BLAwQUAAAACACHTuJAC6db9tYAAAAJ&#10;AQAADwAAAGRycy9kb3ducmV2LnhtbE2PTU/DMAyG70j7D5EncWPJChtLabrDEFcQ40PiljVeW61x&#10;qiZby7/HnOBov49ePy62k+/EBYfYBjKwXCgQSFVwLdUG3t+ebjYgYrLkbBcIDXxjhG05uyps7sJI&#10;r3jZp1pwCcXcGmhS6nMpY9Wgt3EReiTOjmHwNvE41NINduRy38lMqbX0tiW+0Ngedw1Wp/3ZG/h4&#10;Pn593qmX+tGv+jFMSpLX0pjr+VI9gEg4pT8YfvVZHUp2OoQzuSg6A+tslTHKwUaDYOD+VvPiYEAr&#10;DbIs5P8Pyh9QSwMEFAAAAAgAh07iQMU4/S7bAQAApwMAAA4AAABkcnMvZTJvRG9jLnhtbK1TO47b&#10;MBDtA+QOBPtYsvPZRLC8QGJsmvyATQ5AU5RFQOQww5El5wDJDVKlSZ9z+RwZSrax8DZbbEMM5/OG&#10;781weT24VuwMRgu+lPNZLoXxGirrt6X89vXm2WspIilfqRa8KeXeRHm9evpk2YfCLKCBtjIoGMTH&#10;og+lbIhCkWVRN8apOINgPAdrQKeIr7jNKlQ9o7s2W+T5q6wHrAKCNjGydz0F5RERHwIIdW21WYPu&#10;nPE0oaJpFTGl2NgQ5Wp8bV0bTZ/rOhoSbSmZKY0nN2F7k85stVTFFlVorD4+QT3kCRecnLKem56h&#10;1oqU6NDeg3JWI0SoaabBZRORURFmMc8vtLltVDAjF5Y6hrPo8fFg9afdFxS24k2YS+GV44kffv86&#10;/Pl3+PtTLJI+fYgFp90GTqThLQyce/LH5Nz0H6HiOtURjCIMNbokBtMTnM1a789am4GEZufV4vmb&#10;nCOaQy9eXvFmJMxMFafigJHeG3AiGaVEHuUIrnYfIk2pp5TUy8ONbdtxnK2/cDhLBqeSKWbGzTji&#10;JH6Jx8SUhs3Aqcm5gWrP9PivcP8G8IcUPW9KKeP3TqGRQnnN7lLSyXxH02p1Ae224apRqCyB8fxG&#10;esddSwty98723f+1+g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Lp1v21gAAAAkBAAAPAAAAAAAA&#10;AAEAIAAAACIAAABkcnMvZG93bnJldi54bWxQSwECFAAUAAAACACHTuJAxTj9LtsBAACnAwAADgAA&#10;AAAAAAABACAAAAAlAQAAZHJzL2Uyb0RvYy54bWxQSwUGAAAAAAYABgBZAQAAcgUAAAAA&#10;">
                <v:fill on="f" focussize="0,0"/>
                <v:stroke on="f" joinstyle="miter"/>
                <v:imagedata o:title=""/>
                <o:lock v:ext="edit" aspectratio="f"/>
                <v:textbox>
                  <w:txbxContent>
                    <w:p w14:paraId="580397FC">
                      <w:pPr>
                        <w:rPr>
                          <w:rFonts w:hint="default" w:ascii="Times New Roman" w:hAnsi="Times New Roman" w:cs="Times New Roman"/>
                          <w:b/>
                          <w:bCs/>
                          <w:sz w:val="32"/>
                        </w:rPr>
                      </w:pPr>
                      <w:r>
                        <w:rPr>
                          <w:rFonts w:hint="eastAsia" w:ascii="Times New Roman" w:hAnsi="Times New Roman" w:cs="Times New Roman"/>
                          <w:b/>
                          <w:bCs/>
                          <w:sz w:val="32"/>
                        </w:rPr>
                        <w:t>制定</w:t>
                      </w:r>
                    </w:p>
                  </w:txbxContent>
                </v:textbox>
              </v:shape>
            </w:pict>
          </mc:Fallback>
        </mc:AlternateContent>
      </w:r>
      <w:r>
        <w:rPr>
          <w:rFonts w:hint="eastAsia" w:ascii="宋体" w:hAnsi="宋体" w:eastAsia="宋体" w:cs="宋体"/>
          <w:b/>
          <w:color w:val="auto"/>
          <w:sz w:val="32"/>
          <w:highlight w:val="none"/>
        </w:rPr>
        <w:t>住房和城乡建设部</w:t>
      </w:r>
    </w:p>
    <w:p w14:paraId="03E58E02">
      <w:pPr>
        <w:ind w:right="2719" w:firstLine="2750"/>
        <w:jc w:val="both"/>
        <w:rPr>
          <w:rFonts w:hint="eastAsia" w:ascii="宋体" w:hAnsi="宋体" w:eastAsia="宋体" w:cs="宋体"/>
          <w:b/>
          <w:color w:val="auto"/>
          <w:sz w:val="32"/>
          <w:highlight w:val="none"/>
        </w:rPr>
      </w:pPr>
      <w:r>
        <w:rPr>
          <w:rFonts w:hint="eastAsia" w:ascii="宋体" w:hAnsi="宋体" w:eastAsia="宋体" w:cs="宋体"/>
          <w:b/>
          <w:color w:val="auto"/>
          <w:sz w:val="32"/>
          <w:highlight w:val="none"/>
        </w:rPr>
        <w:t>国家市场监督管理总局</w:t>
      </w:r>
    </w:p>
    <w:p w14:paraId="14BA5FC1">
      <w:pPr>
        <w:tabs>
          <w:tab w:val="left" w:pos="0"/>
          <w:tab w:val="left" w:pos="1134"/>
        </w:tabs>
        <w:spacing w:before="156" w:line="440" w:lineRule="exact"/>
        <w:jc w:val="center"/>
        <w:rPr>
          <w:rFonts w:hint="eastAsia" w:ascii="宋体" w:hAnsi="宋体" w:eastAsia="宋体" w:cs="宋体"/>
          <w:b/>
          <w:bCs/>
          <w:i/>
          <w:iCs/>
          <w:color w:val="auto"/>
          <w:sz w:val="24"/>
          <w:highlight w:val="none"/>
        </w:rPr>
      </w:pPr>
    </w:p>
    <w:p w14:paraId="06EC7275">
      <w:pPr>
        <w:tabs>
          <w:tab w:val="left" w:pos="0"/>
          <w:tab w:val="left" w:pos="1134"/>
        </w:tabs>
        <w:spacing w:before="156" w:line="440" w:lineRule="exact"/>
        <w:jc w:val="center"/>
        <w:rPr>
          <w:rFonts w:hint="eastAsia" w:ascii="宋体" w:hAnsi="宋体" w:eastAsia="宋体" w:cs="宋体"/>
          <w:b/>
          <w:bCs/>
          <w:i/>
          <w:iCs/>
          <w:color w:val="auto"/>
          <w:sz w:val="24"/>
          <w:highlight w:val="none"/>
        </w:rPr>
      </w:pPr>
    </w:p>
    <w:p w14:paraId="77EFC5AC">
      <w:pPr>
        <w:tabs>
          <w:tab w:val="left" w:pos="0"/>
          <w:tab w:val="left" w:pos="1134"/>
        </w:tabs>
        <w:spacing w:before="156" w:line="440" w:lineRule="exact"/>
        <w:jc w:val="center"/>
        <w:rPr>
          <w:rFonts w:hint="eastAsia" w:ascii="宋体" w:hAnsi="宋体" w:eastAsia="宋体" w:cs="宋体"/>
          <w:b/>
          <w:bCs/>
          <w:i/>
          <w:iCs/>
          <w:color w:val="auto"/>
          <w:sz w:val="24"/>
          <w:highlight w:val="none"/>
        </w:rPr>
      </w:pPr>
    </w:p>
    <w:p w14:paraId="1E981F3E">
      <w:pPr>
        <w:rPr>
          <w:rFonts w:hint="eastAsia" w:ascii="宋体" w:hAnsi="宋体" w:eastAsia="宋体" w:cs="宋体"/>
          <w:bCs/>
          <w:color w:val="auto"/>
          <w:sz w:val="36"/>
          <w:highlight w:val="none"/>
        </w:rPr>
      </w:pPr>
      <w:bookmarkStart w:id="55" w:name="_Toc11576"/>
      <w:bookmarkStart w:id="56" w:name="_Toc142379993"/>
      <w:bookmarkStart w:id="57" w:name="_Toc9216"/>
      <w:r>
        <w:rPr>
          <w:rFonts w:hint="eastAsia" w:ascii="宋体" w:hAnsi="宋体" w:eastAsia="宋体" w:cs="宋体"/>
          <w:bCs/>
          <w:color w:val="auto"/>
          <w:sz w:val="36"/>
          <w:highlight w:val="none"/>
        </w:rPr>
        <w:br w:type="page"/>
      </w:r>
    </w:p>
    <w:p w14:paraId="5EC64C46">
      <w:pPr>
        <w:spacing w:line="400" w:lineRule="exact"/>
        <w:jc w:val="center"/>
        <w:outlineLvl w:val="1"/>
        <w:rPr>
          <w:rFonts w:hint="eastAsia" w:ascii="宋体" w:hAnsi="宋体" w:eastAsia="宋体" w:cs="宋体"/>
          <w:bCs/>
          <w:color w:val="auto"/>
          <w:sz w:val="36"/>
          <w:highlight w:val="none"/>
        </w:rPr>
      </w:pPr>
      <w:r>
        <w:rPr>
          <w:rFonts w:hint="eastAsia" w:ascii="宋体" w:hAnsi="宋体" w:eastAsia="宋体" w:cs="宋体"/>
          <w:bCs/>
          <w:color w:val="auto"/>
          <w:sz w:val="36"/>
          <w:highlight w:val="none"/>
        </w:rPr>
        <w:t>第一部分 协议书格式</w:t>
      </w:r>
      <w:bookmarkEnd w:id="55"/>
      <w:bookmarkEnd w:id="56"/>
      <w:bookmarkEnd w:id="57"/>
    </w:p>
    <w:p w14:paraId="6097C547">
      <w:pPr>
        <w:widowControl/>
        <w:spacing w:line="400" w:lineRule="exact"/>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甲方（发包人）：</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eastAsia="zh-CN"/>
        </w:rPr>
        <w:t>江苏省江宁监狱</w:t>
      </w:r>
    </w:p>
    <w:p w14:paraId="7E1F1E3A">
      <w:pPr>
        <w:widowControl/>
        <w:spacing w:line="400" w:lineRule="exact"/>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乙方（承包人）：</w:t>
      </w:r>
      <w:r>
        <w:rPr>
          <w:rFonts w:hint="eastAsia" w:ascii="宋体" w:hAnsi="宋体" w:eastAsia="宋体" w:cs="宋体"/>
          <w:bCs/>
          <w:color w:val="auto"/>
          <w:sz w:val="21"/>
          <w:szCs w:val="21"/>
          <w:highlight w:val="none"/>
          <w:u w:val="single"/>
        </w:rPr>
        <w:t xml:space="preserve">               </w:t>
      </w:r>
    </w:p>
    <w:p w14:paraId="79A1C375">
      <w:pPr>
        <w:widowControl/>
        <w:spacing w:line="400" w:lineRule="exact"/>
        <w:ind w:firstLine="48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依照《中华人民共和国民法典》及其他有关法律、行政法规，遵循平等、自愿、公平和诚实信用的原则，双方就本工程施工事项协商一致，订立本合同。 </w:t>
      </w:r>
      <w:bookmarkStart w:id="58" w:name="_Toc351203481"/>
    </w:p>
    <w:p w14:paraId="5D8399E7">
      <w:pPr>
        <w:spacing w:line="400" w:lineRule="exact"/>
        <w:ind w:firstLine="482"/>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一、项目概况</w:t>
      </w:r>
      <w:bookmarkEnd w:id="58"/>
    </w:p>
    <w:p w14:paraId="1CAF69F9">
      <w:pPr>
        <w:widowControl/>
        <w:numPr>
          <w:ilvl w:val="0"/>
          <w:numId w:val="2"/>
        </w:numPr>
        <w:spacing w:line="400" w:lineRule="exact"/>
        <w:ind w:firstLine="470"/>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工程名称：</w:t>
      </w:r>
      <w:r>
        <w:rPr>
          <w:rFonts w:hint="eastAsia" w:ascii="宋体" w:hAnsi="宋体" w:eastAsia="宋体" w:cs="宋体"/>
          <w:bCs/>
          <w:color w:val="auto"/>
          <w:sz w:val="21"/>
          <w:szCs w:val="21"/>
          <w:highlight w:val="none"/>
          <w:u w:val="single"/>
          <w:lang w:eastAsia="zh-CN"/>
        </w:rPr>
        <w:t>江宁监狱综合管网维修改造</w:t>
      </w:r>
      <w:r>
        <w:rPr>
          <w:rFonts w:hint="eastAsia" w:ascii="宋体" w:hAnsi="宋体" w:eastAsia="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u w:val="single"/>
        </w:rPr>
        <w:t xml:space="preserve"> 一包：江宁监狱蒸汽管网改造</w:t>
      </w:r>
    </w:p>
    <w:p w14:paraId="31BCAB02">
      <w:pPr>
        <w:widowControl/>
        <w:spacing w:line="400" w:lineRule="exact"/>
        <w:ind w:firstLine="48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2.工程内容：</w:t>
      </w:r>
      <w:r>
        <w:rPr>
          <w:rFonts w:hint="eastAsia" w:ascii="宋体" w:hAnsi="宋体" w:eastAsia="宋体" w:cs="宋体"/>
          <w:bCs/>
          <w:color w:val="auto"/>
          <w:sz w:val="21"/>
          <w:szCs w:val="21"/>
          <w:highlight w:val="none"/>
          <w:u w:val="single"/>
        </w:rPr>
        <w:t xml:space="preserve">具体详见工程量清单  </w:t>
      </w:r>
      <w:r>
        <w:rPr>
          <w:rFonts w:hint="eastAsia" w:ascii="宋体" w:hAnsi="宋体" w:eastAsia="宋体" w:cs="宋体"/>
          <w:bCs/>
          <w:color w:val="auto"/>
          <w:sz w:val="21"/>
          <w:szCs w:val="21"/>
          <w:highlight w:val="none"/>
        </w:rPr>
        <w:t xml:space="preserve">  </w:t>
      </w:r>
    </w:p>
    <w:p w14:paraId="3C6293C7">
      <w:pPr>
        <w:spacing w:line="400" w:lineRule="exact"/>
        <w:ind w:firstLine="482"/>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二、工程承包范围 </w:t>
      </w:r>
    </w:p>
    <w:p w14:paraId="580F572C">
      <w:pPr>
        <w:widowControl/>
        <w:spacing w:line="400" w:lineRule="exact"/>
        <w:ind w:firstLine="48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承包范围：</w:t>
      </w:r>
      <w:r>
        <w:rPr>
          <w:rFonts w:hint="eastAsia" w:ascii="宋体" w:hAnsi="宋体" w:eastAsia="宋体" w:cs="宋体"/>
          <w:bCs/>
          <w:color w:val="auto"/>
          <w:sz w:val="21"/>
          <w:szCs w:val="21"/>
          <w:highlight w:val="none"/>
          <w:u w:val="single"/>
        </w:rPr>
        <w:t>工程量清单中所载全部内容。</w:t>
      </w:r>
    </w:p>
    <w:p w14:paraId="7889A86D">
      <w:pPr>
        <w:spacing w:line="400" w:lineRule="exact"/>
        <w:ind w:firstLine="482"/>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三、工程承包方式</w:t>
      </w:r>
    </w:p>
    <w:p w14:paraId="64DF6109">
      <w:pPr>
        <w:widowControl/>
        <w:spacing w:line="400" w:lineRule="exact"/>
        <w:ind w:firstLine="48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承包方式：包工包料。</w:t>
      </w:r>
    </w:p>
    <w:p w14:paraId="73D52F81">
      <w:pPr>
        <w:spacing w:line="400" w:lineRule="exact"/>
        <w:ind w:firstLine="482"/>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四、合同工期</w:t>
      </w:r>
    </w:p>
    <w:p w14:paraId="054A05DF">
      <w:pPr>
        <w:widowControl/>
        <w:spacing w:line="400" w:lineRule="exact"/>
        <w:ind w:firstLine="48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开工日期：</w:t>
      </w:r>
      <w:r>
        <w:rPr>
          <w:rFonts w:hint="eastAsia" w:ascii="宋体" w:hAnsi="宋体" w:eastAsia="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u w:val="single"/>
        </w:rPr>
        <w:t>年    月    日</w:t>
      </w:r>
      <w:r>
        <w:rPr>
          <w:rFonts w:hint="eastAsia" w:ascii="宋体" w:hAnsi="宋体" w:eastAsia="宋体" w:cs="宋体"/>
          <w:bCs/>
          <w:color w:val="auto"/>
          <w:sz w:val="21"/>
          <w:szCs w:val="21"/>
          <w:highlight w:val="none"/>
        </w:rPr>
        <w:t>（具体以发包方通知为准）</w:t>
      </w:r>
    </w:p>
    <w:p w14:paraId="1F13385A">
      <w:pPr>
        <w:widowControl/>
        <w:spacing w:line="400" w:lineRule="exact"/>
        <w:ind w:firstLine="48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竣工日期：</w:t>
      </w:r>
      <w:r>
        <w:rPr>
          <w:rFonts w:hint="eastAsia" w:ascii="宋体" w:hAnsi="宋体" w:eastAsia="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u w:val="single"/>
        </w:rPr>
        <w:t>年    月    日</w:t>
      </w:r>
      <w:r>
        <w:rPr>
          <w:rFonts w:hint="eastAsia" w:ascii="宋体" w:hAnsi="宋体" w:eastAsia="宋体" w:cs="宋体"/>
          <w:bCs/>
          <w:color w:val="auto"/>
          <w:sz w:val="21"/>
          <w:szCs w:val="21"/>
          <w:highlight w:val="none"/>
        </w:rPr>
        <w:t>（具体以发包方通知开始算）</w:t>
      </w:r>
    </w:p>
    <w:p w14:paraId="285F90C2">
      <w:pPr>
        <w:widowControl/>
        <w:spacing w:line="400" w:lineRule="exact"/>
        <w:ind w:firstLine="48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合同工期：总日历天数：</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u w:val="single"/>
        </w:rPr>
        <w:t xml:space="preserve">天  </w:t>
      </w:r>
      <w:bookmarkStart w:id="59" w:name="_Toc351203483"/>
    </w:p>
    <w:p w14:paraId="68B0E763">
      <w:pPr>
        <w:spacing w:line="400" w:lineRule="exact"/>
        <w:ind w:firstLine="482"/>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五、质量标准</w:t>
      </w:r>
      <w:bookmarkEnd w:id="59"/>
    </w:p>
    <w:p w14:paraId="05E054F1">
      <w:pPr>
        <w:widowControl/>
        <w:spacing w:line="400" w:lineRule="exact"/>
        <w:ind w:firstLine="48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工程项目符合国家标准、行业标准、工程所在地的地方性标准，以及相应的规范、规程等。</w:t>
      </w:r>
    </w:p>
    <w:p w14:paraId="72E54407">
      <w:pPr>
        <w:spacing w:line="400" w:lineRule="exact"/>
        <w:ind w:firstLine="482"/>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六、合同价款</w:t>
      </w:r>
    </w:p>
    <w:p w14:paraId="0C20D8B2">
      <w:pPr>
        <w:spacing w:line="400" w:lineRule="exact"/>
        <w:ind w:firstLine="56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金额（大写） ： </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人民币)</w:t>
      </w:r>
    </w:p>
    <w:p w14:paraId="1F3F0659">
      <w:pPr>
        <w:spacing w:line="400" w:lineRule="exact"/>
        <w:ind w:firstLine="56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    （小写）￥：</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元；</w:t>
      </w:r>
    </w:p>
    <w:p w14:paraId="4756E569">
      <w:pPr>
        <w:spacing w:line="400" w:lineRule="exact"/>
        <w:ind w:firstLine="482"/>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七、履约保证金</w:t>
      </w:r>
    </w:p>
    <w:p w14:paraId="641BE02A">
      <w:pPr>
        <w:spacing w:line="400" w:lineRule="exact"/>
        <w:ind w:firstLine="480"/>
        <w:rPr>
          <w:rFonts w:hint="default" w:ascii="宋体" w:hAnsi="宋体" w:eastAsia="宋体" w:cs="宋体"/>
          <w:bCs/>
          <w:color w:val="auto"/>
          <w:sz w:val="36"/>
          <w:szCs w:val="36"/>
          <w:highlight w:val="none"/>
          <w:u w:val="single"/>
          <w:lang w:val="en-US" w:eastAsia="zh-CN"/>
        </w:rPr>
      </w:pPr>
      <w:r>
        <w:rPr>
          <w:rFonts w:hint="eastAsia" w:ascii="宋体" w:hAnsi="宋体" w:eastAsia="宋体" w:cs="宋体"/>
          <w:bCs/>
          <w:color w:val="auto"/>
          <w:sz w:val="21"/>
          <w:szCs w:val="21"/>
          <w:highlight w:val="none"/>
        </w:rPr>
        <w:t>1.签订合同前，乙方需支付</w:t>
      </w:r>
      <w:r>
        <w:rPr>
          <w:rFonts w:hint="eastAsia" w:ascii="宋体" w:hAnsi="宋体" w:eastAsia="宋体" w:cs="宋体"/>
          <w:bCs/>
          <w:color w:val="auto"/>
          <w:sz w:val="21"/>
          <w:szCs w:val="21"/>
          <w:highlight w:val="none"/>
          <w:u w:val="single"/>
        </w:rPr>
        <w:t xml:space="preserve"> 一包：江宁监狱蒸汽管网改造</w:t>
      </w:r>
      <w:r>
        <w:rPr>
          <w:rFonts w:hint="eastAsia" w:ascii="宋体" w:hAnsi="宋体" w:eastAsia="宋体" w:cs="宋体"/>
          <w:bCs/>
          <w:color w:val="auto"/>
          <w:sz w:val="21"/>
          <w:szCs w:val="21"/>
          <w:highlight w:val="none"/>
          <w:u w:val="single"/>
          <w:lang w:val="en-US" w:eastAsia="zh-CN"/>
        </w:rPr>
        <w:t>2万元</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u w:val="single"/>
          <w:lang w:val="en-US"/>
        </w:rPr>
        <w:t xml:space="preserve"> </w:t>
      </w:r>
      <w:r>
        <w:rPr>
          <w:rFonts w:hint="eastAsia" w:ascii="宋体" w:hAnsi="宋体" w:eastAsia="宋体" w:cs="宋体"/>
          <w:bCs/>
          <w:color w:val="auto"/>
          <w:sz w:val="21"/>
          <w:szCs w:val="21"/>
          <w:highlight w:val="none"/>
        </w:rPr>
        <w:t>作为本项目的履约保证金，项目验收合格后，如无问题无息退还（在此期间乙方提供的产品或服务不合格，甲方有权酌情扣除或不予支付）</w:t>
      </w:r>
    </w:p>
    <w:p w14:paraId="199A4CF6">
      <w:pPr>
        <w:spacing w:line="400" w:lineRule="exact"/>
        <w:ind w:firstLine="56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甲方管控区域有特殊的管理要求，乙方安排进入管控区域劳作、施工人员必须为男性，身体健康。乙方不得安排有前科人员进入两个管控区域内劳作、施工，不得携带手机等电子产品、打火机等火种进入管控区域，不得与管控区域内其他人员接触，不得帮管控区域内人员“捎买带”，不得违反采购人管控区域相关管理制度规定。如有违反，乙方接收甲方的处罚，并且甲方有权立即解除合同，全额扣除履约保证金。</w:t>
      </w:r>
    </w:p>
    <w:p w14:paraId="14454D89">
      <w:pPr>
        <w:spacing w:line="400" w:lineRule="exact"/>
        <w:ind w:firstLine="482"/>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八、组成合同的文件</w:t>
      </w:r>
    </w:p>
    <w:p w14:paraId="74388415">
      <w:pPr>
        <w:spacing w:line="400" w:lineRule="exact"/>
        <w:ind w:firstLine="56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组成本合同的文件包括：</w:t>
      </w:r>
    </w:p>
    <w:p w14:paraId="4767E3BA">
      <w:pPr>
        <w:spacing w:line="400" w:lineRule="exact"/>
        <w:ind w:firstLine="56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1、本合同（含协议书、通用条款、专用条款） </w:t>
      </w:r>
    </w:p>
    <w:p w14:paraId="1D6930DA">
      <w:pPr>
        <w:spacing w:line="400" w:lineRule="exact"/>
        <w:ind w:firstLine="56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2、补充协议</w:t>
      </w:r>
    </w:p>
    <w:p w14:paraId="4A7D3E8E">
      <w:pPr>
        <w:spacing w:line="400" w:lineRule="exact"/>
        <w:ind w:firstLine="56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3、明确双方权利、义务的会议纪要等</w:t>
      </w:r>
    </w:p>
    <w:p w14:paraId="26D8B602">
      <w:pPr>
        <w:spacing w:line="400" w:lineRule="exact"/>
        <w:ind w:firstLine="56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4、承诺书</w:t>
      </w:r>
    </w:p>
    <w:p w14:paraId="38378755">
      <w:pPr>
        <w:spacing w:line="400" w:lineRule="exact"/>
        <w:ind w:firstLine="56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5、招标文件、报价书和中标通知书</w:t>
      </w:r>
    </w:p>
    <w:p w14:paraId="0F7491FD">
      <w:pPr>
        <w:spacing w:line="400" w:lineRule="exact"/>
        <w:ind w:firstLine="56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6、施工图纸、设计变更</w:t>
      </w:r>
    </w:p>
    <w:p w14:paraId="771937F1">
      <w:pPr>
        <w:spacing w:line="400" w:lineRule="exact"/>
        <w:ind w:firstLine="56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7、标准、规范及有关技术文件、技术要求 </w:t>
      </w:r>
    </w:p>
    <w:p w14:paraId="7149A5F8">
      <w:pPr>
        <w:spacing w:line="400" w:lineRule="exact"/>
        <w:ind w:firstLine="56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8、工程预算书</w:t>
      </w:r>
    </w:p>
    <w:p w14:paraId="1F0AC1D0">
      <w:pPr>
        <w:spacing w:line="400" w:lineRule="exact"/>
        <w:ind w:firstLine="482"/>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双方有关工程的洽商、变更等书面协议或文件视为本合同的组成部分。</w:t>
      </w:r>
    </w:p>
    <w:p w14:paraId="11FE10AC">
      <w:pPr>
        <w:spacing w:line="400" w:lineRule="exact"/>
        <w:ind w:firstLine="482"/>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九、本协议书中有关词语含义与本合同第二部分《通用条款》中分别赋予它们的定义相同。</w:t>
      </w:r>
    </w:p>
    <w:p w14:paraId="6F9AC97A">
      <w:pPr>
        <w:spacing w:line="400" w:lineRule="exact"/>
        <w:ind w:firstLine="482"/>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十、承包人向发包人承诺按照合同约定进行施工、竣工并在质量保修期内承担工程质量保修责任。</w:t>
      </w:r>
    </w:p>
    <w:p w14:paraId="16EE142B">
      <w:pPr>
        <w:spacing w:line="400" w:lineRule="exact"/>
        <w:ind w:firstLine="482"/>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十一、发包人向承包人承诺按照合同约定的期限和方式支付合同价款及其他应当支付的款项。</w:t>
      </w:r>
    </w:p>
    <w:p w14:paraId="476DA573">
      <w:pPr>
        <w:spacing w:line="400" w:lineRule="exact"/>
        <w:ind w:firstLine="482"/>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十二、合同生效</w:t>
      </w:r>
    </w:p>
    <w:p w14:paraId="63FB32F6">
      <w:pPr>
        <w:spacing w:before="160" w:line="400" w:lineRule="exact"/>
        <w:ind w:firstLine="47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合同订立时间： </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 xml:space="preserve">年 </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 xml:space="preserve">月 </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日</w:t>
      </w:r>
    </w:p>
    <w:p w14:paraId="257C35B9">
      <w:pPr>
        <w:spacing w:before="160" w:line="400" w:lineRule="exact"/>
        <w:ind w:firstLine="470"/>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 xml:space="preserve">合同订立地点： </w:t>
      </w:r>
      <w:r>
        <w:rPr>
          <w:rFonts w:hint="eastAsia" w:ascii="宋体" w:hAnsi="宋体" w:eastAsia="宋体" w:cs="宋体"/>
          <w:bCs/>
          <w:color w:val="auto"/>
          <w:sz w:val="21"/>
          <w:szCs w:val="21"/>
          <w:highlight w:val="none"/>
          <w:u w:val="single"/>
        </w:rPr>
        <w:t xml:space="preserve">                     </w:t>
      </w:r>
    </w:p>
    <w:p w14:paraId="4BAE8C34">
      <w:pPr>
        <w:spacing w:before="160" w:line="400" w:lineRule="exact"/>
        <w:ind w:firstLine="47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本合同双方约定 </w:t>
      </w:r>
      <w:r>
        <w:rPr>
          <w:rFonts w:hint="eastAsia" w:ascii="宋体" w:hAnsi="宋体" w:eastAsia="宋体" w:cs="宋体"/>
          <w:bCs/>
          <w:color w:val="auto"/>
          <w:sz w:val="21"/>
          <w:szCs w:val="21"/>
          <w:highlight w:val="none"/>
          <w:u w:val="single"/>
        </w:rPr>
        <w:t xml:space="preserve">   盖章</w:t>
      </w:r>
      <w:r>
        <w:rPr>
          <w:rFonts w:hint="eastAsia" w:ascii="宋体" w:hAnsi="宋体" w:eastAsia="宋体" w:cs="宋体"/>
          <w:bCs/>
          <w:color w:val="auto"/>
          <w:sz w:val="21"/>
          <w:szCs w:val="21"/>
          <w:highlight w:val="none"/>
          <w:u w:val="single"/>
          <w:lang w:val="en-US"/>
        </w:rPr>
        <w:t>签字</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 xml:space="preserve"> 后生效。</w:t>
      </w:r>
    </w:p>
    <w:p w14:paraId="08F714AD">
      <w:pPr>
        <w:spacing w:line="400" w:lineRule="exact"/>
        <w:rPr>
          <w:rFonts w:hint="eastAsia" w:ascii="宋体" w:hAnsi="宋体" w:eastAsia="宋体" w:cs="宋体"/>
          <w:bCs/>
          <w:color w:val="auto"/>
          <w:sz w:val="21"/>
          <w:szCs w:val="21"/>
          <w:highlight w:val="none"/>
        </w:rPr>
      </w:pPr>
    </w:p>
    <w:p w14:paraId="028B619D">
      <w:pPr>
        <w:spacing w:line="40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发  包  人：（公章）                     承  包  人：（公章）</w:t>
      </w:r>
    </w:p>
    <w:p w14:paraId="6873FA62">
      <w:pPr>
        <w:tabs>
          <w:tab w:val="left" w:pos="4300"/>
        </w:tabs>
        <w:spacing w:line="40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住      所：                             住      所：</w:t>
      </w:r>
    </w:p>
    <w:p w14:paraId="0831C894">
      <w:pPr>
        <w:spacing w:line="40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法定代表人：                             法定代表人：</w:t>
      </w:r>
    </w:p>
    <w:p w14:paraId="299FEDD3">
      <w:pPr>
        <w:spacing w:line="40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或委托代表人 ：                          或委托代表人：</w:t>
      </w:r>
    </w:p>
    <w:p w14:paraId="4CE50E09">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    话：                               电    话：</w:t>
      </w:r>
    </w:p>
    <w:p w14:paraId="4BC4CE37">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    真：                               传    真：</w:t>
      </w:r>
    </w:p>
    <w:p w14:paraId="238D01B1">
      <w:pPr>
        <w:tabs>
          <w:tab w:val="left" w:pos="3800"/>
          <w:tab w:val="left" w:pos="4100"/>
        </w:tabs>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                               开户银行：</w:t>
      </w:r>
    </w:p>
    <w:p w14:paraId="17D0D703">
      <w:pPr>
        <w:tabs>
          <w:tab w:val="left" w:pos="3700"/>
          <w:tab w:val="left" w:pos="4000"/>
          <w:tab w:val="left" w:pos="4400"/>
        </w:tabs>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帐    号：                               帐    号：</w:t>
      </w:r>
    </w:p>
    <w:p w14:paraId="62002A80">
      <w:pPr>
        <w:tabs>
          <w:tab w:val="left" w:pos="3900"/>
          <w:tab w:val="left" w:pos="4100"/>
          <w:tab w:val="left" w:pos="4400"/>
        </w:tabs>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                               邮政编码：</w:t>
      </w:r>
    </w:p>
    <w:p w14:paraId="15D7FC0A">
      <w:pPr>
        <w:spacing w:before="120" w:after="6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年     月      日 </w:t>
      </w:r>
    </w:p>
    <w:p w14:paraId="6C75BD64">
      <w:pPr>
        <w:spacing w:before="120" w:after="60" w:line="400" w:lineRule="exact"/>
        <w:rPr>
          <w:rFonts w:hint="eastAsia" w:ascii="宋体" w:hAnsi="宋体" w:eastAsia="宋体" w:cs="宋体"/>
          <w:color w:val="auto"/>
          <w:sz w:val="21"/>
          <w:szCs w:val="21"/>
          <w:highlight w:val="none"/>
        </w:rPr>
      </w:pPr>
    </w:p>
    <w:p w14:paraId="4860AE91">
      <w:pPr>
        <w:spacing w:line="400" w:lineRule="exact"/>
        <w:jc w:val="center"/>
        <w:outlineLvl w:val="1"/>
        <w:rPr>
          <w:rFonts w:hint="eastAsia" w:ascii="宋体" w:hAnsi="宋体" w:eastAsia="宋体" w:cs="宋体"/>
          <w:bCs/>
          <w:color w:val="auto"/>
          <w:sz w:val="21"/>
          <w:szCs w:val="21"/>
          <w:highlight w:val="none"/>
        </w:rPr>
      </w:pPr>
      <w:bookmarkStart w:id="60" w:name="_Toc1214"/>
      <w:bookmarkStart w:id="61" w:name="_Toc2361"/>
      <w:bookmarkStart w:id="62" w:name="_Toc142379994"/>
    </w:p>
    <w:p w14:paraId="095C5126">
      <w:pPr>
        <w:spacing w:line="400" w:lineRule="exact"/>
        <w:jc w:val="center"/>
        <w:outlineLvl w:val="1"/>
        <w:rPr>
          <w:rFonts w:hint="eastAsia" w:ascii="宋体" w:hAnsi="宋体" w:eastAsia="宋体" w:cs="宋体"/>
          <w:bCs/>
          <w:color w:val="auto"/>
          <w:sz w:val="21"/>
          <w:szCs w:val="21"/>
          <w:highlight w:val="none"/>
        </w:rPr>
      </w:pPr>
    </w:p>
    <w:p w14:paraId="20BDAEE1">
      <w:pPr>
        <w:spacing w:line="400" w:lineRule="exact"/>
        <w:jc w:val="center"/>
        <w:outlineLvl w:val="1"/>
        <w:rPr>
          <w:rFonts w:hint="eastAsia" w:ascii="宋体" w:hAnsi="宋体" w:eastAsia="宋体" w:cs="宋体"/>
          <w:bCs/>
          <w:color w:val="auto"/>
          <w:sz w:val="21"/>
          <w:szCs w:val="21"/>
          <w:highlight w:val="none"/>
        </w:rPr>
      </w:pPr>
    </w:p>
    <w:p w14:paraId="3DF1B2E5">
      <w:pPr>
        <w:spacing w:line="400" w:lineRule="exact"/>
        <w:jc w:val="center"/>
        <w:outlineLvl w:val="1"/>
        <w:rPr>
          <w:rFonts w:hint="eastAsia" w:ascii="宋体" w:hAnsi="宋体" w:eastAsia="宋体" w:cs="宋体"/>
          <w:bCs/>
          <w:color w:val="auto"/>
          <w:sz w:val="21"/>
          <w:szCs w:val="21"/>
          <w:highlight w:val="none"/>
        </w:rPr>
      </w:pPr>
    </w:p>
    <w:p w14:paraId="447FF71E">
      <w:pPr>
        <w:spacing w:line="400" w:lineRule="exact"/>
        <w:jc w:val="center"/>
        <w:outlineLvl w:val="1"/>
        <w:rPr>
          <w:rFonts w:hint="eastAsia" w:ascii="宋体" w:hAnsi="宋体" w:eastAsia="宋体" w:cs="宋体"/>
          <w:bCs/>
          <w:color w:val="auto"/>
          <w:sz w:val="21"/>
          <w:szCs w:val="21"/>
          <w:highlight w:val="none"/>
        </w:rPr>
      </w:pPr>
    </w:p>
    <w:p w14:paraId="7427C773">
      <w:pPr>
        <w:spacing w:line="400" w:lineRule="exact"/>
        <w:jc w:val="center"/>
        <w:outlineLvl w:val="1"/>
        <w:rPr>
          <w:rFonts w:hint="eastAsia" w:ascii="宋体" w:hAnsi="宋体" w:eastAsia="宋体" w:cs="宋体"/>
          <w:bCs/>
          <w:color w:val="auto"/>
          <w:sz w:val="21"/>
          <w:szCs w:val="21"/>
          <w:highlight w:val="none"/>
        </w:rPr>
      </w:pPr>
    </w:p>
    <w:p w14:paraId="3AD545B9">
      <w:pPr>
        <w:spacing w:line="400" w:lineRule="exact"/>
        <w:jc w:val="center"/>
        <w:outlineLvl w:val="1"/>
        <w:rPr>
          <w:rFonts w:hint="eastAsia" w:ascii="宋体" w:hAnsi="宋体" w:eastAsia="宋体" w:cs="宋体"/>
          <w:bCs/>
          <w:color w:val="auto"/>
          <w:sz w:val="21"/>
          <w:szCs w:val="21"/>
          <w:highlight w:val="none"/>
        </w:rPr>
      </w:pPr>
      <w:r>
        <w:rPr>
          <w:rFonts w:hint="eastAsia" w:ascii="宋体" w:hAnsi="宋体" w:eastAsia="宋体" w:cs="宋体"/>
          <w:bCs/>
          <w:color w:val="auto"/>
          <w:sz w:val="36"/>
          <w:highlight w:val="none"/>
        </w:rPr>
        <w:t xml:space="preserve">第二部分  </w:t>
      </w:r>
      <w:bookmarkStart w:id="63" w:name="_Toc351203494"/>
      <w:r>
        <w:rPr>
          <w:rFonts w:hint="eastAsia" w:ascii="宋体" w:hAnsi="宋体" w:eastAsia="宋体" w:cs="宋体"/>
          <w:bCs/>
          <w:color w:val="auto"/>
          <w:sz w:val="36"/>
          <w:highlight w:val="none"/>
        </w:rPr>
        <w:t>通用条款</w:t>
      </w:r>
      <w:bookmarkEnd w:id="60"/>
      <w:bookmarkEnd w:id="61"/>
      <w:bookmarkEnd w:id="62"/>
    </w:p>
    <w:p w14:paraId="4F24403A">
      <w:pPr>
        <w:widowControl/>
        <w:spacing w:line="400" w:lineRule="exact"/>
        <w:ind w:firstLine="48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执行住房城乡建设部建设工程合同（GF-2017-0201）的相关要求</w:t>
      </w:r>
      <w:bookmarkEnd w:id="63"/>
      <w:bookmarkStart w:id="64" w:name="_Toc351203632"/>
      <w:r>
        <w:rPr>
          <w:rFonts w:hint="eastAsia" w:ascii="宋体" w:hAnsi="宋体" w:eastAsia="宋体" w:cs="宋体"/>
          <w:bCs/>
          <w:color w:val="auto"/>
          <w:sz w:val="21"/>
          <w:szCs w:val="21"/>
          <w:highlight w:val="none"/>
        </w:rPr>
        <w:t>。</w:t>
      </w:r>
    </w:p>
    <w:p w14:paraId="2955CAEE">
      <w:pPr>
        <w:widowControl/>
        <w:spacing w:line="400" w:lineRule="exact"/>
        <w:rPr>
          <w:rFonts w:hint="eastAsia" w:ascii="宋体" w:hAnsi="宋体" w:eastAsia="宋体" w:cs="宋体"/>
          <w:bCs/>
          <w:color w:val="auto"/>
          <w:sz w:val="21"/>
          <w:szCs w:val="21"/>
          <w:highlight w:val="none"/>
        </w:rPr>
      </w:pPr>
    </w:p>
    <w:p w14:paraId="135D55FE">
      <w:pPr>
        <w:rPr>
          <w:rFonts w:hint="eastAsia" w:ascii="宋体" w:hAnsi="宋体" w:eastAsia="宋体" w:cs="宋体"/>
          <w:bCs/>
          <w:color w:val="auto"/>
          <w:sz w:val="36"/>
          <w:highlight w:val="none"/>
        </w:rPr>
      </w:pPr>
      <w:bookmarkStart w:id="65" w:name="_Toc23249"/>
      <w:bookmarkStart w:id="66" w:name="_Toc142379995"/>
      <w:bookmarkStart w:id="67" w:name="_Toc30591"/>
      <w:r>
        <w:rPr>
          <w:rFonts w:hint="eastAsia" w:ascii="宋体" w:hAnsi="宋体" w:eastAsia="宋体" w:cs="宋体"/>
          <w:bCs/>
          <w:color w:val="auto"/>
          <w:sz w:val="36"/>
          <w:highlight w:val="none"/>
        </w:rPr>
        <w:br w:type="page"/>
      </w:r>
    </w:p>
    <w:p w14:paraId="30B59AD7">
      <w:pPr>
        <w:spacing w:line="400" w:lineRule="exact"/>
        <w:jc w:val="center"/>
        <w:outlineLvl w:val="1"/>
        <w:rPr>
          <w:rFonts w:hint="eastAsia" w:ascii="宋体" w:hAnsi="宋体" w:eastAsia="宋体" w:cs="宋体"/>
          <w:bCs/>
          <w:color w:val="auto"/>
          <w:sz w:val="36"/>
          <w:highlight w:val="none"/>
        </w:rPr>
      </w:pPr>
      <w:r>
        <w:rPr>
          <w:rFonts w:hint="eastAsia" w:ascii="宋体" w:hAnsi="宋体" w:eastAsia="宋体" w:cs="宋体"/>
          <w:bCs/>
          <w:color w:val="auto"/>
          <w:sz w:val="36"/>
          <w:highlight w:val="none"/>
        </w:rPr>
        <w:t>第三部分  专用合同条款</w:t>
      </w:r>
      <w:bookmarkEnd w:id="64"/>
      <w:bookmarkEnd w:id="65"/>
      <w:bookmarkEnd w:id="66"/>
      <w:bookmarkEnd w:id="67"/>
    </w:p>
    <w:p w14:paraId="5491BF8F">
      <w:pPr>
        <w:spacing w:line="400" w:lineRule="exact"/>
        <w:ind w:firstLine="48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一、词语定义及合同文件 </w:t>
      </w:r>
    </w:p>
    <w:p w14:paraId="57AE8397">
      <w:pPr>
        <w:spacing w:before="160" w:line="400" w:lineRule="exact"/>
        <w:ind w:firstLine="47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1、合同文件及解释顺序</w:t>
      </w:r>
    </w:p>
    <w:p w14:paraId="0252F355">
      <w:pPr>
        <w:spacing w:line="400" w:lineRule="exact"/>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合同文件组成及解释顺序：</w:t>
      </w:r>
      <w:r>
        <w:rPr>
          <w:rFonts w:hint="eastAsia" w:ascii="宋体" w:hAnsi="宋体" w:eastAsia="宋体" w:cs="宋体"/>
          <w:color w:val="auto"/>
          <w:sz w:val="21"/>
          <w:szCs w:val="21"/>
          <w:highlight w:val="none"/>
          <w:u w:val="single"/>
        </w:rPr>
        <w:t>①</w:t>
      </w:r>
      <w:r>
        <w:rPr>
          <w:rFonts w:hint="eastAsia" w:ascii="宋体" w:hAnsi="宋体" w:eastAsia="宋体" w:cs="宋体"/>
          <w:color w:val="auto"/>
          <w:sz w:val="21"/>
          <w:szCs w:val="21"/>
          <w:highlight w:val="none"/>
          <w:u w:val="single"/>
          <w:lang w:val="en-US"/>
        </w:rPr>
        <w:t>成交</w:t>
      </w:r>
      <w:r>
        <w:rPr>
          <w:rFonts w:hint="eastAsia" w:ascii="宋体" w:hAnsi="宋体" w:eastAsia="宋体" w:cs="宋体"/>
          <w:color w:val="auto"/>
          <w:sz w:val="21"/>
          <w:szCs w:val="21"/>
          <w:highlight w:val="none"/>
          <w:u w:val="single"/>
        </w:rPr>
        <w:t>通知书；②本合同协议书；③</w:t>
      </w:r>
      <w:r>
        <w:rPr>
          <w:rFonts w:hint="eastAsia" w:ascii="宋体" w:hAnsi="宋体" w:eastAsia="宋体" w:cs="宋体"/>
          <w:color w:val="auto"/>
          <w:sz w:val="21"/>
          <w:szCs w:val="21"/>
          <w:highlight w:val="none"/>
          <w:u w:val="single"/>
          <w:lang w:val="en-US"/>
        </w:rPr>
        <w:t>采购</w:t>
      </w:r>
      <w:r>
        <w:rPr>
          <w:rFonts w:hint="eastAsia" w:ascii="宋体" w:hAnsi="宋体" w:eastAsia="宋体" w:cs="宋体"/>
          <w:color w:val="auto"/>
          <w:sz w:val="21"/>
          <w:szCs w:val="21"/>
          <w:highlight w:val="none"/>
          <w:u w:val="single"/>
        </w:rPr>
        <w:t>文件、</w:t>
      </w:r>
      <w:r>
        <w:rPr>
          <w:rFonts w:hint="eastAsia" w:ascii="宋体" w:hAnsi="宋体" w:eastAsia="宋体" w:cs="宋体"/>
          <w:color w:val="auto"/>
          <w:sz w:val="21"/>
          <w:szCs w:val="21"/>
          <w:highlight w:val="none"/>
          <w:u w:val="single"/>
          <w:lang w:val="en-US"/>
        </w:rPr>
        <w:t>采购</w:t>
      </w:r>
      <w:r>
        <w:rPr>
          <w:rFonts w:hint="eastAsia" w:ascii="宋体" w:hAnsi="宋体" w:eastAsia="宋体" w:cs="宋体"/>
          <w:color w:val="auto"/>
          <w:sz w:val="21"/>
          <w:szCs w:val="21"/>
          <w:highlight w:val="none"/>
          <w:u w:val="single"/>
        </w:rPr>
        <w:t>文件答疑；④本合同专用条款；⑤本合同通用条款；⑥投标书及其附件；⑦本工程所适用的标准、规范及有关技术文件；⑧工程量清单；⑩工程报价单及预算书。</w:t>
      </w:r>
    </w:p>
    <w:p w14:paraId="501A4DC6">
      <w:pPr>
        <w:spacing w:line="400" w:lineRule="exact"/>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双方有关工程的洽商、变更等书面协议或文件，作为本合同协议书的组成部分。</w:t>
      </w:r>
    </w:p>
    <w:p w14:paraId="185022B0">
      <w:pPr>
        <w:spacing w:line="400" w:lineRule="exact"/>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2、语言文字和适用法律、标准及规范</w:t>
      </w:r>
    </w:p>
    <w:p w14:paraId="781DDEBA">
      <w:pPr>
        <w:spacing w:line="400" w:lineRule="exact"/>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 本合同使用汉语。</w:t>
      </w:r>
    </w:p>
    <w:p w14:paraId="1AA08B47">
      <w:pPr>
        <w:spacing w:line="400" w:lineRule="exact"/>
        <w:ind w:firstLine="48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2.2 适用法律和法规需要明示的法律、行政法规：</w:t>
      </w:r>
      <w:r>
        <w:rPr>
          <w:rFonts w:hint="eastAsia" w:ascii="宋体" w:hAnsi="宋体" w:eastAsia="宋体" w:cs="宋体"/>
          <w:color w:val="auto"/>
          <w:sz w:val="21"/>
          <w:szCs w:val="21"/>
          <w:highlight w:val="none"/>
          <w:u w:val="single"/>
        </w:rPr>
        <w:t xml:space="preserve">本工程使用中华人民共和国和地 方现行的法律、行政法规、规章。 </w:t>
      </w:r>
    </w:p>
    <w:p w14:paraId="5CDED4C2">
      <w:pPr>
        <w:spacing w:line="400" w:lineRule="exact"/>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 适用标准、规范</w:t>
      </w:r>
    </w:p>
    <w:p w14:paraId="337840F2">
      <w:pPr>
        <w:spacing w:line="400" w:lineRule="exact"/>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适用标准、规范的名称：</w:t>
      </w:r>
      <w:r>
        <w:rPr>
          <w:rFonts w:hint="eastAsia" w:ascii="宋体" w:hAnsi="宋体" w:eastAsia="宋体" w:cs="宋体"/>
          <w:color w:val="auto"/>
          <w:sz w:val="21"/>
          <w:szCs w:val="21"/>
          <w:highlight w:val="none"/>
          <w:u w:val="single"/>
        </w:rPr>
        <w:t>中华人民共和国建设部颁发的现行的有关标准、规范及省、市有关规定</w:t>
      </w:r>
      <w:r>
        <w:rPr>
          <w:rFonts w:hint="eastAsia" w:ascii="宋体" w:hAnsi="宋体" w:eastAsia="宋体" w:cs="宋体"/>
          <w:color w:val="auto"/>
          <w:sz w:val="21"/>
          <w:szCs w:val="21"/>
          <w:highlight w:val="none"/>
        </w:rPr>
        <w:t>。</w:t>
      </w:r>
    </w:p>
    <w:p w14:paraId="03AB4569">
      <w:pPr>
        <w:spacing w:line="400" w:lineRule="exact"/>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发包人提供标准、规范的时间：</w:t>
      </w:r>
      <w:r>
        <w:rPr>
          <w:rFonts w:hint="eastAsia" w:ascii="宋体" w:hAnsi="宋体" w:eastAsia="宋体" w:cs="宋体"/>
          <w:color w:val="auto"/>
          <w:sz w:val="21"/>
          <w:szCs w:val="21"/>
          <w:highlight w:val="none"/>
          <w:u w:val="single"/>
        </w:rPr>
        <w:t xml:space="preserve"> 承包人自备国内现行适用的标准、规范</w:t>
      </w:r>
      <w:r>
        <w:rPr>
          <w:rFonts w:hint="eastAsia" w:ascii="宋体" w:hAnsi="宋体" w:eastAsia="宋体" w:cs="宋体"/>
          <w:color w:val="auto"/>
          <w:sz w:val="21"/>
          <w:szCs w:val="21"/>
          <w:highlight w:val="none"/>
        </w:rPr>
        <w:t>。</w:t>
      </w:r>
    </w:p>
    <w:p w14:paraId="3351FA8C">
      <w:pPr>
        <w:spacing w:line="400" w:lineRule="exact"/>
        <w:ind w:firstLine="48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 国内没有相应标准、规范时的约定：</w:t>
      </w:r>
      <w:r>
        <w:rPr>
          <w:rFonts w:hint="eastAsia" w:ascii="宋体" w:hAnsi="宋体" w:eastAsia="宋体" w:cs="宋体"/>
          <w:color w:val="auto"/>
          <w:sz w:val="21"/>
          <w:szCs w:val="21"/>
          <w:highlight w:val="none"/>
          <w:u w:val="single"/>
        </w:rPr>
        <w:t xml:space="preserve">另行商定 </w:t>
      </w:r>
    </w:p>
    <w:p w14:paraId="263B8A09">
      <w:pPr>
        <w:spacing w:line="400" w:lineRule="exact"/>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3、图纸 </w:t>
      </w:r>
    </w:p>
    <w:p w14:paraId="1DD491FE">
      <w:pPr>
        <w:spacing w:line="400" w:lineRule="exact"/>
        <w:ind w:firstLine="48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3.1 发包人向承包人提供图纸日期和套数： </w:t>
      </w:r>
      <w:r>
        <w:rPr>
          <w:rFonts w:hint="eastAsia" w:ascii="宋体" w:hAnsi="宋体" w:eastAsia="宋体" w:cs="宋体"/>
          <w:color w:val="auto"/>
          <w:sz w:val="21"/>
          <w:szCs w:val="21"/>
          <w:highlight w:val="none"/>
          <w:u w:val="single"/>
        </w:rPr>
        <w:t xml:space="preserve">/ </w:t>
      </w:r>
    </w:p>
    <w:p w14:paraId="3BB93237">
      <w:pPr>
        <w:spacing w:line="400" w:lineRule="exact"/>
        <w:ind w:firstLine="48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发包人对图纸的保密要求：</w:t>
      </w:r>
      <w:r>
        <w:rPr>
          <w:rFonts w:hint="eastAsia" w:ascii="宋体" w:hAnsi="宋体" w:eastAsia="宋体" w:cs="宋体"/>
          <w:color w:val="auto"/>
          <w:sz w:val="21"/>
          <w:szCs w:val="21"/>
          <w:highlight w:val="none"/>
          <w:u w:val="single"/>
        </w:rPr>
        <w:t>未经发包人同意不得向承包人以外的人员泄露有关图纸内容。</w:t>
      </w:r>
    </w:p>
    <w:p w14:paraId="44D95D04">
      <w:pPr>
        <w:spacing w:line="400" w:lineRule="exact"/>
        <w:ind w:firstLine="48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使用国外图纸的要求及费用承担：</w:t>
      </w:r>
      <w:r>
        <w:rPr>
          <w:rFonts w:hint="eastAsia" w:ascii="宋体" w:hAnsi="宋体" w:eastAsia="宋体" w:cs="宋体"/>
          <w:color w:val="auto"/>
          <w:sz w:val="21"/>
          <w:szCs w:val="21"/>
          <w:highlight w:val="none"/>
          <w:u w:val="single"/>
        </w:rPr>
        <w:t>无约定 。</w:t>
      </w:r>
    </w:p>
    <w:p w14:paraId="5E8538BD">
      <w:pPr>
        <w:spacing w:line="400" w:lineRule="exact"/>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二、双方一般权利和义务</w:t>
      </w:r>
    </w:p>
    <w:p w14:paraId="6EA2B3AA">
      <w:pPr>
        <w:spacing w:line="400" w:lineRule="exact"/>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4、工程师</w:t>
      </w:r>
    </w:p>
    <w:p w14:paraId="1B87FC86">
      <w:pPr>
        <w:spacing w:line="400" w:lineRule="exact"/>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 监理单位委派的工程师</w:t>
      </w:r>
    </w:p>
    <w:p w14:paraId="401F92F7">
      <w:pPr>
        <w:spacing w:line="400" w:lineRule="exact"/>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姓名：___________ 职务：___________</w:t>
      </w:r>
    </w:p>
    <w:p w14:paraId="76C82E72">
      <w:pPr>
        <w:spacing w:line="400" w:lineRule="exact"/>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发包人委托的职权：</w:t>
      </w:r>
      <w:r>
        <w:rPr>
          <w:rFonts w:hint="eastAsia" w:ascii="宋体" w:hAnsi="宋体" w:eastAsia="宋体" w:cs="宋体"/>
          <w:color w:val="auto"/>
          <w:sz w:val="21"/>
          <w:szCs w:val="21"/>
          <w:highlight w:val="none"/>
          <w:u w:val="single"/>
        </w:rPr>
        <w:t>工程建设项目施工过程中质量、进度、投资控制，有效的合同管理、信息管理，施工过程中的各种协调配合以及安全生产的监督和管理。</w:t>
      </w:r>
    </w:p>
    <w:p w14:paraId="4794E90A">
      <w:pPr>
        <w:spacing w:line="400" w:lineRule="exact"/>
        <w:ind w:firstLine="48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需要取得发包人批准才能行使的职权：</w:t>
      </w:r>
      <w:r>
        <w:rPr>
          <w:rFonts w:hint="eastAsia" w:ascii="宋体" w:hAnsi="宋体" w:eastAsia="宋体" w:cs="宋体"/>
          <w:color w:val="auto"/>
          <w:sz w:val="21"/>
          <w:szCs w:val="21"/>
          <w:highlight w:val="none"/>
          <w:u w:val="single"/>
        </w:rPr>
        <w:t>开工令、停工令、复工令的签发以及涉及工程设计变更、工期、造价变动等文件的确认需有发包人现场代表与总监理工程师共同签署方生效。</w:t>
      </w:r>
    </w:p>
    <w:p w14:paraId="21475F1B">
      <w:pPr>
        <w:spacing w:line="400" w:lineRule="exact"/>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 发包人派驻的工程师</w:t>
      </w:r>
    </w:p>
    <w:p w14:paraId="68CA1747">
      <w:pPr>
        <w:spacing w:line="400" w:lineRule="exact"/>
        <w:ind w:firstLine="48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姓名：</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职务：</w:t>
      </w:r>
      <w:r>
        <w:rPr>
          <w:rFonts w:hint="eastAsia" w:ascii="宋体" w:hAnsi="宋体" w:eastAsia="宋体" w:cs="宋体"/>
          <w:color w:val="auto"/>
          <w:sz w:val="21"/>
          <w:szCs w:val="21"/>
          <w:highlight w:val="none"/>
          <w:u w:val="single"/>
        </w:rPr>
        <w:t xml:space="preserve">              </w:t>
      </w:r>
    </w:p>
    <w:p w14:paraId="5C8C4D74">
      <w:pPr>
        <w:spacing w:line="400" w:lineRule="exact"/>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职权：</w:t>
      </w:r>
      <w:r>
        <w:rPr>
          <w:rFonts w:hint="eastAsia" w:ascii="宋体" w:hAnsi="宋体" w:eastAsia="宋体" w:cs="宋体"/>
          <w:color w:val="auto"/>
          <w:sz w:val="21"/>
          <w:szCs w:val="21"/>
          <w:highlight w:val="none"/>
          <w:u w:val="single"/>
        </w:rPr>
        <w:t>1、协调监理单位与承包人的工作关系。2、签署设计变更、工期、造价变动等文件。3、进行质量、进度、投资总控制。</w:t>
      </w:r>
    </w:p>
    <w:p w14:paraId="59C98532">
      <w:pPr>
        <w:spacing w:line="400" w:lineRule="exact"/>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 不实行监理的，工程师职权：</w:t>
      </w:r>
      <w:r>
        <w:rPr>
          <w:rFonts w:hint="eastAsia" w:ascii="宋体" w:hAnsi="宋体" w:eastAsia="宋体" w:cs="宋体"/>
          <w:color w:val="auto"/>
          <w:sz w:val="21"/>
          <w:szCs w:val="21"/>
          <w:highlight w:val="none"/>
          <w:u w:val="single"/>
        </w:rPr>
        <w:t xml:space="preserve"> 无</w:t>
      </w:r>
    </w:p>
    <w:p w14:paraId="5C6959AA">
      <w:pPr>
        <w:spacing w:line="400" w:lineRule="exact"/>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5、项目经理</w:t>
      </w:r>
    </w:p>
    <w:p w14:paraId="628A1A5C">
      <w:pPr>
        <w:spacing w:line="400" w:lineRule="exact"/>
        <w:ind w:firstLine="48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姓名：</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证号：</w:t>
      </w:r>
      <w:r>
        <w:rPr>
          <w:rFonts w:hint="eastAsia" w:ascii="宋体" w:hAnsi="宋体" w:eastAsia="宋体" w:cs="宋体"/>
          <w:color w:val="auto"/>
          <w:sz w:val="21"/>
          <w:szCs w:val="21"/>
          <w:highlight w:val="none"/>
          <w:u w:val="single"/>
        </w:rPr>
        <w:t xml:space="preserve">                 </w:t>
      </w:r>
    </w:p>
    <w:p w14:paraId="57B1BDFE">
      <w:pPr>
        <w:spacing w:line="400" w:lineRule="exact"/>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职权：项目管理</w:t>
      </w:r>
    </w:p>
    <w:p w14:paraId="6D837452">
      <w:pPr>
        <w:spacing w:line="400" w:lineRule="exact"/>
        <w:ind w:firstLine="48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响应文件中明确的项目经理和专职安全员不得变更，否则发包人有权解除合同，并追究由此带来的发包人的一切损失。项目经理本人每天至少 8 小时，每周不少于 6 天在本工程现场工作，且必须参加每周召开的例会并接受发包人代表和监理总监的监督，有事须书面请假。发包人发现项目经理、专职安全员不在本工程现场工作，发包人有权按每天每人 2000 元人民币的标准扣罚，连续五天不在现场，发包人有权解除合同，追究违约责任。</w:t>
      </w:r>
    </w:p>
    <w:p w14:paraId="76C3217A">
      <w:pPr>
        <w:spacing w:line="400" w:lineRule="exact"/>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6、发包人工作</w:t>
      </w:r>
    </w:p>
    <w:p w14:paraId="73ECCE5E">
      <w:pPr>
        <w:spacing w:line="400" w:lineRule="exact"/>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 发包人应按约定的时间和要求完成以下工作：</w:t>
      </w:r>
    </w:p>
    <w:p w14:paraId="5302944F">
      <w:pPr>
        <w:spacing w:line="400" w:lineRule="exact"/>
        <w:ind w:firstLine="48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（1）施工场地具备施工条件的要求及完成的时间：</w:t>
      </w:r>
      <w:r>
        <w:rPr>
          <w:rFonts w:hint="eastAsia" w:ascii="宋体" w:hAnsi="宋体" w:eastAsia="宋体" w:cs="宋体"/>
          <w:color w:val="auto"/>
          <w:sz w:val="21"/>
          <w:szCs w:val="21"/>
          <w:highlight w:val="none"/>
          <w:u w:val="single"/>
        </w:rPr>
        <w:t>计算工期前将施工现场地表面各种障碍物清除。</w:t>
      </w:r>
    </w:p>
    <w:p w14:paraId="00663897">
      <w:pPr>
        <w:spacing w:line="400" w:lineRule="exact"/>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（2）将施工所需的水、电、电讯线路接至施工场地的时间、地点和供应要求：</w:t>
      </w:r>
    </w:p>
    <w:p w14:paraId="49F4FB77">
      <w:pPr>
        <w:spacing w:line="400" w:lineRule="exact"/>
        <w:ind w:firstLine="48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 xml:space="preserve">(一)发包人在施工现场为承包人提供电源到施工现场范围内，由承包人自备合格电表计量，从计量柜至用电设备的线路安装由承包人负责实施，安装费、线路购置费、电费及用电耗费由承包人支付。 </w:t>
      </w:r>
    </w:p>
    <w:p w14:paraId="0247884B">
      <w:pPr>
        <w:spacing w:line="400" w:lineRule="exact"/>
        <w:ind w:firstLine="48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 xml:space="preserve">(二)发包人将水管引至施工现场范围内，其费用（含属于发包人的水表）由发包人支付。从发包人水表至施工各用水点的管路安装、布置由承包人负责实施， 其安装费、管材购置费及水费由承包人支付，承包人应再安装一套合格的水表进 行独立计量。 </w:t>
      </w:r>
    </w:p>
    <w:p w14:paraId="12C3DDEE">
      <w:pPr>
        <w:spacing w:line="400" w:lineRule="exact"/>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（3）施工场地与公共道路的通道开通时间和要求： </w:t>
      </w:r>
      <w:r>
        <w:rPr>
          <w:rFonts w:hint="eastAsia" w:ascii="宋体" w:hAnsi="宋体" w:eastAsia="宋体" w:cs="宋体"/>
          <w:color w:val="auto"/>
          <w:sz w:val="21"/>
          <w:szCs w:val="21"/>
          <w:highlight w:val="none"/>
          <w:u w:val="single"/>
        </w:rPr>
        <w:t>计算工期前负责施工道路的畅通。</w:t>
      </w:r>
      <w:r>
        <w:rPr>
          <w:rFonts w:hint="eastAsia" w:ascii="宋体" w:hAnsi="宋体" w:eastAsia="宋体" w:cs="宋体"/>
          <w:color w:val="auto"/>
          <w:sz w:val="21"/>
          <w:szCs w:val="21"/>
          <w:highlight w:val="none"/>
        </w:rPr>
        <w:t xml:space="preserve"> </w:t>
      </w:r>
    </w:p>
    <w:p w14:paraId="757D02A6">
      <w:pPr>
        <w:spacing w:line="400" w:lineRule="exact"/>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（4）工程地质和地下管线资料的提供时间：</w:t>
      </w:r>
      <w:r>
        <w:rPr>
          <w:rFonts w:hint="eastAsia" w:ascii="宋体" w:hAnsi="宋体" w:eastAsia="宋体" w:cs="宋体"/>
          <w:color w:val="auto"/>
          <w:sz w:val="21"/>
          <w:szCs w:val="21"/>
          <w:highlight w:val="none"/>
          <w:u w:val="single"/>
        </w:rPr>
        <w:t xml:space="preserve"> 无</w:t>
      </w:r>
      <w:r>
        <w:rPr>
          <w:rFonts w:hint="eastAsia" w:ascii="宋体" w:hAnsi="宋体" w:eastAsia="宋体" w:cs="宋体"/>
          <w:color w:val="auto"/>
          <w:sz w:val="21"/>
          <w:szCs w:val="21"/>
          <w:highlight w:val="none"/>
        </w:rPr>
        <w:t>。</w:t>
      </w:r>
    </w:p>
    <w:p w14:paraId="1C51A8B9">
      <w:pPr>
        <w:spacing w:line="400" w:lineRule="exact"/>
        <w:ind w:firstLine="48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（5）由发包人办理的施工所需证件、批件的名称和完成时间： </w:t>
      </w:r>
      <w:r>
        <w:rPr>
          <w:rFonts w:hint="eastAsia" w:ascii="宋体" w:hAnsi="宋体" w:eastAsia="宋体" w:cs="宋体"/>
          <w:color w:val="auto"/>
          <w:sz w:val="21"/>
          <w:szCs w:val="21"/>
          <w:highlight w:val="none"/>
          <w:u w:val="single"/>
        </w:rPr>
        <w:t>计算工期前办妥相关开工手续。</w:t>
      </w:r>
    </w:p>
    <w:p w14:paraId="1055197F">
      <w:pPr>
        <w:spacing w:line="400" w:lineRule="exact"/>
        <w:ind w:firstLine="48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（6）水准点与座标控制点交验要求： </w:t>
      </w:r>
      <w:r>
        <w:rPr>
          <w:rFonts w:hint="eastAsia" w:ascii="宋体" w:hAnsi="宋体" w:eastAsia="宋体" w:cs="宋体"/>
          <w:color w:val="auto"/>
          <w:sz w:val="21"/>
          <w:szCs w:val="21"/>
          <w:highlight w:val="none"/>
          <w:u w:val="single"/>
        </w:rPr>
        <w:t xml:space="preserve">开工前提供水准点与坐标控制点，按施工图由发包人、承包人、监理现场交验。 交验后，承包人应妥善保护场内水准点及控制点，任意破坏或遗失应由承包人承 担引起的一切后果及其费用。 </w:t>
      </w:r>
    </w:p>
    <w:p w14:paraId="54F2817A">
      <w:pPr>
        <w:spacing w:line="400" w:lineRule="exact"/>
        <w:ind w:firstLine="48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（7）图纸会审和设计交底时间： </w:t>
      </w:r>
      <w:r>
        <w:rPr>
          <w:rFonts w:hint="eastAsia" w:ascii="宋体" w:hAnsi="宋体" w:eastAsia="宋体" w:cs="宋体"/>
          <w:color w:val="auto"/>
          <w:sz w:val="21"/>
          <w:szCs w:val="21"/>
          <w:highlight w:val="none"/>
          <w:u w:val="single"/>
        </w:rPr>
        <w:t>现场另行确定。</w:t>
      </w:r>
    </w:p>
    <w:p w14:paraId="711B2B2D">
      <w:pPr>
        <w:spacing w:line="400" w:lineRule="exact"/>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（8）协调处理施工场地周围地下管线和邻近建筑物、构筑物（含文物保护建筑）、 古树名木的保护工作：督促承包人做好保护工作。</w:t>
      </w:r>
    </w:p>
    <w:p w14:paraId="3160DB5D">
      <w:pPr>
        <w:spacing w:line="400" w:lineRule="exact"/>
        <w:ind w:firstLine="48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 xml:space="preserve">承包人需弄清施工区域所有管线位置，发现问题应及时报告监理、发包人，由监理会同有关部门出具解决方案，否则承担一切产生的损失和后果。 </w:t>
      </w:r>
    </w:p>
    <w:p w14:paraId="6BDCBBCC">
      <w:pPr>
        <w:spacing w:line="400" w:lineRule="exact"/>
        <w:ind w:firstLine="48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（9）双方约定发包人应做的其他工作：</w:t>
      </w:r>
      <w:r>
        <w:rPr>
          <w:rFonts w:hint="eastAsia" w:ascii="宋体" w:hAnsi="宋体" w:eastAsia="宋体" w:cs="宋体"/>
          <w:color w:val="auto"/>
          <w:sz w:val="21"/>
          <w:szCs w:val="21"/>
          <w:highlight w:val="none"/>
          <w:u w:val="single"/>
        </w:rPr>
        <w:t xml:space="preserve">协商处理。 </w:t>
      </w:r>
    </w:p>
    <w:p w14:paraId="7ACEE8F9">
      <w:pPr>
        <w:spacing w:line="400" w:lineRule="exact"/>
        <w:ind w:firstLine="48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6.2 发包人委托承包人办理的工作： </w:t>
      </w:r>
      <w:r>
        <w:rPr>
          <w:rFonts w:hint="eastAsia" w:ascii="宋体" w:hAnsi="宋体" w:eastAsia="宋体" w:cs="宋体"/>
          <w:color w:val="auto"/>
          <w:sz w:val="21"/>
          <w:szCs w:val="21"/>
          <w:highlight w:val="none"/>
          <w:u w:val="single"/>
        </w:rPr>
        <w:t xml:space="preserve">届时由发包人委托。 </w:t>
      </w:r>
    </w:p>
    <w:p w14:paraId="3B9F8AF4">
      <w:pPr>
        <w:spacing w:line="400" w:lineRule="exact"/>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7、承包人工作 </w:t>
      </w:r>
    </w:p>
    <w:p w14:paraId="6939231A">
      <w:pPr>
        <w:spacing w:line="400" w:lineRule="exact"/>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7.1 承包人应按约定时间和要求，完成以下工作：</w:t>
      </w:r>
    </w:p>
    <w:p w14:paraId="620BA117">
      <w:pPr>
        <w:spacing w:line="400" w:lineRule="exact"/>
        <w:ind w:firstLine="48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（1）需由设计资质等级和业务范围允许的承包人完成的设计文件提交时间：</w:t>
      </w:r>
      <w:r>
        <w:rPr>
          <w:rFonts w:hint="eastAsia" w:ascii="宋体" w:hAnsi="宋体" w:eastAsia="宋体" w:cs="宋体"/>
          <w:color w:val="auto"/>
          <w:sz w:val="21"/>
          <w:szCs w:val="21"/>
          <w:highlight w:val="none"/>
          <w:u w:val="single"/>
        </w:rPr>
        <w:t xml:space="preserve">无。 </w:t>
      </w:r>
    </w:p>
    <w:p w14:paraId="5CA24D86">
      <w:pPr>
        <w:spacing w:line="400" w:lineRule="exact"/>
        <w:ind w:firstLine="48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（2）应提供计划、报表的名称及完成时间： </w:t>
      </w:r>
      <w:r>
        <w:rPr>
          <w:rFonts w:hint="eastAsia" w:ascii="宋体" w:hAnsi="宋体" w:eastAsia="宋体" w:cs="宋体"/>
          <w:color w:val="auto"/>
          <w:sz w:val="21"/>
          <w:szCs w:val="21"/>
          <w:highlight w:val="none"/>
          <w:u w:val="single"/>
        </w:rPr>
        <w:t xml:space="preserve">进场后一周内分别向发包人及监理方提供详细的施工进度计划、承包人购材料 进场计划及用款计划等资料。以上计划及报表必须经监理工程师签字认可后报 发包人。监理工程师或发包人现场代表依据本合同所作的各项批准或认可，不应免除承包人所承担的任何责任。 </w:t>
      </w:r>
    </w:p>
    <w:p w14:paraId="067A33B4">
      <w:pPr>
        <w:spacing w:line="400" w:lineRule="exact"/>
        <w:ind w:firstLine="48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（3）承担施工安全保卫工作及非夜间施工照明的责任和要求： </w:t>
      </w:r>
      <w:r>
        <w:rPr>
          <w:rFonts w:hint="eastAsia" w:ascii="宋体" w:hAnsi="宋体" w:eastAsia="宋体" w:cs="宋体"/>
          <w:color w:val="auto"/>
          <w:sz w:val="21"/>
          <w:szCs w:val="21"/>
          <w:highlight w:val="none"/>
          <w:u w:val="single"/>
        </w:rPr>
        <w:t xml:space="preserve">承包人按照规定负责施工现场的安全保卫工作及施工照明，遵守南京市建设工程施工管理规章制度，按规定办理各种施工手续，负责施工人员的治安教育和管理工作，费用已包含在投标报价中。由此发生事故和罚款，均由承包人负责。 </w:t>
      </w:r>
    </w:p>
    <w:p w14:paraId="35CEB29C">
      <w:pPr>
        <w:spacing w:line="400" w:lineRule="exact"/>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（4）向发包人提供的办公和生活房屋及设施的要求： </w:t>
      </w:r>
      <w:r>
        <w:rPr>
          <w:rFonts w:hint="eastAsia" w:ascii="宋体" w:hAnsi="宋体" w:eastAsia="宋体" w:cs="宋体"/>
          <w:color w:val="auto"/>
          <w:sz w:val="21"/>
          <w:szCs w:val="21"/>
          <w:highlight w:val="none"/>
          <w:u w:val="single"/>
        </w:rPr>
        <w:t>无。</w:t>
      </w:r>
      <w:r>
        <w:rPr>
          <w:rFonts w:hint="eastAsia" w:ascii="宋体" w:hAnsi="宋体" w:eastAsia="宋体" w:cs="宋体"/>
          <w:color w:val="auto"/>
          <w:sz w:val="21"/>
          <w:szCs w:val="21"/>
          <w:highlight w:val="none"/>
        </w:rPr>
        <w:t xml:space="preserve"> </w:t>
      </w:r>
    </w:p>
    <w:p w14:paraId="6E94CA37">
      <w:pPr>
        <w:spacing w:line="400" w:lineRule="exact"/>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（5）需承包人办理的有关施工场地交通、环卫和施工噪音管理等手续：</w:t>
      </w:r>
      <w:r>
        <w:rPr>
          <w:rFonts w:hint="eastAsia" w:ascii="宋体" w:hAnsi="宋体" w:eastAsia="宋体" w:cs="宋体"/>
          <w:color w:val="auto"/>
          <w:sz w:val="21"/>
          <w:szCs w:val="21"/>
          <w:highlight w:val="none"/>
          <w:u w:val="single"/>
        </w:rPr>
        <w:t>按有关规定办理上述手续，费用由承包人负责，含在投标报价中。</w:t>
      </w:r>
      <w:r>
        <w:rPr>
          <w:rFonts w:hint="eastAsia" w:ascii="宋体" w:hAnsi="宋体" w:eastAsia="宋体" w:cs="宋体"/>
          <w:color w:val="auto"/>
          <w:sz w:val="21"/>
          <w:szCs w:val="21"/>
          <w:highlight w:val="none"/>
        </w:rPr>
        <w:t xml:space="preserve"> </w:t>
      </w:r>
    </w:p>
    <w:p w14:paraId="2A39BA00">
      <w:pPr>
        <w:spacing w:line="400" w:lineRule="exact"/>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（6）已完工程成品保护的特殊要求及费用承担： </w:t>
      </w:r>
      <w:r>
        <w:rPr>
          <w:rFonts w:hint="eastAsia" w:ascii="宋体" w:hAnsi="宋体" w:eastAsia="宋体" w:cs="宋体"/>
          <w:color w:val="auto"/>
          <w:sz w:val="21"/>
          <w:szCs w:val="21"/>
          <w:highlight w:val="none"/>
          <w:u w:val="single"/>
        </w:rPr>
        <w:t>竣工移交前成品保护由承包人负责，费用由承包人负责 。</w:t>
      </w:r>
      <w:r>
        <w:rPr>
          <w:rFonts w:hint="eastAsia" w:ascii="宋体" w:hAnsi="宋体" w:eastAsia="宋体" w:cs="宋体"/>
          <w:color w:val="auto"/>
          <w:sz w:val="21"/>
          <w:szCs w:val="21"/>
          <w:highlight w:val="none"/>
        </w:rPr>
        <w:t xml:space="preserve"> </w:t>
      </w:r>
    </w:p>
    <w:p w14:paraId="653BDF22">
      <w:pPr>
        <w:spacing w:line="400" w:lineRule="exact"/>
        <w:ind w:firstLine="48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（7）施工场地周围地下管线和邻近建筑物、构筑物（含文物保护建筑）、古树名 木的保护要求及费用承担：</w:t>
      </w:r>
      <w:r>
        <w:rPr>
          <w:rFonts w:hint="eastAsia" w:ascii="宋体" w:hAnsi="宋体" w:eastAsia="宋体" w:cs="宋体"/>
          <w:color w:val="auto"/>
          <w:sz w:val="21"/>
          <w:szCs w:val="21"/>
          <w:highlight w:val="none"/>
          <w:u w:val="single"/>
        </w:rPr>
        <w:t xml:space="preserve">做好施工场地邻近建筑及施工区域综合管网等保护和观测工作，费用由承包人承担，含在投标报价中，因承包人的责任造成的财产和人身损失，由承包人承担一切责任和费用。 </w:t>
      </w:r>
    </w:p>
    <w:p w14:paraId="61E24646">
      <w:pPr>
        <w:spacing w:line="400" w:lineRule="exact"/>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（8）施工场清洁卫生的要求： </w:t>
      </w:r>
      <w:r>
        <w:rPr>
          <w:rFonts w:hint="eastAsia" w:ascii="宋体" w:hAnsi="宋体" w:eastAsia="宋体" w:cs="宋体"/>
          <w:color w:val="auto"/>
          <w:sz w:val="21"/>
          <w:szCs w:val="21"/>
          <w:highlight w:val="none"/>
          <w:u w:val="single"/>
        </w:rPr>
        <w:t>承包人所有人员进入工地后保持工地内及周围环境整治，按照南京市施工现场 管理规定执行。施工中不得影响发包人的正常工作和周边环境，做到文明施工、 规范施工。建筑垃圾应及时收集在规定位置，及时清运，不得堆积。若承包人不 能及时清运或清运不净，发包人将根据实际运量费用双倍对承包人进行处罚。对 原地板、地砖、吊顶、木门、电梯等成品采取必要的保护措施，费用含在投标报价中。</w:t>
      </w:r>
      <w:r>
        <w:rPr>
          <w:rFonts w:hint="eastAsia" w:ascii="宋体" w:hAnsi="宋体" w:eastAsia="宋体" w:cs="宋体"/>
          <w:color w:val="auto"/>
          <w:sz w:val="21"/>
          <w:szCs w:val="21"/>
          <w:highlight w:val="none"/>
        </w:rPr>
        <w:t xml:space="preserve"> </w:t>
      </w:r>
    </w:p>
    <w:p w14:paraId="79824826">
      <w:pPr>
        <w:spacing w:line="400" w:lineRule="exact"/>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（9）双方约定承包人应做的其他工作：</w:t>
      </w:r>
    </w:p>
    <w:p w14:paraId="24F270A0">
      <w:pPr>
        <w:spacing w:line="400" w:lineRule="exact"/>
        <w:ind w:firstLine="48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ａ．承包人负责市容、环保、交通、渣土、派出所、街道等部门和周边居民单位的协调工作，发包人协助，费用由承包人负责。</w:t>
      </w:r>
    </w:p>
    <w:p w14:paraId="3E152CA6">
      <w:pPr>
        <w:spacing w:line="400" w:lineRule="exact"/>
        <w:ind w:firstLine="48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ｂ．承包人应按发包人的指令，完成发包人要求的对工程内容任何的增加和删减。发包人对合同范围外的工程变更，承包方应接受并予以施工，所发生的费用经发包人核实后纳入工程结算。如承包人拒不执行发包人指令或工程变更，发包人有权直接在承包人当期工程款中扣除壹万元/次违约金。</w:t>
      </w:r>
    </w:p>
    <w:p w14:paraId="57663B77">
      <w:pPr>
        <w:spacing w:line="400" w:lineRule="exact"/>
        <w:ind w:firstLine="48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ｃ．在施工过程中，必须配合发包人的其他专业施工需要，积极进行现场调整，按发包人要求提供工作面和作业时间，配合其他专业施工。</w:t>
      </w:r>
    </w:p>
    <w:p w14:paraId="7CA16606">
      <w:pPr>
        <w:spacing w:line="400" w:lineRule="exact"/>
        <w:ind w:firstLine="48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ｄ．承包人应积极主动核对图纸中的标高、轴线、预留洞口尺寸等技术数据，充分理解设计意图。若由于明显的设计图纸问题（例如尺寸标注不闭合、文字标识相互矛盾等）和发包人（包括监理）不正确的指令，承包人发现后有口头或书面告知义务，否则造成工程质量、安全、进度损失，也不能免除承包人的责任。</w:t>
      </w:r>
    </w:p>
    <w:p w14:paraId="533B08DD">
      <w:pPr>
        <w:spacing w:line="400" w:lineRule="exact"/>
        <w:ind w:firstLine="48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ｅ．承包人应按照政府相关规定，建立健全雇员工资发放和劳动保障制度。如因雇员的工资发放和劳动保障制度不健全而引发纠纷，发包人有权终止施工合同。</w:t>
      </w:r>
    </w:p>
    <w:p w14:paraId="2866AFCF">
      <w:pPr>
        <w:spacing w:line="400" w:lineRule="exact"/>
        <w:ind w:firstLine="48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f.发包人不提供食宿，现场不允许开火。承包人自行解决，费用已经包含在报价中，现场条件需服从发包人和产权人管理。</w:t>
      </w:r>
    </w:p>
    <w:p w14:paraId="5D86B87F">
      <w:pPr>
        <w:spacing w:line="400" w:lineRule="exact"/>
        <w:ind w:firstLine="48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三、施工组织设计和工期</w:t>
      </w:r>
    </w:p>
    <w:p w14:paraId="5B559D5A">
      <w:pPr>
        <w:spacing w:line="400" w:lineRule="exact"/>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9、进度计划</w:t>
      </w:r>
    </w:p>
    <w:p w14:paraId="16C1C7B0">
      <w:pPr>
        <w:spacing w:line="400" w:lineRule="exact"/>
        <w:ind w:firstLine="48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9.1 承包人提供施工组织设计（施工方案）和进度计划的时间：</w:t>
      </w:r>
      <w:r>
        <w:rPr>
          <w:rFonts w:hint="eastAsia" w:ascii="宋体" w:hAnsi="宋体" w:eastAsia="宋体" w:cs="宋体"/>
          <w:color w:val="auto"/>
          <w:sz w:val="21"/>
          <w:szCs w:val="21"/>
          <w:highlight w:val="none"/>
          <w:u w:val="single"/>
        </w:rPr>
        <w:t xml:space="preserve">   另行约定     </w:t>
      </w:r>
    </w:p>
    <w:p w14:paraId="03075479">
      <w:pPr>
        <w:spacing w:line="400" w:lineRule="exact"/>
        <w:ind w:firstLine="48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工程师确认的时间：</w:t>
      </w:r>
      <w:r>
        <w:rPr>
          <w:rFonts w:hint="eastAsia" w:ascii="宋体" w:hAnsi="宋体" w:eastAsia="宋体" w:cs="宋体"/>
          <w:color w:val="auto"/>
          <w:sz w:val="21"/>
          <w:szCs w:val="21"/>
          <w:highlight w:val="none"/>
          <w:u w:val="single"/>
        </w:rPr>
        <w:t>收到承包方资料 5 天内予以确认。</w:t>
      </w:r>
    </w:p>
    <w:p w14:paraId="79DAEAFE">
      <w:pPr>
        <w:spacing w:line="400" w:lineRule="exact"/>
        <w:ind w:firstLine="48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9.2 群体工程中有关进度计划的要求：</w:t>
      </w:r>
      <w:r>
        <w:rPr>
          <w:rFonts w:hint="eastAsia" w:ascii="宋体" w:hAnsi="宋体" w:eastAsia="宋体" w:cs="宋体"/>
          <w:color w:val="auto"/>
          <w:sz w:val="21"/>
          <w:szCs w:val="21"/>
          <w:highlight w:val="none"/>
          <w:u w:val="single"/>
        </w:rPr>
        <w:t xml:space="preserve"> 另行约定</w:t>
      </w:r>
    </w:p>
    <w:p w14:paraId="430D6FCE">
      <w:pPr>
        <w:spacing w:line="400" w:lineRule="exact"/>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10、工期延误</w:t>
      </w:r>
    </w:p>
    <w:p w14:paraId="66A20352">
      <w:pPr>
        <w:spacing w:line="400" w:lineRule="exact"/>
        <w:ind w:firstLine="48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10.1 双方约定工期顺延的其他情况：</w:t>
      </w:r>
      <w:r>
        <w:rPr>
          <w:rFonts w:hint="eastAsia" w:ascii="宋体" w:hAnsi="宋体" w:eastAsia="宋体" w:cs="宋体"/>
          <w:color w:val="auto"/>
          <w:sz w:val="21"/>
          <w:szCs w:val="21"/>
          <w:highlight w:val="none"/>
          <w:u w:val="single"/>
        </w:rPr>
        <w:t>由于发包人原因和国家行政机关要求停工（非承包方的责任），工期顺延 。</w:t>
      </w:r>
    </w:p>
    <w:p w14:paraId="45025663">
      <w:pPr>
        <w:spacing w:line="400" w:lineRule="exact"/>
        <w:ind w:firstLine="48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四、质量与验收</w:t>
      </w:r>
    </w:p>
    <w:p w14:paraId="30DAB196">
      <w:pPr>
        <w:spacing w:line="400" w:lineRule="exact"/>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11、隐蔽工程和中间验收</w:t>
      </w:r>
    </w:p>
    <w:p w14:paraId="502C2203">
      <w:pPr>
        <w:spacing w:line="400" w:lineRule="exact"/>
        <w:ind w:firstLine="48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11.1 双方约定中间验收部位：</w:t>
      </w:r>
      <w:r>
        <w:rPr>
          <w:rFonts w:hint="eastAsia" w:ascii="宋体" w:hAnsi="宋体" w:eastAsia="宋体" w:cs="宋体"/>
          <w:color w:val="auto"/>
          <w:sz w:val="21"/>
          <w:szCs w:val="21"/>
          <w:highlight w:val="none"/>
          <w:u w:val="single"/>
        </w:rPr>
        <w:t>国家和南京市质检部门明确要求中间验收的部位。此外，发包人有权要求对本工程任何部位进行中间验收。验收合格后方可施工，否则责令承包人停工，所造成的工期延误由承包人负责。</w:t>
      </w:r>
    </w:p>
    <w:p w14:paraId="207D71CA">
      <w:pPr>
        <w:spacing w:line="400" w:lineRule="exact"/>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12、工程试车</w:t>
      </w:r>
    </w:p>
    <w:p w14:paraId="066258E0">
      <w:pPr>
        <w:spacing w:line="400" w:lineRule="exact"/>
        <w:ind w:firstLine="48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12.1 试车费用的承担：</w:t>
      </w:r>
      <w:r>
        <w:rPr>
          <w:rFonts w:hint="eastAsia" w:ascii="宋体" w:hAnsi="宋体" w:eastAsia="宋体" w:cs="宋体"/>
          <w:color w:val="auto"/>
          <w:sz w:val="21"/>
          <w:szCs w:val="21"/>
          <w:highlight w:val="none"/>
          <w:u w:val="single"/>
        </w:rPr>
        <w:t xml:space="preserve"> 由承包方承担</w:t>
      </w:r>
    </w:p>
    <w:p w14:paraId="65FB7166">
      <w:pPr>
        <w:spacing w:line="400" w:lineRule="exact"/>
        <w:ind w:firstLine="48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五、安全施工</w:t>
      </w:r>
    </w:p>
    <w:p w14:paraId="056C2B18">
      <w:pPr>
        <w:spacing w:line="400" w:lineRule="exact"/>
        <w:ind w:firstLine="48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a、进入施工现场的各类安全防护由承包人统一协调管理，安全责任由承包人承担，费用包含在投标报价中。</w:t>
      </w:r>
    </w:p>
    <w:p w14:paraId="51C89FC6">
      <w:pPr>
        <w:spacing w:line="400" w:lineRule="exact"/>
        <w:ind w:firstLine="48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b、承包人负责进入现场施工人员及财物安全，发生任何伤亡事故与发包人无关，承包人自行解决，并承担所有责任。</w:t>
      </w:r>
    </w:p>
    <w:p w14:paraId="6E113708">
      <w:pPr>
        <w:spacing w:line="400" w:lineRule="exact"/>
        <w:ind w:firstLine="48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c、承包人应合理安全使用水、电等设施，否则引起的一切责任由承包人承担。</w:t>
      </w:r>
    </w:p>
    <w:p w14:paraId="3970A58C">
      <w:pPr>
        <w:spacing w:line="400" w:lineRule="exact"/>
        <w:ind w:firstLine="48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d、承包人必须严格按照相关规范和操作规程施工，否则引起的一切责任和损失由承包人承担。</w:t>
      </w:r>
    </w:p>
    <w:p w14:paraId="50A72EF5">
      <w:pPr>
        <w:spacing w:line="400" w:lineRule="exact"/>
        <w:ind w:firstLine="48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e、安全员必须专职，每天至少 8 小时，每周不少于 6 天在本工程现场工作，且必须参加每周召开的例会并接受发包人代表和监理总监的监督，有事须书面请假。对工程安全工作负有一切责任。</w:t>
      </w:r>
    </w:p>
    <w:p w14:paraId="3A160E07">
      <w:pPr>
        <w:spacing w:line="400" w:lineRule="exact"/>
        <w:ind w:firstLine="48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六、合同价款与支付</w:t>
      </w:r>
    </w:p>
    <w:p w14:paraId="10452354">
      <w:pPr>
        <w:spacing w:line="400" w:lineRule="exact"/>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13、合同价款及调整</w:t>
      </w:r>
    </w:p>
    <w:p w14:paraId="48B42798">
      <w:pPr>
        <w:spacing w:line="400" w:lineRule="exact"/>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13.1 本合同价款采用 </w:t>
      </w:r>
      <w:r>
        <w:rPr>
          <w:rFonts w:hint="eastAsia" w:ascii="宋体" w:hAnsi="宋体" w:eastAsia="宋体" w:cs="宋体"/>
          <w:color w:val="auto"/>
          <w:sz w:val="21"/>
          <w:szCs w:val="21"/>
          <w:highlight w:val="none"/>
          <w:u w:val="single"/>
        </w:rPr>
        <w:t xml:space="preserve">固定单价合同 </w:t>
      </w:r>
      <w:r>
        <w:rPr>
          <w:rFonts w:hint="eastAsia" w:ascii="宋体" w:hAnsi="宋体" w:eastAsia="宋体" w:cs="宋体"/>
          <w:color w:val="auto"/>
          <w:sz w:val="21"/>
          <w:szCs w:val="21"/>
          <w:highlight w:val="none"/>
        </w:rPr>
        <w:t>方式确定。</w:t>
      </w:r>
    </w:p>
    <w:p w14:paraId="6BF5B475">
      <w:pPr>
        <w:spacing w:line="400" w:lineRule="exact"/>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（1）采用固定单价合同，合同价款中包括的风险范围：</w:t>
      </w:r>
    </w:p>
    <w:p w14:paraId="3425D651">
      <w:pPr>
        <w:spacing w:line="400" w:lineRule="exact"/>
        <w:ind w:firstLine="48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①本工程量的计取依据按照实际施工完成的工程量进行计量。工程量清单项目的项目特征与投标报价中的相同的，按投标报价的综合单价计算；</w:t>
      </w:r>
    </w:p>
    <w:p w14:paraId="57464E5F">
      <w:pPr>
        <w:spacing w:line="400" w:lineRule="exact"/>
        <w:ind w:firstLine="48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②投标报价中没有综合单价的新的工程量清单项目，按《建设工程工程量清单计价规范》、参考或参照《江苏省建筑与装饰工程计价表》中的人工、材料、机械台班耗用量、投标报价时的人工、机械台班单价、管理费、利润等费用标准及材料价格（无投标报价的材料按市场价）计算，其相应综合单价由承包人提出，经发包人确认后作为结算的依据。</w:t>
      </w:r>
    </w:p>
    <w:p w14:paraId="56D0C3C0">
      <w:pPr>
        <w:spacing w:line="400" w:lineRule="exact"/>
        <w:ind w:firstLine="48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（2）风险费用的计算方法：</w:t>
      </w:r>
      <w:r>
        <w:rPr>
          <w:rFonts w:hint="eastAsia" w:ascii="宋体" w:hAnsi="宋体" w:eastAsia="宋体" w:cs="宋体"/>
          <w:color w:val="auto"/>
          <w:sz w:val="21"/>
          <w:szCs w:val="21"/>
          <w:highlight w:val="none"/>
          <w:u w:val="single"/>
        </w:rPr>
        <w:t>已含在投标报价内，不予调整。</w:t>
      </w:r>
    </w:p>
    <w:p w14:paraId="5F874A04">
      <w:pPr>
        <w:spacing w:line="400" w:lineRule="exact"/>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（3）风险范围以外合同价款调整办法：</w:t>
      </w:r>
    </w:p>
    <w:p w14:paraId="5ACAFBE2">
      <w:pPr>
        <w:spacing w:line="400" w:lineRule="exact"/>
        <w:ind w:firstLine="48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发包人认可的工程内容或工程数量的变更。承包人投标时是在仔细阅读谈判文件、技术规范等前提下，结合结此工程的风险分析，作出自己的投标报价的。本工程单价固定，合同价款已包括承包人为充分履行本合同而应支付或可能支付的一切费用及其合理利润，仅以下情况结算时调整：设计变更、现场签证。其他原因不再调整结算价。由于设计变更部分、额外增加部分以及签证部分造成新增的工程量清单综合单价的结算原则为：（1）投标文件中已有适用于变更工程的综合单价，按投标文件中已有的综合单价结算；（2）投标文件中有类似于变更工程的综合单价，按投标文件中已有的类似综合单价作相应调整后结算；（3）投标文件中无类似综合单价，结算原则为：由承包人依据《建设工程工程量清单计价规范》（GB50500-2013）、《江苏省 2009 年修缮定额》、</w:t>
      </w:r>
      <w:r>
        <w:rPr>
          <w:rFonts w:hint="eastAsia" w:ascii="宋体" w:hAnsi="宋体" w:eastAsia="宋体" w:cs="宋体"/>
          <w:color w:val="auto"/>
          <w:sz w:val="21"/>
          <w:szCs w:val="21"/>
          <w:highlight w:val="none"/>
          <w:u w:val="single"/>
          <w:lang w:eastAsia="zh-CN"/>
        </w:rPr>
        <w:t>供应商</w:t>
      </w:r>
      <w:r>
        <w:rPr>
          <w:rFonts w:hint="eastAsia" w:ascii="宋体" w:hAnsi="宋体" w:eastAsia="宋体" w:cs="宋体"/>
          <w:color w:val="auto"/>
          <w:sz w:val="21"/>
          <w:szCs w:val="21"/>
          <w:highlight w:val="none"/>
          <w:u w:val="single"/>
        </w:rPr>
        <w:t>所报的人工、材料、机械价格、取费费率并参考原子目投标报价与对应标底综合单价相比的同等优惠让利幅度编制综合单价及分析，经监理、发包人及审计部门审定后作为结算依据；（4）措施项目清单中的费用无论工程量是否发生变化、设计图纸是否发生变更，结算时将不得调整，这些费用在整个工程中是包干的。</w:t>
      </w:r>
    </w:p>
    <w:p w14:paraId="782F701A">
      <w:pPr>
        <w:spacing w:line="400" w:lineRule="exact"/>
        <w:ind w:firstLine="48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13.2 双方约定合同价款的其他调整因素：</w:t>
      </w:r>
      <w:r>
        <w:rPr>
          <w:rFonts w:hint="eastAsia" w:ascii="宋体" w:hAnsi="宋体" w:eastAsia="宋体" w:cs="宋体"/>
          <w:color w:val="auto"/>
          <w:sz w:val="21"/>
          <w:szCs w:val="21"/>
          <w:highlight w:val="none"/>
          <w:u w:val="single"/>
        </w:rPr>
        <w:t>无</w:t>
      </w:r>
    </w:p>
    <w:p w14:paraId="43DE51AA">
      <w:pPr>
        <w:spacing w:line="400" w:lineRule="exact"/>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14、工程预付款</w:t>
      </w:r>
    </w:p>
    <w:p w14:paraId="120F5851">
      <w:pPr>
        <w:spacing w:line="400" w:lineRule="exact"/>
        <w:ind w:firstLine="48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发包方向承包人预付工程款的时间和金额或占合同价款总额的比例：</w:t>
      </w:r>
      <w:r>
        <w:rPr>
          <w:rFonts w:hint="eastAsia" w:ascii="宋体" w:hAnsi="宋体" w:eastAsia="宋体" w:cs="宋体"/>
          <w:color w:val="auto"/>
          <w:sz w:val="21"/>
          <w:szCs w:val="21"/>
          <w:highlight w:val="none"/>
          <w:u w:val="single"/>
        </w:rPr>
        <w:t>/</w:t>
      </w:r>
    </w:p>
    <w:p w14:paraId="612D765E">
      <w:pPr>
        <w:spacing w:line="400" w:lineRule="exact"/>
        <w:ind w:firstLine="48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扣回工程预付款的时间、比例：</w:t>
      </w:r>
      <w:r>
        <w:rPr>
          <w:rFonts w:hint="eastAsia" w:ascii="宋体" w:hAnsi="宋体" w:eastAsia="宋体" w:cs="宋体"/>
          <w:color w:val="auto"/>
          <w:sz w:val="21"/>
          <w:szCs w:val="21"/>
          <w:highlight w:val="none"/>
          <w:u w:val="single"/>
        </w:rPr>
        <w:t xml:space="preserve">     无     </w:t>
      </w:r>
    </w:p>
    <w:p w14:paraId="5912362B">
      <w:pPr>
        <w:spacing w:line="400" w:lineRule="exact"/>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15、工程量确认</w:t>
      </w:r>
    </w:p>
    <w:p w14:paraId="69C8B52B">
      <w:pPr>
        <w:spacing w:line="400" w:lineRule="exact"/>
        <w:ind w:firstLine="48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15.1 承包人向工程师提交已完工程量报告的时间：</w:t>
      </w:r>
      <w:r>
        <w:rPr>
          <w:rFonts w:hint="eastAsia" w:ascii="宋体" w:hAnsi="宋体" w:eastAsia="宋体" w:cs="宋体"/>
          <w:color w:val="auto"/>
          <w:sz w:val="21"/>
          <w:szCs w:val="21"/>
          <w:highlight w:val="none"/>
          <w:u w:val="single"/>
        </w:rPr>
        <w:t>每月 5 日将上月完成的合格的工程量送发包方和监理，其余按通用条款第 25 条执行。</w:t>
      </w:r>
    </w:p>
    <w:p w14:paraId="2A772CF9">
      <w:pPr>
        <w:spacing w:line="400" w:lineRule="exact"/>
        <w:ind w:firstLine="48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16、工程款（进度款）支付</w:t>
      </w:r>
    </w:p>
    <w:p w14:paraId="2EEFCEFC">
      <w:pPr>
        <w:spacing w:line="400" w:lineRule="exact"/>
        <w:ind w:firstLine="48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双方约定的工程款（进度款）支付的方式和时间：</w:t>
      </w:r>
    </w:p>
    <w:p w14:paraId="4CE93839">
      <w:pPr>
        <w:widowControl w:val="0"/>
        <w:spacing w:before="34" w:line="360" w:lineRule="auto"/>
        <w:ind w:left="0" w:firstLine="420"/>
        <w:rPr>
          <w:rFonts w:hint="eastAsia" w:ascii="宋体" w:hAnsi="宋体" w:eastAsia="宋体" w:cs="宋体"/>
          <w:bCs/>
          <w:color w:val="auto"/>
          <w:sz w:val="21"/>
          <w:szCs w:val="21"/>
          <w:highlight w:val="none"/>
          <w:lang w:val="zh-CN" w:eastAsia="zh-CN" w:bidi="ar-SA"/>
        </w:rPr>
      </w:pPr>
      <w:r>
        <w:rPr>
          <w:rFonts w:hint="eastAsia" w:ascii="宋体" w:hAnsi="宋体" w:eastAsia="宋体" w:cs="宋体"/>
          <w:bCs/>
          <w:color w:val="auto"/>
          <w:sz w:val="21"/>
          <w:szCs w:val="21"/>
          <w:highlight w:val="none"/>
          <w:lang w:val="zh-CN" w:eastAsia="zh-CN" w:bidi="ar-SA"/>
        </w:rPr>
        <w:t>（1）合同签订生效后，采购方支付合同价款10%；</w:t>
      </w:r>
    </w:p>
    <w:p w14:paraId="76967D21">
      <w:pPr>
        <w:widowControl w:val="0"/>
        <w:spacing w:before="34" w:line="360" w:lineRule="auto"/>
        <w:ind w:left="0" w:firstLine="420"/>
        <w:rPr>
          <w:rFonts w:hint="eastAsia" w:ascii="宋体" w:hAnsi="宋体" w:eastAsia="宋体" w:cs="宋体"/>
          <w:bCs/>
          <w:color w:val="auto"/>
          <w:sz w:val="21"/>
          <w:szCs w:val="21"/>
          <w:highlight w:val="none"/>
          <w:lang w:val="zh-CN" w:eastAsia="zh-CN" w:bidi="ar-SA"/>
        </w:rPr>
      </w:pPr>
      <w:r>
        <w:rPr>
          <w:rFonts w:hint="eastAsia" w:ascii="宋体" w:hAnsi="宋体" w:eastAsia="宋体" w:cs="宋体"/>
          <w:bCs/>
          <w:color w:val="auto"/>
          <w:sz w:val="21"/>
          <w:szCs w:val="21"/>
          <w:highlight w:val="none"/>
          <w:lang w:val="zh-CN" w:eastAsia="zh-CN" w:bidi="ar-SA"/>
        </w:rPr>
        <w:t>（2）项目竣工验收前，达到项目形象进度50%时，由施工方申请，经监理方、采购方审核确认后支付至合同价款</w:t>
      </w:r>
      <w:r>
        <w:rPr>
          <w:rFonts w:hint="eastAsia" w:ascii="宋体" w:hAnsi="宋体" w:eastAsia="宋体" w:cs="宋体"/>
          <w:bCs/>
          <w:color w:val="auto"/>
          <w:sz w:val="21"/>
          <w:szCs w:val="21"/>
          <w:highlight w:val="none"/>
          <w:lang w:val="en-US" w:eastAsia="zh-CN" w:bidi="ar-SA"/>
        </w:rPr>
        <w:t>4</w:t>
      </w:r>
      <w:r>
        <w:rPr>
          <w:rFonts w:hint="eastAsia" w:ascii="宋体" w:hAnsi="宋体" w:eastAsia="宋体" w:cs="宋体"/>
          <w:bCs/>
          <w:color w:val="auto"/>
          <w:sz w:val="21"/>
          <w:szCs w:val="21"/>
          <w:highlight w:val="none"/>
          <w:lang w:val="zh-CN" w:eastAsia="zh-CN" w:bidi="ar-SA"/>
        </w:rPr>
        <w:t>0%；</w:t>
      </w:r>
    </w:p>
    <w:p w14:paraId="17DCA5FA">
      <w:pPr>
        <w:widowControl w:val="0"/>
        <w:spacing w:before="34" w:line="360" w:lineRule="auto"/>
        <w:ind w:left="0" w:firstLine="420"/>
        <w:rPr>
          <w:rFonts w:hint="eastAsia" w:ascii="宋体" w:hAnsi="宋体" w:eastAsia="宋体" w:cs="宋体"/>
          <w:bCs/>
          <w:color w:val="auto"/>
          <w:sz w:val="21"/>
          <w:szCs w:val="21"/>
          <w:highlight w:val="none"/>
          <w:lang w:val="zh-CN" w:eastAsia="zh-CN" w:bidi="ar-SA"/>
        </w:rPr>
      </w:pPr>
      <w:r>
        <w:rPr>
          <w:rFonts w:hint="eastAsia" w:ascii="宋体" w:hAnsi="宋体" w:eastAsia="宋体" w:cs="宋体"/>
          <w:bCs/>
          <w:color w:val="auto"/>
          <w:sz w:val="21"/>
          <w:szCs w:val="21"/>
          <w:highlight w:val="none"/>
          <w:lang w:val="zh-CN" w:eastAsia="zh-CN" w:bidi="ar-SA"/>
        </w:rPr>
        <w:t>（3）全部完成并经验收合格，</w:t>
      </w:r>
      <w:r>
        <w:rPr>
          <w:rFonts w:hint="eastAsia" w:ascii="宋体" w:hAnsi="宋体" w:eastAsia="宋体" w:cs="宋体"/>
          <w:bCs/>
          <w:color w:val="auto"/>
          <w:sz w:val="21"/>
          <w:szCs w:val="21"/>
          <w:highlight w:val="none"/>
          <w:lang w:val="en-US" w:eastAsia="zh-CN" w:bidi="ar-SA"/>
        </w:rPr>
        <w:t>2026年12月31日前</w:t>
      </w:r>
      <w:r>
        <w:rPr>
          <w:rFonts w:hint="eastAsia" w:ascii="宋体" w:hAnsi="宋体" w:eastAsia="宋体" w:cs="宋体"/>
          <w:bCs/>
          <w:color w:val="auto"/>
          <w:sz w:val="21"/>
          <w:szCs w:val="21"/>
          <w:highlight w:val="none"/>
          <w:lang w:val="zh-CN" w:eastAsia="zh-CN" w:bidi="ar-SA"/>
        </w:rPr>
        <w:t>付至合同价</w:t>
      </w:r>
      <w:r>
        <w:rPr>
          <w:rFonts w:hint="eastAsia" w:ascii="宋体" w:hAnsi="宋体" w:eastAsia="宋体" w:cs="宋体"/>
          <w:bCs/>
          <w:color w:val="auto"/>
          <w:sz w:val="21"/>
          <w:szCs w:val="21"/>
          <w:highlight w:val="none"/>
          <w:lang w:val="en-US" w:eastAsia="zh-CN" w:bidi="ar-SA"/>
        </w:rPr>
        <w:t>款</w:t>
      </w:r>
      <w:r>
        <w:rPr>
          <w:rFonts w:hint="eastAsia" w:ascii="宋体" w:hAnsi="宋体" w:eastAsia="宋体" w:cs="宋体"/>
          <w:bCs/>
          <w:color w:val="auto"/>
          <w:sz w:val="21"/>
          <w:szCs w:val="21"/>
          <w:highlight w:val="none"/>
          <w:lang w:val="zh-CN" w:eastAsia="zh-CN" w:bidi="ar-SA"/>
        </w:rPr>
        <w:t>的</w:t>
      </w:r>
      <w:r>
        <w:rPr>
          <w:rFonts w:hint="eastAsia" w:ascii="宋体" w:hAnsi="宋体" w:eastAsia="宋体" w:cs="宋体"/>
          <w:bCs/>
          <w:color w:val="auto"/>
          <w:sz w:val="21"/>
          <w:szCs w:val="21"/>
          <w:highlight w:val="none"/>
          <w:lang w:val="en-US" w:eastAsia="zh-CN" w:bidi="ar-SA"/>
        </w:rPr>
        <w:t>50</w:t>
      </w:r>
      <w:r>
        <w:rPr>
          <w:rFonts w:hint="eastAsia" w:ascii="宋体" w:hAnsi="宋体" w:eastAsia="宋体" w:cs="宋体"/>
          <w:bCs/>
          <w:color w:val="auto"/>
          <w:sz w:val="21"/>
          <w:szCs w:val="21"/>
          <w:highlight w:val="none"/>
          <w:lang w:val="zh-CN" w:eastAsia="zh-CN" w:bidi="ar-SA"/>
        </w:rPr>
        <w:t>%；</w:t>
      </w:r>
    </w:p>
    <w:p w14:paraId="43DEFDC4">
      <w:pPr>
        <w:widowControl w:val="0"/>
        <w:spacing w:before="34" w:line="360" w:lineRule="auto"/>
        <w:ind w:left="0" w:firstLine="420"/>
        <w:rPr>
          <w:rFonts w:hint="eastAsia" w:ascii="宋体" w:hAnsi="宋体" w:eastAsia="宋体" w:cs="Times New Roman"/>
          <w:color w:val="auto"/>
          <w:sz w:val="24"/>
          <w:szCs w:val="24"/>
          <w:highlight w:val="none"/>
          <w:lang w:val="en-US" w:eastAsia="en-US" w:bidi="ar-SA"/>
        </w:rPr>
      </w:pPr>
      <w:r>
        <w:rPr>
          <w:rFonts w:hint="eastAsia" w:ascii="宋体" w:hAnsi="宋体" w:eastAsia="宋体" w:cs="宋体"/>
          <w:bCs/>
          <w:color w:val="auto"/>
          <w:sz w:val="21"/>
          <w:szCs w:val="21"/>
          <w:highlight w:val="none"/>
          <w:lang w:val="zh-CN" w:eastAsia="zh-CN" w:bidi="ar-SA"/>
        </w:rPr>
        <w:t>（4)</w:t>
      </w:r>
      <w:r>
        <w:rPr>
          <w:rFonts w:hint="eastAsia" w:ascii="宋体" w:hAnsi="宋体" w:eastAsia="宋体" w:cs="宋体"/>
          <w:bCs/>
          <w:color w:val="auto"/>
          <w:sz w:val="21"/>
          <w:szCs w:val="21"/>
          <w:highlight w:val="none"/>
          <w:lang w:eastAsia="zh-CN"/>
        </w:rPr>
        <w:t>乙方提交全套工程资料及决算书报甲方单位审核，双方确认无异且经审计审核后，乙方按审定结算价款的 3% 向甲方缴纳工程质保金，甲方于2027年12月31日前付至审核价款的100%（如乙方未按要求支付质保金，甲方可拒绝支付工程款）。缺陷责任期24个月期满后30日内如无质量问题，质保金一次性全额退还乙方</w:t>
      </w:r>
      <w:r>
        <w:rPr>
          <w:rFonts w:hint="eastAsia" w:ascii="宋体" w:hAnsi="宋体" w:eastAsia="宋体" w:cs="宋体"/>
          <w:bCs/>
          <w:color w:val="auto"/>
          <w:sz w:val="21"/>
          <w:szCs w:val="21"/>
          <w:highlight w:val="none"/>
          <w:lang w:val="zh-CN" w:eastAsia="zh-CN" w:bidi="ar-SA"/>
        </w:rPr>
        <w:t>。</w:t>
      </w:r>
    </w:p>
    <w:p w14:paraId="2F5A0B6A">
      <w:pPr>
        <w:spacing w:line="400" w:lineRule="exact"/>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17、发包人供应</w:t>
      </w:r>
    </w:p>
    <w:p w14:paraId="207B08F3">
      <w:pPr>
        <w:spacing w:line="400" w:lineRule="exact"/>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17.1 </w:t>
      </w:r>
      <w:r>
        <w:rPr>
          <w:rFonts w:hint="eastAsia" w:ascii="宋体" w:hAnsi="宋体" w:eastAsia="宋体" w:cs="宋体"/>
          <w:color w:val="auto"/>
          <w:sz w:val="21"/>
          <w:szCs w:val="21"/>
          <w:highlight w:val="none"/>
          <w:u w:val="single"/>
        </w:rPr>
        <w:t>无。</w:t>
      </w:r>
    </w:p>
    <w:p w14:paraId="7A7A6B06">
      <w:pPr>
        <w:spacing w:line="400" w:lineRule="exact"/>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18、承包人采购材料设备</w:t>
      </w:r>
    </w:p>
    <w:p w14:paraId="282CE5D9">
      <w:pPr>
        <w:spacing w:line="400" w:lineRule="exact"/>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18.1 承包人采购材料设备的约定：</w:t>
      </w:r>
    </w:p>
    <w:p w14:paraId="371ECA12">
      <w:pPr>
        <w:spacing w:line="400" w:lineRule="exact"/>
        <w:ind w:firstLine="48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承包人自行采购，质量必须符合设计、相关标准、规范及有关规定的要求，进场前必须完备报验手续，经总监、发包人认可方可进场，未经认可的材料一律不得进场和使用，否则造成损失由承包人负责。</w:t>
      </w:r>
    </w:p>
    <w:p w14:paraId="3265BAD4">
      <w:pPr>
        <w:spacing w:line="400" w:lineRule="exact"/>
        <w:ind w:firstLine="48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本工程中暂估价的材料，发包人保留甲供的权利。</w:t>
      </w:r>
    </w:p>
    <w:p w14:paraId="1B85613A">
      <w:pPr>
        <w:spacing w:line="400" w:lineRule="exact"/>
        <w:ind w:firstLine="48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本工程按质监、消防等部门要求的相关材料检验试验等检测费由</w:t>
      </w:r>
      <w:r>
        <w:rPr>
          <w:rFonts w:hint="eastAsia" w:ascii="宋体" w:hAnsi="宋体" w:eastAsia="宋体" w:cs="宋体"/>
          <w:color w:val="auto"/>
          <w:sz w:val="21"/>
          <w:szCs w:val="21"/>
          <w:highlight w:val="none"/>
          <w:u w:val="single"/>
          <w:lang w:eastAsia="zh-CN"/>
        </w:rPr>
        <w:t>供应商</w:t>
      </w:r>
      <w:r>
        <w:rPr>
          <w:rFonts w:hint="eastAsia" w:ascii="宋体" w:hAnsi="宋体" w:eastAsia="宋体" w:cs="宋体"/>
          <w:color w:val="auto"/>
          <w:sz w:val="21"/>
          <w:szCs w:val="21"/>
          <w:highlight w:val="none"/>
          <w:u w:val="single"/>
        </w:rPr>
        <w:t>包干，由</w:t>
      </w:r>
      <w:r>
        <w:rPr>
          <w:rFonts w:hint="eastAsia" w:ascii="宋体" w:hAnsi="宋体" w:eastAsia="宋体" w:cs="宋体"/>
          <w:color w:val="auto"/>
          <w:sz w:val="21"/>
          <w:szCs w:val="21"/>
          <w:highlight w:val="none"/>
          <w:u w:val="single"/>
          <w:lang w:eastAsia="zh-CN"/>
        </w:rPr>
        <w:t>供应商</w:t>
      </w:r>
      <w:r>
        <w:rPr>
          <w:rFonts w:hint="eastAsia" w:ascii="宋体" w:hAnsi="宋体" w:eastAsia="宋体" w:cs="宋体"/>
          <w:color w:val="auto"/>
          <w:sz w:val="21"/>
          <w:szCs w:val="21"/>
          <w:highlight w:val="none"/>
          <w:u w:val="single"/>
        </w:rPr>
        <w:t>自主报价包含在综合单价或措施项目费中，结算时不作调整。</w:t>
      </w:r>
    </w:p>
    <w:p w14:paraId="1046552F">
      <w:pPr>
        <w:spacing w:line="400" w:lineRule="exact"/>
        <w:ind w:firstLine="48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七、工程变更</w:t>
      </w:r>
    </w:p>
    <w:p w14:paraId="5EFD0636">
      <w:pPr>
        <w:spacing w:line="400" w:lineRule="exact"/>
        <w:ind w:firstLine="48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19.1 施工中发包人需对原工程设计进行变更，由发包人或监理向承包人发出变更通知，若上述变更非承包商责任造成，因变更导致合同价款的增减及造成的承包商损失，由业主承担，延误的工期相应顺延。</w:t>
      </w:r>
    </w:p>
    <w:p w14:paraId="7A034170">
      <w:pPr>
        <w:spacing w:line="400" w:lineRule="exact"/>
        <w:ind w:firstLine="48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19.2 施工中承包商不得擅自对原工程设计进行变更。因承包商擅自变更设计发生的费用和由此导致业主的损失，由承包商承担，延误的工期不予顺延。</w:t>
      </w:r>
    </w:p>
    <w:p w14:paraId="08EECB3A">
      <w:pPr>
        <w:spacing w:line="400" w:lineRule="exact"/>
        <w:ind w:firstLine="48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19.3 承包商在施工中提出的合理化建议涉及到对设计图纸或施工组织设计的更改及对材料、设备的换用，须报设计师同意并经监理工程师审查，在报请业主、产权人代表批准后，方可组织实施。未经批准擅自更改或换用时，承包商承担由此发生的费用，并赔偿业主的有关损失，延误的工期不予顺延。</w:t>
      </w:r>
    </w:p>
    <w:p w14:paraId="5ED3ADC3">
      <w:pPr>
        <w:spacing w:line="400" w:lineRule="exact"/>
        <w:ind w:firstLine="48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19.4 承包人对设计变更、签证资料必须经设计师、监理同意，报发包方确认，隐蔽性工程的变更签证要在隐蔽前或 3 日内办理完，其他变更签证 7 日内办理，逾期签证发包方不予受理。</w:t>
      </w:r>
    </w:p>
    <w:p w14:paraId="3F128907">
      <w:pPr>
        <w:spacing w:line="400" w:lineRule="exact"/>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20.确定变更价款</w:t>
      </w:r>
    </w:p>
    <w:p w14:paraId="069BF026">
      <w:pPr>
        <w:spacing w:line="400" w:lineRule="exact"/>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20.1 变更合同价款按下列方法进行：</w:t>
      </w:r>
    </w:p>
    <w:p w14:paraId="23296CB1">
      <w:pPr>
        <w:spacing w:line="400" w:lineRule="exact"/>
        <w:ind w:firstLine="48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（1）工程量发生变化时如合同中已有与变更工程一致的项目价格，按合同已有的综合单价执行；</w:t>
      </w:r>
    </w:p>
    <w:p w14:paraId="41EC5E04">
      <w:pPr>
        <w:spacing w:line="400" w:lineRule="exact"/>
        <w:ind w:firstLine="48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（2）工程量发生变化时合同中已有与变更工程相似的项目价格，参照类似的价格进行调整。</w:t>
      </w:r>
    </w:p>
    <w:p w14:paraId="05B1C68F">
      <w:pPr>
        <w:spacing w:line="400" w:lineRule="exact"/>
        <w:ind w:firstLine="48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（3）如合同中没有与变更工程相同的项目，由承包商和发包人进行单价分析，经监理工程师审核并报业主批准后执行。</w:t>
      </w:r>
    </w:p>
    <w:p w14:paraId="41D74CB1">
      <w:pPr>
        <w:spacing w:line="400" w:lineRule="exact"/>
        <w:ind w:firstLine="48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无论工程量增减多少，均按上述方式进行结算。</w:t>
      </w:r>
    </w:p>
    <w:p w14:paraId="3AF64D54">
      <w:pPr>
        <w:spacing w:line="400" w:lineRule="exact"/>
        <w:ind w:firstLine="48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八、竣工验收与结算</w:t>
      </w:r>
    </w:p>
    <w:p w14:paraId="33AB4ADD">
      <w:pPr>
        <w:spacing w:line="400" w:lineRule="exact"/>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21、竣工验收</w:t>
      </w:r>
    </w:p>
    <w:p w14:paraId="6D35D7BE">
      <w:pPr>
        <w:spacing w:line="400" w:lineRule="exact"/>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 承包人提供竣工图的约定：</w:t>
      </w:r>
    </w:p>
    <w:p w14:paraId="6A9E5B64">
      <w:pPr>
        <w:spacing w:line="400" w:lineRule="exact"/>
        <w:ind w:firstLine="48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承包人应在工程竣工后一个月内提供叁套完整的竣工图和竣工结算及其他资料，否则甲方不予支付剩余工程款并每按迟一天按日向发包人支付合同价格万分之五的违约金。</w:t>
      </w:r>
    </w:p>
    <w:p w14:paraId="416BAE38">
      <w:pPr>
        <w:spacing w:line="400" w:lineRule="exact"/>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21.2 中间交工工程的范围和竣工时间：</w:t>
      </w:r>
    </w:p>
    <w:p w14:paraId="39F1290A">
      <w:pPr>
        <w:spacing w:line="400" w:lineRule="exact"/>
        <w:ind w:firstLine="48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竣工时间以发包人组织的竣工验收合格日期为准。工程竣工验收后，施工单位的管理和施工人员、材料、设备必须在七天内全部退出现场，每延迟一天退场罚款2000 元。</w:t>
      </w:r>
    </w:p>
    <w:p w14:paraId="086861B0">
      <w:pPr>
        <w:spacing w:line="400" w:lineRule="exact"/>
        <w:ind w:firstLine="480"/>
        <w:rPr>
          <w:rFonts w:hint="default"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u w:val="single"/>
          <w:lang w:val="en-US" w:eastAsia="zh-CN"/>
        </w:rPr>
        <w:t>21.3 管道建成后，施工单位应向建设单位申请交工验收。建设单位在项目完工后6个月内组织工程质量监督机构、勘察、设计、施工、监理等参建单位共同开展交付验收。验收标准:GB55026-2022《城市给水工程项目规范》、GB/T 20801-2025《压力管道规范 工业管道》。验收方法:资料审查、现场观感、功能性试验、水质保障、隐蔽工程。</w:t>
      </w:r>
    </w:p>
    <w:p w14:paraId="7819F837">
      <w:pPr>
        <w:spacing w:line="400" w:lineRule="exact"/>
        <w:ind w:firstLine="48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九、违约、索赔和争议</w:t>
      </w:r>
    </w:p>
    <w:p w14:paraId="6B8BF849">
      <w:pPr>
        <w:spacing w:line="400" w:lineRule="exact"/>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22、违约</w:t>
      </w:r>
    </w:p>
    <w:p w14:paraId="7EDAFC7D">
      <w:pPr>
        <w:spacing w:line="400" w:lineRule="exact"/>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 本合同中关于发包人违约的具体责任如下：</w:t>
      </w:r>
    </w:p>
    <w:p w14:paraId="7C34069C">
      <w:pPr>
        <w:spacing w:line="400" w:lineRule="exact"/>
        <w:ind w:firstLine="48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合同通用条款第 26.4 款约定发包人违约应承担的违约责任：</w:t>
      </w:r>
      <w:r>
        <w:rPr>
          <w:rFonts w:hint="eastAsia" w:ascii="宋体" w:hAnsi="宋体" w:eastAsia="宋体" w:cs="宋体"/>
          <w:color w:val="auto"/>
          <w:sz w:val="21"/>
          <w:szCs w:val="21"/>
          <w:highlight w:val="none"/>
          <w:u w:val="single"/>
        </w:rPr>
        <w:t xml:space="preserve"> 按通用条款执行。</w:t>
      </w:r>
    </w:p>
    <w:p w14:paraId="1AEFA300">
      <w:pPr>
        <w:spacing w:line="400" w:lineRule="exact"/>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 本合同中关于承包人违约的具体责任如下：</w:t>
      </w:r>
    </w:p>
    <w:p w14:paraId="2E1FA911">
      <w:pPr>
        <w:spacing w:line="400" w:lineRule="exact"/>
        <w:ind w:firstLine="48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本合同通用条款第 14.2 款约定承包人违约承担的违约责任：</w:t>
      </w:r>
      <w:r>
        <w:rPr>
          <w:rFonts w:hint="eastAsia" w:ascii="宋体" w:hAnsi="宋体" w:eastAsia="宋体" w:cs="宋体"/>
          <w:color w:val="auto"/>
          <w:sz w:val="21"/>
          <w:szCs w:val="21"/>
          <w:highlight w:val="none"/>
          <w:u w:val="single"/>
        </w:rPr>
        <w:t>合同工期按中标单位投标文件中的自报工期，如工期延误，应承担违约责任、并向甲方支付违约金，支付办法按合同工期每延误一天应向发包人支付 2000元违约金，并以合同总价的 5%为限。 此赔偿费的支付不能解除中标单位应完成工程的责任或合同规定的其它责任。</w:t>
      </w:r>
    </w:p>
    <w:p w14:paraId="7140B92F">
      <w:pPr>
        <w:spacing w:line="400" w:lineRule="exact"/>
        <w:ind w:firstLine="48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本合同通用条款第 15.1 款约定承包人违约应承担的违约责任：</w:t>
      </w:r>
      <w:r>
        <w:rPr>
          <w:rFonts w:hint="eastAsia" w:ascii="宋体" w:hAnsi="宋体" w:eastAsia="宋体" w:cs="宋体"/>
          <w:color w:val="auto"/>
          <w:sz w:val="21"/>
          <w:szCs w:val="21"/>
          <w:highlight w:val="none"/>
          <w:u w:val="single"/>
        </w:rPr>
        <w:t>本工程应达到国家或行业现行的质量检验评定标准，承包人应按现行的国家施工验收规范和质量评定标准施工，达不到标准， 返工重做，如检验仍不合格，承包人承担违约责任，违约金为合同价的5%。如承包人不返工，发包人、甲方有权请其他施工单位进行施工，由此产生的费用在承包人工程款中扣除，并追究承包人责任。</w:t>
      </w:r>
    </w:p>
    <w:p w14:paraId="7C8EBE3A">
      <w:pPr>
        <w:spacing w:line="400" w:lineRule="exact"/>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双方约定的承包人其他违约责任：</w:t>
      </w:r>
      <w:r>
        <w:rPr>
          <w:rFonts w:hint="eastAsia" w:ascii="宋体" w:hAnsi="宋体" w:eastAsia="宋体" w:cs="宋体"/>
          <w:color w:val="auto"/>
          <w:sz w:val="21"/>
          <w:szCs w:val="21"/>
          <w:highlight w:val="none"/>
          <w:u w:val="single"/>
        </w:rPr>
        <w:t>另行协商</w:t>
      </w:r>
    </w:p>
    <w:p w14:paraId="4D21A7FC">
      <w:pPr>
        <w:spacing w:line="400" w:lineRule="exact"/>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23、争议</w:t>
      </w:r>
    </w:p>
    <w:p w14:paraId="22FF7DB1">
      <w:pPr>
        <w:spacing w:line="400" w:lineRule="exact"/>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23.1 双方约定，在履行合同过程中产生争议时：</w:t>
      </w:r>
    </w:p>
    <w:p w14:paraId="507E2F91">
      <w:pPr>
        <w:spacing w:line="400" w:lineRule="exact"/>
        <w:ind w:firstLine="48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双方约定，在履行合同过程中产生争议时：双方应及时协商解决。协商不成时，双方同意由南京市江宁区人民法院诉讼解决。</w:t>
      </w:r>
    </w:p>
    <w:p w14:paraId="4C8B230B">
      <w:pPr>
        <w:spacing w:line="400" w:lineRule="exact"/>
        <w:ind w:firstLine="48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十、其他</w:t>
      </w:r>
    </w:p>
    <w:p w14:paraId="31C1A658">
      <w:pPr>
        <w:spacing w:line="400" w:lineRule="exact"/>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24、工程分包</w:t>
      </w:r>
    </w:p>
    <w:p w14:paraId="2D466C71">
      <w:pPr>
        <w:spacing w:line="400" w:lineRule="exact"/>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24.1 本工程发包人同意承包人分包的工程：</w:t>
      </w:r>
    </w:p>
    <w:p w14:paraId="23C27926">
      <w:pPr>
        <w:spacing w:before="12" w:line="400" w:lineRule="exact"/>
        <w:ind w:firstLine="482"/>
        <w:rPr>
          <w:rFonts w:hint="eastAsia" w:ascii="宋体" w:hAnsi="宋体" w:eastAsia="宋体" w:cs="宋体"/>
          <w:color w:val="auto"/>
          <w:sz w:val="21"/>
          <w:szCs w:val="21"/>
          <w:highlight w:val="none"/>
          <w:u w:val="single"/>
        </w:rPr>
      </w:pPr>
      <w:r>
        <w:rPr>
          <w:rFonts w:hint="eastAsia" w:ascii="宋体" w:hAnsi="宋体" w:eastAsia="宋体" w:cs="宋体"/>
          <w:b/>
          <w:color w:val="auto"/>
          <w:sz w:val="21"/>
          <w:szCs w:val="21"/>
          <w:highlight w:val="none"/>
          <w:u w:val="single"/>
        </w:rPr>
        <w:t>本工程不得有任何方式的转包或分包。</w:t>
      </w:r>
      <w:r>
        <w:rPr>
          <w:rFonts w:hint="eastAsia" w:ascii="宋体" w:hAnsi="宋体" w:eastAsia="宋体" w:cs="宋体"/>
          <w:color w:val="auto"/>
          <w:sz w:val="21"/>
          <w:szCs w:val="21"/>
          <w:highlight w:val="none"/>
          <w:u w:val="single"/>
        </w:rPr>
        <w:t xml:space="preserve"> </w:t>
      </w:r>
    </w:p>
    <w:p w14:paraId="713EB8BD">
      <w:pPr>
        <w:spacing w:before="12" w:line="400" w:lineRule="exact"/>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25、不可抗力 </w:t>
      </w:r>
    </w:p>
    <w:p w14:paraId="0EB2627C">
      <w:pPr>
        <w:spacing w:before="12" w:line="400" w:lineRule="exact"/>
        <w:ind w:firstLine="48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25.1 双方关于不可抗力的约定： </w:t>
      </w:r>
      <w:r>
        <w:rPr>
          <w:rFonts w:hint="eastAsia" w:ascii="宋体" w:hAnsi="宋体" w:eastAsia="宋体" w:cs="宋体"/>
          <w:color w:val="auto"/>
          <w:sz w:val="21"/>
          <w:szCs w:val="21"/>
          <w:highlight w:val="none"/>
          <w:u w:val="single"/>
        </w:rPr>
        <w:t xml:space="preserve">按本合同通用条款执行。 </w:t>
      </w:r>
    </w:p>
    <w:p w14:paraId="12A11290">
      <w:pPr>
        <w:spacing w:before="12" w:line="400" w:lineRule="exact"/>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26、保险 </w:t>
      </w:r>
    </w:p>
    <w:p w14:paraId="247CBE9F">
      <w:pPr>
        <w:spacing w:before="12" w:line="400" w:lineRule="exact"/>
        <w:ind w:firstLine="48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（1）承包人投保内容： </w:t>
      </w:r>
      <w:r>
        <w:rPr>
          <w:rFonts w:hint="eastAsia" w:ascii="宋体" w:hAnsi="宋体" w:eastAsia="宋体" w:cs="宋体"/>
          <w:b/>
          <w:color w:val="auto"/>
          <w:sz w:val="21"/>
          <w:szCs w:val="21"/>
          <w:highlight w:val="none"/>
          <w:u w:val="single"/>
        </w:rPr>
        <w:t xml:space="preserve">承包人必须为从事危险作业的职工办理意外伤害保险，并按照国家有关 规定，为职工缴纳有关保险费用。工程用材料、设备，由承包人负责管理、保管；其它按建设行政主管部门和相关法律规定执行。 </w:t>
      </w:r>
    </w:p>
    <w:p w14:paraId="32480720">
      <w:pPr>
        <w:spacing w:before="12" w:line="400" w:lineRule="exact"/>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27、担保 </w:t>
      </w:r>
    </w:p>
    <w:p w14:paraId="585A0965">
      <w:pPr>
        <w:spacing w:before="12" w:line="400" w:lineRule="exact"/>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27.1 本工程双方约定担保事项如下： </w:t>
      </w:r>
    </w:p>
    <w:p w14:paraId="6BC7F58D">
      <w:pPr>
        <w:spacing w:before="12" w:line="400" w:lineRule="exact"/>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（1）发包人向承包人提供履约担保，担保方式为： </w:t>
      </w:r>
      <w:r>
        <w:rPr>
          <w:rFonts w:hint="eastAsia" w:ascii="宋体" w:hAnsi="宋体" w:eastAsia="宋体" w:cs="宋体"/>
          <w:color w:val="auto"/>
          <w:sz w:val="21"/>
          <w:szCs w:val="21"/>
          <w:highlight w:val="none"/>
          <w:u w:val="single"/>
        </w:rPr>
        <w:t xml:space="preserve">无 </w:t>
      </w:r>
    </w:p>
    <w:p w14:paraId="26BDEAF7">
      <w:pPr>
        <w:spacing w:before="12" w:line="400" w:lineRule="exact"/>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（2）承包人向发包人提供履约担保，担保方式为： </w:t>
      </w:r>
      <w:r>
        <w:rPr>
          <w:rFonts w:hint="eastAsia" w:ascii="宋体" w:hAnsi="宋体" w:eastAsia="宋体" w:cs="宋体"/>
          <w:color w:val="auto"/>
          <w:sz w:val="21"/>
          <w:szCs w:val="21"/>
          <w:highlight w:val="none"/>
          <w:u w:val="single"/>
        </w:rPr>
        <w:t xml:space="preserve">无 </w:t>
      </w:r>
    </w:p>
    <w:p w14:paraId="7BADE97D">
      <w:pPr>
        <w:spacing w:before="12" w:line="400" w:lineRule="exact"/>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28、合同份数 </w:t>
      </w:r>
    </w:p>
    <w:p w14:paraId="05A973EC">
      <w:pPr>
        <w:spacing w:before="12" w:line="400" w:lineRule="exact"/>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28.1 双方约定合同副本份数： </w:t>
      </w:r>
    </w:p>
    <w:p w14:paraId="10037202">
      <w:pPr>
        <w:spacing w:before="12" w:line="400" w:lineRule="exact"/>
        <w:ind w:firstLine="48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 xml:space="preserve">正本两份、副本陆份 ；双方各执一份正本，三份副本。 </w:t>
      </w:r>
    </w:p>
    <w:p w14:paraId="0A561FC9">
      <w:pPr>
        <w:spacing w:before="12" w:line="400" w:lineRule="exact"/>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29、补充条款 </w:t>
      </w:r>
    </w:p>
    <w:p w14:paraId="0813AADD">
      <w:pPr>
        <w:spacing w:before="12" w:line="400" w:lineRule="exact"/>
        <w:ind w:firstLine="48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 xml:space="preserve">（1）本工程的保修范围和期限按国务院 2000 年1月 30日发布的 279 号令执行。 </w:t>
      </w:r>
    </w:p>
    <w:p w14:paraId="3AA66231">
      <w:pPr>
        <w:spacing w:before="12" w:line="400" w:lineRule="exact"/>
        <w:ind w:firstLine="48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 xml:space="preserve">（2）承包人安全措施不完善、施工中违反操作规程或技术规范，造成本工程相邻建筑物损害，或造成人员伤亡、财产损失，均由承包人负责赔偿并承担一切相 应的责任。 </w:t>
      </w:r>
    </w:p>
    <w:p w14:paraId="3B35AFC3">
      <w:pPr>
        <w:spacing w:before="12" w:line="400" w:lineRule="exact"/>
        <w:ind w:firstLine="48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 xml:space="preserve">（3）承包人投标报价如遇各类市场风险和政策性调整，今后不做调整，产生风险由承包人承担。 （4）本工程发包人指定材料一览表中的材料由承包人供应，必须提供检验合格证明，经发包方代表、产权人代表和监理认可后方使用。 </w:t>
      </w:r>
    </w:p>
    <w:p w14:paraId="3BC46220">
      <w:pPr>
        <w:spacing w:before="12" w:line="400" w:lineRule="exact"/>
        <w:ind w:firstLine="482"/>
        <w:rPr>
          <w:rFonts w:hint="eastAsia" w:ascii="宋体" w:hAnsi="宋体" w:eastAsia="宋体" w:cs="宋体"/>
          <w:b/>
          <w:color w:val="auto"/>
          <w:sz w:val="21"/>
          <w:szCs w:val="21"/>
          <w:highlight w:val="none"/>
          <w:u w:val="single"/>
        </w:rPr>
      </w:pPr>
      <w:r>
        <w:rPr>
          <w:rFonts w:hint="eastAsia" w:ascii="宋体" w:hAnsi="宋体" w:eastAsia="宋体" w:cs="宋体"/>
          <w:b/>
          <w:color w:val="auto"/>
          <w:sz w:val="21"/>
          <w:szCs w:val="21"/>
          <w:highlight w:val="none"/>
          <w:u w:val="single"/>
        </w:rPr>
        <w:t xml:space="preserve">（5）竣工结算审计时，核减率在5%（含）以下时，审计费由甲方承担，核减率达到 5%不足10%（含）时，审计费由甲乙双方承担一半；核减率超过10%时，审计费全部由乙方承担。  </w:t>
      </w:r>
    </w:p>
    <w:p w14:paraId="48759FF7">
      <w:pPr>
        <w:spacing w:before="12" w:line="400" w:lineRule="exact"/>
        <w:ind w:firstLine="48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 xml:space="preserve">（6）本工程质量要求和验收标准适用国家、地方相关法律、法规、规范、标准和本工程设计方案、施工方案等质量控制要求中的相关最高标准。 </w:t>
      </w:r>
    </w:p>
    <w:p w14:paraId="0FC11CB6">
      <w:pPr>
        <w:spacing w:before="12" w:line="400" w:lineRule="exact"/>
        <w:ind w:firstLine="48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7）本项目为改造工程，施工过程中承包人需对其它未施工部份的成品进行保护，如有损坏，必须无尝维修到位，经建设单位认可；凡需进行围挡部份，施工方必须无条件围挡施工，由此造成的一切安全后果由施工单位负责。</w:t>
      </w:r>
    </w:p>
    <w:p w14:paraId="6F3B6C05">
      <w:pPr>
        <w:spacing w:before="12" w:line="400" w:lineRule="exact"/>
        <w:ind w:firstLine="48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8）甲方管控区域有特殊的管理要求，乙方安排进入管控区域劳作、施工人员必须为男性，身体健康。乙方不得安排有前科人员进入两个管控区域内劳作、施工，不得携带手机等电子产品、打火机等火种进入管控区域，不得与管控区域内其他人员接触，不得帮管控区域内人员“捎买带”，不得违反甲方管控区域相关管理制度规定。如有违反，乙方接收甲方的处罚，并且甲方有权立即解除合同，全额扣除履约保证金。</w:t>
      </w:r>
    </w:p>
    <w:p w14:paraId="018B2AF9">
      <w:pPr>
        <w:spacing w:before="12" w:line="400" w:lineRule="exact"/>
        <w:ind w:firstLine="480"/>
        <w:rPr>
          <w:rFonts w:hint="default" w:ascii="宋体" w:hAnsi="宋体" w:eastAsia="宋体" w:cs="宋体"/>
          <w:b/>
          <w:bCs/>
          <w:color w:val="auto"/>
          <w:sz w:val="21"/>
          <w:szCs w:val="21"/>
          <w:highlight w:val="none"/>
          <w:u w:val="single"/>
          <w:lang w:val="en-US" w:eastAsia="zh-CN"/>
        </w:rPr>
      </w:pPr>
      <w:r>
        <w:rPr>
          <w:rFonts w:hint="eastAsia" w:ascii="宋体" w:hAnsi="宋体" w:eastAsia="宋体" w:cs="宋体"/>
          <w:b/>
          <w:bCs/>
          <w:color w:val="auto"/>
          <w:sz w:val="21"/>
          <w:szCs w:val="21"/>
          <w:highlight w:val="none"/>
          <w:u w:val="single"/>
        </w:rPr>
        <w:t>（9）施工中用水电费由甲方按审计核定造价金额的8‰向乙方收取，在工程尾款中扣除</w:t>
      </w:r>
      <w:r>
        <w:rPr>
          <w:rFonts w:hint="eastAsia" w:ascii="宋体" w:hAnsi="宋体" w:eastAsia="宋体" w:cs="宋体"/>
          <w:b/>
          <w:bCs/>
          <w:color w:val="auto"/>
          <w:sz w:val="21"/>
          <w:szCs w:val="21"/>
          <w:highlight w:val="none"/>
          <w:u w:val="single"/>
          <w:lang w:eastAsia="zh-CN"/>
        </w:rPr>
        <w:t>；</w:t>
      </w:r>
      <w:r>
        <w:rPr>
          <w:rFonts w:hint="eastAsia" w:ascii="宋体" w:hAnsi="宋体" w:eastAsia="宋体" w:cs="宋体"/>
          <w:b/>
          <w:bCs/>
          <w:color w:val="auto"/>
          <w:sz w:val="21"/>
          <w:szCs w:val="21"/>
          <w:highlight w:val="none"/>
          <w:u w:val="single"/>
          <w:lang w:val="en-US" w:eastAsia="zh-CN"/>
        </w:rPr>
        <w:t>或由承包人自行挂表，发包人根据承包人实际使用水电费收取。</w:t>
      </w:r>
    </w:p>
    <w:p w14:paraId="212A5F47">
      <w:pPr>
        <w:spacing w:before="12" w:line="400" w:lineRule="exact"/>
        <w:ind w:firstLine="480"/>
        <w:rPr>
          <w:rFonts w:hint="eastAsia" w:ascii="宋体" w:hAnsi="宋体" w:eastAsia="宋体" w:cs="宋体"/>
          <w:b/>
          <w:bCs/>
          <w:color w:val="auto"/>
          <w:sz w:val="21"/>
          <w:szCs w:val="21"/>
          <w:highlight w:val="none"/>
          <w:u w:val="single"/>
          <w:lang w:val="en-US" w:eastAsia="zh-CN"/>
        </w:rPr>
      </w:pPr>
      <w:r>
        <w:rPr>
          <w:rFonts w:hint="eastAsia" w:ascii="宋体" w:hAnsi="宋体" w:eastAsia="宋体" w:cs="宋体"/>
          <w:b/>
          <w:bCs/>
          <w:color w:val="auto"/>
          <w:sz w:val="21"/>
          <w:szCs w:val="21"/>
          <w:highlight w:val="none"/>
          <w:u w:val="single"/>
          <w:lang w:eastAsia="zh-CN"/>
        </w:rPr>
        <w:t>（</w:t>
      </w:r>
      <w:r>
        <w:rPr>
          <w:rFonts w:hint="eastAsia" w:ascii="宋体" w:hAnsi="宋体" w:eastAsia="宋体" w:cs="宋体"/>
          <w:b/>
          <w:bCs/>
          <w:color w:val="auto"/>
          <w:sz w:val="21"/>
          <w:szCs w:val="21"/>
          <w:highlight w:val="none"/>
          <w:u w:val="single"/>
          <w:lang w:val="en-US" w:eastAsia="zh-CN"/>
        </w:rPr>
        <w:t>10</w:t>
      </w:r>
      <w:r>
        <w:rPr>
          <w:rFonts w:hint="eastAsia" w:ascii="宋体" w:hAnsi="宋体" w:eastAsia="宋体" w:cs="宋体"/>
          <w:b/>
          <w:bCs/>
          <w:color w:val="auto"/>
          <w:sz w:val="21"/>
          <w:szCs w:val="21"/>
          <w:highlight w:val="none"/>
          <w:u w:val="single"/>
          <w:lang w:eastAsia="zh-CN"/>
        </w:rPr>
        <w:t>）</w:t>
      </w:r>
      <w:r>
        <w:rPr>
          <w:rFonts w:hint="eastAsia" w:ascii="宋体" w:hAnsi="宋体" w:eastAsia="宋体" w:cs="宋体"/>
          <w:b/>
          <w:bCs/>
          <w:color w:val="auto"/>
          <w:sz w:val="21"/>
          <w:szCs w:val="21"/>
          <w:highlight w:val="none"/>
          <w:u w:val="single"/>
          <w:lang w:val="en-US" w:eastAsia="zh-CN"/>
        </w:rPr>
        <w:t>关于农民工工资支付相关要求：</w:t>
      </w:r>
    </w:p>
    <w:p w14:paraId="34B15744">
      <w:pPr>
        <w:spacing w:before="12" w:line="400" w:lineRule="exact"/>
        <w:ind w:firstLine="480"/>
        <w:rPr>
          <w:rFonts w:hint="eastAsia" w:ascii="宋体" w:hAnsi="宋体" w:eastAsia="宋体" w:cs="宋体"/>
          <w:b/>
          <w:bCs/>
          <w:color w:val="auto"/>
          <w:sz w:val="21"/>
          <w:szCs w:val="21"/>
          <w:highlight w:val="none"/>
          <w:u w:val="single"/>
          <w:lang w:eastAsia="zh-CN"/>
        </w:rPr>
      </w:pPr>
      <w:r>
        <w:rPr>
          <w:rFonts w:hint="eastAsia" w:ascii="宋体" w:hAnsi="宋体" w:eastAsia="宋体" w:cs="宋体"/>
          <w:b/>
          <w:bCs/>
          <w:color w:val="auto"/>
          <w:sz w:val="21"/>
          <w:szCs w:val="21"/>
          <w:highlight w:val="none"/>
          <w:u w:val="single"/>
          <w:lang w:eastAsia="zh-CN"/>
        </w:rPr>
        <w:t>1、承包人应根据宁建建监字[2019]489号关于《南京市建筑业施工企业民工工资保证金制度管理办法》的规定， 建立健全的雇员工资发放和劳动保障制度。如因雇员的工资发放和劳动保障制度不健全而引发纠纷，发包人有权中止履行合同并要求承包人退场，并有权在承包人工程款中扣除相应款项，采取相应措施解决纠纷。</w:t>
      </w:r>
    </w:p>
    <w:p w14:paraId="44E3FC89">
      <w:pPr>
        <w:spacing w:before="12" w:line="400" w:lineRule="exact"/>
        <w:ind w:firstLine="480"/>
        <w:rPr>
          <w:rFonts w:hint="eastAsia" w:ascii="宋体" w:hAnsi="宋体" w:eastAsia="宋体" w:cs="宋体"/>
          <w:b/>
          <w:bCs/>
          <w:color w:val="auto"/>
          <w:sz w:val="21"/>
          <w:szCs w:val="21"/>
          <w:highlight w:val="none"/>
          <w:u w:val="single"/>
          <w:lang w:eastAsia="zh-CN"/>
        </w:rPr>
      </w:pPr>
      <w:r>
        <w:rPr>
          <w:rFonts w:hint="eastAsia" w:ascii="宋体" w:hAnsi="宋体" w:eastAsia="宋体" w:cs="宋体"/>
          <w:b/>
          <w:bCs/>
          <w:color w:val="auto"/>
          <w:sz w:val="21"/>
          <w:szCs w:val="21"/>
          <w:highlight w:val="none"/>
          <w:u w:val="single"/>
          <w:lang w:eastAsia="zh-CN"/>
        </w:rPr>
        <w:t>2、承包人应严格执行《保障农民工工资支付条例》《省住房城乡建设厅关于认真贯彻落实国务院保障农民工工资支付条例扎实推进建筑工人实名制管理工作的通知》《南京市工程建设领域农民工工资专用账户管理办法》等国家、省、市文件的有关规定， 落实劳动用工实名制管理及农民工工资发放的各项工作。承包人如因雇员的工资发放和劳动保障制度不健全而引发纠纷，发包人有权中止履行合同并要求承包人退场，并有权在承包人工程款中扣除相应款项，采取相应措施解决纠纷。</w:t>
      </w:r>
    </w:p>
    <w:p w14:paraId="358E530A">
      <w:pPr>
        <w:spacing w:before="12" w:line="400" w:lineRule="exact"/>
        <w:ind w:firstLine="480"/>
        <w:rPr>
          <w:rFonts w:hint="eastAsia" w:ascii="宋体" w:hAnsi="宋体" w:eastAsia="宋体" w:cs="宋体"/>
          <w:b/>
          <w:bCs/>
          <w:color w:val="auto"/>
          <w:sz w:val="21"/>
          <w:szCs w:val="21"/>
          <w:highlight w:val="none"/>
          <w:u w:val="single"/>
          <w:lang w:eastAsia="zh-CN"/>
        </w:rPr>
      </w:pPr>
      <w:r>
        <w:rPr>
          <w:rFonts w:hint="eastAsia" w:ascii="宋体" w:hAnsi="宋体" w:eastAsia="宋体" w:cs="宋体"/>
          <w:b/>
          <w:bCs/>
          <w:color w:val="auto"/>
          <w:sz w:val="21"/>
          <w:szCs w:val="21"/>
          <w:highlight w:val="none"/>
          <w:u w:val="single"/>
          <w:lang w:eastAsia="zh-CN"/>
        </w:rPr>
        <w:t>2.1、承包人进场施工前须按发包人要求交纳中标价的 2%农民工工资保证金，交纳在发包人指定账户。审计结束后 2 年内无任何农民工工资纠纷退还农民工工资保证金。</w:t>
      </w:r>
    </w:p>
    <w:p w14:paraId="4F1D211A">
      <w:pPr>
        <w:spacing w:before="12" w:line="400" w:lineRule="exact"/>
        <w:ind w:firstLine="480"/>
        <w:rPr>
          <w:rFonts w:hint="eastAsia" w:ascii="宋体" w:hAnsi="宋体" w:eastAsia="宋体" w:cs="宋体"/>
          <w:b/>
          <w:bCs/>
          <w:color w:val="auto"/>
          <w:sz w:val="21"/>
          <w:szCs w:val="21"/>
          <w:highlight w:val="none"/>
          <w:u w:val="single"/>
          <w:lang w:eastAsia="zh-CN"/>
        </w:rPr>
      </w:pPr>
      <w:r>
        <w:rPr>
          <w:rFonts w:hint="eastAsia" w:ascii="宋体" w:hAnsi="宋体" w:eastAsia="宋体" w:cs="宋体"/>
          <w:b/>
          <w:bCs/>
          <w:color w:val="auto"/>
          <w:sz w:val="21"/>
          <w:szCs w:val="21"/>
          <w:highlight w:val="none"/>
          <w:u w:val="single"/>
          <w:lang w:eastAsia="zh-CN"/>
        </w:rPr>
        <w:t>2.2、承包人应在工程项目所在地银行开设农民工工资专用账户，专项用于支付农民工工资。</w:t>
      </w:r>
    </w:p>
    <w:p w14:paraId="60B4E3D9">
      <w:pPr>
        <w:spacing w:before="12" w:line="400" w:lineRule="exact"/>
        <w:ind w:firstLine="480"/>
        <w:rPr>
          <w:rFonts w:hint="eastAsia" w:ascii="宋体" w:hAnsi="宋体" w:eastAsia="宋体" w:cs="宋体"/>
          <w:b/>
          <w:bCs/>
          <w:color w:val="auto"/>
          <w:sz w:val="21"/>
          <w:szCs w:val="21"/>
          <w:highlight w:val="none"/>
          <w:u w:val="single"/>
          <w:lang w:eastAsia="zh-CN"/>
        </w:rPr>
      </w:pPr>
      <w:r>
        <w:rPr>
          <w:rFonts w:hint="eastAsia" w:ascii="宋体" w:hAnsi="宋体" w:eastAsia="宋体" w:cs="宋体"/>
          <w:b/>
          <w:bCs/>
          <w:color w:val="auto"/>
          <w:sz w:val="21"/>
          <w:szCs w:val="21"/>
          <w:highlight w:val="none"/>
          <w:u w:val="single"/>
          <w:lang w:eastAsia="zh-CN"/>
        </w:rPr>
        <w:t>2.3、承包人保证不克扣和拖欠工资，不以发包人延迟支付工程款为由拖欠农民工工资。</w:t>
      </w:r>
    </w:p>
    <w:p w14:paraId="2FDA3117">
      <w:pPr>
        <w:spacing w:before="12" w:line="400" w:lineRule="exact"/>
        <w:ind w:firstLine="480"/>
        <w:rPr>
          <w:rFonts w:hint="eastAsia" w:ascii="宋体" w:hAnsi="宋体" w:eastAsia="宋体" w:cs="宋体"/>
          <w:b/>
          <w:bCs/>
          <w:color w:val="auto"/>
          <w:sz w:val="21"/>
          <w:szCs w:val="21"/>
          <w:highlight w:val="none"/>
          <w:u w:val="single"/>
          <w:lang w:eastAsia="zh-CN"/>
        </w:rPr>
      </w:pPr>
      <w:r>
        <w:rPr>
          <w:rFonts w:hint="eastAsia" w:ascii="宋体" w:hAnsi="宋体" w:eastAsia="宋体" w:cs="宋体"/>
          <w:b/>
          <w:bCs/>
          <w:color w:val="auto"/>
          <w:sz w:val="21"/>
          <w:szCs w:val="21"/>
          <w:highlight w:val="none"/>
          <w:u w:val="single"/>
          <w:lang w:eastAsia="zh-CN"/>
        </w:rPr>
        <w:t>2.4、实行人工费用与其他工程款分账管理制度，推动农民工工资与工程材料款等相分离，发包人须按时足额按合同约定向农民工工资专用账户存入工资款项，用于支付农民工工资。</w:t>
      </w:r>
    </w:p>
    <w:p w14:paraId="482EE32A">
      <w:pPr>
        <w:spacing w:before="12" w:line="400" w:lineRule="exact"/>
        <w:ind w:firstLine="480"/>
        <w:rPr>
          <w:rFonts w:hint="eastAsia" w:ascii="宋体" w:hAnsi="宋体" w:eastAsia="宋体" w:cs="宋体"/>
          <w:b/>
          <w:bCs/>
          <w:color w:val="auto"/>
          <w:sz w:val="21"/>
          <w:szCs w:val="21"/>
          <w:highlight w:val="none"/>
          <w:u w:val="single"/>
          <w:lang w:eastAsia="zh-CN"/>
        </w:rPr>
      </w:pPr>
      <w:r>
        <w:rPr>
          <w:rFonts w:hint="eastAsia" w:ascii="宋体" w:hAnsi="宋体" w:eastAsia="宋体" w:cs="宋体"/>
          <w:b/>
          <w:bCs/>
          <w:color w:val="auto"/>
          <w:sz w:val="21"/>
          <w:szCs w:val="21"/>
          <w:highlight w:val="none"/>
          <w:u w:val="single"/>
          <w:lang w:eastAsia="zh-CN"/>
        </w:rPr>
        <w:t>2.5、承包人应主动将农民工工资发放情况表报发包人审定。发包人应对承包人实施支付农民工工资情况进行审查。</w:t>
      </w:r>
    </w:p>
    <w:p w14:paraId="4ECC53B0">
      <w:pPr>
        <w:spacing w:before="12" w:line="400" w:lineRule="exact"/>
        <w:ind w:firstLine="480"/>
        <w:rPr>
          <w:rFonts w:hint="eastAsia" w:ascii="宋体" w:hAnsi="宋体" w:eastAsia="宋体" w:cs="宋体"/>
          <w:b/>
          <w:bCs/>
          <w:color w:val="auto"/>
          <w:sz w:val="21"/>
          <w:szCs w:val="21"/>
          <w:highlight w:val="none"/>
          <w:u w:val="single"/>
          <w:lang w:eastAsia="zh-CN"/>
        </w:rPr>
      </w:pPr>
      <w:r>
        <w:rPr>
          <w:rFonts w:hint="eastAsia" w:ascii="宋体" w:hAnsi="宋体" w:eastAsia="宋体" w:cs="宋体"/>
          <w:b/>
          <w:bCs/>
          <w:color w:val="auto"/>
          <w:sz w:val="21"/>
          <w:szCs w:val="21"/>
          <w:highlight w:val="none"/>
          <w:u w:val="single"/>
          <w:lang w:eastAsia="zh-CN"/>
        </w:rPr>
        <w:t>2.6、承包人未按上述2.1、2.2、2.3款规定履行合同义务的，应承担合同违约责任，并向发包人支付实际拖欠农民工工资总额 2 倍的违约金。发包人未按上述2.4款规定履行合同义务的，应承担合同违约责任，并向承包人支付实际拖欠农民工工资总额 2 倍的违约金。</w:t>
      </w:r>
    </w:p>
    <w:p w14:paraId="580885F2">
      <w:pPr>
        <w:spacing w:line="400" w:lineRule="exact"/>
        <w:ind w:firstLine="420"/>
        <w:rPr>
          <w:rFonts w:hint="eastAsia" w:ascii="宋体" w:hAnsi="宋体" w:eastAsia="宋体" w:cs="宋体"/>
          <w:color w:val="auto"/>
          <w:sz w:val="21"/>
          <w:szCs w:val="21"/>
          <w:highlight w:val="none"/>
        </w:rPr>
      </w:pPr>
    </w:p>
    <w:p w14:paraId="4BFA4249">
      <w:pPr>
        <w:spacing w:line="360" w:lineRule="auto"/>
        <w:jc w:val="both"/>
        <w:outlineLvl w:val="1"/>
        <w:rPr>
          <w:rFonts w:hint="eastAsia" w:ascii="宋体" w:hAnsi="宋体" w:eastAsia="宋体" w:cs="宋体"/>
          <w:bCs/>
          <w:color w:val="auto"/>
          <w:sz w:val="21"/>
          <w:szCs w:val="21"/>
          <w:highlight w:val="none"/>
        </w:rPr>
      </w:pPr>
      <w:r>
        <w:rPr>
          <w:rFonts w:hint="eastAsia" w:ascii="宋体" w:hAnsi="宋体" w:eastAsia="宋体" w:cs="宋体"/>
          <w:b/>
          <w:bCs/>
          <w:color w:val="auto"/>
          <w:sz w:val="21"/>
          <w:szCs w:val="21"/>
          <w:highlight w:val="none"/>
        </w:rPr>
        <w:br w:type="page" w:clear="all"/>
      </w:r>
      <w:bookmarkStart w:id="68" w:name="_Toc142379996"/>
      <w:bookmarkStart w:id="69" w:name="_Toc26849"/>
      <w:bookmarkStart w:id="70" w:name="_Toc29949"/>
      <w:r>
        <w:rPr>
          <w:rFonts w:hint="eastAsia" w:ascii="宋体" w:hAnsi="宋体" w:eastAsia="宋体" w:cs="宋体"/>
          <w:color w:val="auto"/>
          <w:sz w:val="21"/>
          <w:szCs w:val="21"/>
          <w:highlight w:val="none"/>
        </w:rPr>
        <w:t>附件1</w:t>
      </w:r>
      <w:r>
        <w:rPr>
          <w:rFonts w:hint="eastAsia" w:ascii="宋体" w:hAnsi="宋体" w:eastAsia="宋体" w:cs="宋体"/>
          <w:color w:val="auto"/>
          <w:sz w:val="21"/>
          <w:szCs w:val="21"/>
          <w:highlight w:val="none"/>
          <w:lang w:val="en-US"/>
        </w:rPr>
        <w:t xml:space="preserve"> </w:t>
      </w:r>
      <w:r>
        <w:rPr>
          <w:rFonts w:hint="eastAsia" w:ascii="宋体" w:hAnsi="宋体" w:eastAsia="宋体" w:cs="宋体"/>
          <w:b/>
          <w:bCs/>
          <w:color w:val="auto"/>
          <w:sz w:val="21"/>
          <w:szCs w:val="21"/>
          <w:highlight w:val="none"/>
          <w:lang w:val="en-US"/>
        </w:rPr>
        <w:t xml:space="preserve">                                     </w:t>
      </w:r>
      <w:r>
        <w:rPr>
          <w:rFonts w:hint="eastAsia" w:ascii="宋体" w:hAnsi="宋体" w:eastAsia="宋体" w:cs="宋体"/>
          <w:bCs/>
          <w:color w:val="auto"/>
          <w:sz w:val="21"/>
          <w:szCs w:val="21"/>
          <w:highlight w:val="none"/>
        </w:rPr>
        <w:t>工程质量保修书</w:t>
      </w:r>
      <w:bookmarkEnd w:id="68"/>
      <w:bookmarkEnd w:id="69"/>
      <w:bookmarkEnd w:id="70"/>
    </w:p>
    <w:p w14:paraId="4F694B78">
      <w:pPr>
        <w:spacing w:line="360" w:lineRule="auto"/>
        <w:ind w:firstLine="48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发包人（全称）：</w:t>
      </w:r>
      <w:r>
        <w:rPr>
          <w:rFonts w:hint="eastAsia" w:ascii="宋体" w:hAnsi="宋体" w:eastAsia="宋体" w:cs="宋体"/>
          <w:color w:val="auto"/>
          <w:sz w:val="21"/>
          <w:szCs w:val="21"/>
          <w:highlight w:val="none"/>
          <w:u w:val="single"/>
          <w:shd w:val="clear" w:color="auto" w:fill="FFFFFF"/>
          <w:lang w:val="zh-TW" w:eastAsia="zh-CN"/>
        </w:rPr>
        <w:t>江苏省江宁监狱</w:t>
      </w:r>
    </w:p>
    <w:p w14:paraId="5ADB11E7">
      <w:pPr>
        <w:spacing w:line="360" w:lineRule="auto"/>
        <w:ind w:firstLine="48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承包人（全称）：</w:t>
      </w:r>
      <w:r>
        <w:rPr>
          <w:rFonts w:hint="eastAsia" w:ascii="宋体" w:hAnsi="宋体" w:eastAsia="宋体" w:cs="宋体"/>
          <w:color w:val="auto"/>
          <w:sz w:val="21"/>
          <w:szCs w:val="21"/>
          <w:highlight w:val="none"/>
          <w:u w:val="single"/>
        </w:rPr>
        <w:t xml:space="preserve">              </w:t>
      </w:r>
    </w:p>
    <w:p w14:paraId="47272ED9">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为保证：</w:t>
      </w:r>
      <w:r>
        <w:rPr>
          <w:rFonts w:hint="eastAsia" w:ascii="宋体" w:hAnsi="宋体" w:eastAsia="宋体" w:cs="宋体"/>
          <w:color w:val="auto"/>
          <w:sz w:val="21"/>
          <w:szCs w:val="21"/>
          <w:highlight w:val="none"/>
          <w:u w:val="single"/>
          <w:lang w:val="zh-TW" w:eastAsia="zh-CN"/>
        </w:rPr>
        <w:t>江宁监狱综合管网维修改造</w:t>
      </w:r>
      <w:r>
        <w:rPr>
          <w:rFonts w:hint="eastAsia" w:ascii="宋体" w:hAnsi="宋体" w:eastAsia="宋体" w:cs="宋体"/>
          <w:color w:val="auto"/>
          <w:sz w:val="21"/>
          <w:szCs w:val="21"/>
          <w:highlight w:val="none"/>
        </w:rPr>
        <w:t>（工程名称）在合理使用期限内正常使用，发包人承包人协商一致签订工程质量保修书。承包人在质量保修期内按照有关管理规定及双方约定承担工程质量保修责任。</w:t>
      </w:r>
    </w:p>
    <w:p w14:paraId="709A9989">
      <w:pPr>
        <w:spacing w:line="360" w:lineRule="auto"/>
        <w:ind w:firstLine="48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一、工程质量保修范围和内容</w:t>
      </w:r>
    </w:p>
    <w:p w14:paraId="291A829D">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质量保修范围包括地基基础工程、主体结构工程、屋面防水工程和双方约定的其他土建工程，以及电气管线、上下水管线的安装工程，供热、供冷系统工程等项目。具体质量保修内容双方约定如下：</w:t>
      </w:r>
    </w:p>
    <w:p w14:paraId="437F0BC4">
      <w:pPr>
        <w:spacing w:line="360" w:lineRule="auto"/>
        <w:ind w:firstLine="48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质量保修期依据国务院 2000 年 1 月 30 日颁发的 279 号令执行，其余按投标书承诺及双方协商约定。</w:t>
      </w:r>
    </w:p>
    <w:p w14:paraId="6EC95405">
      <w:pPr>
        <w:spacing w:line="360" w:lineRule="auto"/>
        <w:ind w:firstLine="48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二、质量保修期</w:t>
      </w:r>
    </w:p>
    <w:p w14:paraId="67D2AD0A">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质量保修期从工程实际竣工之日算起。分单项竣工验收的工程，按单项工程分别算质量保修期。</w:t>
      </w:r>
    </w:p>
    <w:p w14:paraId="65F4932C">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双方根据国家有关规定，结合具体工程约定质量保修期如下：</w:t>
      </w:r>
    </w:p>
    <w:p w14:paraId="2F87B18C">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1.安装工程为</w:t>
      </w:r>
      <w:r>
        <w:rPr>
          <w:rFonts w:hint="eastAsia" w:ascii="宋体" w:hAnsi="宋体" w:eastAsia="宋体" w:cs="宋体"/>
          <w:color w:val="auto"/>
          <w:sz w:val="21"/>
          <w:szCs w:val="21"/>
          <w:highlight w:val="none"/>
          <w:u w:val="single"/>
        </w:rPr>
        <w:t xml:space="preserve"> 2 </w:t>
      </w:r>
      <w:r>
        <w:rPr>
          <w:rFonts w:hint="eastAsia" w:ascii="宋体" w:hAnsi="宋体" w:eastAsia="宋体" w:cs="宋体"/>
          <w:color w:val="auto"/>
          <w:sz w:val="21"/>
          <w:szCs w:val="21"/>
          <w:highlight w:val="none"/>
        </w:rPr>
        <w:t xml:space="preserve">年，屋面防水工程为 </w:t>
      </w:r>
      <w:r>
        <w:rPr>
          <w:rFonts w:hint="eastAsia" w:ascii="宋体" w:hAnsi="宋体" w:eastAsia="宋体" w:cs="宋体"/>
          <w:color w:val="auto"/>
          <w:sz w:val="21"/>
          <w:szCs w:val="21"/>
          <w:highlight w:val="none"/>
          <w:u w:val="single"/>
        </w:rPr>
        <w:t>5</w:t>
      </w:r>
      <w:r>
        <w:rPr>
          <w:rFonts w:hint="eastAsia" w:ascii="宋体" w:hAnsi="宋体" w:eastAsia="宋体" w:cs="宋体"/>
          <w:color w:val="auto"/>
          <w:sz w:val="21"/>
          <w:szCs w:val="21"/>
          <w:highlight w:val="none"/>
        </w:rPr>
        <w:t xml:space="preserve"> 年；</w:t>
      </w:r>
    </w:p>
    <w:p w14:paraId="2347ABFF">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2.电气管线、上下水管线安装工程为</w:t>
      </w:r>
      <w:r>
        <w:rPr>
          <w:rFonts w:hint="eastAsia" w:ascii="宋体" w:hAnsi="宋体" w:eastAsia="宋体" w:cs="宋体"/>
          <w:color w:val="auto"/>
          <w:sz w:val="21"/>
          <w:szCs w:val="21"/>
          <w:highlight w:val="none"/>
          <w:u w:val="single"/>
        </w:rPr>
        <w:t xml:space="preserve"> 2 </w:t>
      </w:r>
      <w:r>
        <w:rPr>
          <w:rFonts w:hint="eastAsia" w:ascii="宋体" w:hAnsi="宋体" w:eastAsia="宋体" w:cs="宋体"/>
          <w:color w:val="auto"/>
          <w:sz w:val="21"/>
          <w:szCs w:val="21"/>
          <w:highlight w:val="none"/>
        </w:rPr>
        <w:t>年；</w:t>
      </w:r>
    </w:p>
    <w:p w14:paraId="213AFAFB">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3.供热及供冷为 </w:t>
      </w:r>
      <w:r>
        <w:rPr>
          <w:rFonts w:hint="eastAsia" w:ascii="宋体" w:hAnsi="宋体" w:eastAsia="宋体" w:cs="宋体"/>
          <w:color w:val="auto"/>
          <w:sz w:val="21"/>
          <w:szCs w:val="21"/>
          <w:highlight w:val="none"/>
          <w:u w:val="single"/>
        </w:rPr>
        <w:t xml:space="preserve">2 </w:t>
      </w:r>
      <w:r>
        <w:rPr>
          <w:rFonts w:hint="eastAsia" w:ascii="宋体" w:hAnsi="宋体" w:eastAsia="宋体" w:cs="宋体"/>
          <w:color w:val="auto"/>
          <w:sz w:val="21"/>
          <w:szCs w:val="21"/>
          <w:highlight w:val="none"/>
        </w:rPr>
        <w:t>个采暖期及供冷期；</w:t>
      </w:r>
    </w:p>
    <w:p w14:paraId="2B74D6AD">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4.室外的上下水和小区道路等市政公用工程为 </w:t>
      </w:r>
      <w:r>
        <w:rPr>
          <w:rFonts w:hint="eastAsia" w:ascii="宋体" w:hAnsi="宋体" w:eastAsia="宋体" w:cs="宋体"/>
          <w:color w:val="auto"/>
          <w:sz w:val="21"/>
          <w:szCs w:val="21"/>
          <w:highlight w:val="none"/>
          <w:u w:val="single"/>
        </w:rPr>
        <w:t xml:space="preserve">2 </w:t>
      </w:r>
      <w:r>
        <w:rPr>
          <w:rFonts w:hint="eastAsia" w:ascii="宋体" w:hAnsi="宋体" w:eastAsia="宋体" w:cs="宋体"/>
          <w:color w:val="auto"/>
          <w:sz w:val="21"/>
          <w:szCs w:val="21"/>
          <w:highlight w:val="none"/>
        </w:rPr>
        <w:t>年；</w:t>
      </w:r>
    </w:p>
    <w:p w14:paraId="10A077EF">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5.其他约定：</w:t>
      </w:r>
      <w:r>
        <w:rPr>
          <w:rFonts w:hint="eastAsia" w:ascii="宋体" w:hAnsi="宋体" w:eastAsia="宋体" w:cs="宋体"/>
          <w:color w:val="auto"/>
          <w:sz w:val="21"/>
          <w:szCs w:val="21"/>
          <w:highlight w:val="none"/>
          <w:u w:val="single"/>
        </w:rPr>
        <w:t>按国家现行规定。</w:t>
      </w:r>
    </w:p>
    <w:p w14:paraId="2F450050">
      <w:pPr>
        <w:spacing w:line="360" w:lineRule="auto"/>
        <w:ind w:firstLine="48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三、质量保修责任</w:t>
      </w:r>
    </w:p>
    <w:p w14:paraId="3D9406FF">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1.属于保修范围和内容的项目，承包人应在接到修理通知之日后 7 天内派人修理。承包人不在约定期限内，派人修理，发包人可委托其他人员修理，保修费用从质量保修金内扣除。</w:t>
      </w:r>
    </w:p>
    <w:p w14:paraId="4ACCDA2A">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2.发生须紧急抢修事故(如上水跑水、暖气漏水漏气、燃气漏气等)，承包人接到事故通知后，应立即到达事故现场抢修。非承包人施工质量引起的事故，抢修费用由发包人承担。</w:t>
      </w:r>
    </w:p>
    <w:p w14:paraId="7A30DDA9">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3.在国家规定的工程合理使用期限内，承包人确保地基基础工程和主体结构的质量。因承包人原因致使工程在合理使用期限内造成人身和财产损害的，承包人应承担损害赔偿责任。</w:t>
      </w:r>
    </w:p>
    <w:p w14:paraId="0DF47313">
      <w:pPr>
        <w:spacing w:line="360" w:lineRule="auto"/>
        <w:ind w:firstLine="48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四、质量保修金的支付</w:t>
      </w:r>
    </w:p>
    <w:p w14:paraId="1535BCFF">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本工程约定的工程质量保修金为结算审计价款的 </w:t>
      </w:r>
      <w:r>
        <w:rPr>
          <w:rFonts w:hint="eastAsia" w:ascii="宋体" w:hAnsi="宋体" w:eastAsia="宋体" w:cs="宋体"/>
          <w:color w:val="auto"/>
          <w:sz w:val="21"/>
          <w:szCs w:val="21"/>
          <w:highlight w:val="none"/>
          <w:u w:val="single"/>
        </w:rPr>
        <w:t xml:space="preserve">3％ </w:t>
      </w:r>
      <w:r>
        <w:rPr>
          <w:rFonts w:hint="eastAsia" w:ascii="宋体" w:hAnsi="宋体" w:eastAsia="宋体" w:cs="宋体"/>
          <w:color w:val="auto"/>
          <w:sz w:val="21"/>
          <w:szCs w:val="21"/>
          <w:highlight w:val="none"/>
        </w:rPr>
        <w:t>。</w:t>
      </w:r>
    </w:p>
    <w:p w14:paraId="75846C7A">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本工程双方约定承包人向发包人支付工程质量保修金金额为：</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（大写）￥</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元，。质量保修金银行利率为</w:t>
      </w:r>
      <w:r>
        <w:rPr>
          <w:rFonts w:hint="eastAsia" w:ascii="宋体" w:hAnsi="宋体" w:eastAsia="宋体" w:cs="宋体"/>
          <w:color w:val="auto"/>
          <w:sz w:val="21"/>
          <w:szCs w:val="21"/>
          <w:highlight w:val="none"/>
          <w:u w:val="single"/>
        </w:rPr>
        <w:t xml:space="preserve"> 不计 </w:t>
      </w:r>
      <w:r>
        <w:rPr>
          <w:rFonts w:hint="eastAsia" w:ascii="宋体" w:hAnsi="宋体" w:eastAsia="宋体" w:cs="宋体"/>
          <w:color w:val="auto"/>
          <w:sz w:val="21"/>
          <w:szCs w:val="21"/>
          <w:highlight w:val="none"/>
        </w:rPr>
        <w:t>。</w:t>
      </w:r>
    </w:p>
    <w:p w14:paraId="49C9BD25">
      <w:pPr>
        <w:spacing w:line="360" w:lineRule="auto"/>
        <w:ind w:firstLine="48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五、质量保修金的返还</w:t>
      </w:r>
    </w:p>
    <w:p w14:paraId="68B9598C">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工程缺陷责任期为</w:t>
      </w:r>
      <w:r>
        <w:rPr>
          <w:rFonts w:hint="eastAsia" w:ascii="宋体" w:hAnsi="宋体" w:eastAsia="宋体" w:cs="宋体"/>
          <w:color w:val="auto"/>
          <w:sz w:val="21"/>
          <w:szCs w:val="21"/>
          <w:highlight w:val="none"/>
          <w:lang w:val="en-US" w:eastAsia="zh-CN"/>
        </w:rPr>
        <w:t>24个月</w:t>
      </w:r>
      <w:r>
        <w:rPr>
          <w:rFonts w:hint="eastAsia" w:ascii="宋体" w:hAnsi="宋体" w:eastAsia="宋体" w:cs="宋体"/>
          <w:color w:val="auto"/>
          <w:sz w:val="21"/>
          <w:szCs w:val="21"/>
          <w:highlight w:val="none"/>
        </w:rPr>
        <w:t>，缺陷责任期自工程实际竣工之日起计算。单位工程先于全部工程进行验收，单位工程缺陷责任期自单位工程验收合格之日起算。缺陷责任期终止后，发包人应退还剩余的质量保证金。</w:t>
      </w:r>
    </w:p>
    <w:p w14:paraId="25D2F928">
      <w:pPr>
        <w:spacing w:line="360" w:lineRule="auto"/>
        <w:ind w:firstLine="48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六、其他</w:t>
      </w:r>
    </w:p>
    <w:p w14:paraId="7A5FFF16">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双方约定的其他工程质量保修事项：</w:t>
      </w:r>
      <w:r>
        <w:rPr>
          <w:rFonts w:hint="eastAsia" w:ascii="宋体" w:hAnsi="宋体" w:eastAsia="宋体" w:cs="宋体"/>
          <w:color w:val="auto"/>
          <w:sz w:val="21"/>
          <w:szCs w:val="21"/>
          <w:highlight w:val="none"/>
          <w:u w:val="single"/>
        </w:rPr>
        <w:t xml:space="preserve"> 有规定按规定，无规定双方协商解决。</w:t>
      </w:r>
    </w:p>
    <w:p w14:paraId="55E17DF6">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本工程质量保修书作为施工合同附件，由施工合同发包人承包人双方共同签署。</w:t>
      </w:r>
    </w:p>
    <w:p w14:paraId="2E8614B7">
      <w:pPr>
        <w:spacing w:line="360" w:lineRule="auto"/>
        <w:ind w:firstLine="480"/>
        <w:rPr>
          <w:rFonts w:hint="eastAsia" w:ascii="宋体" w:hAnsi="宋体" w:eastAsia="宋体" w:cs="宋体"/>
          <w:color w:val="auto"/>
          <w:sz w:val="21"/>
          <w:szCs w:val="21"/>
          <w:highlight w:val="none"/>
        </w:rPr>
      </w:pPr>
    </w:p>
    <w:p w14:paraId="4028F6FF">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（本页为签署页）</w:t>
      </w:r>
    </w:p>
    <w:p w14:paraId="267222F4">
      <w:pPr>
        <w:spacing w:line="360" w:lineRule="auto"/>
        <w:ind w:firstLine="480"/>
        <w:rPr>
          <w:rFonts w:hint="eastAsia" w:ascii="宋体" w:hAnsi="宋体" w:eastAsia="宋体" w:cs="宋体"/>
          <w:color w:val="auto"/>
          <w:sz w:val="21"/>
          <w:szCs w:val="21"/>
          <w:highlight w:val="none"/>
        </w:rPr>
      </w:pPr>
    </w:p>
    <w:p w14:paraId="7F4A660A">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 包 人(盖章)：                               承 包 人(盖章)：</w:t>
      </w:r>
    </w:p>
    <w:p w14:paraId="4469651F">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法定代表人(签章)：                             法定代表人(签章)：</w:t>
      </w:r>
    </w:p>
    <w:p w14:paraId="2348758C">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年 月 日                                      年 月 日</w:t>
      </w:r>
    </w:p>
    <w:p w14:paraId="3E9FC7D0">
      <w:pPr>
        <w:spacing w:line="360" w:lineRule="auto"/>
        <w:ind w:firstLine="480"/>
        <w:rPr>
          <w:rFonts w:hint="eastAsia" w:ascii="宋体" w:hAnsi="宋体" w:eastAsia="宋体" w:cs="宋体"/>
          <w:color w:val="auto"/>
          <w:sz w:val="21"/>
          <w:szCs w:val="21"/>
          <w:highlight w:val="none"/>
        </w:rPr>
      </w:pPr>
    </w:p>
    <w:p w14:paraId="3A309938">
      <w:pPr>
        <w:spacing w:line="360" w:lineRule="auto"/>
        <w:jc w:val="both"/>
        <w:outlineLvl w:val="1"/>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br w:type="page" w:clear="all"/>
      </w:r>
      <w:bookmarkStart w:id="71" w:name="_Toc30207"/>
      <w:bookmarkStart w:id="72" w:name="_Toc25154"/>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val="en-US"/>
        </w:rPr>
        <w:t xml:space="preserve">2                                </w:t>
      </w:r>
      <w:r>
        <w:rPr>
          <w:rFonts w:hint="eastAsia" w:ascii="宋体" w:hAnsi="宋体" w:eastAsia="宋体" w:cs="宋体"/>
          <w:bCs/>
          <w:color w:val="auto"/>
          <w:sz w:val="21"/>
          <w:szCs w:val="21"/>
          <w:highlight w:val="none"/>
        </w:rPr>
        <w:t>不拖欠农民工工资承诺书</w:t>
      </w:r>
      <w:bookmarkEnd w:id="71"/>
      <w:bookmarkEnd w:id="72"/>
    </w:p>
    <w:p w14:paraId="544A728F">
      <w:pPr>
        <w:spacing w:line="360" w:lineRule="auto"/>
        <w:ind w:firstLine="480"/>
        <w:rPr>
          <w:rFonts w:hint="eastAsia" w:ascii="宋体" w:hAnsi="宋体" w:eastAsia="宋体" w:cs="宋体"/>
          <w:color w:val="auto"/>
          <w:sz w:val="21"/>
          <w:szCs w:val="21"/>
          <w:highlight w:val="none"/>
        </w:rPr>
      </w:pPr>
    </w:p>
    <w:p w14:paraId="47EF9926">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shd w:val="clear" w:color="auto" w:fill="FFFFFF"/>
          <w:lang w:val="zh-TW" w:eastAsia="zh-CN"/>
        </w:rPr>
        <w:t>江苏省江宁监狱</w:t>
      </w:r>
      <w:r>
        <w:rPr>
          <w:rFonts w:hint="eastAsia" w:ascii="宋体" w:hAnsi="宋体" w:eastAsia="宋体" w:cs="宋体"/>
          <w:color w:val="auto"/>
          <w:sz w:val="21"/>
          <w:szCs w:val="21"/>
          <w:highlight w:val="none"/>
        </w:rPr>
        <w:t>：</w:t>
      </w:r>
    </w:p>
    <w:p w14:paraId="5F63D01C">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如我公司成交</w:t>
      </w:r>
      <w:r>
        <w:rPr>
          <w:rFonts w:hint="eastAsia" w:ascii="宋体" w:hAnsi="宋体" w:eastAsia="宋体" w:cs="宋体"/>
          <w:color w:val="auto"/>
          <w:sz w:val="21"/>
          <w:szCs w:val="21"/>
          <w:highlight w:val="none"/>
          <w:u w:val="single"/>
          <w:lang w:val="en-US" w:eastAsia="zh-CN"/>
        </w:rPr>
        <w:t>江宁监狱综合管网维修改造</w:t>
      </w:r>
      <w:r>
        <w:rPr>
          <w:rFonts w:hint="eastAsia" w:ascii="宋体" w:hAnsi="宋体" w:eastAsia="宋体" w:cs="宋体"/>
          <w:color w:val="auto"/>
          <w:sz w:val="21"/>
          <w:szCs w:val="21"/>
          <w:highlight w:val="none"/>
        </w:rPr>
        <w:t>（工程项目名称），在工程施工期间及竣工验收后，保证按时按期足额支付所有建筑工人及农民工工资，如有违反，将承担由此发生的和可能带来的一切后果和费用，采购人有权扣除相应的款项代为支付。</w:t>
      </w:r>
    </w:p>
    <w:p w14:paraId="34102C67">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特此承诺</w:t>
      </w:r>
    </w:p>
    <w:p w14:paraId="39D92FCC">
      <w:pPr>
        <w:spacing w:line="360" w:lineRule="auto"/>
        <w:ind w:firstLine="480"/>
        <w:rPr>
          <w:rFonts w:hint="eastAsia" w:ascii="宋体" w:hAnsi="宋体" w:eastAsia="宋体" w:cs="宋体"/>
          <w:color w:val="auto"/>
          <w:sz w:val="21"/>
          <w:szCs w:val="21"/>
          <w:highlight w:val="none"/>
        </w:rPr>
      </w:pPr>
    </w:p>
    <w:p w14:paraId="27630C23">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 xml:space="preserve">                            供应商名称（盖章）：</w:t>
      </w:r>
    </w:p>
    <w:p w14:paraId="7BDEB26F">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 xml:space="preserve">                                          日期：</w:t>
      </w:r>
    </w:p>
    <w:p w14:paraId="692DF3C1">
      <w:pPr>
        <w:spacing w:line="360" w:lineRule="auto"/>
        <w:ind w:firstLine="480"/>
        <w:rPr>
          <w:rFonts w:hint="eastAsia" w:ascii="宋体" w:hAnsi="宋体" w:eastAsia="宋体" w:cs="宋体"/>
          <w:color w:val="auto"/>
          <w:sz w:val="21"/>
          <w:szCs w:val="21"/>
          <w:highlight w:val="none"/>
        </w:rPr>
      </w:pPr>
    </w:p>
    <w:p w14:paraId="7B009C47">
      <w:pPr>
        <w:keepNext/>
        <w:keepLines/>
        <w:widowControl w:val="0"/>
        <w:spacing w:before="360" w:after="200" w:line="360" w:lineRule="auto"/>
        <w:jc w:val="both"/>
        <w:outlineLvl w:val="1"/>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lang w:val="en-US" w:eastAsia="en-US" w:bidi="ar-SA"/>
        </w:rPr>
        <w:br w:type="page" w:clear="all"/>
      </w:r>
      <w:bookmarkStart w:id="73" w:name="_Toc20281"/>
      <w:bookmarkStart w:id="74" w:name="_Toc19997"/>
      <w:r>
        <w:rPr>
          <w:rFonts w:hint="eastAsia" w:ascii="宋体" w:hAnsi="宋体" w:eastAsia="宋体" w:cs="宋体"/>
          <w:color w:val="auto"/>
          <w:sz w:val="21"/>
          <w:szCs w:val="21"/>
          <w:highlight w:val="none"/>
          <w:lang w:val="en-US" w:eastAsia="en-US" w:bidi="ar-SA"/>
        </w:rPr>
        <w:t>附件3                                          廉洁合同</w:t>
      </w:r>
      <w:bookmarkEnd w:id="73"/>
      <w:bookmarkEnd w:id="74"/>
    </w:p>
    <w:p w14:paraId="2A0BA7AC">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eastAsia="zh-CN"/>
        </w:rPr>
        <w:t>江苏省江宁监狱</w:t>
      </w:r>
      <w:r>
        <w:rPr>
          <w:rFonts w:hint="eastAsia" w:ascii="宋体" w:hAnsi="宋体" w:eastAsia="宋体" w:cs="宋体"/>
          <w:bCs/>
          <w:color w:val="auto"/>
          <w:sz w:val="21"/>
          <w:szCs w:val="21"/>
          <w:highlight w:val="none"/>
          <w:u w:val="single"/>
        </w:rPr>
        <w:t xml:space="preserve">       </w:t>
      </w:r>
    </w:p>
    <w:p w14:paraId="087750C2">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w:t>
      </w:r>
      <w:r>
        <w:rPr>
          <w:rFonts w:hint="eastAsia" w:ascii="宋体" w:hAnsi="宋体" w:eastAsia="宋体" w:cs="宋体"/>
          <w:bCs/>
          <w:color w:val="auto"/>
          <w:sz w:val="21"/>
          <w:szCs w:val="21"/>
          <w:highlight w:val="none"/>
          <w:u w:val="single"/>
        </w:rPr>
        <w:t xml:space="preserve">                       </w:t>
      </w:r>
    </w:p>
    <w:p w14:paraId="2F82D14E">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为防止国有资源交易活动中各种不正当行为发生，确保项目交易公开、公正、 公平，根据廉政建设的相关规定，结合国有资源交易工作特点，特订立本合同如下：</w:t>
      </w:r>
    </w:p>
    <w:p w14:paraId="27366273">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一、甲乙双方应当自觉遵守国家和所在地区关于招投标及政府采购的相关规定和廉政建设的各项规定。</w:t>
      </w:r>
    </w:p>
    <w:p w14:paraId="300C3AE1">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二、甲方及相关工作人员不得以任何形式向乙方索要和收受回扣等好处费。</w:t>
      </w:r>
    </w:p>
    <w:p w14:paraId="220E6D63">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三、甲方相关工作人员应当保持与乙方的正常业务交往，不得接受乙方的礼金、有价证券和贵重物品，不得在乙方报销任何应由个人支付的费用，不得参加可能对公正履约有影响的宴请和娱乐活动。</w:t>
      </w:r>
    </w:p>
    <w:p w14:paraId="6D5B6370">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四、甲方相关工作人员不得要求或者接受乙方为其住房装修、婚丧嫁娶、家属和子女的工作安排以及出国提供方便或服务。</w:t>
      </w:r>
    </w:p>
    <w:p w14:paraId="2E8E72C3">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五、甲方相关工作人员不得向乙方介绍家属或者亲友从事与甲方招标（采购） 有关的服务、货物供应、工程分包等经济活动。</w:t>
      </w:r>
    </w:p>
    <w:p w14:paraId="068AA8C2">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六、乙方应当通过正常途径开展相对业务工作，不得为获取某些不正当利益而向甲方相关工作人员赠送礼金、有价证券和贵重物品等。</w:t>
      </w:r>
    </w:p>
    <w:p w14:paraId="5612A301">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七、乙方不得为谋取私利与甲方相关工作人员就中标（成交）甲方招标（采购）项目等进行私下商谈或者达成默契。</w:t>
      </w:r>
    </w:p>
    <w:p w14:paraId="79D103E7">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八、乙方不得以洽谈业务、签订经济合同为借口，邀请甲方相关工作人员外出旅游和进入营业性高档娱乐场所。</w:t>
      </w:r>
    </w:p>
    <w:p w14:paraId="44676972">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九、乙方不得为甲方单位和个人购置或者提供通讯工具、交通工具、家电、 高档办公用品等物品。</w:t>
      </w:r>
    </w:p>
    <w:p w14:paraId="04E140CC">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 乙方发现甲方相关工作人员有违反上述协议者，应及时向甲方纪检监察部门或者甲方上级单位反映，有义务积极支持配合甲方纪检监察部门调查处理工作。</w:t>
      </w:r>
    </w:p>
    <w:p w14:paraId="5D5708BD">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十一、甲方发现乙方有违反本协议或者采取不正当的手段行贿甲方相关工作人员，甲方可以根据具体情节和造成的后果采取以下措施：</w:t>
      </w:r>
    </w:p>
    <w:p w14:paraId="2BDDAB18">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1.责令乙方限期整改；</w:t>
      </w:r>
    </w:p>
    <w:p w14:paraId="367FB59F">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2.终止与乙方的合作；</w:t>
      </w:r>
    </w:p>
    <w:p w14:paraId="5727A5B0">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3.终止合同，将乙方列入本单位招标“黑名单” 。</w:t>
      </w:r>
    </w:p>
    <w:p w14:paraId="55C934EC">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十二、本廉洁合同作为项目 成交合同的附件，与成交合同具有同等法律效力。 经协议双方签署后立即生效。</w:t>
      </w:r>
    </w:p>
    <w:p w14:paraId="67686C76">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十三、本合同一式二份，甲、乙双方各持一份。</w:t>
      </w:r>
    </w:p>
    <w:p w14:paraId="46313F69">
      <w:pPr>
        <w:spacing w:line="360" w:lineRule="auto"/>
        <w:ind w:firstLine="480"/>
        <w:rPr>
          <w:rFonts w:hint="eastAsia" w:ascii="宋体" w:hAnsi="宋体" w:eastAsia="宋体" w:cs="宋体"/>
          <w:color w:val="auto"/>
          <w:sz w:val="21"/>
          <w:szCs w:val="21"/>
          <w:highlight w:val="none"/>
        </w:rPr>
      </w:pPr>
    </w:p>
    <w:p w14:paraId="48E16CA0">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甲方(公章)：                        乙方(公章)：</w:t>
      </w:r>
    </w:p>
    <w:p w14:paraId="071260D1">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法定代表人或委                      法定代表人或委</w:t>
      </w:r>
    </w:p>
    <w:p w14:paraId="29B9245D">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托代理人(签字)：                    托代理人(签字)：</w:t>
      </w:r>
    </w:p>
    <w:p w14:paraId="06276F0C">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签订日期:     年    月    日        签订日期:     年    月    日</w:t>
      </w:r>
    </w:p>
    <w:p w14:paraId="694C2A3C">
      <w:pPr>
        <w:spacing w:line="360" w:lineRule="auto"/>
        <w:ind w:firstLine="480"/>
        <w:rPr>
          <w:rFonts w:hint="eastAsia" w:ascii="宋体" w:hAnsi="宋体" w:eastAsia="宋体" w:cs="宋体"/>
          <w:color w:val="auto"/>
          <w:sz w:val="21"/>
          <w:szCs w:val="21"/>
          <w:highlight w:val="none"/>
        </w:rPr>
      </w:pPr>
    </w:p>
    <w:p w14:paraId="010E5510">
      <w:pPr>
        <w:keepNext/>
        <w:keepLines/>
        <w:widowControl w:val="0"/>
        <w:spacing w:before="360" w:after="200" w:line="360" w:lineRule="auto"/>
        <w:jc w:val="both"/>
        <w:outlineLvl w:val="1"/>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lang w:val="en-US" w:eastAsia="en-US" w:bidi="ar-SA"/>
        </w:rPr>
        <w:br w:type="page" w:clear="all"/>
      </w:r>
      <w:bookmarkStart w:id="75" w:name="_Toc31366"/>
      <w:bookmarkStart w:id="76" w:name="_Toc5305"/>
      <w:r>
        <w:rPr>
          <w:rFonts w:hint="eastAsia" w:ascii="宋体" w:hAnsi="宋体" w:eastAsia="宋体" w:cs="宋体"/>
          <w:color w:val="auto"/>
          <w:sz w:val="21"/>
          <w:szCs w:val="21"/>
          <w:highlight w:val="none"/>
          <w:lang w:val="en-US" w:eastAsia="en-US" w:bidi="ar-SA"/>
        </w:rPr>
        <w:t>附件4                                         安全协议</w:t>
      </w:r>
      <w:bookmarkEnd w:id="75"/>
      <w:bookmarkEnd w:id="76"/>
    </w:p>
    <w:p w14:paraId="2E783452">
      <w:pPr>
        <w:spacing w:line="360" w:lineRule="auto"/>
        <w:ind w:firstLine="48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 xml:space="preserve">甲方： </w:t>
      </w:r>
      <w:r>
        <w:rPr>
          <w:rFonts w:hint="eastAsia" w:ascii="宋体" w:hAnsi="宋体" w:eastAsia="宋体" w:cs="宋体"/>
          <w:color w:val="auto"/>
          <w:sz w:val="21"/>
          <w:szCs w:val="21"/>
          <w:highlight w:val="none"/>
          <w:lang w:eastAsia="zh-CN"/>
        </w:rPr>
        <w:t>江苏省江宁监狱</w:t>
      </w:r>
    </w:p>
    <w:p w14:paraId="356F8FD1">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w:t>
      </w:r>
    </w:p>
    <w:p w14:paraId="738F64DC">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了安全生产，消除监狱隐患，调整甲乙双方民商事关系中所涉安全事项，根据《中华人民共和国民法典》《中华人民共和国安全生产法》《中华人民共和国建筑法》《中华人民共和国监狱法》《中华人民共和国消防法》《中华人民共和国刑法》等法律以及相关的行政法规、行政规章，签定如下安全生产协议，作为主合同的附件。</w:t>
      </w:r>
    </w:p>
    <w:p w14:paraId="09D7674E">
      <w:pPr>
        <w:spacing w:line="360" w:lineRule="auto"/>
        <w:ind w:firstLine="48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一、甲方责任</w:t>
      </w:r>
    </w:p>
    <w:p w14:paraId="35D4D55D">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1.审核乙方的相应资质。</w:t>
      </w:r>
    </w:p>
    <w:p w14:paraId="4FDEA165">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2.审核乙方的施工组织设计/方案。</w:t>
      </w:r>
    </w:p>
    <w:p w14:paraId="710980E3">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3.提供施工作业过程中的用水、用电等必要设施，但具体使用水、电等设施设备的作业由乙方负责管理。</w:t>
      </w:r>
    </w:p>
    <w:p w14:paraId="016814E3">
      <w:pPr>
        <w:spacing w:line="360" w:lineRule="auto"/>
        <w:ind w:firstLine="48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二、乙方责任</w:t>
      </w:r>
    </w:p>
    <w:p w14:paraId="510663AF">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应具有完全民事权利能力和完全民事行为能力。无论是自然人、法人、其他组织，乙方都须依法取得相应的经营资质，法律法规要求取得许可、批准、备案手续的，从其规定。乙方从事的作业不得转包及违法分包，否则视为乙方违约，由此导致的安全责任由乙方承担。</w:t>
      </w:r>
    </w:p>
    <w:p w14:paraId="75CA4DDA">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遵守劳动法律法规，包括但不限于《劳动法》《劳动合同法》《社会保险法》《工伤保险条例》等，防止侵犯或损害劳动者权益，减损对劳动者的安全保护。否则导致的纠纷，包括人身损害、财产损失均由乙方承担。</w:t>
      </w:r>
    </w:p>
    <w:p w14:paraId="3609DD25">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应合法用工用人，签订劳动合同，缴纳社会保险，履行《劳动合同法》中的义务。所聘用的员工是通过合法招工，身体健康、无重大疾病，无犯罪记录、无从事其他危害国家安全活动并签订劳动合同的正式员工。员工已缴纳社会保险金、公积金，并足额发放工资、福利、加班费等费用，与乙方不存在任何纠纷。否则乙方应承担用工主体责任。</w:t>
      </w:r>
    </w:p>
    <w:p w14:paraId="4817904B">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与乙方具有劳动关系、劳务关系、分包关系、雇佣关系、无偿帮工关系等人员，乙方均负有教育培训、安全技术交底、督促配戴安全防护用品等安全管理责任，造成人身损害、财产损失的由乙方承担赔偿、补偿的责任。</w:t>
      </w:r>
    </w:p>
    <w:p w14:paraId="0AF3C03D">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5.乙方应按照《传染病防治法》的规定做好传染病防治工作，落实国家、地方新冠肺炎疫情防控措施要求。严禁安排发热、身体不适人员进入甲方工作区域。</w:t>
      </w:r>
    </w:p>
    <w:p w14:paraId="49474827">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乙方应确保从事特种作业的人员，符合《特种作业人员安全技术培训考核管理规定》的规定，依法取得《中华人民共和国特种作业操作证》后，方可上岗作业。中、小型机械的操作人员必须按规定做到“定机定人”和有证操作；起重吊装作业人员必须遵守“十不吊”规定，严禁违章、无证操作；严禁不懂电器、机械的人擅自操作使用电器、机械设备。不得伪造、涂改、转借、转让、冒用特种作业操作证或使用伪造的特种作业操作证上岗作业。</w:t>
      </w:r>
    </w:p>
    <w:p w14:paraId="5ADEDFA0">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乙方从事危险作业时，应遵守相关法律法规，根据危害风险制定作业方案、安全防范措施和应急处置方案，确认现场作业条件符合安全作业要求，确认作业单位的作业资质、作业人员的上岗资格以及配备的劳动防护用品符合安全作业要求，配备相应的安全设施，采取安全防范措施，设置作业现场的安全区域，确定专人现场统一指挥和监督，在危险作业前向作业人员说明危险因素、作业安全要求和应急措施，并经双方签字确认，发现直接危及人身安全的紧急情况时，采取应急措施，停止作业，撤出人员。发生事故时，应当立即停止作业，保护现场，造成伤亡的应立即抢救伤亡人员，并及时向甲方及相关部门报告，甲方予以协助抢救伤亡人员，并提供便利；未造成伤亡的，仅造成财产损失的，事实清楚责任明晰的，应及时留存证据，报告交通管理部门、安全管理部门后，撤离现场恢复作业。乙方使用特种设备时，应当遵守法律法规，确保设备完好、安全。</w:t>
      </w:r>
    </w:p>
    <w:p w14:paraId="7CAFFE91">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8.乙方应设置专职安全管理人员，负责检查作业现场安全，每日做好作业人员的安全教育，检查设备、工具符合安全要求和处于安全状态，监督作业人员的防护用具的佩戴，并将每日检查内容登记。</w:t>
      </w:r>
    </w:p>
    <w:p w14:paraId="2C3D8D99">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9.要认真勘察现场，乙方进场后首先必须做好施工现场安全防护，并在作业危险场所和设施处设置醒目的标识，安排专门人员进行交通路面、门禁的安全管理，防止闲杂人员进入施工现场。</w:t>
      </w:r>
    </w:p>
    <w:p w14:paraId="41B64B3A">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各种设备、车辆、工程机械应按相关规定进行登记，符合安全技术检验标准并取得相关合格证书，严格按照规定的用途和条件使用。使用中遵守《道路交通安全法》的规定，在甲方区域内行驶时不得超过10公里/小时，在停泊作业时应设置显著警示标志，采取专人疏导、限行、禁止通行等手段保证作业安全。</w:t>
      </w:r>
    </w:p>
    <w:p w14:paraId="768AC106">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组织完成作业的设计、采购、施工等。乙方应制定施工组织设计/方案，并报甲方、监理审批，施工过程中应严格按照施工组织设计/方案组织，不得随意更改设计方案。安排足额的人员按时完成作业进度，在作业时不得赶工作业、加班作业、疲劳作业。</w:t>
      </w:r>
    </w:p>
    <w:p w14:paraId="63B7E9F8">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12.配件、材料的采购、使用需符合健康、环保、无毒无害的规定，不得使用不符合国家标准、行业标准、地方标准的材料。</w:t>
      </w:r>
    </w:p>
    <w:p w14:paraId="1953F5B1">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乙方必须严格执行各类防火防爆制度，易燃易爆场所严禁吸烟及动用明火，消防器材不准挪作他用。电焊、气割作业应按规定办理动火审批手续，严格遵守“十不烧”规定，严禁使用电炉。冬季作业必须采用明火加热的防冻措施时，应取得防火主管人员同意，落实防火、防中毒措施，并指派专人值班。</w:t>
      </w:r>
    </w:p>
    <w:p w14:paraId="58E6F332">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乙方需用甲方提供的电气设备，在使用前应先进行检测，并做好检测记录，如不符合安全规定的应及时向甲方提出，及时进行维修、更换，在检测安全后方可使用。违反本规定或不经甲方许可，擅自乱拉电气线路造成后果的均由乙方负责。乙方配电系统必须有专人24小时值班，工地生活区内严禁乱拉乱接电线，严禁使用电炉、电饭煲、电饭锅、电取暖器等，防止漏电触电事故发生。</w:t>
      </w:r>
    </w:p>
    <w:p w14:paraId="543B73FB">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乙方在作业前应对作业区域的管线和障碍物进行摸底，必要时进行测绘、勘探、检测，相关费用由乙方自行解决，甲方负责提供现有的资料数据，协助乙方开展摸底。乙方在作业中，应注意地下管线及高压架空线路的保护。如遇有情况，应及时向甲方和有关部门联系，采取保护措施。</w:t>
      </w:r>
    </w:p>
    <w:p w14:paraId="34BCD26F">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乙方在作业时段和非作业时段，应管理好乙方人员的日常生活，制定员工生活手册，确保乙方人员的生活安全。乙方员工在甲方区域内不得饮酒或饮酒上岗，不得喧闹、起哄、斗殴，不得聚众赌博，发现上述情形乙方应立即制止并停止相关员工继续作业，教育整改后方可继续进行作业，情节严重者应予以驱离、更换。在上述期间，乙方人员与己方人员或第三人之间发生争执或自陷风险的行为、状况导致人员伤亡、财产损失的，乙方应先行支付相关费用，后向具体责任人进行相关费用的追偿。</w:t>
      </w:r>
    </w:p>
    <w:p w14:paraId="6A7DF810">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乙方在施工过程中发生的人身伤亡、火警、火灾等一切事故，均由乙方自己负责，甲方只负责配合教育的责任。乙方人员在作业期间造成伤亡、火警、火灾、机械等重大事故，乙方应进行紧急抢救伤员和保护现场，甲方予以协助，乙方按国务院及江苏省有关事故报告规定及时报告上级主管部门及市、区（县）劳动保护监察部门等有关机构。事故的损失和善后处理费用，由乙方承担。</w:t>
      </w:r>
    </w:p>
    <w:p w14:paraId="1AAE46DA">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三、本协议与主合同同时签署、同时生效；具有同等效力。本协议若与主合同不一致的地方，以本协议为准。</w:t>
      </w:r>
    </w:p>
    <w:p w14:paraId="64C3AC04">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四、本协议执行过程中，如发生争议，由双方协商、调解解决；若经协商、调解不能解决争议的，双方同意向江宁区人民法院提起诉讼。</w:t>
      </w:r>
    </w:p>
    <w:p w14:paraId="1F7B1DD9">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五、本协议一式贰份，甲乙双方各执1份。甲、乙双方必须严格执行，由于违反本协议而造成伤亡事故、财产损失的，由违约方承担一切经济损失。</w:t>
      </w:r>
    </w:p>
    <w:p w14:paraId="1949A166">
      <w:pPr>
        <w:spacing w:line="360" w:lineRule="auto"/>
        <w:ind w:firstLine="480"/>
        <w:rPr>
          <w:rFonts w:hint="eastAsia" w:ascii="宋体" w:hAnsi="宋体" w:eastAsia="宋体" w:cs="宋体"/>
          <w:color w:val="auto"/>
          <w:sz w:val="21"/>
          <w:szCs w:val="21"/>
          <w:highlight w:val="none"/>
        </w:rPr>
      </w:pPr>
    </w:p>
    <w:p w14:paraId="37E73654">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甲方(公章)：                              乙方(公章)：</w:t>
      </w:r>
    </w:p>
    <w:p w14:paraId="7B850380">
      <w:pPr>
        <w:spacing w:line="360" w:lineRule="auto"/>
        <w:rPr>
          <w:rFonts w:hint="eastAsia" w:ascii="宋体" w:hAnsi="宋体" w:eastAsia="宋体" w:cs="宋体"/>
          <w:color w:val="auto"/>
          <w:sz w:val="21"/>
          <w:szCs w:val="21"/>
          <w:highlight w:val="none"/>
        </w:rPr>
      </w:pPr>
    </w:p>
    <w:p w14:paraId="6BC4EE4F">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法定代表人或委                            法定代表人或委</w:t>
      </w:r>
    </w:p>
    <w:p w14:paraId="6EAB9186">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托代理人(签字)：                          托代理人(签字)：</w:t>
      </w:r>
    </w:p>
    <w:p w14:paraId="6F2F4032">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签订日期:    年  月  日                   签订日期:    年  月  日</w:t>
      </w:r>
    </w:p>
    <w:p w14:paraId="53553516">
      <w:pPr>
        <w:ind w:firstLine="420" w:firstLineChars="200"/>
        <w:rPr>
          <w:rFonts w:ascii="宋体" w:hAnsi="宋体" w:eastAsia="宋体" w:cs="宋体"/>
          <w:bCs/>
          <w:color w:val="auto"/>
          <w:sz w:val="21"/>
          <w:szCs w:val="21"/>
          <w:highlight w:val="none"/>
          <w:lang w:eastAsia="zh-CN"/>
        </w:rPr>
      </w:pPr>
    </w:p>
    <w:p w14:paraId="74D9F7C4">
      <w:pPr>
        <w:ind w:firstLine="440" w:firstLineChars="200"/>
        <w:rPr>
          <w:rFonts w:hint="eastAsia" w:ascii="宋体" w:hAnsi="宋体"/>
          <w:color w:val="auto"/>
          <w:szCs w:val="21"/>
          <w:highlight w:val="none"/>
        </w:rPr>
      </w:pPr>
    </w:p>
    <w:p w14:paraId="75727782">
      <w:pPr>
        <w:rPr>
          <w:color w:val="auto"/>
          <w:highlight w:val="none"/>
        </w:rPr>
      </w:pPr>
    </w:p>
    <w:p w14:paraId="58CCC991">
      <w:pPr>
        <w:adjustRightInd w:val="0"/>
        <w:snapToGrid w:val="0"/>
        <w:spacing w:line="360" w:lineRule="auto"/>
        <w:jc w:val="center"/>
        <w:rPr>
          <w:rFonts w:hint="eastAsia"/>
          <w:color w:val="auto"/>
          <w:w w:val="95"/>
          <w:sz w:val="36"/>
          <w:szCs w:val="36"/>
          <w:highlight w:val="none"/>
          <w:lang w:eastAsia="zh-CN"/>
        </w:rPr>
      </w:pPr>
      <w:r>
        <w:rPr>
          <w:color w:val="auto"/>
          <w:w w:val="95"/>
          <w:highlight w:val="none"/>
          <w:lang w:eastAsia="zh-CN"/>
        </w:rPr>
        <w:br w:type="page"/>
      </w:r>
      <w:bookmarkStart w:id="77" w:name="_Toc10697"/>
      <w:r>
        <w:rPr>
          <w:rFonts w:hint="eastAsia"/>
          <w:color w:val="auto"/>
          <w:w w:val="95"/>
          <w:sz w:val="36"/>
          <w:szCs w:val="36"/>
          <w:highlight w:val="none"/>
          <w:lang w:eastAsia="zh-CN"/>
        </w:rPr>
        <w:t>第六章  响应文件格式</w:t>
      </w:r>
      <w:bookmarkEnd w:id="77"/>
    </w:p>
    <w:p w14:paraId="4697F1F1">
      <w:pPr>
        <w:widowControl/>
        <w:shd w:val="clear" w:color="auto" w:fill="FFFFFF"/>
        <w:ind w:firstLine="471" w:firstLineChars="196"/>
        <w:rPr>
          <w:rFonts w:ascii="宋体" w:hAnsi="宋体"/>
          <w:b/>
          <w:bCs/>
          <w:color w:val="auto"/>
          <w:sz w:val="24"/>
          <w:highlight w:val="none"/>
          <w:lang w:eastAsia="zh-CN"/>
        </w:rPr>
      </w:pPr>
      <w:r>
        <w:rPr>
          <w:rFonts w:hint="eastAsia" w:ascii="宋体" w:hAnsi="宋体"/>
          <w:b/>
          <w:bCs/>
          <w:color w:val="auto"/>
          <w:sz w:val="24"/>
          <w:highlight w:val="none"/>
          <w:lang w:eastAsia="zh-CN"/>
        </w:rPr>
        <w:t>磋商响应文件相应材料请按附件样式进行填写，如附件无明确规定的，由供应商自行编制。</w:t>
      </w:r>
    </w:p>
    <w:p w14:paraId="1625DDC3">
      <w:pPr>
        <w:snapToGrid w:val="0"/>
        <w:spacing w:line="360" w:lineRule="auto"/>
        <w:rPr>
          <w:rFonts w:ascii="宋体" w:hAnsi="宋体" w:cs="宋体"/>
          <w:color w:val="auto"/>
          <w:highlight w:val="none"/>
          <w:lang w:eastAsia="zh-CN"/>
        </w:rPr>
      </w:pPr>
    </w:p>
    <w:p w14:paraId="036E5F54">
      <w:pPr>
        <w:snapToGrid w:val="0"/>
        <w:spacing w:line="360" w:lineRule="auto"/>
        <w:jc w:val="right"/>
        <w:rPr>
          <w:rFonts w:ascii="宋体" w:hAnsi="宋体" w:cs="宋体"/>
          <w:color w:val="auto"/>
          <w:highlight w:val="none"/>
          <w:lang w:eastAsia="zh-CN"/>
        </w:rPr>
      </w:pPr>
    </w:p>
    <w:p w14:paraId="6A5B1737">
      <w:pPr>
        <w:snapToGrid w:val="0"/>
        <w:spacing w:line="360" w:lineRule="auto"/>
        <w:jc w:val="right"/>
        <w:rPr>
          <w:rFonts w:ascii="宋体" w:hAnsi="宋体" w:cs="宋体"/>
          <w:b/>
          <w:bCs/>
          <w:color w:val="auto"/>
          <w:sz w:val="28"/>
          <w:szCs w:val="28"/>
          <w:highlight w:val="none"/>
          <w:lang w:eastAsia="zh-CN"/>
        </w:rPr>
      </w:pPr>
      <w:r>
        <w:rPr>
          <w:rFonts w:hint="eastAsia" w:ascii="宋体" w:hAnsi="宋体" w:cs="宋体"/>
          <w:b/>
          <w:bCs/>
          <w:color w:val="auto"/>
          <w:sz w:val="28"/>
          <w:szCs w:val="28"/>
          <w:highlight w:val="none"/>
          <w:lang w:eastAsia="zh-CN"/>
        </w:rPr>
        <w:t>正本/副本</w:t>
      </w:r>
    </w:p>
    <w:p w14:paraId="0B768F46">
      <w:pPr>
        <w:snapToGrid w:val="0"/>
        <w:spacing w:line="360" w:lineRule="auto"/>
        <w:jc w:val="center"/>
        <w:rPr>
          <w:rFonts w:ascii="宋体" w:hAnsi="宋体" w:eastAsia="宋体" w:cs="宋体"/>
          <w:b/>
          <w:bCs/>
          <w:color w:val="auto"/>
          <w:sz w:val="36"/>
          <w:szCs w:val="36"/>
          <w:highlight w:val="none"/>
          <w:lang w:eastAsia="zh-CN"/>
        </w:rPr>
      </w:pPr>
    </w:p>
    <w:p w14:paraId="010D79B5">
      <w:pPr>
        <w:snapToGrid w:val="0"/>
        <w:spacing w:line="360" w:lineRule="auto"/>
        <w:jc w:val="center"/>
        <w:rPr>
          <w:rFonts w:ascii="宋体" w:hAnsi="宋体" w:eastAsia="宋体" w:cs="宋体"/>
          <w:b/>
          <w:bCs/>
          <w:color w:val="auto"/>
          <w:sz w:val="36"/>
          <w:szCs w:val="36"/>
          <w:highlight w:val="none"/>
          <w:lang w:eastAsia="zh-CN"/>
        </w:rPr>
      </w:pPr>
    </w:p>
    <w:p w14:paraId="7AA75078">
      <w:pPr>
        <w:snapToGrid w:val="0"/>
        <w:spacing w:line="360" w:lineRule="auto"/>
        <w:jc w:val="center"/>
        <w:rPr>
          <w:color w:val="auto"/>
          <w:highlight w:val="none"/>
          <w:lang w:eastAsia="zh-CN"/>
        </w:rPr>
      </w:pPr>
      <w:r>
        <w:rPr>
          <w:rFonts w:hint="eastAsia" w:ascii="宋体" w:hAnsi="宋体" w:cs="宋体"/>
          <w:b/>
          <w:bCs/>
          <w:color w:val="auto"/>
          <w:sz w:val="44"/>
          <w:szCs w:val="44"/>
          <w:highlight w:val="none"/>
          <w:lang w:eastAsia="zh-CN"/>
        </w:rPr>
        <w:t>竞争性磋商响应文件</w:t>
      </w:r>
    </w:p>
    <w:p w14:paraId="6CAAF7AA">
      <w:pPr>
        <w:pStyle w:val="137"/>
        <w:rPr>
          <w:rFonts w:ascii="宋体" w:hAnsi="宋体" w:cs="宋体"/>
          <w:b/>
          <w:bCs/>
          <w:color w:val="auto"/>
          <w:sz w:val="44"/>
          <w:szCs w:val="44"/>
          <w:highlight w:val="none"/>
        </w:rPr>
      </w:pPr>
      <w:r>
        <w:rPr>
          <w:rFonts w:hint="eastAsia" w:ascii="宋体" w:hAnsi="宋体" w:cs="宋体"/>
          <w:b/>
          <w:bCs/>
          <w:color w:val="auto"/>
          <w:sz w:val="44"/>
          <w:szCs w:val="44"/>
          <w:highlight w:val="none"/>
        </w:rPr>
        <w:t xml:space="preserve">             </w:t>
      </w:r>
    </w:p>
    <w:p w14:paraId="68B61EE9">
      <w:pPr>
        <w:pStyle w:val="137"/>
        <w:rPr>
          <w:rFonts w:ascii="宋体" w:hAnsi="宋体" w:cs="宋体"/>
          <w:b/>
          <w:bCs/>
          <w:color w:val="auto"/>
          <w:sz w:val="44"/>
          <w:szCs w:val="44"/>
          <w:highlight w:val="none"/>
        </w:rPr>
      </w:pPr>
    </w:p>
    <w:p w14:paraId="7306359E">
      <w:pPr>
        <w:pStyle w:val="137"/>
        <w:ind w:firstLine="3534" w:firstLineChars="800"/>
        <w:rPr>
          <w:color w:val="auto"/>
          <w:highlight w:val="none"/>
        </w:rPr>
      </w:pPr>
      <w:r>
        <w:rPr>
          <w:rFonts w:hint="eastAsia" w:ascii="宋体" w:hAnsi="宋体" w:cs="宋体"/>
          <w:b/>
          <w:bCs/>
          <w:color w:val="auto"/>
          <w:sz w:val="44"/>
          <w:szCs w:val="44"/>
          <w:highlight w:val="none"/>
        </w:rPr>
        <w:t>项目编号:</w:t>
      </w:r>
    </w:p>
    <w:p w14:paraId="5E832D9D">
      <w:pPr>
        <w:snapToGrid w:val="0"/>
        <w:spacing w:line="360" w:lineRule="auto"/>
        <w:rPr>
          <w:rFonts w:ascii="宋体" w:hAnsi="宋体" w:cs="宋体"/>
          <w:color w:val="auto"/>
          <w:sz w:val="28"/>
          <w:szCs w:val="28"/>
          <w:highlight w:val="none"/>
          <w:lang w:eastAsia="zh-CN"/>
        </w:rPr>
      </w:pPr>
    </w:p>
    <w:p w14:paraId="57D9EDB3">
      <w:pPr>
        <w:snapToGrid w:val="0"/>
        <w:spacing w:line="360" w:lineRule="auto"/>
        <w:rPr>
          <w:rFonts w:ascii="宋体" w:hAnsi="宋体" w:cs="宋体"/>
          <w:color w:val="auto"/>
          <w:sz w:val="28"/>
          <w:szCs w:val="28"/>
          <w:highlight w:val="none"/>
          <w:lang w:eastAsia="zh-CN"/>
        </w:rPr>
      </w:pPr>
    </w:p>
    <w:p w14:paraId="6BAAB8D6">
      <w:pPr>
        <w:snapToGrid w:val="0"/>
        <w:spacing w:line="360" w:lineRule="auto"/>
        <w:rPr>
          <w:rFonts w:ascii="宋体" w:hAnsi="宋体" w:cs="宋体"/>
          <w:color w:val="auto"/>
          <w:sz w:val="28"/>
          <w:szCs w:val="28"/>
          <w:highlight w:val="none"/>
          <w:lang w:eastAsia="zh-CN"/>
        </w:rPr>
      </w:pPr>
    </w:p>
    <w:p w14:paraId="7B68BD3D">
      <w:pPr>
        <w:snapToGrid w:val="0"/>
        <w:spacing w:line="360" w:lineRule="auto"/>
        <w:rPr>
          <w:rFonts w:ascii="宋体" w:hAnsi="宋体" w:eastAsia="宋体" w:cs="宋体"/>
          <w:color w:val="auto"/>
          <w:sz w:val="28"/>
          <w:szCs w:val="28"/>
          <w:highlight w:val="none"/>
          <w:lang w:eastAsia="zh-CN"/>
        </w:rPr>
      </w:pPr>
    </w:p>
    <w:p w14:paraId="3CE50C6C">
      <w:pPr>
        <w:pStyle w:val="70"/>
        <w:rPr>
          <w:rFonts w:eastAsia="宋体"/>
          <w:color w:val="auto"/>
          <w:highlight w:val="none"/>
          <w:lang w:eastAsia="zh-CN"/>
        </w:rPr>
      </w:pPr>
    </w:p>
    <w:p w14:paraId="5F2F3408">
      <w:pPr>
        <w:pStyle w:val="70"/>
        <w:rPr>
          <w:rFonts w:eastAsia="宋体"/>
          <w:color w:val="auto"/>
          <w:highlight w:val="none"/>
          <w:lang w:eastAsia="zh-CN"/>
        </w:rPr>
      </w:pPr>
    </w:p>
    <w:p w14:paraId="73D7CEAB">
      <w:pPr>
        <w:pStyle w:val="70"/>
        <w:rPr>
          <w:rFonts w:eastAsia="宋体"/>
          <w:color w:val="auto"/>
          <w:highlight w:val="none"/>
          <w:lang w:eastAsia="zh-CN"/>
        </w:rPr>
      </w:pPr>
    </w:p>
    <w:p w14:paraId="21714B0B">
      <w:pPr>
        <w:pStyle w:val="70"/>
        <w:rPr>
          <w:rFonts w:eastAsia="宋体"/>
          <w:color w:val="auto"/>
          <w:highlight w:val="none"/>
          <w:lang w:eastAsia="zh-CN"/>
        </w:rPr>
      </w:pPr>
    </w:p>
    <w:p w14:paraId="609409B5">
      <w:pPr>
        <w:snapToGrid w:val="0"/>
        <w:spacing w:line="360" w:lineRule="auto"/>
        <w:jc w:val="center"/>
        <w:rPr>
          <w:rFonts w:ascii="宋体" w:hAnsi="宋体" w:cs="宋体"/>
          <w:color w:val="auto"/>
          <w:sz w:val="28"/>
          <w:szCs w:val="28"/>
          <w:highlight w:val="none"/>
          <w:u w:val="single"/>
          <w:lang w:eastAsia="zh-CN"/>
        </w:rPr>
      </w:pPr>
      <w:r>
        <w:rPr>
          <w:rFonts w:hint="eastAsia" w:ascii="宋体" w:hAnsi="宋体" w:cs="宋体"/>
          <w:color w:val="auto"/>
          <w:sz w:val="28"/>
          <w:szCs w:val="28"/>
          <w:highlight w:val="none"/>
          <w:lang w:eastAsia="zh-CN"/>
        </w:rPr>
        <w:t>供应商：（</w:t>
      </w:r>
      <w:r>
        <w:rPr>
          <w:rFonts w:hint="eastAsia" w:ascii="Arial" w:hAnsi="Arial" w:cs="Arial"/>
          <w:color w:val="auto"/>
          <w:sz w:val="28"/>
          <w:szCs w:val="28"/>
          <w:highlight w:val="none"/>
          <w:lang w:eastAsia="zh-CN"/>
        </w:rPr>
        <w:t>加盖电子公章</w:t>
      </w:r>
      <w:r>
        <w:rPr>
          <w:rFonts w:hint="eastAsia" w:ascii="宋体" w:hAnsi="宋体" w:cs="宋体"/>
          <w:color w:val="auto"/>
          <w:sz w:val="28"/>
          <w:szCs w:val="28"/>
          <w:highlight w:val="none"/>
          <w:lang w:eastAsia="zh-CN"/>
        </w:rPr>
        <w:t>）</w:t>
      </w:r>
    </w:p>
    <w:p w14:paraId="0132C4F0">
      <w:pPr>
        <w:snapToGrid w:val="0"/>
        <w:spacing w:line="360" w:lineRule="auto"/>
        <w:jc w:val="center"/>
        <w:rPr>
          <w:rFonts w:ascii="宋体" w:hAnsi="宋体" w:cs="宋体"/>
          <w:color w:val="auto"/>
          <w:sz w:val="28"/>
          <w:szCs w:val="28"/>
          <w:highlight w:val="none"/>
          <w:lang w:eastAsia="zh-CN"/>
        </w:rPr>
      </w:pPr>
      <w:r>
        <w:rPr>
          <w:rFonts w:hint="eastAsia" w:ascii="宋体" w:hAnsi="宋体" w:cs="宋体"/>
          <w:color w:val="auto"/>
          <w:sz w:val="28"/>
          <w:szCs w:val="28"/>
          <w:highlight w:val="none"/>
          <w:lang w:eastAsia="zh-CN"/>
        </w:rPr>
        <w:t>法定代表人或其委托代理人：（签字/签章）</w:t>
      </w:r>
    </w:p>
    <w:p w14:paraId="31ABB8E6">
      <w:pPr>
        <w:snapToGrid w:val="0"/>
        <w:spacing w:line="360" w:lineRule="auto"/>
        <w:jc w:val="center"/>
        <w:rPr>
          <w:rFonts w:ascii="宋体" w:hAnsi="宋体" w:cs="宋体"/>
          <w:color w:val="auto"/>
          <w:sz w:val="20"/>
          <w:highlight w:val="none"/>
        </w:rPr>
      </w:pPr>
      <w:r>
        <w:rPr>
          <w:rFonts w:hint="eastAsia" w:ascii="宋体" w:hAnsi="宋体" w:cs="宋体"/>
          <w:color w:val="auto"/>
          <w:sz w:val="28"/>
          <w:szCs w:val="28"/>
          <w:highlight w:val="none"/>
        </w:rPr>
        <w:t>年 月 日</w:t>
      </w:r>
    </w:p>
    <w:p w14:paraId="5F63EE6E">
      <w:pPr>
        <w:widowControl/>
        <w:shd w:val="clear" w:color="auto" w:fill="FFFFFF"/>
        <w:snapToGrid w:val="0"/>
        <w:spacing w:line="360" w:lineRule="auto"/>
        <w:rPr>
          <w:rFonts w:ascii="宋体" w:hAnsi="宋体" w:cs="宋体"/>
          <w:color w:val="auto"/>
          <w:highlight w:val="none"/>
        </w:rPr>
      </w:pPr>
    </w:p>
    <w:p w14:paraId="2920172D">
      <w:pPr>
        <w:pStyle w:val="70"/>
        <w:snapToGrid w:val="0"/>
        <w:ind w:firstLine="0" w:firstLineChars="0"/>
        <w:jc w:val="center"/>
        <w:rPr>
          <w:rFonts w:cs="宋体"/>
          <w:b/>
          <w:bCs/>
          <w:color w:val="auto"/>
          <w:sz w:val="36"/>
          <w:szCs w:val="36"/>
          <w:highlight w:val="none"/>
        </w:rPr>
      </w:pPr>
      <w:r>
        <w:rPr>
          <w:rFonts w:hint="eastAsia" w:cs="宋体"/>
          <w:b/>
          <w:bCs/>
          <w:color w:val="auto"/>
          <w:highlight w:val="none"/>
        </w:rPr>
        <w:br w:type="page"/>
      </w:r>
      <w:r>
        <w:rPr>
          <w:rFonts w:hint="eastAsia" w:cs="宋体"/>
          <w:b/>
          <w:bCs/>
          <w:color w:val="auto"/>
          <w:sz w:val="32"/>
          <w:szCs w:val="32"/>
          <w:highlight w:val="none"/>
        </w:rPr>
        <w:t>评分索引表</w:t>
      </w:r>
    </w:p>
    <w:p w14:paraId="0D9D8357">
      <w:pPr>
        <w:pStyle w:val="130"/>
        <w:snapToGrid w:val="0"/>
        <w:spacing w:line="360" w:lineRule="auto"/>
        <w:jc w:val="center"/>
        <w:rPr>
          <w:rFonts w:ascii="宋体" w:hAnsi="宋体" w:cs="宋体"/>
          <w:color w:val="auto"/>
          <w:kern w:val="0"/>
          <w:highlight w:val="none"/>
        </w:rPr>
      </w:pP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7"/>
        <w:gridCol w:w="7851"/>
        <w:gridCol w:w="1118"/>
      </w:tblGrid>
      <w:tr w14:paraId="512B6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1567" w:type="dxa"/>
            <w:noWrap w:val="0"/>
            <w:vAlign w:val="center"/>
          </w:tcPr>
          <w:p w14:paraId="0F367CB0">
            <w:pPr>
              <w:widowControl/>
              <w:snapToGrid w:val="0"/>
              <w:jc w:val="center"/>
              <w:rPr>
                <w:rFonts w:ascii="宋体" w:hAnsi="宋体" w:cs="宋体"/>
                <w:color w:val="auto"/>
                <w:szCs w:val="21"/>
                <w:highlight w:val="none"/>
              </w:rPr>
            </w:pPr>
            <w:r>
              <w:rPr>
                <w:rFonts w:hint="eastAsia" w:ascii="宋体" w:hAnsi="宋体" w:cs="宋体"/>
                <w:color w:val="auto"/>
                <w:szCs w:val="21"/>
                <w:highlight w:val="none"/>
              </w:rPr>
              <w:t>评分因素</w:t>
            </w:r>
          </w:p>
        </w:tc>
        <w:tc>
          <w:tcPr>
            <w:tcW w:w="7851" w:type="dxa"/>
            <w:noWrap w:val="0"/>
            <w:vAlign w:val="center"/>
          </w:tcPr>
          <w:p w14:paraId="27DEB97B">
            <w:pPr>
              <w:widowControl/>
              <w:snapToGrid w:val="0"/>
              <w:jc w:val="center"/>
              <w:rPr>
                <w:rFonts w:ascii="宋体" w:hAnsi="宋体" w:cs="宋体"/>
                <w:color w:val="auto"/>
                <w:szCs w:val="21"/>
                <w:highlight w:val="none"/>
              </w:rPr>
            </w:pPr>
            <w:r>
              <w:rPr>
                <w:rFonts w:hint="eastAsia" w:ascii="宋体" w:hAnsi="宋体" w:cs="宋体"/>
                <w:color w:val="auto"/>
                <w:szCs w:val="21"/>
                <w:highlight w:val="none"/>
              </w:rPr>
              <w:t>评分标准</w:t>
            </w:r>
          </w:p>
        </w:tc>
        <w:tc>
          <w:tcPr>
            <w:tcW w:w="1118" w:type="dxa"/>
            <w:noWrap w:val="0"/>
            <w:vAlign w:val="center"/>
          </w:tcPr>
          <w:p w14:paraId="4FAEEB18">
            <w:pPr>
              <w:widowControl/>
              <w:snapToGrid w:val="0"/>
              <w:jc w:val="center"/>
              <w:rPr>
                <w:rFonts w:ascii="宋体" w:hAnsi="宋体" w:cs="宋体"/>
                <w:color w:val="auto"/>
                <w:szCs w:val="21"/>
                <w:highlight w:val="none"/>
              </w:rPr>
            </w:pPr>
            <w:r>
              <w:rPr>
                <w:rFonts w:hint="eastAsia" w:ascii="宋体" w:hAnsi="宋体" w:cs="宋体"/>
                <w:color w:val="auto"/>
                <w:szCs w:val="21"/>
                <w:highlight w:val="none"/>
              </w:rPr>
              <w:t>响应文件对应页码</w:t>
            </w:r>
          </w:p>
        </w:tc>
      </w:tr>
      <w:tr w14:paraId="0C185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67" w:type="dxa"/>
            <w:noWrap w:val="0"/>
            <w:vAlign w:val="center"/>
          </w:tcPr>
          <w:p w14:paraId="6CD72649">
            <w:pPr>
              <w:wordWrap w:val="0"/>
              <w:snapToGrid w:val="0"/>
              <w:jc w:val="center"/>
              <w:rPr>
                <w:rFonts w:ascii="宋体" w:hAnsi="宋体" w:cs="宋体"/>
                <w:color w:val="auto"/>
                <w:szCs w:val="21"/>
                <w:highlight w:val="none"/>
              </w:rPr>
            </w:pPr>
          </w:p>
        </w:tc>
        <w:tc>
          <w:tcPr>
            <w:tcW w:w="7851" w:type="dxa"/>
            <w:noWrap w:val="0"/>
            <w:vAlign w:val="center"/>
          </w:tcPr>
          <w:p w14:paraId="3BBFFE05">
            <w:pPr>
              <w:widowControl/>
              <w:snapToGrid w:val="0"/>
              <w:rPr>
                <w:rFonts w:ascii="宋体" w:hAnsi="宋体" w:cs="宋体"/>
                <w:color w:val="auto"/>
                <w:szCs w:val="21"/>
                <w:highlight w:val="none"/>
              </w:rPr>
            </w:pPr>
          </w:p>
        </w:tc>
        <w:tc>
          <w:tcPr>
            <w:tcW w:w="1118" w:type="dxa"/>
            <w:noWrap w:val="0"/>
            <w:vAlign w:val="center"/>
          </w:tcPr>
          <w:p w14:paraId="3AAB237E">
            <w:pPr>
              <w:widowControl/>
              <w:snapToGrid w:val="0"/>
              <w:jc w:val="center"/>
              <w:rPr>
                <w:rFonts w:ascii="宋体" w:hAnsi="宋体" w:cs="宋体"/>
                <w:color w:val="auto"/>
                <w:szCs w:val="21"/>
                <w:highlight w:val="none"/>
              </w:rPr>
            </w:pPr>
          </w:p>
        </w:tc>
      </w:tr>
      <w:tr w14:paraId="73253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67" w:type="dxa"/>
            <w:noWrap w:val="0"/>
            <w:vAlign w:val="center"/>
          </w:tcPr>
          <w:p w14:paraId="19A5CB27">
            <w:pPr>
              <w:wordWrap w:val="0"/>
              <w:snapToGrid w:val="0"/>
              <w:jc w:val="center"/>
              <w:rPr>
                <w:rFonts w:ascii="宋体" w:hAnsi="宋体" w:cs="宋体"/>
                <w:color w:val="auto"/>
                <w:szCs w:val="21"/>
                <w:highlight w:val="none"/>
              </w:rPr>
            </w:pPr>
          </w:p>
        </w:tc>
        <w:tc>
          <w:tcPr>
            <w:tcW w:w="7851" w:type="dxa"/>
            <w:noWrap w:val="0"/>
            <w:vAlign w:val="center"/>
          </w:tcPr>
          <w:p w14:paraId="6BD143A9">
            <w:pPr>
              <w:widowControl/>
              <w:snapToGrid w:val="0"/>
              <w:rPr>
                <w:rFonts w:ascii="宋体" w:hAnsi="宋体" w:cs="宋体"/>
                <w:color w:val="auto"/>
                <w:szCs w:val="21"/>
                <w:highlight w:val="none"/>
              </w:rPr>
            </w:pPr>
          </w:p>
        </w:tc>
        <w:tc>
          <w:tcPr>
            <w:tcW w:w="1118" w:type="dxa"/>
            <w:noWrap w:val="0"/>
            <w:vAlign w:val="center"/>
          </w:tcPr>
          <w:p w14:paraId="39D2C83F">
            <w:pPr>
              <w:widowControl/>
              <w:snapToGrid w:val="0"/>
              <w:jc w:val="center"/>
              <w:rPr>
                <w:rFonts w:ascii="宋体" w:hAnsi="宋体" w:cs="宋体"/>
                <w:color w:val="auto"/>
                <w:szCs w:val="21"/>
                <w:highlight w:val="none"/>
              </w:rPr>
            </w:pPr>
          </w:p>
        </w:tc>
      </w:tr>
      <w:tr w14:paraId="5595F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67" w:type="dxa"/>
            <w:noWrap w:val="0"/>
            <w:vAlign w:val="center"/>
          </w:tcPr>
          <w:p w14:paraId="1BC5E418">
            <w:pPr>
              <w:wordWrap w:val="0"/>
              <w:snapToGrid w:val="0"/>
              <w:jc w:val="center"/>
              <w:rPr>
                <w:rFonts w:ascii="宋体" w:hAnsi="宋体" w:cs="宋体"/>
                <w:color w:val="auto"/>
                <w:szCs w:val="21"/>
                <w:highlight w:val="none"/>
              </w:rPr>
            </w:pPr>
          </w:p>
        </w:tc>
        <w:tc>
          <w:tcPr>
            <w:tcW w:w="7851" w:type="dxa"/>
            <w:noWrap w:val="0"/>
            <w:vAlign w:val="center"/>
          </w:tcPr>
          <w:p w14:paraId="04F0F3B9">
            <w:pPr>
              <w:widowControl/>
              <w:snapToGrid w:val="0"/>
              <w:rPr>
                <w:rFonts w:ascii="宋体" w:hAnsi="宋体" w:cs="宋体"/>
                <w:color w:val="auto"/>
                <w:szCs w:val="21"/>
                <w:highlight w:val="none"/>
              </w:rPr>
            </w:pPr>
          </w:p>
        </w:tc>
        <w:tc>
          <w:tcPr>
            <w:tcW w:w="1118" w:type="dxa"/>
            <w:noWrap w:val="0"/>
            <w:vAlign w:val="center"/>
          </w:tcPr>
          <w:p w14:paraId="044C62C9">
            <w:pPr>
              <w:widowControl/>
              <w:snapToGrid w:val="0"/>
              <w:jc w:val="center"/>
              <w:rPr>
                <w:rFonts w:ascii="宋体" w:hAnsi="宋体" w:cs="宋体"/>
                <w:color w:val="auto"/>
                <w:szCs w:val="21"/>
                <w:highlight w:val="none"/>
              </w:rPr>
            </w:pPr>
          </w:p>
        </w:tc>
      </w:tr>
      <w:tr w14:paraId="6E5B1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67" w:type="dxa"/>
            <w:noWrap w:val="0"/>
            <w:vAlign w:val="center"/>
          </w:tcPr>
          <w:p w14:paraId="17211CF6">
            <w:pPr>
              <w:wordWrap w:val="0"/>
              <w:snapToGrid w:val="0"/>
              <w:jc w:val="center"/>
              <w:rPr>
                <w:rFonts w:ascii="宋体" w:hAnsi="宋体" w:cs="宋体"/>
                <w:color w:val="auto"/>
                <w:szCs w:val="21"/>
                <w:highlight w:val="none"/>
              </w:rPr>
            </w:pPr>
          </w:p>
        </w:tc>
        <w:tc>
          <w:tcPr>
            <w:tcW w:w="7851" w:type="dxa"/>
            <w:noWrap w:val="0"/>
            <w:vAlign w:val="center"/>
          </w:tcPr>
          <w:p w14:paraId="4AABF3A4">
            <w:pPr>
              <w:widowControl/>
              <w:snapToGrid w:val="0"/>
              <w:rPr>
                <w:rFonts w:ascii="宋体" w:hAnsi="宋体" w:cs="宋体"/>
                <w:color w:val="auto"/>
                <w:szCs w:val="21"/>
                <w:highlight w:val="none"/>
              </w:rPr>
            </w:pPr>
          </w:p>
        </w:tc>
        <w:tc>
          <w:tcPr>
            <w:tcW w:w="1118" w:type="dxa"/>
            <w:noWrap w:val="0"/>
            <w:vAlign w:val="center"/>
          </w:tcPr>
          <w:p w14:paraId="6CD4227F">
            <w:pPr>
              <w:widowControl/>
              <w:snapToGrid w:val="0"/>
              <w:jc w:val="center"/>
              <w:rPr>
                <w:rFonts w:ascii="宋体" w:hAnsi="宋体" w:cs="宋体"/>
                <w:color w:val="auto"/>
                <w:szCs w:val="21"/>
                <w:highlight w:val="none"/>
              </w:rPr>
            </w:pPr>
          </w:p>
        </w:tc>
      </w:tr>
      <w:tr w14:paraId="2D95E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67" w:type="dxa"/>
            <w:noWrap w:val="0"/>
            <w:vAlign w:val="center"/>
          </w:tcPr>
          <w:p w14:paraId="688AB86B">
            <w:pPr>
              <w:wordWrap w:val="0"/>
              <w:snapToGrid w:val="0"/>
              <w:jc w:val="center"/>
              <w:rPr>
                <w:rFonts w:ascii="宋体" w:hAnsi="宋体" w:cs="宋体"/>
                <w:color w:val="auto"/>
                <w:szCs w:val="21"/>
                <w:highlight w:val="none"/>
              </w:rPr>
            </w:pPr>
          </w:p>
        </w:tc>
        <w:tc>
          <w:tcPr>
            <w:tcW w:w="7851" w:type="dxa"/>
            <w:noWrap w:val="0"/>
            <w:vAlign w:val="center"/>
          </w:tcPr>
          <w:p w14:paraId="3D15DD31">
            <w:pPr>
              <w:widowControl/>
              <w:snapToGrid w:val="0"/>
              <w:rPr>
                <w:rFonts w:ascii="宋体" w:hAnsi="宋体" w:cs="宋体"/>
                <w:color w:val="auto"/>
                <w:szCs w:val="21"/>
                <w:highlight w:val="none"/>
              </w:rPr>
            </w:pPr>
          </w:p>
        </w:tc>
        <w:tc>
          <w:tcPr>
            <w:tcW w:w="1118" w:type="dxa"/>
            <w:noWrap w:val="0"/>
            <w:vAlign w:val="center"/>
          </w:tcPr>
          <w:p w14:paraId="33F4FB65">
            <w:pPr>
              <w:widowControl/>
              <w:snapToGrid w:val="0"/>
              <w:jc w:val="center"/>
              <w:rPr>
                <w:rFonts w:ascii="宋体" w:hAnsi="宋体" w:cs="宋体"/>
                <w:color w:val="auto"/>
                <w:szCs w:val="21"/>
                <w:highlight w:val="none"/>
              </w:rPr>
            </w:pPr>
          </w:p>
        </w:tc>
      </w:tr>
      <w:tr w14:paraId="50ED7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67" w:type="dxa"/>
            <w:noWrap w:val="0"/>
            <w:vAlign w:val="center"/>
          </w:tcPr>
          <w:p w14:paraId="11D84591">
            <w:pPr>
              <w:wordWrap w:val="0"/>
              <w:snapToGrid w:val="0"/>
              <w:jc w:val="center"/>
              <w:rPr>
                <w:rFonts w:ascii="宋体" w:hAnsi="宋体" w:cs="宋体"/>
                <w:color w:val="auto"/>
                <w:szCs w:val="21"/>
                <w:highlight w:val="none"/>
              </w:rPr>
            </w:pPr>
          </w:p>
        </w:tc>
        <w:tc>
          <w:tcPr>
            <w:tcW w:w="7851" w:type="dxa"/>
            <w:noWrap w:val="0"/>
            <w:vAlign w:val="center"/>
          </w:tcPr>
          <w:p w14:paraId="138CB391">
            <w:pPr>
              <w:widowControl/>
              <w:snapToGrid w:val="0"/>
              <w:rPr>
                <w:rFonts w:ascii="宋体" w:hAnsi="宋体" w:cs="宋体"/>
                <w:color w:val="auto"/>
                <w:szCs w:val="21"/>
                <w:highlight w:val="none"/>
              </w:rPr>
            </w:pPr>
          </w:p>
        </w:tc>
        <w:tc>
          <w:tcPr>
            <w:tcW w:w="1118" w:type="dxa"/>
            <w:noWrap w:val="0"/>
            <w:vAlign w:val="center"/>
          </w:tcPr>
          <w:p w14:paraId="140AD7CD">
            <w:pPr>
              <w:widowControl/>
              <w:snapToGrid w:val="0"/>
              <w:jc w:val="center"/>
              <w:rPr>
                <w:rFonts w:ascii="宋体" w:hAnsi="宋体" w:cs="宋体"/>
                <w:color w:val="auto"/>
                <w:szCs w:val="21"/>
                <w:highlight w:val="none"/>
              </w:rPr>
            </w:pPr>
          </w:p>
        </w:tc>
      </w:tr>
      <w:tr w14:paraId="16469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67" w:type="dxa"/>
            <w:noWrap w:val="0"/>
            <w:vAlign w:val="center"/>
          </w:tcPr>
          <w:p w14:paraId="060C67B2">
            <w:pPr>
              <w:wordWrap w:val="0"/>
              <w:snapToGrid w:val="0"/>
              <w:jc w:val="center"/>
              <w:rPr>
                <w:rFonts w:ascii="宋体" w:hAnsi="宋体" w:cs="宋体"/>
                <w:color w:val="auto"/>
                <w:szCs w:val="21"/>
                <w:highlight w:val="none"/>
              </w:rPr>
            </w:pPr>
          </w:p>
        </w:tc>
        <w:tc>
          <w:tcPr>
            <w:tcW w:w="7851" w:type="dxa"/>
            <w:noWrap w:val="0"/>
            <w:vAlign w:val="center"/>
          </w:tcPr>
          <w:p w14:paraId="4850DF3A">
            <w:pPr>
              <w:widowControl/>
              <w:snapToGrid w:val="0"/>
              <w:rPr>
                <w:rFonts w:ascii="宋体" w:hAnsi="宋体" w:cs="宋体"/>
                <w:color w:val="auto"/>
                <w:szCs w:val="21"/>
                <w:highlight w:val="none"/>
              </w:rPr>
            </w:pPr>
          </w:p>
        </w:tc>
        <w:tc>
          <w:tcPr>
            <w:tcW w:w="1118" w:type="dxa"/>
            <w:noWrap w:val="0"/>
            <w:vAlign w:val="center"/>
          </w:tcPr>
          <w:p w14:paraId="724D4A3F">
            <w:pPr>
              <w:widowControl/>
              <w:snapToGrid w:val="0"/>
              <w:jc w:val="center"/>
              <w:rPr>
                <w:rFonts w:ascii="宋体" w:hAnsi="宋体" w:cs="宋体"/>
                <w:color w:val="auto"/>
                <w:szCs w:val="21"/>
                <w:highlight w:val="none"/>
              </w:rPr>
            </w:pPr>
          </w:p>
        </w:tc>
      </w:tr>
      <w:tr w14:paraId="54042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67" w:type="dxa"/>
            <w:noWrap w:val="0"/>
            <w:vAlign w:val="center"/>
          </w:tcPr>
          <w:p w14:paraId="06FAEE6C">
            <w:pPr>
              <w:wordWrap w:val="0"/>
              <w:snapToGrid w:val="0"/>
              <w:jc w:val="center"/>
              <w:rPr>
                <w:rFonts w:ascii="宋体" w:hAnsi="宋体" w:cs="宋体"/>
                <w:color w:val="auto"/>
                <w:szCs w:val="21"/>
                <w:highlight w:val="none"/>
              </w:rPr>
            </w:pPr>
          </w:p>
        </w:tc>
        <w:tc>
          <w:tcPr>
            <w:tcW w:w="7851" w:type="dxa"/>
            <w:noWrap w:val="0"/>
            <w:vAlign w:val="center"/>
          </w:tcPr>
          <w:p w14:paraId="3B355A3E">
            <w:pPr>
              <w:widowControl/>
              <w:snapToGrid w:val="0"/>
              <w:rPr>
                <w:rFonts w:ascii="宋体" w:hAnsi="宋体" w:cs="宋体"/>
                <w:color w:val="auto"/>
                <w:szCs w:val="21"/>
                <w:highlight w:val="none"/>
              </w:rPr>
            </w:pPr>
          </w:p>
        </w:tc>
        <w:tc>
          <w:tcPr>
            <w:tcW w:w="1118" w:type="dxa"/>
            <w:noWrap w:val="0"/>
            <w:vAlign w:val="center"/>
          </w:tcPr>
          <w:p w14:paraId="4530E35B">
            <w:pPr>
              <w:widowControl/>
              <w:snapToGrid w:val="0"/>
              <w:jc w:val="center"/>
              <w:rPr>
                <w:rFonts w:ascii="宋体" w:hAnsi="宋体" w:cs="宋体"/>
                <w:color w:val="auto"/>
                <w:szCs w:val="21"/>
                <w:highlight w:val="none"/>
              </w:rPr>
            </w:pPr>
          </w:p>
        </w:tc>
      </w:tr>
      <w:tr w14:paraId="48514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67" w:type="dxa"/>
            <w:noWrap w:val="0"/>
            <w:vAlign w:val="center"/>
          </w:tcPr>
          <w:p w14:paraId="1D206EB7">
            <w:pPr>
              <w:wordWrap w:val="0"/>
              <w:snapToGrid w:val="0"/>
              <w:jc w:val="center"/>
              <w:rPr>
                <w:rFonts w:ascii="宋体" w:hAnsi="宋体" w:cs="宋体"/>
                <w:color w:val="auto"/>
                <w:szCs w:val="21"/>
                <w:highlight w:val="none"/>
              </w:rPr>
            </w:pPr>
          </w:p>
        </w:tc>
        <w:tc>
          <w:tcPr>
            <w:tcW w:w="7851" w:type="dxa"/>
            <w:noWrap w:val="0"/>
            <w:vAlign w:val="center"/>
          </w:tcPr>
          <w:p w14:paraId="4BF0C6A1">
            <w:pPr>
              <w:widowControl/>
              <w:snapToGrid w:val="0"/>
              <w:rPr>
                <w:rFonts w:ascii="宋体" w:hAnsi="宋体" w:cs="宋体"/>
                <w:color w:val="auto"/>
                <w:szCs w:val="21"/>
                <w:highlight w:val="none"/>
              </w:rPr>
            </w:pPr>
          </w:p>
        </w:tc>
        <w:tc>
          <w:tcPr>
            <w:tcW w:w="1118" w:type="dxa"/>
            <w:noWrap w:val="0"/>
            <w:vAlign w:val="center"/>
          </w:tcPr>
          <w:p w14:paraId="624BACF8">
            <w:pPr>
              <w:widowControl/>
              <w:snapToGrid w:val="0"/>
              <w:jc w:val="center"/>
              <w:rPr>
                <w:rFonts w:ascii="宋体" w:hAnsi="宋体" w:cs="宋体"/>
                <w:color w:val="auto"/>
                <w:szCs w:val="21"/>
                <w:highlight w:val="none"/>
              </w:rPr>
            </w:pPr>
          </w:p>
        </w:tc>
      </w:tr>
      <w:tr w14:paraId="5955E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67" w:type="dxa"/>
            <w:noWrap w:val="0"/>
            <w:vAlign w:val="center"/>
          </w:tcPr>
          <w:p w14:paraId="76C81A96">
            <w:pPr>
              <w:wordWrap w:val="0"/>
              <w:snapToGrid w:val="0"/>
              <w:jc w:val="center"/>
              <w:rPr>
                <w:rFonts w:ascii="宋体" w:hAnsi="宋体" w:cs="宋体"/>
                <w:color w:val="auto"/>
                <w:szCs w:val="21"/>
                <w:highlight w:val="none"/>
              </w:rPr>
            </w:pPr>
          </w:p>
        </w:tc>
        <w:tc>
          <w:tcPr>
            <w:tcW w:w="7851" w:type="dxa"/>
            <w:noWrap w:val="0"/>
            <w:vAlign w:val="center"/>
          </w:tcPr>
          <w:p w14:paraId="37F37885">
            <w:pPr>
              <w:widowControl/>
              <w:snapToGrid w:val="0"/>
              <w:rPr>
                <w:rFonts w:ascii="宋体" w:hAnsi="宋体" w:cs="宋体"/>
                <w:color w:val="auto"/>
                <w:szCs w:val="21"/>
                <w:highlight w:val="none"/>
              </w:rPr>
            </w:pPr>
          </w:p>
        </w:tc>
        <w:tc>
          <w:tcPr>
            <w:tcW w:w="1118" w:type="dxa"/>
            <w:noWrap w:val="0"/>
            <w:vAlign w:val="center"/>
          </w:tcPr>
          <w:p w14:paraId="47298270">
            <w:pPr>
              <w:widowControl/>
              <w:snapToGrid w:val="0"/>
              <w:jc w:val="center"/>
              <w:rPr>
                <w:rFonts w:ascii="宋体" w:hAnsi="宋体" w:cs="宋体"/>
                <w:color w:val="auto"/>
                <w:szCs w:val="21"/>
                <w:highlight w:val="none"/>
              </w:rPr>
            </w:pPr>
          </w:p>
        </w:tc>
      </w:tr>
      <w:tr w14:paraId="7A2F8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67" w:type="dxa"/>
            <w:noWrap w:val="0"/>
            <w:vAlign w:val="center"/>
          </w:tcPr>
          <w:p w14:paraId="195F85DA">
            <w:pPr>
              <w:wordWrap w:val="0"/>
              <w:snapToGrid w:val="0"/>
              <w:jc w:val="center"/>
              <w:rPr>
                <w:rFonts w:ascii="宋体" w:hAnsi="宋体" w:cs="宋体"/>
                <w:color w:val="auto"/>
                <w:szCs w:val="21"/>
                <w:highlight w:val="none"/>
              </w:rPr>
            </w:pPr>
          </w:p>
        </w:tc>
        <w:tc>
          <w:tcPr>
            <w:tcW w:w="7851" w:type="dxa"/>
            <w:noWrap w:val="0"/>
            <w:vAlign w:val="center"/>
          </w:tcPr>
          <w:p w14:paraId="6ECEC783">
            <w:pPr>
              <w:widowControl/>
              <w:snapToGrid w:val="0"/>
              <w:rPr>
                <w:rFonts w:ascii="宋体" w:hAnsi="宋体" w:cs="宋体"/>
                <w:color w:val="auto"/>
                <w:szCs w:val="21"/>
                <w:highlight w:val="none"/>
              </w:rPr>
            </w:pPr>
          </w:p>
        </w:tc>
        <w:tc>
          <w:tcPr>
            <w:tcW w:w="1118" w:type="dxa"/>
            <w:noWrap w:val="0"/>
            <w:vAlign w:val="center"/>
          </w:tcPr>
          <w:p w14:paraId="38EA20BE">
            <w:pPr>
              <w:widowControl/>
              <w:snapToGrid w:val="0"/>
              <w:jc w:val="center"/>
              <w:rPr>
                <w:rFonts w:ascii="宋体" w:hAnsi="宋体" w:cs="宋体"/>
                <w:color w:val="auto"/>
                <w:szCs w:val="21"/>
                <w:highlight w:val="none"/>
              </w:rPr>
            </w:pPr>
          </w:p>
        </w:tc>
      </w:tr>
      <w:tr w14:paraId="0E54F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67" w:type="dxa"/>
            <w:noWrap w:val="0"/>
            <w:vAlign w:val="center"/>
          </w:tcPr>
          <w:p w14:paraId="5D3496D4">
            <w:pPr>
              <w:wordWrap w:val="0"/>
              <w:snapToGrid w:val="0"/>
              <w:jc w:val="center"/>
              <w:rPr>
                <w:rFonts w:ascii="宋体" w:hAnsi="宋体" w:cs="宋体"/>
                <w:color w:val="auto"/>
                <w:szCs w:val="21"/>
                <w:highlight w:val="none"/>
              </w:rPr>
            </w:pPr>
          </w:p>
        </w:tc>
        <w:tc>
          <w:tcPr>
            <w:tcW w:w="7851" w:type="dxa"/>
            <w:noWrap w:val="0"/>
            <w:vAlign w:val="center"/>
          </w:tcPr>
          <w:p w14:paraId="50E4A7AE">
            <w:pPr>
              <w:widowControl/>
              <w:snapToGrid w:val="0"/>
              <w:rPr>
                <w:rFonts w:ascii="宋体" w:hAnsi="宋体" w:cs="宋体"/>
                <w:color w:val="auto"/>
                <w:szCs w:val="21"/>
                <w:highlight w:val="none"/>
              </w:rPr>
            </w:pPr>
          </w:p>
        </w:tc>
        <w:tc>
          <w:tcPr>
            <w:tcW w:w="1118" w:type="dxa"/>
            <w:noWrap w:val="0"/>
            <w:vAlign w:val="center"/>
          </w:tcPr>
          <w:p w14:paraId="4623728D">
            <w:pPr>
              <w:widowControl/>
              <w:snapToGrid w:val="0"/>
              <w:jc w:val="center"/>
              <w:rPr>
                <w:rFonts w:ascii="宋体" w:hAnsi="宋体" w:cs="宋体"/>
                <w:color w:val="auto"/>
                <w:szCs w:val="21"/>
                <w:highlight w:val="none"/>
              </w:rPr>
            </w:pPr>
          </w:p>
        </w:tc>
      </w:tr>
    </w:tbl>
    <w:p w14:paraId="0DA509A1">
      <w:pPr>
        <w:widowControl/>
        <w:adjustRightInd w:val="0"/>
        <w:spacing w:line="360" w:lineRule="auto"/>
        <w:rPr>
          <w:rFonts w:hint="eastAsia" w:ascii="宋体" w:hAnsi="宋体" w:cs="宋体"/>
          <w:color w:val="auto"/>
          <w:szCs w:val="21"/>
          <w:highlight w:val="none"/>
          <w:lang w:val="zh-CN"/>
        </w:rPr>
      </w:pPr>
    </w:p>
    <w:p w14:paraId="7E45AE9A">
      <w:pPr>
        <w:widowControl/>
        <w:adjustRightInd w:val="0"/>
        <w:spacing w:line="360" w:lineRule="auto"/>
        <w:rPr>
          <w:rFonts w:ascii="宋体" w:cs="宋体"/>
          <w:color w:val="auto"/>
          <w:szCs w:val="21"/>
          <w:highlight w:val="none"/>
          <w:lang w:val="zh-CN" w:eastAsia="zh-CN"/>
        </w:rPr>
      </w:pPr>
      <w:r>
        <w:rPr>
          <w:rFonts w:hint="eastAsia" w:ascii="宋体" w:hAnsi="宋体" w:cs="宋体"/>
          <w:color w:val="auto"/>
          <w:szCs w:val="21"/>
          <w:highlight w:val="none"/>
          <w:lang w:val="zh-CN" w:eastAsia="zh-CN"/>
        </w:rPr>
        <w:t>供应商名称：</w:t>
      </w:r>
      <w:r>
        <w:rPr>
          <w:rFonts w:ascii="宋体" w:hAnsi="宋体"/>
          <w:color w:val="auto"/>
          <w:szCs w:val="21"/>
          <w:highlight w:val="none"/>
          <w:u w:val="single"/>
          <w:lang w:val="zh-CN" w:eastAsia="zh-CN"/>
        </w:rPr>
        <w:t xml:space="preserve">                                                      </w:t>
      </w:r>
      <w:r>
        <w:rPr>
          <w:rFonts w:hint="eastAsia" w:ascii="宋体" w:hAnsi="宋体"/>
          <w:color w:val="auto"/>
          <w:szCs w:val="21"/>
          <w:highlight w:val="none"/>
          <w:u w:val="single"/>
          <w:lang w:val="zh-CN" w:eastAsia="zh-CN"/>
        </w:rPr>
        <w:t>（加盖电子公章）</w:t>
      </w:r>
    </w:p>
    <w:p w14:paraId="47DCCEB5">
      <w:pPr>
        <w:widowControl/>
        <w:adjustRightInd w:val="0"/>
        <w:spacing w:line="360" w:lineRule="auto"/>
        <w:rPr>
          <w:rFonts w:ascii="宋体" w:cs="宋体"/>
          <w:color w:val="auto"/>
          <w:szCs w:val="21"/>
          <w:highlight w:val="none"/>
          <w:lang w:val="zh-CN" w:eastAsia="zh-CN"/>
        </w:rPr>
      </w:pPr>
      <w:r>
        <w:rPr>
          <w:rFonts w:hint="eastAsia" w:ascii="宋体" w:hAnsi="宋体" w:cs="宋体"/>
          <w:color w:val="auto"/>
          <w:szCs w:val="21"/>
          <w:highlight w:val="none"/>
          <w:lang w:val="zh-CN" w:eastAsia="zh-CN"/>
        </w:rPr>
        <w:t>说明：如果行数不够，请自行增加。</w:t>
      </w:r>
    </w:p>
    <w:p w14:paraId="2BDAD7B0">
      <w:pPr>
        <w:widowControl/>
        <w:shd w:val="clear" w:color="auto" w:fill="FFFFFF"/>
        <w:snapToGrid w:val="0"/>
        <w:spacing w:line="360" w:lineRule="auto"/>
        <w:rPr>
          <w:rFonts w:ascii="宋体" w:hAnsi="宋体" w:cs="宋体"/>
          <w:b/>
          <w:bCs/>
          <w:color w:val="auto"/>
          <w:sz w:val="24"/>
          <w:highlight w:val="none"/>
          <w:lang w:eastAsia="zh-CN"/>
        </w:rPr>
      </w:pPr>
    </w:p>
    <w:p w14:paraId="0C7EF1CE">
      <w:pPr>
        <w:snapToGrid w:val="0"/>
        <w:spacing w:line="360" w:lineRule="auto"/>
        <w:jc w:val="center"/>
        <w:rPr>
          <w:rFonts w:hint="eastAsia" w:ascii="宋体" w:hAnsi="宋体" w:cs="宋体"/>
          <w:b/>
          <w:bCs/>
          <w:color w:val="auto"/>
          <w:sz w:val="32"/>
          <w:szCs w:val="32"/>
          <w:highlight w:val="none"/>
          <w:lang w:eastAsia="zh-CN"/>
        </w:rPr>
      </w:pPr>
      <w:r>
        <w:rPr>
          <w:rFonts w:hint="eastAsia" w:ascii="宋体" w:hAnsi="宋体" w:cs="宋体"/>
          <w:b/>
          <w:bCs/>
          <w:color w:val="auto"/>
          <w:sz w:val="36"/>
          <w:szCs w:val="36"/>
          <w:highlight w:val="none"/>
          <w:lang w:eastAsia="zh-CN"/>
        </w:rPr>
        <w:br w:type="column"/>
      </w:r>
      <w:r>
        <w:rPr>
          <w:rFonts w:hint="eastAsia" w:ascii="宋体" w:hAnsi="宋体" w:cs="宋体"/>
          <w:b/>
          <w:bCs/>
          <w:color w:val="auto"/>
          <w:sz w:val="32"/>
          <w:szCs w:val="32"/>
          <w:highlight w:val="none"/>
          <w:lang w:eastAsia="zh-CN"/>
        </w:rPr>
        <w:t>目录</w:t>
      </w:r>
    </w:p>
    <w:p w14:paraId="511FA2B4">
      <w:pPr>
        <w:snapToGrid w:val="0"/>
        <w:spacing w:line="360" w:lineRule="auto"/>
        <w:jc w:val="center"/>
        <w:rPr>
          <w:rFonts w:ascii="宋体" w:hAnsi="宋体" w:cs="宋体"/>
          <w:b/>
          <w:bCs/>
          <w:color w:val="auto"/>
          <w:sz w:val="32"/>
          <w:szCs w:val="32"/>
          <w:highlight w:val="none"/>
          <w:lang w:eastAsia="zh-CN"/>
        </w:rPr>
      </w:pPr>
      <w:r>
        <w:rPr>
          <w:rFonts w:hint="eastAsia" w:ascii="宋体" w:hAnsi="宋体" w:cs="宋体"/>
          <w:b/>
          <w:bCs/>
          <w:color w:val="auto"/>
          <w:sz w:val="32"/>
          <w:szCs w:val="32"/>
          <w:highlight w:val="none"/>
          <w:lang w:eastAsia="zh-CN"/>
        </w:rPr>
        <w:t>（供应商自行编制）</w:t>
      </w:r>
    </w:p>
    <w:p w14:paraId="57C3EE14">
      <w:pPr>
        <w:snapToGrid w:val="0"/>
        <w:spacing w:line="360" w:lineRule="auto"/>
        <w:rPr>
          <w:rFonts w:ascii="宋体" w:hAnsi="宋体" w:cs="宋体"/>
          <w:b/>
          <w:bCs/>
          <w:color w:val="auto"/>
          <w:szCs w:val="21"/>
          <w:highlight w:val="none"/>
          <w:lang w:eastAsia="zh-CN"/>
        </w:rPr>
      </w:pPr>
      <w:bookmarkStart w:id="78" w:name="_Toc504056868"/>
      <w:bookmarkStart w:id="79" w:name="_Toc504573083"/>
      <w:bookmarkStart w:id="80" w:name="_Toc504044380"/>
      <w:r>
        <w:rPr>
          <w:rFonts w:hint="eastAsia" w:ascii="宋体" w:hAnsi="宋体" w:cs="宋体"/>
          <w:b/>
          <w:bCs/>
          <w:color w:val="auto"/>
          <w:szCs w:val="21"/>
          <w:highlight w:val="none"/>
          <w:lang w:eastAsia="zh-CN"/>
        </w:rPr>
        <w:br w:type="page"/>
      </w:r>
      <w:bookmarkEnd w:id="78"/>
      <w:bookmarkEnd w:id="79"/>
      <w:bookmarkEnd w:id="80"/>
      <w:r>
        <w:rPr>
          <w:rFonts w:hint="eastAsia" w:ascii="宋体" w:hAnsi="宋体" w:cs="宋体"/>
          <w:b/>
          <w:color w:val="auto"/>
          <w:szCs w:val="21"/>
          <w:highlight w:val="none"/>
          <w:lang w:eastAsia="zh-CN"/>
        </w:rPr>
        <w:t>格式</w:t>
      </w:r>
      <w:r>
        <w:rPr>
          <w:rFonts w:hint="eastAsia" w:ascii="宋体" w:hAnsi="宋体" w:cs="宋体"/>
          <w:b/>
          <w:bCs/>
          <w:color w:val="auto"/>
          <w:szCs w:val="21"/>
          <w:highlight w:val="none"/>
          <w:lang w:eastAsia="zh-CN"/>
        </w:rPr>
        <w:t>一、</w:t>
      </w:r>
      <w:r>
        <w:rPr>
          <w:rFonts w:hint="eastAsia" w:ascii="宋体" w:hAnsi="宋体" w:cs="宋体"/>
          <w:b/>
          <w:color w:val="auto"/>
          <w:szCs w:val="21"/>
          <w:highlight w:val="none"/>
          <w:lang w:eastAsia="zh-CN"/>
        </w:rPr>
        <w:t>竞争性磋商申请及声明</w:t>
      </w:r>
      <w:r>
        <w:rPr>
          <w:rFonts w:hint="eastAsia" w:ascii="宋体" w:hAnsi="宋体" w:cs="宋体"/>
          <w:b/>
          <w:bCs/>
          <w:color w:val="auto"/>
          <w:szCs w:val="21"/>
          <w:highlight w:val="none"/>
          <w:lang w:eastAsia="zh-CN"/>
        </w:rPr>
        <w:t>格式</w:t>
      </w:r>
    </w:p>
    <w:p w14:paraId="3E481101">
      <w:pPr>
        <w:snapToGrid w:val="0"/>
        <w:spacing w:line="360" w:lineRule="auto"/>
        <w:jc w:val="center"/>
        <w:rPr>
          <w:rFonts w:ascii="宋体" w:hAnsi="宋体" w:cs="宋体"/>
          <w:b/>
          <w:color w:val="auto"/>
          <w:sz w:val="32"/>
          <w:szCs w:val="32"/>
          <w:highlight w:val="none"/>
          <w:lang w:eastAsia="zh-CN"/>
        </w:rPr>
      </w:pPr>
      <w:r>
        <w:rPr>
          <w:rFonts w:hint="eastAsia" w:ascii="宋体" w:hAnsi="宋体" w:cs="宋体"/>
          <w:b/>
          <w:color w:val="auto"/>
          <w:sz w:val="32"/>
          <w:szCs w:val="32"/>
          <w:highlight w:val="none"/>
          <w:lang w:eastAsia="zh-CN"/>
        </w:rPr>
        <w:t>竞争性磋商申请及声明</w:t>
      </w:r>
    </w:p>
    <w:p w14:paraId="1B7BC024">
      <w:pPr>
        <w:snapToGrid w:val="0"/>
        <w:spacing w:line="360" w:lineRule="auto"/>
        <w:jc w:val="center"/>
        <w:rPr>
          <w:rFonts w:ascii="宋体" w:hAnsi="宋体" w:cs="宋体"/>
          <w:color w:val="auto"/>
          <w:szCs w:val="21"/>
          <w:highlight w:val="none"/>
          <w:lang w:eastAsia="zh-CN"/>
        </w:rPr>
      </w:pPr>
    </w:p>
    <w:p w14:paraId="6CE676E2">
      <w:pPr>
        <w:autoSpaceDE w:val="0"/>
        <w:autoSpaceDN w:val="0"/>
        <w:adjustRightInd w:val="0"/>
        <w:snapToGrid w:val="0"/>
        <w:spacing w:line="360" w:lineRule="auto"/>
        <w:rPr>
          <w:rFonts w:ascii="宋体" w:hAnsi="宋体" w:cs="宋体"/>
          <w:color w:val="auto"/>
          <w:szCs w:val="21"/>
          <w:highlight w:val="none"/>
          <w:lang w:val="zh-CN" w:eastAsia="zh-CN"/>
        </w:rPr>
      </w:pPr>
      <w:r>
        <w:rPr>
          <w:rFonts w:hint="eastAsia" w:ascii="宋体" w:hAnsi="宋体" w:cs="宋体"/>
          <w:color w:val="auto"/>
          <w:szCs w:val="21"/>
          <w:highlight w:val="none"/>
          <w:lang w:val="zh-CN" w:eastAsia="zh-CN"/>
        </w:rPr>
        <w:t xml:space="preserve">致： </w:t>
      </w:r>
    </w:p>
    <w:p w14:paraId="25DB03B1">
      <w:pPr>
        <w:autoSpaceDE w:val="0"/>
        <w:autoSpaceDN w:val="0"/>
        <w:adjustRightInd w:val="0"/>
        <w:snapToGrid w:val="0"/>
        <w:spacing w:line="360" w:lineRule="auto"/>
        <w:ind w:firstLine="42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根据贵方</w:t>
      </w:r>
      <w:r>
        <w:rPr>
          <w:rFonts w:hint="eastAsia" w:ascii="宋体" w:hAnsi="宋体" w:eastAsia="宋体" w:cs="宋体"/>
          <w:color w:val="auto"/>
          <w:sz w:val="24"/>
          <w:szCs w:val="24"/>
          <w:highlight w:val="none"/>
          <w:u w:val="single"/>
          <w:lang w:val="zh-CN" w:eastAsia="zh-CN"/>
        </w:rPr>
        <w:t xml:space="preserve">                   </w:t>
      </w:r>
      <w:r>
        <w:rPr>
          <w:rFonts w:hint="eastAsia" w:ascii="宋体" w:hAnsi="宋体" w:eastAsia="宋体" w:cs="宋体"/>
          <w:color w:val="auto"/>
          <w:sz w:val="24"/>
          <w:szCs w:val="24"/>
          <w:highlight w:val="none"/>
          <w:lang w:val="zh-CN" w:eastAsia="zh-CN"/>
        </w:rPr>
        <w:t>（项目名称）</w:t>
      </w:r>
      <w:r>
        <w:rPr>
          <w:rFonts w:hint="eastAsia" w:ascii="宋体" w:hAnsi="宋体" w:eastAsia="宋体" w:cs="宋体"/>
          <w:color w:val="auto"/>
          <w:sz w:val="24"/>
          <w:szCs w:val="24"/>
          <w:highlight w:val="none"/>
          <w:u w:val="single"/>
          <w:lang w:val="zh-CN" w:eastAsia="zh-CN"/>
        </w:rPr>
        <w:t xml:space="preserve">              </w:t>
      </w:r>
      <w:r>
        <w:rPr>
          <w:rFonts w:hint="eastAsia" w:ascii="宋体" w:hAnsi="宋体" w:eastAsia="宋体" w:cs="宋体"/>
          <w:color w:val="auto"/>
          <w:sz w:val="24"/>
          <w:szCs w:val="24"/>
          <w:highlight w:val="none"/>
          <w:lang w:val="zh-CN" w:eastAsia="zh-CN"/>
        </w:rPr>
        <w:t>（项目编号）竞争性磋商公告，正式授权下述签字人</w:t>
      </w:r>
      <w:r>
        <w:rPr>
          <w:rFonts w:hint="eastAsia" w:ascii="宋体" w:hAnsi="宋体" w:eastAsia="宋体" w:cs="宋体"/>
          <w:color w:val="auto"/>
          <w:sz w:val="24"/>
          <w:szCs w:val="24"/>
          <w:highlight w:val="none"/>
          <w:u w:val="single"/>
          <w:lang w:val="zh-CN" w:eastAsia="zh-CN"/>
        </w:rPr>
        <w:t xml:space="preserve">           </w:t>
      </w:r>
      <w:r>
        <w:rPr>
          <w:rFonts w:hint="eastAsia" w:ascii="宋体" w:hAnsi="宋体" w:eastAsia="宋体" w:cs="宋体"/>
          <w:color w:val="auto"/>
          <w:sz w:val="24"/>
          <w:szCs w:val="24"/>
          <w:highlight w:val="none"/>
          <w:lang w:val="zh-CN" w:eastAsia="zh-CN"/>
        </w:rPr>
        <w:t>（姓名和职务）代表</w:t>
      </w:r>
      <w:r>
        <w:rPr>
          <w:rFonts w:hint="eastAsia" w:ascii="宋体" w:hAnsi="宋体" w:eastAsia="宋体" w:cs="宋体"/>
          <w:color w:val="auto"/>
          <w:sz w:val="24"/>
          <w:szCs w:val="24"/>
          <w:highlight w:val="none"/>
          <w:u w:val="single"/>
          <w:lang w:val="zh-CN" w:eastAsia="zh-CN"/>
        </w:rPr>
        <w:t xml:space="preserve">                        </w:t>
      </w:r>
      <w:r>
        <w:rPr>
          <w:rFonts w:hint="eastAsia" w:ascii="宋体" w:hAnsi="宋体" w:eastAsia="宋体" w:cs="宋体"/>
          <w:color w:val="auto"/>
          <w:sz w:val="24"/>
          <w:szCs w:val="24"/>
          <w:highlight w:val="none"/>
          <w:lang w:val="zh-CN" w:eastAsia="zh-CN"/>
        </w:rPr>
        <w:t>（供应商名称），提交磋商响应文件并参加磋商。</w:t>
      </w:r>
    </w:p>
    <w:p w14:paraId="174C536C">
      <w:pPr>
        <w:snapToGri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据此函，签字人兹宣布同意如下：</w:t>
      </w:r>
    </w:p>
    <w:p w14:paraId="4C7A58FB">
      <w:pPr>
        <w:snapToGri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1.我方完全理解贵方不一定将合同授予最低报价的响应人。</w:t>
      </w:r>
    </w:p>
    <w:p w14:paraId="2ADCC7BA">
      <w:pPr>
        <w:snapToGri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2.我方已详细审核全部竞争性磋商文件及其有效补充文件，我们知道必须放弃提出含糊不清或误解问题的权利。</w:t>
      </w:r>
    </w:p>
    <w:p w14:paraId="2B79F505">
      <w:pPr>
        <w:tabs>
          <w:tab w:val="left" w:pos="0"/>
        </w:tabs>
        <w:snapToGrid w:val="0"/>
        <w:spacing w:line="360" w:lineRule="auto"/>
        <w:ind w:firstLine="480" w:firstLineChars="20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eastAsia="zh-CN"/>
        </w:rPr>
        <w:t>3.在充分研究磋商文件的全部内容后，我方兹以</w:t>
      </w:r>
      <w:r>
        <w:rPr>
          <w:rFonts w:hint="eastAsia" w:ascii="宋体" w:hAnsi="宋体" w:eastAsia="宋体" w:cs="宋体"/>
          <w:color w:val="auto"/>
          <w:sz w:val="24"/>
          <w:szCs w:val="24"/>
          <w:highlight w:val="none"/>
          <w:lang w:val="zh-CN" w:eastAsia="zh-CN"/>
        </w:rPr>
        <w:t>报价（含增值税）</w:t>
      </w:r>
    </w:p>
    <w:p w14:paraId="30B5A763">
      <w:pPr>
        <w:tabs>
          <w:tab w:val="left" w:pos="0"/>
        </w:tabs>
        <w:snapToGrid w:val="0"/>
        <w:spacing w:line="360" w:lineRule="auto"/>
        <w:ind w:firstLine="480" w:firstLineChars="200"/>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lang w:val="zh-CN" w:eastAsia="zh-CN"/>
        </w:rPr>
        <w:t>一包：（</w:t>
      </w:r>
      <w:r>
        <w:rPr>
          <w:rFonts w:hint="eastAsia" w:ascii="宋体" w:hAnsi="宋体" w:eastAsia="宋体" w:cs="宋体"/>
          <w:color w:val="auto"/>
          <w:sz w:val="24"/>
          <w:szCs w:val="24"/>
          <w:highlight w:val="none"/>
          <w:u w:val="single"/>
          <w:lang w:eastAsia="zh-CN"/>
        </w:rPr>
        <w:t>大写</w:t>
      </w:r>
      <w:r>
        <w:rPr>
          <w:rFonts w:hint="eastAsia" w:ascii="宋体" w:hAnsi="宋体" w:eastAsia="宋体" w:cs="宋体"/>
          <w:color w:val="auto"/>
          <w:sz w:val="24"/>
          <w:szCs w:val="24"/>
          <w:highlight w:val="none"/>
          <w:u w:val="single"/>
          <w:lang w:val="zh-CN" w:eastAsia="zh-CN"/>
        </w:rPr>
        <w:t>）</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lang w:val="en-US" w:eastAsia="zh-CN"/>
        </w:rPr>
        <w:t>小写</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 xml:space="preserve">                    </w:t>
      </w:r>
    </w:p>
    <w:p w14:paraId="27121549">
      <w:pPr>
        <w:tabs>
          <w:tab w:val="left" w:pos="0"/>
        </w:tabs>
        <w:snapToGri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进行报价，并严格按照合同约定，施工、竣工和交付本工程并维修其中的任何缺陷。</w:t>
      </w:r>
    </w:p>
    <w:p w14:paraId="52089AD7">
      <w:pPr>
        <w:pStyle w:val="137"/>
        <w:numPr>
          <w:ilvl w:val="0"/>
          <w:numId w:val="0"/>
        </w:numPr>
        <w:spacing w:line="360" w:lineRule="auto"/>
        <w:ind w:left="480" w:leftChars="0" w:firstLine="0" w:firstLineChars="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bidi="ar-SA"/>
        </w:rPr>
        <w:t>4.</w:t>
      </w:r>
      <w:r>
        <w:rPr>
          <w:rFonts w:hint="eastAsia" w:ascii="宋体" w:hAnsi="宋体" w:cs="宋体"/>
          <w:color w:val="auto"/>
          <w:sz w:val="24"/>
          <w:szCs w:val="24"/>
          <w:highlight w:val="none"/>
        </w:rPr>
        <w:t>我方拟投入本项目负责人为</w:t>
      </w:r>
      <w:r>
        <w:rPr>
          <w:rFonts w:hint="eastAsia" w:ascii="宋体" w:hAnsi="宋体" w:cs="宋体"/>
          <w:color w:val="auto"/>
          <w:sz w:val="24"/>
          <w:szCs w:val="24"/>
          <w:highlight w:val="none"/>
          <w:lang w:eastAsia="zh-CN"/>
        </w:rPr>
        <w:t>：</w:t>
      </w:r>
    </w:p>
    <w:p w14:paraId="0A619CE2">
      <w:pPr>
        <w:tabs>
          <w:tab w:val="left" w:pos="0"/>
        </w:tabs>
        <w:snapToGrid w:val="0"/>
        <w:spacing w:line="360" w:lineRule="auto"/>
        <w:ind w:firstLine="480" w:firstLineChars="200"/>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lang w:val="zh-CN" w:eastAsia="zh-CN"/>
        </w:rPr>
        <w:t>一包：</w:t>
      </w:r>
      <w:r>
        <w:rPr>
          <w:rFonts w:hint="eastAsia" w:ascii="宋体" w:hAnsi="宋体" w:eastAsia="宋体" w:cs="宋体"/>
          <w:color w:val="auto"/>
          <w:sz w:val="24"/>
          <w:szCs w:val="24"/>
          <w:highlight w:val="none"/>
          <w:u w:val="single"/>
          <w:lang w:val="en-US" w:eastAsia="zh-CN"/>
        </w:rPr>
        <w:t xml:space="preserve">                    </w:t>
      </w:r>
    </w:p>
    <w:p w14:paraId="439245E4">
      <w:pPr>
        <w:numPr>
          <w:ilvl w:val="0"/>
          <w:numId w:val="0"/>
        </w:numPr>
        <w:snapToGri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bidi="ar-SA"/>
        </w:rPr>
        <w:t>5.</w:t>
      </w:r>
      <w:r>
        <w:rPr>
          <w:rFonts w:hint="eastAsia" w:ascii="宋体" w:hAnsi="宋体" w:eastAsia="宋体" w:cs="宋体"/>
          <w:color w:val="auto"/>
          <w:sz w:val="24"/>
          <w:szCs w:val="24"/>
          <w:highlight w:val="none"/>
          <w:lang w:eastAsia="zh-CN"/>
        </w:rPr>
        <w:t>我方承诺本项目的工期为：</w:t>
      </w:r>
    </w:p>
    <w:p w14:paraId="746FEFAE">
      <w:pPr>
        <w:tabs>
          <w:tab w:val="left" w:pos="0"/>
        </w:tabs>
        <w:snapToGrid w:val="0"/>
        <w:spacing w:line="360" w:lineRule="auto"/>
        <w:ind w:firstLine="480" w:firstLineChars="200"/>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lang w:val="zh-CN" w:eastAsia="zh-CN"/>
        </w:rPr>
        <w:t>一包：</w:t>
      </w:r>
      <w:r>
        <w:rPr>
          <w:rFonts w:hint="eastAsia" w:ascii="宋体" w:hAnsi="宋体" w:eastAsia="宋体" w:cs="宋体"/>
          <w:color w:val="auto"/>
          <w:sz w:val="24"/>
          <w:szCs w:val="24"/>
          <w:highlight w:val="none"/>
          <w:u w:val="single"/>
          <w:lang w:val="en-US" w:eastAsia="zh-CN"/>
        </w:rPr>
        <w:t xml:space="preserve">                    </w:t>
      </w:r>
    </w:p>
    <w:p w14:paraId="53B16904">
      <w:pPr>
        <w:snapToGri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6.我方同意向贵方提供贵方可能另外要求的与磋商有关的任何证据或资料，并保证我方已提供和将要提供的文件是真实的、准确的。</w:t>
      </w:r>
    </w:p>
    <w:p w14:paraId="2D3B5697">
      <w:pPr>
        <w:snapToGri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7.遵守竞争性磋商文件中要求的收费项目和标准。</w:t>
      </w:r>
    </w:p>
    <w:p w14:paraId="3C0466A1">
      <w:pPr>
        <w:snapToGri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8.我方正式通讯方式为：</w:t>
      </w:r>
    </w:p>
    <w:p w14:paraId="3A9800EB">
      <w:pPr>
        <w:snapToGrid w:val="0"/>
        <w:spacing w:line="360" w:lineRule="auto"/>
        <w:ind w:firstLine="480" w:firstLineChars="200"/>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lang w:eastAsia="zh-CN"/>
        </w:rPr>
        <w:t>地   址：</w:t>
      </w:r>
      <w:r>
        <w:rPr>
          <w:rFonts w:hint="eastAsia" w:ascii="宋体" w:hAnsi="宋体" w:eastAsia="宋体" w:cs="宋体"/>
          <w:color w:val="auto"/>
          <w:sz w:val="24"/>
          <w:szCs w:val="24"/>
          <w:highlight w:val="none"/>
          <w:u w:val="single"/>
          <w:lang w:eastAsia="zh-CN"/>
        </w:rPr>
        <w:t xml:space="preserve">                       </w:t>
      </w:r>
    </w:p>
    <w:p w14:paraId="7A41C246">
      <w:pPr>
        <w:snapToGrid w:val="0"/>
        <w:spacing w:line="360" w:lineRule="auto"/>
        <w:ind w:firstLine="480" w:firstLineChars="200"/>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lang w:eastAsia="zh-CN"/>
        </w:rPr>
        <w:t>电   话：</w:t>
      </w:r>
      <w:r>
        <w:rPr>
          <w:rFonts w:hint="eastAsia" w:ascii="宋体" w:hAnsi="宋体" w:eastAsia="宋体" w:cs="宋体"/>
          <w:color w:val="auto"/>
          <w:sz w:val="24"/>
          <w:szCs w:val="24"/>
          <w:highlight w:val="none"/>
          <w:u w:val="single"/>
          <w:lang w:eastAsia="zh-CN"/>
        </w:rPr>
        <w:t xml:space="preserve">                       </w:t>
      </w:r>
    </w:p>
    <w:p w14:paraId="6DF18DD2">
      <w:pPr>
        <w:snapToGrid w:val="0"/>
        <w:spacing w:line="360" w:lineRule="auto"/>
        <w:ind w:firstLine="480" w:firstLineChars="200"/>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lang w:eastAsia="zh-CN"/>
        </w:rPr>
        <w:t>传   真：</w:t>
      </w:r>
      <w:r>
        <w:rPr>
          <w:rFonts w:hint="eastAsia" w:ascii="宋体" w:hAnsi="宋体" w:eastAsia="宋体" w:cs="宋体"/>
          <w:color w:val="auto"/>
          <w:sz w:val="24"/>
          <w:szCs w:val="24"/>
          <w:highlight w:val="none"/>
          <w:u w:val="single"/>
          <w:lang w:eastAsia="zh-CN"/>
        </w:rPr>
        <w:t xml:space="preserve">                       </w:t>
      </w:r>
    </w:p>
    <w:p w14:paraId="6AA7570E">
      <w:pPr>
        <w:snapToGri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9.我方正式开户银行和账号为：</w:t>
      </w:r>
    </w:p>
    <w:p w14:paraId="7E126C36">
      <w:pPr>
        <w:snapToGrid w:val="0"/>
        <w:spacing w:line="360" w:lineRule="auto"/>
        <w:ind w:firstLine="480" w:firstLineChars="200"/>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lang w:eastAsia="zh-CN"/>
        </w:rPr>
        <w:t>开户银行：</w:t>
      </w:r>
      <w:r>
        <w:rPr>
          <w:rFonts w:hint="eastAsia" w:ascii="宋体" w:hAnsi="宋体" w:eastAsia="宋体" w:cs="宋体"/>
          <w:color w:val="auto"/>
          <w:sz w:val="24"/>
          <w:szCs w:val="24"/>
          <w:highlight w:val="none"/>
          <w:u w:val="single"/>
          <w:lang w:eastAsia="zh-CN"/>
        </w:rPr>
        <w:t xml:space="preserve">                       </w:t>
      </w:r>
    </w:p>
    <w:p w14:paraId="6A72D3F0">
      <w:pPr>
        <w:snapToGri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账    号：</w:t>
      </w:r>
      <w:r>
        <w:rPr>
          <w:rFonts w:hint="eastAsia" w:ascii="宋体" w:hAnsi="宋体" w:eastAsia="宋体" w:cs="宋体"/>
          <w:color w:val="auto"/>
          <w:sz w:val="24"/>
          <w:szCs w:val="24"/>
          <w:highlight w:val="none"/>
          <w:u w:val="single"/>
          <w:lang w:eastAsia="zh-CN"/>
        </w:rPr>
        <w:t xml:space="preserve">                       </w:t>
      </w:r>
    </w:p>
    <w:p w14:paraId="16D07C29">
      <w:pPr>
        <w:snapToGrid w:val="0"/>
        <w:spacing w:line="360" w:lineRule="auto"/>
        <w:ind w:firstLine="480" w:firstLineChars="200"/>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lang w:eastAsia="zh-CN"/>
        </w:rPr>
        <w:t>供应商授权代表姓名（签字或签章）：</w:t>
      </w:r>
      <w:r>
        <w:rPr>
          <w:rFonts w:hint="eastAsia" w:ascii="宋体" w:hAnsi="宋体" w:eastAsia="宋体" w:cs="宋体"/>
          <w:color w:val="auto"/>
          <w:sz w:val="24"/>
          <w:szCs w:val="24"/>
          <w:highlight w:val="none"/>
          <w:u w:val="single"/>
          <w:lang w:eastAsia="zh-CN"/>
        </w:rPr>
        <w:t xml:space="preserve">         </w:t>
      </w:r>
    </w:p>
    <w:p w14:paraId="1D9D39C8">
      <w:pPr>
        <w:snapToGri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供应商名称（加盖电子公章）：</w:t>
      </w:r>
      <w:r>
        <w:rPr>
          <w:rFonts w:hint="eastAsia" w:ascii="宋体" w:hAnsi="宋体" w:eastAsia="宋体" w:cs="宋体"/>
          <w:color w:val="auto"/>
          <w:sz w:val="24"/>
          <w:szCs w:val="24"/>
          <w:highlight w:val="none"/>
          <w:u w:val="single"/>
          <w:lang w:eastAsia="zh-CN"/>
        </w:rPr>
        <w:t xml:space="preserve">                 </w:t>
      </w:r>
    </w:p>
    <w:p w14:paraId="72E5FABD">
      <w:pPr>
        <w:snapToGri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日    期：</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日</w:t>
      </w:r>
    </w:p>
    <w:p w14:paraId="38FF0D54">
      <w:pPr>
        <w:snapToGrid w:val="0"/>
        <w:spacing w:line="360" w:lineRule="auto"/>
        <w:rPr>
          <w:rFonts w:hint="eastAsia" w:ascii="宋体" w:hAnsi="宋体" w:cs="宋体"/>
          <w:color w:val="auto"/>
          <w:szCs w:val="21"/>
          <w:highlight w:val="none"/>
          <w:lang w:val="zh-CN" w:eastAsia="zh-CN"/>
        </w:rPr>
      </w:pPr>
      <w:r>
        <w:rPr>
          <w:rFonts w:hint="eastAsia" w:ascii="宋体" w:hAnsi="宋体" w:cs="宋体"/>
          <w:color w:val="auto"/>
          <w:szCs w:val="21"/>
          <w:highlight w:val="none"/>
          <w:lang w:val="zh-CN" w:eastAsia="zh-CN"/>
        </w:rPr>
        <w:br w:type="page"/>
      </w:r>
    </w:p>
    <w:p w14:paraId="3C546A0B">
      <w:pPr>
        <w:snapToGrid w:val="0"/>
        <w:spacing w:line="360" w:lineRule="auto"/>
        <w:rPr>
          <w:rFonts w:ascii="宋体" w:hAnsi="宋体" w:cs="宋体"/>
          <w:b/>
          <w:bCs/>
          <w:color w:val="auto"/>
          <w:szCs w:val="21"/>
          <w:highlight w:val="none"/>
          <w:lang w:eastAsia="zh-CN"/>
        </w:rPr>
      </w:pPr>
      <w:r>
        <w:rPr>
          <w:rFonts w:hint="eastAsia" w:ascii="宋体" w:hAnsi="宋体" w:cs="宋体"/>
          <w:b/>
          <w:color w:val="auto"/>
          <w:highlight w:val="none"/>
          <w:lang w:eastAsia="zh-CN"/>
        </w:rPr>
        <w:t>格式</w:t>
      </w:r>
      <w:r>
        <w:rPr>
          <w:rFonts w:hint="eastAsia" w:ascii="宋体" w:hAnsi="宋体" w:cs="宋体"/>
          <w:b/>
          <w:bCs/>
          <w:color w:val="auto"/>
          <w:szCs w:val="21"/>
          <w:highlight w:val="none"/>
          <w:lang w:eastAsia="zh-CN"/>
        </w:rPr>
        <w:t>二、法定代表人授权委托书格式</w:t>
      </w:r>
    </w:p>
    <w:p w14:paraId="50BE4423">
      <w:pPr>
        <w:widowControl/>
        <w:shd w:val="clear" w:color="auto" w:fill="FFFFFF"/>
        <w:snapToGrid w:val="0"/>
        <w:spacing w:line="360" w:lineRule="auto"/>
        <w:ind w:firstLine="720"/>
        <w:jc w:val="center"/>
        <w:rPr>
          <w:rFonts w:ascii="宋体" w:hAnsi="宋体" w:cs="宋体"/>
          <w:b/>
          <w:color w:val="auto"/>
          <w:szCs w:val="21"/>
          <w:highlight w:val="none"/>
          <w:lang w:eastAsia="zh-CN"/>
        </w:rPr>
      </w:pPr>
      <w:bookmarkStart w:id="81" w:name="_Toc513029283"/>
      <w:bookmarkStart w:id="82" w:name="_Toc120614292"/>
      <w:bookmarkStart w:id="83" w:name="_Toc49090584"/>
      <w:bookmarkStart w:id="84" w:name="_Toc26554105"/>
      <w:bookmarkStart w:id="85" w:name="_Toc22356585"/>
      <w:bookmarkStart w:id="86" w:name="_Toc23828485"/>
      <w:r>
        <w:rPr>
          <w:rFonts w:hint="eastAsia" w:ascii="宋体" w:hAnsi="宋体" w:cs="宋体"/>
          <w:b/>
          <w:color w:val="auto"/>
          <w:sz w:val="36"/>
          <w:szCs w:val="36"/>
          <w:highlight w:val="none"/>
          <w:lang w:eastAsia="zh-CN"/>
        </w:rPr>
        <w:t>法定代表人授权委托书</w:t>
      </w:r>
    </w:p>
    <w:p w14:paraId="73A37876">
      <w:pPr>
        <w:widowControl/>
        <w:shd w:val="clear" w:color="auto" w:fill="FFFFFF"/>
        <w:snapToGrid w:val="0"/>
        <w:spacing w:line="360" w:lineRule="auto"/>
        <w:rPr>
          <w:rFonts w:ascii="宋体" w:hAnsi="宋体" w:cs="宋体"/>
          <w:color w:val="auto"/>
          <w:szCs w:val="21"/>
          <w:highlight w:val="none"/>
          <w:lang w:eastAsia="zh-CN"/>
        </w:rPr>
      </w:pPr>
    </w:p>
    <w:p w14:paraId="46C7D434">
      <w:pPr>
        <w:widowControl/>
        <w:shd w:val="clear" w:color="auto" w:fill="FFFFFF"/>
        <w:snapToGrid w:val="0"/>
        <w:spacing w:line="360" w:lineRule="auto"/>
        <w:rPr>
          <w:rFonts w:ascii="宋体" w:hAnsi="宋体" w:cs="宋体"/>
          <w:color w:val="auto"/>
          <w:szCs w:val="21"/>
          <w:highlight w:val="none"/>
          <w:lang w:eastAsia="zh-CN"/>
        </w:rPr>
      </w:pPr>
      <w:r>
        <w:rPr>
          <w:rFonts w:hint="eastAsia" w:ascii="宋体" w:hAnsi="宋体" w:cs="宋体"/>
          <w:color w:val="auto"/>
          <w:szCs w:val="21"/>
          <w:highlight w:val="none"/>
          <w:lang w:eastAsia="zh-CN"/>
        </w:rPr>
        <w:t xml:space="preserve">致： </w:t>
      </w:r>
    </w:p>
    <w:p w14:paraId="37BABAD6">
      <w:pPr>
        <w:widowControl/>
        <w:shd w:val="clear" w:color="auto" w:fill="FFFFFF"/>
        <w:snapToGrid w:val="0"/>
        <w:spacing w:line="360" w:lineRule="auto"/>
        <w:ind w:firstLine="420"/>
        <w:rPr>
          <w:rFonts w:ascii="宋体" w:hAnsi="宋体" w:cs="宋体"/>
          <w:color w:val="auto"/>
          <w:szCs w:val="21"/>
          <w:highlight w:val="none"/>
          <w:lang w:eastAsia="zh-CN"/>
        </w:rPr>
      </w:pPr>
      <w:r>
        <w:rPr>
          <w:rFonts w:hint="eastAsia" w:ascii="宋体" w:hAnsi="宋体" w:cs="宋体"/>
          <w:color w:val="auto"/>
          <w:szCs w:val="21"/>
          <w:highlight w:val="none"/>
          <w:lang w:eastAsia="zh-CN"/>
        </w:rPr>
        <w:t>本授权书声明：注册于</w:t>
      </w:r>
      <w:r>
        <w:rPr>
          <w:rFonts w:hint="eastAsia" w:ascii="宋体" w:hAnsi="宋体" w:cs="宋体"/>
          <w:color w:val="auto"/>
          <w:szCs w:val="21"/>
          <w:highlight w:val="none"/>
          <w:u w:val="single"/>
          <w:lang w:eastAsia="zh-CN"/>
        </w:rPr>
        <w:t>              </w:t>
      </w:r>
      <w:r>
        <w:rPr>
          <w:rFonts w:hint="eastAsia" w:ascii="宋体" w:hAnsi="宋体" w:cs="宋体"/>
          <w:color w:val="auto"/>
          <w:szCs w:val="21"/>
          <w:highlight w:val="none"/>
          <w:lang w:eastAsia="zh-CN"/>
        </w:rPr>
        <w:t>（响应人住址）的</w:t>
      </w:r>
      <w:r>
        <w:rPr>
          <w:rFonts w:hint="eastAsia" w:ascii="宋体" w:hAnsi="宋体" w:cs="宋体"/>
          <w:color w:val="auto"/>
          <w:szCs w:val="21"/>
          <w:highlight w:val="none"/>
          <w:u w:val="single"/>
          <w:lang w:eastAsia="zh-CN"/>
        </w:rPr>
        <w:t>           </w:t>
      </w:r>
      <w:r>
        <w:rPr>
          <w:rFonts w:hint="eastAsia" w:ascii="宋体" w:hAnsi="宋体" w:cs="宋体"/>
          <w:color w:val="auto"/>
          <w:szCs w:val="21"/>
          <w:highlight w:val="none"/>
          <w:lang w:eastAsia="zh-CN"/>
        </w:rPr>
        <w:t>（响应人名称）法定代表人</w:t>
      </w:r>
      <w:r>
        <w:rPr>
          <w:rFonts w:hint="eastAsia" w:ascii="宋体" w:hAnsi="宋体" w:cs="宋体"/>
          <w:color w:val="auto"/>
          <w:szCs w:val="21"/>
          <w:highlight w:val="none"/>
          <w:u w:val="single"/>
          <w:lang w:eastAsia="zh-CN"/>
        </w:rPr>
        <w:t>        </w:t>
      </w:r>
      <w:r>
        <w:rPr>
          <w:rFonts w:hint="eastAsia" w:ascii="宋体" w:hAnsi="宋体" w:cs="宋体"/>
          <w:color w:val="auto"/>
          <w:szCs w:val="21"/>
          <w:highlight w:val="none"/>
          <w:lang w:eastAsia="zh-CN"/>
        </w:rPr>
        <w:t>（法定代表人姓名、职务）代表本公司授权在下面签字的</w:t>
      </w:r>
      <w:r>
        <w:rPr>
          <w:rFonts w:hint="eastAsia" w:ascii="宋体" w:hAnsi="宋体" w:cs="宋体"/>
          <w:color w:val="auto"/>
          <w:szCs w:val="21"/>
          <w:highlight w:val="none"/>
          <w:u w:val="single"/>
          <w:lang w:eastAsia="zh-CN"/>
        </w:rPr>
        <w:t>        </w:t>
      </w:r>
      <w:r>
        <w:rPr>
          <w:rFonts w:hint="eastAsia" w:ascii="宋体" w:hAnsi="宋体" w:cs="宋体"/>
          <w:color w:val="auto"/>
          <w:szCs w:val="21"/>
          <w:highlight w:val="none"/>
          <w:lang w:eastAsia="zh-CN"/>
        </w:rPr>
        <w:t>（响应人代表姓名、职务）为本公司的合法代理人，就贵方组织的</w:t>
      </w:r>
      <w:r>
        <w:rPr>
          <w:rFonts w:hint="eastAsia" w:ascii="宋体" w:hAnsi="宋体" w:cs="宋体"/>
          <w:b/>
          <w:bCs/>
          <w:color w:val="auto"/>
          <w:szCs w:val="21"/>
          <w:highlight w:val="none"/>
          <w:u w:val="single"/>
          <w:lang w:eastAsia="zh-CN"/>
        </w:rPr>
        <w:t>                   </w:t>
      </w:r>
      <w:r>
        <w:rPr>
          <w:rFonts w:hint="eastAsia" w:ascii="宋体" w:hAnsi="宋体" w:cs="宋体"/>
          <w:color w:val="auto"/>
          <w:szCs w:val="21"/>
          <w:highlight w:val="none"/>
          <w:lang w:eastAsia="zh-CN"/>
        </w:rPr>
        <w:t>（项目名称），</w:t>
      </w:r>
      <w:r>
        <w:rPr>
          <w:rFonts w:hint="eastAsia" w:ascii="宋体" w:hAnsi="宋体" w:cs="宋体"/>
          <w:color w:val="auto"/>
          <w:szCs w:val="21"/>
          <w:highlight w:val="none"/>
          <w:u w:val="single"/>
          <w:lang w:eastAsia="zh-CN"/>
        </w:rPr>
        <w:t>        </w:t>
      </w:r>
      <w:r>
        <w:rPr>
          <w:rFonts w:hint="eastAsia" w:ascii="宋体" w:hAnsi="宋体" w:cs="宋体"/>
          <w:color w:val="auto"/>
          <w:szCs w:val="21"/>
          <w:highlight w:val="none"/>
          <w:lang w:eastAsia="zh-CN"/>
        </w:rPr>
        <w:t>（项目编号）响应，以本公司名义处理一切与之有关的事务。</w:t>
      </w:r>
    </w:p>
    <w:p w14:paraId="01C5EB41">
      <w:pPr>
        <w:widowControl/>
        <w:shd w:val="clear" w:color="auto" w:fill="FFFFFF"/>
        <w:snapToGrid w:val="0"/>
        <w:spacing w:line="360" w:lineRule="auto"/>
        <w:rPr>
          <w:rFonts w:ascii="宋体" w:hAnsi="宋体" w:cs="宋体"/>
          <w:color w:val="auto"/>
          <w:szCs w:val="21"/>
          <w:highlight w:val="none"/>
          <w:lang w:eastAsia="zh-CN"/>
        </w:rPr>
      </w:pPr>
      <w:r>
        <w:rPr>
          <w:rFonts w:hint="eastAsia" w:ascii="宋体" w:hAnsi="宋体" w:cs="宋体"/>
          <w:color w:val="auto"/>
          <w:szCs w:val="21"/>
          <w:highlight w:val="none"/>
          <w:lang w:eastAsia="zh-CN"/>
        </w:rPr>
        <w:t>    本授权书于    年  月  日签字生效，特此声明。</w:t>
      </w:r>
    </w:p>
    <w:p w14:paraId="24927111">
      <w:pPr>
        <w:widowControl/>
        <w:shd w:val="clear" w:color="auto" w:fill="FFFFFF"/>
        <w:snapToGrid w:val="0"/>
        <w:spacing w:line="360" w:lineRule="auto"/>
        <w:rPr>
          <w:rFonts w:ascii="宋体" w:hAnsi="宋体" w:cs="宋体"/>
          <w:color w:val="auto"/>
          <w:szCs w:val="21"/>
          <w:highlight w:val="none"/>
          <w:lang w:eastAsia="zh-CN"/>
        </w:rPr>
      </w:pPr>
      <w:r>
        <w:rPr>
          <w:rFonts w:hint="eastAsia" w:ascii="宋体" w:hAnsi="宋体" w:cs="宋体"/>
          <w:color w:val="auto"/>
          <w:szCs w:val="21"/>
          <w:highlight w:val="none"/>
          <w:lang w:eastAsia="zh-CN"/>
        </w:rPr>
        <w:t>    法定代表人签字</w:t>
      </w:r>
      <w:r>
        <w:rPr>
          <w:rFonts w:hint="eastAsia" w:ascii="宋体" w:hAnsi="宋体" w:eastAsia="宋体" w:cs="宋体"/>
          <w:color w:val="auto"/>
          <w:sz w:val="24"/>
          <w:szCs w:val="24"/>
          <w:highlight w:val="none"/>
          <w:lang w:eastAsia="zh-CN"/>
        </w:rPr>
        <w:t>或签章</w:t>
      </w:r>
      <w:r>
        <w:rPr>
          <w:rFonts w:hint="eastAsia" w:ascii="宋体" w:hAnsi="宋体" w:cs="宋体"/>
          <w:color w:val="auto"/>
          <w:szCs w:val="21"/>
          <w:highlight w:val="none"/>
          <w:lang w:eastAsia="zh-CN"/>
        </w:rPr>
        <w:t>：</w:t>
      </w:r>
    </w:p>
    <w:p w14:paraId="1F86A320">
      <w:pPr>
        <w:widowControl/>
        <w:shd w:val="clear" w:color="auto" w:fill="FFFFFF"/>
        <w:snapToGrid w:val="0"/>
        <w:spacing w:line="360" w:lineRule="auto"/>
        <w:ind w:firstLine="825"/>
        <w:rPr>
          <w:rFonts w:ascii="宋体" w:hAnsi="宋体" w:cs="宋体"/>
          <w:color w:val="auto"/>
          <w:szCs w:val="21"/>
          <w:highlight w:val="none"/>
          <w:lang w:eastAsia="zh-CN"/>
        </w:rPr>
      </w:pPr>
      <w:r>
        <w:rPr>
          <w:rFonts w:hint="eastAsia" w:ascii="宋体" w:hAnsi="宋体" w:cs="宋体"/>
          <w:color w:val="auto"/>
          <w:szCs w:val="21"/>
          <w:highlight w:val="none"/>
          <w:lang w:eastAsia="zh-CN"/>
        </w:rPr>
        <w:t>被授权人签字</w:t>
      </w:r>
      <w:r>
        <w:rPr>
          <w:rFonts w:hint="eastAsia" w:ascii="宋体" w:hAnsi="宋体" w:eastAsia="宋体" w:cs="宋体"/>
          <w:color w:val="auto"/>
          <w:sz w:val="24"/>
          <w:szCs w:val="24"/>
          <w:highlight w:val="none"/>
          <w:lang w:eastAsia="zh-CN"/>
        </w:rPr>
        <w:t>或签章</w:t>
      </w:r>
      <w:r>
        <w:rPr>
          <w:rFonts w:hint="eastAsia" w:ascii="宋体" w:hAnsi="宋体" w:cs="宋体"/>
          <w:color w:val="auto"/>
          <w:szCs w:val="21"/>
          <w:highlight w:val="none"/>
          <w:lang w:eastAsia="zh-CN"/>
        </w:rPr>
        <w:t>：                   </w:t>
      </w:r>
    </w:p>
    <w:p w14:paraId="44137608">
      <w:pPr>
        <w:widowControl/>
        <w:shd w:val="clear" w:color="auto" w:fill="FFFFFF"/>
        <w:snapToGrid w:val="0"/>
        <w:spacing w:line="360" w:lineRule="auto"/>
        <w:ind w:firstLine="880" w:firstLineChars="400"/>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被授权人身份证号码：        被授权人联系电话：（手机）</w:t>
      </w:r>
    </w:p>
    <w:p w14:paraId="21C3E3B3">
      <w:pPr>
        <w:widowControl/>
        <w:shd w:val="clear" w:color="auto" w:fill="FFFFFF"/>
        <w:snapToGrid w:val="0"/>
        <w:spacing w:line="360" w:lineRule="auto"/>
        <w:ind w:firstLine="880" w:firstLineChars="400"/>
        <w:rPr>
          <w:rFonts w:hint="eastAsia" w:ascii="宋体" w:hAnsi="宋体" w:cs="宋体"/>
          <w:color w:val="auto"/>
          <w:szCs w:val="21"/>
          <w:highlight w:val="none"/>
          <w:lang w:eastAsia="zh-CN"/>
        </w:rPr>
      </w:pPr>
    </w:p>
    <w:p w14:paraId="2656B5D6">
      <w:pPr>
        <w:widowControl/>
        <w:shd w:val="clear" w:color="auto" w:fill="FFFFFF"/>
        <w:snapToGrid w:val="0"/>
        <w:spacing w:line="360" w:lineRule="auto"/>
        <w:ind w:firstLine="880" w:firstLineChars="400"/>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单位名称：（加盖电子公章）</w:t>
      </w:r>
    </w:p>
    <w:p w14:paraId="2290F24D">
      <w:pPr>
        <w:widowControl/>
        <w:shd w:val="clear" w:color="auto" w:fill="FFFFFF"/>
        <w:snapToGrid w:val="0"/>
        <w:spacing w:line="360" w:lineRule="auto"/>
        <w:ind w:firstLine="880" w:firstLineChars="400"/>
        <w:rPr>
          <w:rFonts w:hint="eastAsia" w:ascii="宋体" w:hAnsi="宋体" w:cs="宋体"/>
          <w:color w:val="auto"/>
          <w:szCs w:val="21"/>
          <w:highlight w:val="none"/>
          <w:lang w:eastAsia="zh-CN"/>
        </w:rPr>
      </w:pPr>
    </w:p>
    <w:p w14:paraId="2AB2F8FC">
      <w:pPr>
        <w:widowControl/>
        <w:shd w:val="clear" w:color="auto" w:fill="FFFFFF"/>
        <w:snapToGrid w:val="0"/>
        <w:spacing w:line="360" w:lineRule="auto"/>
        <w:ind w:firstLine="880" w:firstLineChars="400"/>
        <w:rPr>
          <w:rFonts w:hint="eastAsia" w:ascii="宋体" w:hAnsi="宋体" w:cs="宋体"/>
          <w:color w:val="auto"/>
          <w:szCs w:val="21"/>
          <w:highlight w:val="none"/>
          <w:lang w:eastAsia="zh-CN"/>
        </w:rPr>
      </w:pPr>
    </w:p>
    <w:p w14:paraId="7299D9E5">
      <w:pPr>
        <w:widowControl/>
        <w:shd w:val="clear" w:color="auto" w:fill="FFFFFF"/>
        <w:snapToGrid w:val="0"/>
        <w:spacing w:line="360" w:lineRule="auto"/>
        <w:ind w:firstLine="880" w:firstLineChars="400"/>
        <w:rPr>
          <w:rFonts w:ascii="宋体" w:hAnsi="宋体" w:cs="宋体"/>
          <w:color w:val="auto"/>
          <w:szCs w:val="21"/>
          <w:highlight w:val="none"/>
          <w:lang w:eastAsia="zh-CN"/>
        </w:rPr>
      </w:pPr>
      <w:r>
        <w:rPr>
          <w:rFonts w:hint="eastAsia" w:ascii="宋体" w:hAnsi="宋体" w:cs="宋体"/>
          <w:color w:val="auto"/>
          <w:szCs w:val="21"/>
          <w:highlight w:val="none"/>
          <w:lang w:eastAsia="zh-CN"/>
        </w:rPr>
        <w:t>日     期：        年    月    日</w:t>
      </w:r>
    </w:p>
    <w:p w14:paraId="08A2441C">
      <w:pPr>
        <w:widowControl/>
        <w:shd w:val="clear" w:color="auto" w:fill="FFFFFF"/>
        <w:snapToGrid w:val="0"/>
        <w:spacing w:line="360" w:lineRule="auto"/>
        <w:rPr>
          <w:rFonts w:hint="eastAsia" w:ascii="宋体" w:hAnsi="宋体" w:eastAsia="宋体" w:cs="宋体"/>
          <w:color w:val="auto"/>
          <w:sz w:val="21"/>
          <w:szCs w:val="21"/>
          <w:highlight w:val="none"/>
          <w:lang w:eastAsia="zh-CN"/>
        </w:rPr>
      </w:pPr>
    </w:p>
    <w:p w14:paraId="08EFAFA3">
      <w:pPr>
        <w:widowControl/>
        <w:shd w:val="clear" w:color="auto" w:fill="FFFFFF"/>
        <w:snapToGrid w:val="0"/>
        <w:spacing w:line="360" w:lineRule="auto"/>
        <w:rPr>
          <w:rFonts w:hint="eastAsia" w:ascii="宋体" w:hAnsi="宋体" w:eastAsia="宋体" w:cs="宋体"/>
          <w:color w:val="auto"/>
          <w:sz w:val="21"/>
          <w:szCs w:val="21"/>
          <w:highlight w:val="none"/>
          <w:lang w:eastAsia="zh-CN"/>
        </w:rPr>
      </w:pPr>
    </w:p>
    <w:p w14:paraId="2A2060A1">
      <w:pPr>
        <w:widowControl/>
        <w:shd w:val="clear" w:color="auto" w:fill="FFFFFF"/>
        <w:snapToGrid w:val="0"/>
        <w:spacing w:line="360" w:lineRule="auto"/>
        <w:jc w:val="center"/>
        <w:rPr>
          <w:rFonts w:hint="eastAsia" w:ascii="宋体" w:hAnsi="宋体" w:eastAsia="宋体" w:cs="宋体"/>
          <w:color w:val="auto"/>
          <w:sz w:val="21"/>
          <w:szCs w:val="21"/>
          <w:highlight w:val="none"/>
          <w:lang w:eastAsia="zh-CN"/>
        </w:rPr>
      </w:pPr>
    </w:p>
    <w:p w14:paraId="0ABE07A6">
      <w:pPr>
        <w:widowControl/>
        <w:shd w:val="clear" w:color="auto" w:fill="FFFFFF"/>
        <w:snapToGrid w:val="0"/>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法定代表人的身份证正反面扫描件加盖公章：</w:t>
      </w:r>
    </w:p>
    <w:p w14:paraId="06C8D1A9">
      <w:pPr>
        <w:widowControl/>
        <w:shd w:val="clear" w:color="auto" w:fill="FFFFFF"/>
        <w:snapToGrid w:val="0"/>
        <w:spacing w:line="360" w:lineRule="auto"/>
        <w:jc w:val="center"/>
        <w:rPr>
          <w:rFonts w:hint="eastAsia" w:ascii="宋体" w:hAnsi="宋体" w:eastAsia="宋体" w:cs="宋体"/>
          <w:color w:val="auto"/>
          <w:sz w:val="21"/>
          <w:szCs w:val="21"/>
          <w:highlight w:val="none"/>
          <w:lang w:eastAsia="zh-CN"/>
        </w:rPr>
      </w:pPr>
    </w:p>
    <w:p w14:paraId="3C060658">
      <w:pPr>
        <w:widowControl/>
        <w:shd w:val="clear" w:color="auto" w:fill="FFFFFF"/>
        <w:snapToGrid w:val="0"/>
        <w:spacing w:line="360" w:lineRule="auto"/>
        <w:jc w:val="center"/>
        <w:rPr>
          <w:rFonts w:hint="eastAsia" w:ascii="宋体" w:hAnsi="宋体" w:eastAsia="宋体" w:cs="宋体"/>
          <w:color w:val="auto"/>
          <w:sz w:val="21"/>
          <w:szCs w:val="21"/>
          <w:highlight w:val="none"/>
          <w:lang w:eastAsia="zh-CN"/>
        </w:rPr>
      </w:pPr>
    </w:p>
    <w:p w14:paraId="51D492C6">
      <w:pPr>
        <w:widowControl/>
        <w:shd w:val="clear" w:color="auto" w:fill="FFFFFF"/>
        <w:snapToGrid w:val="0"/>
        <w:spacing w:line="360" w:lineRule="auto"/>
        <w:jc w:val="center"/>
        <w:rPr>
          <w:rFonts w:hint="eastAsia" w:ascii="宋体" w:hAnsi="宋体" w:eastAsia="宋体" w:cs="宋体"/>
          <w:color w:val="auto"/>
          <w:sz w:val="21"/>
          <w:szCs w:val="21"/>
          <w:highlight w:val="none"/>
          <w:lang w:eastAsia="zh-CN"/>
        </w:rPr>
      </w:pPr>
    </w:p>
    <w:p w14:paraId="35AE4A6C">
      <w:pPr>
        <w:widowControl/>
        <w:shd w:val="clear" w:color="auto" w:fill="FFFFFF"/>
        <w:snapToGrid w:val="0"/>
        <w:spacing w:line="360" w:lineRule="auto"/>
        <w:jc w:val="center"/>
        <w:rPr>
          <w:rFonts w:hint="eastAsia" w:ascii="宋体" w:hAnsi="宋体" w:eastAsia="宋体" w:cs="宋体"/>
          <w:color w:val="auto"/>
          <w:sz w:val="21"/>
          <w:szCs w:val="21"/>
          <w:highlight w:val="none"/>
          <w:lang w:eastAsia="zh-CN"/>
        </w:rPr>
      </w:pPr>
    </w:p>
    <w:p w14:paraId="2C94F6BA">
      <w:pPr>
        <w:widowControl/>
        <w:shd w:val="clear" w:color="auto" w:fill="FFFFFF"/>
        <w:snapToGrid w:val="0"/>
        <w:spacing w:line="360" w:lineRule="auto"/>
        <w:jc w:val="center"/>
        <w:rPr>
          <w:rFonts w:hint="eastAsia" w:ascii="宋体" w:hAnsi="宋体" w:eastAsia="宋体" w:cs="宋体"/>
          <w:color w:val="auto"/>
          <w:sz w:val="21"/>
          <w:szCs w:val="21"/>
          <w:highlight w:val="none"/>
          <w:lang w:eastAsia="zh-CN"/>
        </w:rPr>
      </w:pPr>
    </w:p>
    <w:p w14:paraId="04C9B368">
      <w:pPr>
        <w:widowControl/>
        <w:shd w:val="clear" w:color="auto" w:fill="FFFFFF"/>
        <w:snapToGrid w:val="0"/>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委托代理人的身份证正反面扫描件加盖公章：</w:t>
      </w:r>
    </w:p>
    <w:p w14:paraId="0D453DFF">
      <w:pPr>
        <w:widowControl/>
        <w:shd w:val="clear" w:color="auto" w:fill="FFFFFF"/>
        <w:snapToGrid w:val="0"/>
        <w:spacing w:line="360" w:lineRule="auto"/>
        <w:ind w:firstLine="420"/>
        <w:rPr>
          <w:rFonts w:ascii="宋体" w:hAnsi="宋体" w:cs="宋体"/>
          <w:color w:val="auto"/>
          <w:szCs w:val="21"/>
          <w:highlight w:val="none"/>
          <w:lang w:eastAsia="zh-CN"/>
        </w:rPr>
      </w:pPr>
      <w:r>
        <w:rPr>
          <w:rFonts w:hint="eastAsia" w:ascii="宋体" w:hAnsi="宋体" w:cs="宋体"/>
          <w:color w:val="auto"/>
          <w:szCs w:val="21"/>
          <w:highlight w:val="none"/>
          <w:lang w:eastAsia="zh-CN"/>
        </w:rPr>
        <w:t> </w:t>
      </w:r>
    </w:p>
    <w:p w14:paraId="607224EB">
      <w:pPr>
        <w:widowControl/>
        <w:shd w:val="clear" w:color="auto" w:fill="FFFFFF"/>
        <w:snapToGrid w:val="0"/>
        <w:spacing w:line="360" w:lineRule="auto"/>
        <w:ind w:firstLine="420"/>
        <w:rPr>
          <w:rFonts w:ascii="宋体" w:hAnsi="宋体" w:cs="宋体"/>
          <w:color w:val="auto"/>
          <w:szCs w:val="21"/>
          <w:highlight w:val="none"/>
          <w:lang w:eastAsia="zh-CN"/>
        </w:rPr>
      </w:pPr>
    </w:p>
    <w:p w14:paraId="529A3E6E">
      <w:pPr>
        <w:widowControl/>
        <w:shd w:val="clear" w:color="auto" w:fill="FFFFFF"/>
        <w:snapToGrid w:val="0"/>
        <w:spacing w:line="360" w:lineRule="auto"/>
        <w:ind w:firstLine="420"/>
        <w:rPr>
          <w:rFonts w:ascii="宋体" w:hAnsi="宋体" w:cs="宋体"/>
          <w:color w:val="auto"/>
          <w:szCs w:val="21"/>
          <w:highlight w:val="none"/>
          <w:lang w:eastAsia="zh-CN"/>
        </w:rPr>
      </w:pPr>
      <w:r>
        <w:rPr>
          <w:rFonts w:hint="eastAsia" w:ascii="宋体" w:hAnsi="宋体" w:cs="宋体"/>
          <w:color w:val="auto"/>
          <w:szCs w:val="21"/>
          <w:highlight w:val="none"/>
          <w:lang w:eastAsia="zh-CN"/>
        </w:rPr>
        <w:t> </w:t>
      </w:r>
    </w:p>
    <w:p w14:paraId="3A5F633F">
      <w:pPr>
        <w:widowControl/>
        <w:shd w:val="clear" w:color="auto" w:fill="FFFFFF"/>
        <w:snapToGrid w:val="0"/>
        <w:spacing w:line="360" w:lineRule="auto"/>
        <w:ind w:firstLine="420"/>
        <w:rPr>
          <w:rFonts w:ascii="宋体" w:hAnsi="宋体" w:cs="宋体"/>
          <w:color w:val="auto"/>
          <w:szCs w:val="21"/>
          <w:highlight w:val="none"/>
          <w:lang w:eastAsia="zh-CN"/>
        </w:rPr>
      </w:pPr>
      <w:r>
        <w:rPr>
          <w:rFonts w:hint="eastAsia" w:ascii="宋体" w:hAnsi="宋体" w:cs="宋体"/>
          <w:color w:val="auto"/>
          <w:szCs w:val="21"/>
          <w:highlight w:val="none"/>
          <w:lang w:eastAsia="zh-CN"/>
        </w:rPr>
        <w:t> </w:t>
      </w:r>
    </w:p>
    <w:p w14:paraId="24E706EB">
      <w:pPr>
        <w:snapToGrid w:val="0"/>
        <w:spacing w:line="360" w:lineRule="auto"/>
        <w:rPr>
          <w:rFonts w:hint="eastAsia" w:ascii="宋体" w:hAnsi="宋体" w:cs="宋体"/>
          <w:b/>
          <w:bCs/>
          <w:color w:val="auto"/>
          <w:szCs w:val="21"/>
          <w:highlight w:val="none"/>
          <w:lang w:eastAsia="zh-CN"/>
        </w:rPr>
      </w:pPr>
      <w:bookmarkStart w:id="87" w:name="_Toc26810"/>
    </w:p>
    <w:p w14:paraId="52374D88">
      <w:pPr>
        <w:snapToGrid w:val="0"/>
        <w:spacing w:line="360" w:lineRule="auto"/>
        <w:rPr>
          <w:rFonts w:ascii="宋体" w:hAnsi="宋体" w:cs="宋体"/>
          <w:b/>
          <w:bCs/>
          <w:color w:val="auto"/>
          <w:szCs w:val="21"/>
          <w:highlight w:val="none"/>
          <w:lang w:val="zh-CN" w:eastAsia="zh-CN"/>
        </w:rPr>
      </w:pPr>
      <w:r>
        <w:rPr>
          <w:rFonts w:hint="eastAsia" w:ascii="宋体" w:hAnsi="宋体" w:cs="宋体"/>
          <w:b/>
          <w:color w:val="auto"/>
          <w:szCs w:val="21"/>
          <w:highlight w:val="none"/>
          <w:lang w:eastAsia="zh-CN"/>
        </w:rPr>
        <w:t>格式</w:t>
      </w:r>
      <w:r>
        <w:rPr>
          <w:rFonts w:hint="eastAsia" w:ascii="宋体" w:hAnsi="宋体" w:cs="宋体"/>
          <w:b/>
          <w:bCs/>
          <w:color w:val="auto"/>
          <w:szCs w:val="21"/>
          <w:highlight w:val="none"/>
          <w:lang w:val="zh-CN" w:eastAsia="zh-CN"/>
        </w:rPr>
        <w:t>三、</w:t>
      </w:r>
      <w:bookmarkEnd w:id="81"/>
      <w:bookmarkEnd w:id="82"/>
      <w:bookmarkEnd w:id="83"/>
      <w:bookmarkEnd w:id="84"/>
      <w:bookmarkEnd w:id="85"/>
      <w:bookmarkEnd w:id="86"/>
      <w:bookmarkEnd w:id="87"/>
      <w:r>
        <w:rPr>
          <w:rFonts w:hint="eastAsia" w:ascii="宋体" w:hAnsi="宋体" w:cs="宋体"/>
          <w:b/>
          <w:color w:val="auto"/>
          <w:szCs w:val="21"/>
          <w:highlight w:val="none"/>
          <w:lang w:eastAsia="zh-CN"/>
        </w:rPr>
        <w:t>响应报价表格式</w:t>
      </w:r>
    </w:p>
    <w:p w14:paraId="36331837">
      <w:pPr>
        <w:snapToGrid w:val="0"/>
        <w:spacing w:line="360" w:lineRule="auto"/>
        <w:jc w:val="center"/>
        <w:rPr>
          <w:rFonts w:ascii="宋体" w:hAnsi="宋体" w:cs="宋体"/>
          <w:b/>
          <w:color w:val="auto"/>
          <w:sz w:val="36"/>
          <w:szCs w:val="36"/>
          <w:highlight w:val="none"/>
          <w:lang w:eastAsia="zh-CN"/>
        </w:rPr>
      </w:pPr>
      <w:r>
        <w:rPr>
          <w:rFonts w:hint="eastAsia" w:ascii="宋体" w:hAnsi="宋体" w:cs="宋体"/>
          <w:b/>
          <w:color w:val="auto"/>
          <w:sz w:val="36"/>
          <w:szCs w:val="36"/>
          <w:highlight w:val="none"/>
          <w:lang w:eastAsia="zh-CN"/>
        </w:rPr>
        <w:t>响应报价表</w:t>
      </w:r>
      <w:r>
        <w:rPr>
          <w:rFonts w:hint="eastAsia" w:ascii="宋体" w:hAnsi="宋体" w:eastAsia="宋体" w:cs="宋体"/>
          <w:b/>
          <w:color w:val="auto"/>
          <w:sz w:val="36"/>
          <w:szCs w:val="36"/>
          <w:highlight w:val="none"/>
          <w:lang w:eastAsia="zh-CN"/>
        </w:rPr>
        <w:t>（首次报价）</w:t>
      </w:r>
    </w:p>
    <w:p w14:paraId="0CB06FE6">
      <w:pPr>
        <w:pStyle w:val="5"/>
        <w:spacing w:line="440" w:lineRule="exact"/>
        <w:ind w:firstLine="495" w:firstLineChars="225"/>
        <w:rPr>
          <w:rStyle w:val="76"/>
          <w:rFonts w:ascii="宋体" w:hAnsi="宋体"/>
          <w:b/>
          <w:bCs/>
          <w:color w:val="auto"/>
          <w:szCs w:val="21"/>
          <w:highlight w:val="none"/>
          <w:lang w:val="zh-CN" w:eastAsia="zh-CN"/>
        </w:rPr>
      </w:pPr>
      <w:r>
        <w:rPr>
          <w:rFonts w:hint="eastAsia" w:ascii="宋体" w:hAnsi="宋体" w:cs="宋体"/>
          <w:color w:val="auto"/>
          <w:szCs w:val="21"/>
          <w:highlight w:val="none"/>
          <w:lang w:eastAsia="zh-CN"/>
        </w:rPr>
        <w:t>项目名称：                                        项目编号：</w:t>
      </w:r>
    </w:p>
    <w:tbl>
      <w:tblPr>
        <w:tblStyle w:val="34"/>
        <w:tblW w:w="9898" w:type="dxa"/>
        <w:tblInd w:w="-116"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164"/>
        <w:gridCol w:w="2275"/>
        <w:gridCol w:w="2765"/>
        <w:gridCol w:w="2268"/>
        <w:gridCol w:w="1426"/>
      </w:tblGrid>
      <w:tr w14:paraId="390F87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1164" w:type="dxa"/>
            <w:noWrap w:val="0"/>
            <w:vAlign w:val="center"/>
          </w:tcPr>
          <w:p w14:paraId="48EDFFFB">
            <w:pPr>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 xml:space="preserve">                        序号</w:t>
            </w:r>
          </w:p>
        </w:tc>
        <w:tc>
          <w:tcPr>
            <w:tcW w:w="5040" w:type="dxa"/>
            <w:gridSpan w:val="2"/>
            <w:noWrap w:val="0"/>
            <w:vAlign w:val="center"/>
          </w:tcPr>
          <w:p w14:paraId="3F922721">
            <w:pPr>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名               称</w:t>
            </w:r>
          </w:p>
        </w:tc>
        <w:tc>
          <w:tcPr>
            <w:tcW w:w="2268" w:type="dxa"/>
            <w:noWrap w:val="0"/>
            <w:vAlign w:val="center"/>
          </w:tcPr>
          <w:p w14:paraId="078C76C8">
            <w:pPr>
              <w:spacing w:line="360" w:lineRule="auto"/>
              <w:jc w:val="center"/>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rPr>
              <w:t>报价（元）</w:t>
            </w:r>
          </w:p>
        </w:tc>
        <w:tc>
          <w:tcPr>
            <w:tcW w:w="1426" w:type="dxa"/>
            <w:noWrap w:val="0"/>
            <w:vAlign w:val="center"/>
          </w:tcPr>
          <w:p w14:paraId="20A796EC">
            <w:pPr>
              <w:spacing w:line="360" w:lineRule="auto"/>
              <w:jc w:val="center"/>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其中，</w:t>
            </w:r>
            <w:r>
              <w:rPr>
                <w:rFonts w:hint="eastAsia" w:ascii="宋体" w:hAnsi="宋体" w:eastAsia="宋体" w:cs="宋体"/>
                <w:b/>
                <w:color w:val="auto"/>
                <w:sz w:val="21"/>
                <w:szCs w:val="21"/>
                <w:highlight w:val="none"/>
                <w:lang w:eastAsia="zh-CN"/>
              </w:rPr>
              <w:t>小、微型企业报价（元）</w:t>
            </w:r>
          </w:p>
        </w:tc>
      </w:tr>
      <w:tr w14:paraId="52DBAD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1164" w:type="dxa"/>
            <w:noWrap w:val="0"/>
            <w:vAlign w:val="center"/>
          </w:tcPr>
          <w:p w14:paraId="417194C8">
            <w:pPr>
              <w:spacing w:line="360" w:lineRule="auto"/>
              <w:jc w:val="center"/>
              <w:rPr>
                <w:rFonts w:hint="eastAsia" w:ascii="宋体" w:hAnsi="宋体" w:eastAsia="宋体" w:cs="宋体"/>
                <w:color w:val="auto"/>
                <w:spacing w:val="-2"/>
                <w:sz w:val="21"/>
                <w:szCs w:val="21"/>
                <w:highlight w:val="none"/>
                <w:lang w:eastAsia="zh-CN"/>
              </w:rPr>
            </w:pPr>
          </w:p>
        </w:tc>
        <w:tc>
          <w:tcPr>
            <w:tcW w:w="5040" w:type="dxa"/>
            <w:gridSpan w:val="2"/>
            <w:noWrap w:val="0"/>
            <w:vAlign w:val="center"/>
          </w:tcPr>
          <w:p w14:paraId="545C8D44">
            <w:pPr>
              <w:spacing w:line="360" w:lineRule="auto"/>
              <w:rPr>
                <w:rFonts w:hint="eastAsia" w:ascii="宋体" w:hAnsi="宋体" w:eastAsia="宋体" w:cs="宋体"/>
                <w:color w:val="auto"/>
                <w:spacing w:val="-2"/>
                <w:sz w:val="21"/>
                <w:szCs w:val="21"/>
                <w:highlight w:val="none"/>
                <w:lang w:eastAsia="zh-CN"/>
              </w:rPr>
            </w:pPr>
          </w:p>
        </w:tc>
        <w:tc>
          <w:tcPr>
            <w:tcW w:w="2268" w:type="dxa"/>
            <w:noWrap w:val="0"/>
            <w:vAlign w:val="center"/>
          </w:tcPr>
          <w:p w14:paraId="52CC6B1D">
            <w:pPr>
              <w:spacing w:line="360" w:lineRule="auto"/>
              <w:jc w:val="center"/>
              <w:rPr>
                <w:rFonts w:hint="eastAsia" w:ascii="宋体" w:hAnsi="宋体" w:eastAsia="宋体" w:cs="宋体"/>
                <w:color w:val="auto"/>
                <w:sz w:val="21"/>
                <w:szCs w:val="21"/>
                <w:highlight w:val="none"/>
                <w:lang w:val="zh-CN" w:eastAsia="zh-CN"/>
              </w:rPr>
            </w:pPr>
          </w:p>
        </w:tc>
        <w:tc>
          <w:tcPr>
            <w:tcW w:w="1426" w:type="dxa"/>
            <w:noWrap w:val="0"/>
            <w:vAlign w:val="center"/>
          </w:tcPr>
          <w:p w14:paraId="0C582382">
            <w:pPr>
              <w:spacing w:line="360" w:lineRule="auto"/>
              <w:jc w:val="center"/>
              <w:rPr>
                <w:rFonts w:hint="eastAsia" w:ascii="宋体" w:hAnsi="宋体" w:eastAsia="宋体" w:cs="宋体"/>
                <w:color w:val="auto"/>
                <w:sz w:val="21"/>
                <w:szCs w:val="21"/>
                <w:highlight w:val="none"/>
                <w:lang w:val="zh-CN" w:eastAsia="zh-CN"/>
              </w:rPr>
            </w:pPr>
          </w:p>
        </w:tc>
      </w:tr>
      <w:tr w14:paraId="55EA16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1164" w:type="dxa"/>
            <w:noWrap w:val="0"/>
            <w:vAlign w:val="center"/>
          </w:tcPr>
          <w:p w14:paraId="137447E4">
            <w:pPr>
              <w:spacing w:line="360" w:lineRule="auto"/>
              <w:jc w:val="center"/>
              <w:rPr>
                <w:rFonts w:hint="eastAsia" w:ascii="宋体" w:hAnsi="宋体" w:eastAsia="宋体" w:cs="宋体"/>
                <w:color w:val="auto"/>
                <w:spacing w:val="-2"/>
                <w:sz w:val="21"/>
                <w:szCs w:val="21"/>
                <w:highlight w:val="none"/>
                <w:lang w:eastAsia="zh-CN"/>
              </w:rPr>
            </w:pPr>
          </w:p>
        </w:tc>
        <w:tc>
          <w:tcPr>
            <w:tcW w:w="5040" w:type="dxa"/>
            <w:gridSpan w:val="2"/>
            <w:noWrap w:val="0"/>
            <w:vAlign w:val="center"/>
          </w:tcPr>
          <w:p w14:paraId="1807D29F">
            <w:pPr>
              <w:spacing w:line="360" w:lineRule="auto"/>
              <w:rPr>
                <w:rFonts w:hint="eastAsia" w:ascii="宋体" w:hAnsi="宋体" w:eastAsia="宋体" w:cs="宋体"/>
                <w:color w:val="auto"/>
                <w:spacing w:val="-2"/>
                <w:sz w:val="21"/>
                <w:szCs w:val="21"/>
                <w:highlight w:val="none"/>
                <w:lang w:eastAsia="zh-CN"/>
              </w:rPr>
            </w:pPr>
          </w:p>
        </w:tc>
        <w:tc>
          <w:tcPr>
            <w:tcW w:w="2268" w:type="dxa"/>
            <w:noWrap w:val="0"/>
            <w:vAlign w:val="center"/>
          </w:tcPr>
          <w:p w14:paraId="17E500D0">
            <w:pPr>
              <w:spacing w:line="360" w:lineRule="auto"/>
              <w:jc w:val="center"/>
              <w:rPr>
                <w:rFonts w:hint="eastAsia" w:ascii="宋体" w:hAnsi="宋体" w:eastAsia="宋体" w:cs="宋体"/>
                <w:color w:val="auto"/>
                <w:sz w:val="21"/>
                <w:szCs w:val="21"/>
                <w:highlight w:val="none"/>
                <w:lang w:val="zh-CN" w:eastAsia="zh-CN"/>
              </w:rPr>
            </w:pPr>
          </w:p>
        </w:tc>
        <w:tc>
          <w:tcPr>
            <w:tcW w:w="1426" w:type="dxa"/>
            <w:noWrap w:val="0"/>
            <w:vAlign w:val="center"/>
          </w:tcPr>
          <w:p w14:paraId="1CAA47D3">
            <w:pPr>
              <w:spacing w:line="360" w:lineRule="auto"/>
              <w:jc w:val="center"/>
              <w:rPr>
                <w:rFonts w:hint="eastAsia" w:ascii="宋体" w:hAnsi="宋体" w:eastAsia="宋体" w:cs="宋体"/>
                <w:color w:val="auto"/>
                <w:sz w:val="21"/>
                <w:szCs w:val="21"/>
                <w:highlight w:val="none"/>
                <w:lang w:val="zh-CN" w:eastAsia="zh-CN"/>
              </w:rPr>
            </w:pPr>
          </w:p>
        </w:tc>
      </w:tr>
      <w:tr w14:paraId="5930CD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1164" w:type="dxa"/>
            <w:noWrap w:val="0"/>
            <w:vAlign w:val="center"/>
          </w:tcPr>
          <w:p w14:paraId="7997B0EC">
            <w:pPr>
              <w:spacing w:line="360" w:lineRule="auto"/>
              <w:jc w:val="center"/>
              <w:rPr>
                <w:rFonts w:hint="eastAsia" w:ascii="宋体" w:hAnsi="宋体" w:eastAsia="宋体" w:cs="宋体"/>
                <w:color w:val="auto"/>
                <w:spacing w:val="-2"/>
                <w:sz w:val="21"/>
                <w:szCs w:val="21"/>
                <w:highlight w:val="none"/>
                <w:lang w:eastAsia="zh-CN"/>
              </w:rPr>
            </w:pPr>
          </w:p>
        </w:tc>
        <w:tc>
          <w:tcPr>
            <w:tcW w:w="5040" w:type="dxa"/>
            <w:gridSpan w:val="2"/>
            <w:noWrap w:val="0"/>
            <w:vAlign w:val="center"/>
          </w:tcPr>
          <w:p w14:paraId="70EB17A9">
            <w:pPr>
              <w:spacing w:line="360" w:lineRule="auto"/>
              <w:rPr>
                <w:rFonts w:hint="eastAsia" w:ascii="宋体" w:hAnsi="宋体" w:eastAsia="宋体" w:cs="宋体"/>
                <w:color w:val="auto"/>
                <w:spacing w:val="-2"/>
                <w:sz w:val="21"/>
                <w:szCs w:val="21"/>
                <w:highlight w:val="none"/>
                <w:lang w:eastAsia="zh-CN"/>
              </w:rPr>
            </w:pPr>
          </w:p>
        </w:tc>
        <w:tc>
          <w:tcPr>
            <w:tcW w:w="2268" w:type="dxa"/>
            <w:noWrap w:val="0"/>
            <w:vAlign w:val="center"/>
          </w:tcPr>
          <w:p w14:paraId="10890524">
            <w:pPr>
              <w:spacing w:line="360" w:lineRule="auto"/>
              <w:jc w:val="center"/>
              <w:rPr>
                <w:rFonts w:hint="eastAsia" w:ascii="宋体" w:hAnsi="宋体" w:eastAsia="宋体" w:cs="宋体"/>
                <w:color w:val="auto"/>
                <w:sz w:val="21"/>
                <w:szCs w:val="21"/>
                <w:highlight w:val="none"/>
                <w:lang w:val="zh-CN" w:eastAsia="zh-CN"/>
              </w:rPr>
            </w:pPr>
          </w:p>
        </w:tc>
        <w:tc>
          <w:tcPr>
            <w:tcW w:w="1426" w:type="dxa"/>
            <w:noWrap w:val="0"/>
            <w:vAlign w:val="center"/>
          </w:tcPr>
          <w:p w14:paraId="611184C0">
            <w:pPr>
              <w:spacing w:line="360" w:lineRule="auto"/>
              <w:jc w:val="center"/>
              <w:rPr>
                <w:rFonts w:hint="eastAsia" w:ascii="宋体" w:hAnsi="宋体" w:eastAsia="宋体" w:cs="宋体"/>
                <w:color w:val="auto"/>
                <w:sz w:val="21"/>
                <w:szCs w:val="21"/>
                <w:highlight w:val="none"/>
                <w:lang w:val="zh-CN" w:eastAsia="zh-CN"/>
              </w:rPr>
            </w:pPr>
          </w:p>
        </w:tc>
      </w:tr>
      <w:tr w14:paraId="28D22E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1164" w:type="dxa"/>
            <w:noWrap w:val="0"/>
            <w:vAlign w:val="center"/>
          </w:tcPr>
          <w:p w14:paraId="60BD750F">
            <w:pPr>
              <w:spacing w:line="360" w:lineRule="auto"/>
              <w:jc w:val="center"/>
              <w:rPr>
                <w:rFonts w:hint="eastAsia" w:ascii="宋体" w:hAnsi="宋体" w:eastAsia="宋体" w:cs="宋体"/>
                <w:color w:val="auto"/>
                <w:spacing w:val="-2"/>
                <w:sz w:val="21"/>
                <w:szCs w:val="21"/>
                <w:highlight w:val="none"/>
                <w:lang w:eastAsia="zh-CN"/>
              </w:rPr>
            </w:pPr>
          </w:p>
        </w:tc>
        <w:tc>
          <w:tcPr>
            <w:tcW w:w="5040" w:type="dxa"/>
            <w:gridSpan w:val="2"/>
            <w:noWrap w:val="0"/>
            <w:vAlign w:val="center"/>
          </w:tcPr>
          <w:p w14:paraId="242695B5">
            <w:pPr>
              <w:spacing w:line="360" w:lineRule="auto"/>
              <w:rPr>
                <w:rFonts w:hint="eastAsia" w:ascii="宋体" w:hAnsi="宋体" w:eastAsia="宋体" w:cs="宋体"/>
                <w:color w:val="auto"/>
                <w:spacing w:val="-2"/>
                <w:sz w:val="21"/>
                <w:szCs w:val="21"/>
                <w:highlight w:val="none"/>
                <w:lang w:eastAsia="zh-CN"/>
              </w:rPr>
            </w:pPr>
          </w:p>
        </w:tc>
        <w:tc>
          <w:tcPr>
            <w:tcW w:w="2268" w:type="dxa"/>
            <w:noWrap w:val="0"/>
            <w:vAlign w:val="center"/>
          </w:tcPr>
          <w:p w14:paraId="3B90ED91">
            <w:pPr>
              <w:spacing w:line="360" w:lineRule="auto"/>
              <w:jc w:val="center"/>
              <w:rPr>
                <w:rFonts w:hint="eastAsia" w:ascii="宋体" w:hAnsi="宋体" w:eastAsia="宋体" w:cs="宋体"/>
                <w:color w:val="auto"/>
                <w:sz w:val="21"/>
                <w:szCs w:val="21"/>
                <w:highlight w:val="none"/>
                <w:lang w:val="zh-CN" w:eastAsia="zh-CN"/>
              </w:rPr>
            </w:pPr>
          </w:p>
        </w:tc>
        <w:tc>
          <w:tcPr>
            <w:tcW w:w="1426" w:type="dxa"/>
            <w:noWrap w:val="0"/>
            <w:vAlign w:val="center"/>
          </w:tcPr>
          <w:p w14:paraId="78EC9A10">
            <w:pPr>
              <w:spacing w:line="360" w:lineRule="auto"/>
              <w:jc w:val="center"/>
              <w:rPr>
                <w:rFonts w:hint="eastAsia" w:ascii="宋体" w:hAnsi="宋体" w:eastAsia="宋体" w:cs="宋体"/>
                <w:color w:val="auto"/>
                <w:sz w:val="21"/>
                <w:szCs w:val="21"/>
                <w:highlight w:val="none"/>
                <w:lang w:val="zh-CN" w:eastAsia="zh-CN"/>
              </w:rPr>
            </w:pPr>
          </w:p>
        </w:tc>
      </w:tr>
      <w:tr w14:paraId="3F2467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1164" w:type="dxa"/>
            <w:noWrap w:val="0"/>
            <w:vAlign w:val="center"/>
          </w:tcPr>
          <w:p w14:paraId="752B61DF">
            <w:pPr>
              <w:spacing w:line="360" w:lineRule="auto"/>
              <w:jc w:val="center"/>
              <w:rPr>
                <w:rFonts w:hint="eastAsia" w:ascii="宋体" w:hAnsi="宋体" w:eastAsia="宋体" w:cs="宋体"/>
                <w:color w:val="auto"/>
                <w:spacing w:val="-2"/>
                <w:sz w:val="21"/>
                <w:szCs w:val="21"/>
                <w:highlight w:val="none"/>
                <w:lang w:eastAsia="zh-CN"/>
              </w:rPr>
            </w:pPr>
          </w:p>
        </w:tc>
        <w:tc>
          <w:tcPr>
            <w:tcW w:w="5040" w:type="dxa"/>
            <w:gridSpan w:val="2"/>
            <w:noWrap w:val="0"/>
            <w:vAlign w:val="center"/>
          </w:tcPr>
          <w:p w14:paraId="5452290B">
            <w:pPr>
              <w:spacing w:line="360" w:lineRule="auto"/>
              <w:rPr>
                <w:rFonts w:hint="eastAsia" w:ascii="宋体" w:hAnsi="宋体" w:eastAsia="宋体" w:cs="宋体"/>
                <w:color w:val="auto"/>
                <w:spacing w:val="-2"/>
                <w:sz w:val="21"/>
                <w:szCs w:val="21"/>
                <w:highlight w:val="none"/>
                <w:lang w:eastAsia="zh-CN"/>
              </w:rPr>
            </w:pPr>
          </w:p>
        </w:tc>
        <w:tc>
          <w:tcPr>
            <w:tcW w:w="2268" w:type="dxa"/>
            <w:noWrap w:val="0"/>
            <w:vAlign w:val="center"/>
          </w:tcPr>
          <w:p w14:paraId="0498D368">
            <w:pPr>
              <w:spacing w:line="360" w:lineRule="auto"/>
              <w:jc w:val="center"/>
              <w:rPr>
                <w:rFonts w:hint="eastAsia" w:ascii="宋体" w:hAnsi="宋体" w:eastAsia="宋体" w:cs="宋体"/>
                <w:color w:val="auto"/>
                <w:sz w:val="21"/>
                <w:szCs w:val="21"/>
                <w:highlight w:val="none"/>
                <w:lang w:val="zh-CN" w:eastAsia="zh-CN"/>
              </w:rPr>
            </w:pPr>
          </w:p>
        </w:tc>
        <w:tc>
          <w:tcPr>
            <w:tcW w:w="1426" w:type="dxa"/>
            <w:noWrap w:val="0"/>
            <w:vAlign w:val="center"/>
          </w:tcPr>
          <w:p w14:paraId="37C816A8">
            <w:pPr>
              <w:spacing w:line="360" w:lineRule="auto"/>
              <w:jc w:val="center"/>
              <w:rPr>
                <w:rFonts w:hint="eastAsia" w:ascii="宋体" w:hAnsi="宋体" w:eastAsia="宋体" w:cs="宋体"/>
                <w:color w:val="auto"/>
                <w:sz w:val="21"/>
                <w:szCs w:val="21"/>
                <w:highlight w:val="none"/>
                <w:lang w:val="zh-CN" w:eastAsia="zh-CN"/>
              </w:rPr>
            </w:pPr>
          </w:p>
        </w:tc>
      </w:tr>
      <w:tr w14:paraId="1A5D51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3439" w:type="dxa"/>
            <w:gridSpan w:val="2"/>
            <w:noWrap w:val="0"/>
            <w:vAlign w:val="center"/>
          </w:tcPr>
          <w:p w14:paraId="52F94632">
            <w:pPr>
              <w:widowControl/>
              <w:snapToGrid w:val="0"/>
              <w:spacing w:line="360" w:lineRule="auto"/>
              <w:jc w:val="center"/>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总价（人民币，大写）</w:t>
            </w:r>
          </w:p>
        </w:tc>
        <w:tc>
          <w:tcPr>
            <w:tcW w:w="6459" w:type="dxa"/>
            <w:gridSpan w:val="3"/>
            <w:noWrap w:val="0"/>
            <w:vAlign w:val="top"/>
          </w:tcPr>
          <w:p w14:paraId="592FE9C2">
            <w:pPr>
              <w:widowControl/>
              <w:snapToGrid w:val="0"/>
              <w:spacing w:line="360" w:lineRule="auto"/>
              <w:ind w:firstLine="1890" w:firstLineChars="9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元</w:t>
            </w:r>
          </w:p>
        </w:tc>
      </w:tr>
      <w:tr w14:paraId="24B4A4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3439" w:type="dxa"/>
            <w:gridSpan w:val="2"/>
            <w:noWrap w:val="0"/>
            <w:vAlign w:val="center"/>
          </w:tcPr>
          <w:p w14:paraId="1BD0A995">
            <w:pPr>
              <w:widowControl/>
              <w:snapToGrid w:val="0"/>
              <w:spacing w:line="360" w:lineRule="auto"/>
              <w:jc w:val="center"/>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供应商是否属于小微型企业</w:t>
            </w:r>
          </w:p>
        </w:tc>
        <w:tc>
          <w:tcPr>
            <w:tcW w:w="6459" w:type="dxa"/>
            <w:gridSpan w:val="3"/>
            <w:noWrap w:val="0"/>
            <w:vAlign w:val="top"/>
          </w:tcPr>
          <w:p w14:paraId="37ED79A2">
            <w:pPr>
              <w:widowControl/>
              <w:snapToGrid w:val="0"/>
              <w:spacing w:line="360" w:lineRule="auto"/>
              <w:ind w:firstLine="1050" w:firstLineChars="5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是       否</w:t>
            </w:r>
          </w:p>
        </w:tc>
      </w:tr>
    </w:tbl>
    <w:p w14:paraId="77CD4E5B">
      <w:pPr>
        <w:pStyle w:val="5"/>
        <w:spacing w:line="440" w:lineRule="exact"/>
        <w:ind w:firstLine="495" w:firstLineChars="225"/>
        <w:rPr>
          <w:rStyle w:val="76"/>
          <w:rFonts w:ascii="宋体" w:hAnsi="宋体"/>
          <w:b/>
          <w:bCs/>
          <w:color w:val="auto"/>
          <w:szCs w:val="21"/>
          <w:highlight w:val="none"/>
          <w:lang w:val="zh-CN" w:eastAsia="zh-CN"/>
        </w:rPr>
      </w:pPr>
    </w:p>
    <w:p w14:paraId="6912D93F">
      <w:pPr>
        <w:widowControl/>
        <w:adjustRightInd w:val="0"/>
        <w:spacing w:line="360" w:lineRule="auto"/>
        <w:rPr>
          <w:rFonts w:ascii="宋体" w:hAnsi="宋体" w:eastAsia="宋体" w:cs="宋体"/>
          <w:color w:val="auto"/>
          <w:szCs w:val="21"/>
          <w:highlight w:val="none"/>
          <w:lang w:val="zh-CN" w:eastAsia="zh-CN"/>
        </w:rPr>
      </w:pPr>
    </w:p>
    <w:p w14:paraId="2B6CC800">
      <w:pPr>
        <w:widowControl/>
        <w:adjustRightInd w:val="0"/>
        <w:spacing w:line="360" w:lineRule="auto"/>
        <w:rPr>
          <w:rFonts w:ascii="宋体" w:hAnsi="宋体" w:cs="宋体"/>
          <w:color w:val="auto"/>
          <w:szCs w:val="21"/>
          <w:highlight w:val="none"/>
          <w:lang w:val="zh-CN" w:eastAsia="zh-CN"/>
        </w:rPr>
      </w:pPr>
      <w:r>
        <w:rPr>
          <w:rFonts w:hint="eastAsia" w:ascii="宋体" w:hAnsi="宋体" w:cs="宋体"/>
          <w:color w:val="auto"/>
          <w:szCs w:val="21"/>
          <w:highlight w:val="none"/>
          <w:lang w:val="zh-CN" w:eastAsia="zh-CN"/>
        </w:rPr>
        <w:t>供应商名称:</w:t>
      </w:r>
      <w:r>
        <w:rPr>
          <w:rFonts w:hint="eastAsia" w:ascii="宋体" w:hAnsi="宋体" w:cs="宋体"/>
          <w:color w:val="auto"/>
          <w:szCs w:val="21"/>
          <w:highlight w:val="none"/>
          <w:u w:val="single"/>
          <w:lang w:val="zh-CN" w:eastAsia="zh-CN"/>
        </w:rPr>
        <w:t xml:space="preserve">                                                  </w:t>
      </w:r>
      <w:r>
        <w:rPr>
          <w:rFonts w:hint="eastAsia" w:ascii="宋体" w:hAnsi="宋体" w:cs="宋体"/>
          <w:color w:val="auto"/>
          <w:szCs w:val="21"/>
          <w:highlight w:val="none"/>
          <w:lang w:val="zh-CN" w:eastAsia="zh-CN"/>
        </w:rPr>
        <w:t>（加盖电子公章）</w:t>
      </w:r>
    </w:p>
    <w:p w14:paraId="1F080D32">
      <w:pPr>
        <w:spacing w:line="440" w:lineRule="exact"/>
        <w:rPr>
          <w:rFonts w:ascii="宋体" w:hAnsi="宋体" w:eastAsia="宋体" w:cs="宋体"/>
          <w:color w:val="auto"/>
          <w:szCs w:val="21"/>
          <w:highlight w:val="none"/>
          <w:u w:val="single"/>
          <w:lang w:eastAsia="zh-CN"/>
        </w:rPr>
      </w:pPr>
      <w:r>
        <w:rPr>
          <w:rFonts w:hint="eastAsia" w:ascii="宋体" w:hAnsi="宋体" w:cs="宋体"/>
          <w:color w:val="auto"/>
          <w:szCs w:val="21"/>
          <w:highlight w:val="none"/>
          <w:lang w:eastAsia="zh-CN"/>
        </w:rPr>
        <w:t>授权代表（签字</w:t>
      </w:r>
      <w:r>
        <w:rPr>
          <w:rFonts w:hint="eastAsia" w:ascii="宋体" w:hAnsi="宋体" w:eastAsia="宋体" w:cs="宋体"/>
          <w:color w:val="auto"/>
          <w:sz w:val="24"/>
          <w:szCs w:val="24"/>
          <w:highlight w:val="none"/>
          <w:lang w:eastAsia="zh-CN"/>
        </w:rPr>
        <w:t>或签章</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u w:val="single"/>
          <w:lang w:eastAsia="zh-CN"/>
        </w:rPr>
        <w:t xml:space="preserve">                                 </w:t>
      </w:r>
    </w:p>
    <w:p w14:paraId="790644F0">
      <w:pPr>
        <w:spacing w:line="440" w:lineRule="exact"/>
        <w:rPr>
          <w:rFonts w:ascii="宋体" w:hAnsi="宋体" w:eastAsia="宋体" w:cs="宋体"/>
          <w:color w:val="auto"/>
          <w:szCs w:val="21"/>
          <w:highlight w:val="none"/>
          <w:u w:val="single"/>
          <w:lang w:eastAsia="zh-CN"/>
        </w:rPr>
      </w:pPr>
      <w:r>
        <w:rPr>
          <w:rFonts w:hint="eastAsia" w:ascii="宋体" w:hAnsi="宋体" w:cs="宋体"/>
          <w:color w:val="auto"/>
          <w:szCs w:val="21"/>
          <w:highlight w:val="none"/>
          <w:lang w:eastAsia="zh-CN"/>
        </w:rPr>
        <w:t>日期：</w:t>
      </w:r>
      <w:r>
        <w:rPr>
          <w:rFonts w:hint="eastAsia" w:ascii="宋体" w:hAnsi="宋体" w:eastAsia="宋体" w:cs="宋体"/>
          <w:color w:val="auto"/>
          <w:szCs w:val="21"/>
          <w:highlight w:val="none"/>
          <w:u w:val="single"/>
          <w:lang w:eastAsia="zh-CN"/>
        </w:rPr>
        <w:t xml:space="preserve">                          </w:t>
      </w:r>
    </w:p>
    <w:p w14:paraId="2F3713A7">
      <w:pPr>
        <w:rPr>
          <w:color w:val="auto"/>
          <w:highlight w:val="none"/>
          <w:lang w:eastAsia="zh-CN"/>
        </w:rPr>
      </w:pPr>
    </w:p>
    <w:p w14:paraId="4656A12C">
      <w:pPr>
        <w:widowControl/>
        <w:adjustRightInd w:val="0"/>
        <w:spacing w:line="360" w:lineRule="auto"/>
        <w:rPr>
          <w:rFonts w:ascii="宋体" w:hAnsi="宋体" w:cs="宋体"/>
          <w:color w:val="auto"/>
          <w:szCs w:val="21"/>
          <w:highlight w:val="none"/>
          <w:lang w:val="zh-CN" w:eastAsia="zh-CN"/>
        </w:rPr>
      </w:pPr>
      <w:r>
        <w:rPr>
          <w:rFonts w:hint="eastAsia" w:ascii="宋体" w:hAnsi="宋体" w:cs="宋体"/>
          <w:color w:val="auto"/>
          <w:szCs w:val="21"/>
          <w:highlight w:val="none"/>
          <w:lang w:val="zh-CN" w:eastAsia="zh-CN"/>
        </w:rPr>
        <w:t>说明：</w:t>
      </w:r>
    </w:p>
    <w:p w14:paraId="7A2EFC9D">
      <w:pPr>
        <w:widowControl/>
        <w:numPr>
          <w:ilvl w:val="0"/>
          <w:numId w:val="3"/>
        </w:numPr>
        <w:shd w:val="clear" w:color="auto" w:fill="FFFFFF"/>
        <w:snapToGrid w:val="0"/>
        <w:spacing w:line="360" w:lineRule="auto"/>
        <w:rPr>
          <w:rFonts w:ascii="宋体" w:hAnsi="宋体" w:cs="宋体"/>
          <w:color w:val="auto"/>
          <w:highlight w:val="none"/>
          <w:lang w:eastAsia="zh-CN"/>
        </w:rPr>
      </w:pPr>
      <w:r>
        <w:rPr>
          <w:rFonts w:ascii="宋体" w:hAnsi="宋体" w:cs="宋体"/>
          <w:color w:val="auto"/>
          <w:highlight w:val="none"/>
          <w:lang w:eastAsia="zh-CN"/>
        </w:rPr>
        <w:t>如果行数不够，请自行增加。</w:t>
      </w:r>
    </w:p>
    <w:p w14:paraId="6CF5D43B">
      <w:pPr>
        <w:widowControl/>
        <w:numPr>
          <w:ilvl w:val="0"/>
          <w:numId w:val="3"/>
        </w:numPr>
        <w:shd w:val="clear" w:color="auto" w:fill="FFFFFF"/>
        <w:snapToGrid w:val="0"/>
        <w:spacing w:line="360" w:lineRule="auto"/>
        <w:rPr>
          <w:rFonts w:ascii="宋体" w:hAnsi="宋体" w:cs="宋体"/>
          <w:color w:val="auto"/>
          <w:highlight w:val="none"/>
          <w:lang w:eastAsia="zh-CN"/>
        </w:rPr>
      </w:pPr>
      <w:r>
        <w:rPr>
          <w:rFonts w:hint="eastAsia" w:ascii="宋体" w:hAnsi="宋体" w:eastAsia="宋体" w:cs="宋体"/>
          <w:color w:val="auto"/>
          <w:sz w:val="21"/>
          <w:szCs w:val="21"/>
          <w:highlight w:val="none"/>
          <w:lang w:val="zh-CN" w:eastAsia="zh-CN"/>
        </w:rPr>
        <w:t>经磋商后，二次报价为最终报价，二次报价原则上不高于首次报价，如果成交价低于供应商在响应文件首次报价的，分项报价（除暂列金额、甲供材料费、材料暂估价、专业工程暂估价以外的所有费用）同比例调整。</w:t>
      </w:r>
    </w:p>
    <w:p w14:paraId="2B033976">
      <w:pPr>
        <w:snapToGrid w:val="0"/>
        <w:spacing w:line="360" w:lineRule="auto"/>
        <w:jc w:val="center"/>
        <w:rPr>
          <w:rFonts w:ascii="宋体" w:hAnsi="宋体" w:cs="黑体"/>
          <w:color w:val="auto"/>
          <w:sz w:val="36"/>
          <w:highlight w:val="none"/>
          <w:lang w:eastAsia="zh-CN"/>
        </w:rPr>
      </w:pPr>
      <w:bookmarkStart w:id="88" w:name="_Toc12264"/>
      <w:r>
        <w:rPr>
          <w:rFonts w:hint="eastAsia" w:ascii="宋体" w:hAnsi="宋体" w:cs="宋体"/>
          <w:b/>
          <w:bCs/>
          <w:color w:val="auto"/>
          <w:szCs w:val="21"/>
          <w:highlight w:val="none"/>
          <w:lang w:eastAsia="zh-CN"/>
        </w:rPr>
        <w:br w:type="page"/>
      </w:r>
      <w:bookmarkEnd w:id="88"/>
      <w:r>
        <w:rPr>
          <w:rFonts w:ascii="宋体" w:hAnsi="宋体" w:cs="宋体"/>
          <w:b/>
          <w:color w:val="auto"/>
          <w:sz w:val="36"/>
          <w:szCs w:val="36"/>
          <w:highlight w:val="none"/>
          <w:lang w:eastAsia="zh-CN"/>
        </w:rPr>
        <w:t>分项报价表</w:t>
      </w:r>
    </w:p>
    <w:p w14:paraId="735AA018">
      <w:pPr>
        <w:snapToGrid w:val="0"/>
        <w:spacing w:line="360" w:lineRule="auto"/>
        <w:jc w:val="center"/>
        <w:rPr>
          <w:rFonts w:hint="eastAsia" w:ascii="宋体" w:hAnsi="宋体" w:eastAsia="宋体" w:cs="宋体"/>
          <w:b/>
          <w:color w:val="auto"/>
          <w:sz w:val="36"/>
          <w:szCs w:val="36"/>
          <w:highlight w:val="none"/>
          <w:lang w:eastAsia="zh-CN"/>
        </w:rPr>
      </w:pPr>
      <w:r>
        <w:rPr>
          <w:rFonts w:hint="eastAsia" w:ascii="宋体" w:hAnsi="宋体" w:eastAsia="宋体" w:cs="宋体"/>
          <w:b/>
          <w:color w:val="auto"/>
          <w:sz w:val="36"/>
          <w:szCs w:val="36"/>
          <w:highlight w:val="none"/>
          <w:lang w:eastAsia="zh-CN"/>
        </w:rPr>
        <w:t>（根据提供的工程量清单进行报价）</w:t>
      </w:r>
    </w:p>
    <w:p w14:paraId="487BC30E">
      <w:pPr>
        <w:snapToGrid w:val="0"/>
        <w:spacing w:line="360" w:lineRule="auto"/>
        <w:jc w:val="center"/>
        <w:rPr>
          <w:rFonts w:ascii="宋体" w:hAnsi="宋体" w:cs="宋体"/>
          <w:b/>
          <w:bCs/>
          <w:color w:val="auto"/>
          <w:szCs w:val="21"/>
          <w:highlight w:val="none"/>
          <w:lang w:eastAsia="zh-CN"/>
        </w:rPr>
      </w:pPr>
    </w:p>
    <w:p w14:paraId="6C7395A7">
      <w:pPr>
        <w:snapToGrid w:val="0"/>
        <w:spacing w:line="360" w:lineRule="auto"/>
        <w:rPr>
          <w:rFonts w:ascii="宋体" w:hAnsi="宋体" w:cs="宋体"/>
          <w:b/>
          <w:bCs/>
          <w:color w:val="auto"/>
          <w:szCs w:val="21"/>
          <w:highlight w:val="none"/>
          <w:lang w:eastAsia="zh-CN"/>
        </w:rPr>
      </w:pPr>
    </w:p>
    <w:p w14:paraId="4F2BC289">
      <w:pPr>
        <w:spacing w:line="360" w:lineRule="auto"/>
        <w:rPr>
          <w:rFonts w:ascii="宋体" w:hAnsi="宋体" w:cs="宋体"/>
          <w:color w:val="auto"/>
          <w:sz w:val="21"/>
          <w:szCs w:val="21"/>
          <w:highlight w:val="none"/>
          <w:lang w:eastAsia="zh-CN"/>
        </w:rPr>
      </w:pPr>
      <w:r>
        <w:rPr>
          <w:rFonts w:hint="eastAsia" w:ascii="宋体" w:hAnsi="宋体" w:eastAsia="宋体" w:cs="宋体"/>
          <w:color w:val="auto"/>
          <w:sz w:val="21"/>
          <w:szCs w:val="21"/>
          <w:highlight w:val="none"/>
          <w:lang w:eastAsia="zh-CN"/>
        </w:rPr>
        <w:t>注：</w:t>
      </w:r>
      <w:r>
        <w:rPr>
          <w:rFonts w:hint="eastAsia" w:ascii="宋体" w:hAnsi="宋体" w:cs="宋体"/>
          <w:color w:val="auto"/>
          <w:sz w:val="21"/>
          <w:szCs w:val="21"/>
          <w:highlight w:val="none"/>
          <w:lang w:eastAsia="zh-CN"/>
        </w:rPr>
        <w:t>1</w:t>
      </w:r>
      <w:r>
        <w:rPr>
          <w:rFonts w:hint="eastAsia" w:ascii="宋体" w:hAnsi="宋体" w:eastAsia="宋体" w:cs="宋体"/>
          <w:color w:val="auto"/>
          <w:sz w:val="21"/>
          <w:szCs w:val="21"/>
          <w:highlight w:val="none"/>
          <w:lang w:eastAsia="zh-CN"/>
        </w:rPr>
        <w:t>、响应报价应包括但不限于完成该项目所有的费用及供应商认为需要的其他相关费用等；每一单项均应计算并填写分项的单价和合价及总价。供应商未填单价、合价的项目，在实施后，采购人将不予支付，并视为该项费用已包括在其它有价款的单价或总价内。</w:t>
      </w:r>
    </w:p>
    <w:p w14:paraId="56FD30C2">
      <w:pPr>
        <w:spacing w:line="360" w:lineRule="auto"/>
        <w:rPr>
          <w:rFonts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2</w:t>
      </w:r>
      <w:r>
        <w:rPr>
          <w:rFonts w:hint="eastAsia" w:ascii="宋体" w:hAnsi="宋体" w:eastAsia="宋体" w:cs="宋体"/>
          <w:color w:val="auto"/>
          <w:sz w:val="21"/>
          <w:szCs w:val="21"/>
          <w:highlight w:val="none"/>
          <w:lang w:eastAsia="zh-CN"/>
        </w:rPr>
        <w:t>、经磋商后，二次报价为最终报价，二次报价原则上不高于首次报价，如果成交价低于供应商在响应文件首次报价的，分项报价（除暂列金额、甲供材料费、材料暂估价、专业工程暂估价以外的所有费用）同比例调整。</w:t>
      </w:r>
    </w:p>
    <w:p w14:paraId="5CE33481">
      <w:pPr>
        <w:snapToGrid w:val="0"/>
        <w:spacing w:line="360" w:lineRule="auto"/>
        <w:rPr>
          <w:rFonts w:ascii="宋体" w:hAnsi="宋体" w:cs="宋体"/>
          <w:b/>
          <w:bCs/>
          <w:color w:val="auto"/>
          <w:szCs w:val="21"/>
          <w:highlight w:val="none"/>
          <w:lang w:eastAsia="zh-CN"/>
        </w:rPr>
      </w:pPr>
    </w:p>
    <w:p w14:paraId="37268B63">
      <w:pPr>
        <w:snapToGrid w:val="0"/>
        <w:spacing w:line="360" w:lineRule="auto"/>
        <w:rPr>
          <w:rFonts w:ascii="宋体" w:hAnsi="宋体" w:cs="宋体"/>
          <w:b/>
          <w:bCs/>
          <w:color w:val="auto"/>
          <w:szCs w:val="21"/>
          <w:highlight w:val="none"/>
          <w:lang w:eastAsia="zh-CN"/>
        </w:rPr>
      </w:pPr>
    </w:p>
    <w:p w14:paraId="3C5C476B">
      <w:pPr>
        <w:snapToGrid w:val="0"/>
        <w:spacing w:line="360" w:lineRule="auto"/>
        <w:rPr>
          <w:rFonts w:ascii="宋体" w:hAnsi="宋体" w:cs="宋体"/>
          <w:b/>
          <w:bCs/>
          <w:color w:val="auto"/>
          <w:szCs w:val="21"/>
          <w:highlight w:val="none"/>
          <w:lang w:eastAsia="zh-CN"/>
        </w:rPr>
      </w:pPr>
    </w:p>
    <w:p w14:paraId="239CF597">
      <w:pPr>
        <w:snapToGrid w:val="0"/>
        <w:spacing w:line="360" w:lineRule="auto"/>
        <w:rPr>
          <w:rFonts w:ascii="宋体" w:hAnsi="宋体" w:cs="宋体"/>
          <w:b/>
          <w:bCs/>
          <w:color w:val="auto"/>
          <w:szCs w:val="21"/>
          <w:highlight w:val="none"/>
          <w:lang w:eastAsia="zh-CN"/>
        </w:rPr>
      </w:pPr>
    </w:p>
    <w:p w14:paraId="1DF97A5F">
      <w:pPr>
        <w:snapToGrid w:val="0"/>
        <w:spacing w:line="360" w:lineRule="auto"/>
        <w:rPr>
          <w:rFonts w:ascii="宋体" w:hAnsi="宋体" w:cs="宋体"/>
          <w:b/>
          <w:bCs/>
          <w:color w:val="auto"/>
          <w:szCs w:val="21"/>
          <w:highlight w:val="none"/>
          <w:lang w:eastAsia="zh-CN"/>
        </w:rPr>
      </w:pPr>
    </w:p>
    <w:p w14:paraId="1BD1B6D6">
      <w:pPr>
        <w:snapToGrid w:val="0"/>
        <w:spacing w:line="360" w:lineRule="auto"/>
        <w:rPr>
          <w:rFonts w:ascii="宋体" w:hAnsi="宋体" w:cs="宋体"/>
          <w:b/>
          <w:bCs/>
          <w:color w:val="auto"/>
          <w:szCs w:val="21"/>
          <w:highlight w:val="none"/>
          <w:lang w:eastAsia="zh-CN"/>
        </w:rPr>
      </w:pPr>
    </w:p>
    <w:p w14:paraId="7DAD77FA">
      <w:pPr>
        <w:snapToGrid w:val="0"/>
        <w:spacing w:line="360" w:lineRule="auto"/>
        <w:rPr>
          <w:rFonts w:ascii="宋体" w:hAnsi="宋体" w:cs="宋体"/>
          <w:b/>
          <w:bCs/>
          <w:color w:val="auto"/>
          <w:szCs w:val="21"/>
          <w:highlight w:val="none"/>
          <w:lang w:eastAsia="zh-CN"/>
        </w:rPr>
      </w:pPr>
    </w:p>
    <w:p w14:paraId="2C8F8293">
      <w:pPr>
        <w:snapToGrid w:val="0"/>
        <w:spacing w:line="360" w:lineRule="auto"/>
        <w:rPr>
          <w:rFonts w:ascii="宋体" w:hAnsi="宋体" w:eastAsia="宋体" w:cs="宋体"/>
          <w:b/>
          <w:color w:val="auto"/>
          <w:highlight w:val="none"/>
          <w:lang w:eastAsia="zh-CN"/>
        </w:rPr>
      </w:pPr>
    </w:p>
    <w:p w14:paraId="6297B609">
      <w:pPr>
        <w:snapToGrid w:val="0"/>
        <w:spacing w:line="360" w:lineRule="auto"/>
        <w:rPr>
          <w:rFonts w:ascii="宋体" w:hAnsi="宋体" w:eastAsia="宋体" w:cs="宋体"/>
          <w:b/>
          <w:color w:val="auto"/>
          <w:highlight w:val="none"/>
          <w:lang w:eastAsia="zh-CN"/>
        </w:rPr>
      </w:pPr>
    </w:p>
    <w:p w14:paraId="12760972">
      <w:pPr>
        <w:pStyle w:val="70"/>
        <w:rPr>
          <w:rFonts w:eastAsia="宋体"/>
          <w:color w:val="auto"/>
          <w:highlight w:val="none"/>
          <w:lang w:eastAsia="zh-CN"/>
        </w:rPr>
      </w:pPr>
    </w:p>
    <w:p w14:paraId="7D18F68D">
      <w:pPr>
        <w:pStyle w:val="70"/>
        <w:rPr>
          <w:rFonts w:eastAsia="宋体"/>
          <w:color w:val="auto"/>
          <w:highlight w:val="none"/>
          <w:lang w:eastAsia="zh-CN"/>
        </w:rPr>
      </w:pPr>
    </w:p>
    <w:p w14:paraId="7DB77C34">
      <w:pPr>
        <w:pStyle w:val="70"/>
        <w:rPr>
          <w:rFonts w:eastAsia="宋体"/>
          <w:color w:val="auto"/>
          <w:highlight w:val="none"/>
          <w:lang w:eastAsia="zh-CN"/>
        </w:rPr>
      </w:pPr>
    </w:p>
    <w:p w14:paraId="706987A8">
      <w:pPr>
        <w:pStyle w:val="70"/>
        <w:rPr>
          <w:rFonts w:eastAsia="宋体"/>
          <w:color w:val="auto"/>
          <w:highlight w:val="none"/>
          <w:lang w:eastAsia="zh-CN"/>
        </w:rPr>
      </w:pPr>
    </w:p>
    <w:p w14:paraId="3E725A6F">
      <w:pPr>
        <w:pStyle w:val="70"/>
        <w:rPr>
          <w:rFonts w:eastAsia="宋体"/>
          <w:color w:val="auto"/>
          <w:highlight w:val="none"/>
          <w:lang w:eastAsia="zh-CN"/>
        </w:rPr>
      </w:pPr>
    </w:p>
    <w:p w14:paraId="367463BA">
      <w:pPr>
        <w:pStyle w:val="70"/>
        <w:rPr>
          <w:rFonts w:eastAsia="宋体"/>
          <w:color w:val="auto"/>
          <w:highlight w:val="none"/>
          <w:lang w:eastAsia="zh-CN"/>
        </w:rPr>
      </w:pPr>
    </w:p>
    <w:p w14:paraId="24C97FAA">
      <w:pPr>
        <w:pStyle w:val="70"/>
        <w:rPr>
          <w:rFonts w:eastAsia="宋体"/>
          <w:color w:val="auto"/>
          <w:highlight w:val="none"/>
          <w:lang w:eastAsia="zh-CN"/>
        </w:rPr>
      </w:pPr>
    </w:p>
    <w:p w14:paraId="36EDF736">
      <w:pPr>
        <w:pStyle w:val="70"/>
        <w:rPr>
          <w:rFonts w:eastAsia="宋体"/>
          <w:color w:val="auto"/>
          <w:highlight w:val="none"/>
          <w:lang w:eastAsia="zh-CN"/>
        </w:rPr>
      </w:pPr>
    </w:p>
    <w:p w14:paraId="108E069C">
      <w:pPr>
        <w:pStyle w:val="70"/>
        <w:rPr>
          <w:rFonts w:eastAsia="宋体"/>
          <w:color w:val="auto"/>
          <w:highlight w:val="none"/>
          <w:lang w:eastAsia="zh-CN"/>
        </w:rPr>
      </w:pPr>
    </w:p>
    <w:p w14:paraId="5CDBEA75">
      <w:pPr>
        <w:pStyle w:val="70"/>
        <w:rPr>
          <w:rFonts w:eastAsia="宋体"/>
          <w:color w:val="auto"/>
          <w:highlight w:val="none"/>
          <w:lang w:eastAsia="zh-CN"/>
        </w:rPr>
      </w:pPr>
    </w:p>
    <w:p w14:paraId="7CCB54CE">
      <w:pPr>
        <w:pStyle w:val="70"/>
        <w:rPr>
          <w:rFonts w:eastAsia="宋体"/>
          <w:color w:val="auto"/>
          <w:highlight w:val="none"/>
          <w:lang w:eastAsia="zh-CN"/>
        </w:rPr>
      </w:pPr>
    </w:p>
    <w:p w14:paraId="27A38422">
      <w:pPr>
        <w:pStyle w:val="70"/>
        <w:rPr>
          <w:rFonts w:eastAsia="宋体"/>
          <w:color w:val="auto"/>
          <w:highlight w:val="none"/>
          <w:lang w:eastAsia="zh-CN"/>
        </w:rPr>
      </w:pPr>
    </w:p>
    <w:p w14:paraId="2B819BBD">
      <w:pPr>
        <w:snapToGrid w:val="0"/>
        <w:spacing w:line="360" w:lineRule="auto"/>
        <w:rPr>
          <w:rFonts w:ascii="宋体" w:hAnsi="宋体" w:cs="宋体"/>
          <w:b/>
          <w:color w:val="auto"/>
          <w:szCs w:val="21"/>
          <w:highlight w:val="none"/>
          <w:lang w:eastAsia="zh-CN"/>
        </w:rPr>
      </w:pPr>
      <w:r>
        <w:rPr>
          <w:rFonts w:hint="eastAsia" w:ascii="宋体" w:hAnsi="宋体" w:cs="宋体"/>
          <w:b/>
          <w:color w:val="auto"/>
          <w:highlight w:val="none"/>
          <w:lang w:eastAsia="zh-CN"/>
        </w:rPr>
        <w:t>格式四</w:t>
      </w:r>
      <w:r>
        <w:rPr>
          <w:rFonts w:hint="eastAsia" w:ascii="宋体" w:hAnsi="宋体" w:cs="宋体"/>
          <w:b/>
          <w:bCs/>
          <w:color w:val="auto"/>
          <w:highlight w:val="none"/>
          <w:lang w:eastAsia="zh-CN"/>
        </w:rPr>
        <w:t>：</w:t>
      </w:r>
      <w:r>
        <w:rPr>
          <w:rFonts w:hint="eastAsia" w:ascii="宋体" w:hAnsi="宋体" w:cs="宋体"/>
          <w:b/>
          <w:color w:val="auto"/>
          <w:szCs w:val="21"/>
          <w:highlight w:val="none"/>
          <w:lang w:eastAsia="zh-CN"/>
        </w:rPr>
        <w:t>技术条款偏离表</w:t>
      </w:r>
      <w:r>
        <w:rPr>
          <w:rFonts w:hint="eastAsia" w:ascii="宋体" w:hAnsi="宋体" w:cs="宋体"/>
          <w:b/>
          <w:bCs/>
          <w:color w:val="auto"/>
          <w:szCs w:val="21"/>
          <w:highlight w:val="none"/>
          <w:lang w:eastAsia="zh-CN"/>
        </w:rPr>
        <w:t>格式</w:t>
      </w:r>
    </w:p>
    <w:p w14:paraId="475C40EA">
      <w:pPr>
        <w:autoSpaceDE w:val="0"/>
        <w:autoSpaceDN w:val="0"/>
        <w:adjustRightInd w:val="0"/>
        <w:snapToGrid w:val="0"/>
        <w:spacing w:line="360" w:lineRule="auto"/>
        <w:rPr>
          <w:rFonts w:ascii="宋体" w:hAnsi="宋体" w:cs="宋体"/>
          <w:b/>
          <w:color w:val="auto"/>
          <w:highlight w:val="none"/>
          <w:lang w:eastAsia="zh-CN"/>
        </w:rPr>
      </w:pPr>
    </w:p>
    <w:p w14:paraId="5C6C0F61">
      <w:pPr>
        <w:spacing w:line="360" w:lineRule="auto"/>
        <w:ind w:left="420"/>
        <w:jc w:val="center"/>
        <w:rPr>
          <w:rFonts w:ascii="宋体" w:hAnsi="宋体" w:cs="黑体"/>
          <w:color w:val="auto"/>
          <w:sz w:val="36"/>
          <w:highlight w:val="none"/>
        </w:rPr>
      </w:pPr>
      <w:r>
        <w:rPr>
          <w:rFonts w:ascii="宋体" w:hAnsi="宋体" w:cs="黑体"/>
          <w:color w:val="auto"/>
          <w:sz w:val="36"/>
          <w:highlight w:val="none"/>
        </w:rPr>
        <w:t>技术条款偏离表</w:t>
      </w:r>
    </w:p>
    <w:tbl>
      <w:tblPr>
        <w:tblStyle w:val="34"/>
        <w:tblW w:w="0" w:type="auto"/>
        <w:jc w:val="center"/>
        <w:tblLayout w:type="fixed"/>
        <w:tblCellMar>
          <w:top w:w="0" w:type="dxa"/>
          <w:left w:w="10" w:type="dxa"/>
          <w:bottom w:w="0" w:type="dxa"/>
          <w:right w:w="10" w:type="dxa"/>
        </w:tblCellMar>
      </w:tblPr>
      <w:tblGrid>
        <w:gridCol w:w="765"/>
        <w:gridCol w:w="1620"/>
        <w:gridCol w:w="2700"/>
        <w:gridCol w:w="1411"/>
        <w:gridCol w:w="1829"/>
        <w:gridCol w:w="1110"/>
      </w:tblGrid>
      <w:tr w14:paraId="2D4E3B38">
        <w:tblPrEx>
          <w:tblCellMar>
            <w:top w:w="0" w:type="dxa"/>
            <w:left w:w="10" w:type="dxa"/>
            <w:bottom w:w="0" w:type="dxa"/>
            <w:right w:w="10" w:type="dxa"/>
          </w:tblCellMar>
        </w:tblPrEx>
        <w:trPr>
          <w:jc w:val="center"/>
        </w:trPr>
        <w:tc>
          <w:tcPr>
            <w:tcW w:w="6496" w:type="dxa"/>
            <w:gridSpan w:val="4"/>
            <w:shd w:val="clear" w:color="000000" w:fill="FFFFFF"/>
            <w:noWrap w:val="0"/>
            <w:tcMar>
              <w:left w:w="0" w:type="dxa"/>
              <w:right w:w="0" w:type="dxa"/>
            </w:tcMar>
            <w:vAlign w:val="center"/>
          </w:tcPr>
          <w:p w14:paraId="3BA96CF9">
            <w:pPr>
              <w:spacing w:line="360" w:lineRule="auto"/>
              <w:rPr>
                <w:rFonts w:ascii="宋体" w:hAnsi="宋体" w:cs="宋体"/>
                <w:color w:val="auto"/>
                <w:highlight w:val="none"/>
                <w:lang w:eastAsia="zh-CN"/>
              </w:rPr>
            </w:pPr>
            <w:r>
              <w:rPr>
                <w:rFonts w:hint="eastAsia" w:ascii="宋体" w:hAnsi="宋体" w:eastAsia="宋体" w:cs="宋体"/>
                <w:color w:val="auto"/>
                <w:highlight w:val="none"/>
                <w:lang w:eastAsia="zh-CN"/>
              </w:rPr>
              <w:t>项目名称：</w:t>
            </w:r>
          </w:p>
        </w:tc>
        <w:tc>
          <w:tcPr>
            <w:tcW w:w="2939" w:type="dxa"/>
            <w:gridSpan w:val="2"/>
            <w:shd w:val="clear" w:color="000000" w:fill="FFFFFF"/>
            <w:noWrap w:val="0"/>
            <w:tcMar>
              <w:left w:w="0" w:type="dxa"/>
              <w:right w:w="0" w:type="dxa"/>
            </w:tcMar>
            <w:vAlign w:val="center"/>
          </w:tcPr>
          <w:p w14:paraId="0166A27C">
            <w:pPr>
              <w:spacing w:line="360" w:lineRule="auto"/>
              <w:rPr>
                <w:rFonts w:ascii="宋体" w:hAnsi="宋体" w:cs="宋体"/>
                <w:color w:val="auto"/>
                <w:highlight w:val="none"/>
              </w:rPr>
            </w:pPr>
            <w:r>
              <w:rPr>
                <w:rFonts w:ascii="宋体" w:hAnsi="宋体" w:cs="宋体"/>
                <w:color w:val="auto"/>
                <w:highlight w:val="none"/>
              </w:rPr>
              <w:t>项目编号：</w:t>
            </w:r>
          </w:p>
        </w:tc>
      </w:tr>
      <w:tr w14:paraId="2746E5A9">
        <w:tblPrEx>
          <w:tblCellMar>
            <w:top w:w="0" w:type="dxa"/>
            <w:left w:w="10" w:type="dxa"/>
            <w:bottom w:w="0" w:type="dxa"/>
            <w:right w:w="10" w:type="dxa"/>
          </w:tblCellMar>
        </w:tblPrEx>
        <w:trPr>
          <w:jc w:val="center"/>
        </w:trPr>
        <w:tc>
          <w:tcPr>
            <w:tcW w:w="765" w:type="dxa"/>
            <w:tcBorders>
              <w:top w:val="single" w:color="000000" w:sz="6" w:space="0"/>
              <w:left w:val="single" w:color="000000" w:sz="6" w:space="0"/>
              <w:bottom w:val="single" w:color="000000" w:sz="6" w:space="0"/>
              <w:right w:val="single" w:color="000000" w:sz="6" w:space="0"/>
            </w:tcBorders>
            <w:shd w:val="clear" w:color="000000" w:fill="FFFFFF"/>
            <w:noWrap w:val="0"/>
            <w:tcMar>
              <w:left w:w="0" w:type="dxa"/>
              <w:right w:w="0" w:type="dxa"/>
            </w:tcMar>
            <w:vAlign w:val="center"/>
          </w:tcPr>
          <w:p w14:paraId="4FDC9045">
            <w:pPr>
              <w:spacing w:line="360" w:lineRule="auto"/>
              <w:jc w:val="center"/>
              <w:rPr>
                <w:rFonts w:ascii="宋体" w:hAnsi="宋体" w:cs="宋体"/>
                <w:color w:val="auto"/>
                <w:highlight w:val="none"/>
              </w:rPr>
            </w:pPr>
            <w:r>
              <w:rPr>
                <w:rFonts w:ascii="宋体" w:hAnsi="宋体" w:cs="宋体"/>
                <w:color w:val="auto"/>
                <w:highlight w:val="none"/>
              </w:rPr>
              <w:t>序号</w:t>
            </w:r>
          </w:p>
        </w:tc>
        <w:tc>
          <w:tcPr>
            <w:tcW w:w="1620" w:type="dxa"/>
            <w:tcBorders>
              <w:top w:val="single" w:color="000000" w:sz="6" w:space="0"/>
              <w:left w:val="single" w:color="000000" w:sz="6" w:space="0"/>
              <w:bottom w:val="single" w:color="000000" w:sz="6" w:space="0"/>
              <w:right w:val="single" w:color="000000" w:sz="6" w:space="0"/>
            </w:tcBorders>
            <w:shd w:val="clear" w:color="000000" w:fill="FFFFFF"/>
            <w:noWrap w:val="0"/>
            <w:tcMar>
              <w:left w:w="0" w:type="dxa"/>
              <w:right w:w="0" w:type="dxa"/>
            </w:tcMar>
            <w:vAlign w:val="center"/>
          </w:tcPr>
          <w:p w14:paraId="548A389A">
            <w:pPr>
              <w:spacing w:line="360" w:lineRule="auto"/>
              <w:jc w:val="center"/>
              <w:rPr>
                <w:rFonts w:ascii="宋体" w:hAnsi="宋体" w:cs="宋体"/>
                <w:color w:val="auto"/>
                <w:highlight w:val="none"/>
              </w:rPr>
            </w:pPr>
            <w:r>
              <w:rPr>
                <w:rFonts w:hint="eastAsia" w:ascii="宋体" w:hAnsi="宋体" w:eastAsia="宋体" w:cs="宋体"/>
                <w:color w:val="auto"/>
                <w:highlight w:val="none"/>
                <w:lang w:eastAsia="zh-CN"/>
              </w:rPr>
              <w:t>磋商</w:t>
            </w:r>
            <w:r>
              <w:rPr>
                <w:rFonts w:ascii="宋体" w:hAnsi="宋体" w:cs="宋体"/>
                <w:color w:val="auto"/>
                <w:highlight w:val="none"/>
              </w:rPr>
              <w:t>文件条目号</w:t>
            </w:r>
          </w:p>
        </w:tc>
        <w:tc>
          <w:tcPr>
            <w:tcW w:w="2700" w:type="dxa"/>
            <w:tcBorders>
              <w:top w:val="single" w:color="000000" w:sz="6" w:space="0"/>
              <w:left w:val="single" w:color="000000" w:sz="6" w:space="0"/>
              <w:bottom w:val="single" w:color="000000" w:sz="6" w:space="0"/>
              <w:right w:val="single" w:color="000000" w:sz="6" w:space="0"/>
            </w:tcBorders>
            <w:shd w:val="clear" w:color="000000" w:fill="FFFFFF"/>
            <w:noWrap w:val="0"/>
            <w:tcMar>
              <w:left w:w="0" w:type="dxa"/>
              <w:right w:w="0" w:type="dxa"/>
            </w:tcMar>
            <w:vAlign w:val="center"/>
          </w:tcPr>
          <w:p w14:paraId="0C48EDBC">
            <w:pPr>
              <w:spacing w:line="360" w:lineRule="auto"/>
              <w:jc w:val="center"/>
              <w:rPr>
                <w:rFonts w:ascii="宋体" w:hAnsi="宋体" w:cs="宋体"/>
                <w:color w:val="auto"/>
                <w:highlight w:val="none"/>
              </w:rPr>
            </w:pPr>
            <w:r>
              <w:rPr>
                <w:rFonts w:ascii="宋体" w:hAnsi="宋体" w:cs="宋体"/>
                <w:color w:val="auto"/>
                <w:highlight w:val="none"/>
              </w:rPr>
              <w:t>服务要求</w:t>
            </w:r>
          </w:p>
        </w:tc>
        <w:tc>
          <w:tcPr>
            <w:tcW w:w="3240"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left w:w="0" w:type="dxa"/>
              <w:right w:w="0" w:type="dxa"/>
            </w:tcMar>
            <w:vAlign w:val="center"/>
          </w:tcPr>
          <w:p w14:paraId="4654136E">
            <w:pPr>
              <w:spacing w:line="360" w:lineRule="auto"/>
              <w:jc w:val="center"/>
              <w:rPr>
                <w:rFonts w:ascii="宋体" w:hAnsi="宋体" w:cs="宋体"/>
                <w:color w:val="auto"/>
                <w:highlight w:val="none"/>
              </w:rPr>
            </w:pPr>
            <w:r>
              <w:rPr>
                <w:rFonts w:hint="eastAsia" w:ascii="宋体" w:hAnsi="宋体" w:eastAsia="宋体" w:cs="宋体"/>
                <w:color w:val="auto"/>
                <w:highlight w:val="none"/>
                <w:lang w:eastAsia="zh-CN"/>
              </w:rPr>
              <w:t>磋商</w:t>
            </w:r>
            <w:r>
              <w:rPr>
                <w:rFonts w:ascii="宋体" w:hAnsi="宋体" w:cs="宋体"/>
                <w:color w:val="auto"/>
                <w:highlight w:val="none"/>
              </w:rPr>
              <w:t>响应</w:t>
            </w:r>
          </w:p>
        </w:tc>
        <w:tc>
          <w:tcPr>
            <w:tcW w:w="1110" w:type="dxa"/>
            <w:tcBorders>
              <w:top w:val="single" w:color="000000" w:sz="6" w:space="0"/>
              <w:left w:val="single" w:color="000000" w:sz="6" w:space="0"/>
              <w:bottom w:val="single" w:color="000000" w:sz="6" w:space="0"/>
              <w:right w:val="single" w:color="000000" w:sz="6" w:space="0"/>
            </w:tcBorders>
            <w:shd w:val="clear" w:color="000000" w:fill="FFFFFF"/>
            <w:noWrap w:val="0"/>
            <w:tcMar>
              <w:left w:w="0" w:type="dxa"/>
              <w:right w:w="0" w:type="dxa"/>
            </w:tcMar>
            <w:vAlign w:val="center"/>
          </w:tcPr>
          <w:p w14:paraId="0DEFBB81">
            <w:pPr>
              <w:spacing w:line="360" w:lineRule="auto"/>
              <w:jc w:val="center"/>
              <w:rPr>
                <w:rFonts w:ascii="宋体" w:hAnsi="宋体" w:cs="宋体"/>
                <w:color w:val="auto"/>
                <w:highlight w:val="none"/>
              </w:rPr>
            </w:pPr>
            <w:r>
              <w:rPr>
                <w:rFonts w:ascii="宋体" w:hAnsi="宋体" w:cs="宋体"/>
                <w:color w:val="auto"/>
                <w:highlight w:val="none"/>
              </w:rPr>
              <w:t>偏离</w:t>
            </w:r>
          </w:p>
        </w:tc>
      </w:tr>
      <w:tr w14:paraId="48188225">
        <w:tblPrEx>
          <w:tblCellMar>
            <w:top w:w="0" w:type="dxa"/>
            <w:left w:w="10" w:type="dxa"/>
            <w:bottom w:w="0" w:type="dxa"/>
            <w:right w:w="10" w:type="dxa"/>
          </w:tblCellMar>
        </w:tblPrEx>
        <w:trPr>
          <w:jc w:val="center"/>
        </w:trPr>
        <w:tc>
          <w:tcPr>
            <w:tcW w:w="765" w:type="dxa"/>
            <w:tcBorders>
              <w:top w:val="single" w:color="000000" w:sz="6" w:space="0"/>
              <w:left w:val="single" w:color="000000" w:sz="6" w:space="0"/>
              <w:bottom w:val="single" w:color="000000" w:sz="6" w:space="0"/>
              <w:right w:val="single" w:color="000000" w:sz="6" w:space="0"/>
            </w:tcBorders>
            <w:shd w:val="clear" w:color="000000" w:fill="FFFFFF"/>
            <w:noWrap w:val="0"/>
            <w:tcMar>
              <w:left w:w="0" w:type="dxa"/>
              <w:right w:w="0" w:type="dxa"/>
            </w:tcMar>
            <w:vAlign w:val="center"/>
          </w:tcPr>
          <w:p w14:paraId="7EDAD9C9">
            <w:pPr>
              <w:spacing w:line="360" w:lineRule="auto"/>
              <w:jc w:val="center"/>
              <w:rPr>
                <w:rFonts w:ascii="宋体" w:hAnsi="宋体" w:cs="宋体"/>
                <w:color w:val="auto"/>
                <w:highlight w:val="none"/>
              </w:rPr>
            </w:pPr>
          </w:p>
        </w:tc>
        <w:tc>
          <w:tcPr>
            <w:tcW w:w="1620" w:type="dxa"/>
            <w:tcBorders>
              <w:top w:val="single" w:color="000000" w:sz="6" w:space="0"/>
              <w:left w:val="single" w:color="000000" w:sz="6" w:space="0"/>
              <w:bottom w:val="single" w:color="000000" w:sz="6" w:space="0"/>
              <w:right w:val="single" w:color="000000" w:sz="6" w:space="0"/>
            </w:tcBorders>
            <w:shd w:val="clear" w:color="000000" w:fill="FFFFFF"/>
            <w:noWrap w:val="0"/>
            <w:tcMar>
              <w:left w:w="0" w:type="dxa"/>
              <w:right w:w="0" w:type="dxa"/>
            </w:tcMar>
            <w:vAlign w:val="center"/>
          </w:tcPr>
          <w:p w14:paraId="177687BB">
            <w:pPr>
              <w:spacing w:line="360" w:lineRule="auto"/>
              <w:jc w:val="center"/>
              <w:rPr>
                <w:rFonts w:ascii="宋体" w:hAnsi="宋体" w:cs="宋体"/>
                <w:color w:val="auto"/>
                <w:highlight w:val="none"/>
              </w:rPr>
            </w:pPr>
          </w:p>
        </w:tc>
        <w:tc>
          <w:tcPr>
            <w:tcW w:w="2700" w:type="dxa"/>
            <w:tcBorders>
              <w:top w:val="single" w:color="000000" w:sz="6" w:space="0"/>
              <w:left w:val="single" w:color="000000" w:sz="6" w:space="0"/>
              <w:bottom w:val="single" w:color="000000" w:sz="6" w:space="0"/>
              <w:right w:val="single" w:color="000000" w:sz="6" w:space="0"/>
            </w:tcBorders>
            <w:shd w:val="clear" w:color="000000" w:fill="FFFFFF"/>
            <w:noWrap w:val="0"/>
            <w:tcMar>
              <w:left w:w="0" w:type="dxa"/>
              <w:right w:w="0" w:type="dxa"/>
            </w:tcMar>
            <w:vAlign w:val="center"/>
          </w:tcPr>
          <w:p w14:paraId="6A912907">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lang w:eastAsia="zh-CN"/>
              </w:rPr>
              <w:t>项目实施要求</w:t>
            </w:r>
          </w:p>
        </w:tc>
        <w:tc>
          <w:tcPr>
            <w:tcW w:w="3240"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left w:w="0" w:type="dxa"/>
              <w:right w:w="0" w:type="dxa"/>
            </w:tcMar>
            <w:vAlign w:val="center"/>
          </w:tcPr>
          <w:p w14:paraId="5BEC8E27">
            <w:pPr>
              <w:spacing w:line="360" w:lineRule="auto"/>
              <w:jc w:val="center"/>
              <w:rPr>
                <w:rFonts w:ascii="宋体" w:hAnsi="宋体" w:cs="宋体"/>
                <w:color w:val="auto"/>
                <w:highlight w:val="none"/>
              </w:rPr>
            </w:pPr>
          </w:p>
        </w:tc>
        <w:tc>
          <w:tcPr>
            <w:tcW w:w="1110" w:type="dxa"/>
            <w:tcBorders>
              <w:top w:val="single" w:color="000000" w:sz="6" w:space="0"/>
              <w:left w:val="single" w:color="000000" w:sz="6" w:space="0"/>
              <w:bottom w:val="single" w:color="000000" w:sz="6" w:space="0"/>
              <w:right w:val="single" w:color="000000" w:sz="6" w:space="0"/>
            </w:tcBorders>
            <w:shd w:val="clear" w:color="000000" w:fill="FFFFFF"/>
            <w:noWrap w:val="0"/>
            <w:tcMar>
              <w:left w:w="0" w:type="dxa"/>
              <w:right w:w="0" w:type="dxa"/>
            </w:tcMar>
            <w:vAlign w:val="center"/>
          </w:tcPr>
          <w:p w14:paraId="221D0051">
            <w:pPr>
              <w:spacing w:line="360" w:lineRule="auto"/>
              <w:jc w:val="center"/>
              <w:rPr>
                <w:rFonts w:ascii="宋体" w:hAnsi="宋体" w:cs="宋体"/>
                <w:color w:val="auto"/>
                <w:highlight w:val="none"/>
              </w:rPr>
            </w:pPr>
          </w:p>
        </w:tc>
      </w:tr>
      <w:tr w14:paraId="7D59EA0C">
        <w:tblPrEx>
          <w:tblCellMar>
            <w:top w:w="0" w:type="dxa"/>
            <w:left w:w="10" w:type="dxa"/>
            <w:bottom w:w="0" w:type="dxa"/>
            <w:right w:w="10" w:type="dxa"/>
          </w:tblCellMar>
        </w:tblPrEx>
        <w:trPr>
          <w:jc w:val="center"/>
        </w:trPr>
        <w:tc>
          <w:tcPr>
            <w:tcW w:w="765" w:type="dxa"/>
            <w:tcBorders>
              <w:top w:val="single" w:color="000000" w:sz="6" w:space="0"/>
              <w:left w:val="single" w:color="000000" w:sz="6" w:space="0"/>
              <w:bottom w:val="single" w:color="000000" w:sz="6" w:space="0"/>
              <w:right w:val="single" w:color="000000" w:sz="6" w:space="0"/>
            </w:tcBorders>
            <w:shd w:val="clear" w:color="000000" w:fill="FFFFFF"/>
            <w:noWrap w:val="0"/>
            <w:tcMar>
              <w:left w:w="0" w:type="dxa"/>
              <w:right w:w="0" w:type="dxa"/>
            </w:tcMar>
            <w:vAlign w:val="center"/>
          </w:tcPr>
          <w:p w14:paraId="3D4D5A62">
            <w:pPr>
              <w:spacing w:line="360" w:lineRule="auto"/>
              <w:jc w:val="center"/>
              <w:rPr>
                <w:rFonts w:ascii="宋体" w:hAnsi="宋体" w:cs="宋体"/>
                <w:color w:val="auto"/>
                <w:highlight w:val="none"/>
              </w:rPr>
            </w:pPr>
          </w:p>
        </w:tc>
        <w:tc>
          <w:tcPr>
            <w:tcW w:w="1620" w:type="dxa"/>
            <w:tcBorders>
              <w:top w:val="single" w:color="000000" w:sz="6" w:space="0"/>
              <w:left w:val="single" w:color="000000" w:sz="6" w:space="0"/>
              <w:bottom w:val="single" w:color="000000" w:sz="6" w:space="0"/>
              <w:right w:val="single" w:color="000000" w:sz="6" w:space="0"/>
            </w:tcBorders>
            <w:shd w:val="clear" w:color="000000" w:fill="FFFFFF"/>
            <w:noWrap w:val="0"/>
            <w:tcMar>
              <w:left w:w="0" w:type="dxa"/>
              <w:right w:w="0" w:type="dxa"/>
            </w:tcMar>
            <w:vAlign w:val="center"/>
          </w:tcPr>
          <w:p w14:paraId="384A7F8D">
            <w:pPr>
              <w:spacing w:line="360" w:lineRule="auto"/>
              <w:jc w:val="center"/>
              <w:rPr>
                <w:rFonts w:ascii="宋体" w:hAnsi="宋体" w:cs="宋体"/>
                <w:color w:val="auto"/>
                <w:highlight w:val="none"/>
              </w:rPr>
            </w:pPr>
          </w:p>
        </w:tc>
        <w:tc>
          <w:tcPr>
            <w:tcW w:w="2700" w:type="dxa"/>
            <w:tcBorders>
              <w:top w:val="single" w:color="000000" w:sz="6" w:space="0"/>
              <w:left w:val="single" w:color="000000" w:sz="6" w:space="0"/>
              <w:bottom w:val="single" w:color="000000" w:sz="6" w:space="0"/>
              <w:right w:val="single" w:color="000000" w:sz="6" w:space="0"/>
            </w:tcBorders>
            <w:shd w:val="clear" w:color="000000" w:fill="FFFFFF"/>
            <w:noWrap w:val="0"/>
            <w:tcMar>
              <w:left w:w="0" w:type="dxa"/>
              <w:right w:w="0" w:type="dxa"/>
            </w:tcMar>
            <w:vAlign w:val="center"/>
          </w:tcPr>
          <w:p w14:paraId="4A6C236C">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实施方案</w:t>
            </w:r>
            <w:r>
              <w:rPr>
                <w:rFonts w:hint="eastAsia" w:ascii="宋体" w:hAnsi="宋体" w:eastAsia="宋体" w:cs="宋体"/>
                <w:color w:val="auto"/>
                <w:sz w:val="21"/>
                <w:szCs w:val="21"/>
                <w:highlight w:val="none"/>
                <w:lang w:eastAsia="zh-CN"/>
              </w:rPr>
              <w:t>(如有）</w:t>
            </w:r>
          </w:p>
        </w:tc>
        <w:tc>
          <w:tcPr>
            <w:tcW w:w="3240"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left w:w="0" w:type="dxa"/>
              <w:right w:w="0" w:type="dxa"/>
            </w:tcMar>
            <w:vAlign w:val="center"/>
          </w:tcPr>
          <w:p w14:paraId="75976AD5">
            <w:pPr>
              <w:spacing w:line="360" w:lineRule="auto"/>
              <w:jc w:val="center"/>
              <w:rPr>
                <w:rFonts w:ascii="宋体" w:hAnsi="宋体" w:cs="宋体"/>
                <w:color w:val="auto"/>
                <w:highlight w:val="none"/>
              </w:rPr>
            </w:pPr>
          </w:p>
        </w:tc>
        <w:tc>
          <w:tcPr>
            <w:tcW w:w="1110" w:type="dxa"/>
            <w:tcBorders>
              <w:top w:val="single" w:color="000000" w:sz="6" w:space="0"/>
              <w:left w:val="single" w:color="000000" w:sz="6" w:space="0"/>
              <w:bottom w:val="single" w:color="000000" w:sz="6" w:space="0"/>
              <w:right w:val="single" w:color="000000" w:sz="6" w:space="0"/>
            </w:tcBorders>
            <w:shd w:val="clear" w:color="000000" w:fill="FFFFFF"/>
            <w:noWrap w:val="0"/>
            <w:tcMar>
              <w:left w:w="0" w:type="dxa"/>
              <w:right w:w="0" w:type="dxa"/>
            </w:tcMar>
            <w:vAlign w:val="center"/>
          </w:tcPr>
          <w:p w14:paraId="4DE80025">
            <w:pPr>
              <w:spacing w:line="360" w:lineRule="auto"/>
              <w:jc w:val="center"/>
              <w:rPr>
                <w:rFonts w:ascii="宋体" w:hAnsi="宋体" w:cs="宋体"/>
                <w:color w:val="auto"/>
                <w:highlight w:val="none"/>
              </w:rPr>
            </w:pPr>
          </w:p>
        </w:tc>
      </w:tr>
      <w:tr w14:paraId="61BB7CA7">
        <w:tblPrEx>
          <w:tblCellMar>
            <w:top w:w="0" w:type="dxa"/>
            <w:left w:w="10" w:type="dxa"/>
            <w:bottom w:w="0" w:type="dxa"/>
            <w:right w:w="10" w:type="dxa"/>
          </w:tblCellMar>
        </w:tblPrEx>
        <w:trPr>
          <w:jc w:val="center"/>
        </w:trPr>
        <w:tc>
          <w:tcPr>
            <w:tcW w:w="765" w:type="dxa"/>
            <w:tcBorders>
              <w:top w:val="single" w:color="000000" w:sz="6" w:space="0"/>
              <w:left w:val="single" w:color="000000" w:sz="6" w:space="0"/>
              <w:bottom w:val="single" w:color="000000" w:sz="6" w:space="0"/>
              <w:right w:val="single" w:color="000000" w:sz="6" w:space="0"/>
            </w:tcBorders>
            <w:shd w:val="clear" w:color="000000" w:fill="FFFFFF"/>
            <w:noWrap w:val="0"/>
            <w:tcMar>
              <w:left w:w="0" w:type="dxa"/>
              <w:right w:w="0" w:type="dxa"/>
            </w:tcMar>
            <w:vAlign w:val="center"/>
          </w:tcPr>
          <w:p w14:paraId="578155A7">
            <w:pPr>
              <w:spacing w:line="360" w:lineRule="auto"/>
              <w:jc w:val="center"/>
              <w:rPr>
                <w:rFonts w:ascii="宋体" w:hAnsi="宋体" w:cs="宋体"/>
                <w:color w:val="auto"/>
                <w:highlight w:val="none"/>
              </w:rPr>
            </w:pPr>
          </w:p>
        </w:tc>
        <w:tc>
          <w:tcPr>
            <w:tcW w:w="1620" w:type="dxa"/>
            <w:tcBorders>
              <w:top w:val="single" w:color="000000" w:sz="6" w:space="0"/>
              <w:left w:val="single" w:color="000000" w:sz="6" w:space="0"/>
              <w:bottom w:val="single" w:color="000000" w:sz="6" w:space="0"/>
              <w:right w:val="single" w:color="000000" w:sz="6" w:space="0"/>
            </w:tcBorders>
            <w:shd w:val="clear" w:color="000000" w:fill="FFFFFF"/>
            <w:noWrap w:val="0"/>
            <w:tcMar>
              <w:left w:w="0" w:type="dxa"/>
              <w:right w:w="0" w:type="dxa"/>
            </w:tcMar>
            <w:vAlign w:val="center"/>
          </w:tcPr>
          <w:p w14:paraId="66080A1A">
            <w:pPr>
              <w:spacing w:line="360" w:lineRule="auto"/>
              <w:jc w:val="center"/>
              <w:rPr>
                <w:rFonts w:ascii="宋体" w:hAnsi="宋体" w:cs="宋体"/>
                <w:color w:val="auto"/>
                <w:highlight w:val="none"/>
              </w:rPr>
            </w:pPr>
          </w:p>
        </w:tc>
        <w:tc>
          <w:tcPr>
            <w:tcW w:w="2700" w:type="dxa"/>
            <w:tcBorders>
              <w:top w:val="single" w:color="000000" w:sz="6" w:space="0"/>
              <w:left w:val="single" w:color="000000" w:sz="6" w:space="0"/>
              <w:bottom w:val="single" w:color="000000" w:sz="6" w:space="0"/>
              <w:right w:val="single" w:color="000000" w:sz="6" w:space="0"/>
            </w:tcBorders>
            <w:shd w:val="clear" w:color="000000" w:fill="FFFFFF"/>
            <w:noWrap w:val="0"/>
            <w:tcMar>
              <w:left w:w="0" w:type="dxa"/>
              <w:right w:w="0" w:type="dxa"/>
            </w:tcMar>
            <w:vAlign w:val="center"/>
          </w:tcPr>
          <w:p w14:paraId="24279A6D">
            <w:pPr>
              <w:spacing w:line="360" w:lineRule="auto"/>
              <w:jc w:val="center"/>
              <w:rPr>
                <w:rFonts w:ascii="宋体" w:hAnsi="宋体" w:cs="宋体"/>
                <w:color w:val="auto"/>
                <w:sz w:val="21"/>
                <w:szCs w:val="21"/>
                <w:highlight w:val="none"/>
                <w:lang w:eastAsia="zh-CN"/>
              </w:rPr>
            </w:pPr>
            <w:r>
              <w:rPr>
                <w:rFonts w:hint="eastAsia" w:ascii="宋体" w:hAnsi="宋体" w:eastAsia="宋体" w:cs="宋体"/>
                <w:color w:val="auto"/>
                <w:sz w:val="21"/>
                <w:szCs w:val="21"/>
                <w:highlight w:val="none"/>
                <w:lang w:eastAsia="zh-CN"/>
              </w:rPr>
              <w:t>供应商认为需要</w:t>
            </w:r>
            <w:r>
              <w:rPr>
                <w:rFonts w:hint="eastAsia" w:ascii="宋体" w:hAnsi="宋体" w:eastAsia="宋体" w:cs="宋体"/>
                <w:color w:val="auto"/>
                <w:sz w:val="21"/>
                <w:szCs w:val="21"/>
                <w:highlight w:val="none"/>
                <w:lang w:val="zh-CN" w:eastAsia="zh-CN"/>
              </w:rPr>
              <w:t>提供的其他技术资料</w:t>
            </w:r>
          </w:p>
        </w:tc>
        <w:tc>
          <w:tcPr>
            <w:tcW w:w="3240"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left w:w="0" w:type="dxa"/>
              <w:right w:w="0" w:type="dxa"/>
            </w:tcMar>
            <w:vAlign w:val="center"/>
          </w:tcPr>
          <w:p w14:paraId="3899BE53">
            <w:pPr>
              <w:spacing w:line="360" w:lineRule="auto"/>
              <w:jc w:val="center"/>
              <w:rPr>
                <w:rFonts w:ascii="宋体" w:hAnsi="宋体" w:cs="宋体"/>
                <w:color w:val="auto"/>
                <w:highlight w:val="none"/>
                <w:lang w:eastAsia="zh-CN"/>
              </w:rPr>
            </w:pPr>
          </w:p>
        </w:tc>
        <w:tc>
          <w:tcPr>
            <w:tcW w:w="1110" w:type="dxa"/>
            <w:tcBorders>
              <w:top w:val="single" w:color="000000" w:sz="6" w:space="0"/>
              <w:left w:val="single" w:color="000000" w:sz="6" w:space="0"/>
              <w:bottom w:val="single" w:color="000000" w:sz="6" w:space="0"/>
              <w:right w:val="single" w:color="000000" w:sz="6" w:space="0"/>
            </w:tcBorders>
            <w:shd w:val="clear" w:color="000000" w:fill="FFFFFF"/>
            <w:noWrap w:val="0"/>
            <w:tcMar>
              <w:left w:w="0" w:type="dxa"/>
              <w:right w:w="0" w:type="dxa"/>
            </w:tcMar>
            <w:vAlign w:val="center"/>
          </w:tcPr>
          <w:p w14:paraId="68FB6595">
            <w:pPr>
              <w:spacing w:line="360" w:lineRule="auto"/>
              <w:jc w:val="center"/>
              <w:rPr>
                <w:rFonts w:ascii="宋体" w:hAnsi="宋体" w:cs="宋体"/>
                <w:color w:val="auto"/>
                <w:highlight w:val="none"/>
                <w:lang w:eastAsia="zh-CN"/>
              </w:rPr>
            </w:pPr>
          </w:p>
        </w:tc>
      </w:tr>
      <w:tr w14:paraId="2143AC35">
        <w:tblPrEx>
          <w:tblCellMar>
            <w:top w:w="0" w:type="dxa"/>
            <w:left w:w="10" w:type="dxa"/>
            <w:bottom w:w="0" w:type="dxa"/>
            <w:right w:w="10" w:type="dxa"/>
          </w:tblCellMar>
        </w:tblPrEx>
        <w:trPr>
          <w:jc w:val="center"/>
        </w:trPr>
        <w:tc>
          <w:tcPr>
            <w:tcW w:w="765" w:type="dxa"/>
            <w:tcBorders>
              <w:top w:val="single" w:color="000000" w:sz="6" w:space="0"/>
              <w:left w:val="single" w:color="000000" w:sz="6" w:space="0"/>
              <w:bottom w:val="single" w:color="000000" w:sz="6" w:space="0"/>
              <w:right w:val="single" w:color="000000" w:sz="6" w:space="0"/>
            </w:tcBorders>
            <w:shd w:val="clear" w:color="000000" w:fill="FFFFFF"/>
            <w:noWrap w:val="0"/>
            <w:tcMar>
              <w:left w:w="0" w:type="dxa"/>
              <w:right w:w="0" w:type="dxa"/>
            </w:tcMar>
            <w:vAlign w:val="center"/>
          </w:tcPr>
          <w:p w14:paraId="1E0B40F6">
            <w:pPr>
              <w:spacing w:line="360" w:lineRule="auto"/>
              <w:jc w:val="center"/>
              <w:rPr>
                <w:rFonts w:ascii="宋体" w:hAnsi="宋体" w:cs="宋体"/>
                <w:color w:val="auto"/>
                <w:highlight w:val="none"/>
                <w:lang w:eastAsia="zh-CN"/>
              </w:rPr>
            </w:pPr>
          </w:p>
        </w:tc>
        <w:tc>
          <w:tcPr>
            <w:tcW w:w="1620" w:type="dxa"/>
            <w:tcBorders>
              <w:top w:val="single" w:color="000000" w:sz="6" w:space="0"/>
              <w:left w:val="single" w:color="000000" w:sz="6" w:space="0"/>
              <w:bottom w:val="single" w:color="000000" w:sz="6" w:space="0"/>
              <w:right w:val="single" w:color="000000" w:sz="6" w:space="0"/>
            </w:tcBorders>
            <w:shd w:val="clear" w:color="000000" w:fill="FFFFFF"/>
            <w:noWrap w:val="0"/>
            <w:tcMar>
              <w:left w:w="0" w:type="dxa"/>
              <w:right w:w="0" w:type="dxa"/>
            </w:tcMar>
            <w:vAlign w:val="center"/>
          </w:tcPr>
          <w:p w14:paraId="31704B64">
            <w:pPr>
              <w:spacing w:line="360" w:lineRule="auto"/>
              <w:jc w:val="center"/>
              <w:rPr>
                <w:rFonts w:ascii="宋体" w:hAnsi="宋体" w:cs="宋体"/>
                <w:color w:val="auto"/>
                <w:highlight w:val="none"/>
                <w:lang w:eastAsia="zh-CN"/>
              </w:rPr>
            </w:pPr>
          </w:p>
        </w:tc>
        <w:tc>
          <w:tcPr>
            <w:tcW w:w="2700" w:type="dxa"/>
            <w:tcBorders>
              <w:top w:val="single" w:color="000000" w:sz="6" w:space="0"/>
              <w:left w:val="single" w:color="000000" w:sz="6" w:space="0"/>
              <w:bottom w:val="single" w:color="000000" w:sz="6" w:space="0"/>
              <w:right w:val="single" w:color="000000" w:sz="6" w:space="0"/>
            </w:tcBorders>
            <w:shd w:val="clear" w:color="000000" w:fill="FFFFFF"/>
            <w:noWrap w:val="0"/>
            <w:tcMar>
              <w:left w:w="0" w:type="dxa"/>
              <w:right w:w="0" w:type="dxa"/>
            </w:tcMar>
            <w:vAlign w:val="center"/>
          </w:tcPr>
          <w:p w14:paraId="6505B68E">
            <w:pPr>
              <w:spacing w:line="360" w:lineRule="auto"/>
              <w:jc w:val="center"/>
              <w:rPr>
                <w:rFonts w:ascii="宋体" w:hAnsi="宋体" w:eastAsia="宋体" w:cs="宋体"/>
                <w:color w:val="auto"/>
                <w:sz w:val="21"/>
                <w:szCs w:val="21"/>
                <w:highlight w:val="none"/>
                <w:lang w:eastAsia="zh-CN"/>
              </w:rPr>
            </w:pPr>
            <w:r>
              <w:rPr>
                <w:rFonts w:ascii="宋体" w:hAnsi="宋体" w:eastAsia="宋体" w:cs="宋体"/>
                <w:color w:val="auto"/>
                <w:sz w:val="21"/>
                <w:szCs w:val="21"/>
                <w:highlight w:val="none"/>
                <w:lang w:eastAsia="zh-CN"/>
              </w:rPr>
              <w:t>其他要求</w:t>
            </w:r>
          </w:p>
        </w:tc>
        <w:tc>
          <w:tcPr>
            <w:tcW w:w="3240"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left w:w="0" w:type="dxa"/>
              <w:right w:w="0" w:type="dxa"/>
            </w:tcMar>
            <w:vAlign w:val="center"/>
          </w:tcPr>
          <w:p w14:paraId="589A7DF7">
            <w:pPr>
              <w:spacing w:line="360" w:lineRule="auto"/>
              <w:jc w:val="center"/>
              <w:rPr>
                <w:rFonts w:ascii="宋体" w:hAnsi="宋体" w:cs="宋体"/>
                <w:color w:val="auto"/>
                <w:highlight w:val="none"/>
              </w:rPr>
            </w:pPr>
          </w:p>
        </w:tc>
        <w:tc>
          <w:tcPr>
            <w:tcW w:w="1110" w:type="dxa"/>
            <w:tcBorders>
              <w:top w:val="single" w:color="000000" w:sz="6" w:space="0"/>
              <w:left w:val="single" w:color="000000" w:sz="6" w:space="0"/>
              <w:bottom w:val="single" w:color="000000" w:sz="6" w:space="0"/>
              <w:right w:val="single" w:color="000000" w:sz="6" w:space="0"/>
            </w:tcBorders>
            <w:shd w:val="clear" w:color="000000" w:fill="FFFFFF"/>
            <w:noWrap w:val="0"/>
            <w:tcMar>
              <w:left w:w="0" w:type="dxa"/>
              <w:right w:w="0" w:type="dxa"/>
            </w:tcMar>
            <w:vAlign w:val="center"/>
          </w:tcPr>
          <w:p w14:paraId="6DEE290B">
            <w:pPr>
              <w:spacing w:line="360" w:lineRule="auto"/>
              <w:jc w:val="center"/>
              <w:rPr>
                <w:rFonts w:ascii="宋体" w:hAnsi="宋体" w:cs="宋体"/>
                <w:color w:val="auto"/>
                <w:highlight w:val="none"/>
              </w:rPr>
            </w:pPr>
          </w:p>
        </w:tc>
      </w:tr>
      <w:tr w14:paraId="20B268A6">
        <w:tblPrEx>
          <w:tblCellMar>
            <w:top w:w="0" w:type="dxa"/>
            <w:left w:w="10" w:type="dxa"/>
            <w:bottom w:w="0" w:type="dxa"/>
            <w:right w:w="10" w:type="dxa"/>
          </w:tblCellMar>
        </w:tblPrEx>
        <w:trPr>
          <w:jc w:val="center"/>
        </w:trPr>
        <w:tc>
          <w:tcPr>
            <w:tcW w:w="765" w:type="dxa"/>
            <w:tcBorders>
              <w:top w:val="single" w:color="000000" w:sz="6" w:space="0"/>
              <w:left w:val="single" w:color="000000" w:sz="6" w:space="0"/>
              <w:bottom w:val="single" w:color="000000" w:sz="6" w:space="0"/>
              <w:right w:val="single" w:color="000000" w:sz="6" w:space="0"/>
            </w:tcBorders>
            <w:shd w:val="clear" w:color="000000" w:fill="FFFFFF"/>
            <w:noWrap w:val="0"/>
            <w:tcMar>
              <w:left w:w="0" w:type="dxa"/>
              <w:right w:w="0" w:type="dxa"/>
            </w:tcMar>
            <w:vAlign w:val="center"/>
          </w:tcPr>
          <w:p w14:paraId="471ADD92">
            <w:pPr>
              <w:spacing w:line="360" w:lineRule="auto"/>
              <w:jc w:val="center"/>
              <w:rPr>
                <w:rFonts w:ascii="宋体" w:hAnsi="宋体" w:cs="宋体"/>
                <w:color w:val="auto"/>
                <w:highlight w:val="none"/>
              </w:rPr>
            </w:pPr>
          </w:p>
        </w:tc>
        <w:tc>
          <w:tcPr>
            <w:tcW w:w="1620" w:type="dxa"/>
            <w:tcBorders>
              <w:top w:val="single" w:color="000000" w:sz="6" w:space="0"/>
              <w:left w:val="single" w:color="000000" w:sz="6" w:space="0"/>
              <w:bottom w:val="single" w:color="000000" w:sz="6" w:space="0"/>
              <w:right w:val="single" w:color="000000" w:sz="6" w:space="0"/>
            </w:tcBorders>
            <w:shd w:val="clear" w:color="000000" w:fill="FFFFFF"/>
            <w:noWrap w:val="0"/>
            <w:tcMar>
              <w:left w:w="0" w:type="dxa"/>
              <w:right w:w="0" w:type="dxa"/>
            </w:tcMar>
            <w:vAlign w:val="center"/>
          </w:tcPr>
          <w:p w14:paraId="74CF1ADD">
            <w:pPr>
              <w:spacing w:line="360" w:lineRule="auto"/>
              <w:jc w:val="center"/>
              <w:rPr>
                <w:rFonts w:ascii="宋体" w:hAnsi="宋体" w:cs="宋体"/>
                <w:color w:val="auto"/>
                <w:highlight w:val="none"/>
              </w:rPr>
            </w:pPr>
          </w:p>
        </w:tc>
        <w:tc>
          <w:tcPr>
            <w:tcW w:w="2700" w:type="dxa"/>
            <w:tcBorders>
              <w:top w:val="single" w:color="000000" w:sz="6" w:space="0"/>
              <w:left w:val="single" w:color="000000" w:sz="6" w:space="0"/>
              <w:bottom w:val="single" w:color="000000" w:sz="6" w:space="0"/>
              <w:right w:val="single" w:color="000000" w:sz="6" w:space="0"/>
            </w:tcBorders>
            <w:shd w:val="clear" w:color="000000" w:fill="FFFFFF"/>
            <w:noWrap w:val="0"/>
            <w:tcMar>
              <w:left w:w="0" w:type="dxa"/>
              <w:right w:w="0" w:type="dxa"/>
            </w:tcMar>
            <w:vAlign w:val="center"/>
          </w:tcPr>
          <w:p w14:paraId="21407516">
            <w:pPr>
              <w:spacing w:line="360" w:lineRule="auto"/>
              <w:jc w:val="center"/>
              <w:rPr>
                <w:rFonts w:ascii="宋体" w:hAnsi="宋体" w:cs="宋体"/>
                <w:color w:val="auto"/>
                <w:sz w:val="21"/>
                <w:szCs w:val="21"/>
                <w:highlight w:val="none"/>
              </w:rPr>
            </w:pPr>
            <w:r>
              <w:rPr>
                <w:rFonts w:hint="eastAsia" w:ascii="宋体" w:hAnsi="宋体" w:eastAsia="宋体" w:cs="宋体"/>
                <w:color w:val="auto"/>
                <w:sz w:val="21"/>
                <w:szCs w:val="21"/>
                <w:highlight w:val="none"/>
                <w:lang w:eastAsia="zh-CN"/>
              </w:rPr>
              <w:t>...</w:t>
            </w:r>
          </w:p>
        </w:tc>
        <w:tc>
          <w:tcPr>
            <w:tcW w:w="3240"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left w:w="0" w:type="dxa"/>
              <w:right w:w="0" w:type="dxa"/>
            </w:tcMar>
            <w:vAlign w:val="center"/>
          </w:tcPr>
          <w:p w14:paraId="07B2BDA9">
            <w:pPr>
              <w:spacing w:line="360" w:lineRule="auto"/>
              <w:jc w:val="center"/>
              <w:rPr>
                <w:rFonts w:ascii="宋体" w:hAnsi="宋体" w:cs="宋体"/>
                <w:color w:val="auto"/>
                <w:highlight w:val="none"/>
              </w:rPr>
            </w:pPr>
          </w:p>
        </w:tc>
        <w:tc>
          <w:tcPr>
            <w:tcW w:w="1110" w:type="dxa"/>
            <w:tcBorders>
              <w:top w:val="single" w:color="000000" w:sz="6" w:space="0"/>
              <w:left w:val="single" w:color="000000" w:sz="6" w:space="0"/>
              <w:bottom w:val="single" w:color="000000" w:sz="6" w:space="0"/>
              <w:right w:val="single" w:color="000000" w:sz="6" w:space="0"/>
            </w:tcBorders>
            <w:shd w:val="clear" w:color="000000" w:fill="FFFFFF"/>
            <w:noWrap w:val="0"/>
            <w:tcMar>
              <w:left w:w="0" w:type="dxa"/>
              <w:right w:w="0" w:type="dxa"/>
            </w:tcMar>
            <w:vAlign w:val="center"/>
          </w:tcPr>
          <w:p w14:paraId="69796A4A">
            <w:pPr>
              <w:spacing w:line="360" w:lineRule="auto"/>
              <w:jc w:val="center"/>
              <w:rPr>
                <w:rFonts w:ascii="宋体" w:hAnsi="宋体" w:cs="宋体"/>
                <w:color w:val="auto"/>
                <w:highlight w:val="none"/>
              </w:rPr>
            </w:pPr>
          </w:p>
        </w:tc>
      </w:tr>
      <w:tr w14:paraId="23C81138">
        <w:tblPrEx>
          <w:tblCellMar>
            <w:top w:w="0" w:type="dxa"/>
            <w:left w:w="10" w:type="dxa"/>
            <w:bottom w:w="0" w:type="dxa"/>
            <w:right w:w="10" w:type="dxa"/>
          </w:tblCellMar>
        </w:tblPrEx>
        <w:trPr>
          <w:jc w:val="center"/>
        </w:trPr>
        <w:tc>
          <w:tcPr>
            <w:tcW w:w="765" w:type="dxa"/>
            <w:tcBorders>
              <w:top w:val="single" w:color="000000" w:sz="6" w:space="0"/>
              <w:left w:val="single" w:color="000000" w:sz="6" w:space="0"/>
              <w:bottom w:val="single" w:color="000000" w:sz="6" w:space="0"/>
              <w:right w:val="single" w:color="000000" w:sz="6" w:space="0"/>
            </w:tcBorders>
            <w:shd w:val="clear" w:color="000000" w:fill="FFFFFF"/>
            <w:noWrap w:val="0"/>
            <w:tcMar>
              <w:left w:w="0" w:type="dxa"/>
              <w:right w:w="0" w:type="dxa"/>
            </w:tcMar>
            <w:vAlign w:val="center"/>
          </w:tcPr>
          <w:p w14:paraId="55873C9E">
            <w:pPr>
              <w:spacing w:line="360" w:lineRule="auto"/>
              <w:jc w:val="center"/>
              <w:rPr>
                <w:rFonts w:ascii="宋体" w:hAnsi="宋体" w:cs="宋体"/>
                <w:color w:val="auto"/>
                <w:highlight w:val="none"/>
              </w:rPr>
            </w:pPr>
          </w:p>
        </w:tc>
        <w:tc>
          <w:tcPr>
            <w:tcW w:w="1620" w:type="dxa"/>
            <w:tcBorders>
              <w:top w:val="single" w:color="000000" w:sz="6" w:space="0"/>
              <w:left w:val="single" w:color="000000" w:sz="6" w:space="0"/>
              <w:bottom w:val="single" w:color="000000" w:sz="6" w:space="0"/>
              <w:right w:val="single" w:color="000000" w:sz="6" w:space="0"/>
            </w:tcBorders>
            <w:shd w:val="clear" w:color="000000" w:fill="FFFFFF"/>
            <w:noWrap w:val="0"/>
            <w:tcMar>
              <w:left w:w="0" w:type="dxa"/>
              <w:right w:w="0" w:type="dxa"/>
            </w:tcMar>
            <w:vAlign w:val="center"/>
          </w:tcPr>
          <w:p w14:paraId="056863C1">
            <w:pPr>
              <w:spacing w:line="360" w:lineRule="auto"/>
              <w:jc w:val="center"/>
              <w:rPr>
                <w:rFonts w:ascii="宋体" w:hAnsi="宋体" w:cs="宋体"/>
                <w:color w:val="auto"/>
                <w:highlight w:val="none"/>
              </w:rPr>
            </w:pPr>
          </w:p>
        </w:tc>
        <w:tc>
          <w:tcPr>
            <w:tcW w:w="2700" w:type="dxa"/>
            <w:tcBorders>
              <w:top w:val="single" w:color="000000" w:sz="6" w:space="0"/>
              <w:left w:val="single" w:color="000000" w:sz="6" w:space="0"/>
              <w:bottom w:val="single" w:color="000000" w:sz="6" w:space="0"/>
              <w:right w:val="single" w:color="000000" w:sz="6" w:space="0"/>
            </w:tcBorders>
            <w:shd w:val="clear" w:color="000000" w:fill="FFFFFF"/>
            <w:noWrap w:val="0"/>
            <w:tcMar>
              <w:left w:w="0" w:type="dxa"/>
              <w:right w:w="0" w:type="dxa"/>
            </w:tcMar>
            <w:vAlign w:val="center"/>
          </w:tcPr>
          <w:p w14:paraId="37E3EEE1">
            <w:pPr>
              <w:spacing w:line="360" w:lineRule="auto"/>
              <w:jc w:val="center"/>
              <w:rPr>
                <w:rFonts w:ascii="宋体" w:hAnsi="宋体" w:cs="宋体"/>
                <w:color w:val="auto"/>
                <w:highlight w:val="none"/>
              </w:rPr>
            </w:pPr>
          </w:p>
        </w:tc>
        <w:tc>
          <w:tcPr>
            <w:tcW w:w="3240"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left w:w="0" w:type="dxa"/>
              <w:right w:w="0" w:type="dxa"/>
            </w:tcMar>
            <w:vAlign w:val="center"/>
          </w:tcPr>
          <w:p w14:paraId="4840A9A3">
            <w:pPr>
              <w:spacing w:line="360" w:lineRule="auto"/>
              <w:jc w:val="center"/>
              <w:rPr>
                <w:rFonts w:ascii="宋体" w:hAnsi="宋体" w:cs="宋体"/>
                <w:color w:val="auto"/>
                <w:highlight w:val="none"/>
              </w:rPr>
            </w:pPr>
          </w:p>
        </w:tc>
        <w:tc>
          <w:tcPr>
            <w:tcW w:w="1110" w:type="dxa"/>
            <w:tcBorders>
              <w:top w:val="single" w:color="000000" w:sz="6" w:space="0"/>
              <w:left w:val="single" w:color="000000" w:sz="6" w:space="0"/>
              <w:bottom w:val="single" w:color="000000" w:sz="6" w:space="0"/>
              <w:right w:val="single" w:color="000000" w:sz="6" w:space="0"/>
            </w:tcBorders>
            <w:shd w:val="clear" w:color="000000" w:fill="FFFFFF"/>
            <w:noWrap w:val="0"/>
            <w:tcMar>
              <w:left w:w="0" w:type="dxa"/>
              <w:right w:w="0" w:type="dxa"/>
            </w:tcMar>
            <w:vAlign w:val="center"/>
          </w:tcPr>
          <w:p w14:paraId="0DF412F1">
            <w:pPr>
              <w:spacing w:line="360" w:lineRule="auto"/>
              <w:jc w:val="center"/>
              <w:rPr>
                <w:rFonts w:ascii="宋体" w:hAnsi="宋体" w:cs="宋体"/>
                <w:color w:val="auto"/>
                <w:highlight w:val="none"/>
              </w:rPr>
            </w:pPr>
          </w:p>
        </w:tc>
      </w:tr>
      <w:tr w14:paraId="51E00624">
        <w:tblPrEx>
          <w:tblCellMar>
            <w:top w:w="0" w:type="dxa"/>
            <w:left w:w="10" w:type="dxa"/>
            <w:bottom w:w="0" w:type="dxa"/>
            <w:right w:w="10" w:type="dxa"/>
          </w:tblCellMar>
        </w:tblPrEx>
        <w:trPr>
          <w:jc w:val="center"/>
        </w:trPr>
        <w:tc>
          <w:tcPr>
            <w:tcW w:w="765" w:type="dxa"/>
            <w:tcBorders>
              <w:top w:val="single" w:color="000000" w:sz="6" w:space="0"/>
              <w:left w:val="single" w:color="000000" w:sz="6" w:space="0"/>
              <w:bottom w:val="single" w:color="000000" w:sz="6" w:space="0"/>
              <w:right w:val="single" w:color="000000" w:sz="6" w:space="0"/>
            </w:tcBorders>
            <w:shd w:val="clear" w:color="000000" w:fill="FFFFFF"/>
            <w:noWrap w:val="0"/>
            <w:tcMar>
              <w:left w:w="0" w:type="dxa"/>
              <w:right w:w="0" w:type="dxa"/>
            </w:tcMar>
            <w:vAlign w:val="center"/>
          </w:tcPr>
          <w:p w14:paraId="7AFEF209">
            <w:pPr>
              <w:spacing w:line="360" w:lineRule="auto"/>
              <w:jc w:val="center"/>
              <w:rPr>
                <w:rFonts w:ascii="宋体" w:hAnsi="宋体" w:cs="宋体"/>
                <w:color w:val="auto"/>
                <w:highlight w:val="none"/>
              </w:rPr>
            </w:pPr>
          </w:p>
        </w:tc>
        <w:tc>
          <w:tcPr>
            <w:tcW w:w="1620" w:type="dxa"/>
            <w:tcBorders>
              <w:top w:val="single" w:color="000000" w:sz="6" w:space="0"/>
              <w:left w:val="single" w:color="000000" w:sz="6" w:space="0"/>
              <w:bottom w:val="single" w:color="000000" w:sz="6" w:space="0"/>
              <w:right w:val="single" w:color="000000" w:sz="6" w:space="0"/>
            </w:tcBorders>
            <w:shd w:val="clear" w:color="000000" w:fill="FFFFFF"/>
            <w:noWrap w:val="0"/>
            <w:tcMar>
              <w:left w:w="0" w:type="dxa"/>
              <w:right w:w="0" w:type="dxa"/>
            </w:tcMar>
            <w:vAlign w:val="center"/>
          </w:tcPr>
          <w:p w14:paraId="4A20C5B5">
            <w:pPr>
              <w:spacing w:line="360" w:lineRule="auto"/>
              <w:jc w:val="center"/>
              <w:rPr>
                <w:rFonts w:ascii="宋体" w:hAnsi="宋体" w:cs="宋体"/>
                <w:color w:val="auto"/>
                <w:highlight w:val="none"/>
              </w:rPr>
            </w:pPr>
          </w:p>
        </w:tc>
        <w:tc>
          <w:tcPr>
            <w:tcW w:w="2700" w:type="dxa"/>
            <w:tcBorders>
              <w:top w:val="single" w:color="000000" w:sz="6" w:space="0"/>
              <w:left w:val="single" w:color="000000" w:sz="6" w:space="0"/>
              <w:bottom w:val="single" w:color="000000" w:sz="6" w:space="0"/>
              <w:right w:val="single" w:color="000000" w:sz="6" w:space="0"/>
            </w:tcBorders>
            <w:shd w:val="clear" w:color="000000" w:fill="FFFFFF"/>
            <w:noWrap w:val="0"/>
            <w:tcMar>
              <w:left w:w="0" w:type="dxa"/>
              <w:right w:w="0" w:type="dxa"/>
            </w:tcMar>
            <w:vAlign w:val="center"/>
          </w:tcPr>
          <w:p w14:paraId="68322EC4">
            <w:pPr>
              <w:spacing w:line="360" w:lineRule="auto"/>
              <w:jc w:val="center"/>
              <w:rPr>
                <w:rFonts w:ascii="宋体" w:hAnsi="宋体" w:cs="宋体"/>
                <w:color w:val="auto"/>
                <w:highlight w:val="none"/>
              </w:rPr>
            </w:pPr>
          </w:p>
        </w:tc>
        <w:tc>
          <w:tcPr>
            <w:tcW w:w="3240"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left w:w="0" w:type="dxa"/>
              <w:right w:w="0" w:type="dxa"/>
            </w:tcMar>
            <w:vAlign w:val="center"/>
          </w:tcPr>
          <w:p w14:paraId="43CBABB2">
            <w:pPr>
              <w:spacing w:line="360" w:lineRule="auto"/>
              <w:jc w:val="center"/>
              <w:rPr>
                <w:rFonts w:ascii="宋体" w:hAnsi="宋体" w:cs="宋体"/>
                <w:color w:val="auto"/>
                <w:highlight w:val="none"/>
              </w:rPr>
            </w:pPr>
          </w:p>
        </w:tc>
        <w:tc>
          <w:tcPr>
            <w:tcW w:w="1110" w:type="dxa"/>
            <w:tcBorders>
              <w:top w:val="single" w:color="000000" w:sz="6" w:space="0"/>
              <w:left w:val="single" w:color="000000" w:sz="6" w:space="0"/>
              <w:bottom w:val="single" w:color="000000" w:sz="6" w:space="0"/>
              <w:right w:val="single" w:color="000000" w:sz="6" w:space="0"/>
            </w:tcBorders>
            <w:shd w:val="clear" w:color="000000" w:fill="FFFFFF"/>
            <w:noWrap w:val="0"/>
            <w:tcMar>
              <w:left w:w="0" w:type="dxa"/>
              <w:right w:w="0" w:type="dxa"/>
            </w:tcMar>
            <w:vAlign w:val="center"/>
          </w:tcPr>
          <w:p w14:paraId="0968822B">
            <w:pPr>
              <w:spacing w:line="360" w:lineRule="auto"/>
              <w:jc w:val="center"/>
              <w:rPr>
                <w:rFonts w:ascii="宋体" w:hAnsi="宋体" w:cs="宋体"/>
                <w:color w:val="auto"/>
                <w:highlight w:val="none"/>
              </w:rPr>
            </w:pPr>
          </w:p>
        </w:tc>
      </w:tr>
    </w:tbl>
    <w:p w14:paraId="39741267">
      <w:pPr>
        <w:spacing w:line="360" w:lineRule="auto"/>
        <w:rPr>
          <w:rFonts w:ascii="宋体" w:hAnsi="宋体" w:cs="宋体"/>
          <w:color w:val="auto"/>
          <w:highlight w:val="none"/>
        </w:rPr>
      </w:pPr>
    </w:p>
    <w:p w14:paraId="19D4F5C3">
      <w:pPr>
        <w:spacing w:line="360" w:lineRule="auto"/>
        <w:rPr>
          <w:rFonts w:ascii="宋体" w:hAnsi="宋体" w:cs="宋体"/>
          <w:color w:val="auto"/>
          <w:highlight w:val="none"/>
          <w:lang w:eastAsia="zh-CN"/>
        </w:rPr>
      </w:pPr>
      <w:r>
        <w:rPr>
          <w:rFonts w:ascii="宋体" w:hAnsi="宋体" w:cs="宋体"/>
          <w:color w:val="auto"/>
          <w:highlight w:val="none"/>
          <w:lang w:eastAsia="zh-CN"/>
        </w:rPr>
        <w:t>供应商名称：（</w:t>
      </w:r>
      <w:r>
        <w:rPr>
          <w:rFonts w:hint="eastAsia" w:ascii="宋体" w:hAnsi="宋体" w:cs="宋体"/>
          <w:color w:val="auto"/>
          <w:highlight w:val="none"/>
          <w:lang w:eastAsia="zh-CN"/>
        </w:rPr>
        <w:t>加盖电子公章）</w:t>
      </w:r>
    </w:p>
    <w:p w14:paraId="5085994A">
      <w:pPr>
        <w:spacing w:line="360" w:lineRule="auto"/>
        <w:rPr>
          <w:rFonts w:hint="eastAsia" w:ascii="宋体" w:hAnsi="宋体" w:cs="宋体"/>
          <w:color w:val="auto"/>
          <w:highlight w:val="none"/>
          <w:lang w:val="zh-TW" w:eastAsia="zh-CN"/>
        </w:rPr>
      </w:pPr>
      <w:r>
        <w:rPr>
          <w:rFonts w:ascii="宋体" w:hAnsi="宋体" w:cs="宋体"/>
          <w:color w:val="auto"/>
          <w:highlight w:val="none"/>
          <w:lang w:eastAsia="zh-CN"/>
        </w:rPr>
        <w:t>说明：</w:t>
      </w:r>
      <w:r>
        <w:rPr>
          <w:rFonts w:hint="eastAsia" w:ascii="宋体" w:hAnsi="宋体" w:cs="宋体"/>
          <w:color w:val="auto"/>
          <w:highlight w:val="none"/>
          <w:lang w:eastAsia="zh-CN"/>
        </w:rPr>
        <w:t xml:space="preserve">1.供应商根据磋商文件技术条款相关要求填写此表，作为响应文件的组成部分。 </w:t>
      </w:r>
    </w:p>
    <w:p w14:paraId="3BCB688A">
      <w:pPr>
        <w:spacing w:line="360" w:lineRule="auto"/>
        <w:ind w:firstLine="660" w:firstLineChars="300"/>
        <w:rPr>
          <w:rFonts w:hint="eastAsia" w:ascii="宋体" w:hAnsi="宋体" w:cs="宋体"/>
          <w:color w:val="auto"/>
          <w:highlight w:val="none"/>
          <w:lang w:val="zh-TW" w:eastAsia="zh-CN"/>
        </w:rPr>
      </w:pPr>
      <w:r>
        <w:rPr>
          <w:rFonts w:hint="eastAsia" w:ascii="宋体" w:hAnsi="宋体" w:cs="宋体"/>
          <w:color w:val="auto"/>
          <w:highlight w:val="none"/>
          <w:lang w:eastAsia="zh-CN"/>
        </w:rPr>
        <w:t xml:space="preserve">2.所有偏离必须在本表中列出，未在本偏离表中列出偏离，将视为供应商已完全接受磋商文件要求。如完全无偏离，也无其他说明，可在本表第一行填写“全部无偏离”。 </w:t>
      </w:r>
    </w:p>
    <w:p w14:paraId="25F68630">
      <w:pPr>
        <w:spacing w:line="360" w:lineRule="auto"/>
        <w:ind w:firstLine="660" w:firstLineChars="300"/>
        <w:rPr>
          <w:rFonts w:hint="eastAsia" w:ascii="宋体" w:hAnsi="宋体" w:cs="宋体"/>
          <w:color w:val="auto"/>
          <w:highlight w:val="none"/>
          <w:lang w:val="zh-TW" w:eastAsia="zh-CN"/>
        </w:rPr>
      </w:pPr>
      <w:r>
        <w:rPr>
          <w:rFonts w:hint="eastAsia" w:ascii="宋体" w:hAnsi="宋体" w:cs="宋体"/>
          <w:color w:val="auto"/>
          <w:highlight w:val="none"/>
          <w:lang w:eastAsia="zh-CN"/>
        </w:rPr>
        <w:t xml:space="preserve">3.偏离包括正、负偏离，正偏离指供应商的响应优于磋商文件要求，负偏离指供应商的响应低于磋商文件要求。 </w:t>
      </w:r>
    </w:p>
    <w:p w14:paraId="4BEC2345">
      <w:pPr>
        <w:spacing w:line="360" w:lineRule="auto"/>
        <w:ind w:firstLine="660" w:firstLineChars="300"/>
        <w:rPr>
          <w:rFonts w:hint="eastAsia" w:ascii="宋体" w:hAnsi="宋体" w:cs="宋体"/>
          <w:color w:val="auto"/>
          <w:highlight w:val="none"/>
          <w:lang w:val="zh-TW" w:eastAsia="zh-CN"/>
        </w:rPr>
      </w:pPr>
      <w:r>
        <w:rPr>
          <w:rFonts w:hint="eastAsia" w:ascii="宋体" w:hAnsi="宋体" w:cs="宋体"/>
          <w:color w:val="auto"/>
          <w:highlight w:val="none"/>
          <w:lang w:eastAsia="zh-CN"/>
        </w:rPr>
        <w:t>4.如供应商将此表空白，视为供应商无任何偏离。</w:t>
      </w:r>
    </w:p>
    <w:p w14:paraId="45EAC968">
      <w:pPr>
        <w:spacing w:line="360" w:lineRule="auto"/>
        <w:ind w:firstLine="660" w:firstLineChars="300"/>
        <w:rPr>
          <w:rFonts w:ascii="宋体" w:hAnsi="宋体"/>
          <w:color w:val="auto"/>
          <w:highlight w:val="none"/>
          <w:lang w:eastAsia="zh-CN"/>
        </w:rPr>
      </w:pPr>
      <w:r>
        <w:rPr>
          <w:rFonts w:hint="eastAsia" w:ascii="宋体" w:hAnsi="宋体" w:cs="宋体"/>
          <w:color w:val="auto"/>
          <w:highlight w:val="none"/>
          <w:lang w:eastAsia="zh-CN"/>
        </w:rPr>
        <w:t>5.</w:t>
      </w:r>
      <w:r>
        <w:rPr>
          <w:rFonts w:ascii="宋体" w:hAnsi="宋体" w:cs="宋体"/>
          <w:color w:val="auto"/>
          <w:highlight w:val="none"/>
          <w:lang w:eastAsia="zh-CN"/>
        </w:rPr>
        <w:t>如果行数不够，请自行增加。</w:t>
      </w:r>
    </w:p>
    <w:p w14:paraId="58B46B01">
      <w:pPr>
        <w:widowControl/>
        <w:shd w:val="clear" w:color="auto" w:fill="FFFFFF"/>
        <w:snapToGrid w:val="0"/>
        <w:spacing w:line="360" w:lineRule="auto"/>
        <w:rPr>
          <w:rFonts w:ascii="宋体" w:hAnsi="宋体" w:cs="宋体"/>
          <w:color w:val="auto"/>
          <w:szCs w:val="21"/>
          <w:highlight w:val="none"/>
          <w:lang w:eastAsia="zh-CN"/>
        </w:rPr>
      </w:pPr>
    </w:p>
    <w:p w14:paraId="17054E6A">
      <w:pPr>
        <w:widowControl/>
        <w:shd w:val="clear" w:color="auto" w:fill="FFFFFF"/>
        <w:snapToGrid w:val="0"/>
        <w:spacing w:line="360" w:lineRule="auto"/>
        <w:rPr>
          <w:rFonts w:ascii="宋体" w:hAnsi="宋体" w:cs="宋体"/>
          <w:b/>
          <w:bCs/>
          <w:color w:val="auto"/>
          <w:szCs w:val="21"/>
          <w:highlight w:val="none"/>
          <w:lang w:eastAsia="zh-CN"/>
        </w:rPr>
      </w:pPr>
      <w:r>
        <w:rPr>
          <w:rFonts w:hint="eastAsia" w:ascii="宋体" w:hAnsi="宋体" w:cs="宋体"/>
          <w:b/>
          <w:color w:val="auto"/>
          <w:szCs w:val="21"/>
          <w:highlight w:val="none"/>
          <w:lang w:eastAsia="zh-CN"/>
        </w:rPr>
        <w:br w:type="page"/>
      </w:r>
      <w:r>
        <w:rPr>
          <w:rFonts w:hint="eastAsia" w:ascii="宋体" w:hAnsi="宋体" w:cs="宋体"/>
          <w:b/>
          <w:color w:val="auto"/>
          <w:szCs w:val="21"/>
          <w:highlight w:val="none"/>
          <w:lang w:eastAsia="zh-CN"/>
        </w:rPr>
        <w:t>格式五</w:t>
      </w:r>
      <w:r>
        <w:rPr>
          <w:rFonts w:hint="eastAsia" w:ascii="宋体" w:hAnsi="宋体" w:cs="宋体"/>
          <w:b/>
          <w:bCs/>
          <w:color w:val="auto"/>
          <w:szCs w:val="21"/>
          <w:highlight w:val="none"/>
          <w:lang w:eastAsia="zh-CN"/>
        </w:rPr>
        <w:t>、</w:t>
      </w:r>
      <w:r>
        <w:rPr>
          <w:rFonts w:hint="eastAsia" w:ascii="宋体" w:hAnsi="宋体" w:cs="宋体"/>
          <w:b/>
          <w:color w:val="auto"/>
          <w:szCs w:val="21"/>
          <w:highlight w:val="none"/>
          <w:lang w:eastAsia="zh-CN"/>
        </w:rPr>
        <w:t>商务条款偏离表</w:t>
      </w:r>
      <w:r>
        <w:rPr>
          <w:rFonts w:hint="eastAsia" w:ascii="宋体" w:hAnsi="宋体" w:cs="宋体"/>
          <w:b/>
          <w:bCs/>
          <w:color w:val="auto"/>
          <w:szCs w:val="21"/>
          <w:highlight w:val="none"/>
          <w:lang w:eastAsia="zh-CN"/>
        </w:rPr>
        <w:t>格式</w:t>
      </w:r>
    </w:p>
    <w:p w14:paraId="310589B9">
      <w:pPr>
        <w:spacing w:line="360" w:lineRule="auto"/>
        <w:ind w:left="420"/>
        <w:jc w:val="center"/>
        <w:rPr>
          <w:rFonts w:ascii="宋体" w:hAnsi="宋体" w:cs="黑体"/>
          <w:color w:val="auto"/>
          <w:sz w:val="36"/>
          <w:highlight w:val="none"/>
        </w:rPr>
      </w:pPr>
      <w:r>
        <w:rPr>
          <w:rFonts w:ascii="宋体" w:hAnsi="宋体" w:cs="黑体"/>
          <w:color w:val="auto"/>
          <w:sz w:val="36"/>
          <w:highlight w:val="none"/>
        </w:rPr>
        <w:t>商务条款偏离表</w:t>
      </w:r>
    </w:p>
    <w:tbl>
      <w:tblPr>
        <w:tblStyle w:val="34"/>
        <w:tblW w:w="0" w:type="auto"/>
        <w:jc w:val="center"/>
        <w:tblLayout w:type="fixed"/>
        <w:tblCellMar>
          <w:top w:w="0" w:type="dxa"/>
          <w:left w:w="10" w:type="dxa"/>
          <w:bottom w:w="0" w:type="dxa"/>
          <w:right w:w="10" w:type="dxa"/>
        </w:tblCellMar>
      </w:tblPr>
      <w:tblGrid>
        <w:gridCol w:w="673"/>
        <w:gridCol w:w="1676"/>
        <w:gridCol w:w="4261"/>
        <w:gridCol w:w="971"/>
        <w:gridCol w:w="1168"/>
        <w:gridCol w:w="790"/>
      </w:tblGrid>
      <w:tr w14:paraId="1475F79D">
        <w:tblPrEx>
          <w:tblCellMar>
            <w:top w:w="0" w:type="dxa"/>
            <w:left w:w="10" w:type="dxa"/>
            <w:bottom w:w="0" w:type="dxa"/>
            <w:right w:w="10" w:type="dxa"/>
          </w:tblCellMar>
        </w:tblPrEx>
        <w:trPr>
          <w:trHeight w:val="385" w:hRule="atLeast"/>
          <w:jc w:val="center"/>
        </w:trPr>
        <w:tc>
          <w:tcPr>
            <w:tcW w:w="6610" w:type="dxa"/>
            <w:gridSpan w:val="3"/>
            <w:tcBorders>
              <w:top w:val="single" w:color="000000" w:sz="4" w:space="0"/>
              <w:left w:val="single" w:color="000000" w:sz="4" w:space="0"/>
              <w:bottom w:val="single" w:color="000000" w:sz="4" w:space="0"/>
              <w:right w:val="single" w:color="000000" w:sz="4" w:space="0"/>
            </w:tcBorders>
            <w:shd w:val="clear" w:color="000000" w:fill="FFFFFF"/>
            <w:noWrap w:val="0"/>
            <w:tcMar>
              <w:left w:w="0" w:type="dxa"/>
              <w:right w:w="0" w:type="dxa"/>
            </w:tcMar>
            <w:vAlign w:val="center"/>
          </w:tcPr>
          <w:p w14:paraId="715FC143">
            <w:pPr>
              <w:spacing w:line="360" w:lineRule="auto"/>
              <w:rPr>
                <w:rFonts w:ascii="宋体" w:hAnsi="宋体" w:cs="宋体"/>
                <w:color w:val="auto"/>
                <w:highlight w:val="none"/>
              </w:rPr>
            </w:pPr>
            <w:r>
              <w:rPr>
                <w:rFonts w:hint="eastAsia" w:ascii="宋体" w:hAnsi="宋体" w:eastAsia="宋体" w:cs="宋体"/>
                <w:color w:val="auto"/>
                <w:highlight w:val="none"/>
              </w:rPr>
              <w:t>项目名称：</w:t>
            </w:r>
          </w:p>
        </w:tc>
        <w:tc>
          <w:tcPr>
            <w:tcW w:w="2929" w:type="dxa"/>
            <w:gridSpan w:val="3"/>
            <w:tcBorders>
              <w:top w:val="single" w:color="000000" w:sz="4" w:space="0"/>
              <w:left w:val="single" w:color="000000" w:sz="4" w:space="0"/>
              <w:bottom w:val="single" w:color="000000" w:sz="4" w:space="0"/>
              <w:right w:val="single" w:color="000000" w:sz="4" w:space="0"/>
            </w:tcBorders>
            <w:shd w:val="clear" w:color="000000" w:fill="FFFFFF"/>
            <w:noWrap w:val="0"/>
            <w:tcMar>
              <w:left w:w="0" w:type="dxa"/>
              <w:right w:w="0" w:type="dxa"/>
            </w:tcMar>
            <w:vAlign w:val="center"/>
          </w:tcPr>
          <w:p w14:paraId="3D52046C">
            <w:pPr>
              <w:spacing w:line="360" w:lineRule="auto"/>
              <w:rPr>
                <w:rFonts w:ascii="宋体" w:hAnsi="宋体" w:cs="宋体"/>
                <w:color w:val="auto"/>
                <w:highlight w:val="none"/>
              </w:rPr>
            </w:pPr>
            <w:r>
              <w:rPr>
                <w:rFonts w:ascii="宋体" w:hAnsi="宋体" w:cs="宋体"/>
                <w:color w:val="auto"/>
                <w:highlight w:val="none"/>
              </w:rPr>
              <w:t>项目编号：</w:t>
            </w:r>
          </w:p>
        </w:tc>
      </w:tr>
      <w:tr w14:paraId="24774447">
        <w:tblPrEx>
          <w:tblCellMar>
            <w:top w:w="0" w:type="dxa"/>
            <w:left w:w="10" w:type="dxa"/>
            <w:bottom w:w="0" w:type="dxa"/>
            <w:right w:w="10" w:type="dxa"/>
          </w:tblCellMar>
        </w:tblPrEx>
        <w:trPr>
          <w:trHeight w:val="385" w:hRule="atLeast"/>
          <w:jc w:val="center"/>
        </w:trPr>
        <w:tc>
          <w:tcPr>
            <w:tcW w:w="673" w:type="dxa"/>
            <w:tcBorders>
              <w:top w:val="single" w:color="000000" w:sz="4" w:space="0"/>
              <w:left w:val="single" w:color="000000" w:sz="4" w:space="0"/>
              <w:bottom w:val="single" w:color="000000" w:sz="4" w:space="0"/>
              <w:right w:val="single" w:color="000000" w:sz="4" w:space="0"/>
            </w:tcBorders>
            <w:shd w:val="clear" w:color="000000" w:fill="FFFFFF"/>
            <w:noWrap w:val="0"/>
            <w:tcMar>
              <w:left w:w="0" w:type="dxa"/>
              <w:right w:w="0" w:type="dxa"/>
            </w:tcMar>
            <w:vAlign w:val="center"/>
          </w:tcPr>
          <w:p w14:paraId="021806D7">
            <w:pPr>
              <w:spacing w:line="360" w:lineRule="auto"/>
              <w:jc w:val="center"/>
              <w:rPr>
                <w:rFonts w:ascii="宋体" w:hAnsi="宋体" w:cs="宋体"/>
                <w:color w:val="auto"/>
                <w:highlight w:val="none"/>
              </w:rPr>
            </w:pPr>
            <w:r>
              <w:rPr>
                <w:rFonts w:ascii="宋体" w:hAnsi="宋体" w:cs="宋体"/>
                <w:color w:val="auto"/>
                <w:highlight w:val="none"/>
              </w:rPr>
              <w:t>序号</w:t>
            </w:r>
          </w:p>
        </w:tc>
        <w:tc>
          <w:tcPr>
            <w:tcW w:w="1676" w:type="dxa"/>
            <w:tcBorders>
              <w:top w:val="single" w:color="000000" w:sz="4" w:space="0"/>
              <w:left w:val="single" w:color="000000" w:sz="4" w:space="0"/>
              <w:bottom w:val="single" w:color="000000" w:sz="4" w:space="0"/>
              <w:right w:val="single" w:color="000000" w:sz="4" w:space="0"/>
            </w:tcBorders>
            <w:shd w:val="clear" w:color="000000" w:fill="FFFFFF"/>
            <w:noWrap w:val="0"/>
            <w:tcMar>
              <w:left w:w="0" w:type="dxa"/>
              <w:right w:w="0" w:type="dxa"/>
            </w:tcMar>
            <w:vAlign w:val="center"/>
          </w:tcPr>
          <w:p w14:paraId="0E408B0E">
            <w:pPr>
              <w:spacing w:line="360" w:lineRule="auto"/>
              <w:jc w:val="center"/>
              <w:rPr>
                <w:rFonts w:ascii="宋体" w:hAnsi="宋体" w:cs="宋体"/>
                <w:color w:val="auto"/>
                <w:highlight w:val="none"/>
              </w:rPr>
            </w:pPr>
            <w:r>
              <w:rPr>
                <w:rFonts w:ascii="宋体" w:hAnsi="宋体" w:cs="宋体"/>
                <w:color w:val="auto"/>
                <w:highlight w:val="none"/>
              </w:rPr>
              <w:t>磋商文件条目号</w:t>
            </w:r>
          </w:p>
        </w:tc>
        <w:tc>
          <w:tcPr>
            <w:tcW w:w="5232" w:type="dxa"/>
            <w:gridSpan w:val="2"/>
            <w:tcBorders>
              <w:top w:val="single" w:color="000000" w:sz="4" w:space="0"/>
              <w:left w:val="single" w:color="000000" w:sz="4" w:space="0"/>
              <w:bottom w:val="single" w:color="000000" w:sz="4" w:space="0"/>
              <w:right w:val="single" w:color="000000" w:sz="4" w:space="0"/>
            </w:tcBorders>
            <w:shd w:val="clear" w:color="000000" w:fill="FFFFFF"/>
            <w:noWrap w:val="0"/>
            <w:tcMar>
              <w:left w:w="0" w:type="dxa"/>
              <w:right w:w="0" w:type="dxa"/>
            </w:tcMar>
            <w:vAlign w:val="center"/>
          </w:tcPr>
          <w:p w14:paraId="04601A32">
            <w:pPr>
              <w:spacing w:line="360" w:lineRule="auto"/>
              <w:jc w:val="center"/>
              <w:rPr>
                <w:rFonts w:ascii="宋体" w:hAnsi="宋体" w:cs="宋体"/>
                <w:color w:val="auto"/>
                <w:highlight w:val="none"/>
                <w:lang w:eastAsia="zh-CN"/>
              </w:rPr>
            </w:pPr>
            <w:r>
              <w:rPr>
                <w:rFonts w:hint="eastAsia" w:ascii="宋体" w:hAnsi="宋体" w:eastAsia="宋体" w:cs="宋体"/>
                <w:color w:val="auto"/>
                <w:highlight w:val="none"/>
                <w:lang w:eastAsia="zh-CN"/>
              </w:rPr>
              <w:t>磋商</w:t>
            </w:r>
            <w:r>
              <w:rPr>
                <w:rFonts w:ascii="宋体" w:hAnsi="宋体" w:cs="宋体"/>
                <w:color w:val="auto"/>
                <w:highlight w:val="none"/>
                <w:lang w:eastAsia="zh-CN"/>
              </w:rPr>
              <w:t>文件要求的商务条款</w:t>
            </w:r>
          </w:p>
        </w:tc>
        <w:tc>
          <w:tcPr>
            <w:tcW w:w="1168" w:type="dxa"/>
            <w:tcBorders>
              <w:top w:val="single" w:color="000000" w:sz="4" w:space="0"/>
              <w:left w:val="single" w:color="000000" w:sz="4" w:space="0"/>
              <w:bottom w:val="single" w:color="000000" w:sz="4" w:space="0"/>
              <w:right w:val="single" w:color="000000" w:sz="4" w:space="0"/>
            </w:tcBorders>
            <w:shd w:val="clear" w:color="000000" w:fill="FFFFFF"/>
            <w:noWrap w:val="0"/>
            <w:tcMar>
              <w:left w:w="0" w:type="dxa"/>
              <w:right w:w="0" w:type="dxa"/>
            </w:tcMar>
            <w:vAlign w:val="center"/>
          </w:tcPr>
          <w:p w14:paraId="74E955BE">
            <w:pPr>
              <w:spacing w:line="360" w:lineRule="auto"/>
              <w:jc w:val="center"/>
              <w:rPr>
                <w:rFonts w:ascii="宋体" w:hAnsi="宋体" w:cs="宋体"/>
                <w:color w:val="auto"/>
                <w:highlight w:val="none"/>
              </w:rPr>
            </w:pPr>
            <w:r>
              <w:rPr>
                <w:rFonts w:hint="eastAsia" w:ascii="宋体" w:hAnsi="宋体" w:eastAsia="宋体" w:cs="宋体"/>
                <w:color w:val="auto"/>
                <w:highlight w:val="none"/>
                <w:lang w:eastAsia="zh-CN"/>
              </w:rPr>
              <w:t>磋商</w:t>
            </w:r>
            <w:r>
              <w:rPr>
                <w:rFonts w:ascii="宋体" w:hAnsi="宋体" w:cs="宋体"/>
                <w:color w:val="auto"/>
                <w:highlight w:val="none"/>
              </w:rPr>
              <w:t>响应</w:t>
            </w:r>
          </w:p>
        </w:tc>
        <w:tc>
          <w:tcPr>
            <w:tcW w:w="790" w:type="dxa"/>
            <w:tcBorders>
              <w:top w:val="single" w:color="000000" w:sz="4" w:space="0"/>
              <w:left w:val="single" w:color="000000" w:sz="4" w:space="0"/>
              <w:bottom w:val="single" w:color="000000" w:sz="4" w:space="0"/>
              <w:right w:val="single" w:color="000000" w:sz="4" w:space="0"/>
            </w:tcBorders>
            <w:shd w:val="clear" w:color="000000" w:fill="FFFFFF"/>
            <w:noWrap w:val="0"/>
            <w:tcMar>
              <w:left w:w="0" w:type="dxa"/>
              <w:right w:w="0" w:type="dxa"/>
            </w:tcMar>
            <w:vAlign w:val="center"/>
          </w:tcPr>
          <w:p w14:paraId="6EFE9F2F">
            <w:pPr>
              <w:spacing w:line="360" w:lineRule="auto"/>
              <w:jc w:val="center"/>
              <w:rPr>
                <w:rFonts w:ascii="宋体" w:hAnsi="宋体" w:cs="宋体"/>
                <w:color w:val="auto"/>
                <w:highlight w:val="none"/>
              </w:rPr>
            </w:pPr>
            <w:r>
              <w:rPr>
                <w:rFonts w:ascii="宋体" w:hAnsi="宋体" w:cs="宋体"/>
                <w:color w:val="auto"/>
                <w:highlight w:val="none"/>
              </w:rPr>
              <w:t>偏离</w:t>
            </w:r>
          </w:p>
        </w:tc>
      </w:tr>
      <w:tr w14:paraId="74B7B355">
        <w:tblPrEx>
          <w:tblCellMar>
            <w:top w:w="0" w:type="dxa"/>
            <w:left w:w="10" w:type="dxa"/>
            <w:bottom w:w="0" w:type="dxa"/>
            <w:right w:w="10" w:type="dxa"/>
          </w:tblCellMar>
        </w:tblPrEx>
        <w:trPr>
          <w:trHeight w:val="385" w:hRule="atLeast"/>
          <w:jc w:val="center"/>
        </w:trPr>
        <w:tc>
          <w:tcPr>
            <w:tcW w:w="673" w:type="dxa"/>
            <w:tcBorders>
              <w:top w:val="single" w:color="000000" w:sz="4" w:space="0"/>
              <w:left w:val="single" w:color="000000" w:sz="4" w:space="0"/>
              <w:bottom w:val="single" w:color="000000" w:sz="4" w:space="0"/>
              <w:right w:val="single" w:color="000000" w:sz="4" w:space="0"/>
            </w:tcBorders>
            <w:shd w:val="clear" w:color="000000" w:fill="FFFFFF"/>
            <w:noWrap w:val="0"/>
            <w:tcMar>
              <w:left w:w="0" w:type="dxa"/>
              <w:right w:w="0" w:type="dxa"/>
            </w:tcMar>
            <w:vAlign w:val="center"/>
          </w:tcPr>
          <w:p w14:paraId="31B2BDE8">
            <w:pPr>
              <w:spacing w:line="360" w:lineRule="auto"/>
              <w:jc w:val="center"/>
              <w:rPr>
                <w:rFonts w:ascii="宋体" w:hAnsi="宋体" w:cs="宋体"/>
                <w:color w:val="auto"/>
                <w:highlight w:val="none"/>
              </w:rPr>
            </w:pPr>
          </w:p>
        </w:tc>
        <w:tc>
          <w:tcPr>
            <w:tcW w:w="1676" w:type="dxa"/>
            <w:tcBorders>
              <w:top w:val="single" w:color="000000" w:sz="4" w:space="0"/>
              <w:left w:val="single" w:color="000000" w:sz="4" w:space="0"/>
              <w:bottom w:val="single" w:color="000000" w:sz="4" w:space="0"/>
              <w:right w:val="single" w:color="000000" w:sz="4" w:space="0"/>
            </w:tcBorders>
            <w:shd w:val="clear" w:color="000000" w:fill="FFFFFF"/>
            <w:noWrap w:val="0"/>
            <w:tcMar>
              <w:left w:w="0" w:type="dxa"/>
              <w:right w:w="0" w:type="dxa"/>
            </w:tcMar>
            <w:vAlign w:val="center"/>
          </w:tcPr>
          <w:p w14:paraId="6F308DF2">
            <w:pPr>
              <w:spacing w:line="360" w:lineRule="auto"/>
              <w:jc w:val="center"/>
              <w:rPr>
                <w:rFonts w:ascii="宋体" w:hAnsi="宋体" w:cs="宋体"/>
                <w:color w:val="auto"/>
                <w:highlight w:val="none"/>
              </w:rPr>
            </w:pPr>
          </w:p>
        </w:tc>
        <w:tc>
          <w:tcPr>
            <w:tcW w:w="5232" w:type="dxa"/>
            <w:gridSpan w:val="2"/>
            <w:tcBorders>
              <w:top w:val="single" w:color="000000" w:sz="4" w:space="0"/>
              <w:left w:val="single" w:color="000000" w:sz="4" w:space="0"/>
              <w:bottom w:val="single" w:color="000000" w:sz="4" w:space="0"/>
              <w:right w:val="single" w:color="000000" w:sz="4" w:space="0"/>
            </w:tcBorders>
            <w:shd w:val="clear" w:color="000000" w:fill="FFFFFF"/>
            <w:noWrap w:val="0"/>
            <w:tcMar>
              <w:left w:w="0" w:type="dxa"/>
              <w:right w:w="0" w:type="dxa"/>
            </w:tcMar>
            <w:vAlign w:val="center"/>
          </w:tcPr>
          <w:p w14:paraId="7BF37CB6">
            <w:pPr>
              <w:spacing w:line="360" w:lineRule="auto"/>
              <w:jc w:val="center"/>
              <w:rPr>
                <w:rFonts w:ascii="宋体" w:hAnsi="宋体" w:cs="宋体"/>
                <w:color w:val="auto"/>
                <w:highlight w:val="none"/>
              </w:rPr>
            </w:pPr>
            <w:r>
              <w:rPr>
                <w:rFonts w:hint="eastAsia" w:ascii="宋体" w:hAnsi="宋体" w:cs="宋体"/>
                <w:color w:val="auto"/>
                <w:highlight w:val="none"/>
                <w:lang w:val="zh-CN" w:eastAsia="zh-CN"/>
              </w:rPr>
              <w:t>磋商申请及声明</w:t>
            </w:r>
          </w:p>
        </w:tc>
        <w:tc>
          <w:tcPr>
            <w:tcW w:w="1168" w:type="dxa"/>
            <w:tcBorders>
              <w:top w:val="single" w:color="000000" w:sz="4" w:space="0"/>
              <w:left w:val="single" w:color="000000" w:sz="4" w:space="0"/>
              <w:bottom w:val="single" w:color="000000" w:sz="4" w:space="0"/>
              <w:right w:val="single" w:color="000000" w:sz="4" w:space="0"/>
            </w:tcBorders>
            <w:shd w:val="clear" w:color="000000" w:fill="FFFFFF"/>
            <w:noWrap w:val="0"/>
            <w:tcMar>
              <w:left w:w="0" w:type="dxa"/>
              <w:right w:w="0" w:type="dxa"/>
            </w:tcMar>
            <w:vAlign w:val="center"/>
          </w:tcPr>
          <w:p w14:paraId="67C36900">
            <w:pPr>
              <w:spacing w:line="360" w:lineRule="auto"/>
              <w:jc w:val="center"/>
              <w:rPr>
                <w:rFonts w:ascii="宋体" w:hAnsi="宋体" w:cs="宋体"/>
                <w:color w:val="auto"/>
                <w:highlight w:val="none"/>
              </w:rPr>
            </w:pPr>
          </w:p>
        </w:tc>
        <w:tc>
          <w:tcPr>
            <w:tcW w:w="790" w:type="dxa"/>
            <w:tcBorders>
              <w:top w:val="single" w:color="000000" w:sz="4" w:space="0"/>
              <w:left w:val="single" w:color="000000" w:sz="4" w:space="0"/>
              <w:bottom w:val="single" w:color="000000" w:sz="4" w:space="0"/>
              <w:right w:val="single" w:color="000000" w:sz="4" w:space="0"/>
            </w:tcBorders>
            <w:shd w:val="clear" w:color="000000" w:fill="FFFFFF"/>
            <w:noWrap w:val="0"/>
            <w:tcMar>
              <w:left w:w="0" w:type="dxa"/>
              <w:right w:w="0" w:type="dxa"/>
            </w:tcMar>
            <w:vAlign w:val="center"/>
          </w:tcPr>
          <w:p w14:paraId="1D985F70">
            <w:pPr>
              <w:spacing w:line="360" w:lineRule="auto"/>
              <w:jc w:val="center"/>
              <w:rPr>
                <w:rFonts w:ascii="宋体" w:hAnsi="宋体" w:cs="宋体"/>
                <w:color w:val="auto"/>
                <w:highlight w:val="none"/>
              </w:rPr>
            </w:pPr>
          </w:p>
        </w:tc>
      </w:tr>
      <w:tr w14:paraId="63FA769F">
        <w:tblPrEx>
          <w:tblCellMar>
            <w:top w:w="0" w:type="dxa"/>
            <w:left w:w="10" w:type="dxa"/>
            <w:bottom w:w="0" w:type="dxa"/>
            <w:right w:w="10" w:type="dxa"/>
          </w:tblCellMar>
        </w:tblPrEx>
        <w:trPr>
          <w:trHeight w:val="762" w:hRule="atLeast"/>
          <w:jc w:val="center"/>
        </w:trPr>
        <w:tc>
          <w:tcPr>
            <w:tcW w:w="673" w:type="dxa"/>
            <w:tcBorders>
              <w:top w:val="single" w:color="000000" w:sz="4" w:space="0"/>
              <w:left w:val="single" w:color="000000" w:sz="4" w:space="0"/>
              <w:bottom w:val="single" w:color="000000" w:sz="4" w:space="0"/>
              <w:right w:val="single" w:color="000000" w:sz="4" w:space="0"/>
            </w:tcBorders>
            <w:shd w:val="clear" w:color="000000" w:fill="FFFFFF"/>
            <w:noWrap w:val="0"/>
            <w:tcMar>
              <w:left w:w="0" w:type="dxa"/>
              <w:right w:w="0" w:type="dxa"/>
            </w:tcMar>
            <w:vAlign w:val="center"/>
          </w:tcPr>
          <w:p w14:paraId="0058BB35">
            <w:pPr>
              <w:spacing w:line="360" w:lineRule="auto"/>
              <w:jc w:val="center"/>
              <w:rPr>
                <w:rFonts w:ascii="宋体" w:hAnsi="宋体" w:cs="宋体"/>
                <w:color w:val="auto"/>
                <w:highlight w:val="none"/>
              </w:rPr>
            </w:pPr>
          </w:p>
        </w:tc>
        <w:tc>
          <w:tcPr>
            <w:tcW w:w="1676" w:type="dxa"/>
            <w:tcBorders>
              <w:top w:val="single" w:color="000000" w:sz="4" w:space="0"/>
              <w:left w:val="single" w:color="000000" w:sz="4" w:space="0"/>
              <w:bottom w:val="single" w:color="000000" w:sz="4" w:space="0"/>
              <w:right w:val="single" w:color="000000" w:sz="4" w:space="0"/>
            </w:tcBorders>
            <w:shd w:val="clear" w:color="000000" w:fill="FFFFFF"/>
            <w:noWrap w:val="0"/>
            <w:tcMar>
              <w:left w:w="0" w:type="dxa"/>
              <w:right w:w="0" w:type="dxa"/>
            </w:tcMar>
            <w:vAlign w:val="center"/>
          </w:tcPr>
          <w:p w14:paraId="27B76F8D">
            <w:pPr>
              <w:spacing w:line="360" w:lineRule="auto"/>
              <w:jc w:val="center"/>
              <w:rPr>
                <w:rFonts w:ascii="宋体" w:hAnsi="宋体" w:cs="宋体"/>
                <w:color w:val="auto"/>
                <w:highlight w:val="none"/>
              </w:rPr>
            </w:pPr>
          </w:p>
        </w:tc>
        <w:tc>
          <w:tcPr>
            <w:tcW w:w="5232" w:type="dxa"/>
            <w:gridSpan w:val="2"/>
            <w:tcBorders>
              <w:top w:val="single" w:color="000000" w:sz="4" w:space="0"/>
              <w:left w:val="single" w:color="000000" w:sz="4" w:space="0"/>
              <w:bottom w:val="single" w:color="000000" w:sz="4" w:space="0"/>
              <w:right w:val="single" w:color="000000" w:sz="4" w:space="0"/>
            </w:tcBorders>
            <w:shd w:val="clear" w:color="000000" w:fill="FFFFFF"/>
            <w:noWrap w:val="0"/>
            <w:tcMar>
              <w:left w:w="0" w:type="dxa"/>
              <w:right w:w="0" w:type="dxa"/>
            </w:tcMar>
            <w:vAlign w:val="center"/>
          </w:tcPr>
          <w:p w14:paraId="182E21E8">
            <w:pPr>
              <w:spacing w:line="360" w:lineRule="auto"/>
              <w:jc w:val="center"/>
              <w:rPr>
                <w:rFonts w:ascii="宋体" w:hAnsi="宋体" w:cs="宋体"/>
                <w:color w:val="auto"/>
                <w:highlight w:val="none"/>
                <w:lang w:eastAsia="zh-CN"/>
              </w:rPr>
            </w:pPr>
            <w:r>
              <w:rPr>
                <w:rFonts w:hint="eastAsia" w:ascii="宋体" w:hAnsi="宋体" w:cs="宋体"/>
                <w:color w:val="auto"/>
                <w:highlight w:val="none"/>
                <w:lang w:val="zh-CN" w:eastAsia="zh-CN"/>
              </w:rPr>
              <w:t>法定代表人授权委托书及委托代理人的身份证复印件</w:t>
            </w:r>
          </w:p>
        </w:tc>
        <w:tc>
          <w:tcPr>
            <w:tcW w:w="1168" w:type="dxa"/>
            <w:tcBorders>
              <w:top w:val="single" w:color="000000" w:sz="4" w:space="0"/>
              <w:left w:val="single" w:color="000000" w:sz="4" w:space="0"/>
              <w:bottom w:val="single" w:color="000000" w:sz="4" w:space="0"/>
              <w:right w:val="single" w:color="000000" w:sz="4" w:space="0"/>
            </w:tcBorders>
            <w:shd w:val="clear" w:color="000000" w:fill="FFFFFF"/>
            <w:noWrap w:val="0"/>
            <w:tcMar>
              <w:left w:w="0" w:type="dxa"/>
              <w:right w:w="0" w:type="dxa"/>
            </w:tcMar>
            <w:vAlign w:val="center"/>
          </w:tcPr>
          <w:p w14:paraId="43029780">
            <w:pPr>
              <w:spacing w:line="360" w:lineRule="auto"/>
              <w:jc w:val="center"/>
              <w:rPr>
                <w:rFonts w:ascii="宋体" w:hAnsi="宋体" w:cs="宋体"/>
                <w:color w:val="auto"/>
                <w:highlight w:val="none"/>
                <w:lang w:eastAsia="zh-CN"/>
              </w:rPr>
            </w:pPr>
          </w:p>
        </w:tc>
        <w:tc>
          <w:tcPr>
            <w:tcW w:w="790" w:type="dxa"/>
            <w:tcBorders>
              <w:top w:val="single" w:color="000000" w:sz="4" w:space="0"/>
              <w:left w:val="single" w:color="000000" w:sz="4" w:space="0"/>
              <w:bottom w:val="single" w:color="000000" w:sz="4" w:space="0"/>
              <w:right w:val="single" w:color="000000" w:sz="4" w:space="0"/>
            </w:tcBorders>
            <w:shd w:val="clear" w:color="000000" w:fill="FFFFFF"/>
            <w:noWrap w:val="0"/>
            <w:tcMar>
              <w:left w:w="0" w:type="dxa"/>
              <w:right w:w="0" w:type="dxa"/>
            </w:tcMar>
            <w:vAlign w:val="center"/>
          </w:tcPr>
          <w:p w14:paraId="50870B3D">
            <w:pPr>
              <w:spacing w:line="360" w:lineRule="auto"/>
              <w:jc w:val="center"/>
              <w:rPr>
                <w:rFonts w:ascii="宋体" w:hAnsi="宋体" w:cs="宋体"/>
                <w:color w:val="auto"/>
                <w:highlight w:val="none"/>
                <w:lang w:eastAsia="zh-CN"/>
              </w:rPr>
            </w:pPr>
          </w:p>
        </w:tc>
      </w:tr>
      <w:tr w14:paraId="27F6733F">
        <w:tblPrEx>
          <w:tblCellMar>
            <w:top w:w="0" w:type="dxa"/>
            <w:left w:w="10" w:type="dxa"/>
            <w:bottom w:w="0" w:type="dxa"/>
            <w:right w:w="10" w:type="dxa"/>
          </w:tblCellMar>
        </w:tblPrEx>
        <w:trPr>
          <w:trHeight w:val="762" w:hRule="atLeast"/>
          <w:jc w:val="center"/>
        </w:trPr>
        <w:tc>
          <w:tcPr>
            <w:tcW w:w="673" w:type="dxa"/>
            <w:tcBorders>
              <w:top w:val="single" w:color="000000" w:sz="4" w:space="0"/>
              <w:left w:val="single" w:color="000000" w:sz="4" w:space="0"/>
              <w:bottom w:val="single" w:color="000000" w:sz="4" w:space="0"/>
              <w:right w:val="single" w:color="000000" w:sz="4" w:space="0"/>
            </w:tcBorders>
            <w:shd w:val="clear" w:color="000000" w:fill="FFFFFF"/>
            <w:noWrap w:val="0"/>
            <w:tcMar>
              <w:left w:w="0" w:type="dxa"/>
              <w:right w:w="0" w:type="dxa"/>
            </w:tcMar>
            <w:vAlign w:val="center"/>
          </w:tcPr>
          <w:p w14:paraId="13983832">
            <w:pPr>
              <w:spacing w:line="360" w:lineRule="auto"/>
              <w:jc w:val="center"/>
              <w:rPr>
                <w:rFonts w:ascii="宋体" w:hAnsi="宋体" w:cs="宋体"/>
                <w:color w:val="auto"/>
                <w:highlight w:val="none"/>
                <w:lang w:eastAsia="zh-CN"/>
              </w:rPr>
            </w:pPr>
          </w:p>
        </w:tc>
        <w:tc>
          <w:tcPr>
            <w:tcW w:w="1676" w:type="dxa"/>
            <w:tcBorders>
              <w:top w:val="single" w:color="000000" w:sz="4" w:space="0"/>
              <w:left w:val="single" w:color="000000" w:sz="4" w:space="0"/>
              <w:bottom w:val="single" w:color="000000" w:sz="4" w:space="0"/>
              <w:right w:val="single" w:color="000000" w:sz="4" w:space="0"/>
            </w:tcBorders>
            <w:shd w:val="clear" w:color="000000" w:fill="FFFFFF"/>
            <w:noWrap w:val="0"/>
            <w:tcMar>
              <w:left w:w="0" w:type="dxa"/>
              <w:right w:w="0" w:type="dxa"/>
            </w:tcMar>
            <w:vAlign w:val="center"/>
          </w:tcPr>
          <w:p w14:paraId="79C2E75F">
            <w:pPr>
              <w:spacing w:line="360" w:lineRule="auto"/>
              <w:jc w:val="center"/>
              <w:rPr>
                <w:rFonts w:ascii="宋体" w:hAnsi="宋体" w:cs="宋体"/>
                <w:color w:val="auto"/>
                <w:highlight w:val="none"/>
                <w:lang w:eastAsia="zh-CN"/>
              </w:rPr>
            </w:pPr>
          </w:p>
        </w:tc>
        <w:tc>
          <w:tcPr>
            <w:tcW w:w="5232" w:type="dxa"/>
            <w:gridSpan w:val="2"/>
            <w:tcBorders>
              <w:top w:val="single" w:color="000000" w:sz="4" w:space="0"/>
              <w:left w:val="single" w:color="000000" w:sz="4" w:space="0"/>
              <w:bottom w:val="single" w:color="000000" w:sz="4" w:space="0"/>
              <w:right w:val="single" w:color="000000" w:sz="4" w:space="0"/>
            </w:tcBorders>
            <w:shd w:val="clear" w:color="000000" w:fill="FFFFFF"/>
            <w:noWrap w:val="0"/>
            <w:tcMar>
              <w:left w:w="0" w:type="dxa"/>
              <w:right w:w="0" w:type="dxa"/>
            </w:tcMar>
            <w:vAlign w:val="center"/>
          </w:tcPr>
          <w:p w14:paraId="64655D63">
            <w:pPr>
              <w:spacing w:line="360" w:lineRule="auto"/>
              <w:jc w:val="center"/>
              <w:rPr>
                <w:rFonts w:hint="eastAsia" w:ascii="宋体" w:hAnsi="宋体" w:cs="宋体"/>
                <w:color w:val="auto"/>
                <w:highlight w:val="none"/>
                <w:lang w:val="zh-CN" w:eastAsia="zh-CN"/>
              </w:rPr>
            </w:pPr>
            <w:r>
              <w:rPr>
                <w:rFonts w:hint="eastAsia" w:ascii="宋体" w:hAnsi="宋体" w:cs="宋体"/>
                <w:color w:val="auto"/>
                <w:highlight w:val="none"/>
                <w:lang w:val="zh-CN" w:eastAsia="zh-CN"/>
              </w:rPr>
              <w:t>第一章磋商邀请中《中华人民共和国政府采购法》规定的资格条件证明文件</w:t>
            </w:r>
          </w:p>
        </w:tc>
        <w:tc>
          <w:tcPr>
            <w:tcW w:w="1168" w:type="dxa"/>
            <w:tcBorders>
              <w:top w:val="single" w:color="000000" w:sz="4" w:space="0"/>
              <w:left w:val="single" w:color="000000" w:sz="4" w:space="0"/>
              <w:bottom w:val="single" w:color="000000" w:sz="4" w:space="0"/>
              <w:right w:val="single" w:color="000000" w:sz="4" w:space="0"/>
            </w:tcBorders>
            <w:shd w:val="clear" w:color="000000" w:fill="FFFFFF"/>
            <w:noWrap w:val="0"/>
            <w:tcMar>
              <w:left w:w="0" w:type="dxa"/>
              <w:right w:w="0" w:type="dxa"/>
            </w:tcMar>
            <w:vAlign w:val="center"/>
          </w:tcPr>
          <w:p w14:paraId="2F797B42">
            <w:pPr>
              <w:spacing w:line="360" w:lineRule="auto"/>
              <w:jc w:val="center"/>
              <w:rPr>
                <w:rFonts w:ascii="宋体" w:hAnsi="宋体" w:cs="宋体"/>
                <w:color w:val="auto"/>
                <w:highlight w:val="none"/>
                <w:lang w:eastAsia="zh-CN"/>
              </w:rPr>
            </w:pPr>
          </w:p>
        </w:tc>
        <w:tc>
          <w:tcPr>
            <w:tcW w:w="790" w:type="dxa"/>
            <w:tcBorders>
              <w:top w:val="single" w:color="000000" w:sz="4" w:space="0"/>
              <w:left w:val="single" w:color="000000" w:sz="4" w:space="0"/>
              <w:bottom w:val="single" w:color="000000" w:sz="4" w:space="0"/>
              <w:right w:val="single" w:color="000000" w:sz="4" w:space="0"/>
            </w:tcBorders>
            <w:shd w:val="clear" w:color="000000" w:fill="FFFFFF"/>
            <w:noWrap w:val="0"/>
            <w:tcMar>
              <w:left w:w="0" w:type="dxa"/>
              <w:right w:w="0" w:type="dxa"/>
            </w:tcMar>
            <w:vAlign w:val="center"/>
          </w:tcPr>
          <w:p w14:paraId="06C3013F">
            <w:pPr>
              <w:spacing w:line="360" w:lineRule="auto"/>
              <w:jc w:val="center"/>
              <w:rPr>
                <w:rFonts w:ascii="宋体" w:hAnsi="宋体" w:cs="宋体"/>
                <w:color w:val="auto"/>
                <w:highlight w:val="none"/>
                <w:lang w:eastAsia="zh-CN"/>
              </w:rPr>
            </w:pPr>
          </w:p>
        </w:tc>
      </w:tr>
      <w:tr w14:paraId="64B232E9">
        <w:tblPrEx>
          <w:tblCellMar>
            <w:top w:w="0" w:type="dxa"/>
            <w:left w:w="10" w:type="dxa"/>
            <w:bottom w:w="0" w:type="dxa"/>
            <w:right w:w="10" w:type="dxa"/>
          </w:tblCellMar>
        </w:tblPrEx>
        <w:trPr>
          <w:trHeight w:val="762" w:hRule="atLeast"/>
          <w:jc w:val="center"/>
        </w:trPr>
        <w:tc>
          <w:tcPr>
            <w:tcW w:w="673" w:type="dxa"/>
            <w:tcBorders>
              <w:top w:val="single" w:color="000000" w:sz="4" w:space="0"/>
              <w:left w:val="single" w:color="000000" w:sz="4" w:space="0"/>
              <w:bottom w:val="single" w:color="000000" w:sz="4" w:space="0"/>
              <w:right w:val="single" w:color="000000" w:sz="4" w:space="0"/>
            </w:tcBorders>
            <w:shd w:val="clear" w:color="000000" w:fill="FFFFFF"/>
            <w:noWrap w:val="0"/>
            <w:tcMar>
              <w:left w:w="0" w:type="dxa"/>
              <w:right w:w="0" w:type="dxa"/>
            </w:tcMar>
            <w:vAlign w:val="center"/>
          </w:tcPr>
          <w:p w14:paraId="59FDFEA1">
            <w:pPr>
              <w:spacing w:line="360" w:lineRule="auto"/>
              <w:jc w:val="center"/>
              <w:rPr>
                <w:rFonts w:ascii="宋体" w:hAnsi="宋体" w:cs="宋体"/>
                <w:color w:val="auto"/>
                <w:highlight w:val="none"/>
                <w:lang w:eastAsia="zh-CN"/>
              </w:rPr>
            </w:pPr>
          </w:p>
        </w:tc>
        <w:tc>
          <w:tcPr>
            <w:tcW w:w="1676" w:type="dxa"/>
            <w:tcBorders>
              <w:top w:val="single" w:color="000000" w:sz="4" w:space="0"/>
              <w:left w:val="single" w:color="000000" w:sz="4" w:space="0"/>
              <w:bottom w:val="single" w:color="000000" w:sz="4" w:space="0"/>
              <w:right w:val="single" w:color="000000" w:sz="4" w:space="0"/>
            </w:tcBorders>
            <w:shd w:val="clear" w:color="000000" w:fill="FFFFFF"/>
            <w:noWrap w:val="0"/>
            <w:tcMar>
              <w:left w:w="0" w:type="dxa"/>
              <w:right w:w="0" w:type="dxa"/>
            </w:tcMar>
            <w:vAlign w:val="center"/>
          </w:tcPr>
          <w:p w14:paraId="7EDA16B5">
            <w:pPr>
              <w:spacing w:line="360" w:lineRule="auto"/>
              <w:jc w:val="center"/>
              <w:rPr>
                <w:rFonts w:ascii="宋体" w:hAnsi="宋体" w:cs="宋体"/>
                <w:color w:val="auto"/>
                <w:highlight w:val="none"/>
                <w:lang w:eastAsia="zh-CN"/>
              </w:rPr>
            </w:pPr>
          </w:p>
        </w:tc>
        <w:tc>
          <w:tcPr>
            <w:tcW w:w="5232" w:type="dxa"/>
            <w:gridSpan w:val="2"/>
            <w:tcBorders>
              <w:top w:val="single" w:color="000000" w:sz="4" w:space="0"/>
              <w:left w:val="single" w:color="000000" w:sz="4" w:space="0"/>
              <w:bottom w:val="single" w:color="000000" w:sz="4" w:space="0"/>
              <w:right w:val="single" w:color="000000" w:sz="4" w:space="0"/>
            </w:tcBorders>
            <w:shd w:val="clear" w:color="000000" w:fill="FFFFFF"/>
            <w:noWrap w:val="0"/>
            <w:tcMar>
              <w:left w:w="0" w:type="dxa"/>
              <w:right w:w="0" w:type="dxa"/>
            </w:tcMar>
            <w:vAlign w:val="center"/>
          </w:tcPr>
          <w:p w14:paraId="22849270">
            <w:pPr>
              <w:spacing w:line="360" w:lineRule="auto"/>
              <w:jc w:val="center"/>
              <w:rPr>
                <w:rFonts w:hint="eastAsia" w:ascii="宋体" w:hAnsi="宋体" w:cs="宋体"/>
                <w:color w:val="auto"/>
                <w:highlight w:val="none"/>
                <w:lang w:val="zh-CN" w:eastAsia="zh-CN"/>
              </w:rPr>
            </w:pPr>
            <w:r>
              <w:rPr>
                <w:rFonts w:hint="eastAsia" w:ascii="宋体" w:hAnsi="宋体" w:cs="宋体"/>
                <w:color w:val="auto"/>
                <w:highlight w:val="none"/>
                <w:lang w:val="zh-CN" w:eastAsia="zh-CN"/>
              </w:rPr>
              <w:t>第一章磋商邀请中采购人根据采购项目的特殊要求规定的特定条件证明文件</w:t>
            </w:r>
          </w:p>
        </w:tc>
        <w:tc>
          <w:tcPr>
            <w:tcW w:w="1168" w:type="dxa"/>
            <w:tcBorders>
              <w:top w:val="single" w:color="000000" w:sz="4" w:space="0"/>
              <w:left w:val="single" w:color="000000" w:sz="4" w:space="0"/>
              <w:bottom w:val="single" w:color="000000" w:sz="4" w:space="0"/>
              <w:right w:val="single" w:color="000000" w:sz="4" w:space="0"/>
            </w:tcBorders>
            <w:shd w:val="clear" w:color="000000" w:fill="FFFFFF"/>
            <w:noWrap w:val="0"/>
            <w:tcMar>
              <w:left w:w="0" w:type="dxa"/>
              <w:right w:w="0" w:type="dxa"/>
            </w:tcMar>
            <w:vAlign w:val="center"/>
          </w:tcPr>
          <w:p w14:paraId="75DAE941">
            <w:pPr>
              <w:spacing w:line="360" w:lineRule="auto"/>
              <w:jc w:val="center"/>
              <w:rPr>
                <w:rFonts w:ascii="宋体" w:hAnsi="宋体" w:cs="宋体"/>
                <w:color w:val="auto"/>
                <w:highlight w:val="none"/>
                <w:lang w:eastAsia="zh-CN"/>
              </w:rPr>
            </w:pPr>
          </w:p>
        </w:tc>
        <w:tc>
          <w:tcPr>
            <w:tcW w:w="790" w:type="dxa"/>
            <w:tcBorders>
              <w:top w:val="single" w:color="000000" w:sz="4" w:space="0"/>
              <w:left w:val="single" w:color="000000" w:sz="4" w:space="0"/>
              <w:bottom w:val="single" w:color="000000" w:sz="4" w:space="0"/>
              <w:right w:val="single" w:color="000000" w:sz="4" w:space="0"/>
            </w:tcBorders>
            <w:shd w:val="clear" w:color="000000" w:fill="FFFFFF"/>
            <w:noWrap w:val="0"/>
            <w:tcMar>
              <w:left w:w="0" w:type="dxa"/>
              <w:right w:w="0" w:type="dxa"/>
            </w:tcMar>
            <w:vAlign w:val="center"/>
          </w:tcPr>
          <w:p w14:paraId="1E7665A8">
            <w:pPr>
              <w:spacing w:line="360" w:lineRule="auto"/>
              <w:jc w:val="center"/>
              <w:rPr>
                <w:rFonts w:ascii="宋体" w:hAnsi="宋体" w:cs="宋体"/>
                <w:color w:val="auto"/>
                <w:highlight w:val="none"/>
                <w:lang w:eastAsia="zh-CN"/>
              </w:rPr>
            </w:pPr>
          </w:p>
        </w:tc>
      </w:tr>
      <w:tr w14:paraId="1A13AE25">
        <w:tblPrEx>
          <w:tblCellMar>
            <w:top w:w="0" w:type="dxa"/>
            <w:left w:w="10" w:type="dxa"/>
            <w:bottom w:w="0" w:type="dxa"/>
            <w:right w:w="10" w:type="dxa"/>
          </w:tblCellMar>
        </w:tblPrEx>
        <w:trPr>
          <w:trHeight w:val="385" w:hRule="atLeast"/>
          <w:jc w:val="center"/>
        </w:trPr>
        <w:tc>
          <w:tcPr>
            <w:tcW w:w="673" w:type="dxa"/>
            <w:tcBorders>
              <w:top w:val="single" w:color="000000" w:sz="4" w:space="0"/>
              <w:left w:val="single" w:color="000000" w:sz="4" w:space="0"/>
              <w:bottom w:val="single" w:color="000000" w:sz="4" w:space="0"/>
              <w:right w:val="single" w:color="000000" w:sz="4" w:space="0"/>
            </w:tcBorders>
            <w:shd w:val="clear" w:color="000000" w:fill="FFFFFF"/>
            <w:noWrap w:val="0"/>
            <w:tcMar>
              <w:left w:w="0" w:type="dxa"/>
              <w:right w:w="0" w:type="dxa"/>
            </w:tcMar>
            <w:vAlign w:val="center"/>
          </w:tcPr>
          <w:p w14:paraId="5CE76FC6">
            <w:pPr>
              <w:spacing w:line="360" w:lineRule="auto"/>
              <w:jc w:val="center"/>
              <w:rPr>
                <w:rFonts w:ascii="宋体" w:hAnsi="宋体" w:cs="宋体"/>
                <w:color w:val="auto"/>
                <w:highlight w:val="none"/>
                <w:lang w:eastAsia="zh-CN"/>
              </w:rPr>
            </w:pPr>
          </w:p>
        </w:tc>
        <w:tc>
          <w:tcPr>
            <w:tcW w:w="1676" w:type="dxa"/>
            <w:tcBorders>
              <w:top w:val="single" w:color="000000" w:sz="4" w:space="0"/>
              <w:left w:val="single" w:color="000000" w:sz="4" w:space="0"/>
              <w:bottom w:val="single" w:color="000000" w:sz="4" w:space="0"/>
              <w:right w:val="single" w:color="000000" w:sz="4" w:space="0"/>
            </w:tcBorders>
            <w:shd w:val="clear" w:color="000000" w:fill="FFFFFF"/>
            <w:noWrap w:val="0"/>
            <w:tcMar>
              <w:left w:w="0" w:type="dxa"/>
              <w:right w:w="0" w:type="dxa"/>
            </w:tcMar>
            <w:vAlign w:val="center"/>
          </w:tcPr>
          <w:p w14:paraId="63C453FF">
            <w:pPr>
              <w:spacing w:line="360" w:lineRule="auto"/>
              <w:jc w:val="center"/>
              <w:rPr>
                <w:rFonts w:ascii="宋体" w:hAnsi="宋体" w:cs="宋体"/>
                <w:color w:val="auto"/>
                <w:highlight w:val="none"/>
                <w:lang w:eastAsia="zh-CN"/>
              </w:rPr>
            </w:pPr>
          </w:p>
        </w:tc>
        <w:tc>
          <w:tcPr>
            <w:tcW w:w="5232" w:type="dxa"/>
            <w:gridSpan w:val="2"/>
            <w:tcBorders>
              <w:top w:val="single" w:color="000000" w:sz="4" w:space="0"/>
              <w:left w:val="single" w:color="000000" w:sz="4" w:space="0"/>
              <w:bottom w:val="single" w:color="000000" w:sz="4" w:space="0"/>
              <w:right w:val="single" w:color="000000" w:sz="4" w:space="0"/>
            </w:tcBorders>
            <w:shd w:val="clear" w:color="000000" w:fill="FFFFFF"/>
            <w:noWrap w:val="0"/>
            <w:tcMar>
              <w:left w:w="0" w:type="dxa"/>
              <w:right w:w="0" w:type="dxa"/>
            </w:tcMar>
            <w:vAlign w:val="center"/>
          </w:tcPr>
          <w:p w14:paraId="61AC977C">
            <w:pPr>
              <w:spacing w:line="360" w:lineRule="auto"/>
              <w:jc w:val="center"/>
              <w:rPr>
                <w:rFonts w:ascii="宋体" w:hAnsi="宋体" w:cs="宋体"/>
                <w:color w:val="auto"/>
                <w:highlight w:val="none"/>
              </w:rPr>
            </w:pPr>
            <w:r>
              <w:rPr>
                <w:rFonts w:hint="eastAsia" w:ascii="宋体" w:hAnsi="宋体" w:cs="宋体"/>
                <w:color w:val="auto"/>
                <w:highlight w:val="none"/>
              </w:rPr>
              <w:t>工程质量要求</w:t>
            </w:r>
          </w:p>
        </w:tc>
        <w:tc>
          <w:tcPr>
            <w:tcW w:w="1168" w:type="dxa"/>
            <w:tcBorders>
              <w:top w:val="single" w:color="000000" w:sz="4" w:space="0"/>
              <w:left w:val="single" w:color="000000" w:sz="4" w:space="0"/>
              <w:bottom w:val="single" w:color="000000" w:sz="4" w:space="0"/>
              <w:right w:val="single" w:color="000000" w:sz="4" w:space="0"/>
            </w:tcBorders>
            <w:shd w:val="clear" w:color="000000" w:fill="FFFFFF"/>
            <w:noWrap w:val="0"/>
            <w:tcMar>
              <w:left w:w="0" w:type="dxa"/>
              <w:right w:w="0" w:type="dxa"/>
            </w:tcMar>
            <w:vAlign w:val="center"/>
          </w:tcPr>
          <w:p w14:paraId="71360B20">
            <w:pPr>
              <w:spacing w:line="360" w:lineRule="auto"/>
              <w:jc w:val="center"/>
              <w:rPr>
                <w:rFonts w:ascii="宋体" w:hAnsi="宋体" w:cs="宋体"/>
                <w:color w:val="auto"/>
                <w:highlight w:val="none"/>
              </w:rPr>
            </w:pPr>
          </w:p>
        </w:tc>
        <w:tc>
          <w:tcPr>
            <w:tcW w:w="790" w:type="dxa"/>
            <w:tcBorders>
              <w:top w:val="single" w:color="000000" w:sz="4" w:space="0"/>
              <w:left w:val="single" w:color="000000" w:sz="4" w:space="0"/>
              <w:bottom w:val="single" w:color="000000" w:sz="4" w:space="0"/>
              <w:right w:val="single" w:color="000000" w:sz="4" w:space="0"/>
            </w:tcBorders>
            <w:shd w:val="clear" w:color="000000" w:fill="FFFFFF"/>
            <w:noWrap w:val="0"/>
            <w:tcMar>
              <w:left w:w="0" w:type="dxa"/>
              <w:right w:w="0" w:type="dxa"/>
            </w:tcMar>
            <w:vAlign w:val="center"/>
          </w:tcPr>
          <w:p w14:paraId="7848AB0F">
            <w:pPr>
              <w:spacing w:line="360" w:lineRule="auto"/>
              <w:jc w:val="center"/>
              <w:rPr>
                <w:rFonts w:ascii="宋体" w:hAnsi="宋体" w:cs="宋体"/>
                <w:color w:val="auto"/>
                <w:highlight w:val="none"/>
              </w:rPr>
            </w:pPr>
          </w:p>
        </w:tc>
      </w:tr>
      <w:tr w14:paraId="055930CB">
        <w:tblPrEx>
          <w:tblCellMar>
            <w:top w:w="0" w:type="dxa"/>
            <w:left w:w="10" w:type="dxa"/>
            <w:bottom w:w="0" w:type="dxa"/>
            <w:right w:w="10" w:type="dxa"/>
          </w:tblCellMar>
        </w:tblPrEx>
        <w:trPr>
          <w:trHeight w:val="385" w:hRule="atLeast"/>
          <w:jc w:val="center"/>
        </w:trPr>
        <w:tc>
          <w:tcPr>
            <w:tcW w:w="673" w:type="dxa"/>
            <w:tcBorders>
              <w:top w:val="single" w:color="000000" w:sz="4" w:space="0"/>
              <w:left w:val="single" w:color="000000" w:sz="4" w:space="0"/>
              <w:bottom w:val="single" w:color="000000" w:sz="4" w:space="0"/>
              <w:right w:val="single" w:color="000000" w:sz="4" w:space="0"/>
            </w:tcBorders>
            <w:shd w:val="clear" w:color="000000" w:fill="FFFFFF"/>
            <w:noWrap w:val="0"/>
            <w:tcMar>
              <w:left w:w="0" w:type="dxa"/>
              <w:right w:w="0" w:type="dxa"/>
            </w:tcMar>
            <w:vAlign w:val="center"/>
          </w:tcPr>
          <w:p w14:paraId="465E448F">
            <w:pPr>
              <w:spacing w:line="360" w:lineRule="auto"/>
              <w:jc w:val="center"/>
              <w:rPr>
                <w:rFonts w:ascii="宋体" w:hAnsi="宋体" w:cs="宋体"/>
                <w:color w:val="auto"/>
                <w:highlight w:val="none"/>
              </w:rPr>
            </w:pPr>
          </w:p>
        </w:tc>
        <w:tc>
          <w:tcPr>
            <w:tcW w:w="1676" w:type="dxa"/>
            <w:tcBorders>
              <w:top w:val="single" w:color="000000" w:sz="4" w:space="0"/>
              <w:left w:val="single" w:color="000000" w:sz="4" w:space="0"/>
              <w:bottom w:val="single" w:color="000000" w:sz="4" w:space="0"/>
              <w:right w:val="single" w:color="000000" w:sz="4" w:space="0"/>
            </w:tcBorders>
            <w:shd w:val="clear" w:color="000000" w:fill="FFFFFF"/>
            <w:noWrap w:val="0"/>
            <w:tcMar>
              <w:left w:w="0" w:type="dxa"/>
              <w:right w:w="0" w:type="dxa"/>
            </w:tcMar>
            <w:vAlign w:val="center"/>
          </w:tcPr>
          <w:p w14:paraId="1FCE7C3F">
            <w:pPr>
              <w:spacing w:line="360" w:lineRule="auto"/>
              <w:jc w:val="center"/>
              <w:rPr>
                <w:rFonts w:ascii="宋体" w:hAnsi="宋体" w:cs="宋体"/>
                <w:color w:val="auto"/>
                <w:highlight w:val="none"/>
              </w:rPr>
            </w:pPr>
          </w:p>
        </w:tc>
        <w:tc>
          <w:tcPr>
            <w:tcW w:w="5232" w:type="dxa"/>
            <w:gridSpan w:val="2"/>
            <w:tcBorders>
              <w:top w:val="single" w:color="000000" w:sz="4" w:space="0"/>
              <w:left w:val="single" w:color="000000" w:sz="4" w:space="0"/>
              <w:bottom w:val="single" w:color="000000" w:sz="4" w:space="0"/>
              <w:right w:val="single" w:color="000000" w:sz="4" w:space="0"/>
            </w:tcBorders>
            <w:shd w:val="clear" w:color="000000" w:fill="FFFFFF"/>
            <w:noWrap w:val="0"/>
            <w:tcMar>
              <w:left w:w="0" w:type="dxa"/>
              <w:right w:w="0" w:type="dxa"/>
            </w:tcMar>
            <w:vAlign w:val="center"/>
          </w:tcPr>
          <w:p w14:paraId="7EF158CD">
            <w:pPr>
              <w:spacing w:line="360" w:lineRule="auto"/>
              <w:jc w:val="center"/>
              <w:rPr>
                <w:rFonts w:ascii="宋体" w:hAnsi="宋体" w:cs="宋体"/>
                <w:color w:val="auto"/>
                <w:highlight w:val="none"/>
              </w:rPr>
            </w:pPr>
            <w:r>
              <w:rPr>
                <w:rFonts w:hint="eastAsia" w:ascii="宋体" w:hAnsi="宋体" w:cs="宋体"/>
                <w:color w:val="auto"/>
                <w:highlight w:val="none"/>
              </w:rPr>
              <w:t>工期要求</w:t>
            </w:r>
          </w:p>
        </w:tc>
        <w:tc>
          <w:tcPr>
            <w:tcW w:w="1168" w:type="dxa"/>
            <w:tcBorders>
              <w:top w:val="single" w:color="000000" w:sz="4" w:space="0"/>
              <w:left w:val="single" w:color="000000" w:sz="4" w:space="0"/>
              <w:bottom w:val="single" w:color="000000" w:sz="4" w:space="0"/>
              <w:right w:val="single" w:color="000000" w:sz="4" w:space="0"/>
            </w:tcBorders>
            <w:shd w:val="clear" w:color="000000" w:fill="FFFFFF"/>
            <w:noWrap w:val="0"/>
            <w:tcMar>
              <w:left w:w="0" w:type="dxa"/>
              <w:right w:w="0" w:type="dxa"/>
            </w:tcMar>
            <w:vAlign w:val="center"/>
          </w:tcPr>
          <w:p w14:paraId="1B23CFBD">
            <w:pPr>
              <w:spacing w:line="360" w:lineRule="auto"/>
              <w:jc w:val="center"/>
              <w:rPr>
                <w:rFonts w:ascii="宋体" w:hAnsi="宋体" w:cs="宋体"/>
                <w:color w:val="auto"/>
                <w:highlight w:val="none"/>
              </w:rPr>
            </w:pPr>
          </w:p>
        </w:tc>
        <w:tc>
          <w:tcPr>
            <w:tcW w:w="790" w:type="dxa"/>
            <w:tcBorders>
              <w:top w:val="single" w:color="000000" w:sz="4" w:space="0"/>
              <w:left w:val="single" w:color="000000" w:sz="4" w:space="0"/>
              <w:bottom w:val="single" w:color="000000" w:sz="4" w:space="0"/>
              <w:right w:val="single" w:color="000000" w:sz="4" w:space="0"/>
            </w:tcBorders>
            <w:shd w:val="clear" w:color="000000" w:fill="FFFFFF"/>
            <w:noWrap w:val="0"/>
            <w:tcMar>
              <w:left w:w="0" w:type="dxa"/>
              <w:right w:w="0" w:type="dxa"/>
            </w:tcMar>
            <w:vAlign w:val="center"/>
          </w:tcPr>
          <w:p w14:paraId="793B2451">
            <w:pPr>
              <w:spacing w:line="360" w:lineRule="auto"/>
              <w:jc w:val="center"/>
              <w:rPr>
                <w:rFonts w:ascii="宋体" w:hAnsi="宋体" w:cs="宋体"/>
                <w:color w:val="auto"/>
                <w:highlight w:val="none"/>
              </w:rPr>
            </w:pPr>
          </w:p>
        </w:tc>
      </w:tr>
      <w:tr w14:paraId="78D634A5">
        <w:tblPrEx>
          <w:tblCellMar>
            <w:top w:w="0" w:type="dxa"/>
            <w:left w:w="10" w:type="dxa"/>
            <w:bottom w:w="0" w:type="dxa"/>
            <w:right w:w="10" w:type="dxa"/>
          </w:tblCellMar>
        </w:tblPrEx>
        <w:trPr>
          <w:trHeight w:val="385" w:hRule="atLeast"/>
          <w:jc w:val="center"/>
        </w:trPr>
        <w:tc>
          <w:tcPr>
            <w:tcW w:w="673" w:type="dxa"/>
            <w:tcBorders>
              <w:top w:val="single" w:color="000000" w:sz="4" w:space="0"/>
              <w:left w:val="single" w:color="000000" w:sz="4" w:space="0"/>
              <w:bottom w:val="single" w:color="000000" w:sz="4" w:space="0"/>
              <w:right w:val="single" w:color="000000" w:sz="4" w:space="0"/>
            </w:tcBorders>
            <w:shd w:val="clear" w:color="000000" w:fill="FFFFFF"/>
            <w:noWrap w:val="0"/>
            <w:tcMar>
              <w:left w:w="0" w:type="dxa"/>
              <w:right w:w="0" w:type="dxa"/>
            </w:tcMar>
            <w:vAlign w:val="center"/>
          </w:tcPr>
          <w:p w14:paraId="3A750942">
            <w:pPr>
              <w:spacing w:line="360" w:lineRule="auto"/>
              <w:jc w:val="center"/>
              <w:rPr>
                <w:rFonts w:ascii="宋体" w:hAnsi="宋体" w:cs="宋体"/>
                <w:color w:val="auto"/>
                <w:highlight w:val="none"/>
              </w:rPr>
            </w:pPr>
          </w:p>
        </w:tc>
        <w:tc>
          <w:tcPr>
            <w:tcW w:w="1676" w:type="dxa"/>
            <w:tcBorders>
              <w:top w:val="single" w:color="000000" w:sz="4" w:space="0"/>
              <w:left w:val="single" w:color="000000" w:sz="4" w:space="0"/>
              <w:bottom w:val="single" w:color="000000" w:sz="4" w:space="0"/>
              <w:right w:val="single" w:color="000000" w:sz="4" w:space="0"/>
            </w:tcBorders>
            <w:shd w:val="clear" w:color="000000" w:fill="FFFFFF"/>
            <w:noWrap w:val="0"/>
            <w:tcMar>
              <w:left w:w="0" w:type="dxa"/>
              <w:right w:w="0" w:type="dxa"/>
            </w:tcMar>
            <w:vAlign w:val="center"/>
          </w:tcPr>
          <w:p w14:paraId="23DF2C29">
            <w:pPr>
              <w:spacing w:line="360" w:lineRule="auto"/>
              <w:jc w:val="center"/>
              <w:rPr>
                <w:rFonts w:ascii="宋体" w:hAnsi="宋体" w:cs="宋体"/>
                <w:color w:val="auto"/>
                <w:highlight w:val="none"/>
              </w:rPr>
            </w:pPr>
          </w:p>
        </w:tc>
        <w:tc>
          <w:tcPr>
            <w:tcW w:w="5232" w:type="dxa"/>
            <w:gridSpan w:val="2"/>
            <w:tcBorders>
              <w:top w:val="single" w:color="000000" w:sz="4" w:space="0"/>
              <w:left w:val="single" w:color="000000" w:sz="4" w:space="0"/>
              <w:bottom w:val="single" w:color="000000" w:sz="4" w:space="0"/>
              <w:right w:val="single" w:color="000000" w:sz="4" w:space="0"/>
            </w:tcBorders>
            <w:shd w:val="clear" w:color="000000" w:fill="FFFFFF"/>
            <w:noWrap w:val="0"/>
            <w:tcMar>
              <w:left w:w="0" w:type="dxa"/>
              <w:right w:w="0" w:type="dxa"/>
            </w:tcMar>
            <w:vAlign w:val="center"/>
          </w:tcPr>
          <w:p w14:paraId="08081B47">
            <w:pPr>
              <w:spacing w:line="360" w:lineRule="auto"/>
              <w:jc w:val="center"/>
              <w:rPr>
                <w:rFonts w:ascii="宋体" w:hAnsi="宋体" w:cs="宋体"/>
                <w:color w:val="auto"/>
                <w:highlight w:val="none"/>
              </w:rPr>
            </w:pPr>
            <w:r>
              <w:rPr>
                <w:rFonts w:hint="eastAsia" w:ascii="宋体" w:hAnsi="宋体" w:cs="宋体"/>
                <w:color w:val="auto"/>
                <w:highlight w:val="none"/>
                <w:lang w:eastAsia="zh-CN"/>
              </w:rPr>
              <w:t>付款方式</w:t>
            </w:r>
          </w:p>
        </w:tc>
        <w:tc>
          <w:tcPr>
            <w:tcW w:w="1168" w:type="dxa"/>
            <w:tcBorders>
              <w:top w:val="single" w:color="000000" w:sz="4" w:space="0"/>
              <w:left w:val="single" w:color="000000" w:sz="4" w:space="0"/>
              <w:bottom w:val="single" w:color="000000" w:sz="4" w:space="0"/>
              <w:right w:val="single" w:color="000000" w:sz="4" w:space="0"/>
            </w:tcBorders>
            <w:shd w:val="clear" w:color="000000" w:fill="FFFFFF"/>
            <w:noWrap w:val="0"/>
            <w:tcMar>
              <w:left w:w="0" w:type="dxa"/>
              <w:right w:w="0" w:type="dxa"/>
            </w:tcMar>
            <w:vAlign w:val="center"/>
          </w:tcPr>
          <w:p w14:paraId="66805583">
            <w:pPr>
              <w:spacing w:line="360" w:lineRule="auto"/>
              <w:jc w:val="center"/>
              <w:rPr>
                <w:rFonts w:ascii="宋体" w:hAnsi="宋体" w:cs="宋体"/>
                <w:color w:val="auto"/>
                <w:highlight w:val="none"/>
              </w:rPr>
            </w:pPr>
          </w:p>
        </w:tc>
        <w:tc>
          <w:tcPr>
            <w:tcW w:w="790" w:type="dxa"/>
            <w:tcBorders>
              <w:top w:val="single" w:color="000000" w:sz="4" w:space="0"/>
              <w:left w:val="single" w:color="000000" w:sz="4" w:space="0"/>
              <w:bottom w:val="single" w:color="000000" w:sz="4" w:space="0"/>
              <w:right w:val="single" w:color="000000" w:sz="4" w:space="0"/>
            </w:tcBorders>
            <w:shd w:val="clear" w:color="000000" w:fill="FFFFFF"/>
            <w:noWrap w:val="0"/>
            <w:tcMar>
              <w:left w:w="0" w:type="dxa"/>
              <w:right w:w="0" w:type="dxa"/>
            </w:tcMar>
            <w:vAlign w:val="center"/>
          </w:tcPr>
          <w:p w14:paraId="2B634836">
            <w:pPr>
              <w:spacing w:line="360" w:lineRule="auto"/>
              <w:jc w:val="center"/>
              <w:rPr>
                <w:rFonts w:ascii="宋体" w:hAnsi="宋体" w:cs="宋体"/>
                <w:color w:val="auto"/>
                <w:highlight w:val="none"/>
              </w:rPr>
            </w:pPr>
          </w:p>
        </w:tc>
      </w:tr>
      <w:tr w14:paraId="56CFDAAB">
        <w:tblPrEx>
          <w:tblCellMar>
            <w:top w:w="0" w:type="dxa"/>
            <w:left w:w="10" w:type="dxa"/>
            <w:bottom w:w="0" w:type="dxa"/>
            <w:right w:w="10" w:type="dxa"/>
          </w:tblCellMar>
        </w:tblPrEx>
        <w:trPr>
          <w:trHeight w:val="385" w:hRule="atLeast"/>
          <w:jc w:val="center"/>
        </w:trPr>
        <w:tc>
          <w:tcPr>
            <w:tcW w:w="673" w:type="dxa"/>
            <w:tcBorders>
              <w:top w:val="single" w:color="000000" w:sz="4" w:space="0"/>
              <w:left w:val="single" w:color="000000" w:sz="4" w:space="0"/>
              <w:bottom w:val="single" w:color="000000" w:sz="4" w:space="0"/>
              <w:right w:val="single" w:color="000000" w:sz="4" w:space="0"/>
            </w:tcBorders>
            <w:shd w:val="clear" w:color="000000" w:fill="FFFFFF"/>
            <w:noWrap w:val="0"/>
            <w:tcMar>
              <w:left w:w="0" w:type="dxa"/>
              <w:right w:w="0" w:type="dxa"/>
            </w:tcMar>
            <w:vAlign w:val="center"/>
          </w:tcPr>
          <w:p w14:paraId="47CD76AB">
            <w:pPr>
              <w:spacing w:line="360" w:lineRule="auto"/>
              <w:jc w:val="center"/>
              <w:rPr>
                <w:rFonts w:ascii="宋体" w:hAnsi="宋体" w:cs="宋体"/>
                <w:color w:val="auto"/>
                <w:highlight w:val="none"/>
              </w:rPr>
            </w:pPr>
          </w:p>
        </w:tc>
        <w:tc>
          <w:tcPr>
            <w:tcW w:w="1676" w:type="dxa"/>
            <w:tcBorders>
              <w:top w:val="single" w:color="000000" w:sz="4" w:space="0"/>
              <w:left w:val="single" w:color="000000" w:sz="4" w:space="0"/>
              <w:bottom w:val="single" w:color="000000" w:sz="4" w:space="0"/>
              <w:right w:val="single" w:color="000000" w:sz="4" w:space="0"/>
            </w:tcBorders>
            <w:shd w:val="clear" w:color="000000" w:fill="FFFFFF"/>
            <w:noWrap w:val="0"/>
            <w:tcMar>
              <w:left w:w="0" w:type="dxa"/>
              <w:right w:w="0" w:type="dxa"/>
            </w:tcMar>
            <w:vAlign w:val="center"/>
          </w:tcPr>
          <w:p w14:paraId="7AE6D3C7">
            <w:pPr>
              <w:spacing w:line="360" w:lineRule="auto"/>
              <w:jc w:val="center"/>
              <w:rPr>
                <w:rFonts w:ascii="宋体" w:hAnsi="宋体" w:cs="宋体"/>
                <w:color w:val="auto"/>
                <w:highlight w:val="none"/>
              </w:rPr>
            </w:pPr>
          </w:p>
        </w:tc>
        <w:tc>
          <w:tcPr>
            <w:tcW w:w="5232" w:type="dxa"/>
            <w:gridSpan w:val="2"/>
            <w:tcBorders>
              <w:top w:val="single" w:color="000000" w:sz="4" w:space="0"/>
              <w:left w:val="single" w:color="000000" w:sz="4" w:space="0"/>
              <w:bottom w:val="single" w:color="000000" w:sz="4" w:space="0"/>
              <w:right w:val="single" w:color="000000" w:sz="4" w:space="0"/>
            </w:tcBorders>
            <w:shd w:val="clear" w:color="000000" w:fill="FFFFFF"/>
            <w:noWrap w:val="0"/>
            <w:tcMar>
              <w:left w:w="0" w:type="dxa"/>
              <w:right w:w="0" w:type="dxa"/>
            </w:tcMar>
            <w:vAlign w:val="center"/>
          </w:tcPr>
          <w:p w14:paraId="444056F5">
            <w:pPr>
              <w:spacing w:line="360" w:lineRule="auto"/>
              <w:jc w:val="center"/>
              <w:rPr>
                <w:rFonts w:ascii="宋体" w:hAnsi="宋体" w:cs="宋体"/>
                <w:color w:val="auto"/>
                <w:highlight w:val="none"/>
                <w:lang w:eastAsia="zh-CN"/>
              </w:rPr>
            </w:pPr>
            <w:r>
              <w:rPr>
                <w:rFonts w:hint="eastAsia" w:ascii="宋体" w:hAnsi="宋体" w:eastAsia="宋体" w:cs="宋体"/>
                <w:color w:val="auto"/>
                <w:sz w:val="21"/>
                <w:szCs w:val="21"/>
                <w:highlight w:val="none"/>
                <w:lang w:eastAsia="zh-CN"/>
              </w:rPr>
              <w:t>供应商认为需要</w:t>
            </w:r>
            <w:r>
              <w:rPr>
                <w:rFonts w:hint="eastAsia" w:ascii="宋体" w:hAnsi="宋体" w:eastAsia="宋体" w:cs="宋体"/>
                <w:color w:val="auto"/>
                <w:sz w:val="21"/>
                <w:szCs w:val="21"/>
                <w:highlight w:val="none"/>
                <w:lang w:val="zh-CN" w:eastAsia="zh-CN"/>
              </w:rPr>
              <w:t>提供的其他资格证明文件和商务资料</w:t>
            </w:r>
          </w:p>
        </w:tc>
        <w:tc>
          <w:tcPr>
            <w:tcW w:w="1168" w:type="dxa"/>
            <w:tcBorders>
              <w:top w:val="single" w:color="000000" w:sz="4" w:space="0"/>
              <w:left w:val="single" w:color="000000" w:sz="4" w:space="0"/>
              <w:bottom w:val="single" w:color="000000" w:sz="4" w:space="0"/>
              <w:right w:val="single" w:color="000000" w:sz="4" w:space="0"/>
            </w:tcBorders>
            <w:shd w:val="clear" w:color="000000" w:fill="FFFFFF"/>
            <w:noWrap w:val="0"/>
            <w:tcMar>
              <w:left w:w="0" w:type="dxa"/>
              <w:right w:w="0" w:type="dxa"/>
            </w:tcMar>
            <w:vAlign w:val="center"/>
          </w:tcPr>
          <w:p w14:paraId="3DF254D0">
            <w:pPr>
              <w:spacing w:line="360" w:lineRule="auto"/>
              <w:jc w:val="center"/>
              <w:rPr>
                <w:rFonts w:ascii="宋体" w:hAnsi="宋体" w:cs="宋体"/>
                <w:color w:val="auto"/>
                <w:highlight w:val="none"/>
                <w:lang w:eastAsia="zh-CN"/>
              </w:rPr>
            </w:pPr>
          </w:p>
        </w:tc>
        <w:tc>
          <w:tcPr>
            <w:tcW w:w="790" w:type="dxa"/>
            <w:tcBorders>
              <w:top w:val="single" w:color="000000" w:sz="4" w:space="0"/>
              <w:left w:val="single" w:color="000000" w:sz="4" w:space="0"/>
              <w:bottom w:val="single" w:color="000000" w:sz="4" w:space="0"/>
              <w:right w:val="single" w:color="000000" w:sz="4" w:space="0"/>
            </w:tcBorders>
            <w:shd w:val="clear" w:color="000000" w:fill="FFFFFF"/>
            <w:noWrap w:val="0"/>
            <w:tcMar>
              <w:left w:w="0" w:type="dxa"/>
              <w:right w:w="0" w:type="dxa"/>
            </w:tcMar>
            <w:vAlign w:val="center"/>
          </w:tcPr>
          <w:p w14:paraId="633AD118">
            <w:pPr>
              <w:spacing w:line="360" w:lineRule="auto"/>
              <w:jc w:val="center"/>
              <w:rPr>
                <w:rFonts w:ascii="宋体" w:hAnsi="宋体" w:cs="宋体"/>
                <w:color w:val="auto"/>
                <w:highlight w:val="none"/>
                <w:lang w:eastAsia="zh-CN"/>
              </w:rPr>
            </w:pPr>
          </w:p>
        </w:tc>
      </w:tr>
      <w:tr w14:paraId="2D20707B">
        <w:tblPrEx>
          <w:tblCellMar>
            <w:top w:w="0" w:type="dxa"/>
            <w:left w:w="10" w:type="dxa"/>
            <w:bottom w:w="0" w:type="dxa"/>
            <w:right w:w="10" w:type="dxa"/>
          </w:tblCellMar>
        </w:tblPrEx>
        <w:trPr>
          <w:trHeight w:val="405" w:hRule="atLeast"/>
          <w:jc w:val="center"/>
        </w:trPr>
        <w:tc>
          <w:tcPr>
            <w:tcW w:w="673" w:type="dxa"/>
            <w:tcBorders>
              <w:top w:val="single" w:color="000000" w:sz="4" w:space="0"/>
              <w:left w:val="single" w:color="000000" w:sz="4" w:space="0"/>
              <w:bottom w:val="single" w:color="000000" w:sz="4" w:space="0"/>
              <w:right w:val="single" w:color="000000" w:sz="4" w:space="0"/>
            </w:tcBorders>
            <w:shd w:val="clear" w:color="000000" w:fill="FFFFFF"/>
            <w:noWrap w:val="0"/>
            <w:tcMar>
              <w:left w:w="0" w:type="dxa"/>
              <w:right w:w="0" w:type="dxa"/>
            </w:tcMar>
            <w:vAlign w:val="center"/>
          </w:tcPr>
          <w:p w14:paraId="7D96F966">
            <w:pPr>
              <w:spacing w:line="360" w:lineRule="auto"/>
              <w:rPr>
                <w:rFonts w:ascii="宋体" w:hAnsi="宋体" w:cs="宋体"/>
                <w:color w:val="auto"/>
                <w:highlight w:val="none"/>
                <w:lang w:eastAsia="zh-CN"/>
              </w:rPr>
            </w:pPr>
          </w:p>
        </w:tc>
        <w:tc>
          <w:tcPr>
            <w:tcW w:w="1676" w:type="dxa"/>
            <w:tcBorders>
              <w:top w:val="single" w:color="000000" w:sz="4" w:space="0"/>
              <w:left w:val="single" w:color="000000" w:sz="4" w:space="0"/>
              <w:bottom w:val="single" w:color="000000" w:sz="4" w:space="0"/>
              <w:right w:val="single" w:color="000000" w:sz="4" w:space="0"/>
            </w:tcBorders>
            <w:shd w:val="clear" w:color="000000" w:fill="FFFFFF"/>
            <w:noWrap w:val="0"/>
            <w:tcMar>
              <w:left w:w="0" w:type="dxa"/>
              <w:right w:w="0" w:type="dxa"/>
            </w:tcMar>
            <w:vAlign w:val="center"/>
          </w:tcPr>
          <w:p w14:paraId="48B2BC07">
            <w:pPr>
              <w:spacing w:line="360" w:lineRule="auto"/>
              <w:rPr>
                <w:rFonts w:ascii="宋体" w:hAnsi="宋体" w:cs="宋体"/>
                <w:color w:val="auto"/>
                <w:highlight w:val="none"/>
                <w:lang w:eastAsia="zh-CN"/>
              </w:rPr>
            </w:pPr>
          </w:p>
        </w:tc>
        <w:tc>
          <w:tcPr>
            <w:tcW w:w="5232" w:type="dxa"/>
            <w:gridSpan w:val="2"/>
            <w:tcBorders>
              <w:top w:val="single" w:color="000000" w:sz="4" w:space="0"/>
              <w:left w:val="single" w:color="000000" w:sz="4" w:space="0"/>
              <w:bottom w:val="single" w:color="000000" w:sz="4" w:space="0"/>
              <w:right w:val="single" w:color="000000" w:sz="4" w:space="0"/>
            </w:tcBorders>
            <w:shd w:val="clear" w:color="000000" w:fill="FFFFFF"/>
            <w:noWrap w:val="0"/>
            <w:tcMar>
              <w:left w:w="0" w:type="dxa"/>
              <w:right w:w="0" w:type="dxa"/>
            </w:tcMar>
            <w:vAlign w:val="center"/>
          </w:tcPr>
          <w:p w14:paraId="0145169C">
            <w:pPr>
              <w:spacing w:line="360" w:lineRule="auto"/>
              <w:jc w:val="center"/>
              <w:rPr>
                <w:rFonts w:ascii="宋体" w:hAnsi="宋体" w:cs="宋体"/>
                <w:color w:val="auto"/>
                <w:highlight w:val="none"/>
                <w:lang w:eastAsia="zh-CN"/>
              </w:rPr>
            </w:pPr>
          </w:p>
        </w:tc>
        <w:tc>
          <w:tcPr>
            <w:tcW w:w="1168" w:type="dxa"/>
            <w:tcBorders>
              <w:top w:val="single" w:color="000000" w:sz="4" w:space="0"/>
              <w:left w:val="single" w:color="000000" w:sz="4" w:space="0"/>
              <w:bottom w:val="single" w:color="000000" w:sz="4" w:space="0"/>
              <w:right w:val="single" w:color="000000" w:sz="4" w:space="0"/>
            </w:tcBorders>
            <w:shd w:val="clear" w:color="000000" w:fill="FFFFFF"/>
            <w:noWrap w:val="0"/>
            <w:tcMar>
              <w:left w:w="0" w:type="dxa"/>
              <w:right w:w="0" w:type="dxa"/>
            </w:tcMar>
            <w:vAlign w:val="center"/>
          </w:tcPr>
          <w:p w14:paraId="54441FBA">
            <w:pPr>
              <w:spacing w:line="360" w:lineRule="auto"/>
              <w:rPr>
                <w:rFonts w:ascii="宋体" w:hAnsi="宋体" w:cs="宋体"/>
                <w:color w:val="auto"/>
                <w:highlight w:val="none"/>
                <w:lang w:eastAsia="zh-CN"/>
              </w:rPr>
            </w:pPr>
          </w:p>
        </w:tc>
        <w:tc>
          <w:tcPr>
            <w:tcW w:w="790" w:type="dxa"/>
            <w:tcBorders>
              <w:top w:val="single" w:color="000000" w:sz="4" w:space="0"/>
              <w:left w:val="single" w:color="000000" w:sz="4" w:space="0"/>
              <w:bottom w:val="single" w:color="000000" w:sz="4" w:space="0"/>
              <w:right w:val="single" w:color="000000" w:sz="4" w:space="0"/>
            </w:tcBorders>
            <w:shd w:val="clear" w:color="000000" w:fill="FFFFFF"/>
            <w:noWrap w:val="0"/>
            <w:tcMar>
              <w:left w:w="0" w:type="dxa"/>
              <w:right w:w="0" w:type="dxa"/>
            </w:tcMar>
            <w:vAlign w:val="center"/>
          </w:tcPr>
          <w:p w14:paraId="2C3E3092">
            <w:pPr>
              <w:spacing w:line="360" w:lineRule="auto"/>
              <w:rPr>
                <w:rFonts w:ascii="宋体" w:hAnsi="宋体" w:cs="宋体"/>
                <w:color w:val="auto"/>
                <w:highlight w:val="none"/>
                <w:lang w:eastAsia="zh-CN"/>
              </w:rPr>
            </w:pPr>
          </w:p>
        </w:tc>
      </w:tr>
      <w:tr w14:paraId="2D552C6A">
        <w:tblPrEx>
          <w:tblCellMar>
            <w:top w:w="0" w:type="dxa"/>
            <w:left w:w="10" w:type="dxa"/>
            <w:bottom w:w="0" w:type="dxa"/>
            <w:right w:w="10" w:type="dxa"/>
          </w:tblCellMar>
        </w:tblPrEx>
        <w:trPr>
          <w:trHeight w:val="385" w:hRule="atLeast"/>
          <w:jc w:val="center"/>
        </w:trPr>
        <w:tc>
          <w:tcPr>
            <w:tcW w:w="673" w:type="dxa"/>
            <w:tcBorders>
              <w:top w:val="single" w:color="000000" w:sz="4" w:space="0"/>
              <w:left w:val="single" w:color="000000" w:sz="4" w:space="0"/>
              <w:bottom w:val="single" w:color="000000" w:sz="4" w:space="0"/>
              <w:right w:val="single" w:color="000000" w:sz="4" w:space="0"/>
            </w:tcBorders>
            <w:shd w:val="clear" w:color="000000" w:fill="FFFFFF"/>
            <w:noWrap w:val="0"/>
            <w:tcMar>
              <w:left w:w="0" w:type="dxa"/>
              <w:right w:w="0" w:type="dxa"/>
            </w:tcMar>
            <w:vAlign w:val="center"/>
          </w:tcPr>
          <w:p w14:paraId="5300DE95">
            <w:pPr>
              <w:spacing w:line="360" w:lineRule="auto"/>
              <w:rPr>
                <w:rFonts w:ascii="宋体" w:hAnsi="宋体" w:cs="宋体"/>
                <w:color w:val="auto"/>
                <w:highlight w:val="none"/>
                <w:lang w:eastAsia="zh-CN"/>
              </w:rPr>
            </w:pPr>
          </w:p>
        </w:tc>
        <w:tc>
          <w:tcPr>
            <w:tcW w:w="1676" w:type="dxa"/>
            <w:tcBorders>
              <w:top w:val="single" w:color="000000" w:sz="4" w:space="0"/>
              <w:left w:val="single" w:color="000000" w:sz="4" w:space="0"/>
              <w:bottom w:val="single" w:color="000000" w:sz="4" w:space="0"/>
              <w:right w:val="single" w:color="000000" w:sz="4" w:space="0"/>
            </w:tcBorders>
            <w:shd w:val="clear" w:color="000000" w:fill="FFFFFF"/>
            <w:noWrap w:val="0"/>
            <w:tcMar>
              <w:left w:w="0" w:type="dxa"/>
              <w:right w:w="0" w:type="dxa"/>
            </w:tcMar>
            <w:vAlign w:val="center"/>
          </w:tcPr>
          <w:p w14:paraId="05C03538">
            <w:pPr>
              <w:spacing w:line="360" w:lineRule="auto"/>
              <w:rPr>
                <w:rFonts w:ascii="宋体" w:hAnsi="宋体" w:cs="宋体"/>
                <w:color w:val="auto"/>
                <w:highlight w:val="none"/>
                <w:lang w:eastAsia="zh-CN"/>
              </w:rPr>
            </w:pPr>
          </w:p>
        </w:tc>
        <w:tc>
          <w:tcPr>
            <w:tcW w:w="5232" w:type="dxa"/>
            <w:gridSpan w:val="2"/>
            <w:tcBorders>
              <w:top w:val="single" w:color="000000" w:sz="4" w:space="0"/>
              <w:left w:val="single" w:color="000000" w:sz="4" w:space="0"/>
              <w:bottom w:val="single" w:color="000000" w:sz="4" w:space="0"/>
              <w:right w:val="single" w:color="000000" w:sz="4" w:space="0"/>
            </w:tcBorders>
            <w:shd w:val="clear" w:color="000000" w:fill="FFFFFF"/>
            <w:noWrap w:val="0"/>
            <w:tcMar>
              <w:left w:w="0" w:type="dxa"/>
              <w:right w:w="0" w:type="dxa"/>
            </w:tcMar>
            <w:vAlign w:val="center"/>
          </w:tcPr>
          <w:p w14:paraId="662961EB">
            <w:pPr>
              <w:spacing w:line="360" w:lineRule="auto"/>
              <w:jc w:val="center"/>
              <w:rPr>
                <w:rFonts w:ascii="宋体" w:hAnsi="宋体" w:eastAsia="宋体" w:cs="宋体"/>
                <w:color w:val="auto"/>
                <w:highlight w:val="none"/>
                <w:lang w:eastAsia="zh-CN"/>
              </w:rPr>
            </w:pPr>
            <w:r>
              <w:rPr>
                <w:rFonts w:hint="eastAsia" w:ascii="宋体" w:hAnsi="宋体" w:eastAsia="宋体" w:cs="宋体"/>
                <w:color w:val="auto"/>
                <w:highlight w:val="none"/>
                <w:lang w:eastAsia="zh-CN"/>
              </w:rPr>
              <w:t>...</w:t>
            </w:r>
          </w:p>
        </w:tc>
        <w:tc>
          <w:tcPr>
            <w:tcW w:w="1168" w:type="dxa"/>
            <w:tcBorders>
              <w:top w:val="single" w:color="000000" w:sz="4" w:space="0"/>
              <w:left w:val="single" w:color="000000" w:sz="4" w:space="0"/>
              <w:bottom w:val="single" w:color="000000" w:sz="4" w:space="0"/>
              <w:right w:val="single" w:color="000000" w:sz="4" w:space="0"/>
            </w:tcBorders>
            <w:shd w:val="clear" w:color="000000" w:fill="FFFFFF"/>
            <w:noWrap w:val="0"/>
            <w:tcMar>
              <w:left w:w="0" w:type="dxa"/>
              <w:right w:w="0" w:type="dxa"/>
            </w:tcMar>
            <w:vAlign w:val="center"/>
          </w:tcPr>
          <w:p w14:paraId="499CF3E3">
            <w:pPr>
              <w:spacing w:line="360" w:lineRule="auto"/>
              <w:rPr>
                <w:rFonts w:ascii="宋体" w:hAnsi="宋体" w:cs="宋体"/>
                <w:color w:val="auto"/>
                <w:highlight w:val="none"/>
              </w:rPr>
            </w:pPr>
          </w:p>
        </w:tc>
        <w:tc>
          <w:tcPr>
            <w:tcW w:w="790" w:type="dxa"/>
            <w:tcBorders>
              <w:top w:val="single" w:color="000000" w:sz="4" w:space="0"/>
              <w:left w:val="single" w:color="000000" w:sz="4" w:space="0"/>
              <w:bottom w:val="single" w:color="000000" w:sz="4" w:space="0"/>
              <w:right w:val="single" w:color="000000" w:sz="4" w:space="0"/>
            </w:tcBorders>
            <w:shd w:val="clear" w:color="000000" w:fill="FFFFFF"/>
            <w:noWrap w:val="0"/>
            <w:tcMar>
              <w:left w:w="0" w:type="dxa"/>
              <w:right w:w="0" w:type="dxa"/>
            </w:tcMar>
            <w:vAlign w:val="center"/>
          </w:tcPr>
          <w:p w14:paraId="694D6D99">
            <w:pPr>
              <w:spacing w:line="360" w:lineRule="auto"/>
              <w:rPr>
                <w:rFonts w:ascii="宋体" w:hAnsi="宋体" w:cs="宋体"/>
                <w:color w:val="auto"/>
                <w:highlight w:val="none"/>
              </w:rPr>
            </w:pPr>
          </w:p>
        </w:tc>
      </w:tr>
      <w:tr w14:paraId="478971DF">
        <w:tblPrEx>
          <w:tblCellMar>
            <w:top w:w="0" w:type="dxa"/>
            <w:left w:w="10" w:type="dxa"/>
            <w:bottom w:w="0" w:type="dxa"/>
            <w:right w:w="10" w:type="dxa"/>
          </w:tblCellMar>
        </w:tblPrEx>
        <w:trPr>
          <w:trHeight w:val="394" w:hRule="atLeast"/>
          <w:jc w:val="center"/>
        </w:trPr>
        <w:tc>
          <w:tcPr>
            <w:tcW w:w="673" w:type="dxa"/>
            <w:tcBorders>
              <w:top w:val="single" w:color="000000" w:sz="4" w:space="0"/>
              <w:left w:val="single" w:color="000000" w:sz="4" w:space="0"/>
              <w:bottom w:val="single" w:color="000000" w:sz="4" w:space="0"/>
              <w:right w:val="single" w:color="000000" w:sz="4" w:space="0"/>
            </w:tcBorders>
            <w:shd w:val="clear" w:color="000000" w:fill="FFFFFF"/>
            <w:noWrap w:val="0"/>
            <w:tcMar>
              <w:left w:w="0" w:type="dxa"/>
              <w:right w:w="0" w:type="dxa"/>
            </w:tcMar>
            <w:vAlign w:val="center"/>
          </w:tcPr>
          <w:p w14:paraId="7AC7F717">
            <w:pPr>
              <w:spacing w:line="360" w:lineRule="auto"/>
              <w:rPr>
                <w:rFonts w:ascii="宋体" w:hAnsi="宋体" w:cs="宋体"/>
                <w:color w:val="auto"/>
                <w:highlight w:val="none"/>
              </w:rPr>
            </w:pPr>
          </w:p>
        </w:tc>
        <w:tc>
          <w:tcPr>
            <w:tcW w:w="1676" w:type="dxa"/>
            <w:tcBorders>
              <w:top w:val="single" w:color="000000" w:sz="4" w:space="0"/>
              <w:left w:val="single" w:color="000000" w:sz="4" w:space="0"/>
              <w:bottom w:val="single" w:color="000000" w:sz="4" w:space="0"/>
              <w:right w:val="single" w:color="000000" w:sz="4" w:space="0"/>
            </w:tcBorders>
            <w:shd w:val="clear" w:color="000000" w:fill="FFFFFF"/>
            <w:noWrap w:val="0"/>
            <w:tcMar>
              <w:left w:w="0" w:type="dxa"/>
              <w:right w:w="0" w:type="dxa"/>
            </w:tcMar>
            <w:vAlign w:val="center"/>
          </w:tcPr>
          <w:p w14:paraId="52DA6AF8">
            <w:pPr>
              <w:spacing w:line="360" w:lineRule="auto"/>
              <w:rPr>
                <w:rFonts w:ascii="宋体" w:hAnsi="宋体" w:cs="宋体"/>
                <w:color w:val="auto"/>
                <w:highlight w:val="none"/>
              </w:rPr>
            </w:pPr>
          </w:p>
        </w:tc>
        <w:tc>
          <w:tcPr>
            <w:tcW w:w="5232" w:type="dxa"/>
            <w:gridSpan w:val="2"/>
            <w:tcBorders>
              <w:top w:val="single" w:color="000000" w:sz="4" w:space="0"/>
              <w:left w:val="single" w:color="000000" w:sz="4" w:space="0"/>
              <w:bottom w:val="single" w:color="000000" w:sz="4" w:space="0"/>
              <w:right w:val="single" w:color="000000" w:sz="4" w:space="0"/>
            </w:tcBorders>
            <w:shd w:val="clear" w:color="000000" w:fill="FFFFFF"/>
            <w:noWrap w:val="0"/>
            <w:tcMar>
              <w:left w:w="0" w:type="dxa"/>
              <w:right w:w="0" w:type="dxa"/>
            </w:tcMar>
            <w:vAlign w:val="center"/>
          </w:tcPr>
          <w:p w14:paraId="3E0969D1">
            <w:pPr>
              <w:spacing w:line="360" w:lineRule="auto"/>
              <w:rPr>
                <w:rFonts w:hint="eastAsia" w:ascii="宋体" w:hAnsi="宋体" w:eastAsia="宋体" w:cs="宋体"/>
                <w:color w:val="auto"/>
                <w:highlight w:val="none"/>
                <w:lang w:eastAsia="zh-CN"/>
              </w:rPr>
            </w:pPr>
          </w:p>
        </w:tc>
        <w:tc>
          <w:tcPr>
            <w:tcW w:w="1168" w:type="dxa"/>
            <w:tcBorders>
              <w:top w:val="single" w:color="000000" w:sz="4" w:space="0"/>
              <w:left w:val="single" w:color="000000" w:sz="4" w:space="0"/>
              <w:bottom w:val="single" w:color="000000" w:sz="4" w:space="0"/>
              <w:right w:val="single" w:color="000000" w:sz="4" w:space="0"/>
            </w:tcBorders>
            <w:shd w:val="clear" w:color="000000" w:fill="FFFFFF"/>
            <w:noWrap w:val="0"/>
            <w:tcMar>
              <w:left w:w="0" w:type="dxa"/>
              <w:right w:w="0" w:type="dxa"/>
            </w:tcMar>
            <w:vAlign w:val="center"/>
          </w:tcPr>
          <w:p w14:paraId="79F9B8DB">
            <w:pPr>
              <w:spacing w:line="360" w:lineRule="auto"/>
              <w:rPr>
                <w:rFonts w:ascii="宋体" w:hAnsi="宋体" w:cs="宋体"/>
                <w:color w:val="auto"/>
                <w:highlight w:val="none"/>
              </w:rPr>
            </w:pPr>
          </w:p>
        </w:tc>
        <w:tc>
          <w:tcPr>
            <w:tcW w:w="790" w:type="dxa"/>
            <w:tcBorders>
              <w:top w:val="single" w:color="000000" w:sz="4" w:space="0"/>
              <w:left w:val="single" w:color="000000" w:sz="4" w:space="0"/>
              <w:bottom w:val="single" w:color="000000" w:sz="4" w:space="0"/>
              <w:right w:val="single" w:color="000000" w:sz="4" w:space="0"/>
            </w:tcBorders>
            <w:shd w:val="clear" w:color="000000" w:fill="FFFFFF"/>
            <w:noWrap w:val="0"/>
            <w:tcMar>
              <w:left w:w="0" w:type="dxa"/>
              <w:right w:w="0" w:type="dxa"/>
            </w:tcMar>
            <w:vAlign w:val="center"/>
          </w:tcPr>
          <w:p w14:paraId="285CB563">
            <w:pPr>
              <w:spacing w:line="360" w:lineRule="auto"/>
              <w:rPr>
                <w:rFonts w:ascii="宋体" w:hAnsi="宋体" w:cs="宋体"/>
                <w:color w:val="auto"/>
                <w:highlight w:val="none"/>
              </w:rPr>
            </w:pPr>
          </w:p>
        </w:tc>
      </w:tr>
    </w:tbl>
    <w:p w14:paraId="3BBC7976">
      <w:pPr>
        <w:spacing w:line="360" w:lineRule="auto"/>
        <w:rPr>
          <w:rFonts w:ascii="宋体" w:hAnsi="宋体" w:cs="宋体"/>
          <w:color w:val="auto"/>
          <w:highlight w:val="none"/>
        </w:rPr>
      </w:pPr>
    </w:p>
    <w:p w14:paraId="4A0742B4">
      <w:pPr>
        <w:spacing w:line="360" w:lineRule="auto"/>
        <w:rPr>
          <w:rFonts w:ascii="宋体" w:hAnsi="宋体" w:cs="宋体"/>
          <w:color w:val="auto"/>
          <w:highlight w:val="none"/>
          <w:lang w:eastAsia="zh-CN"/>
        </w:rPr>
      </w:pPr>
      <w:r>
        <w:rPr>
          <w:rFonts w:ascii="宋体" w:hAnsi="宋体" w:cs="宋体"/>
          <w:color w:val="auto"/>
          <w:highlight w:val="none"/>
          <w:lang w:eastAsia="zh-CN"/>
        </w:rPr>
        <w:t>供应商名称：（</w:t>
      </w:r>
      <w:r>
        <w:rPr>
          <w:rFonts w:hint="eastAsia" w:ascii="宋体" w:hAnsi="宋体" w:cs="宋体"/>
          <w:color w:val="auto"/>
          <w:highlight w:val="none"/>
          <w:lang w:eastAsia="zh-CN"/>
        </w:rPr>
        <w:t>加盖电子公章）</w:t>
      </w:r>
    </w:p>
    <w:p w14:paraId="3A1ACE47">
      <w:pPr>
        <w:spacing w:line="360" w:lineRule="auto"/>
        <w:rPr>
          <w:rFonts w:hint="eastAsia" w:ascii="宋体" w:hAnsi="宋体" w:cs="宋体"/>
          <w:color w:val="auto"/>
          <w:highlight w:val="none"/>
          <w:lang w:val="zh-TW" w:eastAsia="zh-CN"/>
        </w:rPr>
      </w:pPr>
      <w:r>
        <w:rPr>
          <w:rFonts w:ascii="宋体" w:hAnsi="宋体" w:cs="宋体"/>
          <w:color w:val="auto"/>
          <w:highlight w:val="none"/>
          <w:lang w:eastAsia="zh-CN"/>
        </w:rPr>
        <w:t>说明：</w:t>
      </w:r>
      <w:r>
        <w:rPr>
          <w:rFonts w:hint="eastAsia" w:ascii="宋体" w:hAnsi="宋体" w:cs="宋体"/>
          <w:color w:val="auto"/>
          <w:highlight w:val="none"/>
          <w:lang w:eastAsia="zh-CN"/>
        </w:rPr>
        <w:t xml:space="preserve">1.供应商须根据磋商文件商务条款相关要求填写此表，作为响应文件的组成部分。 </w:t>
      </w:r>
    </w:p>
    <w:p w14:paraId="49EC2714">
      <w:pPr>
        <w:spacing w:line="360" w:lineRule="auto"/>
        <w:ind w:firstLine="660" w:firstLineChars="300"/>
        <w:rPr>
          <w:rFonts w:hint="eastAsia" w:ascii="宋体" w:hAnsi="宋体" w:cs="宋体"/>
          <w:color w:val="auto"/>
          <w:highlight w:val="none"/>
          <w:lang w:val="zh-TW" w:eastAsia="zh-CN"/>
        </w:rPr>
      </w:pPr>
      <w:r>
        <w:rPr>
          <w:rFonts w:hint="eastAsia" w:ascii="宋体" w:hAnsi="宋体" w:cs="宋体"/>
          <w:color w:val="auto"/>
          <w:highlight w:val="none"/>
          <w:lang w:eastAsia="zh-CN"/>
        </w:rPr>
        <w:t xml:space="preserve">2.所有偏离必须在本表中列出，未在本偏离表中列出偏离，将视为供应商已完全接受磋商文件要求。如完全无偏离，也无其他说明，可在本表第一行填写“全部无偏离”。 </w:t>
      </w:r>
    </w:p>
    <w:p w14:paraId="0D83567B">
      <w:pPr>
        <w:spacing w:line="360" w:lineRule="auto"/>
        <w:ind w:firstLine="660" w:firstLineChars="300"/>
        <w:rPr>
          <w:rFonts w:hint="eastAsia" w:ascii="宋体" w:hAnsi="宋体" w:cs="宋体"/>
          <w:color w:val="auto"/>
          <w:highlight w:val="none"/>
          <w:lang w:val="zh-TW" w:eastAsia="zh-CN"/>
        </w:rPr>
      </w:pPr>
      <w:r>
        <w:rPr>
          <w:rFonts w:hint="eastAsia" w:ascii="宋体" w:hAnsi="宋体" w:cs="宋体"/>
          <w:color w:val="auto"/>
          <w:highlight w:val="none"/>
          <w:lang w:eastAsia="zh-CN"/>
        </w:rPr>
        <w:t xml:space="preserve">3.偏离包括正、负偏离，正偏离指供应商的响应优于磋商文件要求，负偏离指供应商的响应低于磋商文件要求。 </w:t>
      </w:r>
    </w:p>
    <w:p w14:paraId="70DE4C52">
      <w:pPr>
        <w:spacing w:line="360" w:lineRule="auto"/>
        <w:ind w:firstLine="440" w:firstLineChars="200"/>
        <w:rPr>
          <w:rFonts w:hint="eastAsia" w:ascii="宋体" w:hAnsi="宋体" w:cs="宋体"/>
          <w:color w:val="auto"/>
          <w:highlight w:val="none"/>
          <w:lang w:val="zh-TW" w:eastAsia="zh-CN"/>
        </w:rPr>
      </w:pPr>
      <w:r>
        <w:rPr>
          <w:rFonts w:hint="eastAsia" w:ascii="宋体" w:hAnsi="宋体" w:cs="宋体"/>
          <w:color w:val="auto"/>
          <w:highlight w:val="none"/>
          <w:lang w:eastAsia="zh-CN"/>
        </w:rPr>
        <w:t>4.如供应商将此表空白，视为供应商无任何偏离。</w:t>
      </w:r>
    </w:p>
    <w:p w14:paraId="39F6BA57">
      <w:pPr>
        <w:spacing w:line="360" w:lineRule="auto"/>
        <w:ind w:firstLine="440" w:firstLineChars="200"/>
        <w:rPr>
          <w:rFonts w:ascii="宋体" w:hAnsi="宋体" w:cs="宋体"/>
          <w:color w:val="auto"/>
          <w:highlight w:val="none"/>
          <w:lang w:eastAsia="zh-CN"/>
        </w:rPr>
      </w:pPr>
      <w:r>
        <w:rPr>
          <w:rFonts w:hint="eastAsia" w:ascii="宋体" w:hAnsi="宋体" w:cs="宋体"/>
          <w:color w:val="auto"/>
          <w:highlight w:val="none"/>
          <w:lang w:eastAsia="zh-CN"/>
        </w:rPr>
        <w:t>5.</w:t>
      </w:r>
      <w:r>
        <w:rPr>
          <w:rFonts w:ascii="宋体" w:hAnsi="宋体" w:cs="宋体"/>
          <w:color w:val="auto"/>
          <w:highlight w:val="none"/>
          <w:lang w:eastAsia="zh-CN"/>
        </w:rPr>
        <w:t>如果行数不够，请自行增加。</w:t>
      </w:r>
    </w:p>
    <w:p w14:paraId="780F1104">
      <w:pPr>
        <w:rPr>
          <w:rFonts w:ascii="宋体" w:hAnsi="宋体" w:cs="宋体"/>
          <w:color w:val="auto"/>
          <w:highlight w:val="none"/>
          <w:lang w:eastAsia="zh-CN"/>
        </w:rPr>
      </w:pPr>
    </w:p>
    <w:p w14:paraId="1BBD03BC">
      <w:pPr>
        <w:widowControl/>
        <w:shd w:val="clear" w:color="auto" w:fill="FFFFFF"/>
        <w:snapToGrid w:val="0"/>
        <w:spacing w:line="360" w:lineRule="auto"/>
        <w:rPr>
          <w:rFonts w:ascii="宋体" w:hAnsi="宋体" w:eastAsia="宋体" w:cs="宋体"/>
          <w:b/>
          <w:color w:val="auto"/>
          <w:highlight w:val="none"/>
          <w:lang w:eastAsia="zh-CN"/>
        </w:rPr>
      </w:pPr>
    </w:p>
    <w:p w14:paraId="4DBAE5FC">
      <w:pPr>
        <w:widowControl/>
        <w:shd w:val="clear" w:color="auto" w:fill="FFFFFF"/>
        <w:snapToGrid w:val="0"/>
        <w:spacing w:line="360" w:lineRule="auto"/>
        <w:rPr>
          <w:rFonts w:ascii="宋体" w:hAnsi="宋体" w:cs="宋体"/>
          <w:b/>
          <w:color w:val="auto"/>
          <w:szCs w:val="21"/>
          <w:highlight w:val="none"/>
          <w:lang w:eastAsia="zh-CN"/>
        </w:rPr>
      </w:pPr>
      <w:r>
        <w:rPr>
          <w:rFonts w:hint="eastAsia" w:ascii="宋体" w:hAnsi="宋体" w:cs="宋体"/>
          <w:b/>
          <w:color w:val="auto"/>
          <w:highlight w:val="none"/>
          <w:lang w:eastAsia="zh-CN"/>
        </w:rPr>
        <w:t>格式六</w:t>
      </w:r>
      <w:r>
        <w:rPr>
          <w:rFonts w:hint="eastAsia" w:ascii="宋体" w:hAnsi="宋体" w:cs="宋体"/>
          <w:b/>
          <w:bCs/>
          <w:color w:val="auto"/>
          <w:szCs w:val="21"/>
          <w:highlight w:val="none"/>
          <w:lang w:eastAsia="zh-CN"/>
        </w:rPr>
        <w:t>、</w:t>
      </w:r>
      <w:r>
        <w:rPr>
          <w:rFonts w:hint="eastAsia" w:ascii="宋体" w:hAnsi="宋体" w:eastAsia="宋体" w:cs="宋体"/>
          <w:b/>
          <w:color w:val="auto"/>
          <w:szCs w:val="21"/>
          <w:highlight w:val="none"/>
          <w:lang w:eastAsia="zh-CN"/>
        </w:rPr>
        <w:t>施工组织设计</w:t>
      </w:r>
    </w:p>
    <w:p w14:paraId="0A5739C6">
      <w:pPr>
        <w:pStyle w:val="125"/>
        <w:snapToGrid w:val="0"/>
        <w:ind w:firstLine="525" w:firstLineChars="250"/>
        <w:rPr>
          <w:rFonts w:ascii="宋体" w:hAnsi="宋体" w:cs="宋体"/>
          <w:color w:val="auto"/>
          <w:szCs w:val="21"/>
          <w:highlight w:val="none"/>
        </w:rPr>
      </w:pPr>
      <w:r>
        <w:rPr>
          <w:rFonts w:hint="eastAsia" w:ascii="宋体" w:hAnsi="宋体" w:cs="宋体"/>
          <w:color w:val="auto"/>
          <w:kern w:val="2"/>
          <w:sz w:val="21"/>
          <w:szCs w:val="21"/>
          <w:highlight w:val="none"/>
        </w:rPr>
        <w:t>施工组织设计应根据采购人对项目的要求、评标标准的要求及项目本身的特点编写。</w:t>
      </w:r>
    </w:p>
    <w:p w14:paraId="7FE26580">
      <w:pPr>
        <w:widowControl/>
        <w:adjustRightInd w:val="0"/>
        <w:snapToGrid w:val="0"/>
        <w:spacing w:line="360" w:lineRule="auto"/>
        <w:rPr>
          <w:rFonts w:ascii="宋体" w:hAnsi="宋体" w:eastAsia="等线" w:cs="宋体"/>
          <w:b/>
          <w:color w:val="auto"/>
          <w:szCs w:val="21"/>
          <w:highlight w:val="none"/>
          <w:lang w:eastAsia="zh-CN"/>
        </w:rPr>
      </w:pPr>
    </w:p>
    <w:p w14:paraId="17BD934C">
      <w:pPr>
        <w:widowControl/>
        <w:adjustRightInd w:val="0"/>
        <w:snapToGrid w:val="0"/>
        <w:spacing w:line="360" w:lineRule="auto"/>
        <w:rPr>
          <w:rFonts w:ascii="宋体" w:hAnsi="宋体" w:eastAsia="宋体" w:cs="宋体"/>
          <w:b/>
          <w:bCs/>
          <w:color w:val="auto"/>
          <w:szCs w:val="21"/>
          <w:highlight w:val="none"/>
          <w:lang w:eastAsia="zh-CN"/>
        </w:rPr>
      </w:pPr>
      <w:r>
        <w:rPr>
          <w:rFonts w:hint="eastAsia" w:ascii="宋体" w:hAnsi="宋体" w:cs="宋体"/>
          <w:b/>
          <w:color w:val="auto"/>
          <w:szCs w:val="21"/>
          <w:highlight w:val="none"/>
          <w:lang w:eastAsia="zh-CN"/>
        </w:rPr>
        <w:t>格式七</w:t>
      </w:r>
      <w:r>
        <w:rPr>
          <w:rFonts w:hint="eastAsia" w:ascii="宋体" w:hAnsi="宋体" w:cs="宋体"/>
          <w:b/>
          <w:bCs/>
          <w:color w:val="auto"/>
          <w:szCs w:val="21"/>
          <w:highlight w:val="none"/>
          <w:lang w:eastAsia="zh-CN"/>
        </w:rPr>
        <w:t>、 响应人</w:t>
      </w:r>
      <w:r>
        <w:rPr>
          <w:rFonts w:hint="eastAsia" w:ascii="宋体" w:hAnsi="宋体" w:eastAsia="宋体" w:cs="宋体"/>
          <w:b/>
          <w:bCs/>
          <w:color w:val="auto"/>
          <w:szCs w:val="21"/>
          <w:highlight w:val="none"/>
          <w:lang w:eastAsia="zh-CN"/>
        </w:rPr>
        <w:t>、项目负责人</w:t>
      </w:r>
      <w:r>
        <w:rPr>
          <w:rFonts w:hint="eastAsia" w:ascii="宋体" w:hAnsi="宋体" w:cs="宋体"/>
          <w:b/>
          <w:bCs/>
          <w:color w:val="auto"/>
          <w:szCs w:val="21"/>
          <w:highlight w:val="none"/>
          <w:lang w:eastAsia="zh-CN"/>
        </w:rPr>
        <w:t>类似业绩情况表格式</w:t>
      </w:r>
    </w:p>
    <w:p w14:paraId="01F3769C">
      <w:pPr>
        <w:widowControl/>
        <w:adjustRightInd w:val="0"/>
        <w:snapToGrid w:val="0"/>
        <w:spacing w:line="360" w:lineRule="auto"/>
        <w:jc w:val="center"/>
        <w:rPr>
          <w:rFonts w:ascii="宋体" w:hAnsi="宋体" w:cs="宋体"/>
          <w:b/>
          <w:bCs/>
          <w:color w:val="auto"/>
          <w:sz w:val="24"/>
          <w:highlight w:val="none"/>
          <w:lang w:eastAsia="zh-CN"/>
        </w:rPr>
      </w:pPr>
      <w:r>
        <w:rPr>
          <w:rFonts w:hint="eastAsia" w:ascii="宋体" w:hAnsi="宋体" w:cs="宋体"/>
          <w:b/>
          <w:bCs/>
          <w:color w:val="auto"/>
          <w:sz w:val="24"/>
          <w:highlight w:val="none"/>
          <w:lang w:eastAsia="zh-CN"/>
        </w:rPr>
        <w:t>响应人类似业绩情况表</w:t>
      </w:r>
    </w:p>
    <w:tbl>
      <w:tblPr>
        <w:tblStyle w:val="34"/>
        <w:tblW w:w="0" w:type="auto"/>
        <w:jc w:val="center"/>
        <w:tblLayout w:type="fixed"/>
        <w:tblCellMar>
          <w:top w:w="0" w:type="dxa"/>
          <w:left w:w="108" w:type="dxa"/>
          <w:bottom w:w="0" w:type="dxa"/>
          <w:right w:w="108" w:type="dxa"/>
        </w:tblCellMar>
      </w:tblPr>
      <w:tblGrid>
        <w:gridCol w:w="682"/>
        <w:gridCol w:w="1559"/>
        <w:gridCol w:w="1418"/>
        <w:gridCol w:w="992"/>
        <w:gridCol w:w="1517"/>
        <w:gridCol w:w="1134"/>
        <w:gridCol w:w="1134"/>
      </w:tblGrid>
      <w:tr w14:paraId="1E9A2143">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noWrap w:val="0"/>
            <w:vAlign w:val="center"/>
          </w:tcPr>
          <w:p w14:paraId="659C08B3">
            <w:pPr>
              <w:widowControl/>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559" w:type="dxa"/>
            <w:tcBorders>
              <w:top w:val="single" w:color="000000" w:sz="4" w:space="0"/>
              <w:left w:val="nil"/>
              <w:bottom w:val="single" w:color="000000" w:sz="4" w:space="0"/>
              <w:right w:val="single" w:color="000000" w:sz="4" w:space="0"/>
            </w:tcBorders>
            <w:noWrap w:val="0"/>
            <w:vAlign w:val="center"/>
          </w:tcPr>
          <w:p w14:paraId="41F2223B">
            <w:pPr>
              <w:widowControl/>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项目名称</w:t>
            </w:r>
          </w:p>
        </w:tc>
        <w:tc>
          <w:tcPr>
            <w:tcW w:w="1418" w:type="dxa"/>
            <w:tcBorders>
              <w:top w:val="single" w:color="000000" w:sz="4" w:space="0"/>
              <w:left w:val="nil"/>
              <w:bottom w:val="single" w:color="000000" w:sz="4" w:space="0"/>
              <w:right w:val="single" w:color="000000" w:sz="4" w:space="0"/>
            </w:tcBorders>
            <w:noWrap w:val="0"/>
            <w:vAlign w:val="center"/>
          </w:tcPr>
          <w:p w14:paraId="3AA48915">
            <w:pPr>
              <w:widowControl/>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业主单位</w:t>
            </w:r>
          </w:p>
        </w:tc>
        <w:tc>
          <w:tcPr>
            <w:tcW w:w="992" w:type="dxa"/>
            <w:tcBorders>
              <w:top w:val="single" w:color="000000" w:sz="4" w:space="0"/>
              <w:left w:val="nil"/>
              <w:bottom w:val="single" w:color="000000" w:sz="4" w:space="0"/>
              <w:right w:val="single" w:color="000000" w:sz="4" w:space="0"/>
            </w:tcBorders>
            <w:noWrap w:val="0"/>
            <w:vAlign w:val="center"/>
          </w:tcPr>
          <w:p w14:paraId="5822FF18">
            <w:pPr>
              <w:widowControl/>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项目</w:t>
            </w:r>
          </w:p>
          <w:p w14:paraId="5EDD74ED">
            <w:pPr>
              <w:widowControl/>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规模</w:t>
            </w:r>
          </w:p>
        </w:tc>
        <w:tc>
          <w:tcPr>
            <w:tcW w:w="1517" w:type="dxa"/>
            <w:tcBorders>
              <w:top w:val="single" w:color="000000" w:sz="4" w:space="0"/>
              <w:left w:val="nil"/>
              <w:bottom w:val="single" w:color="000000" w:sz="4" w:space="0"/>
              <w:right w:val="single" w:color="000000" w:sz="4" w:space="0"/>
            </w:tcBorders>
            <w:noWrap w:val="0"/>
            <w:vAlign w:val="top"/>
          </w:tcPr>
          <w:p w14:paraId="7008F86F">
            <w:pPr>
              <w:widowControl/>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签约及服务</w:t>
            </w:r>
          </w:p>
          <w:p w14:paraId="54238114">
            <w:pPr>
              <w:widowControl/>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时间</w:t>
            </w:r>
          </w:p>
        </w:tc>
        <w:tc>
          <w:tcPr>
            <w:tcW w:w="1134" w:type="dxa"/>
            <w:tcBorders>
              <w:top w:val="single" w:color="000000" w:sz="4" w:space="0"/>
              <w:left w:val="nil"/>
              <w:bottom w:val="single" w:color="000000" w:sz="4" w:space="0"/>
              <w:right w:val="single" w:color="000000" w:sz="4" w:space="0"/>
            </w:tcBorders>
            <w:noWrap w:val="0"/>
            <w:vAlign w:val="center"/>
          </w:tcPr>
          <w:p w14:paraId="44F4379B">
            <w:pPr>
              <w:widowControl/>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联系人及电话</w:t>
            </w:r>
          </w:p>
        </w:tc>
        <w:tc>
          <w:tcPr>
            <w:tcW w:w="1134" w:type="dxa"/>
            <w:tcBorders>
              <w:top w:val="single" w:color="000000" w:sz="4" w:space="0"/>
              <w:left w:val="nil"/>
              <w:bottom w:val="single" w:color="000000" w:sz="4" w:space="0"/>
              <w:right w:val="single" w:color="000000" w:sz="4" w:space="0"/>
            </w:tcBorders>
            <w:noWrap w:val="0"/>
            <w:vAlign w:val="center"/>
          </w:tcPr>
          <w:p w14:paraId="6EA1F36B">
            <w:pPr>
              <w:widowControl/>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备注</w:t>
            </w:r>
          </w:p>
        </w:tc>
      </w:tr>
      <w:tr w14:paraId="2B29D97A">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noWrap w:val="0"/>
            <w:vAlign w:val="top"/>
          </w:tcPr>
          <w:p w14:paraId="6B1299AA">
            <w:pPr>
              <w:widowControl/>
              <w:snapToGrid w:val="0"/>
              <w:spacing w:line="360" w:lineRule="auto"/>
              <w:jc w:val="center"/>
              <w:rPr>
                <w:rFonts w:ascii="宋体" w:hAnsi="宋体" w:cs="宋体"/>
                <w:color w:val="auto"/>
                <w:szCs w:val="21"/>
                <w:highlight w:val="none"/>
              </w:rPr>
            </w:pPr>
          </w:p>
        </w:tc>
        <w:tc>
          <w:tcPr>
            <w:tcW w:w="1559" w:type="dxa"/>
            <w:tcBorders>
              <w:top w:val="single" w:color="000000" w:sz="4" w:space="0"/>
              <w:left w:val="nil"/>
              <w:bottom w:val="single" w:color="000000" w:sz="4" w:space="0"/>
              <w:right w:val="single" w:color="000000" w:sz="4" w:space="0"/>
            </w:tcBorders>
            <w:noWrap w:val="0"/>
            <w:vAlign w:val="top"/>
          </w:tcPr>
          <w:p w14:paraId="576F0978">
            <w:pPr>
              <w:widowControl/>
              <w:snapToGrid w:val="0"/>
              <w:spacing w:line="360" w:lineRule="auto"/>
              <w:jc w:val="center"/>
              <w:rPr>
                <w:rFonts w:ascii="宋体" w:hAnsi="宋体" w:cs="宋体"/>
                <w:color w:val="auto"/>
                <w:szCs w:val="21"/>
                <w:highlight w:val="none"/>
              </w:rPr>
            </w:pPr>
          </w:p>
        </w:tc>
        <w:tc>
          <w:tcPr>
            <w:tcW w:w="1418" w:type="dxa"/>
            <w:tcBorders>
              <w:top w:val="single" w:color="000000" w:sz="4" w:space="0"/>
              <w:left w:val="nil"/>
              <w:bottom w:val="single" w:color="000000" w:sz="4" w:space="0"/>
              <w:right w:val="single" w:color="000000" w:sz="4" w:space="0"/>
            </w:tcBorders>
            <w:noWrap w:val="0"/>
            <w:vAlign w:val="top"/>
          </w:tcPr>
          <w:p w14:paraId="1C222577">
            <w:pPr>
              <w:widowControl/>
              <w:snapToGrid w:val="0"/>
              <w:spacing w:line="360" w:lineRule="auto"/>
              <w:ind w:firstLine="120"/>
              <w:rPr>
                <w:rFonts w:ascii="宋体" w:hAnsi="宋体" w:cs="宋体"/>
                <w:color w:val="auto"/>
                <w:szCs w:val="21"/>
                <w:highlight w:val="none"/>
              </w:rPr>
            </w:pPr>
          </w:p>
        </w:tc>
        <w:tc>
          <w:tcPr>
            <w:tcW w:w="992" w:type="dxa"/>
            <w:tcBorders>
              <w:top w:val="single" w:color="000000" w:sz="4" w:space="0"/>
              <w:left w:val="nil"/>
              <w:bottom w:val="single" w:color="000000" w:sz="4" w:space="0"/>
              <w:right w:val="single" w:color="000000" w:sz="4" w:space="0"/>
            </w:tcBorders>
            <w:noWrap w:val="0"/>
            <w:vAlign w:val="top"/>
          </w:tcPr>
          <w:p w14:paraId="65AF5381">
            <w:pPr>
              <w:widowControl/>
              <w:snapToGrid w:val="0"/>
              <w:spacing w:line="360" w:lineRule="auto"/>
              <w:jc w:val="center"/>
              <w:rPr>
                <w:rFonts w:ascii="宋体" w:hAnsi="宋体" w:cs="宋体"/>
                <w:color w:val="auto"/>
                <w:szCs w:val="21"/>
                <w:highlight w:val="none"/>
              </w:rPr>
            </w:pPr>
          </w:p>
        </w:tc>
        <w:tc>
          <w:tcPr>
            <w:tcW w:w="1517" w:type="dxa"/>
            <w:tcBorders>
              <w:top w:val="single" w:color="000000" w:sz="4" w:space="0"/>
              <w:left w:val="nil"/>
              <w:bottom w:val="single" w:color="000000" w:sz="4" w:space="0"/>
              <w:right w:val="single" w:color="000000" w:sz="4" w:space="0"/>
            </w:tcBorders>
            <w:noWrap w:val="0"/>
            <w:vAlign w:val="top"/>
          </w:tcPr>
          <w:p w14:paraId="1CD9AB68">
            <w:pPr>
              <w:widowControl/>
              <w:snapToGrid w:val="0"/>
              <w:spacing w:line="360" w:lineRule="auto"/>
              <w:jc w:val="center"/>
              <w:rPr>
                <w:rFonts w:ascii="宋体" w:hAnsi="宋体" w:cs="宋体"/>
                <w:color w:val="auto"/>
                <w:szCs w:val="21"/>
                <w:highlight w:val="none"/>
              </w:rPr>
            </w:pPr>
          </w:p>
        </w:tc>
        <w:tc>
          <w:tcPr>
            <w:tcW w:w="1134" w:type="dxa"/>
            <w:tcBorders>
              <w:top w:val="single" w:color="000000" w:sz="4" w:space="0"/>
              <w:left w:val="nil"/>
              <w:bottom w:val="single" w:color="000000" w:sz="4" w:space="0"/>
              <w:right w:val="single" w:color="000000" w:sz="4" w:space="0"/>
            </w:tcBorders>
            <w:noWrap w:val="0"/>
            <w:vAlign w:val="top"/>
          </w:tcPr>
          <w:p w14:paraId="64C387EC">
            <w:pPr>
              <w:widowControl/>
              <w:snapToGrid w:val="0"/>
              <w:spacing w:line="360" w:lineRule="auto"/>
              <w:jc w:val="center"/>
              <w:rPr>
                <w:rFonts w:ascii="宋体" w:hAnsi="宋体" w:cs="宋体"/>
                <w:color w:val="auto"/>
                <w:szCs w:val="21"/>
                <w:highlight w:val="none"/>
              </w:rPr>
            </w:pPr>
          </w:p>
        </w:tc>
        <w:tc>
          <w:tcPr>
            <w:tcW w:w="1134" w:type="dxa"/>
            <w:tcBorders>
              <w:top w:val="single" w:color="000000" w:sz="4" w:space="0"/>
              <w:left w:val="nil"/>
              <w:bottom w:val="single" w:color="000000" w:sz="4" w:space="0"/>
              <w:right w:val="single" w:color="000000" w:sz="4" w:space="0"/>
            </w:tcBorders>
            <w:noWrap w:val="0"/>
            <w:vAlign w:val="top"/>
          </w:tcPr>
          <w:p w14:paraId="698B8E28">
            <w:pPr>
              <w:widowControl/>
              <w:snapToGrid w:val="0"/>
              <w:spacing w:line="360" w:lineRule="auto"/>
              <w:jc w:val="center"/>
              <w:rPr>
                <w:rFonts w:ascii="宋体" w:hAnsi="宋体" w:cs="宋体"/>
                <w:color w:val="auto"/>
                <w:szCs w:val="21"/>
                <w:highlight w:val="none"/>
              </w:rPr>
            </w:pPr>
          </w:p>
        </w:tc>
      </w:tr>
      <w:tr w14:paraId="5BF7DB97">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noWrap w:val="0"/>
            <w:vAlign w:val="top"/>
          </w:tcPr>
          <w:p w14:paraId="586C4AC4">
            <w:pPr>
              <w:widowControl/>
              <w:snapToGrid w:val="0"/>
              <w:spacing w:line="360" w:lineRule="auto"/>
              <w:jc w:val="center"/>
              <w:rPr>
                <w:rFonts w:ascii="宋体" w:hAnsi="宋体" w:cs="宋体"/>
                <w:color w:val="auto"/>
                <w:szCs w:val="21"/>
                <w:highlight w:val="none"/>
              </w:rPr>
            </w:pPr>
          </w:p>
        </w:tc>
        <w:tc>
          <w:tcPr>
            <w:tcW w:w="1559" w:type="dxa"/>
            <w:tcBorders>
              <w:top w:val="single" w:color="000000" w:sz="4" w:space="0"/>
              <w:left w:val="nil"/>
              <w:bottom w:val="single" w:color="000000" w:sz="4" w:space="0"/>
              <w:right w:val="single" w:color="000000" w:sz="4" w:space="0"/>
            </w:tcBorders>
            <w:noWrap w:val="0"/>
            <w:vAlign w:val="top"/>
          </w:tcPr>
          <w:p w14:paraId="050844C0">
            <w:pPr>
              <w:widowControl/>
              <w:snapToGrid w:val="0"/>
              <w:spacing w:line="360" w:lineRule="auto"/>
              <w:jc w:val="center"/>
              <w:rPr>
                <w:rFonts w:ascii="宋体" w:hAnsi="宋体" w:cs="宋体"/>
                <w:color w:val="auto"/>
                <w:szCs w:val="21"/>
                <w:highlight w:val="none"/>
              </w:rPr>
            </w:pPr>
          </w:p>
        </w:tc>
        <w:tc>
          <w:tcPr>
            <w:tcW w:w="1418" w:type="dxa"/>
            <w:tcBorders>
              <w:top w:val="single" w:color="000000" w:sz="4" w:space="0"/>
              <w:left w:val="nil"/>
              <w:bottom w:val="single" w:color="000000" w:sz="4" w:space="0"/>
              <w:right w:val="single" w:color="000000" w:sz="4" w:space="0"/>
            </w:tcBorders>
            <w:noWrap w:val="0"/>
            <w:vAlign w:val="top"/>
          </w:tcPr>
          <w:p w14:paraId="7B14A49F">
            <w:pPr>
              <w:widowControl/>
              <w:snapToGrid w:val="0"/>
              <w:spacing w:line="360" w:lineRule="auto"/>
              <w:jc w:val="center"/>
              <w:rPr>
                <w:rFonts w:ascii="宋体" w:hAnsi="宋体" w:cs="宋体"/>
                <w:color w:val="auto"/>
                <w:szCs w:val="21"/>
                <w:highlight w:val="none"/>
              </w:rPr>
            </w:pPr>
          </w:p>
        </w:tc>
        <w:tc>
          <w:tcPr>
            <w:tcW w:w="992" w:type="dxa"/>
            <w:tcBorders>
              <w:top w:val="single" w:color="000000" w:sz="4" w:space="0"/>
              <w:left w:val="nil"/>
              <w:bottom w:val="single" w:color="000000" w:sz="4" w:space="0"/>
              <w:right w:val="single" w:color="000000" w:sz="4" w:space="0"/>
            </w:tcBorders>
            <w:noWrap w:val="0"/>
            <w:vAlign w:val="top"/>
          </w:tcPr>
          <w:p w14:paraId="7F3C5E34">
            <w:pPr>
              <w:widowControl/>
              <w:snapToGrid w:val="0"/>
              <w:spacing w:line="360" w:lineRule="auto"/>
              <w:jc w:val="center"/>
              <w:rPr>
                <w:rFonts w:ascii="宋体" w:hAnsi="宋体" w:cs="宋体"/>
                <w:color w:val="auto"/>
                <w:szCs w:val="21"/>
                <w:highlight w:val="none"/>
              </w:rPr>
            </w:pPr>
          </w:p>
        </w:tc>
        <w:tc>
          <w:tcPr>
            <w:tcW w:w="1517" w:type="dxa"/>
            <w:tcBorders>
              <w:top w:val="single" w:color="000000" w:sz="4" w:space="0"/>
              <w:left w:val="nil"/>
              <w:bottom w:val="single" w:color="000000" w:sz="4" w:space="0"/>
              <w:right w:val="single" w:color="000000" w:sz="4" w:space="0"/>
            </w:tcBorders>
            <w:noWrap w:val="0"/>
            <w:vAlign w:val="top"/>
          </w:tcPr>
          <w:p w14:paraId="2F09DD27">
            <w:pPr>
              <w:widowControl/>
              <w:snapToGrid w:val="0"/>
              <w:spacing w:line="360" w:lineRule="auto"/>
              <w:jc w:val="center"/>
              <w:rPr>
                <w:rFonts w:ascii="宋体" w:hAnsi="宋体" w:cs="宋体"/>
                <w:color w:val="auto"/>
                <w:szCs w:val="21"/>
                <w:highlight w:val="none"/>
              </w:rPr>
            </w:pPr>
          </w:p>
        </w:tc>
        <w:tc>
          <w:tcPr>
            <w:tcW w:w="1134" w:type="dxa"/>
            <w:tcBorders>
              <w:top w:val="single" w:color="000000" w:sz="4" w:space="0"/>
              <w:left w:val="nil"/>
              <w:bottom w:val="single" w:color="000000" w:sz="4" w:space="0"/>
              <w:right w:val="single" w:color="000000" w:sz="4" w:space="0"/>
            </w:tcBorders>
            <w:noWrap w:val="0"/>
            <w:vAlign w:val="top"/>
          </w:tcPr>
          <w:p w14:paraId="190BFE6A">
            <w:pPr>
              <w:widowControl/>
              <w:snapToGrid w:val="0"/>
              <w:spacing w:line="360" w:lineRule="auto"/>
              <w:jc w:val="center"/>
              <w:rPr>
                <w:rFonts w:ascii="宋体" w:hAnsi="宋体" w:cs="宋体"/>
                <w:color w:val="auto"/>
                <w:szCs w:val="21"/>
                <w:highlight w:val="none"/>
              </w:rPr>
            </w:pPr>
          </w:p>
        </w:tc>
        <w:tc>
          <w:tcPr>
            <w:tcW w:w="1134" w:type="dxa"/>
            <w:tcBorders>
              <w:top w:val="single" w:color="000000" w:sz="4" w:space="0"/>
              <w:left w:val="nil"/>
              <w:bottom w:val="single" w:color="000000" w:sz="4" w:space="0"/>
              <w:right w:val="single" w:color="000000" w:sz="4" w:space="0"/>
            </w:tcBorders>
            <w:noWrap w:val="0"/>
            <w:vAlign w:val="top"/>
          </w:tcPr>
          <w:p w14:paraId="5C049B70">
            <w:pPr>
              <w:widowControl/>
              <w:snapToGrid w:val="0"/>
              <w:spacing w:line="360" w:lineRule="auto"/>
              <w:jc w:val="center"/>
              <w:rPr>
                <w:rFonts w:ascii="宋体" w:hAnsi="宋体" w:cs="宋体"/>
                <w:color w:val="auto"/>
                <w:szCs w:val="21"/>
                <w:highlight w:val="none"/>
              </w:rPr>
            </w:pPr>
          </w:p>
        </w:tc>
      </w:tr>
      <w:tr w14:paraId="144CAE3E">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noWrap w:val="0"/>
            <w:vAlign w:val="top"/>
          </w:tcPr>
          <w:p w14:paraId="47356DFE">
            <w:pPr>
              <w:widowControl/>
              <w:snapToGrid w:val="0"/>
              <w:spacing w:line="360" w:lineRule="auto"/>
              <w:jc w:val="center"/>
              <w:rPr>
                <w:rFonts w:ascii="宋体" w:hAnsi="宋体" w:cs="宋体"/>
                <w:color w:val="auto"/>
                <w:szCs w:val="21"/>
                <w:highlight w:val="none"/>
              </w:rPr>
            </w:pPr>
          </w:p>
        </w:tc>
        <w:tc>
          <w:tcPr>
            <w:tcW w:w="1559" w:type="dxa"/>
            <w:tcBorders>
              <w:top w:val="single" w:color="000000" w:sz="4" w:space="0"/>
              <w:left w:val="nil"/>
              <w:bottom w:val="single" w:color="000000" w:sz="4" w:space="0"/>
              <w:right w:val="single" w:color="000000" w:sz="4" w:space="0"/>
            </w:tcBorders>
            <w:noWrap w:val="0"/>
            <w:vAlign w:val="top"/>
          </w:tcPr>
          <w:p w14:paraId="25B4B364">
            <w:pPr>
              <w:widowControl/>
              <w:snapToGrid w:val="0"/>
              <w:spacing w:line="360" w:lineRule="auto"/>
              <w:jc w:val="center"/>
              <w:rPr>
                <w:rFonts w:ascii="宋体" w:hAnsi="宋体" w:cs="宋体"/>
                <w:color w:val="auto"/>
                <w:szCs w:val="21"/>
                <w:highlight w:val="none"/>
              </w:rPr>
            </w:pPr>
          </w:p>
        </w:tc>
        <w:tc>
          <w:tcPr>
            <w:tcW w:w="1418" w:type="dxa"/>
            <w:tcBorders>
              <w:top w:val="single" w:color="000000" w:sz="4" w:space="0"/>
              <w:left w:val="nil"/>
              <w:bottom w:val="single" w:color="000000" w:sz="4" w:space="0"/>
              <w:right w:val="single" w:color="000000" w:sz="4" w:space="0"/>
            </w:tcBorders>
            <w:noWrap w:val="0"/>
            <w:vAlign w:val="top"/>
          </w:tcPr>
          <w:p w14:paraId="295652F8">
            <w:pPr>
              <w:widowControl/>
              <w:snapToGrid w:val="0"/>
              <w:spacing w:line="360" w:lineRule="auto"/>
              <w:jc w:val="center"/>
              <w:rPr>
                <w:rFonts w:ascii="宋体" w:hAnsi="宋体" w:cs="宋体"/>
                <w:color w:val="auto"/>
                <w:szCs w:val="21"/>
                <w:highlight w:val="none"/>
              </w:rPr>
            </w:pPr>
          </w:p>
        </w:tc>
        <w:tc>
          <w:tcPr>
            <w:tcW w:w="992" w:type="dxa"/>
            <w:tcBorders>
              <w:top w:val="single" w:color="000000" w:sz="4" w:space="0"/>
              <w:left w:val="nil"/>
              <w:bottom w:val="single" w:color="000000" w:sz="4" w:space="0"/>
              <w:right w:val="single" w:color="000000" w:sz="4" w:space="0"/>
            </w:tcBorders>
            <w:noWrap w:val="0"/>
            <w:vAlign w:val="top"/>
          </w:tcPr>
          <w:p w14:paraId="75C5426E">
            <w:pPr>
              <w:widowControl/>
              <w:snapToGrid w:val="0"/>
              <w:spacing w:line="360" w:lineRule="auto"/>
              <w:jc w:val="center"/>
              <w:rPr>
                <w:rFonts w:ascii="宋体" w:hAnsi="宋体" w:cs="宋体"/>
                <w:color w:val="auto"/>
                <w:szCs w:val="21"/>
                <w:highlight w:val="none"/>
              </w:rPr>
            </w:pPr>
          </w:p>
        </w:tc>
        <w:tc>
          <w:tcPr>
            <w:tcW w:w="1517" w:type="dxa"/>
            <w:tcBorders>
              <w:top w:val="single" w:color="000000" w:sz="4" w:space="0"/>
              <w:left w:val="nil"/>
              <w:bottom w:val="single" w:color="000000" w:sz="4" w:space="0"/>
              <w:right w:val="single" w:color="000000" w:sz="4" w:space="0"/>
            </w:tcBorders>
            <w:noWrap w:val="0"/>
            <w:vAlign w:val="top"/>
          </w:tcPr>
          <w:p w14:paraId="7ACFE890">
            <w:pPr>
              <w:widowControl/>
              <w:snapToGrid w:val="0"/>
              <w:spacing w:line="360" w:lineRule="auto"/>
              <w:jc w:val="center"/>
              <w:rPr>
                <w:rFonts w:ascii="宋体" w:hAnsi="宋体" w:cs="宋体"/>
                <w:color w:val="auto"/>
                <w:szCs w:val="21"/>
                <w:highlight w:val="none"/>
              </w:rPr>
            </w:pPr>
          </w:p>
        </w:tc>
        <w:tc>
          <w:tcPr>
            <w:tcW w:w="1134" w:type="dxa"/>
            <w:tcBorders>
              <w:top w:val="single" w:color="000000" w:sz="4" w:space="0"/>
              <w:left w:val="nil"/>
              <w:bottom w:val="single" w:color="000000" w:sz="4" w:space="0"/>
              <w:right w:val="single" w:color="000000" w:sz="4" w:space="0"/>
            </w:tcBorders>
            <w:noWrap w:val="0"/>
            <w:vAlign w:val="top"/>
          </w:tcPr>
          <w:p w14:paraId="7B918E39">
            <w:pPr>
              <w:widowControl/>
              <w:snapToGrid w:val="0"/>
              <w:spacing w:line="360" w:lineRule="auto"/>
              <w:jc w:val="center"/>
              <w:rPr>
                <w:rFonts w:ascii="宋体" w:hAnsi="宋体" w:cs="宋体"/>
                <w:color w:val="auto"/>
                <w:szCs w:val="21"/>
                <w:highlight w:val="none"/>
              </w:rPr>
            </w:pPr>
          </w:p>
        </w:tc>
        <w:tc>
          <w:tcPr>
            <w:tcW w:w="1134" w:type="dxa"/>
            <w:tcBorders>
              <w:top w:val="single" w:color="000000" w:sz="4" w:space="0"/>
              <w:left w:val="nil"/>
              <w:bottom w:val="single" w:color="000000" w:sz="4" w:space="0"/>
              <w:right w:val="single" w:color="000000" w:sz="4" w:space="0"/>
            </w:tcBorders>
            <w:noWrap w:val="0"/>
            <w:vAlign w:val="top"/>
          </w:tcPr>
          <w:p w14:paraId="5DF358F1">
            <w:pPr>
              <w:widowControl/>
              <w:snapToGrid w:val="0"/>
              <w:spacing w:line="360" w:lineRule="auto"/>
              <w:jc w:val="center"/>
              <w:rPr>
                <w:rFonts w:ascii="宋体" w:hAnsi="宋体" w:cs="宋体"/>
                <w:color w:val="auto"/>
                <w:szCs w:val="21"/>
                <w:highlight w:val="none"/>
              </w:rPr>
            </w:pPr>
          </w:p>
        </w:tc>
      </w:tr>
      <w:tr w14:paraId="66C3F323">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noWrap w:val="0"/>
            <w:vAlign w:val="top"/>
          </w:tcPr>
          <w:p w14:paraId="24324787">
            <w:pPr>
              <w:widowControl/>
              <w:snapToGrid w:val="0"/>
              <w:spacing w:line="360" w:lineRule="auto"/>
              <w:jc w:val="center"/>
              <w:rPr>
                <w:rFonts w:ascii="宋体" w:hAnsi="宋体" w:cs="宋体"/>
                <w:color w:val="auto"/>
                <w:szCs w:val="21"/>
                <w:highlight w:val="none"/>
              </w:rPr>
            </w:pPr>
          </w:p>
        </w:tc>
        <w:tc>
          <w:tcPr>
            <w:tcW w:w="1559" w:type="dxa"/>
            <w:tcBorders>
              <w:top w:val="single" w:color="000000" w:sz="4" w:space="0"/>
              <w:left w:val="nil"/>
              <w:bottom w:val="single" w:color="000000" w:sz="4" w:space="0"/>
              <w:right w:val="single" w:color="000000" w:sz="4" w:space="0"/>
            </w:tcBorders>
            <w:noWrap w:val="0"/>
            <w:vAlign w:val="top"/>
          </w:tcPr>
          <w:p w14:paraId="0783F507">
            <w:pPr>
              <w:widowControl/>
              <w:snapToGrid w:val="0"/>
              <w:spacing w:line="360" w:lineRule="auto"/>
              <w:jc w:val="center"/>
              <w:rPr>
                <w:rFonts w:ascii="宋体" w:hAnsi="宋体" w:cs="宋体"/>
                <w:color w:val="auto"/>
                <w:szCs w:val="21"/>
                <w:highlight w:val="none"/>
              </w:rPr>
            </w:pPr>
          </w:p>
        </w:tc>
        <w:tc>
          <w:tcPr>
            <w:tcW w:w="1418" w:type="dxa"/>
            <w:tcBorders>
              <w:top w:val="single" w:color="000000" w:sz="4" w:space="0"/>
              <w:left w:val="nil"/>
              <w:bottom w:val="single" w:color="000000" w:sz="4" w:space="0"/>
              <w:right w:val="single" w:color="000000" w:sz="4" w:space="0"/>
            </w:tcBorders>
            <w:noWrap w:val="0"/>
            <w:vAlign w:val="top"/>
          </w:tcPr>
          <w:p w14:paraId="2122BB70">
            <w:pPr>
              <w:widowControl/>
              <w:snapToGrid w:val="0"/>
              <w:spacing w:line="360" w:lineRule="auto"/>
              <w:jc w:val="center"/>
              <w:rPr>
                <w:rFonts w:ascii="宋体" w:hAnsi="宋体" w:cs="宋体"/>
                <w:color w:val="auto"/>
                <w:szCs w:val="21"/>
                <w:highlight w:val="none"/>
              </w:rPr>
            </w:pPr>
          </w:p>
        </w:tc>
        <w:tc>
          <w:tcPr>
            <w:tcW w:w="992" w:type="dxa"/>
            <w:tcBorders>
              <w:top w:val="single" w:color="000000" w:sz="4" w:space="0"/>
              <w:left w:val="nil"/>
              <w:bottom w:val="single" w:color="000000" w:sz="4" w:space="0"/>
              <w:right w:val="single" w:color="000000" w:sz="4" w:space="0"/>
            </w:tcBorders>
            <w:noWrap w:val="0"/>
            <w:vAlign w:val="top"/>
          </w:tcPr>
          <w:p w14:paraId="21206595">
            <w:pPr>
              <w:widowControl/>
              <w:snapToGrid w:val="0"/>
              <w:spacing w:line="360" w:lineRule="auto"/>
              <w:jc w:val="center"/>
              <w:rPr>
                <w:rFonts w:ascii="宋体" w:hAnsi="宋体" w:cs="宋体"/>
                <w:color w:val="auto"/>
                <w:szCs w:val="21"/>
                <w:highlight w:val="none"/>
              </w:rPr>
            </w:pPr>
          </w:p>
        </w:tc>
        <w:tc>
          <w:tcPr>
            <w:tcW w:w="1517" w:type="dxa"/>
            <w:tcBorders>
              <w:top w:val="single" w:color="000000" w:sz="4" w:space="0"/>
              <w:left w:val="nil"/>
              <w:bottom w:val="single" w:color="000000" w:sz="4" w:space="0"/>
              <w:right w:val="single" w:color="000000" w:sz="4" w:space="0"/>
            </w:tcBorders>
            <w:noWrap w:val="0"/>
            <w:vAlign w:val="top"/>
          </w:tcPr>
          <w:p w14:paraId="1E9EDD5F">
            <w:pPr>
              <w:widowControl/>
              <w:snapToGrid w:val="0"/>
              <w:spacing w:line="360" w:lineRule="auto"/>
              <w:jc w:val="center"/>
              <w:rPr>
                <w:rFonts w:ascii="宋体" w:hAnsi="宋体" w:cs="宋体"/>
                <w:color w:val="auto"/>
                <w:szCs w:val="21"/>
                <w:highlight w:val="none"/>
              </w:rPr>
            </w:pPr>
          </w:p>
        </w:tc>
        <w:tc>
          <w:tcPr>
            <w:tcW w:w="1134" w:type="dxa"/>
            <w:tcBorders>
              <w:top w:val="single" w:color="000000" w:sz="4" w:space="0"/>
              <w:left w:val="nil"/>
              <w:bottom w:val="single" w:color="000000" w:sz="4" w:space="0"/>
              <w:right w:val="single" w:color="000000" w:sz="4" w:space="0"/>
            </w:tcBorders>
            <w:noWrap w:val="0"/>
            <w:vAlign w:val="top"/>
          </w:tcPr>
          <w:p w14:paraId="64B5E478">
            <w:pPr>
              <w:widowControl/>
              <w:snapToGrid w:val="0"/>
              <w:spacing w:line="360" w:lineRule="auto"/>
              <w:jc w:val="center"/>
              <w:rPr>
                <w:rFonts w:ascii="宋体" w:hAnsi="宋体" w:cs="宋体"/>
                <w:color w:val="auto"/>
                <w:szCs w:val="21"/>
                <w:highlight w:val="none"/>
              </w:rPr>
            </w:pPr>
          </w:p>
        </w:tc>
        <w:tc>
          <w:tcPr>
            <w:tcW w:w="1134" w:type="dxa"/>
            <w:tcBorders>
              <w:top w:val="single" w:color="000000" w:sz="4" w:space="0"/>
              <w:left w:val="nil"/>
              <w:bottom w:val="single" w:color="000000" w:sz="4" w:space="0"/>
              <w:right w:val="single" w:color="000000" w:sz="4" w:space="0"/>
            </w:tcBorders>
            <w:noWrap w:val="0"/>
            <w:vAlign w:val="top"/>
          </w:tcPr>
          <w:p w14:paraId="262429F3">
            <w:pPr>
              <w:widowControl/>
              <w:snapToGrid w:val="0"/>
              <w:spacing w:line="360" w:lineRule="auto"/>
              <w:jc w:val="center"/>
              <w:rPr>
                <w:rFonts w:ascii="宋体" w:hAnsi="宋体" w:cs="宋体"/>
                <w:color w:val="auto"/>
                <w:szCs w:val="21"/>
                <w:highlight w:val="none"/>
              </w:rPr>
            </w:pPr>
          </w:p>
        </w:tc>
      </w:tr>
      <w:tr w14:paraId="5E80613E">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noWrap w:val="0"/>
            <w:vAlign w:val="top"/>
          </w:tcPr>
          <w:p w14:paraId="15B139E0">
            <w:pPr>
              <w:widowControl/>
              <w:snapToGrid w:val="0"/>
              <w:spacing w:line="360" w:lineRule="auto"/>
              <w:jc w:val="center"/>
              <w:rPr>
                <w:rFonts w:ascii="宋体" w:hAnsi="宋体" w:cs="宋体"/>
                <w:color w:val="auto"/>
                <w:szCs w:val="21"/>
                <w:highlight w:val="none"/>
              </w:rPr>
            </w:pPr>
          </w:p>
        </w:tc>
        <w:tc>
          <w:tcPr>
            <w:tcW w:w="1559" w:type="dxa"/>
            <w:tcBorders>
              <w:top w:val="single" w:color="000000" w:sz="4" w:space="0"/>
              <w:left w:val="nil"/>
              <w:bottom w:val="single" w:color="000000" w:sz="4" w:space="0"/>
              <w:right w:val="single" w:color="000000" w:sz="4" w:space="0"/>
            </w:tcBorders>
            <w:noWrap w:val="0"/>
            <w:vAlign w:val="top"/>
          </w:tcPr>
          <w:p w14:paraId="71211C84">
            <w:pPr>
              <w:widowControl/>
              <w:snapToGrid w:val="0"/>
              <w:spacing w:line="360" w:lineRule="auto"/>
              <w:jc w:val="center"/>
              <w:rPr>
                <w:rFonts w:ascii="宋体" w:hAnsi="宋体" w:cs="宋体"/>
                <w:color w:val="auto"/>
                <w:szCs w:val="21"/>
                <w:highlight w:val="none"/>
              </w:rPr>
            </w:pPr>
          </w:p>
        </w:tc>
        <w:tc>
          <w:tcPr>
            <w:tcW w:w="1418" w:type="dxa"/>
            <w:tcBorders>
              <w:top w:val="single" w:color="000000" w:sz="4" w:space="0"/>
              <w:left w:val="nil"/>
              <w:bottom w:val="single" w:color="000000" w:sz="4" w:space="0"/>
              <w:right w:val="single" w:color="000000" w:sz="4" w:space="0"/>
            </w:tcBorders>
            <w:noWrap w:val="0"/>
            <w:vAlign w:val="top"/>
          </w:tcPr>
          <w:p w14:paraId="201E8546">
            <w:pPr>
              <w:widowControl/>
              <w:snapToGrid w:val="0"/>
              <w:spacing w:line="360" w:lineRule="auto"/>
              <w:jc w:val="center"/>
              <w:rPr>
                <w:rFonts w:ascii="宋体" w:hAnsi="宋体" w:cs="宋体"/>
                <w:color w:val="auto"/>
                <w:szCs w:val="21"/>
                <w:highlight w:val="none"/>
              </w:rPr>
            </w:pPr>
          </w:p>
        </w:tc>
        <w:tc>
          <w:tcPr>
            <w:tcW w:w="992" w:type="dxa"/>
            <w:tcBorders>
              <w:top w:val="single" w:color="000000" w:sz="4" w:space="0"/>
              <w:left w:val="nil"/>
              <w:bottom w:val="single" w:color="000000" w:sz="4" w:space="0"/>
              <w:right w:val="single" w:color="000000" w:sz="4" w:space="0"/>
            </w:tcBorders>
            <w:noWrap w:val="0"/>
            <w:vAlign w:val="top"/>
          </w:tcPr>
          <w:p w14:paraId="45669584">
            <w:pPr>
              <w:widowControl/>
              <w:snapToGrid w:val="0"/>
              <w:spacing w:line="360" w:lineRule="auto"/>
              <w:jc w:val="center"/>
              <w:rPr>
                <w:rFonts w:ascii="宋体" w:hAnsi="宋体" w:cs="宋体"/>
                <w:color w:val="auto"/>
                <w:szCs w:val="21"/>
                <w:highlight w:val="none"/>
              </w:rPr>
            </w:pPr>
          </w:p>
        </w:tc>
        <w:tc>
          <w:tcPr>
            <w:tcW w:w="1517" w:type="dxa"/>
            <w:tcBorders>
              <w:top w:val="single" w:color="000000" w:sz="4" w:space="0"/>
              <w:left w:val="nil"/>
              <w:bottom w:val="single" w:color="000000" w:sz="4" w:space="0"/>
              <w:right w:val="single" w:color="000000" w:sz="4" w:space="0"/>
            </w:tcBorders>
            <w:noWrap w:val="0"/>
            <w:vAlign w:val="top"/>
          </w:tcPr>
          <w:p w14:paraId="18400295">
            <w:pPr>
              <w:widowControl/>
              <w:snapToGrid w:val="0"/>
              <w:spacing w:line="360" w:lineRule="auto"/>
              <w:jc w:val="center"/>
              <w:rPr>
                <w:rFonts w:ascii="宋体" w:hAnsi="宋体" w:cs="宋体"/>
                <w:color w:val="auto"/>
                <w:szCs w:val="21"/>
                <w:highlight w:val="none"/>
              </w:rPr>
            </w:pPr>
          </w:p>
        </w:tc>
        <w:tc>
          <w:tcPr>
            <w:tcW w:w="1134" w:type="dxa"/>
            <w:tcBorders>
              <w:top w:val="single" w:color="000000" w:sz="4" w:space="0"/>
              <w:left w:val="nil"/>
              <w:bottom w:val="single" w:color="000000" w:sz="4" w:space="0"/>
              <w:right w:val="single" w:color="000000" w:sz="4" w:space="0"/>
            </w:tcBorders>
            <w:noWrap w:val="0"/>
            <w:vAlign w:val="top"/>
          </w:tcPr>
          <w:p w14:paraId="2B611537">
            <w:pPr>
              <w:widowControl/>
              <w:snapToGrid w:val="0"/>
              <w:spacing w:line="360" w:lineRule="auto"/>
              <w:jc w:val="center"/>
              <w:rPr>
                <w:rFonts w:ascii="宋体" w:hAnsi="宋体" w:cs="宋体"/>
                <w:color w:val="auto"/>
                <w:szCs w:val="21"/>
                <w:highlight w:val="none"/>
              </w:rPr>
            </w:pPr>
          </w:p>
        </w:tc>
        <w:tc>
          <w:tcPr>
            <w:tcW w:w="1134" w:type="dxa"/>
            <w:tcBorders>
              <w:top w:val="single" w:color="000000" w:sz="4" w:space="0"/>
              <w:left w:val="nil"/>
              <w:bottom w:val="single" w:color="000000" w:sz="4" w:space="0"/>
              <w:right w:val="single" w:color="000000" w:sz="4" w:space="0"/>
            </w:tcBorders>
            <w:noWrap w:val="0"/>
            <w:vAlign w:val="top"/>
          </w:tcPr>
          <w:p w14:paraId="31AB2DA4">
            <w:pPr>
              <w:widowControl/>
              <w:snapToGrid w:val="0"/>
              <w:spacing w:line="360" w:lineRule="auto"/>
              <w:jc w:val="center"/>
              <w:rPr>
                <w:rFonts w:ascii="宋体" w:hAnsi="宋体" w:cs="宋体"/>
                <w:color w:val="auto"/>
                <w:szCs w:val="21"/>
                <w:highlight w:val="none"/>
              </w:rPr>
            </w:pPr>
          </w:p>
        </w:tc>
      </w:tr>
      <w:tr w14:paraId="7F7FE105">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noWrap w:val="0"/>
            <w:vAlign w:val="top"/>
          </w:tcPr>
          <w:p w14:paraId="380B8A6F">
            <w:pPr>
              <w:widowControl/>
              <w:snapToGrid w:val="0"/>
              <w:spacing w:line="360" w:lineRule="auto"/>
              <w:jc w:val="center"/>
              <w:rPr>
                <w:rFonts w:ascii="宋体" w:hAnsi="宋体" w:cs="宋体"/>
                <w:color w:val="auto"/>
                <w:szCs w:val="21"/>
                <w:highlight w:val="none"/>
              </w:rPr>
            </w:pPr>
          </w:p>
        </w:tc>
        <w:tc>
          <w:tcPr>
            <w:tcW w:w="1559" w:type="dxa"/>
            <w:tcBorders>
              <w:top w:val="single" w:color="000000" w:sz="4" w:space="0"/>
              <w:left w:val="nil"/>
              <w:bottom w:val="single" w:color="000000" w:sz="4" w:space="0"/>
              <w:right w:val="single" w:color="000000" w:sz="4" w:space="0"/>
            </w:tcBorders>
            <w:noWrap w:val="0"/>
            <w:vAlign w:val="top"/>
          </w:tcPr>
          <w:p w14:paraId="697C32C5">
            <w:pPr>
              <w:widowControl/>
              <w:snapToGrid w:val="0"/>
              <w:spacing w:line="360" w:lineRule="auto"/>
              <w:jc w:val="center"/>
              <w:rPr>
                <w:rFonts w:ascii="宋体" w:hAnsi="宋体" w:cs="宋体"/>
                <w:color w:val="auto"/>
                <w:szCs w:val="21"/>
                <w:highlight w:val="none"/>
              </w:rPr>
            </w:pPr>
          </w:p>
        </w:tc>
        <w:tc>
          <w:tcPr>
            <w:tcW w:w="1418" w:type="dxa"/>
            <w:tcBorders>
              <w:top w:val="single" w:color="000000" w:sz="4" w:space="0"/>
              <w:left w:val="nil"/>
              <w:bottom w:val="single" w:color="000000" w:sz="4" w:space="0"/>
              <w:right w:val="single" w:color="000000" w:sz="4" w:space="0"/>
            </w:tcBorders>
            <w:noWrap w:val="0"/>
            <w:vAlign w:val="top"/>
          </w:tcPr>
          <w:p w14:paraId="11EF22BE">
            <w:pPr>
              <w:widowControl/>
              <w:snapToGrid w:val="0"/>
              <w:spacing w:line="360" w:lineRule="auto"/>
              <w:jc w:val="center"/>
              <w:rPr>
                <w:rFonts w:ascii="宋体" w:hAnsi="宋体" w:cs="宋体"/>
                <w:color w:val="auto"/>
                <w:szCs w:val="21"/>
                <w:highlight w:val="none"/>
              </w:rPr>
            </w:pPr>
          </w:p>
        </w:tc>
        <w:tc>
          <w:tcPr>
            <w:tcW w:w="992" w:type="dxa"/>
            <w:tcBorders>
              <w:top w:val="single" w:color="000000" w:sz="4" w:space="0"/>
              <w:left w:val="nil"/>
              <w:bottom w:val="single" w:color="000000" w:sz="4" w:space="0"/>
              <w:right w:val="single" w:color="000000" w:sz="4" w:space="0"/>
            </w:tcBorders>
            <w:noWrap w:val="0"/>
            <w:vAlign w:val="top"/>
          </w:tcPr>
          <w:p w14:paraId="32E5A2B8">
            <w:pPr>
              <w:widowControl/>
              <w:snapToGrid w:val="0"/>
              <w:spacing w:line="360" w:lineRule="auto"/>
              <w:jc w:val="center"/>
              <w:rPr>
                <w:rFonts w:ascii="宋体" w:hAnsi="宋体" w:cs="宋体"/>
                <w:color w:val="auto"/>
                <w:szCs w:val="21"/>
                <w:highlight w:val="none"/>
              </w:rPr>
            </w:pPr>
          </w:p>
        </w:tc>
        <w:tc>
          <w:tcPr>
            <w:tcW w:w="1517" w:type="dxa"/>
            <w:tcBorders>
              <w:top w:val="single" w:color="000000" w:sz="4" w:space="0"/>
              <w:left w:val="nil"/>
              <w:bottom w:val="single" w:color="000000" w:sz="4" w:space="0"/>
              <w:right w:val="single" w:color="000000" w:sz="4" w:space="0"/>
            </w:tcBorders>
            <w:noWrap w:val="0"/>
            <w:vAlign w:val="top"/>
          </w:tcPr>
          <w:p w14:paraId="3F5D646B">
            <w:pPr>
              <w:widowControl/>
              <w:snapToGrid w:val="0"/>
              <w:spacing w:line="360" w:lineRule="auto"/>
              <w:jc w:val="center"/>
              <w:rPr>
                <w:rFonts w:ascii="宋体" w:hAnsi="宋体" w:cs="宋体"/>
                <w:color w:val="auto"/>
                <w:szCs w:val="21"/>
                <w:highlight w:val="none"/>
              </w:rPr>
            </w:pPr>
          </w:p>
        </w:tc>
        <w:tc>
          <w:tcPr>
            <w:tcW w:w="1134" w:type="dxa"/>
            <w:tcBorders>
              <w:top w:val="single" w:color="000000" w:sz="4" w:space="0"/>
              <w:left w:val="nil"/>
              <w:bottom w:val="single" w:color="000000" w:sz="4" w:space="0"/>
              <w:right w:val="single" w:color="000000" w:sz="4" w:space="0"/>
            </w:tcBorders>
            <w:noWrap w:val="0"/>
            <w:vAlign w:val="top"/>
          </w:tcPr>
          <w:p w14:paraId="402B6DE0">
            <w:pPr>
              <w:widowControl/>
              <w:snapToGrid w:val="0"/>
              <w:spacing w:line="360" w:lineRule="auto"/>
              <w:jc w:val="center"/>
              <w:rPr>
                <w:rFonts w:ascii="宋体" w:hAnsi="宋体" w:cs="宋体"/>
                <w:color w:val="auto"/>
                <w:szCs w:val="21"/>
                <w:highlight w:val="none"/>
              </w:rPr>
            </w:pPr>
          </w:p>
        </w:tc>
        <w:tc>
          <w:tcPr>
            <w:tcW w:w="1134" w:type="dxa"/>
            <w:tcBorders>
              <w:top w:val="single" w:color="000000" w:sz="4" w:space="0"/>
              <w:left w:val="nil"/>
              <w:bottom w:val="single" w:color="000000" w:sz="4" w:space="0"/>
              <w:right w:val="single" w:color="000000" w:sz="4" w:space="0"/>
            </w:tcBorders>
            <w:noWrap w:val="0"/>
            <w:vAlign w:val="top"/>
          </w:tcPr>
          <w:p w14:paraId="287E26FF">
            <w:pPr>
              <w:widowControl/>
              <w:snapToGrid w:val="0"/>
              <w:spacing w:line="360" w:lineRule="auto"/>
              <w:jc w:val="center"/>
              <w:rPr>
                <w:rFonts w:ascii="宋体" w:hAnsi="宋体" w:cs="宋体"/>
                <w:color w:val="auto"/>
                <w:szCs w:val="21"/>
                <w:highlight w:val="none"/>
              </w:rPr>
            </w:pPr>
          </w:p>
        </w:tc>
      </w:tr>
    </w:tbl>
    <w:p w14:paraId="6C72F44B">
      <w:pPr>
        <w:spacing w:line="440" w:lineRule="exact"/>
        <w:rPr>
          <w:rFonts w:ascii="宋体" w:hAnsi="宋体" w:cs="宋体"/>
          <w:color w:val="auto"/>
          <w:szCs w:val="21"/>
          <w:highlight w:val="none"/>
          <w:lang w:eastAsia="zh-CN"/>
        </w:rPr>
      </w:pPr>
      <w:r>
        <w:rPr>
          <w:rFonts w:hint="eastAsia" w:ascii="宋体" w:hAnsi="宋体" w:cs="宋体"/>
          <w:color w:val="auto"/>
          <w:szCs w:val="21"/>
          <w:highlight w:val="none"/>
          <w:lang w:eastAsia="zh-CN"/>
        </w:rPr>
        <w:t>供应商名称</w:t>
      </w:r>
      <w:r>
        <w:rPr>
          <w:rFonts w:ascii="宋体" w:hAnsi="宋体" w:cs="宋体"/>
          <w:color w:val="auto"/>
          <w:highlight w:val="none"/>
          <w:lang w:eastAsia="zh-CN"/>
        </w:rPr>
        <w:t>（</w:t>
      </w:r>
      <w:r>
        <w:rPr>
          <w:rFonts w:hint="eastAsia" w:ascii="宋体" w:hAnsi="宋体" w:cs="宋体"/>
          <w:color w:val="auto"/>
          <w:highlight w:val="none"/>
          <w:lang w:eastAsia="zh-CN"/>
        </w:rPr>
        <w:t>加盖电子公章）</w:t>
      </w:r>
      <w:r>
        <w:rPr>
          <w:rFonts w:hint="eastAsia" w:ascii="宋体" w:hAnsi="宋体" w:cs="宋体"/>
          <w:color w:val="auto"/>
          <w:szCs w:val="21"/>
          <w:highlight w:val="none"/>
          <w:lang w:eastAsia="zh-CN"/>
        </w:rPr>
        <w:t>：</w:t>
      </w:r>
    </w:p>
    <w:p w14:paraId="0F1F69E5">
      <w:pPr>
        <w:spacing w:line="440" w:lineRule="exact"/>
        <w:rPr>
          <w:rFonts w:ascii="宋体" w:hAnsi="宋体" w:cs="宋体"/>
          <w:color w:val="auto"/>
          <w:szCs w:val="21"/>
          <w:highlight w:val="none"/>
          <w:lang w:eastAsia="zh-CN"/>
        </w:rPr>
      </w:pPr>
      <w:r>
        <w:rPr>
          <w:rFonts w:hint="eastAsia" w:ascii="宋体" w:hAnsi="宋体" w:cs="宋体"/>
          <w:color w:val="auto"/>
          <w:szCs w:val="21"/>
          <w:highlight w:val="none"/>
          <w:lang w:eastAsia="zh-CN"/>
        </w:rPr>
        <w:t>授权代表（签字或签章）：</w:t>
      </w:r>
    </w:p>
    <w:p w14:paraId="413ABC45">
      <w:pPr>
        <w:spacing w:line="440" w:lineRule="exact"/>
        <w:rPr>
          <w:rFonts w:ascii="宋体" w:hAnsi="宋体" w:cs="宋体"/>
          <w:color w:val="auto"/>
          <w:szCs w:val="21"/>
          <w:highlight w:val="none"/>
          <w:lang w:eastAsia="zh-CN"/>
        </w:rPr>
      </w:pPr>
      <w:r>
        <w:rPr>
          <w:rFonts w:hint="eastAsia" w:ascii="宋体" w:hAnsi="宋体" w:cs="宋体"/>
          <w:color w:val="auto"/>
          <w:szCs w:val="21"/>
          <w:highlight w:val="none"/>
          <w:lang w:eastAsia="zh-CN"/>
        </w:rPr>
        <w:t>日期：</w:t>
      </w:r>
    </w:p>
    <w:p w14:paraId="2D13C89B">
      <w:pPr>
        <w:widowControl/>
        <w:adjustRightInd w:val="0"/>
        <w:snapToGrid w:val="0"/>
        <w:spacing w:line="360" w:lineRule="auto"/>
        <w:rPr>
          <w:rFonts w:ascii="宋体" w:hAnsi="宋体" w:cs="宋体"/>
          <w:color w:val="auto"/>
          <w:szCs w:val="21"/>
          <w:highlight w:val="none"/>
          <w:lang w:eastAsia="zh-CN"/>
        </w:rPr>
      </w:pPr>
    </w:p>
    <w:p w14:paraId="1492AD81">
      <w:pPr>
        <w:widowControl/>
        <w:adjustRightInd w:val="0"/>
        <w:snapToGrid w:val="0"/>
        <w:spacing w:line="360" w:lineRule="auto"/>
        <w:rPr>
          <w:rFonts w:ascii="宋体" w:hAnsi="宋体" w:eastAsia="等线" w:cs="宋体"/>
          <w:b/>
          <w:bCs/>
          <w:color w:val="auto"/>
          <w:szCs w:val="21"/>
          <w:highlight w:val="none"/>
          <w:lang w:eastAsia="zh-CN"/>
        </w:rPr>
      </w:pPr>
      <w:r>
        <w:rPr>
          <w:rFonts w:hint="eastAsia" w:ascii="宋体" w:hAnsi="宋体" w:cs="宋体"/>
          <w:color w:val="auto"/>
          <w:szCs w:val="21"/>
          <w:highlight w:val="none"/>
          <w:lang w:eastAsia="zh-CN"/>
        </w:rPr>
        <w:t>注：具体时间要求及需提交的证明材料见“第三章 评审标准”。</w:t>
      </w:r>
    </w:p>
    <w:p w14:paraId="76DC0BCB">
      <w:pPr>
        <w:widowControl/>
        <w:adjustRightInd w:val="0"/>
        <w:snapToGrid w:val="0"/>
        <w:spacing w:line="360" w:lineRule="auto"/>
        <w:jc w:val="center"/>
        <w:rPr>
          <w:rFonts w:hint="eastAsia" w:ascii="宋体" w:hAnsi="宋体" w:eastAsia="宋体" w:cs="宋体"/>
          <w:b/>
          <w:bCs/>
          <w:color w:val="auto"/>
          <w:sz w:val="24"/>
          <w:highlight w:val="none"/>
          <w:lang w:eastAsia="zh-CN"/>
        </w:rPr>
      </w:pPr>
    </w:p>
    <w:p w14:paraId="47568012">
      <w:pPr>
        <w:widowControl/>
        <w:adjustRightInd w:val="0"/>
        <w:snapToGrid w:val="0"/>
        <w:spacing w:line="360" w:lineRule="auto"/>
        <w:jc w:val="center"/>
        <w:rPr>
          <w:rFonts w:ascii="宋体" w:hAnsi="宋体" w:cs="宋体"/>
          <w:b/>
          <w:bCs/>
          <w:color w:val="auto"/>
          <w:sz w:val="24"/>
          <w:highlight w:val="none"/>
          <w:lang w:eastAsia="zh-CN"/>
        </w:rPr>
      </w:pPr>
      <w:r>
        <w:rPr>
          <w:rFonts w:hint="eastAsia" w:ascii="宋体" w:hAnsi="宋体" w:eastAsia="宋体" w:cs="宋体"/>
          <w:b/>
          <w:bCs/>
          <w:color w:val="auto"/>
          <w:sz w:val="24"/>
          <w:highlight w:val="none"/>
          <w:lang w:eastAsia="zh-CN"/>
        </w:rPr>
        <w:t>项目负责人类似业绩情况表</w:t>
      </w:r>
    </w:p>
    <w:tbl>
      <w:tblPr>
        <w:tblStyle w:val="34"/>
        <w:tblW w:w="0" w:type="auto"/>
        <w:jc w:val="center"/>
        <w:tblLayout w:type="fixed"/>
        <w:tblCellMar>
          <w:top w:w="0" w:type="dxa"/>
          <w:left w:w="108" w:type="dxa"/>
          <w:bottom w:w="0" w:type="dxa"/>
          <w:right w:w="108" w:type="dxa"/>
        </w:tblCellMar>
      </w:tblPr>
      <w:tblGrid>
        <w:gridCol w:w="682"/>
        <w:gridCol w:w="1559"/>
        <w:gridCol w:w="1418"/>
        <w:gridCol w:w="992"/>
        <w:gridCol w:w="1517"/>
        <w:gridCol w:w="1134"/>
        <w:gridCol w:w="1134"/>
      </w:tblGrid>
      <w:tr w14:paraId="6DA1E1D3">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noWrap w:val="0"/>
            <w:vAlign w:val="center"/>
          </w:tcPr>
          <w:p w14:paraId="7D010EED">
            <w:pPr>
              <w:widowControl/>
              <w:snapToGrid w:val="0"/>
              <w:spacing w:line="360" w:lineRule="auto"/>
              <w:jc w:val="center"/>
              <w:rPr>
                <w:rFonts w:ascii="宋体" w:hAnsi="宋体" w:cs="宋体"/>
                <w:color w:val="auto"/>
                <w:szCs w:val="21"/>
                <w:highlight w:val="none"/>
              </w:rPr>
            </w:pPr>
            <w:r>
              <w:rPr>
                <w:rFonts w:hint="eastAsia" w:ascii="宋体" w:hAnsi="宋体" w:eastAsia="宋体" w:cs="宋体"/>
                <w:color w:val="auto"/>
                <w:szCs w:val="21"/>
                <w:highlight w:val="none"/>
              </w:rPr>
              <w:t>序号</w:t>
            </w:r>
          </w:p>
        </w:tc>
        <w:tc>
          <w:tcPr>
            <w:tcW w:w="1559" w:type="dxa"/>
            <w:tcBorders>
              <w:top w:val="single" w:color="000000" w:sz="4" w:space="0"/>
              <w:left w:val="nil"/>
              <w:bottom w:val="single" w:color="000000" w:sz="4" w:space="0"/>
              <w:right w:val="single" w:color="000000" w:sz="4" w:space="0"/>
            </w:tcBorders>
            <w:noWrap w:val="0"/>
            <w:vAlign w:val="center"/>
          </w:tcPr>
          <w:p w14:paraId="433A534D">
            <w:pPr>
              <w:widowControl/>
              <w:snapToGrid w:val="0"/>
              <w:spacing w:line="360" w:lineRule="auto"/>
              <w:jc w:val="center"/>
              <w:rPr>
                <w:rFonts w:ascii="宋体" w:hAnsi="宋体" w:cs="宋体"/>
                <w:color w:val="auto"/>
                <w:szCs w:val="21"/>
                <w:highlight w:val="none"/>
              </w:rPr>
            </w:pPr>
            <w:r>
              <w:rPr>
                <w:rFonts w:hint="eastAsia" w:ascii="宋体" w:hAnsi="宋体" w:eastAsia="宋体" w:cs="宋体"/>
                <w:color w:val="auto"/>
                <w:szCs w:val="21"/>
                <w:highlight w:val="none"/>
              </w:rPr>
              <w:t>项目名称</w:t>
            </w:r>
          </w:p>
        </w:tc>
        <w:tc>
          <w:tcPr>
            <w:tcW w:w="1418" w:type="dxa"/>
            <w:tcBorders>
              <w:top w:val="single" w:color="000000" w:sz="4" w:space="0"/>
              <w:left w:val="nil"/>
              <w:bottom w:val="single" w:color="000000" w:sz="4" w:space="0"/>
              <w:right w:val="single" w:color="000000" w:sz="4" w:space="0"/>
            </w:tcBorders>
            <w:noWrap w:val="0"/>
            <w:vAlign w:val="center"/>
          </w:tcPr>
          <w:p w14:paraId="509BDC2A">
            <w:pPr>
              <w:widowControl/>
              <w:snapToGrid w:val="0"/>
              <w:spacing w:line="360" w:lineRule="auto"/>
              <w:jc w:val="center"/>
              <w:rPr>
                <w:rFonts w:ascii="宋体" w:hAnsi="宋体" w:cs="宋体"/>
                <w:color w:val="auto"/>
                <w:szCs w:val="21"/>
                <w:highlight w:val="none"/>
              </w:rPr>
            </w:pPr>
            <w:r>
              <w:rPr>
                <w:rFonts w:hint="eastAsia" w:ascii="宋体" w:hAnsi="宋体" w:eastAsia="宋体" w:cs="宋体"/>
                <w:color w:val="auto"/>
                <w:szCs w:val="21"/>
                <w:highlight w:val="none"/>
              </w:rPr>
              <w:t>业主单位</w:t>
            </w:r>
          </w:p>
        </w:tc>
        <w:tc>
          <w:tcPr>
            <w:tcW w:w="992" w:type="dxa"/>
            <w:tcBorders>
              <w:top w:val="single" w:color="000000" w:sz="4" w:space="0"/>
              <w:left w:val="nil"/>
              <w:bottom w:val="single" w:color="000000" w:sz="4" w:space="0"/>
              <w:right w:val="single" w:color="000000" w:sz="4" w:space="0"/>
            </w:tcBorders>
            <w:noWrap w:val="0"/>
            <w:vAlign w:val="center"/>
          </w:tcPr>
          <w:p w14:paraId="6E4E0DE1">
            <w:pPr>
              <w:widowControl/>
              <w:snapToGrid w:val="0"/>
              <w:spacing w:line="360" w:lineRule="auto"/>
              <w:jc w:val="center"/>
              <w:rPr>
                <w:rFonts w:ascii="宋体" w:hAnsi="宋体" w:cs="宋体"/>
                <w:color w:val="auto"/>
                <w:szCs w:val="21"/>
                <w:highlight w:val="none"/>
              </w:rPr>
            </w:pPr>
            <w:r>
              <w:rPr>
                <w:rFonts w:hint="eastAsia" w:ascii="宋体" w:hAnsi="宋体" w:eastAsia="宋体" w:cs="宋体"/>
                <w:color w:val="auto"/>
                <w:szCs w:val="21"/>
                <w:highlight w:val="none"/>
              </w:rPr>
              <w:t>项目</w:t>
            </w:r>
          </w:p>
          <w:p w14:paraId="0F1AFB66">
            <w:pPr>
              <w:widowControl/>
              <w:snapToGrid w:val="0"/>
              <w:spacing w:line="360" w:lineRule="auto"/>
              <w:jc w:val="center"/>
              <w:rPr>
                <w:rFonts w:ascii="宋体" w:hAnsi="宋体" w:cs="宋体"/>
                <w:color w:val="auto"/>
                <w:szCs w:val="21"/>
                <w:highlight w:val="none"/>
              </w:rPr>
            </w:pPr>
            <w:r>
              <w:rPr>
                <w:rFonts w:hint="eastAsia" w:ascii="宋体" w:hAnsi="宋体" w:eastAsia="宋体" w:cs="宋体"/>
                <w:color w:val="auto"/>
                <w:szCs w:val="21"/>
                <w:highlight w:val="none"/>
              </w:rPr>
              <w:t>规模</w:t>
            </w:r>
          </w:p>
        </w:tc>
        <w:tc>
          <w:tcPr>
            <w:tcW w:w="1517" w:type="dxa"/>
            <w:tcBorders>
              <w:top w:val="single" w:color="000000" w:sz="4" w:space="0"/>
              <w:left w:val="nil"/>
              <w:bottom w:val="single" w:color="000000" w:sz="4" w:space="0"/>
              <w:right w:val="single" w:color="000000" w:sz="4" w:space="0"/>
            </w:tcBorders>
            <w:noWrap w:val="0"/>
            <w:vAlign w:val="top"/>
          </w:tcPr>
          <w:p w14:paraId="117B36B2">
            <w:pPr>
              <w:widowControl/>
              <w:snapToGrid w:val="0"/>
              <w:spacing w:line="360" w:lineRule="auto"/>
              <w:jc w:val="center"/>
              <w:rPr>
                <w:rFonts w:ascii="宋体" w:hAnsi="宋体" w:cs="宋体"/>
                <w:color w:val="auto"/>
                <w:szCs w:val="21"/>
                <w:highlight w:val="none"/>
              </w:rPr>
            </w:pPr>
            <w:r>
              <w:rPr>
                <w:rFonts w:hint="eastAsia" w:ascii="宋体" w:hAnsi="宋体" w:eastAsia="宋体" w:cs="宋体"/>
                <w:color w:val="auto"/>
                <w:szCs w:val="21"/>
                <w:highlight w:val="none"/>
              </w:rPr>
              <w:t>签约及服务</w:t>
            </w:r>
          </w:p>
          <w:p w14:paraId="0E7BD22D">
            <w:pPr>
              <w:widowControl/>
              <w:snapToGrid w:val="0"/>
              <w:spacing w:line="360" w:lineRule="auto"/>
              <w:jc w:val="center"/>
              <w:rPr>
                <w:rFonts w:ascii="宋体" w:hAnsi="宋体" w:cs="宋体"/>
                <w:color w:val="auto"/>
                <w:szCs w:val="21"/>
                <w:highlight w:val="none"/>
              </w:rPr>
            </w:pPr>
            <w:r>
              <w:rPr>
                <w:rFonts w:hint="eastAsia" w:ascii="宋体" w:hAnsi="宋体" w:eastAsia="宋体" w:cs="宋体"/>
                <w:color w:val="auto"/>
                <w:szCs w:val="21"/>
                <w:highlight w:val="none"/>
              </w:rPr>
              <w:t>时间</w:t>
            </w:r>
          </w:p>
        </w:tc>
        <w:tc>
          <w:tcPr>
            <w:tcW w:w="1134" w:type="dxa"/>
            <w:tcBorders>
              <w:top w:val="single" w:color="000000" w:sz="4" w:space="0"/>
              <w:left w:val="nil"/>
              <w:bottom w:val="single" w:color="000000" w:sz="4" w:space="0"/>
              <w:right w:val="single" w:color="000000" w:sz="4" w:space="0"/>
            </w:tcBorders>
            <w:noWrap w:val="0"/>
            <w:vAlign w:val="center"/>
          </w:tcPr>
          <w:p w14:paraId="5D79A269">
            <w:pPr>
              <w:widowControl/>
              <w:snapToGrid w:val="0"/>
              <w:spacing w:line="360" w:lineRule="auto"/>
              <w:jc w:val="center"/>
              <w:rPr>
                <w:rFonts w:ascii="宋体" w:hAnsi="宋体" w:cs="宋体"/>
                <w:color w:val="auto"/>
                <w:szCs w:val="21"/>
                <w:highlight w:val="none"/>
              </w:rPr>
            </w:pPr>
            <w:r>
              <w:rPr>
                <w:rFonts w:hint="eastAsia" w:ascii="宋体" w:hAnsi="宋体" w:eastAsia="宋体" w:cs="宋体"/>
                <w:color w:val="auto"/>
                <w:szCs w:val="21"/>
                <w:highlight w:val="none"/>
              </w:rPr>
              <w:t>联系人及电话</w:t>
            </w:r>
          </w:p>
        </w:tc>
        <w:tc>
          <w:tcPr>
            <w:tcW w:w="1134" w:type="dxa"/>
            <w:tcBorders>
              <w:top w:val="single" w:color="000000" w:sz="4" w:space="0"/>
              <w:left w:val="nil"/>
              <w:bottom w:val="single" w:color="000000" w:sz="4" w:space="0"/>
              <w:right w:val="single" w:color="000000" w:sz="4" w:space="0"/>
            </w:tcBorders>
            <w:noWrap w:val="0"/>
            <w:vAlign w:val="center"/>
          </w:tcPr>
          <w:p w14:paraId="4FABA932">
            <w:pPr>
              <w:widowControl/>
              <w:snapToGrid w:val="0"/>
              <w:spacing w:line="360" w:lineRule="auto"/>
              <w:jc w:val="center"/>
              <w:rPr>
                <w:rFonts w:ascii="宋体" w:hAnsi="宋体" w:cs="宋体"/>
                <w:color w:val="auto"/>
                <w:szCs w:val="21"/>
                <w:highlight w:val="none"/>
              </w:rPr>
            </w:pPr>
            <w:r>
              <w:rPr>
                <w:rFonts w:hint="eastAsia" w:ascii="宋体" w:hAnsi="宋体" w:eastAsia="宋体" w:cs="宋体"/>
                <w:color w:val="auto"/>
                <w:szCs w:val="21"/>
                <w:highlight w:val="none"/>
              </w:rPr>
              <w:t>备注</w:t>
            </w:r>
          </w:p>
        </w:tc>
      </w:tr>
      <w:tr w14:paraId="68BC6FAE">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noWrap w:val="0"/>
            <w:vAlign w:val="top"/>
          </w:tcPr>
          <w:p w14:paraId="64C778DE">
            <w:pPr>
              <w:widowControl/>
              <w:snapToGrid w:val="0"/>
              <w:spacing w:line="360" w:lineRule="auto"/>
              <w:jc w:val="center"/>
              <w:rPr>
                <w:rFonts w:ascii="宋体" w:hAnsi="宋体" w:cs="宋体"/>
                <w:color w:val="auto"/>
                <w:szCs w:val="21"/>
                <w:highlight w:val="none"/>
              </w:rPr>
            </w:pPr>
          </w:p>
        </w:tc>
        <w:tc>
          <w:tcPr>
            <w:tcW w:w="1559" w:type="dxa"/>
            <w:tcBorders>
              <w:top w:val="single" w:color="000000" w:sz="4" w:space="0"/>
              <w:left w:val="nil"/>
              <w:bottom w:val="single" w:color="000000" w:sz="4" w:space="0"/>
              <w:right w:val="single" w:color="000000" w:sz="4" w:space="0"/>
            </w:tcBorders>
            <w:noWrap w:val="0"/>
            <w:vAlign w:val="top"/>
          </w:tcPr>
          <w:p w14:paraId="6DA92804">
            <w:pPr>
              <w:widowControl/>
              <w:snapToGrid w:val="0"/>
              <w:spacing w:line="360" w:lineRule="auto"/>
              <w:jc w:val="center"/>
              <w:rPr>
                <w:rFonts w:ascii="宋体" w:hAnsi="宋体" w:cs="宋体"/>
                <w:color w:val="auto"/>
                <w:szCs w:val="21"/>
                <w:highlight w:val="none"/>
              </w:rPr>
            </w:pPr>
          </w:p>
        </w:tc>
        <w:tc>
          <w:tcPr>
            <w:tcW w:w="1418" w:type="dxa"/>
            <w:tcBorders>
              <w:top w:val="single" w:color="000000" w:sz="4" w:space="0"/>
              <w:left w:val="nil"/>
              <w:bottom w:val="single" w:color="000000" w:sz="4" w:space="0"/>
              <w:right w:val="single" w:color="000000" w:sz="4" w:space="0"/>
            </w:tcBorders>
            <w:noWrap w:val="0"/>
            <w:vAlign w:val="top"/>
          </w:tcPr>
          <w:p w14:paraId="08C4334B">
            <w:pPr>
              <w:widowControl/>
              <w:snapToGrid w:val="0"/>
              <w:spacing w:line="360" w:lineRule="auto"/>
              <w:ind w:firstLine="120"/>
              <w:rPr>
                <w:rFonts w:ascii="宋体" w:hAnsi="宋体" w:cs="宋体"/>
                <w:color w:val="auto"/>
                <w:szCs w:val="21"/>
                <w:highlight w:val="none"/>
              </w:rPr>
            </w:pPr>
          </w:p>
        </w:tc>
        <w:tc>
          <w:tcPr>
            <w:tcW w:w="992" w:type="dxa"/>
            <w:tcBorders>
              <w:top w:val="single" w:color="000000" w:sz="4" w:space="0"/>
              <w:left w:val="nil"/>
              <w:bottom w:val="single" w:color="000000" w:sz="4" w:space="0"/>
              <w:right w:val="single" w:color="000000" w:sz="4" w:space="0"/>
            </w:tcBorders>
            <w:noWrap w:val="0"/>
            <w:vAlign w:val="top"/>
          </w:tcPr>
          <w:p w14:paraId="7C726AA1">
            <w:pPr>
              <w:widowControl/>
              <w:snapToGrid w:val="0"/>
              <w:spacing w:line="360" w:lineRule="auto"/>
              <w:jc w:val="center"/>
              <w:rPr>
                <w:rFonts w:ascii="宋体" w:hAnsi="宋体" w:cs="宋体"/>
                <w:color w:val="auto"/>
                <w:szCs w:val="21"/>
                <w:highlight w:val="none"/>
              </w:rPr>
            </w:pPr>
          </w:p>
        </w:tc>
        <w:tc>
          <w:tcPr>
            <w:tcW w:w="1517" w:type="dxa"/>
            <w:tcBorders>
              <w:top w:val="single" w:color="000000" w:sz="4" w:space="0"/>
              <w:left w:val="nil"/>
              <w:bottom w:val="single" w:color="000000" w:sz="4" w:space="0"/>
              <w:right w:val="single" w:color="000000" w:sz="4" w:space="0"/>
            </w:tcBorders>
            <w:noWrap w:val="0"/>
            <w:vAlign w:val="top"/>
          </w:tcPr>
          <w:p w14:paraId="7C264BAD">
            <w:pPr>
              <w:widowControl/>
              <w:snapToGrid w:val="0"/>
              <w:spacing w:line="360" w:lineRule="auto"/>
              <w:jc w:val="center"/>
              <w:rPr>
                <w:rFonts w:ascii="宋体" w:hAnsi="宋体" w:cs="宋体"/>
                <w:color w:val="auto"/>
                <w:szCs w:val="21"/>
                <w:highlight w:val="none"/>
              </w:rPr>
            </w:pPr>
          </w:p>
        </w:tc>
        <w:tc>
          <w:tcPr>
            <w:tcW w:w="1134" w:type="dxa"/>
            <w:tcBorders>
              <w:top w:val="single" w:color="000000" w:sz="4" w:space="0"/>
              <w:left w:val="nil"/>
              <w:bottom w:val="single" w:color="000000" w:sz="4" w:space="0"/>
              <w:right w:val="single" w:color="000000" w:sz="4" w:space="0"/>
            </w:tcBorders>
            <w:noWrap w:val="0"/>
            <w:vAlign w:val="top"/>
          </w:tcPr>
          <w:p w14:paraId="71E5FBBD">
            <w:pPr>
              <w:widowControl/>
              <w:snapToGrid w:val="0"/>
              <w:spacing w:line="360" w:lineRule="auto"/>
              <w:jc w:val="center"/>
              <w:rPr>
                <w:rFonts w:ascii="宋体" w:hAnsi="宋体" w:cs="宋体"/>
                <w:color w:val="auto"/>
                <w:szCs w:val="21"/>
                <w:highlight w:val="none"/>
              </w:rPr>
            </w:pPr>
          </w:p>
        </w:tc>
        <w:tc>
          <w:tcPr>
            <w:tcW w:w="1134" w:type="dxa"/>
            <w:tcBorders>
              <w:top w:val="single" w:color="000000" w:sz="4" w:space="0"/>
              <w:left w:val="nil"/>
              <w:bottom w:val="single" w:color="000000" w:sz="4" w:space="0"/>
              <w:right w:val="single" w:color="000000" w:sz="4" w:space="0"/>
            </w:tcBorders>
            <w:noWrap w:val="0"/>
            <w:vAlign w:val="top"/>
          </w:tcPr>
          <w:p w14:paraId="0C2CC260">
            <w:pPr>
              <w:widowControl/>
              <w:snapToGrid w:val="0"/>
              <w:spacing w:line="360" w:lineRule="auto"/>
              <w:jc w:val="center"/>
              <w:rPr>
                <w:rFonts w:ascii="宋体" w:hAnsi="宋体" w:cs="宋体"/>
                <w:color w:val="auto"/>
                <w:szCs w:val="21"/>
                <w:highlight w:val="none"/>
              </w:rPr>
            </w:pPr>
          </w:p>
        </w:tc>
      </w:tr>
      <w:tr w14:paraId="00167880">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noWrap w:val="0"/>
            <w:vAlign w:val="top"/>
          </w:tcPr>
          <w:p w14:paraId="51C3FD87">
            <w:pPr>
              <w:widowControl/>
              <w:snapToGrid w:val="0"/>
              <w:spacing w:line="360" w:lineRule="auto"/>
              <w:jc w:val="center"/>
              <w:rPr>
                <w:rFonts w:ascii="宋体" w:hAnsi="宋体" w:cs="宋体"/>
                <w:color w:val="auto"/>
                <w:szCs w:val="21"/>
                <w:highlight w:val="none"/>
              </w:rPr>
            </w:pPr>
          </w:p>
        </w:tc>
        <w:tc>
          <w:tcPr>
            <w:tcW w:w="1559" w:type="dxa"/>
            <w:tcBorders>
              <w:top w:val="single" w:color="000000" w:sz="4" w:space="0"/>
              <w:left w:val="nil"/>
              <w:bottom w:val="single" w:color="000000" w:sz="4" w:space="0"/>
              <w:right w:val="single" w:color="000000" w:sz="4" w:space="0"/>
            </w:tcBorders>
            <w:noWrap w:val="0"/>
            <w:vAlign w:val="top"/>
          </w:tcPr>
          <w:p w14:paraId="331728C2">
            <w:pPr>
              <w:widowControl/>
              <w:snapToGrid w:val="0"/>
              <w:spacing w:line="360" w:lineRule="auto"/>
              <w:jc w:val="center"/>
              <w:rPr>
                <w:rFonts w:ascii="宋体" w:hAnsi="宋体" w:cs="宋体"/>
                <w:color w:val="auto"/>
                <w:szCs w:val="21"/>
                <w:highlight w:val="none"/>
              </w:rPr>
            </w:pPr>
          </w:p>
        </w:tc>
        <w:tc>
          <w:tcPr>
            <w:tcW w:w="1418" w:type="dxa"/>
            <w:tcBorders>
              <w:top w:val="single" w:color="000000" w:sz="4" w:space="0"/>
              <w:left w:val="nil"/>
              <w:bottom w:val="single" w:color="000000" w:sz="4" w:space="0"/>
              <w:right w:val="single" w:color="000000" w:sz="4" w:space="0"/>
            </w:tcBorders>
            <w:noWrap w:val="0"/>
            <w:vAlign w:val="top"/>
          </w:tcPr>
          <w:p w14:paraId="5B944CCA">
            <w:pPr>
              <w:widowControl/>
              <w:snapToGrid w:val="0"/>
              <w:spacing w:line="360" w:lineRule="auto"/>
              <w:jc w:val="center"/>
              <w:rPr>
                <w:rFonts w:ascii="宋体" w:hAnsi="宋体" w:cs="宋体"/>
                <w:color w:val="auto"/>
                <w:szCs w:val="21"/>
                <w:highlight w:val="none"/>
              </w:rPr>
            </w:pPr>
          </w:p>
        </w:tc>
        <w:tc>
          <w:tcPr>
            <w:tcW w:w="992" w:type="dxa"/>
            <w:tcBorders>
              <w:top w:val="single" w:color="000000" w:sz="4" w:space="0"/>
              <w:left w:val="nil"/>
              <w:bottom w:val="single" w:color="000000" w:sz="4" w:space="0"/>
              <w:right w:val="single" w:color="000000" w:sz="4" w:space="0"/>
            </w:tcBorders>
            <w:noWrap w:val="0"/>
            <w:vAlign w:val="top"/>
          </w:tcPr>
          <w:p w14:paraId="2222D761">
            <w:pPr>
              <w:widowControl/>
              <w:snapToGrid w:val="0"/>
              <w:spacing w:line="360" w:lineRule="auto"/>
              <w:jc w:val="center"/>
              <w:rPr>
                <w:rFonts w:ascii="宋体" w:hAnsi="宋体" w:cs="宋体"/>
                <w:color w:val="auto"/>
                <w:szCs w:val="21"/>
                <w:highlight w:val="none"/>
              </w:rPr>
            </w:pPr>
          </w:p>
        </w:tc>
        <w:tc>
          <w:tcPr>
            <w:tcW w:w="1517" w:type="dxa"/>
            <w:tcBorders>
              <w:top w:val="single" w:color="000000" w:sz="4" w:space="0"/>
              <w:left w:val="nil"/>
              <w:bottom w:val="single" w:color="000000" w:sz="4" w:space="0"/>
              <w:right w:val="single" w:color="000000" w:sz="4" w:space="0"/>
            </w:tcBorders>
            <w:noWrap w:val="0"/>
            <w:vAlign w:val="top"/>
          </w:tcPr>
          <w:p w14:paraId="5A502A77">
            <w:pPr>
              <w:widowControl/>
              <w:snapToGrid w:val="0"/>
              <w:spacing w:line="360" w:lineRule="auto"/>
              <w:jc w:val="center"/>
              <w:rPr>
                <w:rFonts w:ascii="宋体" w:hAnsi="宋体" w:cs="宋体"/>
                <w:color w:val="auto"/>
                <w:szCs w:val="21"/>
                <w:highlight w:val="none"/>
              </w:rPr>
            </w:pPr>
          </w:p>
        </w:tc>
        <w:tc>
          <w:tcPr>
            <w:tcW w:w="1134" w:type="dxa"/>
            <w:tcBorders>
              <w:top w:val="single" w:color="000000" w:sz="4" w:space="0"/>
              <w:left w:val="nil"/>
              <w:bottom w:val="single" w:color="000000" w:sz="4" w:space="0"/>
              <w:right w:val="single" w:color="000000" w:sz="4" w:space="0"/>
            </w:tcBorders>
            <w:noWrap w:val="0"/>
            <w:vAlign w:val="top"/>
          </w:tcPr>
          <w:p w14:paraId="75A0987C">
            <w:pPr>
              <w:widowControl/>
              <w:snapToGrid w:val="0"/>
              <w:spacing w:line="360" w:lineRule="auto"/>
              <w:jc w:val="center"/>
              <w:rPr>
                <w:rFonts w:ascii="宋体" w:hAnsi="宋体" w:cs="宋体"/>
                <w:color w:val="auto"/>
                <w:szCs w:val="21"/>
                <w:highlight w:val="none"/>
              </w:rPr>
            </w:pPr>
          </w:p>
        </w:tc>
        <w:tc>
          <w:tcPr>
            <w:tcW w:w="1134" w:type="dxa"/>
            <w:tcBorders>
              <w:top w:val="single" w:color="000000" w:sz="4" w:space="0"/>
              <w:left w:val="nil"/>
              <w:bottom w:val="single" w:color="000000" w:sz="4" w:space="0"/>
              <w:right w:val="single" w:color="000000" w:sz="4" w:space="0"/>
            </w:tcBorders>
            <w:noWrap w:val="0"/>
            <w:vAlign w:val="top"/>
          </w:tcPr>
          <w:p w14:paraId="4BC10FE2">
            <w:pPr>
              <w:widowControl/>
              <w:snapToGrid w:val="0"/>
              <w:spacing w:line="360" w:lineRule="auto"/>
              <w:jc w:val="center"/>
              <w:rPr>
                <w:rFonts w:ascii="宋体" w:hAnsi="宋体" w:cs="宋体"/>
                <w:color w:val="auto"/>
                <w:szCs w:val="21"/>
                <w:highlight w:val="none"/>
              </w:rPr>
            </w:pPr>
          </w:p>
        </w:tc>
      </w:tr>
      <w:tr w14:paraId="1B61C904">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noWrap w:val="0"/>
            <w:vAlign w:val="top"/>
          </w:tcPr>
          <w:p w14:paraId="289337B8">
            <w:pPr>
              <w:widowControl/>
              <w:snapToGrid w:val="0"/>
              <w:spacing w:line="360" w:lineRule="auto"/>
              <w:jc w:val="center"/>
              <w:rPr>
                <w:rFonts w:ascii="宋体" w:hAnsi="宋体" w:cs="宋体"/>
                <w:color w:val="auto"/>
                <w:szCs w:val="21"/>
                <w:highlight w:val="none"/>
              </w:rPr>
            </w:pPr>
          </w:p>
        </w:tc>
        <w:tc>
          <w:tcPr>
            <w:tcW w:w="1559" w:type="dxa"/>
            <w:tcBorders>
              <w:top w:val="single" w:color="000000" w:sz="4" w:space="0"/>
              <w:left w:val="nil"/>
              <w:bottom w:val="single" w:color="000000" w:sz="4" w:space="0"/>
              <w:right w:val="single" w:color="000000" w:sz="4" w:space="0"/>
            </w:tcBorders>
            <w:noWrap w:val="0"/>
            <w:vAlign w:val="top"/>
          </w:tcPr>
          <w:p w14:paraId="13C9121B">
            <w:pPr>
              <w:widowControl/>
              <w:snapToGrid w:val="0"/>
              <w:spacing w:line="360" w:lineRule="auto"/>
              <w:jc w:val="center"/>
              <w:rPr>
                <w:rFonts w:ascii="宋体" w:hAnsi="宋体" w:cs="宋体"/>
                <w:color w:val="auto"/>
                <w:szCs w:val="21"/>
                <w:highlight w:val="none"/>
              </w:rPr>
            </w:pPr>
          </w:p>
        </w:tc>
        <w:tc>
          <w:tcPr>
            <w:tcW w:w="1418" w:type="dxa"/>
            <w:tcBorders>
              <w:top w:val="single" w:color="000000" w:sz="4" w:space="0"/>
              <w:left w:val="nil"/>
              <w:bottom w:val="single" w:color="000000" w:sz="4" w:space="0"/>
              <w:right w:val="single" w:color="000000" w:sz="4" w:space="0"/>
            </w:tcBorders>
            <w:noWrap w:val="0"/>
            <w:vAlign w:val="top"/>
          </w:tcPr>
          <w:p w14:paraId="7B2B8C30">
            <w:pPr>
              <w:widowControl/>
              <w:snapToGrid w:val="0"/>
              <w:spacing w:line="360" w:lineRule="auto"/>
              <w:jc w:val="center"/>
              <w:rPr>
                <w:rFonts w:ascii="宋体" w:hAnsi="宋体" w:cs="宋体"/>
                <w:color w:val="auto"/>
                <w:szCs w:val="21"/>
                <w:highlight w:val="none"/>
              </w:rPr>
            </w:pPr>
          </w:p>
        </w:tc>
        <w:tc>
          <w:tcPr>
            <w:tcW w:w="992" w:type="dxa"/>
            <w:tcBorders>
              <w:top w:val="single" w:color="000000" w:sz="4" w:space="0"/>
              <w:left w:val="nil"/>
              <w:bottom w:val="single" w:color="000000" w:sz="4" w:space="0"/>
              <w:right w:val="single" w:color="000000" w:sz="4" w:space="0"/>
            </w:tcBorders>
            <w:noWrap w:val="0"/>
            <w:vAlign w:val="top"/>
          </w:tcPr>
          <w:p w14:paraId="5403A0E4">
            <w:pPr>
              <w:widowControl/>
              <w:snapToGrid w:val="0"/>
              <w:spacing w:line="360" w:lineRule="auto"/>
              <w:jc w:val="center"/>
              <w:rPr>
                <w:rFonts w:ascii="宋体" w:hAnsi="宋体" w:cs="宋体"/>
                <w:color w:val="auto"/>
                <w:szCs w:val="21"/>
                <w:highlight w:val="none"/>
              </w:rPr>
            </w:pPr>
          </w:p>
        </w:tc>
        <w:tc>
          <w:tcPr>
            <w:tcW w:w="1517" w:type="dxa"/>
            <w:tcBorders>
              <w:top w:val="single" w:color="000000" w:sz="4" w:space="0"/>
              <w:left w:val="nil"/>
              <w:bottom w:val="single" w:color="000000" w:sz="4" w:space="0"/>
              <w:right w:val="single" w:color="000000" w:sz="4" w:space="0"/>
            </w:tcBorders>
            <w:noWrap w:val="0"/>
            <w:vAlign w:val="top"/>
          </w:tcPr>
          <w:p w14:paraId="24064D7D">
            <w:pPr>
              <w:widowControl/>
              <w:snapToGrid w:val="0"/>
              <w:spacing w:line="360" w:lineRule="auto"/>
              <w:jc w:val="center"/>
              <w:rPr>
                <w:rFonts w:ascii="宋体" w:hAnsi="宋体" w:cs="宋体"/>
                <w:color w:val="auto"/>
                <w:szCs w:val="21"/>
                <w:highlight w:val="none"/>
              </w:rPr>
            </w:pPr>
          </w:p>
        </w:tc>
        <w:tc>
          <w:tcPr>
            <w:tcW w:w="1134" w:type="dxa"/>
            <w:tcBorders>
              <w:top w:val="single" w:color="000000" w:sz="4" w:space="0"/>
              <w:left w:val="nil"/>
              <w:bottom w:val="single" w:color="000000" w:sz="4" w:space="0"/>
              <w:right w:val="single" w:color="000000" w:sz="4" w:space="0"/>
            </w:tcBorders>
            <w:noWrap w:val="0"/>
            <w:vAlign w:val="top"/>
          </w:tcPr>
          <w:p w14:paraId="07AFD27B">
            <w:pPr>
              <w:widowControl/>
              <w:snapToGrid w:val="0"/>
              <w:spacing w:line="360" w:lineRule="auto"/>
              <w:jc w:val="center"/>
              <w:rPr>
                <w:rFonts w:ascii="宋体" w:hAnsi="宋体" w:cs="宋体"/>
                <w:color w:val="auto"/>
                <w:szCs w:val="21"/>
                <w:highlight w:val="none"/>
              </w:rPr>
            </w:pPr>
          </w:p>
        </w:tc>
        <w:tc>
          <w:tcPr>
            <w:tcW w:w="1134" w:type="dxa"/>
            <w:tcBorders>
              <w:top w:val="single" w:color="000000" w:sz="4" w:space="0"/>
              <w:left w:val="nil"/>
              <w:bottom w:val="single" w:color="000000" w:sz="4" w:space="0"/>
              <w:right w:val="single" w:color="000000" w:sz="4" w:space="0"/>
            </w:tcBorders>
            <w:noWrap w:val="0"/>
            <w:vAlign w:val="top"/>
          </w:tcPr>
          <w:p w14:paraId="3244AF7C">
            <w:pPr>
              <w:widowControl/>
              <w:snapToGrid w:val="0"/>
              <w:spacing w:line="360" w:lineRule="auto"/>
              <w:jc w:val="center"/>
              <w:rPr>
                <w:rFonts w:ascii="宋体" w:hAnsi="宋体" w:cs="宋体"/>
                <w:color w:val="auto"/>
                <w:szCs w:val="21"/>
                <w:highlight w:val="none"/>
              </w:rPr>
            </w:pPr>
          </w:p>
        </w:tc>
      </w:tr>
      <w:tr w14:paraId="023A439E">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noWrap w:val="0"/>
            <w:vAlign w:val="top"/>
          </w:tcPr>
          <w:p w14:paraId="3BCBBFB8">
            <w:pPr>
              <w:widowControl/>
              <w:snapToGrid w:val="0"/>
              <w:spacing w:line="360" w:lineRule="auto"/>
              <w:jc w:val="center"/>
              <w:rPr>
                <w:rFonts w:ascii="宋体" w:hAnsi="宋体" w:cs="宋体"/>
                <w:color w:val="auto"/>
                <w:szCs w:val="21"/>
                <w:highlight w:val="none"/>
              </w:rPr>
            </w:pPr>
          </w:p>
        </w:tc>
        <w:tc>
          <w:tcPr>
            <w:tcW w:w="1559" w:type="dxa"/>
            <w:tcBorders>
              <w:top w:val="single" w:color="000000" w:sz="4" w:space="0"/>
              <w:left w:val="nil"/>
              <w:bottom w:val="single" w:color="000000" w:sz="4" w:space="0"/>
              <w:right w:val="single" w:color="000000" w:sz="4" w:space="0"/>
            </w:tcBorders>
            <w:noWrap w:val="0"/>
            <w:vAlign w:val="top"/>
          </w:tcPr>
          <w:p w14:paraId="295360CB">
            <w:pPr>
              <w:widowControl/>
              <w:snapToGrid w:val="0"/>
              <w:spacing w:line="360" w:lineRule="auto"/>
              <w:jc w:val="center"/>
              <w:rPr>
                <w:rFonts w:ascii="宋体" w:hAnsi="宋体" w:cs="宋体"/>
                <w:color w:val="auto"/>
                <w:szCs w:val="21"/>
                <w:highlight w:val="none"/>
              </w:rPr>
            </w:pPr>
          </w:p>
        </w:tc>
        <w:tc>
          <w:tcPr>
            <w:tcW w:w="1418" w:type="dxa"/>
            <w:tcBorders>
              <w:top w:val="single" w:color="000000" w:sz="4" w:space="0"/>
              <w:left w:val="nil"/>
              <w:bottom w:val="single" w:color="000000" w:sz="4" w:space="0"/>
              <w:right w:val="single" w:color="000000" w:sz="4" w:space="0"/>
            </w:tcBorders>
            <w:noWrap w:val="0"/>
            <w:vAlign w:val="top"/>
          </w:tcPr>
          <w:p w14:paraId="3C43F8F0">
            <w:pPr>
              <w:widowControl/>
              <w:snapToGrid w:val="0"/>
              <w:spacing w:line="360" w:lineRule="auto"/>
              <w:jc w:val="center"/>
              <w:rPr>
                <w:rFonts w:ascii="宋体" w:hAnsi="宋体" w:cs="宋体"/>
                <w:color w:val="auto"/>
                <w:szCs w:val="21"/>
                <w:highlight w:val="none"/>
              </w:rPr>
            </w:pPr>
          </w:p>
        </w:tc>
        <w:tc>
          <w:tcPr>
            <w:tcW w:w="992" w:type="dxa"/>
            <w:tcBorders>
              <w:top w:val="single" w:color="000000" w:sz="4" w:space="0"/>
              <w:left w:val="nil"/>
              <w:bottom w:val="single" w:color="000000" w:sz="4" w:space="0"/>
              <w:right w:val="single" w:color="000000" w:sz="4" w:space="0"/>
            </w:tcBorders>
            <w:noWrap w:val="0"/>
            <w:vAlign w:val="top"/>
          </w:tcPr>
          <w:p w14:paraId="51F68020">
            <w:pPr>
              <w:widowControl/>
              <w:snapToGrid w:val="0"/>
              <w:spacing w:line="360" w:lineRule="auto"/>
              <w:jc w:val="center"/>
              <w:rPr>
                <w:rFonts w:ascii="宋体" w:hAnsi="宋体" w:cs="宋体"/>
                <w:color w:val="auto"/>
                <w:szCs w:val="21"/>
                <w:highlight w:val="none"/>
              </w:rPr>
            </w:pPr>
          </w:p>
        </w:tc>
        <w:tc>
          <w:tcPr>
            <w:tcW w:w="1517" w:type="dxa"/>
            <w:tcBorders>
              <w:top w:val="single" w:color="000000" w:sz="4" w:space="0"/>
              <w:left w:val="nil"/>
              <w:bottom w:val="single" w:color="000000" w:sz="4" w:space="0"/>
              <w:right w:val="single" w:color="000000" w:sz="4" w:space="0"/>
            </w:tcBorders>
            <w:noWrap w:val="0"/>
            <w:vAlign w:val="top"/>
          </w:tcPr>
          <w:p w14:paraId="7C16C905">
            <w:pPr>
              <w:widowControl/>
              <w:snapToGrid w:val="0"/>
              <w:spacing w:line="360" w:lineRule="auto"/>
              <w:jc w:val="center"/>
              <w:rPr>
                <w:rFonts w:ascii="宋体" w:hAnsi="宋体" w:cs="宋体"/>
                <w:color w:val="auto"/>
                <w:szCs w:val="21"/>
                <w:highlight w:val="none"/>
              </w:rPr>
            </w:pPr>
          </w:p>
        </w:tc>
        <w:tc>
          <w:tcPr>
            <w:tcW w:w="1134" w:type="dxa"/>
            <w:tcBorders>
              <w:top w:val="single" w:color="000000" w:sz="4" w:space="0"/>
              <w:left w:val="nil"/>
              <w:bottom w:val="single" w:color="000000" w:sz="4" w:space="0"/>
              <w:right w:val="single" w:color="000000" w:sz="4" w:space="0"/>
            </w:tcBorders>
            <w:noWrap w:val="0"/>
            <w:vAlign w:val="top"/>
          </w:tcPr>
          <w:p w14:paraId="102B748C">
            <w:pPr>
              <w:widowControl/>
              <w:snapToGrid w:val="0"/>
              <w:spacing w:line="360" w:lineRule="auto"/>
              <w:jc w:val="center"/>
              <w:rPr>
                <w:rFonts w:ascii="宋体" w:hAnsi="宋体" w:cs="宋体"/>
                <w:color w:val="auto"/>
                <w:szCs w:val="21"/>
                <w:highlight w:val="none"/>
              </w:rPr>
            </w:pPr>
          </w:p>
        </w:tc>
        <w:tc>
          <w:tcPr>
            <w:tcW w:w="1134" w:type="dxa"/>
            <w:tcBorders>
              <w:top w:val="single" w:color="000000" w:sz="4" w:space="0"/>
              <w:left w:val="nil"/>
              <w:bottom w:val="single" w:color="000000" w:sz="4" w:space="0"/>
              <w:right w:val="single" w:color="000000" w:sz="4" w:space="0"/>
            </w:tcBorders>
            <w:noWrap w:val="0"/>
            <w:vAlign w:val="top"/>
          </w:tcPr>
          <w:p w14:paraId="341A07B0">
            <w:pPr>
              <w:widowControl/>
              <w:snapToGrid w:val="0"/>
              <w:spacing w:line="360" w:lineRule="auto"/>
              <w:jc w:val="center"/>
              <w:rPr>
                <w:rFonts w:ascii="宋体" w:hAnsi="宋体" w:cs="宋体"/>
                <w:color w:val="auto"/>
                <w:szCs w:val="21"/>
                <w:highlight w:val="none"/>
              </w:rPr>
            </w:pPr>
          </w:p>
        </w:tc>
      </w:tr>
      <w:tr w14:paraId="5C0A8612">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noWrap w:val="0"/>
            <w:vAlign w:val="top"/>
          </w:tcPr>
          <w:p w14:paraId="73E7C7D2">
            <w:pPr>
              <w:widowControl/>
              <w:snapToGrid w:val="0"/>
              <w:spacing w:line="360" w:lineRule="auto"/>
              <w:jc w:val="center"/>
              <w:rPr>
                <w:rFonts w:ascii="宋体" w:hAnsi="宋体" w:cs="宋体"/>
                <w:color w:val="auto"/>
                <w:szCs w:val="21"/>
                <w:highlight w:val="none"/>
              </w:rPr>
            </w:pPr>
          </w:p>
        </w:tc>
        <w:tc>
          <w:tcPr>
            <w:tcW w:w="1559" w:type="dxa"/>
            <w:tcBorders>
              <w:top w:val="single" w:color="000000" w:sz="4" w:space="0"/>
              <w:left w:val="nil"/>
              <w:bottom w:val="single" w:color="000000" w:sz="4" w:space="0"/>
              <w:right w:val="single" w:color="000000" w:sz="4" w:space="0"/>
            </w:tcBorders>
            <w:noWrap w:val="0"/>
            <w:vAlign w:val="top"/>
          </w:tcPr>
          <w:p w14:paraId="7DDE8854">
            <w:pPr>
              <w:widowControl/>
              <w:snapToGrid w:val="0"/>
              <w:spacing w:line="360" w:lineRule="auto"/>
              <w:jc w:val="center"/>
              <w:rPr>
                <w:rFonts w:ascii="宋体" w:hAnsi="宋体" w:cs="宋体"/>
                <w:color w:val="auto"/>
                <w:szCs w:val="21"/>
                <w:highlight w:val="none"/>
              </w:rPr>
            </w:pPr>
          </w:p>
        </w:tc>
        <w:tc>
          <w:tcPr>
            <w:tcW w:w="1418" w:type="dxa"/>
            <w:tcBorders>
              <w:top w:val="single" w:color="000000" w:sz="4" w:space="0"/>
              <w:left w:val="nil"/>
              <w:bottom w:val="single" w:color="000000" w:sz="4" w:space="0"/>
              <w:right w:val="single" w:color="000000" w:sz="4" w:space="0"/>
            </w:tcBorders>
            <w:noWrap w:val="0"/>
            <w:vAlign w:val="top"/>
          </w:tcPr>
          <w:p w14:paraId="6DD0B979">
            <w:pPr>
              <w:widowControl/>
              <w:snapToGrid w:val="0"/>
              <w:spacing w:line="360" w:lineRule="auto"/>
              <w:jc w:val="center"/>
              <w:rPr>
                <w:rFonts w:ascii="宋体" w:hAnsi="宋体" w:cs="宋体"/>
                <w:color w:val="auto"/>
                <w:szCs w:val="21"/>
                <w:highlight w:val="none"/>
              </w:rPr>
            </w:pPr>
          </w:p>
        </w:tc>
        <w:tc>
          <w:tcPr>
            <w:tcW w:w="992" w:type="dxa"/>
            <w:tcBorders>
              <w:top w:val="single" w:color="000000" w:sz="4" w:space="0"/>
              <w:left w:val="nil"/>
              <w:bottom w:val="single" w:color="000000" w:sz="4" w:space="0"/>
              <w:right w:val="single" w:color="000000" w:sz="4" w:space="0"/>
            </w:tcBorders>
            <w:noWrap w:val="0"/>
            <w:vAlign w:val="top"/>
          </w:tcPr>
          <w:p w14:paraId="612B339D">
            <w:pPr>
              <w:widowControl/>
              <w:snapToGrid w:val="0"/>
              <w:spacing w:line="360" w:lineRule="auto"/>
              <w:jc w:val="center"/>
              <w:rPr>
                <w:rFonts w:ascii="宋体" w:hAnsi="宋体" w:cs="宋体"/>
                <w:color w:val="auto"/>
                <w:szCs w:val="21"/>
                <w:highlight w:val="none"/>
              </w:rPr>
            </w:pPr>
          </w:p>
        </w:tc>
        <w:tc>
          <w:tcPr>
            <w:tcW w:w="1517" w:type="dxa"/>
            <w:tcBorders>
              <w:top w:val="single" w:color="000000" w:sz="4" w:space="0"/>
              <w:left w:val="nil"/>
              <w:bottom w:val="single" w:color="000000" w:sz="4" w:space="0"/>
              <w:right w:val="single" w:color="000000" w:sz="4" w:space="0"/>
            </w:tcBorders>
            <w:noWrap w:val="0"/>
            <w:vAlign w:val="top"/>
          </w:tcPr>
          <w:p w14:paraId="2834FC3E">
            <w:pPr>
              <w:widowControl/>
              <w:snapToGrid w:val="0"/>
              <w:spacing w:line="360" w:lineRule="auto"/>
              <w:jc w:val="center"/>
              <w:rPr>
                <w:rFonts w:ascii="宋体" w:hAnsi="宋体" w:cs="宋体"/>
                <w:color w:val="auto"/>
                <w:szCs w:val="21"/>
                <w:highlight w:val="none"/>
              </w:rPr>
            </w:pPr>
          </w:p>
        </w:tc>
        <w:tc>
          <w:tcPr>
            <w:tcW w:w="1134" w:type="dxa"/>
            <w:tcBorders>
              <w:top w:val="single" w:color="000000" w:sz="4" w:space="0"/>
              <w:left w:val="nil"/>
              <w:bottom w:val="single" w:color="000000" w:sz="4" w:space="0"/>
              <w:right w:val="single" w:color="000000" w:sz="4" w:space="0"/>
            </w:tcBorders>
            <w:noWrap w:val="0"/>
            <w:vAlign w:val="top"/>
          </w:tcPr>
          <w:p w14:paraId="165292FF">
            <w:pPr>
              <w:widowControl/>
              <w:snapToGrid w:val="0"/>
              <w:spacing w:line="360" w:lineRule="auto"/>
              <w:jc w:val="center"/>
              <w:rPr>
                <w:rFonts w:ascii="宋体" w:hAnsi="宋体" w:cs="宋体"/>
                <w:color w:val="auto"/>
                <w:szCs w:val="21"/>
                <w:highlight w:val="none"/>
              </w:rPr>
            </w:pPr>
          </w:p>
        </w:tc>
        <w:tc>
          <w:tcPr>
            <w:tcW w:w="1134" w:type="dxa"/>
            <w:tcBorders>
              <w:top w:val="single" w:color="000000" w:sz="4" w:space="0"/>
              <w:left w:val="nil"/>
              <w:bottom w:val="single" w:color="000000" w:sz="4" w:space="0"/>
              <w:right w:val="single" w:color="000000" w:sz="4" w:space="0"/>
            </w:tcBorders>
            <w:noWrap w:val="0"/>
            <w:vAlign w:val="top"/>
          </w:tcPr>
          <w:p w14:paraId="1AD9DE75">
            <w:pPr>
              <w:widowControl/>
              <w:snapToGrid w:val="0"/>
              <w:spacing w:line="360" w:lineRule="auto"/>
              <w:jc w:val="center"/>
              <w:rPr>
                <w:rFonts w:ascii="宋体" w:hAnsi="宋体" w:cs="宋体"/>
                <w:color w:val="auto"/>
                <w:szCs w:val="21"/>
                <w:highlight w:val="none"/>
              </w:rPr>
            </w:pPr>
          </w:p>
        </w:tc>
      </w:tr>
      <w:tr w14:paraId="0B4D7D3F">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noWrap w:val="0"/>
            <w:vAlign w:val="top"/>
          </w:tcPr>
          <w:p w14:paraId="4C9B494D">
            <w:pPr>
              <w:widowControl/>
              <w:snapToGrid w:val="0"/>
              <w:spacing w:line="360" w:lineRule="auto"/>
              <w:jc w:val="center"/>
              <w:rPr>
                <w:rFonts w:ascii="宋体" w:hAnsi="宋体" w:cs="宋体"/>
                <w:color w:val="auto"/>
                <w:szCs w:val="21"/>
                <w:highlight w:val="none"/>
              </w:rPr>
            </w:pPr>
          </w:p>
        </w:tc>
        <w:tc>
          <w:tcPr>
            <w:tcW w:w="1559" w:type="dxa"/>
            <w:tcBorders>
              <w:top w:val="single" w:color="000000" w:sz="4" w:space="0"/>
              <w:left w:val="nil"/>
              <w:bottom w:val="single" w:color="000000" w:sz="4" w:space="0"/>
              <w:right w:val="single" w:color="000000" w:sz="4" w:space="0"/>
            </w:tcBorders>
            <w:noWrap w:val="0"/>
            <w:vAlign w:val="top"/>
          </w:tcPr>
          <w:p w14:paraId="07E62D95">
            <w:pPr>
              <w:widowControl/>
              <w:snapToGrid w:val="0"/>
              <w:spacing w:line="360" w:lineRule="auto"/>
              <w:jc w:val="center"/>
              <w:rPr>
                <w:rFonts w:ascii="宋体" w:hAnsi="宋体" w:cs="宋体"/>
                <w:color w:val="auto"/>
                <w:szCs w:val="21"/>
                <w:highlight w:val="none"/>
              </w:rPr>
            </w:pPr>
          </w:p>
        </w:tc>
        <w:tc>
          <w:tcPr>
            <w:tcW w:w="1418" w:type="dxa"/>
            <w:tcBorders>
              <w:top w:val="single" w:color="000000" w:sz="4" w:space="0"/>
              <w:left w:val="nil"/>
              <w:bottom w:val="single" w:color="000000" w:sz="4" w:space="0"/>
              <w:right w:val="single" w:color="000000" w:sz="4" w:space="0"/>
            </w:tcBorders>
            <w:noWrap w:val="0"/>
            <w:vAlign w:val="top"/>
          </w:tcPr>
          <w:p w14:paraId="03C0947A">
            <w:pPr>
              <w:widowControl/>
              <w:snapToGrid w:val="0"/>
              <w:spacing w:line="360" w:lineRule="auto"/>
              <w:jc w:val="center"/>
              <w:rPr>
                <w:rFonts w:ascii="宋体" w:hAnsi="宋体" w:cs="宋体"/>
                <w:color w:val="auto"/>
                <w:szCs w:val="21"/>
                <w:highlight w:val="none"/>
              </w:rPr>
            </w:pPr>
          </w:p>
        </w:tc>
        <w:tc>
          <w:tcPr>
            <w:tcW w:w="992" w:type="dxa"/>
            <w:tcBorders>
              <w:top w:val="single" w:color="000000" w:sz="4" w:space="0"/>
              <w:left w:val="nil"/>
              <w:bottom w:val="single" w:color="000000" w:sz="4" w:space="0"/>
              <w:right w:val="single" w:color="000000" w:sz="4" w:space="0"/>
            </w:tcBorders>
            <w:noWrap w:val="0"/>
            <w:vAlign w:val="top"/>
          </w:tcPr>
          <w:p w14:paraId="387B3ED9">
            <w:pPr>
              <w:widowControl/>
              <w:snapToGrid w:val="0"/>
              <w:spacing w:line="360" w:lineRule="auto"/>
              <w:jc w:val="center"/>
              <w:rPr>
                <w:rFonts w:ascii="宋体" w:hAnsi="宋体" w:cs="宋体"/>
                <w:color w:val="auto"/>
                <w:szCs w:val="21"/>
                <w:highlight w:val="none"/>
              </w:rPr>
            </w:pPr>
          </w:p>
        </w:tc>
        <w:tc>
          <w:tcPr>
            <w:tcW w:w="1517" w:type="dxa"/>
            <w:tcBorders>
              <w:top w:val="single" w:color="000000" w:sz="4" w:space="0"/>
              <w:left w:val="nil"/>
              <w:bottom w:val="single" w:color="000000" w:sz="4" w:space="0"/>
              <w:right w:val="single" w:color="000000" w:sz="4" w:space="0"/>
            </w:tcBorders>
            <w:noWrap w:val="0"/>
            <w:vAlign w:val="top"/>
          </w:tcPr>
          <w:p w14:paraId="5318B61A">
            <w:pPr>
              <w:widowControl/>
              <w:snapToGrid w:val="0"/>
              <w:spacing w:line="360" w:lineRule="auto"/>
              <w:jc w:val="center"/>
              <w:rPr>
                <w:rFonts w:ascii="宋体" w:hAnsi="宋体" w:cs="宋体"/>
                <w:color w:val="auto"/>
                <w:szCs w:val="21"/>
                <w:highlight w:val="none"/>
              </w:rPr>
            </w:pPr>
          </w:p>
        </w:tc>
        <w:tc>
          <w:tcPr>
            <w:tcW w:w="1134" w:type="dxa"/>
            <w:tcBorders>
              <w:top w:val="single" w:color="000000" w:sz="4" w:space="0"/>
              <w:left w:val="nil"/>
              <w:bottom w:val="single" w:color="000000" w:sz="4" w:space="0"/>
              <w:right w:val="single" w:color="000000" w:sz="4" w:space="0"/>
            </w:tcBorders>
            <w:noWrap w:val="0"/>
            <w:vAlign w:val="top"/>
          </w:tcPr>
          <w:p w14:paraId="200E81BE">
            <w:pPr>
              <w:widowControl/>
              <w:snapToGrid w:val="0"/>
              <w:spacing w:line="360" w:lineRule="auto"/>
              <w:jc w:val="center"/>
              <w:rPr>
                <w:rFonts w:ascii="宋体" w:hAnsi="宋体" w:cs="宋体"/>
                <w:color w:val="auto"/>
                <w:szCs w:val="21"/>
                <w:highlight w:val="none"/>
              </w:rPr>
            </w:pPr>
          </w:p>
        </w:tc>
        <w:tc>
          <w:tcPr>
            <w:tcW w:w="1134" w:type="dxa"/>
            <w:tcBorders>
              <w:top w:val="single" w:color="000000" w:sz="4" w:space="0"/>
              <w:left w:val="nil"/>
              <w:bottom w:val="single" w:color="000000" w:sz="4" w:space="0"/>
              <w:right w:val="single" w:color="000000" w:sz="4" w:space="0"/>
            </w:tcBorders>
            <w:noWrap w:val="0"/>
            <w:vAlign w:val="top"/>
          </w:tcPr>
          <w:p w14:paraId="6E777B5C">
            <w:pPr>
              <w:widowControl/>
              <w:snapToGrid w:val="0"/>
              <w:spacing w:line="360" w:lineRule="auto"/>
              <w:jc w:val="center"/>
              <w:rPr>
                <w:rFonts w:ascii="宋体" w:hAnsi="宋体" w:cs="宋体"/>
                <w:color w:val="auto"/>
                <w:szCs w:val="21"/>
                <w:highlight w:val="none"/>
              </w:rPr>
            </w:pPr>
          </w:p>
        </w:tc>
      </w:tr>
    </w:tbl>
    <w:p w14:paraId="055ABAFF">
      <w:pPr>
        <w:spacing w:line="440" w:lineRule="exact"/>
        <w:rPr>
          <w:rFonts w:ascii="宋体" w:hAnsi="宋体" w:cs="宋体"/>
          <w:color w:val="auto"/>
          <w:szCs w:val="21"/>
          <w:highlight w:val="none"/>
          <w:lang w:eastAsia="zh-CN"/>
        </w:rPr>
      </w:pPr>
      <w:r>
        <w:rPr>
          <w:rFonts w:hint="eastAsia" w:ascii="宋体" w:hAnsi="宋体" w:eastAsia="宋体" w:cs="宋体"/>
          <w:color w:val="auto"/>
          <w:szCs w:val="21"/>
          <w:highlight w:val="none"/>
          <w:lang w:eastAsia="zh-CN"/>
        </w:rPr>
        <w:t>供应商名称</w:t>
      </w:r>
      <w:r>
        <w:rPr>
          <w:rFonts w:ascii="宋体" w:hAnsi="宋体" w:cs="宋体"/>
          <w:color w:val="auto"/>
          <w:highlight w:val="none"/>
          <w:lang w:eastAsia="zh-CN"/>
        </w:rPr>
        <w:t>（</w:t>
      </w:r>
      <w:r>
        <w:rPr>
          <w:rFonts w:hint="eastAsia" w:ascii="宋体" w:hAnsi="宋体" w:cs="宋体"/>
          <w:color w:val="auto"/>
          <w:highlight w:val="none"/>
          <w:lang w:eastAsia="zh-CN"/>
        </w:rPr>
        <w:t>加盖电子公章）</w:t>
      </w:r>
      <w:r>
        <w:rPr>
          <w:rFonts w:hint="eastAsia" w:ascii="宋体" w:hAnsi="宋体" w:eastAsia="宋体" w:cs="宋体"/>
          <w:color w:val="auto"/>
          <w:szCs w:val="21"/>
          <w:highlight w:val="none"/>
          <w:lang w:eastAsia="zh-CN"/>
        </w:rPr>
        <w:t>：</w:t>
      </w:r>
    </w:p>
    <w:p w14:paraId="7FDAE07D">
      <w:pPr>
        <w:spacing w:line="440" w:lineRule="exact"/>
        <w:rPr>
          <w:rFonts w:ascii="宋体" w:hAnsi="宋体" w:cs="宋体"/>
          <w:color w:val="auto"/>
          <w:szCs w:val="21"/>
          <w:highlight w:val="none"/>
          <w:lang w:eastAsia="zh-CN"/>
        </w:rPr>
      </w:pPr>
      <w:r>
        <w:rPr>
          <w:rFonts w:hint="eastAsia" w:ascii="宋体" w:hAnsi="宋体" w:eastAsia="宋体" w:cs="宋体"/>
          <w:color w:val="auto"/>
          <w:szCs w:val="21"/>
          <w:highlight w:val="none"/>
          <w:lang w:eastAsia="zh-CN"/>
        </w:rPr>
        <w:t>授权代表（签字或签章）：</w:t>
      </w:r>
    </w:p>
    <w:p w14:paraId="5C5B104D">
      <w:pPr>
        <w:spacing w:line="440" w:lineRule="exact"/>
        <w:rPr>
          <w:rFonts w:ascii="宋体" w:hAnsi="宋体" w:cs="宋体"/>
          <w:color w:val="auto"/>
          <w:szCs w:val="21"/>
          <w:highlight w:val="none"/>
          <w:lang w:eastAsia="zh-CN"/>
        </w:rPr>
      </w:pPr>
      <w:r>
        <w:rPr>
          <w:rFonts w:hint="eastAsia" w:ascii="宋体" w:hAnsi="宋体" w:eastAsia="宋体" w:cs="宋体"/>
          <w:color w:val="auto"/>
          <w:szCs w:val="21"/>
          <w:highlight w:val="none"/>
          <w:lang w:eastAsia="zh-CN"/>
        </w:rPr>
        <w:t>日期：</w:t>
      </w:r>
    </w:p>
    <w:p w14:paraId="18D86439">
      <w:pPr>
        <w:widowControl/>
        <w:adjustRightInd w:val="0"/>
        <w:snapToGrid w:val="0"/>
        <w:spacing w:line="360" w:lineRule="auto"/>
        <w:rPr>
          <w:rFonts w:ascii="宋体" w:hAnsi="宋体" w:cs="宋体"/>
          <w:color w:val="auto"/>
          <w:szCs w:val="21"/>
          <w:highlight w:val="none"/>
          <w:lang w:eastAsia="zh-CN"/>
        </w:rPr>
      </w:pPr>
    </w:p>
    <w:p w14:paraId="6AF12C7C">
      <w:pPr>
        <w:widowControl/>
        <w:adjustRightInd w:val="0"/>
        <w:snapToGrid w:val="0"/>
        <w:spacing w:line="360" w:lineRule="auto"/>
        <w:rPr>
          <w:rFonts w:ascii="宋体" w:hAnsi="宋体" w:cs="宋体"/>
          <w:b/>
          <w:bCs/>
          <w:color w:val="auto"/>
          <w:szCs w:val="21"/>
          <w:highlight w:val="none"/>
          <w:lang w:eastAsia="zh-CN"/>
        </w:rPr>
      </w:pPr>
      <w:r>
        <w:rPr>
          <w:rFonts w:hint="eastAsia" w:ascii="宋体" w:hAnsi="宋体" w:eastAsia="宋体" w:cs="宋体"/>
          <w:color w:val="auto"/>
          <w:szCs w:val="21"/>
          <w:highlight w:val="none"/>
          <w:lang w:eastAsia="zh-CN"/>
        </w:rPr>
        <w:t>注：具体时间要求及需提交的证明材料见</w:t>
      </w:r>
      <w:r>
        <w:rPr>
          <w:rFonts w:cs="Calibri"/>
          <w:color w:val="auto"/>
          <w:szCs w:val="21"/>
          <w:highlight w:val="none"/>
          <w:lang w:eastAsia="zh-CN"/>
        </w:rPr>
        <w:t>“</w:t>
      </w:r>
      <w:r>
        <w:rPr>
          <w:rFonts w:hint="eastAsia" w:ascii="宋体" w:hAnsi="宋体" w:eastAsia="宋体" w:cs="宋体"/>
          <w:color w:val="auto"/>
          <w:szCs w:val="21"/>
          <w:highlight w:val="none"/>
          <w:lang w:eastAsia="zh-CN"/>
        </w:rPr>
        <w:t>第三章</w:t>
      </w:r>
      <w:r>
        <w:rPr>
          <w:rFonts w:hint="eastAsia" w:ascii="宋体" w:hAnsi="宋体" w:cs="宋体"/>
          <w:color w:val="auto"/>
          <w:szCs w:val="21"/>
          <w:highlight w:val="none"/>
          <w:lang w:eastAsia="zh-CN"/>
        </w:rPr>
        <w:t xml:space="preserve"> </w:t>
      </w:r>
      <w:r>
        <w:rPr>
          <w:rFonts w:hint="eastAsia" w:ascii="宋体" w:hAnsi="宋体" w:eastAsia="宋体" w:cs="宋体"/>
          <w:color w:val="auto"/>
          <w:szCs w:val="21"/>
          <w:highlight w:val="none"/>
          <w:lang w:eastAsia="zh-CN"/>
        </w:rPr>
        <w:t>评审标准</w:t>
      </w:r>
      <w:r>
        <w:rPr>
          <w:rFonts w:cs="Calibri"/>
          <w:color w:val="auto"/>
          <w:szCs w:val="21"/>
          <w:highlight w:val="none"/>
          <w:lang w:eastAsia="zh-CN"/>
        </w:rPr>
        <w:t>”</w:t>
      </w:r>
      <w:r>
        <w:rPr>
          <w:rFonts w:hint="eastAsia" w:ascii="宋体" w:hAnsi="宋体" w:eastAsia="宋体" w:cs="宋体"/>
          <w:color w:val="auto"/>
          <w:szCs w:val="21"/>
          <w:highlight w:val="none"/>
          <w:lang w:eastAsia="zh-CN"/>
        </w:rPr>
        <w:t>。</w:t>
      </w:r>
      <w:r>
        <w:rPr>
          <w:rFonts w:hint="eastAsia" w:ascii="宋体" w:hAnsi="宋体" w:cs="宋体"/>
          <w:b/>
          <w:color w:val="auto"/>
          <w:sz w:val="30"/>
          <w:szCs w:val="30"/>
          <w:highlight w:val="none"/>
          <w:lang w:eastAsia="zh-CN"/>
        </w:rPr>
        <w:br w:type="column"/>
      </w:r>
      <w:r>
        <w:rPr>
          <w:rFonts w:hint="eastAsia" w:ascii="宋体" w:hAnsi="宋体" w:cs="宋体"/>
          <w:b/>
          <w:color w:val="auto"/>
          <w:highlight w:val="none"/>
          <w:lang w:eastAsia="zh-CN"/>
        </w:rPr>
        <w:t>格式八、资格证明文件</w:t>
      </w:r>
    </w:p>
    <w:p w14:paraId="44108605">
      <w:pPr>
        <w:pStyle w:val="70"/>
        <w:adjustRightInd w:val="0"/>
        <w:snapToGrid w:val="0"/>
        <w:ind w:firstLine="420"/>
        <w:rPr>
          <w:rFonts w:hint="eastAsia" w:eastAsia="宋体" w:cs="宋体"/>
          <w:bCs/>
          <w:color w:val="auto"/>
          <w:sz w:val="21"/>
          <w:szCs w:val="21"/>
          <w:highlight w:val="none"/>
          <w:lang w:eastAsia="zh-CN"/>
        </w:rPr>
      </w:pPr>
      <w:r>
        <w:rPr>
          <w:rFonts w:hint="eastAsia" w:eastAsia="宋体" w:cs="宋体"/>
          <w:bCs/>
          <w:color w:val="auto"/>
          <w:sz w:val="21"/>
          <w:szCs w:val="21"/>
          <w:highlight w:val="none"/>
          <w:lang w:eastAsia="zh-CN"/>
        </w:rPr>
        <w:t>1.满足《中华人民共和国政府采购法》第二十二条规定：</w:t>
      </w:r>
    </w:p>
    <w:p w14:paraId="2774781C">
      <w:pPr>
        <w:pStyle w:val="70"/>
        <w:adjustRightInd w:val="0"/>
        <w:snapToGrid w:val="0"/>
        <w:ind w:firstLine="420"/>
        <w:rPr>
          <w:rFonts w:hint="eastAsia" w:eastAsia="宋体" w:cs="宋体"/>
          <w:bCs/>
          <w:color w:val="auto"/>
          <w:sz w:val="21"/>
          <w:szCs w:val="21"/>
          <w:highlight w:val="none"/>
          <w:lang w:eastAsia="zh-CN"/>
        </w:rPr>
      </w:pPr>
      <w:r>
        <w:rPr>
          <w:rFonts w:hint="eastAsia" w:eastAsia="宋体" w:cs="宋体"/>
          <w:bCs/>
          <w:color w:val="auto"/>
          <w:sz w:val="21"/>
          <w:szCs w:val="21"/>
          <w:highlight w:val="none"/>
          <w:lang w:eastAsia="zh-CN"/>
        </w:rPr>
        <w:t>（1）具有独立承担民事责任的能力（提供法人或者其他组织的营业执照，自然人的身份证明扫描件加盖公章）；</w:t>
      </w:r>
    </w:p>
    <w:p w14:paraId="7C8D32E1">
      <w:pPr>
        <w:pStyle w:val="70"/>
        <w:adjustRightInd w:val="0"/>
        <w:snapToGrid w:val="0"/>
        <w:ind w:firstLine="420"/>
        <w:rPr>
          <w:rFonts w:hint="eastAsia" w:eastAsia="宋体" w:cs="宋体"/>
          <w:bCs/>
          <w:color w:val="auto"/>
          <w:sz w:val="21"/>
          <w:szCs w:val="21"/>
          <w:highlight w:val="none"/>
          <w:lang w:eastAsia="zh-CN"/>
        </w:rPr>
      </w:pPr>
      <w:r>
        <w:rPr>
          <w:rFonts w:hint="eastAsia" w:eastAsia="宋体" w:cs="宋体"/>
          <w:bCs/>
          <w:color w:val="auto"/>
          <w:sz w:val="21"/>
          <w:szCs w:val="21"/>
          <w:highlight w:val="none"/>
          <w:lang w:eastAsia="zh-CN"/>
        </w:rPr>
        <w:t>（2）具有良好的商业信誉和健全的财务会计制度（提供由第三方专业机构出具的2024年度或2025年度财务审计报告（财务审计报告至少包含资产负债表、利润表、现金流量表、第三方专业机构盖章和注册会计师签章、签字页）或近半年内（2026年1月起至今）任一月的财务报表（至少包括资产负债表和利润表）的扫描件加盖公章或近半年内（2026年1月起至今）银行出具的企业资信证明的扫描件加盖公章</w:t>
      </w:r>
      <w:r>
        <w:rPr>
          <w:rFonts w:hint="eastAsia" w:eastAsia="宋体" w:cs="宋体"/>
          <w:bCs/>
          <w:color w:val="auto"/>
          <w:sz w:val="21"/>
          <w:szCs w:val="21"/>
          <w:highlight w:val="none"/>
          <w:lang w:val="zh-TW" w:eastAsia="zh-CN"/>
        </w:rPr>
        <w:t>，</w:t>
      </w:r>
      <w:r>
        <w:rPr>
          <w:rFonts w:hint="eastAsia" w:eastAsia="宋体" w:cs="宋体"/>
          <w:bCs/>
          <w:color w:val="auto"/>
          <w:sz w:val="21"/>
          <w:szCs w:val="21"/>
          <w:highlight w:val="none"/>
          <w:lang w:eastAsia="zh-CN"/>
        </w:rPr>
        <w:t>或财政部门认可的政府采购专业担保机构出具的投标担保函，法人或者其他组织成立未满一年的无需提供）；</w:t>
      </w:r>
    </w:p>
    <w:p w14:paraId="42281408">
      <w:pPr>
        <w:pStyle w:val="70"/>
        <w:adjustRightInd w:val="0"/>
        <w:snapToGrid w:val="0"/>
        <w:ind w:firstLine="420"/>
        <w:rPr>
          <w:rFonts w:hint="eastAsia" w:eastAsia="宋体" w:cs="宋体"/>
          <w:bCs/>
          <w:color w:val="auto"/>
          <w:sz w:val="21"/>
          <w:szCs w:val="21"/>
          <w:highlight w:val="none"/>
          <w:lang w:eastAsia="zh-CN"/>
        </w:rPr>
      </w:pPr>
      <w:r>
        <w:rPr>
          <w:rFonts w:hint="eastAsia" w:eastAsia="宋体" w:cs="宋体"/>
          <w:bCs/>
          <w:color w:val="auto"/>
          <w:sz w:val="21"/>
          <w:szCs w:val="21"/>
          <w:highlight w:val="none"/>
          <w:lang w:eastAsia="zh-CN"/>
        </w:rPr>
        <w:t xml:space="preserve">（3）具有履行合同所必需的设备和专业技术能力（根据项目需求提供履行合同所必需的设备和专业技术能力的证明材料或书面声明原件）； </w:t>
      </w:r>
    </w:p>
    <w:p w14:paraId="38EDBD33">
      <w:pPr>
        <w:pStyle w:val="70"/>
        <w:adjustRightInd w:val="0"/>
        <w:snapToGrid w:val="0"/>
        <w:ind w:firstLine="420"/>
        <w:rPr>
          <w:rFonts w:hint="eastAsia" w:eastAsia="宋体" w:cs="宋体"/>
          <w:bCs/>
          <w:color w:val="auto"/>
          <w:sz w:val="21"/>
          <w:szCs w:val="21"/>
          <w:highlight w:val="none"/>
          <w:lang w:eastAsia="zh-CN"/>
        </w:rPr>
      </w:pPr>
      <w:r>
        <w:rPr>
          <w:rFonts w:hint="eastAsia" w:eastAsia="宋体" w:cs="宋体"/>
          <w:bCs/>
          <w:color w:val="auto"/>
          <w:sz w:val="21"/>
          <w:szCs w:val="21"/>
          <w:highlight w:val="none"/>
          <w:lang w:eastAsia="zh-CN"/>
        </w:rPr>
        <w:t>（4）有依法缴纳税收和社会保障资金的良好记录（提供参加本次政府采购活动近半年内（2026年1月起至今）任一月的缴纳税收和社会保险的凭据扫描件加盖公章，依法享受缓缴、免缴税收、社会保障资金的提供证明材料扫描件加盖公章）；</w:t>
      </w:r>
    </w:p>
    <w:p w14:paraId="62C01ECE">
      <w:pPr>
        <w:pStyle w:val="70"/>
        <w:adjustRightInd w:val="0"/>
        <w:snapToGrid w:val="0"/>
        <w:ind w:firstLine="420"/>
        <w:rPr>
          <w:rFonts w:hint="eastAsia" w:eastAsia="宋体" w:cs="宋体"/>
          <w:bCs/>
          <w:color w:val="auto"/>
          <w:sz w:val="21"/>
          <w:szCs w:val="21"/>
          <w:highlight w:val="none"/>
          <w:lang w:eastAsia="zh-CN"/>
        </w:rPr>
      </w:pPr>
      <w:r>
        <w:rPr>
          <w:rFonts w:hint="eastAsia" w:eastAsia="宋体" w:cs="宋体"/>
          <w:bCs/>
          <w:color w:val="auto"/>
          <w:sz w:val="21"/>
          <w:szCs w:val="21"/>
          <w:highlight w:val="none"/>
          <w:lang w:eastAsia="zh-CN"/>
        </w:rPr>
        <w:t>（5）参加政府采购活动前三年内，在经营活动中没有重大违法记录（提供参加本次政府采购活动前3年内在经营活动中没有重大违法记录的书面声明）（格式见后附件）；</w:t>
      </w:r>
    </w:p>
    <w:p w14:paraId="02B7A3E4">
      <w:pPr>
        <w:pStyle w:val="70"/>
        <w:adjustRightInd w:val="0"/>
        <w:snapToGrid w:val="0"/>
        <w:ind w:firstLine="420"/>
        <w:rPr>
          <w:rFonts w:hint="eastAsia" w:eastAsia="宋体" w:cs="宋体"/>
          <w:bCs/>
          <w:color w:val="auto"/>
          <w:sz w:val="21"/>
          <w:szCs w:val="21"/>
          <w:highlight w:val="none"/>
          <w:lang w:eastAsia="zh-CN"/>
        </w:rPr>
      </w:pPr>
      <w:r>
        <w:rPr>
          <w:rFonts w:hint="eastAsia" w:eastAsia="宋体" w:cs="宋体"/>
          <w:bCs/>
          <w:color w:val="auto"/>
          <w:sz w:val="21"/>
          <w:szCs w:val="21"/>
          <w:highlight w:val="none"/>
          <w:lang w:eastAsia="zh-CN"/>
        </w:rPr>
        <w:t>（6）法律、行政法规规定的其他条件。</w:t>
      </w:r>
    </w:p>
    <w:p w14:paraId="7B1205B8">
      <w:pPr>
        <w:pStyle w:val="70"/>
        <w:adjustRightInd w:val="0"/>
        <w:snapToGrid w:val="0"/>
        <w:ind w:firstLine="422"/>
        <w:rPr>
          <w:rFonts w:hint="eastAsia" w:eastAsia="宋体" w:cs="宋体"/>
          <w:bCs/>
          <w:color w:val="auto"/>
          <w:sz w:val="21"/>
          <w:szCs w:val="21"/>
          <w:highlight w:val="none"/>
          <w:lang w:eastAsia="zh-CN"/>
        </w:rPr>
      </w:pPr>
      <w:r>
        <w:rPr>
          <w:rFonts w:hint="eastAsia" w:eastAsia="宋体" w:cs="宋体"/>
          <w:b/>
          <w:color w:val="auto"/>
          <w:sz w:val="21"/>
          <w:szCs w:val="21"/>
          <w:highlight w:val="none"/>
          <w:lang w:eastAsia="zh-CN"/>
        </w:rPr>
        <w:t>2.落实政府采购政策需满足的资格要求：/</w:t>
      </w:r>
    </w:p>
    <w:p w14:paraId="0B02FE5C">
      <w:pPr>
        <w:pStyle w:val="70"/>
        <w:adjustRightInd w:val="0"/>
        <w:snapToGrid w:val="0"/>
        <w:ind w:firstLine="422"/>
        <w:rPr>
          <w:rFonts w:hint="eastAsia" w:eastAsia="宋体" w:cs="宋体"/>
          <w:b/>
          <w:color w:val="auto"/>
          <w:sz w:val="21"/>
          <w:szCs w:val="21"/>
          <w:highlight w:val="none"/>
          <w:lang w:eastAsia="zh-CN"/>
        </w:rPr>
      </w:pPr>
      <w:r>
        <w:rPr>
          <w:rFonts w:hint="eastAsia" w:eastAsia="宋体" w:cs="宋体"/>
          <w:b/>
          <w:color w:val="auto"/>
          <w:sz w:val="21"/>
          <w:szCs w:val="21"/>
          <w:highlight w:val="none"/>
          <w:lang w:eastAsia="zh-CN"/>
        </w:rPr>
        <w:t>3.本项目的特定资格要求：</w:t>
      </w:r>
    </w:p>
    <w:p w14:paraId="62EB30CB">
      <w:pPr>
        <w:pStyle w:val="70"/>
        <w:adjustRightInd w:val="0"/>
        <w:snapToGrid w:val="0"/>
        <w:rPr>
          <w:rFonts w:hint="eastAsia" w:eastAsia="宋体" w:cs="宋体"/>
          <w:bCs/>
          <w:color w:val="auto"/>
          <w:sz w:val="21"/>
          <w:szCs w:val="21"/>
          <w:highlight w:val="none"/>
          <w:lang w:eastAsia="zh-CN"/>
        </w:rPr>
      </w:pPr>
      <w:r>
        <w:rPr>
          <w:rFonts w:hint="eastAsia" w:ascii="宋体" w:hAnsi="宋体" w:eastAsia="宋体" w:cs="宋体"/>
          <w:b/>
          <w:bCs/>
          <w:color w:val="auto"/>
          <w:kern w:val="2"/>
          <w:sz w:val="21"/>
          <w:szCs w:val="21"/>
          <w:highlight w:val="none"/>
          <w:lang w:val="en-US" w:eastAsia="zh-CN"/>
        </w:rPr>
        <w:t>一包：</w:t>
      </w:r>
      <w:r>
        <w:rPr>
          <w:rFonts w:hint="eastAsia" w:ascii="宋体" w:hAnsi="宋体" w:eastAsia="宋体" w:cs="宋体"/>
          <w:b/>
          <w:bCs/>
          <w:color w:val="auto"/>
          <w:kern w:val="2"/>
          <w:sz w:val="21"/>
          <w:szCs w:val="21"/>
          <w:highlight w:val="none"/>
          <w:lang w:eastAsia="zh-CN"/>
        </w:rPr>
        <w:t>江宁监狱蒸汽管网改造</w:t>
      </w:r>
    </w:p>
    <w:p w14:paraId="23A9051D">
      <w:pPr>
        <w:pStyle w:val="70"/>
        <w:adjustRightInd w:val="0"/>
        <w:snapToGrid w:val="0"/>
        <w:rPr>
          <w:rFonts w:hint="eastAsia" w:eastAsia="宋体" w:cs="宋体"/>
          <w:bCs/>
          <w:color w:val="auto"/>
          <w:sz w:val="21"/>
          <w:szCs w:val="21"/>
          <w:highlight w:val="none"/>
          <w:lang w:eastAsia="zh-CN"/>
        </w:rPr>
      </w:pPr>
      <w:r>
        <w:rPr>
          <w:rFonts w:hint="eastAsia" w:eastAsia="宋体" w:cs="宋体"/>
          <w:bCs/>
          <w:color w:val="auto"/>
          <w:sz w:val="21"/>
          <w:szCs w:val="21"/>
          <w:highlight w:val="none"/>
          <w:lang w:eastAsia="zh-CN"/>
        </w:rPr>
        <w:t>（1）供应商资质等级及范围：具有市政公用工程施工总承包三级及以上资质</w:t>
      </w:r>
      <w:r>
        <w:rPr>
          <w:rFonts w:hint="eastAsia" w:eastAsia="宋体" w:cs="宋体"/>
          <w:bCs/>
          <w:color w:val="auto"/>
          <w:sz w:val="21"/>
          <w:szCs w:val="21"/>
          <w:highlight w:val="none"/>
          <w:lang w:val="en-US" w:eastAsia="zh-CN"/>
        </w:rPr>
        <w:t>且同时具备国家质量监督部门颁发的中华人民共和国特种设备安装改造维修许可证（工业管道安装 GC2 级）</w:t>
      </w:r>
      <w:r>
        <w:rPr>
          <w:rFonts w:hint="eastAsia" w:eastAsia="宋体" w:cs="宋体"/>
          <w:bCs/>
          <w:color w:val="auto"/>
          <w:sz w:val="21"/>
          <w:szCs w:val="21"/>
          <w:highlight w:val="none"/>
          <w:lang w:eastAsia="zh-CN"/>
        </w:rPr>
        <w:t>，并具有安全生产许可证；（需提供有效的资质证书、安全生产许可证复印件加盖供应商公章）</w:t>
      </w:r>
    </w:p>
    <w:p w14:paraId="7210E9AC">
      <w:pPr>
        <w:pStyle w:val="70"/>
        <w:adjustRightInd w:val="0"/>
        <w:snapToGrid w:val="0"/>
        <w:rPr>
          <w:rFonts w:hint="eastAsia" w:eastAsia="宋体" w:cs="宋体"/>
          <w:bCs/>
          <w:color w:val="auto"/>
          <w:sz w:val="21"/>
          <w:szCs w:val="21"/>
          <w:highlight w:val="none"/>
          <w:lang w:eastAsia="zh-CN"/>
        </w:rPr>
      </w:pPr>
      <w:r>
        <w:rPr>
          <w:rFonts w:hint="eastAsia" w:eastAsia="宋体" w:cs="宋体"/>
          <w:bCs/>
          <w:color w:val="auto"/>
          <w:sz w:val="21"/>
          <w:szCs w:val="21"/>
          <w:highlight w:val="none"/>
          <w:lang w:eastAsia="zh-CN"/>
        </w:rPr>
        <w:t>（2）项目负责人具有注册建造师市政公用工程二级(含)以上并且具有有效的安全生产考核合格证书(B证)。（提供建造师证书、安全生产考核证书及供应商为其缴纳的近半年内（2026年1月起至今）任意一个月的社保缴纳证明材料扫描件加盖公章）</w:t>
      </w:r>
    </w:p>
    <w:p w14:paraId="31174298">
      <w:pPr>
        <w:pStyle w:val="70"/>
        <w:adjustRightInd w:val="0"/>
        <w:snapToGrid w:val="0"/>
        <w:rPr>
          <w:rFonts w:hint="eastAsia" w:eastAsia="宋体" w:cs="宋体"/>
          <w:bCs/>
          <w:color w:val="auto"/>
          <w:sz w:val="21"/>
          <w:szCs w:val="21"/>
          <w:highlight w:val="none"/>
          <w:lang w:eastAsia="zh-CN"/>
        </w:rPr>
      </w:pPr>
      <w:r>
        <w:rPr>
          <w:rFonts w:hint="eastAsia" w:eastAsia="宋体" w:cs="宋体"/>
          <w:bCs/>
          <w:color w:val="auto"/>
          <w:sz w:val="21"/>
          <w:szCs w:val="21"/>
          <w:highlight w:val="none"/>
          <w:lang w:eastAsia="zh-CN"/>
        </w:rPr>
        <w:t xml:space="preserve">（3）响应供应商满足以下条件（提供承诺书原件）： </w:t>
      </w:r>
    </w:p>
    <w:p w14:paraId="00DA943E">
      <w:pPr>
        <w:pStyle w:val="70"/>
        <w:adjustRightInd w:val="0"/>
        <w:snapToGrid w:val="0"/>
        <w:rPr>
          <w:rFonts w:hint="eastAsia" w:eastAsia="宋体" w:cs="宋体"/>
          <w:bCs/>
          <w:color w:val="auto"/>
          <w:sz w:val="21"/>
          <w:szCs w:val="21"/>
          <w:highlight w:val="none"/>
          <w:lang w:eastAsia="zh-CN"/>
        </w:rPr>
      </w:pPr>
      <w:r>
        <w:rPr>
          <w:rFonts w:hint="eastAsia" w:eastAsia="宋体" w:cs="宋体"/>
          <w:bCs/>
          <w:color w:val="auto"/>
          <w:sz w:val="21"/>
          <w:szCs w:val="21"/>
          <w:highlight w:val="none"/>
          <w:lang w:eastAsia="zh-CN"/>
        </w:rPr>
        <w:t xml:space="preserve">a.未处于被责令停业、投标资格被取消或财产被接管、冻结和破产状态的企业； </w:t>
      </w:r>
    </w:p>
    <w:p w14:paraId="3282C8B6">
      <w:pPr>
        <w:pStyle w:val="70"/>
        <w:adjustRightInd w:val="0"/>
        <w:snapToGrid w:val="0"/>
        <w:rPr>
          <w:rFonts w:hint="eastAsia" w:eastAsia="宋体" w:cs="宋体"/>
          <w:bCs/>
          <w:color w:val="auto"/>
          <w:sz w:val="21"/>
          <w:szCs w:val="21"/>
          <w:highlight w:val="none"/>
          <w:lang w:eastAsia="zh-CN"/>
        </w:rPr>
      </w:pPr>
      <w:r>
        <w:rPr>
          <w:rFonts w:hint="eastAsia" w:eastAsia="宋体" w:cs="宋体"/>
          <w:bCs/>
          <w:color w:val="auto"/>
          <w:sz w:val="21"/>
          <w:szCs w:val="21"/>
          <w:highlight w:val="none"/>
          <w:lang w:eastAsia="zh-CN"/>
        </w:rPr>
        <w:t>b.企业没有因骗取中标、严重违约或者违规用工、拖欠工人工资以及发生重大工程质量、安全生产事故等问题，被有关部门暂停投标资格并在暂停期内的。</w:t>
      </w:r>
    </w:p>
    <w:p w14:paraId="1C1D2138">
      <w:pPr>
        <w:pStyle w:val="70"/>
        <w:adjustRightInd w:val="0"/>
        <w:snapToGrid w:val="0"/>
        <w:rPr>
          <w:rFonts w:hint="eastAsia" w:eastAsia="宋体" w:cs="宋体"/>
          <w:bCs/>
          <w:color w:val="auto"/>
          <w:sz w:val="21"/>
          <w:szCs w:val="21"/>
          <w:highlight w:val="none"/>
          <w:lang w:eastAsia="zh-CN"/>
        </w:rPr>
      </w:pPr>
      <w:r>
        <w:rPr>
          <w:rFonts w:hint="eastAsia" w:eastAsia="宋体" w:cs="宋体"/>
          <w:bCs/>
          <w:color w:val="auto"/>
          <w:sz w:val="21"/>
          <w:szCs w:val="21"/>
          <w:highlight w:val="none"/>
          <w:lang w:eastAsia="zh-CN"/>
        </w:rPr>
        <w:t>（</w:t>
      </w:r>
      <w:r>
        <w:rPr>
          <w:rFonts w:hint="eastAsia" w:eastAsia="宋体" w:cs="宋体"/>
          <w:bCs/>
          <w:color w:val="auto"/>
          <w:sz w:val="21"/>
          <w:szCs w:val="21"/>
          <w:highlight w:val="none"/>
          <w:lang w:val="en-US" w:eastAsia="zh-CN"/>
        </w:rPr>
        <w:t>4</w:t>
      </w:r>
      <w:r>
        <w:rPr>
          <w:rFonts w:hint="eastAsia" w:eastAsia="宋体" w:cs="宋体"/>
          <w:bCs/>
          <w:color w:val="auto"/>
          <w:sz w:val="21"/>
          <w:szCs w:val="21"/>
          <w:highlight w:val="none"/>
          <w:lang w:eastAsia="zh-CN"/>
        </w:rPr>
        <w:t>）拒绝下述供应商参加本次采购活动：</w:t>
      </w:r>
    </w:p>
    <w:p w14:paraId="719C3A53">
      <w:pPr>
        <w:pStyle w:val="70"/>
        <w:adjustRightInd w:val="0"/>
        <w:snapToGrid w:val="0"/>
        <w:ind w:firstLine="630" w:firstLineChars="300"/>
        <w:rPr>
          <w:rFonts w:hint="eastAsia" w:eastAsia="宋体" w:cs="宋体"/>
          <w:bCs/>
          <w:color w:val="auto"/>
          <w:sz w:val="21"/>
          <w:szCs w:val="21"/>
          <w:highlight w:val="none"/>
          <w:lang w:eastAsia="zh-CN"/>
        </w:rPr>
      </w:pPr>
      <w:r>
        <w:rPr>
          <w:rFonts w:hint="eastAsia" w:eastAsia="宋体" w:cs="宋体"/>
          <w:bCs/>
          <w:color w:val="auto"/>
          <w:sz w:val="21"/>
          <w:szCs w:val="21"/>
          <w:highlight w:val="none"/>
          <w:lang w:eastAsia="zh-CN"/>
        </w:rPr>
        <w:t>1）供应商单位负责人为同一人或者存在直接控股、管理关系的不同供应商，不得参加同一合同项下的政府采购活动。</w:t>
      </w:r>
    </w:p>
    <w:p w14:paraId="713911B3">
      <w:pPr>
        <w:pStyle w:val="70"/>
        <w:adjustRightInd w:val="0"/>
        <w:snapToGrid w:val="0"/>
        <w:rPr>
          <w:rFonts w:hint="eastAsia" w:eastAsia="宋体" w:cs="宋体"/>
          <w:bCs/>
          <w:color w:val="auto"/>
          <w:sz w:val="21"/>
          <w:szCs w:val="21"/>
          <w:highlight w:val="none"/>
          <w:lang w:eastAsia="zh-CN"/>
        </w:rPr>
      </w:pPr>
      <w:r>
        <w:rPr>
          <w:rFonts w:hint="eastAsia" w:eastAsia="宋体" w:cs="宋体"/>
          <w:bCs/>
          <w:color w:val="auto"/>
          <w:sz w:val="21"/>
          <w:szCs w:val="21"/>
          <w:highlight w:val="none"/>
          <w:lang w:val="en-US" w:eastAsia="zh-CN"/>
        </w:rPr>
        <w:t xml:space="preserve">  </w:t>
      </w:r>
      <w:r>
        <w:rPr>
          <w:rFonts w:hint="eastAsia" w:eastAsia="宋体" w:cs="宋体"/>
          <w:bCs/>
          <w:color w:val="auto"/>
          <w:sz w:val="21"/>
          <w:szCs w:val="21"/>
          <w:highlight w:val="none"/>
          <w:lang w:eastAsia="zh-CN"/>
        </w:rPr>
        <w:t>2）凡为采购项目提供整体设计、规范编制或者项目管理、监理、检测等服务的供应商，不得再参加本项目的采购活动。</w:t>
      </w:r>
    </w:p>
    <w:p w14:paraId="301ACA3E">
      <w:pPr>
        <w:pStyle w:val="70"/>
        <w:adjustRightInd w:val="0"/>
        <w:snapToGrid w:val="0"/>
        <w:rPr>
          <w:rFonts w:eastAsia="宋体"/>
          <w:bCs/>
          <w:color w:val="auto"/>
          <w:sz w:val="21"/>
          <w:szCs w:val="21"/>
          <w:highlight w:val="none"/>
          <w:lang w:eastAsia="zh-CN"/>
        </w:rPr>
      </w:pPr>
      <w:r>
        <w:rPr>
          <w:rFonts w:hint="eastAsia" w:eastAsia="宋体" w:cs="宋体"/>
          <w:bCs/>
          <w:color w:val="auto"/>
          <w:sz w:val="21"/>
          <w:szCs w:val="21"/>
          <w:highlight w:val="none"/>
          <w:lang w:val="en-US" w:eastAsia="zh-CN"/>
        </w:rPr>
        <w:t xml:space="preserve">  </w:t>
      </w:r>
      <w:r>
        <w:rPr>
          <w:rFonts w:hint="eastAsia" w:eastAsia="宋体" w:cs="宋体"/>
          <w:bCs/>
          <w:color w:val="auto"/>
          <w:sz w:val="21"/>
          <w:szCs w:val="21"/>
          <w:highlight w:val="none"/>
          <w:lang w:eastAsia="zh-CN"/>
        </w:rPr>
        <w:t>3）供应商被“信用中国”网站（www.creditchina.gov.cn）、“中国政府采购网"(www.ccgp.gov.cn)列入失信被执行人、重大税收违法案件当事人名单、政府采购严重违法失信行为记录名单。</w:t>
      </w:r>
    </w:p>
    <w:p w14:paraId="05B65FB9">
      <w:pPr>
        <w:snapToGrid w:val="0"/>
        <w:spacing w:line="360" w:lineRule="auto"/>
        <w:jc w:val="center"/>
        <w:rPr>
          <w:rFonts w:ascii="宋体" w:hAnsi="宋体" w:cs="宋体"/>
          <w:b/>
          <w:bCs/>
          <w:color w:val="auto"/>
          <w:sz w:val="32"/>
          <w:szCs w:val="32"/>
          <w:highlight w:val="none"/>
          <w:lang w:eastAsia="zh-CN"/>
        </w:rPr>
      </w:pPr>
    </w:p>
    <w:p w14:paraId="533633E2">
      <w:pPr>
        <w:snapToGrid w:val="0"/>
        <w:spacing w:line="360" w:lineRule="auto"/>
        <w:rPr>
          <w:rFonts w:hint="eastAsia" w:ascii="宋体" w:hAnsi="宋体" w:cs="宋体"/>
          <w:b/>
          <w:color w:val="auto"/>
          <w:sz w:val="24"/>
          <w:highlight w:val="none"/>
          <w:lang w:eastAsia="zh-CN"/>
        </w:rPr>
      </w:pPr>
    </w:p>
    <w:p w14:paraId="2A0C61F4">
      <w:pPr>
        <w:rPr>
          <w:rFonts w:hint="eastAsia" w:ascii="宋体" w:hAnsi="宋体" w:cs="宋体"/>
          <w:b/>
          <w:color w:val="auto"/>
          <w:sz w:val="24"/>
          <w:highlight w:val="none"/>
          <w:lang w:eastAsia="zh-CN"/>
        </w:rPr>
      </w:pPr>
      <w:r>
        <w:rPr>
          <w:rFonts w:hint="eastAsia" w:ascii="宋体" w:hAnsi="宋体" w:cs="宋体"/>
          <w:b/>
          <w:color w:val="auto"/>
          <w:sz w:val="24"/>
          <w:highlight w:val="none"/>
          <w:lang w:eastAsia="zh-CN"/>
        </w:rPr>
        <w:br w:type="page"/>
      </w:r>
    </w:p>
    <w:p w14:paraId="1C9E0FD1">
      <w:pPr>
        <w:snapToGrid w:val="0"/>
        <w:spacing w:line="360" w:lineRule="auto"/>
        <w:rPr>
          <w:rFonts w:ascii="宋体" w:hAnsi="宋体" w:cs="宋体"/>
          <w:b/>
          <w:color w:val="auto"/>
          <w:sz w:val="24"/>
          <w:highlight w:val="none"/>
          <w:lang w:eastAsia="zh-CN"/>
        </w:rPr>
      </w:pPr>
      <w:r>
        <w:rPr>
          <w:rFonts w:hint="eastAsia" w:ascii="宋体" w:hAnsi="宋体" w:cs="宋体"/>
          <w:b/>
          <w:color w:val="auto"/>
          <w:sz w:val="24"/>
          <w:highlight w:val="none"/>
          <w:lang w:eastAsia="zh-CN"/>
        </w:rPr>
        <w:t>附件一：</w:t>
      </w:r>
    </w:p>
    <w:p w14:paraId="3CC7A965">
      <w:pPr>
        <w:snapToGrid w:val="0"/>
        <w:spacing w:line="360" w:lineRule="auto"/>
        <w:jc w:val="center"/>
        <w:rPr>
          <w:rFonts w:ascii="宋体" w:hAnsi="宋体" w:cs="宋体"/>
          <w:b/>
          <w:color w:val="auto"/>
          <w:sz w:val="24"/>
          <w:highlight w:val="none"/>
          <w:lang w:eastAsia="zh-CN"/>
        </w:rPr>
      </w:pPr>
      <w:r>
        <w:rPr>
          <w:rFonts w:hint="eastAsia" w:ascii="宋体" w:hAnsi="宋体" w:cs="宋体"/>
          <w:b/>
          <w:bCs/>
          <w:color w:val="auto"/>
          <w:sz w:val="24"/>
          <w:highlight w:val="none"/>
          <w:lang w:eastAsia="zh-CN"/>
        </w:rPr>
        <w:t>具备履行合同所必需的设备和专业技术能力的书面声明</w:t>
      </w:r>
    </w:p>
    <w:p w14:paraId="086B624F">
      <w:pPr>
        <w:snapToGrid w:val="0"/>
        <w:spacing w:line="360" w:lineRule="auto"/>
        <w:rPr>
          <w:rFonts w:ascii="宋体" w:hAnsi="宋体" w:cs="宋体"/>
          <w:bCs/>
          <w:color w:val="auto"/>
          <w:sz w:val="24"/>
          <w:highlight w:val="none"/>
          <w:lang w:eastAsia="zh-CN"/>
        </w:rPr>
      </w:pPr>
      <w:r>
        <w:rPr>
          <w:rFonts w:hint="eastAsia" w:ascii="宋体" w:hAnsi="宋体" w:cs="宋体"/>
          <w:bCs/>
          <w:color w:val="auto"/>
          <w:highlight w:val="none"/>
          <w:u w:val="single"/>
          <w:lang w:eastAsia="zh-CN"/>
        </w:rPr>
        <w:t xml:space="preserve">            </w:t>
      </w:r>
      <w:r>
        <w:rPr>
          <w:rFonts w:hint="eastAsia" w:eastAsia="宋体"/>
          <w:bCs/>
          <w:color w:val="auto"/>
          <w:sz w:val="21"/>
          <w:szCs w:val="21"/>
          <w:highlight w:val="none"/>
          <w:lang w:eastAsia="zh-CN"/>
        </w:rPr>
        <w:t>（采购人）：</w:t>
      </w:r>
    </w:p>
    <w:p w14:paraId="7106195E">
      <w:pPr>
        <w:snapToGrid w:val="0"/>
        <w:spacing w:line="360" w:lineRule="auto"/>
        <w:ind w:firstLine="492"/>
        <w:rPr>
          <w:rFonts w:ascii="宋体" w:hAnsi="宋体" w:cs="宋体"/>
          <w:bCs/>
          <w:color w:val="auto"/>
          <w:highlight w:val="none"/>
          <w:lang w:eastAsia="zh-CN"/>
        </w:rPr>
      </w:pPr>
      <w:r>
        <w:rPr>
          <w:rFonts w:hint="eastAsia" w:ascii="宋体" w:hAnsi="宋体" w:cs="宋体"/>
          <w:bCs/>
          <w:color w:val="auto"/>
          <w:highlight w:val="none"/>
          <w:lang w:eastAsia="zh-CN"/>
        </w:rPr>
        <w:t>我单位郑重声明：我单位具备履行本项采购合同所必需的设备和专业技术能力，为履行本项采购合同我公司具备如下主要设备和主要专业技术能力：</w:t>
      </w:r>
    </w:p>
    <w:p w14:paraId="570C34D3">
      <w:pPr>
        <w:snapToGrid w:val="0"/>
        <w:spacing w:line="360" w:lineRule="auto"/>
        <w:ind w:firstLine="492"/>
        <w:rPr>
          <w:rFonts w:ascii="宋体" w:hAnsi="宋体" w:cs="宋体"/>
          <w:bCs/>
          <w:color w:val="auto"/>
          <w:highlight w:val="none"/>
          <w:lang w:eastAsia="zh-CN"/>
        </w:rPr>
      </w:pPr>
      <w:r>
        <w:rPr>
          <w:rFonts w:hint="eastAsia" w:ascii="宋体" w:hAnsi="宋体" w:cs="宋体"/>
          <w:bCs/>
          <w:color w:val="auto"/>
          <w:highlight w:val="none"/>
          <w:lang w:eastAsia="zh-CN"/>
        </w:rPr>
        <w:t>主要设备有：</w:t>
      </w:r>
      <w:r>
        <w:rPr>
          <w:rFonts w:hint="eastAsia" w:ascii="宋体" w:hAnsi="宋体" w:cs="宋体"/>
          <w:bCs/>
          <w:color w:val="auto"/>
          <w:highlight w:val="none"/>
          <w:u w:val="single"/>
          <w:lang w:eastAsia="zh-CN"/>
        </w:rPr>
        <w:t xml:space="preserve">                  </w:t>
      </w:r>
      <w:r>
        <w:rPr>
          <w:rFonts w:hint="eastAsia" w:ascii="宋体" w:hAnsi="宋体" w:cs="宋体"/>
          <w:bCs/>
          <w:color w:val="auto"/>
          <w:highlight w:val="none"/>
          <w:lang w:eastAsia="zh-CN"/>
        </w:rPr>
        <w:t>。</w:t>
      </w:r>
    </w:p>
    <w:p w14:paraId="3A817328">
      <w:pPr>
        <w:snapToGrid w:val="0"/>
        <w:spacing w:line="360" w:lineRule="auto"/>
        <w:ind w:firstLine="492"/>
        <w:rPr>
          <w:rFonts w:ascii="宋体" w:hAnsi="宋体" w:cs="宋体"/>
          <w:bCs/>
          <w:color w:val="auto"/>
          <w:highlight w:val="none"/>
          <w:lang w:eastAsia="zh-CN"/>
        </w:rPr>
      </w:pPr>
      <w:r>
        <w:rPr>
          <w:rFonts w:hint="eastAsia" w:ascii="宋体" w:hAnsi="宋体" w:cs="宋体"/>
          <w:bCs/>
          <w:color w:val="auto"/>
          <w:highlight w:val="none"/>
          <w:lang w:eastAsia="zh-CN"/>
        </w:rPr>
        <w:t>主要专业技术能力有：</w:t>
      </w:r>
      <w:r>
        <w:rPr>
          <w:rFonts w:hint="eastAsia" w:ascii="宋体" w:hAnsi="宋体" w:cs="宋体"/>
          <w:bCs/>
          <w:color w:val="auto"/>
          <w:highlight w:val="none"/>
          <w:u w:val="single"/>
          <w:lang w:eastAsia="zh-CN"/>
        </w:rPr>
        <w:t xml:space="preserve">                              </w:t>
      </w:r>
      <w:r>
        <w:rPr>
          <w:rFonts w:hint="eastAsia" w:ascii="宋体" w:hAnsi="宋体" w:cs="宋体"/>
          <w:bCs/>
          <w:color w:val="auto"/>
          <w:highlight w:val="none"/>
          <w:lang w:eastAsia="zh-CN"/>
        </w:rPr>
        <w:t>。</w:t>
      </w:r>
    </w:p>
    <w:p w14:paraId="42E7AF7A">
      <w:pPr>
        <w:snapToGrid w:val="0"/>
        <w:spacing w:line="360" w:lineRule="auto"/>
        <w:ind w:firstLine="5720" w:firstLineChars="2600"/>
        <w:rPr>
          <w:rFonts w:ascii="宋体" w:hAnsi="宋体" w:cs="宋体"/>
          <w:color w:val="auto"/>
          <w:highlight w:val="none"/>
          <w:lang w:eastAsia="zh-CN"/>
        </w:rPr>
      </w:pPr>
      <w:r>
        <w:rPr>
          <w:rFonts w:hint="eastAsia" w:ascii="宋体" w:hAnsi="宋体" w:cs="宋体"/>
          <w:color w:val="auto"/>
          <w:highlight w:val="none"/>
          <w:lang w:eastAsia="zh-CN"/>
        </w:rPr>
        <w:t>声明人：（加盖电子公章）</w:t>
      </w:r>
    </w:p>
    <w:p w14:paraId="7160BEEB">
      <w:pPr>
        <w:snapToGrid w:val="0"/>
        <w:spacing w:line="360" w:lineRule="auto"/>
        <w:ind w:firstLine="5720" w:firstLineChars="2600"/>
        <w:rPr>
          <w:rFonts w:ascii="宋体" w:hAnsi="宋体" w:cs="宋体"/>
          <w:color w:val="auto"/>
          <w:highlight w:val="none"/>
          <w:lang w:eastAsia="zh-CN"/>
        </w:rPr>
      </w:pPr>
      <w:r>
        <w:rPr>
          <w:rFonts w:hint="eastAsia" w:ascii="宋体" w:hAnsi="宋体" w:cs="宋体"/>
          <w:color w:val="auto"/>
          <w:highlight w:val="none"/>
          <w:lang w:eastAsia="zh-CN"/>
        </w:rPr>
        <w:t>日期：   年   月   日</w:t>
      </w:r>
    </w:p>
    <w:p w14:paraId="34B41719">
      <w:pPr>
        <w:snapToGrid w:val="0"/>
        <w:spacing w:line="360" w:lineRule="auto"/>
        <w:rPr>
          <w:rFonts w:ascii="宋体" w:hAnsi="宋体" w:cs="宋体"/>
          <w:color w:val="auto"/>
          <w:highlight w:val="none"/>
          <w:lang w:eastAsia="zh-CN"/>
        </w:rPr>
      </w:pPr>
    </w:p>
    <w:p w14:paraId="2AD47E68">
      <w:pPr>
        <w:pStyle w:val="70"/>
        <w:rPr>
          <w:rFonts w:cs="宋体"/>
          <w:color w:val="auto"/>
          <w:highlight w:val="none"/>
          <w:lang w:eastAsia="zh-CN"/>
        </w:rPr>
      </w:pPr>
    </w:p>
    <w:p w14:paraId="7AA8090A">
      <w:pPr>
        <w:pStyle w:val="70"/>
        <w:rPr>
          <w:rFonts w:cs="宋体"/>
          <w:color w:val="auto"/>
          <w:highlight w:val="none"/>
          <w:lang w:eastAsia="zh-CN"/>
        </w:rPr>
      </w:pPr>
    </w:p>
    <w:p w14:paraId="70B029C6">
      <w:pPr>
        <w:snapToGrid w:val="0"/>
        <w:spacing w:line="360" w:lineRule="auto"/>
        <w:rPr>
          <w:rFonts w:ascii="宋体" w:hAnsi="宋体" w:cs="宋体"/>
          <w:color w:val="auto"/>
          <w:sz w:val="24"/>
          <w:highlight w:val="none"/>
          <w:lang w:eastAsia="zh-CN"/>
        </w:rPr>
      </w:pPr>
    </w:p>
    <w:p w14:paraId="6D8DE567">
      <w:pPr>
        <w:snapToGrid w:val="0"/>
        <w:spacing w:line="360" w:lineRule="auto"/>
        <w:rPr>
          <w:rFonts w:hint="eastAsia" w:ascii="宋体" w:hAnsi="宋体" w:cs="宋体"/>
          <w:b/>
          <w:color w:val="auto"/>
          <w:sz w:val="32"/>
          <w:szCs w:val="32"/>
          <w:highlight w:val="none"/>
          <w:lang w:eastAsia="zh-CN"/>
        </w:rPr>
      </w:pPr>
      <w:r>
        <w:rPr>
          <w:rFonts w:hint="eastAsia" w:ascii="宋体" w:hAnsi="宋体" w:cs="宋体"/>
          <w:b/>
          <w:color w:val="auto"/>
          <w:sz w:val="32"/>
          <w:szCs w:val="32"/>
          <w:highlight w:val="none"/>
          <w:lang w:eastAsia="zh-CN"/>
        </w:rPr>
        <w:br w:type="column"/>
      </w:r>
    </w:p>
    <w:p w14:paraId="2F43497B">
      <w:pPr>
        <w:snapToGrid w:val="0"/>
        <w:spacing w:line="360" w:lineRule="auto"/>
        <w:rPr>
          <w:rFonts w:ascii="宋体" w:hAnsi="宋体" w:cs="宋体"/>
          <w:b/>
          <w:color w:val="auto"/>
          <w:sz w:val="32"/>
          <w:szCs w:val="32"/>
          <w:highlight w:val="none"/>
          <w:lang w:eastAsia="zh-CN"/>
        </w:rPr>
      </w:pPr>
      <w:r>
        <w:rPr>
          <w:rFonts w:hint="eastAsia" w:ascii="宋体" w:hAnsi="宋体" w:cs="宋体"/>
          <w:b/>
          <w:color w:val="auto"/>
          <w:sz w:val="24"/>
          <w:highlight w:val="none"/>
          <w:lang w:eastAsia="zh-CN"/>
        </w:rPr>
        <w:t>附件二：</w:t>
      </w:r>
    </w:p>
    <w:p w14:paraId="4A652218">
      <w:pPr>
        <w:snapToGrid w:val="0"/>
        <w:spacing w:line="360" w:lineRule="auto"/>
        <w:jc w:val="center"/>
        <w:rPr>
          <w:rFonts w:ascii="宋体" w:hAnsi="宋体" w:cs="宋体"/>
          <w:b/>
          <w:color w:val="auto"/>
          <w:sz w:val="24"/>
          <w:highlight w:val="none"/>
          <w:lang w:eastAsia="zh-CN"/>
        </w:rPr>
      </w:pPr>
      <w:r>
        <w:rPr>
          <w:rFonts w:hint="eastAsia" w:ascii="宋体" w:hAnsi="宋体" w:cs="宋体"/>
          <w:b/>
          <w:color w:val="auto"/>
          <w:sz w:val="24"/>
          <w:highlight w:val="none"/>
          <w:lang w:eastAsia="zh-CN"/>
        </w:rPr>
        <w:t>参加政府采购活动前三年内，在经营活动中没有重大违法记录</w:t>
      </w:r>
    </w:p>
    <w:p w14:paraId="4C0FA4ED">
      <w:pPr>
        <w:snapToGrid w:val="0"/>
        <w:spacing w:line="360" w:lineRule="auto"/>
        <w:rPr>
          <w:rFonts w:ascii="宋体" w:hAnsi="宋体" w:cs="宋体"/>
          <w:color w:val="auto"/>
          <w:highlight w:val="none"/>
          <w:lang w:eastAsia="zh-CN"/>
        </w:rPr>
      </w:pPr>
      <w:r>
        <w:rPr>
          <w:rFonts w:hint="eastAsia" w:ascii="宋体" w:hAnsi="宋体" w:cs="宋体"/>
          <w:bCs/>
          <w:color w:val="auto"/>
          <w:highlight w:val="none"/>
          <w:u w:val="single"/>
          <w:lang w:eastAsia="zh-CN"/>
        </w:rPr>
        <w:t xml:space="preserve">            </w:t>
      </w:r>
      <w:r>
        <w:rPr>
          <w:rFonts w:hint="eastAsia" w:ascii="宋体" w:hAnsi="宋体" w:cs="宋体"/>
          <w:color w:val="auto"/>
          <w:highlight w:val="none"/>
          <w:lang w:eastAsia="zh-CN"/>
        </w:rPr>
        <w:t>（采购人）：</w:t>
      </w:r>
    </w:p>
    <w:p w14:paraId="3B067E92">
      <w:pPr>
        <w:snapToGrid w:val="0"/>
        <w:spacing w:line="360" w:lineRule="auto"/>
        <w:rPr>
          <w:rFonts w:ascii="宋体" w:hAnsi="宋体" w:cs="宋体"/>
          <w:color w:val="auto"/>
          <w:highlight w:val="none"/>
          <w:lang w:eastAsia="zh-CN"/>
        </w:rPr>
      </w:pPr>
    </w:p>
    <w:p w14:paraId="288A5465">
      <w:pPr>
        <w:snapToGrid w:val="0"/>
        <w:spacing w:line="360" w:lineRule="auto"/>
        <w:ind w:firstLine="440" w:firstLineChars="200"/>
        <w:rPr>
          <w:rFonts w:ascii="宋体" w:hAnsi="宋体" w:cs="宋体"/>
          <w:color w:val="auto"/>
          <w:highlight w:val="none"/>
          <w:lang w:eastAsia="zh-CN"/>
        </w:rPr>
      </w:pPr>
      <w:r>
        <w:rPr>
          <w:rFonts w:hint="eastAsia" w:ascii="宋体" w:hAnsi="宋体" w:cs="宋体"/>
          <w:color w:val="auto"/>
          <w:highlight w:val="none"/>
          <w:lang w:eastAsia="zh-CN"/>
        </w:rPr>
        <w:t>我单位（响应人名称）郑重声明：</w:t>
      </w:r>
    </w:p>
    <w:p w14:paraId="3C3D5889">
      <w:pPr>
        <w:snapToGrid w:val="0"/>
        <w:spacing w:line="360" w:lineRule="auto"/>
        <w:ind w:firstLine="440" w:firstLineChars="200"/>
        <w:rPr>
          <w:rFonts w:ascii="宋体" w:hAnsi="宋体" w:cs="宋体"/>
          <w:color w:val="auto"/>
          <w:highlight w:val="none"/>
          <w:lang w:eastAsia="zh-CN"/>
        </w:rPr>
      </w:pPr>
      <w:r>
        <w:rPr>
          <w:rFonts w:hint="eastAsia" w:ascii="宋体" w:hAnsi="宋体" w:cs="宋体"/>
          <w:color w:val="auto"/>
          <w:highlight w:val="none"/>
          <w:lang w:eastAsia="zh-CN"/>
        </w:rPr>
        <w:t>参加政府采购活动前三年内在经营活动中</w:t>
      </w:r>
      <w:r>
        <w:rPr>
          <w:rFonts w:hint="eastAsia" w:ascii="宋体" w:hAnsi="宋体" w:cs="宋体"/>
          <w:color w:val="auto"/>
          <w:highlight w:val="none"/>
          <w:u w:val="single"/>
          <w:lang w:eastAsia="zh-CN"/>
        </w:rPr>
        <w:t xml:space="preserve">    </w:t>
      </w:r>
      <w:r>
        <w:rPr>
          <w:rFonts w:hint="eastAsia" w:ascii="宋体" w:hAnsi="宋体" w:cs="宋体"/>
          <w:color w:val="auto"/>
          <w:highlight w:val="none"/>
          <w:lang w:eastAsia="zh-CN"/>
        </w:rPr>
        <w:t>（在下划线上如实填写：有或没有）重大违法记录。</w:t>
      </w:r>
    </w:p>
    <w:p w14:paraId="29AD1AF2">
      <w:pPr>
        <w:snapToGrid w:val="0"/>
        <w:spacing w:line="360" w:lineRule="auto"/>
        <w:ind w:firstLine="440" w:firstLineChars="200"/>
        <w:rPr>
          <w:rFonts w:ascii="宋体" w:hAnsi="宋体" w:cs="宋体"/>
          <w:color w:val="auto"/>
          <w:highlight w:val="none"/>
          <w:lang w:eastAsia="zh-CN"/>
        </w:rPr>
      </w:pPr>
      <w:r>
        <w:rPr>
          <w:rFonts w:hint="eastAsia" w:ascii="宋体" w:hAnsi="宋体" w:cs="宋体"/>
          <w:color w:val="auto"/>
          <w:highlight w:val="none"/>
          <w:lang w:eastAsia="zh-CN"/>
        </w:rPr>
        <w:t>（说明：政府采购法第二十二条第一款第五项所称重大违法记录，是指响应人因违法经营受到刑事处罚或者责令停产停业、吊销许可证或者执照、较大数额罚款等行政处罚。）</w:t>
      </w:r>
    </w:p>
    <w:p w14:paraId="698FB56E">
      <w:pPr>
        <w:snapToGrid w:val="0"/>
        <w:spacing w:line="360" w:lineRule="auto"/>
        <w:ind w:firstLine="5720" w:firstLineChars="2600"/>
        <w:rPr>
          <w:rFonts w:ascii="宋体" w:hAnsi="宋体" w:cs="宋体"/>
          <w:color w:val="auto"/>
          <w:highlight w:val="none"/>
          <w:lang w:eastAsia="zh-CN"/>
        </w:rPr>
      </w:pPr>
      <w:r>
        <w:rPr>
          <w:rFonts w:hint="eastAsia" w:ascii="宋体" w:hAnsi="宋体" w:cs="宋体"/>
          <w:color w:val="auto"/>
          <w:highlight w:val="none"/>
          <w:lang w:eastAsia="zh-CN"/>
        </w:rPr>
        <w:t>声明人：（加盖电子公章）</w:t>
      </w:r>
    </w:p>
    <w:p w14:paraId="2FD1FA7B">
      <w:pPr>
        <w:snapToGrid w:val="0"/>
        <w:spacing w:line="360" w:lineRule="auto"/>
        <w:ind w:firstLine="5720" w:firstLineChars="2600"/>
        <w:rPr>
          <w:rFonts w:ascii="宋体" w:hAnsi="宋体" w:cs="宋体"/>
          <w:color w:val="auto"/>
          <w:highlight w:val="none"/>
          <w:lang w:eastAsia="zh-CN"/>
        </w:rPr>
      </w:pPr>
      <w:r>
        <w:rPr>
          <w:rFonts w:hint="eastAsia" w:ascii="宋体" w:hAnsi="宋体" w:cs="宋体"/>
          <w:color w:val="auto"/>
          <w:highlight w:val="none"/>
          <w:lang w:eastAsia="zh-CN"/>
        </w:rPr>
        <w:t>日期：   年   月   日</w:t>
      </w:r>
    </w:p>
    <w:p w14:paraId="06194141">
      <w:pPr>
        <w:pStyle w:val="70"/>
        <w:snapToGrid w:val="0"/>
        <w:ind w:firstLine="420"/>
        <w:rPr>
          <w:rFonts w:cs="宋体"/>
          <w:color w:val="auto"/>
          <w:sz w:val="21"/>
          <w:highlight w:val="none"/>
          <w:lang w:eastAsia="zh-CN"/>
        </w:rPr>
      </w:pPr>
    </w:p>
    <w:p w14:paraId="2F0A276F">
      <w:pPr>
        <w:pStyle w:val="70"/>
        <w:snapToGrid w:val="0"/>
        <w:ind w:firstLine="420"/>
        <w:rPr>
          <w:rFonts w:cs="宋体"/>
          <w:color w:val="auto"/>
          <w:sz w:val="21"/>
          <w:highlight w:val="none"/>
          <w:lang w:eastAsia="zh-CN"/>
        </w:rPr>
      </w:pPr>
    </w:p>
    <w:p w14:paraId="4CC5B618">
      <w:pPr>
        <w:snapToGrid w:val="0"/>
        <w:spacing w:line="360" w:lineRule="auto"/>
        <w:rPr>
          <w:rFonts w:ascii="宋体" w:hAnsi="宋体" w:cs="宋体"/>
          <w:color w:val="auto"/>
          <w:highlight w:val="none"/>
          <w:lang w:eastAsia="zh-CN"/>
        </w:rPr>
      </w:pPr>
    </w:p>
    <w:p w14:paraId="638B9BC2">
      <w:pPr>
        <w:autoSpaceDE w:val="0"/>
        <w:autoSpaceDN w:val="0"/>
        <w:adjustRightInd w:val="0"/>
        <w:snapToGrid w:val="0"/>
        <w:spacing w:line="360" w:lineRule="auto"/>
        <w:jc w:val="center"/>
        <w:rPr>
          <w:rFonts w:ascii="宋体" w:hAnsi="宋体" w:cs="宋体"/>
          <w:b/>
          <w:color w:val="auto"/>
          <w:sz w:val="30"/>
          <w:szCs w:val="30"/>
          <w:highlight w:val="none"/>
          <w:lang w:eastAsia="zh-CN"/>
        </w:rPr>
      </w:pPr>
    </w:p>
    <w:p w14:paraId="4E3FE491">
      <w:pPr>
        <w:spacing w:line="360" w:lineRule="auto"/>
        <w:rPr>
          <w:rFonts w:hint="eastAsia" w:ascii="宋体" w:hAnsi="宋体" w:cs="宋体"/>
          <w:b/>
          <w:color w:val="auto"/>
          <w:highlight w:val="none"/>
          <w:lang w:eastAsia="zh-CN"/>
        </w:rPr>
      </w:pPr>
      <w:r>
        <w:rPr>
          <w:rFonts w:hint="eastAsia" w:ascii="宋体" w:hAnsi="宋体" w:cs="宋体"/>
          <w:b/>
          <w:color w:val="auto"/>
          <w:highlight w:val="none"/>
          <w:lang w:eastAsia="zh-CN"/>
        </w:rPr>
        <w:br w:type="page"/>
      </w:r>
    </w:p>
    <w:p w14:paraId="3AC79ADC">
      <w:pPr>
        <w:spacing w:line="360" w:lineRule="auto"/>
        <w:rPr>
          <w:rFonts w:hint="default" w:ascii="宋体" w:hAnsi="宋体" w:cs="宋体"/>
          <w:b/>
          <w:color w:val="auto"/>
          <w:highlight w:val="none"/>
          <w:lang w:val="en-US" w:eastAsia="zh-CN"/>
        </w:rPr>
      </w:pPr>
      <w:r>
        <w:rPr>
          <w:rFonts w:hint="eastAsia" w:ascii="宋体" w:hAnsi="宋体" w:cs="宋体"/>
          <w:b/>
          <w:color w:val="auto"/>
          <w:highlight w:val="none"/>
          <w:lang w:val="en-US" w:eastAsia="zh-CN"/>
        </w:rPr>
        <w:t>格式九、联合体协议</w:t>
      </w:r>
    </w:p>
    <w:p w14:paraId="2498F99E">
      <w:pPr>
        <w:widowControl/>
        <w:shd w:val="clear" w:color="auto" w:fill="FFFFFF"/>
        <w:spacing w:line="360" w:lineRule="auto"/>
        <w:ind w:firstLine="720"/>
        <w:jc w:val="center"/>
        <w:outlineLvl w:val="0"/>
        <w:rPr>
          <w:rFonts w:hint="eastAsia" w:ascii="宋体" w:hAnsi="宋体" w:eastAsia="宋体" w:cs="Times New Roman"/>
          <w:color w:val="auto"/>
          <w:kern w:val="0"/>
          <w:sz w:val="36"/>
          <w:szCs w:val="36"/>
          <w:highlight w:val="none"/>
          <w:lang w:val="en-US" w:eastAsia="zh-CN"/>
        </w:rPr>
      </w:pPr>
      <w:r>
        <w:rPr>
          <w:rFonts w:hint="eastAsia" w:ascii="宋体" w:hAnsi="宋体" w:eastAsia="宋体" w:cs="Times New Roman"/>
          <w:color w:val="auto"/>
          <w:kern w:val="0"/>
          <w:sz w:val="36"/>
          <w:szCs w:val="36"/>
          <w:highlight w:val="none"/>
          <w:lang w:val="en-US" w:eastAsia="zh-CN"/>
        </w:rPr>
        <w:t>联合体协议</w:t>
      </w:r>
    </w:p>
    <w:p w14:paraId="652993E2">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Times New Roman"/>
          <w:b/>
          <w:bCs/>
          <w:color w:val="auto"/>
          <w:kern w:val="0"/>
          <w:sz w:val="21"/>
          <w:szCs w:val="21"/>
          <w:highlight w:val="none"/>
          <w:lang w:val="en-US" w:eastAsia="zh-CN" w:bidi="ar-SA"/>
        </w:rPr>
      </w:pPr>
      <w:r>
        <w:rPr>
          <w:rFonts w:hint="eastAsia" w:ascii="宋体" w:hAnsi="宋体" w:eastAsia="宋体" w:cs="Times New Roman"/>
          <w:b/>
          <w:bCs/>
          <w:color w:val="auto"/>
          <w:kern w:val="0"/>
          <w:sz w:val="21"/>
          <w:szCs w:val="21"/>
          <w:highlight w:val="none"/>
          <w:lang w:val="en-US" w:eastAsia="zh-CN" w:bidi="ar-SA"/>
        </w:rPr>
        <w:t>(以联合体形式投标的，提供联合体协议；如本项目不接受联合体投标或者供应商不以联合体形式投标响应的，则不需要提供)</w:t>
      </w:r>
    </w:p>
    <w:p w14:paraId="195141B6">
      <w:pPr>
        <w:keepNext w:val="0"/>
        <w:keepLines w:val="0"/>
        <w:pageBreakBefore w:val="0"/>
        <w:widowControl w:val="0"/>
        <w:kinsoku/>
        <w:wordWrap/>
        <w:overflowPunct/>
        <w:topLinePunct w:val="0"/>
        <w:autoSpaceDE/>
        <w:autoSpaceDN/>
        <w:bidi w:val="0"/>
        <w:adjustRightInd w:val="0"/>
        <w:snapToGrid w:val="0"/>
        <w:spacing w:line="360" w:lineRule="auto"/>
        <w:ind w:firstLine="210" w:firstLineChars="100"/>
        <w:textAlignment w:val="auto"/>
        <w:rPr>
          <w:rFonts w:hint="eastAsia" w:ascii="宋体" w:hAnsi="宋体" w:eastAsia="宋体" w:cs="Times New Roman"/>
          <w:color w:val="auto"/>
          <w:kern w:val="0"/>
          <w:sz w:val="21"/>
          <w:szCs w:val="21"/>
          <w:highlight w:val="none"/>
          <w:u w:val="single"/>
          <w:lang w:val="en-US" w:eastAsia="zh-CN" w:bidi="ar-SA"/>
        </w:rPr>
      </w:pPr>
    </w:p>
    <w:p w14:paraId="3F1ADAD1">
      <w:pPr>
        <w:keepNext w:val="0"/>
        <w:keepLines w:val="0"/>
        <w:pageBreakBefore w:val="0"/>
        <w:widowControl w:val="0"/>
        <w:kinsoku/>
        <w:wordWrap/>
        <w:overflowPunct/>
        <w:topLinePunct w:val="0"/>
        <w:autoSpaceDE/>
        <w:autoSpaceDN/>
        <w:bidi w:val="0"/>
        <w:adjustRightInd w:val="0"/>
        <w:snapToGrid w:val="0"/>
        <w:spacing w:line="360" w:lineRule="auto"/>
        <w:ind w:firstLine="210" w:firstLineChars="100"/>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u w:val="single"/>
          <w:lang w:val="en-US" w:eastAsia="zh-CN" w:bidi="ar-SA"/>
        </w:rPr>
        <w:t xml:space="preserve">   (联合体所有成员名称)  </w:t>
      </w:r>
      <w:r>
        <w:rPr>
          <w:rFonts w:hint="eastAsia" w:ascii="宋体" w:hAnsi="宋体" w:eastAsia="宋体" w:cs="Times New Roman"/>
          <w:color w:val="auto"/>
          <w:kern w:val="0"/>
          <w:sz w:val="21"/>
          <w:szCs w:val="21"/>
          <w:highlight w:val="none"/>
          <w:lang w:val="en-US" w:eastAsia="zh-CN" w:bidi="ar-SA"/>
        </w:rPr>
        <w:t>自愿组成一个联合体，以一个供应商的身份参加</w:t>
      </w:r>
      <w:r>
        <w:rPr>
          <w:rFonts w:hint="eastAsia" w:ascii="宋体" w:hAnsi="宋体" w:eastAsia="宋体" w:cs="Times New Roman"/>
          <w:color w:val="auto"/>
          <w:kern w:val="0"/>
          <w:sz w:val="21"/>
          <w:szCs w:val="21"/>
          <w:highlight w:val="none"/>
          <w:u w:val="single"/>
          <w:lang w:val="en-US" w:eastAsia="zh-CN" w:bidi="ar-SA"/>
        </w:rPr>
        <w:t xml:space="preserve">       </w:t>
      </w:r>
      <w:r>
        <w:rPr>
          <w:rFonts w:hint="eastAsia" w:ascii="宋体" w:hAnsi="宋体" w:eastAsia="宋体" w:cs="Times New Roman"/>
          <w:color w:val="auto"/>
          <w:kern w:val="0"/>
          <w:sz w:val="21"/>
          <w:szCs w:val="21"/>
          <w:highlight w:val="none"/>
          <w:lang w:val="en-US" w:eastAsia="zh-CN" w:bidi="ar-SA"/>
        </w:rPr>
        <w:t>(项目名称)</w:t>
      </w:r>
      <w:r>
        <w:rPr>
          <w:rFonts w:hint="eastAsia" w:ascii="宋体" w:hAnsi="宋体" w:eastAsia="宋体" w:cs="Times New Roman"/>
          <w:color w:val="auto"/>
          <w:kern w:val="0"/>
          <w:sz w:val="21"/>
          <w:szCs w:val="21"/>
          <w:highlight w:val="none"/>
          <w:u w:val="single"/>
          <w:lang w:val="en-US" w:eastAsia="zh-CN" w:bidi="ar-SA"/>
        </w:rPr>
        <w:t xml:space="preserve">        </w:t>
      </w:r>
      <w:r>
        <w:rPr>
          <w:rFonts w:hint="eastAsia" w:ascii="宋体" w:hAnsi="宋体" w:eastAsia="宋体" w:cs="Times New Roman"/>
          <w:color w:val="auto"/>
          <w:kern w:val="0"/>
          <w:sz w:val="21"/>
          <w:szCs w:val="21"/>
          <w:highlight w:val="none"/>
          <w:u w:val="none"/>
          <w:lang w:val="en-US" w:eastAsia="zh-CN" w:bidi="ar-SA"/>
        </w:rPr>
        <w:t>（</w:t>
      </w:r>
      <w:r>
        <w:rPr>
          <w:rFonts w:hint="eastAsia" w:ascii="宋体" w:hAnsi="宋体" w:eastAsia="宋体" w:cs="Times New Roman"/>
          <w:color w:val="auto"/>
          <w:kern w:val="0"/>
          <w:sz w:val="21"/>
          <w:szCs w:val="21"/>
          <w:highlight w:val="none"/>
          <w:u w:val="single"/>
          <w:lang w:val="en-US" w:eastAsia="zh-CN" w:bidi="ar-SA"/>
        </w:rPr>
        <w:t>项目编号</w:t>
      </w:r>
      <w:r>
        <w:rPr>
          <w:rFonts w:hint="eastAsia" w:ascii="宋体" w:hAnsi="宋体" w:eastAsia="宋体" w:cs="Times New Roman"/>
          <w:color w:val="auto"/>
          <w:kern w:val="0"/>
          <w:sz w:val="21"/>
          <w:szCs w:val="21"/>
          <w:highlight w:val="none"/>
          <w:u w:val="none"/>
          <w:lang w:val="en-US" w:eastAsia="zh-CN" w:bidi="ar-SA"/>
        </w:rPr>
        <w:t>）的磋商响应</w:t>
      </w:r>
      <w:r>
        <w:rPr>
          <w:rFonts w:hint="eastAsia" w:ascii="宋体" w:hAnsi="宋体" w:eastAsia="宋体" w:cs="Times New Roman"/>
          <w:color w:val="auto"/>
          <w:kern w:val="0"/>
          <w:sz w:val="21"/>
          <w:szCs w:val="21"/>
          <w:highlight w:val="none"/>
          <w:lang w:val="en-US" w:eastAsia="zh-CN" w:bidi="ar-SA"/>
        </w:rPr>
        <w:t>。</w:t>
      </w:r>
    </w:p>
    <w:p w14:paraId="1B4B239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一、各方一致决定，</w:t>
      </w:r>
      <w:r>
        <w:rPr>
          <w:rFonts w:hint="eastAsia" w:ascii="宋体" w:hAnsi="宋体" w:eastAsia="宋体" w:cs="Times New Roman"/>
          <w:color w:val="auto"/>
          <w:kern w:val="0"/>
          <w:sz w:val="21"/>
          <w:szCs w:val="21"/>
          <w:highlight w:val="none"/>
          <w:u w:val="single"/>
          <w:lang w:val="en-US" w:eastAsia="zh-CN" w:bidi="ar-SA"/>
        </w:rPr>
        <w:t xml:space="preserve">   (某联合体成员名称)  </w:t>
      </w:r>
      <w:r>
        <w:rPr>
          <w:rFonts w:hint="eastAsia" w:ascii="宋体" w:hAnsi="宋体" w:eastAsia="宋体" w:cs="Times New Roman"/>
          <w:color w:val="auto"/>
          <w:kern w:val="0"/>
          <w:sz w:val="21"/>
          <w:szCs w:val="21"/>
          <w:highlight w:val="none"/>
          <w:lang w:val="en-US" w:eastAsia="zh-CN" w:bidi="ar-SA"/>
        </w:rPr>
        <w:t>为联合体牵头人，代表所有联合体成员负责磋商和合同实施阶段的主办、协调工作。</w:t>
      </w:r>
    </w:p>
    <w:p w14:paraId="2451D4C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二、联合体各成员授权牵头人代表联合体参加投标/响应活动，签署文件，提交和接收相关的资料、信息及指示，进行合同谈判活动，负责合同实施阶段的组织和协调工作，以及处理与本采购项目有关的一切事宜。</w:t>
      </w:r>
    </w:p>
    <w:p w14:paraId="51D78EE2">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三、联合体牵头人在本项目中签署的一切文件和处理的一切事宜，联合体各成员均予以承认。联合体各成员将严格按照采购文件、响应文件和合同的要求全面履行义务，联合体各方应当共同与采购人签订合同，就本项目向采购人承担连带责任。</w:t>
      </w:r>
    </w:p>
    <w:p w14:paraId="06537F6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四、本次联合投标中，分工如下:</w:t>
      </w:r>
    </w:p>
    <w:p w14:paraId="12F9C9B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u w:val="single"/>
          <w:lang w:val="en-US" w:eastAsia="zh-CN" w:bidi="ar-SA"/>
        </w:rPr>
        <w:t xml:space="preserve">   (联合体成员1) </w:t>
      </w:r>
      <w:r>
        <w:rPr>
          <w:rFonts w:hint="eastAsia" w:ascii="宋体" w:hAnsi="宋体" w:eastAsia="宋体" w:cs="Times New Roman"/>
          <w:color w:val="auto"/>
          <w:kern w:val="0"/>
          <w:sz w:val="21"/>
          <w:szCs w:val="21"/>
          <w:highlight w:val="none"/>
          <w:lang w:val="en-US" w:eastAsia="zh-CN" w:bidi="ar-SA"/>
        </w:rPr>
        <w:t>承担的工作和义务为:</w:t>
      </w:r>
      <w:r>
        <w:rPr>
          <w:rFonts w:hint="eastAsia" w:ascii="宋体" w:hAnsi="宋体" w:eastAsia="宋体" w:cs="Times New Roman"/>
          <w:color w:val="auto"/>
          <w:kern w:val="0"/>
          <w:sz w:val="21"/>
          <w:szCs w:val="21"/>
          <w:highlight w:val="none"/>
          <w:u w:val="single"/>
          <w:lang w:val="en-US" w:eastAsia="zh-CN" w:bidi="ar-SA"/>
        </w:rPr>
        <w:t xml:space="preserve">        ；</w:t>
      </w:r>
    </w:p>
    <w:p w14:paraId="783930A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u w:val="single"/>
          <w:lang w:val="en-US" w:eastAsia="zh-CN" w:bidi="ar-SA"/>
        </w:rPr>
        <w:t xml:space="preserve">   (联合体成员2) </w:t>
      </w:r>
      <w:r>
        <w:rPr>
          <w:rFonts w:hint="eastAsia" w:ascii="宋体" w:hAnsi="宋体" w:eastAsia="宋体" w:cs="Times New Roman"/>
          <w:color w:val="auto"/>
          <w:kern w:val="0"/>
          <w:sz w:val="21"/>
          <w:szCs w:val="21"/>
          <w:highlight w:val="none"/>
          <w:lang w:val="en-US" w:eastAsia="zh-CN" w:bidi="ar-SA"/>
        </w:rPr>
        <w:t>承担的工作和义务为:</w:t>
      </w:r>
      <w:r>
        <w:rPr>
          <w:rFonts w:hint="eastAsia" w:ascii="宋体" w:hAnsi="宋体" w:eastAsia="宋体" w:cs="Times New Roman"/>
          <w:color w:val="auto"/>
          <w:kern w:val="0"/>
          <w:sz w:val="21"/>
          <w:szCs w:val="21"/>
          <w:highlight w:val="none"/>
          <w:u w:val="single"/>
          <w:lang w:val="en-US" w:eastAsia="zh-CN" w:bidi="ar-SA"/>
        </w:rPr>
        <w:t xml:space="preserve">        ；</w:t>
      </w:r>
    </w:p>
    <w:p w14:paraId="2AEBB0FE">
      <w:pPr>
        <w:adjustRightInd w:val="0"/>
        <w:snapToGrid w:val="0"/>
        <w:spacing w:line="360" w:lineRule="auto"/>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lang w:eastAsia="zh-CN"/>
        </w:rPr>
        <w:t>工程施工范围划分按本项目</w:t>
      </w:r>
      <w:r>
        <w:rPr>
          <w:rFonts w:hint="eastAsia" w:ascii="宋体" w:hAnsi="宋体" w:eastAsia="宋体" w:cs="Times New Roman"/>
          <w:color w:val="auto"/>
          <w:sz w:val="21"/>
          <w:szCs w:val="21"/>
          <w:highlight w:val="none"/>
          <w:lang w:val="en-US" w:eastAsia="zh-CN"/>
        </w:rPr>
        <w:t>响应</w:t>
      </w:r>
      <w:r>
        <w:rPr>
          <w:rFonts w:hint="eastAsia" w:ascii="宋体" w:hAnsi="宋体" w:eastAsia="宋体" w:cs="Times New Roman"/>
          <w:color w:val="auto"/>
          <w:sz w:val="21"/>
          <w:szCs w:val="21"/>
          <w:highlight w:val="none"/>
          <w:lang w:eastAsia="zh-CN"/>
        </w:rPr>
        <w:t>文件和合同约定执行；工程划分有争议部分由联合体各成员单位协商解决，但应确保本项目进度和质量，并向</w:t>
      </w:r>
      <w:r>
        <w:rPr>
          <w:rFonts w:hint="eastAsia" w:ascii="宋体" w:hAnsi="宋体" w:eastAsia="宋体" w:cs="Times New Roman"/>
          <w:color w:val="auto"/>
          <w:sz w:val="21"/>
          <w:szCs w:val="21"/>
          <w:highlight w:val="none"/>
          <w:lang w:val="en-US" w:eastAsia="zh-CN"/>
        </w:rPr>
        <w:t>采购</w:t>
      </w:r>
      <w:r>
        <w:rPr>
          <w:rFonts w:hint="eastAsia" w:ascii="宋体" w:hAnsi="宋体" w:eastAsia="宋体" w:cs="Times New Roman"/>
          <w:color w:val="auto"/>
          <w:sz w:val="21"/>
          <w:szCs w:val="21"/>
          <w:highlight w:val="none"/>
          <w:lang w:eastAsia="zh-CN"/>
        </w:rPr>
        <w:t>人承担连带责任。</w:t>
      </w:r>
    </w:p>
    <w:p w14:paraId="6E11D9C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五、联合体成员中小企业合同份额。</w:t>
      </w:r>
    </w:p>
    <w:p w14:paraId="2A8E642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1、</w:t>
      </w:r>
      <w:r>
        <w:rPr>
          <w:rFonts w:hint="eastAsia" w:ascii="宋体" w:hAnsi="宋体" w:eastAsia="宋体" w:cs="Times New Roman"/>
          <w:color w:val="auto"/>
          <w:kern w:val="0"/>
          <w:sz w:val="21"/>
          <w:szCs w:val="21"/>
          <w:highlight w:val="none"/>
          <w:u w:val="single"/>
          <w:lang w:val="en-US" w:eastAsia="zh-CN" w:bidi="ar-SA"/>
        </w:rPr>
        <w:t xml:space="preserve">        (联合体成员X……)</w:t>
      </w:r>
      <w:r>
        <w:rPr>
          <w:rFonts w:hint="eastAsia" w:ascii="宋体" w:hAnsi="宋体" w:eastAsia="宋体" w:cs="Times New Roman"/>
          <w:color w:val="auto"/>
          <w:kern w:val="0"/>
          <w:sz w:val="21"/>
          <w:szCs w:val="21"/>
          <w:highlight w:val="none"/>
          <w:lang w:val="en-US" w:eastAsia="zh-CN" w:bidi="ar-SA"/>
        </w:rPr>
        <w:t>提供的工程由小微企业</w:t>
      </w:r>
      <w:r>
        <w:rPr>
          <w:rFonts w:hint="eastAsia" w:ascii="宋体" w:hAnsi="宋体" w:eastAsia="宋体" w:cs="宋体"/>
          <w:color w:val="auto"/>
          <w:sz w:val="21"/>
          <w:szCs w:val="21"/>
          <w:highlight w:val="none"/>
          <w:lang w:eastAsia="zh-CN"/>
        </w:rPr>
        <w:t>承建（承接）</w:t>
      </w:r>
      <w:r>
        <w:rPr>
          <w:rFonts w:hint="eastAsia" w:ascii="宋体" w:hAnsi="宋体" w:eastAsia="宋体" w:cs="Times New Roman"/>
          <w:color w:val="auto"/>
          <w:kern w:val="0"/>
          <w:sz w:val="21"/>
          <w:szCs w:val="21"/>
          <w:highlight w:val="none"/>
          <w:lang w:val="en-US" w:eastAsia="zh-CN" w:bidi="ar-SA"/>
        </w:rPr>
        <w:t>，其合同份额占到合同总金额</w:t>
      </w:r>
      <w:r>
        <w:rPr>
          <w:rFonts w:hint="eastAsia" w:ascii="宋体" w:hAnsi="宋体" w:eastAsia="宋体" w:cs="Times New Roman"/>
          <w:color w:val="auto"/>
          <w:kern w:val="0"/>
          <w:sz w:val="21"/>
          <w:szCs w:val="21"/>
          <w:highlight w:val="none"/>
          <w:u w:val="single"/>
          <w:lang w:val="en-US" w:eastAsia="zh-CN" w:bidi="ar-SA"/>
        </w:rPr>
        <w:t xml:space="preserve">        </w:t>
      </w:r>
      <w:r>
        <w:rPr>
          <w:rFonts w:hint="eastAsia" w:ascii="宋体" w:hAnsi="宋体" w:eastAsia="宋体" w:cs="Times New Roman"/>
          <w:color w:val="auto"/>
          <w:kern w:val="0"/>
          <w:sz w:val="21"/>
          <w:szCs w:val="21"/>
          <w:highlight w:val="none"/>
          <w:lang w:val="en-US" w:eastAsia="zh-CN" w:bidi="ar-SA"/>
        </w:rPr>
        <w:t>%以上；……。(未预留份额专门面向中小企业采购的的采购项目，以及预留份额中的非预留部分采购包，接受联合体投标的，联合协议约定小微企业的合同份额占到合同总金额30%以上的，对联合体报价按评审标准确定的比例给予扣除。供应商拟享受以上价格扣除政策的，填写有关内容。)</w:t>
      </w:r>
    </w:p>
    <w:p w14:paraId="385171E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2、中小企业合同金额达到</w:t>
      </w:r>
      <w:r>
        <w:rPr>
          <w:rFonts w:hint="eastAsia" w:ascii="宋体" w:hAnsi="宋体" w:eastAsia="宋体" w:cs="Times New Roman"/>
          <w:color w:val="auto"/>
          <w:kern w:val="0"/>
          <w:sz w:val="21"/>
          <w:szCs w:val="21"/>
          <w:highlight w:val="none"/>
          <w:u w:val="single"/>
          <w:lang w:val="en-US" w:eastAsia="zh-CN" w:bidi="ar-SA"/>
        </w:rPr>
        <w:t xml:space="preserve">    /    </w:t>
      </w:r>
      <w:r>
        <w:rPr>
          <w:rFonts w:hint="eastAsia" w:ascii="宋体" w:hAnsi="宋体" w:eastAsia="宋体" w:cs="Times New Roman"/>
          <w:color w:val="auto"/>
          <w:kern w:val="0"/>
          <w:sz w:val="21"/>
          <w:szCs w:val="21"/>
          <w:highlight w:val="none"/>
          <w:lang w:val="en-US" w:eastAsia="zh-CN" w:bidi="ar-SA"/>
        </w:rPr>
        <w:t>%，其中小微企业合同金额达到</w:t>
      </w:r>
      <w:r>
        <w:rPr>
          <w:rFonts w:hint="eastAsia" w:ascii="宋体" w:hAnsi="宋体" w:eastAsia="宋体" w:cs="Times New Roman"/>
          <w:color w:val="auto"/>
          <w:kern w:val="0"/>
          <w:sz w:val="21"/>
          <w:szCs w:val="21"/>
          <w:highlight w:val="none"/>
          <w:u w:val="single"/>
          <w:lang w:val="en-US" w:eastAsia="zh-CN" w:bidi="ar-SA"/>
        </w:rPr>
        <w:t xml:space="preserve">   /     </w:t>
      </w:r>
      <w:r>
        <w:rPr>
          <w:rFonts w:hint="eastAsia" w:ascii="宋体" w:hAnsi="宋体" w:eastAsia="宋体" w:cs="Times New Roman"/>
          <w:color w:val="auto"/>
          <w:kern w:val="0"/>
          <w:sz w:val="21"/>
          <w:szCs w:val="21"/>
          <w:highlight w:val="none"/>
          <w:lang w:val="en-US" w:eastAsia="zh-CN" w:bidi="ar-SA"/>
        </w:rPr>
        <w:t>%。(要求以联合体形式参加的项目或采购包，供应商按采购文件中规定的联合协议中中小企业、小微企业合同金额应当达到的比例要求填写。)</w:t>
      </w:r>
    </w:p>
    <w:p w14:paraId="256DB1C1">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六、有关本次联合投标的其他事宜:</w:t>
      </w:r>
    </w:p>
    <w:p w14:paraId="134434A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1、联合体各方不再单独参加或者与其他供应商另外组成联合体参加同一合同项下的政府采购活动。</w:t>
      </w:r>
    </w:p>
    <w:p w14:paraId="3C400042">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2、联合体中有同类资质的各方按照联合体分工承担相同工作的，按照资质等级较低的供应商确定资质等级。</w:t>
      </w:r>
    </w:p>
    <w:p w14:paraId="7A91FA11">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3、本协议提交采购人、采购代理机构后，联合体各方不得以任何形式对上述内容进行修改或撤销。</w:t>
      </w:r>
    </w:p>
    <w:p w14:paraId="5C31E34D">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七、本协议书自签署之日起生效，合同履行完毕后自动失效。</w:t>
      </w:r>
    </w:p>
    <w:p w14:paraId="6325FD6F">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八、本协议书一式</w:t>
      </w:r>
      <w:r>
        <w:rPr>
          <w:rFonts w:hint="eastAsia" w:ascii="宋体" w:hAnsi="宋体" w:eastAsia="宋体" w:cs="Times New Roman"/>
          <w:color w:val="auto"/>
          <w:kern w:val="0"/>
          <w:sz w:val="21"/>
          <w:szCs w:val="21"/>
          <w:highlight w:val="none"/>
          <w:u w:val="single"/>
          <w:lang w:val="en-US" w:eastAsia="zh-CN" w:bidi="ar-SA"/>
        </w:rPr>
        <w:t xml:space="preserve">     </w:t>
      </w:r>
      <w:r>
        <w:rPr>
          <w:rFonts w:hint="eastAsia" w:ascii="宋体" w:hAnsi="宋体" w:eastAsia="宋体" w:cs="Times New Roman"/>
          <w:color w:val="auto"/>
          <w:kern w:val="0"/>
          <w:sz w:val="21"/>
          <w:szCs w:val="21"/>
          <w:highlight w:val="none"/>
          <w:lang w:val="en-US" w:eastAsia="zh-CN" w:bidi="ar-SA"/>
        </w:rPr>
        <w:t>份，联合体成员和采购人各执</w:t>
      </w:r>
      <w:r>
        <w:rPr>
          <w:rFonts w:hint="eastAsia" w:ascii="宋体" w:hAnsi="宋体" w:eastAsia="宋体" w:cs="Times New Roman"/>
          <w:color w:val="auto"/>
          <w:kern w:val="0"/>
          <w:sz w:val="21"/>
          <w:szCs w:val="21"/>
          <w:highlight w:val="none"/>
          <w:u w:val="single"/>
          <w:lang w:val="en-US" w:eastAsia="zh-CN" w:bidi="ar-SA"/>
        </w:rPr>
        <w:t xml:space="preserve">     </w:t>
      </w:r>
      <w:r>
        <w:rPr>
          <w:rFonts w:hint="eastAsia" w:ascii="宋体" w:hAnsi="宋体" w:eastAsia="宋体" w:cs="Times New Roman"/>
          <w:color w:val="auto"/>
          <w:kern w:val="0"/>
          <w:sz w:val="21"/>
          <w:szCs w:val="21"/>
          <w:highlight w:val="none"/>
          <w:lang w:val="en-US" w:eastAsia="zh-CN" w:bidi="ar-SA"/>
        </w:rPr>
        <w:t>份。</w:t>
      </w:r>
    </w:p>
    <w:p w14:paraId="686463AB">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Times New Roman"/>
          <w:color w:val="auto"/>
          <w:kern w:val="0"/>
          <w:sz w:val="21"/>
          <w:szCs w:val="21"/>
          <w:highlight w:val="none"/>
          <w:lang w:val="en-US" w:eastAsia="zh-CN" w:bidi="ar-SA"/>
        </w:rPr>
      </w:pPr>
    </w:p>
    <w:p w14:paraId="452404D5">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注：本协议书由法定代表人签字的，应附法定代表人身份证明；本协议书由委托代理人签字的，应附法定代表人签字的授权委托书。</w:t>
      </w:r>
    </w:p>
    <w:p w14:paraId="6748B38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Times New Roman"/>
          <w:color w:val="auto"/>
          <w:kern w:val="0"/>
          <w:sz w:val="21"/>
          <w:szCs w:val="21"/>
          <w:highlight w:val="none"/>
          <w:lang w:val="en-US" w:eastAsia="zh-CN" w:bidi="ar-SA"/>
        </w:rPr>
      </w:pPr>
    </w:p>
    <w:p w14:paraId="304DBD52">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Times New Roman"/>
          <w:color w:val="auto"/>
          <w:kern w:val="0"/>
          <w:sz w:val="21"/>
          <w:szCs w:val="21"/>
          <w:highlight w:val="none"/>
          <w:lang w:val="en-US" w:eastAsia="zh-CN" w:bidi="ar-SA"/>
        </w:rPr>
      </w:pPr>
    </w:p>
    <w:p w14:paraId="26798A00">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牵头人名称：</w:t>
      </w:r>
      <w:r>
        <w:rPr>
          <w:rFonts w:hint="eastAsia" w:ascii="宋体" w:hAnsi="宋体" w:eastAsia="宋体" w:cs="Times New Roman"/>
          <w:color w:val="auto"/>
          <w:kern w:val="0"/>
          <w:sz w:val="21"/>
          <w:szCs w:val="21"/>
          <w:highlight w:val="none"/>
          <w:u w:val="single"/>
          <w:lang w:val="en-US" w:eastAsia="zh-CN" w:bidi="ar-SA"/>
        </w:rPr>
        <w:t xml:space="preserve">                   </w:t>
      </w:r>
      <w:r>
        <w:rPr>
          <w:rFonts w:hint="eastAsia" w:ascii="宋体" w:hAnsi="宋体" w:eastAsia="宋体" w:cs="Times New Roman"/>
          <w:color w:val="auto"/>
          <w:kern w:val="0"/>
          <w:sz w:val="21"/>
          <w:szCs w:val="21"/>
          <w:highlight w:val="none"/>
          <w:lang w:val="en-US" w:eastAsia="zh-CN" w:bidi="ar-SA"/>
        </w:rPr>
        <w:t xml:space="preserve"> （盖单位章）</w:t>
      </w:r>
    </w:p>
    <w:p w14:paraId="1172DBF0">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 xml:space="preserve">法定代表人或其委托代理人： </w:t>
      </w:r>
      <w:r>
        <w:rPr>
          <w:rFonts w:hint="eastAsia" w:ascii="宋体" w:hAnsi="宋体" w:eastAsia="宋体" w:cs="Times New Roman"/>
          <w:color w:val="auto"/>
          <w:kern w:val="0"/>
          <w:sz w:val="21"/>
          <w:szCs w:val="21"/>
          <w:highlight w:val="none"/>
          <w:u w:val="single"/>
          <w:lang w:val="en-US" w:eastAsia="zh-CN" w:bidi="ar-SA"/>
        </w:rPr>
        <w:t xml:space="preserve">         </w:t>
      </w:r>
      <w:r>
        <w:rPr>
          <w:rFonts w:hint="eastAsia" w:ascii="宋体" w:hAnsi="宋体" w:eastAsia="宋体" w:cs="Times New Roman"/>
          <w:color w:val="auto"/>
          <w:kern w:val="0"/>
          <w:sz w:val="21"/>
          <w:szCs w:val="21"/>
          <w:highlight w:val="none"/>
          <w:lang w:val="en-US" w:eastAsia="zh-CN" w:bidi="ar-SA"/>
        </w:rPr>
        <w:t>（签字）</w:t>
      </w:r>
    </w:p>
    <w:p w14:paraId="400F5F06">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Times New Roman"/>
          <w:color w:val="auto"/>
          <w:kern w:val="0"/>
          <w:sz w:val="21"/>
          <w:szCs w:val="21"/>
          <w:highlight w:val="none"/>
          <w:lang w:val="en-US" w:eastAsia="zh-CN" w:bidi="ar-SA"/>
        </w:rPr>
      </w:pPr>
    </w:p>
    <w:p w14:paraId="0F19C743">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成员名称：</w:t>
      </w:r>
      <w:r>
        <w:rPr>
          <w:rFonts w:hint="eastAsia" w:ascii="宋体" w:hAnsi="宋体" w:eastAsia="宋体" w:cs="Times New Roman"/>
          <w:color w:val="auto"/>
          <w:kern w:val="0"/>
          <w:sz w:val="21"/>
          <w:szCs w:val="21"/>
          <w:highlight w:val="none"/>
          <w:u w:val="single"/>
          <w:lang w:val="en-US" w:eastAsia="zh-CN" w:bidi="ar-SA"/>
        </w:rPr>
        <w:t xml:space="preserve">               </w:t>
      </w:r>
      <w:r>
        <w:rPr>
          <w:rFonts w:hint="eastAsia" w:ascii="宋体" w:hAnsi="宋体" w:eastAsia="宋体" w:cs="Times New Roman"/>
          <w:color w:val="auto"/>
          <w:kern w:val="0"/>
          <w:sz w:val="21"/>
          <w:szCs w:val="21"/>
          <w:highlight w:val="none"/>
          <w:lang w:val="en-US" w:eastAsia="zh-CN" w:bidi="ar-SA"/>
        </w:rPr>
        <w:t xml:space="preserve"> （盖单位章）</w:t>
      </w:r>
    </w:p>
    <w:p w14:paraId="57FAED8A">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法定代表人或其委托代理人：</w:t>
      </w:r>
      <w:r>
        <w:rPr>
          <w:rFonts w:hint="eastAsia" w:ascii="宋体" w:hAnsi="宋体" w:eastAsia="宋体" w:cs="Times New Roman"/>
          <w:color w:val="auto"/>
          <w:kern w:val="0"/>
          <w:sz w:val="21"/>
          <w:szCs w:val="21"/>
          <w:highlight w:val="none"/>
          <w:u w:val="single"/>
          <w:lang w:val="en-US" w:eastAsia="zh-CN" w:bidi="ar-SA"/>
        </w:rPr>
        <w:t xml:space="preserve">             </w:t>
      </w:r>
      <w:r>
        <w:rPr>
          <w:rFonts w:hint="eastAsia" w:ascii="宋体" w:hAnsi="宋体" w:eastAsia="宋体" w:cs="Times New Roman"/>
          <w:color w:val="auto"/>
          <w:kern w:val="0"/>
          <w:sz w:val="21"/>
          <w:szCs w:val="21"/>
          <w:highlight w:val="none"/>
          <w:lang w:val="en-US" w:eastAsia="zh-CN" w:bidi="ar-SA"/>
        </w:rPr>
        <w:t>（签字）</w:t>
      </w:r>
    </w:p>
    <w:p w14:paraId="0F198BCB">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Times New Roman"/>
          <w:color w:val="auto"/>
          <w:kern w:val="0"/>
          <w:sz w:val="21"/>
          <w:szCs w:val="21"/>
          <w:highlight w:val="none"/>
          <w:lang w:val="en-US" w:eastAsia="zh-CN" w:bidi="ar-SA"/>
        </w:rPr>
      </w:pPr>
    </w:p>
    <w:p w14:paraId="30FB62E7">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Times New Roman"/>
          <w:color w:val="auto"/>
          <w:kern w:val="0"/>
          <w:sz w:val="21"/>
          <w:szCs w:val="21"/>
          <w:highlight w:val="none"/>
          <w:lang w:val="en-US" w:eastAsia="zh-CN" w:bidi="ar-SA"/>
        </w:rPr>
      </w:pPr>
    </w:p>
    <w:p w14:paraId="5644CA3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年     月    日</w:t>
      </w:r>
    </w:p>
    <w:p w14:paraId="3B07B1BB">
      <w:pPr>
        <w:rPr>
          <w:rFonts w:hint="eastAsia" w:ascii="宋体" w:hAnsi="宋体" w:cs="宋体"/>
          <w:b/>
          <w:color w:val="auto"/>
          <w:highlight w:val="none"/>
          <w:lang w:eastAsia="zh-CN"/>
        </w:rPr>
      </w:pPr>
    </w:p>
    <w:p w14:paraId="01DF639E">
      <w:pPr>
        <w:rPr>
          <w:rFonts w:hint="eastAsia" w:ascii="宋体" w:hAnsi="宋体" w:cs="宋体"/>
          <w:b/>
          <w:color w:val="auto"/>
          <w:highlight w:val="none"/>
          <w:lang w:eastAsia="zh-CN"/>
        </w:rPr>
      </w:pPr>
      <w:r>
        <w:rPr>
          <w:rFonts w:hint="eastAsia" w:ascii="宋体" w:hAnsi="宋体" w:cs="宋体"/>
          <w:b/>
          <w:color w:val="auto"/>
          <w:highlight w:val="none"/>
          <w:lang w:eastAsia="zh-CN"/>
        </w:rPr>
        <w:br w:type="page"/>
      </w:r>
    </w:p>
    <w:p w14:paraId="37E174BD">
      <w:pPr>
        <w:spacing w:line="360" w:lineRule="auto"/>
        <w:rPr>
          <w:rFonts w:hint="eastAsia" w:ascii="宋体" w:hAnsi="宋体" w:cs="宋体"/>
          <w:b/>
          <w:color w:val="auto"/>
          <w:highlight w:val="none"/>
          <w:lang w:val="en-US" w:eastAsia="zh-CN"/>
        </w:rPr>
      </w:pPr>
      <w:r>
        <w:rPr>
          <w:rFonts w:hint="eastAsia" w:ascii="宋体" w:hAnsi="宋体" w:cs="宋体"/>
          <w:b/>
          <w:color w:val="auto"/>
          <w:highlight w:val="none"/>
          <w:lang w:eastAsia="zh-CN"/>
        </w:rPr>
        <w:t>格式</w:t>
      </w:r>
      <w:bookmarkStart w:id="89" w:name="_Toc5441"/>
      <w:r>
        <w:rPr>
          <w:rFonts w:hint="eastAsia" w:ascii="宋体" w:hAnsi="宋体" w:cs="宋体"/>
          <w:b/>
          <w:color w:val="auto"/>
          <w:highlight w:val="none"/>
          <w:lang w:val="en-US" w:eastAsia="zh-CN"/>
        </w:rPr>
        <w:t>十</w:t>
      </w:r>
      <w:r>
        <w:rPr>
          <w:rFonts w:hint="eastAsia" w:ascii="宋体" w:hAnsi="宋体" w:cs="宋体"/>
          <w:b/>
          <w:color w:val="auto"/>
          <w:highlight w:val="none"/>
          <w:lang w:eastAsia="zh-CN"/>
        </w:rPr>
        <w:t>、</w:t>
      </w:r>
      <w:r>
        <w:rPr>
          <w:rFonts w:hint="eastAsia" w:ascii="宋体" w:hAnsi="宋体" w:cs="宋体"/>
          <w:b/>
          <w:color w:val="auto"/>
          <w:highlight w:val="none"/>
          <w:lang w:val="en-US" w:eastAsia="zh-CN"/>
        </w:rPr>
        <w:t>承诺书</w:t>
      </w:r>
    </w:p>
    <w:p w14:paraId="3359597B">
      <w:pPr>
        <w:spacing w:line="360" w:lineRule="auto"/>
        <w:jc w:val="center"/>
        <w:rPr>
          <w:rFonts w:hint="default" w:ascii="宋体" w:hAnsi="宋体" w:cs="宋体"/>
          <w:b/>
          <w:color w:val="auto"/>
          <w:highlight w:val="none"/>
          <w:lang w:val="en-US" w:eastAsia="zh-CN"/>
        </w:rPr>
      </w:pPr>
      <w:r>
        <w:rPr>
          <w:rFonts w:hint="eastAsia" w:ascii="宋体" w:hAnsi="宋体" w:cs="宋体"/>
          <w:b/>
          <w:color w:val="auto"/>
          <w:highlight w:val="none"/>
          <w:lang w:val="en-US" w:eastAsia="zh-CN"/>
        </w:rPr>
        <w:t>承诺书（一包：江宁监狱蒸汽管网改造）</w:t>
      </w:r>
    </w:p>
    <w:p w14:paraId="3B44CDFC">
      <w:pPr>
        <w:snapToGrid w:val="0"/>
        <w:spacing w:line="360" w:lineRule="auto"/>
        <w:rPr>
          <w:rFonts w:ascii="宋体" w:hAnsi="宋体" w:cs="宋体"/>
          <w:color w:val="auto"/>
          <w:highlight w:val="none"/>
          <w:lang w:eastAsia="zh-CN"/>
        </w:rPr>
      </w:pPr>
      <w:r>
        <w:rPr>
          <w:rFonts w:hint="eastAsia" w:ascii="宋体" w:hAnsi="宋体" w:cs="宋体"/>
          <w:bCs/>
          <w:color w:val="auto"/>
          <w:highlight w:val="none"/>
          <w:u w:val="single"/>
          <w:lang w:eastAsia="zh-CN"/>
        </w:rPr>
        <w:t xml:space="preserve">            </w:t>
      </w:r>
      <w:r>
        <w:rPr>
          <w:rFonts w:hint="eastAsia" w:ascii="宋体" w:hAnsi="宋体" w:cs="宋体"/>
          <w:color w:val="auto"/>
          <w:highlight w:val="none"/>
          <w:lang w:eastAsia="zh-CN"/>
        </w:rPr>
        <w:t>（采购人）：</w:t>
      </w:r>
    </w:p>
    <w:p w14:paraId="5D124D12">
      <w:pPr>
        <w:snapToGrid w:val="0"/>
        <w:spacing w:line="360" w:lineRule="auto"/>
        <w:rPr>
          <w:rFonts w:ascii="宋体" w:hAnsi="宋体" w:cs="宋体"/>
          <w:color w:val="auto"/>
          <w:highlight w:val="none"/>
          <w:lang w:eastAsia="zh-CN"/>
        </w:rPr>
      </w:pPr>
    </w:p>
    <w:p w14:paraId="6E2FD410">
      <w:pPr>
        <w:snapToGrid w:val="0"/>
        <w:spacing w:line="360" w:lineRule="auto"/>
        <w:ind w:firstLine="440" w:firstLineChars="200"/>
        <w:rPr>
          <w:rFonts w:ascii="宋体" w:hAnsi="宋体" w:cs="宋体"/>
          <w:color w:val="auto"/>
          <w:highlight w:val="none"/>
          <w:lang w:eastAsia="zh-CN"/>
        </w:rPr>
      </w:pPr>
      <w:r>
        <w:rPr>
          <w:rFonts w:hint="eastAsia" w:ascii="宋体" w:hAnsi="宋体" w:cs="宋体"/>
          <w:color w:val="auto"/>
          <w:highlight w:val="none"/>
          <w:lang w:eastAsia="zh-CN"/>
        </w:rPr>
        <w:t>我单位（响应人名称）郑重声明：</w:t>
      </w:r>
    </w:p>
    <w:p w14:paraId="1B5F4D34">
      <w:pPr>
        <w:snapToGrid w:val="0"/>
        <w:spacing w:line="360" w:lineRule="auto"/>
        <w:ind w:firstLine="440" w:firstLineChars="200"/>
        <w:rPr>
          <w:rFonts w:ascii="宋体" w:hAnsi="宋体" w:cs="宋体"/>
          <w:color w:val="auto"/>
          <w:highlight w:val="none"/>
          <w:lang w:eastAsia="zh-CN"/>
        </w:rPr>
      </w:pPr>
      <w:r>
        <w:rPr>
          <w:rFonts w:hint="eastAsia" w:ascii="宋体" w:hAnsi="宋体" w:cs="宋体"/>
          <w:color w:val="auto"/>
          <w:highlight w:val="none"/>
          <w:lang w:eastAsia="zh-CN"/>
        </w:rPr>
        <w:t>一包：江宁监狱蒸汽管网改造为蒸汽压力管道改造工程，属于特种设备作业范畴，所有进场作业人员</w:t>
      </w:r>
      <w:r>
        <w:rPr>
          <w:rFonts w:hint="eastAsia" w:ascii="宋体" w:hAnsi="宋体" w:cs="宋体"/>
          <w:color w:val="auto"/>
          <w:highlight w:val="none"/>
          <w:lang w:val="en-US" w:eastAsia="zh-CN"/>
        </w:rPr>
        <w:t>都须</w:t>
      </w:r>
      <w:r>
        <w:rPr>
          <w:rFonts w:hint="eastAsia" w:ascii="宋体" w:hAnsi="宋体" w:cs="宋体"/>
          <w:color w:val="auto"/>
          <w:highlight w:val="none"/>
          <w:lang w:eastAsia="zh-CN"/>
        </w:rPr>
        <w:t>依法依规持证上岗。管道焊接人员须持有市场监管部门核发的特种设备焊接作业证、应急管理部门核发的焊接与热切割特种作业证；无损检测人员具备 UT、RT 二级及以上无损检测资格证；电气作业人员持有低压电工证；设备吊装、高空作业人员分别持有对应起重、高处作业特种作业证。现场作业人员证书</w:t>
      </w:r>
      <w:r>
        <w:rPr>
          <w:rFonts w:hint="eastAsia" w:ascii="宋体" w:hAnsi="宋体" w:cs="宋体"/>
          <w:color w:val="auto"/>
          <w:highlight w:val="none"/>
          <w:lang w:val="en-US" w:eastAsia="zh-CN"/>
        </w:rPr>
        <w:t>均</w:t>
      </w:r>
      <w:r>
        <w:rPr>
          <w:rFonts w:hint="eastAsia" w:ascii="宋体" w:hAnsi="宋体" w:cs="宋体"/>
          <w:color w:val="auto"/>
          <w:highlight w:val="none"/>
          <w:lang w:eastAsia="zh-CN"/>
        </w:rPr>
        <w:t>真实有效，施工期间随时接受查验，并提交人员持证上岗承诺书。</w:t>
      </w:r>
    </w:p>
    <w:p w14:paraId="313561F6">
      <w:pPr>
        <w:snapToGrid w:val="0"/>
        <w:spacing w:line="360" w:lineRule="auto"/>
        <w:ind w:firstLine="5720" w:firstLineChars="2600"/>
        <w:rPr>
          <w:rFonts w:ascii="宋体" w:hAnsi="宋体" w:cs="宋体"/>
          <w:color w:val="auto"/>
          <w:highlight w:val="none"/>
          <w:lang w:eastAsia="zh-CN"/>
        </w:rPr>
      </w:pPr>
      <w:r>
        <w:rPr>
          <w:rFonts w:hint="eastAsia" w:ascii="宋体" w:hAnsi="宋体" w:cs="宋体"/>
          <w:color w:val="auto"/>
          <w:highlight w:val="none"/>
          <w:lang w:eastAsia="zh-CN"/>
        </w:rPr>
        <w:t>声明人：（加盖电子公章）</w:t>
      </w:r>
    </w:p>
    <w:p w14:paraId="50F144FC">
      <w:pPr>
        <w:snapToGrid w:val="0"/>
        <w:spacing w:line="360" w:lineRule="auto"/>
        <w:ind w:firstLine="5720" w:firstLineChars="2600"/>
        <w:rPr>
          <w:rFonts w:ascii="宋体" w:hAnsi="宋体" w:cs="宋体"/>
          <w:color w:val="auto"/>
          <w:highlight w:val="none"/>
          <w:lang w:eastAsia="zh-CN"/>
        </w:rPr>
      </w:pPr>
      <w:r>
        <w:rPr>
          <w:rFonts w:hint="eastAsia" w:ascii="宋体" w:hAnsi="宋体" w:cs="宋体"/>
          <w:color w:val="auto"/>
          <w:highlight w:val="none"/>
          <w:lang w:eastAsia="zh-CN"/>
        </w:rPr>
        <w:t>日期：   年   月   日</w:t>
      </w:r>
    </w:p>
    <w:p w14:paraId="65E3ECFC">
      <w:pPr>
        <w:spacing w:line="360" w:lineRule="auto"/>
        <w:rPr>
          <w:rFonts w:hint="eastAsia" w:ascii="宋体" w:hAnsi="宋体" w:cs="宋体"/>
          <w:b/>
          <w:color w:val="auto"/>
          <w:highlight w:val="none"/>
          <w:lang w:val="en-US" w:eastAsia="zh-CN"/>
        </w:rPr>
      </w:pPr>
    </w:p>
    <w:p w14:paraId="07C85A20">
      <w:pPr>
        <w:rPr>
          <w:rFonts w:hint="eastAsia" w:ascii="宋体" w:hAnsi="宋体" w:cs="宋体"/>
          <w:b/>
          <w:color w:val="auto"/>
          <w:highlight w:val="none"/>
          <w:lang w:val="en-US" w:eastAsia="zh-CN"/>
        </w:rPr>
      </w:pPr>
      <w:r>
        <w:rPr>
          <w:rFonts w:hint="eastAsia" w:ascii="宋体" w:hAnsi="宋体" w:cs="宋体"/>
          <w:b/>
          <w:color w:val="auto"/>
          <w:highlight w:val="none"/>
          <w:lang w:val="en-US" w:eastAsia="zh-CN"/>
        </w:rPr>
        <w:br w:type="page"/>
      </w:r>
    </w:p>
    <w:p w14:paraId="1E64CE8B">
      <w:pPr>
        <w:spacing w:line="360" w:lineRule="auto"/>
        <w:rPr>
          <w:rFonts w:ascii="宋体" w:hAnsi="宋体" w:cs="宋体"/>
          <w:b/>
          <w:color w:val="auto"/>
          <w:highlight w:val="none"/>
          <w:lang w:eastAsia="zh-CN"/>
        </w:rPr>
      </w:pPr>
      <w:r>
        <w:rPr>
          <w:rFonts w:hint="eastAsia" w:ascii="宋体" w:hAnsi="宋体" w:cs="宋体"/>
          <w:b/>
          <w:color w:val="auto"/>
          <w:highlight w:val="none"/>
          <w:lang w:val="en-US" w:eastAsia="zh-CN"/>
        </w:rPr>
        <w:t>格式十一、</w:t>
      </w:r>
      <w:r>
        <w:rPr>
          <w:rFonts w:hint="eastAsia" w:ascii="宋体" w:hAnsi="宋体" w:cs="宋体"/>
          <w:b/>
          <w:color w:val="auto"/>
          <w:highlight w:val="none"/>
          <w:lang w:eastAsia="zh-CN"/>
        </w:rPr>
        <w:t>其他</w:t>
      </w:r>
      <w:bookmarkEnd w:id="89"/>
    </w:p>
    <w:p w14:paraId="02B00188">
      <w:pPr>
        <w:pStyle w:val="70"/>
        <w:snapToGrid w:val="0"/>
        <w:ind w:firstLine="0" w:firstLineChars="0"/>
        <w:rPr>
          <w:rFonts w:cs="宋体"/>
          <w:color w:val="auto"/>
          <w:sz w:val="21"/>
          <w:szCs w:val="21"/>
          <w:highlight w:val="none"/>
          <w:lang w:eastAsia="zh-CN"/>
        </w:rPr>
      </w:pPr>
    </w:p>
    <w:p w14:paraId="529F3278">
      <w:pPr>
        <w:pStyle w:val="70"/>
        <w:snapToGrid w:val="0"/>
        <w:ind w:firstLine="0" w:firstLineChars="0"/>
        <w:rPr>
          <w:rFonts w:cs="宋体"/>
          <w:color w:val="auto"/>
          <w:szCs w:val="21"/>
          <w:highlight w:val="none"/>
          <w:lang w:eastAsia="zh-CN"/>
        </w:rPr>
      </w:pPr>
      <w:r>
        <w:rPr>
          <w:rFonts w:hint="eastAsia" w:cs="宋体"/>
          <w:color w:val="auto"/>
          <w:sz w:val="21"/>
          <w:szCs w:val="21"/>
          <w:highlight w:val="none"/>
          <w:lang w:eastAsia="zh-CN"/>
        </w:rPr>
        <w:t>注释：此处可附“第三章 评审标准”中所要求的材料或供应商认为需要提供的其他材料。</w:t>
      </w:r>
    </w:p>
    <w:p w14:paraId="730A6E24">
      <w:pPr>
        <w:pStyle w:val="70"/>
        <w:ind w:firstLine="0" w:firstLineChars="0"/>
        <w:jc w:val="both"/>
        <w:rPr>
          <w:rFonts w:eastAsia="宋体"/>
          <w:color w:val="auto"/>
          <w:highlight w:val="none"/>
          <w:lang w:eastAsia="zh-CN"/>
        </w:rPr>
      </w:pPr>
    </w:p>
    <w:p w14:paraId="74D9033C">
      <w:pPr>
        <w:pStyle w:val="70"/>
        <w:ind w:firstLine="0" w:firstLineChars="0"/>
        <w:jc w:val="both"/>
        <w:rPr>
          <w:rFonts w:eastAsia="宋体"/>
          <w:color w:val="auto"/>
          <w:highlight w:val="none"/>
          <w:lang w:eastAsia="zh-CN"/>
        </w:rPr>
      </w:pPr>
    </w:p>
    <w:p w14:paraId="095E700B">
      <w:pPr>
        <w:pStyle w:val="70"/>
        <w:ind w:firstLine="0" w:firstLineChars="0"/>
        <w:jc w:val="both"/>
        <w:rPr>
          <w:rFonts w:eastAsia="宋体"/>
          <w:color w:val="auto"/>
          <w:highlight w:val="none"/>
          <w:lang w:eastAsia="zh-CN"/>
        </w:rPr>
      </w:pPr>
    </w:p>
    <w:p w14:paraId="7FDA0C1A">
      <w:pPr>
        <w:rPr>
          <w:rFonts w:hint="eastAsia" w:cs="宋体"/>
          <w:b/>
          <w:color w:val="auto"/>
          <w:highlight w:val="none"/>
          <w:lang w:eastAsia="zh-CN"/>
        </w:rPr>
      </w:pPr>
      <w:r>
        <w:rPr>
          <w:rFonts w:hint="eastAsia" w:cs="宋体"/>
          <w:b/>
          <w:color w:val="auto"/>
          <w:highlight w:val="none"/>
          <w:lang w:eastAsia="zh-CN"/>
        </w:rPr>
        <w:br w:type="page"/>
      </w:r>
    </w:p>
    <w:p w14:paraId="3C02ECA5">
      <w:pPr>
        <w:rPr>
          <w:rFonts w:eastAsia="宋体"/>
          <w:b/>
          <w:color w:val="auto"/>
          <w:highlight w:val="none"/>
          <w:lang w:eastAsia="zh-CN"/>
        </w:rPr>
      </w:pPr>
      <w:r>
        <w:rPr>
          <w:rFonts w:hint="eastAsia" w:cs="宋体"/>
          <w:b/>
          <w:color w:val="auto"/>
          <w:highlight w:val="none"/>
          <w:lang w:eastAsia="zh-CN"/>
        </w:rPr>
        <w:t>格式十</w:t>
      </w:r>
      <w:r>
        <w:rPr>
          <w:rFonts w:hint="eastAsia" w:cs="宋体"/>
          <w:b/>
          <w:color w:val="auto"/>
          <w:highlight w:val="none"/>
          <w:lang w:val="en-US" w:eastAsia="zh-CN"/>
        </w:rPr>
        <w:t>二</w:t>
      </w:r>
      <w:r>
        <w:rPr>
          <w:rFonts w:hint="eastAsia" w:cs="宋体"/>
          <w:b/>
          <w:color w:val="auto"/>
          <w:highlight w:val="none"/>
          <w:lang w:eastAsia="zh-CN"/>
        </w:rPr>
        <w:t>、</w:t>
      </w:r>
      <w:r>
        <w:rPr>
          <w:rFonts w:hint="eastAsia" w:eastAsia="宋体"/>
          <w:b/>
          <w:color w:val="auto"/>
          <w:highlight w:val="none"/>
          <w:lang w:eastAsia="zh-CN"/>
        </w:rPr>
        <w:t>项目组人员表</w:t>
      </w:r>
    </w:p>
    <w:tbl>
      <w:tblPr>
        <w:tblStyle w:val="34"/>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850"/>
        <w:gridCol w:w="851"/>
        <w:gridCol w:w="850"/>
        <w:gridCol w:w="993"/>
        <w:gridCol w:w="992"/>
        <w:gridCol w:w="1134"/>
        <w:gridCol w:w="2977"/>
      </w:tblGrid>
      <w:tr w14:paraId="51CD3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center"/>
          </w:tcPr>
          <w:p w14:paraId="6DAB90C3">
            <w:pPr>
              <w:pStyle w:val="20"/>
              <w:adjustRightInd w:val="0"/>
              <w:snapToGrid w:val="0"/>
              <w:spacing w:line="360" w:lineRule="auto"/>
              <w:jc w:val="center"/>
              <w:rPr>
                <w:rFonts w:hAnsi="宋体" w:eastAsia="Calibri" w:cs="宋体"/>
                <w:color w:val="auto"/>
                <w:sz w:val="22"/>
                <w:szCs w:val="22"/>
                <w:highlight w:val="none"/>
                <w:lang w:eastAsia="zh-CN"/>
              </w:rPr>
            </w:pPr>
            <w:r>
              <w:rPr>
                <w:rFonts w:hAnsi="宋体" w:eastAsia="Calibri" w:cs="宋体"/>
                <w:color w:val="auto"/>
                <w:sz w:val="22"/>
                <w:szCs w:val="22"/>
                <w:highlight w:val="none"/>
                <w:lang w:eastAsia="zh-CN"/>
              </w:rPr>
              <w:t>序号</w:t>
            </w:r>
          </w:p>
        </w:tc>
        <w:tc>
          <w:tcPr>
            <w:tcW w:w="850" w:type="dxa"/>
            <w:noWrap w:val="0"/>
            <w:vAlign w:val="center"/>
          </w:tcPr>
          <w:p w14:paraId="527E2180">
            <w:pPr>
              <w:pStyle w:val="20"/>
              <w:adjustRightInd w:val="0"/>
              <w:snapToGrid w:val="0"/>
              <w:spacing w:line="360" w:lineRule="auto"/>
              <w:jc w:val="center"/>
              <w:rPr>
                <w:rFonts w:hAnsi="宋体" w:eastAsia="Calibri" w:cs="宋体"/>
                <w:color w:val="auto"/>
                <w:sz w:val="22"/>
                <w:szCs w:val="22"/>
                <w:highlight w:val="none"/>
                <w:lang w:eastAsia="zh-CN"/>
              </w:rPr>
            </w:pPr>
            <w:r>
              <w:rPr>
                <w:rFonts w:hAnsi="宋体" w:eastAsia="Calibri" w:cs="宋体"/>
                <w:color w:val="auto"/>
                <w:sz w:val="22"/>
                <w:szCs w:val="22"/>
                <w:highlight w:val="none"/>
                <w:lang w:eastAsia="zh-CN"/>
              </w:rPr>
              <w:t>姓名</w:t>
            </w:r>
          </w:p>
        </w:tc>
        <w:tc>
          <w:tcPr>
            <w:tcW w:w="851" w:type="dxa"/>
            <w:noWrap w:val="0"/>
            <w:vAlign w:val="center"/>
          </w:tcPr>
          <w:p w14:paraId="3E1DDECB">
            <w:pPr>
              <w:pStyle w:val="20"/>
              <w:adjustRightInd w:val="0"/>
              <w:snapToGrid w:val="0"/>
              <w:spacing w:line="360" w:lineRule="auto"/>
              <w:jc w:val="center"/>
              <w:rPr>
                <w:rFonts w:hAnsi="宋体" w:eastAsia="Calibri" w:cs="宋体"/>
                <w:color w:val="auto"/>
                <w:sz w:val="22"/>
                <w:szCs w:val="22"/>
                <w:highlight w:val="none"/>
                <w:lang w:eastAsia="zh-CN"/>
              </w:rPr>
            </w:pPr>
            <w:r>
              <w:rPr>
                <w:rFonts w:hAnsi="宋体" w:eastAsia="Calibri" w:cs="宋体"/>
                <w:color w:val="auto"/>
                <w:sz w:val="22"/>
                <w:szCs w:val="22"/>
                <w:highlight w:val="none"/>
                <w:lang w:eastAsia="zh-CN"/>
              </w:rPr>
              <w:t>职务</w:t>
            </w:r>
          </w:p>
        </w:tc>
        <w:tc>
          <w:tcPr>
            <w:tcW w:w="850" w:type="dxa"/>
            <w:noWrap w:val="0"/>
            <w:vAlign w:val="center"/>
          </w:tcPr>
          <w:p w14:paraId="041DA710">
            <w:pPr>
              <w:pStyle w:val="20"/>
              <w:adjustRightInd w:val="0"/>
              <w:snapToGrid w:val="0"/>
              <w:spacing w:line="360" w:lineRule="auto"/>
              <w:jc w:val="center"/>
              <w:rPr>
                <w:rFonts w:hAnsi="宋体" w:eastAsia="Calibri" w:cs="宋体"/>
                <w:color w:val="auto"/>
                <w:sz w:val="22"/>
                <w:szCs w:val="22"/>
                <w:highlight w:val="none"/>
                <w:lang w:eastAsia="zh-CN"/>
              </w:rPr>
            </w:pPr>
            <w:r>
              <w:rPr>
                <w:rFonts w:hAnsi="宋体" w:eastAsia="Calibri" w:cs="宋体"/>
                <w:color w:val="auto"/>
                <w:sz w:val="22"/>
                <w:szCs w:val="22"/>
                <w:highlight w:val="none"/>
                <w:lang w:eastAsia="zh-CN"/>
              </w:rPr>
              <w:t>职称</w:t>
            </w:r>
          </w:p>
        </w:tc>
        <w:tc>
          <w:tcPr>
            <w:tcW w:w="993" w:type="dxa"/>
            <w:noWrap w:val="0"/>
            <w:vAlign w:val="center"/>
          </w:tcPr>
          <w:p w14:paraId="6195B43A">
            <w:pPr>
              <w:pStyle w:val="20"/>
              <w:adjustRightInd w:val="0"/>
              <w:snapToGrid w:val="0"/>
              <w:spacing w:line="360" w:lineRule="auto"/>
              <w:jc w:val="center"/>
              <w:rPr>
                <w:rFonts w:hAnsi="宋体" w:eastAsia="Calibri" w:cs="宋体"/>
                <w:color w:val="auto"/>
                <w:sz w:val="22"/>
                <w:szCs w:val="22"/>
                <w:highlight w:val="none"/>
                <w:lang w:eastAsia="zh-CN"/>
              </w:rPr>
            </w:pPr>
            <w:r>
              <w:rPr>
                <w:rFonts w:hint="eastAsia" w:hAnsi="宋体" w:eastAsia="Calibri" w:cs="宋体"/>
                <w:color w:val="auto"/>
                <w:sz w:val="22"/>
                <w:szCs w:val="22"/>
                <w:highlight w:val="none"/>
                <w:lang w:eastAsia="zh-CN"/>
              </w:rPr>
              <w:t>注册资格</w:t>
            </w:r>
          </w:p>
        </w:tc>
        <w:tc>
          <w:tcPr>
            <w:tcW w:w="992" w:type="dxa"/>
            <w:noWrap w:val="0"/>
            <w:vAlign w:val="center"/>
          </w:tcPr>
          <w:p w14:paraId="6B6F8245">
            <w:pPr>
              <w:pStyle w:val="20"/>
              <w:adjustRightInd w:val="0"/>
              <w:snapToGrid w:val="0"/>
              <w:spacing w:line="360" w:lineRule="auto"/>
              <w:jc w:val="center"/>
              <w:rPr>
                <w:rFonts w:hAnsi="宋体" w:eastAsia="Calibri" w:cs="宋体"/>
                <w:color w:val="auto"/>
                <w:sz w:val="22"/>
                <w:szCs w:val="22"/>
                <w:highlight w:val="none"/>
                <w:lang w:eastAsia="zh-CN"/>
              </w:rPr>
            </w:pPr>
            <w:r>
              <w:rPr>
                <w:rFonts w:hint="eastAsia" w:hAnsi="宋体" w:eastAsia="Calibri" w:cs="宋体"/>
                <w:color w:val="auto"/>
                <w:sz w:val="22"/>
                <w:szCs w:val="22"/>
                <w:highlight w:val="none"/>
                <w:lang w:eastAsia="zh-CN"/>
              </w:rPr>
              <w:t>工作年限</w:t>
            </w:r>
          </w:p>
        </w:tc>
        <w:tc>
          <w:tcPr>
            <w:tcW w:w="1134" w:type="dxa"/>
            <w:noWrap w:val="0"/>
            <w:vAlign w:val="center"/>
          </w:tcPr>
          <w:p w14:paraId="62D51640">
            <w:pPr>
              <w:pStyle w:val="20"/>
              <w:adjustRightInd w:val="0"/>
              <w:snapToGrid w:val="0"/>
              <w:spacing w:line="360" w:lineRule="auto"/>
              <w:jc w:val="center"/>
              <w:rPr>
                <w:rFonts w:hAnsi="宋体" w:eastAsia="Calibri" w:cs="宋体"/>
                <w:color w:val="auto"/>
                <w:sz w:val="22"/>
                <w:szCs w:val="22"/>
                <w:highlight w:val="none"/>
                <w:lang w:eastAsia="zh-CN"/>
              </w:rPr>
            </w:pPr>
            <w:r>
              <w:rPr>
                <w:rFonts w:hAnsi="宋体" w:eastAsia="Calibri" w:cs="宋体"/>
                <w:color w:val="auto"/>
                <w:sz w:val="22"/>
                <w:szCs w:val="22"/>
                <w:highlight w:val="none"/>
                <w:lang w:eastAsia="zh-CN"/>
              </w:rPr>
              <w:t>拟在本项目承担角色</w:t>
            </w:r>
          </w:p>
        </w:tc>
        <w:tc>
          <w:tcPr>
            <w:tcW w:w="2977" w:type="dxa"/>
            <w:noWrap w:val="0"/>
            <w:vAlign w:val="center"/>
          </w:tcPr>
          <w:p w14:paraId="00069FCD">
            <w:pPr>
              <w:pStyle w:val="20"/>
              <w:adjustRightInd w:val="0"/>
              <w:snapToGrid w:val="0"/>
              <w:spacing w:line="360" w:lineRule="auto"/>
              <w:jc w:val="center"/>
              <w:rPr>
                <w:rFonts w:hAnsi="宋体" w:eastAsia="Calibri" w:cs="宋体"/>
                <w:color w:val="auto"/>
                <w:sz w:val="22"/>
                <w:szCs w:val="22"/>
                <w:highlight w:val="none"/>
                <w:lang w:eastAsia="zh-CN"/>
              </w:rPr>
            </w:pPr>
            <w:r>
              <w:rPr>
                <w:rFonts w:hAnsi="宋体" w:eastAsia="Calibri" w:cs="宋体"/>
                <w:color w:val="auto"/>
                <w:sz w:val="22"/>
                <w:szCs w:val="22"/>
                <w:highlight w:val="none"/>
                <w:lang w:eastAsia="zh-CN"/>
              </w:rPr>
              <w:t>主要资历、经验及承担过的项目</w:t>
            </w:r>
          </w:p>
        </w:tc>
      </w:tr>
      <w:tr w14:paraId="33ACE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center"/>
          </w:tcPr>
          <w:p w14:paraId="0FC99A87">
            <w:pPr>
              <w:pStyle w:val="20"/>
              <w:adjustRightInd w:val="0"/>
              <w:snapToGrid w:val="0"/>
              <w:spacing w:line="360" w:lineRule="auto"/>
              <w:jc w:val="left"/>
              <w:rPr>
                <w:rFonts w:hAnsi="宋体" w:eastAsia="Calibri" w:cs="宋体"/>
                <w:color w:val="auto"/>
                <w:sz w:val="22"/>
                <w:szCs w:val="22"/>
                <w:highlight w:val="none"/>
                <w:lang w:eastAsia="zh-CN"/>
              </w:rPr>
            </w:pPr>
            <w:r>
              <w:rPr>
                <w:rFonts w:hAnsi="宋体" w:eastAsia="Calibri" w:cs="宋体"/>
                <w:color w:val="auto"/>
                <w:sz w:val="22"/>
                <w:szCs w:val="22"/>
                <w:highlight w:val="none"/>
                <w:lang w:eastAsia="zh-CN"/>
              </w:rPr>
              <w:t xml:space="preserve">1. </w:t>
            </w:r>
          </w:p>
          <w:p w14:paraId="2862F02C">
            <w:pPr>
              <w:pStyle w:val="20"/>
              <w:adjustRightInd w:val="0"/>
              <w:snapToGrid w:val="0"/>
              <w:spacing w:line="360" w:lineRule="auto"/>
              <w:jc w:val="left"/>
              <w:rPr>
                <w:rFonts w:hAnsi="宋体" w:eastAsia="Calibri" w:cs="宋体"/>
                <w:color w:val="auto"/>
                <w:sz w:val="22"/>
                <w:szCs w:val="22"/>
                <w:highlight w:val="none"/>
                <w:lang w:eastAsia="zh-CN"/>
              </w:rPr>
            </w:pPr>
            <w:r>
              <w:rPr>
                <w:rFonts w:hAnsi="宋体" w:eastAsia="Calibri" w:cs="宋体"/>
                <w:color w:val="auto"/>
                <w:sz w:val="22"/>
                <w:szCs w:val="22"/>
                <w:highlight w:val="none"/>
                <w:lang w:eastAsia="zh-CN"/>
              </w:rPr>
              <w:t>…</w:t>
            </w:r>
          </w:p>
        </w:tc>
        <w:tc>
          <w:tcPr>
            <w:tcW w:w="850" w:type="dxa"/>
            <w:noWrap w:val="0"/>
            <w:vAlign w:val="center"/>
          </w:tcPr>
          <w:p w14:paraId="4D0DBB3C">
            <w:pPr>
              <w:pStyle w:val="20"/>
              <w:adjustRightInd w:val="0"/>
              <w:snapToGrid w:val="0"/>
              <w:spacing w:line="360" w:lineRule="auto"/>
              <w:jc w:val="left"/>
              <w:rPr>
                <w:rFonts w:hAnsi="宋体" w:eastAsia="Calibri" w:cs="宋体"/>
                <w:color w:val="auto"/>
                <w:sz w:val="22"/>
                <w:szCs w:val="22"/>
                <w:highlight w:val="none"/>
                <w:lang w:eastAsia="zh-CN"/>
              </w:rPr>
            </w:pPr>
          </w:p>
        </w:tc>
        <w:tc>
          <w:tcPr>
            <w:tcW w:w="851" w:type="dxa"/>
            <w:noWrap w:val="0"/>
            <w:vAlign w:val="center"/>
          </w:tcPr>
          <w:p w14:paraId="6C453827">
            <w:pPr>
              <w:pStyle w:val="20"/>
              <w:adjustRightInd w:val="0"/>
              <w:snapToGrid w:val="0"/>
              <w:spacing w:line="360" w:lineRule="auto"/>
              <w:jc w:val="left"/>
              <w:rPr>
                <w:rFonts w:hAnsi="宋体" w:eastAsia="Calibri" w:cs="宋体"/>
                <w:color w:val="auto"/>
                <w:sz w:val="22"/>
                <w:szCs w:val="22"/>
                <w:highlight w:val="none"/>
                <w:lang w:eastAsia="zh-CN"/>
              </w:rPr>
            </w:pPr>
          </w:p>
        </w:tc>
        <w:tc>
          <w:tcPr>
            <w:tcW w:w="850" w:type="dxa"/>
            <w:noWrap w:val="0"/>
            <w:vAlign w:val="center"/>
          </w:tcPr>
          <w:p w14:paraId="2218DC99">
            <w:pPr>
              <w:pStyle w:val="20"/>
              <w:adjustRightInd w:val="0"/>
              <w:snapToGrid w:val="0"/>
              <w:spacing w:line="360" w:lineRule="auto"/>
              <w:jc w:val="left"/>
              <w:rPr>
                <w:rFonts w:hAnsi="宋体" w:eastAsia="Calibri" w:cs="宋体"/>
                <w:color w:val="auto"/>
                <w:sz w:val="22"/>
                <w:szCs w:val="22"/>
                <w:highlight w:val="none"/>
                <w:lang w:eastAsia="zh-CN"/>
              </w:rPr>
            </w:pPr>
          </w:p>
        </w:tc>
        <w:tc>
          <w:tcPr>
            <w:tcW w:w="993" w:type="dxa"/>
            <w:noWrap w:val="0"/>
            <w:vAlign w:val="top"/>
          </w:tcPr>
          <w:p w14:paraId="106E2CD4">
            <w:pPr>
              <w:pStyle w:val="20"/>
              <w:adjustRightInd w:val="0"/>
              <w:snapToGrid w:val="0"/>
              <w:spacing w:line="360" w:lineRule="auto"/>
              <w:jc w:val="left"/>
              <w:rPr>
                <w:rFonts w:hAnsi="宋体" w:eastAsia="Calibri" w:cs="宋体"/>
                <w:color w:val="auto"/>
                <w:sz w:val="22"/>
                <w:szCs w:val="22"/>
                <w:highlight w:val="none"/>
                <w:lang w:eastAsia="zh-CN"/>
              </w:rPr>
            </w:pPr>
          </w:p>
        </w:tc>
        <w:tc>
          <w:tcPr>
            <w:tcW w:w="992" w:type="dxa"/>
            <w:noWrap w:val="0"/>
            <w:vAlign w:val="top"/>
          </w:tcPr>
          <w:p w14:paraId="15AC4B2D">
            <w:pPr>
              <w:pStyle w:val="20"/>
              <w:adjustRightInd w:val="0"/>
              <w:snapToGrid w:val="0"/>
              <w:spacing w:line="360" w:lineRule="auto"/>
              <w:jc w:val="left"/>
              <w:rPr>
                <w:rFonts w:hAnsi="宋体" w:eastAsia="Calibri" w:cs="宋体"/>
                <w:color w:val="auto"/>
                <w:sz w:val="22"/>
                <w:szCs w:val="22"/>
                <w:highlight w:val="none"/>
                <w:lang w:eastAsia="zh-CN"/>
              </w:rPr>
            </w:pPr>
          </w:p>
        </w:tc>
        <w:tc>
          <w:tcPr>
            <w:tcW w:w="1134" w:type="dxa"/>
            <w:noWrap w:val="0"/>
            <w:vAlign w:val="top"/>
          </w:tcPr>
          <w:p w14:paraId="5697D0C0">
            <w:pPr>
              <w:pStyle w:val="20"/>
              <w:adjustRightInd w:val="0"/>
              <w:snapToGrid w:val="0"/>
              <w:spacing w:line="360" w:lineRule="auto"/>
              <w:jc w:val="left"/>
              <w:rPr>
                <w:rFonts w:hAnsi="宋体" w:eastAsia="Calibri" w:cs="宋体"/>
                <w:color w:val="auto"/>
                <w:sz w:val="22"/>
                <w:szCs w:val="22"/>
                <w:highlight w:val="none"/>
                <w:lang w:eastAsia="zh-CN"/>
              </w:rPr>
            </w:pPr>
          </w:p>
        </w:tc>
        <w:tc>
          <w:tcPr>
            <w:tcW w:w="2977" w:type="dxa"/>
            <w:noWrap w:val="0"/>
            <w:vAlign w:val="center"/>
          </w:tcPr>
          <w:p w14:paraId="0ED7132E">
            <w:pPr>
              <w:pStyle w:val="20"/>
              <w:adjustRightInd w:val="0"/>
              <w:snapToGrid w:val="0"/>
              <w:spacing w:line="360" w:lineRule="auto"/>
              <w:jc w:val="left"/>
              <w:rPr>
                <w:rFonts w:hAnsi="宋体" w:eastAsia="Calibri" w:cs="宋体"/>
                <w:color w:val="auto"/>
                <w:sz w:val="22"/>
                <w:szCs w:val="22"/>
                <w:highlight w:val="none"/>
                <w:lang w:eastAsia="zh-CN"/>
              </w:rPr>
            </w:pPr>
          </w:p>
        </w:tc>
      </w:tr>
      <w:tr w14:paraId="61979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center"/>
          </w:tcPr>
          <w:p w14:paraId="456CD37D">
            <w:pPr>
              <w:pStyle w:val="20"/>
              <w:adjustRightInd w:val="0"/>
              <w:snapToGrid w:val="0"/>
              <w:spacing w:line="360" w:lineRule="auto"/>
              <w:jc w:val="left"/>
              <w:rPr>
                <w:rFonts w:hAnsi="宋体" w:eastAsia="Calibri" w:cs="宋体"/>
                <w:color w:val="auto"/>
                <w:sz w:val="22"/>
                <w:szCs w:val="22"/>
                <w:highlight w:val="none"/>
                <w:lang w:eastAsia="zh-CN"/>
              </w:rPr>
            </w:pPr>
          </w:p>
        </w:tc>
        <w:tc>
          <w:tcPr>
            <w:tcW w:w="850" w:type="dxa"/>
            <w:noWrap w:val="0"/>
            <w:vAlign w:val="center"/>
          </w:tcPr>
          <w:p w14:paraId="2D96490C">
            <w:pPr>
              <w:pStyle w:val="20"/>
              <w:adjustRightInd w:val="0"/>
              <w:snapToGrid w:val="0"/>
              <w:spacing w:line="360" w:lineRule="auto"/>
              <w:jc w:val="left"/>
              <w:rPr>
                <w:rFonts w:hAnsi="宋体" w:eastAsia="Calibri" w:cs="宋体"/>
                <w:color w:val="auto"/>
                <w:sz w:val="22"/>
                <w:szCs w:val="22"/>
                <w:highlight w:val="none"/>
                <w:lang w:eastAsia="zh-CN"/>
              </w:rPr>
            </w:pPr>
          </w:p>
        </w:tc>
        <w:tc>
          <w:tcPr>
            <w:tcW w:w="851" w:type="dxa"/>
            <w:noWrap w:val="0"/>
            <w:vAlign w:val="center"/>
          </w:tcPr>
          <w:p w14:paraId="23C36451">
            <w:pPr>
              <w:pStyle w:val="20"/>
              <w:adjustRightInd w:val="0"/>
              <w:snapToGrid w:val="0"/>
              <w:spacing w:line="360" w:lineRule="auto"/>
              <w:jc w:val="left"/>
              <w:rPr>
                <w:rFonts w:hAnsi="宋体" w:eastAsia="Calibri" w:cs="宋体"/>
                <w:color w:val="auto"/>
                <w:sz w:val="22"/>
                <w:szCs w:val="22"/>
                <w:highlight w:val="none"/>
                <w:lang w:eastAsia="zh-CN"/>
              </w:rPr>
            </w:pPr>
          </w:p>
        </w:tc>
        <w:tc>
          <w:tcPr>
            <w:tcW w:w="850" w:type="dxa"/>
            <w:noWrap w:val="0"/>
            <w:vAlign w:val="center"/>
          </w:tcPr>
          <w:p w14:paraId="3A84CC0A">
            <w:pPr>
              <w:pStyle w:val="20"/>
              <w:adjustRightInd w:val="0"/>
              <w:snapToGrid w:val="0"/>
              <w:spacing w:line="360" w:lineRule="auto"/>
              <w:jc w:val="left"/>
              <w:rPr>
                <w:rFonts w:hAnsi="宋体" w:eastAsia="Calibri" w:cs="宋体"/>
                <w:color w:val="auto"/>
                <w:sz w:val="22"/>
                <w:szCs w:val="22"/>
                <w:highlight w:val="none"/>
                <w:lang w:eastAsia="zh-CN"/>
              </w:rPr>
            </w:pPr>
          </w:p>
        </w:tc>
        <w:tc>
          <w:tcPr>
            <w:tcW w:w="993" w:type="dxa"/>
            <w:noWrap w:val="0"/>
            <w:vAlign w:val="top"/>
          </w:tcPr>
          <w:p w14:paraId="149A0A3A">
            <w:pPr>
              <w:pStyle w:val="20"/>
              <w:adjustRightInd w:val="0"/>
              <w:snapToGrid w:val="0"/>
              <w:spacing w:line="360" w:lineRule="auto"/>
              <w:jc w:val="left"/>
              <w:rPr>
                <w:rFonts w:hAnsi="宋体" w:eastAsia="Calibri" w:cs="宋体"/>
                <w:color w:val="auto"/>
                <w:sz w:val="22"/>
                <w:szCs w:val="22"/>
                <w:highlight w:val="none"/>
                <w:lang w:eastAsia="zh-CN"/>
              </w:rPr>
            </w:pPr>
          </w:p>
        </w:tc>
        <w:tc>
          <w:tcPr>
            <w:tcW w:w="992" w:type="dxa"/>
            <w:noWrap w:val="0"/>
            <w:vAlign w:val="top"/>
          </w:tcPr>
          <w:p w14:paraId="3CC38E60">
            <w:pPr>
              <w:pStyle w:val="20"/>
              <w:adjustRightInd w:val="0"/>
              <w:snapToGrid w:val="0"/>
              <w:spacing w:line="360" w:lineRule="auto"/>
              <w:jc w:val="left"/>
              <w:rPr>
                <w:rFonts w:hAnsi="宋体" w:eastAsia="Calibri" w:cs="宋体"/>
                <w:color w:val="auto"/>
                <w:sz w:val="22"/>
                <w:szCs w:val="22"/>
                <w:highlight w:val="none"/>
                <w:lang w:eastAsia="zh-CN"/>
              </w:rPr>
            </w:pPr>
          </w:p>
        </w:tc>
        <w:tc>
          <w:tcPr>
            <w:tcW w:w="1134" w:type="dxa"/>
            <w:noWrap w:val="0"/>
            <w:vAlign w:val="top"/>
          </w:tcPr>
          <w:p w14:paraId="38724783">
            <w:pPr>
              <w:pStyle w:val="20"/>
              <w:adjustRightInd w:val="0"/>
              <w:snapToGrid w:val="0"/>
              <w:spacing w:line="360" w:lineRule="auto"/>
              <w:jc w:val="left"/>
              <w:rPr>
                <w:rFonts w:hAnsi="宋体" w:eastAsia="Calibri" w:cs="宋体"/>
                <w:color w:val="auto"/>
                <w:sz w:val="22"/>
                <w:szCs w:val="22"/>
                <w:highlight w:val="none"/>
                <w:lang w:eastAsia="zh-CN"/>
              </w:rPr>
            </w:pPr>
          </w:p>
        </w:tc>
        <w:tc>
          <w:tcPr>
            <w:tcW w:w="2977" w:type="dxa"/>
            <w:noWrap w:val="0"/>
            <w:vAlign w:val="center"/>
          </w:tcPr>
          <w:p w14:paraId="5C46AE6C">
            <w:pPr>
              <w:pStyle w:val="20"/>
              <w:adjustRightInd w:val="0"/>
              <w:snapToGrid w:val="0"/>
              <w:spacing w:line="360" w:lineRule="auto"/>
              <w:jc w:val="left"/>
              <w:rPr>
                <w:rFonts w:hAnsi="宋体" w:eastAsia="Calibri" w:cs="宋体"/>
                <w:color w:val="auto"/>
                <w:sz w:val="22"/>
                <w:szCs w:val="22"/>
                <w:highlight w:val="none"/>
                <w:lang w:eastAsia="zh-CN"/>
              </w:rPr>
            </w:pPr>
          </w:p>
        </w:tc>
      </w:tr>
      <w:tr w14:paraId="575BE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center"/>
          </w:tcPr>
          <w:p w14:paraId="60FA3CD1">
            <w:pPr>
              <w:pStyle w:val="20"/>
              <w:adjustRightInd w:val="0"/>
              <w:snapToGrid w:val="0"/>
              <w:spacing w:line="360" w:lineRule="auto"/>
              <w:jc w:val="left"/>
              <w:rPr>
                <w:rFonts w:hAnsi="宋体" w:eastAsia="Calibri" w:cs="宋体"/>
                <w:color w:val="auto"/>
                <w:sz w:val="22"/>
                <w:szCs w:val="22"/>
                <w:highlight w:val="none"/>
                <w:lang w:eastAsia="zh-CN"/>
              </w:rPr>
            </w:pPr>
          </w:p>
        </w:tc>
        <w:tc>
          <w:tcPr>
            <w:tcW w:w="850" w:type="dxa"/>
            <w:noWrap w:val="0"/>
            <w:vAlign w:val="center"/>
          </w:tcPr>
          <w:p w14:paraId="10F504C6">
            <w:pPr>
              <w:pStyle w:val="20"/>
              <w:adjustRightInd w:val="0"/>
              <w:snapToGrid w:val="0"/>
              <w:spacing w:line="360" w:lineRule="auto"/>
              <w:jc w:val="left"/>
              <w:rPr>
                <w:rFonts w:hAnsi="宋体" w:eastAsia="Calibri" w:cs="宋体"/>
                <w:color w:val="auto"/>
                <w:sz w:val="22"/>
                <w:szCs w:val="22"/>
                <w:highlight w:val="none"/>
                <w:lang w:eastAsia="zh-CN"/>
              </w:rPr>
            </w:pPr>
          </w:p>
        </w:tc>
        <w:tc>
          <w:tcPr>
            <w:tcW w:w="851" w:type="dxa"/>
            <w:noWrap w:val="0"/>
            <w:vAlign w:val="center"/>
          </w:tcPr>
          <w:p w14:paraId="6F41A271">
            <w:pPr>
              <w:pStyle w:val="20"/>
              <w:adjustRightInd w:val="0"/>
              <w:snapToGrid w:val="0"/>
              <w:spacing w:line="360" w:lineRule="auto"/>
              <w:jc w:val="left"/>
              <w:rPr>
                <w:rFonts w:hAnsi="宋体" w:eastAsia="Calibri" w:cs="宋体"/>
                <w:color w:val="auto"/>
                <w:sz w:val="22"/>
                <w:szCs w:val="22"/>
                <w:highlight w:val="none"/>
                <w:lang w:eastAsia="zh-CN"/>
              </w:rPr>
            </w:pPr>
          </w:p>
        </w:tc>
        <w:tc>
          <w:tcPr>
            <w:tcW w:w="850" w:type="dxa"/>
            <w:noWrap w:val="0"/>
            <w:vAlign w:val="center"/>
          </w:tcPr>
          <w:p w14:paraId="4776717B">
            <w:pPr>
              <w:pStyle w:val="20"/>
              <w:adjustRightInd w:val="0"/>
              <w:snapToGrid w:val="0"/>
              <w:spacing w:line="360" w:lineRule="auto"/>
              <w:jc w:val="left"/>
              <w:rPr>
                <w:rFonts w:hAnsi="宋体" w:eastAsia="Calibri" w:cs="宋体"/>
                <w:color w:val="auto"/>
                <w:sz w:val="22"/>
                <w:szCs w:val="22"/>
                <w:highlight w:val="none"/>
                <w:lang w:eastAsia="zh-CN"/>
              </w:rPr>
            </w:pPr>
          </w:p>
        </w:tc>
        <w:tc>
          <w:tcPr>
            <w:tcW w:w="993" w:type="dxa"/>
            <w:noWrap w:val="0"/>
            <w:vAlign w:val="top"/>
          </w:tcPr>
          <w:p w14:paraId="7DB09642">
            <w:pPr>
              <w:pStyle w:val="20"/>
              <w:adjustRightInd w:val="0"/>
              <w:snapToGrid w:val="0"/>
              <w:spacing w:line="360" w:lineRule="auto"/>
              <w:jc w:val="left"/>
              <w:rPr>
                <w:rFonts w:hAnsi="宋体" w:eastAsia="Calibri" w:cs="宋体"/>
                <w:color w:val="auto"/>
                <w:sz w:val="22"/>
                <w:szCs w:val="22"/>
                <w:highlight w:val="none"/>
                <w:lang w:eastAsia="zh-CN"/>
              </w:rPr>
            </w:pPr>
          </w:p>
        </w:tc>
        <w:tc>
          <w:tcPr>
            <w:tcW w:w="992" w:type="dxa"/>
            <w:noWrap w:val="0"/>
            <w:vAlign w:val="top"/>
          </w:tcPr>
          <w:p w14:paraId="3CFFC19C">
            <w:pPr>
              <w:pStyle w:val="20"/>
              <w:adjustRightInd w:val="0"/>
              <w:snapToGrid w:val="0"/>
              <w:spacing w:line="360" w:lineRule="auto"/>
              <w:jc w:val="left"/>
              <w:rPr>
                <w:rFonts w:hAnsi="宋体" w:eastAsia="Calibri" w:cs="宋体"/>
                <w:color w:val="auto"/>
                <w:sz w:val="22"/>
                <w:szCs w:val="22"/>
                <w:highlight w:val="none"/>
                <w:lang w:eastAsia="zh-CN"/>
              </w:rPr>
            </w:pPr>
          </w:p>
        </w:tc>
        <w:tc>
          <w:tcPr>
            <w:tcW w:w="1134" w:type="dxa"/>
            <w:noWrap w:val="0"/>
            <w:vAlign w:val="top"/>
          </w:tcPr>
          <w:p w14:paraId="11AE9CB4">
            <w:pPr>
              <w:pStyle w:val="20"/>
              <w:adjustRightInd w:val="0"/>
              <w:snapToGrid w:val="0"/>
              <w:spacing w:line="360" w:lineRule="auto"/>
              <w:jc w:val="left"/>
              <w:rPr>
                <w:rFonts w:hAnsi="宋体" w:eastAsia="Calibri" w:cs="宋体"/>
                <w:color w:val="auto"/>
                <w:sz w:val="22"/>
                <w:szCs w:val="22"/>
                <w:highlight w:val="none"/>
                <w:lang w:eastAsia="zh-CN"/>
              </w:rPr>
            </w:pPr>
          </w:p>
        </w:tc>
        <w:tc>
          <w:tcPr>
            <w:tcW w:w="2977" w:type="dxa"/>
            <w:noWrap w:val="0"/>
            <w:vAlign w:val="center"/>
          </w:tcPr>
          <w:p w14:paraId="0D1ADBC1">
            <w:pPr>
              <w:pStyle w:val="20"/>
              <w:adjustRightInd w:val="0"/>
              <w:snapToGrid w:val="0"/>
              <w:spacing w:line="360" w:lineRule="auto"/>
              <w:jc w:val="left"/>
              <w:rPr>
                <w:rFonts w:hAnsi="宋体" w:eastAsia="Calibri" w:cs="宋体"/>
                <w:color w:val="auto"/>
                <w:sz w:val="22"/>
                <w:szCs w:val="22"/>
                <w:highlight w:val="none"/>
                <w:lang w:eastAsia="zh-CN"/>
              </w:rPr>
            </w:pPr>
          </w:p>
        </w:tc>
      </w:tr>
      <w:tr w14:paraId="72A2D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center"/>
          </w:tcPr>
          <w:p w14:paraId="07789641">
            <w:pPr>
              <w:pStyle w:val="20"/>
              <w:adjustRightInd w:val="0"/>
              <w:snapToGrid w:val="0"/>
              <w:spacing w:line="360" w:lineRule="auto"/>
              <w:jc w:val="left"/>
              <w:rPr>
                <w:rFonts w:hAnsi="宋体" w:eastAsia="Calibri" w:cs="宋体"/>
                <w:color w:val="auto"/>
                <w:sz w:val="22"/>
                <w:szCs w:val="22"/>
                <w:highlight w:val="none"/>
                <w:lang w:eastAsia="zh-CN"/>
              </w:rPr>
            </w:pPr>
          </w:p>
        </w:tc>
        <w:tc>
          <w:tcPr>
            <w:tcW w:w="850" w:type="dxa"/>
            <w:noWrap w:val="0"/>
            <w:vAlign w:val="center"/>
          </w:tcPr>
          <w:p w14:paraId="4474B7D8">
            <w:pPr>
              <w:pStyle w:val="20"/>
              <w:adjustRightInd w:val="0"/>
              <w:snapToGrid w:val="0"/>
              <w:spacing w:line="360" w:lineRule="auto"/>
              <w:jc w:val="left"/>
              <w:rPr>
                <w:rFonts w:hAnsi="宋体" w:eastAsia="Calibri" w:cs="宋体"/>
                <w:color w:val="auto"/>
                <w:sz w:val="22"/>
                <w:szCs w:val="22"/>
                <w:highlight w:val="none"/>
                <w:lang w:eastAsia="zh-CN"/>
              </w:rPr>
            </w:pPr>
          </w:p>
        </w:tc>
        <w:tc>
          <w:tcPr>
            <w:tcW w:w="851" w:type="dxa"/>
            <w:noWrap w:val="0"/>
            <w:vAlign w:val="center"/>
          </w:tcPr>
          <w:p w14:paraId="7D0C6E09">
            <w:pPr>
              <w:pStyle w:val="20"/>
              <w:adjustRightInd w:val="0"/>
              <w:snapToGrid w:val="0"/>
              <w:spacing w:line="360" w:lineRule="auto"/>
              <w:jc w:val="left"/>
              <w:rPr>
                <w:rFonts w:hAnsi="宋体" w:eastAsia="Calibri" w:cs="宋体"/>
                <w:color w:val="auto"/>
                <w:sz w:val="22"/>
                <w:szCs w:val="22"/>
                <w:highlight w:val="none"/>
                <w:lang w:eastAsia="zh-CN"/>
              </w:rPr>
            </w:pPr>
          </w:p>
        </w:tc>
        <w:tc>
          <w:tcPr>
            <w:tcW w:w="850" w:type="dxa"/>
            <w:noWrap w:val="0"/>
            <w:vAlign w:val="center"/>
          </w:tcPr>
          <w:p w14:paraId="038AF63C">
            <w:pPr>
              <w:pStyle w:val="20"/>
              <w:adjustRightInd w:val="0"/>
              <w:snapToGrid w:val="0"/>
              <w:spacing w:line="360" w:lineRule="auto"/>
              <w:jc w:val="left"/>
              <w:rPr>
                <w:rFonts w:hAnsi="宋体" w:eastAsia="Calibri" w:cs="宋体"/>
                <w:color w:val="auto"/>
                <w:sz w:val="22"/>
                <w:szCs w:val="22"/>
                <w:highlight w:val="none"/>
                <w:lang w:eastAsia="zh-CN"/>
              </w:rPr>
            </w:pPr>
          </w:p>
        </w:tc>
        <w:tc>
          <w:tcPr>
            <w:tcW w:w="993" w:type="dxa"/>
            <w:noWrap w:val="0"/>
            <w:vAlign w:val="top"/>
          </w:tcPr>
          <w:p w14:paraId="756BDF99">
            <w:pPr>
              <w:pStyle w:val="20"/>
              <w:adjustRightInd w:val="0"/>
              <w:snapToGrid w:val="0"/>
              <w:spacing w:line="360" w:lineRule="auto"/>
              <w:jc w:val="left"/>
              <w:rPr>
                <w:rFonts w:hAnsi="宋体" w:eastAsia="Calibri" w:cs="宋体"/>
                <w:color w:val="auto"/>
                <w:sz w:val="22"/>
                <w:szCs w:val="22"/>
                <w:highlight w:val="none"/>
                <w:lang w:eastAsia="zh-CN"/>
              </w:rPr>
            </w:pPr>
          </w:p>
        </w:tc>
        <w:tc>
          <w:tcPr>
            <w:tcW w:w="992" w:type="dxa"/>
            <w:noWrap w:val="0"/>
            <w:vAlign w:val="top"/>
          </w:tcPr>
          <w:p w14:paraId="49D661D8">
            <w:pPr>
              <w:pStyle w:val="20"/>
              <w:adjustRightInd w:val="0"/>
              <w:snapToGrid w:val="0"/>
              <w:spacing w:line="360" w:lineRule="auto"/>
              <w:jc w:val="left"/>
              <w:rPr>
                <w:rFonts w:hAnsi="宋体" w:eastAsia="Calibri" w:cs="宋体"/>
                <w:color w:val="auto"/>
                <w:sz w:val="22"/>
                <w:szCs w:val="22"/>
                <w:highlight w:val="none"/>
                <w:lang w:eastAsia="zh-CN"/>
              </w:rPr>
            </w:pPr>
          </w:p>
        </w:tc>
        <w:tc>
          <w:tcPr>
            <w:tcW w:w="1134" w:type="dxa"/>
            <w:noWrap w:val="0"/>
            <w:vAlign w:val="top"/>
          </w:tcPr>
          <w:p w14:paraId="139E60AC">
            <w:pPr>
              <w:pStyle w:val="20"/>
              <w:adjustRightInd w:val="0"/>
              <w:snapToGrid w:val="0"/>
              <w:spacing w:line="360" w:lineRule="auto"/>
              <w:jc w:val="left"/>
              <w:rPr>
                <w:rFonts w:hAnsi="宋体" w:eastAsia="Calibri" w:cs="宋体"/>
                <w:color w:val="auto"/>
                <w:sz w:val="22"/>
                <w:szCs w:val="22"/>
                <w:highlight w:val="none"/>
                <w:lang w:eastAsia="zh-CN"/>
              </w:rPr>
            </w:pPr>
          </w:p>
        </w:tc>
        <w:tc>
          <w:tcPr>
            <w:tcW w:w="2977" w:type="dxa"/>
            <w:noWrap w:val="0"/>
            <w:vAlign w:val="center"/>
          </w:tcPr>
          <w:p w14:paraId="48F59518">
            <w:pPr>
              <w:pStyle w:val="20"/>
              <w:adjustRightInd w:val="0"/>
              <w:snapToGrid w:val="0"/>
              <w:spacing w:line="360" w:lineRule="auto"/>
              <w:jc w:val="left"/>
              <w:rPr>
                <w:rFonts w:hAnsi="宋体" w:eastAsia="Calibri" w:cs="宋体"/>
                <w:color w:val="auto"/>
                <w:sz w:val="22"/>
                <w:szCs w:val="22"/>
                <w:highlight w:val="none"/>
                <w:lang w:eastAsia="zh-CN"/>
              </w:rPr>
            </w:pPr>
          </w:p>
        </w:tc>
      </w:tr>
      <w:tr w14:paraId="4F844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center"/>
          </w:tcPr>
          <w:p w14:paraId="4AF2AAD4">
            <w:pPr>
              <w:pStyle w:val="20"/>
              <w:adjustRightInd w:val="0"/>
              <w:snapToGrid w:val="0"/>
              <w:spacing w:line="360" w:lineRule="auto"/>
              <w:jc w:val="left"/>
              <w:rPr>
                <w:rFonts w:hAnsi="宋体" w:eastAsia="Calibri" w:cs="宋体"/>
                <w:color w:val="auto"/>
                <w:sz w:val="22"/>
                <w:szCs w:val="22"/>
                <w:highlight w:val="none"/>
                <w:lang w:eastAsia="zh-CN"/>
              </w:rPr>
            </w:pPr>
          </w:p>
        </w:tc>
        <w:tc>
          <w:tcPr>
            <w:tcW w:w="850" w:type="dxa"/>
            <w:noWrap w:val="0"/>
            <w:vAlign w:val="center"/>
          </w:tcPr>
          <w:p w14:paraId="5C8F1100">
            <w:pPr>
              <w:pStyle w:val="20"/>
              <w:adjustRightInd w:val="0"/>
              <w:snapToGrid w:val="0"/>
              <w:spacing w:line="360" w:lineRule="auto"/>
              <w:jc w:val="left"/>
              <w:rPr>
                <w:rFonts w:hAnsi="宋体" w:eastAsia="Calibri" w:cs="宋体"/>
                <w:color w:val="auto"/>
                <w:sz w:val="22"/>
                <w:szCs w:val="22"/>
                <w:highlight w:val="none"/>
                <w:lang w:eastAsia="zh-CN"/>
              </w:rPr>
            </w:pPr>
          </w:p>
        </w:tc>
        <w:tc>
          <w:tcPr>
            <w:tcW w:w="851" w:type="dxa"/>
            <w:noWrap w:val="0"/>
            <w:vAlign w:val="center"/>
          </w:tcPr>
          <w:p w14:paraId="1A0AC6A3">
            <w:pPr>
              <w:pStyle w:val="20"/>
              <w:adjustRightInd w:val="0"/>
              <w:snapToGrid w:val="0"/>
              <w:spacing w:line="360" w:lineRule="auto"/>
              <w:jc w:val="left"/>
              <w:rPr>
                <w:rFonts w:hAnsi="宋体" w:eastAsia="Calibri" w:cs="宋体"/>
                <w:color w:val="auto"/>
                <w:sz w:val="22"/>
                <w:szCs w:val="22"/>
                <w:highlight w:val="none"/>
                <w:lang w:eastAsia="zh-CN"/>
              </w:rPr>
            </w:pPr>
          </w:p>
        </w:tc>
        <w:tc>
          <w:tcPr>
            <w:tcW w:w="850" w:type="dxa"/>
            <w:noWrap w:val="0"/>
            <w:vAlign w:val="center"/>
          </w:tcPr>
          <w:p w14:paraId="35020D8F">
            <w:pPr>
              <w:pStyle w:val="20"/>
              <w:adjustRightInd w:val="0"/>
              <w:snapToGrid w:val="0"/>
              <w:spacing w:line="360" w:lineRule="auto"/>
              <w:jc w:val="left"/>
              <w:rPr>
                <w:rFonts w:hAnsi="宋体" w:eastAsia="Calibri" w:cs="宋体"/>
                <w:color w:val="auto"/>
                <w:sz w:val="22"/>
                <w:szCs w:val="22"/>
                <w:highlight w:val="none"/>
                <w:lang w:eastAsia="zh-CN"/>
              </w:rPr>
            </w:pPr>
          </w:p>
        </w:tc>
        <w:tc>
          <w:tcPr>
            <w:tcW w:w="993" w:type="dxa"/>
            <w:noWrap w:val="0"/>
            <w:vAlign w:val="top"/>
          </w:tcPr>
          <w:p w14:paraId="176E1429">
            <w:pPr>
              <w:pStyle w:val="20"/>
              <w:adjustRightInd w:val="0"/>
              <w:snapToGrid w:val="0"/>
              <w:spacing w:line="360" w:lineRule="auto"/>
              <w:jc w:val="left"/>
              <w:rPr>
                <w:rFonts w:hAnsi="宋体" w:eastAsia="Calibri" w:cs="宋体"/>
                <w:color w:val="auto"/>
                <w:sz w:val="22"/>
                <w:szCs w:val="22"/>
                <w:highlight w:val="none"/>
                <w:lang w:eastAsia="zh-CN"/>
              </w:rPr>
            </w:pPr>
          </w:p>
        </w:tc>
        <w:tc>
          <w:tcPr>
            <w:tcW w:w="992" w:type="dxa"/>
            <w:noWrap w:val="0"/>
            <w:vAlign w:val="top"/>
          </w:tcPr>
          <w:p w14:paraId="0483927A">
            <w:pPr>
              <w:pStyle w:val="20"/>
              <w:adjustRightInd w:val="0"/>
              <w:snapToGrid w:val="0"/>
              <w:spacing w:line="360" w:lineRule="auto"/>
              <w:jc w:val="left"/>
              <w:rPr>
                <w:rFonts w:hAnsi="宋体" w:eastAsia="Calibri" w:cs="宋体"/>
                <w:color w:val="auto"/>
                <w:sz w:val="22"/>
                <w:szCs w:val="22"/>
                <w:highlight w:val="none"/>
                <w:lang w:eastAsia="zh-CN"/>
              </w:rPr>
            </w:pPr>
          </w:p>
        </w:tc>
        <w:tc>
          <w:tcPr>
            <w:tcW w:w="1134" w:type="dxa"/>
            <w:noWrap w:val="0"/>
            <w:vAlign w:val="top"/>
          </w:tcPr>
          <w:p w14:paraId="3F9CA673">
            <w:pPr>
              <w:pStyle w:val="20"/>
              <w:adjustRightInd w:val="0"/>
              <w:snapToGrid w:val="0"/>
              <w:spacing w:line="360" w:lineRule="auto"/>
              <w:jc w:val="left"/>
              <w:rPr>
                <w:rFonts w:hAnsi="宋体" w:eastAsia="Calibri" w:cs="宋体"/>
                <w:color w:val="auto"/>
                <w:sz w:val="22"/>
                <w:szCs w:val="22"/>
                <w:highlight w:val="none"/>
                <w:lang w:eastAsia="zh-CN"/>
              </w:rPr>
            </w:pPr>
          </w:p>
        </w:tc>
        <w:tc>
          <w:tcPr>
            <w:tcW w:w="2977" w:type="dxa"/>
            <w:noWrap w:val="0"/>
            <w:vAlign w:val="center"/>
          </w:tcPr>
          <w:p w14:paraId="3B161B64">
            <w:pPr>
              <w:pStyle w:val="20"/>
              <w:adjustRightInd w:val="0"/>
              <w:snapToGrid w:val="0"/>
              <w:spacing w:line="360" w:lineRule="auto"/>
              <w:jc w:val="left"/>
              <w:rPr>
                <w:rFonts w:hAnsi="宋体" w:eastAsia="Calibri" w:cs="宋体"/>
                <w:color w:val="auto"/>
                <w:sz w:val="22"/>
                <w:szCs w:val="22"/>
                <w:highlight w:val="none"/>
                <w:lang w:eastAsia="zh-CN"/>
              </w:rPr>
            </w:pPr>
          </w:p>
        </w:tc>
      </w:tr>
      <w:tr w14:paraId="1FFA3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center"/>
          </w:tcPr>
          <w:p w14:paraId="602F07E0">
            <w:pPr>
              <w:pStyle w:val="20"/>
              <w:adjustRightInd w:val="0"/>
              <w:snapToGrid w:val="0"/>
              <w:spacing w:line="360" w:lineRule="auto"/>
              <w:jc w:val="left"/>
              <w:rPr>
                <w:rFonts w:hAnsi="宋体" w:eastAsia="Calibri" w:cs="宋体"/>
                <w:color w:val="auto"/>
                <w:sz w:val="22"/>
                <w:szCs w:val="22"/>
                <w:highlight w:val="none"/>
                <w:lang w:eastAsia="zh-CN"/>
              </w:rPr>
            </w:pPr>
          </w:p>
        </w:tc>
        <w:tc>
          <w:tcPr>
            <w:tcW w:w="850" w:type="dxa"/>
            <w:noWrap w:val="0"/>
            <w:vAlign w:val="center"/>
          </w:tcPr>
          <w:p w14:paraId="266E6E2E">
            <w:pPr>
              <w:pStyle w:val="20"/>
              <w:adjustRightInd w:val="0"/>
              <w:snapToGrid w:val="0"/>
              <w:spacing w:line="360" w:lineRule="auto"/>
              <w:jc w:val="left"/>
              <w:rPr>
                <w:rFonts w:hAnsi="宋体" w:eastAsia="Calibri" w:cs="宋体"/>
                <w:color w:val="auto"/>
                <w:sz w:val="22"/>
                <w:szCs w:val="22"/>
                <w:highlight w:val="none"/>
                <w:lang w:eastAsia="zh-CN"/>
              </w:rPr>
            </w:pPr>
          </w:p>
        </w:tc>
        <w:tc>
          <w:tcPr>
            <w:tcW w:w="851" w:type="dxa"/>
            <w:noWrap w:val="0"/>
            <w:vAlign w:val="center"/>
          </w:tcPr>
          <w:p w14:paraId="623F49C8">
            <w:pPr>
              <w:pStyle w:val="20"/>
              <w:adjustRightInd w:val="0"/>
              <w:snapToGrid w:val="0"/>
              <w:spacing w:line="360" w:lineRule="auto"/>
              <w:jc w:val="left"/>
              <w:rPr>
                <w:rFonts w:hAnsi="宋体" w:eastAsia="Calibri" w:cs="宋体"/>
                <w:color w:val="auto"/>
                <w:sz w:val="22"/>
                <w:szCs w:val="22"/>
                <w:highlight w:val="none"/>
                <w:lang w:eastAsia="zh-CN"/>
              </w:rPr>
            </w:pPr>
          </w:p>
        </w:tc>
        <w:tc>
          <w:tcPr>
            <w:tcW w:w="850" w:type="dxa"/>
            <w:noWrap w:val="0"/>
            <w:vAlign w:val="center"/>
          </w:tcPr>
          <w:p w14:paraId="66C851FE">
            <w:pPr>
              <w:pStyle w:val="20"/>
              <w:adjustRightInd w:val="0"/>
              <w:snapToGrid w:val="0"/>
              <w:spacing w:line="360" w:lineRule="auto"/>
              <w:jc w:val="left"/>
              <w:rPr>
                <w:rFonts w:hAnsi="宋体" w:eastAsia="Calibri" w:cs="宋体"/>
                <w:color w:val="auto"/>
                <w:sz w:val="22"/>
                <w:szCs w:val="22"/>
                <w:highlight w:val="none"/>
                <w:lang w:eastAsia="zh-CN"/>
              </w:rPr>
            </w:pPr>
          </w:p>
        </w:tc>
        <w:tc>
          <w:tcPr>
            <w:tcW w:w="993" w:type="dxa"/>
            <w:noWrap w:val="0"/>
            <w:vAlign w:val="top"/>
          </w:tcPr>
          <w:p w14:paraId="64102F53">
            <w:pPr>
              <w:pStyle w:val="20"/>
              <w:adjustRightInd w:val="0"/>
              <w:snapToGrid w:val="0"/>
              <w:spacing w:line="360" w:lineRule="auto"/>
              <w:jc w:val="left"/>
              <w:rPr>
                <w:rFonts w:hAnsi="宋体" w:eastAsia="Calibri" w:cs="宋体"/>
                <w:color w:val="auto"/>
                <w:sz w:val="22"/>
                <w:szCs w:val="22"/>
                <w:highlight w:val="none"/>
                <w:lang w:eastAsia="zh-CN"/>
              </w:rPr>
            </w:pPr>
          </w:p>
        </w:tc>
        <w:tc>
          <w:tcPr>
            <w:tcW w:w="992" w:type="dxa"/>
            <w:noWrap w:val="0"/>
            <w:vAlign w:val="top"/>
          </w:tcPr>
          <w:p w14:paraId="6F494A25">
            <w:pPr>
              <w:pStyle w:val="20"/>
              <w:adjustRightInd w:val="0"/>
              <w:snapToGrid w:val="0"/>
              <w:spacing w:line="360" w:lineRule="auto"/>
              <w:jc w:val="left"/>
              <w:rPr>
                <w:rFonts w:hAnsi="宋体" w:eastAsia="Calibri" w:cs="宋体"/>
                <w:color w:val="auto"/>
                <w:sz w:val="22"/>
                <w:szCs w:val="22"/>
                <w:highlight w:val="none"/>
                <w:lang w:eastAsia="zh-CN"/>
              </w:rPr>
            </w:pPr>
          </w:p>
        </w:tc>
        <w:tc>
          <w:tcPr>
            <w:tcW w:w="1134" w:type="dxa"/>
            <w:noWrap w:val="0"/>
            <w:vAlign w:val="top"/>
          </w:tcPr>
          <w:p w14:paraId="70081F88">
            <w:pPr>
              <w:pStyle w:val="20"/>
              <w:adjustRightInd w:val="0"/>
              <w:snapToGrid w:val="0"/>
              <w:spacing w:line="360" w:lineRule="auto"/>
              <w:jc w:val="left"/>
              <w:rPr>
                <w:rFonts w:hAnsi="宋体" w:eastAsia="Calibri" w:cs="宋体"/>
                <w:color w:val="auto"/>
                <w:sz w:val="22"/>
                <w:szCs w:val="22"/>
                <w:highlight w:val="none"/>
                <w:lang w:eastAsia="zh-CN"/>
              </w:rPr>
            </w:pPr>
          </w:p>
        </w:tc>
        <w:tc>
          <w:tcPr>
            <w:tcW w:w="2977" w:type="dxa"/>
            <w:noWrap w:val="0"/>
            <w:vAlign w:val="center"/>
          </w:tcPr>
          <w:p w14:paraId="7A7EC82C">
            <w:pPr>
              <w:pStyle w:val="20"/>
              <w:adjustRightInd w:val="0"/>
              <w:snapToGrid w:val="0"/>
              <w:spacing w:line="360" w:lineRule="auto"/>
              <w:jc w:val="left"/>
              <w:rPr>
                <w:rFonts w:hAnsi="宋体" w:eastAsia="Calibri" w:cs="宋体"/>
                <w:color w:val="auto"/>
                <w:sz w:val="22"/>
                <w:szCs w:val="22"/>
                <w:highlight w:val="none"/>
                <w:lang w:eastAsia="zh-CN"/>
              </w:rPr>
            </w:pPr>
          </w:p>
        </w:tc>
      </w:tr>
    </w:tbl>
    <w:p w14:paraId="2A63A3AB">
      <w:pPr>
        <w:pStyle w:val="70"/>
        <w:ind w:firstLine="440"/>
        <w:rPr>
          <w:rFonts w:cs="宋体"/>
          <w:color w:val="auto"/>
          <w:sz w:val="22"/>
          <w:szCs w:val="22"/>
          <w:highlight w:val="none"/>
          <w:lang w:eastAsia="zh-CN"/>
        </w:rPr>
      </w:pPr>
    </w:p>
    <w:p w14:paraId="51778CD9">
      <w:pPr>
        <w:autoSpaceDE w:val="0"/>
        <w:autoSpaceDN w:val="0"/>
        <w:adjustRightInd w:val="0"/>
        <w:spacing w:line="360" w:lineRule="auto"/>
        <w:rPr>
          <w:rFonts w:ascii="宋体" w:hAnsi="宋体" w:cs="宋体"/>
          <w:color w:val="auto"/>
          <w:highlight w:val="none"/>
          <w:lang w:eastAsia="zh-CN"/>
        </w:rPr>
      </w:pPr>
    </w:p>
    <w:p w14:paraId="41973DD8">
      <w:pPr>
        <w:autoSpaceDE w:val="0"/>
        <w:autoSpaceDN w:val="0"/>
        <w:adjustRightInd w:val="0"/>
        <w:spacing w:line="360" w:lineRule="auto"/>
        <w:rPr>
          <w:rFonts w:ascii="宋体" w:hAnsi="宋体" w:cs="宋体"/>
          <w:color w:val="auto"/>
          <w:highlight w:val="none"/>
          <w:lang w:eastAsia="zh-CN"/>
        </w:rPr>
      </w:pPr>
      <w:r>
        <w:rPr>
          <w:rFonts w:hint="eastAsia" w:ascii="宋体" w:hAnsi="宋体" w:cs="宋体"/>
          <w:color w:val="auto"/>
          <w:highlight w:val="none"/>
          <w:lang w:eastAsia="zh-CN"/>
        </w:rPr>
        <w:t>注：具体要求及需提交的证明材料见“第三章</w:t>
      </w:r>
      <w:r>
        <w:rPr>
          <w:rFonts w:ascii="宋体" w:hAnsi="宋体" w:cs="宋体"/>
          <w:color w:val="auto"/>
          <w:highlight w:val="none"/>
          <w:lang w:eastAsia="zh-CN"/>
        </w:rPr>
        <w:t xml:space="preserve"> </w:t>
      </w:r>
      <w:r>
        <w:rPr>
          <w:rFonts w:hint="eastAsia" w:ascii="宋体" w:hAnsi="宋体" w:cs="宋体"/>
          <w:color w:val="auto"/>
          <w:highlight w:val="none"/>
          <w:lang w:eastAsia="zh-CN"/>
        </w:rPr>
        <w:t>评审标准”。</w:t>
      </w:r>
    </w:p>
    <w:p w14:paraId="64828C6B">
      <w:pPr>
        <w:rPr>
          <w:rFonts w:hint="eastAsia" w:cs="宋体"/>
          <w:b/>
          <w:color w:val="auto"/>
          <w:highlight w:val="none"/>
          <w:lang w:eastAsia="zh-CN"/>
        </w:rPr>
      </w:pPr>
    </w:p>
    <w:p w14:paraId="11063D89">
      <w:pPr>
        <w:rPr>
          <w:rFonts w:hint="eastAsia" w:cs="宋体"/>
          <w:b/>
          <w:color w:val="auto"/>
          <w:highlight w:val="none"/>
          <w:lang w:eastAsia="zh-CN"/>
        </w:rPr>
      </w:pPr>
    </w:p>
    <w:p w14:paraId="059E4270">
      <w:pPr>
        <w:spacing w:line="360" w:lineRule="auto"/>
        <w:rPr>
          <w:rFonts w:hint="eastAsia" w:cs="宋体"/>
          <w:b/>
          <w:color w:val="auto"/>
          <w:highlight w:val="none"/>
          <w:lang w:eastAsia="zh-CN"/>
        </w:rPr>
      </w:pPr>
      <w:r>
        <w:rPr>
          <w:rFonts w:hint="eastAsia" w:cs="宋体"/>
          <w:b/>
          <w:color w:val="auto"/>
          <w:highlight w:val="none"/>
          <w:lang w:eastAsia="zh-CN"/>
        </w:rPr>
        <w:br w:type="page"/>
      </w:r>
      <w:r>
        <w:rPr>
          <w:rFonts w:hint="eastAsia" w:cs="宋体"/>
          <w:b/>
          <w:color w:val="auto"/>
          <w:highlight w:val="none"/>
          <w:lang w:eastAsia="zh-CN"/>
        </w:rPr>
        <w:t>格式十</w:t>
      </w:r>
      <w:r>
        <w:rPr>
          <w:rFonts w:hint="eastAsia" w:cs="宋体"/>
          <w:b/>
          <w:color w:val="auto"/>
          <w:highlight w:val="none"/>
          <w:lang w:val="en-US" w:eastAsia="zh-CN"/>
        </w:rPr>
        <w:t>三</w:t>
      </w:r>
      <w:r>
        <w:rPr>
          <w:rFonts w:hint="eastAsia" w:cs="宋体"/>
          <w:b/>
          <w:color w:val="auto"/>
          <w:highlight w:val="none"/>
          <w:lang w:eastAsia="zh-CN"/>
        </w:rPr>
        <w:t>、企业声明函格式</w:t>
      </w:r>
    </w:p>
    <w:p w14:paraId="4D089910">
      <w:pPr>
        <w:pStyle w:val="70"/>
        <w:adjustRightInd w:val="0"/>
        <w:snapToGrid w:val="0"/>
        <w:ind w:left="220" w:leftChars="100" w:firstLine="0" w:firstLineChars="0"/>
        <w:rPr>
          <w:rFonts w:cs="宋体"/>
          <w:b/>
          <w:color w:val="auto"/>
          <w:highlight w:val="none"/>
          <w:lang w:eastAsia="zh-CN"/>
        </w:rPr>
      </w:pPr>
    </w:p>
    <w:p w14:paraId="4C104D80">
      <w:pPr>
        <w:pStyle w:val="16"/>
        <w:kinsoku w:val="0"/>
        <w:overflowPunct w:val="0"/>
        <w:spacing w:line="360" w:lineRule="auto"/>
        <w:jc w:val="center"/>
        <w:rPr>
          <w:rFonts w:hAnsi="Times New Roman" w:cs="宋体"/>
          <w:color w:val="auto"/>
          <w:sz w:val="36"/>
          <w:szCs w:val="36"/>
          <w:highlight w:val="none"/>
          <w:lang w:eastAsia="zh-CN"/>
        </w:rPr>
      </w:pPr>
      <w:r>
        <w:rPr>
          <w:rFonts w:hint="eastAsia" w:hAnsi="Times New Roman" w:cs="宋体"/>
          <w:b/>
          <w:bCs/>
          <w:color w:val="auto"/>
          <w:spacing w:val="2"/>
          <w:w w:val="99"/>
          <w:sz w:val="36"/>
          <w:szCs w:val="36"/>
          <w:highlight w:val="none"/>
          <w:lang w:eastAsia="zh-CN"/>
        </w:rPr>
        <w:t>中小</w:t>
      </w:r>
      <w:r>
        <w:rPr>
          <w:rFonts w:hint="eastAsia" w:hAnsi="Times New Roman" w:cs="宋体"/>
          <w:b/>
          <w:bCs/>
          <w:color w:val="auto"/>
          <w:w w:val="99"/>
          <w:sz w:val="36"/>
          <w:szCs w:val="36"/>
          <w:highlight w:val="none"/>
          <w:lang w:eastAsia="zh-CN"/>
        </w:rPr>
        <w:t>企</w:t>
      </w:r>
      <w:r>
        <w:rPr>
          <w:rFonts w:hint="eastAsia" w:hAnsi="Times New Roman" w:cs="宋体"/>
          <w:b/>
          <w:bCs/>
          <w:color w:val="auto"/>
          <w:spacing w:val="2"/>
          <w:w w:val="99"/>
          <w:sz w:val="36"/>
          <w:szCs w:val="36"/>
          <w:highlight w:val="none"/>
          <w:lang w:eastAsia="zh-CN"/>
        </w:rPr>
        <w:t>业声</w:t>
      </w:r>
      <w:r>
        <w:rPr>
          <w:rFonts w:hint="eastAsia" w:hAnsi="Times New Roman" w:cs="宋体"/>
          <w:b/>
          <w:bCs/>
          <w:color w:val="auto"/>
          <w:w w:val="99"/>
          <w:sz w:val="36"/>
          <w:szCs w:val="36"/>
          <w:highlight w:val="none"/>
          <w:lang w:eastAsia="zh-CN"/>
        </w:rPr>
        <w:t>明</w:t>
      </w:r>
      <w:r>
        <w:rPr>
          <w:rFonts w:hint="eastAsia" w:hAnsi="Times New Roman" w:cs="宋体"/>
          <w:b/>
          <w:bCs/>
          <w:color w:val="auto"/>
          <w:spacing w:val="2"/>
          <w:w w:val="99"/>
          <w:sz w:val="36"/>
          <w:szCs w:val="36"/>
          <w:highlight w:val="none"/>
          <w:lang w:eastAsia="zh-CN"/>
        </w:rPr>
        <w:t>函（</w:t>
      </w:r>
      <w:r>
        <w:rPr>
          <w:rFonts w:hint="eastAsia" w:hAnsi="Times New Roman" w:cs="宋体"/>
          <w:b/>
          <w:bCs/>
          <w:color w:val="auto"/>
          <w:w w:val="99"/>
          <w:sz w:val="36"/>
          <w:szCs w:val="36"/>
          <w:highlight w:val="none"/>
          <w:lang w:eastAsia="zh-CN"/>
        </w:rPr>
        <w:t>工程）</w:t>
      </w:r>
    </w:p>
    <w:p w14:paraId="059A4C9A">
      <w:pPr>
        <w:autoSpaceDE w:val="0"/>
        <w:autoSpaceDN w:val="0"/>
        <w:adjustRightInd w:val="0"/>
        <w:spacing w:line="360" w:lineRule="auto"/>
        <w:ind w:firstLine="420" w:firstLineChars="200"/>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本公司（联合体）郑重声明，根据《政府采购促进中小企业发展管理办法》（财库﹝</w:t>
      </w:r>
      <w:r>
        <w:rPr>
          <w:rFonts w:ascii="宋体" w:hAnsi="宋体" w:eastAsia="宋体" w:cs="Calibri"/>
          <w:color w:val="auto"/>
          <w:sz w:val="21"/>
          <w:szCs w:val="21"/>
          <w:highlight w:val="none"/>
          <w:lang w:eastAsia="zh-CN"/>
        </w:rPr>
        <w:t>2020</w:t>
      </w:r>
      <w:r>
        <w:rPr>
          <w:rFonts w:hint="eastAsia" w:ascii="宋体" w:hAnsi="宋体" w:eastAsia="宋体" w:cs="宋体"/>
          <w:color w:val="auto"/>
          <w:sz w:val="21"/>
          <w:szCs w:val="21"/>
          <w:highlight w:val="none"/>
          <w:lang w:eastAsia="zh-CN"/>
        </w:rPr>
        <w:t>﹞</w:t>
      </w:r>
      <w:r>
        <w:rPr>
          <w:rFonts w:ascii="宋体" w:hAnsi="宋体" w:eastAsia="宋体" w:cs="Calibri"/>
          <w:color w:val="auto"/>
          <w:sz w:val="21"/>
          <w:szCs w:val="21"/>
          <w:highlight w:val="none"/>
          <w:lang w:eastAsia="zh-CN"/>
        </w:rPr>
        <w:t xml:space="preserve">46 </w:t>
      </w:r>
      <w:r>
        <w:rPr>
          <w:rFonts w:hint="eastAsia" w:ascii="宋体" w:hAnsi="宋体" w:eastAsia="宋体" w:cs="宋体"/>
          <w:color w:val="auto"/>
          <w:sz w:val="21"/>
          <w:szCs w:val="21"/>
          <w:highlight w:val="none"/>
          <w:lang w:eastAsia="zh-CN"/>
        </w:rPr>
        <w:t>号）的规定，本公司（联合体）参加</w:t>
      </w:r>
      <w:r>
        <w:rPr>
          <w:rFonts w:hint="eastAsia" w:ascii="宋体" w:hAnsi="宋体" w:eastAsia="宋体" w:cs="宋体"/>
          <w:color w:val="auto"/>
          <w:sz w:val="21"/>
          <w:szCs w:val="21"/>
          <w:highlight w:val="none"/>
          <w:u w:val="single"/>
          <w:lang w:eastAsia="zh-CN"/>
        </w:rPr>
        <w:t>（单位名称）</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u w:val="single"/>
          <w:lang w:eastAsia="zh-CN"/>
        </w:rPr>
        <w:t>（项目名称）</w:t>
      </w:r>
      <w:r>
        <w:rPr>
          <w:rFonts w:hint="eastAsia" w:ascii="宋体" w:hAnsi="宋体" w:eastAsia="宋体" w:cs="宋体"/>
          <w:color w:val="auto"/>
          <w:sz w:val="21"/>
          <w:szCs w:val="21"/>
          <w:highlight w:val="none"/>
          <w:lang w:eastAsia="zh-CN"/>
        </w:rPr>
        <w:t>采购活动，工程的施工单位全部为符合政策要求的中小企业。相关企业（含联合体中的中小企业、签订分包意向协议的中小企业）的具体情况如下：</w:t>
      </w:r>
    </w:p>
    <w:p w14:paraId="6148FF5A">
      <w:pPr>
        <w:autoSpaceDE w:val="0"/>
        <w:autoSpaceDN w:val="0"/>
        <w:adjustRightInd w:val="0"/>
        <w:spacing w:line="360" w:lineRule="auto"/>
        <w:ind w:firstLine="420" w:firstLineChars="200"/>
        <w:rPr>
          <w:rFonts w:ascii="宋体" w:hAnsi="宋体" w:eastAsia="宋体" w:cs="宋体"/>
          <w:color w:val="auto"/>
          <w:sz w:val="21"/>
          <w:szCs w:val="21"/>
          <w:highlight w:val="none"/>
          <w:lang w:eastAsia="zh-CN"/>
        </w:rPr>
      </w:pPr>
      <w:r>
        <w:rPr>
          <w:rFonts w:ascii="宋体" w:hAnsi="宋体" w:eastAsia="宋体" w:cs="Calibri"/>
          <w:color w:val="auto"/>
          <w:sz w:val="21"/>
          <w:szCs w:val="21"/>
          <w:highlight w:val="none"/>
          <w:lang w:eastAsia="zh-CN"/>
        </w:rPr>
        <w:t xml:space="preserve">1. </w:t>
      </w:r>
      <w:r>
        <w:rPr>
          <w:rFonts w:hint="eastAsia" w:ascii="宋体" w:hAnsi="宋体" w:eastAsia="宋体" w:cs="宋体"/>
          <w:color w:val="auto"/>
          <w:sz w:val="21"/>
          <w:szCs w:val="21"/>
          <w:highlight w:val="none"/>
          <w:u w:val="single"/>
          <w:lang w:eastAsia="zh-CN"/>
        </w:rPr>
        <w:t>（标的名称）</w:t>
      </w:r>
      <w:r>
        <w:rPr>
          <w:rFonts w:hint="eastAsia" w:ascii="宋体" w:hAnsi="宋体" w:eastAsia="宋体" w:cs="宋体"/>
          <w:color w:val="auto"/>
          <w:sz w:val="21"/>
          <w:szCs w:val="21"/>
          <w:highlight w:val="none"/>
          <w:lang w:eastAsia="zh-CN"/>
        </w:rPr>
        <w:t>，属于</w:t>
      </w:r>
      <w:r>
        <w:rPr>
          <w:rFonts w:hint="eastAsia" w:ascii="宋体" w:hAnsi="宋体" w:eastAsia="宋体" w:cs="宋体"/>
          <w:color w:val="auto"/>
          <w:sz w:val="21"/>
          <w:szCs w:val="21"/>
          <w:highlight w:val="none"/>
          <w:u w:val="single"/>
          <w:lang w:eastAsia="zh-CN"/>
        </w:rPr>
        <w:t>（采购文件中明确的所属行业）</w:t>
      </w:r>
      <w:r>
        <w:rPr>
          <w:rFonts w:hint="eastAsia" w:ascii="宋体" w:hAnsi="宋体" w:eastAsia="宋体" w:cs="宋体"/>
          <w:color w:val="auto"/>
          <w:sz w:val="21"/>
          <w:szCs w:val="21"/>
          <w:highlight w:val="none"/>
          <w:lang w:eastAsia="zh-CN"/>
        </w:rPr>
        <w:t>；</w:t>
      </w:r>
      <w:r>
        <w:rPr>
          <w:rFonts w:ascii="宋体" w:hAnsi="宋体" w:eastAsia="宋体" w:cs="宋体"/>
          <w:color w:val="auto"/>
          <w:sz w:val="21"/>
          <w:szCs w:val="21"/>
          <w:highlight w:val="none"/>
          <w:lang w:eastAsia="zh-CN"/>
        </w:rPr>
        <w:t xml:space="preserve"> </w:t>
      </w:r>
      <w:r>
        <w:rPr>
          <w:rFonts w:hint="eastAsia" w:ascii="宋体" w:hAnsi="宋体" w:eastAsia="宋体" w:cs="宋体"/>
          <w:color w:val="auto"/>
          <w:sz w:val="21"/>
          <w:szCs w:val="21"/>
          <w:highlight w:val="none"/>
          <w:lang w:eastAsia="zh-CN"/>
        </w:rPr>
        <w:t>承建（承接）企业为</w:t>
      </w:r>
      <w:r>
        <w:rPr>
          <w:rFonts w:hint="eastAsia" w:ascii="宋体" w:hAnsi="宋体" w:eastAsia="宋体" w:cs="宋体"/>
          <w:color w:val="auto"/>
          <w:sz w:val="21"/>
          <w:szCs w:val="21"/>
          <w:highlight w:val="none"/>
          <w:u w:val="single"/>
          <w:lang w:eastAsia="zh-CN"/>
        </w:rPr>
        <w:t>（企业名称）</w:t>
      </w:r>
      <w:r>
        <w:rPr>
          <w:rFonts w:hint="eastAsia" w:ascii="宋体" w:hAnsi="宋体" w:eastAsia="宋体" w:cs="宋体"/>
          <w:color w:val="auto"/>
          <w:sz w:val="21"/>
          <w:szCs w:val="21"/>
          <w:highlight w:val="none"/>
          <w:lang w:eastAsia="zh-CN"/>
        </w:rPr>
        <w:t>，从业人员</w:t>
      </w:r>
      <w:r>
        <w:rPr>
          <w:rFonts w:ascii="宋体" w:hAnsi="宋体" w:eastAsia="宋体" w:cs="宋体"/>
          <w:color w:val="auto"/>
          <w:sz w:val="21"/>
          <w:szCs w:val="21"/>
          <w:highlight w:val="none"/>
          <w:lang w:eastAsia="zh-CN"/>
        </w:rPr>
        <w:t xml:space="preserve"> </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lang w:eastAsia="zh-CN"/>
        </w:rPr>
        <w:t>人，营业收入为</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lang w:eastAsia="zh-CN"/>
        </w:rPr>
        <w:t>万元，资产总额为</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lang w:eastAsia="zh-CN"/>
        </w:rPr>
        <w:t>万元</w:t>
      </w:r>
      <w:r>
        <w:rPr>
          <w:rFonts w:hint="eastAsia" w:ascii="宋体" w:hAnsi="宋体" w:eastAsia="宋体" w:cs="Calibri"/>
          <w:color w:val="auto"/>
          <w:sz w:val="21"/>
          <w:szCs w:val="21"/>
          <w:highlight w:val="none"/>
          <w:vertAlign w:val="superscript"/>
          <w:lang w:eastAsia="zh-CN"/>
        </w:rPr>
        <w:t>【1】</w:t>
      </w:r>
      <w:r>
        <w:rPr>
          <w:rFonts w:hint="eastAsia" w:ascii="宋体" w:hAnsi="宋体" w:eastAsia="宋体" w:cs="宋体"/>
          <w:color w:val="auto"/>
          <w:sz w:val="21"/>
          <w:szCs w:val="21"/>
          <w:highlight w:val="none"/>
          <w:lang w:eastAsia="zh-CN"/>
        </w:rPr>
        <w:t>，属于</w:t>
      </w:r>
      <w:r>
        <w:rPr>
          <w:rFonts w:hint="eastAsia" w:ascii="宋体" w:hAnsi="宋体" w:eastAsia="宋体" w:cs="宋体"/>
          <w:color w:val="auto"/>
          <w:sz w:val="21"/>
          <w:szCs w:val="21"/>
          <w:highlight w:val="none"/>
          <w:u w:val="single"/>
          <w:lang w:eastAsia="zh-CN"/>
        </w:rPr>
        <w:t>（中型企业、</w:t>
      </w:r>
      <w:r>
        <w:rPr>
          <w:rFonts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lang w:eastAsia="zh-CN"/>
        </w:rPr>
        <w:t>小型企业、微型企业）</w:t>
      </w:r>
      <w:r>
        <w:rPr>
          <w:rFonts w:hint="eastAsia" w:ascii="宋体" w:hAnsi="宋体" w:eastAsia="宋体" w:cs="宋体"/>
          <w:color w:val="auto"/>
          <w:sz w:val="21"/>
          <w:szCs w:val="21"/>
          <w:highlight w:val="none"/>
          <w:lang w:eastAsia="zh-CN"/>
        </w:rPr>
        <w:t>；</w:t>
      </w:r>
    </w:p>
    <w:p w14:paraId="231D90BA">
      <w:pPr>
        <w:autoSpaceDE w:val="0"/>
        <w:autoSpaceDN w:val="0"/>
        <w:adjustRightInd w:val="0"/>
        <w:spacing w:line="360" w:lineRule="auto"/>
        <w:ind w:firstLine="420" w:firstLineChars="200"/>
        <w:rPr>
          <w:rFonts w:ascii="宋体" w:hAnsi="宋体" w:eastAsia="宋体" w:cs="宋体"/>
          <w:color w:val="auto"/>
          <w:sz w:val="21"/>
          <w:szCs w:val="21"/>
          <w:highlight w:val="none"/>
          <w:lang w:eastAsia="zh-CN"/>
        </w:rPr>
      </w:pPr>
      <w:r>
        <w:rPr>
          <w:rFonts w:hint="eastAsia" w:ascii="宋体" w:hAnsi="宋体" w:eastAsia="宋体" w:cs="Calibri"/>
          <w:color w:val="auto"/>
          <w:sz w:val="21"/>
          <w:szCs w:val="21"/>
          <w:highlight w:val="none"/>
          <w:lang w:eastAsia="zh-CN"/>
        </w:rPr>
        <w:t>2</w:t>
      </w:r>
      <w:r>
        <w:rPr>
          <w:rFonts w:ascii="宋体" w:hAnsi="宋体" w:eastAsia="宋体" w:cs="Calibri"/>
          <w:color w:val="auto"/>
          <w:sz w:val="21"/>
          <w:szCs w:val="21"/>
          <w:highlight w:val="none"/>
          <w:lang w:eastAsia="zh-CN"/>
        </w:rPr>
        <w:t xml:space="preserve">. </w:t>
      </w:r>
      <w:r>
        <w:rPr>
          <w:rFonts w:hint="eastAsia" w:ascii="宋体" w:hAnsi="宋体" w:eastAsia="宋体" w:cs="宋体"/>
          <w:color w:val="auto"/>
          <w:sz w:val="21"/>
          <w:szCs w:val="21"/>
          <w:highlight w:val="none"/>
          <w:u w:val="single"/>
          <w:lang w:eastAsia="zh-CN"/>
        </w:rPr>
        <w:t>（标的名称）</w:t>
      </w:r>
      <w:r>
        <w:rPr>
          <w:rFonts w:hint="eastAsia" w:ascii="宋体" w:hAnsi="宋体" w:eastAsia="宋体" w:cs="宋体"/>
          <w:color w:val="auto"/>
          <w:sz w:val="21"/>
          <w:szCs w:val="21"/>
          <w:highlight w:val="none"/>
          <w:lang w:eastAsia="zh-CN"/>
        </w:rPr>
        <w:t>，属于</w:t>
      </w:r>
      <w:r>
        <w:rPr>
          <w:rFonts w:hint="eastAsia" w:ascii="宋体" w:hAnsi="宋体" w:eastAsia="宋体" w:cs="宋体"/>
          <w:color w:val="auto"/>
          <w:sz w:val="21"/>
          <w:szCs w:val="21"/>
          <w:highlight w:val="none"/>
          <w:u w:val="single"/>
          <w:lang w:eastAsia="zh-CN"/>
        </w:rPr>
        <w:t>（采购文件中明确的所属行业）</w:t>
      </w:r>
      <w:r>
        <w:rPr>
          <w:rFonts w:hint="eastAsia" w:ascii="宋体" w:hAnsi="宋体" w:eastAsia="宋体" w:cs="宋体"/>
          <w:color w:val="auto"/>
          <w:sz w:val="21"/>
          <w:szCs w:val="21"/>
          <w:highlight w:val="none"/>
          <w:lang w:eastAsia="zh-CN"/>
        </w:rPr>
        <w:t>；</w:t>
      </w:r>
      <w:r>
        <w:rPr>
          <w:rFonts w:ascii="宋体" w:hAnsi="宋体" w:eastAsia="宋体" w:cs="宋体"/>
          <w:color w:val="auto"/>
          <w:sz w:val="21"/>
          <w:szCs w:val="21"/>
          <w:highlight w:val="none"/>
          <w:lang w:eastAsia="zh-CN"/>
        </w:rPr>
        <w:t xml:space="preserve"> </w:t>
      </w:r>
      <w:r>
        <w:rPr>
          <w:rFonts w:hint="eastAsia" w:ascii="宋体" w:hAnsi="宋体" w:eastAsia="宋体" w:cs="宋体"/>
          <w:color w:val="auto"/>
          <w:sz w:val="21"/>
          <w:szCs w:val="21"/>
          <w:highlight w:val="none"/>
          <w:lang w:eastAsia="zh-CN"/>
        </w:rPr>
        <w:t>承建（承接）企业为</w:t>
      </w:r>
      <w:r>
        <w:rPr>
          <w:rFonts w:hint="eastAsia" w:ascii="宋体" w:hAnsi="宋体" w:eastAsia="宋体" w:cs="宋体"/>
          <w:color w:val="auto"/>
          <w:sz w:val="21"/>
          <w:szCs w:val="21"/>
          <w:highlight w:val="none"/>
          <w:u w:val="single"/>
          <w:lang w:eastAsia="zh-CN"/>
        </w:rPr>
        <w:t>（企业名称）</w:t>
      </w:r>
      <w:r>
        <w:rPr>
          <w:rFonts w:hint="eastAsia" w:ascii="宋体" w:hAnsi="宋体" w:eastAsia="宋体" w:cs="宋体"/>
          <w:color w:val="auto"/>
          <w:sz w:val="21"/>
          <w:szCs w:val="21"/>
          <w:highlight w:val="none"/>
          <w:lang w:eastAsia="zh-CN"/>
        </w:rPr>
        <w:t>，从业人员</w:t>
      </w:r>
      <w:r>
        <w:rPr>
          <w:rFonts w:ascii="宋体" w:hAnsi="宋体" w:eastAsia="宋体" w:cs="宋体"/>
          <w:color w:val="auto"/>
          <w:sz w:val="21"/>
          <w:szCs w:val="21"/>
          <w:highlight w:val="none"/>
          <w:lang w:eastAsia="zh-CN"/>
        </w:rPr>
        <w:t xml:space="preserve"> </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lang w:eastAsia="zh-CN"/>
        </w:rPr>
        <w:t>人，营业收入为</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lang w:eastAsia="zh-CN"/>
        </w:rPr>
        <w:t>万元，资产总额为</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lang w:eastAsia="zh-CN"/>
        </w:rPr>
        <w:t>万元</w:t>
      </w:r>
      <w:r>
        <w:rPr>
          <w:rFonts w:hint="eastAsia" w:ascii="宋体" w:hAnsi="宋体" w:eastAsia="宋体" w:cs="Calibri"/>
          <w:color w:val="auto"/>
          <w:sz w:val="21"/>
          <w:szCs w:val="21"/>
          <w:highlight w:val="none"/>
          <w:vertAlign w:val="superscript"/>
          <w:lang w:eastAsia="zh-CN"/>
        </w:rPr>
        <w:t>【1】</w:t>
      </w:r>
      <w:r>
        <w:rPr>
          <w:rFonts w:hint="eastAsia" w:ascii="宋体" w:hAnsi="宋体" w:eastAsia="宋体" w:cs="宋体"/>
          <w:color w:val="auto"/>
          <w:sz w:val="21"/>
          <w:szCs w:val="21"/>
          <w:highlight w:val="none"/>
          <w:lang w:eastAsia="zh-CN"/>
        </w:rPr>
        <w:t>，属于</w:t>
      </w:r>
      <w:r>
        <w:rPr>
          <w:rFonts w:hint="eastAsia" w:ascii="宋体" w:hAnsi="宋体" w:eastAsia="宋体" w:cs="宋体"/>
          <w:color w:val="auto"/>
          <w:sz w:val="21"/>
          <w:szCs w:val="21"/>
          <w:highlight w:val="none"/>
          <w:u w:val="single"/>
          <w:lang w:eastAsia="zh-CN"/>
        </w:rPr>
        <w:t>（中型企业、</w:t>
      </w:r>
      <w:r>
        <w:rPr>
          <w:rFonts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lang w:eastAsia="zh-CN"/>
        </w:rPr>
        <w:t>小型企业、微型企业）</w:t>
      </w:r>
      <w:r>
        <w:rPr>
          <w:rFonts w:hint="eastAsia" w:ascii="宋体" w:hAnsi="宋体" w:eastAsia="宋体" w:cs="宋体"/>
          <w:color w:val="auto"/>
          <w:sz w:val="21"/>
          <w:szCs w:val="21"/>
          <w:highlight w:val="none"/>
          <w:lang w:eastAsia="zh-CN"/>
        </w:rPr>
        <w:t>；</w:t>
      </w:r>
    </w:p>
    <w:p w14:paraId="31663DF3">
      <w:pPr>
        <w:autoSpaceDE w:val="0"/>
        <w:autoSpaceDN w:val="0"/>
        <w:adjustRightInd w:val="0"/>
        <w:spacing w:line="360" w:lineRule="auto"/>
        <w:ind w:firstLine="525" w:firstLineChars="250"/>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p>
    <w:p w14:paraId="50EAFCFA">
      <w:pPr>
        <w:autoSpaceDE w:val="0"/>
        <w:autoSpaceDN w:val="0"/>
        <w:adjustRightInd w:val="0"/>
        <w:spacing w:line="360" w:lineRule="auto"/>
        <w:ind w:firstLine="525" w:firstLineChars="250"/>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以上企业，不属于大企业的分支机构，不存在控股股东为大企业的情形，也不存在与大企业的负责人为同一人的情形。</w:t>
      </w:r>
    </w:p>
    <w:p w14:paraId="55649B7C">
      <w:pPr>
        <w:autoSpaceDE w:val="0"/>
        <w:autoSpaceDN w:val="0"/>
        <w:adjustRightInd w:val="0"/>
        <w:spacing w:line="360" w:lineRule="auto"/>
        <w:ind w:firstLine="420" w:firstLineChars="200"/>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本企业对上述声明内容的真实性负责。如有虚假，将依法承担相应责任。</w:t>
      </w:r>
    </w:p>
    <w:p w14:paraId="496C9932">
      <w:pPr>
        <w:autoSpaceDE w:val="0"/>
        <w:autoSpaceDN w:val="0"/>
        <w:adjustRightInd w:val="0"/>
        <w:spacing w:line="360" w:lineRule="auto"/>
        <w:ind w:right="420"/>
        <w:jc w:val="right"/>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企业名称（加盖电子公章）：</w:t>
      </w:r>
    </w:p>
    <w:p w14:paraId="158B1554">
      <w:pPr>
        <w:autoSpaceDE w:val="0"/>
        <w:autoSpaceDN w:val="0"/>
        <w:adjustRightInd w:val="0"/>
        <w:spacing w:line="360" w:lineRule="auto"/>
        <w:ind w:right="840" w:firstLine="7140" w:firstLineChars="3400"/>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日</w:t>
      </w:r>
      <w:r>
        <w:rPr>
          <w:rFonts w:ascii="宋体" w:hAnsi="宋体" w:eastAsia="宋体" w:cs="宋体"/>
          <w:color w:val="auto"/>
          <w:sz w:val="21"/>
          <w:szCs w:val="21"/>
          <w:highlight w:val="none"/>
          <w:lang w:eastAsia="zh-CN"/>
        </w:rPr>
        <w:t xml:space="preserve"> </w:t>
      </w:r>
      <w:r>
        <w:rPr>
          <w:rFonts w:hint="eastAsia" w:ascii="宋体" w:hAnsi="宋体" w:eastAsia="宋体" w:cs="宋体"/>
          <w:color w:val="auto"/>
          <w:sz w:val="21"/>
          <w:szCs w:val="21"/>
          <w:highlight w:val="none"/>
          <w:lang w:eastAsia="zh-CN"/>
        </w:rPr>
        <w:t>期：</w:t>
      </w:r>
    </w:p>
    <w:p w14:paraId="1B7A6623">
      <w:pPr>
        <w:pStyle w:val="70"/>
        <w:ind w:left="440"/>
        <w:rPr>
          <w:color w:val="auto"/>
          <w:highlight w:val="none"/>
          <w:u w:val="single"/>
          <w:lang w:eastAsia="zh-CN"/>
        </w:rPr>
      </w:pPr>
      <w:r>
        <w:rPr>
          <w:rFonts w:hint="eastAsia"/>
          <w:color w:val="auto"/>
          <w:highlight w:val="none"/>
          <w:u w:val="single"/>
          <w:lang w:eastAsia="zh-CN"/>
        </w:rPr>
        <w:t xml:space="preserve">                                  </w:t>
      </w:r>
    </w:p>
    <w:p w14:paraId="7A140B84">
      <w:pPr>
        <w:pStyle w:val="70"/>
        <w:ind w:firstLine="420"/>
        <w:rPr>
          <w:rFonts w:cs="宋体"/>
          <w:b/>
          <w:bCs/>
          <w:color w:val="auto"/>
          <w:sz w:val="21"/>
          <w:szCs w:val="21"/>
          <w:highlight w:val="none"/>
          <w:lang w:eastAsia="zh-CN"/>
        </w:rPr>
      </w:pPr>
      <w:r>
        <w:rPr>
          <w:rFonts w:hint="eastAsia" w:cs="宋体"/>
          <w:color w:val="auto"/>
          <w:sz w:val="21"/>
          <w:szCs w:val="21"/>
          <w:highlight w:val="none"/>
          <w:lang w:eastAsia="zh-CN"/>
        </w:rPr>
        <w:t>注：</w:t>
      </w:r>
      <w:r>
        <w:rPr>
          <w:rFonts w:hint="eastAsia" w:cs="Calibri"/>
          <w:color w:val="auto"/>
          <w:sz w:val="21"/>
          <w:szCs w:val="21"/>
          <w:highlight w:val="none"/>
          <w:lang w:eastAsia="zh-CN"/>
        </w:rPr>
        <w:t>【1】</w:t>
      </w:r>
      <w:r>
        <w:rPr>
          <w:rFonts w:cs="Calibri"/>
          <w:color w:val="auto"/>
          <w:sz w:val="21"/>
          <w:szCs w:val="21"/>
          <w:highlight w:val="none"/>
          <w:lang w:eastAsia="zh-CN"/>
        </w:rPr>
        <w:t xml:space="preserve"> </w:t>
      </w:r>
      <w:r>
        <w:rPr>
          <w:rFonts w:hint="eastAsia" w:cs="宋体"/>
          <w:color w:val="auto"/>
          <w:sz w:val="21"/>
          <w:szCs w:val="21"/>
          <w:highlight w:val="none"/>
          <w:lang w:eastAsia="zh-CN"/>
        </w:rPr>
        <w:t>从业人员、营业收入、资产总额填报上一年度数据，无上一年度数据的新成立企业可不填报。</w:t>
      </w:r>
    </w:p>
    <w:p w14:paraId="6A0C67F5">
      <w:pPr>
        <w:pStyle w:val="70"/>
        <w:ind w:firstLine="840" w:firstLineChars="400"/>
        <w:rPr>
          <w:rFonts w:cs="宋体"/>
          <w:bCs/>
          <w:color w:val="auto"/>
          <w:sz w:val="21"/>
          <w:szCs w:val="21"/>
          <w:highlight w:val="none"/>
          <w:lang w:eastAsia="zh-CN"/>
        </w:rPr>
      </w:pPr>
      <w:bookmarkStart w:id="90" w:name="_Hlk78923390"/>
      <w:r>
        <w:rPr>
          <w:rFonts w:hint="eastAsia" w:cs="Calibri"/>
          <w:color w:val="auto"/>
          <w:sz w:val="21"/>
          <w:szCs w:val="21"/>
          <w:highlight w:val="none"/>
          <w:lang w:eastAsia="zh-CN"/>
        </w:rPr>
        <w:t>【2】采购标的对应的中小企业划分标准所属行业：建筑业。</w:t>
      </w:r>
    </w:p>
    <w:bookmarkEnd w:id="90"/>
    <w:p w14:paraId="620E4F32">
      <w:pPr>
        <w:pStyle w:val="16"/>
        <w:spacing w:before="0" w:line="324" w:lineRule="auto"/>
        <w:ind w:left="0" w:firstLine="840" w:firstLineChars="400"/>
        <w:rPr>
          <w:color w:val="auto"/>
          <w:sz w:val="21"/>
          <w:szCs w:val="21"/>
          <w:highlight w:val="none"/>
          <w:lang w:eastAsia="zh-CN"/>
        </w:rPr>
      </w:pPr>
      <w:r>
        <w:rPr>
          <w:rFonts w:hint="eastAsia" w:cs="Calibri"/>
          <w:color w:val="auto"/>
          <w:sz w:val="21"/>
          <w:szCs w:val="21"/>
          <w:highlight w:val="none"/>
          <w:lang w:eastAsia="zh-CN"/>
        </w:rPr>
        <w:t>【3】</w:t>
      </w:r>
      <w:r>
        <w:rPr>
          <w:color w:val="auto"/>
          <w:sz w:val="21"/>
          <w:szCs w:val="21"/>
          <w:highlight w:val="none"/>
          <w:lang w:eastAsia="zh-CN"/>
        </w:rPr>
        <w:t>建筑业行业划型标准</w:t>
      </w:r>
      <w:r>
        <w:rPr>
          <w:rFonts w:hint="eastAsia"/>
          <w:color w:val="auto"/>
          <w:sz w:val="21"/>
          <w:szCs w:val="21"/>
          <w:highlight w:val="none"/>
          <w:lang w:eastAsia="zh-CN"/>
        </w:rPr>
        <w:t>：</w:t>
      </w:r>
      <w:r>
        <w:rPr>
          <w:color w:val="auto"/>
          <w:sz w:val="21"/>
          <w:szCs w:val="21"/>
          <w:highlight w:val="none"/>
          <w:lang w:eastAsia="zh-CN"/>
        </w:rPr>
        <w:t>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3E0BBBFD">
      <w:pPr>
        <w:snapToGrid w:val="0"/>
        <w:spacing w:line="360" w:lineRule="auto"/>
        <w:jc w:val="center"/>
        <w:rPr>
          <w:rFonts w:eastAsia="等线" w:cs="宋体"/>
          <w:b/>
          <w:color w:val="auto"/>
          <w:highlight w:val="none"/>
          <w:lang w:eastAsia="zh-CN"/>
        </w:rPr>
      </w:pPr>
      <w:r>
        <w:rPr>
          <w:rFonts w:eastAsia="等线" w:cs="宋体"/>
          <w:b/>
          <w:color w:val="auto"/>
          <w:highlight w:val="none"/>
          <w:lang w:eastAsia="zh-CN"/>
        </w:rPr>
        <w:br w:type="page"/>
      </w:r>
    </w:p>
    <w:p w14:paraId="0E3066FE">
      <w:pPr>
        <w:snapToGrid w:val="0"/>
        <w:spacing w:line="360" w:lineRule="auto"/>
        <w:jc w:val="center"/>
        <w:rPr>
          <w:rFonts w:eastAsia="等线" w:cs="宋体"/>
          <w:b/>
          <w:color w:val="auto"/>
          <w:highlight w:val="none"/>
          <w:lang w:eastAsia="zh-CN"/>
        </w:rPr>
      </w:pPr>
    </w:p>
    <w:p w14:paraId="3333B7F6">
      <w:pPr>
        <w:snapToGrid w:val="0"/>
        <w:spacing w:line="360" w:lineRule="auto"/>
        <w:jc w:val="center"/>
        <w:rPr>
          <w:rFonts w:hint="eastAsia" w:ascii="宋体" w:hAnsi="宋体" w:cs="宋体"/>
          <w:b/>
          <w:bCs/>
          <w:color w:val="auto"/>
          <w:sz w:val="28"/>
          <w:highlight w:val="none"/>
          <w:lang w:eastAsia="zh-CN"/>
        </w:rPr>
      </w:pPr>
      <w:r>
        <w:rPr>
          <w:rFonts w:hint="eastAsia" w:ascii="宋体" w:hAnsi="宋体" w:cs="宋体"/>
          <w:b/>
          <w:bCs/>
          <w:color w:val="auto"/>
          <w:sz w:val="28"/>
          <w:highlight w:val="none"/>
          <w:lang w:eastAsia="zh-CN"/>
        </w:rPr>
        <w:t>残疾人福利性单位声明函</w:t>
      </w:r>
    </w:p>
    <w:p w14:paraId="58688FE7">
      <w:pPr>
        <w:widowControl/>
        <w:snapToGrid w:val="0"/>
        <w:spacing w:line="360" w:lineRule="auto"/>
        <w:ind w:firstLine="420" w:firstLineChars="200"/>
        <w:rPr>
          <w:rFonts w:hint="eastAsia" w:ascii="宋体" w:hAnsi="宋体" w:eastAsia="宋体" w:cs="宋体"/>
          <w:snapToGrid w:val="0"/>
          <w:color w:val="auto"/>
          <w:sz w:val="21"/>
          <w:szCs w:val="21"/>
          <w:highlight w:val="none"/>
          <w:lang w:eastAsia="zh-CN"/>
        </w:rPr>
      </w:pPr>
      <w:r>
        <w:rPr>
          <w:rFonts w:hint="eastAsia" w:ascii="宋体" w:hAnsi="宋体" w:eastAsia="宋体" w:cs="宋体"/>
          <w:snapToGrid w:val="0"/>
          <w:color w:val="auto"/>
          <w:sz w:val="21"/>
          <w:szCs w:val="21"/>
          <w:highlight w:val="none"/>
          <w:lang w:eastAsia="zh-CN"/>
        </w:rPr>
        <w:t>本单位郑重声明，根据《财政部民政部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D3DB30D">
      <w:pPr>
        <w:widowControl/>
        <w:snapToGrid w:val="0"/>
        <w:spacing w:line="360" w:lineRule="auto"/>
        <w:ind w:firstLine="420" w:firstLineChars="200"/>
        <w:rPr>
          <w:rFonts w:hint="eastAsia" w:ascii="宋体" w:hAnsi="宋体" w:eastAsia="宋体" w:cs="宋体"/>
          <w:snapToGrid w:val="0"/>
          <w:color w:val="auto"/>
          <w:sz w:val="21"/>
          <w:szCs w:val="21"/>
          <w:highlight w:val="none"/>
          <w:lang w:eastAsia="zh-CN"/>
        </w:rPr>
      </w:pPr>
      <w:r>
        <w:rPr>
          <w:rFonts w:hint="eastAsia" w:ascii="宋体" w:hAnsi="宋体" w:eastAsia="宋体" w:cs="宋体"/>
          <w:snapToGrid w:val="0"/>
          <w:color w:val="auto"/>
          <w:sz w:val="21"/>
          <w:szCs w:val="21"/>
          <w:highlight w:val="none"/>
          <w:lang w:eastAsia="zh-CN"/>
        </w:rPr>
        <w:t>本单位对上述声明的真实性负责。如有虚假，将依法承担相应责任。</w:t>
      </w:r>
    </w:p>
    <w:p w14:paraId="7435D5AC">
      <w:pPr>
        <w:widowControl/>
        <w:snapToGrid w:val="0"/>
        <w:spacing w:line="360" w:lineRule="auto"/>
        <w:ind w:firstLine="5040" w:firstLineChars="2400"/>
        <w:rPr>
          <w:rFonts w:hint="eastAsia" w:ascii="宋体" w:hAnsi="宋体" w:eastAsia="宋体" w:cs="宋体"/>
          <w:snapToGrid w:val="0"/>
          <w:color w:val="auto"/>
          <w:sz w:val="21"/>
          <w:szCs w:val="21"/>
          <w:highlight w:val="none"/>
          <w:lang w:eastAsia="zh-CN"/>
        </w:rPr>
      </w:pPr>
      <w:r>
        <w:rPr>
          <w:rFonts w:hint="eastAsia" w:ascii="宋体" w:hAnsi="宋体" w:eastAsia="宋体" w:cs="宋体"/>
          <w:snapToGrid w:val="0"/>
          <w:color w:val="auto"/>
          <w:sz w:val="21"/>
          <w:szCs w:val="21"/>
          <w:highlight w:val="none"/>
          <w:lang w:eastAsia="zh-CN"/>
        </w:rPr>
        <w:t>单位名称（加盖电子公章）：</w:t>
      </w:r>
    </w:p>
    <w:p w14:paraId="10D1907F">
      <w:pPr>
        <w:widowControl/>
        <w:snapToGrid w:val="0"/>
        <w:spacing w:line="360" w:lineRule="auto"/>
        <w:ind w:firstLine="5040" w:firstLineChars="2400"/>
        <w:rPr>
          <w:rFonts w:ascii="宋体" w:hAnsi="宋体" w:eastAsia="宋体" w:cs="宋体"/>
          <w:snapToGrid w:val="0"/>
          <w:color w:val="auto"/>
          <w:sz w:val="21"/>
          <w:szCs w:val="21"/>
          <w:highlight w:val="none"/>
          <w:lang w:eastAsia="zh-CN"/>
        </w:rPr>
      </w:pPr>
      <w:r>
        <w:rPr>
          <w:rFonts w:hint="eastAsia" w:ascii="宋体" w:hAnsi="宋体" w:eastAsia="宋体" w:cs="宋体"/>
          <w:snapToGrid w:val="0"/>
          <w:color w:val="auto"/>
          <w:sz w:val="21"/>
          <w:szCs w:val="21"/>
          <w:highlight w:val="none"/>
          <w:lang w:eastAsia="zh-CN"/>
        </w:rPr>
        <w:t>日  期：</w:t>
      </w:r>
    </w:p>
    <w:p w14:paraId="30B877F0">
      <w:pPr>
        <w:spacing w:line="360" w:lineRule="auto"/>
        <w:rPr>
          <w:rFonts w:hint="eastAsia" w:eastAsia="宋体"/>
          <w:color w:val="auto"/>
          <w:highlight w:val="none"/>
          <w:lang w:eastAsia="zh-CN"/>
        </w:rPr>
      </w:pPr>
    </w:p>
    <w:p w14:paraId="48723C24">
      <w:pPr>
        <w:snapToGrid w:val="0"/>
        <w:spacing w:line="360" w:lineRule="auto"/>
        <w:jc w:val="center"/>
        <w:rPr>
          <w:rFonts w:hint="eastAsia" w:ascii="宋体" w:hAnsi="宋体" w:cs="宋体"/>
          <w:b/>
          <w:bCs/>
          <w:color w:val="auto"/>
          <w:sz w:val="28"/>
          <w:highlight w:val="none"/>
          <w:lang w:eastAsia="zh-CN"/>
        </w:rPr>
      </w:pPr>
    </w:p>
    <w:p w14:paraId="7E43C32C">
      <w:pPr>
        <w:snapToGrid w:val="0"/>
        <w:spacing w:line="360" w:lineRule="auto"/>
        <w:jc w:val="center"/>
        <w:rPr>
          <w:rFonts w:hint="eastAsia" w:ascii="宋体" w:hAnsi="宋体" w:cs="宋体"/>
          <w:b/>
          <w:bCs/>
          <w:color w:val="auto"/>
          <w:sz w:val="28"/>
          <w:highlight w:val="none"/>
          <w:lang w:eastAsia="zh-CN"/>
        </w:rPr>
      </w:pPr>
    </w:p>
    <w:p w14:paraId="795CFCA4">
      <w:pPr>
        <w:snapToGrid w:val="0"/>
        <w:spacing w:line="360" w:lineRule="auto"/>
        <w:jc w:val="center"/>
        <w:rPr>
          <w:rFonts w:hint="eastAsia" w:ascii="宋体" w:hAnsi="宋体" w:cs="宋体"/>
          <w:b/>
          <w:bCs/>
          <w:color w:val="auto"/>
          <w:sz w:val="28"/>
          <w:highlight w:val="none"/>
          <w:lang w:eastAsia="zh-CN"/>
        </w:rPr>
      </w:pPr>
      <w:r>
        <w:rPr>
          <w:rFonts w:hint="eastAsia" w:ascii="宋体" w:hAnsi="宋体" w:cs="宋体"/>
          <w:b/>
          <w:bCs/>
          <w:color w:val="auto"/>
          <w:sz w:val="28"/>
          <w:highlight w:val="none"/>
          <w:lang w:eastAsia="zh-CN"/>
        </w:rPr>
        <w:t>属于监狱企业的证明文件</w:t>
      </w:r>
    </w:p>
    <w:p w14:paraId="57832116">
      <w:pPr>
        <w:snapToGrid w:val="0"/>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（提供由省级以上监狱管理局、戒毒管理局（含新疆生产建设兵团）出具的属于监狱企业的证明文件）</w:t>
      </w:r>
    </w:p>
    <w:p w14:paraId="0F509B1A">
      <w:pPr>
        <w:autoSpaceDE w:val="0"/>
        <w:autoSpaceDN w:val="0"/>
        <w:adjustRightInd w:val="0"/>
        <w:snapToGrid w:val="0"/>
        <w:spacing w:line="360" w:lineRule="auto"/>
        <w:rPr>
          <w:rFonts w:ascii="宋体" w:hAnsi="宋体" w:eastAsia="宋体" w:cs="宋体"/>
          <w:b/>
          <w:color w:val="auto"/>
          <w:highlight w:val="none"/>
          <w:lang w:eastAsia="zh-CN"/>
        </w:rPr>
      </w:pPr>
    </w:p>
    <w:p w14:paraId="4200BB27">
      <w:pPr>
        <w:pStyle w:val="70"/>
        <w:ind w:firstLine="0" w:firstLineChars="0"/>
        <w:jc w:val="both"/>
        <w:rPr>
          <w:rFonts w:eastAsia="等线" w:cs="宋体"/>
          <w:b/>
          <w:color w:val="auto"/>
          <w:sz w:val="22"/>
          <w:szCs w:val="22"/>
          <w:highlight w:val="none"/>
          <w:lang w:eastAsia="zh-CN"/>
        </w:rPr>
      </w:pPr>
    </w:p>
    <w:sectPr>
      <w:headerReference r:id="rId7" w:type="default"/>
      <w:footerReference r:id="rId8" w:type="default"/>
      <w:pgSz w:w="11910" w:h="16840"/>
      <w:pgMar w:top="1440" w:right="1080" w:bottom="1440" w:left="1080" w:header="880" w:footer="726" w:gutter="0"/>
      <w:pgBorders>
        <w:top w:val="none" w:sz="0" w:space="0"/>
        <w:left w:val="none" w:sz="0" w:space="0"/>
        <w:bottom w:val="none" w:sz="0" w:space="0"/>
        <w:right w:val="none" w:sz="0" w:space="0"/>
      </w:pgBorders>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Calibri Light">
    <w:panose1 w:val="020F0302020204030204"/>
    <w:charset w:val="00"/>
    <w:family w:val="swiss"/>
    <w:pitch w:val="default"/>
    <w:sig w:usb0="E4002EFF" w:usb1="C2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KNLe">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20D040">
    <w:pPr>
      <w:pStyle w:val="23"/>
      <w:jc w:val="right"/>
    </w:pPr>
    <w:r>
      <w:fldChar w:fldCharType="begin"/>
    </w:r>
    <w:r>
      <w:instrText xml:space="preserve">PAGE   \* MERGEFORMAT</w:instrText>
    </w:r>
    <w:r>
      <w:fldChar w:fldCharType="separate"/>
    </w:r>
    <w:r>
      <w:rPr>
        <w:lang w:val="zh-CN" w:eastAsia="zh-CN"/>
      </w:rPr>
      <w:t>1</w:t>
    </w:r>
    <w:r>
      <w:rPr>
        <w:lang w:val="zh-CN" w:eastAsia="zh-CN"/>
      </w:rPr>
      <w:fldChar w:fldCharType="end"/>
    </w:r>
  </w:p>
  <w:p w14:paraId="67B95520">
    <w:pPr>
      <w:pStyle w:val="2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F8EC64">
    <w:pPr>
      <w:pStyle w:val="23"/>
      <w:jc w:val="right"/>
    </w:pPr>
    <w:r>
      <w:fldChar w:fldCharType="begin"/>
    </w:r>
    <w:r>
      <w:instrText xml:space="preserve">PAGE   \* MERGEFORMAT</w:instrText>
    </w:r>
    <w:r>
      <w:fldChar w:fldCharType="separate"/>
    </w:r>
    <w:r>
      <w:rPr>
        <w:lang w:val="zh-CN" w:eastAsia="zh-CN"/>
      </w:rPr>
      <w:t>62</w:t>
    </w:r>
    <w:r>
      <w:rPr>
        <w:lang w:val="zh-CN" w:eastAsia="zh-CN"/>
      </w:rPr>
      <w:fldChar w:fldCharType="end"/>
    </w:r>
  </w:p>
  <w:p w14:paraId="61D1941C">
    <w:pPr>
      <w:spacing w:line="14" w:lineRule="auto"/>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1122A2">
    <w:pPr>
      <w:pStyle w:val="23"/>
      <w:jc w:val="right"/>
    </w:pPr>
    <w:r>
      <w:fldChar w:fldCharType="begin"/>
    </w:r>
    <w:r>
      <w:instrText xml:space="preserve">PAGE   \* MERGEFORMAT</w:instrText>
    </w:r>
    <w:r>
      <w:fldChar w:fldCharType="separate"/>
    </w:r>
    <w:r>
      <w:rPr>
        <w:lang w:val="zh-CN" w:eastAsia="zh-CN"/>
      </w:rPr>
      <w:t>89</w:t>
    </w:r>
    <w:r>
      <w:rPr>
        <w:lang w:val="zh-CN" w:eastAsia="zh-CN"/>
      </w:rPr>
      <w:fldChar w:fldCharType="end"/>
    </w:r>
  </w:p>
  <w:p w14:paraId="73C23908">
    <w:pPr>
      <w:spacing w:line="14" w:lineRule="auto"/>
      <w:rPr>
        <w:sz w:val="20"/>
        <w:szCs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2A13D5">
    <w:pPr>
      <w:pStyle w:val="24"/>
      <w:pBdr>
        <w:bottom w:val="single" w:color="auto" w:sz="4" w:space="1"/>
      </w:pBdr>
    </w:pPr>
  </w:p>
  <w:p w14:paraId="642B565C">
    <w:pPr>
      <w:pStyle w:val="24"/>
      <w:pBdr>
        <w:bottom w:val="single" w:color="auto" w:sz="4" w:space="1"/>
      </w:pBdr>
      <w:jc w:val="right"/>
      <w:rPr>
        <w:rFonts w:hint="eastAsia" w:eastAsia="宋体"/>
        <w:lang w:eastAsia="zh-CN"/>
      </w:rPr>
    </w:pPr>
    <w:r>
      <w:rPr>
        <w:rFonts w:hint="eastAsia" w:eastAsia="宋体"/>
        <w:lang w:eastAsia="zh-CN"/>
      </w:rPr>
      <w:t>江宁监狱综合管网维修改造竞争性磋商</w:t>
    </w:r>
    <w:r>
      <w:rPr>
        <w:rFonts w:eastAsia="宋体"/>
        <w:lang w:eastAsia="zh-CN"/>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2BD133">
    <w:pPr>
      <w:pStyle w:val="24"/>
      <w:pBdr>
        <w:bottom w:val="single" w:color="auto" w:sz="4" w:space="1"/>
      </w:pBdr>
      <w:jc w:val="right"/>
      <w:rPr>
        <w:rFonts w:hint="eastAsia" w:eastAsia="宋体"/>
        <w:lang w:eastAsia="zh-CN"/>
      </w:rPr>
    </w:pPr>
    <w:r>
      <w:rPr>
        <w:rFonts w:hint="eastAsia" w:eastAsia="宋体"/>
        <w:lang w:eastAsia="zh-CN"/>
      </w:rPr>
      <w:t>江宁监狱综合管网维修改造竞争性磋商</w:t>
    </w:r>
    <w:r>
      <w:rPr>
        <w:rFonts w:eastAsia="宋体"/>
        <w:lang w:eastAsia="zh-CN"/>
      </w:rPr>
      <w:t>文件</w:t>
    </w:r>
  </w:p>
  <w:p w14:paraId="7B682B2F">
    <w:pPr>
      <w:spacing w:line="14" w:lineRule="auto"/>
      <w:jc w:val="center"/>
      <w:rPr>
        <w:sz w:val="20"/>
        <w:szCs w:val="20"/>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25FBC8">
    <w:pPr>
      <w:pStyle w:val="24"/>
      <w:pBdr>
        <w:bottom w:val="single" w:color="auto" w:sz="4" w:space="1"/>
      </w:pBdr>
      <w:jc w:val="right"/>
      <w:rPr>
        <w:rFonts w:hint="eastAsia" w:eastAsia="宋体"/>
        <w:lang w:eastAsia="zh-CN"/>
      </w:rPr>
    </w:pPr>
    <w:r>
      <w:rPr>
        <w:rFonts w:hint="eastAsia" w:eastAsia="宋体"/>
        <w:lang w:eastAsia="zh-CN"/>
      </w:rPr>
      <w:t>江宁监狱综合管网维修改造竞争性磋商</w:t>
    </w:r>
    <w:r>
      <w:rPr>
        <w:rFonts w:eastAsia="宋体"/>
        <w:lang w:eastAsia="zh-CN"/>
      </w:rPr>
      <w:t>文件</w:t>
    </w:r>
  </w:p>
  <w:p w14:paraId="34C87315">
    <w:pPr>
      <w:spacing w:line="14" w:lineRule="auto"/>
      <w:rPr>
        <w:sz w:val="20"/>
        <w:szCs w:val="20"/>
      </w:rPr>
    </w:pPr>
    <w:r>
      <mc:AlternateContent>
        <mc:Choice Requires="wps">
          <w:drawing>
            <wp:anchor distT="0" distB="0" distL="114300" distR="114300" simplePos="0" relativeHeight="251659264" behindDoc="1" locked="0" layoutInCell="1" allowOverlap="1">
              <wp:simplePos x="0" y="0"/>
              <wp:positionH relativeFrom="page">
                <wp:posOffset>1608455</wp:posOffset>
              </wp:positionH>
              <wp:positionV relativeFrom="page">
                <wp:posOffset>546735</wp:posOffset>
              </wp:positionV>
              <wp:extent cx="4342765" cy="151765"/>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4342765" cy="151765"/>
                      </a:xfrm>
                      <a:prstGeom prst="rect">
                        <a:avLst/>
                      </a:prstGeom>
                      <a:noFill/>
                      <a:ln>
                        <a:noFill/>
                      </a:ln>
                      <a:effectLst/>
                    </wps:spPr>
                    <wps:txbx>
                      <w:txbxContent>
                        <w:p w14:paraId="579FEF4E">
                          <w:pPr>
                            <w:spacing w:line="219" w:lineRule="exact"/>
                            <w:ind w:left="20"/>
                            <w:rPr>
                              <w:rFonts w:ascii="楷体" w:hAnsi="楷体" w:eastAsia="楷体" w:cs="楷体"/>
                              <w:sz w:val="20"/>
                              <w:szCs w:val="20"/>
                            </w:rPr>
                          </w:pPr>
                        </w:p>
                      </w:txbxContent>
                    </wps:txbx>
                    <wps:bodyPr wrap="square" lIns="0" tIns="0" rIns="0" bIns="0" upright="1"/>
                  </wps:wsp>
                </a:graphicData>
              </a:graphic>
            </wp:anchor>
          </w:drawing>
        </mc:Choice>
        <mc:Fallback>
          <w:pict>
            <v:shape id="_x0000_s1026" o:spid="_x0000_s1026" o:spt="202" type="#_x0000_t202" style="position:absolute;left:0pt;margin-left:126.65pt;margin-top:43.05pt;height:11.95pt;width:341.95pt;mso-position-horizontal-relative:page;mso-position-vertical-relative:page;z-index:-251657216;mso-width-relative:page;mso-height-relative:page;" filled="f" stroked="f" coordsize="21600,21600" o:gfxdata="UEsDBAoAAAAAAIdO4kAAAAAAAAAAAAAAAAAEAAAAZHJzL1BLAwQUAAAACACHTuJATXe7QNkAAAAK&#10;AQAADwAAAGRycy9kb3ducmV2LnhtbE2Py07DMBBF90j9B2sqsaN2EhHaEKdCCFZIiDQsWDrxNLEa&#10;j0PsPvh7zIouR/fo3jPl9mJHdsLZG0cSkpUAhtQ5baiX8Nm83q2B+aBIq9ERSvhBD9tqcVOqQrsz&#10;1XjahZ7FEvKFkjCEMBWc+25Aq/zKTUgx27vZqhDPued6VudYbkeeCpFzqwzFhUFN+Dxgd9gdrYSn&#10;L6pfzPd7+1Hva9M0G0Fv+UHK22UiHoEFvIR/GP70ozpU0al1R9KejRLS+yyLqIR1ngCLwCZ7SIG1&#10;kUyEAF6V/PqF6hdQSwMEFAAAAAgAh07iQNPHwdLJAQAAkAMAAA4AAABkcnMvZTJvRG9jLnhtbK1T&#10;S27bMBDdF8gdCO5rWa6TFoLlAIWRokDRFkhyAJoaWQT4y5C25Au0N+iqm+57Lp8jQ33cNN1k0Q31&#10;OEM+znszWl13RrMDYFDOljyfzTkDK12l7K7k93c3r99xFqKwldDOQsmPEPj1+uLVqvUFLFzjdAXI&#10;iMSGovUlb2L0RZYF2YARYeY8WErWDo2ItMVdVqFoid3obDGfX2Wtw8qjkxACRTdDko+M+BJCV9dK&#10;wsbJvQEbB1YELSJJCo3yga/7ausaZPxS1wEi0yUnpbFf6RHC27Rm65Uodih8o+RYgnhJCc80GaEs&#10;PXqm2ogo2B7VP1RGSXTB1XEmnckGIb0jpCKfP/PmthEeei1kdfBn08P/o5WfD1+Rqarky5wzKwx1&#10;/PTj++nn79Ovb4xiZFDrQ0Hnbj2djN1719HYTPFAwaS7q9GkLylilCd7j2d7oYtMUnD5Zrl4e3XJ&#10;maRcfpknTPTZn9seQ/wAzrAESo7Uvt5VcfgU4nB0OpIes+5Gad23UNu/AsQ5RKCfgfF2EjIUnFDs&#10;tt2obuuqI4lraQ5KHh72AoEz/dGS0WloJoAT2E5g71HtGiq1NyRLtNSoXtM4VGkSnu4JP/2R1o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Nd7tA2QAAAAoBAAAPAAAAAAAAAAEAIAAAACIAAABkcnMv&#10;ZG93bnJldi54bWxQSwECFAAUAAAACACHTuJA08fB0skBAACQAwAADgAAAAAAAAABACAAAAAoAQAA&#10;ZHJzL2Uyb0RvYy54bWxQSwUGAAAAAAYABgBZAQAAYwUAAAAA&#10;">
              <v:fill on="f" focussize="0,0"/>
              <v:stroke on="f"/>
              <v:imagedata o:title=""/>
              <o:lock v:ext="edit" aspectratio="f"/>
              <v:textbox inset="0mm,0mm,0mm,0mm">
                <w:txbxContent>
                  <w:p w14:paraId="579FEF4E">
                    <w:pPr>
                      <w:spacing w:line="219" w:lineRule="exact"/>
                      <w:ind w:left="20"/>
                      <w:rPr>
                        <w:rFonts w:ascii="楷体" w:hAnsi="楷体" w:eastAsia="楷体" w:cs="楷体"/>
                        <w:sz w:val="20"/>
                        <w:szCs w:val="20"/>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205925"/>
    <w:multiLevelType w:val="multilevel"/>
    <w:tmpl w:val="BF205925"/>
    <w:lvl w:ilvl="0" w:tentative="0">
      <w:start w:val="7"/>
      <w:numFmt w:val="decimal"/>
      <w:suff w:val="nothing"/>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
    <w:nsid w:val="1B959F41"/>
    <w:multiLevelType w:val="singleLevel"/>
    <w:tmpl w:val="1B959F41"/>
    <w:lvl w:ilvl="0" w:tentative="0">
      <w:start w:val="1"/>
      <w:numFmt w:val="decimal"/>
      <w:suff w:val="nothing"/>
      <w:lvlText w:val="%1、"/>
      <w:lvlJc w:val="left"/>
      <w:pPr>
        <w:ind w:left="440" w:firstLine="0"/>
      </w:pPr>
    </w:lvl>
  </w:abstractNum>
  <w:abstractNum w:abstractNumId="2">
    <w:nsid w:val="25B654F3"/>
    <w:multiLevelType w:val="multilevel"/>
    <w:tmpl w:val="25B654F3"/>
    <w:lvl w:ilvl="0" w:tentative="0">
      <w:start w:val="3"/>
      <w:numFmt w:val="chineseCounting"/>
      <w:suff w:val="nothing"/>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hyphenationZone w:val="360"/>
  <w:drawingGridHorizontalSpacing w:val="110"/>
  <w:displayHorizontalDrawingGridEvery w:val="1"/>
  <w:displayVerticalDrawingGridEvery w:val="1"/>
  <w:noPunctuationKerning w:val="1"/>
  <w:characterSpacingControl w:val="doNotCompress"/>
  <w:hdrShapeDefaults>
    <o:shapelayout v:ext="edit">
      <o:idmap v:ext="edit" data="1"/>
    </o:shapelayout>
  </w:hdrShapeDefaults>
  <w:compat>
    <w:doNotLeaveBackslashAlone/>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iNGRiNGMzMDNjNGNmN2ViYzc0NjRhMjA0YWI5N2MifQ=="/>
  </w:docVars>
  <w:rsids>
    <w:rsidRoot w:val="00895B9E"/>
    <w:rsid w:val="00000131"/>
    <w:rsid w:val="00000821"/>
    <w:rsid w:val="0000174C"/>
    <w:rsid w:val="00003A55"/>
    <w:rsid w:val="00003E59"/>
    <w:rsid w:val="00004B10"/>
    <w:rsid w:val="0000617B"/>
    <w:rsid w:val="000068C2"/>
    <w:rsid w:val="00006931"/>
    <w:rsid w:val="00007D1A"/>
    <w:rsid w:val="000126B2"/>
    <w:rsid w:val="00014C77"/>
    <w:rsid w:val="000208A4"/>
    <w:rsid w:val="00020A3C"/>
    <w:rsid w:val="0002169F"/>
    <w:rsid w:val="00021A7A"/>
    <w:rsid w:val="00021E21"/>
    <w:rsid w:val="00024257"/>
    <w:rsid w:val="0002485C"/>
    <w:rsid w:val="00025577"/>
    <w:rsid w:val="000259E5"/>
    <w:rsid w:val="00025AEB"/>
    <w:rsid w:val="0002648F"/>
    <w:rsid w:val="00027127"/>
    <w:rsid w:val="00027E21"/>
    <w:rsid w:val="00030F2C"/>
    <w:rsid w:val="000311B4"/>
    <w:rsid w:val="00031795"/>
    <w:rsid w:val="000332DA"/>
    <w:rsid w:val="0003349B"/>
    <w:rsid w:val="00033EAD"/>
    <w:rsid w:val="000341D0"/>
    <w:rsid w:val="00035ADE"/>
    <w:rsid w:val="00035BCB"/>
    <w:rsid w:val="00042277"/>
    <w:rsid w:val="00042EE4"/>
    <w:rsid w:val="0004342F"/>
    <w:rsid w:val="000435BC"/>
    <w:rsid w:val="0004556A"/>
    <w:rsid w:val="0004566A"/>
    <w:rsid w:val="00045A59"/>
    <w:rsid w:val="00046B5A"/>
    <w:rsid w:val="00046E53"/>
    <w:rsid w:val="00050431"/>
    <w:rsid w:val="00050DE8"/>
    <w:rsid w:val="00052477"/>
    <w:rsid w:val="000549D0"/>
    <w:rsid w:val="00055DFC"/>
    <w:rsid w:val="00056D20"/>
    <w:rsid w:val="0006275B"/>
    <w:rsid w:val="000631E8"/>
    <w:rsid w:val="00063FF6"/>
    <w:rsid w:val="00064CB7"/>
    <w:rsid w:val="000657DC"/>
    <w:rsid w:val="00065D1F"/>
    <w:rsid w:val="00067BF8"/>
    <w:rsid w:val="000703FB"/>
    <w:rsid w:val="00070699"/>
    <w:rsid w:val="000713D2"/>
    <w:rsid w:val="000730E4"/>
    <w:rsid w:val="00073DB5"/>
    <w:rsid w:val="00075614"/>
    <w:rsid w:val="000775C6"/>
    <w:rsid w:val="00080014"/>
    <w:rsid w:val="000804D3"/>
    <w:rsid w:val="00081E0B"/>
    <w:rsid w:val="000826E4"/>
    <w:rsid w:val="00087AA5"/>
    <w:rsid w:val="00091064"/>
    <w:rsid w:val="000912B3"/>
    <w:rsid w:val="00091E9D"/>
    <w:rsid w:val="000920E9"/>
    <w:rsid w:val="00093EEE"/>
    <w:rsid w:val="00094550"/>
    <w:rsid w:val="0009501D"/>
    <w:rsid w:val="00095E5E"/>
    <w:rsid w:val="000A1412"/>
    <w:rsid w:val="000A44F5"/>
    <w:rsid w:val="000A4C70"/>
    <w:rsid w:val="000A4C71"/>
    <w:rsid w:val="000A5269"/>
    <w:rsid w:val="000A5D14"/>
    <w:rsid w:val="000A6BE8"/>
    <w:rsid w:val="000A7AD9"/>
    <w:rsid w:val="000A7D41"/>
    <w:rsid w:val="000A7FDA"/>
    <w:rsid w:val="000B1F2F"/>
    <w:rsid w:val="000B23D9"/>
    <w:rsid w:val="000B2C11"/>
    <w:rsid w:val="000B501F"/>
    <w:rsid w:val="000B5103"/>
    <w:rsid w:val="000B6AD6"/>
    <w:rsid w:val="000B6B60"/>
    <w:rsid w:val="000B78D1"/>
    <w:rsid w:val="000C1DC7"/>
    <w:rsid w:val="000C29BB"/>
    <w:rsid w:val="000C3781"/>
    <w:rsid w:val="000C3A11"/>
    <w:rsid w:val="000C4B3F"/>
    <w:rsid w:val="000C4D64"/>
    <w:rsid w:val="000C5F9A"/>
    <w:rsid w:val="000D02DB"/>
    <w:rsid w:val="000D295D"/>
    <w:rsid w:val="000D53FC"/>
    <w:rsid w:val="000D60C1"/>
    <w:rsid w:val="000D6332"/>
    <w:rsid w:val="000D7F58"/>
    <w:rsid w:val="000E16D1"/>
    <w:rsid w:val="000E2090"/>
    <w:rsid w:val="000E36BA"/>
    <w:rsid w:val="000E5B3A"/>
    <w:rsid w:val="000E5E86"/>
    <w:rsid w:val="000F0481"/>
    <w:rsid w:val="000F226C"/>
    <w:rsid w:val="000F2D80"/>
    <w:rsid w:val="000F5D84"/>
    <w:rsid w:val="000F5F71"/>
    <w:rsid w:val="000F64CF"/>
    <w:rsid w:val="000F74A3"/>
    <w:rsid w:val="001003C3"/>
    <w:rsid w:val="001031A4"/>
    <w:rsid w:val="001045B4"/>
    <w:rsid w:val="0010646E"/>
    <w:rsid w:val="00107DCE"/>
    <w:rsid w:val="001112FF"/>
    <w:rsid w:val="00112348"/>
    <w:rsid w:val="0011281D"/>
    <w:rsid w:val="00112C79"/>
    <w:rsid w:val="001135D0"/>
    <w:rsid w:val="00113ABD"/>
    <w:rsid w:val="00114159"/>
    <w:rsid w:val="00114D08"/>
    <w:rsid w:val="00116619"/>
    <w:rsid w:val="00116FEA"/>
    <w:rsid w:val="001229D4"/>
    <w:rsid w:val="00122A83"/>
    <w:rsid w:val="00123EF4"/>
    <w:rsid w:val="00123FB9"/>
    <w:rsid w:val="001242D5"/>
    <w:rsid w:val="001243AD"/>
    <w:rsid w:val="001253E8"/>
    <w:rsid w:val="0012721C"/>
    <w:rsid w:val="001273A2"/>
    <w:rsid w:val="00130AC3"/>
    <w:rsid w:val="001312A6"/>
    <w:rsid w:val="00131F75"/>
    <w:rsid w:val="00132212"/>
    <w:rsid w:val="00132E6F"/>
    <w:rsid w:val="001347E5"/>
    <w:rsid w:val="0013623C"/>
    <w:rsid w:val="00136A5E"/>
    <w:rsid w:val="001370CA"/>
    <w:rsid w:val="00137FAF"/>
    <w:rsid w:val="0014411E"/>
    <w:rsid w:val="00145293"/>
    <w:rsid w:val="00145634"/>
    <w:rsid w:val="00146898"/>
    <w:rsid w:val="00147DA4"/>
    <w:rsid w:val="0015064A"/>
    <w:rsid w:val="001509EF"/>
    <w:rsid w:val="00150E6E"/>
    <w:rsid w:val="00151F87"/>
    <w:rsid w:val="00152C11"/>
    <w:rsid w:val="00154078"/>
    <w:rsid w:val="00154CEC"/>
    <w:rsid w:val="00156293"/>
    <w:rsid w:val="00157FD2"/>
    <w:rsid w:val="00162C48"/>
    <w:rsid w:val="00162C8E"/>
    <w:rsid w:val="0016328A"/>
    <w:rsid w:val="001637E8"/>
    <w:rsid w:val="00163C04"/>
    <w:rsid w:val="00163CD7"/>
    <w:rsid w:val="001654E0"/>
    <w:rsid w:val="00166ED3"/>
    <w:rsid w:val="001703E7"/>
    <w:rsid w:val="0017365D"/>
    <w:rsid w:val="00175032"/>
    <w:rsid w:val="00175B01"/>
    <w:rsid w:val="00175D28"/>
    <w:rsid w:val="00176643"/>
    <w:rsid w:val="00176D2B"/>
    <w:rsid w:val="001774A5"/>
    <w:rsid w:val="0017753F"/>
    <w:rsid w:val="00177989"/>
    <w:rsid w:val="001816BC"/>
    <w:rsid w:val="0018181C"/>
    <w:rsid w:val="00183AAB"/>
    <w:rsid w:val="00183D1B"/>
    <w:rsid w:val="00185815"/>
    <w:rsid w:val="001866E4"/>
    <w:rsid w:val="0019014B"/>
    <w:rsid w:val="00190C7D"/>
    <w:rsid w:val="001914F1"/>
    <w:rsid w:val="00191A23"/>
    <w:rsid w:val="0019265A"/>
    <w:rsid w:val="001927FF"/>
    <w:rsid w:val="00193D45"/>
    <w:rsid w:val="0019598F"/>
    <w:rsid w:val="00196895"/>
    <w:rsid w:val="001A1BA4"/>
    <w:rsid w:val="001A2BE1"/>
    <w:rsid w:val="001A3210"/>
    <w:rsid w:val="001A39BB"/>
    <w:rsid w:val="001A3D2C"/>
    <w:rsid w:val="001A40C6"/>
    <w:rsid w:val="001A45A3"/>
    <w:rsid w:val="001A4AB7"/>
    <w:rsid w:val="001A63DB"/>
    <w:rsid w:val="001B07B5"/>
    <w:rsid w:val="001B156D"/>
    <w:rsid w:val="001B2414"/>
    <w:rsid w:val="001B24A4"/>
    <w:rsid w:val="001B5501"/>
    <w:rsid w:val="001B7B8D"/>
    <w:rsid w:val="001C0A9F"/>
    <w:rsid w:val="001C2690"/>
    <w:rsid w:val="001C4D4E"/>
    <w:rsid w:val="001C5D53"/>
    <w:rsid w:val="001C63F1"/>
    <w:rsid w:val="001C73B0"/>
    <w:rsid w:val="001D2703"/>
    <w:rsid w:val="001D2747"/>
    <w:rsid w:val="001D40A9"/>
    <w:rsid w:val="001D50C0"/>
    <w:rsid w:val="001D564E"/>
    <w:rsid w:val="001D5661"/>
    <w:rsid w:val="001E0329"/>
    <w:rsid w:val="001E1578"/>
    <w:rsid w:val="001E26FA"/>
    <w:rsid w:val="001E36F1"/>
    <w:rsid w:val="001E3F32"/>
    <w:rsid w:val="001E65D5"/>
    <w:rsid w:val="001E7057"/>
    <w:rsid w:val="001E7C75"/>
    <w:rsid w:val="001F1182"/>
    <w:rsid w:val="001F1A2E"/>
    <w:rsid w:val="001F5496"/>
    <w:rsid w:val="001F59BD"/>
    <w:rsid w:val="001F60CE"/>
    <w:rsid w:val="001F69A1"/>
    <w:rsid w:val="001F6EA4"/>
    <w:rsid w:val="001F735A"/>
    <w:rsid w:val="001F7C05"/>
    <w:rsid w:val="00200633"/>
    <w:rsid w:val="002023AE"/>
    <w:rsid w:val="00202982"/>
    <w:rsid w:val="002031CD"/>
    <w:rsid w:val="002036CB"/>
    <w:rsid w:val="00204172"/>
    <w:rsid w:val="00204B42"/>
    <w:rsid w:val="00205F28"/>
    <w:rsid w:val="0020745C"/>
    <w:rsid w:val="00210984"/>
    <w:rsid w:val="00210BBE"/>
    <w:rsid w:val="00210E93"/>
    <w:rsid w:val="0021315F"/>
    <w:rsid w:val="00215310"/>
    <w:rsid w:val="00215F2E"/>
    <w:rsid w:val="00216A32"/>
    <w:rsid w:val="00216AB8"/>
    <w:rsid w:val="00217D6D"/>
    <w:rsid w:val="002205D9"/>
    <w:rsid w:val="00221FF8"/>
    <w:rsid w:val="00223701"/>
    <w:rsid w:val="00224421"/>
    <w:rsid w:val="00224A16"/>
    <w:rsid w:val="00224C0F"/>
    <w:rsid w:val="002260A9"/>
    <w:rsid w:val="0022695F"/>
    <w:rsid w:val="00226D9E"/>
    <w:rsid w:val="00226EBC"/>
    <w:rsid w:val="00227201"/>
    <w:rsid w:val="0022741F"/>
    <w:rsid w:val="00234C1F"/>
    <w:rsid w:val="00234F96"/>
    <w:rsid w:val="00235FE4"/>
    <w:rsid w:val="00236AB4"/>
    <w:rsid w:val="0023706C"/>
    <w:rsid w:val="0023733D"/>
    <w:rsid w:val="0024217A"/>
    <w:rsid w:val="0024250B"/>
    <w:rsid w:val="002427E2"/>
    <w:rsid w:val="00242AC3"/>
    <w:rsid w:val="00242B72"/>
    <w:rsid w:val="00243995"/>
    <w:rsid w:val="00243996"/>
    <w:rsid w:val="00243D16"/>
    <w:rsid w:val="00243EE5"/>
    <w:rsid w:val="00246129"/>
    <w:rsid w:val="00247AAF"/>
    <w:rsid w:val="002544C7"/>
    <w:rsid w:val="00254769"/>
    <w:rsid w:val="00255171"/>
    <w:rsid w:val="00255771"/>
    <w:rsid w:val="00255C13"/>
    <w:rsid w:val="0025652A"/>
    <w:rsid w:val="0026183D"/>
    <w:rsid w:val="00262A10"/>
    <w:rsid w:val="00262BE4"/>
    <w:rsid w:val="00263488"/>
    <w:rsid w:val="00263CB4"/>
    <w:rsid w:val="002674E1"/>
    <w:rsid w:val="00270442"/>
    <w:rsid w:val="00270FE2"/>
    <w:rsid w:val="002712BB"/>
    <w:rsid w:val="002717C2"/>
    <w:rsid w:val="00272201"/>
    <w:rsid w:val="002722D6"/>
    <w:rsid w:val="0027297C"/>
    <w:rsid w:val="00273128"/>
    <w:rsid w:val="00274E2F"/>
    <w:rsid w:val="002760A3"/>
    <w:rsid w:val="00276375"/>
    <w:rsid w:val="00276550"/>
    <w:rsid w:val="00277EBA"/>
    <w:rsid w:val="00277FA5"/>
    <w:rsid w:val="0028003D"/>
    <w:rsid w:val="00283FF3"/>
    <w:rsid w:val="002847AE"/>
    <w:rsid w:val="00284E1C"/>
    <w:rsid w:val="00287109"/>
    <w:rsid w:val="0028745E"/>
    <w:rsid w:val="002905AA"/>
    <w:rsid w:val="00290D43"/>
    <w:rsid w:val="0029119F"/>
    <w:rsid w:val="0029328D"/>
    <w:rsid w:val="00295068"/>
    <w:rsid w:val="0029511C"/>
    <w:rsid w:val="00295A1E"/>
    <w:rsid w:val="00296097"/>
    <w:rsid w:val="0029739A"/>
    <w:rsid w:val="00297468"/>
    <w:rsid w:val="002A06F4"/>
    <w:rsid w:val="002A1520"/>
    <w:rsid w:val="002A1B47"/>
    <w:rsid w:val="002A229E"/>
    <w:rsid w:val="002A23D4"/>
    <w:rsid w:val="002A30A0"/>
    <w:rsid w:val="002A3827"/>
    <w:rsid w:val="002A3C47"/>
    <w:rsid w:val="002A46C5"/>
    <w:rsid w:val="002A570C"/>
    <w:rsid w:val="002A7E36"/>
    <w:rsid w:val="002B1BC8"/>
    <w:rsid w:val="002B22DC"/>
    <w:rsid w:val="002B24F9"/>
    <w:rsid w:val="002B2578"/>
    <w:rsid w:val="002B642D"/>
    <w:rsid w:val="002B66FB"/>
    <w:rsid w:val="002B6A74"/>
    <w:rsid w:val="002B7ED5"/>
    <w:rsid w:val="002C406A"/>
    <w:rsid w:val="002C45F0"/>
    <w:rsid w:val="002C4733"/>
    <w:rsid w:val="002C4D4A"/>
    <w:rsid w:val="002C64EE"/>
    <w:rsid w:val="002C6D1D"/>
    <w:rsid w:val="002D0B51"/>
    <w:rsid w:val="002D0D93"/>
    <w:rsid w:val="002D146C"/>
    <w:rsid w:val="002D1540"/>
    <w:rsid w:val="002D17A6"/>
    <w:rsid w:val="002D27DF"/>
    <w:rsid w:val="002D2C28"/>
    <w:rsid w:val="002D33C5"/>
    <w:rsid w:val="002D571D"/>
    <w:rsid w:val="002D6FEF"/>
    <w:rsid w:val="002D7079"/>
    <w:rsid w:val="002D7AF2"/>
    <w:rsid w:val="002E0234"/>
    <w:rsid w:val="002E1A7B"/>
    <w:rsid w:val="002E2B80"/>
    <w:rsid w:val="002E43C6"/>
    <w:rsid w:val="002E456B"/>
    <w:rsid w:val="002E4CC2"/>
    <w:rsid w:val="002E4DC1"/>
    <w:rsid w:val="002E5398"/>
    <w:rsid w:val="002E60AA"/>
    <w:rsid w:val="002E63A0"/>
    <w:rsid w:val="002E73C4"/>
    <w:rsid w:val="002E77A2"/>
    <w:rsid w:val="002F08CD"/>
    <w:rsid w:val="002F53D9"/>
    <w:rsid w:val="002F796B"/>
    <w:rsid w:val="00301854"/>
    <w:rsid w:val="003020F1"/>
    <w:rsid w:val="00302E01"/>
    <w:rsid w:val="00305938"/>
    <w:rsid w:val="00305BE0"/>
    <w:rsid w:val="003113CC"/>
    <w:rsid w:val="003117B2"/>
    <w:rsid w:val="00311C1B"/>
    <w:rsid w:val="0031200D"/>
    <w:rsid w:val="0031357F"/>
    <w:rsid w:val="003138D1"/>
    <w:rsid w:val="00313FCE"/>
    <w:rsid w:val="0031449F"/>
    <w:rsid w:val="003153A3"/>
    <w:rsid w:val="00315F93"/>
    <w:rsid w:val="0031639C"/>
    <w:rsid w:val="003177E2"/>
    <w:rsid w:val="0032034E"/>
    <w:rsid w:val="00320642"/>
    <w:rsid w:val="00321155"/>
    <w:rsid w:val="00321633"/>
    <w:rsid w:val="00323538"/>
    <w:rsid w:val="00324F20"/>
    <w:rsid w:val="003268FF"/>
    <w:rsid w:val="00326A5B"/>
    <w:rsid w:val="00327FFB"/>
    <w:rsid w:val="00330D3E"/>
    <w:rsid w:val="00331E32"/>
    <w:rsid w:val="00332114"/>
    <w:rsid w:val="00332D47"/>
    <w:rsid w:val="00332DA0"/>
    <w:rsid w:val="00333496"/>
    <w:rsid w:val="003358F6"/>
    <w:rsid w:val="003367B0"/>
    <w:rsid w:val="00336A41"/>
    <w:rsid w:val="0034083F"/>
    <w:rsid w:val="0034114C"/>
    <w:rsid w:val="0034131C"/>
    <w:rsid w:val="00345B1D"/>
    <w:rsid w:val="00347632"/>
    <w:rsid w:val="00347C12"/>
    <w:rsid w:val="003509CB"/>
    <w:rsid w:val="00352BE0"/>
    <w:rsid w:val="00353CE7"/>
    <w:rsid w:val="00354B75"/>
    <w:rsid w:val="00355AC5"/>
    <w:rsid w:val="00355EF9"/>
    <w:rsid w:val="00362D3A"/>
    <w:rsid w:val="00362EF5"/>
    <w:rsid w:val="003639B5"/>
    <w:rsid w:val="00365940"/>
    <w:rsid w:val="00365F7C"/>
    <w:rsid w:val="00367332"/>
    <w:rsid w:val="0036762A"/>
    <w:rsid w:val="00367E33"/>
    <w:rsid w:val="00370B5E"/>
    <w:rsid w:val="00371579"/>
    <w:rsid w:val="003715BC"/>
    <w:rsid w:val="003722AA"/>
    <w:rsid w:val="00373E5A"/>
    <w:rsid w:val="00374B5B"/>
    <w:rsid w:val="00375604"/>
    <w:rsid w:val="003758A9"/>
    <w:rsid w:val="00375D33"/>
    <w:rsid w:val="003769AD"/>
    <w:rsid w:val="00377C80"/>
    <w:rsid w:val="00380779"/>
    <w:rsid w:val="00383982"/>
    <w:rsid w:val="00383F82"/>
    <w:rsid w:val="00384027"/>
    <w:rsid w:val="00384B12"/>
    <w:rsid w:val="00385609"/>
    <w:rsid w:val="003873EE"/>
    <w:rsid w:val="00390898"/>
    <w:rsid w:val="00392534"/>
    <w:rsid w:val="00392917"/>
    <w:rsid w:val="00392D19"/>
    <w:rsid w:val="003932EF"/>
    <w:rsid w:val="00393845"/>
    <w:rsid w:val="003953FA"/>
    <w:rsid w:val="0039567D"/>
    <w:rsid w:val="00397321"/>
    <w:rsid w:val="00397BDC"/>
    <w:rsid w:val="003A0862"/>
    <w:rsid w:val="003A17C9"/>
    <w:rsid w:val="003A1F35"/>
    <w:rsid w:val="003A2E2D"/>
    <w:rsid w:val="003A325A"/>
    <w:rsid w:val="003A4E91"/>
    <w:rsid w:val="003A5A23"/>
    <w:rsid w:val="003A5B53"/>
    <w:rsid w:val="003A6EF6"/>
    <w:rsid w:val="003A718D"/>
    <w:rsid w:val="003A7A41"/>
    <w:rsid w:val="003B29E5"/>
    <w:rsid w:val="003B2BBD"/>
    <w:rsid w:val="003B2C2C"/>
    <w:rsid w:val="003B2C76"/>
    <w:rsid w:val="003B4D07"/>
    <w:rsid w:val="003B55FC"/>
    <w:rsid w:val="003B5CB3"/>
    <w:rsid w:val="003B6DC2"/>
    <w:rsid w:val="003B7098"/>
    <w:rsid w:val="003C0FA1"/>
    <w:rsid w:val="003C1C3E"/>
    <w:rsid w:val="003C2211"/>
    <w:rsid w:val="003C2218"/>
    <w:rsid w:val="003C378B"/>
    <w:rsid w:val="003C4FC2"/>
    <w:rsid w:val="003C53CD"/>
    <w:rsid w:val="003C553C"/>
    <w:rsid w:val="003C5B4D"/>
    <w:rsid w:val="003D0752"/>
    <w:rsid w:val="003D1750"/>
    <w:rsid w:val="003D6474"/>
    <w:rsid w:val="003D6B6F"/>
    <w:rsid w:val="003D6C4A"/>
    <w:rsid w:val="003D7079"/>
    <w:rsid w:val="003D7950"/>
    <w:rsid w:val="003E14B5"/>
    <w:rsid w:val="003E19CA"/>
    <w:rsid w:val="003E1E93"/>
    <w:rsid w:val="003E2275"/>
    <w:rsid w:val="003E2942"/>
    <w:rsid w:val="003E3AAE"/>
    <w:rsid w:val="003E5F7D"/>
    <w:rsid w:val="003E667E"/>
    <w:rsid w:val="003E688C"/>
    <w:rsid w:val="003E759A"/>
    <w:rsid w:val="003E7F3F"/>
    <w:rsid w:val="003F18AB"/>
    <w:rsid w:val="003F263C"/>
    <w:rsid w:val="003F2DF7"/>
    <w:rsid w:val="003F344F"/>
    <w:rsid w:val="003F36E7"/>
    <w:rsid w:val="003F4CA0"/>
    <w:rsid w:val="003F5256"/>
    <w:rsid w:val="003F5B5A"/>
    <w:rsid w:val="003F6355"/>
    <w:rsid w:val="004020FC"/>
    <w:rsid w:val="0040244F"/>
    <w:rsid w:val="00402BD6"/>
    <w:rsid w:val="0040311A"/>
    <w:rsid w:val="00405E7F"/>
    <w:rsid w:val="00406F84"/>
    <w:rsid w:val="00407598"/>
    <w:rsid w:val="004103C1"/>
    <w:rsid w:val="00410787"/>
    <w:rsid w:val="004119BE"/>
    <w:rsid w:val="00412F2D"/>
    <w:rsid w:val="00413E4D"/>
    <w:rsid w:val="00415242"/>
    <w:rsid w:val="00415435"/>
    <w:rsid w:val="00415AE4"/>
    <w:rsid w:val="00415E33"/>
    <w:rsid w:val="004162E0"/>
    <w:rsid w:val="0041653D"/>
    <w:rsid w:val="00416B6D"/>
    <w:rsid w:val="00416D32"/>
    <w:rsid w:val="00417429"/>
    <w:rsid w:val="00420A60"/>
    <w:rsid w:val="00421624"/>
    <w:rsid w:val="0042199E"/>
    <w:rsid w:val="00421B84"/>
    <w:rsid w:val="0042247C"/>
    <w:rsid w:val="00422905"/>
    <w:rsid w:val="00426FA7"/>
    <w:rsid w:val="00430146"/>
    <w:rsid w:val="004310E8"/>
    <w:rsid w:val="004311C6"/>
    <w:rsid w:val="00431B42"/>
    <w:rsid w:val="00432B81"/>
    <w:rsid w:val="00433139"/>
    <w:rsid w:val="00433371"/>
    <w:rsid w:val="00434C7B"/>
    <w:rsid w:val="00435493"/>
    <w:rsid w:val="00435899"/>
    <w:rsid w:val="004360E3"/>
    <w:rsid w:val="0043738D"/>
    <w:rsid w:val="00437A00"/>
    <w:rsid w:val="004404E3"/>
    <w:rsid w:val="00440CAB"/>
    <w:rsid w:val="00440D2B"/>
    <w:rsid w:val="00441CDE"/>
    <w:rsid w:val="00442023"/>
    <w:rsid w:val="004422AE"/>
    <w:rsid w:val="004459F3"/>
    <w:rsid w:val="00446140"/>
    <w:rsid w:val="0044651F"/>
    <w:rsid w:val="004469C7"/>
    <w:rsid w:val="004472B4"/>
    <w:rsid w:val="00447968"/>
    <w:rsid w:val="00447BFC"/>
    <w:rsid w:val="0045203A"/>
    <w:rsid w:val="0045218B"/>
    <w:rsid w:val="004522A1"/>
    <w:rsid w:val="00452B1E"/>
    <w:rsid w:val="00452BB8"/>
    <w:rsid w:val="004562EB"/>
    <w:rsid w:val="004568B4"/>
    <w:rsid w:val="00457724"/>
    <w:rsid w:val="00457B9C"/>
    <w:rsid w:val="00460C90"/>
    <w:rsid w:val="0046133F"/>
    <w:rsid w:val="00461532"/>
    <w:rsid w:val="0046162F"/>
    <w:rsid w:val="00461F70"/>
    <w:rsid w:val="00463D2F"/>
    <w:rsid w:val="004649A9"/>
    <w:rsid w:val="004657C2"/>
    <w:rsid w:val="004671A9"/>
    <w:rsid w:val="00471104"/>
    <w:rsid w:val="00472EF0"/>
    <w:rsid w:val="00474C42"/>
    <w:rsid w:val="0047587D"/>
    <w:rsid w:val="00475D88"/>
    <w:rsid w:val="004773D4"/>
    <w:rsid w:val="004778F1"/>
    <w:rsid w:val="004810E5"/>
    <w:rsid w:val="0048579D"/>
    <w:rsid w:val="00485A8F"/>
    <w:rsid w:val="00485C2D"/>
    <w:rsid w:val="0048655C"/>
    <w:rsid w:val="0048707B"/>
    <w:rsid w:val="00487BBF"/>
    <w:rsid w:val="00487EF4"/>
    <w:rsid w:val="00490B30"/>
    <w:rsid w:val="00492534"/>
    <w:rsid w:val="004942C9"/>
    <w:rsid w:val="00497B39"/>
    <w:rsid w:val="004A0982"/>
    <w:rsid w:val="004A1B82"/>
    <w:rsid w:val="004A2622"/>
    <w:rsid w:val="004A45EA"/>
    <w:rsid w:val="004A594D"/>
    <w:rsid w:val="004A6534"/>
    <w:rsid w:val="004A6D8B"/>
    <w:rsid w:val="004B0FE7"/>
    <w:rsid w:val="004B1706"/>
    <w:rsid w:val="004B19BB"/>
    <w:rsid w:val="004B455B"/>
    <w:rsid w:val="004B5A8C"/>
    <w:rsid w:val="004B699B"/>
    <w:rsid w:val="004B7B7E"/>
    <w:rsid w:val="004C062E"/>
    <w:rsid w:val="004C0AE4"/>
    <w:rsid w:val="004C0E51"/>
    <w:rsid w:val="004C319D"/>
    <w:rsid w:val="004C37B5"/>
    <w:rsid w:val="004C3ADF"/>
    <w:rsid w:val="004C3DCE"/>
    <w:rsid w:val="004C40AD"/>
    <w:rsid w:val="004C5010"/>
    <w:rsid w:val="004C65CD"/>
    <w:rsid w:val="004C752B"/>
    <w:rsid w:val="004D0C65"/>
    <w:rsid w:val="004D0D90"/>
    <w:rsid w:val="004D164F"/>
    <w:rsid w:val="004D195E"/>
    <w:rsid w:val="004D19AE"/>
    <w:rsid w:val="004D1AA2"/>
    <w:rsid w:val="004D26EB"/>
    <w:rsid w:val="004D2967"/>
    <w:rsid w:val="004D3F5C"/>
    <w:rsid w:val="004D4465"/>
    <w:rsid w:val="004D576A"/>
    <w:rsid w:val="004D673E"/>
    <w:rsid w:val="004D77D9"/>
    <w:rsid w:val="004D7FC6"/>
    <w:rsid w:val="004E0A67"/>
    <w:rsid w:val="004E2B88"/>
    <w:rsid w:val="004E3742"/>
    <w:rsid w:val="004E3AD2"/>
    <w:rsid w:val="004E5BF4"/>
    <w:rsid w:val="004E60F0"/>
    <w:rsid w:val="004E6B65"/>
    <w:rsid w:val="004E735E"/>
    <w:rsid w:val="004F011B"/>
    <w:rsid w:val="004F02EC"/>
    <w:rsid w:val="004F0D0A"/>
    <w:rsid w:val="004F23B7"/>
    <w:rsid w:val="004F2AE3"/>
    <w:rsid w:val="004F31C5"/>
    <w:rsid w:val="004F5D88"/>
    <w:rsid w:val="004F5EFC"/>
    <w:rsid w:val="00500D68"/>
    <w:rsid w:val="0050104B"/>
    <w:rsid w:val="0050122E"/>
    <w:rsid w:val="00502BD8"/>
    <w:rsid w:val="00505FEC"/>
    <w:rsid w:val="00506E68"/>
    <w:rsid w:val="00507C04"/>
    <w:rsid w:val="00510394"/>
    <w:rsid w:val="00510752"/>
    <w:rsid w:val="00510A93"/>
    <w:rsid w:val="00512239"/>
    <w:rsid w:val="005123DC"/>
    <w:rsid w:val="005142B4"/>
    <w:rsid w:val="00514A27"/>
    <w:rsid w:val="0051510C"/>
    <w:rsid w:val="005153F1"/>
    <w:rsid w:val="00515AF7"/>
    <w:rsid w:val="00516E2E"/>
    <w:rsid w:val="00517222"/>
    <w:rsid w:val="005203B1"/>
    <w:rsid w:val="005209FD"/>
    <w:rsid w:val="00520ADA"/>
    <w:rsid w:val="00522E19"/>
    <w:rsid w:val="0052309B"/>
    <w:rsid w:val="00523D61"/>
    <w:rsid w:val="005248A2"/>
    <w:rsid w:val="00525EFD"/>
    <w:rsid w:val="00526A89"/>
    <w:rsid w:val="00526DA9"/>
    <w:rsid w:val="005270D8"/>
    <w:rsid w:val="00530287"/>
    <w:rsid w:val="0053114D"/>
    <w:rsid w:val="00531D7A"/>
    <w:rsid w:val="00532112"/>
    <w:rsid w:val="005348BA"/>
    <w:rsid w:val="005353E3"/>
    <w:rsid w:val="00535406"/>
    <w:rsid w:val="00535454"/>
    <w:rsid w:val="0053549A"/>
    <w:rsid w:val="005357ED"/>
    <w:rsid w:val="00535FC8"/>
    <w:rsid w:val="00536AFB"/>
    <w:rsid w:val="0054202C"/>
    <w:rsid w:val="00543B1D"/>
    <w:rsid w:val="00544A53"/>
    <w:rsid w:val="00553862"/>
    <w:rsid w:val="00555D69"/>
    <w:rsid w:val="0055603B"/>
    <w:rsid w:val="00557146"/>
    <w:rsid w:val="00557D33"/>
    <w:rsid w:val="00557ED9"/>
    <w:rsid w:val="0056032A"/>
    <w:rsid w:val="00560421"/>
    <w:rsid w:val="005612EF"/>
    <w:rsid w:val="005620DC"/>
    <w:rsid w:val="00563416"/>
    <w:rsid w:val="00563759"/>
    <w:rsid w:val="00564341"/>
    <w:rsid w:val="005646E1"/>
    <w:rsid w:val="0056512B"/>
    <w:rsid w:val="005655D2"/>
    <w:rsid w:val="00565BE0"/>
    <w:rsid w:val="00566FDD"/>
    <w:rsid w:val="00567F32"/>
    <w:rsid w:val="005724B7"/>
    <w:rsid w:val="00572533"/>
    <w:rsid w:val="005735C2"/>
    <w:rsid w:val="00575056"/>
    <w:rsid w:val="005756EB"/>
    <w:rsid w:val="005766A0"/>
    <w:rsid w:val="00586625"/>
    <w:rsid w:val="00586B93"/>
    <w:rsid w:val="00586D41"/>
    <w:rsid w:val="00587083"/>
    <w:rsid w:val="0059025D"/>
    <w:rsid w:val="0059055E"/>
    <w:rsid w:val="00590F7A"/>
    <w:rsid w:val="005910F7"/>
    <w:rsid w:val="00591386"/>
    <w:rsid w:val="00592E0F"/>
    <w:rsid w:val="00593EDC"/>
    <w:rsid w:val="0059491C"/>
    <w:rsid w:val="00594BDC"/>
    <w:rsid w:val="005958CA"/>
    <w:rsid w:val="00596B9B"/>
    <w:rsid w:val="00596FBE"/>
    <w:rsid w:val="005A1875"/>
    <w:rsid w:val="005A1D8A"/>
    <w:rsid w:val="005A2252"/>
    <w:rsid w:val="005A3AD1"/>
    <w:rsid w:val="005A5140"/>
    <w:rsid w:val="005A6AA4"/>
    <w:rsid w:val="005A6ADA"/>
    <w:rsid w:val="005A7079"/>
    <w:rsid w:val="005A7772"/>
    <w:rsid w:val="005B04CB"/>
    <w:rsid w:val="005B3DDC"/>
    <w:rsid w:val="005B400C"/>
    <w:rsid w:val="005B4C07"/>
    <w:rsid w:val="005B5FD0"/>
    <w:rsid w:val="005B63EE"/>
    <w:rsid w:val="005B66C1"/>
    <w:rsid w:val="005B68BA"/>
    <w:rsid w:val="005B6B82"/>
    <w:rsid w:val="005B728C"/>
    <w:rsid w:val="005B7360"/>
    <w:rsid w:val="005B759C"/>
    <w:rsid w:val="005B7FF6"/>
    <w:rsid w:val="005C02B5"/>
    <w:rsid w:val="005C0835"/>
    <w:rsid w:val="005C1FFE"/>
    <w:rsid w:val="005C3A12"/>
    <w:rsid w:val="005C46B0"/>
    <w:rsid w:val="005C4939"/>
    <w:rsid w:val="005C5356"/>
    <w:rsid w:val="005C72D5"/>
    <w:rsid w:val="005C785B"/>
    <w:rsid w:val="005C7EB0"/>
    <w:rsid w:val="005D0AEC"/>
    <w:rsid w:val="005D14F0"/>
    <w:rsid w:val="005D253F"/>
    <w:rsid w:val="005D2BFF"/>
    <w:rsid w:val="005D32B3"/>
    <w:rsid w:val="005D356B"/>
    <w:rsid w:val="005D50E2"/>
    <w:rsid w:val="005D7BE1"/>
    <w:rsid w:val="005E0584"/>
    <w:rsid w:val="005E083E"/>
    <w:rsid w:val="005E1487"/>
    <w:rsid w:val="005E16E7"/>
    <w:rsid w:val="005E1763"/>
    <w:rsid w:val="005E1889"/>
    <w:rsid w:val="005E1B86"/>
    <w:rsid w:val="005E1E37"/>
    <w:rsid w:val="005E2AE5"/>
    <w:rsid w:val="005E2DF1"/>
    <w:rsid w:val="005E3004"/>
    <w:rsid w:val="005E3AC3"/>
    <w:rsid w:val="005E5B2D"/>
    <w:rsid w:val="005F0BD7"/>
    <w:rsid w:val="005F11DC"/>
    <w:rsid w:val="005F3733"/>
    <w:rsid w:val="005F5EDB"/>
    <w:rsid w:val="005F64BD"/>
    <w:rsid w:val="005F6A45"/>
    <w:rsid w:val="005F6F48"/>
    <w:rsid w:val="0060067D"/>
    <w:rsid w:val="00600F25"/>
    <w:rsid w:val="006013CF"/>
    <w:rsid w:val="0060337B"/>
    <w:rsid w:val="006047F8"/>
    <w:rsid w:val="00604C65"/>
    <w:rsid w:val="006053D4"/>
    <w:rsid w:val="006060D2"/>
    <w:rsid w:val="00606A01"/>
    <w:rsid w:val="00610CE5"/>
    <w:rsid w:val="00610E5C"/>
    <w:rsid w:val="00613348"/>
    <w:rsid w:val="006157E2"/>
    <w:rsid w:val="00617034"/>
    <w:rsid w:val="00617F36"/>
    <w:rsid w:val="006201EE"/>
    <w:rsid w:val="00620819"/>
    <w:rsid w:val="006214D6"/>
    <w:rsid w:val="0062462E"/>
    <w:rsid w:val="00624799"/>
    <w:rsid w:val="00625967"/>
    <w:rsid w:val="0062771E"/>
    <w:rsid w:val="00631585"/>
    <w:rsid w:val="00631F01"/>
    <w:rsid w:val="0063284C"/>
    <w:rsid w:val="0063315F"/>
    <w:rsid w:val="006332B0"/>
    <w:rsid w:val="00633F27"/>
    <w:rsid w:val="006345B0"/>
    <w:rsid w:val="00637A71"/>
    <w:rsid w:val="00640781"/>
    <w:rsid w:val="00640FE0"/>
    <w:rsid w:val="00642005"/>
    <w:rsid w:val="00642E7D"/>
    <w:rsid w:val="0064370A"/>
    <w:rsid w:val="006453AF"/>
    <w:rsid w:val="006465B9"/>
    <w:rsid w:val="00646CC5"/>
    <w:rsid w:val="00647480"/>
    <w:rsid w:val="006504D7"/>
    <w:rsid w:val="00650594"/>
    <w:rsid w:val="0065112B"/>
    <w:rsid w:val="0065150C"/>
    <w:rsid w:val="00654EBB"/>
    <w:rsid w:val="00655CB6"/>
    <w:rsid w:val="00655E74"/>
    <w:rsid w:val="00656FB8"/>
    <w:rsid w:val="006570E5"/>
    <w:rsid w:val="00657F91"/>
    <w:rsid w:val="00660420"/>
    <w:rsid w:val="00660C66"/>
    <w:rsid w:val="00663D7D"/>
    <w:rsid w:val="00671067"/>
    <w:rsid w:val="006717F4"/>
    <w:rsid w:val="006740C2"/>
    <w:rsid w:val="006741C5"/>
    <w:rsid w:val="0067681D"/>
    <w:rsid w:val="00676B19"/>
    <w:rsid w:val="0068053B"/>
    <w:rsid w:val="00680821"/>
    <w:rsid w:val="0068342A"/>
    <w:rsid w:val="006845EB"/>
    <w:rsid w:val="006910D5"/>
    <w:rsid w:val="00691425"/>
    <w:rsid w:val="0069216D"/>
    <w:rsid w:val="00692822"/>
    <w:rsid w:val="0069343F"/>
    <w:rsid w:val="0069387D"/>
    <w:rsid w:val="00696D58"/>
    <w:rsid w:val="006972DF"/>
    <w:rsid w:val="006973AE"/>
    <w:rsid w:val="006A10EA"/>
    <w:rsid w:val="006A14C6"/>
    <w:rsid w:val="006A1AAC"/>
    <w:rsid w:val="006A1F73"/>
    <w:rsid w:val="006A2FF0"/>
    <w:rsid w:val="006A3490"/>
    <w:rsid w:val="006A3D02"/>
    <w:rsid w:val="006A3D0E"/>
    <w:rsid w:val="006A6455"/>
    <w:rsid w:val="006A7118"/>
    <w:rsid w:val="006B02BC"/>
    <w:rsid w:val="006B09D9"/>
    <w:rsid w:val="006B0E84"/>
    <w:rsid w:val="006B0EF7"/>
    <w:rsid w:val="006B1FB8"/>
    <w:rsid w:val="006B3C93"/>
    <w:rsid w:val="006B6875"/>
    <w:rsid w:val="006C295D"/>
    <w:rsid w:val="006C35D4"/>
    <w:rsid w:val="006C3998"/>
    <w:rsid w:val="006C475F"/>
    <w:rsid w:val="006C4F64"/>
    <w:rsid w:val="006C5E75"/>
    <w:rsid w:val="006C6CD4"/>
    <w:rsid w:val="006C79A2"/>
    <w:rsid w:val="006D443E"/>
    <w:rsid w:val="006D5263"/>
    <w:rsid w:val="006D565B"/>
    <w:rsid w:val="006D57AC"/>
    <w:rsid w:val="006D5850"/>
    <w:rsid w:val="006D649F"/>
    <w:rsid w:val="006E2D23"/>
    <w:rsid w:val="006E5473"/>
    <w:rsid w:val="006E570D"/>
    <w:rsid w:val="006E6DBF"/>
    <w:rsid w:val="006F1974"/>
    <w:rsid w:val="006F1E46"/>
    <w:rsid w:val="006F1E93"/>
    <w:rsid w:val="006F3B80"/>
    <w:rsid w:val="006F3D38"/>
    <w:rsid w:val="006F4457"/>
    <w:rsid w:val="006F59A4"/>
    <w:rsid w:val="006F61C6"/>
    <w:rsid w:val="006F6C5B"/>
    <w:rsid w:val="006F7C7E"/>
    <w:rsid w:val="0070139E"/>
    <w:rsid w:val="00703683"/>
    <w:rsid w:val="00704EDF"/>
    <w:rsid w:val="00710806"/>
    <w:rsid w:val="00712014"/>
    <w:rsid w:val="0071340D"/>
    <w:rsid w:val="0071455F"/>
    <w:rsid w:val="00714BBC"/>
    <w:rsid w:val="00715CE7"/>
    <w:rsid w:val="007225A0"/>
    <w:rsid w:val="007229BE"/>
    <w:rsid w:val="00725050"/>
    <w:rsid w:val="00726374"/>
    <w:rsid w:val="0072681E"/>
    <w:rsid w:val="00727B78"/>
    <w:rsid w:val="007306AA"/>
    <w:rsid w:val="007319A7"/>
    <w:rsid w:val="00731B3C"/>
    <w:rsid w:val="007336DC"/>
    <w:rsid w:val="00733EC2"/>
    <w:rsid w:val="00734974"/>
    <w:rsid w:val="00735723"/>
    <w:rsid w:val="00735F22"/>
    <w:rsid w:val="00736A61"/>
    <w:rsid w:val="007378DF"/>
    <w:rsid w:val="007407A2"/>
    <w:rsid w:val="00741631"/>
    <w:rsid w:val="00741F88"/>
    <w:rsid w:val="00743149"/>
    <w:rsid w:val="00743669"/>
    <w:rsid w:val="00743AB0"/>
    <w:rsid w:val="00744478"/>
    <w:rsid w:val="00745435"/>
    <w:rsid w:val="007454F9"/>
    <w:rsid w:val="007471F9"/>
    <w:rsid w:val="007512B1"/>
    <w:rsid w:val="00751409"/>
    <w:rsid w:val="0075165B"/>
    <w:rsid w:val="00751AF2"/>
    <w:rsid w:val="007525D0"/>
    <w:rsid w:val="0075366F"/>
    <w:rsid w:val="00753862"/>
    <w:rsid w:val="00754355"/>
    <w:rsid w:val="007562EE"/>
    <w:rsid w:val="007568AF"/>
    <w:rsid w:val="00756FEC"/>
    <w:rsid w:val="007601CA"/>
    <w:rsid w:val="007603F4"/>
    <w:rsid w:val="00761390"/>
    <w:rsid w:val="00762839"/>
    <w:rsid w:val="00762B8A"/>
    <w:rsid w:val="00763BA7"/>
    <w:rsid w:val="007644AD"/>
    <w:rsid w:val="007647C7"/>
    <w:rsid w:val="00764858"/>
    <w:rsid w:val="0077046B"/>
    <w:rsid w:val="00772949"/>
    <w:rsid w:val="00772C47"/>
    <w:rsid w:val="0077553D"/>
    <w:rsid w:val="00775A4B"/>
    <w:rsid w:val="00776D40"/>
    <w:rsid w:val="00777B60"/>
    <w:rsid w:val="00780C89"/>
    <w:rsid w:val="00780F48"/>
    <w:rsid w:val="00780F64"/>
    <w:rsid w:val="007813C1"/>
    <w:rsid w:val="007818C3"/>
    <w:rsid w:val="007845EF"/>
    <w:rsid w:val="00784979"/>
    <w:rsid w:val="0078572D"/>
    <w:rsid w:val="00786B4B"/>
    <w:rsid w:val="00786D1E"/>
    <w:rsid w:val="007876FA"/>
    <w:rsid w:val="0078793B"/>
    <w:rsid w:val="00791F59"/>
    <w:rsid w:val="00791FAE"/>
    <w:rsid w:val="0079209E"/>
    <w:rsid w:val="00792203"/>
    <w:rsid w:val="00794751"/>
    <w:rsid w:val="00795ABF"/>
    <w:rsid w:val="00796EC3"/>
    <w:rsid w:val="007974DB"/>
    <w:rsid w:val="00797781"/>
    <w:rsid w:val="00797AA6"/>
    <w:rsid w:val="00797E13"/>
    <w:rsid w:val="007A1C67"/>
    <w:rsid w:val="007A1DB4"/>
    <w:rsid w:val="007A2D4A"/>
    <w:rsid w:val="007A2EA6"/>
    <w:rsid w:val="007A3836"/>
    <w:rsid w:val="007A6F43"/>
    <w:rsid w:val="007B115E"/>
    <w:rsid w:val="007B31FB"/>
    <w:rsid w:val="007B3E3D"/>
    <w:rsid w:val="007B4BCE"/>
    <w:rsid w:val="007B50A9"/>
    <w:rsid w:val="007B5E1E"/>
    <w:rsid w:val="007B5F75"/>
    <w:rsid w:val="007B6A6F"/>
    <w:rsid w:val="007C1B20"/>
    <w:rsid w:val="007C200B"/>
    <w:rsid w:val="007C21FC"/>
    <w:rsid w:val="007C62B0"/>
    <w:rsid w:val="007D3197"/>
    <w:rsid w:val="007D374B"/>
    <w:rsid w:val="007D3917"/>
    <w:rsid w:val="007D3E80"/>
    <w:rsid w:val="007D4537"/>
    <w:rsid w:val="007D5671"/>
    <w:rsid w:val="007D5E7E"/>
    <w:rsid w:val="007D651B"/>
    <w:rsid w:val="007D6CEE"/>
    <w:rsid w:val="007D6F87"/>
    <w:rsid w:val="007E1141"/>
    <w:rsid w:val="007E223C"/>
    <w:rsid w:val="007E2EF7"/>
    <w:rsid w:val="007E4384"/>
    <w:rsid w:val="007E5697"/>
    <w:rsid w:val="007E6A3E"/>
    <w:rsid w:val="007E6C99"/>
    <w:rsid w:val="007F06C0"/>
    <w:rsid w:val="007F0A1D"/>
    <w:rsid w:val="007F1BE3"/>
    <w:rsid w:val="007F1CD9"/>
    <w:rsid w:val="007F1DE7"/>
    <w:rsid w:val="007F23E3"/>
    <w:rsid w:val="007F34EF"/>
    <w:rsid w:val="007F6D4A"/>
    <w:rsid w:val="007F7B2D"/>
    <w:rsid w:val="0080101B"/>
    <w:rsid w:val="00801D92"/>
    <w:rsid w:val="00802B7C"/>
    <w:rsid w:val="00803498"/>
    <w:rsid w:val="00804B4D"/>
    <w:rsid w:val="00804C53"/>
    <w:rsid w:val="008057AF"/>
    <w:rsid w:val="00806244"/>
    <w:rsid w:val="00807334"/>
    <w:rsid w:val="00807A3E"/>
    <w:rsid w:val="00810A0A"/>
    <w:rsid w:val="008118D1"/>
    <w:rsid w:val="0081268E"/>
    <w:rsid w:val="00812802"/>
    <w:rsid w:val="00812882"/>
    <w:rsid w:val="00812985"/>
    <w:rsid w:val="00812BAF"/>
    <w:rsid w:val="00817DCC"/>
    <w:rsid w:val="0082136C"/>
    <w:rsid w:val="00821A7D"/>
    <w:rsid w:val="00822307"/>
    <w:rsid w:val="0082282A"/>
    <w:rsid w:val="00823972"/>
    <w:rsid w:val="0082449D"/>
    <w:rsid w:val="008246F8"/>
    <w:rsid w:val="008249FE"/>
    <w:rsid w:val="00825955"/>
    <w:rsid w:val="00825CF3"/>
    <w:rsid w:val="008267C2"/>
    <w:rsid w:val="00827909"/>
    <w:rsid w:val="008279CB"/>
    <w:rsid w:val="00830DDC"/>
    <w:rsid w:val="00830FA0"/>
    <w:rsid w:val="00831892"/>
    <w:rsid w:val="00831CD5"/>
    <w:rsid w:val="00831E4B"/>
    <w:rsid w:val="00833E3A"/>
    <w:rsid w:val="0083510B"/>
    <w:rsid w:val="00837E88"/>
    <w:rsid w:val="00842130"/>
    <w:rsid w:val="00843044"/>
    <w:rsid w:val="00843531"/>
    <w:rsid w:val="00843AAF"/>
    <w:rsid w:val="00843DE5"/>
    <w:rsid w:val="008451DB"/>
    <w:rsid w:val="00845F76"/>
    <w:rsid w:val="00847AAE"/>
    <w:rsid w:val="008520C1"/>
    <w:rsid w:val="00852C91"/>
    <w:rsid w:val="0085412B"/>
    <w:rsid w:val="00856796"/>
    <w:rsid w:val="0085792F"/>
    <w:rsid w:val="00857A2A"/>
    <w:rsid w:val="008603AF"/>
    <w:rsid w:val="0086206A"/>
    <w:rsid w:val="0086265F"/>
    <w:rsid w:val="008630A3"/>
    <w:rsid w:val="008706FF"/>
    <w:rsid w:val="00870FC6"/>
    <w:rsid w:val="00871E7D"/>
    <w:rsid w:val="008729AE"/>
    <w:rsid w:val="00873B07"/>
    <w:rsid w:val="0087503E"/>
    <w:rsid w:val="00875054"/>
    <w:rsid w:val="00875640"/>
    <w:rsid w:val="00875768"/>
    <w:rsid w:val="00876E7E"/>
    <w:rsid w:val="0087743B"/>
    <w:rsid w:val="00880977"/>
    <w:rsid w:val="00883778"/>
    <w:rsid w:val="008841D9"/>
    <w:rsid w:val="00884A7A"/>
    <w:rsid w:val="0088679F"/>
    <w:rsid w:val="00887331"/>
    <w:rsid w:val="008874AA"/>
    <w:rsid w:val="00890166"/>
    <w:rsid w:val="0089131C"/>
    <w:rsid w:val="00891D5D"/>
    <w:rsid w:val="0089334A"/>
    <w:rsid w:val="00893B52"/>
    <w:rsid w:val="008941F7"/>
    <w:rsid w:val="00895B9E"/>
    <w:rsid w:val="008A071C"/>
    <w:rsid w:val="008A4C26"/>
    <w:rsid w:val="008B0188"/>
    <w:rsid w:val="008B2252"/>
    <w:rsid w:val="008B35BF"/>
    <w:rsid w:val="008B4B97"/>
    <w:rsid w:val="008B519C"/>
    <w:rsid w:val="008B6730"/>
    <w:rsid w:val="008C14AF"/>
    <w:rsid w:val="008C15CA"/>
    <w:rsid w:val="008C40E6"/>
    <w:rsid w:val="008C7716"/>
    <w:rsid w:val="008C7F55"/>
    <w:rsid w:val="008D1760"/>
    <w:rsid w:val="008D23AE"/>
    <w:rsid w:val="008D2DCD"/>
    <w:rsid w:val="008D5353"/>
    <w:rsid w:val="008D5701"/>
    <w:rsid w:val="008D5898"/>
    <w:rsid w:val="008D5A1D"/>
    <w:rsid w:val="008D5D48"/>
    <w:rsid w:val="008D6678"/>
    <w:rsid w:val="008D6E76"/>
    <w:rsid w:val="008D7A66"/>
    <w:rsid w:val="008E11FC"/>
    <w:rsid w:val="008E2675"/>
    <w:rsid w:val="008E2C11"/>
    <w:rsid w:val="008E2E44"/>
    <w:rsid w:val="008E39A0"/>
    <w:rsid w:val="008E3B2F"/>
    <w:rsid w:val="008E3DFC"/>
    <w:rsid w:val="008E3FD3"/>
    <w:rsid w:val="008E6FD0"/>
    <w:rsid w:val="008E75C0"/>
    <w:rsid w:val="008E773D"/>
    <w:rsid w:val="008E77A7"/>
    <w:rsid w:val="008E797F"/>
    <w:rsid w:val="008F0BB7"/>
    <w:rsid w:val="008F48FC"/>
    <w:rsid w:val="008F5CEB"/>
    <w:rsid w:val="008F7478"/>
    <w:rsid w:val="00900A19"/>
    <w:rsid w:val="00902DF7"/>
    <w:rsid w:val="00905147"/>
    <w:rsid w:val="00905F77"/>
    <w:rsid w:val="00906DE0"/>
    <w:rsid w:val="00911CB7"/>
    <w:rsid w:val="009123C5"/>
    <w:rsid w:val="00913511"/>
    <w:rsid w:val="0091549B"/>
    <w:rsid w:val="00916437"/>
    <w:rsid w:val="009164FE"/>
    <w:rsid w:val="00917C4A"/>
    <w:rsid w:val="00920F6B"/>
    <w:rsid w:val="0092114B"/>
    <w:rsid w:val="009220A2"/>
    <w:rsid w:val="009222BB"/>
    <w:rsid w:val="00922445"/>
    <w:rsid w:val="009225E2"/>
    <w:rsid w:val="00925CBB"/>
    <w:rsid w:val="00927390"/>
    <w:rsid w:val="00927601"/>
    <w:rsid w:val="00927B52"/>
    <w:rsid w:val="009300C2"/>
    <w:rsid w:val="00930124"/>
    <w:rsid w:val="00932C03"/>
    <w:rsid w:val="00932E22"/>
    <w:rsid w:val="00932E89"/>
    <w:rsid w:val="0093429C"/>
    <w:rsid w:val="00934405"/>
    <w:rsid w:val="00936870"/>
    <w:rsid w:val="0094395F"/>
    <w:rsid w:val="00943D3A"/>
    <w:rsid w:val="0094421D"/>
    <w:rsid w:val="0094531F"/>
    <w:rsid w:val="00945EA0"/>
    <w:rsid w:val="00947664"/>
    <w:rsid w:val="00947E36"/>
    <w:rsid w:val="009514BC"/>
    <w:rsid w:val="0095342A"/>
    <w:rsid w:val="009537A8"/>
    <w:rsid w:val="0095512D"/>
    <w:rsid w:val="00955746"/>
    <w:rsid w:val="0095743D"/>
    <w:rsid w:val="00962246"/>
    <w:rsid w:val="0096239B"/>
    <w:rsid w:val="00962E6C"/>
    <w:rsid w:val="00963656"/>
    <w:rsid w:val="009639BA"/>
    <w:rsid w:val="00963FF7"/>
    <w:rsid w:val="009658CD"/>
    <w:rsid w:val="009665D9"/>
    <w:rsid w:val="00966A90"/>
    <w:rsid w:val="0096797F"/>
    <w:rsid w:val="009706F8"/>
    <w:rsid w:val="00970A44"/>
    <w:rsid w:val="00971556"/>
    <w:rsid w:val="00971959"/>
    <w:rsid w:val="009719EC"/>
    <w:rsid w:val="00971B7E"/>
    <w:rsid w:val="00974786"/>
    <w:rsid w:val="009751AC"/>
    <w:rsid w:val="00976D27"/>
    <w:rsid w:val="009774CA"/>
    <w:rsid w:val="00977895"/>
    <w:rsid w:val="00977F27"/>
    <w:rsid w:val="00977FAD"/>
    <w:rsid w:val="0098035F"/>
    <w:rsid w:val="00980615"/>
    <w:rsid w:val="009811EB"/>
    <w:rsid w:val="00981243"/>
    <w:rsid w:val="009825BE"/>
    <w:rsid w:val="00983887"/>
    <w:rsid w:val="009840AD"/>
    <w:rsid w:val="0099027E"/>
    <w:rsid w:val="0099120B"/>
    <w:rsid w:val="009930D6"/>
    <w:rsid w:val="009938D6"/>
    <w:rsid w:val="00995ABF"/>
    <w:rsid w:val="00995EB9"/>
    <w:rsid w:val="00996107"/>
    <w:rsid w:val="00997138"/>
    <w:rsid w:val="009A1AA6"/>
    <w:rsid w:val="009A1BEA"/>
    <w:rsid w:val="009A2399"/>
    <w:rsid w:val="009A4A68"/>
    <w:rsid w:val="009A59E4"/>
    <w:rsid w:val="009A5EB1"/>
    <w:rsid w:val="009A7148"/>
    <w:rsid w:val="009A7E1C"/>
    <w:rsid w:val="009B28F8"/>
    <w:rsid w:val="009B68B3"/>
    <w:rsid w:val="009B729E"/>
    <w:rsid w:val="009B7D94"/>
    <w:rsid w:val="009C08B4"/>
    <w:rsid w:val="009C08EF"/>
    <w:rsid w:val="009C263C"/>
    <w:rsid w:val="009C3643"/>
    <w:rsid w:val="009C477A"/>
    <w:rsid w:val="009C488D"/>
    <w:rsid w:val="009C4A44"/>
    <w:rsid w:val="009C74A5"/>
    <w:rsid w:val="009D16CE"/>
    <w:rsid w:val="009D5D22"/>
    <w:rsid w:val="009D5F8F"/>
    <w:rsid w:val="009D6E8B"/>
    <w:rsid w:val="009D7490"/>
    <w:rsid w:val="009D7532"/>
    <w:rsid w:val="009D760D"/>
    <w:rsid w:val="009E068C"/>
    <w:rsid w:val="009E0943"/>
    <w:rsid w:val="009E190C"/>
    <w:rsid w:val="009E1A76"/>
    <w:rsid w:val="009E1F27"/>
    <w:rsid w:val="009E3074"/>
    <w:rsid w:val="009E496C"/>
    <w:rsid w:val="009E5167"/>
    <w:rsid w:val="009E571E"/>
    <w:rsid w:val="009E5996"/>
    <w:rsid w:val="009E5C6F"/>
    <w:rsid w:val="009E6D9C"/>
    <w:rsid w:val="009E7146"/>
    <w:rsid w:val="009F090D"/>
    <w:rsid w:val="009F1F87"/>
    <w:rsid w:val="009F2375"/>
    <w:rsid w:val="009F35B7"/>
    <w:rsid w:val="009F47D5"/>
    <w:rsid w:val="009F4AEB"/>
    <w:rsid w:val="009F68FD"/>
    <w:rsid w:val="009F7016"/>
    <w:rsid w:val="009F71B5"/>
    <w:rsid w:val="009F7B08"/>
    <w:rsid w:val="00A01463"/>
    <w:rsid w:val="00A014A4"/>
    <w:rsid w:val="00A01949"/>
    <w:rsid w:val="00A01AFA"/>
    <w:rsid w:val="00A01DA4"/>
    <w:rsid w:val="00A0284A"/>
    <w:rsid w:val="00A0478C"/>
    <w:rsid w:val="00A05059"/>
    <w:rsid w:val="00A05713"/>
    <w:rsid w:val="00A05AF6"/>
    <w:rsid w:val="00A10A2D"/>
    <w:rsid w:val="00A11CC0"/>
    <w:rsid w:val="00A134B9"/>
    <w:rsid w:val="00A13C42"/>
    <w:rsid w:val="00A14753"/>
    <w:rsid w:val="00A14D12"/>
    <w:rsid w:val="00A150CD"/>
    <w:rsid w:val="00A158AC"/>
    <w:rsid w:val="00A15978"/>
    <w:rsid w:val="00A15A5C"/>
    <w:rsid w:val="00A160FE"/>
    <w:rsid w:val="00A16B9D"/>
    <w:rsid w:val="00A17D42"/>
    <w:rsid w:val="00A20F49"/>
    <w:rsid w:val="00A22033"/>
    <w:rsid w:val="00A22A73"/>
    <w:rsid w:val="00A23691"/>
    <w:rsid w:val="00A24C68"/>
    <w:rsid w:val="00A25750"/>
    <w:rsid w:val="00A25E8C"/>
    <w:rsid w:val="00A265FE"/>
    <w:rsid w:val="00A26E5D"/>
    <w:rsid w:val="00A2744B"/>
    <w:rsid w:val="00A27D35"/>
    <w:rsid w:val="00A3032C"/>
    <w:rsid w:val="00A31EC4"/>
    <w:rsid w:val="00A32015"/>
    <w:rsid w:val="00A3238F"/>
    <w:rsid w:val="00A327C9"/>
    <w:rsid w:val="00A334C7"/>
    <w:rsid w:val="00A34116"/>
    <w:rsid w:val="00A368E2"/>
    <w:rsid w:val="00A36CDF"/>
    <w:rsid w:val="00A36F5B"/>
    <w:rsid w:val="00A3773F"/>
    <w:rsid w:val="00A37AA7"/>
    <w:rsid w:val="00A40C64"/>
    <w:rsid w:val="00A40E0B"/>
    <w:rsid w:val="00A42DAB"/>
    <w:rsid w:val="00A44946"/>
    <w:rsid w:val="00A45DC1"/>
    <w:rsid w:val="00A46DC7"/>
    <w:rsid w:val="00A47F31"/>
    <w:rsid w:val="00A5193E"/>
    <w:rsid w:val="00A5405A"/>
    <w:rsid w:val="00A54F4D"/>
    <w:rsid w:val="00A56318"/>
    <w:rsid w:val="00A573DA"/>
    <w:rsid w:val="00A57F42"/>
    <w:rsid w:val="00A60FEC"/>
    <w:rsid w:val="00A61494"/>
    <w:rsid w:val="00A618F2"/>
    <w:rsid w:val="00A61B48"/>
    <w:rsid w:val="00A61B7F"/>
    <w:rsid w:val="00A61ED6"/>
    <w:rsid w:val="00A61F4E"/>
    <w:rsid w:val="00A62F1A"/>
    <w:rsid w:val="00A64F9B"/>
    <w:rsid w:val="00A65878"/>
    <w:rsid w:val="00A65CD8"/>
    <w:rsid w:val="00A705B6"/>
    <w:rsid w:val="00A710CC"/>
    <w:rsid w:val="00A72033"/>
    <w:rsid w:val="00A72169"/>
    <w:rsid w:val="00A723CB"/>
    <w:rsid w:val="00A7442D"/>
    <w:rsid w:val="00A760F9"/>
    <w:rsid w:val="00A772F2"/>
    <w:rsid w:val="00A80217"/>
    <w:rsid w:val="00A80A94"/>
    <w:rsid w:val="00A82EDF"/>
    <w:rsid w:val="00A84247"/>
    <w:rsid w:val="00A845A0"/>
    <w:rsid w:val="00A84DBE"/>
    <w:rsid w:val="00A8765B"/>
    <w:rsid w:val="00A90DF8"/>
    <w:rsid w:val="00A91B17"/>
    <w:rsid w:val="00A93B96"/>
    <w:rsid w:val="00A975CB"/>
    <w:rsid w:val="00AA01F3"/>
    <w:rsid w:val="00AA682E"/>
    <w:rsid w:val="00AA782F"/>
    <w:rsid w:val="00AB0ED8"/>
    <w:rsid w:val="00AB4FCF"/>
    <w:rsid w:val="00AB6223"/>
    <w:rsid w:val="00AC044C"/>
    <w:rsid w:val="00AC0478"/>
    <w:rsid w:val="00AC0C4F"/>
    <w:rsid w:val="00AC1E82"/>
    <w:rsid w:val="00AC27BB"/>
    <w:rsid w:val="00AC31DD"/>
    <w:rsid w:val="00AC3287"/>
    <w:rsid w:val="00AC3CB1"/>
    <w:rsid w:val="00AC6751"/>
    <w:rsid w:val="00AC735C"/>
    <w:rsid w:val="00AC7B04"/>
    <w:rsid w:val="00AD01AD"/>
    <w:rsid w:val="00AD1A0F"/>
    <w:rsid w:val="00AD1E46"/>
    <w:rsid w:val="00AD2F03"/>
    <w:rsid w:val="00AD3E54"/>
    <w:rsid w:val="00AD40C4"/>
    <w:rsid w:val="00AD441D"/>
    <w:rsid w:val="00AD45D8"/>
    <w:rsid w:val="00AD628D"/>
    <w:rsid w:val="00AE05F2"/>
    <w:rsid w:val="00AE0CB0"/>
    <w:rsid w:val="00AE4813"/>
    <w:rsid w:val="00AE592C"/>
    <w:rsid w:val="00AE631E"/>
    <w:rsid w:val="00AF0B8D"/>
    <w:rsid w:val="00AF187D"/>
    <w:rsid w:val="00AF19B6"/>
    <w:rsid w:val="00AF4A13"/>
    <w:rsid w:val="00AF5ABB"/>
    <w:rsid w:val="00AF622C"/>
    <w:rsid w:val="00AF6C42"/>
    <w:rsid w:val="00AF6F77"/>
    <w:rsid w:val="00AF7795"/>
    <w:rsid w:val="00AF7835"/>
    <w:rsid w:val="00B01112"/>
    <w:rsid w:val="00B05B34"/>
    <w:rsid w:val="00B061F6"/>
    <w:rsid w:val="00B0784A"/>
    <w:rsid w:val="00B108DF"/>
    <w:rsid w:val="00B11EC5"/>
    <w:rsid w:val="00B1301A"/>
    <w:rsid w:val="00B133B1"/>
    <w:rsid w:val="00B1404F"/>
    <w:rsid w:val="00B14DE7"/>
    <w:rsid w:val="00B1536A"/>
    <w:rsid w:val="00B1542F"/>
    <w:rsid w:val="00B16FE8"/>
    <w:rsid w:val="00B17420"/>
    <w:rsid w:val="00B17913"/>
    <w:rsid w:val="00B17D99"/>
    <w:rsid w:val="00B20359"/>
    <w:rsid w:val="00B207FE"/>
    <w:rsid w:val="00B2087D"/>
    <w:rsid w:val="00B216EC"/>
    <w:rsid w:val="00B21729"/>
    <w:rsid w:val="00B23176"/>
    <w:rsid w:val="00B2334C"/>
    <w:rsid w:val="00B244FD"/>
    <w:rsid w:val="00B25D86"/>
    <w:rsid w:val="00B31B52"/>
    <w:rsid w:val="00B31FC0"/>
    <w:rsid w:val="00B33B4F"/>
    <w:rsid w:val="00B357A8"/>
    <w:rsid w:val="00B3580E"/>
    <w:rsid w:val="00B366EF"/>
    <w:rsid w:val="00B369EB"/>
    <w:rsid w:val="00B374E6"/>
    <w:rsid w:val="00B3777A"/>
    <w:rsid w:val="00B4078D"/>
    <w:rsid w:val="00B41AED"/>
    <w:rsid w:val="00B43675"/>
    <w:rsid w:val="00B4398E"/>
    <w:rsid w:val="00B44350"/>
    <w:rsid w:val="00B44E6F"/>
    <w:rsid w:val="00B45188"/>
    <w:rsid w:val="00B46FC5"/>
    <w:rsid w:val="00B50A12"/>
    <w:rsid w:val="00B53349"/>
    <w:rsid w:val="00B541D2"/>
    <w:rsid w:val="00B55594"/>
    <w:rsid w:val="00B57276"/>
    <w:rsid w:val="00B60F8A"/>
    <w:rsid w:val="00B61133"/>
    <w:rsid w:val="00B62E99"/>
    <w:rsid w:val="00B6410F"/>
    <w:rsid w:val="00B65863"/>
    <w:rsid w:val="00B6677F"/>
    <w:rsid w:val="00B71761"/>
    <w:rsid w:val="00B74441"/>
    <w:rsid w:val="00B75139"/>
    <w:rsid w:val="00B75603"/>
    <w:rsid w:val="00B75AE2"/>
    <w:rsid w:val="00B76E00"/>
    <w:rsid w:val="00B80B1F"/>
    <w:rsid w:val="00B80E18"/>
    <w:rsid w:val="00B80E5A"/>
    <w:rsid w:val="00B81DB2"/>
    <w:rsid w:val="00B836C1"/>
    <w:rsid w:val="00B84052"/>
    <w:rsid w:val="00B85B8D"/>
    <w:rsid w:val="00B86A0F"/>
    <w:rsid w:val="00B86A98"/>
    <w:rsid w:val="00B910EC"/>
    <w:rsid w:val="00B935E6"/>
    <w:rsid w:val="00B93EDA"/>
    <w:rsid w:val="00B94457"/>
    <w:rsid w:val="00B96EB5"/>
    <w:rsid w:val="00B97013"/>
    <w:rsid w:val="00B977BF"/>
    <w:rsid w:val="00BA3652"/>
    <w:rsid w:val="00BA457D"/>
    <w:rsid w:val="00BA67C0"/>
    <w:rsid w:val="00BB0E9F"/>
    <w:rsid w:val="00BB2A97"/>
    <w:rsid w:val="00BB2FFE"/>
    <w:rsid w:val="00BB3AFF"/>
    <w:rsid w:val="00BB4586"/>
    <w:rsid w:val="00BB507B"/>
    <w:rsid w:val="00BB54AF"/>
    <w:rsid w:val="00BB54C1"/>
    <w:rsid w:val="00BB5534"/>
    <w:rsid w:val="00BB555F"/>
    <w:rsid w:val="00BB55E2"/>
    <w:rsid w:val="00BB5DF5"/>
    <w:rsid w:val="00BB62D8"/>
    <w:rsid w:val="00BB65FD"/>
    <w:rsid w:val="00BB6C6F"/>
    <w:rsid w:val="00BC0CB4"/>
    <w:rsid w:val="00BC0CE2"/>
    <w:rsid w:val="00BC145C"/>
    <w:rsid w:val="00BC281A"/>
    <w:rsid w:val="00BC4FB1"/>
    <w:rsid w:val="00BC681E"/>
    <w:rsid w:val="00BC6D85"/>
    <w:rsid w:val="00BD14B6"/>
    <w:rsid w:val="00BD1C2E"/>
    <w:rsid w:val="00BD36F6"/>
    <w:rsid w:val="00BD3755"/>
    <w:rsid w:val="00BD5192"/>
    <w:rsid w:val="00BD557F"/>
    <w:rsid w:val="00BD6B36"/>
    <w:rsid w:val="00BE12A9"/>
    <w:rsid w:val="00BE1C42"/>
    <w:rsid w:val="00BE20D3"/>
    <w:rsid w:val="00BE259D"/>
    <w:rsid w:val="00BE2C66"/>
    <w:rsid w:val="00BE2F64"/>
    <w:rsid w:val="00BE65B0"/>
    <w:rsid w:val="00BE6E84"/>
    <w:rsid w:val="00BF2419"/>
    <w:rsid w:val="00BF2AD7"/>
    <w:rsid w:val="00BF2AF5"/>
    <w:rsid w:val="00BF2D51"/>
    <w:rsid w:val="00BF417F"/>
    <w:rsid w:val="00BF4FCB"/>
    <w:rsid w:val="00BF5558"/>
    <w:rsid w:val="00BF56C5"/>
    <w:rsid w:val="00BF6B78"/>
    <w:rsid w:val="00BF7BD3"/>
    <w:rsid w:val="00C00ED7"/>
    <w:rsid w:val="00C01BC4"/>
    <w:rsid w:val="00C01F85"/>
    <w:rsid w:val="00C02FAD"/>
    <w:rsid w:val="00C04BA0"/>
    <w:rsid w:val="00C06DD5"/>
    <w:rsid w:val="00C110BD"/>
    <w:rsid w:val="00C11367"/>
    <w:rsid w:val="00C11C74"/>
    <w:rsid w:val="00C12049"/>
    <w:rsid w:val="00C13639"/>
    <w:rsid w:val="00C14E1C"/>
    <w:rsid w:val="00C15988"/>
    <w:rsid w:val="00C21CDD"/>
    <w:rsid w:val="00C2269E"/>
    <w:rsid w:val="00C23DE2"/>
    <w:rsid w:val="00C23E6E"/>
    <w:rsid w:val="00C2552E"/>
    <w:rsid w:val="00C26AEB"/>
    <w:rsid w:val="00C27EC2"/>
    <w:rsid w:val="00C304B2"/>
    <w:rsid w:val="00C32BD4"/>
    <w:rsid w:val="00C33318"/>
    <w:rsid w:val="00C34E3A"/>
    <w:rsid w:val="00C34EED"/>
    <w:rsid w:val="00C3564C"/>
    <w:rsid w:val="00C3591A"/>
    <w:rsid w:val="00C374AF"/>
    <w:rsid w:val="00C37A86"/>
    <w:rsid w:val="00C37BAF"/>
    <w:rsid w:val="00C37D90"/>
    <w:rsid w:val="00C4164B"/>
    <w:rsid w:val="00C42198"/>
    <w:rsid w:val="00C42545"/>
    <w:rsid w:val="00C42D50"/>
    <w:rsid w:val="00C43845"/>
    <w:rsid w:val="00C43ACA"/>
    <w:rsid w:val="00C45197"/>
    <w:rsid w:val="00C457AD"/>
    <w:rsid w:val="00C45C73"/>
    <w:rsid w:val="00C45FF6"/>
    <w:rsid w:val="00C47048"/>
    <w:rsid w:val="00C5010B"/>
    <w:rsid w:val="00C538EE"/>
    <w:rsid w:val="00C554E1"/>
    <w:rsid w:val="00C57CC5"/>
    <w:rsid w:val="00C61544"/>
    <w:rsid w:val="00C61655"/>
    <w:rsid w:val="00C61A1C"/>
    <w:rsid w:val="00C64330"/>
    <w:rsid w:val="00C6464C"/>
    <w:rsid w:val="00C6468D"/>
    <w:rsid w:val="00C64D30"/>
    <w:rsid w:val="00C64DA3"/>
    <w:rsid w:val="00C66FD1"/>
    <w:rsid w:val="00C67061"/>
    <w:rsid w:val="00C70051"/>
    <w:rsid w:val="00C730ED"/>
    <w:rsid w:val="00C7496F"/>
    <w:rsid w:val="00C7589C"/>
    <w:rsid w:val="00C76384"/>
    <w:rsid w:val="00C76BC7"/>
    <w:rsid w:val="00C77685"/>
    <w:rsid w:val="00C80B1B"/>
    <w:rsid w:val="00C8158D"/>
    <w:rsid w:val="00C81A41"/>
    <w:rsid w:val="00C82F51"/>
    <w:rsid w:val="00C838FA"/>
    <w:rsid w:val="00C846E4"/>
    <w:rsid w:val="00C862A8"/>
    <w:rsid w:val="00C86F54"/>
    <w:rsid w:val="00C8713C"/>
    <w:rsid w:val="00C871CE"/>
    <w:rsid w:val="00C9083D"/>
    <w:rsid w:val="00C92579"/>
    <w:rsid w:val="00C95857"/>
    <w:rsid w:val="00C95F0A"/>
    <w:rsid w:val="00C9709E"/>
    <w:rsid w:val="00CA0B5A"/>
    <w:rsid w:val="00CA0CEC"/>
    <w:rsid w:val="00CA1F71"/>
    <w:rsid w:val="00CA34DF"/>
    <w:rsid w:val="00CA4A6C"/>
    <w:rsid w:val="00CA7119"/>
    <w:rsid w:val="00CB0A29"/>
    <w:rsid w:val="00CB1341"/>
    <w:rsid w:val="00CB18DD"/>
    <w:rsid w:val="00CB261C"/>
    <w:rsid w:val="00CB289B"/>
    <w:rsid w:val="00CB2AC2"/>
    <w:rsid w:val="00CB3768"/>
    <w:rsid w:val="00CB3DCE"/>
    <w:rsid w:val="00CB6242"/>
    <w:rsid w:val="00CB65B6"/>
    <w:rsid w:val="00CB6686"/>
    <w:rsid w:val="00CC0B2A"/>
    <w:rsid w:val="00CC168D"/>
    <w:rsid w:val="00CC201B"/>
    <w:rsid w:val="00CC227F"/>
    <w:rsid w:val="00CC2CB7"/>
    <w:rsid w:val="00CC37D9"/>
    <w:rsid w:val="00CC441C"/>
    <w:rsid w:val="00CC51D8"/>
    <w:rsid w:val="00CC66AC"/>
    <w:rsid w:val="00CD0B0F"/>
    <w:rsid w:val="00CD0B54"/>
    <w:rsid w:val="00CD7082"/>
    <w:rsid w:val="00CE0B75"/>
    <w:rsid w:val="00CE0BCF"/>
    <w:rsid w:val="00CE1089"/>
    <w:rsid w:val="00CE41F2"/>
    <w:rsid w:val="00CE494E"/>
    <w:rsid w:val="00CE56FB"/>
    <w:rsid w:val="00CE6216"/>
    <w:rsid w:val="00CF069C"/>
    <w:rsid w:val="00CF13F6"/>
    <w:rsid w:val="00CF1629"/>
    <w:rsid w:val="00CF192F"/>
    <w:rsid w:val="00CF1D07"/>
    <w:rsid w:val="00CF73CC"/>
    <w:rsid w:val="00CF7536"/>
    <w:rsid w:val="00D0065D"/>
    <w:rsid w:val="00D00E2D"/>
    <w:rsid w:val="00D02610"/>
    <w:rsid w:val="00D029F3"/>
    <w:rsid w:val="00D03196"/>
    <w:rsid w:val="00D04B58"/>
    <w:rsid w:val="00D070A0"/>
    <w:rsid w:val="00D0735C"/>
    <w:rsid w:val="00D07E2E"/>
    <w:rsid w:val="00D10103"/>
    <w:rsid w:val="00D105F2"/>
    <w:rsid w:val="00D12C38"/>
    <w:rsid w:val="00D1332D"/>
    <w:rsid w:val="00D1355F"/>
    <w:rsid w:val="00D144BB"/>
    <w:rsid w:val="00D1468A"/>
    <w:rsid w:val="00D14C4F"/>
    <w:rsid w:val="00D14DAE"/>
    <w:rsid w:val="00D14E57"/>
    <w:rsid w:val="00D15454"/>
    <w:rsid w:val="00D15ACC"/>
    <w:rsid w:val="00D15BAB"/>
    <w:rsid w:val="00D1618F"/>
    <w:rsid w:val="00D17105"/>
    <w:rsid w:val="00D20DBA"/>
    <w:rsid w:val="00D26C49"/>
    <w:rsid w:val="00D3074E"/>
    <w:rsid w:val="00D30DB7"/>
    <w:rsid w:val="00D34143"/>
    <w:rsid w:val="00D343F0"/>
    <w:rsid w:val="00D36332"/>
    <w:rsid w:val="00D364DC"/>
    <w:rsid w:val="00D401D1"/>
    <w:rsid w:val="00D40DC8"/>
    <w:rsid w:val="00D40E9E"/>
    <w:rsid w:val="00D426FB"/>
    <w:rsid w:val="00D43635"/>
    <w:rsid w:val="00D43A6D"/>
    <w:rsid w:val="00D43D5C"/>
    <w:rsid w:val="00D44745"/>
    <w:rsid w:val="00D46015"/>
    <w:rsid w:val="00D465CB"/>
    <w:rsid w:val="00D476B3"/>
    <w:rsid w:val="00D50353"/>
    <w:rsid w:val="00D51226"/>
    <w:rsid w:val="00D516E3"/>
    <w:rsid w:val="00D5496B"/>
    <w:rsid w:val="00D55E39"/>
    <w:rsid w:val="00D60B8A"/>
    <w:rsid w:val="00D6427A"/>
    <w:rsid w:val="00D64E13"/>
    <w:rsid w:val="00D659CD"/>
    <w:rsid w:val="00D6752A"/>
    <w:rsid w:val="00D7021E"/>
    <w:rsid w:val="00D72C0F"/>
    <w:rsid w:val="00D73DF2"/>
    <w:rsid w:val="00D7432A"/>
    <w:rsid w:val="00D74CAF"/>
    <w:rsid w:val="00D75657"/>
    <w:rsid w:val="00D778A6"/>
    <w:rsid w:val="00D8016A"/>
    <w:rsid w:val="00D8062D"/>
    <w:rsid w:val="00D80D02"/>
    <w:rsid w:val="00D816B6"/>
    <w:rsid w:val="00D8298C"/>
    <w:rsid w:val="00D83101"/>
    <w:rsid w:val="00D84D99"/>
    <w:rsid w:val="00D85D33"/>
    <w:rsid w:val="00D87117"/>
    <w:rsid w:val="00D87C84"/>
    <w:rsid w:val="00D87EFB"/>
    <w:rsid w:val="00D902A3"/>
    <w:rsid w:val="00D902E1"/>
    <w:rsid w:val="00D91BA3"/>
    <w:rsid w:val="00D922D5"/>
    <w:rsid w:val="00D928F2"/>
    <w:rsid w:val="00D93C31"/>
    <w:rsid w:val="00D95070"/>
    <w:rsid w:val="00D96D73"/>
    <w:rsid w:val="00D9784D"/>
    <w:rsid w:val="00DA0ACB"/>
    <w:rsid w:val="00DA1E3C"/>
    <w:rsid w:val="00DA316B"/>
    <w:rsid w:val="00DA383F"/>
    <w:rsid w:val="00DA5C4E"/>
    <w:rsid w:val="00DA5D9F"/>
    <w:rsid w:val="00DA6B55"/>
    <w:rsid w:val="00DA7464"/>
    <w:rsid w:val="00DA78F1"/>
    <w:rsid w:val="00DB1DE9"/>
    <w:rsid w:val="00DB29EE"/>
    <w:rsid w:val="00DB2E47"/>
    <w:rsid w:val="00DB2ED1"/>
    <w:rsid w:val="00DB3D1F"/>
    <w:rsid w:val="00DB44A0"/>
    <w:rsid w:val="00DB4C0B"/>
    <w:rsid w:val="00DB5435"/>
    <w:rsid w:val="00DB6BF5"/>
    <w:rsid w:val="00DB7B05"/>
    <w:rsid w:val="00DC030D"/>
    <w:rsid w:val="00DC067E"/>
    <w:rsid w:val="00DC0A7B"/>
    <w:rsid w:val="00DC0D08"/>
    <w:rsid w:val="00DC0D4F"/>
    <w:rsid w:val="00DC14C6"/>
    <w:rsid w:val="00DC18E7"/>
    <w:rsid w:val="00DC1E0B"/>
    <w:rsid w:val="00DC2370"/>
    <w:rsid w:val="00DC2545"/>
    <w:rsid w:val="00DC2C8F"/>
    <w:rsid w:val="00DC3197"/>
    <w:rsid w:val="00DC34EA"/>
    <w:rsid w:val="00DC39D2"/>
    <w:rsid w:val="00DC42F0"/>
    <w:rsid w:val="00DC54FF"/>
    <w:rsid w:val="00DC6492"/>
    <w:rsid w:val="00DC6C31"/>
    <w:rsid w:val="00DC775B"/>
    <w:rsid w:val="00DD065D"/>
    <w:rsid w:val="00DD1398"/>
    <w:rsid w:val="00DD2F4B"/>
    <w:rsid w:val="00DD4616"/>
    <w:rsid w:val="00DD4921"/>
    <w:rsid w:val="00DD50CB"/>
    <w:rsid w:val="00DD5E2C"/>
    <w:rsid w:val="00DE093E"/>
    <w:rsid w:val="00DE09FE"/>
    <w:rsid w:val="00DE0F09"/>
    <w:rsid w:val="00DE134D"/>
    <w:rsid w:val="00DE1547"/>
    <w:rsid w:val="00DE282B"/>
    <w:rsid w:val="00DE4DC4"/>
    <w:rsid w:val="00DE5B4D"/>
    <w:rsid w:val="00DE638E"/>
    <w:rsid w:val="00DE739F"/>
    <w:rsid w:val="00DF4C30"/>
    <w:rsid w:val="00DF6529"/>
    <w:rsid w:val="00DF7807"/>
    <w:rsid w:val="00DF7A8E"/>
    <w:rsid w:val="00E01C73"/>
    <w:rsid w:val="00E02AEB"/>
    <w:rsid w:val="00E02D8E"/>
    <w:rsid w:val="00E03D20"/>
    <w:rsid w:val="00E03DA2"/>
    <w:rsid w:val="00E04060"/>
    <w:rsid w:val="00E046FC"/>
    <w:rsid w:val="00E04E9F"/>
    <w:rsid w:val="00E05086"/>
    <w:rsid w:val="00E057FF"/>
    <w:rsid w:val="00E05F73"/>
    <w:rsid w:val="00E0606B"/>
    <w:rsid w:val="00E06EC6"/>
    <w:rsid w:val="00E07474"/>
    <w:rsid w:val="00E1121F"/>
    <w:rsid w:val="00E15524"/>
    <w:rsid w:val="00E16021"/>
    <w:rsid w:val="00E1797A"/>
    <w:rsid w:val="00E20EFE"/>
    <w:rsid w:val="00E2187C"/>
    <w:rsid w:val="00E221B5"/>
    <w:rsid w:val="00E240E0"/>
    <w:rsid w:val="00E240F2"/>
    <w:rsid w:val="00E24F60"/>
    <w:rsid w:val="00E25971"/>
    <w:rsid w:val="00E25B31"/>
    <w:rsid w:val="00E266E1"/>
    <w:rsid w:val="00E26831"/>
    <w:rsid w:val="00E26F64"/>
    <w:rsid w:val="00E26FF9"/>
    <w:rsid w:val="00E30378"/>
    <w:rsid w:val="00E3141E"/>
    <w:rsid w:val="00E336F5"/>
    <w:rsid w:val="00E36D8A"/>
    <w:rsid w:val="00E36DAD"/>
    <w:rsid w:val="00E36E46"/>
    <w:rsid w:val="00E376BA"/>
    <w:rsid w:val="00E40C62"/>
    <w:rsid w:val="00E40F59"/>
    <w:rsid w:val="00E410F6"/>
    <w:rsid w:val="00E413C1"/>
    <w:rsid w:val="00E419E2"/>
    <w:rsid w:val="00E441DC"/>
    <w:rsid w:val="00E4626E"/>
    <w:rsid w:val="00E4777A"/>
    <w:rsid w:val="00E500E3"/>
    <w:rsid w:val="00E5047C"/>
    <w:rsid w:val="00E5133F"/>
    <w:rsid w:val="00E51AEF"/>
    <w:rsid w:val="00E5489E"/>
    <w:rsid w:val="00E55E70"/>
    <w:rsid w:val="00E574DF"/>
    <w:rsid w:val="00E57B97"/>
    <w:rsid w:val="00E600C8"/>
    <w:rsid w:val="00E60BA3"/>
    <w:rsid w:val="00E629F4"/>
    <w:rsid w:val="00E63271"/>
    <w:rsid w:val="00E63825"/>
    <w:rsid w:val="00E63D81"/>
    <w:rsid w:val="00E64692"/>
    <w:rsid w:val="00E6542E"/>
    <w:rsid w:val="00E66355"/>
    <w:rsid w:val="00E718CC"/>
    <w:rsid w:val="00E729A5"/>
    <w:rsid w:val="00E72BD2"/>
    <w:rsid w:val="00E72F4D"/>
    <w:rsid w:val="00E73C4F"/>
    <w:rsid w:val="00E747A3"/>
    <w:rsid w:val="00E758B0"/>
    <w:rsid w:val="00E75A0F"/>
    <w:rsid w:val="00E75B39"/>
    <w:rsid w:val="00E76AD1"/>
    <w:rsid w:val="00E76BE5"/>
    <w:rsid w:val="00E76F05"/>
    <w:rsid w:val="00E779A6"/>
    <w:rsid w:val="00E81575"/>
    <w:rsid w:val="00E826E1"/>
    <w:rsid w:val="00E8270A"/>
    <w:rsid w:val="00E82EBB"/>
    <w:rsid w:val="00E855A1"/>
    <w:rsid w:val="00E856EA"/>
    <w:rsid w:val="00E8572B"/>
    <w:rsid w:val="00E86A87"/>
    <w:rsid w:val="00E87861"/>
    <w:rsid w:val="00E87ABE"/>
    <w:rsid w:val="00E907F0"/>
    <w:rsid w:val="00E92C3D"/>
    <w:rsid w:val="00E92E80"/>
    <w:rsid w:val="00E93AC8"/>
    <w:rsid w:val="00E93CB4"/>
    <w:rsid w:val="00E93DCA"/>
    <w:rsid w:val="00E9426D"/>
    <w:rsid w:val="00E9454C"/>
    <w:rsid w:val="00E964FE"/>
    <w:rsid w:val="00E96C5D"/>
    <w:rsid w:val="00E97152"/>
    <w:rsid w:val="00EA2AD9"/>
    <w:rsid w:val="00EA3F2A"/>
    <w:rsid w:val="00EA42D8"/>
    <w:rsid w:val="00EA45C8"/>
    <w:rsid w:val="00EA4B41"/>
    <w:rsid w:val="00EA5A41"/>
    <w:rsid w:val="00EB0E2D"/>
    <w:rsid w:val="00EB23BA"/>
    <w:rsid w:val="00EB303D"/>
    <w:rsid w:val="00EB39EB"/>
    <w:rsid w:val="00EB48E4"/>
    <w:rsid w:val="00EB51DA"/>
    <w:rsid w:val="00EB7085"/>
    <w:rsid w:val="00EC0C01"/>
    <w:rsid w:val="00EC1148"/>
    <w:rsid w:val="00EC36D1"/>
    <w:rsid w:val="00EC374C"/>
    <w:rsid w:val="00EC4903"/>
    <w:rsid w:val="00EC5504"/>
    <w:rsid w:val="00EC6780"/>
    <w:rsid w:val="00EC6A82"/>
    <w:rsid w:val="00EC7B0A"/>
    <w:rsid w:val="00ED16F2"/>
    <w:rsid w:val="00ED209F"/>
    <w:rsid w:val="00ED2EDD"/>
    <w:rsid w:val="00ED3EDF"/>
    <w:rsid w:val="00ED4484"/>
    <w:rsid w:val="00ED54EB"/>
    <w:rsid w:val="00ED6182"/>
    <w:rsid w:val="00ED6B3A"/>
    <w:rsid w:val="00ED7C9D"/>
    <w:rsid w:val="00EE2275"/>
    <w:rsid w:val="00EE5035"/>
    <w:rsid w:val="00EE603B"/>
    <w:rsid w:val="00EE663F"/>
    <w:rsid w:val="00EE74B4"/>
    <w:rsid w:val="00EE7B74"/>
    <w:rsid w:val="00EE7BC0"/>
    <w:rsid w:val="00EF2525"/>
    <w:rsid w:val="00EF382D"/>
    <w:rsid w:val="00EF3F50"/>
    <w:rsid w:val="00EF58D4"/>
    <w:rsid w:val="00EF5D6C"/>
    <w:rsid w:val="00EF791B"/>
    <w:rsid w:val="00F008D2"/>
    <w:rsid w:val="00F00F1E"/>
    <w:rsid w:val="00F026F0"/>
    <w:rsid w:val="00F0359B"/>
    <w:rsid w:val="00F0364D"/>
    <w:rsid w:val="00F03D28"/>
    <w:rsid w:val="00F04F0C"/>
    <w:rsid w:val="00F05181"/>
    <w:rsid w:val="00F05E42"/>
    <w:rsid w:val="00F063DD"/>
    <w:rsid w:val="00F1009F"/>
    <w:rsid w:val="00F1314D"/>
    <w:rsid w:val="00F15617"/>
    <w:rsid w:val="00F17298"/>
    <w:rsid w:val="00F207D5"/>
    <w:rsid w:val="00F222FF"/>
    <w:rsid w:val="00F2238A"/>
    <w:rsid w:val="00F234A2"/>
    <w:rsid w:val="00F2356D"/>
    <w:rsid w:val="00F24426"/>
    <w:rsid w:val="00F24D2B"/>
    <w:rsid w:val="00F25CC6"/>
    <w:rsid w:val="00F27245"/>
    <w:rsid w:val="00F31395"/>
    <w:rsid w:val="00F31570"/>
    <w:rsid w:val="00F32520"/>
    <w:rsid w:val="00F32B84"/>
    <w:rsid w:val="00F34280"/>
    <w:rsid w:val="00F37CEA"/>
    <w:rsid w:val="00F41A01"/>
    <w:rsid w:val="00F41D83"/>
    <w:rsid w:val="00F42E23"/>
    <w:rsid w:val="00F466CE"/>
    <w:rsid w:val="00F46C63"/>
    <w:rsid w:val="00F47522"/>
    <w:rsid w:val="00F47A8A"/>
    <w:rsid w:val="00F5006C"/>
    <w:rsid w:val="00F5085C"/>
    <w:rsid w:val="00F50F22"/>
    <w:rsid w:val="00F528C6"/>
    <w:rsid w:val="00F52CD9"/>
    <w:rsid w:val="00F53A06"/>
    <w:rsid w:val="00F53C3E"/>
    <w:rsid w:val="00F54C1D"/>
    <w:rsid w:val="00F54F55"/>
    <w:rsid w:val="00F55506"/>
    <w:rsid w:val="00F55B9D"/>
    <w:rsid w:val="00F562DC"/>
    <w:rsid w:val="00F566C0"/>
    <w:rsid w:val="00F6051A"/>
    <w:rsid w:val="00F607F0"/>
    <w:rsid w:val="00F609F6"/>
    <w:rsid w:val="00F6110B"/>
    <w:rsid w:val="00F626F8"/>
    <w:rsid w:val="00F63491"/>
    <w:rsid w:val="00F64B44"/>
    <w:rsid w:val="00F64DCA"/>
    <w:rsid w:val="00F64F84"/>
    <w:rsid w:val="00F6710C"/>
    <w:rsid w:val="00F7180D"/>
    <w:rsid w:val="00F720B3"/>
    <w:rsid w:val="00F732DC"/>
    <w:rsid w:val="00F73812"/>
    <w:rsid w:val="00F73ABD"/>
    <w:rsid w:val="00F76A26"/>
    <w:rsid w:val="00F76DEA"/>
    <w:rsid w:val="00F77DAE"/>
    <w:rsid w:val="00F81CCC"/>
    <w:rsid w:val="00F82983"/>
    <w:rsid w:val="00F82B24"/>
    <w:rsid w:val="00F84351"/>
    <w:rsid w:val="00F85FE0"/>
    <w:rsid w:val="00F86206"/>
    <w:rsid w:val="00F91A29"/>
    <w:rsid w:val="00F9247C"/>
    <w:rsid w:val="00F93F0A"/>
    <w:rsid w:val="00F94EC7"/>
    <w:rsid w:val="00F95E9C"/>
    <w:rsid w:val="00F96DBB"/>
    <w:rsid w:val="00F970D5"/>
    <w:rsid w:val="00F97FA4"/>
    <w:rsid w:val="00FA0219"/>
    <w:rsid w:val="00FA0F23"/>
    <w:rsid w:val="00FA467C"/>
    <w:rsid w:val="00FA53D7"/>
    <w:rsid w:val="00FA563F"/>
    <w:rsid w:val="00FA5891"/>
    <w:rsid w:val="00FA592F"/>
    <w:rsid w:val="00FA616E"/>
    <w:rsid w:val="00FA7AA0"/>
    <w:rsid w:val="00FB00C9"/>
    <w:rsid w:val="00FB1EE9"/>
    <w:rsid w:val="00FB4FE1"/>
    <w:rsid w:val="00FB5FB0"/>
    <w:rsid w:val="00FB617F"/>
    <w:rsid w:val="00FB68EF"/>
    <w:rsid w:val="00FB738A"/>
    <w:rsid w:val="00FC04A0"/>
    <w:rsid w:val="00FC0599"/>
    <w:rsid w:val="00FC07E5"/>
    <w:rsid w:val="00FC1C51"/>
    <w:rsid w:val="00FC321C"/>
    <w:rsid w:val="00FC67F1"/>
    <w:rsid w:val="00FD0654"/>
    <w:rsid w:val="00FD1D70"/>
    <w:rsid w:val="00FD2D07"/>
    <w:rsid w:val="00FD2FF8"/>
    <w:rsid w:val="00FD4416"/>
    <w:rsid w:val="00FD564C"/>
    <w:rsid w:val="00FD5699"/>
    <w:rsid w:val="00FD5C5F"/>
    <w:rsid w:val="00FD5D8C"/>
    <w:rsid w:val="00FD73C2"/>
    <w:rsid w:val="00FE019E"/>
    <w:rsid w:val="00FE1983"/>
    <w:rsid w:val="00FE22BC"/>
    <w:rsid w:val="00FE3003"/>
    <w:rsid w:val="00FE4C14"/>
    <w:rsid w:val="00FE4FD8"/>
    <w:rsid w:val="00FE5622"/>
    <w:rsid w:val="00FE5F88"/>
    <w:rsid w:val="00FE6CEB"/>
    <w:rsid w:val="00FE7DA4"/>
    <w:rsid w:val="00FF0514"/>
    <w:rsid w:val="00FF184C"/>
    <w:rsid w:val="00FF1E7B"/>
    <w:rsid w:val="00FF383C"/>
    <w:rsid w:val="00FF3F49"/>
    <w:rsid w:val="00FF50D3"/>
    <w:rsid w:val="00FF5C20"/>
    <w:rsid w:val="00FF5D31"/>
    <w:rsid w:val="00FF5F06"/>
    <w:rsid w:val="01600B43"/>
    <w:rsid w:val="016D588F"/>
    <w:rsid w:val="01795DC8"/>
    <w:rsid w:val="01813C36"/>
    <w:rsid w:val="01A7259C"/>
    <w:rsid w:val="02075588"/>
    <w:rsid w:val="02544E38"/>
    <w:rsid w:val="02661E94"/>
    <w:rsid w:val="027C65FF"/>
    <w:rsid w:val="02905CE0"/>
    <w:rsid w:val="03EA2431"/>
    <w:rsid w:val="047931E5"/>
    <w:rsid w:val="04A91589"/>
    <w:rsid w:val="04E90C7D"/>
    <w:rsid w:val="04F535DA"/>
    <w:rsid w:val="050552F9"/>
    <w:rsid w:val="051B21F0"/>
    <w:rsid w:val="05300538"/>
    <w:rsid w:val="056974FC"/>
    <w:rsid w:val="0589009F"/>
    <w:rsid w:val="058F1D59"/>
    <w:rsid w:val="06181458"/>
    <w:rsid w:val="063E3C03"/>
    <w:rsid w:val="07155040"/>
    <w:rsid w:val="07AC3D0D"/>
    <w:rsid w:val="07E223C1"/>
    <w:rsid w:val="07F874F1"/>
    <w:rsid w:val="08037A1A"/>
    <w:rsid w:val="08B8700D"/>
    <w:rsid w:val="09F63B04"/>
    <w:rsid w:val="0A795ABF"/>
    <w:rsid w:val="0B492B80"/>
    <w:rsid w:val="0B4C549A"/>
    <w:rsid w:val="0BE92DDB"/>
    <w:rsid w:val="0C5B5B50"/>
    <w:rsid w:val="0C7F6D50"/>
    <w:rsid w:val="0E592A15"/>
    <w:rsid w:val="0EB45D35"/>
    <w:rsid w:val="0EF11367"/>
    <w:rsid w:val="0F6329A2"/>
    <w:rsid w:val="0F985420"/>
    <w:rsid w:val="1010525E"/>
    <w:rsid w:val="102B0279"/>
    <w:rsid w:val="10976186"/>
    <w:rsid w:val="10D05550"/>
    <w:rsid w:val="10EC17B7"/>
    <w:rsid w:val="1145536B"/>
    <w:rsid w:val="118F2F35"/>
    <w:rsid w:val="120570B6"/>
    <w:rsid w:val="1247771D"/>
    <w:rsid w:val="12754DEC"/>
    <w:rsid w:val="127E10A6"/>
    <w:rsid w:val="129C5D80"/>
    <w:rsid w:val="12B10F0A"/>
    <w:rsid w:val="12F9465F"/>
    <w:rsid w:val="13E9238B"/>
    <w:rsid w:val="13F76DF0"/>
    <w:rsid w:val="146B50E8"/>
    <w:rsid w:val="15484154"/>
    <w:rsid w:val="159F14ED"/>
    <w:rsid w:val="16716B52"/>
    <w:rsid w:val="172762A9"/>
    <w:rsid w:val="172F69A9"/>
    <w:rsid w:val="17D678DB"/>
    <w:rsid w:val="18CF62D0"/>
    <w:rsid w:val="1A324E27"/>
    <w:rsid w:val="1AB31F96"/>
    <w:rsid w:val="1AC55D06"/>
    <w:rsid w:val="1B6F4141"/>
    <w:rsid w:val="1BFE5ADE"/>
    <w:rsid w:val="1C3C5A5F"/>
    <w:rsid w:val="1CED1392"/>
    <w:rsid w:val="1D4A4065"/>
    <w:rsid w:val="1D807DB9"/>
    <w:rsid w:val="1D8D4F7E"/>
    <w:rsid w:val="1DBA4D5A"/>
    <w:rsid w:val="1DD15E62"/>
    <w:rsid w:val="1DD91315"/>
    <w:rsid w:val="1DE0470B"/>
    <w:rsid w:val="1E2616C7"/>
    <w:rsid w:val="1EA248E5"/>
    <w:rsid w:val="1EF83A1C"/>
    <w:rsid w:val="1F134CB7"/>
    <w:rsid w:val="1F613DE9"/>
    <w:rsid w:val="1F996FAD"/>
    <w:rsid w:val="1FA43022"/>
    <w:rsid w:val="1FB843E7"/>
    <w:rsid w:val="1FC43077"/>
    <w:rsid w:val="208465D7"/>
    <w:rsid w:val="214C3BAE"/>
    <w:rsid w:val="21511470"/>
    <w:rsid w:val="215649EE"/>
    <w:rsid w:val="21D4397C"/>
    <w:rsid w:val="22643C62"/>
    <w:rsid w:val="22A2508A"/>
    <w:rsid w:val="22CA7AAF"/>
    <w:rsid w:val="232118B1"/>
    <w:rsid w:val="23351144"/>
    <w:rsid w:val="239E0EFF"/>
    <w:rsid w:val="23A75A11"/>
    <w:rsid w:val="23EC5768"/>
    <w:rsid w:val="241A4435"/>
    <w:rsid w:val="247224B6"/>
    <w:rsid w:val="24D42836"/>
    <w:rsid w:val="254C4630"/>
    <w:rsid w:val="25E6149B"/>
    <w:rsid w:val="25FE5399"/>
    <w:rsid w:val="26274328"/>
    <w:rsid w:val="27197985"/>
    <w:rsid w:val="278D11DB"/>
    <w:rsid w:val="2810219D"/>
    <w:rsid w:val="28DD6A42"/>
    <w:rsid w:val="28E11534"/>
    <w:rsid w:val="28EA4861"/>
    <w:rsid w:val="28ED7AFF"/>
    <w:rsid w:val="296E416D"/>
    <w:rsid w:val="29B1629B"/>
    <w:rsid w:val="29B851CA"/>
    <w:rsid w:val="29DF58A9"/>
    <w:rsid w:val="29FE05EF"/>
    <w:rsid w:val="2A1C237F"/>
    <w:rsid w:val="2A222C6C"/>
    <w:rsid w:val="2A253266"/>
    <w:rsid w:val="2A3872D8"/>
    <w:rsid w:val="2ACB0BD4"/>
    <w:rsid w:val="2AFA2FBD"/>
    <w:rsid w:val="2B2279BF"/>
    <w:rsid w:val="2B3D4992"/>
    <w:rsid w:val="2C057779"/>
    <w:rsid w:val="2CA67F3B"/>
    <w:rsid w:val="2CF84338"/>
    <w:rsid w:val="2D0A6EBC"/>
    <w:rsid w:val="2D244FF3"/>
    <w:rsid w:val="2D2E2594"/>
    <w:rsid w:val="2D7C72E0"/>
    <w:rsid w:val="2D8C1F00"/>
    <w:rsid w:val="2D924A09"/>
    <w:rsid w:val="2DAA3648"/>
    <w:rsid w:val="2DC71DD6"/>
    <w:rsid w:val="2DDA2821"/>
    <w:rsid w:val="2E951288"/>
    <w:rsid w:val="2EEA6B08"/>
    <w:rsid w:val="2F3F11F4"/>
    <w:rsid w:val="2F524DFC"/>
    <w:rsid w:val="2F6340F7"/>
    <w:rsid w:val="2F64514D"/>
    <w:rsid w:val="2F6714D0"/>
    <w:rsid w:val="2F7501E9"/>
    <w:rsid w:val="2FAA688C"/>
    <w:rsid w:val="2FAF1ED5"/>
    <w:rsid w:val="2FB74182"/>
    <w:rsid w:val="2FC45313"/>
    <w:rsid w:val="309863FF"/>
    <w:rsid w:val="31003AAA"/>
    <w:rsid w:val="313149D0"/>
    <w:rsid w:val="314430B9"/>
    <w:rsid w:val="31585E28"/>
    <w:rsid w:val="322F3A97"/>
    <w:rsid w:val="329027F6"/>
    <w:rsid w:val="329E4165"/>
    <w:rsid w:val="32EB1040"/>
    <w:rsid w:val="33B5686A"/>
    <w:rsid w:val="340B600A"/>
    <w:rsid w:val="34643D98"/>
    <w:rsid w:val="34BE2568"/>
    <w:rsid w:val="359702D2"/>
    <w:rsid w:val="35E037F3"/>
    <w:rsid w:val="35F965A0"/>
    <w:rsid w:val="363834FE"/>
    <w:rsid w:val="369E12DC"/>
    <w:rsid w:val="3723232B"/>
    <w:rsid w:val="37533A8E"/>
    <w:rsid w:val="38404E75"/>
    <w:rsid w:val="394368B9"/>
    <w:rsid w:val="394F70D7"/>
    <w:rsid w:val="397B1CF0"/>
    <w:rsid w:val="399B3C1F"/>
    <w:rsid w:val="39DA635D"/>
    <w:rsid w:val="3ACD2686"/>
    <w:rsid w:val="3AE87B47"/>
    <w:rsid w:val="3B334302"/>
    <w:rsid w:val="3B670D30"/>
    <w:rsid w:val="3BA95476"/>
    <w:rsid w:val="3BBD7471"/>
    <w:rsid w:val="3BEB698B"/>
    <w:rsid w:val="3C047258"/>
    <w:rsid w:val="3C35239A"/>
    <w:rsid w:val="3C613D8B"/>
    <w:rsid w:val="3C682428"/>
    <w:rsid w:val="3C6D57EF"/>
    <w:rsid w:val="3D240DAA"/>
    <w:rsid w:val="3D6539B4"/>
    <w:rsid w:val="3DC54FBA"/>
    <w:rsid w:val="3DE058F6"/>
    <w:rsid w:val="3DF8713D"/>
    <w:rsid w:val="3E741AE1"/>
    <w:rsid w:val="3E7E3AE6"/>
    <w:rsid w:val="3E9F1EF0"/>
    <w:rsid w:val="3EF8726A"/>
    <w:rsid w:val="3F235024"/>
    <w:rsid w:val="3F7E099F"/>
    <w:rsid w:val="3F7F7B16"/>
    <w:rsid w:val="3FA3692D"/>
    <w:rsid w:val="400C5AA1"/>
    <w:rsid w:val="400F7668"/>
    <w:rsid w:val="40441F71"/>
    <w:rsid w:val="40463C67"/>
    <w:rsid w:val="4070582D"/>
    <w:rsid w:val="408F0194"/>
    <w:rsid w:val="41127EF8"/>
    <w:rsid w:val="41317E02"/>
    <w:rsid w:val="41874E7F"/>
    <w:rsid w:val="418D3461"/>
    <w:rsid w:val="419F13A5"/>
    <w:rsid w:val="41BF069E"/>
    <w:rsid w:val="42240501"/>
    <w:rsid w:val="423E7D32"/>
    <w:rsid w:val="42483A95"/>
    <w:rsid w:val="426B1194"/>
    <w:rsid w:val="43191B71"/>
    <w:rsid w:val="43496E28"/>
    <w:rsid w:val="43D83B2D"/>
    <w:rsid w:val="441308E0"/>
    <w:rsid w:val="44255D38"/>
    <w:rsid w:val="443B7067"/>
    <w:rsid w:val="44CF5718"/>
    <w:rsid w:val="45305B8A"/>
    <w:rsid w:val="45576474"/>
    <w:rsid w:val="456176BA"/>
    <w:rsid w:val="45956959"/>
    <w:rsid w:val="45B674BD"/>
    <w:rsid w:val="45D832CC"/>
    <w:rsid w:val="45EA0DFF"/>
    <w:rsid w:val="462431C5"/>
    <w:rsid w:val="469F78A6"/>
    <w:rsid w:val="46E32CFC"/>
    <w:rsid w:val="475B2A1E"/>
    <w:rsid w:val="47602E9F"/>
    <w:rsid w:val="47B408ED"/>
    <w:rsid w:val="47C20105"/>
    <w:rsid w:val="487D6656"/>
    <w:rsid w:val="48934639"/>
    <w:rsid w:val="48AD6D81"/>
    <w:rsid w:val="48C8059F"/>
    <w:rsid w:val="48CB6D28"/>
    <w:rsid w:val="490F2EFA"/>
    <w:rsid w:val="49133C21"/>
    <w:rsid w:val="49D848E8"/>
    <w:rsid w:val="4AFD3922"/>
    <w:rsid w:val="4B0C4228"/>
    <w:rsid w:val="4B1A32E4"/>
    <w:rsid w:val="4B3A1F7D"/>
    <w:rsid w:val="4B4A0725"/>
    <w:rsid w:val="4B545EA2"/>
    <w:rsid w:val="4BE40D01"/>
    <w:rsid w:val="4C1B0FD0"/>
    <w:rsid w:val="4C1D1536"/>
    <w:rsid w:val="4C5C4D3B"/>
    <w:rsid w:val="4C5F7DDC"/>
    <w:rsid w:val="4C7225C2"/>
    <w:rsid w:val="4CB76CB1"/>
    <w:rsid w:val="4D27359B"/>
    <w:rsid w:val="4D274A5D"/>
    <w:rsid w:val="4D6D29EA"/>
    <w:rsid w:val="4E023D7D"/>
    <w:rsid w:val="4E191157"/>
    <w:rsid w:val="4E4341A1"/>
    <w:rsid w:val="4E5E34CC"/>
    <w:rsid w:val="4EEE25C2"/>
    <w:rsid w:val="4F245FE4"/>
    <w:rsid w:val="4F8B7E11"/>
    <w:rsid w:val="4FAC6F2A"/>
    <w:rsid w:val="4FB372EF"/>
    <w:rsid w:val="4FB37368"/>
    <w:rsid w:val="509E3B74"/>
    <w:rsid w:val="514B3CFC"/>
    <w:rsid w:val="51EC4EFB"/>
    <w:rsid w:val="527C63C2"/>
    <w:rsid w:val="52B10B3B"/>
    <w:rsid w:val="52B32035"/>
    <w:rsid w:val="52CE5F84"/>
    <w:rsid w:val="52E16DC3"/>
    <w:rsid w:val="52EB40A2"/>
    <w:rsid w:val="530F3821"/>
    <w:rsid w:val="533F1A98"/>
    <w:rsid w:val="53706C03"/>
    <w:rsid w:val="538F4A57"/>
    <w:rsid w:val="53C820AB"/>
    <w:rsid w:val="53EB09EE"/>
    <w:rsid w:val="54A5368B"/>
    <w:rsid w:val="54D12D49"/>
    <w:rsid w:val="54ED734D"/>
    <w:rsid w:val="54F00716"/>
    <w:rsid w:val="55054EB9"/>
    <w:rsid w:val="55910E79"/>
    <w:rsid w:val="55C0251B"/>
    <w:rsid w:val="56682C5A"/>
    <w:rsid w:val="56A8314F"/>
    <w:rsid w:val="56AF7DDD"/>
    <w:rsid w:val="56C803A2"/>
    <w:rsid w:val="56E37BBC"/>
    <w:rsid w:val="5743014C"/>
    <w:rsid w:val="57521214"/>
    <w:rsid w:val="57897E23"/>
    <w:rsid w:val="57CB671C"/>
    <w:rsid w:val="57D94939"/>
    <w:rsid w:val="58164B81"/>
    <w:rsid w:val="584242BD"/>
    <w:rsid w:val="586A02EA"/>
    <w:rsid w:val="589D739E"/>
    <w:rsid w:val="58D77C23"/>
    <w:rsid w:val="58F85632"/>
    <w:rsid w:val="593813A4"/>
    <w:rsid w:val="5962166C"/>
    <w:rsid w:val="59806273"/>
    <w:rsid w:val="59C6198B"/>
    <w:rsid w:val="59EC3F6B"/>
    <w:rsid w:val="5B3C0D87"/>
    <w:rsid w:val="5B8B2F47"/>
    <w:rsid w:val="5B8D1AC1"/>
    <w:rsid w:val="5BDC6884"/>
    <w:rsid w:val="5C7560D1"/>
    <w:rsid w:val="5CA56DAC"/>
    <w:rsid w:val="5D4D18B6"/>
    <w:rsid w:val="5DFD2098"/>
    <w:rsid w:val="5E0030AA"/>
    <w:rsid w:val="5E417E4F"/>
    <w:rsid w:val="5E5F1C11"/>
    <w:rsid w:val="5EA136C6"/>
    <w:rsid w:val="5EA7294A"/>
    <w:rsid w:val="5ED67504"/>
    <w:rsid w:val="5EF151B3"/>
    <w:rsid w:val="5F1C3A86"/>
    <w:rsid w:val="5F8A2DBF"/>
    <w:rsid w:val="5F980B50"/>
    <w:rsid w:val="60EC3149"/>
    <w:rsid w:val="60F1785A"/>
    <w:rsid w:val="616D381B"/>
    <w:rsid w:val="618E7AC8"/>
    <w:rsid w:val="61CD1F3C"/>
    <w:rsid w:val="61DB4C28"/>
    <w:rsid w:val="62027EAC"/>
    <w:rsid w:val="6239194F"/>
    <w:rsid w:val="62BD432E"/>
    <w:rsid w:val="62C751AC"/>
    <w:rsid w:val="62F66F5C"/>
    <w:rsid w:val="636649C5"/>
    <w:rsid w:val="63727074"/>
    <w:rsid w:val="63D47F9E"/>
    <w:rsid w:val="64E20D38"/>
    <w:rsid w:val="64E929E2"/>
    <w:rsid w:val="64F349A6"/>
    <w:rsid w:val="653F1EB9"/>
    <w:rsid w:val="65BC6A6E"/>
    <w:rsid w:val="660F11AD"/>
    <w:rsid w:val="662B15AE"/>
    <w:rsid w:val="664061B8"/>
    <w:rsid w:val="668C363A"/>
    <w:rsid w:val="66A52F5C"/>
    <w:rsid w:val="66D954CC"/>
    <w:rsid w:val="67114B3D"/>
    <w:rsid w:val="67E92EA9"/>
    <w:rsid w:val="682F6F61"/>
    <w:rsid w:val="6847215B"/>
    <w:rsid w:val="685D143A"/>
    <w:rsid w:val="68D6048A"/>
    <w:rsid w:val="68FE744E"/>
    <w:rsid w:val="691E51ED"/>
    <w:rsid w:val="69B86930"/>
    <w:rsid w:val="6A7327BB"/>
    <w:rsid w:val="6A9040D6"/>
    <w:rsid w:val="6AEC0573"/>
    <w:rsid w:val="6B180289"/>
    <w:rsid w:val="6B3717AA"/>
    <w:rsid w:val="6B3B2237"/>
    <w:rsid w:val="6B400936"/>
    <w:rsid w:val="6B5248D0"/>
    <w:rsid w:val="6BA434AE"/>
    <w:rsid w:val="6C620B9C"/>
    <w:rsid w:val="6CEA0C3F"/>
    <w:rsid w:val="6D474D5A"/>
    <w:rsid w:val="6DCF4734"/>
    <w:rsid w:val="6E240C9E"/>
    <w:rsid w:val="6E9A15B6"/>
    <w:rsid w:val="6EA75850"/>
    <w:rsid w:val="6EA92E1B"/>
    <w:rsid w:val="6EB46BF7"/>
    <w:rsid w:val="6F5E26E0"/>
    <w:rsid w:val="6F853A72"/>
    <w:rsid w:val="6FC709C1"/>
    <w:rsid w:val="7037145A"/>
    <w:rsid w:val="708C07A3"/>
    <w:rsid w:val="717E613F"/>
    <w:rsid w:val="71CD6BAA"/>
    <w:rsid w:val="72207EB9"/>
    <w:rsid w:val="72640322"/>
    <w:rsid w:val="72701068"/>
    <w:rsid w:val="728126AF"/>
    <w:rsid w:val="72E23DCB"/>
    <w:rsid w:val="72EC14A9"/>
    <w:rsid w:val="73090EC9"/>
    <w:rsid w:val="736852AD"/>
    <w:rsid w:val="738B45BE"/>
    <w:rsid w:val="740575E2"/>
    <w:rsid w:val="74094000"/>
    <w:rsid w:val="74CB0B3D"/>
    <w:rsid w:val="75195642"/>
    <w:rsid w:val="755122F7"/>
    <w:rsid w:val="756674BF"/>
    <w:rsid w:val="757852AF"/>
    <w:rsid w:val="75DC2D5A"/>
    <w:rsid w:val="76786CDB"/>
    <w:rsid w:val="76AA2234"/>
    <w:rsid w:val="76CE5B23"/>
    <w:rsid w:val="76E17803"/>
    <w:rsid w:val="76EE693B"/>
    <w:rsid w:val="7748690C"/>
    <w:rsid w:val="77650C3F"/>
    <w:rsid w:val="77807FFB"/>
    <w:rsid w:val="7790064A"/>
    <w:rsid w:val="77A33441"/>
    <w:rsid w:val="77D912A6"/>
    <w:rsid w:val="78B55DFF"/>
    <w:rsid w:val="78E77642"/>
    <w:rsid w:val="791A2616"/>
    <w:rsid w:val="79736F4A"/>
    <w:rsid w:val="79CE3098"/>
    <w:rsid w:val="79CF6262"/>
    <w:rsid w:val="7A174DB8"/>
    <w:rsid w:val="7A4C4257"/>
    <w:rsid w:val="7A897C65"/>
    <w:rsid w:val="7ABD4230"/>
    <w:rsid w:val="7AFF4F87"/>
    <w:rsid w:val="7B496F6E"/>
    <w:rsid w:val="7B694B7E"/>
    <w:rsid w:val="7B945C5E"/>
    <w:rsid w:val="7C105077"/>
    <w:rsid w:val="7C4E34A7"/>
    <w:rsid w:val="7D0365EF"/>
    <w:rsid w:val="7D1C0762"/>
    <w:rsid w:val="7D507B55"/>
    <w:rsid w:val="7E765402"/>
    <w:rsid w:val="7E975C2B"/>
    <w:rsid w:val="7EB73BB7"/>
    <w:rsid w:val="7ECB257D"/>
    <w:rsid w:val="7F18621A"/>
    <w:rsid w:val="7FB33C81"/>
    <w:rsid w:val="7FD035A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qFormat="1" w:uiPriority="39"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imes New Roman" w:hAnsi="Times New Roman" w:eastAsia="Calibri" w:cs="Times New Roman"/>
      <w:sz w:val="22"/>
      <w:szCs w:val="22"/>
      <w:lang w:val="en-US" w:eastAsia="en-US" w:bidi="ar-SA"/>
    </w:rPr>
  </w:style>
  <w:style w:type="paragraph" w:styleId="2">
    <w:name w:val="heading 1"/>
    <w:basedOn w:val="1"/>
    <w:next w:val="1"/>
    <w:link w:val="44"/>
    <w:qFormat/>
    <w:uiPriority w:val="0"/>
    <w:pPr>
      <w:outlineLvl w:val="0"/>
    </w:pPr>
    <w:rPr>
      <w:rFonts w:ascii="黑体" w:hAnsi="黑体" w:eastAsia="黑体"/>
      <w:sz w:val="72"/>
      <w:szCs w:val="72"/>
    </w:rPr>
  </w:style>
  <w:style w:type="paragraph" w:styleId="3">
    <w:name w:val="heading 2"/>
    <w:basedOn w:val="1"/>
    <w:next w:val="1"/>
    <w:link w:val="45"/>
    <w:qFormat/>
    <w:uiPriority w:val="0"/>
    <w:pPr>
      <w:ind w:left="1558"/>
      <w:outlineLvl w:val="1"/>
    </w:pPr>
    <w:rPr>
      <w:rFonts w:ascii="黑体" w:hAnsi="黑体" w:eastAsia="黑体"/>
      <w:b/>
      <w:bCs/>
      <w:sz w:val="36"/>
      <w:szCs w:val="36"/>
    </w:rPr>
  </w:style>
  <w:style w:type="paragraph" w:styleId="4">
    <w:name w:val="heading 3"/>
    <w:basedOn w:val="1"/>
    <w:next w:val="5"/>
    <w:link w:val="46"/>
    <w:qFormat/>
    <w:uiPriority w:val="0"/>
    <w:pPr>
      <w:outlineLvl w:val="2"/>
    </w:pPr>
    <w:rPr>
      <w:rFonts w:ascii="黑体" w:hAnsi="黑体" w:eastAsia="黑体"/>
      <w:sz w:val="32"/>
      <w:szCs w:val="32"/>
    </w:rPr>
  </w:style>
  <w:style w:type="paragraph" w:styleId="6">
    <w:name w:val="heading 4"/>
    <w:basedOn w:val="1"/>
    <w:next w:val="5"/>
    <w:link w:val="43"/>
    <w:qFormat/>
    <w:uiPriority w:val="0"/>
    <w:pPr>
      <w:spacing w:before="34"/>
      <w:ind w:left="358"/>
      <w:outlineLvl w:val="3"/>
    </w:pPr>
    <w:rPr>
      <w:rFonts w:ascii="宋体" w:hAnsi="宋体" w:eastAsia="宋体"/>
      <w:b/>
      <w:bCs/>
      <w:sz w:val="24"/>
      <w:szCs w:val="24"/>
    </w:rPr>
  </w:style>
  <w:style w:type="paragraph" w:styleId="7">
    <w:name w:val="heading 5"/>
    <w:basedOn w:val="1"/>
    <w:next w:val="5"/>
    <w:link w:val="47"/>
    <w:qFormat/>
    <w:uiPriority w:val="0"/>
    <w:pPr>
      <w:keepNext/>
      <w:keepLines/>
      <w:spacing w:before="280" w:after="290" w:line="372" w:lineRule="auto"/>
      <w:jc w:val="both"/>
      <w:outlineLvl w:val="4"/>
    </w:pPr>
    <w:rPr>
      <w:rFonts w:eastAsia="宋体"/>
      <w:b/>
      <w:bCs/>
      <w:sz w:val="28"/>
      <w:szCs w:val="28"/>
    </w:rPr>
  </w:style>
  <w:style w:type="paragraph" w:styleId="8">
    <w:name w:val="heading 6"/>
    <w:basedOn w:val="1"/>
    <w:next w:val="1"/>
    <w:link w:val="48"/>
    <w:qFormat/>
    <w:uiPriority w:val="0"/>
    <w:pPr>
      <w:keepNext/>
      <w:keepLines/>
      <w:widowControl/>
      <w:tabs>
        <w:tab w:val="left" w:pos="1440"/>
      </w:tabs>
      <w:spacing w:before="240" w:after="64" w:line="317" w:lineRule="auto"/>
      <w:ind w:left="1152" w:hanging="1152"/>
      <w:outlineLvl w:val="5"/>
    </w:pPr>
    <w:rPr>
      <w:rFonts w:ascii="Arial" w:hAnsi="Arial" w:eastAsia="黑体"/>
      <w:b/>
      <w:sz w:val="24"/>
      <w:szCs w:val="20"/>
    </w:rPr>
  </w:style>
  <w:style w:type="paragraph" w:styleId="9">
    <w:name w:val="heading 7"/>
    <w:basedOn w:val="1"/>
    <w:next w:val="1"/>
    <w:link w:val="49"/>
    <w:qFormat/>
    <w:uiPriority w:val="0"/>
    <w:pPr>
      <w:keepNext/>
      <w:keepLines/>
      <w:widowControl/>
      <w:tabs>
        <w:tab w:val="left" w:pos="2520"/>
      </w:tabs>
      <w:spacing w:before="240" w:after="64" w:line="317" w:lineRule="auto"/>
      <w:ind w:left="1296" w:hanging="1296"/>
      <w:outlineLvl w:val="6"/>
    </w:pPr>
    <w:rPr>
      <w:rFonts w:eastAsia="宋体"/>
      <w:b/>
      <w:sz w:val="24"/>
      <w:szCs w:val="20"/>
    </w:rPr>
  </w:style>
  <w:style w:type="paragraph" w:styleId="10">
    <w:name w:val="heading 8"/>
    <w:basedOn w:val="1"/>
    <w:next w:val="1"/>
    <w:link w:val="50"/>
    <w:qFormat/>
    <w:uiPriority w:val="0"/>
    <w:pPr>
      <w:keepNext/>
      <w:keepLines/>
      <w:widowControl/>
      <w:tabs>
        <w:tab w:val="left" w:pos="1440"/>
      </w:tabs>
      <w:spacing w:before="240" w:after="64" w:line="317" w:lineRule="auto"/>
      <w:ind w:left="1440" w:hanging="1440"/>
      <w:outlineLvl w:val="7"/>
    </w:pPr>
    <w:rPr>
      <w:rFonts w:ascii="Arial" w:hAnsi="Arial" w:eastAsia="黑体"/>
      <w:sz w:val="24"/>
      <w:szCs w:val="20"/>
    </w:rPr>
  </w:style>
  <w:style w:type="paragraph" w:styleId="11">
    <w:name w:val="heading 9"/>
    <w:basedOn w:val="1"/>
    <w:next w:val="1"/>
    <w:link w:val="51"/>
    <w:qFormat/>
    <w:uiPriority w:val="0"/>
    <w:pPr>
      <w:keepNext/>
      <w:keepLines/>
      <w:widowControl/>
      <w:tabs>
        <w:tab w:val="left" w:pos="1584"/>
      </w:tabs>
      <w:spacing w:before="240" w:after="64" w:line="317" w:lineRule="auto"/>
      <w:ind w:left="1584" w:hanging="1584"/>
      <w:outlineLvl w:val="8"/>
    </w:pPr>
    <w:rPr>
      <w:rFonts w:ascii="Arial" w:hAnsi="Arial" w:eastAsia="黑体"/>
      <w:sz w:val="21"/>
      <w:szCs w:val="20"/>
    </w:rPr>
  </w:style>
  <w:style w:type="character" w:default="1" w:styleId="36">
    <w:name w:val="Default Paragraph Font"/>
    <w:unhideWhenUsed/>
    <w:qFormat/>
    <w:uiPriority w:val="1"/>
  </w:style>
  <w:style w:type="table" w:default="1" w:styleId="34">
    <w:name w:val="Normal Table"/>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style>
  <w:style w:type="paragraph" w:styleId="12">
    <w:name w:val="toc 7"/>
    <w:basedOn w:val="1"/>
    <w:next w:val="1"/>
    <w:unhideWhenUsed/>
    <w:qFormat/>
    <w:uiPriority w:val="39"/>
    <w:pPr>
      <w:ind w:left="2520" w:leftChars="1200"/>
      <w:jc w:val="both"/>
    </w:pPr>
    <w:rPr>
      <w:rFonts w:ascii="Calibri" w:hAnsi="Calibri" w:eastAsia="宋体"/>
      <w:kern w:val="2"/>
      <w:sz w:val="21"/>
      <w:lang w:eastAsia="zh-CN"/>
    </w:rPr>
  </w:style>
  <w:style w:type="paragraph" w:styleId="13">
    <w:name w:val="Document Map"/>
    <w:basedOn w:val="1"/>
    <w:link w:val="52"/>
    <w:qFormat/>
    <w:uiPriority w:val="0"/>
    <w:pPr>
      <w:shd w:val="clear" w:color="auto" w:fill="000080"/>
      <w:jc w:val="both"/>
    </w:pPr>
    <w:rPr>
      <w:rFonts w:eastAsia="宋体"/>
      <w:kern w:val="2"/>
      <w:sz w:val="21"/>
      <w:szCs w:val="20"/>
    </w:rPr>
  </w:style>
  <w:style w:type="paragraph" w:styleId="14">
    <w:name w:val="annotation text"/>
    <w:basedOn w:val="1"/>
    <w:link w:val="53"/>
    <w:qFormat/>
    <w:uiPriority w:val="0"/>
    <w:rPr>
      <w:sz w:val="20"/>
    </w:rPr>
  </w:style>
  <w:style w:type="paragraph" w:styleId="15">
    <w:name w:val="Body Text 3"/>
    <w:basedOn w:val="1"/>
    <w:link w:val="54"/>
    <w:qFormat/>
    <w:uiPriority w:val="0"/>
    <w:pPr>
      <w:jc w:val="both"/>
    </w:pPr>
    <w:rPr>
      <w:rFonts w:ascii="宋体" w:eastAsia="宋体"/>
      <w:sz w:val="24"/>
      <w:szCs w:val="20"/>
    </w:rPr>
  </w:style>
  <w:style w:type="paragraph" w:styleId="16">
    <w:name w:val="Body Text"/>
    <w:basedOn w:val="1"/>
    <w:link w:val="55"/>
    <w:qFormat/>
    <w:uiPriority w:val="0"/>
    <w:pPr>
      <w:spacing w:before="34"/>
      <w:ind w:left="118"/>
    </w:pPr>
    <w:rPr>
      <w:rFonts w:ascii="宋体" w:hAnsi="宋体" w:eastAsia="宋体"/>
      <w:sz w:val="24"/>
      <w:szCs w:val="24"/>
    </w:rPr>
  </w:style>
  <w:style w:type="paragraph" w:styleId="17">
    <w:name w:val="Body Text Indent"/>
    <w:basedOn w:val="1"/>
    <w:link w:val="56"/>
    <w:qFormat/>
    <w:uiPriority w:val="0"/>
    <w:pPr>
      <w:spacing w:after="120"/>
      <w:ind w:left="420" w:leftChars="200"/>
      <w:jc w:val="both"/>
    </w:pPr>
    <w:rPr>
      <w:rFonts w:ascii="Calibri" w:hAnsi="Calibri" w:eastAsia="宋体"/>
      <w:kern w:val="2"/>
      <w:sz w:val="21"/>
    </w:rPr>
  </w:style>
  <w:style w:type="paragraph" w:styleId="18">
    <w:name w:val="index 4"/>
    <w:basedOn w:val="1"/>
    <w:next w:val="1"/>
    <w:qFormat/>
    <w:uiPriority w:val="0"/>
    <w:pPr>
      <w:ind w:left="600" w:leftChars="600"/>
      <w:jc w:val="both"/>
    </w:pPr>
    <w:rPr>
      <w:rFonts w:eastAsia="宋体"/>
      <w:kern w:val="2"/>
      <w:sz w:val="21"/>
      <w:szCs w:val="24"/>
      <w:lang w:eastAsia="zh-CN"/>
    </w:rPr>
  </w:style>
  <w:style w:type="paragraph" w:styleId="19">
    <w:name w:val="toc 3"/>
    <w:basedOn w:val="1"/>
    <w:next w:val="1"/>
    <w:qFormat/>
    <w:uiPriority w:val="39"/>
    <w:pPr>
      <w:ind w:left="840" w:leftChars="400"/>
      <w:jc w:val="both"/>
    </w:pPr>
    <w:rPr>
      <w:rFonts w:eastAsia="宋体"/>
      <w:kern w:val="2"/>
      <w:sz w:val="21"/>
      <w:szCs w:val="20"/>
      <w:lang w:eastAsia="zh-CN"/>
    </w:rPr>
  </w:style>
  <w:style w:type="paragraph" w:styleId="20">
    <w:name w:val="Plain Text"/>
    <w:basedOn w:val="1"/>
    <w:link w:val="57"/>
    <w:qFormat/>
    <w:uiPriority w:val="0"/>
    <w:pPr>
      <w:jc w:val="both"/>
    </w:pPr>
    <w:rPr>
      <w:rFonts w:ascii="宋体" w:hAnsi="Courier New" w:eastAsia="宋体"/>
      <w:sz w:val="20"/>
      <w:szCs w:val="20"/>
    </w:rPr>
  </w:style>
  <w:style w:type="paragraph" w:styleId="21">
    <w:name w:val="Date"/>
    <w:basedOn w:val="1"/>
    <w:next w:val="1"/>
    <w:link w:val="58"/>
    <w:qFormat/>
    <w:uiPriority w:val="0"/>
    <w:pPr>
      <w:jc w:val="both"/>
    </w:pPr>
    <w:rPr>
      <w:rFonts w:eastAsia="宋体"/>
      <w:kern w:val="2"/>
      <w:sz w:val="24"/>
      <w:szCs w:val="20"/>
    </w:rPr>
  </w:style>
  <w:style w:type="paragraph" w:styleId="22">
    <w:name w:val="Balloon Text"/>
    <w:basedOn w:val="1"/>
    <w:link w:val="59"/>
    <w:qFormat/>
    <w:uiPriority w:val="0"/>
    <w:rPr>
      <w:sz w:val="18"/>
      <w:szCs w:val="18"/>
    </w:rPr>
  </w:style>
  <w:style w:type="paragraph" w:styleId="23">
    <w:name w:val="footer"/>
    <w:basedOn w:val="1"/>
    <w:link w:val="60"/>
    <w:qFormat/>
    <w:uiPriority w:val="99"/>
    <w:pPr>
      <w:tabs>
        <w:tab w:val="center" w:pos="4153"/>
        <w:tab w:val="right" w:pos="8306"/>
      </w:tabs>
      <w:snapToGrid w:val="0"/>
    </w:pPr>
    <w:rPr>
      <w:sz w:val="18"/>
    </w:rPr>
  </w:style>
  <w:style w:type="paragraph" w:styleId="24">
    <w:name w:val="header"/>
    <w:basedOn w:val="1"/>
    <w:link w:val="6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25">
    <w:name w:val="toc 1"/>
    <w:basedOn w:val="1"/>
    <w:next w:val="1"/>
    <w:qFormat/>
    <w:uiPriority w:val="39"/>
    <w:pPr>
      <w:spacing w:before="271"/>
    </w:pPr>
    <w:rPr>
      <w:rFonts w:ascii="宋体" w:hAnsi="宋体" w:eastAsia="宋体"/>
      <w:b/>
      <w:bCs/>
      <w:sz w:val="24"/>
      <w:szCs w:val="24"/>
    </w:rPr>
  </w:style>
  <w:style w:type="paragraph" w:styleId="26">
    <w:name w:val="Subtitle"/>
    <w:basedOn w:val="1"/>
    <w:next w:val="1"/>
    <w:link w:val="62"/>
    <w:qFormat/>
    <w:uiPriority w:val="0"/>
    <w:pPr>
      <w:spacing w:before="240" w:after="60" w:line="312" w:lineRule="auto"/>
      <w:jc w:val="center"/>
      <w:outlineLvl w:val="1"/>
    </w:pPr>
    <w:rPr>
      <w:rFonts w:ascii="Cambria" w:hAnsi="Cambria" w:eastAsia="宋体"/>
      <w:b/>
      <w:bCs/>
      <w:kern w:val="28"/>
      <w:sz w:val="32"/>
      <w:szCs w:val="32"/>
    </w:rPr>
  </w:style>
  <w:style w:type="paragraph" w:styleId="27">
    <w:name w:val="Body Text Indent 3"/>
    <w:basedOn w:val="1"/>
    <w:link w:val="63"/>
    <w:qFormat/>
    <w:uiPriority w:val="0"/>
    <w:pPr>
      <w:spacing w:after="120"/>
      <w:ind w:left="420" w:leftChars="200"/>
      <w:jc w:val="both"/>
    </w:pPr>
    <w:rPr>
      <w:rFonts w:eastAsia="宋体"/>
      <w:kern w:val="2"/>
      <w:sz w:val="16"/>
      <w:szCs w:val="20"/>
    </w:rPr>
  </w:style>
  <w:style w:type="paragraph" w:styleId="28">
    <w:name w:val="toc 2"/>
    <w:basedOn w:val="1"/>
    <w:next w:val="1"/>
    <w:qFormat/>
    <w:uiPriority w:val="39"/>
    <w:pPr>
      <w:spacing w:before="151"/>
      <w:ind w:left="327"/>
    </w:pPr>
    <w:rPr>
      <w:rFonts w:ascii="宋体" w:hAnsi="宋体" w:eastAsia="宋体"/>
      <w:sz w:val="24"/>
      <w:szCs w:val="24"/>
    </w:rPr>
  </w:style>
  <w:style w:type="paragraph" w:styleId="29">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30">
    <w:name w:val="index 1"/>
    <w:basedOn w:val="1"/>
    <w:next w:val="1"/>
    <w:qFormat/>
    <w:uiPriority w:val="0"/>
    <w:pPr>
      <w:spacing w:line="220" w:lineRule="exact"/>
      <w:jc w:val="center"/>
    </w:pPr>
    <w:rPr>
      <w:rFonts w:ascii="仿宋_GB2312" w:eastAsia="仿宋_GB2312"/>
      <w:kern w:val="2"/>
      <w:sz w:val="21"/>
      <w:szCs w:val="20"/>
      <w:lang w:eastAsia="zh-CN"/>
    </w:rPr>
  </w:style>
  <w:style w:type="paragraph" w:styleId="31">
    <w:name w:val="Title"/>
    <w:basedOn w:val="1"/>
    <w:next w:val="1"/>
    <w:link w:val="64"/>
    <w:qFormat/>
    <w:uiPriority w:val="0"/>
    <w:pPr>
      <w:spacing w:before="240" w:after="60"/>
      <w:jc w:val="center"/>
      <w:outlineLvl w:val="0"/>
    </w:pPr>
    <w:rPr>
      <w:rFonts w:ascii="Cambria" w:hAnsi="Cambria" w:eastAsia="宋体"/>
      <w:b/>
      <w:bCs/>
      <w:sz w:val="32"/>
      <w:szCs w:val="32"/>
    </w:rPr>
  </w:style>
  <w:style w:type="paragraph" w:styleId="32">
    <w:name w:val="annotation subject"/>
    <w:basedOn w:val="14"/>
    <w:next w:val="14"/>
    <w:link w:val="65"/>
    <w:qFormat/>
    <w:uiPriority w:val="0"/>
    <w:rPr>
      <w:rFonts w:ascii="宋体" w:eastAsia="宋体"/>
      <w:b/>
      <w:bCs/>
      <w:sz w:val="28"/>
      <w:szCs w:val="20"/>
    </w:rPr>
  </w:style>
  <w:style w:type="paragraph" w:styleId="33">
    <w:name w:val="Body Text First Indent"/>
    <w:basedOn w:val="16"/>
    <w:link w:val="66"/>
    <w:qFormat/>
    <w:uiPriority w:val="0"/>
    <w:pPr>
      <w:spacing w:before="0" w:after="120"/>
      <w:ind w:left="0" w:firstLine="420" w:firstLineChars="100"/>
    </w:pPr>
    <w:rPr>
      <w:rFonts w:eastAsia="Calibri"/>
      <w:sz w:val="22"/>
      <w:szCs w:val="22"/>
    </w:rPr>
  </w:style>
  <w:style w:type="table" w:styleId="35">
    <w:name w:val="Table Grid"/>
    <w:basedOn w:val="3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qFormat/>
    <w:uiPriority w:val="0"/>
    <w:rPr>
      <w:b/>
      <w:bCs/>
    </w:rPr>
  </w:style>
  <w:style w:type="character" w:styleId="38">
    <w:name w:val="page number"/>
    <w:qFormat/>
    <w:uiPriority w:val="0"/>
  </w:style>
  <w:style w:type="character" w:styleId="39">
    <w:name w:val="FollowedHyperlink"/>
    <w:unhideWhenUsed/>
    <w:qFormat/>
    <w:uiPriority w:val="99"/>
    <w:rPr>
      <w:color w:val="800080"/>
      <w:u w:val="single"/>
    </w:rPr>
  </w:style>
  <w:style w:type="character" w:styleId="40">
    <w:name w:val="Emphasis"/>
    <w:qFormat/>
    <w:uiPriority w:val="0"/>
    <w:rPr>
      <w:i/>
      <w:iCs/>
    </w:rPr>
  </w:style>
  <w:style w:type="character" w:styleId="41">
    <w:name w:val="Hyperlink"/>
    <w:qFormat/>
    <w:uiPriority w:val="99"/>
    <w:rPr>
      <w:color w:val="0000FF"/>
      <w:u w:val="single"/>
    </w:rPr>
  </w:style>
  <w:style w:type="character" w:styleId="42">
    <w:name w:val="annotation reference"/>
    <w:qFormat/>
    <w:uiPriority w:val="0"/>
    <w:rPr>
      <w:sz w:val="21"/>
    </w:rPr>
  </w:style>
  <w:style w:type="character" w:customStyle="1" w:styleId="43">
    <w:name w:val="标题 4 字符"/>
    <w:link w:val="6"/>
    <w:qFormat/>
    <w:uiPriority w:val="0"/>
    <w:rPr>
      <w:rFonts w:ascii="宋体" w:hAnsi="宋体"/>
      <w:b/>
      <w:bCs/>
      <w:sz w:val="24"/>
      <w:szCs w:val="24"/>
      <w:lang w:eastAsia="en-US"/>
    </w:rPr>
  </w:style>
  <w:style w:type="character" w:customStyle="1" w:styleId="44">
    <w:name w:val="标题 1 字符"/>
    <w:link w:val="2"/>
    <w:qFormat/>
    <w:uiPriority w:val="0"/>
    <w:rPr>
      <w:rFonts w:ascii="黑体" w:hAnsi="黑体" w:eastAsia="黑体"/>
      <w:sz w:val="72"/>
      <w:szCs w:val="72"/>
      <w:lang w:eastAsia="en-US"/>
    </w:rPr>
  </w:style>
  <w:style w:type="character" w:customStyle="1" w:styleId="45">
    <w:name w:val="标题 2 字符"/>
    <w:link w:val="3"/>
    <w:qFormat/>
    <w:uiPriority w:val="0"/>
    <w:rPr>
      <w:rFonts w:ascii="黑体" w:hAnsi="黑体" w:eastAsia="黑体"/>
      <w:b/>
      <w:bCs/>
      <w:sz w:val="36"/>
      <w:szCs w:val="36"/>
      <w:lang w:eastAsia="en-US"/>
    </w:rPr>
  </w:style>
  <w:style w:type="character" w:customStyle="1" w:styleId="46">
    <w:name w:val="标题 3 字符"/>
    <w:link w:val="4"/>
    <w:qFormat/>
    <w:uiPriority w:val="0"/>
    <w:rPr>
      <w:rFonts w:ascii="黑体" w:hAnsi="黑体" w:eastAsia="黑体"/>
      <w:sz w:val="32"/>
      <w:szCs w:val="32"/>
      <w:lang w:eastAsia="en-US"/>
    </w:rPr>
  </w:style>
  <w:style w:type="character" w:customStyle="1" w:styleId="47">
    <w:name w:val="标题 5 字符"/>
    <w:link w:val="7"/>
    <w:qFormat/>
    <w:uiPriority w:val="0"/>
    <w:rPr>
      <w:b/>
      <w:bCs/>
      <w:sz w:val="28"/>
      <w:szCs w:val="28"/>
    </w:rPr>
  </w:style>
  <w:style w:type="character" w:customStyle="1" w:styleId="48">
    <w:name w:val="标题 6 字符"/>
    <w:link w:val="8"/>
    <w:qFormat/>
    <w:uiPriority w:val="0"/>
    <w:rPr>
      <w:rFonts w:ascii="Arial" w:hAnsi="Arial" w:eastAsia="黑体"/>
      <w:b/>
      <w:sz w:val="24"/>
    </w:rPr>
  </w:style>
  <w:style w:type="character" w:customStyle="1" w:styleId="49">
    <w:name w:val="标题 7 字符"/>
    <w:link w:val="9"/>
    <w:qFormat/>
    <w:uiPriority w:val="0"/>
    <w:rPr>
      <w:rFonts w:ascii="Times New Roman" w:hAnsi="Times New Roman"/>
      <w:b/>
      <w:sz w:val="24"/>
    </w:rPr>
  </w:style>
  <w:style w:type="character" w:customStyle="1" w:styleId="50">
    <w:name w:val="标题 8 字符"/>
    <w:link w:val="10"/>
    <w:qFormat/>
    <w:uiPriority w:val="0"/>
    <w:rPr>
      <w:rFonts w:ascii="Arial" w:hAnsi="Arial" w:eastAsia="黑体"/>
      <w:sz w:val="24"/>
    </w:rPr>
  </w:style>
  <w:style w:type="character" w:customStyle="1" w:styleId="51">
    <w:name w:val="标题 9 字符"/>
    <w:link w:val="11"/>
    <w:qFormat/>
    <w:uiPriority w:val="0"/>
    <w:rPr>
      <w:rFonts w:ascii="Arial" w:hAnsi="Arial" w:eastAsia="黑体"/>
      <w:sz w:val="21"/>
    </w:rPr>
  </w:style>
  <w:style w:type="character" w:customStyle="1" w:styleId="52">
    <w:name w:val="文档结构图 字符"/>
    <w:link w:val="13"/>
    <w:qFormat/>
    <w:uiPriority w:val="0"/>
    <w:rPr>
      <w:rFonts w:ascii="Times New Roman" w:hAnsi="Times New Roman"/>
      <w:kern w:val="2"/>
      <w:sz w:val="21"/>
      <w:shd w:val="clear" w:color="auto" w:fill="000080"/>
    </w:rPr>
  </w:style>
  <w:style w:type="character" w:customStyle="1" w:styleId="53">
    <w:name w:val="批注文字 字符"/>
    <w:link w:val="14"/>
    <w:qFormat/>
    <w:locked/>
    <w:uiPriority w:val="0"/>
    <w:rPr>
      <w:rFonts w:eastAsia="Calibri"/>
      <w:szCs w:val="22"/>
      <w:lang w:eastAsia="en-US"/>
    </w:rPr>
  </w:style>
  <w:style w:type="character" w:customStyle="1" w:styleId="54">
    <w:name w:val="正文文本 3 字符"/>
    <w:link w:val="15"/>
    <w:qFormat/>
    <w:uiPriority w:val="0"/>
    <w:rPr>
      <w:rFonts w:ascii="宋体"/>
      <w:sz w:val="24"/>
    </w:rPr>
  </w:style>
  <w:style w:type="character" w:customStyle="1" w:styleId="55">
    <w:name w:val="正文文本 字符"/>
    <w:link w:val="16"/>
    <w:qFormat/>
    <w:uiPriority w:val="0"/>
    <w:rPr>
      <w:rFonts w:ascii="宋体" w:hAnsi="宋体"/>
      <w:sz w:val="24"/>
      <w:szCs w:val="24"/>
      <w:lang w:eastAsia="en-US"/>
    </w:rPr>
  </w:style>
  <w:style w:type="character" w:customStyle="1" w:styleId="56">
    <w:name w:val="正文文本缩进 字符"/>
    <w:link w:val="17"/>
    <w:qFormat/>
    <w:uiPriority w:val="0"/>
    <w:rPr>
      <w:rFonts w:ascii="Calibri" w:hAnsi="Calibri" w:eastAsia="宋体" w:cs="Times New Roman"/>
      <w:kern w:val="2"/>
      <w:sz w:val="21"/>
      <w:szCs w:val="22"/>
    </w:rPr>
  </w:style>
  <w:style w:type="character" w:customStyle="1" w:styleId="57">
    <w:name w:val="纯文本 字符"/>
    <w:link w:val="20"/>
    <w:qFormat/>
    <w:uiPriority w:val="0"/>
    <w:rPr>
      <w:rFonts w:ascii="宋体" w:hAnsi="Courier New"/>
    </w:rPr>
  </w:style>
  <w:style w:type="character" w:customStyle="1" w:styleId="58">
    <w:name w:val="日期 字符"/>
    <w:link w:val="21"/>
    <w:qFormat/>
    <w:uiPriority w:val="0"/>
    <w:rPr>
      <w:rFonts w:ascii="Times New Roman" w:hAnsi="Times New Roman"/>
      <w:kern w:val="2"/>
      <w:sz w:val="24"/>
    </w:rPr>
  </w:style>
  <w:style w:type="character" w:customStyle="1" w:styleId="59">
    <w:name w:val="批注框文本 字符"/>
    <w:link w:val="22"/>
    <w:qFormat/>
    <w:uiPriority w:val="0"/>
    <w:rPr>
      <w:rFonts w:eastAsia="Calibri"/>
      <w:sz w:val="18"/>
      <w:szCs w:val="18"/>
      <w:lang w:eastAsia="en-US"/>
    </w:rPr>
  </w:style>
  <w:style w:type="character" w:customStyle="1" w:styleId="60">
    <w:name w:val="页脚 字符"/>
    <w:link w:val="23"/>
    <w:qFormat/>
    <w:uiPriority w:val="99"/>
    <w:rPr>
      <w:rFonts w:eastAsia="Calibri"/>
      <w:sz w:val="18"/>
      <w:szCs w:val="22"/>
      <w:lang w:eastAsia="en-US"/>
    </w:rPr>
  </w:style>
  <w:style w:type="character" w:customStyle="1" w:styleId="61">
    <w:name w:val="页眉 字符"/>
    <w:link w:val="24"/>
    <w:qFormat/>
    <w:uiPriority w:val="0"/>
    <w:rPr>
      <w:rFonts w:eastAsia="Calibri"/>
      <w:sz w:val="18"/>
      <w:szCs w:val="22"/>
      <w:lang w:eastAsia="en-US"/>
    </w:rPr>
  </w:style>
  <w:style w:type="character" w:customStyle="1" w:styleId="62">
    <w:name w:val="副标题 字符"/>
    <w:link w:val="26"/>
    <w:qFormat/>
    <w:uiPriority w:val="0"/>
    <w:rPr>
      <w:rFonts w:ascii="Cambria" w:hAnsi="Cambria"/>
      <w:b/>
      <w:bCs/>
      <w:kern w:val="28"/>
      <w:sz w:val="32"/>
      <w:szCs w:val="32"/>
    </w:rPr>
  </w:style>
  <w:style w:type="character" w:customStyle="1" w:styleId="63">
    <w:name w:val="正文文本缩进 3 字符"/>
    <w:link w:val="27"/>
    <w:qFormat/>
    <w:uiPriority w:val="0"/>
    <w:rPr>
      <w:rFonts w:ascii="Times New Roman" w:hAnsi="Times New Roman"/>
      <w:kern w:val="2"/>
      <w:sz w:val="16"/>
    </w:rPr>
  </w:style>
  <w:style w:type="character" w:customStyle="1" w:styleId="64">
    <w:name w:val="标题 字符"/>
    <w:link w:val="31"/>
    <w:qFormat/>
    <w:uiPriority w:val="0"/>
    <w:rPr>
      <w:rFonts w:ascii="Cambria" w:hAnsi="Cambria"/>
      <w:b/>
      <w:bCs/>
      <w:sz w:val="32"/>
      <w:szCs w:val="32"/>
      <w:lang w:eastAsia="en-US"/>
    </w:rPr>
  </w:style>
  <w:style w:type="character" w:customStyle="1" w:styleId="65">
    <w:name w:val="批注主题 字符"/>
    <w:link w:val="32"/>
    <w:qFormat/>
    <w:uiPriority w:val="0"/>
    <w:rPr>
      <w:rFonts w:ascii="宋体"/>
      <w:b/>
      <w:bCs/>
      <w:sz w:val="28"/>
    </w:rPr>
  </w:style>
  <w:style w:type="character" w:customStyle="1" w:styleId="66">
    <w:name w:val="正文文本首行缩进 字符"/>
    <w:link w:val="33"/>
    <w:qFormat/>
    <w:uiPriority w:val="0"/>
    <w:rPr>
      <w:rFonts w:ascii="宋体" w:hAnsi="宋体" w:eastAsia="Calibri"/>
      <w:sz w:val="22"/>
      <w:szCs w:val="22"/>
      <w:lang w:eastAsia="en-US"/>
    </w:rPr>
  </w:style>
  <w:style w:type="character" w:customStyle="1" w:styleId="67">
    <w:name w:val="NormalCharacter1"/>
    <w:qFormat/>
    <w:uiPriority w:val="0"/>
    <w:rPr>
      <w:rFonts w:eastAsia="Calibri"/>
      <w:sz w:val="22"/>
      <w:szCs w:val="22"/>
      <w:lang w:val="en-US" w:eastAsia="en-US" w:bidi="ar-SA"/>
    </w:rPr>
  </w:style>
  <w:style w:type="paragraph" w:customStyle="1" w:styleId="68">
    <w:name w:val="Default"/>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69">
    <w:name w:val="列出段落1"/>
    <w:qFormat/>
    <w:uiPriority w:val="99"/>
    <w:pPr>
      <w:widowControl w:val="0"/>
      <w:pBdr>
        <w:top w:val="none" w:color="FFFFFF" w:sz="0" w:space="31"/>
        <w:left w:val="none" w:color="FFFFFF" w:sz="0" w:space="31"/>
        <w:bottom w:val="none" w:color="FFFFFF" w:sz="0" w:space="31"/>
        <w:right w:val="none" w:color="FFFFFF" w:sz="0" w:space="31"/>
      </w:pBdr>
    </w:pPr>
    <w:rPr>
      <w:rFonts w:ascii="Arial Unicode MS" w:hAnsi="Arial Unicode MS" w:eastAsia="宋体" w:cs="Arial Unicode MS"/>
      <w:color w:val="000000"/>
      <w:sz w:val="22"/>
      <w:szCs w:val="22"/>
      <w:shd w:val="clear" w:color="FFFFFF" w:fill="FFFFFF"/>
      <w:lang w:val="en-US" w:eastAsia="zh-CN" w:bidi="ar-SA"/>
    </w:rPr>
  </w:style>
  <w:style w:type="paragraph" w:customStyle="1" w:styleId="70">
    <w:name w:val="首行缩进"/>
    <w:basedOn w:val="1"/>
    <w:qFormat/>
    <w:uiPriority w:val="99"/>
    <w:pPr>
      <w:spacing w:line="360" w:lineRule="auto"/>
      <w:ind w:firstLine="480" w:firstLineChars="200"/>
    </w:pPr>
    <w:rPr>
      <w:rFonts w:ascii="宋体" w:hAnsi="宋体"/>
      <w:sz w:val="24"/>
      <w:szCs w:val="24"/>
    </w:rPr>
  </w:style>
  <w:style w:type="character" w:customStyle="1" w:styleId="71">
    <w:name w:val="批注文字 Char3"/>
    <w:qFormat/>
    <w:uiPriority w:val="0"/>
    <w:rPr>
      <w:rFonts w:ascii="Times New Roman" w:hAnsi="Times New Roman" w:eastAsia="宋体" w:cs="Times New Roman"/>
      <w:szCs w:val="20"/>
    </w:rPr>
  </w:style>
  <w:style w:type="character" w:customStyle="1" w:styleId="72">
    <w:name w:val="标题4 Char Char"/>
    <w:link w:val="73"/>
    <w:qFormat/>
    <w:uiPriority w:val="0"/>
    <w:rPr>
      <w:rFonts w:ascii="Arial" w:hAnsi="Arial"/>
      <w:b/>
      <w:bCs/>
      <w:sz w:val="24"/>
      <w:szCs w:val="32"/>
    </w:rPr>
  </w:style>
  <w:style w:type="paragraph" w:customStyle="1" w:styleId="73">
    <w:name w:val="标题4"/>
    <w:basedOn w:val="3"/>
    <w:next w:val="18"/>
    <w:link w:val="72"/>
    <w:qFormat/>
    <w:uiPriority w:val="0"/>
    <w:pPr>
      <w:keepNext/>
      <w:keepLines/>
      <w:spacing w:before="260" w:after="260" w:line="413" w:lineRule="auto"/>
      <w:ind w:left="0"/>
      <w:jc w:val="both"/>
    </w:pPr>
    <w:rPr>
      <w:rFonts w:ascii="Arial" w:hAnsi="Arial" w:eastAsia="宋体"/>
      <w:sz w:val="24"/>
      <w:szCs w:val="32"/>
    </w:rPr>
  </w:style>
  <w:style w:type="character" w:customStyle="1" w:styleId="74">
    <w:name w:val="批注主题 Char1"/>
    <w:qFormat/>
    <w:uiPriority w:val="0"/>
    <w:rPr>
      <w:rFonts w:eastAsia="Calibri"/>
      <w:b/>
      <w:bCs/>
      <w:sz w:val="22"/>
      <w:szCs w:val="22"/>
      <w:lang w:eastAsia="en-US"/>
    </w:rPr>
  </w:style>
  <w:style w:type="character" w:customStyle="1" w:styleId="75">
    <w:name w:val="纯文本 Char1"/>
    <w:qFormat/>
    <w:uiPriority w:val="0"/>
    <w:rPr>
      <w:rFonts w:ascii="宋体" w:hAnsi="Courier New" w:cs="Courier New"/>
      <w:sz w:val="21"/>
      <w:szCs w:val="21"/>
      <w:lang w:eastAsia="en-US"/>
    </w:rPr>
  </w:style>
  <w:style w:type="character" w:customStyle="1" w:styleId="76">
    <w:name w:val="NormalCharacter"/>
    <w:qFormat/>
    <w:uiPriority w:val="0"/>
  </w:style>
  <w:style w:type="character" w:customStyle="1" w:styleId="77">
    <w:name w:val="_Style 76"/>
    <w:unhideWhenUsed/>
    <w:qFormat/>
    <w:uiPriority w:val="99"/>
    <w:rPr>
      <w:color w:val="605E5C"/>
      <w:shd w:val="clear" w:color="auto" w:fill="E1DFDD"/>
    </w:rPr>
  </w:style>
  <w:style w:type="character" w:customStyle="1" w:styleId="78">
    <w:name w:val="Subtle Reference"/>
    <w:qFormat/>
    <w:uiPriority w:val="0"/>
    <w:rPr>
      <w:smallCaps/>
      <w:color w:val="C0504D"/>
      <w:u w:val="single"/>
    </w:rPr>
  </w:style>
  <w:style w:type="character" w:customStyle="1" w:styleId="79">
    <w:name w:val="明显引用 Char2"/>
    <w:qFormat/>
    <w:uiPriority w:val="30"/>
    <w:rPr>
      <w:b/>
      <w:bCs/>
      <w:i/>
      <w:iCs/>
      <w:color w:val="4F81BD"/>
      <w:kern w:val="2"/>
      <w:sz w:val="21"/>
    </w:rPr>
  </w:style>
  <w:style w:type="character" w:customStyle="1" w:styleId="80">
    <w:name w:val="明显引用 Char1"/>
    <w:qFormat/>
    <w:uiPriority w:val="30"/>
    <w:rPr>
      <w:rFonts w:eastAsia="Calibri"/>
      <w:b/>
      <w:bCs/>
      <w:i/>
      <w:iCs/>
      <w:color w:val="4F81BD"/>
      <w:sz w:val="22"/>
      <w:szCs w:val="22"/>
      <w:lang w:eastAsia="en-US"/>
    </w:rPr>
  </w:style>
  <w:style w:type="character" w:customStyle="1" w:styleId="81">
    <w:name w:val="文档结构图 Char1"/>
    <w:qFormat/>
    <w:uiPriority w:val="99"/>
    <w:rPr>
      <w:rFonts w:ascii="宋体"/>
      <w:kern w:val="2"/>
      <w:sz w:val="18"/>
      <w:szCs w:val="18"/>
    </w:rPr>
  </w:style>
  <w:style w:type="character" w:customStyle="1" w:styleId="82">
    <w:name w:val="标题 3 Char Char Char"/>
    <w:qFormat/>
    <w:uiPriority w:val="0"/>
    <w:rPr>
      <w:rFonts w:eastAsia="宋体"/>
      <w:b/>
      <w:kern w:val="2"/>
      <w:sz w:val="32"/>
      <w:lang w:val="en-US" w:eastAsia="zh-CN" w:bidi="ar-SA"/>
    </w:rPr>
  </w:style>
  <w:style w:type="character" w:customStyle="1" w:styleId="83">
    <w:name w:val="副标题 Char2"/>
    <w:qFormat/>
    <w:uiPriority w:val="11"/>
    <w:rPr>
      <w:rFonts w:ascii="Cambria" w:hAnsi="Cambria" w:cs="Times New Roman"/>
      <w:b/>
      <w:bCs/>
      <w:kern w:val="28"/>
      <w:sz w:val="32"/>
      <w:szCs w:val="32"/>
      <w:lang w:eastAsia="en-US"/>
    </w:rPr>
  </w:style>
  <w:style w:type="character" w:customStyle="1" w:styleId="84">
    <w:name w:val="批注主题 Char3"/>
    <w:qFormat/>
    <w:uiPriority w:val="99"/>
  </w:style>
  <w:style w:type="character" w:customStyle="1" w:styleId="85">
    <w:name w:val="正文文本 Char2"/>
    <w:semiHidden/>
    <w:qFormat/>
    <w:uiPriority w:val="99"/>
    <w:rPr>
      <w:rFonts w:ascii="Calibri" w:hAnsi="Calibri" w:eastAsia="宋体" w:cs="Times New Roman"/>
    </w:rPr>
  </w:style>
  <w:style w:type="character" w:customStyle="1" w:styleId="86">
    <w:name w:val="明显引用 字符"/>
    <w:link w:val="87"/>
    <w:qFormat/>
    <w:uiPriority w:val="0"/>
    <w:rPr>
      <w:b/>
      <w:bCs/>
      <w:i/>
      <w:iCs/>
      <w:color w:val="4F81BD"/>
    </w:rPr>
  </w:style>
  <w:style w:type="paragraph" w:styleId="87">
    <w:name w:val="Intense Quote"/>
    <w:basedOn w:val="1"/>
    <w:next w:val="1"/>
    <w:link w:val="86"/>
    <w:qFormat/>
    <w:uiPriority w:val="0"/>
    <w:pPr>
      <w:pBdr>
        <w:bottom w:val="single" w:color="4F81BD" w:sz="4" w:space="4"/>
      </w:pBdr>
      <w:spacing w:before="200" w:after="280"/>
      <w:ind w:left="936" w:right="936"/>
      <w:jc w:val="both"/>
    </w:pPr>
    <w:rPr>
      <w:rFonts w:eastAsia="宋体"/>
      <w:b/>
      <w:bCs/>
      <w:i/>
      <w:iCs/>
      <w:color w:val="4F81BD"/>
      <w:sz w:val="20"/>
      <w:szCs w:val="20"/>
    </w:rPr>
  </w:style>
  <w:style w:type="character" w:customStyle="1" w:styleId="88">
    <w:name w:val="正文文本缩进 Char1"/>
    <w:qFormat/>
    <w:uiPriority w:val="99"/>
    <w:rPr>
      <w:rFonts w:eastAsia="Calibri"/>
      <w:sz w:val="22"/>
      <w:szCs w:val="22"/>
      <w:lang w:eastAsia="en-US"/>
    </w:rPr>
  </w:style>
  <w:style w:type="character" w:customStyle="1" w:styleId="89">
    <w:name w:val="文档结构图 Char2"/>
    <w:semiHidden/>
    <w:qFormat/>
    <w:uiPriority w:val="99"/>
    <w:rPr>
      <w:rFonts w:ascii="宋体" w:hAnsi="Calibri" w:eastAsia="宋体" w:cs="Times New Roman"/>
      <w:sz w:val="18"/>
      <w:szCs w:val="18"/>
    </w:rPr>
  </w:style>
  <w:style w:type="character" w:customStyle="1" w:styleId="90">
    <w:name w:val="Intense Emphasis"/>
    <w:qFormat/>
    <w:uiPriority w:val="0"/>
    <w:rPr>
      <w:b/>
      <w:bCs/>
      <w:i/>
      <w:iCs/>
      <w:color w:val="4F81BD"/>
    </w:rPr>
  </w:style>
  <w:style w:type="character" w:customStyle="1" w:styleId="91">
    <w:name w:val="正文文本 Char1"/>
    <w:qFormat/>
    <w:uiPriority w:val="99"/>
    <w:rPr>
      <w:kern w:val="2"/>
      <w:sz w:val="21"/>
      <w:szCs w:val="22"/>
    </w:rPr>
  </w:style>
  <w:style w:type="character" w:customStyle="1" w:styleId="92">
    <w:name w:val="批注主题 Char2"/>
    <w:qFormat/>
    <w:uiPriority w:val="99"/>
    <w:rPr>
      <w:b/>
      <w:bCs/>
      <w:kern w:val="2"/>
      <w:sz w:val="21"/>
    </w:rPr>
  </w:style>
  <w:style w:type="character" w:customStyle="1" w:styleId="93">
    <w:name w:val="批注框文本 Char1"/>
    <w:qFormat/>
    <w:uiPriority w:val="99"/>
    <w:rPr>
      <w:kern w:val="2"/>
      <w:sz w:val="18"/>
      <w:szCs w:val="18"/>
    </w:rPr>
  </w:style>
  <w:style w:type="character" w:customStyle="1" w:styleId="94">
    <w:name w:val="日期 Char1"/>
    <w:qFormat/>
    <w:uiPriority w:val="99"/>
    <w:rPr>
      <w:kern w:val="2"/>
      <w:sz w:val="21"/>
      <w:szCs w:val="22"/>
    </w:rPr>
  </w:style>
  <w:style w:type="character" w:customStyle="1" w:styleId="95">
    <w:name w:val="日期 Char2"/>
    <w:semiHidden/>
    <w:qFormat/>
    <w:uiPriority w:val="99"/>
    <w:rPr>
      <w:rFonts w:ascii="Calibri" w:hAnsi="Calibri" w:eastAsia="宋体" w:cs="Times New Roman"/>
    </w:rPr>
  </w:style>
  <w:style w:type="character" w:customStyle="1" w:styleId="96">
    <w:name w:val="textcontents"/>
    <w:qFormat/>
    <w:uiPriority w:val="0"/>
    <w:rPr>
      <w:rFonts w:cs="Times New Roman"/>
    </w:rPr>
  </w:style>
  <w:style w:type="character" w:customStyle="1" w:styleId="97">
    <w:name w:val="标题5 Char Char"/>
    <w:link w:val="98"/>
    <w:qFormat/>
    <w:uiPriority w:val="0"/>
    <w:rPr>
      <w:rFonts w:ascii="Arial" w:hAnsi="Arial"/>
      <w:b/>
      <w:bCs/>
      <w:sz w:val="24"/>
      <w:szCs w:val="32"/>
    </w:rPr>
  </w:style>
  <w:style w:type="paragraph" w:customStyle="1" w:styleId="98">
    <w:name w:val="标题5"/>
    <w:basedOn w:val="4"/>
    <w:link w:val="97"/>
    <w:qFormat/>
    <w:uiPriority w:val="0"/>
    <w:pPr>
      <w:keepNext/>
      <w:keepLines/>
      <w:spacing w:before="260" w:after="260" w:line="413" w:lineRule="auto"/>
      <w:jc w:val="both"/>
    </w:pPr>
    <w:rPr>
      <w:rFonts w:ascii="Arial" w:hAnsi="Arial" w:eastAsia="宋体"/>
      <w:b/>
      <w:bCs/>
      <w:sz w:val="24"/>
    </w:rPr>
  </w:style>
  <w:style w:type="character" w:customStyle="1" w:styleId="99">
    <w:name w:val="副标题 Char1"/>
    <w:qFormat/>
    <w:uiPriority w:val="11"/>
    <w:rPr>
      <w:rFonts w:ascii="Calibri Light" w:hAnsi="Calibri Light" w:cs="Times New Roman"/>
      <w:b/>
      <w:bCs/>
      <w:kern w:val="28"/>
      <w:sz w:val="32"/>
      <w:szCs w:val="32"/>
    </w:rPr>
  </w:style>
  <w:style w:type="character" w:customStyle="1" w:styleId="100">
    <w:name w:val="bookmark"/>
    <w:qFormat/>
    <w:uiPriority w:val="0"/>
  </w:style>
  <w:style w:type="character" w:customStyle="1" w:styleId="101">
    <w:name w:val="正文文本 3 Char1"/>
    <w:qFormat/>
    <w:uiPriority w:val="99"/>
    <w:rPr>
      <w:rFonts w:eastAsia="Calibri"/>
      <w:sz w:val="16"/>
      <w:szCs w:val="16"/>
      <w:lang w:eastAsia="en-US"/>
    </w:rPr>
  </w:style>
  <w:style w:type="character" w:customStyle="1" w:styleId="102">
    <w:name w:val="正文文本 Char_0"/>
    <w:link w:val="103"/>
    <w:qFormat/>
    <w:uiPriority w:val="0"/>
    <w:rPr>
      <w:rFonts w:ascii="宋体"/>
      <w:sz w:val="24"/>
    </w:rPr>
  </w:style>
  <w:style w:type="paragraph" w:customStyle="1" w:styleId="103">
    <w:name w:val="正文文本_0"/>
    <w:basedOn w:val="104"/>
    <w:link w:val="102"/>
    <w:qFormat/>
    <w:uiPriority w:val="0"/>
    <w:pPr>
      <w:spacing w:line="360" w:lineRule="auto"/>
    </w:pPr>
    <w:rPr>
      <w:rFonts w:ascii="宋体"/>
      <w:kern w:val="0"/>
      <w:sz w:val="24"/>
    </w:rPr>
  </w:style>
  <w:style w:type="paragraph" w:customStyle="1" w:styleId="104">
    <w:name w:val="正文_0"/>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05">
    <w:name w:val="引用 Char1"/>
    <w:qFormat/>
    <w:uiPriority w:val="29"/>
    <w:rPr>
      <w:i/>
      <w:iCs/>
      <w:color w:val="404040"/>
      <w:kern w:val="2"/>
      <w:sz w:val="21"/>
    </w:rPr>
  </w:style>
  <w:style w:type="character" w:customStyle="1" w:styleId="106">
    <w:name w:val="批注文字 Char2"/>
    <w:qFormat/>
    <w:uiPriority w:val="0"/>
    <w:rPr>
      <w:kern w:val="2"/>
      <w:sz w:val="21"/>
    </w:rPr>
  </w:style>
  <w:style w:type="character" w:customStyle="1" w:styleId="107">
    <w:name w:val="批注文字 Char Char"/>
    <w:qFormat/>
    <w:uiPriority w:val="0"/>
    <w:rPr>
      <w:rFonts w:ascii="宋体" w:hAnsi="Times New Roman" w:eastAsia="宋体" w:cs="Times New Roman"/>
      <w:sz w:val="28"/>
      <w:szCs w:val="20"/>
    </w:rPr>
  </w:style>
  <w:style w:type="character" w:customStyle="1" w:styleId="108">
    <w:name w:val="标题 Char1"/>
    <w:qFormat/>
    <w:uiPriority w:val="10"/>
    <w:rPr>
      <w:rFonts w:ascii="Cambria" w:hAnsi="Cambria" w:eastAsia="宋体" w:cs="Times New Roman"/>
      <w:b/>
      <w:bCs/>
      <w:sz w:val="32"/>
      <w:szCs w:val="32"/>
    </w:rPr>
  </w:style>
  <w:style w:type="character" w:customStyle="1" w:styleId="109">
    <w:name w:val="批注框文本 Char2"/>
    <w:semiHidden/>
    <w:qFormat/>
    <w:uiPriority w:val="99"/>
    <w:rPr>
      <w:rFonts w:ascii="Calibri" w:hAnsi="Calibri" w:eastAsia="宋体" w:cs="Times New Roman"/>
      <w:sz w:val="18"/>
      <w:szCs w:val="18"/>
    </w:rPr>
  </w:style>
  <w:style w:type="character" w:customStyle="1" w:styleId="110">
    <w:name w:val="引用 字符"/>
    <w:link w:val="111"/>
    <w:qFormat/>
    <w:uiPriority w:val="0"/>
    <w:rPr>
      <w:i/>
      <w:iCs/>
      <w:color w:val="000000"/>
    </w:rPr>
  </w:style>
  <w:style w:type="paragraph" w:styleId="111">
    <w:name w:val="Quote"/>
    <w:basedOn w:val="1"/>
    <w:next w:val="1"/>
    <w:link w:val="110"/>
    <w:qFormat/>
    <w:uiPriority w:val="0"/>
    <w:pPr>
      <w:jc w:val="both"/>
    </w:pPr>
    <w:rPr>
      <w:rFonts w:eastAsia="宋体"/>
      <w:i/>
      <w:iCs/>
      <w:color w:val="000000"/>
      <w:sz w:val="20"/>
      <w:szCs w:val="20"/>
    </w:rPr>
  </w:style>
  <w:style w:type="character" w:customStyle="1" w:styleId="112">
    <w:name w:val="UserStyle_1"/>
    <w:link w:val="113"/>
    <w:qFormat/>
    <w:uiPriority w:val="0"/>
    <w:rPr>
      <w:kern w:val="2"/>
      <w:sz w:val="21"/>
      <w:szCs w:val="24"/>
    </w:rPr>
  </w:style>
  <w:style w:type="paragraph" w:customStyle="1" w:styleId="113">
    <w:name w:val="NormalIndent"/>
    <w:basedOn w:val="1"/>
    <w:link w:val="112"/>
    <w:qFormat/>
    <w:uiPriority w:val="0"/>
    <w:pPr>
      <w:widowControl/>
      <w:ind w:firstLine="420"/>
      <w:jc w:val="both"/>
      <w:textAlignment w:val="baseline"/>
    </w:pPr>
    <w:rPr>
      <w:rFonts w:eastAsia="宋体"/>
      <w:kern w:val="2"/>
      <w:sz w:val="21"/>
      <w:szCs w:val="24"/>
    </w:rPr>
  </w:style>
  <w:style w:type="character" w:customStyle="1" w:styleId="114">
    <w:name w:val="引用 Char2"/>
    <w:qFormat/>
    <w:uiPriority w:val="29"/>
    <w:rPr>
      <w:rFonts w:eastAsia="Calibri"/>
      <w:i/>
      <w:iCs/>
      <w:color w:val="000000"/>
      <w:sz w:val="22"/>
      <w:szCs w:val="22"/>
      <w:lang w:eastAsia="en-US"/>
    </w:rPr>
  </w:style>
  <w:style w:type="character" w:customStyle="1" w:styleId="115">
    <w:name w:val="无"/>
    <w:qFormat/>
    <w:uiPriority w:val="99"/>
  </w:style>
  <w:style w:type="character" w:customStyle="1" w:styleId="116">
    <w:name w:val="font161"/>
    <w:qFormat/>
    <w:uiPriority w:val="0"/>
    <w:rPr>
      <w:b/>
      <w:sz w:val="32"/>
    </w:rPr>
  </w:style>
  <w:style w:type="character" w:customStyle="1" w:styleId="117">
    <w:name w:val="Subtle Emphasis"/>
    <w:qFormat/>
    <w:uiPriority w:val="0"/>
    <w:rPr>
      <w:i/>
      <w:iCs/>
      <w:color w:val="808080"/>
    </w:rPr>
  </w:style>
  <w:style w:type="character" w:customStyle="1" w:styleId="118">
    <w:name w:val="页脚 Char1"/>
    <w:semiHidden/>
    <w:qFormat/>
    <w:uiPriority w:val="99"/>
    <w:rPr>
      <w:rFonts w:ascii="Calibri" w:hAnsi="Calibri" w:eastAsia="宋体" w:cs="Times New Roman"/>
      <w:sz w:val="18"/>
      <w:szCs w:val="18"/>
    </w:rPr>
  </w:style>
  <w:style w:type="character" w:customStyle="1" w:styleId="119">
    <w:name w:val="Book Title"/>
    <w:qFormat/>
    <w:uiPriority w:val="0"/>
    <w:rPr>
      <w:b/>
      <w:bCs/>
      <w:smallCaps/>
      <w:spacing w:val="5"/>
    </w:rPr>
  </w:style>
  <w:style w:type="character" w:customStyle="1" w:styleId="120">
    <w:name w:val="批注文字 Char1"/>
    <w:semiHidden/>
    <w:qFormat/>
    <w:uiPriority w:val="99"/>
    <w:rPr>
      <w:rFonts w:ascii="Calibri" w:hAnsi="Calibri" w:eastAsia="宋体" w:cs="Times New Roman"/>
    </w:rPr>
  </w:style>
  <w:style w:type="character" w:customStyle="1" w:styleId="121">
    <w:name w:val="Intense Reference"/>
    <w:qFormat/>
    <w:uiPriority w:val="0"/>
    <w:rPr>
      <w:b/>
      <w:bCs/>
      <w:smallCaps/>
      <w:color w:val="C0504D"/>
      <w:spacing w:val="5"/>
      <w:u w:val="single"/>
    </w:rPr>
  </w:style>
  <w:style w:type="character" w:customStyle="1" w:styleId="122">
    <w:name w:val="页眉 Char1"/>
    <w:semiHidden/>
    <w:qFormat/>
    <w:uiPriority w:val="99"/>
    <w:rPr>
      <w:rFonts w:ascii="Calibri" w:hAnsi="Calibri" w:eastAsia="宋体" w:cs="Times New Roman"/>
      <w:sz w:val="18"/>
      <w:szCs w:val="18"/>
    </w:rPr>
  </w:style>
  <w:style w:type="paragraph" w:customStyle="1" w:styleId="123">
    <w:name w:val="样式 标题 3 + (中文) 黑体 小四 非加粗 段前: 7.8 磅 段后: 0 磅 行距: 固定值 20 磅"/>
    <w:basedOn w:val="4"/>
    <w:qFormat/>
    <w:uiPriority w:val="0"/>
    <w:pPr>
      <w:keepNext/>
      <w:keepLines/>
      <w:spacing w:line="400" w:lineRule="exact"/>
      <w:jc w:val="both"/>
    </w:pPr>
    <w:rPr>
      <w:rFonts w:ascii="Times New Roman" w:hAnsi="Times New Roman"/>
      <w:kern w:val="2"/>
      <w:sz w:val="24"/>
      <w:szCs w:val="20"/>
      <w:lang w:eastAsia="zh-CN"/>
    </w:rPr>
  </w:style>
  <w:style w:type="paragraph" w:customStyle="1" w:styleId="124">
    <w:name w:val="正文 A"/>
    <w:next w:val="70"/>
    <w:qFormat/>
    <w:uiPriority w:val="99"/>
    <w:pPr>
      <w:widowControl w:val="0"/>
      <w:pBdr>
        <w:top w:val="none" w:color="FFFFFF" w:sz="0" w:space="31"/>
        <w:left w:val="none" w:color="FFFFFF" w:sz="0" w:space="31"/>
        <w:bottom w:val="none" w:color="FFFFFF" w:sz="0" w:space="31"/>
        <w:right w:val="none" w:color="FFFFFF" w:sz="0" w:space="31"/>
      </w:pBdr>
    </w:pPr>
    <w:rPr>
      <w:rFonts w:ascii="Times New Roman" w:hAnsi="Times New Roman" w:eastAsia="宋体" w:cs="Arial Unicode MS"/>
      <w:color w:val="000000"/>
      <w:sz w:val="22"/>
      <w:szCs w:val="22"/>
      <w:shd w:val="clear" w:color="FFFFFF" w:fill="FFFFFF"/>
      <w:lang w:val="en-US" w:eastAsia="zh-CN" w:bidi="ar-SA"/>
    </w:rPr>
  </w:style>
  <w:style w:type="paragraph" w:customStyle="1" w:styleId="125">
    <w:name w:val="普通正文"/>
    <w:basedOn w:val="1"/>
    <w:qFormat/>
    <w:uiPriority w:val="0"/>
    <w:pPr>
      <w:adjustRightInd w:val="0"/>
      <w:spacing w:before="120" w:after="120" w:line="360" w:lineRule="auto"/>
      <w:ind w:firstLine="480"/>
      <w:textAlignment w:val="baseline"/>
    </w:pPr>
    <w:rPr>
      <w:rFonts w:ascii="Arial" w:hAnsi="Arial" w:eastAsia="宋体"/>
      <w:sz w:val="24"/>
      <w:szCs w:val="24"/>
      <w:lang w:eastAsia="zh-CN"/>
    </w:rPr>
  </w:style>
  <w:style w:type="paragraph" w:customStyle="1" w:styleId="126">
    <w:name w:val="1"/>
    <w:basedOn w:val="1"/>
    <w:next w:val="1"/>
    <w:qFormat/>
    <w:uiPriority w:val="0"/>
    <w:pPr>
      <w:jc w:val="both"/>
    </w:pPr>
    <w:rPr>
      <w:rFonts w:eastAsia="宋体"/>
      <w:kern w:val="2"/>
      <w:sz w:val="21"/>
      <w:szCs w:val="20"/>
      <w:lang w:eastAsia="zh-CN"/>
    </w:rPr>
  </w:style>
  <w:style w:type="paragraph" w:customStyle="1" w:styleId="127">
    <w:name w:val="ѹʽ ꌢ 2 + Times New Roman ˄ŠǼӴ֠·: 5 󜺠0 ܺ ̶ֵ 20..."/>
    <w:basedOn w:val="1"/>
    <w:qFormat/>
    <w:uiPriority w:val="0"/>
    <w:pPr>
      <w:keepNext/>
      <w:widowControl/>
      <w:spacing w:before="100" w:line="400" w:lineRule="atLeast"/>
      <w:jc w:val="both"/>
    </w:pPr>
    <w:rPr>
      <w:rFonts w:eastAsia="宋体"/>
      <w:sz w:val="28"/>
      <w:szCs w:val="28"/>
      <w:lang w:eastAsia="zh-CN"/>
    </w:rPr>
  </w:style>
  <w:style w:type="paragraph" w:customStyle="1" w:styleId="128">
    <w:name w:val="表格文字"/>
    <w:basedOn w:val="1"/>
    <w:qFormat/>
    <w:uiPriority w:val="0"/>
    <w:pPr>
      <w:adjustRightInd w:val="0"/>
      <w:spacing w:line="420" w:lineRule="atLeast"/>
      <w:textAlignment w:val="baseline"/>
    </w:pPr>
    <w:rPr>
      <w:rFonts w:eastAsia="宋体"/>
      <w:sz w:val="21"/>
      <w:szCs w:val="20"/>
      <w:lang w:eastAsia="zh-CN"/>
    </w:rPr>
  </w:style>
  <w:style w:type="paragraph" w:customStyle="1" w:styleId="129">
    <w:name w:val="表格"/>
    <w:basedOn w:val="1"/>
    <w:qFormat/>
    <w:uiPriority w:val="0"/>
    <w:pPr>
      <w:jc w:val="center"/>
      <w:textAlignment w:val="center"/>
    </w:pPr>
    <w:rPr>
      <w:rFonts w:ascii="华文细黑" w:hAnsi="华文细黑" w:eastAsia="宋体"/>
      <w:sz w:val="21"/>
      <w:szCs w:val="20"/>
      <w:lang w:eastAsia="zh-CN"/>
    </w:rPr>
  </w:style>
  <w:style w:type="paragraph" w:customStyle="1" w:styleId="130">
    <w:name w:val="正文_0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1">
    <w:name w:val="Blockquote"/>
    <w:basedOn w:val="1"/>
    <w:qFormat/>
    <w:uiPriority w:val="0"/>
    <w:pPr>
      <w:autoSpaceDE w:val="0"/>
      <w:autoSpaceDN w:val="0"/>
      <w:adjustRightInd w:val="0"/>
      <w:spacing w:before="100" w:after="100"/>
      <w:ind w:left="360" w:right="360"/>
    </w:pPr>
    <w:rPr>
      <w:rFonts w:eastAsia="宋体"/>
      <w:sz w:val="24"/>
      <w:szCs w:val="20"/>
      <w:lang w:eastAsia="zh-CN"/>
    </w:rPr>
  </w:style>
  <w:style w:type="paragraph" w:styleId="132">
    <w:name w:val="List Paragraph"/>
    <w:basedOn w:val="1"/>
    <w:qFormat/>
    <w:uiPriority w:val="99"/>
  </w:style>
  <w:style w:type="paragraph" w:customStyle="1" w:styleId="133">
    <w:name w:val="Table Paragraph"/>
    <w:basedOn w:val="1"/>
    <w:qFormat/>
    <w:uiPriority w:val="1"/>
  </w:style>
  <w:style w:type="paragraph" w:customStyle="1" w:styleId="134">
    <w:name w:val="样式 标题 2 + Times New Roman 四号 非加粗 段前: 5 磅 段后: 0 磅 行距: 固定值 20..."/>
    <w:basedOn w:val="3"/>
    <w:qFormat/>
    <w:uiPriority w:val="0"/>
    <w:pPr>
      <w:keepNext/>
      <w:keepLines/>
      <w:spacing w:before="100" w:line="400" w:lineRule="exact"/>
      <w:ind w:left="0"/>
      <w:jc w:val="both"/>
    </w:pPr>
    <w:rPr>
      <w:rFonts w:ascii="Times New Roman" w:hAnsi="Times New Roman"/>
      <w:b w:val="0"/>
      <w:bCs w:val="0"/>
      <w:kern w:val="2"/>
      <w:sz w:val="28"/>
      <w:szCs w:val="20"/>
      <w:lang w:eastAsia="zh-CN"/>
    </w:rPr>
  </w:style>
  <w:style w:type="paragraph" w:customStyle="1" w:styleId="135">
    <w:name w:val="Heading 1"/>
    <w:basedOn w:val="1"/>
    <w:qFormat/>
    <w:uiPriority w:val="1"/>
    <w:pPr>
      <w:autoSpaceDE w:val="0"/>
      <w:autoSpaceDN w:val="0"/>
      <w:adjustRightInd w:val="0"/>
      <w:ind w:left="39"/>
      <w:outlineLvl w:val="0"/>
    </w:pPr>
    <w:rPr>
      <w:rFonts w:ascii="宋体" w:eastAsia="宋体" w:cs="宋体"/>
      <w:b/>
      <w:bCs/>
      <w:sz w:val="21"/>
      <w:szCs w:val="21"/>
      <w:lang w:eastAsia="zh-CN"/>
    </w:rPr>
  </w:style>
  <w:style w:type="paragraph" w:customStyle="1" w:styleId="136">
    <w:name w:val="样式 标题 1 + 黑体 三号 非加粗 居中 段前: 6 磅 段后: 6 磅 行距: 固定值 20 磅"/>
    <w:basedOn w:val="2"/>
    <w:qFormat/>
    <w:uiPriority w:val="0"/>
    <w:pPr>
      <w:keepNext/>
      <w:keepLines/>
      <w:spacing w:before="120" w:after="120" w:line="400" w:lineRule="exact"/>
      <w:jc w:val="center"/>
    </w:pPr>
    <w:rPr>
      <w:kern w:val="44"/>
      <w:sz w:val="32"/>
      <w:szCs w:val="20"/>
      <w:lang w:eastAsia="zh-CN"/>
    </w:rPr>
  </w:style>
  <w:style w:type="paragraph" w:customStyle="1" w:styleId="137">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138">
    <w:name w:val="6'"/>
    <w:basedOn w:val="1"/>
    <w:qFormat/>
    <w:uiPriority w:val="0"/>
    <w:pPr>
      <w:autoSpaceDE w:val="0"/>
      <w:autoSpaceDN w:val="0"/>
      <w:adjustRightInd w:val="0"/>
      <w:snapToGrid w:val="0"/>
      <w:spacing w:line="320" w:lineRule="exact"/>
      <w:jc w:val="center"/>
      <w:textAlignment w:val="baseline"/>
    </w:pPr>
    <w:rPr>
      <w:rFonts w:eastAsia="宋体"/>
      <w:spacing w:val="20"/>
      <w:kern w:val="28"/>
      <w:sz w:val="21"/>
      <w:szCs w:val="20"/>
      <w:lang w:eastAsia="zh-CN"/>
    </w:rPr>
  </w:style>
  <w:style w:type="paragraph" w:customStyle="1" w:styleId="139">
    <w:name w:val="Revision"/>
    <w:qFormat/>
    <w:uiPriority w:val="0"/>
    <w:rPr>
      <w:rFonts w:ascii="Times New Roman" w:hAnsi="Times New Roman" w:eastAsia="宋体" w:cs="Times New Roman"/>
      <w:kern w:val="2"/>
      <w:sz w:val="21"/>
      <w:szCs w:val="24"/>
      <w:lang w:val="en-US" w:eastAsia="zh-CN" w:bidi="ar-SA"/>
    </w:rPr>
  </w:style>
  <w:style w:type="paragraph" w:styleId="140">
    <w:name w:val="No Spacing"/>
    <w:qFormat/>
    <w:uiPriority w:val="0"/>
    <w:pPr>
      <w:widowControl w:val="0"/>
      <w:jc w:val="both"/>
    </w:pPr>
    <w:rPr>
      <w:rFonts w:ascii="Times New Roman" w:hAnsi="Times New Roman" w:eastAsia="宋体" w:cs="Times New Roman"/>
      <w:kern w:val="2"/>
      <w:sz w:val="21"/>
      <w:szCs w:val="22"/>
      <w:lang w:val="en-US" w:eastAsia="zh-CN" w:bidi="ar-SA"/>
    </w:rPr>
  </w:style>
  <w:style w:type="table" w:customStyle="1" w:styleId="141">
    <w:name w:val="Table Normal"/>
    <w:unhideWhenUsed/>
    <w:qFormat/>
    <w:uiPriority w:val="2"/>
    <w:rPr>
      <w:lang w:val="en-US" w:eastAsia="zh-CN" w:bidi="ar-SA"/>
    </w:rPr>
    <w:tblPr>
      <w:tblCellMar>
        <w:top w:w="0" w:type="dxa"/>
        <w:left w:w="0" w:type="dxa"/>
        <w:bottom w:w="0" w:type="dxa"/>
        <w:right w:w="0" w:type="dxa"/>
      </w:tblCellMar>
    </w:tblPr>
  </w:style>
  <w:style w:type="character" w:customStyle="1" w:styleId="142">
    <w:name w:val="UserStyle_32"/>
    <w:qFormat/>
    <w:uiPriority w:val="0"/>
    <w:rPr>
      <w:rFonts w:ascii="Cambria" w:hAnsi="Cambria" w:cs="Times New Roman"/>
      <w:b/>
      <w:bCs/>
      <w:kern w:val="2"/>
      <w:sz w:val="32"/>
      <w:szCs w:val="32"/>
    </w:rPr>
  </w:style>
  <w:style w:type="paragraph" w:customStyle="1" w:styleId="143">
    <w:name w:val="标书正文格式"/>
    <w:qFormat/>
    <w:uiPriority w:val="0"/>
    <w:pPr>
      <w:ind w:firstLine="200" w:firstLineChars="200"/>
    </w:pPr>
    <w:rPr>
      <w:rFonts w:ascii="Arial" w:hAnsi="Arial" w:eastAsia="Times New Roman" w:cs="Times New Roman"/>
      <w:kern w:val="2"/>
      <w:sz w:val="21"/>
      <w:szCs w:val="22"/>
      <w:lang w:val="en-US" w:eastAsia="zh-CN" w:bidi="ar-SA"/>
    </w:rPr>
  </w:style>
  <w:style w:type="paragraph" w:customStyle="1" w:styleId="144">
    <w:name w:val="*正文"/>
    <w:basedOn w:val="1"/>
    <w:qFormat/>
    <w:uiPriority w:val="0"/>
    <w:pPr>
      <w:spacing w:line="360" w:lineRule="auto"/>
      <w:ind w:firstLine="200" w:firstLineChars="200"/>
    </w:pPr>
    <w:rPr>
      <w:rFonts w:ascii="宋体" w:hAnsi="宋体"/>
      <w:kern w:val="0"/>
      <w:sz w:val="24"/>
      <w:szCs w:val="24"/>
    </w:rPr>
  </w:style>
  <w:style w:type="character" w:customStyle="1" w:styleId="145">
    <w:name w:val="明显参考1"/>
    <w:qFormat/>
    <w:uiPriority w:val="0"/>
    <w:rPr>
      <w:b/>
      <w:bCs/>
      <w:smallCaps/>
      <w:color w:val="C0504D"/>
      <w:spacing w:val="5"/>
      <w:u w:val="single"/>
    </w:rPr>
  </w:style>
  <w:style w:type="paragraph" w:customStyle="1" w:styleId="146">
    <w:name w:val="纯文本1"/>
    <w:basedOn w:val="1"/>
    <w:qFormat/>
    <w:uiPriority w:val="0"/>
    <w:pPr>
      <w:adjustRightInd w:val="0"/>
    </w:pPr>
    <w:rPr>
      <w:rFonts w:ascii="宋体" w:hAnsi="Courier New" w:eastAsia="楷体_GB2312" w:cs="Times New Roman"/>
      <w:sz w:val="26"/>
      <w:szCs w:val="20"/>
    </w:rPr>
  </w:style>
  <w:style w:type="paragraph" w:customStyle="1" w:styleId="147">
    <w:name w:val="列表 21"/>
    <w:basedOn w:val="1"/>
    <w:qFormat/>
    <w:uiPriority w:val="0"/>
    <w:pPr>
      <w:ind w:left="100" w:leftChars="200" w:hanging="200" w:hangingChars="200"/>
    </w:pPr>
  </w:style>
  <w:style w:type="paragraph" w:customStyle="1" w:styleId="148">
    <w:name w:val="List Paragraph1"/>
    <w:basedOn w:val="1"/>
    <w:qFormat/>
    <w:uiPriority w:val="0"/>
    <w:pPr>
      <w:autoSpaceDE w:val="0"/>
      <w:autoSpaceDN w:val="0"/>
      <w:adjustRightInd w:val="0"/>
      <w:ind w:firstLine="420" w:firstLineChars="200"/>
      <w:jc w:val="left"/>
    </w:pPr>
    <w:rPr>
      <w:kern w:val="0"/>
      <w:sz w:val="20"/>
      <w:szCs w:val="20"/>
    </w:rPr>
  </w:style>
  <w:style w:type="character" w:customStyle="1" w:styleId="149">
    <w:name w:val="rvts20"/>
    <w:qFormat/>
    <w:uiPriority w:val="0"/>
    <w:rPr>
      <w:rFonts w:hint="default" w:ascii="KNLe" w:hAnsi="KNLe"/>
    </w:rPr>
  </w:style>
  <w:style w:type="paragraph" w:customStyle="1" w:styleId="150">
    <w:name w:val="标题 41"/>
    <w:basedOn w:val="1"/>
    <w:next w:val="151"/>
    <w:qFormat/>
    <w:uiPriority w:val="0"/>
    <w:pPr>
      <w:spacing w:before="34"/>
      <w:ind w:left="358"/>
      <w:outlineLvl w:val="3"/>
    </w:pPr>
    <w:rPr>
      <w:rFonts w:ascii="宋体" w:hAnsi="宋体" w:eastAsia="宋体" w:cs="Times New Roman"/>
      <w:b/>
      <w:bCs/>
      <w:sz w:val="24"/>
      <w:szCs w:val="24"/>
    </w:rPr>
  </w:style>
  <w:style w:type="paragraph" w:customStyle="1" w:styleId="151">
    <w:name w:val="正文缩进1"/>
    <w:basedOn w:val="1"/>
    <w:qFormat/>
    <w:uiPriority w:val="99"/>
    <w:pPr>
      <w:ind w:firstLine="420"/>
    </w:pPr>
    <w:rPr>
      <w:rFonts w:ascii="Calibri" w:hAnsi="Calibri" w:eastAsia="宋体" w:cs="Times New Roman"/>
    </w:rPr>
  </w:style>
  <w:style w:type="paragraph" w:customStyle="1" w:styleId="152">
    <w:name w:val="_Style 151"/>
    <w:unhideWhenUsed/>
    <w:qFormat/>
    <w:uiPriority w:val="99"/>
    <w:rPr>
      <w:rFonts w:ascii="Times New Roman" w:hAnsi="Times New Roman" w:eastAsia="Calibri" w:cs="Times New Roman"/>
      <w:sz w:val="22"/>
      <w:szCs w:val="22"/>
      <w:lang w:val="en-US" w:eastAsia="en-US" w:bidi="ar-SA"/>
    </w:rPr>
  </w:style>
  <w:style w:type="paragraph" w:customStyle="1" w:styleId="153">
    <w:name w:val="Char"/>
    <w:basedOn w:val="1"/>
    <w:qFormat/>
    <w:uiPriority w:val="0"/>
    <w:rPr>
      <w:rFonts w:ascii="Tahoma" w:hAnsi="Tahoma" w:cs="仿宋_GB2312"/>
      <w:sz w:val="24"/>
      <w:szCs w:val="2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68</Pages>
  <Words>13629</Words>
  <Characters>14263</Characters>
  <Lines>3183</Lines>
  <Paragraphs>2626</Paragraphs>
  <TotalTime>5</TotalTime>
  <ScaleCrop>false</ScaleCrop>
  <LinksUpToDate>false</LinksUpToDate>
  <CharactersWithSpaces>14390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2026-05-07T03:18:00Z</dcterms:created>
  <dc:creator>Administrator</dc:creator>
  <cp:lastModifiedBy>PS</cp:lastModifiedBy>
  <cp:lastPrinted>2026-05-08T13:44:00Z</cp:lastPrinted>
  <dcterms:modified xsi:type="dcterms:W3CDTF">2026-07-08T08:56:18Z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2020-03-12T16:00:00Z</vt:filetime>
  </property>
  <property fmtid="{D5CDD505-2E9C-101B-9397-08002B2CF9AE}" pid="3" name="Creator">
    <vt:lpwstr>WPS 文字</vt:lpwstr>
  </property>
  <property fmtid="{D5CDD505-2E9C-101B-9397-08002B2CF9AE}" pid="4" name="LastSaved">
    <vt:filetime>2020-04-21T16:00:00Z</vt:filetime>
  </property>
  <property fmtid="{D5CDD505-2E9C-101B-9397-08002B2CF9AE}" pid="5" name="KSOProductBuildVer">
    <vt:lpwstr>2052-12.1.0.26895</vt:lpwstr>
  </property>
  <property fmtid="{D5CDD505-2E9C-101B-9397-08002B2CF9AE}" pid="6" name="ICV">
    <vt:lpwstr>0A34A8DEA1AD45FD8A38471D9FFE7F99_13</vt:lpwstr>
  </property>
  <property fmtid="{D5CDD505-2E9C-101B-9397-08002B2CF9AE}" pid="7" name="KSOTemplateDocerSaveRecord">
    <vt:lpwstr>eyJoZGlkIjoiOTkyZGYzNGZkMzg3YzhmYWFhMDRiYjIxOTg5MjJjODMiLCJ1c2VySWQiOiI3Nzc3MTI2MTQifQ==</vt:lpwstr>
  </property>
</Properties>
</file>