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BA1056">
      <w:pPr>
        <w:pStyle w:val="308"/>
        <w:tabs>
          <w:tab w:val="left" w:pos="7642"/>
        </w:tabs>
        <w:ind w:firstLine="0"/>
        <w:rPr>
          <w:rFonts w:ascii="宋体" w:hAnsi="宋体" w:cs="宋体"/>
          <w:b/>
          <w:color w:val="auto"/>
          <w:sz w:val="52"/>
          <w:szCs w:val="52"/>
          <w:highlight w:val="none"/>
        </w:rPr>
      </w:pPr>
      <w:r>
        <w:rPr>
          <w:rFonts w:hint="eastAsia" w:ascii="宋体" w:hAnsi="宋体" w:cs="宋体"/>
          <w:b/>
          <w:color w:val="auto"/>
          <w:sz w:val="52"/>
          <w:szCs w:val="52"/>
          <w:highlight w:val="none"/>
        </w:rPr>
        <w:t xml:space="preserve"> </w:t>
      </w:r>
      <w:r>
        <w:rPr>
          <w:rFonts w:hint="eastAsia" w:ascii="宋体" w:hAnsi="宋体" w:cs="宋体"/>
          <w:b/>
          <w:color w:val="auto"/>
          <w:sz w:val="52"/>
          <w:szCs w:val="52"/>
          <w:highlight w:val="none"/>
        </w:rPr>
        <w:tab/>
      </w:r>
    </w:p>
    <w:p w14:paraId="35D9CF43">
      <w:pPr>
        <w:pStyle w:val="308"/>
        <w:ind w:firstLine="0"/>
        <w:jc w:val="center"/>
        <w:rPr>
          <w:rFonts w:ascii="宋体" w:hAnsi="宋体" w:cs="宋体"/>
          <w:b/>
          <w:color w:val="auto"/>
          <w:sz w:val="52"/>
          <w:szCs w:val="52"/>
          <w:highlight w:val="none"/>
        </w:rPr>
      </w:pPr>
    </w:p>
    <w:p w14:paraId="02FE1AB4">
      <w:pPr>
        <w:pStyle w:val="308"/>
        <w:ind w:firstLine="0"/>
        <w:jc w:val="center"/>
        <w:rPr>
          <w:rFonts w:ascii="宋体" w:hAnsi="宋体" w:cs="宋体"/>
          <w:b/>
          <w:bCs/>
          <w:color w:val="auto"/>
          <w:sz w:val="84"/>
          <w:highlight w:val="none"/>
        </w:rPr>
      </w:pPr>
      <w:r>
        <w:rPr>
          <w:rFonts w:hint="eastAsia" w:ascii="宋体" w:hAnsi="宋体" w:cs="宋体"/>
          <w:b/>
          <w:bCs/>
          <w:color w:val="auto"/>
          <w:sz w:val="84"/>
          <w:highlight w:val="none"/>
        </w:rPr>
        <w:t xml:space="preserve"> 竞争性磋商文件</w:t>
      </w:r>
    </w:p>
    <w:p w14:paraId="1004F310">
      <w:pPr>
        <w:pStyle w:val="308"/>
        <w:ind w:firstLine="0"/>
        <w:rPr>
          <w:rFonts w:ascii="宋体" w:hAnsi="宋体" w:cs="宋体"/>
          <w:b/>
          <w:bCs/>
          <w:color w:val="auto"/>
          <w:sz w:val="32"/>
          <w:szCs w:val="32"/>
          <w:highlight w:val="none"/>
        </w:rPr>
      </w:pPr>
    </w:p>
    <w:p w14:paraId="6D1FB18A">
      <w:pPr>
        <w:pStyle w:val="308"/>
        <w:ind w:firstLine="0"/>
        <w:rPr>
          <w:rFonts w:ascii="宋体" w:hAnsi="宋体" w:cs="宋体"/>
          <w:b/>
          <w:bCs/>
          <w:color w:val="auto"/>
          <w:sz w:val="32"/>
          <w:szCs w:val="32"/>
          <w:highlight w:val="none"/>
        </w:rPr>
      </w:pPr>
    </w:p>
    <w:p w14:paraId="0D624F0D">
      <w:pPr>
        <w:pStyle w:val="308"/>
        <w:ind w:firstLine="0"/>
        <w:rPr>
          <w:rFonts w:ascii="宋体" w:hAnsi="宋体" w:cs="宋体"/>
          <w:b/>
          <w:bCs/>
          <w:color w:val="auto"/>
          <w:sz w:val="32"/>
          <w:szCs w:val="32"/>
          <w:highlight w:val="none"/>
        </w:rPr>
      </w:pPr>
    </w:p>
    <w:p w14:paraId="58E86E48">
      <w:pPr>
        <w:pStyle w:val="308"/>
        <w:ind w:firstLine="0"/>
        <w:jc w:val="center"/>
        <w:rPr>
          <w:rFonts w:hint="eastAsia" w:ascii="宋体" w:hAnsi="宋体" w:cs="宋体" w:eastAsiaTheme="minorEastAsia"/>
          <w:b/>
          <w:bCs/>
          <w:color w:val="auto"/>
          <w:sz w:val="32"/>
          <w:highlight w:val="none"/>
          <w:lang w:eastAsia="zh-CN"/>
        </w:rPr>
      </w:pPr>
      <w:r>
        <w:rPr>
          <w:rFonts w:hint="eastAsia" w:ascii="宋体" w:hAnsi="宋体" w:cs="宋体"/>
          <w:b/>
          <w:bCs/>
          <w:color w:val="auto"/>
          <w:sz w:val="32"/>
          <w:highlight w:val="none"/>
        </w:rPr>
        <w:t>项目名称：</w:t>
      </w:r>
      <w:r>
        <w:rPr>
          <w:rFonts w:hint="eastAsia" w:ascii="宋体" w:hAnsi="宋体" w:cs="宋体"/>
          <w:b/>
          <w:bCs/>
          <w:color w:val="auto"/>
          <w:sz w:val="32"/>
          <w:highlight w:val="none"/>
          <w:lang w:eastAsia="zh-CN"/>
        </w:rPr>
        <w:t>盐城市公安局盐都分局国省道科技提升项目</w:t>
      </w:r>
    </w:p>
    <w:p w14:paraId="22642FA2">
      <w:pPr>
        <w:pStyle w:val="308"/>
        <w:ind w:firstLine="0"/>
        <w:jc w:val="center"/>
        <w:rPr>
          <w:rFonts w:hint="eastAsia" w:ascii="宋体" w:hAnsi="宋体" w:cs="宋体" w:eastAsiaTheme="minorEastAsia"/>
          <w:b/>
          <w:bCs/>
          <w:color w:val="auto"/>
          <w:sz w:val="32"/>
          <w:highlight w:val="none"/>
          <w:lang w:eastAsia="zh-CN"/>
        </w:rPr>
      </w:pPr>
      <w:r>
        <w:rPr>
          <w:rFonts w:hint="eastAsia" w:ascii="宋体" w:hAnsi="宋体" w:cs="宋体"/>
          <w:b/>
          <w:bCs/>
          <w:color w:val="auto"/>
          <w:sz w:val="32"/>
          <w:highlight w:val="none"/>
        </w:rPr>
        <w:t>项目编号：JSZC-320903-JCJS-C2026-0006</w:t>
      </w:r>
    </w:p>
    <w:p w14:paraId="680FB58C">
      <w:pPr>
        <w:pStyle w:val="308"/>
        <w:ind w:firstLine="0"/>
        <w:jc w:val="center"/>
        <w:rPr>
          <w:rFonts w:ascii="宋体" w:hAnsi="宋体" w:cs="宋体"/>
          <w:b/>
          <w:bCs/>
          <w:color w:val="auto"/>
          <w:sz w:val="32"/>
          <w:highlight w:val="none"/>
        </w:rPr>
      </w:pPr>
    </w:p>
    <w:p w14:paraId="62164EC6">
      <w:pPr>
        <w:pStyle w:val="308"/>
        <w:ind w:firstLine="0"/>
        <w:jc w:val="center"/>
        <w:rPr>
          <w:rFonts w:ascii="宋体" w:hAnsi="宋体" w:cs="宋体"/>
          <w:b/>
          <w:bCs/>
          <w:color w:val="auto"/>
          <w:sz w:val="32"/>
          <w:highlight w:val="none"/>
        </w:rPr>
      </w:pPr>
    </w:p>
    <w:p w14:paraId="551DC40D">
      <w:pPr>
        <w:pStyle w:val="308"/>
        <w:ind w:firstLine="0"/>
        <w:jc w:val="center"/>
        <w:rPr>
          <w:rFonts w:ascii="宋体" w:hAnsi="宋体" w:cs="宋体"/>
          <w:b/>
          <w:bCs/>
          <w:color w:val="auto"/>
          <w:sz w:val="32"/>
          <w:highlight w:val="none"/>
        </w:rPr>
      </w:pPr>
    </w:p>
    <w:p w14:paraId="18B39681">
      <w:pPr>
        <w:pStyle w:val="308"/>
        <w:ind w:firstLine="0"/>
        <w:jc w:val="center"/>
        <w:rPr>
          <w:rFonts w:ascii="宋体" w:hAnsi="宋体" w:cs="宋体"/>
          <w:b/>
          <w:bCs/>
          <w:color w:val="auto"/>
          <w:sz w:val="32"/>
          <w:highlight w:val="none"/>
        </w:rPr>
      </w:pPr>
    </w:p>
    <w:p w14:paraId="63F1D461">
      <w:pPr>
        <w:pStyle w:val="308"/>
        <w:ind w:firstLine="0"/>
        <w:jc w:val="both"/>
        <w:rPr>
          <w:rFonts w:ascii="宋体" w:hAnsi="宋体" w:cs="宋体"/>
          <w:b/>
          <w:bCs/>
          <w:color w:val="auto"/>
          <w:sz w:val="32"/>
          <w:highlight w:val="none"/>
        </w:rPr>
      </w:pPr>
    </w:p>
    <w:p w14:paraId="6614AAA3">
      <w:pPr>
        <w:pStyle w:val="308"/>
        <w:ind w:firstLine="0"/>
        <w:jc w:val="center"/>
        <w:rPr>
          <w:rFonts w:hint="eastAsia" w:ascii="宋体" w:hAnsi="宋体" w:cs="宋体" w:eastAsiaTheme="minorEastAsia"/>
          <w:b/>
          <w:bCs/>
          <w:color w:val="auto"/>
          <w:sz w:val="32"/>
          <w:highlight w:val="none"/>
          <w:lang w:eastAsia="zh-CN"/>
        </w:rPr>
      </w:pPr>
      <w:r>
        <w:rPr>
          <w:rFonts w:hint="eastAsia" w:ascii="宋体" w:hAnsi="宋体" w:cs="宋体"/>
          <w:b/>
          <w:bCs/>
          <w:color w:val="auto"/>
          <w:sz w:val="32"/>
          <w:highlight w:val="none"/>
          <w:lang w:eastAsia="zh-CN"/>
        </w:rPr>
        <w:t>盐城市公安局盐都分局</w:t>
      </w:r>
    </w:p>
    <w:p w14:paraId="65C32FBE">
      <w:pPr>
        <w:pStyle w:val="308"/>
        <w:ind w:firstLine="0"/>
        <w:jc w:val="center"/>
        <w:rPr>
          <w:rFonts w:ascii="宋体" w:hAnsi="宋体" w:cs="宋体"/>
          <w:b/>
          <w:bCs/>
          <w:color w:val="auto"/>
          <w:sz w:val="32"/>
          <w:highlight w:val="none"/>
        </w:rPr>
      </w:pPr>
      <w:r>
        <w:rPr>
          <w:rFonts w:hint="eastAsia" w:ascii="宋体" w:hAnsi="宋体" w:cs="宋体"/>
          <w:b/>
          <w:bCs/>
          <w:color w:val="auto"/>
          <w:sz w:val="32"/>
          <w:highlight w:val="none"/>
        </w:rPr>
        <w:t>202</w:t>
      </w:r>
      <w:r>
        <w:rPr>
          <w:rFonts w:hint="eastAsia" w:ascii="宋体" w:hAnsi="宋体" w:eastAsia="宋体" w:cs="宋体"/>
          <w:b/>
          <w:bCs/>
          <w:color w:val="auto"/>
          <w:sz w:val="32"/>
          <w:highlight w:val="none"/>
          <w:lang w:val="en-US" w:eastAsia="zh-CN"/>
        </w:rPr>
        <w:t>6</w:t>
      </w:r>
      <w:r>
        <w:rPr>
          <w:rFonts w:hint="eastAsia" w:ascii="宋体" w:hAnsi="宋体" w:cs="宋体"/>
          <w:b/>
          <w:bCs/>
          <w:color w:val="auto"/>
          <w:sz w:val="32"/>
          <w:highlight w:val="none"/>
        </w:rPr>
        <w:t>年</w:t>
      </w:r>
      <w:r>
        <w:rPr>
          <w:rFonts w:hint="eastAsia" w:ascii="宋体" w:hAnsi="宋体" w:eastAsia="宋体" w:cs="宋体"/>
          <w:b/>
          <w:bCs/>
          <w:color w:val="auto"/>
          <w:sz w:val="32"/>
          <w:highlight w:val="none"/>
          <w:lang w:val="en-US" w:eastAsia="zh-CN"/>
        </w:rPr>
        <w:t>6</w:t>
      </w:r>
      <w:r>
        <w:rPr>
          <w:rFonts w:hint="eastAsia" w:ascii="宋体" w:hAnsi="宋体" w:cs="宋体"/>
          <w:b/>
          <w:bCs/>
          <w:color w:val="auto"/>
          <w:sz w:val="32"/>
          <w:highlight w:val="none"/>
        </w:rPr>
        <w:t>月</w:t>
      </w:r>
    </w:p>
    <w:p w14:paraId="026C3514">
      <w:pPr>
        <w:widowControl/>
        <w:jc w:val="left"/>
        <w:rPr>
          <w:b/>
          <w:bCs/>
          <w:color w:val="auto"/>
          <w:sz w:val="44"/>
          <w:szCs w:val="44"/>
          <w:highlight w:val="none"/>
        </w:rPr>
      </w:pPr>
      <w:r>
        <w:rPr>
          <w:b/>
          <w:bCs/>
          <w:color w:val="auto"/>
          <w:sz w:val="44"/>
          <w:szCs w:val="44"/>
          <w:highlight w:val="none"/>
        </w:rPr>
        <w:br w:type="page" w:clear="all"/>
      </w:r>
    </w:p>
    <w:p w14:paraId="789FB431">
      <w:pPr>
        <w:pStyle w:val="266"/>
        <w:jc w:val="center"/>
        <w:rPr>
          <w:b/>
          <w:bCs/>
          <w:color w:val="auto"/>
          <w:sz w:val="44"/>
          <w:szCs w:val="44"/>
          <w:highlight w:val="none"/>
          <w:lang w:val="zh-CN"/>
        </w:rPr>
      </w:pPr>
      <w:r>
        <w:rPr>
          <w:b/>
          <w:bCs/>
          <w:color w:val="auto"/>
          <w:sz w:val="44"/>
          <w:szCs w:val="44"/>
          <w:highlight w:val="none"/>
          <w:lang w:val="zh-CN"/>
        </w:rPr>
        <w:t>目录</w:t>
      </w:r>
    </w:p>
    <w:p w14:paraId="06FF6FE8">
      <w:pPr>
        <w:pStyle w:val="266"/>
        <w:jc w:val="center"/>
        <w:rPr>
          <w:b/>
          <w:bCs/>
          <w:color w:val="auto"/>
          <w:sz w:val="44"/>
          <w:szCs w:val="44"/>
          <w:highlight w:val="none"/>
        </w:rPr>
      </w:pPr>
    </w:p>
    <w:p w14:paraId="6190B8AF">
      <w:pPr>
        <w:keepNext w:val="0"/>
        <w:keepLines w:val="0"/>
        <w:widowControl w:val="0"/>
        <w:numPr>
          <w:ilvl w:val="0"/>
          <w:numId w:val="0"/>
        </w:numPr>
        <w:suppressLineNumbers w:val="0"/>
        <w:spacing w:before="0" w:beforeAutospacing="0" w:after="0" w:afterAutospacing="0" w:line="1000" w:lineRule="exact"/>
        <w:ind w:right="0" w:rightChars="0" w:firstLine="1440" w:firstLineChars="400"/>
        <w:jc w:val="left"/>
        <w:outlineLvl w:val="0"/>
        <w:rPr>
          <w:rFonts w:hint="eastAsia" w:asciiTheme="minorEastAsia" w:hAnsiTheme="minorEastAsia" w:eastAsiaTheme="minorEastAsia" w:cstheme="minorEastAsia"/>
          <w:b w:val="0"/>
          <w:color w:val="auto"/>
          <w:kern w:val="2"/>
          <w:sz w:val="36"/>
          <w:szCs w:val="36"/>
          <w:highlight w:val="none"/>
          <w:lang w:val="en-US" w:eastAsia="zh-CN" w:bidi="ar-SA"/>
        </w:rPr>
      </w:pPr>
      <w:r>
        <w:rPr>
          <w:rFonts w:hint="eastAsia" w:asciiTheme="minorEastAsia" w:hAnsiTheme="minorEastAsia" w:eastAsiaTheme="minorEastAsia" w:cstheme="minorEastAsia"/>
          <w:b w:val="0"/>
          <w:color w:val="auto"/>
          <w:kern w:val="2"/>
          <w:sz w:val="36"/>
          <w:szCs w:val="36"/>
          <w:highlight w:val="none"/>
          <w:lang w:val="en-US" w:eastAsia="zh-CN" w:bidi="ar-SA"/>
        </w:rPr>
        <w:fldChar w:fldCharType="begin"/>
      </w:r>
      <w:r>
        <w:rPr>
          <w:rFonts w:hint="eastAsia" w:asciiTheme="minorEastAsia" w:hAnsiTheme="minorEastAsia" w:eastAsiaTheme="minorEastAsia" w:cstheme="minorEastAsia"/>
          <w:b w:val="0"/>
          <w:color w:val="auto"/>
          <w:kern w:val="2"/>
          <w:sz w:val="36"/>
          <w:szCs w:val="36"/>
          <w:highlight w:val="none"/>
          <w:lang w:val="en-US" w:eastAsia="zh-CN" w:bidi="ar-SA"/>
        </w:rPr>
        <w:instrText xml:space="preserve"> TOC \o "1-3" \u </w:instrText>
      </w:r>
      <w:r>
        <w:rPr>
          <w:rFonts w:hint="eastAsia" w:asciiTheme="minorEastAsia" w:hAnsiTheme="minorEastAsia" w:eastAsiaTheme="minorEastAsia" w:cstheme="minorEastAsia"/>
          <w:b w:val="0"/>
          <w:color w:val="auto"/>
          <w:kern w:val="2"/>
          <w:sz w:val="36"/>
          <w:szCs w:val="36"/>
          <w:highlight w:val="none"/>
          <w:lang w:val="en-US" w:eastAsia="zh-CN" w:bidi="ar-SA"/>
        </w:rPr>
        <w:fldChar w:fldCharType="separate"/>
      </w:r>
      <w:r>
        <w:rPr>
          <w:rFonts w:hint="eastAsia" w:asciiTheme="minorEastAsia" w:hAnsiTheme="minorEastAsia" w:eastAsiaTheme="minorEastAsia" w:cstheme="minorEastAsia"/>
          <w:b w:val="0"/>
          <w:color w:val="auto"/>
          <w:kern w:val="2"/>
          <w:sz w:val="36"/>
          <w:szCs w:val="36"/>
          <w:highlight w:val="none"/>
          <w:lang w:val="en-US" w:eastAsia="zh-CN" w:bidi="ar-SA"/>
        </w:rPr>
        <w:t>第一章  竞争性磋商采购公告</w:t>
      </w:r>
    </w:p>
    <w:p w14:paraId="33DF2C7E">
      <w:pPr>
        <w:keepNext w:val="0"/>
        <w:keepLines w:val="0"/>
        <w:widowControl w:val="0"/>
        <w:numPr>
          <w:ilvl w:val="0"/>
          <w:numId w:val="0"/>
        </w:numPr>
        <w:suppressLineNumbers w:val="0"/>
        <w:spacing w:before="0" w:beforeAutospacing="0" w:after="0" w:afterAutospacing="0" w:line="1000" w:lineRule="exact"/>
        <w:ind w:right="0" w:rightChars="0" w:firstLine="1440" w:firstLineChars="400"/>
        <w:jc w:val="left"/>
        <w:outlineLvl w:val="0"/>
        <w:rPr>
          <w:rFonts w:hint="eastAsia" w:asciiTheme="minorEastAsia" w:hAnsiTheme="minorEastAsia" w:eastAsiaTheme="minorEastAsia" w:cstheme="minorEastAsia"/>
          <w:b w:val="0"/>
          <w:color w:val="auto"/>
          <w:kern w:val="2"/>
          <w:sz w:val="36"/>
          <w:szCs w:val="36"/>
          <w:highlight w:val="none"/>
          <w:lang w:val="en-US" w:eastAsia="zh-CN" w:bidi="ar-SA"/>
        </w:rPr>
      </w:pPr>
      <w:r>
        <w:rPr>
          <w:rFonts w:hint="eastAsia" w:asciiTheme="minorEastAsia" w:hAnsiTheme="minorEastAsia" w:eastAsiaTheme="minorEastAsia" w:cstheme="minorEastAsia"/>
          <w:b w:val="0"/>
          <w:color w:val="auto"/>
          <w:kern w:val="2"/>
          <w:sz w:val="36"/>
          <w:szCs w:val="36"/>
          <w:highlight w:val="none"/>
          <w:lang w:val="en-US" w:eastAsia="zh-CN" w:bidi="ar-SA"/>
        </w:rPr>
        <w:t>第二章  磋商须知</w:t>
      </w:r>
      <w:r>
        <w:rPr>
          <w:rFonts w:hint="eastAsia" w:asciiTheme="minorEastAsia" w:hAnsiTheme="minorEastAsia" w:eastAsiaTheme="minorEastAsia" w:cstheme="minorEastAsia"/>
          <w:b w:val="0"/>
          <w:color w:val="auto"/>
          <w:kern w:val="2"/>
          <w:sz w:val="36"/>
          <w:szCs w:val="36"/>
          <w:highlight w:val="none"/>
          <w:lang w:val="en-US" w:eastAsia="zh-CN" w:bidi="ar-SA"/>
        </w:rPr>
        <w:tab/>
      </w:r>
    </w:p>
    <w:p w14:paraId="1538A095">
      <w:pPr>
        <w:keepNext w:val="0"/>
        <w:keepLines w:val="0"/>
        <w:widowControl w:val="0"/>
        <w:numPr>
          <w:ilvl w:val="0"/>
          <w:numId w:val="0"/>
        </w:numPr>
        <w:suppressLineNumbers w:val="0"/>
        <w:spacing w:before="0" w:beforeAutospacing="0" w:after="0" w:afterAutospacing="0" w:line="1000" w:lineRule="exact"/>
        <w:ind w:right="0" w:rightChars="0" w:firstLine="1440" w:firstLineChars="400"/>
        <w:jc w:val="left"/>
        <w:outlineLvl w:val="0"/>
        <w:rPr>
          <w:rFonts w:hint="eastAsia" w:asciiTheme="minorEastAsia" w:hAnsiTheme="minorEastAsia" w:eastAsiaTheme="minorEastAsia" w:cstheme="minorEastAsia"/>
          <w:b w:val="0"/>
          <w:color w:val="auto"/>
          <w:kern w:val="2"/>
          <w:sz w:val="36"/>
          <w:szCs w:val="36"/>
          <w:highlight w:val="none"/>
          <w:lang w:val="en-US" w:eastAsia="zh-CN" w:bidi="ar-SA"/>
        </w:rPr>
      </w:pPr>
      <w:r>
        <w:rPr>
          <w:rFonts w:hint="eastAsia" w:asciiTheme="minorEastAsia" w:hAnsiTheme="minorEastAsia" w:eastAsiaTheme="minorEastAsia" w:cstheme="minorEastAsia"/>
          <w:b w:val="0"/>
          <w:color w:val="auto"/>
          <w:kern w:val="2"/>
          <w:sz w:val="36"/>
          <w:szCs w:val="36"/>
          <w:highlight w:val="none"/>
          <w:lang w:val="en-US" w:eastAsia="zh-CN" w:bidi="ar-SA"/>
        </w:rPr>
        <w:t>第三章  合同条款及格式</w:t>
      </w:r>
    </w:p>
    <w:p w14:paraId="229DE06F">
      <w:pPr>
        <w:keepNext w:val="0"/>
        <w:keepLines w:val="0"/>
        <w:widowControl w:val="0"/>
        <w:numPr>
          <w:ilvl w:val="0"/>
          <w:numId w:val="0"/>
        </w:numPr>
        <w:suppressLineNumbers w:val="0"/>
        <w:spacing w:before="0" w:beforeAutospacing="0" w:after="0" w:afterAutospacing="0" w:line="1000" w:lineRule="exact"/>
        <w:ind w:right="0" w:rightChars="0" w:firstLine="1440" w:firstLineChars="400"/>
        <w:jc w:val="left"/>
        <w:outlineLvl w:val="0"/>
        <w:rPr>
          <w:rFonts w:hint="eastAsia" w:asciiTheme="minorEastAsia" w:hAnsiTheme="minorEastAsia" w:eastAsiaTheme="minorEastAsia" w:cstheme="minorEastAsia"/>
          <w:b w:val="0"/>
          <w:color w:val="auto"/>
          <w:kern w:val="2"/>
          <w:sz w:val="36"/>
          <w:szCs w:val="36"/>
          <w:highlight w:val="none"/>
          <w:lang w:val="en-US" w:eastAsia="zh-CN" w:bidi="ar-SA"/>
        </w:rPr>
      </w:pPr>
      <w:r>
        <w:rPr>
          <w:rFonts w:hint="eastAsia" w:asciiTheme="minorEastAsia" w:hAnsiTheme="minorEastAsia" w:eastAsiaTheme="minorEastAsia" w:cstheme="minorEastAsia"/>
          <w:b w:val="0"/>
          <w:color w:val="auto"/>
          <w:kern w:val="2"/>
          <w:sz w:val="36"/>
          <w:szCs w:val="36"/>
          <w:highlight w:val="none"/>
          <w:lang w:val="en-US" w:eastAsia="zh-CN" w:bidi="ar-SA"/>
        </w:rPr>
        <w:t>第四章  项目需求</w:t>
      </w:r>
      <w:r>
        <w:rPr>
          <w:rFonts w:hint="eastAsia" w:asciiTheme="minorEastAsia" w:hAnsiTheme="minorEastAsia" w:eastAsiaTheme="minorEastAsia" w:cstheme="minorEastAsia"/>
          <w:b w:val="0"/>
          <w:color w:val="auto"/>
          <w:kern w:val="2"/>
          <w:sz w:val="36"/>
          <w:szCs w:val="36"/>
          <w:highlight w:val="none"/>
          <w:lang w:val="en-US" w:eastAsia="zh-CN" w:bidi="ar-SA"/>
        </w:rPr>
        <w:tab/>
      </w:r>
    </w:p>
    <w:p w14:paraId="1D27CCE9">
      <w:pPr>
        <w:keepNext w:val="0"/>
        <w:keepLines w:val="0"/>
        <w:widowControl w:val="0"/>
        <w:numPr>
          <w:ilvl w:val="0"/>
          <w:numId w:val="0"/>
        </w:numPr>
        <w:suppressLineNumbers w:val="0"/>
        <w:spacing w:before="0" w:beforeAutospacing="0" w:after="0" w:afterAutospacing="0" w:line="1000" w:lineRule="exact"/>
        <w:ind w:right="0" w:rightChars="0" w:firstLine="1440" w:firstLineChars="400"/>
        <w:jc w:val="left"/>
        <w:outlineLvl w:val="0"/>
        <w:rPr>
          <w:rFonts w:hint="eastAsia" w:asciiTheme="minorEastAsia" w:hAnsiTheme="minorEastAsia" w:eastAsiaTheme="minorEastAsia" w:cstheme="minorEastAsia"/>
          <w:b w:val="0"/>
          <w:color w:val="auto"/>
          <w:kern w:val="2"/>
          <w:sz w:val="36"/>
          <w:szCs w:val="36"/>
          <w:highlight w:val="none"/>
          <w:lang w:val="en-US" w:eastAsia="zh-CN" w:bidi="ar-SA"/>
        </w:rPr>
      </w:pPr>
      <w:r>
        <w:rPr>
          <w:rFonts w:hint="eastAsia" w:asciiTheme="minorEastAsia" w:hAnsiTheme="minorEastAsia" w:eastAsiaTheme="minorEastAsia" w:cstheme="minorEastAsia"/>
          <w:b w:val="0"/>
          <w:color w:val="auto"/>
          <w:kern w:val="2"/>
          <w:sz w:val="36"/>
          <w:szCs w:val="36"/>
          <w:highlight w:val="none"/>
          <w:lang w:val="en-US" w:eastAsia="zh-CN" w:bidi="ar-SA"/>
        </w:rPr>
        <w:t>第五章  定标原则和评审标准</w:t>
      </w:r>
    </w:p>
    <w:p w14:paraId="03DF6B26">
      <w:pPr>
        <w:keepNext w:val="0"/>
        <w:keepLines w:val="0"/>
        <w:widowControl w:val="0"/>
        <w:numPr>
          <w:ilvl w:val="0"/>
          <w:numId w:val="0"/>
        </w:numPr>
        <w:suppressLineNumbers w:val="0"/>
        <w:spacing w:before="0" w:beforeAutospacing="0" w:after="0" w:afterAutospacing="0" w:line="1000" w:lineRule="exact"/>
        <w:ind w:right="0" w:rightChars="0" w:firstLine="1440" w:firstLineChars="400"/>
        <w:jc w:val="left"/>
        <w:outlineLvl w:val="0"/>
        <w:rPr>
          <w:rFonts w:hint="default" w:asciiTheme="minorEastAsia" w:hAnsiTheme="minorEastAsia" w:eastAsiaTheme="minorEastAsia" w:cstheme="minorEastAsia"/>
          <w:b w:val="0"/>
          <w:color w:val="auto"/>
          <w:kern w:val="2"/>
          <w:sz w:val="36"/>
          <w:szCs w:val="36"/>
          <w:highlight w:val="none"/>
          <w:lang w:val="en-US" w:eastAsia="zh-CN" w:bidi="ar-SA"/>
        </w:rPr>
      </w:pPr>
      <w:r>
        <w:rPr>
          <w:rFonts w:hint="eastAsia" w:asciiTheme="minorEastAsia" w:hAnsiTheme="minorEastAsia" w:eastAsiaTheme="minorEastAsia" w:cstheme="minorEastAsia"/>
          <w:b w:val="0"/>
          <w:color w:val="auto"/>
          <w:kern w:val="2"/>
          <w:sz w:val="36"/>
          <w:szCs w:val="36"/>
          <w:highlight w:val="none"/>
          <w:lang w:val="en-US" w:eastAsia="zh-CN" w:bidi="ar-SA"/>
        </w:rPr>
        <w:t>第六章  竞争性磋商响应文件格式</w:t>
      </w:r>
      <w:r>
        <w:rPr>
          <w:rFonts w:hint="eastAsia" w:asciiTheme="minorEastAsia" w:hAnsiTheme="minorEastAsia" w:eastAsiaTheme="minorEastAsia" w:cstheme="minorEastAsia"/>
          <w:b w:val="0"/>
          <w:color w:val="auto"/>
          <w:kern w:val="2"/>
          <w:sz w:val="36"/>
          <w:szCs w:val="36"/>
          <w:highlight w:val="none"/>
          <w:lang w:val="en-US" w:eastAsia="zh-CN" w:bidi="ar-SA"/>
        </w:rPr>
        <w:tab/>
      </w:r>
    </w:p>
    <w:p w14:paraId="3DFA7D91">
      <w:pPr>
        <w:keepNext w:val="0"/>
        <w:keepLines w:val="0"/>
        <w:widowControl w:val="0"/>
        <w:numPr>
          <w:ilvl w:val="0"/>
          <w:numId w:val="0"/>
        </w:numPr>
        <w:suppressLineNumbers w:val="0"/>
        <w:spacing w:before="0" w:beforeAutospacing="0" w:after="0" w:afterAutospacing="0" w:line="1000" w:lineRule="exact"/>
        <w:ind w:left="1440" w:leftChars="0" w:right="0" w:rightChars="0" w:hanging="1440" w:firstLineChars="0"/>
        <w:jc w:val="left"/>
        <w:outlineLvl w:val="0"/>
        <w:rPr>
          <w:b/>
          <w:bCs/>
          <w:color w:val="auto"/>
          <w:highlight w:val="none"/>
          <w:lang w:val="zh-CN"/>
        </w:rPr>
        <w:sectPr>
          <w:footerReference r:id="rId4" w:type="first"/>
          <w:footerReference r:id="rId3" w:type="default"/>
          <w:pgSz w:w="11906" w:h="16838"/>
          <w:pgMar w:top="1440" w:right="1080" w:bottom="1440" w:left="1080" w:header="851" w:footer="907" w:gutter="0"/>
          <w:pgBorders>
            <w:top w:val="none" w:sz="0" w:space="0"/>
            <w:left w:val="none" w:sz="0" w:space="0"/>
            <w:bottom w:val="none" w:sz="0" w:space="0"/>
            <w:right w:val="none" w:sz="0" w:space="0"/>
          </w:pgBorders>
          <w:pgNumType w:fmt="decimal" w:start="1"/>
          <w:cols w:space="720" w:num="1"/>
          <w:titlePg/>
          <w:docGrid w:linePitch="360" w:charSpace="0"/>
        </w:sectPr>
      </w:pPr>
      <w:r>
        <w:rPr>
          <w:rFonts w:hint="eastAsia" w:asciiTheme="minorEastAsia" w:hAnsiTheme="minorEastAsia" w:eastAsiaTheme="minorEastAsia" w:cstheme="minorEastAsia"/>
          <w:b w:val="0"/>
          <w:color w:val="auto"/>
          <w:kern w:val="2"/>
          <w:sz w:val="36"/>
          <w:szCs w:val="36"/>
          <w:highlight w:val="none"/>
          <w:lang w:val="en-US" w:eastAsia="zh-CN" w:bidi="ar-SA"/>
        </w:rPr>
        <w:fldChar w:fldCharType="end"/>
      </w:r>
    </w:p>
    <w:p w14:paraId="78156F37">
      <w:pPr>
        <w:pStyle w:val="51"/>
        <w:jc w:val="center"/>
        <w:rPr>
          <w:color w:val="auto"/>
          <w:sz w:val="36"/>
          <w:szCs w:val="36"/>
          <w:highlight w:val="none"/>
        </w:rPr>
      </w:pPr>
      <w:bookmarkStart w:id="0" w:name="_Toc203032683"/>
      <w:r>
        <w:rPr>
          <w:rFonts w:hint="eastAsia"/>
          <w:color w:val="auto"/>
          <w:sz w:val="36"/>
          <w:szCs w:val="36"/>
          <w:highlight w:val="none"/>
        </w:rPr>
        <w:t>第一章 竞争性磋商采购公告</w:t>
      </w:r>
      <w:bookmarkEnd w:id="0"/>
    </w:p>
    <w:p w14:paraId="54737632">
      <w:pPr>
        <w:rPr>
          <w:rFonts w:ascii="宋体" w:hAnsi="宋体" w:cs="宋体"/>
          <w:color w:val="auto"/>
          <w:highlight w:val="none"/>
        </w:rPr>
      </w:pPr>
      <w:bookmarkStart w:id="1" w:name="_Toc14577347"/>
      <w:bookmarkStart w:id="2" w:name="_Toc61149549"/>
      <w:bookmarkStart w:id="3" w:name="_Toc513029209"/>
    </w:p>
    <w:p w14:paraId="6F223613">
      <w:pPr>
        <w:pageBreakBefore w:val="0"/>
        <w:widowControl w:val="0"/>
        <w:pBdr>
          <w:top w:val="single" w:color="000000" w:sz="4" w:space="1"/>
          <w:left w:val="single" w:color="000000" w:sz="4" w:space="4"/>
          <w:bottom w:val="single" w:color="000000" w:sz="4" w:space="1"/>
          <w:right w:val="single" w:color="000000" w:sz="4" w:space="0"/>
        </w:pBdr>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项目概况</w:t>
      </w:r>
    </w:p>
    <w:p w14:paraId="0CA78DD5">
      <w:pPr>
        <w:pageBreakBefore w:val="0"/>
        <w:widowControl w:val="0"/>
        <w:pBdr>
          <w:top w:val="single" w:color="000000" w:sz="4" w:space="1"/>
          <w:left w:val="single" w:color="000000" w:sz="4" w:space="4"/>
          <w:bottom w:val="single" w:color="000000" w:sz="4" w:space="1"/>
          <w:right w:val="single" w:color="000000" w:sz="4" w:space="0"/>
        </w:pBdr>
        <w:kinsoku/>
        <w:wordWrap/>
        <w:overflowPunct/>
        <w:topLinePunct w:val="0"/>
        <w:autoSpaceDE/>
        <w:autoSpaceDN/>
        <w:bidi w:val="0"/>
        <w:adjustRightInd/>
        <w:snapToGrid/>
        <w:spacing w:line="500" w:lineRule="exact"/>
        <w:ind w:firstLine="480"/>
        <w:jc w:val="left"/>
        <w:textAlignment w:val="auto"/>
        <w:rPr>
          <w:rFonts w:ascii="宋体" w:hAnsi="宋体" w:cs="宋体"/>
          <w:color w:val="auto"/>
          <w:sz w:val="24"/>
          <w:highlight w:val="none"/>
        </w:rPr>
      </w:pPr>
      <w:r>
        <w:rPr>
          <w:rFonts w:hint="eastAsia" w:ascii="宋体" w:hAnsi="宋体" w:cs="宋体"/>
          <w:color w:val="auto"/>
          <w:sz w:val="24"/>
          <w:highlight w:val="none"/>
          <w:u w:val="single"/>
          <w:lang w:eastAsia="zh-CN"/>
        </w:rPr>
        <w:t>盐城市公安局盐都分局国省道科技提升项目</w:t>
      </w:r>
      <w:r>
        <w:rPr>
          <w:rFonts w:hint="eastAsia" w:ascii="宋体" w:hAnsi="宋体" w:cs="宋体"/>
          <w:color w:val="auto"/>
          <w:sz w:val="24"/>
          <w:highlight w:val="none"/>
        </w:rPr>
        <w:t>（项目编号：</w:t>
      </w:r>
      <w:r>
        <w:rPr>
          <w:rFonts w:hint="eastAsia" w:ascii="宋体" w:hAnsi="宋体" w:cs="宋体"/>
          <w:color w:val="auto"/>
          <w:sz w:val="24"/>
          <w:highlight w:val="none"/>
          <w:lang w:val="en-US" w:eastAsia="zh-CN"/>
        </w:rPr>
        <w:t>JSZC-320903-JCJS-C2026-0006</w:t>
      </w:r>
      <w:r>
        <w:rPr>
          <w:rFonts w:hint="eastAsia" w:ascii="仿宋" w:hAnsi="仿宋" w:eastAsia="仿宋"/>
          <w:color w:val="auto"/>
          <w:sz w:val="24"/>
          <w:highlight w:val="none"/>
        </w:rPr>
        <w:t xml:space="preserve">） </w:t>
      </w:r>
      <w:r>
        <w:rPr>
          <w:rFonts w:hint="eastAsia" w:ascii="宋体" w:hAnsi="宋体"/>
          <w:color w:val="auto"/>
          <w:sz w:val="24"/>
          <w:highlight w:val="none"/>
        </w:rPr>
        <w:t>招标项目的潜在投标人应在“苏采云”系统内免费下载（投标人必须在苏采云系统中获取采购文件，方能参与政府采购项目）； 获取</w:t>
      </w:r>
      <w:r>
        <w:rPr>
          <w:rFonts w:hint="eastAsia" w:ascii="宋体" w:hAnsi="宋体"/>
          <w:color w:val="auto"/>
          <w:sz w:val="24"/>
          <w:highlight w:val="none"/>
          <w:lang w:eastAsia="zh-CN"/>
        </w:rPr>
        <w:t>竞争性磋商文件</w:t>
      </w:r>
      <w:r>
        <w:rPr>
          <w:rFonts w:hint="eastAsia" w:ascii="宋体" w:hAnsi="宋体"/>
          <w:color w:val="auto"/>
          <w:sz w:val="24"/>
          <w:highlight w:val="none"/>
        </w:rPr>
        <w:t>，并于</w:t>
      </w:r>
      <w:r>
        <w:rPr>
          <w:rFonts w:hint="eastAsia" w:ascii="宋体" w:hAnsi="宋体"/>
          <w:color w:val="auto"/>
          <w:sz w:val="24"/>
          <w:highlight w:val="none"/>
          <w:u w:val="single"/>
        </w:rPr>
        <w:t>202</w:t>
      </w:r>
      <w:r>
        <w:rPr>
          <w:rFonts w:hint="eastAsia" w:ascii="宋体" w:hAnsi="宋体"/>
          <w:color w:val="auto"/>
          <w:sz w:val="24"/>
          <w:highlight w:val="none"/>
          <w:u w:val="single"/>
          <w:lang w:val="en-US" w:eastAsia="zh-CN"/>
        </w:rPr>
        <w:t>6</w:t>
      </w:r>
      <w:r>
        <w:rPr>
          <w:rFonts w:hint="eastAsia" w:ascii="宋体" w:hAnsi="宋体"/>
          <w:color w:val="auto"/>
          <w:sz w:val="24"/>
          <w:highlight w:val="none"/>
        </w:rPr>
        <w:t>年</w:t>
      </w:r>
      <w:r>
        <w:rPr>
          <w:rFonts w:hint="eastAsia" w:ascii="宋体" w:hAnsi="宋体"/>
          <w:color w:val="auto"/>
          <w:sz w:val="24"/>
          <w:highlight w:val="none"/>
          <w:u w:val="single"/>
          <w:lang w:val="en-US" w:eastAsia="zh-CN"/>
        </w:rPr>
        <w:t>7</w:t>
      </w:r>
      <w:r>
        <w:rPr>
          <w:rFonts w:hint="eastAsia" w:ascii="宋体" w:hAnsi="宋体"/>
          <w:color w:val="auto"/>
          <w:sz w:val="24"/>
          <w:highlight w:val="none"/>
        </w:rPr>
        <w:t>月</w:t>
      </w:r>
      <w:r>
        <w:rPr>
          <w:rFonts w:hint="eastAsia" w:ascii="宋体" w:hAnsi="宋体"/>
          <w:color w:val="auto"/>
          <w:sz w:val="24"/>
          <w:highlight w:val="none"/>
          <w:u w:val="single"/>
          <w:lang w:val="en-US" w:eastAsia="zh-CN"/>
        </w:rPr>
        <w:t>8</w:t>
      </w:r>
      <w:r>
        <w:rPr>
          <w:rFonts w:hint="eastAsia" w:ascii="宋体" w:hAnsi="宋体"/>
          <w:color w:val="auto"/>
          <w:sz w:val="24"/>
          <w:highlight w:val="none"/>
        </w:rPr>
        <w:t>日</w:t>
      </w:r>
      <w:r>
        <w:rPr>
          <w:rFonts w:hint="eastAsia" w:ascii="宋体" w:hAnsi="宋体"/>
          <w:color w:val="auto"/>
          <w:sz w:val="24"/>
          <w:highlight w:val="none"/>
          <w:u w:val="single"/>
          <w:lang w:val="en-US" w:eastAsia="zh-CN"/>
        </w:rPr>
        <w:t>09</w:t>
      </w:r>
      <w:r>
        <w:rPr>
          <w:rFonts w:hint="eastAsia" w:ascii="宋体" w:hAnsi="宋体"/>
          <w:color w:val="auto"/>
          <w:sz w:val="24"/>
          <w:highlight w:val="none"/>
        </w:rPr>
        <w:t>点</w:t>
      </w:r>
      <w:r>
        <w:rPr>
          <w:rFonts w:hint="eastAsia" w:ascii="宋体" w:hAnsi="宋体"/>
          <w:color w:val="auto"/>
          <w:sz w:val="24"/>
          <w:highlight w:val="none"/>
          <w:u w:val="single"/>
        </w:rPr>
        <w:t>00</w:t>
      </w:r>
      <w:r>
        <w:rPr>
          <w:rFonts w:hint="eastAsia" w:ascii="宋体" w:hAnsi="宋体"/>
          <w:color w:val="auto"/>
          <w:sz w:val="24"/>
          <w:highlight w:val="none"/>
        </w:rPr>
        <w:t>分（北京时间）前递交投标文件。</w:t>
      </w:r>
    </w:p>
    <w:p w14:paraId="4F0934C1">
      <w:pPr>
        <w:pStyle w:val="4"/>
        <w:pageBreakBefore w:val="0"/>
        <w:widowControl w:val="0"/>
        <w:kinsoku/>
        <w:wordWrap/>
        <w:overflowPunct/>
        <w:topLinePunct w:val="0"/>
        <w:autoSpaceDE/>
        <w:autoSpaceDN/>
        <w:bidi w:val="0"/>
        <w:adjustRightInd/>
        <w:snapToGrid/>
        <w:spacing w:before="0" w:after="0" w:line="500" w:lineRule="exact"/>
        <w:jc w:val="both"/>
        <w:textAlignment w:val="auto"/>
        <w:rPr>
          <w:rFonts w:ascii="宋体" w:hAnsi="宋体" w:eastAsia="宋体" w:cs="宋体"/>
          <w:bCs/>
          <w:color w:val="auto"/>
          <w:sz w:val="24"/>
          <w:szCs w:val="24"/>
          <w:highlight w:val="none"/>
        </w:rPr>
      </w:pPr>
      <w:bookmarkStart w:id="4" w:name="_Toc166856186"/>
      <w:bookmarkStart w:id="5" w:name="_Toc35393629"/>
      <w:bookmarkStart w:id="6" w:name="_Toc28359012"/>
      <w:bookmarkStart w:id="7" w:name="_Toc35393798"/>
      <w:bookmarkStart w:id="8" w:name="_Toc28359089"/>
      <w:bookmarkStart w:id="9" w:name="_Toc203032684"/>
      <w:r>
        <w:rPr>
          <w:rFonts w:hint="eastAsia" w:ascii="宋体" w:hAnsi="宋体" w:eastAsia="宋体" w:cs="宋体"/>
          <w:bCs/>
          <w:color w:val="auto"/>
          <w:sz w:val="24"/>
          <w:szCs w:val="24"/>
          <w:highlight w:val="none"/>
        </w:rPr>
        <w:t>一、项目基本情况</w:t>
      </w:r>
      <w:bookmarkEnd w:id="4"/>
      <w:bookmarkEnd w:id="5"/>
      <w:bookmarkEnd w:id="6"/>
      <w:bookmarkEnd w:id="7"/>
      <w:bookmarkEnd w:id="8"/>
      <w:bookmarkEnd w:id="9"/>
    </w:p>
    <w:p w14:paraId="23211DF0">
      <w:pPr>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lang w:eastAsia="zh-CN"/>
        </w:rPr>
      </w:pPr>
      <w:bookmarkStart w:id="10" w:name="_Toc166856187"/>
      <w:bookmarkStart w:id="11" w:name="_Toc35393799"/>
      <w:bookmarkStart w:id="12" w:name="_Toc35393630"/>
      <w:bookmarkStart w:id="13" w:name="_Toc28359013"/>
      <w:bookmarkStart w:id="14" w:name="_Toc28359090"/>
      <w:r>
        <w:rPr>
          <w:rFonts w:hint="eastAsia" w:ascii="宋体" w:hAnsi="宋体" w:cs="宋体"/>
          <w:color w:val="auto"/>
          <w:sz w:val="24"/>
          <w:highlight w:val="none"/>
        </w:rPr>
        <w:t>1.项目编号：JSZC-320903-JCJS-C2026-0006</w:t>
      </w:r>
    </w:p>
    <w:p w14:paraId="0690BD99">
      <w:pPr>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2.项目名称：</w:t>
      </w:r>
      <w:r>
        <w:rPr>
          <w:rFonts w:hint="eastAsia" w:ascii="宋体" w:hAnsi="宋体" w:cs="宋体"/>
          <w:color w:val="auto"/>
          <w:sz w:val="24"/>
          <w:highlight w:val="none"/>
          <w:lang w:eastAsia="zh-CN"/>
        </w:rPr>
        <w:t>盐城市公安局盐都分局国省道科技提升项目</w:t>
      </w:r>
    </w:p>
    <w:p w14:paraId="06842BF1">
      <w:pPr>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3.采购方式：竞争性磋商</w:t>
      </w:r>
    </w:p>
    <w:p w14:paraId="6DD58A67">
      <w:pPr>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4.预算金额：</w:t>
      </w:r>
      <w:r>
        <w:rPr>
          <w:rFonts w:hint="eastAsia" w:ascii="宋体" w:hAnsi="宋体" w:cs="宋体"/>
          <w:color w:val="auto"/>
          <w:sz w:val="24"/>
          <w:highlight w:val="none"/>
          <w:lang w:val="en-US" w:eastAsia="zh-CN"/>
        </w:rPr>
        <w:t>1893284.30</w:t>
      </w:r>
      <w:r>
        <w:rPr>
          <w:rFonts w:hint="eastAsia" w:ascii="宋体" w:hAnsi="宋体" w:cs="宋体"/>
          <w:color w:val="auto"/>
          <w:sz w:val="24"/>
          <w:highlight w:val="none"/>
        </w:rPr>
        <w:t>元</w:t>
      </w:r>
    </w:p>
    <w:p w14:paraId="6FF15051">
      <w:pPr>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5.最高限价：</w:t>
      </w:r>
      <w:r>
        <w:rPr>
          <w:rFonts w:hint="eastAsia" w:ascii="宋体" w:hAnsi="宋体" w:cs="宋体"/>
          <w:color w:val="auto"/>
          <w:sz w:val="24"/>
          <w:highlight w:val="none"/>
          <w:lang w:val="en-US" w:eastAsia="zh-CN"/>
        </w:rPr>
        <w:t>1893284.30</w:t>
      </w:r>
      <w:r>
        <w:rPr>
          <w:rFonts w:hint="eastAsia" w:ascii="宋体" w:hAnsi="宋体" w:cs="宋体"/>
          <w:color w:val="auto"/>
          <w:sz w:val="24"/>
          <w:highlight w:val="none"/>
        </w:rPr>
        <w:t>元</w:t>
      </w:r>
    </w:p>
    <w:p w14:paraId="67C76454">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6.采购需求：</w:t>
      </w:r>
      <w:r>
        <w:rPr>
          <w:rFonts w:hint="eastAsia" w:ascii="宋体" w:hAnsi="宋体" w:cs="宋体"/>
          <w:color w:val="auto"/>
          <w:sz w:val="24"/>
          <w:highlight w:val="none"/>
          <w:lang w:eastAsia="zh-CN"/>
        </w:rPr>
        <w:t>盐城市公安局盐都分局国省道科技提升项目</w:t>
      </w:r>
      <w:r>
        <w:rPr>
          <w:rFonts w:hint="eastAsia" w:ascii="宋体" w:hAnsi="宋体" w:cs="宋体"/>
          <w:color w:val="auto"/>
          <w:sz w:val="24"/>
          <w:highlight w:val="none"/>
          <w:lang w:val="en-US" w:eastAsia="zh-CN"/>
        </w:rPr>
        <w:t>的施工</w:t>
      </w:r>
      <w:r>
        <w:rPr>
          <w:rFonts w:hint="eastAsia" w:ascii="宋体" w:hAnsi="宋体" w:cs="宋体"/>
          <w:color w:val="auto"/>
          <w:sz w:val="24"/>
          <w:highlight w:val="none"/>
        </w:rPr>
        <w:t>。具体详见</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项目需求</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部分</w:t>
      </w:r>
      <w:r>
        <w:rPr>
          <w:rFonts w:hint="eastAsia" w:ascii="宋体" w:hAnsi="宋体" w:cs="宋体"/>
          <w:color w:val="auto"/>
          <w:sz w:val="24"/>
          <w:highlight w:val="none"/>
        </w:rPr>
        <w:t>。</w:t>
      </w:r>
    </w:p>
    <w:p w14:paraId="1912318C">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7.工期：</w:t>
      </w:r>
      <w:r>
        <w:rPr>
          <w:rFonts w:hint="eastAsia" w:ascii="宋体" w:hAnsi="宋体" w:cs="宋体"/>
          <w:color w:val="auto"/>
          <w:sz w:val="24"/>
          <w:highlight w:val="none"/>
          <w:lang w:val="en-US" w:eastAsia="zh-CN"/>
        </w:rPr>
        <w:t>60日历天</w:t>
      </w:r>
      <w:r>
        <w:rPr>
          <w:rFonts w:hint="eastAsia" w:ascii="宋体" w:hAnsi="宋体" w:cs="宋体"/>
          <w:color w:val="auto"/>
          <w:sz w:val="24"/>
          <w:highlight w:val="none"/>
        </w:rPr>
        <w:t>。</w:t>
      </w:r>
    </w:p>
    <w:p w14:paraId="677B16D6">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8.本项目不接受联合体投标。</w:t>
      </w:r>
    </w:p>
    <w:p w14:paraId="1EE2AB63">
      <w:pPr>
        <w:pStyle w:val="4"/>
        <w:pageBreakBefore w:val="0"/>
        <w:widowControl w:val="0"/>
        <w:kinsoku/>
        <w:wordWrap/>
        <w:overflowPunct/>
        <w:topLinePunct w:val="0"/>
        <w:autoSpaceDE/>
        <w:autoSpaceDN/>
        <w:bidi w:val="0"/>
        <w:adjustRightInd/>
        <w:snapToGrid/>
        <w:spacing w:before="0" w:after="0" w:line="500" w:lineRule="exact"/>
        <w:jc w:val="both"/>
        <w:textAlignment w:val="auto"/>
        <w:rPr>
          <w:rFonts w:ascii="宋体" w:hAnsi="宋体" w:eastAsia="宋体" w:cs="宋体"/>
          <w:bCs/>
          <w:color w:val="auto"/>
          <w:sz w:val="24"/>
          <w:szCs w:val="24"/>
          <w:highlight w:val="none"/>
        </w:rPr>
      </w:pPr>
      <w:bookmarkStart w:id="15" w:name="_Toc203032685"/>
      <w:r>
        <w:rPr>
          <w:rFonts w:hint="eastAsia" w:ascii="宋体" w:hAnsi="宋体" w:eastAsia="宋体" w:cs="宋体"/>
          <w:bCs/>
          <w:color w:val="auto"/>
          <w:sz w:val="24"/>
          <w:szCs w:val="24"/>
          <w:highlight w:val="none"/>
        </w:rPr>
        <w:t>二、申请人的资格要求：</w:t>
      </w:r>
      <w:bookmarkEnd w:id="10"/>
      <w:bookmarkEnd w:id="11"/>
      <w:bookmarkEnd w:id="12"/>
      <w:bookmarkEnd w:id="13"/>
      <w:bookmarkEnd w:id="14"/>
      <w:bookmarkEnd w:id="15"/>
    </w:p>
    <w:p w14:paraId="69F03BD7">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bookmarkStart w:id="16" w:name="_Toc35393631"/>
      <w:bookmarkStart w:id="17" w:name="_Toc28359091"/>
      <w:bookmarkStart w:id="18" w:name="_Toc28359014"/>
      <w:bookmarkStart w:id="19" w:name="_Toc35393800"/>
      <w:bookmarkStart w:id="20" w:name="_Toc166856188"/>
      <w:r>
        <w:rPr>
          <w:rFonts w:hint="eastAsia" w:ascii="宋体" w:hAnsi="宋体" w:cs="宋体"/>
          <w:color w:val="auto"/>
          <w:sz w:val="24"/>
          <w:highlight w:val="none"/>
        </w:rPr>
        <w:t>（一）满足《中华人民共和国政府采购法》第二十二条规定：</w:t>
      </w:r>
    </w:p>
    <w:p w14:paraId="5D567DF8">
      <w:pPr>
        <w:pageBreakBefore w:val="0"/>
        <w:widowControl w:val="0"/>
        <w:kinsoku/>
        <w:wordWrap/>
        <w:overflowPunct/>
        <w:topLinePunct w:val="0"/>
        <w:autoSpaceDE/>
        <w:autoSpaceDN/>
        <w:bidi w:val="0"/>
        <w:adjustRightInd/>
        <w:snapToGrid/>
        <w:spacing w:line="500" w:lineRule="exact"/>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1.法人或者其他组织的营业执照等证明文件，自然人的身份证明。</w:t>
      </w:r>
    </w:p>
    <w:p w14:paraId="285D9803">
      <w:pPr>
        <w:pageBreakBefore w:val="0"/>
        <w:widowControl w:val="0"/>
        <w:kinsoku/>
        <w:wordWrap/>
        <w:overflowPunct/>
        <w:topLinePunct w:val="0"/>
        <w:autoSpaceDE/>
        <w:autoSpaceDN/>
        <w:bidi w:val="0"/>
        <w:adjustRightInd/>
        <w:snapToGrid/>
        <w:spacing w:line="500" w:lineRule="exact"/>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2.上一年度的财务状况报表（至少提供资产负债表、利润表、现金流量表，成立不满一年不需提供）。</w:t>
      </w:r>
    </w:p>
    <w:p w14:paraId="5096D401">
      <w:pPr>
        <w:pageBreakBefore w:val="0"/>
        <w:widowControl w:val="0"/>
        <w:kinsoku/>
        <w:wordWrap/>
        <w:overflowPunct/>
        <w:topLinePunct w:val="0"/>
        <w:autoSpaceDE/>
        <w:autoSpaceDN/>
        <w:bidi w:val="0"/>
        <w:adjustRightInd/>
        <w:snapToGrid/>
        <w:spacing w:line="500" w:lineRule="exact"/>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3.依法缴纳税收和社会保障资金的相关材料（依法享受缓缴、免缴税收、社会保障金的提供证明材料）。</w:t>
      </w:r>
    </w:p>
    <w:p w14:paraId="664C1789">
      <w:pPr>
        <w:pageBreakBefore w:val="0"/>
        <w:widowControl w:val="0"/>
        <w:kinsoku/>
        <w:wordWrap/>
        <w:overflowPunct/>
        <w:topLinePunct w:val="0"/>
        <w:autoSpaceDE/>
        <w:autoSpaceDN/>
        <w:bidi w:val="0"/>
        <w:adjustRightInd/>
        <w:snapToGrid/>
        <w:spacing w:line="500" w:lineRule="exact"/>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4.具备履行合同所必需的设备和专业技术能力的书面声明。</w:t>
      </w:r>
    </w:p>
    <w:p w14:paraId="229A7447">
      <w:pPr>
        <w:pageBreakBefore w:val="0"/>
        <w:widowControl w:val="0"/>
        <w:kinsoku/>
        <w:wordWrap/>
        <w:overflowPunct/>
        <w:topLinePunct w:val="0"/>
        <w:autoSpaceDE/>
        <w:autoSpaceDN/>
        <w:bidi w:val="0"/>
        <w:adjustRightInd/>
        <w:snapToGrid/>
        <w:spacing w:line="500" w:lineRule="exact"/>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5.参加政府采购活动前3年内在经营活动中没有重大违法记录的书面声明。</w:t>
      </w:r>
    </w:p>
    <w:p w14:paraId="445FC98A">
      <w:pPr>
        <w:pageBreakBefore w:val="0"/>
        <w:widowControl w:val="0"/>
        <w:kinsoku/>
        <w:wordWrap/>
        <w:overflowPunct/>
        <w:topLinePunct w:val="0"/>
        <w:autoSpaceDE/>
        <w:autoSpaceDN/>
        <w:bidi w:val="0"/>
        <w:adjustRightInd/>
        <w:snapToGrid/>
        <w:spacing w:line="500" w:lineRule="exact"/>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6.法律、行政法规规定的其他条件。</w:t>
      </w:r>
    </w:p>
    <w:p w14:paraId="26240163">
      <w:pPr>
        <w:pageBreakBefore w:val="0"/>
        <w:widowControl w:val="0"/>
        <w:kinsoku/>
        <w:wordWrap/>
        <w:overflowPunct/>
        <w:topLinePunct w:val="0"/>
        <w:autoSpaceDE/>
        <w:autoSpaceDN/>
        <w:bidi w:val="0"/>
        <w:adjustRightInd/>
        <w:snapToGrid/>
        <w:spacing w:line="500" w:lineRule="exact"/>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7.未被“信用中国”网站（www.creditchina.gov.cn）列入失信被执行人、重大税收违法案件当事人名单、政府采购严重失信行为记录名单（响应文件中无需提供证明材料）。</w:t>
      </w:r>
    </w:p>
    <w:p w14:paraId="3CB75620">
      <w:pPr>
        <w:pageBreakBefore w:val="0"/>
        <w:widowControl w:val="0"/>
        <w:kinsoku/>
        <w:wordWrap/>
        <w:overflowPunct/>
        <w:topLinePunct w:val="0"/>
        <w:autoSpaceDE/>
        <w:autoSpaceDN/>
        <w:bidi w:val="0"/>
        <w:adjustRightInd/>
        <w:snapToGrid/>
        <w:spacing w:line="500" w:lineRule="exact"/>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8.单位负责人为同一人或者存在直接控股、管理关系的不同供应商，不得参加同一合同项下的政府采购活动。</w:t>
      </w:r>
    </w:p>
    <w:p w14:paraId="4D21A3E7">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（二）落实政府采购政策需满足的资格要求：</w:t>
      </w:r>
    </w:p>
    <w:p w14:paraId="1ACBFFB0">
      <w:pPr>
        <w:pageBreakBefore w:val="0"/>
        <w:widowControl w:val="0"/>
        <w:kinsoku/>
        <w:wordWrap/>
        <w:overflowPunct/>
        <w:topLinePunct w:val="0"/>
        <w:autoSpaceDE/>
        <w:autoSpaceDN/>
        <w:bidi w:val="0"/>
        <w:adjustRightInd/>
        <w:snapToGrid/>
        <w:spacing w:line="500" w:lineRule="exact"/>
        <w:ind w:firstLine="480"/>
        <w:jc w:val="left"/>
        <w:textAlignment w:val="auto"/>
        <w:rPr>
          <w:rFonts w:ascii="宋体" w:hAnsi="宋体" w:cs="宋体"/>
          <w:color w:val="auto"/>
          <w:sz w:val="24"/>
          <w:highlight w:val="none"/>
          <w:u w:val="none"/>
        </w:rPr>
      </w:pPr>
      <w:r>
        <w:rPr>
          <w:rFonts w:hint="eastAsia" w:ascii="宋体" w:hAnsi="宋体" w:cs="宋体"/>
          <w:color w:val="auto"/>
          <w:sz w:val="24"/>
          <w:highlight w:val="none"/>
          <w:u w:val="none"/>
        </w:rPr>
        <w:t>本项目为专门面向中小企业采购的项目,供应商须为中小企业，不接受非中小型企业参与本项目投标。（具体中小企业划分标准详见《关于印发中小企业划型标准规定的通知》工信部联企业〔2011〕300号）文件。供应商投标时须提供《中小企业声明函》，否则按无效处理。采购标的的所属行业为建筑业。</w:t>
      </w:r>
    </w:p>
    <w:p w14:paraId="7C1E6179">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（三）本项目的特定资格要求：</w:t>
      </w:r>
    </w:p>
    <w:p w14:paraId="6BD5E2E2">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b/>
          <w:bCs/>
          <w:i w:val="0"/>
          <w:iCs w:val="0"/>
          <w:color w:val="auto"/>
          <w:sz w:val="24"/>
          <w:highlight w:val="none"/>
          <w:u w:val="none"/>
        </w:rPr>
      </w:pPr>
      <w:r>
        <w:rPr>
          <w:rFonts w:hint="eastAsia" w:ascii="宋体" w:hAnsi="宋体" w:cs="宋体"/>
          <w:b/>
          <w:bCs/>
          <w:i w:val="0"/>
          <w:iCs w:val="0"/>
          <w:color w:val="auto"/>
          <w:sz w:val="24"/>
          <w:highlight w:val="none"/>
          <w:u w:val="none"/>
        </w:rPr>
        <w:t>1.投标人资格要求：投标人须具有建设行政主管部门颁发的公路交通工程专业承包（公路安全设施分项和公路机电工程分项）二级及以上资质的独立法人，并具有安全生产许可证。</w:t>
      </w:r>
    </w:p>
    <w:p w14:paraId="161E96DA">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b/>
          <w:bCs/>
          <w:i w:val="0"/>
          <w:iCs w:val="0"/>
          <w:color w:val="auto"/>
          <w:sz w:val="24"/>
          <w:highlight w:val="none"/>
          <w:u w:val="none"/>
        </w:rPr>
      </w:pPr>
      <w:r>
        <w:rPr>
          <w:rFonts w:hint="eastAsia" w:ascii="宋体" w:hAnsi="宋体" w:cs="宋体"/>
          <w:b/>
          <w:bCs/>
          <w:i w:val="0"/>
          <w:iCs w:val="0"/>
          <w:color w:val="auto"/>
          <w:sz w:val="24"/>
          <w:highlight w:val="none"/>
          <w:u w:val="none"/>
        </w:rPr>
        <w:t>2.项目负责人资格要求：项目负责人须是供应商本单位正式职工且无在建工程，具有建设行政主管部门核发的公路工程专业二级及以上（或机电工程专业二级及以上）建造师注册证书，同时具有有效的行政主管部门核发的安全生产考核合格证（B类）。</w:t>
      </w:r>
    </w:p>
    <w:p w14:paraId="41F037B3">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i w:val="0"/>
          <w:iCs w:val="0"/>
          <w:color w:val="auto"/>
          <w:sz w:val="24"/>
          <w:highlight w:val="none"/>
          <w:u w:val="none"/>
        </w:rPr>
      </w:pPr>
      <w:r>
        <w:rPr>
          <w:rFonts w:hint="eastAsia" w:ascii="宋体" w:hAnsi="宋体" w:cs="宋体"/>
          <w:i w:val="0"/>
          <w:iCs w:val="0"/>
          <w:color w:val="auto"/>
          <w:sz w:val="24"/>
          <w:highlight w:val="none"/>
          <w:u w:val="none"/>
          <w:lang w:val="en-US" w:eastAsia="zh-CN"/>
        </w:rPr>
        <w:t>3.</w:t>
      </w:r>
      <w:r>
        <w:rPr>
          <w:rFonts w:hint="eastAsia" w:ascii="宋体" w:hAnsi="宋体" w:cs="宋体"/>
          <w:i w:val="0"/>
          <w:iCs w:val="0"/>
          <w:color w:val="auto"/>
          <w:sz w:val="24"/>
          <w:highlight w:val="none"/>
          <w:u w:val="none"/>
        </w:rPr>
        <w:t>项目负责人从本工程投标文件递交截止之日起必须满足下列条件：</w:t>
      </w:r>
    </w:p>
    <w:p w14:paraId="431737E4">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i w:val="0"/>
          <w:iCs w:val="0"/>
          <w:color w:val="auto"/>
          <w:sz w:val="24"/>
          <w:highlight w:val="none"/>
          <w:u w:val="none"/>
        </w:rPr>
      </w:pPr>
      <w:r>
        <w:rPr>
          <w:rFonts w:hint="eastAsia" w:ascii="宋体" w:hAnsi="宋体" w:cs="宋体"/>
          <w:i w:val="0"/>
          <w:iCs w:val="0"/>
          <w:color w:val="auto"/>
          <w:sz w:val="24"/>
          <w:highlight w:val="none"/>
          <w:u w:val="none"/>
        </w:rPr>
        <w:t>（1）项目负责人不得同时在两个或者两个以上单位受聘或者执业特指以下三种情形：</w:t>
      </w:r>
    </w:p>
    <w:p w14:paraId="4D44ABE6">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i w:val="0"/>
          <w:iCs w:val="0"/>
          <w:color w:val="auto"/>
          <w:sz w:val="24"/>
          <w:highlight w:val="none"/>
          <w:u w:val="none"/>
        </w:rPr>
      </w:pPr>
      <w:r>
        <w:rPr>
          <w:rFonts w:hint="eastAsia" w:ascii="宋体" w:hAnsi="宋体" w:cs="宋体"/>
          <w:i w:val="0"/>
          <w:iCs w:val="0"/>
          <w:color w:val="auto"/>
          <w:sz w:val="24"/>
          <w:highlight w:val="none"/>
          <w:u w:val="none"/>
        </w:rPr>
        <w:t>①同时在两个及以上单位签订劳动合同或缴纳社会保险；</w:t>
      </w:r>
    </w:p>
    <w:p w14:paraId="365FC09C">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i w:val="0"/>
          <w:iCs w:val="0"/>
          <w:color w:val="auto"/>
          <w:sz w:val="24"/>
          <w:highlight w:val="none"/>
          <w:u w:val="none"/>
        </w:rPr>
      </w:pPr>
      <w:r>
        <w:rPr>
          <w:rFonts w:hint="eastAsia" w:ascii="宋体" w:hAnsi="宋体" w:cs="宋体"/>
          <w:i w:val="0"/>
          <w:iCs w:val="0"/>
          <w:color w:val="auto"/>
          <w:sz w:val="24"/>
          <w:highlight w:val="none"/>
          <w:u w:val="none"/>
        </w:rPr>
        <w:t>②将本人执（职）业资格证书同时注册在两个及以上单位；</w:t>
      </w:r>
    </w:p>
    <w:p w14:paraId="54AD6A45">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i w:val="0"/>
          <w:iCs w:val="0"/>
          <w:color w:val="auto"/>
          <w:sz w:val="24"/>
          <w:highlight w:val="none"/>
          <w:u w:val="none"/>
        </w:rPr>
      </w:pPr>
      <w:r>
        <w:rPr>
          <w:rFonts w:hint="eastAsia" w:ascii="宋体" w:hAnsi="宋体" w:cs="宋体"/>
          <w:i w:val="0"/>
          <w:iCs w:val="0"/>
          <w:color w:val="auto"/>
          <w:sz w:val="24"/>
          <w:highlight w:val="none"/>
          <w:u w:val="none"/>
        </w:rPr>
        <w:t>③项目负责人担任其他公司法定代表人（包括不限于投标人的子公司以及控股参股企业）、其他企业分公司负责人。（均以投标截止日注册登记为准）。</w:t>
      </w:r>
    </w:p>
    <w:p w14:paraId="05E2A7C1">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项目负责人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75D27B4F">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项目负责人投标截止时不得同时在其他建设工程项目中担任现场管理人员、不在本项目兼任本项目的其它岗位。</w:t>
      </w:r>
    </w:p>
    <w:p w14:paraId="17944CBF">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05C6BDEE">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.投标人须保证项目负责人为本单位的正式职工（本项目不接受退休人员担任项目负责人），并提供从投标截止之日当月前</w:t>
      </w:r>
      <w:r>
        <w:rPr>
          <w:rFonts w:hint="eastAsia" w:ascii="宋体" w:hAnsi="宋体" w:cs="宋体"/>
          <w:color w:val="auto"/>
          <w:sz w:val="24"/>
          <w:highlight w:val="none"/>
          <w:lang w:val="en-US" w:eastAsia="zh-CN"/>
        </w:rPr>
        <w:t>6个月</w:t>
      </w:r>
      <w:r>
        <w:rPr>
          <w:rFonts w:hint="eastAsia" w:ascii="宋体" w:hAnsi="宋体" w:cs="宋体"/>
          <w:color w:val="auto"/>
          <w:sz w:val="24"/>
          <w:highlight w:val="none"/>
        </w:rPr>
        <w:t>内(不含投标当月)任意1个月在本单位缴纳养老保险的证明材料。</w:t>
      </w:r>
    </w:p>
    <w:p w14:paraId="052F24F8">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.本工程施工项目部主要管理人员包括项目负责人、技术负责人、施工员、安全员、质量员。投标时</w:t>
      </w:r>
      <w:r>
        <w:rPr>
          <w:rFonts w:hint="eastAsia" w:ascii="宋体" w:hAnsi="宋体" w:cs="宋体"/>
          <w:color w:val="auto"/>
          <w:sz w:val="24"/>
          <w:highlight w:val="none"/>
          <w:lang w:val="en-US" w:eastAsia="zh-CN"/>
        </w:rPr>
        <w:t>资格条件部分</w:t>
      </w:r>
      <w:r>
        <w:rPr>
          <w:rFonts w:hint="eastAsia" w:ascii="宋体" w:hAnsi="宋体" w:cs="宋体"/>
          <w:color w:val="auto"/>
          <w:sz w:val="24"/>
          <w:highlight w:val="none"/>
        </w:rPr>
        <w:t>仅需提供项目负责人相关资料，其他现场人员在中标签订施工合</w:t>
      </w:r>
      <w:bookmarkStart w:id="218" w:name="_GoBack"/>
      <w:bookmarkEnd w:id="218"/>
      <w:r>
        <w:rPr>
          <w:rFonts w:hint="eastAsia" w:ascii="宋体" w:hAnsi="宋体" w:cs="宋体"/>
          <w:color w:val="auto"/>
          <w:sz w:val="24"/>
          <w:highlight w:val="none"/>
        </w:rPr>
        <w:t>同备案时按苏建建管〔2017〕236号文要求配备到位。</w:t>
      </w:r>
    </w:p>
    <w:p w14:paraId="2A2254FA">
      <w:pPr>
        <w:pStyle w:val="4"/>
        <w:pageBreakBefore w:val="0"/>
        <w:widowControl w:val="0"/>
        <w:kinsoku/>
        <w:wordWrap/>
        <w:overflowPunct/>
        <w:topLinePunct w:val="0"/>
        <w:autoSpaceDE/>
        <w:autoSpaceDN/>
        <w:bidi w:val="0"/>
        <w:adjustRightInd/>
        <w:snapToGrid/>
        <w:spacing w:before="0" w:after="0" w:line="500" w:lineRule="exact"/>
        <w:jc w:val="both"/>
        <w:textAlignment w:val="auto"/>
        <w:rPr>
          <w:rFonts w:ascii="宋体" w:hAnsi="宋体" w:eastAsia="宋体" w:cs="宋体"/>
          <w:bCs/>
          <w:color w:val="auto"/>
          <w:sz w:val="24"/>
          <w:szCs w:val="24"/>
          <w:highlight w:val="none"/>
        </w:rPr>
      </w:pPr>
      <w:bookmarkStart w:id="21" w:name="_Toc203032686"/>
      <w:r>
        <w:rPr>
          <w:rFonts w:hint="eastAsia" w:ascii="宋体" w:hAnsi="宋体" w:eastAsia="宋体" w:cs="宋体"/>
          <w:bCs/>
          <w:color w:val="auto"/>
          <w:sz w:val="24"/>
          <w:szCs w:val="24"/>
          <w:highlight w:val="none"/>
        </w:rPr>
        <w:t>三、获取</w:t>
      </w:r>
      <w:bookmarkEnd w:id="16"/>
      <w:bookmarkEnd w:id="17"/>
      <w:bookmarkEnd w:id="18"/>
      <w:bookmarkEnd w:id="19"/>
      <w:r>
        <w:rPr>
          <w:rFonts w:hint="eastAsia" w:ascii="宋体" w:hAnsi="宋体" w:eastAsia="宋体" w:cs="宋体"/>
          <w:bCs/>
          <w:color w:val="auto"/>
          <w:sz w:val="24"/>
          <w:szCs w:val="24"/>
          <w:highlight w:val="none"/>
        </w:rPr>
        <w:t>磋商文件</w:t>
      </w:r>
      <w:bookmarkEnd w:id="20"/>
      <w:bookmarkEnd w:id="21"/>
    </w:p>
    <w:p w14:paraId="3B28E76F">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bookmarkStart w:id="22" w:name="_Toc28359015"/>
      <w:bookmarkStart w:id="23" w:name="_Toc166856189"/>
      <w:bookmarkStart w:id="24" w:name="_Toc28359092"/>
      <w:bookmarkStart w:id="25" w:name="_Toc35393801"/>
      <w:bookmarkStart w:id="26" w:name="_Toc35393632"/>
      <w:r>
        <w:rPr>
          <w:rFonts w:hint="eastAsia" w:ascii="宋体" w:hAnsi="宋体" w:cs="宋体"/>
          <w:color w:val="auto"/>
          <w:sz w:val="24"/>
          <w:highlight w:val="none"/>
        </w:rPr>
        <w:t>时间：自</w:t>
      </w:r>
      <w:r>
        <w:rPr>
          <w:rFonts w:hint="eastAsia" w:ascii="宋体" w:hAnsi="宋体" w:cs="宋体"/>
          <w:color w:val="auto"/>
          <w:sz w:val="24"/>
          <w:highlight w:val="none"/>
          <w:lang w:eastAsia="zh-CN"/>
        </w:rPr>
        <w:t>竞争性磋商文件</w:t>
      </w:r>
      <w:r>
        <w:rPr>
          <w:rFonts w:hint="eastAsia" w:ascii="宋体" w:hAnsi="宋体" w:cs="宋体"/>
          <w:color w:val="auto"/>
          <w:sz w:val="24"/>
          <w:highlight w:val="none"/>
        </w:rPr>
        <w:t>公告发布之日起5个工作日；</w:t>
      </w:r>
    </w:p>
    <w:p w14:paraId="6694C84D">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地点：“苏采云”系统内免费下载（投标人必须在苏采云系统中获取采购文件，方能参与政府采购项目）；</w:t>
      </w:r>
    </w:p>
    <w:p w14:paraId="2112B003">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方式：本项目采用网上注册登记方式；</w:t>
      </w:r>
    </w:p>
    <w:p w14:paraId="7B5B5EAF">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售价：0.00元。</w:t>
      </w:r>
    </w:p>
    <w:p w14:paraId="40F4ECF7">
      <w:pPr>
        <w:pStyle w:val="4"/>
        <w:pageBreakBefore w:val="0"/>
        <w:widowControl w:val="0"/>
        <w:kinsoku/>
        <w:wordWrap/>
        <w:overflowPunct/>
        <w:topLinePunct w:val="0"/>
        <w:autoSpaceDE/>
        <w:autoSpaceDN/>
        <w:bidi w:val="0"/>
        <w:adjustRightInd/>
        <w:snapToGrid/>
        <w:spacing w:before="0" w:after="0" w:line="500" w:lineRule="exact"/>
        <w:jc w:val="both"/>
        <w:textAlignment w:val="auto"/>
        <w:rPr>
          <w:rFonts w:ascii="宋体" w:hAnsi="宋体" w:eastAsia="宋体" w:cs="宋体"/>
          <w:bCs/>
          <w:color w:val="auto"/>
          <w:sz w:val="24"/>
          <w:szCs w:val="24"/>
          <w:highlight w:val="none"/>
        </w:rPr>
      </w:pPr>
      <w:bookmarkStart w:id="27" w:name="_Toc203032687"/>
      <w:r>
        <w:rPr>
          <w:rFonts w:hint="eastAsia" w:ascii="宋体" w:hAnsi="宋体" w:eastAsia="宋体" w:cs="宋体"/>
          <w:bCs/>
          <w:color w:val="auto"/>
          <w:sz w:val="24"/>
          <w:szCs w:val="24"/>
          <w:highlight w:val="none"/>
        </w:rPr>
        <w:t>四、</w:t>
      </w:r>
      <w:bookmarkEnd w:id="22"/>
      <w:bookmarkEnd w:id="23"/>
      <w:bookmarkEnd w:id="24"/>
      <w:bookmarkEnd w:id="25"/>
      <w:bookmarkEnd w:id="26"/>
      <w:bookmarkEnd w:id="27"/>
      <w:r>
        <w:rPr>
          <w:rFonts w:hint="eastAsia" w:ascii="宋体" w:hAnsi="宋体" w:eastAsia="宋体" w:cs="宋体"/>
          <w:bCs/>
          <w:color w:val="auto"/>
          <w:sz w:val="24"/>
          <w:szCs w:val="24"/>
          <w:highlight w:val="none"/>
        </w:rPr>
        <w:t>响应文件提交</w:t>
      </w:r>
    </w:p>
    <w:p w14:paraId="52EE91A3">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bookmarkStart w:id="28" w:name="_Toc35393802"/>
      <w:bookmarkStart w:id="29" w:name="_Toc166856190"/>
      <w:bookmarkStart w:id="30" w:name="_Toc28359093"/>
      <w:bookmarkStart w:id="31" w:name="_Toc35393633"/>
      <w:bookmarkStart w:id="32" w:name="_Toc28359016"/>
      <w:bookmarkStart w:id="33" w:name="_Toc28359094"/>
      <w:bookmarkStart w:id="34" w:name="_Toc35393634"/>
      <w:bookmarkStart w:id="35" w:name="_Toc28359017"/>
      <w:bookmarkStart w:id="36" w:name="_Toc35393803"/>
      <w:r>
        <w:rPr>
          <w:rFonts w:hint="eastAsia" w:ascii="宋体" w:hAnsi="宋体" w:cs="宋体"/>
          <w:color w:val="auto"/>
          <w:sz w:val="24"/>
          <w:highlight w:val="none"/>
        </w:rPr>
        <w:t>时间：</w:t>
      </w:r>
      <w:r>
        <w:rPr>
          <w:rFonts w:hint="eastAsia" w:ascii="宋体" w:hAnsi="宋体"/>
          <w:color w:val="auto"/>
          <w:sz w:val="24"/>
          <w:highlight w:val="none"/>
          <w:u w:val="none"/>
        </w:rPr>
        <w:t>2026年7月</w:t>
      </w:r>
      <w:r>
        <w:rPr>
          <w:rFonts w:hint="eastAsia" w:ascii="宋体" w:hAnsi="宋体"/>
          <w:color w:val="auto"/>
          <w:sz w:val="24"/>
          <w:highlight w:val="none"/>
          <w:u w:val="none"/>
          <w:lang w:val="en-US" w:eastAsia="zh-CN"/>
        </w:rPr>
        <w:t>8</w:t>
      </w:r>
      <w:r>
        <w:rPr>
          <w:rFonts w:hint="eastAsia" w:ascii="宋体" w:hAnsi="宋体"/>
          <w:color w:val="auto"/>
          <w:sz w:val="24"/>
          <w:highlight w:val="none"/>
          <w:u w:val="none"/>
        </w:rPr>
        <w:t>日09点00分（北京时间）</w:t>
      </w:r>
    </w:p>
    <w:p w14:paraId="49EE635A">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地点：“苏采云”政府采购交易系统网上开标大厅 </w:t>
      </w:r>
      <w:bookmarkEnd w:id="28"/>
      <w:bookmarkEnd w:id="29"/>
      <w:bookmarkEnd w:id="30"/>
      <w:bookmarkEnd w:id="31"/>
      <w:bookmarkEnd w:id="32"/>
    </w:p>
    <w:p w14:paraId="47FE1830">
      <w:pPr>
        <w:pStyle w:val="4"/>
        <w:pageBreakBefore w:val="0"/>
        <w:widowControl w:val="0"/>
        <w:kinsoku/>
        <w:wordWrap/>
        <w:overflowPunct/>
        <w:topLinePunct w:val="0"/>
        <w:autoSpaceDE/>
        <w:autoSpaceDN/>
        <w:bidi w:val="0"/>
        <w:adjustRightInd/>
        <w:snapToGrid/>
        <w:spacing w:before="0" w:after="0" w:line="500" w:lineRule="exact"/>
        <w:jc w:val="both"/>
        <w:textAlignment w:val="auto"/>
        <w:rPr>
          <w:rFonts w:hint="eastAsia" w:ascii="宋体" w:hAnsi="宋体" w:eastAsia="宋体" w:cs="宋体"/>
          <w:bCs/>
          <w:color w:val="auto"/>
          <w:sz w:val="24"/>
          <w:szCs w:val="24"/>
          <w:highlight w:val="none"/>
        </w:rPr>
      </w:pPr>
      <w:bookmarkStart w:id="37" w:name="_Toc203032688"/>
      <w:bookmarkStart w:id="38" w:name="_Toc166856191"/>
      <w:r>
        <w:rPr>
          <w:rFonts w:hint="eastAsia" w:ascii="宋体" w:hAnsi="宋体" w:eastAsia="宋体" w:cs="宋体"/>
          <w:bCs/>
          <w:color w:val="auto"/>
          <w:sz w:val="24"/>
          <w:szCs w:val="24"/>
          <w:highlight w:val="none"/>
        </w:rPr>
        <w:t>五、开启</w:t>
      </w:r>
    </w:p>
    <w:p w14:paraId="39D95198">
      <w:pPr>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时间：2026年7月</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日09点00分（北京时间）</w:t>
      </w:r>
    </w:p>
    <w:p w14:paraId="7BDAF7B3">
      <w:pPr>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地点：“苏采云”政府采购交易系统网上开标大厅</w:t>
      </w:r>
    </w:p>
    <w:p w14:paraId="10C2D100">
      <w:pPr>
        <w:pStyle w:val="4"/>
        <w:pageBreakBefore w:val="0"/>
        <w:widowControl w:val="0"/>
        <w:kinsoku/>
        <w:wordWrap/>
        <w:overflowPunct/>
        <w:topLinePunct w:val="0"/>
        <w:autoSpaceDE/>
        <w:autoSpaceDN/>
        <w:bidi w:val="0"/>
        <w:adjustRightInd/>
        <w:snapToGrid/>
        <w:spacing w:before="0" w:after="0" w:line="500" w:lineRule="exact"/>
        <w:jc w:val="both"/>
        <w:textAlignment w:val="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六、</w:t>
      </w:r>
      <w:r>
        <w:rPr>
          <w:rFonts w:hint="eastAsia" w:ascii="宋体" w:hAnsi="宋体" w:eastAsia="宋体" w:cs="宋体"/>
          <w:bCs/>
          <w:color w:val="auto"/>
          <w:sz w:val="24"/>
          <w:szCs w:val="24"/>
          <w:highlight w:val="none"/>
        </w:rPr>
        <w:t>公告期限</w:t>
      </w:r>
      <w:bookmarkEnd w:id="33"/>
      <w:bookmarkEnd w:id="34"/>
      <w:bookmarkEnd w:id="35"/>
      <w:bookmarkEnd w:id="36"/>
      <w:bookmarkEnd w:id="37"/>
      <w:bookmarkEnd w:id="38"/>
    </w:p>
    <w:p w14:paraId="24617F8A">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自本公告发布之日起3个工作日。</w:t>
      </w:r>
    </w:p>
    <w:p w14:paraId="4A63D8A1">
      <w:pPr>
        <w:pStyle w:val="4"/>
        <w:pageBreakBefore w:val="0"/>
        <w:widowControl w:val="0"/>
        <w:kinsoku/>
        <w:wordWrap/>
        <w:overflowPunct/>
        <w:topLinePunct w:val="0"/>
        <w:autoSpaceDE/>
        <w:autoSpaceDN/>
        <w:bidi w:val="0"/>
        <w:adjustRightInd/>
        <w:snapToGrid/>
        <w:spacing w:before="0" w:after="0" w:line="500" w:lineRule="exact"/>
        <w:jc w:val="both"/>
        <w:textAlignment w:val="auto"/>
        <w:rPr>
          <w:rFonts w:ascii="宋体" w:hAnsi="宋体" w:eastAsia="宋体" w:cs="宋体"/>
          <w:bCs/>
          <w:color w:val="auto"/>
          <w:sz w:val="24"/>
          <w:szCs w:val="24"/>
          <w:highlight w:val="none"/>
        </w:rPr>
      </w:pPr>
      <w:bookmarkStart w:id="39" w:name="_Toc203032689"/>
      <w:bookmarkStart w:id="40" w:name="_Toc35393804"/>
      <w:bookmarkStart w:id="41" w:name="_Toc166856192"/>
      <w:bookmarkStart w:id="42" w:name="_Toc35393635"/>
      <w:r>
        <w:rPr>
          <w:rFonts w:hint="eastAsia" w:ascii="宋体" w:hAnsi="宋体" w:eastAsia="宋体" w:cs="宋体"/>
          <w:bCs/>
          <w:color w:val="auto"/>
          <w:sz w:val="24"/>
          <w:szCs w:val="24"/>
          <w:highlight w:val="none"/>
          <w:lang w:val="en-US" w:eastAsia="zh-CN"/>
        </w:rPr>
        <w:t>七</w:t>
      </w:r>
      <w:r>
        <w:rPr>
          <w:rFonts w:hint="eastAsia" w:ascii="宋体" w:hAnsi="宋体" w:eastAsia="宋体" w:cs="宋体"/>
          <w:bCs/>
          <w:color w:val="auto"/>
          <w:sz w:val="24"/>
          <w:szCs w:val="24"/>
          <w:highlight w:val="none"/>
        </w:rPr>
        <w:t>、其他补充事宜</w:t>
      </w:r>
      <w:bookmarkEnd w:id="39"/>
      <w:bookmarkEnd w:id="40"/>
      <w:bookmarkEnd w:id="41"/>
      <w:bookmarkEnd w:id="42"/>
    </w:p>
    <w:p w14:paraId="1029D9FA">
      <w:pPr>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bookmarkStart w:id="43" w:name="_Toc166856193"/>
      <w:bookmarkStart w:id="44" w:name="_Toc28359018"/>
      <w:bookmarkStart w:id="45" w:name="_Toc28359095"/>
      <w:bookmarkStart w:id="46" w:name="_Toc35393805"/>
      <w:bookmarkStart w:id="47" w:name="_Toc35393636"/>
      <w:r>
        <w:rPr>
          <w:rFonts w:hint="eastAsia" w:ascii="宋体" w:hAnsi="宋体" w:cs="宋体"/>
          <w:color w:val="auto"/>
          <w:sz w:val="24"/>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75AE5A70">
      <w:pPr>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09B13EAD">
      <w:pPr>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2.潜在供应商访问电子招标响应交易平台的网络地址和方法：</w:t>
      </w:r>
    </w:p>
    <w:p w14:paraId="0F4DA959">
      <w:pPr>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2A85185E">
      <w:pPr>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 xml:space="preserve">2.2潜在投标人访问“苏采云”系统方法：江苏省政府采购网首页-“苏采云”链接。 </w:t>
      </w:r>
    </w:p>
    <w:p w14:paraId="595E3B4D">
      <w:pPr>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 xml:space="preserve">2.3采购文件（后缀名为“.kedt”）、供应商操作手册及政府采购客户端 工具可通过“苏采云”系统相应链接进行下载。 </w:t>
      </w:r>
    </w:p>
    <w:p w14:paraId="3618D7FA">
      <w:pPr>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 xml:space="preserve">2.4采购代理机构将数据电文形式的采购文件加载至“苏采云”系统，供潜在供应商下载或者查阅。 </w:t>
      </w:r>
    </w:p>
    <w:p w14:paraId="22F98E1B">
      <w:pPr>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 xml:space="preserve">2.5请潜在投标单位提前安装相应的控件（详见《“苏采云”系统供应商操作手册》）并使用谷歌浏览器登录“苏采云”系统参与不见面开评标。 </w:t>
      </w:r>
    </w:p>
    <w:p w14:paraId="39524E6F">
      <w:pPr>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如潜在投标人未按上述要求操作，将自行承担所产生的风险。</w:t>
      </w:r>
    </w:p>
    <w:p w14:paraId="3274D3D5">
      <w:pPr>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3.有关本次磋商的事项若存在变动或修改，敬请及时关注采购人在“中国政府采购网”“江苏政府采购网”“盐城市政府采购网”发布的更正公告。</w:t>
      </w:r>
    </w:p>
    <w:p w14:paraId="36ABB546">
      <w:pPr>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4.本次磋商不收取磋商保证金。</w:t>
      </w:r>
    </w:p>
    <w:p w14:paraId="34291F64">
      <w:pPr>
        <w:pStyle w:val="4"/>
        <w:pageBreakBefore w:val="0"/>
        <w:widowControl w:val="0"/>
        <w:kinsoku/>
        <w:wordWrap/>
        <w:overflowPunct/>
        <w:topLinePunct w:val="0"/>
        <w:autoSpaceDE/>
        <w:autoSpaceDN/>
        <w:bidi w:val="0"/>
        <w:adjustRightInd/>
        <w:snapToGrid/>
        <w:spacing w:before="0" w:after="0" w:line="500" w:lineRule="exact"/>
        <w:jc w:val="both"/>
        <w:textAlignment w:val="auto"/>
        <w:rPr>
          <w:rFonts w:ascii="宋体" w:hAnsi="宋体" w:eastAsia="宋体" w:cs="宋体"/>
          <w:bCs/>
          <w:color w:val="auto"/>
          <w:sz w:val="24"/>
          <w:szCs w:val="24"/>
          <w:highlight w:val="none"/>
        </w:rPr>
      </w:pPr>
      <w:bookmarkStart w:id="48" w:name="_Toc203032690"/>
      <w:r>
        <w:rPr>
          <w:rFonts w:hint="eastAsia" w:ascii="宋体" w:hAnsi="宋体" w:eastAsia="宋体" w:cs="宋体"/>
          <w:bCs/>
          <w:color w:val="auto"/>
          <w:sz w:val="24"/>
          <w:szCs w:val="24"/>
          <w:highlight w:val="none"/>
        </w:rPr>
        <w:t>七、凡对本次采购提出询问，请按以下方式联系。</w:t>
      </w:r>
      <w:bookmarkEnd w:id="43"/>
      <w:bookmarkEnd w:id="44"/>
      <w:bookmarkEnd w:id="45"/>
      <w:bookmarkEnd w:id="46"/>
      <w:bookmarkEnd w:id="47"/>
      <w:bookmarkEnd w:id="48"/>
    </w:p>
    <w:p w14:paraId="26AE610D">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bookmarkStart w:id="49" w:name="_Toc35393637"/>
      <w:bookmarkStart w:id="50" w:name="_Toc28359096"/>
      <w:bookmarkStart w:id="51" w:name="_Toc35393806"/>
      <w:bookmarkStart w:id="52" w:name="_Toc28359019"/>
      <w:r>
        <w:rPr>
          <w:rFonts w:hint="eastAsia" w:ascii="宋体" w:hAnsi="宋体" w:cs="宋体"/>
          <w:color w:val="auto"/>
          <w:sz w:val="24"/>
          <w:highlight w:val="none"/>
        </w:rPr>
        <w:t>1.采购人信息</w:t>
      </w:r>
      <w:bookmarkEnd w:id="49"/>
      <w:bookmarkEnd w:id="50"/>
      <w:bookmarkEnd w:id="51"/>
      <w:bookmarkEnd w:id="52"/>
      <w:bookmarkStart w:id="53" w:name="_Toc28359020"/>
      <w:bookmarkEnd w:id="53"/>
      <w:bookmarkStart w:id="54" w:name="_Toc35393638"/>
      <w:bookmarkEnd w:id="54"/>
      <w:bookmarkStart w:id="55" w:name="_Toc35393807"/>
      <w:bookmarkEnd w:id="55"/>
      <w:bookmarkStart w:id="56" w:name="_Toc28359097"/>
      <w:bookmarkEnd w:id="56"/>
    </w:p>
    <w:p w14:paraId="2BD74184">
      <w:pPr>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lang w:eastAsia="zh-CN"/>
        </w:rPr>
      </w:pPr>
      <w:bookmarkStart w:id="57" w:name="_Toc35393808"/>
      <w:bookmarkStart w:id="58" w:name="_Toc28359098"/>
      <w:bookmarkStart w:id="59" w:name="_Toc35393639"/>
      <w:bookmarkStart w:id="60" w:name="_Toc28359021"/>
      <w:r>
        <w:rPr>
          <w:rFonts w:hint="eastAsia" w:ascii="宋体" w:hAnsi="宋体" w:cs="宋体"/>
          <w:color w:val="auto"/>
          <w:sz w:val="24"/>
          <w:highlight w:val="none"/>
        </w:rPr>
        <w:t>名</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称：</w:t>
      </w:r>
      <w:r>
        <w:rPr>
          <w:rFonts w:hint="eastAsia" w:ascii="宋体" w:hAnsi="宋体" w:cs="宋体"/>
          <w:color w:val="auto"/>
          <w:sz w:val="24"/>
          <w:highlight w:val="none"/>
          <w:lang w:eastAsia="zh-CN"/>
        </w:rPr>
        <w:t>盐城市公安局盐都分局</w:t>
      </w:r>
    </w:p>
    <w:p w14:paraId="40069D0C">
      <w:pPr>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地</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址：</w:t>
      </w:r>
      <w:r>
        <w:rPr>
          <w:rFonts w:hint="eastAsia" w:ascii="宋体" w:hAnsi="宋体" w:cs="宋体"/>
          <w:color w:val="auto"/>
          <w:sz w:val="24"/>
          <w:szCs w:val="20"/>
          <w:highlight w:val="none"/>
          <w:lang w:eastAsia="zh-CN"/>
        </w:rPr>
        <w:t>盐城市新都路630号</w:t>
      </w:r>
    </w:p>
    <w:p w14:paraId="2BA2C5CC">
      <w:pPr>
        <w:pageBreakBefore w:val="0"/>
        <w:widowControl w:val="0"/>
        <w:kinsoku/>
        <w:wordWrap/>
        <w:overflowPunct/>
        <w:topLinePunct w:val="0"/>
        <w:autoSpaceDE/>
        <w:autoSpaceDN/>
        <w:bidi w:val="0"/>
        <w:adjustRightInd/>
        <w:snapToGrid/>
        <w:spacing w:line="500" w:lineRule="exact"/>
        <w:ind w:firstLine="480"/>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系</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人：</w:t>
      </w:r>
      <w:r>
        <w:rPr>
          <w:rFonts w:hint="eastAsia" w:ascii="宋体" w:hAnsi="宋体" w:cs="宋体"/>
          <w:color w:val="auto"/>
          <w:sz w:val="24"/>
          <w:highlight w:val="none"/>
          <w:lang w:val="en-US" w:eastAsia="zh-CN"/>
        </w:rPr>
        <w:t>温警官</w:t>
      </w:r>
    </w:p>
    <w:p w14:paraId="78577F11">
      <w:pPr>
        <w:pageBreakBefore w:val="0"/>
        <w:widowControl w:val="0"/>
        <w:kinsoku/>
        <w:wordWrap/>
        <w:overflowPunct/>
        <w:topLinePunct w:val="0"/>
        <w:autoSpaceDE/>
        <w:autoSpaceDN/>
        <w:bidi w:val="0"/>
        <w:adjustRightInd/>
        <w:snapToGrid/>
        <w:spacing w:line="500" w:lineRule="exact"/>
        <w:ind w:firstLine="480"/>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联系电话：18205103535</w:t>
      </w:r>
    </w:p>
    <w:p w14:paraId="606BA3F4">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2.采购代理机构信息</w:t>
      </w:r>
      <w:bookmarkEnd w:id="57"/>
      <w:bookmarkEnd w:id="58"/>
      <w:bookmarkEnd w:id="59"/>
      <w:bookmarkEnd w:id="60"/>
    </w:p>
    <w:p w14:paraId="56FD8B1E">
      <w:pPr>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名</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称：</w:t>
      </w:r>
      <w:r>
        <w:rPr>
          <w:rFonts w:hint="eastAsia" w:ascii="宋体" w:hAnsi="宋体" w:cs="宋体"/>
          <w:color w:val="auto"/>
          <w:sz w:val="24"/>
          <w:highlight w:val="none"/>
          <w:lang w:eastAsia="zh-CN"/>
        </w:rPr>
        <w:t>江苏捷诚建设项目管理咨询有限公司</w:t>
      </w:r>
    </w:p>
    <w:p w14:paraId="4EA4FFCC">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地</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址：盐城市盐都区紫金大厦506室</w:t>
      </w:r>
    </w:p>
    <w:p w14:paraId="6F1078C7">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联</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系</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人：</w:t>
      </w:r>
      <w:r>
        <w:rPr>
          <w:rFonts w:hint="eastAsia" w:cs="宋体"/>
          <w:color w:val="auto"/>
          <w:sz w:val="24"/>
          <w:szCs w:val="20"/>
          <w:highlight w:val="none"/>
          <w:lang w:val="en-US" w:eastAsia="zh-CN"/>
        </w:rPr>
        <w:t>吉工</w:t>
      </w:r>
    </w:p>
    <w:p w14:paraId="1C2DE576">
      <w:pPr>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lang w:val="en-US" w:eastAsia="zh-CN"/>
        </w:rPr>
        <w:t>18912509153</w:t>
      </w:r>
    </w:p>
    <w:p w14:paraId="116E168F">
      <w:pPr>
        <w:widowControl/>
        <w:jc w:val="left"/>
        <w:rPr>
          <w:rFonts w:ascii="Cambria" w:hAnsi="Cambria"/>
          <w:b/>
          <w:bCs/>
          <w:color w:val="auto"/>
          <w:sz w:val="36"/>
          <w:szCs w:val="36"/>
          <w:highlight w:val="none"/>
        </w:rPr>
      </w:pPr>
      <w:r>
        <w:rPr>
          <w:color w:val="auto"/>
          <w:sz w:val="36"/>
          <w:szCs w:val="36"/>
          <w:highlight w:val="none"/>
        </w:rPr>
        <w:br w:type="page" w:clear="all"/>
      </w:r>
    </w:p>
    <w:p w14:paraId="34FE2D02">
      <w:pPr>
        <w:pStyle w:val="51"/>
        <w:rPr>
          <w:color w:val="auto"/>
          <w:sz w:val="36"/>
          <w:szCs w:val="36"/>
          <w:highlight w:val="none"/>
        </w:rPr>
      </w:pPr>
      <w:bookmarkStart w:id="61" w:name="_Toc203032691"/>
      <w:r>
        <w:rPr>
          <w:rFonts w:hint="eastAsia"/>
          <w:color w:val="auto"/>
          <w:sz w:val="36"/>
          <w:szCs w:val="36"/>
          <w:highlight w:val="none"/>
        </w:rPr>
        <w:t>第二章  磋商须知</w:t>
      </w:r>
      <w:bookmarkEnd w:id="1"/>
      <w:bookmarkEnd w:id="2"/>
      <w:bookmarkEnd w:id="3"/>
      <w:bookmarkEnd w:id="61"/>
    </w:p>
    <w:p w14:paraId="4E88F959">
      <w:pPr>
        <w:spacing w:after="143" w:line="360" w:lineRule="auto"/>
        <w:ind w:firstLine="2040"/>
        <w:rPr>
          <w:rFonts w:ascii="宋体" w:hAnsi="宋体"/>
          <w:b/>
          <w:bCs/>
          <w:color w:val="auto"/>
          <w:sz w:val="24"/>
          <w:highlight w:val="none"/>
        </w:rPr>
      </w:pPr>
      <w:bookmarkStart w:id="62" w:name="_Toc16938553"/>
      <w:bookmarkStart w:id="63" w:name="_Toc20823309"/>
      <w:bookmarkStart w:id="64" w:name="_Toc513029237"/>
      <w:r>
        <w:rPr>
          <w:rFonts w:hint="eastAsia" w:ascii="宋体" w:hAnsi="宋体"/>
          <w:bCs/>
          <w:color w:val="auto"/>
          <w:sz w:val="24"/>
          <w:highlight w:val="none"/>
        </w:rPr>
        <w:t>（参加竞争性磋商的供应商以下简称“磋商供应商”）</w:t>
      </w:r>
    </w:p>
    <w:p w14:paraId="2A57C559">
      <w:pPr>
        <w:keepNext w:val="0"/>
        <w:keepLines w:val="0"/>
        <w:pageBreakBefore w:val="0"/>
        <w:widowControl w:val="0"/>
        <w:tabs>
          <w:tab w:val="left" w:pos="900"/>
        </w:tabs>
        <w:kinsoku/>
        <w:wordWrap/>
        <w:overflowPunct/>
        <w:topLinePunct w:val="0"/>
        <w:autoSpaceDE/>
        <w:autoSpaceDN/>
        <w:bidi w:val="0"/>
        <w:adjustRightInd/>
        <w:snapToGrid/>
        <w:spacing w:line="500" w:lineRule="exact"/>
        <w:ind w:firstLine="482"/>
        <w:textAlignment w:val="auto"/>
        <w:outlineLvl w:val="1"/>
        <w:rPr>
          <w:rFonts w:ascii="宋体" w:hAnsi="宋体"/>
          <w:color w:val="auto"/>
          <w:sz w:val="24"/>
          <w:highlight w:val="none"/>
        </w:rPr>
      </w:pPr>
      <w:bookmarkStart w:id="65" w:name="_Toc203032692"/>
      <w:r>
        <w:rPr>
          <w:rFonts w:hint="eastAsia" w:ascii="宋体" w:hAnsi="宋体"/>
          <w:b/>
          <w:color w:val="auto"/>
          <w:sz w:val="24"/>
          <w:highlight w:val="none"/>
        </w:rPr>
        <w:t>一、总则</w:t>
      </w:r>
      <w:bookmarkEnd w:id="65"/>
    </w:p>
    <w:p w14:paraId="40040E53">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olor w:val="auto"/>
          <w:sz w:val="24"/>
          <w:highlight w:val="none"/>
        </w:rPr>
      </w:pPr>
      <w:bookmarkStart w:id="66" w:name="_Hlt26954830"/>
      <w:bookmarkEnd w:id="66"/>
      <w:bookmarkStart w:id="67" w:name="_Hlt26670348"/>
      <w:bookmarkEnd w:id="67"/>
      <w:bookmarkStart w:id="68" w:name="_Hlt26670354"/>
      <w:bookmarkEnd w:id="68"/>
      <w:bookmarkStart w:id="69" w:name="_Hlt26668969"/>
      <w:bookmarkEnd w:id="69"/>
      <w:bookmarkStart w:id="70" w:name="_Hlt26670345"/>
      <w:bookmarkEnd w:id="70"/>
      <w:bookmarkStart w:id="71" w:name="_Hlt26954832"/>
      <w:bookmarkEnd w:id="71"/>
      <w:bookmarkStart w:id="72" w:name="_Hlt26954828"/>
      <w:bookmarkEnd w:id="72"/>
      <w:bookmarkStart w:id="73" w:name="_Toc462564072"/>
      <w:bookmarkStart w:id="74" w:name="_Toc61149553"/>
      <w:bookmarkStart w:id="75" w:name="_Toc513029213"/>
      <w:bookmarkStart w:id="76" w:name="_Toc14577351"/>
      <w:r>
        <w:rPr>
          <w:rFonts w:hint="eastAsia" w:ascii="宋体" w:hAnsi="宋体"/>
          <w:color w:val="auto"/>
          <w:sz w:val="24"/>
          <w:highlight w:val="none"/>
        </w:rPr>
        <w:t>1.采购方式</w:t>
      </w:r>
    </w:p>
    <w:p w14:paraId="78188C2B">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olor w:val="auto"/>
          <w:sz w:val="24"/>
          <w:highlight w:val="none"/>
        </w:rPr>
      </w:pPr>
      <w:r>
        <w:rPr>
          <w:rFonts w:hint="eastAsia" w:ascii="宋体" w:hAnsi="宋体"/>
          <w:color w:val="auto"/>
          <w:sz w:val="24"/>
          <w:highlight w:val="none"/>
        </w:rPr>
        <w:t>1.1本次政府采购活动采取竞争性磋商(以下简称磋商)方式，本磋商文件仅适用于磋商公告中所述项目。</w:t>
      </w:r>
    </w:p>
    <w:p w14:paraId="3CCCED51">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olor w:val="auto"/>
          <w:sz w:val="24"/>
          <w:highlight w:val="none"/>
        </w:rPr>
      </w:pPr>
      <w:bookmarkStart w:id="77" w:name="_Toc16938521"/>
      <w:bookmarkStart w:id="78" w:name="_Toc513029205"/>
      <w:bookmarkStart w:id="79" w:name="_Toc20823277"/>
      <w:r>
        <w:rPr>
          <w:rFonts w:hint="eastAsia" w:ascii="宋体" w:hAnsi="宋体"/>
          <w:color w:val="auto"/>
          <w:sz w:val="24"/>
          <w:highlight w:val="none"/>
        </w:rPr>
        <w:t>2.合格的</w:t>
      </w:r>
      <w:bookmarkEnd w:id="77"/>
      <w:bookmarkEnd w:id="78"/>
      <w:bookmarkEnd w:id="79"/>
      <w:r>
        <w:rPr>
          <w:rFonts w:hint="eastAsia" w:ascii="宋体" w:hAnsi="宋体"/>
          <w:color w:val="auto"/>
          <w:sz w:val="24"/>
          <w:highlight w:val="none"/>
        </w:rPr>
        <w:t>供应商</w:t>
      </w:r>
    </w:p>
    <w:p w14:paraId="2BA643D9">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olor w:val="auto"/>
          <w:sz w:val="24"/>
          <w:highlight w:val="none"/>
        </w:rPr>
      </w:pPr>
      <w:r>
        <w:rPr>
          <w:rFonts w:hint="eastAsia" w:ascii="宋体" w:hAnsi="宋体"/>
          <w:color w:val="auto"/>
          <w:sz w:val="24"/>
          <w:highlight w:val="none"/>
        </w:rPr>
        <w:t>2.1满足磋商公告中供应商资格要求的规定。</w:t>
      </w:r>
    </w:p>
    <w:p w14:paraId="6D4F4CAE">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olor w:val="auto"/>
          <w:sz w:val="24"/>
          <w:highlight w:val="none"/>
        </w:rPr>
      </w:pPr>
      <w:r>
        <w:rPr>
          <w:rFonts w:hint="eastAsia" w:ascii="宋体" w:hAnsi="宋体"/>
          <w:color w:val="auto"/>
          <w:sz w:val="24"/>
          <w:highlight w:val="none"/>
        </w:rPr>
        <w:t>2.2 满足本磋商文件实质性要求和条件的规定。</w:t>
      </w:r>
    </w:p>
    <w:p w14:paraId="0DCB3AE4">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olor w:val="auto"/>
          <w:sz w:val="24"/>
          <w:highlight w:val="none"/>
        </w:rPr>
      </w:pPr>
      <w:bookmarkStart w:id="80" w:name="_Toc16938522"/>
      <w:bookmarkStart w:id="81" w:name="_Toc20823278"/>
      <w:bookmarkStart w:id="82" w:name="_Toc513029206"/>
      <w:r>
        <w:rPr>
          <w:rFonts w:hint="eastAsia" w:ascii="宋体" w:hAnsi="宋体"/>
          <w:color w:val="auto"/>
          <w:sz w:val="24"/>
          <w:highlight w:val="none"/>
        </w:rPr>
        <w:t>3.适用法律</w:t>
      </w:r>
      <w:bookmarkEnd w:id="80"/>
      <w:bookmarkEnd w:id="81"/>
      <w:bookmarkEnd w:id="82"/>
    </w:p>
    <w:p w14:paraId="68C76AB5">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olor w:val="auto"/>
          <w:sz w:val="24"/>
          <w:highlight w:val="none"/>
        </w:rPr>
      </w:pPr>
      <w:r>
        <w:rPr>
          <w:rFonts w:hint="eastAsia" w:ascii="宋体" w:hAnsi="宋体"/>
          <w:color w:val="auto"/>
          <w:sz w:val="24"/>
          <w:highlight w:val="none"/>
        </w:rPr>
        <w:t>3.1 本次磋商及由此产生的合同受中华人民共和国有关的法律法规制约和保护。</w:t>
      </w:r>
    </w:p>
    <w:p w14:paraId="24FDF4BE">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olor w:val="auto"/>
          <w:sz w:val="24"/>
          <w:highlight w:val="none"/>
        </w:rPr>
      </w:pPr>
      <w:bookmarkStart w:id="83" w:name="_Toc20823279"/>
      <w:bookmarkStart w:id="84" w:name="_Toc462564067"/>
      <w:bookmarkStart w:id="85" w:name="_Toc513029207"/>
      <w:bookmarkStart w:id="86" w:name="_Toc16938523"/>
      <w:r>
        <w:rPr>
          <w:rFonts w:hint="eastAsia" w:ascii="宋体" w:hAnsi="宋体"/>
          <w:color w:val="auto"/>
          <w:sz w:val="24"/>
          <w:highlight w:val="none"/>
        </w:rPr>
        <w:t>4.磋商费用</w:t>
      </w:r>
      <w:bookmarkEnd w:id="83"/>
      <w:bookmarkEnd w:id="84"/>
      <w:bookmarkEnd w:id="85"/>
      <w:bookmarkEnd w:id="86"/>
    </w:p>
    <w:p w14:paraId="63AA4D6A">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olor w:val="auto"/>
          <w:sz w:val="24"/>
          <w:highlight w:val="none"/>
        </w:rPr>
      </w:pPr>
      <w:r>
        <w:rPr>
          <w:rFonts w:hint="eastAsia" w:ascii="宋体" w:hAnsi="宋体"/>
          <w:color w:val="auto"/>
          <w:sz w:val="24"/>
          <w:highlight w:val="none"/>
        </w:rPr>
        <w:t>4.1供应商应自行承担所有与参加本次磋商有关的费用，无论磋商过程中的做法和结果如何，采购人及采购代理公司（以下简称“代理公司”）任何情况下均无义务和责任承担这些费用。</w:t>
      </w:r>
    </w:p>
    <w:p w14:paraId="5A01EE91">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olor w:val="auto"/>
          <w:sz w:val="24"/>
          <w:highlight w:val="none"/>
        </w:rPr>
      </w:pPr>
      <w:r>
        <w:rPr>
          <w:rFonts w:hint="eastAsia" w:ascii="宋体" w:hAnsi="宋体" w:cs="宋体"/>
          <w:color w:val="auto"/>
          <w:sz w:val="24"/>
          <w:highlight w:val="none"/>
        </w:rPr>
        <w:t>4.2本项目采购代理机构费标准按苏招协[2022]002号文*</w:t>
      </w:r>
      <w:r>
        <w:rPr>
          <w:rFonts w:hint="eastAsia" w:ascii="宋体" w:hAnsi="宋体" w:cs="宋体"/>
          <w:color w:val="auto"/>
          <w:sz w:val="24"/>
          <w:highlight w:val="none"/>
          <w:lang w:val="en-US" w:eastAsia="zh-CN"/>
        </w:rPr>
        <w:t>43.5</w:t>
      </w:r>
      <w:r>
        <w:rPr>
          <w:rFonts w:hint="eastAsia" w:ascii="宋体" w:hAnsi="宋体" w:cs="宋体"/>
          <w:color w:val="auto"/>
          <w:sz w:val="24"/>
          <w:highlight w:val="none"/>
        </w:rPr>
        <w:t>%计取，造价咨询服务费标准按苏建价协[2022]7号文*</w:t>
      </w:r>
      <w:r>
        <w:rPr>
          <w:rFonts w:hint="eastAsia" w:ascii="宋体" w:hAnsi="宋体" w:cs="宋体"/>
          <w:color w:val="auto"/>
          <w:sz w:val="24"/>
          <w:highlight w:val="none"/>
          <w:lang w:val="en-US" w:eastAsia="zh-CN"/>
        </w:rPr>
        <w:t>43.5</w:t>
      </w:r>
      <w:r>
        <w:rPr>
          <w:rFonts w:hint="eastAsia" w:ascii="宋体" w:hAnsi="宋体" w:cs="宋体"/>
          <w:color w:val="auto"/>
          <w:sz w:val="24"/>
          <w:highlight w:val="none"/>
        </w:rPr>
        <w:t>%计取。</w:t>
      </w:r>
      <w:r>
        <w:rPr>
          <w:rFonts w:hint="eastAsia" w:ascii="宋体" w:hAnsi="宋体"/>
          <w:color w:val="auto"/>
          <w:sz w:val="24"/>
          <w:highlight w:val="none"/>
        </w:rPr>
        <w:t>投标人在投标时应将以上费用自行考虑在投标报价中，以上费用不单独立项，含在报价中，招标完成后，由成交供应商在领取中标通知书前一次性向代理机构支付。</w:t>
      </w:r>
    </w:p>
    <w:p w14:paraId="1A3CD9BA">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olor w:val="auto"/>
          <w:sz w:val="24"/>
          <w:highlight w:val="none"/>
        </w:rPr>
      </w:pPr>
      <w:r>
        <w:rPr>
          <w:rFonts w:hint="eastAsia" w:ascii="宋体" w:hAnsi="宋体"/>
          <w:color w:val="auto"/>
          <w:sz w:val="24"/>
          <w:highlight w:val="none"/>
        </w:rPr>
        <w:t>5.磋商文件的约束力</w:t>
      </w:r>
    </w:p>
    <w:p w14:paraId="02EBACA4">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olor w:val="auto"/>
          <w:sz w:val="24"/>
          <w:highlight w:val="none"/>
        </w:rPr>
      </w:pPr>
      <w:r>
        <w:rPr>
          <w:rFonts w:hint="eastAsia" w:ascii="宋体" w:hAnsi="宋体"/>
          <w:color w:val="auto"/>
          <w:sz w:val="24"/>
          <w:highlight w:val="none"/>
        </w:rPr>
        <w:t>5.1供应商一旦参加本项目采购活动，即被认为接受了本磋商文件的规定和约束。</w:t>
      </w:r>
    </w:p>
    <w:p w14:paraId="055659AC">
      <w:pPr>
        <w:keepNext w:val="0"/>
        <w:keepLines w:val="0"/>
        <w:pageBreakBefore w:val="0"/>
        <w:widowControl w:val="0"/>
        <w:tabs>
          <w:tab w:val="left" w:pos="900"/>
        </w:tabs>
        <w:kinsoku/>
        <w:wordWrap/>
        <w:overflowPunct/>
        <w:topLinePunct w:val="0"/>
        <w:autoSpaceDE/>
        <w:autoSpaceDN/>
        <w:bidi w:val="0"/>
        <w:adjustRightInd/>
        <w:snapToGrid/>
        <w:spacing w:line="500" w:lineRule="exact"/>
        <w:ind w:firstLine="482"/>
        <w:textAlignment w:val="auto"/>
        <w:outlineLvl w:val="1"/>
        <w:rPr>
          <w:rFonts w:ascii="宋体" w:hAnsi="宋体"/>
          <w:b/>
          <w:color w:val="auto"/>
          <w:sz w:val="24"/>
          <w:highlight w:val="none"/>
        </w:rPr>
      </w:pPr>
      <w:bookmarkStart w:id="87" w:name="_Toc203032693"/>
      <w:r>
        <w:rPr>
          <w:rFonts w:hint="eastAsia" w:ascii="宋体" w:hAnsi="宋体"/>
          <w:b/>
          <w:color w:val="auto"/>
          <w:sz w:val="24"/>
          <w:highlight w:val="none"/>
        </w:rPr>
        <w:t>二、磋商文件</w:t>
      </w:r>
      <w:bookmarkEnd w:id="73"/>
      <w:bookmarkEnd w:id="74"/>
      <w:bookmarkEnd w:id="75"/>
      <w:bookmarkEnd w:id="76"/>
      <w:bookmarkEnd w:id="87"/>
      <w:bookmarkStart w:id="88" w:name="_Toc61149561"/>
      <w:bookmarkEnd w:id="88"/>
      <w:bookmarkStart w:id="89" w:name="_Toc14577361"/>
      <w:bookmarkEnd w:id="89"/>
      <w:bookmarkStart w:id="90" w:name="_Toc513029223"/>
      <w:bookmarkEnd w:id="90"/>
    </w:p>
    <w:p w14:paraId="43527E11">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olor w:val="auto"/>
          <w:sz w:val="24"/>
          <w:highlight w:val="none"/>
        </w:rPr>
      </w:pPr>
      <w:bookmarkStart w:id="91" w:name="_Toc16938526"/>
      <w:bookmarkStart w:id="92" w:name="_Toc20823282"/>
      <w:bookmarkStart w:id="93" w:name="_Toc513029210"/>
      <w:bookmarkStart w:id="94" w:name="_Toc513029215"/>
      <w:bookmarkStart w:id="95" w:name="_Toc14577352"/>
      <w:bookmarkStart w:id="96" w:name="_Toc462564073"/>
      <w:bookmarkStart w:id="97" w:name="_Toc462564074"/>
      <w:bookmarkStart w:id="98" w:name="_Toc14577353"/>
      <w:bookmarkStart w:id="99" w:name="_Toc61149554"/>
      <w:bookmarkStart w:id="100" w:name="_Toc61149555"/>
      <w:bookmarkStart w:id="101" w:name="_Toc513029214"/>
      <w:bookmarkStart w:id="102" w:name="_Toc120614216"/>
      <w:bookmarkStart w:id="103" w:name="_Toc20823285"/>
      <w:bookmarkStart w:id="104" w:name="_Toc16938529"/>
      <w:r>
        <w:rPr>
          <w:rFonts w:hint="eastAsia" w:ascii="宋体" w:hAnsi="宋体"/>
          <w:color w:val="auto"/>
          <w:sz w:val="24"/>
          <w:highlight w:val="none"/>
        </w:rPr>
        <w:t>6.磋商文件构成</w:t>
      </w:r>
      <w:bookmarkEnd w:id="91"/>
      <w:bookmarkEnd w:id="92"/>
      <w:bookmarkEnd w:id="93"/>
    </w:p>
    <w:p w14:paraId="59541FB7">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olor w:val="auto"/>
          <w:sz w:val="24"/>
          <w:highlight w:val="none"/>
        </w:rPr>
      </w:pPr>
      <w:r>
        <w:rPr>
          <w:rFonts w:hint="eastAsia" w:ascii="宋体" w:hAnsi="宋体"/>
          <w:color w:val="auto"/>
          <w:sz w:val="24"/>
          <w:highlight w:val="none"/>
        </w:rPr>
        <w:t>6.1磋商文件由以下部分组成：</w:t>
      </w:r>
    </w:p>
    <w:p w14:paraId="7F3C8293">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olor w:val="auto"/>
          <w:sz w:val="24"/>
          <w:highlight w:val="none"/>
        </w:rPr>
      </w:pPr>
      <w:r>
        <w:rPr>
          <w:rFonts w:hint="eastAsia" w:ascii="宋体" w:hAnsi="宋体"/>
          <w:color w:val="auto"/>
          <w:sz w:val="24"/>
          <w:highlight w:val="none"/>
        </w:rPr>
        <w:t>（1）磋商公告</w:t>
      </w:r>
    </w:p>
    <w:p w14:paraId="4508152C">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olor w:val="auto"/>
          <w:sz w:val="24"/>
          <w:highlight w:val="none"/>
        </w:rPr>
      </w:pPr>
      <w:r>
        <w:rPr>
          <w:rFonts w:hint="eastAsia" w:ascii="宋体" w:hAnsi="宋体"/>
          <w:color w:val="auto"/>
          <w:sz w:val="24"/>
          <w:highlight w:val="none"/>
        </w:rPr>
        <w:t>（2）供应商须知</w:t>
      </w:r>
    </w:p>
    <w:p w14:paraId="2E736412">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olor w:val="auto"/>
          <w:sz w:val="24"/>
          <w:highlight w:val="none"/>
        </w:rPr>
      </w:pPr>
      <w:r>
        <w:rPr>
          <w:rFonts w:hint="eastAsia" w:ascii="宋体" w:hAnsi="宋体"/>
          <w:color w:val="auto"/>
          <w:sz w:val="24"/>
          <w:highlight w:val="none"/>
        </w:rPr>
        <w:t>（3）合同文本</w:t>
      </w:r>
    </w:p>
    <w:p w14:paraId="79BE2C2E">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olor w:val="auto"/>
          <w:sz w:val="24"/>
          <w:highlight w:val="none"/>
        </w:rPr>
      </w:pPr>
      <w:r>
        <w:rPr>
          <w:rFonts w:hint="eastAsia" w:ascii="宋体" w:hAnsi="宋体"/>
          <w:color w:val="auto"/>
          <w:sz w:val="24"/>
          <w:highlight w:val="none"/>
        </w:rPr>
        <w:t>（4）采购需求</w:t>
      </w:r>
    </w:p>
    <w:p w14:paraId="06D1E9BD">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olor w:val="auto"/>
          <w:sz w:val="24"/>
          <w:highlight w:val="none"/>
        </w:rPr>
      </w:pPr>
      <w:r>
        <w:rPr>
          <w:rFonts w:hint="eastAsia" w:ascii="宋体" w:hAnsi="宋体"/>
          <w:color w:val="auto"/>
          <w:sz w:val="24"/>
          <w:highlight w:val="none"/>
        </w:rPr>
        <w:t>（5）评审方法与评审标准</w:t>
      </w:r>
    </w:p>
    <w:p w14:paraId="6458DF41">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olor w:val="auto"/>
          <w:sz w:val="24"/>
          <w:highlight w:val="none"/>
        </w:rPr>
      </w:pPr>
      <w:r>
        <w:rPr>
          <w:rFonts w:hint="eastAsia" w:ascii="宋体" w:hAnsi="宋体"/>
          <w:color w:val="auto"/>
          <w:sz w:val="24"/>
          <w:highlight w:val="none"/>
        </w:rPr>
        <w:t>（6）响应文件格式</w:t>
      </w:r>
    </w:p>
    <w:p w14:paraId="3775A651">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olor w:val="auto"/>
          <w:sz w:val="24"/>
          <w:highlight w:val="none"/>
        </w:rPr>
      </w:pPr>
      <w:r>
        <w:rPr>
          <w:rFonts w:hint="eastAsia" w:ascii="宋体" w:hAnsi="宋体"/>
          <w:color w:val="auto"/>
          <w:sz w:val="24"/>
          <w:highlight w:val="none"/>
        </w:rPr>
        <w:t>请仔细检查磋商文件是否齐全，如有缺漏请立即与代理公司联系解决。</w:t>
      </w:r>
    </w:p>
    <w:p w14:paraId="42E6C2CA">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olor w:val="auto"/>
          <w:sz w:val="24"/>
          <w:highlight w:val="none"/>
        </w:rPr>
      </w:pPr>
      <w:r>
        <w:rPr>
          <w:rFonts w:hint="eastAsia" w:ascii="宋体" w:hAnsi="宋体"/>
          <w:color w:val="auto"/>
          <w:sz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77205D6">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olor w:val="auto"/>
          <w:sz w:val="24"/>
          <w:highlight w:val="none"/>
        </w:rPr>
      </w:pPr>
      <w:bookmarkStart w:id="105" w:name="_Toc462564070"/>
      <w:bookmarkStart w:id="106" w:name="_Toc513029211"/>
      <w:bookmarkStart w:id="107" w:name="_Toc16938527"/>
      <w:bookmarkStart w:id="108" w:name="_Toc20823283"/>
      <w:r>
        <w:rPr>
          <w:rFonts w:hint="eastAsia" w:ascii="宋体" w:hAnsi="宋体"/>
          <w:color w:val="auto"/>
          <w:sz w:val="24"/>
          <w:highlight w:val="none"/>
        </w:rPr>
        <w:t>7.磋商文件的澄清</w:t>
      </w:r>
      <w:bookmarkEnd w:id="105"/>
      <w:bookmarkEnd w:id="106"/>
      <w:bookmarkEnd w:id="107"/>
      <w:bookmarkEnd w:id="108"/>
    </w:p>
    <w:p w14:paraId="39157FEF">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olor w:val="auto"/>
          <w:sz w:val="24"/>
          <w:highlight w:val="none"/>
        </w:rPr>
      </w:pPr>
      <w:r>
        <w:rPr>
          <w:rFonts w:hint="eastAsia" w:ascii="宋体" w:hAnsi="宋体"/>
          <w:color w:val="auto"/>
          <w:sz w:val="24"/>
          <w:highlight w:val="none"/>
        </w:rPr>
        <w:t>7.1任何要求对磋商文件进行澄清的供应商，应在磋商截止期5日前按磋商公告中的通讯地址，以书面形式通知代理公司。</w:t>
      </w:r>
    </w:p>
    <w:p w14:paraId="422EE562">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olor w:val="auto"/>
          <w:sz w:val="24"/>
          <w:highlight w:val="none"/>
        </w:rPr>
      </w:pPr>
      <w:bookmarkStart w:id="109" w:name="_Toc16938528"/>
      <w:bookmarkStart w:id="110" w:name="_Toc462564071"/>
      <w:bookmarkStart w:id="111" w:name="_Toc20823284"/>
      <w:bookmarkStart w:id="112" w:name="_Toc513029212"/>
      <w:r>
        <w:rPr>
          <w:rFonts w:hint="eastAsia" w:ascii="宋体" w:hAnsi="宋体"/>
          <w:color w:val="auto"/>
          <w:sz w:val="24"/>
          <w:highlight w:val="none"/>
        </w:rPr>
        <w:t>8.磋商文件的澄清和修改</w:t>
      </w:r>
      <w:bookmarkEnd w:id="109"/>
      <w:bookmarkEnd w:id="110"/>
      <w:bookmarkEnd w:id="111"/>
      <w:bookmarkEnd w:id="112"/>
    </w:p>
    <w:p w14:paraId="49B87993">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olor w:val="auto"/>
          <w:sz w:val="24"/>
          <w:highlight w:val="none"/>
        </w:rPr>
      </w:pPr>
      <w:r>
        <w:rPr>
          <w:rFonts w:hint="eastAsia" w:ascii="宋体" w:hAnsi="宋体"/>
          <w:color w:val="auto"/>
          <w:sz w:val="24"/>
          <w:highlight w:val="none"/>
        </w:rPr>
        <w:t>8.1在响应文件提交截止时间前，代理公司可以对磋商文件进行澄清和修改,澄清或者修改的内容作为磋商文件的组成部分。澄清或者修改的内容可能影响响应文件编制的，代理公司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代理公司将顺延提交首次响应文件截止时间。</w:t>
      </w:r>
    </w:p>
    <w:p w14:paraId="2C6AAC78">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olor w:val="auto"/>
          <w:sz w:val="24"/>
          <w:highlight w:val="none"/>
        </w:rPr>
      </w:pPr>
      <w:r>
        <w:rPr>
          <w:rFonts w:hint="eastAsia" w:ascii="宋体" w:hAnsi="宋体"/>
          <w:color w:val="auto"/>
          <w:sz w:val="24"/>
          <w:highlight w:val="none"/>
        </w:rPr>
        <w:t>8.2代理公司可以视采购项目的具体情况，组织供应商进行现场考察或召开磋商前答疑会，但不单独或分别组织只有一个供应商参加的现场考察和答疑会。</w:t>
      </w:r>
      <w:bookmarkEnd w:id="94"/>
      <w:bookmarkEnd w:id="95"/>
      <w:bookmarkEnd w:id="96"/>
      <w:bookmarkEnd w:id="97"/>
      <w:bookmarkEnd w:id="98"/>
      <w:bookmarkEnd w:id="99"/>
      <w:bookmarkEnd w:id="100"/>
      <w:bookmarkEnd w:id="101"/>
    </w:p>
    <w:p w14:paraId="040931CD">
      <w:pPr>
        <w:keepNext w:val="0"/>
        <w:keepLines w:val="0"/>
        <w:pageBreakBefore w:val="0"/>
        <w:widowControl w:val="0"/>
        <w:tabs>
          <w:tab w:val="left" w:pos="900"/>
        </w:tabs>
        <w:kinsoku/>
        <w:wordWrap/>
        <w:overflowPunct/>
        <w:topLinePunct w:val="0"/>
        <w:autoSpaceDE/>
        <w:autoSpaceDN/>
        <w:bidi w:val="0"/>
        <w:adjustRightInd/>
        <w:snapToGrid/>
        <w:spacing w:line="500" w:lineRule="exact"/>
        <w:ind w:firstLine="482"/>
        <w:textAlignment w:val="auto"/>
        <w:outlineLvl w:val="1"/>
        <w:rPr>
          <w:rFonts w:ascii="宋体" w:hAnsi="宋体"/>
          <w:b/>
          <w:color w:val="auto"/>
          <w:sz w:val="24"/>
          <w:highlight w:val="none"/>
        </w:rPr>
      </w:pPr>
      <w:bookmarkStart w:id="113" w:name="_Toc203032694"/>
      <w:r>
        <w:rPr>
          <w:rFonts w:hint="eastAsia" w:ascii="宋体" w:hAnsi="宋体"/>
          <w:b/>
          <w:color w:val="auto"/>
          <w:sz w:val="24"/>
          <w:highlight w:val="none"/>
        </w:rPr>
        <w:t>三、响应文件的编制</w:t>
      </w:r>
      <w:bookmarkEnd w:id="102"/>
      <w:bookmarkEnd w:id="103"/>
      <w:bookmarkEnd w:id="104"/>
      <w:bookmarkEnd w:id="113"/>
    </w:p>
    <w:p w14:paraId="49A0B015">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bookmarkStart w:id="114" w:name="_Toc16938530"/>
      <w:bookmarkStart w:id="115" w:name="_Toc20823286"/>
      <w:r>
        <w:rPr>
          <w:rFonts w:hint="eastAsia" w:ascii="宋体" w:hAnsi="宋体" w:cs="宋体"/>
          <w:color w:val="auto"/>
          <w:sz w:val="24"/>
          <w:highlight w:val="none"/>
        </w:rPr>
        <w:t>9.响应文件的语言及度量衡单位</w:t>
      </w:r>
      <w:bookmarkEnd w:id="114"/>
      <w:bookmarkEnd w:id="115"/>
    </w:p>
    <w:p w14:paraId="2C02CBCE">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9.1供应商提交的响应文件以及供应商与代理公司就有关磋商的所有来往通知、函件和文件均应使用简体中文。</w:t>
      </w:r>
    </w:p>
    <w:p w14:paraId="1C0B366D">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9.2 除技术性能另有规定外，响应文件所使用的度量衡单位，均须采用国家法定计量单位。</w:t>
      </w:r>
    </w:p>
    <w:p w14:paraId="7A41F791">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bookmarkStart w:id="116" w:name="_Toc16938531"/>
      <w:bookmarkStart w:id="117" w:name="_Toc20823287"/>
      <w:r>
        <w:rPr>
          <w:rFonts w:hint="eastAsia" w:ascii="宋体" w:hAnsi="宋体" w:cs="宋体"/>
          <w:color w:val="auto"/>
          <w:sz w:val="24"/>
          <w:highlight w:val="none"/>
        </w:rPr>
        <w:t>10.响应文件构成</w:t>
      </w:r>
      <w:bookmarkEnd w:id="116"/>
      <w:bookmarkEnd w:id="117"/>
    </w:p>
    <w:p w14:paraId="164903FE">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10.1供应商编写的响应文件应包括资格证明文件、符合性证明文件、已标价的工程量清单报价表、技术要求响应及偏离表、商务要求响应及偏离表、其他证明文件、磋商响应函等部分。</w:t>
      </w:r>
    </w:p>
    <w:p w14:paraId="5A1D282F">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10.2 如标书制作工具中格式和内容与</w:t>
      </w:r>
      <w:r>
        <w:rPr>
          <w:rFonts w:hint="eastAsia" w:ascii="宋体" w:hAnsi="宋体"/>
          <w:color w:val="auto"/>
          <w:sz w:val="24"/>
          <w:highlight w:val="none"/>
        </w:rPr>
        <w:t>“中国政府采购网”、“江苏政府采购网”、“盐城市政府采购网”</w:t>
      </w:r>
      <w:r>
        <w:rPr>
          <w:rFonts w:hint="eastAsia" w:ascii="宋体" w:hAnsi="宋体" w:cs="宋体"/>
          <w:color w:val="auto"/>
          <w:sz w:val="24"/>
          <w:highlight w:val="none"/>
        </w:rPr>
        <w:t>发布的磋商文件不一致，请以</w:t>
      </w:r>
      <w:r>
        <w:rPr>
          <w:rFonts w:hint="eastAsia" w:ascii="宋体" w:hAnsi="宋体"/>
          <w:color w:val="auto"/>
          <w:sz w:val="24"/>
          <w:highlight w:val="none"/>
        </w:rPr>
        <w:t>“中国政府采购网”、“江苏政府采购网”、“盐城市政府采购网”</w:t>
      </w:r>
      <w:r>
        <w:rPr>
          <w:rFonts w:hint="eastAsia" w:ascii="宋体" w:hAnsi="宋体" w:cs="宋体"/>
          <w:color w:val="auto"/>
          <w:sz w:val="24"/>
          <w:highlight w:val="none"/>
        </w:rPr>
        <w:t>发布的磋商文件为准。</w:t>
      </w:r>
    </w:p>
    <w:p w14:paraId="0DCCECCF">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bookmarkStart w:id="118" w:name="_Toc49090509"/>
      <w:bookmarkStart w:id="119" w:name="_Toc14577355"/>
      <w:bookmarkStart w:id="120" w:name="_Toc49090507"/>
      <w:bookmarkStart w:id="121" w:name="_Toc14577354"/>
      <w:bookmarkStart w:id="122" w:name="_Toc49090508"/>
      <w:bookmarkStart w:id="123" w:name="_Toc513029219"/>
      <w:bookmarkStart w:id="124" w:name="_Toc513029216"/>
      <w:bookmarkStart w:id="125" w:name="_Toc14577357"/>
      <w:r>
        <w:rPr>
          <w:rFonts w:hint="eastAsia" w:ascii="宋体" w:hAnsi="宋体" w:cs="宋体"/>
          <w:color w:val="auto"/>
          <w:sz w:val="24"/>
          <w:highlight w:val="none"/>
        </w:rPr>
        <w:t>11.证明磋商响应标的符合磋商文件规定的文件</w:t>
      </w:r>
      <w:bookmarkEnd w:id="118"/>
      <w:bookmarkEnd w:id="119"/>
      <w:bookmarkEnd w:id="120"/>
      <w:bookmarkEnd w:id="121"/>
      <w:bookmarkEnd w:id="122"/>
      <w:bookmarkEnd w:id="123"/>
      <w:bookmarkEnd w:id="124"/>
      <w:bookmarkEnd w:id="125"/>
    </w:p>
    <w:p w14:paraId="59AB95DE">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11.1供应商应按照磋商文件要求提交证明文件，证明其及磋商响应标的符合磋商文件规定。</w:t>
      </w:r>
    </w:p>
    <w:p w14:paraId="7251EC65">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11.2磋商文件对证明文件无明确形式要求的，证明文件可以以文字资料、图纸和数据等形式提交。</w:t>
      </w:r>
    </w:p>
    <w:p w14:paraId="62B14CB3">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12.已标价的工程量清单报价表</w:t>
      </w:r>
    </w:p>
    <w:p w14:paraId="08938628">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12.1供应商应按照磋商文件规定格式填报工程量清单报价表。</w:t>
      </w:r>
    </w:p>
    <w:p w14:paraId="352F09D3">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12.2磋商货币。响应文件中的单价和总价无特殊规定的采用人民币报价，以元为单位标注。磋商文件中另有规定的按规定执行。</w:t>
      </w:r>
    </w:p>
    <w:p w14:paraId="2A46D429">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13、技术要求响应及偏离表、商务要求响应及偏离表</w:t>
      </w:r>
    </w:p>
    <w:p w14:paraId="00E3AF6B">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13.1供应商需对磋商文件中的技术要求与商务要求逐项作出响应或偏离，并说明原因。</w:t>
      </w:r>
    </w:p>
    <w:p w14:paraId="1ABFFABB">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13.2供应商可在响应文件中提供认为需要的其他技术文件或说明。</w:t>
      </w:r>
    </w:p>
    <w:p w14:paraId="6A9EBE65">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14.服务承诺、培训计划、人员安排及其他</w:t>
      </w:r>
    </w:p>
    <w:p w14:paraId="378226A2">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14.1供应商需根据磋商文件要求提供有关售后服务的管理制度，售后服务机构的分布情况，售后服务人员的数量、素质、技术水平及售后服务的反应能力等。</w:t>
      </w:r>
    </w:p>
    <w:p w14:paraId="0F192E34">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14.2供应商需根据磋商文件要求提供培训计划。</w:t>
      </w:r>
    </w:p>
    <w:p w14:paraId="09D7DFED">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14.3供应商需根据磋商文件要求提供磋商响应标的的主要组成部分、功能设计、实现思路及关键技术等。</w:t>
      </w:r>
    </w:p>
    <w:p w14:paraId="5CAF86A7">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bookmarkStart w:id="126" w:name="_Toc49090510"/>
      <w:bookmarkStart w:id="127" w:name="_Toc14577359"/>
      <w:r>
        <w:rPr>
          <w:rFonts w:hint="eastAsia" w:ascii="宋体" w:hAnsi="宋体" w:cs="宋体"/>
          <w:color w:val="auto"/>
          <w:sz w:val="24"/>
          <w:highlight w:val="none"/>
        </w:rPr>
        <w:t>15.磋商响应函</w:t>
      </w:r>
      <w:bookmarkEnd w:id="126"/>
      <w:bookmarkEnd w:id="127"/>
    </w:p>
    <w:p w14:paraId="46FAA0E7">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15.1供应商应按照磋商文件中提供的格式完整、正确填写磋商响应函。</w:t>
      </w:r>
    </w:p>
    <w:p w14:paraId="11599F2B">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bookmarkStart w:id="128" w:name="_Toc14577360"/>
      <w:bookmarkStart w:id="129" w:name="_Toc49090511"/>
      <w:r>
        <w:rPr>
          <w:rFonts w:hint="eastAsia" w:ascii="宋体" w:hAnsi="宋体" w:cs="宋体"/>
          <w:color w:val="auto"/>
          <w:sz w:val="24"/>
          <w:highlight w:val="none"/>
        </w:rPr>
        <w:t>16.磋商有效期</w:t>
      </w:r>
      <w:bookmarkEnd w:id="128"/>
      <w:bookmarkEnd w:id="129"/>
    </w:p>
    <w:p w14:paraId="534E07CF">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16.1磋商有效期为代理公司规定的提交响应文件截止之日后九十（90）天。磋商有效期比规定短的将被视为非实质性响应磋商文件而予以拒绝。</w:t>
      </w:r>
    </w:p>
    <w:p w14:paraId="0E29EC3A">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17.磋商有效期的延长</w:t>
      </w:r>
    </w:p>
    <w:p w14:paraId="2DE74E26">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17.1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p>
    <w:p w14:paraId="34B8748B">
      <w:pPr>
        <w:keepNext w:val="0"/>
        <w:keepLines w:val="0"/>
        <w:pageBreakBefore w:val="0"/>
        <w:widowControl w:val="0"/>
        <w:tabs>
          <w:tab w:val="left" w:pos="900"/>
        </w:tabs>
        <w:kinsoku/>
        <w:wordWrap/>
        <w:overflowPunct/>
        <w:topLinePunct w:val="0"/>
        <w:autoSpaceDE/>
        <w:autoSpaceDN/>
        <w:bidi w:val="0"/>
        <w:adjustRightInd/>
        <w:snapToGrid/>
        <w:spacing w:line="500" w:lineRule="exact"/>
        <w:ind w:firstLine="482"/>
        <w:textAlignment w:val="auto"/>
        <w:outlineLvl w:val="1"/>
        <w:rPr>
          <w:rFonts w:ascii="宋体" w:hAnsi="宋体"/>
          <w:b/>
          <w:color w:val="auto"/>
          <w:sz w:val="24"/>
          <w:highlight w:val="none"/>
        </w:rPr>
      </w:pPr>
      <w:bookmarkStart w:id="130" w:name="_Toc513029224"/>
      <w:bookmarkStart w:id="131" w:name="_Toc120614217"/>
      <w:bookmarkStart w:id="132" w:name="_Toc16938540"/>
      <w:bookmarkStart w:id="133" w:name="_Toc203032695"/>
      <w:bookmarkStart w:id="134" w:name="_Toc20823296"/>
      <w:r>
        <w:rPr>
          <w:rFonts w:hint="eastAsia" w:ascii="宋体" w:hAnsi="宋体"/>
          <w:b/>
          <w:color w:val="auto"/>
          <w:sz w:val="24"/>
          <w:highlight w:val="none"/>
        </w:rPr>
        <w:t>四、响应文件的递交</w:t>
      </w:r>
      <w:bookmarkEnd w:id="130"/>
      <w:bookmarkEnd w:id="131"/>
      <w:bookmarkEnd w:id="132"/>
      <w:bookmarkEnd w:id="133"/>
      <w:bookmarkEnd w:id="134"/>
    </w:p>
    <w:p w14:paraId="515A1C96">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bookmarkStart w:id="135" w:name="_Toc16938541"/>
      <w:bookmarkStart w:id="136" w:name="_Toc20823297"/>
      <w:bookmarkStart w:id="137" w:name="_Toc462564084"/>
      <w:bookmarkStart w:id="138" w:name="_Toc513029225"/>
      <w:r>
        <w:rPr>
          <w:rFonts w:hint="eastAsia" w:ascii="宋体" w:hAnsi="宋体" w:cs="宋体"/>
          <w:color w:val="auto"/>
          <w:sz w:val="24"/>
          <w:highlight w:val="none"/>
        </w:rPr>
        <w:t>18.电子磋商</w:t>
      </w:r>
      <w:bookmarkEnd w:id="135"/>
      <w:bookmarkEnd w:id="136"/>
      <w:bookmarkEnd w:id="137"/>
      <w:bookmarkEnd w:id="138"/>
      <w:r>
        <w:rPr>
          <w:rFonts w:hint="eastAsia" w:ascii="宋体" w:hAnsi="宋体" w:cs="宋体"/>
          <w:color w:val="auto"/>
          <w:sz w:val="24"/>
          <w:highlight w:val="none"/>
        </w:rPr>
        <w:t>响应文件的递交</w:t>
      </w:r>
    </w:p>
    <w:p w14:paraId="0C4C9F36">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18.1供应商应当按照《操作手册》规定，在提交响应文件截止时间前制作并上传电子响应文件。</w:t>
      </w:r>
      <w:bookmarkStart w:id="139" w:name="_Toc16938542"/>
      <w:bookmarkEnd w:id="139"/>
      <w:bookmarkStart w:id="140" w:name="_Toc20823298"/>
      <w:bookmarkEnd w:id="140"/>
    </w:p>
    <w:p w14:paraId="3D812C27">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19、提交响应文件截止时间</w:t>
      </w:r>
    </w:p>
    <w:p w14:paraId="04E600EB">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19.1供应商上传电子响应文件的时间不得迟于磋商公告中规定的提交响应文件截止时间。</w:t>
      </w:r>
    </w:p>
    <w:p w14:paraId="31795E2F">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供应商应充分考虑到网络环境、网络带宽等风险因素，如因供应商自身原因造成的电子响应文件上传不成功的按照本磋商文件第二章第26.3.2条规定做无效响应处理。</w:t>
      </w:r>
    </w:p>
    <w:p w14:paraId="7A9190A3">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19.2 代理公司可以按照规定，通过修改磋商文件酌情延长提交响应文件截止日期，在此情况下，供应商的所有权利和义务以及供应商受制的截止日期均应以延长后新的截止日期为准。</w:t>
      </w:r>
    </w:p>
    <w:p w14:paraId="144F4F99">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bookmarkStart w:id="141" w:name="_Toc16938543"/>
      <w:bookmarkStart w:id="142" w:name="_Toc20823299"/>
      <w:bookmarkStart w:id="143" w:name="_Toc513029227"/>
      <w:r>
        <w:rPr>
          <w:rFonts w:hint="eastAsia" w:ascii="宋体" w:hAnsi="宋体" w:cs="宋体"/>
          <w:color w:val="auto"/>
          <w:sz w:val="24"/>
          <w:highlight w:val="none"/>
        </w:rPr>
        <w:t>20.响应文件</w:t>
      </w:r>
      <w:bookmarkEnd w:id="141"/>
      <w:bookmarkEnd w:id="142"/>
      <w:bookmarkEnd w:id="143"/>
      <w:r>
        <w:rPr>
          <w:rFonts w:hint="eastAsia" w:ascii="宋体" w:hAnsi="宋体" w:cs="宋体"/>
          <w:color w:val="auto"/>
          <w:sz w:val="24"/>
          <w:highlight w:val="none"/>
        </w:rPr>
        <w:t>的拒收</w:t>
      </w:r>
    </w:p>
    <w:p w14:paraId="3804B8DD">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20.1 代理公司拒绝接收在其规定的提交响应文件截止时间后上传的任何电子响应文件。</w:t>
      </w:r>
    </w:p>
    <w:p w14:paraId="2F4C2F1F">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bookmarkStart w:id="144" w:name="_Toc20823300"/>
      <w:bookmarkStart w:id="145" w:name="_Toc513029228"/>
      <w:bookmarkStart w:id="146" w:name="_Toc16938544"/>
      <w:r>
        <w:rPr>
          <w:rFonts w:hint="eastAsia" w:ascii="宋体" w:hAnsi="宋体" w:cs="宋体"/>
          <w:color w:val="auto"/>
          <w:sz w:val="24"/>
          <w:highlight w:val="none"/>
        </w:rPr>
        <w:t>21.响应文件的撤回和修改</w:t>
      </w:r>
      <w:bookmarkEnd w:id="144"/>
      <w:bookmarkEnd w:id="145"/>
      <w:bookmarkEnd w:id="146"/>
    </w:p>
    <w:p w14:paraId="50ADCC4C">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21.1响应文件的撤回</w:t>
      </w:r>
    </w:p>
    <w:p w14:paraId="5F7BB3CC">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21.1.1 电子响应文件的撤回</w:t>
      </w:r>
    </w:p>
    <w:p w14:paraId="4450CB74">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供应商可在提交响应文件截止时间前，撤回其电子响应文件，具体操作方法见《操作手册》。</w:t>
      </w:r>
    </w:p>
    <w:p w14:paraId="76241533">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21.1.2供应商撤回电子响应文件，则认为其不再参与本项目磋商活动。</w:t>
      </w:r>
    </w:p>
    <w:p w14:paraId="760CB584">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21.2响应文件的修改</w:t>
      </w:r>
    </w:p>
    <w:p w14:paraId="7134138D">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供应商可在提交响应文件截止时间前，对其电子响应文件进行修改，具体操作方法见《操作手册》。</w:t>
      </w:r>
    </w:p>
    <w:p w14:paraId="3FCF63C0">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21.3 在提交响应文件截止时间之后，供应商不得对其电子响应文件作任何修改。</w:t>
      </w:r>
    </w:p>
    <w:p w14:paraId="6B89AA1A">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21.4 在提交响应文件截止时间至磋商文件中规定的磋商有效期满之间的这段时间内，供应商不得撤回其响应文件。</w:t>
      </w:r>
    </w:p>
    <w:p w14:paraId="10F6F598">
      <w:pPr>
        <w:keepNext w:val="0"/>
        <w:keepLines w:val="0"/>
        <w:pageBreakBefore w:val="0"/>
        <w:widowControl w:val="0"/>
        <w:tabs>
          <w:tab w:val="left" w:pos="900"/>
        </w:tabs>
        <w:kinsoku/>
        <w:wordWrap/>
        <w:overflowPunct/>
        <w:topLinePunct w:val="0"/>
        <w:autoSpaceDE/>
        <w:autoSpaceDN/>
        <w:bidi w:val="0"/>
        <w:adjustRightInd/>
        <w:snapToGrid/>
        <w:spacing w:line="500" w:lineRule="exact"/>
        <w:ind w:firstLine="482"/>
        <w:textAlignment w:val="auto"/>
        <w:outlineLvl w:val="1"/>
        <w:rPr>
          <w:rFonts w:ascii="宋体" w:hAnsi="宋体"/>
          <w:b/>
          <w:color w:val="auto"/>
          <w:sz w:val="24"/>
          <w:highlight w:val="none"/>
        </w:rPr>
      </w:pPr>
      <w:bookmarkStart w:id="147" w:name="_Toc513029229"/>
      <w:bookmarkStart w:id="148" w:name="_Toc20823301"/>
      <w:bookmarkStart w:id="149" w:name="_Toc203032696"/>
      <w:bookmarkStart w:id="150" w:name="_Toc120614218"/>
      <w:bookmarkStart w:id="151" w:name="_Toc16938545"/>
      <w:r>
        <w:rPr>
          <w:rFonts w:hint="eastAsia" w:ascii="宋体" w:hAnsi="宋体"/>
          <w:b/>
          <w:color w:val="auto"/>
          <w:sz w:val="24"/>
          <w:highlight w:val="none"/>
        </w:rPr>
        <w:t>五、响应文件的解密与评审</w:t>
      </w:r>
      <w:bookmarkEnd w:id="147"/>
      <w:bookmarkEnd w:id="148"/>
      <w:bookmarkEnd w:id="149"/>
      <w:bookmarkEnd w:id="150"/>
      <w:bookmarkEnd w:id="151"/>
    </w:p>
    <w:p w14:paraId="64007A44">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bookmarkStart w:id="152" w:name="_Toc513029230"/>
      <w:bookmarkStart w:id="153" w:name="_Toc20823302"/>
      <w:bookmarkStart w:id="154" w:name="_Toc16938546"/>
      <w:r>
        <w:rPr>
          <w:rFonts w:hint="eastAsia" w:ascii="宋体" w:hAnsi="宋体" w:cs="宋体"/>
          <w:color w:val="auto"/>
          <w:sz w:val="24"/>
          <w:highlight w:val="none"/>
        </w:rPr>
        <w:t>22</w:t>
      </w:r>
      <w:bookmarkEnd w:id="152"/>
      <w:bookmarkEnd w:id="153"/>
      <w:bookmarkEnd w:id="154"/>
      <w:r>
        <w:rPr>
          <w:rFonts w:hint="eastAsia" w:ascii="宋体" w:hAnsi="宋体" w:cs="宋体"/>
          <w:color w:val="auto"/>
          <w:sz w:val="24"/>
          <w:highlight w:val="none"/>
        </w:rPr>
        <w:t>.响应文件解密</w:t>
      </w:r>
    </w:p>
    <w:p w14:paraId="74308D8E">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22.1供应商应当按照《操作手册》规定，在苏采云系统规定的时间内对磋商响应文件进行解密。</w:t>
      </w:r>
    </w:p>
    <w:p w14:paraId="54F7983A">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bookmarkStart w:id="155" w:name="_Toc20823303"/>
      <w:bookmarkStart w:id="156" w:name="_Toc513029231"/>
      <w:bookmarkStart w:id="157" w:name="_Toc16938547"/>
      <w:r>
        <w:rPr>
          <w:rFonts w:hint="eastAsia" w:ascii="宋体" w:hAnsi="宋体" w:cs="宋体"/>
          <w:color w:val="auto"/>
          <w:sz w:val="24"/>
          <w:highlight w:val="none"/>
        </w:rPr>
        <w:t>23.磋商小组</w:t>
      </w:r>
      <w:bookmarkEnd w:id="155"/>
      <w:bookmarkEnd w:id="156"/>
      <w:bookmarkEnd w:id="157"/>
    </w:p>
    <w:p w14:paraId="3AD61DAE">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23.1代理公司将组织磋商小组对响应文件进行评审。磋商小组由采购人代表和有关技术、经济等方面的专家组成，且人员构成符合政府采购有关规定。</w:t>
      </w:r>
    </w:p>
    <w:p w14:paraId="418A5A5C">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23.2磋商小组独立工作，负责评审所有响应文件并确定成交候选人。</w:t>
      </w:r>
    </w:p>
    <w:p w14:paraId="1B90C374">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24.评审过程的保密与公正</w:t>
      </w:r>
    </w:p>
    <w:p w14:paraId="338E5EAE">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24.1磋商小组、采购人和代理公司工作人员、相关监督人员等与评审工作有关的人员，对评审情况以及在评审过程中获悉的国家秘密、商业秘密负有保密责任。</w:t>
      </w:r>
    </w:p>
    <w:p w14:paraId="36378325">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24.2在评审过程中，供应商不得以任何行为影响磋商评审过程，否则其响应文件将被作为无效响应文件。</w:t>
      </w:r>
    </w:p>
    <w:p w14:paraId="1CE20E9E">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24.3在项目评审期间，代理公司将设专门人员与供应商联系。</w:t>
      </w:r>
    </w:p>
    <w:p w14:paraId="29867466">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24.4 代理公司和磋商小组不向未成交的供应商解释未成交原因，也不公布评审过程中的相关细节。</w:t>
      </w:r>
    </w:p>
    <w:p w14:paraId="34BB5DA1">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bookmarkStart w:id="158" w:name="_Toc16938548"/>
      <w:bookmarkStart w:id="159" w:name="_Toc20823304"/>
      <w:bookmarkStart w:id="160" w:name="_Toc513029232"/>
      <w:r>
        <w:rPr>
          <w:rFonts w:hint="eastAsia" w:ascii="宋体" w:hAnsi="宋体" w:cs="宋体"/>
          <w:color w:val="auto"/>
          <w:sz w:val="24"/>
          <w:highlight w:val="none"/>
        </w:rPr>
        <w:t>25.评审过程中的澄清</w:t>
      </w:r>
      <w:bookmarkEnd w:id="158"/>
      <w:bookmarkEnd w:id="159"/>
      <w:bookmarkEnd w:id="160"/>
    </w:p>
    <w:p w14:paraId="60B6B875">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6AC15D6">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磋商小组并非对每个供应商都作澄清要求。</w:t>
      </w:r>
    </w:p>
    <w:p w14:paraId="6A516CBB">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3275705F">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25.3接到磋商小组澄清、说明和更正要求的供应商如未按规定做出澄清、说明和更正，其风险由供应商自行承担。</w:t>
      </w:r>
    </w:p>
    <w:p w14:paraId="7A9FBF43">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bookmarkStart w:id="161" w:name="_Toc20823305"/>
      <w:bookmarkStart w:id="162" w:name="_Toc513029233"/>
      <w:bookmarkStart w:id="163" w:name="_Toc16938549"/>
      <w:r>
        <w:rPr>
          <w:rFonts w:hint="eastAsia" w:ascii="宋体" w:hAnsi="宋体" w:cs="宋体"/>
          <w:color w:val="auto"/>
          <w:sz w:val="24"/>
          <w:highlight w:val="none"/>
        </w:rPr>
        <w:t>26.对响应文件的审</w:t>
      </w:r>
      <w:bookmarkEnd w:id="161"/>
      <w:bookmarkEnd w:id="162"/>
      <w:bookmarkEnd w:id="163"/>
      <w:r>
        <w:rPr>
          <w:rFonts w:hint="eastAsia" w:ascii="宋体" w:hAnsi="宋体" w:cs="宋体"/>
          <w:color w:val="auto"/>
          <w:sz w:val="24"/>
          <w:highlight w:val="none"/>
        </w:rPr>
        <w:t>查</w:t>
      </w:r>
    </w:p>
    <w:p w14:paraId="11F0D2B2">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26.1响应文件审查分为资格审查和符合性审查。</w:t>
      </w:r>
    </w:p>
    <w:p w14:paraId="66F61B4C">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26.1.1 资格审查：由磋商小组依据法律法规和磋商文件的规定，对响应文件中的资格证明文件进行审查，以确定供应商是否具备参加磋商的资格。</w:t>
      </w:r>
    </w:p>
    <w:p w14:paraId="57B203CF">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磋商小组在进行资格审查的同时，将在“信用中国”网站（www.creditchina.gov.cn）查询供应商的信用记录，以确定供应商是否具备磋商资格,查询结果留存并归档。</w:t>
      </w:r>
    </w:p>
    <w:p w14:paraId="6DC2B61E">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cs="宋体"/>
          <w:color w:val="auto"/>
          <w:sz w:val="24"/>
          <w:highlight w:val="none"/>
          <w:lang w:val="en-US" w:eastAsia="zh-CN"/>
        </w:rPr>
        <w:t>信用</w:t>
      </w:r>
      <w:r>
        <w:rPr>
          <w:rFonts w:hint="eastAsia" w:ascii="宋体" w:hAnsi="宋体" w:cs="宋体"/>
          <w:color w:val="auto"/>
          <w:sz w:val="24"/>
          <w:highlight w:val="none"/>
        </w:rPr>
        <w:t>记录。</w:t>
      </w:r>
    </w:p>
    <w:p w14:paraId="7030DEC6">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26.1.2 符合性审查：依据磋商文件的规定，由磋商小组从响应文件的有效性、完整性和对磋商文件的响应程度进行审查，以确定是否对磋商文件的实质性要求作出响应。</w:t>
      </w:r>
    </w:p>
    <w:p w14:paraId="78DCAB0B">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26.1.3 未通过资格审查或符合性审查的供应商，磋商小组将在苏采云系统中告知未通过资格审查或符合性审查的原因，评审结束后，磋商小组将不再告知未通过资格审查或符合性审查的原因。</w:t>
      </w:r>
    </w:p>
    <w:p w14:paraId="25F4EDC7">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67C91368">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65B0AF2">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26.3未实质性响应磋商文件的情形</w:t>
      </w:r>
    </w:p>
    <w:p w14:paraId="0E4622FB">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26.3.1供应商在苏采云系统规定的时间内未成功解密电子响应文件的。</w:t>
      </w:r>
    </w:p>
    <w:p w14:paraId="497330F0">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26.3.2供应商未按照磋商文件要求上传电子响应文件的。</w:t>
      </w:r>
    </w:p>
    <w:p w14:paraId="60C9447C">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26.3.3同一供应商提交两个（含两个）以上不同的响应文件或者最后报价的。</w:t>
      </w:r>
    </w:p>
    <w:p w14:paraId="238CE33D">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26.3.4供应商不具备磋商文件中规定资格要求的。</w:t>
      </w:r>
    </w:p>
    <w:p w14:paraId="1CE9612C">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26.3.5供应商的最后报价超过了采购最高限价。</w:t>
      </w:r>
    </w:p>
    <w:p w14:paraId="0D7D6EAD">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26.3.6不符合磋商文件中规定的实质性要求和条件的。</w:t>
      </w:r>
    </w:p>
    <w:p w14:paraId="3CD8E233">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6E4862B">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26.3.8响应文件含有采购人不能接受的附加条件的。</w:t>
      </w:r>
    </w:p>
    <w:p w14:paraId="125C676A">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cs="宋体"/>
          <w:color w:val="auto"/>
          <w:sz w:val="24"/>
          <w:highlight w:val="none"/>
        </w:rPr>
        <w:t>26.3.9 本项目采购产品被财政部、国家发改</w:t>
      </w:r>
      <w:r>
        <w:rPr>
          <w:rFonts w:hint="eastAsia" w:ascii="宋体" w:hAnsi="宋体" w:eastAsia="宋体" w:cs="宋体"/>
          <w:color w:val="auto"/>
          <w:sz w:val="24"/>
          <w:szCs w:val="24"/>
          <w:highlight w:val="none"/>
        </w:rPr>
        <w:t>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7632EAB4">
      <w:pPr>
        <w:keepNext w:val="0"/>
        <w:keepLines w:val="0"/>
        <w:pageBreakBefore w:val="0"/>
        <w:widowControl w:val="0"/>
        <w:kinsoku/>
        <w:wordWrap/>
        <w:overflowPunct/>
        <w:topLinePunct w:val="0"/>
        <w:autoSpaceDE/>
        <w:autoSpaceDN/>
        <w:bidi w:val="0"/>
        <w:adjustRightInd/>
        <w:snapToGrid/>
        <w:spacing w:line="500" w:lineRule="exact"/>
        <w:ind w:firstLine="422"/>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26.3.10</w:t>
      </w:r>
      <w:r>
        <w:rPr>
          <w:rFonts w:hint="eastAsia" w:ascii="宋体" w:hAnsi="宋体" w:eastAsia="宋体" w:cs="宋体"/>
          <w:b/>
          <w:color w:val="auto"/>
          <w:sz w:val="24"/>
          <w:szCs w:val="24"/>
          <w:highlight w:val="none"/>
        </w:rPr>
        <w:t>供应商不能证明其报价合理性的，磋商小组应当将其作为无效响应处理。</w:t>
      </w:r>
    </w:p>
    <w:p w14:paraId="2B2329B6">
      <w:pPr>
        <w:keepNext w:val="0"/>
        <w:keepLines w:val="0"/>
        <w:pageBreakBefore w:val="0"/>
        <w:widowControl w:val="0"/>
        <w:kinsoku/>
        <w:wordWrap/>
        <w:overflowPunct/>
        <w:topLinePunct w:val="0"/>
        <w:autoSpaceDE/>
        <w:autoSpaceDN/>
        <w:bidi w:val="0"/>
        <w:adjustRightInd/>
        <w:snapToGrid/>
        <w:spacing w:line="500" w:lineRule="exact"/>
        <w:ind w:firstLine="422"/>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（一）评审过程中出现下列情形之一的，磋商小组应当启动异常低价响应审查程序：</w:t>
      </w:r>
    </w:p>
    <w:p w14:paraId="654A1DAC">
      <w:pPr>
        <w:keepNext w:val="0"/>
        <w:keepLines w:val="0"/>
        <w:pageBreakBefore w:val="0"/>
        <w:widowControl w:val="0"/>
        <w:kinsoku/>
        <w:wordWrap/>
        <w:overflowPunct/>
        <w:topLinePunct w:val="0"/>
        <w:autoSpaceDE/>
        <w:autoSpaceDN/>
        <w:bidi w:val="0"/>
        <w:adjustRightInd/>
        <w:snapToGrid/>
        <w:spacing w:line="500" w:lineRule="exact"/>
        <w:ind w:firstLine="422"/>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1.投标（响应）报价低于全部通过符合性审查供应商投标（响应）报价平均值60%的，即投标（响应）报价＜全部通过符合性审查供应商投标（响应）报价平均值×60%；</w:t>
      </w:r>
    </w:p>
    <w:p w14:paraId="62A7B23A">
      <w:pPr>
        <w:keepNext w:val="0"/>
        <w:keepLines w:val="0"/>
        <w:pageBreakBefore w:val="0"/>
        <w:widowControl w:val="0"/>
        <w:kinsoku/>
        <w:wordWrap/>
        <w:overflowPunct/>
        <w:topLinePunct w:val="0"/>
        <w:autoSpaceDE/>
        <w:autoSpaceDN/>
        <w:bidi w:val="0"/>
        <w:adjustRightInd/>
        <w:snapToGrid/>
        <w:spacing w:line="500" w:lineRule="exact"/>
        <w:ind w:firstLine="422"/>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2.投标（响应）报价低于通过符合性审查的次低报价供应商投标（响应）报价60%的，即投标（响应）报价＜通过符合性审查的次低报价供应商投标（响应）报价×60%；</w:t>
      </w:r>
    </w:p>
    <w:p w14:paraId="41F46149">
      <w:pPr>
        <w:keepNext w:val="0"/>
        <w:keepLines w:val="0"/>
        <w:pageBreakBefore w:val="0"/>
        <w:widowControl w:val="0"/>
        <w:kinsoku/>
        <w:wordWrap/>
        <w:overflowPunct/>
        <w:topLinePunct w:val="0"/>
        <w:autoSpaceDE/>
        <w:autoSpaceDN/>
        <w:bidi w:val="0"/>
        <w:adjustRightInd/>
        <w:snapToGrid/>
        <w:spacing w:line="500" w:lineRule="exact"/>
        <w:ind w:firstLine="422"/>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3.投标（响应）报价低于采购项目最高限价</w:t>
      </w:r>
      <w:r>
        <w:rPr>
          <w:rFonts w:hint="eastAsia" w:ascii="宋体" w:hAnsi="宋体" w:eastAsia="宋体" w:cs="宋体"/>
          <w:b/>
          <w:color w:val="auto"/>
          <w:sz w:val="24"/>
          <w:szCs w:val="24"/>
          <w:highlight w:val="none"/>
          <w:lang w:val="en-US" w:eastAsia="zh-CN"/>
        </w:rPr>
        <w:t>60</w:t>
      </w:r>
      <w:r>
        <w:rPr>
          <w:rFonts w:hint="eastAsia" w:ascii="宋体" w:hAnsi="宋体" w:eastAsia="宋体" w:cs="宋体"/>
          <w:b/>
          <w:color w:val="auto"/>
          <w:sz w:val="24"/>
          <w:szCs w:val="24"/>
          <w:highlight w:val="none"/>
        </w:rPr>
        <w:t>%的，即投标（响应）报价＜采购项目最高限价×</w:t>
      </w:r>
      <w:r>
        <w:rPr>
          <w:rFonts w:hint="eastAsia" w:ascii="宋体" w:hAnsi="宋体" w:eastAsia="宋体" w:cs="宋体"/>
          <w:b/>
          <w:color w:val="auto"/>
          <w:sz w:val="24"/>
          <w:szCs w:val="24"/>
          <w:highlight w:val="none"/>
          <w:lang w:val="en-US" w:eastAsia="zh-CN"/>
        </w:rPr>
        <w:t>60</w:t>
      </w:r>
      <w:r>
        <w:rPr>
          <w:rFonts w:hint="eastAsia" w:ascii="宋体" w:hAnsi="宋体" w:eastAsia="宋体" w:cs="宋体"/>
          <w:b/>
          <w:color w:val="auto"/>
          <w:sz w:val="24"/>
          <w:szCs w:val="24"/>
          <w:highlight w:val="none"/>
        </w:rPr>
        <w:t>%；</w:t>
      </w:r>
    </w:p>
    <w:p w14:paraId="63BD811B">
      <w:pPr>
        <w:keepNext w:val="0"/>
        <w:keepLines w:val="0"/>
        <w:pageBreakBefore w:val="0"/>
        <w:widowControl w:val="0"/>
        <w:kinsoku/>
        <w:wordWrap/>
        <w:overflowPunct/>
        <w:topLinePunct w:val="0"/>
        <w:autoSpaceDE/>
        <w:autoSpaceDN/>
        <w:bidi w:val="0"/>
        <w:adjustRightInd/>
        <w:snapToGrid/>
        <w:spacing w:line="500" w:lineRule="exact"/>
        <w:ind w:firstLine="422"/>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4.评审委员会基于专业判断，认为供应商报价过低，有可能影响产品质量或者不能诚信履约的其他情形。</w:t>
      </w:r>
    </w:p>
    <w:p w14:paraId="6CEE833F">
      <w:pPr>
        <w:keepNext w:val="0"/>
        <w:keepLines w:val="0"/>
        <w:pageBreakBefore w:val="0"/>
        <w:widowControl w:val="0"/>
        <w:kinsoku/>
        <w:wordWrap/>
        <w:overflowPunct/>
        <w:topLinePunct w:val="0"/>
        <w:autoSpaceDE/>
        <w:autoSpaceDN/>
        <w:bidi w:val="0"/>
        <w:adjustRightInd/>
        <w:snapToGrid/>
        <w:spacing w:line="500" w:lineRule="exact"/>
        <w:ind w:firstLine="422"/>
        <w:textAlignment w:val="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提醒：采购人可以结合具体项目实际情况，提高上述第1项至第3项中启动异常低价投标（响应）审查的数值标准，但是最高不得超过65%。</w:t>
      </w:r>
    </w:p>
    <w:p w14:paraId="33878288">
      <w:pPr>
        <w:keepNext w:val="0"/>
        <w:keepLines w:val="0"/>
        <w:pageBreakBefore w:val="0"/>
        <w:widowControl w:val="0"/>
        <w:kinsoku/>
        <w:wordWrap/>
        <w:overflowPunct/>
        <w:topLinePunct w:val="0"/>
        <w:autoSpaceDE/>
        <w:autoSpaceDN/>
        <w:bidi w:val="0"/>
        <w:adjustRightInd/>
        <w:snapToGrid/>
        <w:spacing w:line="500" w:lineRule="exact"/>
        <w:ind w:firstLine="422"/>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相关法律法规对供应商报价有规定的，从其规定。</w:t>
      </w:r>
    </w:p>
    <w:p w14:paraId="5AA8752C">
      <w:pPr>
        <w:keepNext w:val="0"/>
        <w:keepLines w:val="0"/>
        <w:pageBreakBefore w:val="0"/>
        <w:widowControl w:val="0"/>
        <w:kinsoku/>
        <w:wordWrap/>
        <w:overflowPunct/>
        <w:topLinePunct w:val="0"/>
        <w:autoSpaceDE/>
        <w:autoSpaceDN/>
        <w:bidi w:val="0"/>
        <w:adjustRightInd/>
        <w:snapToGrid/>
        <w:spacing w:line="500" w:lineRule="exact"/>
        <w:ind w:firstLine="422"/>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3722D4D">
      <w:pPr>
        <w:keepNext w:val="0"/>
        <w:keepLines w:val="0"/>
        <w:pageBreakBefore w:val="0"/>
        <w:widowControl w:val="0"/>
        <w:kinsoku/>
        <w:wordWrap/>
        <w:overflowPunct/>
        <w:topLinePunct w:val="0"/>
        <w:autoSpaceDE/>
        <w:autoSpaceDN/>
        <w:bidi w:val="0"/>
        <w:adjustRightInd/>
        <w:snapToGrid/>
        <w:spacing w:line="500" w:lineRule="exact"/>
        <w:ind w:firstLine="422"/>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02FCD90">
      <w:pPr>
        <w:keepNext w:val="0"/>
        <w:keepLines w:val="0"/>
        <w:pageBreakBefore w:val="0"/>
        <w:widowControl w:val="0"/>
        <w:kinsoku/>
        <w:wordWrap/>
        <w:overflowPunct/>
        <w:topLinePunct w:val="0"/>
        <w:autoSpaceDE/>
        <w:autoSpaceDN/>
        <w:bidi w:val="0"/>
        <w:adjustRightInd/>
        <w:snapToGrid/>
        <w:spacing w:line="500" w:lineRule="exact"/>
        <w:ind w:firstLine="422"/>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C56BBC2">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4B97139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26.3.11响应文件未按照磋商文件要求加盖CA电子公章的。</w:t>
      </w:r>
    </w:p>
    <w:p w14:paraId="2F18A59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26.4未实质性响应磋商文件的响应文件按无效响应处理。</w:t>
      </w:r>
    </w:p>
    <w:p w14:paraId="1DFEAE4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26.5如果响应文件实质上没有响应磋商文件的要求，磋商小组将予以拒绝，供应商不得通过修改或撤销不符合要求的偏离或保留而使其成为实质性响应的文件。</w:t>
      </w:r>
    </w:p>
    <w:p w14:paraId="5108713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bookmarkStart w:id="164" w:name="_Toc20823306"/>
      <w:bookmarkStart w:id="165" w:name="_Toc513029234"/>
      <w:bookmarkStart w:id="166" w:name="_Toc16938550"/>
      <w:r>
        <w:rPr>
          <w:rFonts w:hint="eastAsia" w:ascii="宋体" w:hAnsi="宋体" w:cs="宋体"/>
          <w:color w:val="auto"/>
          <w:sz w:val="24"/>
          <w:highlight w:val="none"/>
        </w:rPr>
        <w:t>26.6供应商在项目评审全过程中应保持通信畅通，并安排专人与代理机构及磋商小组联系。</w:t>
      </w:r>
      <w:bookmarkEnd w:id="164"/>
      <w:bookmarkEnd w:id="165"/>
      <w:bookmarkEnd w:id="166"/>
    </w:p>
    <w:p w14:paraId="49A4376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27.磋商程序及评审方法和评审标准</w:t>
      </w:r>
    </w:p>
    <w:p w14:paraId="71F1510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27.1磋商程序</w:t>
      </w:r>
    </w:p>
    <w:p w14:paraId="5B02C37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3B8CA00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161686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73103FD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659F43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6AB9A01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68E86EB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27.2评审方法和评审标准</w:t>
      </w:r>
    </w:p>
    <w:p w14:paraId="60A8DD2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27.2.1评审方法。经磋商确定最终采购需求和提交最后报价的供应商后，由磋商小组采用综合评分法对提交最后报价的供应商的响应文件和最后报价进行综合评分。</w:t>
      </w:r>
    </w:p>
    <w:p w14:paraId="37A9604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4F8C90D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27.2.2评审标准</w:t>
      </w:r>
    </w:p>
    <w:p w14:paraId="0C687A8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见本磋商文件第五章规定。</w:t>
      </w:r>
    </w:p>
    <w:p w14:paraId="28AF564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27.3采购活动终止的情况</w:t>
      </w:r>
    </w:p>
    <w:p w14:paraId="4A217A5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出现下列情形之一的，本次竞争性磋商采购活动将被终止：</w:t>
      </w:r>
    </w:p>
    <w:p w14:paraId="392339E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27.3.1因情况变化，不再符合规定的竞争性磋商采购方式适用情形的。</w:t>
      </w:r>
    </w:p>
    <w:p w14:paraId="017EB8B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27.3.2出现影响采购公正的违法、违规行为的。</w:t>
      </w:r>
    </w:p>
    <w:p w14:paraId="239AAD9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27.3.3除本磋商文件第二章第27.1.2条第三款规定的情形外，在磋商过程中符合要求的供应商或者最后报价未超过采购预算的供应商不足3家的。</w:t>
      </w:r>
    </w:p>
    <w:p w14:paraId="4F0EDFF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27.3.4在苏采云系统规定时间内成功解密电子响应文件的供应商不足3家的。</w:t>
      </w:r>
    </w:p>
    <w:p w14:paraId="4CC8474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bookmarkStart w:id="167" w:name="_Toc20823307"/>
      <w:bookmarkStart w:id="168" w:name="_Toc513029235"/>
      <w:bookmarkStart w:id="169" w:name="_Toc120614219"/>
      <w:bookmarkStart w:id="170" w:name="_Toc16938551"/>
      <w:r>
        <w:rPr>
          <w:rFonts w:hint="eastAsia" w:ascii="宋体" w:hAnsi="宋体" w:cs="宋体"/>
          <w:color w:val="auto"/>
          <w:sz w:val="24"/>
          <w:highlight w:val="none"/>
        </w:rPr>
        <w:t>六、</w:t>
      </w:r>
      <w:bookmarkEnd w:id="167"/>
      <w:bookmarkEnd w:id="168"/>
      <w:bookmarkEnd w:id="169"/>
      <w:bookmarkEnd w:id="170"/>
      <w:r>
        <w:rPr>
          <w:rFonts w:hint="eastAsia" w:ascii="宋体" w:hAnsi="宋体" w:cs="宋体"/>
          <w:color w:val="auto"/>
          <w:sz w:val="24"/>
          <w:highlight w:val="none"/>
        </w:rPr>
        <w:t>成交</w:t>
      </w:r>
    </w:p>
    <w:p w14:paraId="32D537C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bookmarkStart w:id="171" w:name="_Toc20823310"/>
      <w:bookmarkStart w:id="172" w:name="_Toc513029238"/>
      <w:bookmarkStart w:id="173" w:name="_Toc16938554"/>
      <w:r>
        <w:rPr>
          <w:rFonts w:hint="eastAsia" w:ascii="宋体" w:hAnsi="宋体" w:cs="宋体"/>
          <w:color w:val="auto"/>
          <w:sz w:val="24"/>
          <w:highlight w:val="none"/>
        </w:rPr>
        <w:t>28</w:t>
      </w:r>
      <w:bookmarkEnd w:id="171"/>
      <w:r>
        <w:rPr>
          <w:rFonts w:hint="eastAsia" w:ascii="宋体" w:hAnsi="宋体" w:cs="宋体"/>
          <w:color w:val="auto"/>
          <w:sz w:val="24"/>
          <w:highlight w:val="none"/>
        </w:rPr>
        <w:t>.确定</w:t>
      </w:r>
      <w:bookmarkEnd w:id="172"/>
      <w:bookmarkEnd w:id="173"/>
      <w:r>
        <w:rPr>
          <w:rFonts w:hint="eastAsia" w:ascii="宋体" w:hAnsi="宋体" w:cs="宋体"/>
          <w:color w:val="auto"/>
          <w:sz w:val="24"/>
          <w:highlight w:val="none"/>
        </w:rPr>
        <w:t>成交单位</w:t>
      </w:r>
    </w:p>
    <w:p w14:paraId="7935917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1C23E02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016FAAB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p>
    <w:p w14:paraId="1CC8CCD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28.3若有充分证据证明，成交供应商出现下列情况之一的，一经查实，将被取消成交资格：</w:t>
      </w:r>
    </w:p>
    <w:p w14:paraId="650299A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28.3.1提供虚假材料谋取成交的。</w:t>
      </w:r>
    </w:p>
    <w:p w14:paraId="18C2869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28.3.2与评审专家、采购人、其他供应商或者代理机构工作人员恶意串通的。</w:t>
      </w:r>
    </w:p>
    <w:p w14:paraId="7F3F50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28.3.3向评审专家、采购人或代理机构工作人员行贿或者提供其他不正当利益的。</w:t>
      </w:r>
    </w:p>
    <w:p w14:paraId="0E814BD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28.3.4恶意竞争，最后报价明显低于其自身合理成本且又无法提供证明的。</w:t>
      </w:r>
    </w:p>
    <w:p w14:paraId="5A50D48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28.3.5不满足本磋商文件规定的实质性要求，但在评审过程中又未被磋商小组发现的。</w:t>
      </w:r>
    </w:p>
    <w:p w14:paraId="3546754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28.3.6成交后无正当理由拒不与采购人签订政府采购合同或者未按照磋商文件确定的事项签订政府采购合同的。</w:t>
      </w:r>
    </w:p>
    <w:p w14:paraId="3687BF7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28.3.7将政府采购合同转包的。</w:t>
      </w:r>
    </w:p>
    <w:p w14:paraId="405F848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bookmarkStart w:id="174" w:name="_Toc200451960"/>
      <w:r>
        <w:rPr>
          <w:rFonts w:hint="eastAsia" w:ascii="宋体" w:hAnsi="宋体" w:cs="宋体"/>
          <w:color w:val="auto"/>
          <w:sz w:val="24"/>
          <w:highlight w:val="none"/>
        </w:rPr>
        <w:t>29.质疑处理</w:t>
      </w:r>
      <w:bookmarkEnd w:id="174"/>
    </w:p>
    <w:p w14:paraId="5BE53A2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29.1提出质疑的供应商应当是参与所质疑项目采购活动的供应商。潜在供应商依法获取其可质疑的磋商文件的，可以对磋商文件提出质疑。</w:t>
      </w:r>
    </w:p>
    <w:p w14:paraId="38213BE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29.2供应商认为磋商文件、磋商过程和磋商结果使自己的权益受到损害的，可以在知道或应知其权益受到损害之日起七个工作日内，以书面形式根据下述29.4条款的规定向采人或代理机构提出质疑。上述应知其权益受到损害之日，是指：</w:t>
      </w:r>
    </w:p>
    <w:p w14:paraId="694C056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29.2.1对可以质疑的磋商文件提出质疑的，为收到磋商文件之日或者磋商文件公告期限届满之日。</w:t>
      </w:r>
    </w:p>
    <w:p w14:paraId="33A4B27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29.2.2对磋商过程提出质疑的，为各采购程序环节结束之日。</w:t>
      </w:r>
    </w:p>
    <w:p w14:paraId="75ED962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29.2.3对成交结果提出质疑的，为成交结果公告期限届满之日。</w:t>
      </w:r>
    </w:p>
    <w:p w14:paraId="339B1DB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供应商应当在法定质疑期内一次性提出针对同一采购程序环节的质疑。供应商如在法定期限内对同一采购程序环节提出多次质疑的，采购人将只对供应商第一次质疑作出答复。</w:t>
      </w:r>
    </w:p>
    <w:p w14:paraId="0D3799A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2B10A09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29.4供应商（含潜在供应商）对采购方式、采购需求、供应商资格条件、评审方法与评审标准、合同文本的询问、质疑请向采购人提出，由采购人负责答复。供应商对其他事项的询问、质疑请向代理机构提出，由代理机构负责答复。</w:t>
      </w:r>
    </w:p>
    <w:p w14:paraId="1C97FA4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采购人及代理机构只接收以纸质原件形式送达的质疑，采购人和代理机构不接受未填写快递运单的快件。</w:t>
      </w:r>
    </w:p>
    <w:p w14:paraId="671BA48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29.5以下情形的质疑不予受理</w:t>
      </w:r>
    </w:p>
    <w:p w14:paraId="74ACF8B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29.5.1内容不符合《政府采购质疑和投诉办法》第十二条规定的质疑。</w:t>
      </w:r>
    </w:p>
    <w:p w14:paraId="5DF0A61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29.5.2超出政府采购法定期限的质疑。</w:t>
      </w:r>
    </w:p>
    <w:p w14:paraId="03F08C1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29.5.3以传真、电子邮件等方式递交的非原件形式的质疑。</w:t>
      </w:r>
    </w:p>
    <w:p w14:paraId="2F78113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29.5.4未参加磋商活动的供应商或在磋商活动中自身权益未受到损害的供应商所提出的质疑。</w:t>
      </w:r>
    </w:p>
    <w:p w14:paraId="165D49B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29.5.5供应商组成联合体参加磋商，联合体中任何一方或多方未按要求签字、盖章、加盖公章的质疑。</w:t>
      </w:r>
    </w:p>
    <w:p w14:paraId="31E2949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3AE320F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30.成交通知书</w:t>
      </w:r>
    </w:p>
    <w:p w14:paraId="4BF6EEF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141AC4C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430DF05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bookmarkStart w:id="175" w:name="_Toc120614220"/>
      <w:bookmarkStart w:id="176" w:name="_Toc20823308"/>
      <w:bookmarkStart w:id="177" w:name="_Toc513029236"/>
      <w:bookmarkStart w:id="178" w:name="_Toc16938552"/>
      <w:r>
        <w:rPr>
          <w:rFonts w:hint="eastAsia" w:ascii="宋体" w:hAnsi="宋体" w:cs="宋体"/>
          <w:color w:val="auto"/>
          <w:sz w:val="24"/>
          <w:highlight w:val="none"/>
        </w:rPr>
        <w:t>七、授予合同</w:t>
      </w:r>
      <w:bookmarkEnd w:id="175"/>
      <w:bookmarkEnd w:id="176"/>
      <w:bookmarkEnd w:id="177"/>
      <w:bookmarkEnd w:id="178"/>
    </w:p>
    <w:p w14:paraId="14A4B4A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31.签订合同</w:t>
      </w:r>
    </w:p>
    <w:p w14:paraId="39C18F5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31.l成交供应商应当在成交通知书发出之日起三十日内，按照磋商文件确定的事项与采购人签订政府采购合同。</w:t>
      </w:r>
    </w:p>
    <w:p w14:paraId="0F49DDD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31.2磋商文件、成交供应商的响应文件及磋商过程中有关澄清、承诺文件均应作为合同附件。</w:t>
      </w:r>
    </w:p>
    <w:p w14:paraId="7B1DE02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31.3签订合同后，成交供应商不得将合同标的进行转包。未经采购人同意，成交供应商也不得采用分包形式履行合同，否则采购人有权终止合同。转包或分包造成采购人损失的，成交供应商应承担相应赔偿责任。</w:t>
      </w:r>
    </w:p>
    <w:p w14:paraId="29FDE2D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32.标的物的追加</w:t>
      </w:r>
    </w:p>
    <w:p w14:paraId="2F931E1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4CE19EA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33.政府采购政策功能落实</w:t>
      </w:r>
    </w:p>
    <w:p w14:paraId="18E6A09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33.1政府采购线上合同信用融资政策</w:t>
      </w:r>
    </w:p>
    <w:p w14:paraId="1C14FAB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p>
    <w:p w14:paraId="151FA7A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33.2进口产品</w:t>
      </w:r>
    </w:p>
    <w:p w14:paraId="5B53FFC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DB110F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33.3中小企业、监狱企业及残疾人福利性单位</w:t>
      </w:r>
    </w:p>
    <w:p w14:paraId="4FCA902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33.3.1中小企业定义：</w:t>
      </w:r>
    </w:p>
    <w:p w14:paraId="6601241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26DCBD1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33.3.2供应商提供的货物、工程或者服务符合下列情形的，享受中小企业扶持政策：</w:t>
      </w:r>
    </w:p>
    <w:p w14:paraId="7000E47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33.3.2.1在货物采购项目中，货物由中小企业制造，即货物由中小企业生产且使用该中小企业商号或者注册商标；</w:t>
      </w:r>
    </w:p>
    <w:p w14:paraId="66D6FC3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33.3.2.2在工程采购项目中，工程由中小企业承建，即工程施工单位为中小企业；</w:t>
      </w:r>
    </w:p>
    <w:p w14:paraId="1E0C86F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33.3.2.3在服务采购项目中，服务由中小企业承接，即提供服务的人员为中小企业依照《中华人民共和国劳动合同法》订立劳动合同的从业人员。</w:t>
      </w:r>
    </w:p>
    <w:p w14:paraId="2714A36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33.3.3在货物采购项目中，供应商提供的货物既有中小企业制造货物，也有大型企业制造货物的，不享受中小企业扶持政策。</w:t>
      </w:r>
    </w:p>
    <w:p w14:paraId="1863E40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33.3.4以联合体形式参加政府采购活动，联合体各方均为中小企业的，联合体视同中小企业。其中，联合体各方均为小微企业的，联合体视同小微企业。</w:t>
      </w:r>
    </w:p>
    <w:p w14:paraId="29CF41D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322DF7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33.3.6残疾人福利单位定义：享受政府采购支持政策的残疾人福利性单位应当同时满足以下条件：</w:t>
      </w:r>
    </w:p>
    <w:p w14:paraId="1BBFE65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33.3.6.1安置的残疾人占本单位在职职工人数的比例不低于25%（含25%），并且安置的残疾人人数不少于10人（含10人）；</w:t>
      </w:r>
    </w:p>
    <w:p w14:paraId="08B72CF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33.3.6.2依法与安置的每位残疾人签订了一年以上（含一年）的劳动合同或服务协议；</w:t>
      </w:r>
    </w:p>
    <w:p w14:paraId="626352A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33.3.6.3为安置的每位残疾人按月足额缴纳了基本养老保险、基本医疗保险、失业保险、工伤保险和生育保险等社会保险费；</w:t>
      </w:r>
    </w:p>
    <w:p w14:paraId="45559E8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33.3.6.4通过银行等金融机构向安置的每位残疾人，按月支付了不低于单位所在区县适用的经省级人民政府批准的月最低工资标准的工资；</w:t>
      </w:r>
    </w:p>
    <w:p w14:paraId="75ED505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33.3.6.5提供本单位制造的货物、承担的工程或者服务（以下简称产品），或者提供其他残疾人福利性单位制造的货物（不包括使用非残疾人福利性单位注册商标的货物）；</w:t>
      </w:r>
    </w:p>
    <w:p w14:paraId="5D35D08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070F3B3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33.3.7本项目是否专门面向中小企业预留采购份额见第一章《竞争性磋商公告》。</w:t>
      </w:r>
    </w:p>
    <w:p w14:paraId="10756F7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33.3.8采购标的对应的中小企业划分标准所属行业见第四章《采购需求》。</w:t>
      </w:r>
    </w:p>
    <w:p w14:paraId="5B21106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33.3.9小微企业价格评审优惠的政策：见第五章《评标方法和评标标准》。</w:t>
      </w:r>
    </w:p>
    <w:p w14:paraId="3D48BD9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33.4政府采购节能产品、环境标志产品</w:t>
      </w:r>
    </w:p>
    <w:p w14:paraId="4A25ED4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385881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12B820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33.5绿色包装</w:t>
      </w:r>
    </w:p>
    <w:p w14:paraId="25D1756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3CB3111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33.6政府采购创新产品</w:t>
      </w:r>
    </w:p>
    <w:p w14:paraId="3A7C376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采购人优先采购各级政府部门公开发布的有效期内的创新产品、创新服务、首台套、首购首用等《目录》的创新产品。</w:t>
      </w:r>
    </w:p>
    <w:p w14:paraId="1F52540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33.7绿色数据中心政策</w:t>
      </w:r>
    </w:p>
    <w:p w14:paraId="568F9DF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CBF77F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33.8履约保证金政策</w:t>
      </w:r>
    </w:p>
    <w:p w14:paraId="0F91FDA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确需收取履约保证金的，履约保证金的缴纳形式：</w:t>
      </w:r>
    </w:p>
    <w:p w14:paraId="7DA6EA4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AABADA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 xml:space="preserve"> 如以履约保函（保险）形式缴纳履约保证金，供应商可通过政府采购电子履约保函（保险）平台（www.jsdzbh.com）在线申请履约保函（保险）。</w:t>
      </w:r>
    </w:p>
    <w:p w14:paraId="18824B1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履约保证金金额为合同金额的10%，采购人对第三方信用服务机构依据标准规范评定为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级及以上的政府采购供应商（需在签订采购合同前提供信用管理部门备案的第三方信用报告，且信用报告通过“信用盐城网”可查实），降低履约保证金缴纳比例至5%。</w:t>
      </w:r>
    </w:p>
    <w:p w14:paraId="7354C1E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34. 预付款制度</w:t>
      </w:r>
    </w:p>
    <w:p w14:paraId="19C1862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本项目落实预付款制度，预付款比例为</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0%。在签订合同时，中标、成交供应商明确书面表示无需预付款或者主动要求降低预付款比例的，采购人可就预付款比例作相应调整。</w:t>
      </w:r>
    </w:p>
    <w:p w14:paraId="44705F0F">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auto"/>
          <w:sz w:val="24"/>
          <w:highlight w:val="none"/>
        </w:rPr>
      </w:pPr>
    </w:p>
    <w:p w14:paraId="5E2074E9">
      <w:pPr>
        <w:pStyle w:val="51"/>
        <w:rPr>
          <w:color w:val="auto"/>
          <w:sz w:val="36"/>
          <w:szCs w:val="36"/>
          <w:highlight w:val="none"/>
        </w:rPr>
      </w:pPr>
      <w:r>
        <w:rPr>
          <w:color w:val="auto"/>
          <w:highlight w:val="none"/>
        </w:rPr>
        <w:br w:type="page" w:clear="all"/>
      </w:r>
      <w:bookmarkEnd w:id="62"/>
      <w:bookmarkEnd w:id="63"/>
      <w:bookmarkEnd w:id="64"/>
      <w:bookmarkStart w:id="179" w:name="_Toc203032699"/>
      <w:r>
        <w:rPr>
          <w:rFonts w:hint="eastAsia"/>
          <w:color w:val="auto"/>
          <w:sz w:val="36"/>
          <w:szCs w:val="36"/>
          <w:highlight w:val="none"/>
        </w:rPr>
        <w:t>第三章  合同条款及格式</w:t>
      </w:r>
      <w:bookmarkEnd w:id="179"/>
    </w:p>
    <w:p w14:paraId="73E05DD5">
      <w:pPr>
        <w:jc w:val="left"/>
        <w:rPr>
          <w:rFonts w:ascii="宋体" w:hAnsi="宋体" w:cs="宋体"/>
          <w:bCs/>
          <w:color w:val="auto"/>
          <w:sz w:val="28"/>
          <w:szCs w:val="28"/>
          <w:highlight w:val="none"/>
        </w:rPr>
      </w:pPr>
      <w:bookmarkStart w:id="180" w:name="_Toc23828480"/>
      <w:bookmarkStart w:id="181" w:name="_Toc61149622"/>
      <w:bookmarkStart w:id="182" w:name="_Toc26554097"/>
    </w:p>
    <w:p w14:paraId="6A7B59C0">
      <w:pPr>
        <w:keepNext w:val="0"/>
        <w:keepLines w:val="0"/>
        <w:pageBreakBefore w:val="0"/>
        <w:widowControl w:val="0"/>
        <w:kinsoku/>
        <w:wordWrap/>
        <w:overflowPunct/>
        <w:topLinePunct w:val="0"/>
        <w:autoSpaceDE/>
        <w:autoSpaceDN/>
        <w:bidi w:val="0"/>
        <w:snapToGrid w:val="0"/>
        <w:spacing w:line="500" w:lineRule="exact"/>
        <w:ind w:left="0"/>
        <w:jc w:val="center"/>
        <w:textAlignment w:val="auto"/>
        <w:outlineLvl w:val="0"/>
        <w:rPr>
          <w:rFonts w:hint="eastAsia" w:ascii="宋体" w:hAnsi="宋体" w:eastAsia="宋体" w:cs="宋体"/>
          <w:b/>
          <w:bCs/>
          <w:color w:val="auto"/>
          <w:sz w:val="30"/>
          <w:szCs w:val="20"/>
          <w:highlight w:val="none"/>
        </w:rPr>
      </w:pPr>
      <w:r>
        <w:rPr>
          <w:rFonts w:hint="eastAsia" w:ascii="宋体" w:hAnsi="宋体" w:eastAsia="宋体" w:cs="宋体"/>
          <w:b/>
          <w:color w:val="auto"/>
          <w:sz w:val="30"/>
          <w:highlight w:val="none"/>
        </w:rPr>
        <w:t>政府采购合同</w:t>
      </w:r>
    </w:p>
    <w:p w14:paraId="57DFAD82">
      <w:pPr>
        <w:pStyle w:val="28"/>
        <w:keepNext w:val="0"/>
        <w:keepLines w:val="0"/>
        <w:pageBreakBefore w:val="0"/>
        <w:widowControl w:val="0"/>
        <w:kinsoku/>
        <w:wordWrap/>
        <w:overflowPunct/>
        <w:topLinePunct w:val="0"/>
        <w:autoSpaceDE/>
        <w:autoSpaceDN/>
        <w:bidi w:val="0"/>
        <w:adjustRightInd w:val="0"/>
        <w:snapToGrid w:val="0"/>
        <w:spacing w:line="500" w:lineRule="exact"/>
        <w:ind w:left="0" w:leftChars="0" w:right="0"/>
        <w:textAlignment w:val="auto"/>
        <w:rPr>
          <w:rFonts w:hint="eastAsia" w:ascii="宋体" w:hAnsi="宋体" w:eastAsia="宋体" w:cs="宋体"/>
          <w:color w:val="auto"/>
          <w:sz w:val="24"/>
          <w:szCs w:val="24"/>
          <w:highlight w:val="none"/>
        </w:rPr>
      </w:pPr>
    </w:p>
    <w:p w14:paraId="36BE1DDD">
      <w:pPr>
        <w:pStyle w:val="28"/>
        <w:keepNext w:val="0"/>
        <w:keepLines w:val="0"/>
        <w:pageBreakBefore w:val="0"/>
        <w:widowControl w:val="0"/>
        <w:kinsoku/>
        <w:wordWrap/>
        <w:overflowPunct/>
        <w:topLinePunct w:val="0"/>
        <w:autoSpaceDE/>
        <w:autoSpaceDN/>
        <w:bidi w:val="0"/>
        <w:adjustRightInd w:val="0"/>
        <w:snapToGrid w:val="0"/>
        <w:spacing w:line="500" w:lineRule="exact"/>
        <w:ind w:left="0" w:leftChars="0" w:right="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项目编号：JSZC-320903-JCJS-C2026-0006   </w:t>
      </w:r>
    </w:p>
    <w:p w14:paraId="330A605B">
      <w:pPr>
        <w:pStyle w:val="28"/>
        <w:keepNext w:val="0"/>
        <w:keepLines w:val="0"/>
        <w:pageBreakBefore w:val="0"/>
        <w:widowControl w:val="0"/>
        <w:kinsoku/>
        <w:wordWrap/>
        <w:overflowPunct/>
        <w:topLinePunct w:val="0"/>
        <w:autoSpaceDE/>
        <w:autoSpaceDN/>
        <w:bidi w:val="0"/>
        <w:adjustRightInd w:val="0"/>
        <w:snapToGrid w:val="0"/>
        <w:spacing w:line="500" w:lineRule="exact"/>
        <w:ind w:left="0" w:leftChars="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hAnsi="宋体" w:cs="宋体"/>
          <w:color w:val="auto"/>
          <w:sz w:val="24"/>
          <w:szCs w:val="24"/>
          <w:highlight w:val="none"/>
          <w:lang w:eastAsia="zh-CN"/>
        </w:rPr>
        <w:t>盐城市公安局盐都分局国省道科技提升项目</w:t>
      </w:r>
    </w:p>
    <w:p w14:paraId="1EAB13A1">
      <w:pPr>
        <w:pStyle w:val="28"/>
        <w:keepNext w:val="0"/>
        <w:keepLines w:val="0"/>
        <w:pageBreakBefore w:val="0"/>
        <w:widowControl w:val="0"/>
        <w:kinsoku/>
        <w:wordWrap/>
        <w:overflowPunct/>
        <w:topLinePunct w:val="0"/>
        <w:autoSpaceDE/>
        <w:autoSpaceDN/>
        <w:bidi w:val="0"/>
        <w:adjustRightInd w:val="0"/>
        <w:snapToGrid w:val="0"/>
        <w:spacing w:line="500" w:lineRule="exact"/>
        <w:ind w:left="0" w:leftChars="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u w:val="single"/>
          <w:lang w:eastAsia="zh-CN"/>
        </w:rPr>
        <w:t>盐城市公安局盐都分局</w:t>
      </w:r>
    </w:p>
    <w:p w14:paraId="44A68E56">
      <w:pPr>
        <w:pStyle w:val="28"/>
        <w:keepNext w:val="0"/>
        <w:keepLines w:val="0"/>
        <w:pageBreakBefore w:val="0"/>
        <w:widowControl w:val="0"/>
        <w:kinsoku/>
        <w:wordWrap/>
        <w:overflowPunct/>
        <w:topLinePunct w:val="0"/>
        <w:autoSpaceDE/>
        <w:autoSpaceDN/>
        <w:bidi w:val="0"/>
        <w:adjustRightInd w:val="0"/>
        <w:snapToGrid w:val="0"/>
        <w:spacing w:line="500" w:lineRule="exact"/>
        <w:ind w:left="0" w:leftChars="0" w:right="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　</w:t>
      </w:r>
    </w:p>
    <w:p w14:paraId="668860B6">
      <w:pPr>
        <w:pStyle w:val="28"/>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甲、乙双方根据</w:t>
      </w:r>
      <w:r>
        <w:rPr>
          <w:rFonts w:hint="eastAsia" w:hAnsi="宋体" w:cs="宋体"/>
          <w:color w:val="auto"/>
          <w:sz w:val="24"/>
          <w:szCs w:val="24"/>
          <w:highlight w:val="none"/>
          <w:u w:val="single"/>
          <w:lang w:eastAsia="zh-CN"/>
        </w:rPr>
        <w:t>盐城市公安局盐都分局国省道科技提升项目</w:t>
      </w:r>
      <w:r>
        <w:rPr>
          <w:rFonts w:hint="eastAsia" w:hAnsi="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的结果，签署本合同。</w:t>
      </w:r>
    </w:p>
    <w:p w14:paraId="67AC0281">
      <w:pPr>
        <w:pStyle w:val="28"/>
        <w:keepNext w:val="0"/>
        <w:keepLines w:val="0"/>
        <w:pageBreakBefore w:val="0"/>
        <w:widowControl w:val="0"/>
        <w:kinsoku/>
        <w:wordWrap/>
        <w:overflowPunct/>
        <w:topLinePunct w:val="0"/>
        <w:autoSpaceDE/>
        <w:autoSpaceDN/>
        <w:bidi w:val="0"/>
        <w:adjustRightInd w:val="0"/>
        <w:snapToGrid w:val="0"/>
        <w:spacing w:line="500" w:lineRule="exact"/>
        <w:ind w:left="0" w:leftChars="0" w:right="0"/>
        <w:textAlignment w:val="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一、</w:t>
      </w:r>
      <w:r>
        <w:rPr>
          <w:rFonts w:hint="eastAsia" w:hAnsi="宋体" w:eastAsia="宋体" w:cs="宋体"/>
          <w:b/>
          <w:color w:val="auto"/>
          <w:sz w:val="24"/>
          <w:szCs w:val="24"/>
          <w:highlight w:val="none"/>
          <w:lang w:val="en-US" w:eastAsia="zh-CN"/>
        </w:rPr>
        <w:t>项目</w:t>
      </w:r>
      <w:r>
        <w:rPr>
          <w:rFonts w:hint="eastAsia" w:ascii="宋体" w:hAnsi="宋体" w:eastAsia="宋体" w:cs="宋体"/>
          <w:b/>
          <w:color w:val="auto"/>
          <w:sz w:val="24"/>
          <w:szCs w:val="24"/>
          <w:highlight w:val="none"/>
        </w:rPr>
        <w:t>内容</w:t>
      </w:r>
      <w:r>
        <w:rPr>
          <w:rFonts w:hint="eastAsia" w:hAnsi="宋体" w:eastAsia="宋体" w:cs="宋体"/>
          <w:b/>
          <w:color w:val="auto"/>
          <w:sz w:val="24"/>
          <w:szCs w:val="24"/>
          <w:highlight w:val="none"/>
          <w:lang w:val="en-US" w:eastAsia="zh-CN"/>
        </w:rPr>
        <w:t>及技术要求</w:t>
      </w:r>
    </w:p>
    <w:p w14:paraId="7B2C80BC">
      <w:pPr>
        <w:keepNext w:val="0"/>
        <w:keepLines w:val="0"/>
        <w:pageBreakBefore w:val="0"/>
        <w:widowControl w:val="0"/>
        <w:kinsoku/>
        <w:wordWrap/>
        <w:overflowPunct/>
        <w:topLinePunct w:val="0"/>
        <w:autoSpaceDE/>
        <w:autoSpaceDN/>
        <w:bidi w:val="0"/>
        <w:adjustRightInd w:val="0"/>
        <w:spacing w:line="500" w:lineRule="exact"/>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详见清单 </w:t>
      </w:r>
    </w:p>
    <w:p w14:paraId="18C04C34">
      <w:pPr>
        <w:pStyle w:val="28"/>
        <w:keepNext w:val="0"/>
        <w:keepLines w:val="0"/>
        <w:pageBreakBefore w:val="0"/>
        <w:widowControl w:val="0"/>
        <w:kinsoku/>
        <w:wordWrap/>
        <w:overflowPunct/>
        <w:topLinePunct w:val="0"/>
        <w:autoSpaceDE/>
        <w:autoSpaceDN/>
        <w:bidi w:val="0"/>
        <w:adjustRightInd w:val="0"/>
        <w:snapToGrid w:val="0"/>
        <w:spacing w:line="500" w:lineRule="exact"/>
        <w:ind w:left="0" w:leftChars="0" w:right="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二、合同金额</w:t>
      </w:r>
    </w:p>
    <w:p w14:paraId="621C1CE4">
      <w:pPr>
        <w:pStyle w:val="28"/>
        <w:keepNext w:val="0"/>
        <w:keepLines w:val="0"/>
        <w:pageBreakBefore w:val="0"/>
        <w:widowControl w:val="0"/>
        <w:kinsoku/>
        <w:wordWrap/>
        <w:overflowPunct/>
        <w:topLinePunct w:val="0"/>
        <w:autoSpaceDE/>
        <w:autoSpaceDN/>
        <w:bidi w:val="0"/>
        <w:snapToGrid w:val="0"/>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1、</w:t>
      </w:r>
      <w:r>
        <w:rPr>
          <w:rFonts w:hint="eastAsia" w:ascii="宋体" w:hAnsi="宋体" w:eastAsia="宋体" w:cs="宋体"/>
          <w:color w:val="auto"/>
          <w:sz w:val="24"/>
          <w:szCs w:val="24"/>
          <w:highlight w:val="none"/>
        </w:rPr>
        <w:t>本合同金额为：人民币（大写</w:t>
      </w:r>
      <w:r>
        <w:rPr>
          <w:rFonts w:hint="eastAsia" w:ascii="宋体" w:hAnsi="宋体" w:eastAsia="宋体" w:cs="宋体"/>
          <w:color w:val="auto"/>
          <w:sz w:val="24"/>
          <w:szCs w:val="24"/>
          <w:highlight w:val="none"/>
          <w:u w:val="single"/>
        </w:rPr>
        <w:t>）            元整（¥     元）</w:t>
      </w:r>
      <w:r>
        <w:rPr>
          <w:rFonts w:hint="eastAsia" w:ascii="宋体" w:hAnsi="宋体" w:eastAsia="宋体" w:cs="宋体"/>
          <w:color w:val="auto"/>
          <w:sz w:val="24"/>
          <w:szCs w:val="24"/>
          <w:highlight w:val="none"/>
        </w:rPr>
        <w:t>。</w:t>
      </w:r>
    </w:p>
    <w:p w14:paraId="33382AFE">
      <w:pPr>
        <w:pStyle w:val="28"/>
        <w:keepNext w:val="0"/>
        <w:keepLines w:val="0"/>
        <w:pageBreakBefore w:val="0"/>
        <w:widowControl w:val="0"/>
        <w:kinsoku/>
        <w:wordWrap/>
        <w:overflowPunct/>
        <w:topLinePunct w:val="0"/>
        <w:autoSpaceDE/>
        <w:autoSpaceDN/>
        <w:bidi w:val="0"/>
        <w:snapToGrid w:val="0"/>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hAnsi="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上述金额是乙方对本次采购项目各项支付金额的总和。上述金额包括乙方为完成本次采购文件所确定的采购内容，包括（但不限于）：设备材料价格【含全套设备（包括主设备、配套设备、附件等）、管线、型钢基础、型钢支架及其它安装所需辅材、配件、备品备件、技术资料等】、软件价格（含设计、开发、优化、升级等）、直接和间接成本费、材料损耗费、劳务费、竣工面的清洁费、垃圾清运费、包装费、运杂费（含运输费）、装卸费、调试（含试运行）费、系统集成费、保修费、保险费、配合费、安装费、检测费、技术（含操作、维护等）培训、维护、升级、保密及售后服务费、管理费、税金（增值税专票）、利润、风险费、成品保护费、不可预见费及</w:t>
      </w:r>
      <w:r>
        <w:rPr>
          <w:rFonts w:hint="default" w:ascii="宋体" w:hAnsi="宋体" w:eastAsia="宋体" w:cs="宋体"/>
          <w:color w:val="auto"/>
          <w:kern w:val="2"/>
          <w:sz w:val="24"/>
          <w:szCs w:val="24"/>
          <w:highlight w:val="none"/>
          <w:lang w:val="en-US"/>
        </w:rPr>
        <w:t>风险费等</w:t>
      </w:r>
      <w:r>
        <w:rPr>
          <w:rFonts w:hint="eastAsia" w:ascii="宋体" w:hAnsi="宋体" w:eastAsia="宋体" w:cs="宋体"/>
          <w:color w:val="auto"/>
          <w:kern w:val="2"/>
          <w:sz w:val="24"/>
          <w:szCs w:val="24"/>
          <w:highlight w:val="none"/>
        </w:rPr>
        <w:t>其他一切相关费用等所需的全部费用</w:t>
      </w:r>
      <w:r>
        <w:rPr>
          <w:rFonts w:hint="default" w:ascii="宋体" w:hAnsi="宋体" w:eastAsia="宋体" w:cs="宋体"/>
          <w:color w:val="auto"/>
          <w:kern w:val="2"/>
          <w:sz w:val="24"/>
          <w:szCs w:val="24"/>
          <w:highlight w:val="none"/>
          <w:lang w:val="en-US"/>
        </w:rPr>
        <w:t>。</w:t>
      </w:r>
    </w:p>
    <w:p w14:paraId="59D023EE">
      <w:pPr>
        <w:pStyle w:val="28"/>
        <w:keepNext w:val="0"/>
        <w:keepLines w:val="0"/>
        <w:pageBreakBefore w:val="0"/>
        <w:widowControl w:val="0"/>
        <w:kinsoku/>
        <w:wordWrap/>
        <w:overflowPunct/>
        <w:topLinePunct w:val="0"/>
        <w:autoSpaceDE/>
        <w:autoSpaceDN/>
        <w:bidi w:val="0"/>
        <w:adjustRightInd w:val="0"/>
        <w:snapToGrid w:val="0"/>
        <w:spacing w:line="500" w:lineRule="exact"/>
        <w:ind w:left="0" w:leftChars="0" w:right="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三、技术资料</w:t>
      </w:r>
    </w:p>
    <w:p w14:paraId="3E72D6AD">
      <w:pPr>
        <w:pStyle w:val="28"/>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1、</w:t>
      </w:r>
      <w:r>
        <w:rPr>
          <w:rFonts w:hint="eastAsia" w:ascii="宋体" w:hAnsi="宋体" w:eastAsia="宋体" w:cs="宋体"/>
          <w:color w:val="auto"/>
          <w:sz w:val="24"/>
          <w:szCs w:val="24"/>
          <w:highlight w:val="none"/>
        </w:rPr>
        <w:t>乙方应按</w:t>
      </w:r>
      <w:r>
        <w:rPr>
          <w:rFonts w:hint="eastAsia" w:hAnsi="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规定的时间向甲方提供</w:t>
      </w:r>
      <w:r>
        <w:rPr>
          <w:rFonts w:hint="eastAsia" w:hAnsi="宋体" w:cs="宋体"/>
          <w:color w:val="auto"/>
          <w:sz w:val="24"/>
          <w:szCs w:val="24"/>
          <w:highlight w:val="none"/>
          <w:lang w:val="en-US" w:eastAsia="zh-CN"/>
        </w:rPr>
        <w:t>有关工程、设备</w:t>
      </w:r>
      <w:r>
        <w:rPr>
          <w:rFonts w:hint="eastAsia" w:ascii="宋体" w:hAnsi="宋体" w:eastAsia="宋体" w:cs="宋体"/>
          <w:color w:val="auto"/>
          <w:sz w:val="24"/>
          <w:szCs w:val="24"/>
          <w:highlight w:val="none"/>
        </w:rPr>
        <w:t>的技术资料。</w:t>
      </w:r>
    </w:p>
    <w:p w14:paraId="448D4730">
      <w:pPr>
        <w:pStyle w:val="28"/>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2、</w:t>
      </w:r>
      <w:r>
        <w:rPr>
          <w:rFonts w:hint="eastAsia" w:ascii="宋体" w:hAnsi="宋体" w:eastAsia="宋体" w:cs="宋体"/>
          <w:color w:val="auto"/>
          <w:sz w:val="24"/>
          <w:szCs w:val="24"/>
          <w:highlight w:val="none"/>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5865F24">
      <w:pPr>
        <w:keepNext w:val="0"/>
        <w:keepLines w:val="0"/>
        <w:pageBreakBefore w:val="0"/>
        <w:widowControl w:val="0"/>
        <w:kinsoku/>
        <w:wordWrap/>
        <w:overflowPunct/>
        <w:topLinePunct w:val="0"/>
        <w:autoSpaceDE/>
        <w:autoSpaceDN/>
        <w:bidi w:val="0"/>
        <w:adjustRightInd w:val="0"/>
        <w:snapToGrid w:val="0"/>
        <w:spacing w:line="500" w:lineRule="exact"/>
        <w:ind w:left="412" w:leftChars="0" w:right="0" w:hanging="412" w:hangingChars="171"/>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四、知识产权</w:t>
      </w:r>
    </w:p>
    <w:p w14:paraId="793360EA">
      <w:pPr>
        <w:keepNext w:val="0"/>
        <w:keepLines w:val="0"/>
        <w:pageBreakBefore w:val="0"/>
        <w:widowControl w:val="0"/>
        <w:kinsoku/>
        <w:wordWrap/>
        <w:overflowPunct/>
        <w:topLinePunct w:val="0"/>
        <w:autoSpaceDE/>
        <w:autoSpaceDN/>
        <w:bidi w:val="0"/>
        <w:spacing w:line="500" w:lineRule="exact"/>
        <w:ind w:lef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乙方应保证甲方在使用、接受本合同</w:t>
      </w:r>
      <w:r>
        <w:rPr>
          <w:rFonts w:hint="eastAsia" w:ascii="宋体" w:hAnsi="宋体" w:eastAsia="宋体" w:cs="宋体"/>
          <w:color w:val="auto"/>
          <w:kern w:val="0"/>
          <w:sz w:val="24"/>
          <w:szCs w:val="24"/>
          <w:highlight w:val="none"/>
          <w:lang w:val="en-US" w:eastAsia="zh-CN"/>
        </w:rPr>
        <w:t>整体工程</w:t>
      </w:r>
      <w:r>
        <w:rPr>
          <w:rFonts w:hint="eastAsia" w:ascii="宋体" w:hAnsi="宋体" w:eastAsia="宋体" w:cs="宋体"/>
          <w:color w:val="auto"/>
          <w:kern w:val="0"/>
          <w:sz w:val="24"/>
          <w:szCs w:val="24"/>
          <w:highlight w:val="none"/>
        </w:rPr>
        <w:t>或其任何一部分时不受第三方提出侵犯其专利权、版权、商标权和工业设计权等知识产权的起诉。若出现侵权及赔偿责任等纠纷，均由乙方自行承担，与甲方无涉，由此给甲方造成损失的，甲方有权要求乙方承担包括间接损失在内的全部赔偿责任。</w:t>
      </w:r>
    </w:p>
    <w:p w14:paraId="34008FD6">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textAlignment w:val="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五、产权担保</w:t>
      </w:r>
    </w:p>
    <w:p w14:paraId="4527EA29">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乙方保证所交付的</w:t>
      </w:r>
      <w:r>
        <w:rPr>
          <w:rFonts w:hint="eastAsia" w:ascii="宋体" w:hAnsi="宋体" w:cs="宋体"/>
          <w:color w:val="auto"/>
          <w:sz w:val="24"/>
          <w:szCs w:val="24"/>
          <w:highlight w:val="none"/>
          <w:lang w:val="en-US" w:eastAsia="zh-CN"/>
        </w:rPr>
        <w:t>工程、设备</w:t>
      </w:r>
      <w:r>
        <w:rPr>
          <w:rFonts w:hint="eastAsia" w:ascii="宋体" w:hAnsi="宋体" w:eastAsia="宋体" w:cs="宋体"/>
          <w:color w:val="auto"/>
          <w:sz w:val="24"/>
          <w:szCs w:val="24"/>
          <w:highlight w:val="none"/>
        </w:rPr>
        <w:t>的所有权完全属于乙方且无任何抵押、查封等产权瑕疵。</w:t>
      </w:r>
    </w:p>
    <w:p w14:paraId="58E69FFA">
      <w:pPr>
        <w:keepNext w:val="0"/>
        <w:keepLines w:val="0"/>
        <w:pageBreakBefore w:val="0"/>
        <w:widowControl w:val="0"/>
        <w:kinsoku/>
        <w:wordWrap/>
        <w:overflowPunct/>
        <w:topLinePunct w:val="0"/>
        <w:autoSpaceDE/>
        <w:autoSpaceDN/>
        <w:bidi w:val="0"/>
        <w:adjustRightInd w:val="0"/>
        <w:snapToGrid w:val="0"/>
        <w:spacing w:line="500" w:lineRule="exact"/>
        <w:ind w:left="410" w:leftChars="0" w:right="0" w:hanging="410" w:hangingChars="17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六、履约保证金</w:t>
      </w:r>
    </w:p>
    <w:p w14:paraId="59328CAD">
      <w:pPr>
        <w:pStyle w:val="28"/>
        <w:keepNext w:val="0"/>
        <w:keepLines w:val="0"/>
        <w:pageBreakBefore w:val="0"/>
        <w:widowControl w:val="0"/>
        <w:kinsoku/>
        <w:wordWrap/>
        <w:overflowPunct/>
        <w:topLinePunct w:val="0"/>
        <w:autoSpaceDE/>
        <w:autoSpaceDN/>
        <w:bidi w:val="0"/>
        <w:snapToGrid w:val="0"/>
        <w:spacing w:line="50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乙方交纳人民币（大写）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元整</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元）</w:t>
      </w:r>
      <w:r>
        <w:rPr>
          <w:rFonts w:hint="eastAsia" w:ascii="宋体" w:hAnsi="宋体" w:eastAsia="宋体" w:cs="宋体"/>
          <w:color w:val="auto"/>
          <w:sz w:val="24"/>
          <w:szCs w:val="24"/>
          <w:highlight w:val="none"/>
        </w:rPr>
        <w:t>作为本合同的履约保证金（合同金额的</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甲方对AA评级及以上政府采购供应商</w:t>
      </w:r>
      <w:r>
        <w:rPr>
          <w:rFonts w:hint="eastAsia" w:ascii="宋体" w:hAnsi="宋体" w:eastAsia="宋体" w:cs="宋体"/>
          <w:color w:val="auto"/>
          <w:sz w:val="24"/>
          <w:szCs w:val="20"/>
          <w:highlight w:val="none"/>
          <w:lang w:val="en-US" w:eastAsia="zh-CN"/>
        </w:rPr>
        <w:t>（需提供信用管理部门备案的第三方信用报告）降低履约保证金缴纳比例至5%。依据《关于在全省政府采购领域推行电子履约保函（保险）的通知》，鼓励供应商自愿使用履约保函（保险）代替缴纳履约保证金。</w:t>
      </w:r>
    </w:p>
    <w:p w14:paraId="01655AF3">
      <w:pPr>
        <w:pStyle w:val="28"/>
        <w:keepNext w:val="0"/>
        <w:keepLines w:val="0"/>
        <w:pageBreakBefore w:val="0"/>
        <w:widowControl w:val="0"/>
        <w:kinsoku/>
        <w:wordWrap/>
        <w:overflowPunct/>
        <w:topLinePunct w:val="0"/>
        <w:autoSpaceDE/>
        <w:autoSpaceDN/>
        <w:bidi w:val="0"/>
        <w:snapToGrid w:val="0"/>
        <w:spacing w:line="50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履约保证金供应</w:t>
      </w:r>
      <w:r>
        <w:rPr>
          <w:rFonts w:hint="eastAsia" w:ascii="宋体" w:hAnsi="宋体" w:eastAsia="宋体" w:cs="宋体"/>
          <w:color w:val="auto"/>
          <w:sz w:val="24"/>
          <w:szCs w:val="20"/>
          <w:highlight w:val="none"/>
          <w:lang w:val="en-US" w:eastAsia="zh-CN"/>
        </w:rPr>
        <w:t>商应当以支票、汇票、本票或者金融机构、担保机构出具的保函、电子履约保函（保险）等非现金形式提交。</w:t>
      </w:r>
    </w:p>
    <w:p w14:paraId="2911A214">
      <w:pPr>
        <w:pStyle w:val="28"/>
        <w:keepNext w:val="0"/>
        <w:keepLines w:val="0"/>
        <w:pageBreakBefore w:val="0"/>
        <w:widowControl w:val="0"/>
        <w:kinsoku/>
        <w:wordWrap/>
        <w:overflowPunct/>
        <w:topLinePunct w:val="0"/>
        <w:autoSpaceDE/>
        <w:autoSpaceDN/>
        <w:bidi w:val="0"/>
        <w:snapToGrid w:val="0"/>
        <w:spacing w:line="50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3、履约保证金退还：</w:t>
      </w:r>
    </w:p>
    <w:p w14:paraId="2BA8CFBC">
      <w:pPr>
        <w:pStyle w:val="28"/>
        <w:keepNext w:val="0"/>
        <w:keepLines w:val="0"/>
        <w:pageBreakBefore w:val="0"/>
        <w:widowControl w:val="0"/>
        <w:kinsoku/>
        <w:wordWrap/>
        <w:overflowPunct/>
        <w:topLinePunct w:val="0"/>
        <w:autoSpaceDE/>
        <w:autoSpaceDN/>
        <w:bidi w:val="0"/>
        <w:snapToGrid w:val="0"/>
        <w:spacing w:line="50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3.1方式：无息退还至投标人缴纳履约保证金的账户。如为保函，在到期时自行失效。</w:t>
      </w:r>
    </w:p>
    <w:p w14:paraId="2BAC1C23">
      <w:pPr>
        <w:pStyle w:val="28"/>
        <w:keepNext w:val="0"/>
        <w:keepLines w:val="0"/>
        <w:pageBreakBefore w:val="0"/>
        <w:widowControl w:val="0"/>
        <w:kinsoku/>
        <w:wordWrap/>
        <w:overflowPunct/>
        <w:topLinePunct w:val="0"/>
        <w:autoSpaceDE/>
        <w:autoSpaceDN/>
        <w:bidi w:val="0"/>
        <w:snapToGrid w:val="0"/>
        <w:spacing w:line="50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3.2时间：验收合格且</w:t>
      </w:r>
      <w:r>
        <w:rPr>
          <w:rFonts w:hint="eastAsia"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收到发票后30日内。</w:t>
      </w:r>
    </w:p>
    <w:p w14:paraId="3F743B49">
      <w:pPr>
        <w:pStyle w:val="28"/>
        <w:keepNext w:val="0"/>
        <w:keepLines w:val="0"/>
        <w:pageBreakBefore w:val="0"/>
        <w:widowControl w:val="0"/>
        <w:kinsoku/>
        <w:wordWrap/>
        <w:overflowPunct/>
        <w:topLinePunct w:val="0"/>
        <w:autoSpaceDE/>
        <w:autoSpaceDN/>
        <w:bidi w:val="0"/>
        <w:snapToGrid w:val="0"/>
        <w:spacing w:line="50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3.3条件：按合同要求全部履约完成并经甲方验收合格，且甲方收到乙方出具的发票。</w:t>
      </w:r>
    </w:p>
    <w:p w14:paraId="71F76388">
      <w:pPr>
        <w:pStyle w:val="28"/>
        <w:keepNext w:val="0"/>
        <w:keepLines w:val="0"/>
        <w:pageBreakBefore w:val="0"/>
        <w:widowControl w:val="0"/>
        <w:kinsoku/>
        <w:wordWrap/>
        <w:overflowPunct/>
        <w:topLinePunct w:val="0"/>
        <w:autoSpaceDE/>
        <w:autoSpaceDN/>
        <w:bidi w:val="0"/>
        <w:snapToGrid w:val="0"/>
        <w:spacing w:line="50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3.4不予退还情形：</w:t>
      </w:r>
    </w:p>
    <w:p w14:paraId="7F501730">
      <w:pPr>
        <w:pStyle w:val="28"/>
        <w:keepNext w:val="0"/>
        <w:keepLines w:val="0"/>
        <w:pageBreakBefore w:val="0"/>
        <w:widowControl w:val="0"/>
        <w:kinsoku/>
        <w:wordWrap/>
        <w:overflowPunct/>
        <w:topLinePunct w:val="0"/>
        <w:autoSpaceDE/>
        <w:autoSpaceDN/>
        <w:bidi w:val="0"/>
        <w:snapToGrid w:val="0"/>
        <w:spacing w:line="50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除不可抗力情况外，乙方出现下列情形之一的，其履约保证金，甲方将视情节决定不予退还或部分不予退还。</w:t>
      </w:r>
    </w:p>
    <w:p w14:paraId="174CE11C">
      <w:pPr>
        <w:pStyle w:val="28"/>
        <w:keepNext w:val="0"/>
        <w:keepLines w:val="0"/>
        <w:pageBreakBefore w:val="0"/>
        <w:widowControl w:val="0"/>
        <w:kinsoku/>
        <w:wordWrap/>
        <w:overflowPunct/>
        <w:topLinePunct w:val="0"/>
        <w:autoSpaceDE/>
        <w:autoSpaceDN/>
        <w:bidi w:val="0"/>
        <w:snapToGrid w:val="0"/>
        <w:spacing w:line="50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（1）乙方无正当理由拒绝签订合同的，或者在签订合同时向甲方提出附加条件或者更改合同实质性内容要求的；</w:t>
      </w:r>
    </w:p>
    <w:p w14:paraId="309ACB15">
      <w:pPr>
        <w:pStyle w:val="28"/>
        <w:keepNext w:val="0"/>
        <w:keepLines w:val="0"/>
        <w:pageBreakBefore w:val="0"/>
        <w:widowControl w:val="0"/>
        <w:kinsoku/>
        <w:wordWrap/>
        <w:overflowPunct/>
        <w:topLinePunct w:val="0"/>
        <w:autoSpaceDE/>
        <w:autoSpaceDN/>
        <w:bidi w:val="0"/>
        <w:snapToGrid w:val="0"/>
        <w:spacing w:line="50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（2）乙方不履行与甲方订立的合同的；</w:t>
      </w:r>
    </w:p>
    <w:p w14:paraId="6A64A070">
      <w:pPr>
        <w:pStyle w:val="28"/>
        <w:keepNext w:val="0"/>
        <w:keepLines w:val="0"/>
        <w:pageBreakBefore w:val="0"/>
        <w:widowControl w:val="0"/>
        <w:kinsoku/>
        <w:wordWrap/>
        <w:overflowPunct/>
        <w:topLinePunct w:val="0"/>
        <w:autoSpaceDE/>
        <w:autoSpaceDN/>
        <w:bidi w:val="0"/>
        <w:snapToGrid w:val="0"/>
        <w:spacing w:line="50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（3）乙方所供货物或服务不符合</w:t>
      </w:r>
      <w:r>
        <w:rPr>
          <w:rFonts w:hint="eastAsia" w:hAnsi="宋体" w:cs="宋体"/>
          <w:color w:val="auto"/>
          <w:sz w:val="24"/>
          <w:szCs w:val="24"/>
          <w:highlight w:val="none"/>
          <w:lang w:val="en-US" w:eastAsia="zh-CN"/>
        </w:rPr>
        <w:t>竞争性磋商文件</w:t>
      </w:r>
      <w:r>
        <w:rPr>
          <w:rFonts w:hint="eastAsia" w:ascii="宋体" w:hAnsi="宋体" w:eastAsia="宋体" w:cs="宋体"/>
          <w:color w:val="auto"/>
          <w:sz w:val="24"/>
          <w:szCs w:val="24"/>
          <w:highlight w:val="none"/>
          <w:lang w:val="en-US" w:eastAsia="zh-CN"/>
        </w:rPr>
        <w:t>规定要求的；</w:t>
      </w:r>
    </w:p>
    <w:p w14:paraId="5DB219B9">
      <w:pPr>
        <w:pStyle w:val="28"/>
        <w:keepNext w:val="0"/>
        <w:keepLines w:val="0"/>
        <w:pageBreakBefore w:val="0"/>
        <w:widowControl w:val="0"/>
        <w:kinsoku/>
        <w:wordWrap/>
        <w:overflowPunct/>
        <w:topLinePunct w:val="0"/>
        <w:autoSpaceDE/>
        <w:autoSpaceDN/>
        <w:bidi w:val="0"/>
        <w:snapToGrid w:val="0"/>
        <w:spacing w:line="50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（4）乙方采取欺骗、弄虚作假方式投标的或与其它投标人串通投标的；</w:t>
      </w:r>
    </w:p>
    <w:p w14:paraId="70031475">
      <w:pPr>
        <w:pStyle w:val="28"/>
        <w:keepNext w:val="0"/>
        <w:keepLines w:val="0"/>
        <w:pageBreakBefore w:val="0"/>
        <w:widowControl w:val="0"/>
        <w:kinsoku/>
        <w:wordWrap/>
        <w:overflowPunct/>
        <w:topLinePunct w:val="0"/>
        <w:autoSpaceDE/>
        <w:autoSpaceDN/>
        <w:bidi w:val="0"/>
        <w:snapToGrid w:val="0"/>
        <w:spacing w:line="50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（5）乙方将合同内容转包、违法分包的；</w:t>
      </w:r>
    </w:p>
    <w:p w14:paraId="108ED046">
      <w:pPr>
        <w:pStyle w:val="28"/>
        <w:keepNext w:val="0"/>
        <w:keepLines w:val="0"/>
        <w:pageBreakBefore w:val="0"/>
        <w:widowControl w:val="0"/>
        <w:kinsoku/>
        <w:wordWrap/>
        <w:overflowPunct/>
        <w:topLinePunct w:val="0"/>
        <w:autoSpaceDE/>
        <w:autoSpaceDN/>
        <w:bidi w:val="0"/>
        <w:snapToGrid w:val="0"/>
        <w:spacing w:line="50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（6）乙方故意捏造事实或伪造证明材料，进行虚假恶意投诉或反映的。</w:t>
      </w:r>
    </w:p>
    <w:p w14:paraId="2CD18DAF">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4、逾期退还的违约责任：甲方逾期无故未退还履约保证金的，按中国人民银行同期贷款基准利率上浮20%后的利率支付超期资金占用费，但因乙方自身原因导致无法及时退还的除外</w:t>
      </w:r>
      <w:r>
        <w:rPr>
          <w:rFonts w:hint="eastAsia" w:ascii="宋体" w:hAnsi="宋体" w:eastAsia="宋体" w:cs="宋体"/>
          <w:color w:val="auto"/>
          <w:sz w:val="24"/>
          <w:szCs w:val="24"/>
          <w:highlight w:val="none"/>
        </w:rPr>
        <w:t>。</w:t>
      </w:r>
    </w:p>
    <w:p w14:paraId="4647FC19">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七、转包或分包</w:t>
      </w:r>
    </w:p>
    <w:p w14:paraId="1681860D">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本合同范围的</w:t>
      </w:r>
      <w:r>
        <w:rPr>
          <w:rFonts w:hint="eastAsia" w:ascii="宋体" w:hAnsi="宋体" w:cs="宋体"/>
          <w:color w:val="auto"/>
          <w:sz w:val="24"/>
          <w:szCs w:val="24"/>
          <w:highlight w:val="none"/>
          <w:lang w:val="en-US" w:eastAsia="zh-CN"/>
        </w:rPr>
        <w:t>工程</w:t>
      </w:r>
      <w:r>
        <w:rPr>
          <w:rFonts w:hint="eastAsia" w:ascii="宋体" w:hAnsi="宋体" w:eastAsia="宋体" w:cs="宋体"/>
          <w:color w:val="auto"/>
          <w:sz w:val="24"/>
          <w:szCs w:val="24"/>
          <w:highlight w:val="none"/>
        </w:rPr>
        <w:t>，应由乙方直接供应，不得转让他人</w:t>
      </w:r>
      <w:r>
        <w:rPr>
          <w:rFonts w:hint="eastAsia" w:ascii="宋体" w:hAnsi="宋体" w:eastAsia="宋体" w:cs="宋体"/>
          <w:color w:val="auto"/>
          <w:sz w:val="24"/>
          <w:szCs w:val="24"/>
          <w:highlight w:val="none"/>
          <w:lang w:val="en-US" w:eastAsia="zh-CN"/>
        </w:rPr>
        <w:t>提供。</w:t>
      </w:r>
    </w:p>
    <w:p w14:paraId="58599B73">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除非得到甲方的书面同意，乙方不得部分分包给他人</w:t>
      </w:r>
      <w:r>
        <w:rPr>
          <w:rFonts w:hint="eastAsia" w:ascii="宋体" w:hAnsi="宋体" w:eastAsia="宋体" w:cs="宋体"/>
          <w:color w:val="auto"/>
          <w:sz w:val="24"/>
          <w:szCs w:val="24"/>
          <w:highlight w:val="none"/>
          <w:lang w:val="en-US" w:eastAsia="zh-CN"/>
        </w:rPr>
        <w:t>提供。</w:t>
      </w:r>
    </w:p>
    <w:p w14:paraId="257DA15E">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如有转让和未经甲方同意的分包行为，甲方有权给予终止合同。</w:t>
      </w:r>
    </w:p>
    <w:p w14:paraId="1217788B">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八、质保期及质量要求</w:t>
      </w:r>
    </w:p>
    <w:p w14:paraId="532806E8">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544" w:firstLineChars="227"/>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质保期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p>
    <w:p w14:paraId="24B179A8">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544" w:firstLineChars="227"/>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2、质量要求：</w:t>
      </w:r>
      <w:r>
        <w:rPr>
          <w:rFonts w:hint="eastAsia" w:ascii="宋体" w:hAnsi="宋体" w:eastAsia="宋体" w:cs="宋体"/>
          <w:bCs/>
          <w:color w:val="auto"/>
          <w:sz w:val="24"/>
          <w:szCs w:val="24"/>
          <w:highlight w:val="none"/>
          <w:lang w:val="en-US" w:eastAsia="zh-CN"/>
        </w:rPr>
        <w:t>国家合格标准</w:t>
      </w:r>
    </w:p>
    <w:p w14:paraId="7D416173">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textAlignment w:val="auto"/>
        <w:rPr>
          <w:rFonts w:hint="default"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rPr>
        <w:t>九、</w:t>
      </w:r>
      <w:r>
        <w:rPr>
          <w:rFonts w:hint="eastAsia" w:ascii="宋体" w:hAnsi="宋体" w:eastAsia="宋体" w:cs="宋体"/>
          <w:b/>
          <w:color w:val="auto"/>
          <w:sz w:val="24"/>
          <w:szCs w:val="24"/>
          <w:highlight w:val="none"/>
          <w:lang w:val="en-US" w:eastAsia="zh-CN"/>
        </w:rPr>
        <w:t>工期</w:t>
      </w:r>
      <w:r>
        <w:rPr>
          <w:rFonts w:hint="eastAsia" w:ascii="宋体" w:hAnsi="宋体" w:cs="宋体"/>
          <w:b/>
          <w:color w:val="auto"/>
          <w:sz w:val="24"/>
          <w:szCs w:val="24"/>
          <w:highlight w:val="none"/>
          <w:lang w:val="en-US" w:eastAsia="zh-CN"/>
        </w:rPr>
        <w:t>、工程地点</w:t>
      </w:r>
    </w:p>
    <w:p w14:paraId="291E0702">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default"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rPr>
        <w:t>1</w:t>
      </w:r>
      <w:r>
        <w:rPr>
          <w:rFonts w:hint="eastAsia" w:ascii="宋体" w:hAnsi="宋体" w:cs="宋体"/>
          <w:bCs/>
          <w:color w:val="auto"/>
          <w:sz w:val="24"/>
          <w:szCs w:val="24"/>
          <w:highlight w:val="none"/>
          <w:u w:val="none"/>
          <w:lang w:eastAsia="zh-CN"/>
        </w:rPr>
        <w:t>、</w:t>
      </w:r>
      <w:r>
        <w:rPr>
          <w:rFonts w:hint="eastAsia" w:ascii="宋体" w:hAnsi="宋体" w:eastAsia="宋体" w:cs="宋体"/>
          <w:bCs/>
          <w:color w:val="auto"/>
          <w:sz w:val="24"/>
          <w:szCs w:val="24"/>
          <w:highlight w:val="none"/>
          <w:u w:val="none"/>
          <w:lang w:val="en-US" w:eastAsia="zh-CN"/>
        </w:rPr>
        <w:t>工期</w:t>
      </w:r>
      <w:r>
        <w:rPr>
          <w:rFonts w:hint="eastAsia" w:ascii="宋体" w:hAnsi="宋体" w:eastAsia="宋体" w:cs="宋体"/>
          <w:bCs/>
          <w:color w:val="auto"/>
          <w:sz w:val="24"/>
          <w:szCs w:val="24"/>
          <w:highlight w:val="none"/>
          <w:u w:val="none"/>
        </w:rPr>
        <w:t>：</w:t>
      </w:r>
      <w:r>
        <w:rPr>
          <w:rFonts w:hint="eastAsia" w:ascii="宋体" w:hAnsi="宋体" w:eastAsia="宋体" w:cs="宋体"/>
          <w:bCs/>
          <w:color w:val="auto"/>
          <w:sz w:val="24"/>
          <w:szCs w:val="24"/>
          <w:highlight w:val="none"/>
          <w:u w:val="none"/>
          <w:lang w:val="en-US" w:eastAsia="zh-CN"/>
        </w:rPr>
        <w:t>合同签订后</w:t>
      </w:r>
      <w:r>
        <w:rPr>
          <w:rFonts w:hint="eastAsia" w:ascii="宋体" w:hAnsi="宋体" w:cs="宋体"/>
          <w:bCs/>
          <w:color w:val="auto"/>
          <w:sz w:val="24"/>
          <w:szCs w:val="24"/>
          <w:highlight w:val="none"/>
          <w:u w:val="none"/>
          <w:lang w:val="en-US" w:eastAsia="zh-CN"/>
        </w:rPr>
        <w:t>60日历天</w:t>
      </w:r>
      <w:r>
        <w:rPr>
          <w:rFonts w:hint="eastAsia" w:ascii="宋体" w:hAnsi="宋体" w:eastAsia="宋体" w:cs="宋体"/>
          <w:bCs/>
          <w:color w:val="auto"/>
          <w:sz w:val="24"/>
          <w:szCs w:val="24"/>
          <w:highlight w:val="none"/>
          <w:u w:val="none"/>
          <w:lang w:val="en-US" w:eastAsia="zh-CN"/>
        </w:rPr>
        <w:t>内必须完成项目安装、调试，验收合格后交付甲方使用。</w:t>
      </w:r>
    </w:p>
    <w:p w14:paraId="7D0BAC44">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2</w:t>
      </w:r>
      <w:r>
        <w:rPr>
          <w:rFonts w:hint="eastAsia" w:ascii="宋体" w:hAnsi="宋体" w:cs="宋体"/>
          <w:bCs/>
          <w:color w:val="auto"/>
          <w:sz w:val="24"/>
          <w:szCs w:val="24"/>
          <w:highlight w:val="none"/>
          <w:u w:val="none"/>
          <w:lang w:eastAsia="zh-CN"/>
        </w:rPr>
        <w:t>、</w:t>
      </w:r>
      <w:r>
        <w:rPr>
          <w:rFonts w:hint="eastAsia" w:ascii="宋体" w:hAnsi="宋体" w:cs="宋体"/>
          <w:bCs/>
          <w:color w:val="auto"/>
          <w:sz w:val="24"/>
          <w:szCs w:val="24"/>
          <w:highlight w:val="none"/>
          <w:u w:val="none"/>
          <w:lang w:val="en-US" w:eastAsia="zh-CN"/>
        </w:rPr>
        <w:t>工程地点</w:t>
      </w:r>
      <w:r>
        <w:rPr>
          <w:rFonts w:hint="eastAsia" w:ascii="宋体" w:hAnsi="宋体" w:eastAsia="宋体" w:cs="宋体"/>
          <w:bCs/>
          <w:color w:val="auto"/>
          <w:sz w:val="24"/>
          <w:szCs w:val="24"/>
          <w:highlight w:val="none"/>
          <w:u w:val="none"/>
        </w:rPr>
        <w:t>：</w:t>
      </w:r>
      <w:r>
        <w:rPr>
          <w:rFonts w:hint="eastAsia" w:ascii="宋体" w:hAnsi="宋体" w:cs="宋体"/>
          <w:bCs/>
          <w:color w:val="auto"/>
          <w:sz w:val="24"/>
          <w:szCs w:val="24"/>
          <w:highlight w:val="none"/>
          <w:u w:val="none"/>
          <w:lang w:val="en-US" w:eastAsia="zh-CN"/>
        </w:rPr>
        <w:t>甲方指定地点</w:t>
      </w:r>
      <w:r>
        <w:rPr>
          <w:rFonts w:hint="eastAsia" w:ascii="宋体" w:hAnsi="宋体" w:eastAsia="宋体" w:cs="宋体"/>
          <w:bCs/>
          <w:color w:val="auto"/>
          <w:sz w:val="24"/>
          <w:szCs w:val="24"/>
          <w:highlight w:val="none"/>
          <w:u w:val="none"/>
        </w:rPr>
        <w:t>。</w:t>
      </w:r>
    </w:p>
    <w:p w14:paraId="2572C931">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w:t>
      </w:r>
      <w:r>
        <w:rPr>
          <w:rFonts w:hint="eastAsia" w:ascii="宋体" w:hAnsi="宋体" w:cs="宋体"/>
          <w:b/>
          <w:color w:val="auto"/>
          <w:sz w:val="24"/>
          <w:szCs w:val="24"/>
          <w:highlight w:val="none"/>
          <w:lang w:val="en-US" w:eastAsia="zh-CN"/>
        </w:rPr>
        <w:t>合同款</w:t>
      </w:r>
      <w:r>
        <w:rPr>
          <w:rFonts w:hint="eastAsia" w:ascii="宋体" w:hAnsi="宋体" w:eastAsia="宋体" w:cs="宋体"/>
          <w:b/>
          <w:color w:val="auto"/>
          <w:sz w:val="24"/>
          <w:szCs w:val="24"/>
          <w:highlight w:val="none"/>
        </w:rPr>
        <w:t>支付</w:t>
      </w:r>
    </w:p>
    <w:p w14:paraId="77223904">
      <w:pPr>
        <w:pStyle w:val="28"/>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2" w:firstLineChars="200"/>
        <w:textAlignment w:val="auto"/>
        <w:rPr>
          <w:rFonts w:hint="eastAsia" w:ascii="宋体" w:hAnsi="宋体" w:eastAsia="宋体" w:cs="宋体"/>
          <w:b/>
          <w:bCs w:val="0"/>
          <w:color w:val="auto"/>
          <w:sz w:val="24"/>
          <w:szCs w:val="24"/>
          <w:highlight w:val="none"/>
          <w:u w:val="none"/>
        </w:rPr>
      </w:pPr>
      <w:r>
        <w:rPr>
          <w:rFonts w:hint="eastAsia" w:ascii="宋体" w:hAnsi="宋体" w:eastAsia="宋体" w:cs="宋体"/>
          <w:b/>
          <w:bCs w:val="0"/>
          <w:color w:val="auto"/>
          <w:sz w:val="24"/>
          <w:szCs w:val="24"/>
          <w:highlight w:val="none"/>
          <w:u w:val="none"/>
        </w:rPr>
        <w:t>合同签订后，工程开工前，预付工程款的10%；</w:t>
      </w:r>
    </w:p>
    <w:p w14:paraId="1DDC8BDA">
      <w:pPr>
        <w:pStyle w:val="28"/>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2" w:firstLineChars="200"/>
        <w:textAlignment w:val="auto"/>
        <w:rPr>
          <w:rFonts w:hint="eastAsia" w:ascii="宋体" w:hAnsi="宋体" w:eastAsia="宋体" w:cs="宋体"/>
          <w:b/>
          <w:bCs w:val="0"/>
          <w:color w:val="auto"/>
          <w:sz w:val="24"/>
          <w:szCs w:val="24"/>
          <w:highlight w:val="none"/>
          <w:u w:val="none"/>
        </w:rPr>
      </w:pPr>
      <w:r>
        <w:rPr>
          <w:rFonts w:hint="eastAsia" w:ascii="宋体" w:hAnsi="宋体" w:eastAsia="宋体" w:cs="宋体"/>
          <w:b/>
          <w:bCs w:val="0"/>
          <w:color w:val="auto"/>
          <w:sz w:val="24"/>
          <w:szCs w:val="24"/>
          <w:highlight w:val="none"/>
          <w:u w:val="none"/>
        </w:rPr>
        <w:t>当已</w:t>
      </w:r>
      <w:r>
        <w:rPr>
          <w:rFonts w:hint="eastAsia" w:hAnsi="宋体" w:cs="宋体"/>
          <w:b/>
          <w:bCs w:val="0"/>
          <w:color w:val="auto"/>
          <w:sz w:val="24"/>
          <w:szCs w:val="24"/>
          <w:highlight w:val="none"/>
          <w:u w:val="none"/>
          <w:lang w:val="en-US" w:eastAsia="zh-CN"/>
        </w:rPr>
        <w:t>完成</w:t>
      </w:r>
      <w:r>
        <w:rPr>
          <w:rFonts w:hint="eastAsia" w:ascii="宋体" w:hAnsi="宋体" w:eastAsia="宋体" w:cs="宋体"/>
          <w:b/>
          <w:bCs w:val="0"/>
          <w:color w:val="auto"/>
          <w:sz w:val="24"/>
          <w:szCs w:val="24"/>
          <w:highlight w:val="none"/>
          <w:u w:val="none"/>
        </w:rPr>
        <w:t>合格工程量达50%时，发包人付已</w:t>
      </w:r>
      <w:r>
        <w:rPr>
          <w:rFonts w:hint="eastAsia" w:hAnsi="宋体" w:cs="宋体"/>
          <w:b/>
          <w:bCs w:val="0"/>
          <w:color w:val="auto"/>
          <w:sz w:val="24"/>
          <w:szCs w:val="24"/>
          <w:highlight w:val="none"/>
          <w:u w:val="none"/>
          <w:lang w:val="en-US" w:eastAsia="zh-CN"/>
        </w:rPr>
        <w:t>完成</w:t>
      </w:r>
      <w:r>
        <w:rPr>
          <w:rFonts w:hint="eastAsia" w:ascii="宋体" w:hAnsi="宋体" w:eastAsia="宋体" w:cs="宋体"/>
          <w:b/>
          <w:bCs w:val="0"/>
          <w:color w:val="auto"/>
          <w:sz w:val="24"/>
          <w:szCs w:val="24"/>
          <w:highlight w:val="none"/>
          <w:u w:val="none"/>
        </w:rPr>
        <w:t>合格工程量价款的80%（同时扣回预付款及已支付的农民工工资）；</w:t>
      </w:r>
    </w:p>
    <w:p w14:paraId="54AFE8A9">
      <w:pPr>
        <w:pStyle w:val="28"/>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2" w:firstLineChars="200"/>
        <w:textAlignment w:val="auto"/>
        <w:rPr>
          <w:rFonts w:hint="eastAsia" w:ascii="宋体" w:hAnsi="宋体" w:eastAsia="宋体" w:cs="宋体"/>
          <w:b/>
          <w:bCs w:val="0"/>
          <w:color w:val="auto"/>
          <w:sz w:val="24"/>
          <w:szCs w:val="24"/>
          <w:highlight w:val="none"/>
          <w:u w:val="none"/>
        </w:rPr>
      </w:pPr>
      <w:r>
        <w:rPr>
          <w:rFonts w:hint="eastAsia" w:ascii="宋体" w:hAnsi="宋体" w:eastAsia="宋体" w:cs="宋体"/>
          <w:b/>
          <w:bCs w:val="0"/>
          <w:color w:val="auto"/>
          <w:sz w:val="24"/>
          <w:szCs w:val="24"/>
          <w:highlight w:val="none"/>
          <w:u w:val="none"/>
        </w:rPr>
        <w:t>工程竣工验收合格后一个月内，付至工程款的80%；</w:t>
      </w:r>
    </w:p>
    <w:p w14:paraId="347F8511">
      <w:pPr>
        <w:pStyle w:val="28"/>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2" w:firstLineChars="200"/>
        <w:textAlignment w:val="auto"/>
        <w:rPr>
          <w:rFonts w:hint="eastAsia" w:ascii="宋体" w:hAnsi="宋体" w:eastAsia="宋体" w:cs="宋体"/>
          <w:b/>
          <w:bCs w:val="0"/>
          <w:color w:val="auto"/>
          <w:sz w:val="24"/>
          <w:szCs w:val="24"/>
          <w:highlight w:val="none"/>
          <w:u w:val="none"/>
        </w:rPr>
      </w:pPr>
      <w:r>
        <w:rPr>
          <w:rFonts w:hint="eastAsia" w:ascii="宋体" w:hAnsi="宋体" w:eastAsia="宋体" w:cs="宋体"/>
          <w:b/>
          <w:bCs w:val="0"/>
          <w:color w:val="auto"/>
          <w:sz w:val="24"/>
          <w:szCs w:val="24"/>
          <w:highlight w:val="none"/>
          <w:u w:val="none"/>
        </w:rPr>
        <w:t>工程竣工验收合格满一年并经一审审计结束、出具审计结果报告后付至一审审计价的85%（如未审计付至工程款的80%）；</w:t>
      </w:r>
    </w:p>
    <w:p w14:paraId="4EAFC12C">
      <w:pPr>
        <w:pStyle w:val="28"/>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2" w:firstLineChars="200"/>
        <w:textAlignment w:val="auto"/>
        <w:rPr>
          <w:rFonts w:hint="eastAsia" w:ascii="宋体" w:hAnsi="宋体" w:eastAsia="宋体" w:cs="宋体"/>
          <w:b/>
          <w:bCs w:val="0"/>
          <w:color w:val="auto"/>
          <w:sz w:val="24"/>
          <w:szCs w:val="24"/>
          <w:highlight w:val="none"/>
          <w:u w:val="none"/>
        </w:rPr>
      </w:pPr>
      <w:r>
        <w:rPr>
          <w:rFonts w:hint="eastAsia" w:ascii="宋体" w:hAnsi="宋体" w:eastAsia="宋体" w:cs="宋体"/>
          <w:b/>
          <w:bCs w:val="0"/>
          <w:color w:val="auto"/>
          <w:sz w:val="24"/>
          <w:szCs w:val="24"/>
          <w:highlight w:val="none"/>
          <w:u w:val="none"/>
        </w:rPr>
        <w:t>工程竣工验收合格满两年后并经二审审计结束、出具审计结果报告后10日内付至二审审计价的95%；</w:t>
      </w:r>
    </w:p>
    <w:p w14:paraId="152AC10C">
      <w:pPr>
        <w:pStyle w:val="28"/>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2" w:firstLineChars="200"/>
        <w:textAlignment w:val="auto"/>
        <w:rPr>
          <w:rFonts w:hint="eastAsia" w:ascii="宋体" w:hAnsi="宋体" w:eastAsia="宋体" w:cs="宋体"/>
          <w:b/>
          <w:bCs w:val="0"/>
          <w:color w:val="auto"/>
          <w:sz w:val="24"/>
          <w:szCs w:val="24"/>
          <w:highlight w:val="none"/>
          <w:u w:val="none"/>
        </w:rPr>
      </w:pPr>
      <w:r>
        <w:rPr>
          <w:rFonts w:hint="eastAsia" w:ascii="宋体" w:hAnsi="宋体" w:eastAsia="宋体" w:cs="宋体"/>
          <w:b/>
          <w:bCs w:val="0"/>
          <w:color w:val="auto"/>
          <w:sz w:val="24"/>
          <w:szCs w:val="24"/>
          <w:highlight w:val="none"/>
          <w:u w:val="none"/>
        </w:rPr>
        <w:t>工程竣工验收合格满两年后并经二审审计结束、出具审计结果报告后30日内付至二审审计价的97%；</w:t>
      </w:r>
    </w:p>
    <w:p w14:paraId="476F587B">
      <w:pPr>
        <w:pStyle w:val="28"/>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2" w:firstLineChars="200"/>
        <w:textAlignment w:val="auto"/>
        <w:rPr>
          <w:rFonts w:hint="eastAsia" w:ascii="宋体" w:hAnsi="宋体" w:eastAsia="宋体" w:cs="宋体"/>
          <w:b/>
          <w:bCs w:val="0"/>
          <w:color w:val="auto"/>
          <w:sz w:val="24"/>
          <w:szCs w:val="24"/>
          <w:highlight w:val="none"/>
          <w:u w:val="none"/>
        </w:rPr>
      </w:pPr>
      <w:r>
        <w:rPr>
          <w:rFonts w:hint="eastAsia" w:ascii="宋体" w:hAnsi="宋体" w:eastAsia="宋体" w:cs="宋体"/>
          <w:b/>
          <w:bCs w:val="0"/>
          <w:color w:val="auto"/>
          <w:sz w:val="24"/>
          <w:szCs w:val="24"/>
          <w:highlight w:val="none"/>
          <w:u w:val="none"/>
        </w:rPr>
        <w:t>余款3%待质保期满后结清</w:t>
      </w:r>
      <w:r>
        <w:rPr>
          <w:rFonts w:hint="eastAsia" w:ascii="宋体" w:hAnsi="宋体" w:cs="宋体"/>
          <w:b/>
          <w:color w:val="auto"/>
          <w:sz w:val="24"/>
          <w:szCs w:val="24"/>
          <w:highlight w:val="none"/>
          <w:u w:val="none"/>
        </w:rPr>
        <w:t>（如乙方在投标时承诺提供质保期的，则按乙方承诺质保</w:t>
      </w:r>
      <w:r>
        <w:rPr>
          <w:rFonts w:hint="eastAsia" w:hAnsi="宋体" w:cs="宋体"/>
          <w:b/>
          <w:color w:val="auto"/>
          <w:sz w:val="24"/>
          <w:szCs w:val="24"/>
          <w:highlight w:val="none"/>
          <w:u w:val="none"/>
          <w:lang w:val="en-US" w:eastAsia="zh-CN"/>
        </w:rPr>
        <w:t>期</w:t>
      </w:r>
      <w:r>
        <w:rPr>
          <w:rFonts w:hint="eastAsia" w:ascii="宋体" w:hAnsi="宋体" w:cs="宋体"/>
          <w:b/>
          <w:color w:val="auto"/>
          <w:sz w:val="24"/>
          <w:szCs w:val="24"/>
          <w:highlight w:val="none"/>
          <w:u w:val="none"/>
        </w:rPr>
        <w:t>执行）</w:t>
      </w:r>
      <w:r>
        <w:rPr>
          <w:rFonts w:hint="eastAsia" w:ascii="宋体" w:hAnsi="宋体" w:eastAsia="宋体" w:cs="宋体"/>
          <w:b/>
          <w:bCs w:val="0"/>
          <w:color w:val="auto"/>
          <w:sz w:val="24"/>
          <w:szCs w:val="24"/>
          <w:highlight w:val="none"/>
          <w:u w:val="none"/>
        </w:rPr>
        <w:t>。</w:t>
      </w:r>
    </w:p>
    <w:p w14:paraId="5DBE45B2">
      <w:pPr>
        <w:pStyle w:val="28"/>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hAnsi="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rPr>
        <w:t>注：</w:t>
      </w:r>
      <w:r>
        <w:rPr>
          <w:rFonts w:hint="eastAsia" w:hAnsi="宋体" w:cs="宋体"/>
          <w:b w:val="0"/>
          <w:bCs/>
          <w:color w:val="auto"/>
          <w:sz w:val="24"/>
          <w:szCs w:val="24"/>
          <w:highlight w:val="none"/>
          <w:u w:val="none"/>
          <w:lang w:val="en-US" w:eastAsia="zh-CN"/>
        </w:rPr>
        <w:t>1、对于满足合同约定支付条件的，甲方应当自收到发票后10个工作日内将资金支付到合同约定的供应商账户。</w:t>
      </w:r>
    </w:p>
    <w:p w14:paraId="0973DF64">
      <w:pPr>
        <w:pStyle w:val="28"/>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b w:val="0"/>
          <w:bCs/>
          <w:color w:val="auto"/>
          <w:sz w:val="24"/>
          <w:szCs w:val="24"/>
          <w:highlight w:val="none"/>
          <w:u w:val="single"/>
          <w:lang w:eastAsia="zh-CN"/>
        </w:rPr>
      </w:pPr>
      <w:r>
        <w:rPr>
          <w:rFonts w:hint="eastAsia" w:hAnsi="宋体" w:cs="宋体"/>
          <w:b w:val="0"/>
          <w:bCs/>
          <w:color w:val="auto"/>
          <w:sz w:val="24"/>
          <w:szCs w:val="24"/>
          <w:highlight w:val="none"/>
          <w:u w:val="none"/>
          <w:lang w:val="en-US" w:eastAsia="zh-CN"/>
        </w:rPr>
        <w:t>2、</w:t>
      </w:r>
      <w:r>
        <w:rPr>
          <w:rFonts w:hint="eastAsia" w:ascii="宋体" w:hAnsi="宋体" w:eastAsia="宋体" w:cs="宋体"/>
          <w:b w:val="0"/>
          <w:bCs/>
          <w:color w:val="auto"/>
          <w:sz w:val="24"/>
          <w:szCs w:val="24"/>
          <w:highlight w:val="none"/>
          <w:u w:val="none"/>
        </w:rPr>
        <w:t>以上付款均不计任何利息和相关费用。</w:t>
      </w:r>
    </w:p>
    <w:p w14:paraId="41919F6C">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当采购数量与实际使用数量不一致时，按实际使用量乘以成交单价进行计算</w:t>
      </w:r>
      <w:r>
        <w:rPr>
          <w:rFonts w:hint="default" w:ascii="宋体" w:hAnsi="宋体" w:eastAsia="宋体" w:cs="宋体"/>
          <w:b w:val="0"/>
          <w:bCs/>
          <w:color w:val="auto"/>
          <w:sz w:val="24"/>
          <w:szCs w:val="24"/>
          <w:highlight w:val="none"/>
          <w:lang w:val="en-US"/>
        </w:rPr>
        <w:t>。如由于工程量清单有误或设计变更等非</w:t>
      </w:r>
      <w:r>
        <w:rPr>
          <w:rFonts w:hint="eastAsia" w:ascii="宋体" w:hAnsi="宋体" w:cs="宋体"/>
          <w:b w:val="0"/>
          <w:bCs/>
          <w:color w:val="auto"/>
          <w:sz w:val="24"/>
          <w:szCs w:val="24"/>
          <w:highlight w:val="none"/>
          <w:lang w:val="en-US" w:eastAsia="zh-CN"/>
        </w:rPr>
        <w:t>乙方</w:t>
      </w:r>
      <w:r>
        <w:rPr>
          <w:rFonts w:hint="default" w:ascii="宋体" w:hAnsi="宋体" w:eastAsia="宋体" w:cs="宋体"/>
          <w:b w:val="0"/>
          <w:bCs/>
          <w:color w:val="auto"/>
          <w:sz w:val="24"/>
          <w:szCs w:val="24"/>
          <w:highlight w:val="none"/>
          <w:lang w:val="en-US"/>
        </w:rPr>
        <w:t>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乙方提出增加部分的工程量或减少后剩余部分的工程量的综合单价调整意见，经甲方确认后作为结算的依据。</w:t>
      </w:r>
    </w:p>
    <w:p w14:paraId="0B6F959A">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十一、税费</w:t>
      </w:r>
    </w:p>
    <w:p w14:paraId="07A4221E">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本合同执行中相关的一切税费均由乙方负担。</w:t>
      </w:r>
    </w:p>
    <w:p w14:paraId="45548B23">
      <w:pPr>
        <w:keepNext w:val="0"/>
        <w:keepLines w:val="0"/>
        <w:pageBreakBefore w:val="0"/>
        <w:widowControl w:val="0"/>
        <w:kinsoku/>
        <w:wordWrap/>
        <w:overflowPunct/>
        <w:topLinePunct w:val="0"/>
        <w:autoSpaceDE/>
        <w:autoSpaceDN/>
        <w:bidi w:val="0"/>
        <w:adjustRightInd w:val="0"/>
        <w:snapToGrid w:val="0"/>
        <w:spacing w:line="500" w:lineRule="exact"/>
        <w:ind w:left="412" w:leftChars="0" w:right="0" w:hanging="412" w:hangingChars="171"/>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十二、质量保证及售后服务</w:t>
      </w:r>
    </w:p>
    <w:p w14:paraId="3094290B">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乙方应按</w:t>
      </w:r>
      <w:r>
        <w:rPr>
          <w:rFonts w:hint="eastAsia" w:ascii="宋体" w:hAnsi="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规定的</w:t>
      </w:r>
      <w:r>
        <w:rPr>
          <w:rFonts w:hint="eastAsia" w:ascii="宋体" w:hAnsi="宋体" w:eastAsia="宋体" w:cs="宋体"/>
          <w:color w:val="auto"/>
          <w:sz w:val="24"/>
          <w:szCs w:val="24"/>
          <w:highlight w:val="none"/>
          <w:lang w:val="en-US" w:eastAsia="zh-CN"/>
        </w:rPr>
        <w:t>技术参数要求</w:t>
      </w:r>
      <w:r>
        <w:rPr>
          <w:rFonts w:hint="eastAsia" w:ascii="宋体" w:hAnsi="宋体" w:eastAsia="宋体" w:cs="宋体"/>
          <w:color w:val="auto"/>
          <w:sz w:val="24"/>
          <w:szCs w:val="24"/>
          <w:highlight w:val="none"/>
        </w:rPr>
        <w:t>、质量标准</w:t>
      </w:r>
      <w:r>
        <w:rPr>
          <w:rFonts w:hint="eastAsia" w:ascii="宋体" w:hAnsi="宋体" w:eastAsia="宋体" w:cs="宋体"/>
          <w:color w:val="auto"/>
          <w:sz w:val="24"/>
          <w:szCs w:val="24"/>
          <w:highlight w:val="none"/>
          <w:lang w:val="en-US" w:eastAsia="zh-CN"/>
        </w:rPr>
        <w:t>进行施工</w:t>
      </w:r>
      <w:r>
        <w:rPr>
          <w:rFonts w:hint="eastAsia" w:ascii="宋体" w:hAnsi="宋体" w:eastAsia="宋体" w:cs="宋体"/>
          <w:color w:val="auto"/>
          <w:sz w:val="24"/>
          <w:szCs w:val="24"/>
          <w:highlight w:val="none"/>
        </w:rPr>
        <w:t>。</w:t>
      </w:r>
    </w:p>
    <w:p w14:paraId="5D058CE5">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如在使用过程中发生质量问题，乙方在接到甲方通知后在</w:t>
      </w:r>
      <w:r>
        <w:rPr>
          <w:rFonts w:hint="eastAsia" w:ascii="宋体" w:hAnsi="宋体" w:eastAsia="宋体" w:cs="宋体"/>
          <w:color w:val="auto"/>
          <w:sz w:val="24"/>
          <w:szCs w:val="24"/>
          <w:highlight w:val="none"/>
          <w:u w:val="single"/>
        </w:rPr>
        <w:t>24</w:t>
      </w:r>
      <w:r>
        <w:rPr>
          <w:rFonts w:hint="eastAsia" w:ascii="宋体" w:hAnsi="宋体" w:eastAsia="宋体" w:cs="宋体"/>
          <w:color w:val="auto"/>
          <w:sz w:val="24"/>
          <w:szCs w:val="24"/>
          <w:highlight w:val="none"/>
        </w:rPr>
        <w:t>小时内到达甲方现场。</w:t>
      </w:r>
    </w:p>
    <w:p w14:paraId="0DF743B1">
      <w:pPr>
        <w:pStyle w:val="28"/>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3</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在质保期内，乙方应对</w:t>
      </w:r>
      <w:r>
        <w:rPr>
          <w:rFonts w:hint="eastAsia" w:hAnsi="宋体" w:eastAsia="宋体" w:cs="宋体"/>
          <w:color w:val="auto"/>
          <w:sz w:val="24"/>
          <w:szCs w:val="24"/>
          <w:highlight w:val="none"/>
          <w:lang w:val="en-US" w:eastAsia="zh-CN"/>
        </w:rPr>
        <w:t>工程（含工程内的设备）</w:t>
      </w:r>
      <w:r>
        <w:rPr>
          <w:rFonts w:hint="eastAsia" w:ascii="宋体" w:hAnsi="宋体" w:eastAsia="宋体" w:cs="宋体"/>
          <w:color w:val="auto"/>
          <w:sz w:val="24"/>
          <w:szCs w:val="24"/>
          <w:highlight w:val="none"/>
        </w:rPr>
        <w:t>出现的质量及安全问题负责处理解决并承担一切费用。</w:t>
      </w:r>
    </w:p>
    <w:p w14:paraId="4C8A593F">
      <w:pPr>
        <w:pStyle w:val="28"/>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在质保期内，因人为因素出现的故障不在免费保修范围内。超过保修期的机器设备，终生维修，维修时只收部件成本费。</w:t>
      </w:r>
    </w:p>
    <w:p w14:paraId="341EE573">
      <w:pPr>
        <w:pStyle w:val="28"/>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6</w:t>
      </w:r>
      <w:r>
        <w:rPr>
          <w:rFonts w:hint="eastAsia" w:hAnsi="宋体" w:cs="宋体"/>
          <w:color w:val="auto"/>
          <w:sz w:val="24"/>
          <w:szCs w:val="24"/>
          <w:highlight w:val="none"/>
          <w:lang w:val="en-US" w:eastAsia="zh-CN"/>
        </w:rPr>
        <w:t>、</w:t>
      </w:r>
      <w:r>
        <w:rPr>
          <w:rFonts w:hint="eastAsia" w:ascii="宋体" w:hAnsi="宋体" w:eastAsia="宋体" w:cs="宋体"/>
          <w:color w:val="auto"/>
          <w:sz w:val="24"/>
          <w:szCs w:val="24"/>
          <w:highlight w:val="none"/>
        </w:rPr>
        <w:t>乙方</w:t>
      </w:r>
      <w:r>
        <w:rPr>
          <w:rFonts w:hint="eastAsia" w:hAnsi="宋体" w:eastAsia="宋体" w:cs="宋体"/>
          <w:color w:val="auto"/>
          <w:sz w:val="24"/>
          <w:szCs w:val="24"/>
          <w:highlight w:val="none"/>
          <w:lang w:val="en-US" w:eastAsia="zh-CN"/>
        </w:rPr>
        <w:t>用于本工程的设备在安装</w:t>
      </w:r>
      <w:r>
        <w:rPr>
          <w:rFonts w:hint="eastAsia" w:ascii="宋体" w:hAnsi="宋体" w:eastAsia="宋体" w:cs="宋体"/>
          <w:color w:val="auto"/>
          <w:sz w:val="24"/>
          <w:szCs w:val="24"/>
          <w:highlight w:val="none"/>
        </w:rPr>
        <w:t>前须提供技术参数中要求的检测</w:t>
      </w:r>
      <w:r>
        <w:rPr>
          <w:rFonts w:hint="eastAsia" w:ascii="宋体" w:hAnsi="宋体" w:eastAsia="宋体" w:cs="宋体"/>
          <w:color w:val="auto"/>
          <w:sz w:val="24"/>
          <w:szCs w:val="24"/>
          <w:highlight w:val="none"/>
          <w:lang w:val="en-US" w:eastAsia="zh-CN"/>
        </w:rPr>
        <w:t>报告</w:t>
      </w:r>
      <w:r>
        <w:rPr>
          <w:rFonts w:hint="eastAsia" w:ascii="宋体" w:hAnsi="宋体" w:eastAsia="宋体" w:cs="宋体"/>
          <w:color w:val="auto"/>
          <w:sz w:val="24"/>
          <w:szCs w:val="24"/>
          <w:highlight w:val="none"/>
        </w:rPr>
        <w:t>原件（或未经修改的彩色照片影印件）供甲方核验，若</w:t>
      </w:r>
      <w:r>
        <w:rPr>
          <w:rFonts w:hint="eastAsia" w:hAnsi="宋体" w:eastAsia="宋体" w:cs="宋体"/>
          <w:color w:val="auto"/>
          <w:sz w:val="24"/>
          <w:szCs w:val="24"/>
          <w:highlight w:val="none"/>
          <w:lang w:val="en-US" w:eastAsia="zh-CN"/>
        </w:rPr>
        <w:t>用于本工程的设备在安装</w:t>
      </w:r>
      <w:r>
        <w:rPr>
          <w:rFonts w:hint="eastAsia" w:ascii="宋体" w:hAnsi="宋体" w:eastAsia="宋体" w:cs="宋体"/>
          <w:color w:val="auto"/>
          <w:sz w:val="24"/>
          <w:szCs w:val="24"/>
          <w:highlight w:val="none"/>
        </w:rPr>
        <w:t>前不能提供下列资料或提供不全的，甲方有权根据设计及功能需求，指定生产厂家直接供货，设备费用按生产厂家供货价直接从乙方合同价款中扣除，并对乙方处以该项设备生产厂家供货价款的2倍金额的罚金。</w:t>
      </w:r>
    </w:p>
    <w:p w14:paraId="7786B1EF">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十三、调试和验收</w:t>
      </w:r>
    </w:p>
    <w:p w14:paraId="5B6D4294">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甲方对乙方提交的</w:t>
      </w:r>
      <w:r>
        <w:rPr>
          <w:rFonts w:hint="eastAsia" w:hAnsi="宋体" w:eastAsia="宋体" w:cs="宋体"/>
          <w:color w:val="auto"/>
          <w:sz w:val="24"/>
          <w:szCs w:val="24"/>
          <w:highlight w:val="none"/>
          <w:lang w:val="en-US" w:eastAsia="zh-CN"/>
        </w:rPr>
        <w:t>工程（含工程内的设备）</w:t>
      </w:r>
      <w:r>
        <w:rPr>
          <w:rFonts w:hint="eastAsia" w:ascii="宋体" w:hAnsi="宋体" w:eastAsia="宋体" w:cs="宋体"/>
          <w:color w:val="auto"/>
          <w:sz w:val="24"/>
          <w:szCs w:val="24"/>
          <w:highlight w:val="none"/>
        </w:rPr>
        <w:t>依据</w:t>
      </w:r>
      <w:r>
        <w:rPr>
          <w:rFonts w:hint="eastAsia" w:ascii="宋体" w:hAnsi="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上的技术规格要求和国家有关质量标准进行现场初步验收，符合</w:t>
      </w:r>
      <w:r>
        <w:rPr>
          <w:rFonts w:hint="eastAsia" w:ascii="宋体" w:hAnsi="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技术要求的，给予签收，初步验收不合格的可不予签收。</w:t>
      </w:r>
    </w:p>
    <w:p w14:paraId="2FBDC578">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乙方</w:t>
      </w:r>
      <w:r>
        <w:rPr>
          <w:rFonts w:hint="eastAsia" w:hAnsi="宋体" w:eastAsia="宋体" w:cs="宋体"/>
          <w:color w:val="auto"/>
          <w:sz w:val="24"/>
          <w:szCs w:val="24"/>
          <w:highlight w:val="none"/>
          <w:lang w:val="en-US" w:eastAsia="zh-CN"/>
        </w:rPr>
        <w:t>用于本工程的设备在安装</w:t>
      </w:r>
      <w:r>
        <w:rPr>
          <w:rFonts w:hint="eastAsia" w:ascii="宋体" w:hAnsi="宋体" w:eastAsia="宋体" w:cs="宋体"/>
          <w:color w:val="auto"/>
          <w:sz w:val="24"/>
          <w:szCs w:val="24"/>
          <w:highlight w:val="none"/>
        </w:rPr>
        <w:t>前应对产品作出全面检查和对验收文件进行整理，并列出清单，作为甲方验收和使用的技术条件依据。</w:t>
      </w:r>
    </w:p>
    <w:p w14:paraId="2627CFBB">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甲方对乙方提供的</w:t>
      </w:r>
      <w:r>
        <w:rPr>
          <w:rFonts w:hint="eastAsia" w:hAnsi="宋体" w:eastAsia="宋体" w:cs="宋体"/>
          <w:color w:val="auto"/>
          <w:sz w:val="24"/>
          <w:szCs w:val="24"/>
          <w:highlight w:val="none"/>
          <w:lang w:val="en-US" w:eastAsia="zh-CN"/>
        </w:rPr>
        <w:t>工程（含工程内的设备）</w:t>
      </w:r>
      <w:r>
        <w:rPr>
          <w:rFonts w:hint="eastAsia" w:ascii="宋体" w:hAnsi="宋体" w:eastAsia="宋体" w:cs="宋体"/>
          <w:color w:val="auto"/>
          <w:sz w:val="24"/>
          <w:szCs w:val="24"/>
          <w:highlight w:val="none"/>
        </w:rPr>
        <w:t>在使用前进行调试时，乙方须负责安装并培训甲方的使用操作人员，并协助甲方一起调试，直到符合技术要求，甲方才做最终验收。</w:t>
      </w:r>
    </w:p>
    <w:p w14:paraId="4584DE62">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对技术复杂的</w:t>
      </w:r>
      <w:r>
        <w:rPr>
          <w:rFonts w:hint="eastAsia" w:ascii="宋体" w:hAnsi="宋体" w:eastAsia="宋体" w:cs="宋体"/>
          <w:color w:val="auto"/>
          <w:sz w:val="24"/>
          <w:szCs w:val="24"/>
          <w:highlight w:val="none"/>
          <w:lang w:val="en-US" w:eastAsia="zh-CN"/>
        </w:rPr>
        <w:t>部分</w:t>
      </w:r>
      <w:r>
        <w:rPr>
          <w:rFonts w:hint="eastAsia" w:ascii="宋体" w:hAnsi="宋体" w:eastAsia="宋体" w:cs="宋体"/>
          <w:color w:val="auto"/>
          <w:sz w:val="24"/>
          <w:szCs w:val="24"/>
          <w:highlight w:val="none"/>
        </w:rPr>
        <w:t>，甲方可请国家认可的专业检测机构参与初步验收及最终验收，并由其出具质量检测报告。</w:t>
      </w:r>
    </w:p>
    <w:p w14:paraId="716952A5">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5、验收</w:t>
      </w:r>
    </w:p>
    <w:p w14:paraId="7AB1A573">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验收标准：生产厂家的产品（参数）说明书、产品合格证书、质保书、检测合格报告及技术资料等；中华人民共和国国家标准；其他国家或地方最新规范标准；当地技术监督管理部门要求的规范；采购文件及合同的约定；投标文件的承诺。上述规范标准如在执行时发生矛盾的，按较高标准执行。</w:t>
      </w:r>
    </w:p>
    <w:p w14:paraId="11C4C6B6">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②初步验收：全部</w:t>
      </w:r>
      <w:r>
        <w:rPr>
          <w:rFonts w:hint="eastAsia" w:ascii="宋体" w:hAnsi="宋体" w:eastAsia="宋体" w:cs="宋体"/>
          <w:color w:val="auto"/>
          <w:sz w:val="24"/>
          <w:szCs w:val="24"/>
          <w:highlight w:val="none"/>
          <w:lang w:val="en-US" w:eastAsia="zh-CN"/>
        </w:rPr>
        <w:t>产品设备</w:t>
      </w:r>
      <w:r>
        <w:rPr>
          <w:rFonts w:hint="eastAsia" w:ascii="宋体" w:hAnsi="宋体" w:eastAsia="宋体" w:cs="宋体"/>
          <w:color w:val="auto"/>
          <w:sz w:val="24"/>
          <w:szCs w:val="24"/>
          <w:highlight w:val="none"/>
        </w:rPr>
        <w:t>送达约定的安装地点安装并调试完成后,由甲方进行基本质量、数量及参数型号的验收(但不作为最终合格的保证)。该验收应达到合同和采购文件规定的要求。初步验收后货物仍由乙方负责保管。乙方对</w:t>
      </w:r>
      <w:r>
        <w:rPr>
          <w:rFonts w:hint="eastAsia" w:ascii="宋体" w:hAnsi="宋体" w:eastAsia="宋体" w:cs="宋体"/>
          <w:color w:val="auto"/>
          <w:sz w:val="24"/>
          <w:szCs w:val="24"/>
          <w:highlight w:val="none"/>
          <w:lang w:val="en-US" w:eastAsia="zh-CN"/>
        </w:rPr>
        <w:t>产品设备</w:t>
      </w:r>
      <w:r>
        <w:rPr>
          <w:rFonts w:hint="eastAsia" w:ascii="宋体" w:hAnsi="宋体" w:eastAsia="宋体" w:cs="宋体"/>
          <w:color w:val="auto"/>
          <w:sz w:val="24"/>
          <w:szCs w:val="24"/>
          <w:highlight w:val="none"/>
        </w:rPr>
        <w:t>安装调试过程，应作详细检验记录。安装调试检验结果应符合制造厂产品标准及合同、采购文件、投标文件要求。检验记录须提供给甲方。</w:t>
      </w:r>
    </w:p>
    <w:p w14:paraId="373AE3C5">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③最终正式验收：经初步验收合格后，乙方申请正式验收，甲方可邀请相关部门或组织第三方专家进行技术等全面验收，验收应符合本采购文件、投标文件及合同的要求。</w:t>
      </w:r>
    </w:p>
    <w:p w14:paraId="60E1A9A4">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textAlignment w:val="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十四</w:t>
      </w:r>
      <w:r>
        <w:rPr>
          <w:rFonts w:hint="eastAsia" w:ascii="宋体" w:hAnsi="宋体" w:eastAsia="宋体" w:cs="宋体"/>
          <w:b/>
          <w:color w:val="auto"/>
          <w:sz w:val="24"/>
          <w:szCs w:val="24"/>
          <w:highlight w:val="none"/>
        </w:rPr>
        <w:t>、违约责任</w:t>
      </w:r>
    </w:p>
    <w:p w14:paraId="52779405">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甲方无正当理由</w:t>
      </w:r>
      <w:r>
        <w:rPr>
          <w:rFonts w:hint="eastAsia" w:ascii="宋体" w:hAnsi="宋体" w:eastAsia="宋体" w:cs="宋体"/>
          <w:color w:val="auto"/>
          <w:sz w:val="24"/>
          <w:szCs w:val="24"/>
          <w:highlight w:val="none"/>
          <w:lang w:val="en-US" w:eastAsia="zh-CN"/>
        </w:rPr>
        <w:t>拒绝验收的</w:t>
      </w:r>
      <w:r>
        <w:rPr>
          <w:rFonts w:hint="eastAsia" w:ascii="宋体" w:hAnsi="宋体" w:eastAsia="宋体" w:cs="宋体"/>
          <w:color w:val="auto"/>
          <w:sz w:val="24"/>
          <w:szCs w:val="24"/>
          <w:highlight w:val="none"/>
        </w:rPr>
        <w:t>，甲方向乙方偿付</w:t>
      </w:r>
      <w:r>
        <w:rPr>
          <w:rFonts w:hint="eastAsia" w:ascii="宋体" w:hAnsi="宋体" w:eastAsia="宋体" w:cs="宋体"/>
          <w:color w:val="auto"/>
          <w:sz w:val="24"/>
          <w:szCs w:val="24"/>
          <w:highlight w:val="none"/>
          <w:lang w:val="en-US" w:eastAsia="zh-CN"/>
        </w:rPr>
        <w:t>合同金额</w:t>
      </w:r>
      <w:r>
        <w:rPr>
          <w:rFonts w:hint="eastAsia" w:ascii="宋体" w:hAnsi="宋体" w:eastAsia="宋体" w:cs="宋体"/>
          <w:color w:val="auto"/>
          <w:sz w:val="24"/>
          <w:szCs w:val="24"/>
          <w:highlight w:val="none"/>
        </w:rPr>
        <w:t>的百分之</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违约金。</w:t>
      </w:r>
    </w:p>
    <w:p w14:paraId="5F6A4DD9">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甲方无故逾期验收和办理</w:t>
      </w:r>
      <w:r>
        <w:rPr>
          <w:rFonts w:hint="eastAsia" w:ascii="宋体" w:hAnsi="宋体" w:eastAsia="宋体" w:cs="宋体"/>
          <w:color w:val="auto"/>
          <w:sz w:val="24"/>
          <w:szCs w:val="24"/>
          <w:highlight w:val="none"/>
          <w:lang w:val="en-US" w:eastAsia="zh-CN"/>
        </w:rPr>
        <w:t>合同款</w:t>
      </w:r>
      <w:r>
        <w:rPr>
          <w:rFonts w:hint="eastAsia" w:ascii="宋体" w:hAnsi="宋体" w:eastAsia="宋体" w:cs="宋体"/>
          <w:color w:val="auto"/>
          <w:sz w:val="24"/>
          <w:szCs w:val="24"/>
          <w:highlight w:val="none"/>
        </w:rPr>
        <w:t>支付手续的,甲方应按逾期付款总额每日万分之五向乙方支付违约金。</w:t>
      </w:r>
    </w:p>
    <w:p w14:paraId="13031961">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如因乙方自身施工组织问题造成工期逾期的，每逾期一天，从</w:t>
      </w:r>
      <w:r>
        <w:rPr>
          <w:rFonts w:hint="eastAsia" w:ascii="宋体" w:hAnsi="宋体" w:eastAsia="宋体" w:cs="宋体"/>
          <w:color w:val="auto"/>
          <w:sz w:val="24"/>
          <w:szCs w:val="24"/>
          <w:highlight w:val="none"/>
          <w:lang w:val="en-US" w:eastAsia="zh-CN"/>
        </w:rPr>
        <w:t>合同款</w:t>
      </w:r>
      <w:r>
        <w:rPr>
          <w:rFonts w:hint="eastAsia" w:ascii="宋体" w:hAnsi="宋体" w:eastAsia="宋体" w:cs="宋体"/>
          <w:color w:val="auto"/>
          <w:sz w:val="24"/>
          <w:szCs w:val="24"/>
          <w:highlight w:val="none"/>
        </w:rPr>
        <w:t>中扣除</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000元，逾期时间如超过七天，每逾期一天，从</w:t>
      </w:r>
      <w:r>
        <w:rPr>
          <w:rFonts w:hint="eastAsia" w:ascii="宋体" w:hAnsi="宋体" w:eastAsia="宋体" w:cs="宋体"/>
          <w:color w:val="auto"/>
          <w:sz w:val="24"/>
          <w:szCs w:val="24"/>
          <w:highlight w:val="none"/>
          <w:lang w:val="en-US" w:eastAsia="zh-CN"/>
        </w:rPr>
        <w:t>合同款</w:t>
      </w:r>
      <w:r>
        <w:rPr>
          <w:rFonts w:hint="eastAsia" w:ascii="宋体" w:hAnsi="宋体" w:eastAsia="宋体" w:cs="宋体"/>
          <w:color w:val="auto"/>
          <w:sz w:val="24"/>
          <w:szCs w:val="24"/>
          <w:highlight w:val="none"/>
        </w:rPr>
        <w:t>中扣除</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000元，如因工期逾期，造成重大影响的，甲方有权追究责任。（工期逾期处罚款项在审计时直接扣除）</w:t>
      </w:r>
    </w:p>
    <w:p w14:paraId="1F99EDCA">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乙方所交的</w:t>
      </w:r>
      <w:r>
        <w:rPr>
          <w:rFonts w:hint="eastAsia" w:ascii="宋体" w:hAnsi="宋体" w:eastAsia="宋体" w:cs="宋体"/>
          <w:color w:val="auto"/>
          <w:sz w:val="24"/>
          <w:szCs w:val="24"/>
          <w:highlight w:val="none"/>
          <w:lang w:val="en-US" w:eastAsia="zh-CN"/>
        </w:rPr>
        <w:t>产品设备</w:t>
      </w:r>
      <w:r>
        <w:rPr>
          <w:rFonts w:hint="eastAsia" w:ascii="宋体" w:hAnsi="宋体" w:eastAsia="宋体" w:cs="宋体"/>
          <w:color w:val="auto"/>
          <w:sz w:val="24"/>
          <w:szCs w:val="24"/>
          <w:highlight w:val="none"/>
        </w:rPr>
        <w:t>品种、型号、规格、技术参数、质量不符合合同规定及</w:t>
      </w:r>
      <w:r>
        <w:rPr>
          <w:rFonts w:hint="eastAsia" w:ascii="宋体" w:hAnsi="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规定标准的，甲方有权拒收，乙方愿意更换但逾期的，按乙方逾期处理，且</w:t>
      </w:r>
      <w:r>
        <w:rPr>
          <w:rFonts w:hint="eastAsia" w:ascii="宋体" w:hAnsi="宋体" w:eastAsia="宋体" w:cs="宋体"/>
          <w:color w:val="auto"/>
          <w:sz w:val="24"/>
          <w:szCs w:val="24"/>
          <w:highlight w:val="none"/>
          <w:lang w:val="en-US" w:eastAsia="zh-CN"/>
        </w:rPr>
        <w:t>产品设备</w:t>
      </w:r>
      <w:r>
        <w:rPr>
          <w:rFonts w:hint="eastAsia" w:ascii="宋体" w:hAnsi="宋体" w:eastAsia="宋体" w:cs="宋体"/>
          <w:color w:val="auto"/>
          <w:sz w:val="24"/>
          <w:szCs w:val="24"/>
          <w:highlight w:val="none"/>
        </w:rPr>
        <w:t>不得低于原</w:t>
      </w:r>
      <w:r>
        <w:rPr>
          <w:rFonts w:hint="eastAsia" w:ascii="宋体" w:hAnsi="宋体" w:eastAsia="宋体" w:cs="宋体"/>
          <w:color w:val="auto"/>
          <w:sz w:val="24"/>
          <w:szCs w:val="24"/>
          <w:highlight w:val="none"/>
          <w:lang w:val="en-US" w:eastAsia="zh-CN"/>
        </w:rPr>
        <w:t>产品设备</w:t>
      </w:r>
      <w:r>
        <w:rPr>
          <w:rFonts w:hint="eastAsia" w:ascii="宋体" w:hAnsi="宋体" w:eastAsia="宋体" w:cs="宋体"/>
          <w:color w:val="auto"/>
          <w:sz w:val="24"/>
          <w:szCs w:val="24"/>
          <w:highlight w:val="none"/>
        </w:rPr>
        <w:t>标准，价格高于原</w:t>
      </w:r>
      <w:r>
        <w:rPr>
          <w:rFonts w:hint="eastAsia" w:ascii="宋体" w:hAnsi="宋体" w:eastAsia="宋体" w:cs="宋体"/>
          <w:color w:val="auto"/>
          <w:sz w:val="24"/>
          <w:szCs w:val="24"/>
          <w:highlight w:val="none"/>
          <w:lang w:val="en-US" w:eastAsia="zh-CN"/>
        </w:rPr>
        <w:t>产品设备</w:t>
      </w:r>
      <w:r>
        <w:rPr>
          <w:rFonts w:hint="eastAsia" w:ascii="宋体" w:hAnsi="宋体" w:eastAsia="宋体" w:cs="宋体"/>
          <w:color w:val="auto"/>
          <w:sz w:val="24"/>
          <w:szCs w:val="24"/>
          <w:highlight w:val="none"/>
        </w:rPr>
        <w:t>的，价差由乙方自行承担，价格低于原</w:t>
      </w:r>
      <w:r>
        <w:rPr>
          <w:rFonts w:hint="eastAsia" w:ascii="宋体" w:hAnsi="宋体" w:eastAsia="宋体" w:cs="宋体"/>
          <w:color w:val="auto"/>
          <w:sz w:val="24"/>
          <w:szCs w:val="24"/>
          <w:highlight w:val="none"/>
          <w:lang w:val="en-US" w:eastAsia="zh-CN"/>
        </w:rPr>
        <w:t>产品设备</w:t>
      </w:r>
      <w:r>
        <w:rPr>
          <w:rFonts w:hint="eastAsia" w:ascii="宋体" w:hAnsi="宋体" w:eastAsia="宋体" w:cs="宋体"/>
          <w:color w:val="auto"/>
          <w:sz w:val="24"/>
          <w:szCs w:val="24"/>
          <w:highlight w:val="none"/>
        </w:rPr>
        <w:t>的，扣除差价。乙方拒绝更换</w:t>
      </w:r>
      <w:r>
        <w:rPr>
          <w:rFonts w:hint="eastAsia" w:ascii="宋体" w:hAnsi="宋体" w:eastAsia="宋体" w:cs="宋体"/>
          <w:color w:val="auto"/>
          <w:sz w:val="24"/>
          <w:szCs w:val="24"/>
          <w:highlight w:val="none"/>
          <w:lang w:val="en-US" w:eastAsia="zh-CN"/>
        </w:rPr>
        <w:t>产品设备</w:t>
      </w:r>
      <w:r>
        <w:rPr>
          <w:rFonts w:hint="eastAsia" w:ascii="宋体" w:hAnsi="宋体" w:eastAsia="宋体" w:cs="宋体"/>
          <w:color w:val="auto"/>
          <w:sz w:val="24"/>
          <w:szCs w:val="24"/>
          <w:highlight w:val="none"/>
        </w:rPr>
        <w:t>的，甲方有权单方解除合同且不承担任何责任，同时甲方有权要求乙方承担违约责任及由此给甲方造成的全部损失。</w:t>
      </w:r>
    </w:p>
    <w:p w14:paraId="0B631F11">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w:t>
      </w:r>
      <w:r>
        <w:rPr>
          <w:rFonts w:hint="eastAsia" w:ascii="宋体" w:hAnsi="宋体" w:cs="宋体"/>
          <w:b/>
          <w:color w:val="auto"/>
          <w:sz w:val="24"/>
          <w:szCs w:val="24"/>
          <w:highlight w:val="none"/>
          <w:lang w:val="en-US" w:eastAsia="zh-CN"/>
        </w:rPr>
        <w:t>五</w:t>
      </w:r>
      <w:r>
        <w:rPr>
          <w:rFonts w:hint="eastAsia" w:ascii="宋体" w:hAnsi="宋体" w:eastAsia="宋体" w:cs="宋体"/>
          <w:b/>
          <w:color w:val="auto"/>
          <w:sz w:val="24"/>
          <w:szCs w:val="24"/>
          <w:highlight w:val="none"/>
        </w:rPr>
        <w:t>、不可抗力事件处理</w:t>
      </w:r>
    </w:p>
    <w:p w14:paraId="4B499E2A">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在合同有效期内，任何一方因不可抗力事件导致不能履行合同，则合同履行期可延长，其延长期与不可抗力影响期相同。</w:t>
      </w:r>
    </w:p>
    <w:p w14:paraId="0F7EEA4D">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不可抗力事件发生后，应立即通知对方，并寄送有关权威机构出具的证明。</w:t>
      </w:r>
    </w:p>
    <w:p w14:paraId="016F8259">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不可抗力事件延续120天以上，双方应通过友好协商，确定是否继续履行合同。</w:t>
      </w:r>
    </w:p>
    <w:p w14:paraId="7E40A955">
      <w:pPr>
        <w:keepNext w:val="0"/>
        <w:keepLines w:val="0"/>
        <w:pageBreakBefore w:val="0"/>
        <w:widowControl w:val="0"/>
        <w:numPr>
          <w:ilvl w:val="0"/>
          <w:numId w:val="0"/>
        </w:numPr>
        <w:kinsoku/>
        <w:wordWrap/>
        <w:overflowPunct/>
        <w:topLinePunct w:val="0"/>
        <w:autoSpaceDE/>
        <w:autoSpaceDN/>
        <w:bidi w:val="0"/>
        <w:spacing w:line="500" w:lineRule="exact"/>
        <w:ind w:left="0" w:lef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lang w:val="en-US" w:eastAsia="zh-CN" w:bidi="ar-SA"/>
        </w:rPr>
        <w:t>十</w:t>
      </w:r>
      <w:r>
        <w:rPr>
          <w:rFonts w:hint="eastAsia" w:ascii="宋体" w:hAnsi="宋体" w:cs="宋体"/>
          <w:b/>
          <w:color w:val="auto"/>
          <w:kern w:val="2"/>
          <w:sz w:val="24"/>
          <w:szCs w:val="24"/>
          <w:highlight w:val="none"/>
          <w:lang w:val="en-US" w:eastAsia="zh-CN" w:bidi="ar-SA"/>
        </w:rPr>
        <w:t>六</w:t>
      </w:r>
      <w:r>
        <w:rPr>
          <w:rFonts w:hint="eastAsia" w:ascii="宋体" w:hAnsi="宋体" w:eastAsia="宋体" w:cs="宋体"/>
          <w:b/>
          <w:color w:val="auto"/>
          <w:kern w:val="2"/>
          <w:sz w:val="24"/>
          <w:szCs w:val="24"/>
          <w:highlight w:val="none"/>
          <w:lang w:val="en-US" w:eastAsia="zh-CN" w:bidi="ar-SA"/>
        </w:rPr>
        <w:t>、</w:t>
      </w:r>
      <w:r>
        <w:rPr>
          <w:rFonts w:hint="eastAsia" w:ascii="宋体" w:hAnsi="宋体" w:eastAsia="宋体" w:cs="宋体"/>
          <w:b/>
          <w:color w:val="auto"/>
          <w:sz w:val="24"/>
          <w:szCs w:val="24"/>
          <w:highlight w:val="none"/>
        </w:rPr>
        <w:t>售后服务与技术支持</w:t>
      </w:r>
    </w:p>
    <w:p w14:paraId="249A8009">
      <w:pPr>
        <w:keepNext w:val="0"/>
        <w:keepLines w:val="0"/>
        <w:pageBreakBefore w:val="0"/>
        <w:widowControl w:val="0"/>
        <w:kinsoku/>
        <w:wordWrap/>
        <w:overflowPunct/>
        <w:topLinePunct w:val="0"/>
        <w:autoSpaceDE/>
        <w:autoSpaceDN/>
        <w:bidi w:val="0"/>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1、乙方需为甲方现场免费培训技术人员，提供终身技术服务咨询。</w:t>
      </w:r>
    </w:p>
    <w:p w14:paraId="37D78C6B">
      <w:pPr>
        <w:keepNext w:val="0"/>
        <w:keepLines w:val="0"/>
        <w:pageBreakBefore w:val="0"/>
        <w:widowControl w:val="0"/>
        <w:kinsoku/>
        <w:wordWrap/>
        <w:overflowPunct/>
        <w:topLinePunct w:val="0"/>
        <w:autoSpaceDE/>
        <w:autoSpaceDN/>
        <w:bidi w:val="0"/>
        <w:snapToGrid w:val="0"/>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2、乙方须配置</w:t>
      </w:r>
      <w:r>
        <w:rPr>
          <w:rFonts w:hint="eastAsia" w:ascii="宋体" w:hAnsi="宋体" w:cs="宋体"/>
          <w:color w:val="auto"/>
          <w:sz w:val="24"/>
          <w:szCs w:val="24"/>
          <w:highlight w:val="none"/>
          <w:lang w:eastAsia="zh-CN"/>
        </w:rPr>
        <w:t>维护人员</w:t>
      </w:r>
      <w:r>
        <w:rPr>
          <w:rFonts w:hint="eastAsia" w:ascii="宋体" w:hAnsi="宋体" w:eastAsia="宋体" w:cs="宋体"/>
          <w:color w:val="auto"/>
          <w:sz w:val="24"/>
          <w:szCs w:val="24"/>
          <w:highlight w:val="none"/>
        </w:rPr>
        <w:t>每天对建设项目前端及后台运行情况进行巡查并形成材料交由甲方，如有图像中断、图像效果不达标、数据存储问题等现象，立刻安排售后人员维修。如甲方发现问题，需30分钟以内响应，120分钟内到达现场。</w:t>
      </w:r>
      <w:r>
        <w:rPr>
          <w:rFonts w:hint="eastAsia" w:ascii="宋体" w:hAnsi="宋体" w:cs="宋体"/>
          <w:color w:val="auto"/>
          <w:sz w:val="24"/>
          <w:szCs w:val="24"/>
          <w:highlight w:val="none"/>
          <w:lang w:eastAsia="zh-CN"/>
        </w:rPr>
        <w:t>维护人员</w:t>
      </w:r>
      <w:r>
        <w:rPr>
          <w:rFonts w:hint="eastAsia" w:ascii="宋体" w:hAnsi="宋体" w:eastAsia="宋体" w:cs="宋体"/>
          <w:color w:val="auto"/>
          <w:sz w:val="24"/>
          <w:szCs w:val="24"/>
          <w:highlight w:val="none"/>
        </w:rPr>
        <w:t>自接到故障报修时间起，故障修复时限为24小时。24小时不能修复的障碍需提前向甲方监管部门说明情况，双方共同商定修复时限，修复时限最长为72小时。甲方有重要活动，乙方必须按照甲方通知的时间派出技术人员在现场进行全天候服务保障。质保期满后实行终身维修服务，甲方只承担维修的成本费。</w:t>
      </w:r>
    </w:p>
    <w:p w14:paraId="2A88E0BF">
      <w:pPr>
        <w:keepNext w:val="0"/>
        <w:keepLines w:val="0"/>
        <w:pageBreakBefore w:val="0"/>
        <w:widowControl w:val="0"/>
        <w:kinsoku/>
        <w:wordWrap/>
        <w:overflowPunct/>
        <w:topLinePunct w:val="0"/>
        <w:autoSpaceDE/>
        <w:autoSpaceDN/>
        <w:bidi w:val="0"/>
        <w:snapToGrid w:val="0"/>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3、在保修期及保修范围内，乙方应对任何因设计、工艺、材料、产品质量和部件造成的货物或部件损坏，实行维修全免费上门服务。若乙方未按照约定提供售后服务，乙方需补偿甲方因此产生的费用。</w:t>
      </w:r>
    </w:p>
    <w:p w14:paraId="6400A4BC">
      <w:pPr>
        <w:keepNext w:val="0"/>
        <w:keepLines w:val="0"/>
        <w:pageBreakBefore w:val="0"/>
        <w:widowControl w:val="0"/>
        <w:kinsoku/>
        <w:wordWrap/>
        <w:overflowPunct/>
        <w:topLinePunct w:val="0"/>
        <w:autoSpaceDE/>
        <w:autoSpaceDN/>
        <w:bidi w:val="0"/>
        <w:snapToGrid w:val="0"/>
        <w:spacing w:line="500" w:lineRule="exact"/>
        <w:ind w:left="0" w:firstLine="480" w:firstLineChars="200"/>
        <w:textAlignment w:val="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eastAsia="zh-CN"/>
        </w:rPr>
        <w:t>在质保期内</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乙方须向甲方提供</w:t>
      </w:r>
      <w:r>
        <w:rPr>
          <w:rFonts w:hint="eastAsia" w:ascii="宋体" w:hAnsi="宋体" w:eastAsia="宋体" w:cs="宋体"/>
          <w:color w:val="auto"/>
          <w:sz w:val="24"/>
          <w:szCs w:val="24"/>
          <w:highlight w:val="none"/>
        </w:rPr>
        <w:t>设备厂商原厂售后服务</w:t>
      </w:r>
      <w:r>
        <w:rPr>
          <w:rFonts w:hint="eastAsia" w:ascii="宋体" w:hAnsi="宋体" w:cs="宋体"/>
          <w:color w:val="auto"/>
          <w:sz w:val="24"/>
          <w:szCs w:val="24"/>
          <w:highlight w:val="none"/>
          <w:lang w:eastAsia="zh-CN"/>
        </w:rPr>
        <w:t>。</w:t>
      </w:r>
    </w:p>
    <w:p w14:paraId="36522188">
      <w:pPr>
        <w:keepNext w:val="0"/>
        <w:keepLines w:val="0"/>
        <w:pageBreakBefore w:val="0"/>
        <w:widowControl w:val="0"/>
        <w:kinsoku/>
        <w:wordWrap/>
        <w:overflowPunct/>
        <w:topLinePunct w:val="0"/>
        <w:autoSpaceDE/>
        <w:autoSpaceDN/>
        <w:bidi w:val="0"/>
        <w:snapToGrid w:val="0"/>
        <w:spacing w:line="500" w:lineRule="exact"/>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乙方</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rPr>
        <w:t>备品、备件</w:t>
      </w:r>
      <w:r>
        <w:rPr>
          <w:rFonts w:hint="eastAsia" w:ascii="宋体" w:hAnsi="宋体" w:cs="宋体"/>
          <w:color w:val="auto"/>
          <w:sz w:val="24"/>
          <w:szCs w:val="24"/>
          <w:highlight w:val="none"/>
          <w:lang w:val="en-US" w:eastAsia="zh-CN"/>
        </w:rPr>
        <w:t>直接从设备厂商原厂</w:t>
      </w:r>
      <w:r>
        <w:rPr>
          <w:rFonts w:hint="eastAsia" w:ascii="宋体" w:hAnsi="宋体" w:eastAsia="宋体" w:cs="宋体"/>
          <w:color w:val="auto"/>
          <w:sz w:val="24"/>
          <w:szCs w:val="24"/>
          <w:highlight w:val="none"/>
        </w:rPr>
        <w:t>补充，使用当地的备品、备件始终保持在规定的范围</w:t>
      </w:r>
      <w:r>
        <w:rPr>
          <w:rFonts w:hint="eastAsia" w:ascii="宋体" w:hAnsi="宋体" w:cs="宋体"/>
          <w:color w:val="auto"/>
          <w:sz w:val="24"/>
          <w:szCs w:val="24"/>
          <w:highlight w:val="none"/>
          <w:lang w:eastAsia="zh-CN"/>
        </w:rPr>
        <w:t>。</w:t>
      </w:r>
    </w:p>
    <w:p w14:paraId="01C3E3C5">
      <w:pPr>
        <w:keepNext w:val="0"/>
        <w:keepLines w:val="0"/>
        <w:pageBreakBefore w:val="0"/>
        <w:widowControl w:val="0"/>
        <w:kinsoku/>
        <w:wordWrap/>
        <w:overflowPunct/>
        <w:topLinePunct w:val="0"/>
        <w:autoSpaceDE/>
        <w:autoSpaceDN/>
        <w:bidi w:val="0"/>
        <w:snapToGrid w:val="0"/>
        <w:spacing w:line="500" w:lineRule="exact"/>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在质保期内</w:t>
      </w:r>
      <w:r>
        <w:rPr>
          <w:rFonts w:hint="eastAsia" w:ascii="宋体" w:hAnsi="宋体" w:eastAsia="宋体" w:cs="宋体"/>
          <w:color w:val="auto"/>
          <w:sz w:val="24"/>
          <w:szCs w:val="24"/>
          <w:highlight w:val="none"/>
        </w:rPr>
        <w:t>，乙方保证定期对</w:t>
      </w:r>
      <w:r>
        <w:rPr>
          <w:rFonts w:hint="eastAsia" w:ascii="宋体" w:hAnsi="宋体" w:eastAsia="宋体" w:cs="宋体"/>
          <w:color w:val="auto"/>
          <w:sz w:val="24"/>
          <w:szCs w:val="24"/>
          <w:highlight w:val="none"/>
          <w:lang w:val="en-US" w:eastAsia="zh-CN"/>
        </w:rPr>
        <w:t>产品设备</w:t>
      </w:r>
      <w:r>
        <w:rPr>
          <w:rFonts w:hint="eastAsia" w:ascii="宋体" w:hAnsi="宋体" w:eastAsia="宋体" w:cs="宋体"/>
          <w:color w:val="auto"/>
          <w:sz w:val="24"/>
          <w:szCs w:val="24"/>
          <w:highlight w:val="none"/>
        </w:rPr>
        <w:t>进行回访维护，以保证全部</w:t>
      </w:r>
      <w:r>
        <w:rPr>
          <w:rFonts w:hint="eastAsia" w:ascii="宋体" w:hAnsi="宋体" w:eastAsia="宋体" w:cs="宋体"/>
          <w:color w:val="auto"/>
          <w:sz w:val="24"/>
          <w:szCs w:val="24"/>
          <w:highlight w:val="none"/>
          <w:lang w:val="en-US" w:eastAsia="zh-CN"/>
        </w:rPr>
        <w:t>产品设备</w:t>
      </w:r>
      <w:r>
        <w:rPr>
          <w:rFonts w:hint="eastAsia" w:ascii="宋体" w:hAnsi="宋体" w:eastAsia="宋体" w:cs="宋体"/>
          <w:color w:val="auto"/>
          <w:sz w:val="24"/>
          <w:szCs w:val="24"/>
          <w:highlight w:val="none"/>
        </w:rPr>
        <w:t>达到设计寿命</w:t>
      </w:r>
      <w:r>
        <w:rPr>
          <w:rFonts w:hint="eastAsia" w:ascii="宋体" w:hAnsi="宋体" w:cs="宋体"/>
          <w:color w:val="auto"/>
          <w:sz w:val="24"/>
          <w:szCs w:val="24"/>
          <w:highlight w:val="none"/>
          <w:lang w:eastAsia="zh-CN"/>
        </w:rPr>
        <w:t>。</w:t>
      </w:r>
    </w:p>
    <w:p w14:paraId="5A72E9AD">
      <w:pPr>
        <w:keepNext w:val="0"/>
        <w:keepLines w:val="0"/>
        <w:pageBreakBefore w:val="0"/>
        <w:widowControl w:val="0"/>
        <w:kinsoku/>
        <w:wordWrap/>
        <w:overflowPunct/>
        <w:topLinePunct w:val="0"/>
        <w:autoSpaceDE/>
        <w:autoSpaceDN/>
        <w:bidi w:val="0"/>
        <w:adjustRightInd/>
        <w:snapToGrid w:val="0"/>
        <w:spacing w:line="500" w:lineRule="exact"/>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、乙方在收到甲方的报修通知后，在合同所附服务承诺约定的时间内没有响应服务、排除故障的，甲方可采取必要的补救措施，但风险和费用由乙方承担</w:t>
      </w:r>
      <w:r>
        <w:rPr>
          <w:rFonts w:hint="eastAsia" w:ascii="宋体" w:hAnsi="宋体" w:cs="宋体"/>
          <w:color w:val="auto"/>
          <w:sz w:val="24"/>
          <w:szCs w:val="24"/>
          <w:highlight w:val="none"/>
          <w:lang w:eastAsia="zh-CN"/>
        </w:rPr>
        <w:t>。</w:t>
      </w:r>
    </w:p>
    <w:p w14:paraId="636EE425">
      <w:pPr>
        <w:keepNext w:val="0"/>
        <w:keepLines w:val="0"/>
        <w:pageBreakBefore w:val="0"/>
        <w:widowControl w:val="0"/>
        <w:kinsoku/>
        <w:wordWrap/>
        <w:overflowPunct/>
        <w:topLinePunct w:val="0"/>
        <w:autoSpaceDE/>
        <w:autoSpaceDN/>
        <w:bidi w:val="0"/>
        <w:adjustRightInd/>
        <w:snapToGrid w:val="0"/>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、在设备合理的使用期限内，乙方因任何原因而提供替换设备组件或升级设备组件进行的替换或升级，被替换或升级的设备功能性不得低于或少于原设备所应具备的功能性。</w:t>
      </w:r>
    </w:p>
    <w:p w14:paraId="7724BDCF">
      <w:pPr>
        <w:keepNext w:val="0"/>
        <w:keepLines w:val="0"/>
        <w:pageBreakBefore w:val="0"/>
        <w:widowControl w:val="0"/>
        <w:kinsoku/>
        <w:wordWrap/>
        <w:overflowPunct/>
        <w:topLinePunct w:val="0"/>
        <w:autoSpaceDE/>
        <w:autoSpaceDN/>
        <w:bidi w:val="0"/>
        <w:adjustRightInd/>
        <w:snapToGrid w:val="0"/>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、乙方的免费服务包括对维修器件供应、软件升级更新、软件修改等，维护服务不收取任何费用。</w:t>
      </w:r>
    </w:p>
    <w:p w14:paraId="04E778E6">
      <w:pPr>
        <w:keepNext w:val="0"/>
        <w:keepLines w:val="0"/>
        <w:pageBreakBefore w:val="0"/>
        <w:widowControl w:val="0"/>
        <w:kinsoku/>
        <w:wordWrap/>
        <w:overflowPunct/>
        <w:topLinePunct w:val="0"/>
        <w:autoSpaceDE/>
        <w:autoSpaceDN/>
        <w:bidi w:val="0"/>
        <w:adjustRightInd/>
        <w:spacing w:line="500" w:lineRule="exact"/>
        <w:ind w:left="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w:t>
      </w:r>
      <w:r>
        <w:rPr>
          <w:rFonts w:hint="eastAsia" w:ascii="宋体" w:hAnsi="宋体" w:cs="宋体"/>
          <w:b/>
          <w:color w:val="auto"/>
          <w:sz w:val="24"/>
          <w:szCs w:val="24"/>
          <w:highlight w:val="none"/>
          <w:lang w:val="en-US" w:eastAsia="zh-CN"/>
        </w:rPr>
        <w:t>七</w:t>
      </w:r>
      <w:r>
        <w:rPr>
          <w:rFonts w:hint="eastAsia" w:ascii="宋体" w:hAnsi="宋体" w:eastAsia="宋体" w:cs="宋体"/>
          <w:b/>
          <w:color w:val="auto"/>
          <w:sz w:val="24"/>
          <w:szCs w:val="24"/>
          <w:highlight w:val="none"/>
        </w:rPr>
        <w:t>、设备安装及培训</w:t>
      </w:r>
    </w:p>
    <w:p w14:paraId="4784DE5C">
      <w:pPr>
        <w:keepNext w:val="0"/>
        <w:keepLines w:val="0"/>
        <w:pageBreakBefore w:val="0"/>
        <w:widowControl w:val="0"/>
        <w:kinsoku/>
        <w:wordWrap/>
        <w:overflowPunct/>
        <w:topLinePunct w:val="0"/>
        <w:autoSpaceDE/>
        <w:autoSpaceDN/>
        <w:bidi w:val="0"/>
        <w:adjustRightInd/>
        <w:snapToGrid w:val="0"/>
        <w:spacing w:line="500" w:lineRule="exact"/>
        <w:ind w:left="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color w:val="auto"/>
          <w:sz w:val="24"/>
          <w:szCs w:val="24"/>
          <w:highlight w:val="none"/>
        </w:rPr>
        <w:t>设备安装</w:t>
      </w:r>
    </w:p>
    <w:p w14:paraId="3C28EFC2">
      <w:pPr>
        <w:keepNext w:val="0"/>
        <w:keepLines w:val="0"/>
        <w:pageBreakBefore w:val="0"/>
        <w:widowControl w:val="0"/>
        <w:kinsoku/>
        <w:wordWrap/>
        <w:overflowPunct/>
        <w:topLinePunct w:val="0"/>
        <w:autoSpaceDE/>
        <w:autoSpaceDN/>
        <w:bidi w:val="0"/>
        <w:adjustRightInd/>
        <w:snapToGrid w:val="0"/>
        <w:spacing w:line="500" w:lineRule="exact"/>
        <w:ind w:left="0"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拟投入本项目的现场施工安装人员应具备相应资质、取得相关证书。本次施工安装的一切费用及安全责任均由乙方承担。</w:t>
      </w:r>
    </w:p>
    <w:p w14:paraId="7D8572BA">
      <w:pPr>
        <w:keepNext w:val="0"/>
        <w:keepLines w:val="0"/>
        <w:pageBreakBefore w:val="0"/>
        <w:widowControl w:val="0"/>
        <w:kinsoku/>
        <w:wordWrap/>
        <w:overflowPunct/>
        <w:topLinePunct w:val="0"/>
        <w:autoSpaceDE/>
        <w:autoSpaceDN/>
        <w:bidi w:val="0"/>
        <w:adjustRightInd/>
        <w:snapToGrid w:val="0"/>
        <w:spacing w:line="500" w:lineRule="exact"/>
        <w:ind w:lef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2、设备安装进度报告</w:t>
      </w:r>
    </w:p>
    <w:p w14:paraId="3B679433">
      <w:pPr>
        <w:keepNext w:val="0"/>
        <w:keepLines w:val="0"/>
        <w:pageBreakBefore w:val="0"/>
        <w:widowControl w:val="0"/>
        <w:kinsoku/>
        <w:wordWrap/>
        <w:overflowPunct/>
        <w:topLinePunct w:val="0"/>
        <w:autoSpaceDE/>
        <w:autoSpaceDN/>
        <w:bidi w:val="0"/>
        <w:adjustRightInd/>
        <w:snapToGrid w:val="0"/>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在合同签署后五天内，</w:t>
      </w:r>
      <w:r>
        <w:rPr>
          <w:rFonts w:hint="eastAsia" w:ascii="宋体" w:hAnsi="宋体" w:cs="宋体"/>
          <w:color w:val="auto"/>
          <w:sz w:val="24"/>
          <w:szCs w:val="24"/>
          <w:highlight w:val="none"/>
          <w:lang w:eastAsia="zh-CN"/>
        </w:rPr>
        <w:t>乙方</w:t>
      </w:r>
      <w:r>
        <w:rPr>
          <w:rFonts w:hint="eastAsia" w:ascii="宋体" w:hAnsi="宋体" w:eastAsia="宋体" w:cs="宋体"/>
          <w:color w:val="auto"/>
          <w:sz w:val="24"/>
          <w:szCs w:val="24"/>
          <w:highlight w:val="none"/>
        </w:rPr>
        <w:t>必须将设备安装进度计划书送交</w:t>
      </w:r>
      <w:r>
        <w:rPr>
          <w:rFonts w:hint="eastAsia" w:ascii="宋体" w:hAnsi="宋体" w:cs="宋体"/>
          <w:color w:val="auto"/>
          <w:sz w:val="24"/>
          <w:szCs w:val="24"/>
          <w:highlight w:val="none"/>
          <w:lang w:eastAsia="zh-CN"/>
        </w:rPr>
        <w:t>甲方</w:t>
      </w:r>
      <w:r>
        <w:rPr>
          <w:rFonts w:hint="eastAsia" w:ascii="宋体" w:hAnsi="宋体" w:eastAsia="宋体" w:cs="宋体"/>
          <w:color w:val="auto"/>
          <w:sz w:val="24"/>
          <w:szCs w:val="24"/>
          <w:highlight w:val="none"/>
        </w:rPr>
        <w:t>批准。</w:t>
      </w:r>
      <w:r>
        <w:rPr>
          <w:rFonts w:hint="eastAsia" w:ascii="宋体" w:hAnsi="宋体" w:cs="宋体"/>
          <w:color w:val="auto"/>
          <w:sz w:val="24"/>
          <w:szCs w:val="24"/>
          <w:highlight w:val="none"/>
          <w:lang w:eastAsia="zh-CN"/>
        </w:rPr>
        <w:t>乙方</w:t>
      </w:r>
      <w:r>
        <w:rPr>
          <w:rFonts w:hint="eastAsia" w:ascii="宋体" w:hAnsi="宋体" w:eastAsia="宋体" w:cs="宋体"/>
          <w:color w:val="auto"/>
          <w:sz w:val="24"/>
          <w:szCs w:val="24"/>
          <w:highlight w:val="none"/>
        </w:rPr>
        <w:t>每隔一周，向</w:t>
      </w:r>
      <w:r>
        <w:rPr>
          <w:rFonts w:hint="eastAsia" w:ascii="宋体" w:hAnsi="宋体" w:cs="宋体"/>
          <w:color w:val="auto"/>
          <w:sz w:val="24"/>
          <w:szCs w:val="24"/>
          <w:highlight w:val="none"/>
          <w:lang w:eastAsia="zh-CN"/>
        </w:rPr>
        <w:t>甲方</w:t>
      </w:r>
      <w:r>
        <w:rPr>
          <w:rFonts w:hint="eastAsia" w:ascii="宋体" w:hAnsi="宋体" w:eastAsia="宋体" w:cs="宋体"/>
          <w:color w:val="auto"/>
          <w:sz w:val="24"/>
          <w:szCs w:val="24"/>
          <w:highlight w:val="none"/>
        </w:rPr>
        <w:t>递交详细的设备安装进度实施报告，以满足</w:t>
      </w:r>
      <w:r>
        <w:rPr>
          <w:rFonts w:hint="eastAsia" w:ascii="宋体" w:hAnsi="宋体" w:cs="宋体"/>
          <w:color w:val="auto"/>
          <w:sz w:val="24"/>
          <w:szCs w:val="24"/>
          <w:highlight w:val="none"/>
          <w:lang w:eastAsia="zh-CN"/>
        </w:rPr>
        <w:t>甲方</w:t>
      </w:r>
      <w:r>
        <w:rPr>
          <w:rFonts w:hint="eastAsia" w:ascii="宋体" w:hAnsi="宋体" w:eastAsia="宋体" w:cs="宋体"/>
          <w:color w:val="auto"/>
          <w:sz w:val="24"/>
          <w:szCs w:val="24"/>
          <w:highlight w:val="none"/>
        </w:rPr>
        <w:t>有效地审议工作进度。如安装进度延续或有可能延误，应分析原因提出改进意见和措施，以达到原计划进要求。</w:t>
      </w:r>
    </w:p>
    <w:p w14:paraId="60A823D6">
      <w:pPr>
        <w:keepNext w:val="0"/>
        <w:keepLines w:val="0"/>
        <w:pageBreakBefore w:val="0"/>
        <w:widowControl w:val="0"/>
        <w:kinsoku/>
        <w:wordWrap/>
        <w:overflowPunct/>
        <w:topLinePunct w:val="0"/>
        <w:autoSpaceDE/>
        <w:autoSpaceDN/>
        <w:bidi w:val="0"/>
        <w:adjustRightInd/>
        <w:snapToGrid w:val="0"/>
        <w:spacing w:line="500" w:lineRule="exact"/>
        <w:ind w:lef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3、安全防护</w:t>
      </w:r>
    </w:p>
    <w:p w14:paraId="27AA17D3">
      <w:pPr>
        <w:keepNext w:val="0"/>
        <w:keepLines w:val="0"/>
        <w:pageBreakBefore w:val="0"/>
        <w:widowControl w:val="0"/>
        <w:kinsoku/>
        <w:wordWrap/>
        <w:overflowPunct/>
        <w:topLinePunct w:val="0"/>
        <w:autoSpaceDE/>
        <w:autoSpaceDN/>
        <w:bidi w:val="0"/>
        <w:adjustRightInd/>
        <w:snapToGrid w:val="0"/>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在设备验收前的整个施工期间，</w:t>
      </w:r>
      <w:r>
        <w:rPr>
          <w:rFonts w:hint="eastAsia" w:ascii="宋体" w:hAnsi="宋体" w:cs="宋体"/>
          <w:color w:val="auto"/>
          <w:sz w:val="24"/>
          <w:szCs w:val="24"/>
          <w:highlight w:val="none"/>
          <w:lang w:eastAsia="zh-CN"/>
        </w:rPr>
        <w:t>乙方</w:t>
      </w:r>
      <w:r>
        <w:rPr>
          <w:rFonts w:hint="eastAsia" w:ascii="宋体" w:hAnsi="宋体" w:eastAsia="宋体" w:cs="宋体"/>
          <w:color w:val="auto"/>
          <w:sz w:val="24"/>
          <w:szCs w:val="24"/>
          <w:highlight w:val="none"/>
        </w:rPr>
        <w:t>必须制定并实施必要的措施，保证工作现场施工安全。对不符合安全规程及本合同的安全隐患事故，</w:t>
      </w:r>
      <w:r>
        <w:rPr>
          <w:rFonts w:hint="eastAsia" w:ascii="宋体" w:hAnsi="宋体" w:cs="宋体"/>
          <w:color w:val="auto"/>
          <w:sz w:val="24"/>
          <w:szCs w:val="24"/>
          <w:highlight w:val="none"/>
          <w:lang w:eastAsia="zh-CN"/>
        </w:rPr>
        <w:t>甲方</w:t>
      </w:r>
      <w:r>
        <w:rPr>
          <w:rFonts w:hint="eastAsia" w:ascii="宋体" w:hAnsi="宋体" w:eastAsia="宋体" w:cs="宋体"/>
          <w:color w:val="auto"/>
          <w:sz w:val="24"/>
          <w:szCs w:val="24"/>
          <w:highlight w:val="none"/>
        </w:rPr>
        <w:t>有权向</w:t>
      </w:r>
      <w:r>
        <w:rPr>
          <w:rFonts w:hint="eastAsia" w:ascii="宋体" w:hAnsi="宋体" w:cs="宋体"/>
          <w:color w:val="auto"/>
          <w:sz w:val="24"/>
          <w:szCs w:val="24"/>
          <w:highlight w:val="none"/>
          <w:lang w:eastAsia="zh-CN"/>
        </w:rPr>
        <w:t>乙方</w:t>
      </w:r>
      <w:r>
        <w:rPr>
          <w:rFonts w:hint="eastAsia" w:ascii="宋体" w:hAnsi="宋体" w:eastAsia="宋体" w:cs="宋体"/>
          <w:color w:val="auto"/>
          <w:sz w:val="24"/>
          <w:szCs w:val="24"/>
          <w:highlight w:val="none"/>
        </w:rPr>
        <w:t>提出干涉。</w:t>
      </w:r>
      <w:r>
        <w:rPr>
          <w:rFonts w:hint="eastAsia" w:ascii="宋体" w:hAnsi="宋体" w:cs="宋体"/>
          <w:color w:val="auto"/>
          <w:sz w:val="24"/>
          <w:szCs w:val="24"/>
          <w:highlight w:val="none"/>
          <w:lang w:eastAsia="zh-CN"/>
        </w:rPr>
        <w:t>乙方</w:t>
      </w:r>
      <w:r>
        <w:rPr>
          <w:rFonts w:hint="eastAsia" w:ascii="宋体" w:hAnsi="宋体" w:eastAsia="宋体" w:cs="宋体"/>
          <w:color w:val="auto"/>
          <w:sz w:val="24"/>
          <w:szCs w:val="24"/>
          <w:highlight w:val="none"/>
        </w:rPr>
        <w:t>应根据国家颁布的各种安全规程，结合自己的实际，制订适合本工程的安全防护规程。在工程开工前，</w:t>
      </w:r>
      <w:r>
        <w:rPr>
          <w:rFonts w:hint="eastAsia" w:ascii="宋体" w:hAnsi="宋体" w:cs="宋体"/>
          <w:color w:val="auto"/>
          <w:sz w:val="24"/>
          <w:szCs w:val="24"/>
          <w:highlight w:val="none"/>
          <w:lang w:eastAsia="zh-CN"/>
        </w:rPr>
        <w:t>乙方</w:t>
      </w:r>
      <w:r>
        <w:rPr>
          <w:rFonts w:hint="eastAsia" w:ascii="宋体" w:hAnsi="宋体" w:eastAsia="宋体" w:cs="宋体"/>
          <w:color w:val="auto"/>
          <w:sz w:val="24"/>
          <w:szCs w:val="24"/>
          <w:highlight w:val="none"/>
        </w:rPr>
        <w:t>应对有关人员进行安全作业教育，并在施工中及时解决安全作业中存在的问题。</w:t>
      </w:r>
    </w:p>
    <w:p w14:paraId="106BF48D">
      <w:pPr>
        <w:keepNext w:val="0"/>
        <w:keepLines w:val="0"/>
        <w:pageBreakBefore w:val="0"/>
        <w:widowControl w:val="0"/>
        <w:kinsoku/>
        <w:wordWrap/>
        <w:overflowPunct/>
        <w:topLinePunct w:val="0"/>
        <w:autoSpaceDE/>
        <w:autoSpaceDN/>
        <w:bidi w:val="0"/>
        <w:adjustRightInd/>
        <w:snapToGrid w:val="0"/>
        <w:spacing w:line="500" w:lineRule="exact"/>
        <w:ind w:lef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4、设备安装监督、检查、验收</w:t>
      </w:r>
    </w:p>
    <w:p w14:paraId="5FAA15DE">
      <w:pPr>
        <w:keepNext w:val="0"/>
        <w:keepLines w:val="0"/>
        <w:pageBreakBefore w:val="0"/>
        <w:widowControl w:val="0"/>
        <w:kinsoku/>
        <w:wordWrap/>
        <w:overflowPunct/>
        <w:topLinePunct w:val="0"/>
        <w:autoSpaceDE/>
        <w:autoSpaceDN/>
        <w:bidi w:val="0"/>
        <w:adjustRightInd/>
        <w:snapToGrid w:val="0"/>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乙方</w:t>
      </w:r>
      <w:r>
        <w:rPr>
          <w:rFonts w:hint="eastAsia" w:ascii="宋体" w:hAnsi="宋体" w:eastAsia="宋体" w:cs="宋体"/>
          <w:color w:val="auto"/>
          <w:sz w:val="24"/>
          <w:szCs w:val="24"/>
          <w:highlight w:val="none"/>
        </w:rPr>
        <w:t>应选派有经验的工程技术人员对施工现场的各施工环节和完工工程质量进行监督检查。</w:t>
      </w:r>
      <w:r>
        <w:rPr>
          <w:rFonts w:hint="eastAsia" w:ascii="宋体" w:hAnsi="宋体" w:cs="宋体"/>
          <w:color w:val="auto"/>
          <w:sz w:val="24"/>
          <w:szCs w:val="24"/>
          <w:highlight w:val="none"/>
          <w:lang w:eastAsia="zh-CN"/>
        </w:rPr>
        <w:t>乙方</w:t>
      </w:r>
      <w:r>
        <w:rPr>
          <w:rFonts w:hint="eastAsia" w:ascii="宋体" w:hAnsi="宋体" w:eastAsia="宋体" w:cs="宋体"/>
          <w:color w:val="auto"/>
          <w:sz w:val="24"/>
          <w:szCs w:val="24"/>
          <w:highlight w:val="none"/>
        </w:rPr>
        <w:t>的监督人员应及时向</w:t>
      </w:r>
      <w:r>
        <w:rPr>
          <w:rFonts w:hint="eastAsia" w:ascii="宋体" w:hAnsi="宋体" w:cs="宋体"/>
          <w:color w:val="auto"/>
          <w:sz w:val="24"/>
          <w:szCs w:val="24"/>
          <w:highlight w:val="none"/>
          <w:lang w:eastAsia="zh-CN"/>
        </w:rPr>
        <w:t>甲方</w:t>
      </w:r>
      <w:r>
        <w:rPr>
          <w:rFonts w:hint="eastAsia" w:ascii="宋体" w:hAnsi="宋体" w:eastAsia="宋体" w:cs="宋体"/>
          <w:color w:val="auto"/>
          <w:sz w:val="24"/>
          <w:szCs w:val="24"/>
          <w:highlight w:val="none"/>
        </w:rPr>
        <w:t>报告检查中发现的问题，并提供必要的资料。经</w:t>
      </w:r>
      <w:r>
        <w:rPr>
          <w:rFonts w:hint="eastAsia" w:ascii="宋体" w:hAnsi="宋体" w:cs="宋体"/>
          <w:color w:val="auto"/>
          <w:sz w:val="24"/>
          <w:szCs w:val="24"/>
          <w:highlight w:val="none"/>
          <w:lang w:eastAsia="zh-CN"/>
        </w:rPr>
        <w:t>甲方</w:t>
      </w:r>
      <w:r>
        <w:rPr>
          <w:rFonts w:hint="eastAsia" w:ascii="宋体" w:hAnsi="宋体" w:eastAsia="宋体" w:cs="宋体"/>
          <w:color w:val="auto"/>
          <w:sz w:val="24"/>
          <w:szCs w:val="24"/>
          <w:highlight w:val="none"/>
        </w:rPr>
        <w:t>检查认为质量不合格时，</w:t>
      </w:r>
      <w:r>
        <w:rPr>
          <w:rFonts w:hint="eastAsia" w:ascii="宋体" w:hAnsi="宋体" w:cs="宋体"/>
          <w:color w:val="auto"/>
          <w:sz w:val="24"/>
          <w:szCs w:val="24"/>
          <w:highlight w:val="none"/>
          <w:lang w:eastAsia="zh-CN"/>
        </w:rPr>
        <w:t>乙方</w:t>
      </w:r>
      <w:r>
        <w:rPr>
          <w:rFonts w:hint="eastAsia" w:ascii="宋体" w:hAnsi="宋体" w:eastAsia="宋体" w:cs="宋体"/>
          <w:color w:val="auto"/>
          <w:sz w:val="24"/>
          <w:szCs w:val="24"/>
          <w:highlight w:val="none"/>
        </w:rPr>
        <w:t>应按</w:t>
      </w:r>
      <w:r>
        <w:rPr>
          <w:rFonts w:hint="eastAsia" w:ascii="宋体" w:hAnsi="宋体" w:cs="宋体"/>
          <w:color w:val="auto"/>
          <w:sz w:val="24"/>
          <w:szCs w:val="24"/>
          <w:highlight w:val="none"/>
          <w:lang w:eastAsia="zh-CN"/>
        </w:rPr>
        <w:t>甲方</w:t>
      </w:r>
      <w:r>
        <w:rPr>
          <w:rFonts w:hint="eastAsia" w:ascii="宋体" w:hAnsi="宋体" w:eastAsia="宋体" w:cs="宋体"/>
          <w:color w:val="auto"/>
          <w:sz w:val="24"/>
          <w:szCs w:val="24"/>
          <w:highlight w:val="none"/>
        </w:rPr>
        <w:t>要求进行整修和返工，由此引起的工程延误和费用</w:t>
      </w:r>
      <w:r>
        <w:rPr>
          <w:rFonts w:hint="eastAsia" w:ascii="宋体" w:hAnsi="宋体" w:eastAsia="宋体" w:cs="宋体"/>
          <w:color w:val="auto"/>
          <w:sz w:val="24"/>
          <w:szCs w:val="24"/>
          <w:highlight w:val="none"/>
          <w:lang w:val="en-US" w:eastAsia="zh-CN"/>
        </w:rPr>
        <w:t>由乙方承担</w:t>
      </w:r>
      <w:r>
        <w:rPr>
          <w:rFonts w:hint="eastAsia" w:ascii="宋体" w:hAnsi="宋体" w:eastAsia="宋体" w:cs="宋体"/>
          <w:color w:val="auto"/>
          <w:sz w:val="24"/>
          <w:szCs w:val="24"/>
          <w:highlight w:val="none"/>
        </w:rPr>
        <w:t>。完成后，</w:t>
      </w:r>
      <w:r>
        <w:rPr>
          <w:rFonts w:hint="eastAsia" w:ascii="宋体" w:hAnsi="宋体" w:cs="宋体"/>
          <w:color w:val="auto"/>
          <w:sz w:val="24"/>
          <w:szCs w:val="24"/>
          <w:highlight w:val="none"/>
          <w:lang w:eastAsia="zh-CN"/>
        </w:rPr>
        <w:t>乙方</w:t>
      </w:r>
      <w:r>
        <w:rPr>
          <w:rFonts w:hint="eastAsia" w:ascii="宋体" w:hAnsi="宋体" w:eastAsia="宋体" w:cs="宋体"/>
          <w:color w:val="auto"/>
          <w:sz w:val="24"/>
          <w:szCs w:val="24"/>
          <w:highlight w:val="none"/>
        </w:rPr>
        <w:t>应整理全部质检资料、试验资料、竣工图纸，作为整个工程竣工验收的一部分，报</w:t>
      </w:r>
      <w:r>
        <w:rPr>
          <w:rFonts w:hint="eastAsia" w:ascii="宋体" w:hAnsi="宋体" w:cs="宋体"/>
          <w:color w:val="auto"/>
          <w:sz w:val="24"/>
          <w:szCs w:val="24"/>
          <w:highlight w:val="none"/>
          <w:lang w:eastAsia="zh-CN"/>
        </w:rPr>
        <w:t>甲方</w:t>
      </w:r>
      <w:r>
        <w:rPr>
          <w:rFonts w:hint="eastAsia" w:ascii="宋体" w:hAnsi="宋体" w:eastAsia="宋体" w:cs="宋体"/>
          <w:color w:val="auto"/>
          <w:sz w:val="24"/>
          <w:szCs w:val="24"/>
          <w:highlight w:val="none"/>
        </w:rPr>
        <w:t>验收。</w:t>
      </w:r>
    </w:p>
    <w:p w14:paraId="03EEA761">
      <w:pPr>
        <w:keepNext w:val="0"/>
        <w:keepLines w:val="0"/>
        <w:pageBreakBefore w:val="0"/>
        <w:widowControl w:val="0"/>
        <w:kinsoku/>
        <w:wordWrap/>
        <w:overflowPunct/>
        <w:topLinePunct w:val="0"/>
        <w:autoSpaceDE/>
        <w:autoSpaceDN/>
        <w:bidi w:val="0"/>
        <w:adjustRightInd/>
        <w:snapToGrid w:val="0"/>
        <w:spacing w:line="500" w:lineRule="exact"/>
        <w:ind w:left="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rPr>
        <w:t>、运维管理</w:t>
      </w:r>
    </w:p>
    <w:p w14:paraId="6FC125EE">
      <w:pPr>
        <w:keepNext w:val="0"/>
        <w:keepLines w:val="0"/>
        <w:pageBreakBefore w:val="0"/>
        <w:widowControl w:val="0"/>
        <w:kinsoku/>
        <w:wordWrap/>
        <w:overflowPunct/>
        <w:topLinePunct w:val="0"/>
        <w:autoSpaceDE/>
        <w:autoSpaceDN/>
        <w:bidi w:val="0"/>
        <w:adjustRightInd/>
        <w:snapToGrid w:val="0"/>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质保期内同一设备一年内发生2次故障而维修的，乙方须免费更换投标产品同型号的迭代产品或优于投标产品同型号的设备。</w:t>
      </w:r>
    </w:p>
    <w:p w14:paraId="47B2ABF0">
      <w:pPr>
        <w:keepNext w:val="0"/>
        <w:keepLines w:val="0"/>
        <w:pageBreakBefore w:val="0"/>
        <w:widowControl w:val="0"/>
        <w:kinsoku/>
        <w:wordWrap/>
        <w:overflowPunct/>
        <w:topLinePunct w:val="0"/>
        <w:autoSpaceDE/>
        <w:autoSpaceDN/>
        <w:bidi w:val="0"/>
        <w:adjustRightInd/>
        <w:snapToGrid w:val="0"/>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设备发生故障，乙方未按期修复或临时替换设备投入使用的，</w:t>
      </w:r>
      <w:r>
        <w:rPr>
          <w:rFonts w:hint="eastAsia" w:ascii="宋体" w:hAnsi="宋体" w:cs="宋体"/>
          <w:color w:val="auto"/>
          <w:sz w:val="24"/>
          <w:szCs w:val="24"/>
          <w:highlight w:val="none"/>
          <w:lang w:eastAsia="zh-CN"/>
        </w:rPr>
        <w:t>甲方</w:t>
      </w:r>
      <w:r>
        <w:rPr>
          <w:rFonts w:hint="eastAsia" w:ascii="宋体" w:hAnsi="宋体" w:eastAsia="宋体" w:cs="宋体"/>
          <w:color w:val="auto"/>
          <w:sz w:val="24"/>
          <w:szCs w:val="24"/>
          <w:highlight w:val="none"/>
        </w:rPr>
        <w:t>有权自行进行安排修复、临时替换或直接更换设备，所产生的一切费用由</w:t>
      </w:r>
      <w:r>
        <w:rPr>
          <w:rFonts w:hint="eastAsia" w:ascii="宋体" w:hAnsi="宋体" w:cs="宋体"/>
          <w:color w:val="auto"/>
          <w:sz w:val="24"/>
          <w:szCs w:val="24"/>
          <w:highlight w:val="none"/>
          <w:lang w:eastAsia="zh-CN"/>
        </w:rPr>
        <w:t>乙方</w:t>
      </w:r>
      <w:r>
        <w:rPr>
          <w:rFonts w:hint="eastAsia" w:ascii="宋体" w:hAnsi="宋体" w:eastAsia="宋体" w:cs="宋体"/>
          <w:color w:val="auto"/>
          <w:sz w:val="24"/>
          <w:szCs w:val="24"/>
          <w:highlight w:val="none"/>
        </w:rPr>
        <w:t>承担，并在后续付款项或质保金中扣除。</w:t>
      </w:r>
    </w:p>
    <w:p w14:paraId="1BE0E5C5">
      <w:pPr>
        <w:keepNext w:val="0"/>
        <w:keepLines w:val="0"/>
        <w:pageBreakBefore w:val="0"/>
        <w:widowControl w:val="0"/>
        <w:kinsoku/>
        <w:wordWrap/>
        <w:overflowPunct/>
        <w:topLinePunct w:val="0"/>
        <w:autoSpaceDE/>
        <w:autoSpaceDN/>
        <w:bidi w:val="0"/>
        <w:adjustRightInd/>
        <w:snapToGrid w:val="0"/>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乙方须积极开展巡查工作。如因城市更新或其他原因导致设备丢失的，由乙方承担损失。如发生本项目设备点位迁移需求的，乙方须与各方积极协调，不得影响甲方的正常使用，迁移费用由乙方自行和现场施工单位协商解决，甲方不另行支付相关费用。</w:t>
      </w:r>
    </w:p>
    <w:p w14:paraId="7B86EE03">
      <w:pPr>
        <w:keepNext w:val="0"/>
        <w:keepLines w:val="0"/>
        <w:pageBreakBefore w:val="0"/>
        <w:widowControl w:val="0"/>
        <w:kinsoku/>
        <w:wordWrap/>
        <w:overflowPunct/>
        <w:topLinePunct w:val="0"/>
        <w:autoSpaceDE/>
        <w:autoSpaceDN/>
        <w:bidi w:val="0"/>
        <w:adjustRightIn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乙方在收到点位在线维护、维修通知后，立即做出响应，并在三日内维修到位。如未按期修复，甲方则按每超出一日每个点位500元对乙方进行处罚，损坏未修复超过10日的按每超出一日每个点位1000元对乙方进行处罚（在付款时予以扣除）。</w:t>
      </w:r>
    </w:p>
    <w:p w14:paraId="4D1A70D1">
      <w:pPr>
        <w:keepNext w:val="0"/>
        <w:keepLines w:val="0"/>
        <w:pageBreakBefore w:val="0"/>
        <w:widowControl w:val="0"/>
        <w:kinsoku/>
        <w:wordWrap/>
        <w:overflowPunct/>
        <w:topLinePunct w:val="0"/>
        <w:autoSpaceDE/>
        <w:autoSpaceDN/>
        <w:bidi w:val="0"/>
        <w:adjustRightInd/>
        <w:spacing w:line="500" w:lineRule="exact"/>
        <w:ind w:left="0"/>
        <w:textAlignment w:val="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十九</w:t>
      </w:r>
      <w:r>
        <w:rPr>
          <w:rFonts w:hint="eastAsia" w:ascii="宋体" w:hAnsi="宋体" w:eastAsia="宋体" w:cs="宋体"/>
          <w:b/>
          <w:bCs/>
          <w:color w:val="auto"/>
          <w:sz w:val="24"/>
          <w:szCs w:val="24"/>
          <w:highlight w:val="none"/>
        </w:rPr>
        <w:t>、安全问题</w:t>
      </w:r>
      <w:r>
        <w:rPr>
          <w:rFonts w:hint="eastAsia" w:ascii="宋体" w:hAnsi="宋体" w:cs="宋体"/>
          <w:b/>
          <w:bCs/>
          <w:color w:val="auto"/>
          <w:sz w:val="24"/>
          <w:szCs w:val="24"/>
          <w:highlight w:val="none"/>
          <w:lang w:val="en-US" w:eastAsia="zh-CN"/>
        </w:rPr>
        <w:t>等</w:t>
      </w:r>
    </w:p>
    <w:p w14:paraId="30FB50C5">
      <w:pPr>
        <w:keepNext w:val="0"/>
        <w:keepLines w:val="0"/>
        <w:pageBreakBefore w:val="0"/>
        <w:widowControl w:val="0"/>
        <w:kinsoku/>
        <w:wordWrap/>
        <w:overflowPunct/>
        <w:topLinePunct w:val="0"/>
        <w:autoSpaceDE/>
        <w:autoSpaceDN/>
        <w:bidi w:val="0"/>
        <w:snapToGrid w:val="0"/>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乙方必须考虑</w:t>
      </w:r>
      <w:r>
        <w:rPr>
          <w:rFonts w:hint="eastAsia" w:ascii="宋体" w:hAnsi="宋体" w:eastAsia="宋体" w:cs="宋体"/>
          <w:color w:val="auto"/>
          <w:sz w:val="24"/>
          <w:szCs w:val="24"/>
          <w:highlight w:val="none"/>
          <w:lang w:val="en-US" w:eastAsia="zh-CN"/>
        </w:rPr>
        <w:t>工程施工</w:t>
      </w:r>
      <w:r>
        <w:rPr>
          <w:rFonts w:hint="eastAsia" w:ascii="宋体" w:hAnsi="宋体" w:eastAsia="宋体" w:cs="宋体"/>
          <w:color w:val="auto"/>
          <w:sz w:val="24"/>
          <w:szCs w:val="24"/>
          <w:highlight w:val="none"/>
        </w:rPr>
        <w:t>、运输、装卸过程中的安全问题。如因产品质量不合格、不坚固，以及一切自然损坏而造成的货物损坏和人身伤害事故（不包括不可抗力因素），由乙方承担全部责任。</w:t>
      </w:r>
    </w:p>
    <w:p w14:paraId="471994D8">
      <w:pPr>
        <w:keepNext w:val="0"/>
        <w:keepLines w:val="0"/>
        <w:pageBreakBefore w:val="0"/>
        <w:widowControl w:val="0"/>
        <w:kinsoku/>
        <w:wordWrap/>
        <w:overflowPunct/>
        <w:topLinePunct w:val="0"/>
        <w:autoSpaceDE/>
        <w:autoSpaceDN/>
        <w:bidi w:val="0"/>
        <w:snapToGrid w:val="0"/>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项目实施过程中一切地方矛盾由乙方自行解决。</w:t>
      </w:r>
    </w:p>
    <w:p w14:paraId="7E4D6EE8">
      <w:pPr>
        <w:keepNext w:val="0"/>
        <w:keepLines w:val="0"/>
        <w:pageBreakBefore w:val="0"/>
        <w:widowControl w:val="0"/>
        <w:kinsoku/>
        <w:wordWrap/>
        <w:overflowPunct/>
        <w:topLinePunct w:val="0"/>
        <w:autoSpaceDE/>
        <w:autoSpaceDN/>
        <w:bidi w:val="0"/>
        <w:snapToGrid w:val="0"/>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施工实施过程中一切安全责任问题由乙方自行负责。</w:t>
      </w:r>
    </w:p>
    <w:p w14:paraId="1F4F7FA7">
      <w:pPr>
        <w:keepNext w:val="0"/>
        <w:keepLines w:val="0"/>
        <w:pageBreakBefore w:val="0"/>
        <w:widowControl w:val="0"/>
        <w:kinsoku/>
        <w:wordWrap/>
        <w:overflowPunct/>
        <w:topLinePunct w:val="0"/>
        <w:autoSpaceDE/>
        <w:autoSpaceDN/>
        <w:bidi w:val="0"/>
        <w:snapToGrid w:val="0"/>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本项目实施过程中造成其他设备设施的损坏，乙方承担对其恢复原状、改造及处理其他善后事项。</w:t>
      </w:r>
    </w:p>
    <w:p w14:paraId="380B73F6">
      <w:pPr>
        <w:keepNext w:val="0"/>
        <w:keepLines w:val="0"/>
        <w:pageBreakBefore w:val="0"/>
        <w:widowControl w:val="0"/>
        <w:kinsoku/>
        <w:wordWrap/>
        <w:overflowPunct/>
        <w:topLinePunct w:val="0"/>
        <w:autoSpaceDE/>
        <w:autoSpaceDN/>
        <w:bidi w:val="0"/>
        <w:adjustRightInd/>
        <w:snapToGrid w:val="0"/>
        <w:spacing w:line="500" w:lineRule="exact"/>
        <w:ind w:left="0"/>
        <w:textAlignment w:val="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二十、</w:t>
      </w:r>
      <w:r>
        <w:rPr>
          <w:rFonts w:hint="eastAsia" w:ascii="宋体" w:hAnsi="宋体" w:cs="宋体"/>
          <w:b/>
          <w:color w:val="auto"/>
          <w:sz w:val="24"/>
          <w:szCs w:val="24"/>
          <w:highlight w:val="none"/>
          <w:lang w:val="en-US" w:eastAsia="zh-CN"/>
        </w:rPr>
        <w:t>廉政</w:t>
      </w:r>
      <w:r>
        <w:rPr>
          <w:rFonts w:hint="eastAsia" w:ascii="宋体" w:hAnsi="宋体" w:eastAsia="宋体" w:cs="宋体"/>
          <w:b/>
          <w:color w:val="auto"/>
          <w:sz w:val="24"/>
          <w:szCs w:val="24"/>
          <w:highlight w:val="none"/>
          <w:lang w:val="en-US" w:eastAsia="zh-CN"/>
        </w:rPr>
        <w:t>条款</w:t>
      </w:r>
    </w:p>
    <w:p w14:paraId="1A6453CB">
      <w:pPr>
        <w:keepNext w:val="0"/>
        <w:keepLines w:val="0"/>
        <w:pageBreakBefore w:val="0"/>
        <w:widowControl w:val="0"/>
        <w:kinsoku/>
        <w:wordWrap/>
        <w:overflowPunct w:val="0"/>
        <w:topLinePunct w:val="0"/>
        <w:autoSpaceDE/>
        <w:autoSpaceDN/>
        <w:bidi w:val="0"/>
        <w:adjustRightInd/>
        <w:snapToGrid/>
        <w:spacing w:line="500" w:lineRule="exact"/>
        <w:ind w:left="0" w:firstLine="480" w:firstLineChars="200"/>
        <w:jc w:val="both"/>
        <w:textAlignment w:val="auto"/>
        <w:rPr>
          <w:rFonts w:ascii="宋体" w:hAnsi="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eastAsia="zh-CN"/>
        </w:rPr>
        <w:t>乙方不准以任何形式向甲方、</w:t>
      </w:r>
      <w:r>
        <w:rPr>
          <w:rFonts w:hint="eastAsia" w:ascii="宋体" w:hAnsi="宋体" w:cs="宋体"/>
          <w:color w:val="auto"/>
          <w:sz w:val="24"/>
          <w:szCs w:val="24"/>
          <w:highlight w:val="none"/>
          <w:lang w:val="en-US" w:eastAsia="zh-CN"/>
        </w:rPr>
        <w:t>招标代理机构、监理单位、审计单位</w:t>
      </w:r>
      <w:r>
        <w:rPr>
          <w:rFonts w:hint="eastAsia" w:ascii="宋体" w:hAnsi="宋体" w:cs="宋体"/>
          <w:color w:val="auto"/>
          <w:sz w:val="24"/>
          <w:szCs w:val="24"/>
          <w:highlight w:val="none"/>
          <w:lang w:eastAsia="zh-CN"/>
        </w:rPr>
        <w:t>及其工作人员</w:t>
      </w:r>
      <w:r>
        <w:rPr>
          <w:rFonts w:hint="eastAsia" w:ascii="宋体" w:hAnsi="宋体" w:cs="宋体"/>
          <w:color w:val="auto"/>
          <w:sz w:val="24"/>
          <w:szCs w:val="24"/>
          <w:highlight w:val="none"/>
          <w:lang w:val="en-US" w:eastAsia="zh-CN"/>
        </w:rPr>
        <w:t>等</w:t>
      </w:r>
      <w:r>
        <w:rPr>
          <w:rFonts w:hint="eastAsia" w:ascii="宋体" w:hAnsi="宋体" w:cs="宋体"/>
          <w:color w:val="auto"/>
          <w:sz w:val="24"/>
          <w:szCs w:val="24"/>
          <w:highlight w:val="none"/>
          <w:lang w:eastAsia="zh-CN"/>
        </w:rPr>
        <w:t>馈赠现金、有价证券、支付凭证及赠送干股，或以赌博等交易形式非法赠送甲方财物。</w:t>
      </w:r>
    </w:p>
    <w:p w14:paraId="49321AF0">
      <w:pPr>
        <w:keepNext w:val="0"/>
        <w:keepLines w:val="0"/>
        <w:pageBreakBefore w:val="0"/>
        <w:widowControl w:val="0"/>
        <w:kinsoku/>
        <w:wordWrap/>
        <w:overflowPunct w:val="0"/>
        <w:topLinePunct w:val="0"/>
        <w:autoSpaceDE/>
        <w:autoSpaceDN/>
        <w:bidi w:val="0"/>
        <w:adjustRightInd/>
        <w:snapToGrid/>
        <w:spacing w:line="500" w:lineRule="exact"/>
        <w:ind w:left="0" w:firstLine="480" w:firstLineChars="200"/>
        <w:jc w:val="both"/>
        <w:textAlignment w:val="auto"/>
        <w:rPr>
          <w:rFonts w:ascii="宋体" w:hAnsi="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eastAsia="zh-CN"/>
        </w:rPr>
        <w:t>乙方不准以任何名义为甲方、</w:t>
      </w:r>
      <w:r>
        <w:rPr>
          <w:rFonts w:hint="eastAsia" w:ascii="宋体" w:hAnsi="宋体" w:cs="宋体"/>
          <w:color w:val="auto"/>
          <w:sz w:val="24"/>
          <w:szCs w:val="24"/>
          <w:highlight w:val="none"/>
          <w:lang w:val="en-US" w:eastAsia="zh-CN"/>
        </w:rPr>
        <w:t>招标代理机构、监理单位、审计单位</w:t>
      </w:r>
      <w:r>
        <w:rPr>
          <w:rFonts w:hint="eastAsia" w:ascii="宋体" w:hAnsi="宋体" w:cs="宋体"/>
          <w:color w:val="auto"/>
          <w:sz w:val="24"/>
          <w:szCs w:val="24"/>
          <w:highlight w:val="none"/>
          <w:lang w:eastAsia="zh-CN"/>
        </w:rPr>
        <w:t>及其工作人员报销应由甲方或个人支付的费用。</w:t>
      </w:r>
    </w:p>
    <w:p w14:paraId="02772B88">
      <w:pPr>
        <w:keepNext w:val="0"/>
        <w:keepLines w:val="0"/>
        <w:pageBreakBefore w:val="0"/>
        <w:widowControl w:val="0"/>
        <w:kinsoku/>
        <w:wordWrap/>
        <w:overflowPunct w:val="0"/>
        <w:topLinePunct w:val="0"/>
        <w:autoSpaceDE/>
        <w:autoSpaceDN/>
        <w:bidi w:val="0"/>
        <w:adjustRightInd/>
        <w:snapToGrid/>
        <w:spacing w:line="500" w:lineRule="exact"/>
        <w:ind w:left="0" w:firstLine="480" w:firstLineChars="200"/>
        <w:jc w:val="both"/>
        <w:textAlignment w:val="auto"/>
        <w:rPr>
          <w:rFonts w:ascii="宋体" w:hAnsi="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eastAsia="zh-CN"/>
        </w:rPr>
        <w:t>乙方不准以任何理由邀请甲方、</w:t>
      </w:r>
      <w:r>
        <w:rPr>
          <w:rFonts w:hint="eastAsia" w:ascii="宋体" w:hAnsi="宋体" w:cs="宋体"/>
          <w:color w:val="auto"/>
          <w:sz w:val="24"/>
          <w:szCs w:val="24"/>
          <w:highlight w:val="none"/>
          <w:lang w:val="en-US" w:eastAsia="zh-CN"/>
        </w:rPr>
        <w:t>招标代理机构、监理单位、审计单位</w:t>
      </w:r>
      <w:r>
        <w:rPr>
          <w:rFonts w:hint="eastAsia" w:ascii="宋体" w:hAnsi="宋体" w:cs="宋体"/>
          <w:color w:val="auto"/>
          <w:sz w:val="24"/>
          <w:szCs w:val="24"/>
          <w:highlight w:val="none"/>
          <w:lang w:eastAsia="zh-CN"/>
        </w:rPr>
        <w:t>工作人员参加对承包的服务有影响的宴请及娱乐活动；不准为其提供通讯工具、交通工具、高档办公用品等。</w:t>
      </w:r>
    </w:p>
    <w:p w14:paraId="2040D84A">
      <w:pPr>
        <w:keepNext w:val="0"/>
        <w:keepLines w:val="0"/>
        <w:pageBreakBefore w:val="0"/>
        <w:widowControl w:val="0"/>
        <w:kinsoku/>
        <w:wordWrap/>
        <w:overflowPunct w:val="0"/>
        <w:topLinePunct w:val="0"/>
        <w:autoSpaceDE/>
        <w:autoSpaceDN/>
        <w:bidi w:val="0"/>
        <w:adjustRightInd/>
        <w:snapToGrid/>
        <w:spacing w:line="500" w:lineRule="exact"/>
        <w:ind w:left="0" w:firstLine="480" w:firstLineChars="200"/>
        <w:jc w:val="both"/>
        <w:textAlignment w:val="auto"/>
        <w:rPr>
          <w:rFonts w:ascii="宋体" w:hAnsi="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cs="宋体"/>
          <w:color w:val="auto"/>
          <w:sz w:val="24"/>
          <w:szCs w:val="24"/>
          <w:highlight w:val="none"/>
          <w:lang w:eastAsia="zh-CN"/>
        </w:rPr>
        <w:t>乙方不准为甲方、</w:t>
      </w:r>
      <w:r>
        <w:rPr>
          <w:rFonts w:hint="eastAsia" w:ascii="宋体" w:hAnsi="宋体" w:cs="宋体"/>
          <w:color w:val="auto"/>
          <w:sz w:val="24"/>
          <w:szCs w:val="24"/>
          <w:highlight w:val="none"/>
          <w:lang w:val="en-US" w:eastAsia="zh-CN"/>
        </w:rPr>
        <w:t>招标代理机构、监理单位、审计单位</w:t>
      </w:r>
      <w:r>
        <w:rPr>
          <w:rFonts w:hint="eastAsia" w:ascii="宋体" w:hAnsi="宋体" w:cs="宋体"/>
          <w:color w:val="auto"/>
          <w:sz w:val="24"/>
          <w:szCs w:val="24"/>
          <w:highlight w:val="none"/>
          <w:lang w:eastAsia="zh-CN"/>
        </w:rPr>
        <w:t>及其工作人员住房装修、婚丧嫁娶、特定关系人出国（境）旅游提供方便；不准为甲方、</w:t>
      </w:r>
      <w:r>
        <w:rPr>
          <w:rFonts w:hint="eastAsia" w:ascii="宋体" w:hAnsi="宋体" w:cs="宋体"/>
          <w:color w:val="auto"/>
          <w:sz w:val="24"/>
          <w:szCs w:val="24"/>
          <w:highlight w:val="none"/>
          <w:lang w:val="en-US" w:eastAsia="zh-CN"/>
        </w:rPr>
        <w:t>招标代理机构、监理单位、审计单位</w:t>
      </w:r>
      <w:r>
        <w:rPr>
          <w:rFonts w:hint="eastAsia" w:ascii="宋体" w:hAnsi="宋体" w:cs="宋体"/>
          <w:color w:val="auto"/>
          <w:sz w:val="24"/>
          <w:szCs w:val="24"/>
          <w:highlight w:val="none"/>
          <w:lang w:eastAsia="zh-CN"/>
        </w:rPr>
        <w:t>及其工作人员的特定关系人以安排工作为名，使其不实际工作却获取薪酬。</w:t>
      </w:r>
    </w:p>
    <w:p w14:paraId="5FD0DCDE">
      <w:pPr>
        <w:keepNext w:val="0"/>
        <w:keepLines w:val="0"/>
        <w:pageBreakBefore w:val="0"/>
        <w:widowControl w:val="0"/>
        <w:kinsoku/>
        <w:wordWrap/>
        <w:overflowPunct w:val="0"/>
        <w:topLinePunct w:val="0"/>
        <w:autoSpaceDE/>
        <w:autoSpaceDN/>
        <w:bidi w:val="0"/>
        <w:adjustRightInd/>
        <w:snapToGrid/>
        <w:spacing w:line="500" w:lineRule="exact"/>
        <w:ind w:left="0" w:firstLine="480" w:firstLineChars="200"/>
        <w:jc w:val="both"/>
        <w:textAlignment w:val="auto"/>
        <w:rPr>
          <w:rFonts w:ascii="宋体" w:hAnsi="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cs="宋体"/>
          <w:color w:val="auto"/>
          <w:sz w:val="24"/>
          <w:szCs w:val="24"/>
          <w:highlight w:val="none"/>
          <w:lang w:eastAsia="zh-CN"/>
        </w:rPr>
        <w:t>乙方不准赠送甲方、</w:t>
      </w:r>
      <w:r>
        <w:rPr>
          <w:rFonts w:hint="eastAsia" w:ascii="宋体" w:hAnsi="宋体" w:cs="宋体"/>
          <w:color w:val="auto"/>
          <w:sz w:val="24"/>
          <w:szCs w:val="24"/>
          <w:highlight w:val="none"/>
          <w:lang w:val="en-US" w:eastAsia="zh-CN"/>
        </w:rPr>
        <w:t>招标代理机构、监理单位、审计单位</w:t>
      </w:r>
      <w:r>
        <w:rPr>
          <w:rFonts w:hint="eastAsia" w:ascii="宋体" w:hAnsi="宋体" w:cs="宋体"/>
          <w:color w:val="auto"/>
          <w:sz w:val="24"/>
          <w:szCs w:val="24"/>
          <w:highlight w:val="none"/>
          <w:lang w:eastAsia="zh-CN"/>
        </w:rPr>
        <w:t>及其工作人员住房、汽车等物品，不准为其以明显低于市场价购置住房或以劣换优、以借为名赠送住房。</w:t>
      </w:r>
    </w:p>
    <w:p w14:paraId="64F8DAC8">
      <w:pPr>
        <w:keepNext w:val="0"/>
        <w:keepLines w:val="0"/>
        <w:pageBreakBefore w:val="0"/>
        <w:widowControl w:val="0"/>
        <w:kinsoku/>
        <w:wordWrap/>
        <w:overflowPunct w:val="0"/>
        <w:topLinePunct w:val="0"/>
        <w:autoSpaceDE/>
        <w:autoSpaceDN/>
        <w:bidi w:val="0"/>
        <w:adjustRightInd/>
        <w:snapToGrid/>
        <w:spacing w:line="500" w:lineRule="exact"/>
        <w:ind w:left="0" w:firstLine="480" w:firstLineChars="200"/>
        <w:jc w:val="both"/>
        <w:textAlignment w:val="auto"/>
        <w:rPr>
          <w:rFonts w:ascii="宋体" w:hAnsi="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cs="宋体"/>
          <w:color w:val="auto"/>
          <w:sz w:val="24"/>
          <w:szCs w:val="24"/>
          <w:highlight w:val="none"/>
          <w:lang w:eastAsia="zh-CN"/>
        </w:rPr>
        <w:t>乙方不准违反规定将承包的服务分包或非法转包。</w:t>
      </w:r>
    </w:p>
    <w:p w14:paraId="15A1FAD1">
      <w:pPr>
        <w:keepNext w:val="0"/>
        <w:keepLines w:val="0"/>
        <w:pageBreakBefore w:val="0"/>
        <w:widowControl w:val="0"/>
        <w:kinsoku/>
        <w:wordWrap/>
        <w:overflowPunct w:val="0"/>
        <w:topLinePunct w:val="0"/>
        <w:autoSpaceDE/>
        <w:autoSpaceDN/>
        <w:bidi w:val="0"/>
        <w:adjustRightInd/>
        <w:snapToGrid/>
        <w:spacing w:line="500" w:lineRule="exact"/>
        <w:ind w:left="0" w:firstLine="480" w:firstLineChars="200"/>
        <w:jc w:val="both"/>
        <w:textAlignment w:val="auto"/>
        <w:rPr>
          <w:rFonts w:ascii="宋体" w:hAnsi="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r>
        <w:rPr>
          <w:rFonts w:hint="eastAsia" w:ascii="宋体" w:hAnsi="宋体" w:cs="宋体"/>
          <w:color w:val="auto"/>
          <w:sz w:val="24"/>
          <w:szCs w:val="24"/>
          <w:highlight w:val="none"/>
          <w:lang w:eastAsia="zh-CN"/>
        </w:rPr>
        <w:t>乙方及其工作人员不准与该工程的施工单位串通，违反工程计量、资金支付、质量验评、竣工验收等有关规定和程序，损害甲方利益，影响工程质量、进度和安全。</w:t>
      </w:r>
    </w:p>
    <w:p w14:paraId="255D1BA3">
      <w:pPr>
        <w:keepNext w:val="0"/>
        <w:keepLines w:val="0"/>
        <w:pageBreakBefore w:val="0"/>
        <w:widowControl w:val="0"/>
        <w:kinsoku/>
        <w:wordWrap/>
        <w:overflowPunct/>
        <w:topLinePunct w:val="0"/>
        <w:autoSpaceDE/>
        <w:autoSpaceDN/>
        <w:bidi w:val="0"/>
        <w:adjustRightInd/>
        <w:snapToGrid w:val="0"/>
        <w:spacing w:line="500" w:lineRule="exact"/>
        <w:ind w:left="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二十一、诉讼</w:t>
      </w:r>
    </w:p>
    <w:p w14:paraId="309969ED">
      <w:pPr>
        <w:keepNext w:val="0"/>
        <w:keepLines w:val="0"/>
        <w:pageBreakBefore w:val="0"/>
        <w:widowControl w:val="0"/>
        <w:kinsoku/>
        <w:wordWrap/>
        <w:overflowPunct/>
        <w:topLinePunct w:val="0"/>
        <w:autoSpaceDE/>
        <w:autoSpaceDN/>
        <w:bidi w:val="0"/>
        <w:adjustRightInd/>
        <w:snapToGrid w:val="0"/>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在执行合同中所发生的一切争议，应通过协商解决。如协商不成，可向合同签订地法院起诉，合同签订地在此约定为盐城市盐都区。由此引发的诉讼费、律师费、保全费、保全保险费等实际发生的全部费用均由败诉方承担。</w:t>
      </w:r>
    </w:p>
    <w:p w14:paraId="5C90B7C3">
      <w:pPr>
        <w:keepNext w:val="0"/>
        <w:keepLines w:val="0"/>
        <w:pageBreakBefore w:val="0"/>
        <w:widowControl w:val="0"/>
        <w:kinsoku/>
        <w:wordWrap/>
        <w:overflowPunct/>
        <w:topLinePunct w:val="0"/>
        <w:autoSpaceDE/>
        <w:autoSpaceDN/>
        <w:bidi w:val="0"/>
        <w:snapToGrid w:val="0"/>
        <w:spacing w:line="500" w:lineRule="exact"/>
        <w:ind w:left="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二十</w:t>
      </w: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、合同生效及其它</w:t>
      </w:r>
    </w:p>
    <w:p w14:paraId="7941B228">
      <w:pPr>
        <w:keepNext w:val="0"/>
        <w:keepLines w:val="0"/>
        <w:pageBreakBefore w:val="0"/>
        <w:widowControl w:val="0"/>
        <w:kinsoku/>
        <w:wordWrap/>
        <w:overflowPunct/>
        <w:topLinePunct w:val="0"/>
        <w:autoSpaceDE/>
        <w:autoSpaceDN/>
        <w:bidi w:val="0"/>
        <w:snapToGrid w:val="0"/>
        <w:spacing w:line="500" w:lineRule="exact"/>
        <w:ind w:left="0"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合同经双方法定代表人或授权委托代表人签字并加盖单位公章后生效。</w:t>
      </w:r>
    </w:p>
    <w:p w14:paraId="4F3FEDB6">
      <w:pPr>
        <w:keepNext w:val="0"/>
        <w:keepLines w:val="0"/>
        <w:pageBreakBefore w:val="0"/>
        <w:widowControl w:val="0"/>
        <w:kinsoku/>
        <w:wordWrap/>
        <w:overflowPunct/>
        <w:topLinePunct w:val="0"/>
        <w:autoSpaceDE/>
        <w:autoSpaceDN/>
        <w:bidi w:val="0"/>
        <w:snapToGrid w:val="0"/>
        <w:spacing w:line="500" w:lineRule="exact"/>
        <w:ind w:left="0"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本合同未尽事宜，遵照《中华人民共和国民法典》有关条文执行，也可另行签订补充协议，效力与本合同一致。</w:t>
      </w:r>
    </w:p>
    <w:p w14:paraId="0A3C260C">
      <w:pPr>
        <w:pStyle w:val="2"/>
        <w:keepNext w:val="0"/>
        <w:keepLines w:val="0"/>
        <w:pageBreakBefore w:val="0"/>
        <w:widowControl w:val="0"/>
        <w:kinsoku/>
        <w:wordWrap/>
        <w:overflowPunct/>
        <w:topLinePunct w:val="0"/>
        <w:autoSpaceDE/>
        <w:autoSpaceDN/>
        <w:bidi w:val="0"/>
        <w:spacing w:after="0" w:afterLines="0" w:line="500" w:lineRule="exact"/>
        <w:ind w:left="0" w:firstLine="480" w:firstLineChars="200"/>
        <w:textAlignment w:val="auto"/>
        <w:rPr>
          <w:rFonts w:ascii="宋体" w:hAnsi="宋体" w:eastAsia="宋体" w:cs="宋体"/>
          <w:b/>
          <w:color w:val="auto"/>
          <w:kern w:val="2"/>
          <w:sz w:val="24"/>
          <w:szCs w:val="24"/>
          <w:highlight w:val="none"/>
        </w:rPr>
      </w:pPr>
      <w:r>
        <w:rPr>
          <w:rFonts w:hint="eastAsia" w:ascii="宋体" w:hAnsi="宋体" w:eastAsia="宋体" w:cs="宋体"/>
          <w:b w:val="0"/>
          <w:bCs w:val="0"/>
          <w:color w:val="auto"/>
          <w:kern w:val="2"/>
          <w:sz w:val="24"/>
          <w:szCs w:val="24"/>
          <w:highlight w:val="none"/>
          <w:lang w:val="en-US" w:eastAsia="zh-CN"/>
        </w:rPr>
        <w:t>3、</w:t>
      </w:r>
      <w:r>
        <w:rPr>
          <w:rFonts w:hint="eastAsia" w:ascii="宋体" w:hAnsi="宋体" w:eastAsia="宋体" w:cs="宋体"/>
          <w:b w:val="0"/>
          <w:bCs w:val="0"/>
          <w:color w:val="auto"/>
          <w:kern w:val="2"/>
          <w:sz w:val="24"/>
          <w:szCs w:val="24"/>
          <w:highlight w:val="none"/>
        </w:rPr>
        <w:t>本合同正本一式陆份，具有同等法律效力，甲方、乙方各执叁份。</w:t>
      </w:r>
    </w:p>
    <w:p w14:paraId="7E1FA160">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240" w:firstLineChars="100"/>
        <w:textAlignment w:val="auto"/>
        <w:rPr>
          <w:rFonts w:hint="eastAsia" w:ascii="宋体" w:hAnsi="宋体" w:cs="Courier New"/>
          <w:color w:val="auto"/>
          <w:sz w:val="24"/>
          <w:szCs w:val="24"/>
          <w:highlight w:val="none"/>
        </w:rPr>
      </w:pPr>
    </w:p>
    <w:p w14:paraId="3999792B">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240" w:firstLineChars="100"/>
        <w:textAlignment w:val="auto"/>
        <w:rPr>
          <w:rFonts w:hint="eastAsia" w:ascii="宋体" w:hAnsi="宋体" w:cs="Courier New"/>
          <w:color w:val="auto"/>
          <w:sz w:val="24"/>
          <w:szCs w:val="24"/>
          <w:highlight w:val="none"/>
        </w:rPr>
      </w:pPr>
    </w:p>
    <w:p w14:paraId="29E74B80">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720" w:firstLineChars="300"/>
        <w:textAlignment w:val="auto"/>
        <w:rPr>
          <w:rFonts w:ascii="宋体" w:hAnsi="宋体" w:cs="Courier New"/>
          <w:color w:val="auto"/>
          <w:sz w:val="24"/>
          <w:szCs w:val="24"/>
          <w:highlight w:val="none"/>
        </w:rPr>
      </w:pPr>
      <w:r>
        <w:rPr>
          <w:rFonts w:hint="eastAsia" w:ascii="宋体" w:hAnsi="宋体" w:cs="Courier New"/>
          <w:color w:val="auto"/>
          <w:sz w:val="24"/>
          <w:szCs w:val="24"/>
          <w:highlight w:val="none"/>
        </w:rPr>
        <w:t>甲方：                                乙方：</w:t>
      </w:r>
    </w:p>
    <w:p w14:paraId="12FDAE2E">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720" w:firstLineChars="300"/>
        <w:textAlignment w:val="auto"/>
        <w:rPr>
          <w:rFonts w:ascii="宋体" w:hAnsi="宋体" w:cs="Courier New"/>
          <w:color w:val="auto"/>
          <w:sz w:val="24"/>
          <w:szCs w:val="24"/>
          <w:highlight w:val="none"/>
        </w:rPr>
      </w:pPr>
      <w:r>
        <w:rPr>
          <w:rFonts w:hint="eastAsia" w:ascii="宋体" w:hAnsi="宋体" w:cs="Courier New"/>
          <w:color w:val="auto"/>
          <w:sz w:val="24"/>
          <w:szCs w:val="24"/>
          <w:highlight w:val="none"/>
        </w:rPr>
        <w:t>地址：                                地址：</w:t>
      </w:r>
    </w:p>
    <w:p w14:paraId="2AFA0091">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720" w:firstLineChars="300"/>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法定代表人或授权代表：                法定代表人或授权代表：</w:t>
      </w:r>
    </w:p>
    <w:p w14:paraId="0BFB80B8">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720" w:firstLineChars="300"/>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联系电话：                            联系电话：</w:t>
      </w:r>
    </w:p>
    <w:p w14:paraId="5DD642C0">
      <w:pPr>
        <w:keepNext w:val="0"/>
        <w:keepLines w:val="0"/>
        <w:pageBreakBefore w:val="0"/>
        <w:widowControl w:val="0"/>
        <w:kinsoku/>
        <w:wordWrap/>
        <w:overflowPunct/>
        <w:topLinePunct w:val="0"/>
        <w:autoSpaceDE/>
        <w:autoSpaceDN/>
        <w:bidi w:val="0"/>
        <w:adjustRightInd w:val="0"/>
        <w:snapToGrid w:val="0"/>
        <w:spacing w:line="500" w:lineRule="exact"/>
        <w:ind w:left="0" w:leftChars="0" w:right="0" w:firstLine="720" w:firstLineChars="300"/>
        <w:textAlignment w:val="auto"/>
        <w:rPr>
          <w:rFonts w:ascii="宋体" w:hAnsi="宋体"/>
          <w:color w:val="auto"/>
          <w:sz w:val="24"/>
          <w:highlight w:val="none"/>
        </w:rPr>
      </w:pPr>
      <w:r>
        <w:rPr>
          <w:rFonts w:hint="eastAsia" w:ascii="宋体" w:hAnsi="宋体" w:cs="Courier New"/>
          <w:color w:val="auto"/>
          <w:sz w:val="24"/>
          <w:szCs w:val="24"/>
          <w:highlight w:val="none"/>
          <w:lang w:val="en-US" w:eastAsia="zh-CN"/>
        </w:rPr>
        <w:t>日期：                                日期：</w:t>
      </w:r>
    </w:p>
    <w:p w14:paraId="447109F1">
      <w:pPr>
        <w:spacing w:line="500" w:lineRule="exact"/>
        <w:jc w:val="center"/>
        <w:rPr>
          <w:rFonts w:ascii="宋体" w:hAnsi="宋体" w:cs="宋体"/>
          <w:b/>
          <w:bCs/>
          <w:color w:val="auto"/>
          <w:sz w:val="44"/>
          <w:szCs w:val="44"/>
          <w:highlight w:val="none"/>
        </w:rPr>
      </w:pPr>
    </w:p>
    <w:p w14:paraId="6EA1BC37">
      <w:pPr>
        <w:spacing w:line="500" w:lineRule="exact"/>
        <w:jc w:val="center"/>
        <w:rPr>
          <w:rFonts w:ascii="宋体" w:hAnsi="宋体" w:cs="宋体"/>
          <w:b/>
          <w:bCs/>
          <w:color w:val="auto"/>
          <w:sz w:val="44"/>
          <w:szCs w:val="44"/>
          <w:highlight w:val="none"/>
        </w:rPr>
      </w:pPr>
    </w:p>
    <w:p w14:paraId="684045E5">
      <w:pPr>
        <w:spacing w:line="500" w:lineRule="exact"/>
        <w:jc w:val="center"/>
        <w:rPr>
          <w:rFonts w:ascii="宋体" w:hAnsi="宋体" w:cs="宋体"/>
          <w:b/>
          <w:bCs/>
          <w:color w:val="auto"/>
          <w:sz w:val="44"/>
          <w:szCs w:val="44"/>
          <w:highlight w:val="none"/>
        </w:rPr>
      </w:pPr>
    </w:p>
    <w:p w14:paraId="56A7211A">
      <w:pPr>
        <w:spacing w:line="500" w:lineRule="exact"/>
        <w:jc w:val="center"/>
        <w:rPr>
          <w:rFonts w:ascii="宋体" w:hAnsi="宋体" w:cs="宋体"/>
          <w:b/>
          <w:bCs/>
          <w:color w:val="auto"/>
          <w:sz w:val="44"/>
          <w:szCs w:val="44"/>
          <w:highlight w:val="none"/>
        </w:rPr>
      </w:pPr>
    </w:p>
    <w:p w14:paraId="005CC68B">
      <w:pPr>
        <w:spacing w:line="500" w:lineRule="exact"/>
        <w:jc w:val="center"/>
        <w:rPr>
          <w:rFonts w:ascii="宋体" w:hAnsi="宋体" w:cs="宋体"/>
          <w:b/>
          <w:bCs/>
          <w:color w:val="auto"/>
          <w:sz w:val="44"/>
          <w:szCs w:val="44"/>
          <w:highlight w:val="none"/>
        </w:rPr>
      </w:pPr>
    </w:p>
    <w:p w14:paraId="1B5E5E55">
      <w:pPr>
        <w:spacing w:line="500" w:lineRule="exact"/>
        <w:jc w:val="center"/>
        <w:rPr>
          <w:rFonts w:ascii="宋体" w:hAnsi="宋体" w:cs="宋体"/>
          <w:b/>
          <w:bCs/>
          <w:color w:val="auto"/>
          <w:sz w:val="44"/>
          <w:szCs w:val="44"/>
          <w:highlight w:val="none"/>
        </w:rPr>
      </w:pPr>
    </w:p>
    <w:p w14:paraId="06DA07C9">
      <w:pPr>
        <w:spacing w:line="500" w:lineRule="exact"/>
        <w:jc w:val="center"/>
        <w:rPr>
          <w:rFonts w:ascii="宋体" w:hAnsi="宋体" w:cs="宋体"/>
          <w:b/>
          <w:bCs/>
          <w:color w:val="auto"/>
          <w:sz w:val="44"/>
          <w:szCs w:val="44"/>
          <w:highlight w:val="none"/>
        </w:rPr>
      </w:pPr>
    </w:p>
    <w:p w14:paraId="6F1A52F3">
      <w:pPr>
        <w:spacing w:line="500" w:lineRule="exact"/>
        <w:jc w:val="center"/>
        <w:rPr>
          <w:rFonts w:ascii="宋体" w:hAnsi="宋体" w:cs="宋体"/>
          <w:b/>
          <w:bCs/>
          <w:color w:val="auto"/>
          <w:sz w:val="44"/>
          <w:szCs w:val="44"/>
          <w:highlight w:val="none"/>
        </w:rPr>
      </w:pPr>
    </w:p>
    <w:p w14:paraId="60B14C43">
      <w:pPr>
        <w:pStyle w:val="51"/>
        <w:rPr>
          <w:rFonts w:hint="eastAsia"/>
          <w:color w:val="auto"/>
          <w:sz w:val="36"/>
          <w:szCs w:val="36"/>
          <w:highlight w:val="none"/>
        </w:rPr>
        <w:sectPr>
          <w:pgSz w:w="11906" w:h="16838"/>
          <w:pgMar w:top="1440" w:right="1080" w:bottom="1440" w:left="1080" w:header="851" w:footer="907" w:gutter="0"/>
          <w:pgBorders>
            <w:top w:val="none" w:sz="0" w:space="0"/>
            <w:left w:val="none" w:sz="0" w:space="0"/>
            <w:bottom w:val="none" w:sz="0" w:space="0"/>
            <w:right w:val="none" w:sz="0" w:space="0"/>
          </w:pgBorders>
          <w:pgNumType w:fmt="decimal"/>
          <w:cols w:space="720" w:num="1"/>
          <w:docGrid w:linePitch="360" w:charSpace="0"/>
        </w:sectPr>
      </w:pPr>
      <w:bookmarkStart w:id="183" w:name="_Toc203032703"/>
    </w:p>
    <w:p w14:paraId="2058689C">
      <w:pPr>
        <w:pStyle w:val="51"/>
        <w:jc w:val="center"/>
        <w:rPr>
          <w:color w:val="auto"/>
          <w:sz w:val="36"/>
          <w:szCs w:val="36"/>
          <w:highlight w:val="none"/>
        </w:rPr>
      </w:pPr>
      <w:r>
        <w:rPr>
          <w:rFonts w:hint="eastAsia"/>
          <w:color w:val="auto"/>
          <w:sz w:val="36"/>
          <w:szCs w:val="36"/>
          <w:highlight w:val="none"/>
        </w:rPr>
        <w:t>第四章  项目需求</w:t>
      </w:r>
      <w:bookmarkEnd w:id="183"/>
    </w:p>
    <w:p w14:paraId="5A271E82">
      <w:pPr>
        <w:spacing w:line="440" w:lineRule="exact"/>
        <w:rPr>
          <w:rFonts w:ascii="宋体" w:hAnsi="宋体" w:cs="宋体"/>
          <w:bCs/>
          <w:color w:val="auto"/>
          <w:sz w:val="24"/>
          <w:highlight w:val="none"/>
        </w:rPr>
      </w:pPr>
    </w:p>
    <w:p w14:paraId="1D51DE09">
      <w:pPr>
        <w:pStyle w:val="366"/>
        <w:keepNext w:val="0"/>
        <w:keepLines w:val="0"/>
        <w:pageBreakBefore w:val="0"/>
        <w:kinsoku/>
        <w:wordWrap/>
        <w:overflowPunct/>
        <w:topLinePunct w:val="0"/>
        <w:autoSpaceDE/>
        <w:autoSpaceDN/>
        <w:bidi w:val="0"/>
        <w:adjustRightInd/>
        <w:snapToGrid/>
        <w:spacing w:line="500" w:lineRule="exact"/>
        <w:ind w:firstLine="482"/>
        <w:textAlignment w:val="auto"/>
        <w:rPr>
          <w:rFonts w:ascii="宋体" w:hAnsi="宋体" w:cs="宋体"/>
          <w:b/>
          <w:color w:val="auto"/>
          <w:sz w:val="24"/>
          <w:szCs w:val="24"/>
          <w:highlight w:val="none"/>
        </w:rPr>
      </w:pPr>
      <w:bookmarkStart w:id="184" w:name="_Toc300834969"/>
      <w:bookmarkStart w:id="185" w:name="_Toc144974516"/>
      <w:bookmarkStart w:id="186" w:name="_Toc152045548"/>
      <w:bookmarkStart w:id="187" w:name="_Toc152042324"/>
      <w:bookmarkStart w:id="188" w:name="_Toc247513972"/>
      <w:bookmarkStart w:id="189" w:name="_Toc247527573"/>
      <w:r>
        <w:rPr>
          <w:rFonts w:hint="eastAsia" w:ascii="宋体" w:hAnsi="宋体" w:cs="宋体"/>
          <w:b/>
          <w:color w:val="auto"/>
          <w:sz w:val="24"/>
          <w:szCs w:val="24"/>
          <w:highlight w:val="none"/>
        </w:rPr>
        <w:t>一、标的内容</w:t>
      </w:r>
    </w:p>
    <w:p w14:paraId="2CA4ED84">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1、项目名称：</w:t>
      </w:r>
      <w:r>
        <w:rPr>
          <w:rFonts w:hint="eastAsia" w:ascii="宋体" w:hAnsi="宋体" w:cs="宋体"/>
          <w:color w:val="auto"/>
          <w:sz w:val="24"/>
          <w:highlight w:val="none"/>
          <w:lang w:eastAsia="zh-CN"/>
        </w:rPr>
        <w:t>盐城市公安局盐都分局国省道科技提升项目</w:t>
      </w:r>
    </w:p>
    <w:p w14:paraId="21692F4B">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2、建设地点：</w:t>
      </w:r>
      <w:r>
        <w:rPr>
          <w:rFonts w:hint="eastAsia" w:ascii="宋体" w:hAnsi="宋体" w:cs="宋体"/>
          <w:color w:val="auto"/>
          <w:sz w:val="24"/>
          <w:highlight w:val="none"/>
          <w:lang w:val="en-US" w:eastAsia="zh-CN"/>
        </w:rPr>
        <w:t>盐都区境内</w:t>
      </w:r>
    </w:p>
    <w:p w14:paraId="42BEC4BA">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3、合同履行期限（工期）：合同签订后</w:t>
      </w:r>
      <w:r>
        <w:rPr>
          <w:rFonts w:hint="eastAsia" w:ascii="宋体" w:hAnsi="宋体" w:cs="宋体"/>
          <w:color w:val="auto"/>
          <w:sz w:val="24"/>
          <w:highlight w:val="none"/>
          <w:lang w:val="en-US" w:eastAsia="zh-CN"/>
        </w:rPr>
        <w:t>60</w:t>
      </w:r>
      <w:r>
        <w:rPr>
          <w:rFonts w:hint="eastAsia" w:ascii="宋体" w:hAnsi="宋体" w:cs="宋体"/>
          <w:color w:val="auto"/>
          <w:sz w:val="24"/>
          <w:highlight w:val="none"/>
          <w:lang w:eastAsia="zh-CN"/>
        </w:rPr>
        <w:t>日历天</w:t>
      </w:r>
      <w:r>
        <w:rPr>
          <w:rFonts w:hint="eastAsia" w:ascii="宋体" w:hAnsi="宋体" w:cs="宋体"/>
          <w:color w:val="auto"/>
          <w:sz w:val="24"/>
          <w:highlight w:val="none"/>
        </w:rPr>
        <w:t>内必须完成项目安装、调试，验收合格后交付采购人使用。</w:t>
      </w:r>
    </w:p>
    <w:p w14:paraId="7F35A2C8">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4、质量标准：工程质量符合国家及地方相关验收规范的“合格”标准，并符合</w:t>
      </w:r>
      <w:r>
        <w:rPr>
          <w:rFonts w:hint="eastAsia" w:ascii="宋体" w:hAnsi="宋体" w:cs="宋体"/>
          <w:color w:val="auto"/>
          <w:sz w:val="24"/>
          <w:highlight w:val="none"/>
          <w:lang w:val="en-US" w:eastAsia="zh-CN"/>
        </w:rPr>
        <w:t>采购人</w:t>
      </w:r>
      <w:r>
        <w:rPr>
          <w:rFonts w:hint="eastAsia" w:ascii="宋体" w:hAnsi="宋体" w:cs="宋体"/>
          <w:color w:val="auto"/>
          <w:sz w:val="24"/>
          <w:highlight w:val="none"/>
        </w:rPr>
        <w:t>提出的具体质量要求。</w:t>
      </w:r>
    </w:p>
    <w:p w14:paraId="4D8ADD7E">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5、质保期：3年</w:t>
      </w:r>
    </w:p>
    <w:p w14:paraId="08C1A93A">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6、质量标准：国家合格标准</w:t>
      </w:r>
    </w:p>
    <w:p w14:paraId="67E23365">
      <w:pPr>
        <w:keepNext w:val="0"/>
        <w:keepLines w:val="0"/>
        <w:pageBreakBefore w:val="0"/>
        <w:kinsoku/>
        <w:wordWrap/>
        <w:overflowPunct/>
        <w:topLinePunct w:val="0"/>
        <w:autoSpaceDE/>
        <w:autoSpaceDN/>
        <w:bidi w:val="0"/>
        <w:adjustRightInd/>
        <w:snapToGrid/>
        <w:spacing w:line="500" w:lineRule="exact"/>
        <w:ind w:firstLine="480"/>
        <w:textAlignment w:val="auto"/>
        <w:rPr>
          <w:rFonts w:hint="default"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、发包范围：详见采购人提供的工程量清单及图纸，采购人保留对上述采购范围进行调整的权利。</w:t>
      </w:r>
    </w:p>
    <w:p w14:paraId="59C74CF9">
      <w:pPr>
        <w:pStyle w:val="366"/>
        <w:keepNext w:val="0"/>
        <w:keepLines w:val="0"/>
        <w:pageBreakBefore w:val="0"/>
        <w:kinsoku/>
        <w:wordWrap/>
        <w:overflowPunct/>
        <w:topLinePunct w:val="0"/>
        <w:autoSpaceDE/>
        <w:autoSpaceDN/>
        <w:bidi w:val="0"/>
        <w:adjustRightInd/>
        <w:snapToGrid/>
        <w:spacing w:line="500" w:lineRule="exact"/>
        <w:ind w:firstLine="482"/>
        <w:textAlignment w:val="auto"/>
        <w:rPr>
          <w:rFonts w:ascii="宋体" w:hAnsi="宋体" w:cs="宋体"/>
          <w:b/>
          <w:color w:val="auto"/>
          <w:sz w:val="24"/>
          <w:szCs w:val="24"/>
          <w:highlight w:val="none"/>
        </w:rPr>
      </w:pPr>
      <w:r>
        <w:rPr>
          <w:rFonts w:hint="eastAsia" w:ascii="宋体" w:hAnsi="宋体" w:cs="宋体"/>
          <w:b/>
          <w:color w:val="auto"/>
          <w:sz w:val="24"/>
          <w:szCs w:val="24"/>
          <w:highlight w:val="none"/>
        </w:rPr>
        <w:t>二、踏勘现场</w:t>
      </w:r>
    </w:p>
    <w:p w14:paraId="596470AD">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各磋商供应商应在递交磋商响应文件截止日前至工程实施现场进行现场踏勘，如因未踏勘现场造成的一切后果自负。磋商供应商踏勘现场发生的费用自理，自行承担在踏勘现场中所发生的人员伤亡和财产损失。磋商供应商到工程实施现场进行踏勘时，应当充分了解工地位置、情况、道路、储存空间、装卸限制及任何其它足以影响报价的情况，并根据现场的实际情况将本工程可预见的相关费用（包括地方矛盾）自行考虑到投标报价中，磋商供应商中标后可预见的相关费用包干使用。任何因忽视或误解工地情况而导致的索赔或工期延长申请将不被批准。因磋商供应商未踏勘现场所引起的一切后果由磋商供应商自负。</w:t>
      </w:r>
    </w:p>
    <w:p w14:paraId="19C08551">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cs="宋体"/>
          <w:b/>
          <w:color w:val="auto"/>
          <w:sz w:val="24"/>
          <w:szCs w:val="24"/>
          <w:highlight w:val="none"/>
          <w:lang w:val="en-US" w:eastAsia="zh-CN"/>
        </w:rPr>
        <w:sectPr>
          <w:pgSz w:w="11906" w:h="16838"/>
          <w:pgMar w:top="1015" w:right="1196" w:bottom="868" w:left="1259" w:header="851" w:footer="907" w:gutter="0"/>
          <w:pgBorders>
            <w:top w:val="none" w:sz="0" w:space="0"/>
            <w:left w:val="none" w:sz="0" w:space="0"/>
            <w:bottom w:val="none" w:sz="0" w:space="0"/>
            <w:right w:val="none" w:sz="0" w:space="0"/>
          </w:pgBorders>
          <w:pgNumType w:fmt="decimal"/>
          <w:cols w:space="720" w:num="1"/>
          <w:docGrid w:linePitch="360" w:charSpace="0"/>
        </w:sectPr>
      </w:pPr>
    </w:p>
    <w:p w14:paraId="4338604A">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三</w:t>
      </w:r>
      <w:r>
        <w:rPr>
          <w:rFonts w:hint="eastAsia" w:ascii="宋体" w:hAnsi="宋体" w:cs="宋体"/>
          <w:b/>
          <w:color w:val="auto"/>
          <w:sz w:val="24"/>
          <w:szCs w:val="24"/>
          <w:highlight w:val="none"/>
        </w:rPr>
        <w:t>、招标清单及技术参数要求</w:t>
      </w:r>
    </w:p>
    <w:p w14:paraId="27E61295">
      <w:pPr>
        <w:pStyle w:val="341"/>
        <w:keepNext w:val="0"/>
        <w:keepLines w:val="0"/>
        <w:pageBreakBefore w:val="0"/>
        <w:widowControl/>
        <w:kinsoku/>
        <w:wordWrap/>
        <w:overflowPunct/>
        <w:topLinePunct w:val="0"/>
        <w:autoSpaceDE/>
        <w:autoSpaceDN/>
        <w:bidi w:val="0"/>
        <w:adjustRightInd/>
        <w:snapToGrid/>
        <w:spacing w:line="500" w:lineRule="exact"/>
        <w:ind w:left="0" w:leftChars="0" w:right="0" w:firstLine="482" w:firstLineChars="200"/>
        <w:textAlignment w:val="auto"/>
        <w:rPr>
          <w:rFonts w:hint="eastAsia" w:ascii="宋体" w:hAnsi="宋体" w:eastAsia="宋体" w:cs="宋体"/>
          <w:b/>
          <w:bCs/>
          <w:color w:val="auto"/>
          <w:kern w:val="2"/>
          <w:sz w:val="24"/>
          <w:szCs w:val="24"/>
          <w:highlight w:val="none"/>
          <w:lang w:val="en-US" w:eastAsia="zh-CN" w:bidi="ar-SA"/>
        </w:rPr>
      </w:pPr>
    </w:p>
    <w:tbl>
      <w:tblPr>
        <w:tblStyle w:val="54"/>
        <w:tblW w:w="1474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74"/>
        <w:gridCol w:w="2337"/>
        <w:gridCol w:w="7305"/>
        <w:gridCol w:w="776"/>
        <w:gridCol w:w="885"/>
        <w:gridCol w:w="970"/>
        <w:gridCol w:w="975"/>
        <w:gridCol w:w="918"/>
      </w:tblGrid>
      <w:tr w14:paraId="3A1C9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5130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AD04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项目名称</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B40C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9A11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计量 </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单位</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7C32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E30A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全费用综合单价（元）</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FD91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3A00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21F91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trPr>
        <w:tc>
          <w:tcPr>
            <w:tcW w:w="1021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05A9F95">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一、道路部分</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43182">
            <w:pPr>
              <w:jc w:val="center"/>
              <w:rPr>
                <w:rFonts w:hint="eastAsia" w:ascii="宋体" w:hAnsi="宋体" w:eastAsia="宋体" w:cs="宋体"/>
                <w:b/>
                <w:bCs/>
                <w:i w:val="0"/>
                <w:iCs w:val="0"/>
                <w:color w:val="000000"/>
                <w:sz w:val="24"/>
                <w:szCs w:val="24"/>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0119C">
            <w:pPr>
              <w:jc w:val="center"/>
              <w:rPr>
                <w:rFonts w:hint="eastAsia" w:ascii="宋体" w:hAnsi="宋体" w:eastAsia="宋体" w:cs="宋体"/>
                <w:b/>
                <w:bCs/>
                <w:i w:val="0"/>
                <w:iCs w:val="0"/>
                <w:color w:val="000000"/>
                <w:sz w:val="24"/>
                <w:szCs w:val="24"/>
                <w:u w:val="none"/>
              </w:rPr>
            </w:pP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A5E24">
            <w:pPr>
              <w:jc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5502B6D">
            <w:pPr>
              <w:jc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F0427C0">
            <w:pPr>
              <w:jc w:val="center"/>
              <w:rPr>
                <w:rFonts w:hint="eastAsia" w:ascii="宋体" w:hAnsi="宋体" w:eastAsia="宋体" w:cs="宋体"/>
                <w:i w:val="0"/>
                <w:iCs w:val="0"/>
                <w:color w:val="000000"/>
                <w:sz w:val="24"/>
                <w:szCs w:val="24"/>
                <w:u w:val="none"/>
              </w:rPr>
            </w:pPr>
          </w:p>
        </w:tc>
      </w:tr>
      <w:tr w14:paraId="0BDB3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8"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867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CA8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4cm 细粒式沥青混凝土（AC-13）（玄武岩）</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76CF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1、沥青品种:细粒式沥青混凝土（AC-13）（玄武岩）</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2、厚度:4cm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3、包含新老路面搭接工程量</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D41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D7B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250.0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EFF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86C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1CBE636">
            <w:pPr>
              <w:jc w:val="center"/>
              <w:rPr>
                <w:rFonts w:hint="eastAsia" w:ascii="宋体" w:hAnsi="宋体" w:eastAsia="宋体" w:cs="宋体"/>
                <w:i w:val="0"/>
                <w:iCs w:val="0"/>
                <w:color w:val="000000"/>
                <w:sz w:val="24"/>
                <w:szCs w:val="24"/>
                <w:u w:val="none"/>
              </w:rPr>
            </w:pPr>
          </w:p>
        </w:tc>
      </w:tr>
      <w:tr w14:paraId="2CCB1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8"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FF1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0F2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5cm 细粒式沥青混凝土（AC-13）（玄武岩）</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6EEF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1、沥青品种:细粒式沥青混凝土（AC-13）（玄武岩）</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2、厚度:5cm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3、包含新老路面搭接工程量</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C0A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B5A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150.0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697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A07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92FD966">
            <w:pPr>
              <w:jc w:val="center"/>
              <w:rPr>
                <w:rFonts w:hint="eastAsia" w:ascii="宋体" w:hAnsi="宋体" w:eastAsia="宋体" w:cs="宋体"/>
                <w:i w:val="0"/>
                <w:iCs w:val="0"/>
                <w:color w:val="000000"/>
                <w:sz w:val="24"/>
                <w:szCs w:val="24"/>
                <w:u w:val="none"/>
              </w:rPr>
            </w:pPr>
          </w:p>
        </w:tc>
      </w:tr>
      <w:tr w14:paraId="1DE47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8"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FBB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C90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6cm 中粒式沥青混凝土（AC-20C ）（石灰岩）</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7AA6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1、沥青品种:中粒式沥青混凝土（AC-20C ）（石灰岩）</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2、厚度:6cm</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B43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D7C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220.0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23B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3CE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4FD6154">
            <w:pPr>
              <w:jc w:val="center"/>
              <w:rPr>
                <w:rFonts w:hint="eastAsia" w:ascii="宋体" w:hAnsi="宋体" w:eastAsia="宋体" w:cs="宋体"/>
                <w:i w:val="0"/>
                <w:iCs w:val="0"/>
                <w:color w:val="000000"/>
                <w:sz w:val="24"/>
                <w:szCs w:val="24"/>
                <w:u w:val="none"/>
              </w:rPr>
            </w:pPr>
          </w:p>
        </w:tc>
      </w:tr>
      <w:tr w14:paraId="5BED8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8"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40E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665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8cm 粗粒式沥青混凝土（AC-25C）（石灰岩）</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758D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1、沥青品种:粗粒式沥青混凝土（AC-25C ）（石灰岩）</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2、厚度:8cm</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FD6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A2A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242.0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0D8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EFB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8855EE8">
            <w:pPr>
              <w:jc w:val="center"/>
              <w:rPr>
                <w:rFonts w:hint="eastAsia" w:ascii="宋体" w:hAnsi="宋体" w:eastAsia="宋体" w:cs="宋体"/>
                <w:i w:val="0"/>
                <w:iCs w:val="0"/>
                <w:color w:val="000000"/>
                <w:sz w:val="24"/>
                <w:szCs w:val="24"/>
                <w:u w:val="none"/>
              </w:rPr>
            </w:pPr>
          </w:p>
        </w:tc>
      </w:tr>
      <w:tr w14:paraId="006A0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E08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AC3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粘层油</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D8A1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1、粘层油（PC-3 0.3～0.6L/m2））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2、具体详见图纸</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569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7D7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620.0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2B9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EB5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851D996">
            <w:pPr>
              <w:jc w:val="center"/>
              <w:rPr>
                <w:rFonts w:hint="eastAsia" w:ascii="宋体" w:hAnsi="宋体" w:eastAsia="宋体" w:cs="宋体"/>
                <w:i w:val="0"/>
                <w:iCs w:val="0"/>
                <w:color w:val="000000"/>
                <w:sz w:val="24"/>
                <w:szCs w:val="24"/>
                <w:u w:val="none"/>
              </w:rPr>
            </w:pPr>
          </w:p>
        </w:tc>
      </w:tr>
      <w:tr w14:paraId="70910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6D2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1B2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0.6cm下封层</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4E74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1、材料品种、用量:下封层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2、厚度:0.6cm</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D7E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4E0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292.0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4EE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217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71EFA69">
            <w:pPr>
              <w:jc w:val="center"/>
              <w:rPr>
                <w:rFonts w:hint="eastAsia" w:ascii="宋体" w:hAnsi="宋体" w:eastAsia="宋体" w:cs="宋体"/>
                <w:i w:val="0"/>
                <w:iCs w:val="0"/>
                <w:color w:val="000000"/>
                <w:sz w:val="24"/>
                <w:szCs w:val="24"/>
                <w:u w:val="none"/>
              </w:rPr>
            </w:pPr>
          </w:p>
        </w:tc>
      </w:tr>
      <w:tr w14:paraId="743A4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70F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128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透层油</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4727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1、透层油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2、具体做法详见图纸</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CA7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663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292.0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6E6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A65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2C54F65">
            <w:pPr>
              <w:jc w:val="center"/>
              <w:rPr>
                <w:rFonts w:hint="eastAsia" w:ascii="宋体" w:hAnsi="宋体" w:eastAsia="宋体" w:cs="宋体"/>
                <w:i w:val="0"/>
                <w:iCs w:val="0"/>
                <w:color w:val="000000"/>
                <w:sz w:val="24"/>
                <w:szCs w:val="24"/>
                <w:u w:val="none"/>
              </w:rPr>
            </w:pPr>
          </w:p>
        </w:tc>
      </w:tr>
      <w:tr w14:paraId="3C886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1F9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4CF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30cm C30混凝土</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8F93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1、混凝土强度等级:C30混凝土预拌混凝土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2、厚度:30cm</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878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2EB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290.0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D84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E9B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922DA2C">
            <w:pPr>
              <w:jc w:val="center"/>
              <w:rPr>
                <w:rFonts w:hint="eastAsia" w:ascii="宋体" w:hAnsi="宋体" w:eastAsia="宋体" w:cs="宋体"/>
                <w:i w:val="0"/>
                <w:iCs w:val="0"/>
                <w:color w:val="000000"/>
                <w:sz w:val="24"/>
                <w:szCs w:val="24"/>
                <w:u w:val="none"/>
              </w:rPr>
            </w:pPr>
          </w:p>
        </w:tc>
      </w:tr>
      <w:tr w14:paraId="14B8F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DEB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2F5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20cm C30混凝土</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6E86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1、混凝土强度等级:C30混凝土预拌混凝土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2、厚度:20cm</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618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2DF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60.0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CC8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AC5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89D4B6B">
            <w:pPr>
              <w:jc w:val="center"/>
              <w:rPr>
                <w:rFonts w:hint="eastAsia" w:ascii="宋体" w:hAnsi="宋体" w:eastAsia="宋体" w:cs="宋体"/>
                <w:i w:val="0"/>
                <w:iCs w:val="0"/>
                <w:color w:val="000000"/>
                <w:sz w:val="24"/>
                <w:szCs w:val="24"/>
                <w:u w:val="none"/>
              </w:rPr>
            </w:pPr>
          </w:p>
        </w:tc>
      </w:tr>
      <w:tr w14:paraId="1F5B3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E47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EA0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20cm C25混凝土</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2A94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1、混凝土强度等级:C25混凝土预拌混凝土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2、厚度:20cm</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E8A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6C3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165.0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CC0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A3C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DC2F32E">
            <w:pPr>
              <w:jc w:val="center"/>
              <w:rPr>
                <w:rFonts w:hint="eastAsia" w:ascii="宋体" w:hAnsi="宋体" w:eastAsia="宋体" w:cs="宋体"/>
                <w:i w:val="0"/>
                <w:iCs w:val="0"/>
                <w:color w:val="000000"/>
                <w:sz w:val="24"/>
                <w:szCs w:val="24"/>
                <w:u w:val="none"/>
              </w:rPr>
            </w:pPr>
          </w:p>
        </w:tc>
      </w:tr>
      <w:tr w14:paraId="335FA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B8E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4A2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20cm  碎石调平层</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3BE2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1、石料规格:级配碎石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2、厚度:20cm</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A53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0F1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587.0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D82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F46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850CAB4">
            <w:pPr>
              <w:jc w:val="center"/>
              <w:rPr>
                <w:rFonts w:hint="eastAsia" w:ascii="宋体" w:hAnsi="宋体" w:eastAsia="宋体" w:cs="宋体"/>
                <w:i w:val="0"/>
                <w:iCs w:val="0"/>
                <w:color w:val="000000"/>
                <w:sz w:val="24"/>
                <w:szCs w:val="24"/>
                <w:u w:val="none"/>
              </w:rPr>
            </w:pPr>
          </w:p>
        </w:tc>
      </w:tr>
      <w:tr w14:paraId="45BDF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8"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C77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275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硬化挖方</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5F8B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1、土类别:三类及以上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2、挖土深度:根据现场深度需要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3、运距:挖出土方外运，运输投标人自行考虑</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758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m3</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5B5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425.0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F44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B44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7B382FA">
            <w:pPr>
              <w:jc w:val="center"/>
              <w:rPr>
                <w:rFonts w:hint="eastAsia" w:ascii="宋体" w:hAnsi="宋体" w:eastAsia="宋体" w:cs="宋体"/>
                <w:i w:val="0"/>
                <w:iCs w:val="0"/>
                <w:color w:val="000000"/>
                <w:sz w:val="24"/>
                <w:szCs w:val="24"/>
                <w:u w:val="none"/>
              </w:rPr>
            </w:pPr>
          </w:p>
        </w:tc>
      </w:tr>
      <w:tr w14:paraId="6B880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1"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74C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A38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现状老路挖除</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08CD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1、土壤类别:综合，由投标人勘察自行考虑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2、挖土深度:按图纸设计。投标人自行考虑预留回填土的工程量及回填费用一并考虑到报价中。</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3、多余的土方外运、运距投标人自行考虑</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F81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A6F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165.0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10D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199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F424847">
            <w:pPr>
              <w:jc w:val="center"/>
              <w:rPr>
                <w:rFonts w:hint="eastAsia" w:ascii="宋体" w:hAnsi="宋体" w:eastAsia="宋体" w:cs="宋体"/>
                <w:i w:val="0"/>
                <w:iCs w:val="0"/>
                <w:color w:val="000000"/>
                <w:sz w:val="24"/>
                <w:szCs w:val="24"/>
                <w:u w:val="none"/>
              </w:rPr>
            </w:pPr>
          </w:p>
        </w:tc>
      </w:tr>
      <w:tr w14:paraId="4D4A8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7"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A5D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EA2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拆除现状4套信号灯杆件</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19E5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拆除现状4套信号灯杆件</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9DD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DCB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2FA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444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3119A46">
            <w:pPr>
              <w:jc w:val="center"/>
              <w:rPr>
                <w:rFonts w:hint="eastAsia" w:ascii="宋体" w:hAnsi="宋体" w:eastAsia="宋体" w:cs="宋体"/>
                <w:i w:val="0"/>
                <w:iCs w:val="0"/>
                <w:color w:val="000000"/>
                <w:sz w:val="24"/>
                <w:szCs w:val="24"/>
                <w:u w:val="none"/>
              </w:rPr>
            </w:pPr>
          </w:p>
        </w:tc>
      </w:tr>
      <w:tr w14:paraId="5B667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7"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0CB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6E7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拆除现状4套行人信号灯杆件</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0840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拆除现状4套行人信号灯杆件</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EBD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F6A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CF1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B93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A008D4B">
            <w:pPr>
              <w:jc w:val="center"/>
              <w:rPr>
                <w:rFonts w:hint="eastAsia" w:ascii="宋体" w:hAnsi="宋体" w:eastAsia="宋体" w:cs="宋体"/>
                <w:i w:val="0"/>
                <w:iCs w:val="0"/>
                <w:color w:val="000000"/>
                <w:sz w:val="24"/>
                <w:szCs w:val="24"/>
                <w:u w:val="none"/>
              </w:rPr>
            </w:pPr>
          </w:p>
        </w:tc>
      </w:tr>
      <w:tr w14:paraId="5364F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95E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B67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拆除现状信号机箱</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3D38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拆除现状信号机箱</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7AC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处</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C32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E7F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C0A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6F28403">
            <w:pPr>
              <w:jc w:val="center"/>
              <w:rPr>
                <w:rFonts w:hint="eastAsia" w:ascii="宋体" w:hAnsi="宋体" w:eastAsia="宋体" w:cs="宋体"/>
                <w:i w:val="0"/>
                <w:iCs w:val="0"/>
                <w:color w:val="000000"/>
                <w:sz w:val="24"/>
                <w:szCs w:val="24"/>
                <w:u w:val="none"/>
              </w:rPr>
            </w:pPr>
          </w:p>
        </w:tc>
      </w:tr>
      <w:tr w14:paraId="31351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4AD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2DB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新建人行信号灯</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877D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1、名称:人行道信号灯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2、技术参数： </w:t>
            </w:r>
            <w:r>
              <w:rPr>
                <w:rStyle w:val="402"/>
                <w:rFonts w:eastAsia="宋体"/>
                <w:lang w:val="en-US" w:eastAsia="zh-CN" w:bidi="ar"/>
              </w:rPr>
              <w:t>Φ</w:t>
            </w:r>
            <w:r>
              <w:rPr>
                <w:rFonts w:hint="eastAsia" w:ascii="宋体" w:hAnsi="宋体" w:eastAsia="宋体" w:cs="宋体"/>
                <w:i w:val="0"/>
                <w:iCs w:val="0"/>
                <w:color w:val="000000"/>
                <w:kern w:val="0"/>
                <w:sz w:val="24"/>
                <w:szCs w:val="24"/>
                <w:u w:val="none"/>
                <w:lang w:val="en-US" w:eastAsia="zh-CN" w:bidi="ar"/>
              </w:rPr>
              <w:t>300LED-2 成品人行交通信号灯，含定制安装配件，含安装调试，人行横道信号灯样式为上部分为红色静止行人图案，下部分为绿色动态行人图案，不配置行人灯倒计时。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3、含杆件和基础，信号灯杆H=3.0m，钢管 D=110*4，C25砼基础5、线管:D=50mmPVC</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506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处</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4D4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C4F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80D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78BF705">
            <w:pPr>
              <w:jc w:val="center"/>
              <w:rPr>
                <w:rFonts w:hint="eastAsia" w:ascii="宋体" w:hAnsi="宋体" w:eastAsia="宋体" w:cs="宋体"/>
                <w:i w:val="0"/>
                <w:iCs w:val="0"/>
                <w:color w:val="000000"/>
                <w:sz w:val="24"/>
                <w:szCs w:val="24"/>
                <w:u w:val="none"/>
              </w:rPr>
            </w:pPr>
          </w:p>
        </w:tc>
      </w:tr>
      <w:tr w14:paraId="44B42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7FC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07B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新建行人信号灯基础</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FBB9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1、名称:信号灯杆H=3.0m；2、立柱:钢管 D=110*4；3、油漆:氟碳喷涂，颜色按招标人要求；4、基础:C25砼基础5、线管:D=50mmPVC；6、固定方式:预埋件固定；7、挖填土方:由投标人按现场自行考虑；8、要求:防雷接地；9、本项为S125拆除行人灯迁移至尚庄镇安装，仅含运输费、安装费和基础建设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376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处</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E07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233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11E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F772157">
            <w:pPr>
              <w:jc w:val="center"/>
              <w:rPr>
                <w:rFonts w:hint="eastAsia" w:ascii="宋体" w:hAnsi="宋体" w:eastAsia="宋体" w:cs="宋体"/>
                <w:i w:val="0"/>
                <w:iCs w:val="0"/>
                <w:color w:val="000000"/>
                <w:sz w:val="24"/>
                <w:szCs w:val="24"/>
                <w:u w:val="none"/>
              </w:rPr>
            </w:pPr>
          </w:p>
        </w:tc>
      </w:tr>
      <w:tr w14:paraId="412B3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8"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EB5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C54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新建信号机箱基础</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F4FB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基础：长760mm宽520mm深800mm（800mm含需高出地平面300mm），本项为S125拆除信号机迁移至尚庄镇安装，含运输费、安装费、基础建设费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B51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处</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FDA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602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582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1C96648">
            <w:pPr>
              <w:jc w:val="center"/>
              <w:rPr>
                <w:rFonts w:hint="eastAsia" w:ascii="宋体" w:hAnsi="宋体" w:eastAsia="宋体" w:cs="宋体"/>
                <w:i w:val="0"/>
                <w:iCs w:val="0"/>
                <w:color w:val="000000"/>
                <w:sz w:val="24"/>
                <w:szCs w:val="24"/>
                <w:u w:val="none"/>
              </w:rPr>
            </w:pPr>
          </w:p>
        </w:tc>
      </w:tr>
      <w:tr w14:paraId="3E618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7"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42B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868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新建信号灯屏</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2B52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1、名称：箭头信号灯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2、技术参数： </w:t>
            </w:r>
            <w:r>
              <w:rPr>
                <w:rStyle w:val="402"/>
                <w:rFonts w:eastAsia="宋体"/>
                <w:lang w:val="en-US" w:eastAsia="zh-CN" w:bidi="ar"/>
              </w:rPr>
              <w:t>Φ</w:t>
            </w:r>
            <w:r>
              <w:rPr>
                <w:rFonts w:hint="eastAsia" w:ascii="宋体" w:hAnsi="宋体" w:eastAsia="宋体" w:cs="宋体"/>
                <w:i w:val="0"/>
                <w:iCs w:val="0"/>
                <w:color w:val="000000"/>
                <w:kern w:val="0"/>
                <w:sz w:val="24"/>
                <w:szCs w:val="24"/>
                <w:u w:val="none"/>
                <w:lang w:val="en-US" w:eastAsia="zh-CN" w:bidi="ar"/>
              </w:rPr>
              <w:t>400LED-3 成品灯,铝合金灯壳，玻璃透光面，含安装配件</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39A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495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EF9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83A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85B2BA8">
            <w:pPr>
              <w:jc w:val="center"/>
              <w:rPr>
                <w:rFonts w:hint="eastAsia" w:ascii="宋体" w:hAnsi="宋体" w:eastAsia="宋体" w:cs="宋体"/>
                <w:i w:val="0"/>
                <w:iCs w:val="0"/>
                <w:color w:val="000000"/>
                <w:sz w:val="24"/>
                <w:szCs w:val="24"/>
                <w:u w:val="none"/>
              </w:rPr>
            </w:pPr>
          </w:p>
        </w:tc>
      </w:tr>
      <w:tr w14:paraId="7A407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7"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AA1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5B7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新建信号灯屏</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1A28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1、名称：圆头信号灯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2、技术参数： </w:t>
            </w:r>
            <w:r>
              <w:rPr>
                <w:rStyle w:val="402"/>
                <w:rFonts w:eastAsia="宋体"/>
                <w:lang w:val="en-US" w:eastAsia="zh-CN" w:bidi="ar"/>
              </w:rPr>
              <w:t>Φ</w:t>
            </w:r>
            <w:r>
              <w:rPr>
                <w:rFonts w:hint="eastAsia" w:ascii="宋体" w:hAnsi="宋体" w:eastAsia="宋体" w:cs="宋体"/>
                <w:i w:val="0"/>
                <w:iCs w:val="0"/>
                <w:color w:val="000000"/>
                <w:kern w:val="0"/>
                <w:sz w:val="24"/>
                <w:szCs w:val="24"/>
                <w:u w:val="none"/>
                <w:lang w:val="en-US" w:eastAsia="zh-CN" w:bidi="ar"/>
              </w:rPr>
              <w:t>400LED-3 成品灯,铝合金灯壳，玻璃透光面，含安装配件</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D2D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E26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A9C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BFA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614A1E4">
            <w:pPr>
              <w:jc w:val="center"/>
              <w:rPr>
                <w:rFonts w:hint="eastAsia" w:ascii="宋体" w:hAnsi="宋体" w:eastAsia="宋体" w:cs="宋体"/>
                <w:i w:val="0"/>
                <w:iCs w:val="0"/>
                <w:color w:val="000000"/>
                <w:sz w:val="24"/>
                <w:szCs w:val="24"/>
                <w:u w:val="none"/>
              </w:rPr>
            </w:pPr>
          </w:p>
        </w:tc>
      </w:tr>
      <w:tr w14:paraId="2BD51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1"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E5F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346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新建倒计时灯屏</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49FB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1、名称：独立倒计时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2、技术参数：</w:t>
            </w:r>
            <w:r>
              <w:rPr>
                <w:rStyle w:val="402"/>
                <w:rFonts w:eastAsia="宋体"/>
                <w:lang w:val="en-US" w:eastAsia="zh-CN" w:bidi="ar"/>
              </w:rPr>
              <w:t>Φ</w:t>
            </w:r>
            <w:r>
              <w:rPr>
                <w:rFonts w:hint="eastAsia" w:ascii="宋体" w:hAnsi="宋体" w:eastAsia="宋体" w:cs="宋体"/>
                <w:i w:val="0"/>
                <w:iCs w:val="0"/>
                <w:color w:val="000000"/>
                <w:kern w:val="0"/>
                <w:sz w:val="24"/>
                <w:szCs w:val="24"/>
                <w:u w:val="none"/>
                <w:lang w:val="en-US" w:eastAsia="zh-CN" w:bidi="ar"/>
              </w:rPr>
              <w:t>600*800LED 成品倒计时屏,铝合金外壳，玻璃透光面，含安装配件，倒计时与信号控制设备能实现同步对接，采用独立触发型倒计时器。支持倒 9 秒数显，需开放通讯协议。</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857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E9F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E82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930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272643D">
            <w:pPr>
              <w:jc w:val="center"/>
              <w:rPr>
                <w:rFonts w:hint="eastAsia" w:ascii="宋体" w:hAnsi="宋体" w:eastAsia="宋体" w:cs="宋体"/>
                <w:i w:val="0"/>
                <w:iCs w:val="0"/>
                <w:color w:val="000000"/>
                <w:sz w:val="24"/>
                <w:szCs w:val="24"/>
                <w:u w:val="none"/>
              </w:rPr>
            </w:pPr>
          </w:p>
        </w:tc>
      </w:tr>
      <w:tr w14:paraId="730E6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0D4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962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新建信号灯机箱</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E700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1、名称:落地式交通信号控制箱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2、类别:信号机应符合 GB25280-2016 国家标准《道路交通信号控制机》要求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交通信号控制器采用模块化设计，更换电路板方便。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信号机的主要单元分为：电源单元（含交流和直流电源）、控制器单元、故障检测单元、配置单元、车辆行人检测器单元、灯控信号输出单元、通信接口单元、时钟单元等。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中央微处理器（CPU）采用 32 位及以上微处理器，主频为 200MHz 以上。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信号机提供不少于 16 个相位，48 路灯控输出，最大可扩充到不少于 32 相位，96 路灯控输出，并可与倒计时牌连接，具备全程/半程倒计时功能。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采用地面上基础安装形式的机柜，机柜采用标准 19 英寸机架安装形式，落地式安装方式，具有防撬设计。机柜门内嵌在柜体内，连接柜门与柜体的铰链突出柜体表面小于 3mm，柜门（前门、后门、侧门）与柜体的缝隙小于 3mm，可避免人为破坏信号机，保障信号机安全。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机柜材质：机柜采用铝制机柜或钢制机柜，防锈、防腐蚀。内部的印刷电路板材料及部件进，信号机具备网络风暴自我保护和抵御功能，在网络风暴环境下能够正常运行，不黄闪。</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2D7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A5A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9A8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6CC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ADB9454">
            <w:pPr>
              <w:jc w:val="center"/>
              <w:rPr>
                <w:rFonts w:hint="eastAsia" w:ascii="宋体" w:hAnsi="宋体" w:eastAsia="宋体" w:cs="宋体"/>
                <w:i w:val="0"/>
                <w:iCs w:val="0"/>
                <w:color w:val="000000"/>
                <w:sz w:val="24"/>
                <w:szCs w:val="24"/>
                <w:u w:val="none"/>
              </w:rPr>
            </w:pPr>
          </w:p>
        </w:tc>
      </w:tr>
      <w:tr w14:paraId="266D8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90F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589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新建悬臂式信号灯杆</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F8B2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1、 热镀锌喷塑杆高7米，主杆厚度8MM，横臂拟8米（最终以现场为准）。为保证抓拍效果，横臂长度最远点达道路中心点黄实线边缘，上述横臂长为建议值，投标人应实际测量，必须满足招标人要求(加工前，杆件生产厂商需提供施工图纸，并留有足够的安全系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2、主立杆预留室外机柜固定基座、螺栓孔，随主杆一次成型，含杆件、施工材料、设备运输等全部费用。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3、主要配套工作内容：（1）基础:C25砼基础；（2）基础开挖，余土外运等；（3）固定方式:预埋件固定（见图纸）；（4）要求:防雷接地；（5）基础规格：详见图纸； （6）底盘、拉盘、卡盘及杆件安装 （7）线管:D=50mmPVC；（8）安装、调试；（9）杆件基础螺栓包封。</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9B8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5E1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5A0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551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E97EDD4">
            <w:pPr>
              <w:jc w:val="center"/>
              <w:rPr>
                <w:rFonts w:hint="eastAsia" w:ascii="宋体" w:hAnsi="宋体" w:eastAsia="宋体" w:cs="宋体"/>
                <w:i w:val="0"/>
                <w:iCs w:val="0"/>
                <w:color w:val="000000"/>
                <w:sz w:val="24"/>
                <w:szCs w:val="24"/>
                <w:u w:val="none"/>
              </w:rPr>
            </w:pPr>
          </w:p>
        </w:tc>
      </w:tr>
      <w:tr w14:paraId="5CFAF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54"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617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F78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新建信号检测器</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05EC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1、16路信号灯交流信号输入接口。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2、4个RS485输出接口。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3、1路100M网口输出。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4、1个5VDC输出接口。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5、5路拨码开关，用来设置波特率、地址和上传模式。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6、16路交通灯状态指示。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7、检测、通讯单元采用微控制器设计，稳定可靠。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8、输入接口采用压电保护、光电隔离等防护措施。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9、实时输出交通灯信号状态。</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8B5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FD3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6E3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EE4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0ED57B0">
            <w:pPr>
              <w:jc w:val="center"/>
              <w:rPr>
                <w:rFonts w:hint="eastAsia" w:ascii="宋体" w:hAnsi="宋体" w:eastAsia="宋体" w:cs="宋体"/>
                <w:i w:val="0"/>
                <w:iCs w:val="0"/>
                <w:color w:val="000000"/>
                <w:sz w:val="24"/>
                <w:szCs w:val="24"/>
                <w:u w:val="none"/>
              </w:rPr>
            </w:pPr>
          </w:p>
        </w:tc>
      </w:tr>
      <w:tr w14:paraId="4FA01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7"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80D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E3D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新建黄闪灯灯屏</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1DB0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1、名称：黄闪信号灯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2、技术参数： </w:t>
            </w:r>
            <w:r>
              <w:rPr>
                <w:rStyle w:val="402"/>
                <w:rFonts w:eastAsia="宋体"/>
                <w:lang w:val="en-US" w:eastAsia="zh-CN" w:bidi="ar"/>
              </w:rPr>
              <w:t>Φ</w:t>
            </w:r>
            <w:r>
              <w:rPr>
                <w:rFonts w:hint="eastAsia" w:ascii="宋体" w:hAnsi="宋体" w:eastAsia="宋体" w:cs="宋体"/>
                <w:i w:val="0"/>
                <w:iCs w:val="0"/>
                <w:color w:val="000000"/>
                <w:kern w:val="0"/>
                <w:sz w:val="24"/>
                <w:szCs w:val="24"/>
                <w:u w:val="none"/>
                <w:lang w:val="en-US" w:eastAsia="zh-CN" w:bidi="ar"/>
              </w:rPr>
              <w:t>400LED-3 成品灯,铝合金灯壳，玻璃透光面，含安装配件</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736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054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F89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D7B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E808122">
            <w:pPr>
              <w:jc w:val="center"/>
              <w:rPr>
                <w:rFonts w:hint="eastAsia" w:ascii="宋体" w:hAnsi="宋体" w:eastAsia="宋体" w:cs="宋体"/>
                <w:i w:val="0"/>
                <w:iCs w:val="0"/>
                <w:color w:val="000000"/>
                <w:sz w:val="24"/>
                <w:szCs w:val="24"/>
                <w:u w:val="none"/>
              </w:rPr>
            </w:pPr>
          </w:p>
        </w:tc>
      </w:tr>
      <w:tr w14:paraId="3D385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66"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E4E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9AB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新建悬臂式黄闪灯杆</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C7D1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1、 热镀锌喷塑杆高7米，主杆厚度8MM，横臂拟8米（最终以现场为准）。为保证抓拍效果，横臂长度最远点达道路中心点黄实线边缘，上述横臂长为建议值，投标人应实际测量，必须满足招标人要求(加工前，杆件生产厂商需提供施工图纸，并留有足够的安全系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2、主立杆预留室外机柜固定基座、螺栓孔，随主杆一次成型，含杆件、施工材料、设备运输等全部费用。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3、主要配套工作内容：（1）基础:C25砼基础；（2）基础开挖，余土外运等；（3）固定方式:预埋件固定（见图纸）；（4）要求:防雷接地；（5）基础规格：详见图纸； （6）底盘、拉盘、卡盘及杆件安装 （7）线管:D=50mmPVC；（8）安装、调试；（9）杆件基础螺栓包封。</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227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E5A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414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516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E14D91B">
            <w:pPr>
              <w:jc w:val="center"/>
              <w:rPr>
                <w:rFonts w:hint="eastAsia" w:ascii="宋体" w:hAnsi="宋体" w:eastAsia="宋体" w:cs="宋体"/>
                <w:i w:val="0"/>
                <w:iCs w:val="0"/>
                <w:color w:val="000000"/>
                <w:sz w:val="24"/>
                <w:szCs w:val="24"/>
                <w:u w:val="none"/>
              </w:rPr>
            </w:pPr>
          </w:p>
        </w:tc>
      </w:tr>
      <w:tr w14:paraId="7984D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3"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DAC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E8C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迁移现状电子警察</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65A9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迁移现状电子警察至甲方指定地点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193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130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A63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EAC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E3019E6">
            <w:pPr>
              <w:jc w:val="center"/>
              <w:rPr>
                <w:rFonts w:hint="eastAsia" w:ascii="宋体" w:hAnsi="宋体" w:eastAsia="宋体" w:cs="宋体"/>
                <w:i w:val="0"/>
                <w:iCs w:val="0"/>
                <w:color w:val="000000"/>
                <w:sz w:val="24"/>
                <w:szCs w:val="24"/>
                <w:u w:val="none"/>
              </w:rPr>
            </w:pPr>
          </w:p>
        </w:tc>
      </w:tr>
      <w:tr w14:paraId="719BA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24"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8E8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498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增加一套电警</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B043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1、电警抓拍单元由防护罩组件及高清智能摄像机组成，抓拍单元防护罩前面板具有防尘、防水功能，单元内置LED暖光灯，单元支持网络防雷、防浪涌，宽温宽压等。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2、内置摄像机采用1英寸高帧率全局曝光CMOS传感器，分辨率可达4096 × 2160，帧率高达25帧，具有清晰度高、照度低、帧率高、色彩还原度好等特点。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3、视频采用H.265、H.264或MJPEG编码，低延时，低码率，压缩比高，处理灵活。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4、支持LED频闪灯同步补光，防护罩内置LED车牌补光灯。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5、支持机动车辆、非机动车、行人抓拍。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6、支持车牌、车型、车身颜色（环境光有要求）、车标、子品牌等信息识别功能，支持压线、逆行、闯红灯、不按导向行驶等违法检测功能；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7、红绿灯信号检测方式支持：IO信号，红绿灯检测器，视频检测。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8、支持远程数据上传，GB/T 28181-2016视频联网标准、GA/T 1400视图库标准、FTP协议，可将抓拍的图片上传给终端服务器、FTP服务器或者后端平台。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9、可支持TF插卡本地存储，可支持至256G，抓拍图片可断网续传。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10、支持中国香港、中国澳门和大陆车牌识别。</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B35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B22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1A3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A93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F31FF24">
            <w:pPr>
              <w:jc w:val="center"/>
              <w:rPr>
                <w:rFonts w:hint="eastAsia" w:ascii="宋体" w:hAnsi="宋体" w:eastAsia="宋体" w:cs="宋体"/>
                <w:i w:val="0"/>
                <w:iCs w:val="0"/>
                <w:color w:val="000000"/>
                <w:sz w:val="24"/>
                <w:szCs w:val="24"/>
                <w:u w:val="none"/>
              </w:rPr>
            </w:pPr>
          </w:p>
        </w:tc>
      </w:tr>
      <w:tr w14:paraId="73470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9"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E6D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369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增加一套补光灯</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1C67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1、集成数字式照度传感器，具备自动光感功能；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2、支持多级环境亮度可选，频闪亮度等级 30 级可调；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3、在距补光灯 20 米处，亮度等级 20 时光斑照度不得超过 40lx；</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4、支持通过摄像机远程控制亮度等级，支持通过摄像机远程控制补光灯点亮/熄灭；</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5、支持通过 RS485 控制频率、亮度等；支持频闪级联功能，支持远程显示补光灯状态功能；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6、频闪信号输出至 LED 灯板响应的时间≤45us；频闪频率：20、25、30、50、60、75、90、100、120Hz9档可选；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7、频闪持续时间：1、2、3ms可选，频闪延时：0、1、2、3、4ms可选；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8、色温范围 6000k~6700k，20m峰值照度≤300lx，显色指数≥65Ra；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9、可根据环境亮度变化自动点亮或熄灭，环境亮度阀值 10 档可调；支持 IP67 防护等级；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10、在 AC220V±44V、50Hz±2Hz 的电源条件下，基准轴上光照度的变化幅度应小于等于额定电压下的 15%；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11、平均功耗≤23W 工作温度-40℃~80℃。</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C2D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E74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F21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D88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B8F72D3">
            <w:pPr>
              <w:jc w:val="center"/>
              <w:rPr>
                <w:rFonts w:hint="eastAsia" w:ascii="宋体" w:hAnsi="宋体" w:eastAsia="宋体" w:cs="宋体"/>
                <w:i w:val="0"/>
                <w:iCs w:val="0"/>
                <w:color w:val="000000"/>
                <w:sz w:val="24"/>
                <w:szCs w:val="24"/>
                <w:u w:val="none"/>
              </w:rPr>
            </w:pPr>
          </w:p>
        </w:tc>
      </w:tr>
      <w:tr w14:paraId="073F0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D1E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49A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违法抓拍探头</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D17E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1、摄像机靶面尺寸≥1/1.8英寸，分辨率≥2688*1520，内置镜头，支持不小于32倍光学变倍，镜头最大焦距不小于192mm。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2、自带雨刷,可通过网络远程控制雨刷功能检验雨刷开启、关闭。</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3、支持VR全景图拼接功能，拼接图可选择柱状全景图和鱼眼全景图2种模式，生成的柱状全景图分辨率为8192x2446，鱼眼全景图分辨率为3458x3458。</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4、支持最低照度可达彩色0.0002Lx，黑白0.0001Lx。</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5、水平旋转范围:0°~360°连续旋转，垂直旋转范围:-20°~90°。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6、支持对距离样机200m处机动车违法停车行为进行抓拍。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7、支持机动车违停、逆行、压线、连续变道、机占非、掉头、蛇形变道、变道、加塞9种交通违法行为进行检测并抓拍，当触发报警后，可联动报警并上传图片。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抛洒物检测、行人检测、拥堵检测、路障检测、施工检测、交通事故检测、烟雾检测、火灾检测,当监控场景内道路事件触发报警后,可联动报警输出并上传图片,支持配置灵敏度、持续时间和过滤时间,支持布防多边形检测区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9、支持配置违停检测时,具有布防车牌颜色(黄色车牌、蓝色车牌、绿色车牌和其他车牌)和布防车型(轿车、面包车、货车、客车和其他)配置选项。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10、开启车牌增强功能后，在检测到车辆违停时，可对目标车辆的车牌进行降噪处理。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11、支持检测到违停车辆时,若目标车牌被遮挡物遮挡时,样机可不对该目标进行车牌识别,并上报无车牌报警。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12、开启车牌增强功能后，在检测到车辆违停时，可对目标车辆的车牌进行降噪处理。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13、支持对抛洒物事件中的树影、标线进行过滤;可对停车事件中的施工车辆进行过滤;可对行人事件中的交通设施、车身部件、影子进行过滤。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14、支持35114A级加密。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15、防护等级不低于IP67。</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5D9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D36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F85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46D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9CEF84F">
            <w:pPr>
              <w:jc w:val="center"/>
              <w:rPr>
                <w:rFonts w:hint="eastAsia" w:ascii="宋体" w:hAnsi="宋体" w:eastAsia="宋体" w:cs="宋体"/>
                <w:i w:val="0"/>
                <w:iCs w:val="0"/>
                <w:color w:val="000000"/>
                <w:sz w:val="24"/>
                <w:szCs w:val="24"/>
                <w:u w:val="none"/>
              </w:rPr>
            </w:pPr>
          </w:p>
        </w:tc>
      </w:tr>
      <w:tr w14:paraId="02263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3"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90D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CE2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牵引管道</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E5E8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1、土壤类别:投标人自行现场勘察 ；2、管材：PE硬质管DN50×2；3、施工工艺:牵引法施工；4、机械设备:安装、移位、拆除5、其他:挖土、埋设、回填土；6、计量长度按单管延长米计量，按实结算。</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48E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B9D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282</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519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F52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DFD6C73">
            <w:pPr>
              <w:jc w:val="center"/>
              <w:rPr>
                <w:rFonts w:hint="eastAsia" w:ascii="宋体" w:hAnsi="宋体" w:eastAsia="宋体" w:cs="宋体"/>
                <w:i w:val="0"/>
                <w:iCs w:val="0"/>
                <w:color w:val="000000"/>
                <w:sz w:val="24"/>
                <w:szCs w:val="24"/>
                <w:u w:val="none"/>
              </w:rPr>
            </w:pPr>
          </w:p>
        </w:tc>
      </w:tr>
      <w:tr w14:paraId="37519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3"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27C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B36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埋设管道</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96B2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1、部位:绿化带、人行道下；2、名称:PE硬质管；3、规格:DN50；4、敷设方式:地埋敷设；5、土方开挖、回填夯实、余土外运由投标人综合考虑；6、计量长度按单管延长米计量，按实结算。</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566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C05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282</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A12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0D6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D736D4F">
            <w:pPr>
              <w:jc w:val="center"/>
              <w:rPr>
                <w:rFonts w:hint="eastAsia" w:ascii="宋体" w:hAnsi="宋体" w:eastAsia="宋体" w:cs="宋体"/>
                <w:i w:val="0"/>
                <w:iCs w:val="0"/>
                <w:color w:val="000000"/>
                <w:sz w:val="24"/>
                <w:szCs w:val="24"/>
                <w:u w:val="none"/>
              </w:rPr>
            </w:pPr>
          </w:p>
        </w:tc>
      </w:tr>
      <w:tr w14:paraId="10082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3"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098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131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接线井</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840E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1、大样:详见图纸设计；2、砌体:砖砌体,水泥砂浆粉刷；3、井盖:砼预制井盖板，保护盖板为C20混凝土板；4、土方开挖、回填夯实、余土外运由投标人综合考虑。</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B29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座</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2CC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44B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48B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5594227">
            <w:pPr>
              <w:jc w:val="center"/>
              <w:rPr>
                <w:rFonts w:hint="eastAsia" w:ascii="宋体" w:hAnsi="宋体" w:eastAsia="宋体" w:cs="宋体"/>
                <w:i w:val="0"/>
                <w:iCs w:val="0"/>
                <w:color w:val="000000"/>
                <w:sz w:val="24"/>
                <w:szCs w:val="24"/>
                <w:u w:val="none"/>
              </w:rPr>
            </w:pPr>
          </w:p>
        </w:tc>
      </w:tr>
      <w:tr w14:paraId="53783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1"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299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ADC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红绿灯电缆</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4C68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1、名称：红绿灯电缆；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2、技术参数：规格:电缆 RVV5*1.5mm2 ；3、敷设方式:穿管；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4、计量长度按单线延长米，累计用线计量，按实结算。</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7CE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465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CCB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4B0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12D2E02">
            <w:pPr>
              <w:jc w:val="center"/>
              <w:rPr>
                <w:rFonts w:hint="eastAsia" w:ascii="宋体" w:hAnsi="宋体" w:eastAsia="宋体" w:cs="宋体"/>
                <w:i w:val="0"/>
                <w:iCs w:val="0"/>
                <w:color w:val="000000"/>
                <w:sz w:val="24"/>
                <w:szCs w:val="24"/>
                <w:u w:val="none"/>
              </w:rPr>
            </w:pPr>
          </w:p>
        </w:tc>
      </w:tr>
      <w:tr w14:paraId="7DEC3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7"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715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0EC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人行灯电缆</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7224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1、名称：人行灯线；2、技术参数：RVV4*1mm2；3、敷设方式:穿管；4、计量长度按单线延长米，累计用线计，量按实结算。</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59C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F4B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B56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D33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F3FA41B">
            <w:pPr>
              <w:jc w:val="center"/>
              <w:rPr>
                <w:rFonts w:hint="eastAsia" w:ascii="宋体" w:hAnsi="宋体" w:eastAsia="宋体" w:cs="宋体"/>
                <w:i w:val="0"/>
                <w:iCs w:val="0"/>
                <w:color w:val="000000"/>
                <w:sz w:val="24"/>
                <w:szCs w:val="24"/>
                <w:u w:val="none"/>
              </w:rPr>
            </w:pPr>
          </w:p>
        </w:tc>
      </w:tr>
      <w:tr w14:paraId="4C714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7"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0B7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46F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红绿灯上杆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电缆</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AC44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1、规格:电缆RVV4*1.5mm² ； 2、敷设方式:穿管；3、倒计时也必须单独接线，严禁在灯盘接线；5、计量长度按单线延长米计量。</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82B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D9C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31D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AD5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CFF8BA6">
            <w:pPr>
              <w:jc w:val="center"/>
              <w:rPr>
                <w:rFonts w:hint="eastAsia" w:ascii="宋体" w:hAnsi="宋体" w:eastAsia="宋体" w:cs="宋体"/>
                <w:i w:val="0"/>
                <w:iCs w:val="0"/>
                <w:color w:val="000000"/>
                <w:sz w:val="24"/>
                <w:szCs w:val="24"/>
                <w:u w:val="none"/>
              </w:rPr>
            </w:pPr>
          </w:p>
        </w:tc>
      </w:tr>
      <w:tr w14:paraId="33B5A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298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7D7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双绞线缆</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7014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1、名称：网络 2、技术参数、规格：6 类，室外线，防鼠咬 3、敷设方式:穿管。</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BE2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16F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660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743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8478216">
            <w:pPr>
              <w:jc w:val="center"/>
              <w:rPr>
                <w:rFonts w:hint="eastAsia" w:ascii="宋体" w:hAnsi="宋体" w:eastAsia="宋体" w:cs="宋体"/>
                <w:i w:val="0"/>
                <w:iCs w:val="0"/>
                <w:color w:val="000000"/>
                <w:sz w:val="24"/>
                <w:szCs w:val="24"/>
                <w:u w:val="none"/>
              </w:rPr>
            </w:pPr>
          </w:p>
        </w:tc>
      </w:tr>
      <w:tr w14:paraId="218C9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24"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DAA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2E5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前端设备安装调试等配套</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5776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1、名称：前端设备安装调试等配套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2、主要技术要求：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1）严格按照“一灯一线”标准和信号机接线规则将路口机动车信号灯、非机动车信号灯、行人信号灯等灯具接入路口交通信号控制机对应的输出通道，严禁错接、混接、并线。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2)在信号机编辑界面根据路口车道设置、灯具组合等情况完成路口特征图绘制、检测器通道设置、条形屏方案制定、特殊控制方案制定等工作，并经甲方及交警部门确认；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结合当地通用放行方式、路口实际设置、交警部门管理要求等制定基础配时方案，确保信号灯放行不冲突、无隐患、常态化运行，灯组、灯序、相位阶段等控制参数符合《道路交通信号灯设置与安装规范》（GB14886-2016）相关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3)根据甲方及交警部门要求设置倒计时启用方式及读秒时长（全程或半程显示）。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4)交通信号控制机网络参数设置、平台管理参数设置。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报价包含：高空专项作业车设备安装、高空专项作业施工人员的安全保险及相关的机械设备；所有辅材：包括未单独列出的辅材，施工需要的车辆、设备、工具和人工等所有费用，因开挖、顶管等施工行为引发绿化、道路的恢复、赔偿、协调等所有费用，需确保本项采购的设备均能正常安装完毕。</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E2F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路口</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2C7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025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D87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8FF3383">
            <w:pPr>
              <w:jc w:val="center"/>
              <w:rPr>
                <w:rFonts w:hint="eastAsia" w:ascii="宋体" w:hAnsi="宋体" w:eastAsia="宋体" w:cs="宋体"/>
                <w:i w:val="0"/>
                <w:iCs w:val="0"/>
                <w:color w:val="000000"/>
                <w:sz w:val="24"/>
                <w:szCs w:val="24"/>
                <w:u w:val="none"/>
              </w:rPr>
            </w:pPr>
          </w:p>
        </w:tc>
      </w:tr>
      <w:tr w14:paraId="6C74B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5"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5EE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B80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信号机与交通管理综合平台接入服务</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B8A7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1、信号机与现有的（市平台、区交通信号交通管理综合集成平台）接入服务。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2、按照交警大队要求对信号机进行配时优化，实测路口流量、流向等数据后制定早、平、晚、低峰固定配时方案调试服务。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3、有必要时，信号机厂商应负责指导绿波带控制单元数据采集工作，满足当地交通管理需要。</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928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路口</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050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8A0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7FE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D4FC60C">
            <w:pPr>
              <w:jc w:val="center"/>
              <w:rPr>
                <w:rFonts w:hint="eastAsia" w:ascii="宋体" w:hAnsi="宋体" w:eastAsia="宋体" w:cs="宋体"/>
                <w:i w:val="0"/>
                <w:iCs w:val="0"/>
                <w:color w:val="000000"/>
                <w:sz w:val="24"/>
                <w:szCs w:val="24"/>
                <w:u w:val="none"/>
              </w:rPr>
            </w:pPr>
          </w:p>
        </w:tc>
      </w:tr>
      <w:tr w14:paraId="4166F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1"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18B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2D8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信号机、电警取电（或主纤接入）顶管</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6709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1、土壤类别:投标人自行现场勘察 ；2、管材：DN50；3、施工工艺:牵引法施工；4、机械设备:安装、移位、拆除5、其他:挖土、埋设、回填土；6、计量长度按单管延长米计量，最终根据周边取电或主纤环境，确定牵引施工方案，按实结算。</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DE9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3EC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CCF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255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E7BB85A">
            <w:pPr>
              <w:jc w:val="center"/>
              <w:rPr>
                <w:rFonts w:hint="eastAsia" w:ascii="宋体" w:hAnsi="宋体" w:eastAsia="宋体" w:cs="宋体"/>
                <w:i w:val="0"/>
                <w:iCs w:val="0"/>
                <w:color w:val="000000"/>
                <w:sz w:val="24"/>
                <w:szCs w:val="24"/>
                <w:u w:val="none"/>
              </w:rPr>
            </w:pPr>
          </w:p>
        </w:tc>
      </w:tr>
      <w:tr w14:paraId="6F47B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7"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52B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BB1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取电等埋设管道</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6AAB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1、部位:绿化带、人行道下；2、名称:PE硬质管；3、规格:DN50；4、敷设方式:地埋敷设；5、土方开挖、回填夯实、余土外运由投标人综合考虑；6、计量长度按单管延长米计量，按实结算。</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55A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DEB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1FE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89A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10F28B2">
            <w:pPr>
              <w:jc w:val="center"/>
              <w:rPr>
                <w:rFonts w:hint="eastAsia" w:ascii="宋体" w:hAnsi="宋体" w:eastAsia="宋体" w:cs="宋体"/>
                <w:i w:val="0"/>
                <w:iCs w:val="0"/>
                <w:color w:val="000000"/>
                <w:sz w:val="24"/>
                <w:szCs w:val="24"/>
                <w:u w:val="none"/>
              </w:rPr>
            </w:pPr>
          </w:p>
        </w:tc>
      </w:tr>
      <w:tr w14:paraId="49FF3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7"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CCC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36B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主电源电缆</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E2ED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1、名称：主电源电缆；2、技术参数：YJV-3*10mm2；3、敷设方式:穿管；4、计量长度按单线延长米，累计用线计，用线量按实结算。</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EF7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87C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2E4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F2D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47C4C06">
            <w:pPr>
              <w:jc w:val="center"/>
              <w:rPr>
                <w:rFonts w:hint="eastAsia" w:ascii="宋体" w:hAnsi="宋体" w:eastAsia="宋体" w:cs="宋体"/>
                <w:i w:val="0"/>
                <w:iCs w:val="0"/>
                <w:color w:val="000000"/>
                <w:sz w:val="24"/>
                <w:szCs w:val="24"/>
                <w:u w:val="none"/>
              </w:rPr>
            </w:pPr>
          </w:p>
        </w:tc>
      </w:tr>
      <w:tr w14:paraId="70C73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trPr>
        <w:tc>
          <w:tcPr>
            <w:tcW w:w="1021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46E4CCA">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二、标志标线部分</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F6C25">
            <w:pPr>
              <w:jc w:val="center"/>
              <w:rPr>
                <w:rFonts w:hint="eastAsia" w:ascii="宋体" w:hAnsi="宋体" w:eastAsia="宋体" w:cs="宋体"/>
                <w:b/>
                <w:bCs/>
                <w:i w:val="0"/>
                <w:iCs w:val="0"/>
                <w:color w:val="000000"/>
                <w:sz w:val="24"/>
                <w:szCs w:val="24"/>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B7EF6">
            <w:pPr>
              <w:jc w:val="center"/>
              <w:rPr>
                <w:rFonts w:hint="eastAsia" w:ascii="宋体" w:hAnsi="宋体" w:eastAsia="宋体" w:cs="宋体"/>
                <w:b/>
                <w:bCs/>
                <w:i w:val="0"/>
                <w:iCs w:val="0"/>
                <w:color w:val="000000"/>
                <w:sz w:val="24"/>
                <w:szCs w:val="24"/>
                <w:u w:val="none"/>
              </w:rPr>
            </w:pP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C67DA">
            <w:pPr>
              <w:jc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4576A">
            <w:pPr>
              <w:jc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0D0F08A">
            <w:pPr>
              <w:jc w:val="center"/>
              <w:rPr>
                <w:rFonts w:hint="eastAsia" w:ascii="宋体" w:hAnsi="宋体" w:eastAsia="宋体" w:cs="宋体"/>
                <w:i w:val="0"/>
                <w:iCs w:val="0"/>
                <w:color w:val="000000"/>
                <w:sz w:val="24"/>
                <w:szCs w:val="24"/>
                <w:u w:val="none"/>
              </w:rPr>
            </w:pPr>
          </w:p>
        </w:tc>
      </w:tr>
      <w:tr w14:paraId="3B3E2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9"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D44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EE6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交叉口预告、合流标志</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7426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1、A90 铝板厚度 2.0mm；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2、单柱式杆件</w:t>
            </w:r>
            <w:r>
              <w:rPr>
                <w:rStyle w:val="402"/>
                <w:rFonts w:eastAsia="宋体"/>
                <w:lang w:val="en-US" w:eastAsia="zh-CN" w:bidi="ar"/>
              </w:rPr>
              <w:t>Φ</w:t>
            </w:r>
            <w:r>
              <w:rPr>
                <w:rFonts w:hint="eastAsia" w:ascii="宋体" w:hAnsi="宋体" w:eastAsia="宋体" w:cs="宋体"/>
                <w:i w:val="0"/>
                <w:iCs w:val="0"/>
                <w:color w:val="000000"/>
                <w:kern w:val="0"/>
                <w:sz w:val="24"/>
                <w:szCs w:val="24"/>
                <w:u w:val="none"/>
                <w:lang w:val="en-US" w:eastAsia="zh-CN" w:bidi="ar"/>
              </w:rPr>
              <w:t>89×5×2950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3、基础：600mm×600mm×1000mm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4、反光膜采用GB/T 18833-2012 中第Ⅲ 类反光膜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5、贴膜后样式、颜色、文字等均按国标执行</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2D2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175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DFF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974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40EA1C5">
            <w:pPr>
              <w:jc w:val="center"/>
              <w:rPr>
                <w:rFonts w:hint="eastAsia" w:ascii="宋体" w:hAnsi="宋体" w:eastAsia="宋体" w:cs="宋体"/>
                <w:i w:val="0"/>
                <w:iCs w:val="0"/>
                <w:color w:val="000000"/>
                <w:sz w:val="24"/>
                <w:szCs w:val="24"/>
                <w:u w:val="none"/>
              </w:rPr>
            </w:pPr>
          </w:p>
        </w:tc>
      </w:tr>
      <w:tr w14:paraId="684C0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9"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970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F37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停车让行标志</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58B0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1、D80 铝板厚度 2.0mm；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2、单柱式杆件</w:t>
            </w:r>
            <w:r>
              <w:rPr>
                <w:rStyle w:val="402"/>
                <w:rFonts w:eastAsia="宋体"/>
                <w:lang w:val="en-US" w:eastAsia="zh-CN" w:bidi="ar"/>
              </w:rPr>
              <w:t>Φ</w:t>
            </w:r>
            <w:r>
              <w:rPr>
                <w:rFonts w:hint="eastAsia" w:ascii="宋体" w:hAnsi="宋体" w:eastAsia="宋体" w:cs="宋体"/>
                <w:i w:val="0"/>
                <w:iCs w:val="0"/>
                <w:color w:val="000000"/>
                <w:kern w:val="0"/>
                <w:sz w:val="24"/>
                <w:szCs w:val="24"/>
                <w:u w:val="none"/>
                <w:lang w:val="en-US" w:eastAsia="zh-CN" w:bidi="ar"/>
              </w:rPr>
              <w:t>89×5×3150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3、基础：600mm×600mm×1000mm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4、反光膜采用GB/T 18833-2012 中第Ⅲ 类反光膜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5、贴膜后样式、颜色、文字等均按国标执行</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4F0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AF5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1BD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554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88D6141">
            <w:pPr>
              <w:jc w:val="center"/>
              <w:rPr>
                <w:rFonts w:hint="eastAsia" w:ascii="宋体" w:hAnsi="宋体" w:eastAsia="宋体" w:cs="宋体"/>
                <w:i w:val="0"/>
                <w:iCs w:val="0"/>
                <w:color w:val="000000"/>
                <w:sz w:val="24"/>
                <w:szCs w:val="24"/>
                <w:u w:val="none"/>
              </w:rPr>
            </w:pPr>
          </w:p>
        </w:tc>
      </w:tr>
      <w:tr w14:paraId="6A460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9"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7E7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46F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右转必停+附着标志牌</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C376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1、D80 铝板厚度 2.0mm；800mm×400mm铝板厚度 2.0mm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2、单柱式杆件</w:t>
            </w:r>
            <w:r>
              <w:rPr>
                <w:rStyle w:val="402"/>
                <w:rFonts w:eastAsia="宋体"/>
                <w:lang w:val="en-US" w:eastAsia="zh-CN" w:bidi="ar"/>
              </w:rPr>
              <w:t>Φ</w:t>
            </w:r>
            <w:r>
              <w:rPr>
                <w:rFonts w:hint="eastAsia" w:ascii="宋体" w:hAnsi="宋体" w:eastAsia="宋体" w:cs="宋体"/>
                <w:i w:val="0"/>
                <w:iCs w:val="0"/>
                <w:color w:val="000000"/>
                <w:kern w:val="0"/>
                <w:sz w:val="24"/>
                <w:szCs w:val="24"/>
                <w:u w:val="none"/>
                <w:lang w:val="en-US" w:eastAsia="zh-CN" w:bidi="ar"/>
              </w:rPr>
              <w:t>89×5×3150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3、基础：600mm×600mm×1000mm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4、反光膜采用GB/T 18833-2012 中第Ⅲ 类反光膜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5、贴膜后样式、颜色、文字等均按国标执行</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E61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EE0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EFA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9BB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BEDDFC1">
            <w:pPr>
              <w:jc w:val="center"/>
              <w:rPr>
                <w:rFonts w:hint="eastAsia" w:ascii="宋体" w:hAnsi="宋体" w:eastAsia="宋体" w:cs="宋体"/>
                <w:i w:val="0"/>
                <w:iCs w:val="0"/>
                <w:color w:val="000000"/>
                <w:sz w:val="24"/>
                <w:szCs w:val="24"/>
                <w:u w:val="none"/>
              </w:rPr>
            </w:pPr>
          </w:p>
        </w:tc>
      </w:tr>
      <w:tr w14:paraId="1F092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9"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4A6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455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前方村庄减速慢行、严禁公路晾晒谷物 标志牌</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BF3D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1、1900mm×1100mm 铝板厚度 3.0mm；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2、单柱式杆件 </w:t>
            </w:r>
            <w:r>
              <w:rPr>
                <w:rStyle w:val="402"/>
                <w:rFonts w:eastAsia="宋体"/>
                <w:lang w:val="en-US" w:eastAsia="zh-CN" w:bidi="ar"/>
              </w:rPr>
              <w:t>Φ</w:t>
            </w:r>
            <w:r>
              <w:rPr>
                <w:rFonts w:hint="eastAsia" w:ascii="宋体" w:hAnsi="宋体" w:eastAsia="宋体" w:cs="宋体"/>
                <w:i w:val="0"/>
                <w:iCs w:val="0"/>
                <w:color w:val="000000"/>
                <w:kern w:val="0"/>
                <w:sz w:val="24"/>
                <w:szCs w:val="24"/>
                <w:u w:val="none"/>
                <w:lang w:val="en-US" w:eastAsia="zh-CN" w:bidi="ar"/>
              </w:rPr>
              <w:t>100×4×4.0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3、基础：800mm×800mm×1000mm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4、反光膜采用GB/T 18833-2012 中第Ⅲ 类反光膜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5、贴膜后样式、颜色、文字等均按国标执行</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914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FD5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9FC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2AB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B6F5029">
            <w:pPr>
              <w:jc w:val="center"/>
              <w:rPr>
                <w:rFonts w:hint="eastAsia" w:ascii="宋体" w:hAnsi="宋体" w:eastAsia="宋体" w:cs="宋体"/>
                <w:i w:val="0"/>
                <w:iCs w:val="0"/>
                <w:color w:val="000000"/>
                <w:sz w:val="24"/>
                <w:szCs w:val="24"/>
                <w:u w:val="none"/>
              </w:rPr>
            </w:pPr>
          </w:p>
        </w:tc>
      </w:tr>
      <w:tr w14:paraId="3B314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3"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126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D69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弯道发光诱导标志</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4545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1、800mm×600mm 铝板厚度1.5mm；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2、单柱式杆件 </w:t>
            </w:r>
            <w:r>
              <w:rPr>
                <w:rStyle w:val="402"/>
                <w:rFonts w:eastAsia="宋体"/>
                <w:lang w:val="en-US" w:eastAsia="zh-CN" w:bidi="ar"/>
              </w:rPr>
              <w:t>Φ</w:t>
            </w:r>
            <w:r>
              <w:rPr>
                <w:rFonts w:hint="eastAsia" w:ascii="宋体" w:hAnsi="宋体" w:eastAsia="宋体" w:cs="宋体"/>
                <w:i w:val="0"/>
                <w:iCs w:val="0"/>
                <w:color w:val="000000"/>
                <w:kern w:val="0"/>
                <w:sz w:val="24"/>
                <w:szCs w:val="24"/>
                <w:u w:val="none"/>
                <w:lang w:val="en-US" w:eastAsia="zh-CN" w:bidi="ar"/>
              </w:rPr>
              <w:t>78×2×3.2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3、基础：400mm×400mm×600mm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4、反光膜采用GB/T 18833-2012 中第Ⅲ 类反光膜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5、贴膜后样式、颜色、文字等均按国标执行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6、灯珠式主动发光型，含PE管和线缆等辅材</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2B2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607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6AB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BAC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DD858C1">
            <w:pPr>
              <w:jc w:val="center"/>
              <w:rPr>
                <w:rFonts w:hint="eastAsia" w:ascii="宋体" w:hAnsi="宋体" w:eastAsia="宋体" w:cs="宋体"/>
                <w:i w:val="0"/>
                <w:iCs w:val="0"/>
                <w:color w:val="000000"/>
                <w:sz w:val="24"/>
                <w:szCs w:val="24"/>
                <w:u w:val="none"/>
              </w:rPr>
            </w:pPr>
          </w:p>
        </w:tc>
      </w:tr>
      <w:tr w14:paraId="3681A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9"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E2C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438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公路两侧严禁设点摆摊 标志牌</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CD07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1、2800mm×1100mm 铝板厚度 3.0mm；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2、杆件Φ180×8×6550，横臂式杆件Φ90×8×4390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3、基础：800mm×800mm×1500mm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4、反光膜采用GB/T 18833-2012 中第Ⅲ 类反光膜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5、贴膜后样式、颜色、文字等均按国标执行</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142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2EB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154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A48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58DECFF">
            <w:pPr>
              <w:jc w:val="center"/>
              <w:rPr>
                <w:rFonts w:hint="eastAsia" w:ascii="宋体" w:hAnsi="宋体" w:eastAsia="宋体" w:cs="宋体"/>
                <w:i w:val="0"/>
                <w:iCs w:val="0"/>
                <w:color w:val="000000"/>
                <w:sz w:val="24"/>
                <w:szCs w:val="24"/>
                <w:u w:val="none"/>
              </w:rPr>
            </w:pPr>
          </w:p>
        </w:tc>
      </w:tr>
      <w:tr w14:paraId="51C26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9"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4BD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61F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分车道指示牌</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5CB5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1、2500mm×1500mm 铝板厚度 3.0mm；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2、杆件 </w:t>
            </w:r>
            <w:r>
              <w:rPr>
                <w:rStyle w:val="402"/>
                <w:rFonts w:eastAsia="宋体"/>
                <w:lang w:val="en-US" w:eastAsia="zh-CN" w:bidi="ar"/>
              </w:rPr>
              <w:t>Φ</w:t>
            </w:r>
            <w:r>
              <w:rPr>
                <w:rFonts w:hint="eastAsia" w:ascii="宋体" w:hAnsi="宋体" w:eastAsia="宋体" w:cs="宋体"/>
                <w:i w:val="0"/>
                <w:iCs w:val="0"/>
                <w:color w:val="000000"/>
                <w:kern w:val="0"/>
                <w:sz w:val="24"/>
                <w:szCs w:val="24"/>
                <w:u w:val="none"/>
                <w:lang w:val="en-US" w:eastAsia="zh-CN" w:bidi="ar"/>
              </w:rPr>
              <w:t>220×10×7570，横臂式杆件</w:t>
            </w:r>
            <w:r>
              <w:rPr>
                <w:rStyle w:val="402"/>
                <w:rFonts w:eastAsia="宋体"/>
                <w:lang w:val="en-US" w:eastAsia="zh-CN" w:bidi="ar"/>
              </w:rPr>
              <w:t>Φ</w:t>
            </w:r>
            <w:r>
              <w:rPr>
                <w:rFonts w:hint="eastAsia" w:ascii="宋体" w:hAnsi="宋体" w:eastAsia="宋体" w:cs="宋体"/>
                <w:i w:val="0"/>
                <w:iCs w:val="0"/>
                <w:color w:val="000000"/>
                <w:kern w:val="0"/>
                <w:sz w:val="24"/>
                <w:szCs w:val="24"/>
                <w:u w:val="none"/>
                <w:lang w:val="en-US" w:eastAsia="zh-CN" w:bidi="ar"/>
              </w:rPr>
              <w:t>140×10×4541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3、基础：1300mm×1300mm×2000mm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4、反光膜采用GB/T 18833-2012 中第Ⅲ 类反光膜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5、贴膜后样式、颜色、文字等均按国标执行</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521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D85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430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017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677C320">
            <w:pPr>
              <w:jc w:val="center"/>
              <w:rPr>
                <w:rFonts w:hint="eastAsia" w:ascii="宋体" w:hAnsi="宋体" w:eastAsia="宋体" w:cs="宋体"/>
                <w:i w:val="0"/>
                <w:iCs w:val="0"/>
                <w:color w:val="000000"/>
                <w:sz w:val="24"/>
                <w:szCs w:val="24"/>
                <w:u w:val="none"/>
              </w:rPr>
            </w:pPr>
          </w:p>
        </w:tc>
      </w:tr>
      <w:tr w14:paraId="73F27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9"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8B6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EFE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指路牌</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3754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1、4000mm×2800mm 铝板厚度 3.0mm；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2、杆件 </w:t>
            </w:r>
            <w:r>
              <w:rPr>
                <w:rStyle w:val="402"/>
                <w:rFonts w:eastAsia="宋体"/>
                <w:lang w:val="en-US" w:eastAsia="zh-CN" w:bidi="ar"/>
              </w:rPr>
              <w:t>Φ</w:t>
            </w:r>
            <w:r>
              <w:rPr>
                <w:rFonts w:hint="eastAsia" w:ascii="宋体" w:hAnsi="宋体" w:eastAsia="宋体" w:cs="宋体"/>
                <w:i w:val="0"/>
                <w:iCs w:val="0"/>
                <w:color w:val="000000"/>
                <w:kern w:val="0"/>
                <w:sz w:val="24"/>
                <w:szCs w:val="24"/>
                <w:u w:val="none"/>
                <w:lang w:val="en-US" w:eastAsia="zh-CN" w:bidi="ar"/>
              </w:rPr>
              <w:t>273×12×8100，横臂式杆件</w:t>
            </w:r>
            <w:r>
              <w:rPr>
                <w:rStyle w:val="402"/>
                <w:rFonts w:eastAsia="宋体"/>
                <w:lang w:val="en-US" w:eastAsia="zh-CN" w:bidi="ar"/>
              </w:rPr>
              <w:t>Φ</w:t>
            </w:r>
            <w:r>
              <w:rPr>
                <w:rFonts w:hint="eastAsia" w:ascii="宋体" w:hAnsi="宋体" w:eastAsia="宋体" w:cs="宋体"/>
                <w:i w:val="0"/>
                <w:iCs w:val="0"/>
                <w:color w:val="000000"/>
                <w:kern w:val="0"/>
                <w:sz w:val="24"/>
                <w:szCs w:val="24"/>
                <w:u w:val="none"/>
                <w:lang w:val="en-US" w:eastAsia="zh-CN" w:bidi="ar"/>
              </w:rPr>
              <w:t>219×8×6137</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3、基础：1800mm×1800mm×2000mm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4、反光膜采用GB/T 18833-2012 中第Ⅲ 类反光膜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5、贴膜后样式、颜色、文字等均按国标执行</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70C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283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7CF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63D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67C9CE7">
            <w:pPr>
              <w:jc w:val="center"/>
              <w:rPr>
                <w:rFonts w:hint="eastAsia" w:ascii="宋体" w:hAnsi="宋体" w:eastAsia="宋体" w:cs="宋体"/>
                <w:i w:val="0"/>
                <w:iCs w:val="0"/>
                <w:color w:val="000000"/>
                <w:sz w:val="24"/>
                <w:szCs w:val="24"/>
                <w:u w:val="none"/>
              </w:rPr>
            </w:pPr>
          </w:p>
        </w:tc>
      </w:tr>
      <w:tr w14:paraId="3D7EC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3"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A83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A09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停车让行标线</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39A3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1、停止线、人行横道线等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2、颜色：白色、黄色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3、厚度：1.5mm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4、材料品种：热熔型反光材料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5、工程量按实涂面积计算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6、其他要求：详见设计图纸</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07A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BC6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040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F4E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A8363A6">
            <w:pPr>
              <w:jc w:val="center"/>
              <w:rPr>
                <w:rFonts w:hint="eastAsia" w:ascii="宋体" w:hAnsi="宋体" w:eastAsia="宋体" w:cs="宋体"/>
                <w:i w:val="0"/>
                <w:iCs w:val="0"/>
                <w:color w:val="000000"/>
                <w:sz w:val="24"/>
                <w:szCs w:val="24"/>
                <w:u w:val="none"/>
              </w:rPr>
            </w:pPr>
          </w:p>
        </w:tc>
      </w:tr>
      <w:tr w14:paraId="58C67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9"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274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740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纵向减速标线</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91DA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1、颜色：白色、黄色；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2、厚度：基线厚度1.8mm～2.5mm；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3、材料品种：热熔型反光标线涂料；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4、工程量按实涂面积计算；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5、其他要求：详见设计图纸</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2A8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658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3280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370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46F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B7A9D3A">
            <w:pPr>
              <w:jc w:val="center"/>
              <w:rPr>
                <w:rFonts w:hint="eastAsia" w:ascii="宋体" w:hAnsi="宋体" w:eastAsia="宋体" w:cs="宋体"/>
                <w:i w:val="0"/>
                <w:iCs w:val="0"/>
                <w:color w:val="000000"/>
                <w:sz w:val="24"/>
                <w:szCs w:val="24"/>
                <w:u w:val="none"/>
              </w:rPr>
            </w:pPr>
          </w:p>
        </w:tc>
      </w:tr>
      <w:tr w14:paraId="3A306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CEA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27F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标线出新</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043E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详见图纸及甲方要求</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54F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28A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CB4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335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126802A">
            <w:pPr>
              <w:jc w:val="center"/>
              <w:rPr>
                <w:rFonts w:hint="eastAsia" w:ascii="宋体" w:hAnsi="宋体" w:eastAsia="宋体" w:cs="宋体"/>
                <w:i w:val="0"/>
                <w:iCs w:val="0"/>
                <w:color w:val="000000"/>
                <w:sz w:val="24"/>
                <w:szCs w:val="24"/>
                <w:u w:val="none"/>
              </w:rPr>
            </w:pPr>
          </w:p>
        </w:tc>
      </w:tr>
      <w:tr w14:paraId="0CB0B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734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039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导流线</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1DF9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详见图纸及甲方要求</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E25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C7F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2B1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A20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6531352">
            <w:pPr>
              <w:jc w:val="center"/>
              <w:rPr>
                <w:rFonts w:hint="eastAsia" w:ascii="宋体" w:hAnsi="宋体" w:eastAsia="宋体" w:cs="宋体"/>
                <w:i w:val="0"/>
                <w:iCs w:val="0"/>
                <w:color w:val="000000"/>
                <w:sz w:val="24"/>
                <w:szCs w:val="24"/>
                <w:u w:val="none"/>
              </w:rPr>
            </w:pPr>
          </w:p>
        </w:tc>
      </w:tr>
      <w:tr w14:paraId="3B3EC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70D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932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非机动车地面标识</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9D5A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详见图纸及甲方要求</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737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49A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12F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0F8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211CE6D">
            <w:pPr>
              <w:jc w:val="center"/>
              <w:rPr>
                <w:rFonts w:hint="eastAsia" w:ascii="宋体" w:hAnsi="宋体" w:eastAsia="宋体" w:cs="宋体"/>
                <w:i w:val="0"/>
                <w:iCs w:val="0"/>
                <w:color w:val="000000"/>
                <w:sz w:val="24"/>
                <w:szCs w:val="24"/>
                <w:u w:val="none"/>
              </w:rPr>
            </w:pPr>
          </w:p>
        </w:tc>
      </w:tr>
      <w:tr w14:paraId="2241C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7"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6D1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774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非机动车彩色等待及通行区</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BFC4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详见图纸及甲方要求</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0CB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C5C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1560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13A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DC2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958EB3E">
            <w:pPr>
              <w:jc w:val="center"/>
              <w:rPr>
                <w:rFonts w:hint="eastAsia" w:ascii="宋体" w:hAnsi="宋体" w:eastAsia="宋体" w:cs="宋体"/>
                <w:i w:val="0"/>
                <w:iCs w:val="0"/>
                <w:color w:val="000000"/>
                <w:sz w:val="24"/>
                <w:szCs w:val="24"/>
                <w:u w:val="none"/>
              </w:rPr>
            </w:pPr>
          </w:p>
        </w:tc>
      </w:tr>
      <w:tr w14:paraId="4BAF6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5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FB13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23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46B9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右转危险警示区</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8E37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冷喷颜色，红色。工程量按实涂面积计算</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4DF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F25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0CF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679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4DA10AA">
            <w:pPr>
              <w:jc w:val="center"/>
              <w:rPr>
                <w:rFonts w:hint="eastAsia" w:ascii="宋体" w:hAnsi="宋体" w:eastAsia="宋体" w:cs="宋体"/>
                <w:i w:val="0"/>
                <w:iCs w:val="0"/>
                <w:color w:val="000000"/>
                <w:sz w:val="24"/>
                <w:szCs w:val="24"/>
                <w:u w:val="none"/>
              </w:rPr>
            </w:pPr>
          </w:p>
        </w:tc>
      </w:tr>
      <w:tr w14:paraId="219CF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EC2A83">
            <w:pPr>
              <w:jc w:val="center"/>
              <w:rPr>
                <w:rFonts w:hint="eastAsia" w:ascii="宋体" w:hAnsi="宋体" w:eastAsia="宋体" w:cs="宋体"/>
                <w:i w:val="0"/>
                <w:iCs w:val="0"/>
                <w:color w:val="000000"/>
                <w:sz w:val="24"/>
                <w:szCs w:val="24"/>
                <w:u w:val="none"/>
              </w:rPr>
            </w:pPr>
          </w:p>
        </w:tc>
        <w:tc>
          <w:tcPr>
            <w:tcW w:w="2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B3F220">
            <w:pPr>
              <w:jc w:val="center"/>
              <w:rPr>
                <w:rFonts w:hint="eastAsia" w:ascii="宋体" w:hAnsi="宋体" w:eastAsia="宋体" w:cs="宋体"/>
                <w:i w:val="0"/>
                <w:iCs w:val="0"/>
                <w:color w:val="000000"/>
                <w:sz w:val="24"/>
                <w:szCs w:val="24"/>
                <w:u w:val="none"/>
              </w:rPr>
            </w:pP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189B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危险区域字,1个方向4个字“危险区域”一组（以组报价）</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4D7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131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385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17A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3D28B78">
            <w:pPr>
              <w:jc w:val="center"/>
              <w:rPr>
                <w:rFonts w:hint="eastAsia" w:ascii="宋体" w:hAnsi="宋体" w:eastAsia="宋体" w:cs="宋体"/>
                <w:i w:val="0"/>
                <w:iCs w:val="0"/>
                <w:color w:val="000000"/>
                <w:sz w:val="24"/>
                <w:szCs w:val="24"/>
                <w:u w:val="none"/>
              </w:rPr>
            </w:pPr>
          </w:p>
        </w:tc>
      </w:tr>
      <w:tr w14:paraId="4ADB1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B2E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B56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公交标线</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3D9C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详见图纸及甲方要求</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5B2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2C0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13B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94C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F736F26">
            <w:pPr>
              <w:jc w:val="center"/>
              <w:rPr>
                <w:rFonts w:hint="eastAsia" w:ascii="宋体" w:hAnsi="宋体" w:eastAsia="宋体" w:cs="宋体"/>
                <w:i w:val="0"/>
                <w:iCs w:val="0"/>
                <w:color w:val="000000"/>
                <w:sz w:val="24"/>
                <w:szCs w:val="24"/>
                <w:u w:val="none"/>
              </w:rPr>
            </w:pPr>
          </w:p>
        </w:tc>
      </w:tr>
      <w:tr w14:paraId="27FC6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7"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911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0F8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清除标线</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4D4A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1、清除方法:机械水磨 2、工作内容：清除原有路面标线，3、工作量为暂估量，具体以现场实施为准并需甲方确认最终实际施工数量。</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9D8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64B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590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48F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C59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76A190E">
            <w:pPr>
              <w:jc w:val="center"/>
              <w:rPr>
                <w:rFonts w:hint="eastAsia" w:ascii="宋体" w:hAnsi="宋体" w:eastAsia="宋体" w:cs="宋体"/>
                <w:i w:val="0"/>
                <w:iCs w:val="0"/>
                <w:color w:val="000000"/>
                <w:sz w:val="24"/>
                <w:szCs w:val="24"/>
                <w:u w:val="none"/>
              </w:rPr>
            </w:pPr>
          </w:p>
        </w:tc>
      </w:tr>
      <w:tr w14:paraId="703D0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7"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B98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4F8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单立柱爆闪灯+附着式标识牌</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992E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详见图纸及甲方要求</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823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EFA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41.0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0B2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3EB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3C44401">
            <w:pPr>
              <w:jc w:val="center"/>
              <w:rPr>
                <w:rFonts w:hint="eastAsia" w:ascii="宋体" w:hAnsi="宋体" w:eastAsia="宋体" w:cs="宋体"/>
                <w:i w:val="0"/>
                <w:iCs w:val="0"/>
                <w:color w:val="000000"/>
                <w:sz w:val="24"/>
                <w:szCs w:val="24"/>
                <w:u w:val="none"/>
              </w:rPr>
            </w:pPr>
          </w:p>
        </w:tc>
      </w:tr>
      <w:tr w14:paraId="02CE5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CC5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709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路侧波形护栏</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C78B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Grd-Am-2E</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4A8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195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530.0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4E9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7D3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99B8FC7">
            <w:pPr>
              <w:jc w:val="center"/>
              <w:rPr>
                <w:rFonts w:hint="eastAsia" w:ascii="宋体" w:hAnsi="宋体" w:eastAsia="宋体" w:cs="宋体"/>
                <w:i w:val="0"/>
                <w:iCs w:val="0"/>
                <w:color w:val="000000"/>
                <w:sz w:val="24"/>
                <w:szCs w:val="24"/>
                <w:u w:val="none"/>
              </w:rPr>
            </w:pPr>
          </w:p>
        </w:tc>
      </w:tr>
      <w:tr w14:paraId="69F8D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3D2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57B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机非护栏</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4961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京式护栏</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810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A3A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32.0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FA1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6F6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C26DD24">
            <w:pPr>
              <w:jc w:val="center"/>
              <w:rPr>
                <w:rFonts w:hint="eastAsia" w:ascii="宋体" w:hAnsi="宋体" w:eastAsia="宋体" w:cs="宋体"/>
                <w:i w:val="0"/>
                <w:iCs w:val="0"/>
                <w:color w:val="000000"/>
                <w:sz w:val="24"/>
                <w:szCs w:val="24"/>
                <w:u w:val="none"/>
              </w:rPr>
            </w:pPr>
          </w:p>
        </w:tc>
      </w:tr>
      <w:tr w14:paraId="08A6C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469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B43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中隔离护栏</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0355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京式护栏</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493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4F0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65.0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117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C80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BB655A5">
            <w:pPr>
              <w:jc w:val="center"/>
              <w:rPr>
                <w:rFonts w:hint="eastAsia" w:ascii="宋体" w:hAnsi="宋体" w:eastAsia="宋体" w:cs="宋体"/>
                <w:i w:val="0"/>
                <w:iCs w:val="0"/>
                <w:color w:val="000000"/>
                <w:sz w:val="24"/>
                <w:szCs w:val="24"/>
                <w:u w:val="none"/>
              </w:rPr>
            </w:pPr>
          </w:p>
        </w:tc>
      </w:tr>
      <w:tr w14:paraId="1D5DA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0E4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034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镀锌钢管警示桩</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BE67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详见图纸及甲方要求</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E64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0E9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36.0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C42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78F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FA609CF">
            <w:pPr>
              <w:jc w:val="center"/>
              <w:rPr>
                <w:rFonts w:hint="eastAsia" w:ascii="宋体" w:hAnsi="宋体" w:eastAsia="宋体" w:cs="宋体"/>
                <w:i w:val="0"/>
                <w:iCs w:val="0"/>
                <w:color w:val="000000"/>
                <w:sz w:val="24"/>
                <w:szCs w:val="24"/>
                <w:u w:val="none"/>
              </w:rPr>
            </w:pPr>
          </w:p>
        </w:tc>
      </w:tr>
      <w:tr w14:paraId="7A482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2F8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26B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爆闪灯+警示桩</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C28A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详见图纸及甲方要求</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E72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6AB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F5F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C50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20D9126">
            <w:pPr>
              <w:jc w:val="center"/>
              <w:rPr>
                <w:rFonts w:hint="eastAsia" w:ascii="宋体" w:hAnsi="宋体" w:eastAsia="宋体" w:cs="宋体"/>
                <w:i w:val="0"/>
                <w:iCs w:val="0"/>
                <w:color w:val="000000"/>
                <w:sz w:val="24"/>
                <w:szCs w:val="24"/>
                <w:u w:val="none"/>
              </w:rPr>
            </w:pPr>
          </w:p>
        </w:tc>
      </w:tr>
      <w:tr w14:paraId="192E0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EC0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A94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反光道钉</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29D8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详见图纸及甲方要求</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E64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554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100.0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8A7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5A4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32CA33C">
            <w:pPr>
              <w:jc w:val="center"/>
              <w:rPr>
                <w:rFonts w:hint="eastAsia" w:ascii="宋体" w:hAnsi="宋体" w:eastAsia="宋体" w:cs="宋体"/>
                <w:i w:val="0"/>
                <w:iCs w:val="0"/>
                <w:color w:val="000000"/>
                <w:sz w:val="24"/>
                <w:szCs w:val="24"/>
                <w:u w:val="none"/>
              </w:rPr>
            </w:pPr>
          </w:p>
        </w:tc>
      </w:tr>
      <w:tr w14:paraId="6967C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68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F4F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减速垄</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31BB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详见图纸及甲方要求</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E5F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33D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300.0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1F1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B12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7680C40">
            <w:pPr>
              <w:jc w:val="center"/>
              <w:rPr>
                <w:rFonts w:hint="eastAsia" w:ascii="宋体" w:hAnsi="宋体" w:eastAsia="宋体" w:cs="宋体"/>
                <w:i w:val="0"/>
                <w:iCs w:val="0"/>
                <w:color w:val="000000"/>
                <w:sz w:val="24"/>
                <w:szCs w:val="24"/>
                <w:u w:val="none"/>
              </w:rPr>
            </w:pPr>
          </w:p>
        </w:tc>
      </w:tr>
      <w:tr w14:paraId="3A183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trPr>
        <w:tc>
          <w:tcPr>
            <w:tcW w:w="1021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E91C015">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三、监控部分</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271DC">
            <w:pPr>
              <w:jc w:val="center"/>
              <w:rPr>
                <w:rFonts w:hint="eastAsia" w:ascii="宋体" w:hAnsi="宋体" w:eastAsia="宋体" w:cs="宋体"/>
                <w:b/>
                <w:bCs/>
                <w:i w:val="0"/>
                <w:iCs w:val="0"/>
                <w:color w:val="000000"/>
                <w:sz w:val="24"/>
                <w:szCs w:val="24"/>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6E5AE">
            <w:pPr>
              <w:jc w:val="center"/>
              <w:rPr>
                <w:rFonts w:hint="eastAsia" w:ascii="宋体" w:hAnsi="宋体" w:eastAsia="宋体" w:cs="宋体"/>
                <w:b/>
                <w:bCs/>
                <w:i w:val="0"/>
                <w:iCs w:val="0"/>
                <w:color w:val="000000"/>
                <w:sz w:val="24"/>
                <w:szCs w:val="24"/>
                <w:u w:val="none"/>
              </w:rPr>
            </w:pP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A726D">
            <w:pPr>
              <w:jc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D24CF">
            <w:pPr>
              <w:jc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167AEE8">
            <w:pPr>
              <w:jc w:val="center"/>
              <w:rPr>
                <w:rFonts w:hint="eastAsia" w:ascii="宋体" w:hAnsi="宋体" w:eastAsia="宋体" w:cs="宋体"/>
                <w:i w:val="0"/>
                <w:iCs w:val="0"/>
                <w:color w:val="000000"/>
                <w:sz w:val="24"/>
                <w:szCs w:val="24"/>
                <w:u w:val="none"/>
              </w:rPr>
            </w:pPr>
          </w:p>
        </w:tc>
      </w:tr>
      <w:tr w14:paraId="5140E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3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E4B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3D8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防疲劳激光灯</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4D27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1、输入电压:12V或24V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2、功率≤30W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3、控制模式:通电亮灯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4、Y轴：30度左右（手动调节）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5、光点距离:15º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6、激光输出功率:绿2000mW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7、功率稳定性:5％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8、输出光斑直径(mm): ＞8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9、光斑椭圆度:＞0.9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10、预热时间(min):＜15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11、使用温度:-10ºC到35ºC</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12、储存温度:40ºC到-10ºC</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13、重量: 3kg±10%</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82E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40E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16.0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FEA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2D0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CBCF9FF">
            <w:pPr>
              <w:jc w:val="center"/>
              <w:rPr>
                <w:rFonts w:hint="eastAsia" w:ascii="宋体" w:hAnsi="宋体" w:eastAsia="宋体" w:cs="宋体"/>
                <w:i w:val="0"/>
                <w:iCs w:val="0"/>
                <w:color w:val="000000"/>
                <w:sz w:val="24"/>
                <w:szCs w:val="24"/>
                <w:u w:val="none"/>
              </w:rPr>
            </w:pPr>
          </w:p>
        </w:tc>
      </w:tr>
      <w:tr w14:paraId="383D7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9"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3EA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C9A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信号灯灯带</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54A7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1、可视角度/可视距离 ＞30度/＞300M；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2、工作寿命 ＞80000小时；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3、LED灯数量 红灯144颗/米，黄灯144颗/米，绿灯144颗/米；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4、波长 红灯630±5nm，黄灯590±5nm，绿灯505±5nm；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5、亮度 红色4800-6800mcd，黄色4500-6500mcd，绿色8500-10500mcd。</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494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99C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600.0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8C3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4B9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A6ECD">
            <w:pPr>
              <w:jc w:val="center"/>
              <w:rPr>
                <w:rFonts w:hint="eastAsia" w:ascii="宋体" w:hAnsi="宋体" w:eastAsia="宋体" w:cs="宋体"/>
                <w:i w:val="0"/>
                <w:iCs w:val="0"/>
                <w:color w:val="000000"/>
                <w:sz w:val="24"/>
                <w:szCs w:val="24"/>
                <w:u w:val="none"/>
              </w:rPr>
            </w:pPr>
          </w:p>
        </w:tc>
      </w:tr>
      <w:tr w14:paraId="2F8FE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24"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AE1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F4B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太阳能测速版</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0800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 显示方式：3位数显示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 供电方式：可使用90-240V市电。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3工作参数：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工作电压：12V ;  工作电流：&lt;1.1A ;  最大探测车速：199公里/小时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 提示限速显示模式：可以设置10，15,20，25,30，35,40，35,50，55,60，65,70，75,80,85,90,95,100,105,110,115,120限速，没有超速显示绿色数字，超速时显示红色数字。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 适用范围：城市快速道路，高速公路，城郊连接线，机关院校等对车速有限制的路段。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 同时适用3-4个车道。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7、雷达频率:K波段（24.150G）    可探测距离:≤150米      响应时间:≤5ms     漏能值:≤3</w:t>
            </w:r>
            <w:r>
              <w:rPr>
                <w:rStyle w:val="402"/>
                <w:rFonts w:eastAsia="宋体"/>
                <w:lang w:val="en-US" w:eastAsia="zh-CN" w:bidi="ar"/>
              </w:rPr>
              <w:t>μ</w:t>
            </w:r>
            <w:r>
              <w:rPr>
                <w:rFonts w:hint="eastAsia" w:ascii="宋体" w:hAnsi="宋体" w:eastAsia="宋体" w:cs="宋体"/>
                <w:i w:val="0"/>
                <w:iCs w:val="0"/>
                <w:color w:val="000000"/>
                <w:kern w:val="0"/>
                <w:sz w:val="24"/>
                <w:szCs w:val="24"/>
                <w:u w:val="none"/>
                <w:lang w:val="en-US" w:eastAsia="zh-CN" w:bidi="ar"/>
              </w:rPr>
              <w:t>w/cm2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8、测出正确读数，唯一要求是目标移动方向直指雷达测速仪。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9、满足各种测试环境，可应对不同天气，雨天雾天可在车内正常测速。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10、标牌尺寸1940*940mm（标牌反光膜颜色黄色、白色任选，标牌表面字样按用户要求制作）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11、数字显示尺寸370mm高*700mm宽(3位数显示)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12、显示屏外框规格：570*800*240mm</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A58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2D4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C7B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363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CDDE2">
            <w:pPr>
              <w:jc w:val="center"/>
              <w:rPr>
                <w:rFonts w:hint="eastAsia" w:ascii="宋体" w:hAnsi="宋体" w:eastAsia="宋体" w:cs="宋体"/>
                <w:i w:val="0"/>
                <w:iCs w:val="0"/>
                <w:color w:val="000000"/>
                <w:sz w:val="24"/>
                <w:szCs w:val="24"/>
                <w:u w:val="none"/>
              </w:rPr>
            </w:pPr>
          </w:p>
        </w:tc>
      </w:tr>
      <w:tr w14:paraId="55F49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61"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843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DC0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哨兵系统</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B88B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LED道路安全预警一体机，采用高精度毫米波雷达 &amp; 200万低照度摄像机；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雷达测速范围0 ~ 250 km/h，作用距离≥100m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支持人、车目标经过时红蓝爆闪灯可闪烁警示；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支持来车预警、自定义语言播报提醒；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P10模组LED屏红绿双色用于警示信息发布，支持预警文字显示，支持平台下发预警信息；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内置大功率音柱，支持音量调节，可分时段控制；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支持多设备联动预警，采用lora射频通信；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LED尺寸不低于320mm*1280mm；</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B54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F9D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9A9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079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2F422">
            <w:pPr>
              <w:jc w:val="center"/>
              <w:rPr>
                <w:rFonts w:hint="eastAsia" w:ascii="宋体" w:hAnsi="宋体" w:eastAsia="宋体" w:cs="宋体"/>
                <w:i w:val="0"/>
                <w:iCs w:val="0"/>
                <w:color w:val="000000"/>
                <w:sz w:val="24"/>
                <w:szCs w:val="24"/>
                <w:u w:val="none"/>
              </w:rPr>
            </w:pPr>
          </w:p>
        </w:tc>
      </w:tr>
      <w:tr w14:paraId="44A3C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99"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92D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977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LED预警显示屏+爆闪灯</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AC74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【道路安全预警屏】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产品尺寸：≥520mm×1360mm×100mm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材质：铝板折边、表面喷塑哑光处理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像素：≥32×128</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像素组成：1R1G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点间距：10mm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水平可视角度：110°±10°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垂直可视角度：60°±10°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平均无故障时间:≥10000小时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使用寿命:100000小时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控制方式：10/100M以太网、自动定时控制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输入电压：DC 24V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【红蓝警示灯】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LED数量：20*8片=160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LED波长：蓝色460±5 nm ，红色625±5 nm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工作方式：24小时全天工作、跟随节目可选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闪烁方式：红蓝交替爆闪多种模式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闪烁频率：2Hz，120次/分钟，</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148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A6B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7F1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8C5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EB2CC">
            <w:pPr>
              <w:jc w:val="center"/>
              <w:rPr>
                <w:rFonts w:hint="eastAsia" w:ascii="宋体" w:hAnsi="宋体" w:eastAsia="宋体" w:cs="宋体"/>
                <w:i w:val="0"/>
                <w:iCs w:val="0"/>
                <w:color w:val="000000"/>
                <w:sz w:val="24"/>
                <w:szCs w:val="24"/>
                <w:u w:val="none"/>
              </w:rPr>
            </w:pPr>
          </w:p>
        </w:tc>
      </w:tr>
      <w:tr w14:paraId="0E470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12"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336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0AF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雷达预警一体机</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779A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1、一体机包含雷达及摄像机，摄像机靶面≥1/1.8"CMOS，分辨率≥3840×2160。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2、支持在视频画面上实时叠加显示检测目标信息，包括目标ID、目标类型、目标置信度、目标滞留时间、目标长度、宽度、高度。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3、支持检测目标的历史行驶轨迹可在视频上叠加,支持叠加的目标轨迹数不低于50条,同时支持在设备WEB界面查看目标行驶轨迹。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4、支持雷达、视频、主控等核心模块的实时状态监测,检测到异常时记录日志信息，并且存储到设备EMMC中,支持记录日志条数不低于一万多条。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5、支持摄像机镜头异常检测,可检测镜头起雾或脏污、场景变更、镜头遮挡、画面模糊并能够实时给出报警信息。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6、设备具备视频测速功能,视频测速与雷达测速的误差不大于2km/h。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7、设备支持包括运矿车、铲车、皮卡车、挖掘机、钻眼台车、三轮车等车辆目标类型检测,车型分类检测准确率不低于90%;同时支持分车型的车流量统计,车流量统计的车型检测准确率不低于95%。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8、支持自定义区域车辆数检测,支持绘制任意区域检测当前区域的车辆数据并支持区域叠加和展示。支持绘制区域的车辆轨迹输出功能。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9、支持线圈压占图检测和记录功能,支持选择任意线圈开始统计和绘制图像,并能把线圈压占状态数据导出excel(时间精确到0.1s)。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10、支持设置国标920协议(GA/T920-2010道路交通信号控制机与车辆检测器间的通信协议)。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分车道、分车型实时展示通过靠近图像下边缘的虚拟线圈检测的车辆信息，包括车头间距、时距、车型、瞬时速度、车辆方向、转向信息、排队长度、拥堵情况等信息，支持选择单线圈协议、双线圈协议或多线圈协议，多线圈协议中支持路口模式，可展示转向流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支持统计固定行车方向（来向/去向）单独车道车流量；支持统计单个车道，同时有来向、有去向车辆的车流量；支持统计一段时间内的车辆信息包括断面流量、空间占有率、时间占有率、平均速度、平均时距、平均间距、平均延误、到达流量、排队长度、平均停车次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13、支持针对同一目标当雷达测速值和视频测速值相差大于10km/h时，输出目标测速值异常报警信息。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14、支持基于视频的车道线和停止线自动识别功能，可识别直线/曲线车道线、虚实线、停止线等道路标线。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15、支持视频上生成车道线后配置给雷达，实现雷达车道线自动配置并显示。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16、支持雷视融合自动标定功能，通过智能视频分析设备与毫米波雷达的协同工作，自动完成坐标标定，建立映射关系。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17、防护等级不低于IP67</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E81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DB6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29A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88E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7CCBA">
            <w:pPr>
              <w:jc w:val="center"/>
              <w:rPr>
                <w:rFonts w:hint="eastAsia" w:ascii="宋体" w:hAnsi="宋体" w:eastAsia="宋体" w:cs="宋体"/>
                <w:i w:val="0"/>
                <w:iCs w:val="0"/>
                <w:color w:val="000000"/>
                <w:sz w:val="24"/>
                <w:szCs w:val="24"/>
                <w:u w:val="none"/>
              </w:rPr>
            </w:pPr>
          </w:p>
        </w:tc>
      </w:tr>
      <w:tr w14:paraId="38410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5"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2D6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4C0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货车右转必停抓拍一体机</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B41D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1、设备由毫米波雷达、900万全局曝光CMOS低照度摄像机和补光灯组成。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2、雷达数据列表可显示目标的编号（ID）、位置坐标、车道号、速度、航向角、经纬度、角度等，可设置某个ID的信息置顶显示。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雷达和视频可同时检测到目标，通过雷达坐标标定，实现雷达检测数据和视频检测数据的融合；通过“雷达视频深度融合技术展示”界面可以观察到雷达检测目标、视频检测目标，以及同一个目标ID关联的雷达检测速度、位置和视频检测的车牌车型、车身颜色等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4、跟踪目标数量应≥512个。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5、支持输出检测目标的定位信息（经纬度坐标）。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6、支持检测的机动车车道数量≥12个。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7、支持区分距离≤0.5m的相邻交通目标。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8、支持对距离样机≥100米处的行人进行检测。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9、支持上报车型、车牌号、车头坐标/车尾坐标、车辆坐标、车牌颜色、车身颜色、车辆品牌等道路数字化信息。上报频率≥12.5Hz，延时≤200ms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10、主码流最高可配置分辨率4096×2160、码率为6Mbps、帧率为25fps；子码流、第三码流、第四码流、第五码流最大支持分辨率为1920×1080、码率为2Mbps、帧率为25fps。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11、支持抓拍图片自动上传，可在摄像机本地进行图片检索、可根据车道号、车辆类型、违章类型、开始时间、结束时间对图片进行检索。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12、支持视频和图片具备水印和校验功能。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13、支持识别并显示不低于50种车辆类型。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14、支持对机动车、非机动车、行人等混合目标进行检测。能同时检测不少于140个混合的静态目标并对这些目标进行绿框跟踪；可同时对至少140个混合静态目标进行优选、抓拍及属性分析。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15、支持检测并跟踪指定区域内不少于230个目标，目标包括机动车、非机动车以及行人等。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支持闯禁行记录功能，可对5中普通车型（包括大货车、中货车、小货车、皮卡车、大客车）及8种特种车型（包括危化品车辆、普通罐车、渣土车、混凝土搅拌车、工程车、粉粒物料运输车、吸污车、环卫车）进行检测、抓拍记录、识别及图片存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17、可对逆行、停车、拥堵、路障、施工、抛洒物、未保持车距、烟雾、低能见度、雨雪天气等事件进行检测并抓拍。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18、可对压线、闯禁令、连续变道、加塞、未交替行驶、右转未停车（大货车）、右侧超车、飙车、蛇形驾驶、斑马线未减速等行为进行检测并抓拍。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19、在天气晴朗无雾，号牌无遮挡、无污损，白天环境光照度不低于200lx，夜晚辅助光照度不高于30lx的条件进行测试：白天号牌识别准确率≥99.9%；晚上号牌识别准确率≥99.9%。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在天气晴朗无雾，号牌无遮挡、无污损的条件进行测试：违法停车事件检出率≥99%。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20、具有禁行抓拍功能，支持对闯禁令的货车（包括大小货车、土方车、挂车、混凝土搅拌车）和大型客车禁行抓拍，包括黄牌和蓝牌。在天气晴朗无雾，号牌无遮挡、无污损，白天环境光照度不低于200lx，夜晚辅助光照度不高于30lx的条件进行测试：白天车辆图像捕获率≥99%；晚上车辆图像捕获率≥99%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21、支持按车道和车辆行驶方向（左、直、右）进行车辆流量、平均速度、车辆类型、车道空间占有率、车头间距、车头时距、平均排队长度、拥堵状态等交通数据的采集和统计，可生成Excel。在天气晴朗无雾，号牌无遮挡、无污损的条件进行测试：车流量统计准确率≥99%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22、支持GB35114A级安全加密。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23、外壳防护等级不低于IP67。</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059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E37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47D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DB4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AD7F5">
            <w:pPr>
              <w:jc w:val="center"/>
              <w:rPr>
                <w:rFonts w:hint="eastAsia" w:ascii="宋体" w:hAnsi="宋体" w:eastAsia="宋体" w:cs="宋体"/>
                <w:i w:val="0"/>
                <w:iCs w:val="0"/>
                <w:color w:val="000000"/>
                <w:sz w:val="24"/>
                <w:szCs w:val="24"/>
                <w:u w:val="none"/>
              </w:rPr>
            </w:pPr>
          </w:p>
        </w:tc>
      </w:tr>
      <w:tr w14:paraId="2FD03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54"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B34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EC1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频闪补光灯</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B92B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1、不少于16颗大功率LED灯珠；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2、发光角度≥10°；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3、覆盖范围：单车道环境补光灯；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4、最佳补光范围16米～25米；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5、触发方式：4V~6V电平量触发；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6、触发信号：频率15~250HZ，占空比1%~39%，响应时间小于20US；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7、外壳采用材质金属铝；</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8、符合GA/T1202-2022《交通技术监控成像补光装置通用技术条件》中的一级补光装置要求；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9、防护等级IP66。</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A38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EF4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AD6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5EE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31D23">
            <w:pPr>
              <w:jc w:val="center"/>
              <w:rPr>
                <w:rFonts w:hint="eastAsia" w:ascii="宋体" w:hAnsi="宋体" w:eastAsia="宋体" w:cs="宋体"/>
                <w:i w:val="0"/>
                <w:iCs w:val="0"/>
                <w:color w:val="000000"/>
                <w:sz w:val="24"/>
                <w:szCs w:val="24"/>
                <w:u w:val="none"/>
              </w:rPr>
            </w:pPr>
          </w:p>
        </w:tc>
      </w:tr>
      <w:tr w14:paraId="2C7E1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3"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623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628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路口终端服务器</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4F35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1、支持4个IP摄像机（单路码率10M）的过车记录存储、图片存储、视频存储、数据上传、视频流转发。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2、可混合接入普通监控用摄像机、智慧监控摄像机、卡口电子警察抓拍机、网络球机等多种前端设备。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3、最大支持4TB硬盘存储，图片与录像可设置配额，内在4T硬盘。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4、支持接入LED屏并发布对应信息至LED屏，发布信息可自定义。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5、设备内的录像、图片文件无法直接删除或者修改，只能通过循环覆盖和硬盘格式化操作。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6、可设置图片的存储空间，在规定的空间内自动循环覆盖，剩余空间为录像存储空间。</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475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89D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E25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777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6A231">
            <w:pPr>
              <w:jc w:val="center"/>
              <w:rPr>
                <w:rFonts w:hint="eastAsia" w:ascii="宋体" w:hAnsi="宋体" w:eastAsia="宋体" w:cs="宋体"/>
                <w:i w:val="0"/>
                <w:iCs w:val="0"/>
                <w:color w:val="000000"/>
                <w:sz w:val="24"/>
                <w:szCs w:val="24"/>
                <w:u w:val="none"/>
              </w:rPr>
            </w:pPr>
          </w:p>
        </w:tc>
      </w:tr>
      <w:tr w14:paraId="333A6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2"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C7B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34F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LED右转预警显示屏</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D1AC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1、大车右转礼让宣教屏F型杆件进行顶装，立于右转车道上方，距离路口 50至100米处，轮换进行动画宣教、文字宣教、违法处罚宣教，进行大车路口右转首次提示。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2、屏幕规格:P4户外全彩LED。</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3、屏幕尺寸:960mm(长)*1440mm(高)。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4、点间距:4mm，物理密度:15635/mm2。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5、刷新率:1920Hz。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6、亮度:4500ed。</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7、色温:3200-9300K可调。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8、可视角:水平160，垂直160°。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9、对比度:3000:1。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10、防水箱体:1550*1060，1.2冷板含铰链。</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B47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C30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B65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AEB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7273A">
            <w:pPr>
              <w:jc w:val="center"/>
              <w:rPr>
                <w:rFonts w:hint="eastAsia" w:ascii="宋体" w:hAnsi="宋体" w:eastAsia="宋体" w:cs="宋体"/>
                <w:i w:val="0"/>
                <w:iCs w:val="0"/>
                <w:color w:val="000000"/>
                <w:sz w:val="24"/>
                <w:szCs w:val="24"/>
                <w:u w:val="none"/>
              </w:rPr>
            </w:pPr>
          </w:p>
        </w:tc>
      </w:tr>
      <w:tr w14:paraId="43F2E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48"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C6E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D76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设备安装调试及售后维护服务</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8951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1、设备安装：摄像机、灯光、一体机等本工程所有设备的安装，以及固定摄像机、灯光钢抱箍等本工程所有设备的辅材。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2、光纤收发器与交换机等连接6类RJ45非屏蔽跳线、光纤集中汇聚传输单元等材料；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3、前端设备设备调试：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（1）前端IP地址配对、经纬度采集、点位编号加入、设备编号配对联调等；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（2）视频、图片等数据进行规范标注、授时，抓拍清晰，符合考核要求。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以上报价含：高空专项作业车设备安装、高空专项作业施工人员的安全保险及相关的机械设备；所有辅材：包括未单独列出的辅材，施工需要的车辆、设备、工具和人工等所有费用，因开挖、顶管等施工行为引发绿化、道路的恢复、赔偿、协调等所有费用，需确保本项采购的设备均能正常安装完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5、提供备品备件，质保期内维保服务，中标后需提供厂商售后服务承诺函。</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12A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EE1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95E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2F4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5400F22">
            <w:pPr>
              <w:jc w:val="center"/>
              <w:rPr>
                <w:rFonts w:hint="eastAsia" w:ascii="宋体" w:hAnsi="宋体" w:eastAsia="宋体" w:cs="宋体"/>
                <w:i w:val="0"/>
                <w:iCs w:val="0"/>
                <w:color w:val="000000"/>
                <w:sz w:val="24"/>
                <w:szCs w:val="24"/>
                <w:u w:val="none"/>
              </w:rPr>
            </w:pPr>
          </w:p>
        </w:tc>
      </w:tr>
      <w:tr w14:paraId="2E14B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5"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270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7CC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光纤链路租赁</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5E23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1、中标方应做好现场光纤布设、汇聚等工作，所有施工中的问题协调、矛盾调处及发生的相关费用由中标人自行解决。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2、总带宽不低于400兆，满足点位所有设备的视频、图片等数据正常传输需求。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3、光纤租赁期为三年（如投标时承诺增加质保年限的，则按承诺质保年限执行），光纤租赁费包含在投标价中。</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539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74B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13D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17F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A8A41FD">
            <w:pPr>
              <w:jc w:val="center"/>
              <w:rPr>
                <w:rFonts w:hint="eastAsia" w:ascii="宋体" w:hAnsi="宋体" w:eastAsia="宋体" w:cs="宋体"/>
                <w:i w:val="0"/>
                <w:iCs w:val="0"/>
                <w:color w:val="000000"/>
                <w:sz w:val="24"/>
                <w:szCs w:val="24"/>
                <w:u w:val="none"/>
              </w:rPr>
            </w:pPr>
          </w:p>
        </w:tc>
      </w:tr>
      <w:tr w14:paraId="2E685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9"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7C8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C95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取电施工及维护质保期间电费</w:t>
            </w:r>
          </w:p>
        </w:tc>
        <w:tc>
          <w:tcPr>
            <w:tcW w:w="7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4E30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1、名称、类别:取电施工及维护质保期间电费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2、规格要求:本工程在接电过程中涉及取电施工所有费用（设备用电统一接到机柜内）均由中标人支付；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3、用电要求：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（1）因红绿灯用电涉及路口交通安全，设备用电需有安全稳定的220V电源；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（2）取电方式投标人根据现场确定，投标人需按时缴纳电费，如未按约定要求接电或缴纳电费的，则在结算时扣除此项全部费用。投标人自行现场勘查考虑实际情况并综合报价；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4、投标报价含：取电施工及红绿灯、电子警察、监控等设备三年（如投标时承诺增加质保年限的，则按承诺质保年限执行）使用期电费；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其他要求详见图纸。投标人自己勘查评估报价费用，否则后果由投标人自负。</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20C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4E3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F5D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D45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49AEFB4">
            <w:pPr>
              <w:jc w:val="center"/>
              <w:rPr>
                <w:rFonts w:hint="eastAsia" w:ascii="宋体" w:hAnsi="宋体" w:eastAsia="宋体" w:cs="宋体"/>
                <w:i w:val="0"/>
                <w:iCs w:val="0"/>
                <w:color w:val="000000"/>
                <w:sz w:val="24"/>
                <w:szCs w:val="24"/>
                <w:u w:val="none"/>
              </w:rPr>
            </w:pPr>
          </w:p>
        </w:tc>
      </w:tr>
      <w:tr w14:paraId="2C755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14740"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096F2F8">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总价：</w:t>
            </w:r>
          </w:p>
        </w:tc>
      </w:tr>
    </w:tbl>
    <w:p w14:paraId="39A2F9CA">
      <w:pPr>
        <w:pStyle w:val="341"/>
        <w:keepNext w:val="0"/>
        <w:keepLines w:val="0"/>
        <w:pageBreakBefore w:val="0"/>
        <w:widowControl/>
        <w:kinsoku/>
        <w:wordWrap/>
        <w:overflowPunct/>
        <w:topLinePunct w:val="0"/>
        <w:autoSpaceDE/>
        <w:autoSpaceDN/>
        <w:bidi w:val="0"/>
        <w:adjustRightInd/>
        <w:snapToGrid/>
        <w:spacing w:line="500" w:lineRule="exact"/>
        <w:ind w:left="0" w:leftChars="0" w:right="0" w:firstLine="482" w:firstLineChars="200"/>
        <w:textAlignment w:val="auto"/>
        <w:rPr>
          <w:rFonts w:hint="eastAsia" w:ascii="宋体" w:hAnsi="宋体" w:eastAsia="宋体" w:cs="宋体"/>
          <w:b/>
          <w:bCs/>
          <w:color w:val="auto"/>
          <w:kern w:val="2"/>
          <w:sz w:val="24"/>
          <w:szCs w:val="24"/>
          <w:highlight w:val="none"/>
          <w:lang w:val="en-US" w:eastAsia="zh-CN" w:bidi="ar-SA"/>
        </w:rPr>
      </w:pPr>
    </w:p>
    <w:p w14:paraId="2420440C">
      <w:pPr>
        <w:pStyle w:val="341"/>
        <w:keepNext w:val="0"/>
        <w:keepLines w:val="0"/>
        <w:pageBreakBefore w:val="0"/>
        <w:widowControl/>
        <w:kinsoku/>
        <w:wordWrap/>
        <w:overflowPunct/>
        <w:topLinePunct w:val="0"/>
        <w:autoSpaceDE/>
        <w:autoSpaceDN/>
        <w:bidi w:val="0"/>
        <w:adjustRightInd/>
        <w:snapToGrid/>
        <w:spacing w:line="500" w:lineRule="exact"/>
        <w:ind w:left="0" w:leftChars="0" w:right="0" w:firstLine="482" w:firstLineChars="200"/>
        <w:textAlignment w:val="auto"/>
        <w:rPr>
          <w:rFonts w:hint="eastAsia" w:ascii="宋体" w:hAnsi="宋体" w:eastAsia="宋体" w:cs="宋体"/>
          <w:b/>
          <w:bCs/>
          <w:color w:val="auto"/>
          <w:kern w:val="2"/>
          <w:sz w:val="24"/>
          <w:szCs w:val="24"/>
          <w:highlight w:val="none"/>
          <w:lang w:val="en-US" w:eastAsia="zh-CN" w:bidi="ar-SA"/>
        </w:rPr>
      </w:pPr>
    </w:p>
    <w:p w14:paraId="09FF98AD">
      <w:pPr>
        <w:pStyle w:val="341"/>
        <w:keepNext w:val="0"/>
        <w:keepLines w:val="0"/>
        <w:pageBreakBefore w:val="0"/>
        <w:widowControl/>
        <w:kinsoku/>
        <w:wordWrap/>
        <w:overflowPunct/>
        <w:topLinePunct w:val="0"/>
        <w:autoSpaceDE/>
        <w:autoSpaceDN/>
        <w:bidi w:val="0"/>
        <w:adjustRightInd/>
        <w:snapToGrid/>
        <w:spacing w:line="500" w:lineRule="exact"/>
        <w:ind w:left="0" w:leftChars="0" w:right="0" w:firstLine="482" w:firstLineChars="200"/>
        <w:textAlignment w:val="auto"/>
        <w:rPr>
          <w:rFonts w:hint="eastAsia" w:ascii="宋体" w:hAnsi="宋体" w:eastAsia="宋体" w:cs="宋体"/>
          <w:b/>
          <w:bCs/>
          <w:color w:val="auto"/>
          <w:kern w:val="2"/>
          <w:sz w:val="24"/>
          <w:szCs w:val="24"/>
          <w:highlight w:val="none"/>
          <w:lang w:val="en-US" w:eastAsia="zh-CN" w:bidi="ar-SA"/>
        </w:rPr>
      </w:pPr>
    </w:p>
    <w:p w14:paraId="2B60D22A">
      <w:pPr>
        <w:pStyle w:val="341"/>
        <w:keepNext w:val="0"/>
        <w:keepLines w:val="0"/>
        <w:pageBreakBefore w:val="0"/>
        <w:widowControl/>
        <w:kinsoku/>
        <w:wordWrap/>
        <w:overflowPunct/>
        <w:topLinePunct w:val="0"/>
        <w:autoSpaceDE/>
        <w:autoSpaceDN/>
        <w:bidi w:val="0"/>
        <w:adjustRightInd/>
        <w:snapToGrid/>
        <w:spacing w:line="500" w:lineRule="exact"/>
        <w:ind w:left="0" w:leftChars="0" w:right="0" w:firstLine="482" w:firstLineChars="200"/>
        <w:textAlignment w:val="auto"/>
        <w:rPr>
          <w:rFonts w:hint="eastAsia" w:ascii="宋体" w:hAnsi="宋体" w:eastAsia="宋体" w:cs="宋体"/>
          <w:b/>
          <w:bCs/>
          <w:color w:val="auto"/>
          <w:kern w:val="2"/>
          <w:sz w:val="24"/>
          <w:szCs w:val="24"/>
          <w:highlight w:val="none"/>
          <w:lang w:val="en-US" w:eastAsia="zh-CN" w:bidi="ar-SA"/>
        </w:rPr>
        <w:sectPr>
          <w:pgSz w:w="16838" w:h="11906" w:orient="landscape"/>
          <w:pgMar w:top="1259" w:right="1015" w:bottom="1196" w:left="868" w:header="851" w:footer="907" w:gutter="0"/>
          <w:pgBorders>
            <w:top w:val="none" w:sz="0" w:space="0"/>
            <w:left w:val="none" w:sz="0" w:space="0"/>
            <w:bottom w:val="none" w:sz="0" w:space="0"/>
            <w:right w:val="none" w:sz="0" w:space="0"/>
          </w:pgBorders>
          <w:pgNumType w:fmt="decimal"/>
          <w:cols w:space="720" w:num="1"/>
          <w:docGrid w:linePitch="360" w:charSpace="0"/>
        </w:sectPr>
      </w:pPr>
    </w:p>
    <w:p w14:paraId="10AAEF8E">
      <w:pPr>
        <w:pStyle w:val="341"/>
        <w:keepNext w:val="0"/>
        <w:keepLines w:val="0"/>
        <w:pageBreakBefore w:val="0"/>
        <w:widowControl/>
        <w:kinsoku/>
        <w:wordWrap/>
        <w:overflowPunct/>
        <w:topLinePunct w:val="0"/>
        <w:autoSpaceDE/>
        <w:autoSpaceDN/>
        <w:bidi w:val="0"/>
        <w:adjustRightInd/>
        <w:snapToGrid/>
        <w:spacing w:line="500" w:lineRule="exact"/>
        <w:ind w:left="0" w:leftChars="0" w:right="0" w:firstLine="482" w:firstLineChars="200"/>
        <w:textAlignment w:val="auto"/>
        <w:rPr>
          <w:rFonts w:hint="default" w:ascii="宋体" w:hAnsi="宋体" w:eastAsia="宋体" w:cs="宋体"/>
          <w:color w:val="auto"/>
          <w:sz w:val="24"/>
          <w:szCs w:val="24"/>
          <w:highlight w:val="none"/>
          <w:lang w:val="en-US"/>
        </w:rPr>
      </w:pPr>
      <w:r>
        <w:rPr>
          <w:rFonts w:hint="eastAsia" w:ascii="宋体" w:hAnsi="宋体" w:eastAsia="宋体" w:cs="宋体"/>
          <w:b/>
          <w:bCs/>
          <w:color w:val="auto"/>
          <w:kern w:val="2"/>
          <w:sz w:val="24"/>
          <w:szCs w:val="24"/>
          <w:highlight w:val="none"/>
          <w:lang w:val="en-US" w:eastAsia="zh-CN" w:bidi="ar-SA"/>
        </w:rPr>
        <w:t>四、图纸</w:t>
      </w:r>
    </w:p>
    <w:p w14:paraId="6EFE527F">
      <w:pPr>
        <w:pStyle w:val="366"/>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b w:val="0"/>
          <w:bCs w:val="0"/>
          <w:i w:val="0"/>
          <w:iCs w:val="0"/>
          <w:color w:val="auto"/>
          <w:kern w:val="2"/>
          <w:sz w:val="24"/>
          <w:szCs w:val="24"/>
          <w:highlight w:val="none"/>
          <w:lang w:val="en-US" w:eastAsia="zh-CN" w:bidi="ar-SA"/>
        </w:rPr>
      </w:pPr>
      <w:r>
        <w:rPr>
          <w:rFonts w:hint="eastAsia" w:ascii="宋体" w:hAnsi="宋体" w:eastAsia="宋体" w:cs="宋体"/>
          <w:b w:val="0"/>
          <w:bCs w:val="0"/>
          <w:i w:val="0"/>
          <w:iCs w:val="0"/>
          <w:color w:val="auto"/>
          <w:kern w:val="2"/>
          <w:sz w:val="24"/>
          <w:szCs w:val="24"/>
          <w:highlight w:val="none"/>
          <w:lang w:val="en-US" w:eastAsia="zh-CN" w:bidi="ar-SA"/>
        </w:rPr>
        <w:t>另行提供pdf格式。</w:t>
      </w:r>
    </w:p>
    <w:p w14:paraId="71F53961">
      <w:pPr>
        <w:pStyle w:val="366"/>
        <w:keepNext w:val="0"/>
        <w:keepLines w:val="0"/>
        <w:pageBreakBefore w:val="0"/>
        <w:kinsoku/>
        <w:wordWrap/>
        <w:overflowPunct/>
        <w:topLinePunct w:val="0"/>
        <w:autoSpaceDE/>
        <w:autoSpaceDN/>
        <w:bidi w:val="0"/>
        <w:adjustRightInd/>
        <w:snapToGrid/>
        <w:spacing w:line="500" w:lineRule="exact"/>
        <w:ind w:firstLine="482"/>
        <w:textAlignment w:val="auto"/>
        <w:rPr>
          <w:rFonts w:ascii="宋体" w:hAnsi="宋体" w:cs="宋体"/>
          <w:color w:val="auto"/>
          <w:sz w:val="24"/>
          <w:szCs w:val="24"/>
          <w:highlight w:val="none"/>
        </w:rPr>
      </w:pPr>
      <w:r>
        <w:rPr>
          <w:rFonts w:hint="eastAsia" w:ascii="宋体" w:hAnsi="宋体" w:cs="宋体"/>
          <w:b/>
          <w:color w:val="auto"/>
          <w:sz w:val="24"/>
          <w:szCs w:val="24"/>
          <w:highlight w:val="none"/>
          <w:lang w:val="en-US" w:eastAsia="zh-CN"/>
        </w:rPr>
        <w:t>五</w:t>
      </w:r>
      <w:r>
        <w:rPr>
          <w:rFonts w:hint="eastAsia" w:ascii="宋体" w:hAnsi="宋体" w:cs="宋体"/>
          <w:b/>
          <w:color w:val="auto"/>
          <w:sz w:val="24"/>
          <w:szCs w:val="24"/>
          <w:highlight w:val="none"/>
        </w:rPr>
        <w:t>、投标报价要求</w:t>
      </w:r>
    </w:p>
    <w:bookmarkEnd w:id="184"/>
    <w:bookmarkEnd w:id="185"/>
    <w:bookmarkEnd w:id="186"/>
    <w:bookmarkEnd w:id="187"/>
    <w:bookmarkEnd w:id="188"/>
    <w:bookmarkEnd w:id="189"/>
    <w:p w14:paraId="6DC89CFC">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人拒绝高于最高限价的投标报价。</w:t>
      </w:r>
    </w:p>
    <w:p w14:paraId="63C6F919">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color w:val="auto"/>
          <w:sz w:val="24"/>
          <w:highlight w:val="none"/>
        </w:rPr>
      </w:pPr>
      <w:r>
        <w:rPr>
          <w:rFonts w:hint="eastAsia" w:ascii="宋体" w:hAnsi="宋体" w:cs="宋体"/>
          <w:color w:val="auto"/>
          <w:sz w:val="24"/>
          <w:highlight w:val="none"/>
        </w:rPr>
        <w:t>2、请各投标人结合本工程情况合理慎重报价，避免出现低于成本价中标的情况。投标人中标后如放弃中标拒绝签订履约的，采购人有权将其行为报送相关主管部门，直至加入“盐城市建设工程企业不良行为管理系统”。</w:t>
      </w:r>
    </w:p>
    <w:p w14:paraId="0DE32579">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eastAsia="宋体"/>
          <w:b/>
          <w:color w:val="auto"/>
          <w:sz w:val="24"/>
          <w:highlight w:val="none"/>
          <w:lang w:eastAsia="zh-CN"/>
        </w:rPr>
      </w:pPr>
      <w:r>
        <w:rPr>
          <w:rFonts w:hint="eastAsia" w:ascii="宋体" w:hAnsi="宋体" w:cs="宋体"/>
          <w:color w:val="auto"/>
          <w:sz w:val="24"/>
          <w:highlight w:val="none"/>
        </w:rPr>
        <w:t>3、本项目采用全费用综合单价报价，投标人应按规定格式报价，该报价应包括但不限于设备材料价格【含全套设备（包括主设备、配套设备、附件等）、管线、型钢基础、型钢支架及其它安装所需辅材、配件、备品备件、技术资料等】、软件价格（含设计、开发、优化、升级等）、直接和间接成本费、材料损耗费、劳务费、竣工面的清洁费、垃圾清运费、包装费、运杂费（含运输费）、装卸费、调试（含试运行）费、系统集成费、保修费、保险费、配合费、安装费、检测费、技术（含操作、维护等）培训、维护、升级、保密及售后服务费、管理费、税金（增值税专票）、利润、风险费、成品保护费、不可预见费及风险费等其他一切相关费用等所需的全部费用</w:t>
      </w:r>
      <w:r>
        <w:rPr>
          <w:rFonts w:hint="eastAsia" w:ascii="宋体" w:hAnsi="宋体" w:cs="宋体"/>
          <w:color w:val="auto"/>
          <w:sz w:val="24"/>
          <w:highlight w:val="none"/>
          <w:lang w:eastAsia="zh-CN"/>
        </w:rPr>
        <w:t>。</w:t>
      </w:r>
    </w:p>
    <w:p w14:paraId="4297811B">
      <w:pPr>
        <w:pStyle w:val="358"/>
        <w:keepNext w:val="0"/>
        <w:keepLines w:val="0"/>
        <w:pageBreakBefore w:val="0"/>
        <w:kinsoku/>
        <w:wordWrap/>
        <w:overflowPunct/>
        <w:topLinePunct w:val="0"/>
        <w:autoSpaceDE/>
        <w:autoSpaceDN/>
        <w:bidi w:val="0"/>
        <w:adjustRightInd/>
        <w:snapToGrid/>
        <w:spacing w:line="500" w:lineRule="exact"/>
        <w:ind w:firstLine="482"/>
        <w:textAlignment w:val="auto"/>
        <w:outlineLvl w:val="1"/>
        <w:rPr>
          <w:rFonts w:ascii="宋体" w:hAnsi="宋体"/>
          <w:b/>
          <w:color w:val="auto"/>
          <w:sz w:val="24"/>
          <w:szCs w:val="24"/>
          <w:highlight w:val="none"/>
        </w:rPr>
      </w:pPr>
      <w:bookmarkStart w:id="190" w:name="_Toc203032705"/>
      <w:r>
        <w:rPr>
          <w:rFonts w:hint="eastAsia" w:ascii="宋体" w:hAnsi="宋体"/>
          <w:b/>
          <w:color w:val="auto"/>
          <w:sz w:val="24"/>
          <w:szCs w:val="24"/>
          <w:highlight w:val="none"/>
        </w:rPr>
        <w:t>六、</w:t>
      </w:r>
      <w:bookmarkEnd w:id="190"/>
      <w:r>
        <w:rPr>
          <w:rFonts w:hint="eastAsia" w:ascii="宋体" w:hAnsi="宋体"/>
          <w:b/>
          <w:color w:val="auto"/>
          <w:sz w:val="24"/>
          <w:szCs w:val="24"/>
          <w:highlight w:val="none"/>
        </w:rPr>
        <w:t>其他说明及要求</w:t>
      </w:r>
    </w:p>
    <w:p w14:paraId="4E89DE8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color w:val="auto"/>
          <w:sz w:val="24"/>
          <w:highlight w:val="none"/>
        </w:rPr>
      </w:pPr>
      <w:r>
        <w:rPr>
          <w:rFonts w:hint="eastAsia" w:ascii="宋体" w:hAnsi="宋体"/>
          <w:color w:val="auto"/>
          <w:sz w:val="24"/>
          <w:highlight w:val="none"/>
        </w:rPr>
        <w:t>1、用于本项目的所有产品均要求是全新、未使用过的原装合格正品。</w:t>
      </w:r>
    </w:p>
    <w:p w14:paraId="37887274">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color w:val="auto"/>
          <w:sz w:val="24"/>
          <w:highlight w:val="none"/>
        </w:rPr>
      </w:pPr>
      <w:r>
        <w:rPr>
          <w:rFonts w:hint="eastAsia" w:ascii="宋体" w:hAnsi="宋体"/>
          <w:color w:val="auto"/>
          <w:sz w:val="24"/>
          <w:highlight w:val="none"/>
        </w:rPr>
        <w:t>2、采购货物的交货时间：中标人应当按照投标承诺工期完成安装、调试，如不能如期完成，采购人有权终止合同，中标人须承担由此对采购人造成的损失。</w:t>
      </w:r>
    </w:p>
    <w:p w14:paraId="103AE904">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b/>
          <w:bCs/>
          <w:i/>
          <w:iCs/>
          <w:color w:val="auto"/>
          <w:sz w:val="24"/>
          <w:highlight w:val="none"/>
          <w:u w:val="single"/>
        </w:rPr>
      </w:pPr>
      <w:r>
        <w:rPr>
          <w:rFonts w:hint="eastAsia" w:ascii="宋体" w:hAnsi="宋体"/>
          <w:b/>
          <w:bCs/>
          <w:i/>
          <w:iCs/>
          <w:color w:val="auto"/>
          <w:sz w:val="24"/>
          <w:highlight w:val="none"/>
          <w:u w:val="single"/>
        </w:rPr>
        <w:t>3、中标人使用于本工程的所有产品的技术参数完全满足</w:t>
      </w:r>
      <w:r>
        <w:rPr>
          <w:rFonts w:hint="eastAsia" w:ascii="宋体" w:hAnsi="宋体"/>
          <w:b/>
          <w:bCs/>
          <w:i/>
          <w:iCs/>
          <w:color w:val="auto"/>
          <w:sz w:val="24"/>
          <w:highlight w:val="none"/>
          <w:u w:val="single"/>
          <w:lang w:eastAsia="zh-CN"/>
        </w:rPr>
        <w:t>竞争性磋商文件</w:t>
      </w:r>
      <w:r>
        <w:rPr>
          <w:rFonts w:hint="eastAsia" w:ascii="宋体" w:hAnsi="宋体"/>
          <w:b/>
          <w:bCs/>
          <w:i/>
          <w:iCs/>
          <w:color w:val="auto"/>
          <w:sz w:val="24"/>
          <w:highlight w:val="none"/>
          <w:u w:val="single"/>
        </w:rPr>
        <w:t>“技术参数要求”，且自行完成与盐都交管大队现有平台无缝对接实现全部功能。如中标人不能按招标要求或投标承诺完成平台的无缝对接实现全部功能的，采购人有权解除合同，一切责任由中标人承担。用于本项目的产品设备在安装前须报送采购人审查，审查通过后方可用于本项目的施工。否则，采购人将不予以验收，由此产生的一切责任和损失由中标人承担。（投标时</w:t>
      </w:r>
      <w:r>
        <w:rPr>
          <w:rFonts w:hint="eastAsia" w:ascii="宋体" w:hAnsi="宋体"/>
          <w:b/>
          <w:bCs/>
          <w:i/>
          <w:iCs/>
          <w:color w:val="auto"/>
          <w:sz w:val="24"/>
          <w:highlight w:val="none"/>
          <w:u w:val="single"/>
          <w:lang w:val="en-US" w:eastAsia="zh-CN"/>
        </w:rPr>
        <w:t>须</w:t>
      </w:r>
      <w:r>
        <w:rPr>
          <w:rFonts w:hint="eastAsia" w:ascii="宋体" w:hAnsi="宋体"/>
          <w:b/>
          <w:bCs/>
          <w:i/>
          <w:iCs/>
          <w:color w:val="auto"/>
          <w:sz w:val="24"/>
          <w:highlight w:val="none"/>
          <w:u w:val="single"/>
        </w:rPr>
        <w:t>提供承诺函，格式</w:t>
      </w:r>
      <w:r>
        <w:rPr>
          <w:rFonts w:hint="eastAsia" w:ascii="宋体" w:hAnsi="宋体"/>
          <w:b/>
          <w:bCs/>
          <w:i/>
          <w:iCs/>
          <w:color w:val="auto"/>
          <w:sz w:val="24"/>
          <w:highlight w:val="none"/>
          <w:u w:val="single"/>
          <w:lang w:val="en-US" w:eastAsia="zh-CN"/>
        </w:rPr>
        <w:t>见附件，否则按无效投标处理</w:t>
      </w:r>
      <w:r>
        <w:rPr>
          <w:rFonts w:hint="eastAsia" w:ascii="宋体" w:hAnsi="宋体"/>
          <w:b/>
          <w:bCs/>
          <w:i/>
          <w:iCs/>
          <w:color w:val="auto"/>
          <w:sz w:val="24"/>
          <w:highlight w:val="none"/>
          <w:u w:val="single"/>
        </w:rPr>
        <w:t>）。</w:t>
      </w:r>
    </w:p>
    <w:p w14:paraId="10D77778">
      <w:pPr>
        <w:keepNext w:val="0"/>
        <w:keepLines w:val="0"/>
        <w:pageBreakBefore w:val="0"/>
        <w:kinsoku/>
        <w:wordWrap/>
        <w:overflowPunct/>
        <w:topLinePunct w:val="0"/>
        <w:autoSpaceDE/>
        <w:autoSpaceDN/>
        <w:bidi w:val="0"/>
        <w:adjustRightInd/>
        <w:snapToGrid/>
        <w:spacing w:line="500" w:lineRule="exact"/>
        <w:ind w:firstLine="480"/>
        <w:textAlignment w:val="auto"/>
        <w:rPr>
          <w:rFonts w:hint="default" w:ascii="宋体" w:hAnsi="宋体"/>
          <w:b/>
          <w:bCs/>
          <w:i/>
          <w:iCs/>
          <w:color w:val="auto"/>
          <w:sz w:val="24"/>
          <w:highlight w:val="none"/>
          <w:u w:val="single"/>
          <w:lang w:val="en-US" w:eastAsia="zh-CN"/>
        </w:rPr>
      </w:pPr>
      <w:r>
        <w:rPr>
          <w:rFonts w:hint="eastAsia" w:ascii="宋体" w:hAnsi="宋体"/>
          <w:b/>
          <w:bCs/>
          <w:i/>
          <w:iCs/>
          <w:color w:val="auto"/>
          <w:sz w:val="24"/>
          <w:highlight w:val="none"/>
          <w:u w:val="single"/>
          <w:lang w:val="en-US" w:eastAsia="zh-CN"/>
        </w:rPr>
        <w:t>4、在质保期内，中标人须向采购人提供设备厂商原厂售后服务。（</w:t>
      </w:r>
      <w:r>
        <w:rPr>
          <w:rFonts w:hint="eastAsia" w:ascii="宋体" w:hAnsi="宋体"/>
          <w:b/>
          <w:bCs/>
          <w:i/>
          <w:iCs/>
          <w:color w:val="auto"/>
          <w:sz w:val="24"/>
          <w:highlight w:val="none"/>
          <w:u w:val="single"/>
        </w:rPr>
        <w:t>投标时</w:t>
      </w:r>
      <w:r>
        <w:rPr>
          <w:rFonts w:hint="eastAsia" w:ascii="宋体" w:hAnsi="宋体"/>
          <w:b/>
          <w:bCs/>
          <w:i/>
          <w:iCs/>
          <w:color w:val="auto"/>
          <w:sz w:val="24"/>
          <w:highlight w:val="none"/>
          <w:u w:val="single"/>
          <w:lang w:val="en-US" w:eastAsia="zh-CN"/>
        </w:rPr>
        <w:t>须设备厂商原厂承诺函并加盖设备原厂公章 或 提供投标人承诺函并加盖投标人公章“承诺内容为：承诺中标后、合同签订前向采购人提供设备厂商原厂承诺函并加盖设备原厂公章”。否则按无效投标处理）。</w:t>
      </w:r>
    </w:p>
    <w:p w14:paraId="5F5B561B">
      <w:pPr>
        <w:pStyle w:val="341"/>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b/>
          <w:bCs/>
          <w:color w:val="auto"/>
          <w:sz w:val="24"/>
          <w:highlight w:val="none"/>
        </w:rPr>
      </w:pPr>
      <w:bookmarkStart w:id="191" w:name="_Toc195778616"/>
      <w:bookmarkStart w:id="192" w:name="_Toc166856202"/>
      <w:r>
        <w:rPr>
          <w:rFonts w:hint="eastAsia" w:ascii="宋体" w:hAnsi="宋体"/>
          <w:b/>
          <w:bCs/>
          <w:color w:val="auto"/>
          <w:sz w:val="24"/>
          <w:highlight w:val="none"/>
        </w:rPr>
        <w:t>七、</w:t>
      </w:r>
      <w:bookmarkEnd w:id="191"/>
      <w:bookmarkEnd w:id="192"/>
      <w:r>
        <w:rPr>
          <w:rFonts w:hint="eastAsia" w:ascii="宋体" w:hAnsi="宋体"/>
          <w:b/>
          <w:bCs/>
          <w:color w:val="auto"/>
          <w:sz w:val="24"/>
          <w:highlight w:val="none"/>
        </w:rPr>
        <w:t>采购标的对应的中小企业划分标准所属行业一览表</w:t>
      </w:r>
    </w:p>
    <w:tbl>
      <w:tblPr>
        <w:tblStyle w:val="54"/>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3900"/>
        <w:gridCol w:w="3969"/>
      </w:tblGrid>
      <w:tr w14:paraId="52AFA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CellSpacing w:w="0" w:type="dxa"/>
          <w:jc w:val="center"/>
        </w:trPr>
        <w:tc>
          <w:tcPr>
            <w:tcW w:w="846" w:type="dxa"/>
            <w:shd w:val="clear" w:color="auto" w:fill="auto"/>
            <w:noWrap w:val="0"/>
            <w:vAlign w:val="center"/>
          </w:tcPr>
          <w:p w14:paraId="14D6D4D0">
            <w:pPr>
              <w:pStyle w:val="49"/>
              <w:spacing w:beforeAutospacing="0" w:afterAutospacing="0" w:line="240" w:lineRule="auto"/>
              <w:jc w:val="center"/>
              <w:rPr>
                <w:color w:val="auto"/>
                <w:highlight w:val="none"/>
              </w:rPr>
            </w:pPr>
            <w:bookmarkStart w:id="193" w:name="_Toc195778619"/>
            <w:r>
              <w:rPr>
                <w:rFonts w:hint="eastAsia"/>
                <w:color w:val="auto"/>
                <w:highlight w:val="none"/>
              </w:rPr>
              <w:t>序号</w:t>
            </w:r>
          </w:p>
        </w:tc>
        <w:tc>
          <w:tcPr>
            <w:tcW w:w="3900" w:type="dxa"/>
            <w:shd w:val="clear" w:color="auto" w:fill="auto"/>
            <w:noWrap w:val="0"/>
            <w:vAlign w:val="center"/>
          </w:tcPr>
          <w:p w14:paraId="664E4B10">
            <w:pPr>
              <w:pStyle w:val="49"/>
              <w:spacing w:beforeAutospacing="0" w:afterAutospacing="0" w:line="240" w:lineRule="auto"/>
              <w:jc w:val="center"/>
              <w:rPr>
                <w:color w:val="auto"/>
                <w:highlight w:val="none"/>
              </w:rPr>
            </w:pPr>
            <w:r>
              <w:rPr>
                <w:rFonts w:hint="eastAsia"/>
                <w:color w:val="auto"/>
                <w:highlight w:val="none"/>
              </w:rPr>
              <w:t>采购标的</w:t>
            </w:r>
          </w:p>
        </w:tc>
        <w:tc>
          <w:tcPr>
            <w:tcW w:w="3969" w:type="dxa"/>
            <w:shd w:val="clear" w:color="auto" w:fill="auto"/>
            <w:noWrap w:val="0"/>
            <w:vAlign w:val="center"/>
          </w:tcPr>
          <w:p w14:paraId="74EB8C52">
            <w:pPr>
              <w:pStyle w:val="49"/>
              <w:spacing w:beforeAutospacing="0" w:afterAutospacing="0" w:line="240" w:lineRule="auto"/>
              <w:jc w:val="center"/>
              <w:rPr>
                <w:color w:val="auto"/>
                <w:highlight w:val="none"/>
              </w:rPr>
            </w:pPr>
            <w:r>
              <w:rPr>
                <w:rFonts w:hint="eastAsia"/>
                <w:color w:val="auto"/>
                <w:highlight w:val="none"/>
              </w:rPr>
              <w:t>对应中小企业划分标准所属行业</w:t>
            </w:r>
          </w:p>
        </w:tc>
      </w:tr>
      <w:tr w14:paraId="32FF9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CellSpacing w:w="0" w:type="dxa"/>
          <w:jc w:val="center"/>
        </w:trPr>
        <w:tc>
          <w:tcPr>
            <w:tcW w:w="846" w:type="dxa"/>
            <w:shd w:val="clear" w:color="auto" w:fill="auto"/>
            <w:noWrap w:val="0"/>
            <w:vAlign w:val="center"/>
          </w:tcPr>
          <w:p w14:paraId="1DDF173E">
            <w:pPr>
              <w:pStyle w:val="49"/>
              <w:spacing w:beforeAutospacing="0" w:afterAutospacing="0" w:line="240" w:lineRule="auto"/>
              <w:jc w:val="center"/>
              <w:rPr>
                <w:color w:val="auto"/>
                <w:highlight w:val="none"/>
              </w:rPr>
            </w:pPr>
            <w:r>
              <w:rPr>
                <w:rFonts w:hint="eastAsia"/>
                <w:color w:val="auto"/>
                <w:highlight w:val="none"/>
              </w:rPr>
              <w:t>1</w:t>
            </w:r>
          </w:p>
        </w:tc>
        <w:tc>
          <w:tcPr>
            <w:tcW w:w="3900" w:type="dxa"/>
            <w:shd w:val="clear" w:color="auto" w:fill="auto"/>
            <w:noWrap w:val="0"/>
            <w:vAlign w:val="center"/>
          </w:tcPr>
          <w:p w14:paraId="6AAB9CBB">
            <w:pPr>
              <w:pStyle w:val="49"/>
              <w:spacing w:beforeAutospacing="0" w:afterAutospacing="0" w:line="240" w:lineRule="auto"/>
              <w:ind w:left="240" w:hanging="240"/>
              <w:jc w:val="center"/>
              <w:rPr>
                <w:rFonts w:hint="eastAsia" w:eastAsia="宋体" w:cs="仿宋" w:asciiTheme="minorEastAsia" w:hAnsiTheme="minorEastAsia"/>
                <w:color w:val="auto"/>
                <w:highlight w:val="none"/>
                <w:lang w:eastAsia="zh-CN"/>
              </w:rPr>
            </w:pPr>
            <w:r>
              <w:rPr>
                <w:rFonts w:hint="eastAsia" w:cs="仿宋" w:asciiTheme="minorEastAsia" w:hAnsiTheme="minorEastAsia"/>
                <w:color w:val="auto"/>
                <w:highlight w:val="none"/>
                <w:lang w:eastAsia="zh-CN"/>
              </w:rPr>
              <w:t>盐城市公安局盐都分局国省道科技提升项目</w:t>
            </w:r>
          </w:p>
        </w:tc>
        <w:tc>
          <w:tcPr>
            <w:tcW w:w="3969" w:type="dxa"/>
            <w:shd w:val="clear" w:color="auto" w:fill="auto"/>
            <w:noWrap w:val="0"/>
            <w:vAlign w:val="center"/>
          </w:tcPr>
          <w:p w14:paraId="25124DB8">
            <w:pPr>
              <w:pStyle w:val="49"/>
              <w:spacing w:beforeAutospacing="0" w:afterAutospacing="0" w:line="240" w:lineRule="auto"/>
              <w:jc w:val="center"/>
              <w:rPr>
                <w:color w:val="auto"/>
                <w:highlight w:val="none"/>
              </w:rPr>
            </w:pPr>
            <w:r>
              <w:rPr>
                <w:color w:val="auto"/>
                <w:highlight w:val="none"/>
              </w:rPr>
              <w:t> </w:t>
            </w:r>
            <w:r>
              <w:rPr>
                <w:rFonts w:hint="eastAsia"/>
                <w:color w:val="auto"/>
                <w:highlight w:val="none"/>
              </w:rPr>
              <w:t>建筑业</w:t>
            </w:r>
            <w:bookmarkEnd w:id="193"/>
          </w:p>
        </w:tc>
      </w:tr>
    </w:tbl>
    <w:p w14:paraId="056B2812">
      <w:pPr>
        <w:widowControl/>
        <w:jc w:val="left"/>
        <w:rPr>
          <w:rFonts w:ascii="Cambria" w:hAnsi="Cambria"/>
          <w:b/>
          <w:bCs/>
          <w:color w:val="auto"/>
          <w:sz w:val="36"/>
          <w:szCs w:val="36"/>
          <w:highlight w:val="none"/>
        </w:rPr>
      </w:pPr>
      <w:r>
        <w:rPr>
          <w:color w:val="auto"/>
          <w:sz w:val="36"/>
          <w:szCs w:val="36"/>
          <w:highlight w:val="none"/>
        </w:rPr>
        <w:br w:type="page" w:clear="all"/>
      </w:r>
    </w:p>
    <w:p w14:paraId="3C996C73">
      <w:pPr>
        <w:pStyle w:val="51"/>
        <w:rPr>
          <w:color w:val="auto"/>
          <w:sz w:val="36"/>
          <w:szCs w:val="36"/>
          <w:highlight w:val="none"/>
        </w:rPr>
      </w:pPr>
      <w:bookmarkStart w:id="194" w:name="_Toc203032706"/>
      <w:r>
        <w:rPr>
          <w:rFonts w:hint="eastAsia"/>
          <w:color w:val="auto"/>
          <w:sz w:val="36"/>
          <w:szCs w:val="36"/>
          <w:highlight w:val="none"/>
        </w:rPr>
        <w:t>第五章 定标原则和评审标准</w:t>
      </w:r>
      <w:bookmarkEnd w:id="194"/>
    </w:p>
    <w:p w14:paraId="18A9E825">
      <w:pPr>
        <w:pStyle w:val="4"/>
        <w:pageBreakBefore w:val="0"/>
        <w:widowControl w:val="0"/>
        <w:kinsoku/>
        <w:wordWrap/>
        <w:overflowPunct/>
        <w:topLinePunct w:val="0"/>
        <w:autoSpaceDE/>
        <w:autoSpaceDN/>
        <w:bidi w:val="0"/>
        <w:adjustRightInd/>
        <w:snapToGrid/>
        <w:spacing w:before="0" w:after="0" w:line="500" w:lineRule="exact"/>
        <w:ind w:firstLine="482"/>
        <w:jc w:val="left"/>
        <w:textAlignment w:val="auto"/>
        <w:rPr>
          <w:rFonts w:ascii="宋体" w:hAnsi="宋体" w:eastAsia="宋体" w:cs="Courier New"/>
          <w:color w:val="auto"/>
          <w:sz w:val="24"/>
          <w:szCs w:val="24"/>
          <w:highlight w:val="none"/>
        </w:rPr>
      </w:pPr>
      <w:bookmarkStart w:id="195" w:name="_Toc203032707"/>
      <w:bookmarkStart w:id="196" w:name="_Toc166856205"/>
      <w:r>
        <w:rPr>
          <w:rFonts w:hint="eastAsia" w:ascii="宋体" w:hAnsi="宋体" w:eastAsia="宋体" w:cs="Courier New"/>
          <w:color w:val="auto"/>
          <w:sz w:val="24"/>
          <w:szCs w:val="24"/>
          <w:highlight w:val="none"/>
        </w:rPr>
        <w:t>一、磋商小组</w:t>
      </w:r>
      <w:bookmarkEnd w:id="195"/>
      <w:bookmarkEnd w:id="196"/>
    </w:p>
    <w:p w14:paraId="5747533B">
      <w:pPr>
        <w:pageBreakBefore w:val="0"/>
        <w:widowControl w:val="0"/>
        <w:kinsoku/>
        <w:wordWrap/>
        <w:overflowPunct/>
        <w:topLinePunct w:val="0"/>
        <w:autoSpaceDE/>
        <w:autoSpaceDN/>
        <w:bidi w:val="0"/>
        <w:adjustRightInd/>
        <w:snapToGrid/>
        <w:spacing w:line="500" w:lineRule="exact"/>
        <w:ind w:firstLine="360"/>
        <w:textAlignment w:val="auto"/>
        <w:rPr>
          <w:rFonts w:ascii="宋体" w:hAnsi="宋体" w:cs="宋体"/>
          <w:color w:val="auto"/>
          <w:sz w:val="24"/>
          <w:highlight w:val="none"/>
        </w:rPr>
      </w:pPr>
      <w:r>
        <w:rPr>
          <w:rFonts w:hint="eastAsia" w:ascii="宋体" w:hAnsi="宋体" w:cs="宋体"/>
          <w:color w:val="auto"/>
          <w:sz w:val="24"/>
          <w:highlight w:val="none"/>
        </w:rPr>
        <w:t>本采购项目磋商小组的评委由有关专家、采购人代表等相关人员构成。</w:t>
      </w:r>
    </w:p>
    <w:p w14:paraId="5647485C">
      <w:pPr>
        <w:pStyle w:val="4"/>
        <w:pageBreakBefore w:val="0"/>
        <w:widowControl w:val="0"/>
        <w:kinsoku/>
        <w:wordWrap/>
        <w:overflowPunct/>
        <w:topLinePunct w:val="0"/>
        <w:autoSpaceDE/>
        <w:autoSpaceDN/>
        <w:bidi w:val="0"/>
        <w:adjustRightInd/>
        <w:snapToGrid/>
        <w:spacing w:before="0" w:after="0" w:line="500" w:lineRule="exact"/>
        <w:ind w:firstLine="482"/>
        <w:jc w:val="left"/>
        <w:textAlignment w:val="auto"/>
        <w:rPr>
          <w:rFonts w:ascii="宋体" w:hAnsi="宋体" w:eastAsia="宋体" w:cs="Courier New"/>
          <w:color w:val="auto"/>
          <w:sz w:val="24"/>
          <w:szCs w:val="24"/>
          <w:highlight w:val="none"/>
        </w:rPr>
      </w:pPr>
      <w:bookmarkStart w:id="197" w:name="_Toc166856206"/>
      <w:bookmarkStart w:id="198" w:name="_Toc203032708"/>
      <w:r>
        <w:rPr>
          <w:rFonts w:hint="eastAsia" w:ascii="宋体" w:hAnsi="宋体" w:eastAsia="宋体" w:cs="Courier New"/>
          <w:color w:val="auto"/>
          <w:sz w:val="24"/>
          <w:szCs w:val="24"/>
          <w:highlight w:val="none"/>
        </w:rPr>
        <w:t>二、评审方法</w:t>
      </w:r>
      <w:bookmarkEnd w:id="197"/>
      <w:bookmarkEnd w:id="198"/>
    </w:p>
    <w:p w14:paraId="0AEBF44F">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经磋商确定最终采购需求和提交最后报价的供应商后，由磋商小组采用综合评分法对提交最后报价的供应商的响应文件和最后报价进行综合评分。</w:t>
      </w:r>
    </w:p>
    <w:p w14:paraId="6294DA44">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本项目选取1名成交候选人。</w:t>
      </w:r>
    </w:p>
    <w:p w14:paraId="2DBABE7E">
      <w:pPr>
        <w:pStyle w:val="4"/>
        <w:pageBreakBefore w:val="0"/>
        <w:widowControl w:val="0"/>
        <w:kinsoku/>
        <w:wordWrap/>
        <w:overflowPunct/>
        <w:topLinePunct w:val="0"/>
        <w:autoSpaceDE/>
        <w:autoSpaceDN/>
        <w:bidi w:val="0"/>
        <w:adjustRightInd/>
        <w:snapToGrid/>
        <w:spacing w:before="0" w:after="0" w:line="500" w:lineRule="exact"/>
        <w:ind w:firstLine="482"/>
        <w:jc w:val="left"/>
        <w:textAlignment w:val="auto"/>
        <w:rPr>
          <w:rFonts w:ascii="宋体" w:hAnsi="宋体" w:eastAsia="宋体" w:cs="Courier New"/>
          <w:color w:val="auto"/>
          <w:sz w:val="24"/>
          <w:szCs w:val="24"/>
          <w:highlight w:val="none"/>
        </w:rPr>
      </w:pPr>
      <w:bookmarkStart w:id="199" w:name="_Toc203032709"/>
      <w:bookmarkStart w:id="200" w:name="_Toc166856207"/>
      <w:r>
        <w:rPr>
          <w:rFonts w:hint="eastAsia" w:ascii="宋体" w:hAnsi="宋体" w:eastAsia="宋体" w:cs="Courier New"/>
          <w:color w:val="auto"/>
          <w:sz w:val="24"/>
          <w:szCs w:val="24"/>
          <w:highlight w:val="none"/>
        </w:rPr>
        <w:t>三、政府采购政策功能落实</w:t>
      </w:r>
      <w:bookmarkEnd w:id="199"/>
      <w:bookmarkEnd w:id="200"/>
    </w:p>
    <w:p w14:paraId="28004150">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bookmarkStart w:id="201" w:name="_Toc166856209"/>
      <w:r>
        <w:rPr>
          <w:rFonts w:hint="eastAsia" w:ascii="宋体" w:hAnsi="宋体" w:cs="宋体"/>
          <w:color w:val="auto"/>
          <w:sz w:val="24"/>
          <w:highlight w:val="none"/>
        </w:rPr>
        <w:t>政府采购政策功能落实</w:t>
      </w:r>
    </w:p>
    <w:p w14:paraId="58543645">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1、小微型企业价格扣除</w:t>
      </w:r>
    </w:p>
    <w:p w14:paraId="0EACAEC1">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（1）本项目专门面向中小企业采购，不再执行价格评审优惠的扶持政策。</w:t>
      </w:r>
    </w:p>
    <w:p w14:paraId="75B4C91A">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（2）供应商需按照采购文件的要求提供相应的《中小企业声明函》。</w:t>
      </w:r>
    </w:p>
    <w:p w14:paraId="41892FBA">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（3）企业标准请参照《关于印发中小企业划型标准规定的通知》（工信部联企业[2011]300号）文件规定自行填写。</w:t>
      </w:r>
    </w:p>
    <w:p w14:paraId="5C34080F">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2、残疾人福利单位价格扣除</w:t>
      </w:r>
    </w:p>
    <w:p w14:paraId="09A3645E">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（1）本项目专门面向中小企业采购，不再执行价格评审优惠的扶持政策。</w:t>
      </w:r>
    </w:p>
    <w:p w14:paraId="718B52F8">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（2）残疾人福利单位需按照采购文件的要求提供《残疾人福利性单位声明函》。</w:t>
      </w:r>
    </w:p>
    <w:p w14:paraId="0DA6511A">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（3）残疾人福利单位标准请参照《关于促进残疾人就业政府采购政策的通知》（财库〔2017〕141号）。</w:t>
      </w:r>
    </w:p>
    <w:p w14:paraId="4F9BE182">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3、监狱和戒毒企业价格扣除</w:t>
      </w:r>
    </w:p>
    <w:p w14:paraId="688120B4">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（1）本项目专门面向中小企业采购，不再执行价格评审优惠的扶持政策。</w:t>
      </w:r>
    </w:p>
    <w:p w14:paraId="5D7704AC">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18C6DD4C">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（3）监狱企业标准请参照《关于政府采购支持监狱企业发展有关问题的通知》（财库[2014]68号）。</w:t>
      </w:r>
    </w:p>
    <w:p w14:paraId="7204EEB9">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4、残疾人福利单位、监狱企业属于小型、微型企业的，不重复享受政策。</w:t>
      </w:r>
    </w:p>
    <w:p w14:paraId="4D2A5221">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54715375">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6、供应商对于投标产品的商品包装、快递包装应按照“财办库〔2020〕123号《关于印发《商品包装政府采购需求标准（试行）》、《快递包装政府采购需求标准（试行）》的通知》”执行。</w:t>
      </w:r>
    </w:p>
    <w:p w14:paraId="30757991">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7、本文件中若涉及到数据中心采购，应按照《&lt;绿色数据中心政府采购需求标准（试行）&gt;的通知》（财库〔2023〕7号）执行。</w:t>
      </w:r>
    </w:p>
    <w:p w14:paraId="1EA7BEBA">
      <w:pPr>
        <w:pStyle w:val="4"/>
        <w:pageBreakBefore w:val="0"/>
        <w:widowControl w:val="0"/>
        <w:kinsoku/>
        <w:wordWrap/>
        <w:overflowPunct/>
        <w:topLinePunct w:val="0"/>
        <w:autoSpaceDE/>
        <w:autoSpaceDN/>
        <w:bidi w:val="0"/>
        <w:adjustRightInd/>
        <w:snapToGrid/>
        <w:spacing w:before="0" w:after="0" w:line="500" w:lineRule="exact"/>
        <w:ind w:firstLine="482"/>
        <w:jc w:val="left"/>
        <w:textAlignment w:val="auto"/>
        <w:rPr>
          <w:rFonts w:ascii="宋体" w:hAnsi="宋体" w:eastAsia="宋体" w:cs="Courier New"/>
          <w:color w:val="auto"/>
          <w:sz w:val="24"/>
          <w:szCs w:val="24"/>
          <w:highlight w:val="none"/>
        </w:rPr>
      </w:pPr>
      <w:bookmarkStart w:id="202" w:name="_Toc203032710"/>
      <w:r>
        <w:rPr>
          <w:rFonts w:hint="eastAsia" w:ascii="宋体" w:hAnsi="宋体" w:eastAsia="宋体" w:cs="Courier New"/>
          <w:color w:val="auto"/>
          <w:sz w:val="24"/>
          <w:szCs w:val="24"/>
          <w:highlight w:val="none"/>
        </w:rPr>
        <w:t>四、评审原则</w:t>
      </w:r>
      <w:bookmarkEnd w:id="201"/>
      <w:bookmarkEnd w:id="202"/>
    </w:p>
    <w:p w14:paraId="445177CC">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磋商小组必须公平、公正、客观，不带任何倾向性和启发性；不得向外界透露任何与评标有关的内容；任何单位和个人不得干扰、影响评标的正常进行；</w:t>
      </w:r>
      <w:r>
        <w:rPr>
          <w:rFonts w:hint="eastAsia" w:ascii="宋体" w:hAnsi="宋体" w:cs="宋体"/>
          <w:color w:val="auto"/>
          <w:sz w:val="24"/>
          <w:highlight w:val="none"/>
          <w:lang w:eastAsia="zh-CN"/>
        </w:rPr>
        <w:t>磋商小组</w:t>
      </w:r>
      <w:r>
        <w:rPr>
          <w:rFonts w:hint="eastAsia" w:ascii="宋体" w:hAnsi="宋体" w:cs="宋体"/>
          <w:color w:val="auto"/>
          <w:sz w:val="24"/>
          <w:highlight w:val="none"/>
        </w:rPr>
        <w:t>及有关工作人员不得私下与磋商供应商接触。</w:t>
      </w:r>
    </w:p>
    <w:p w14:paraId="7808B06B">
      <w:pPr>
        <w:pStyle w:val="4"/>
        <w:pageBreakBefore w:val="0"/>
        <w:widowControl w:val="0"/>
        <w:kinsoku/>
        <w:wordWrap/>
        <w:overflowPunct/>
        <w:topLinePunct w:val="0"/>
        <w:autoSpaceDE/>
        <w:autoSpaceDN/>
        <w:bidi w:val="0"/>
        <w:adjustRightInd/>
        <w:snapToGrid/>
        <w:spacing w:before="0" w:after="0" w:line="500" w:lineRule="exact"/>
        <w:ind w:firstLine="482"/>
        <w:jc w:val="left"/>
        <w:textAlignment w:val="auto"/>
        <w:rPr>
          <w:rFonts w:ascii="宋体" w:hAnsi="宋体" w:eastAsia="宋体" w:cs="Courier New"/>
          <w:color w:val="auto"/>
          <w:sz w:val="24"/>
          <w:szCs w:val="24"/>
          <w:highlight w:val="none"/>
        </w:rPr>
      </w:pPr>
      <w:bookmarkStart w:id="203" w:name="_Toc203032711"/>
      <w:bookmarkStart w:id="204" w:name="_Toc166856210"/>
      <w:r>
        <w:rPr>
          <w:rFonts w:hint="eastAsia" w:ascii="宋体" w:hAnsi="宋体" w:eastAsia="宋体" w:cs="Courier New"/>
          <w:color w:val="auto"/>
          <w:sz w:val="24"/>
          <w:szCs w:val="24"/>
          <w:highlight w:val="none"/>
        </w:rPr>
        <w:t>五、评分细则</w:t>
      </w:r>
      <w:bookmarkEnd w:id="203"/>
      <w:bookmarkEnd w:id="204"/>
    </w:p>
    <w:p w14:paraId="767ED414">
      <w:pPr>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lang w:eastAsia="zh-CN"/>
        </w:rPr>
        <w:t>磋商小组</w:t>
      </w:r>
      <w:r>
        <w:rPr>
          <w:rFonts w:hint="eastAsia" w:ascii="宋体" w:hAnsi="宋体" w:cs="宋体"/>
          <w:color w:val="auto"/>
          <w:sz w:val="24"/>
          <w:highlight w:val="none"/>
        </w:rPr>
        <w:t>仅对通过以上评审、确定为实质性响应</w:t>
      </w:r>
      <w:r>
        <w:rPr>
          <w:rFonts w:hint="eastAsia" w:ascii="宋体" w:hAnsi="宋体" w:cs="宋体"/>
          <w:color w:val="auto"/>
          <w:sz w:val="24"/>
          <w:highlight w:val="none"/>
          <w:lang w:eastAsia="zh-CN"/>
        </w:rPr>
        <w:t>竞争性磋商文件</w:t>
      </w:r>
      <w:r>
        <w:rPr>
          <w:rFonts w:hint="eastAsia" w:ascii="宋体" w:hAnsi="宋体" w:cs="宋体"/>
          <w:color w:val="auto"/>
          <w:sz w:val="24"/>
          <w:highlight w:val="none"/>
        </w:rPr>
        <w:t>要求的投标文件进行评价和比较。本次招标的评审方法采用综合评分法，</w:t>
      </w:r>
      <w:r>
        <w:rPr>
          <w:rFonts w:hint="eastAsia" w:ascii="宋体" w:hAnsi="宋体" w:cs="宋体"/>
          <w:color w:val="auto"/>
          <w:sz w:val="24"/>
          <w:highlight w:val="none"/>
          <w:lang w:eastAsia="zh-CN"/>
        </w:rPr>
        <w:t>磋商小组</w:t>
      </w:r>
      <w:r>
        <w:rPr>
          <w:rFonts w:hint="eastAsia" w:ascii="宋体" w:hAnsi="宋体" w:cs="宋体"/>
          <w:color w:val="auto"/>
          <w:sz w:val="24"/>
          <w:highlight w:val="none"/>
        </w:rPr>
        <w:t>将按以下评审方法和标准进行评分，总分值为100分。</w:t>
      </w:r>
    </w:p>
    <w:tbl>
      <w:tblPr>
        <w:tblStyle w:val="55"/>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6"/>
        <w:gridCol w:w="7729"/>
      </w:tblGrid>
      <w:tr w14:paraId="10067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1626" w:type="dxa"/>
            <w:noWrap/>
            <w:tcMar>
              <w:top w:w="0" w:type="dxa"/>
              <w:left w:w="0" w:type="dxa"/>
              <w:bottom w:w="0" w:type="dxa"/>
              <w:right w:w="0" w:type="dxa"/>
            </w:tcMar>
            <w:vAlign w:val="center"/>
          </w:tcPr>
          <w:p w14:paraId="03915D9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评标因素</w:t>
            </w:r>
          </w:p>
        </w:tc>
        <w:tc>
          <w:tcPr>
            <w:tcW w:w="7729" w:type="dxa"/>
            <w:noWrap/>
            <w:tcMar>
              <w:top w:w="0" w:type="dxa"/>
              <w:left w:w="0" w:type="dxa"/>
              <w:bottom w:w="0" w:type="dxa"/>
              <w:right w:w="0" w:type="dxa"/>
            </w:tcMar>
            <w:vAlign w:val="center"/>
          </w:tcPr>
          <w:p w14:paraId="07F5A0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评分标准</w:t>
            </w:r>
          </w:p>
        </w:tc>
      </w:tr>
      <w:tr w14:paraId="26150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26" w:type="dxa"/>
            <w:noWrap/>
            <w:tcMar>
              <w:top w:w="0" w:type="dxa"/>
              <w:left w:w="0" w:type="dxa"/>
              <w:bottom w:w="0" w:type="dxa"/>
              <w:right w:w="0" w:type="dxa"/>
            </w:tcMar>
            <w:vAlign w:val="center"/>
          </w:tcPr>
          <w:p w14:paraId="35D9C36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价格分</w:t>
            </w:r>
          </w:p>
          <w:p w14:paraId="7FA5005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（30分）</w:t>
            </w:r>
          </w:p>
        </w:tc>
        <w:tc>
          <w:tcPr>
            <w:tcW w:w="7729" w:type="dxa"/>
            <w:noWrap/>
            <w:tcMar>
              <w:top w:w="0" w:type="dxa"/>
              <w:left w:w="0" w:type="dxa"/>
              <w:bottom w:w="0" w:type="dxa"/>
              <w:right w:w="0" w:type="dxa"/>
            </w:tcMar>
            <w:vAlign w:val="center"/>
          </w:tcPr>
          <w:p w14:paraId="0AAF64F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b w:val="0"/>
                <w:bCs w:val="0"/>
                <w:color w:val="auto"/>
                <w:sz w:val="24"/>
                <w:szCs w:val="24"/>
                <w:highlight w:val="none"/>
                <w:lang w:val="en-US" w:eastAsia="zh-CN"/>
              </w:rPr>
              <w:t>×30</w:t>
            </w:r>
            <w:r>
              <w:rPr>
                <w:rFonts w:hint="eastAsia" w:ascii="宋体" w:hAnsi="宋体" w:eastAsia="宋体" w:cs="宋体"/>
                <w:color w:val="auto"/>
                <w:sz w:val="24"/>
                <w:szCs w:val="24"/>
                <w:highlight w:val="none"/>
              </w:rPr>
              <w:t>（投标报价分值计算按四舍五入取至小数点后两位）。</w:t>
            </w:r>
          </w:p>
        </w:tc>
      </w:tr>
      <w:tr w14:paraId="7F622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26" w:type="dxa"/>
            <w:noWrap/>
            <w:tcMar>
              <w:top w:w="0" w:type="dxa"/>
              <w:left w:w="0" w:type="dxa"/>
              <w:bottom w:w="0" w:type="dxa"/>
              <w:right w:w="0" w:type="dxa"/>
            </w:tcMar>
            <w:vAlign w:val="center"/>
          </w:tcPr>
          <w:p w14:paraId="2606D2A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企业业绩</w:t>
            </w:r>
          </w:p>
          <w:p w14:paraId="1A35569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lang w:val="en-US" w:eastAsia="zh-CN"/>
              </w:rPr>
              <w:t>分）</w:t>
            </w:r>
          </w:p>
        </w:tc>
        <w:tc>
          <w:tcPr>
            <w:tcW w:w="7729" w:type="dxa"/>
            <w:noWrap/>
            <w:tcMar>
              <w:top w:w="0" w:type="dxa"/>
              <w:left w:w="0" w:type="dxa"/>
              <w:bottom w:w="0" w:type="dxa"/>
              <w:right w:w="0" w:type="dxa"/>
            </w:tcMar>
            <w:vAlign w:val="top"/>
          </w:tcPr>
          <w:p w14:paraId="528EA2F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投标人自202</w:t>
            </w: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en-US" w:eastAsia="zh-CN"/>
              </w:rPr>
              <w:t>年1月1日以来承担过类似项目业绩的，有一项得</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分，本项最高得</w:t>
            </w:r>
            <w:r>
              <w:rPr>
                <w:rFonts w:hint="eastAsia" w:ascii="宋体" w:hAnsi="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lang w:val="en-US" w:eastAsia="zh-CN"/>
              </w:rPr>
              <w:t>分</w:t>
            </w:r>
            <w:r>
              <w:rPr>
                <w:rFonts w:hint="eastAsia" w:ascii="宋体" w:hAnsi="宋体" w:eastAsia="宋体" w:cs="宋体"/>
                <w:color w:val="auto"/>
                <w:sz w:val="24"/>
                <w:szCs w:val="24"/>
                <w:highlight w:val="none"/>
              </w:rPr>
              <w:t>。</w:t>
            </w:r>
          </w:p>
          <w:p w14:paraId="42D0958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480" w:firstLineChars="200"/>
              <w:jc w:val="both"/>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注：1、业绩时间以</w:t>
            </w:r>
            <w:r>
              <w:rPr>
                <w:rFonts w:hint="eastAsia" w:ascii="宋体" w:hAnsi="宋体" w:cs="宋体"/>
                <w:color w:val="auto"/>
                <w:sz w:val="24"/>
                <w:szCs w:val="24"/>
                <w:highlight w:val="none"/>
                <w:lang w:val="en-US" w:eastAsia="zh-CN"/>
              </w:rPr>
              <w:t>合同签订</w:t>
            </w:r>
            <w:r>
              <w:rPr>
                <w:rFonts w:hint="eastAsia" w:ascii="宋体" w:hAnsi="宋体" w:eastAsia="宋体" w:cs="宋体"/>
                <w:color w:val="auto"/>
                <w:sz w:val="24"/>
                <w:szCs w:val="24"/>
                <w:highlight w:val="none"/>
              </w:rPr>
              <w:t>时间为准，</w:t>
            </w:r>
            <w:r>
              <w:rPr>
                <w:rFonts w:hint="eastAsia" w:ascii="宋体" w:hAnsi="宋体" w:eastAsia="宋体" w:cs="宋体"/>
                <w:color w:val="auto"/>
                <w:sz w:val="24"/>
                <w:szCs w:val="24"/>
                <w:highlight w:val="none"/>
                <w:lang w:val="en-US" w:eastAsia="zh-CN"/>
              </w:rPr>
              <w:t>同时</w:t>
            </w:r>
            <w:r>
              <w:rPr>
                <w:rFonts w:hint="eastAsia" w:ascii="宋体" w:hAnsi="宋体" w:eastAsia="宋体" w:cs="宋体"/>
                <w:color w:val="auto"/>
                <w:sz w:val="24"/>
                <w:szCs w:val="24"/>
                <w:highlight w:val="none"/>
              </w:rPr>
              <w:t>提供</w:t>
            </w:r>
            <w:r>
              <w:rPr>
                <w:rFonts w:hint="eastAsia" w:ascii="宋体" w:hAnsi="宋体" w:eastAsia="宋体" w:cs="宋体"/>
                <w:b/>
                <w:color w:val="auto"/>
                <w:sz w:val="24"/>
                <w:szCs w:val="24"/>
                <w:highlight w:val="none"/>
              </w:rPr>
              <w:t>成交确认书或中标通知书</w:t>
            </w:r>
            <w:r>
              <w:rPr>
                <w:rFonts w:hint="eastAsia" w:ascii="宋体" w:hAnsi="宋体" w:eastAsia="宋体" w:cs="宋体"/>
                <w:color w:val="auto"/>
                <w:sz w:val="24"/>
                <w:szCs w:val="24"/>
                <w:highlight w:val="none"/>
              </w:rPr>
              <w:t>（非</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项目不需提供，但须提供业主出具的加盖单位公章的直接发包证明）、</w:t>
            </w:r>
            <w:r>
              <w:rPr>
                <w:rFonts w:hint="eastAsia" w:ascii="宋体" w:hAnsi="宋体" w:eastAsia="宋体" w:cs="宋体"/>
                <w:b/>
                <w:color w:val="auto"/>
                <w:sz w:val="24"/>
                <w:szCs w:val="24"/>
                <w:highlight w:val="none"/>
              </w:rPr>
              <w:t>施工合同、交（竣）工验收证明</w:t>
            </w:r>
            <w:r>
              <w:rPr>
                <w:rFonts w:hint="eastAsia" w:ascii="宋体" w:hAnsi="宋体" w:eastAsia="宋体" w:cs="宋体"/>
                <w:b/>
                <w:color w:val="auto"/>
                <w:sz w:val="24"/>
                <w:szCs w:val="24"/>
                <w:highlight w:val="none"/>
                <w:lang w:val="en-US" w:eastAsia="zh-CN"/>
              </w:rPr>
              <w:t>复印件</w:t>
            </w:r>
            <w:r>
              <w:rPr>
                <w:rFonts w:hint="eastAsia" w:ascii="宋体" w:hAnsi="宋体" w:eastAsia="宋体" w:cs="宋体"/>
                <w:b/>
                <w:color w:val="auto"/>
                <w:sz w:val="24"/>
                <w:szCs w:val="24"/>
                <w:highlight w:val="none"/>
              </w:rPr>
              <w:t>并加盖供应商公章（所提供材料无法证明相关工作内容，投标人可出具业主证明材料</w:t>
            </w:r>
            <w:r>
              <w:rPr>
                <w:rFonts w:hint="eastAsia" w:ascii="宋体" w:hAnsi="宋体" w:eastAsia="宋体" w:cs="宋体"/>
                <w:b/>
                <w:color w:val="auto"/>
                <w:sz w:val="24"/>
                <w:szCs w:val="24"/>
                <w:highlight w:val="none"/>
                <w:lang w:val="en-US" w:eastAsia="zh-CN"/>
              </w:rPr>
              <w:t>复印件</w:t>
            </w:r>
            <w:r>
              <w:rPr>
                <w:rFonts w:hint="eastAsia" w:ascii="宋体" w:hAnsi="宋体" w:eastAsia="宋体" w:cs="宋体"/>
                <w:b/>
                <w:color w:val="auto"/>
                <w:sz w:val="24"/>
                <w:szCs w:val="24"/>
                <w:highlight w:val="none"/>
              </w:rPr>
              <w:t>加盖供应商公章，格式自拟。）</w:t>
            </w:r>
          </w:p>
          <w:p w14:paraId="28A20A1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、类似业绩指</w:t>
            </w:r>
            <w:r>
              <w:rPr>
                <w:rFonts w:hint="eastAsia" w:ascii="宋体" w:hAnsi="宋体" w:eastAsia="宋体" w:cs="宋体"/>
                <w:color w:val="auto"/>
                <w:sz w:val="24"/>
                <w:szCs w:val="24"/>
                <w:highlight w:val="none"/>
                <w:lang w:val="en-US" w:eastAsia="zh-CN"/>
              </w:rPr>
              <w:t>交通</w:t>
            </w:r>
            <w:r>
              <w:rPr>
                <w:rFonts w:hint="eastAsia" w:ascii="宋体" w:hAnsi="宋体" w:eastAsia="宋体" w:cs="宋体"/>
                <w:color w:val="auto"/>
                <w:sz w:val="24"/>
                <w:szCs w:val="24"/>
                <w:highlight w:val="none"/>
              </w:rPr>
              <w:t>标志</w:t>
            </w:r>
            <w:r>
              <w:rPr>
                <w:rFonts w:hint="eastAsia" w:ascii="宋体" w:hAnsi="宋体" w:eastAsia="宋体" w:cs="宋体"/>
                <w:color w:val="auto"/>
                <w:sz w:val="24"/>
                <w:szCs w:val="24"/>
                <w:highlight w:val="none"/>
                <w:lang w:val="en-US" w:eastAsia="zh-CN"/>
              </w:rPr>
              <w:t>或交通</w:t>
            </w:r>
            <w:r>
              <w:rPr>
                <w:rFonts w:hint="eastAsia" w:ascii="宋体" w:hAnsi="宋体" w:eastAsia="宋体" w:cs="宋体"/>
                <w:color w:val="auto"/>
                <w:sz w:val="24"/>
                <w:szCs w:val="24"/>
                <w:highlight w:val="none"/>
              </w:rPr>
              <w:t>监控</w:t>
            </w:r>
            <w:r>
              <w:rPr>
                <w:rFonts w:hint="eastAsia" w:ascii="宋体" w:hAnsi="宋体" w:eastAsia="宋体" w:cs="宋体"/>
                <w:color w:val="auto"/>
                <w:sz w:val="24"/>
                <w:szCs w:val="24"/>
                <w:highlight w:val="none"/>
                <w:lang w:val="en-US" w:eastAsia="zh-CN"/>
              </w:rPr>
              <w:t>等交安工程</w:t>
            </w:r>
            <w:r>
              <w:rPr>
                <w:rFonts w:hint="eastAsia" w:ascii="宋体" w:hAnsi="宋体" w:eastAsia="宋体" w:cs="宋体"/>
                <w:color w:val="auto"/>
                <w:sz w:val="24"/>
                <w:szCs w:val="24"/>
                <w:highlight w:val="none"/>
              </w:rPr>
              <w:t>的业绩。</w:t>
            </w:r>
          </w:p>
        </w:tc>
      </w:tr>
      <w:tr w14:paraId="1CFF4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0" w:hRule="atLeast"/>
          <w:jc w:val="center"/>
        </w:trPr>
        <w:tc>
          <w:tcPr>
            <w:tcW w:w="1626" w:type="dxa"/>
            <w:noWrap/>
            <w:tcMar>
              <w:top w:w="0" w:type="dxa"/>
              <w:left w:w="0" w:type="dxa"/>
              <w:bottom w:w="0" w:type="dxa"/>
              <w:right w:w="0" w:type="dxa"/>
            </w:tcMar>
            <w:vAlign w:val="center"/>
          </w:tcPr>
          <w:p w14:paraId="5909277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企业实力</w:t>
            </w:r>
          </w:p>
          <w:p w14:paraId="12F0523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13</w:t>
            </w:r>
            <w:r>
              <w:rPr>
                <w:rFonts w:hint="eastAsia" w:ascii="宋体" w:hAnsi="宋体" w:eastAsia="宋体" w:cs="宋体"/>
                <w:b w:val="0"/>
                <w:bCs w:val="0"/>
                <w:color w:val="auto"/>
                <w:sz w:val="24"/>
                <w:szCs w:val="24"/>
                <w:highlight w:val="none"/>
                <w:lang w:val="en-US" w:eastAsia="zh-CN"/>
              </w:rPr>
              <w:t>分）</w:t>
            </w:r>
          </w:p>
        </w:tc>
        <w:tc>
          <w:tcPr>
            <w:tcW w:w="7729" w:type="dxa"/>
            <w:noWrap/>
            <w:tcMar>
              <w:top w:w="0" w:type="dxa"/>
              <w:left w:w="0" w:type="dxa"/>
              <w:bottom w:w="0" w:type="dxa"/>
              <w:right w:w="0" w:type="dxa"/>
            </w:tcMar>
            <w:vAlign w:val="top"/>
          </w:tcPr>
          <w:p w14:paraId="027CCAC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right="0"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投标人具有质量管理体系认证证书、环境管理体系认证证书、职业健康安全管理体系认证证书，每具有一个得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val="en-US" w:eastAsia="zh-CN"/>
              </w:rPr>
              <w:t>本项</w:t>
            </w:r>
            <w:r>
              <w:rPr>
                <w:rFonts w:hint="eastAsia" w:ascii="宋体" w:hAnsi="宋体" w:eastAsia="宋体" w:cs="宋体"/>
                <w:color w:val="auto"/>
                <w:sz w:val="24"/>
                <w:szCs w:val="24"/>
                <w:highlight w:val="none"/>
              </w:rPr>
              <w:t>最多得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分，未提供或提供不全的不得分。认证证书须在全国认证认可信息公共服务平台网站可查询网址http://cx.cnca.cn/C</w:t>
            </w:r>
            <w:r>
              <w:rPr>
                <w:rFonts w:hint="eastAsia" w:ascii="宋体" w:hAnsi="宋体" w:eastAsia="宋体" w:cs="宋体"/>
                <w:b w:val="0"/>
                <w:bCs w:val="0"/>
                <w:color w:val="auto"/>
                <w:sz w:val="24"/>
                <w:szCs w:val="24"/>
                <w:highlight w:val="none"/>
              </w:rPr>
              <w:t>ertECloud/index/index/page</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提供网站截屏加盖投标人公章、证书复印件加盖投标人公章为准，二个材料必须同时提供，未提供或提供不全的不得分）。</w:t>
            </w:r>
          </w:p>
          <w:p w14:paraId="4D4D851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right="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投标人为本项目投入1辆高空专项作业车的得</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分。（如车辆为投标人自有的，须同时提供购买发票复印件，行驶证复印件、车辆现状照片并加盖供应商公章；如车辆为投标人租赁的，须同时提供行驶证复印件、租赁合同复印件、车辆现状照片并加盖供应商公章。）</w:t>
            </w:r>
          </w:p>
          <w:p w14:paraId="75F3DAE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投标人</w:t>
            </w:r>
            <w:r>
              <w:rPr>
                <w:rFonts w:hint="eastAsia" w:ascii="宋体" w:hAnsi="宋体" w:cs="宋体"/>
                <w:color w:val="auto"/>
                <w:sz w:val="24"/>
                <w:szCs w:val="24"/>
                <w:highlight w:val="none"/>
                <w:lang w:val="en-US" w:eastAsia="zh-CN"/>
              </w:rPr>
              <w:t>拟派的</w:t>
            </w:r>
            <w:r>
              <w:rPr>
                <w:rFonts w:hint="eastAsia" w:ascii="宋体" w:hAnsi="宋体" w:eastAsia="宋体" w:cs="宋体"/>
                <w:color w:val="auto"/>
                <w:sz w:val="24"/>
                <w:szCs w:val="24"/>
                <w:highlight w:val="none"/>
                <w:lang w:val="en-US" w:eastAsia="zh-CN"/>
              </w:rPr>
              <w:t>项目组成员</w:t>
            </w:r>
            <w:r>
              <w:rPr>
                <w:rFonts w:hint="eastAsia" w:ascii="宋体" w:hAnsi="宋体" w:cs="宋体"/>
                <w:color w:val="auto"/>
                <w:sz w:val="24"/>
                <w:szCs w:val="24"/>
                <w:highlight w:val="none"/>
                <w:lang w:val="en-US" w:eastAsia="zh-CN"/>
              </w:rPr>
              <w:t>中</w:t>
            </w:r>
            <w:r>
              <w:rPr>
                <w:rFonts w:hint="eastAsia" w:ascii="宋体" w:hAnsi="宋体" w:eastAsia="宋体" w:cs="宋体"/>
                <w:color w:val="auto"/>
                <w:sz w:val="24"/>
                <w:szCs w:val="24"/>
                <w:highlight w:val="none"/>
                <w:lang w:eastAsia="zh-CN"/>
              </w:rPr>
              <w:t>持有</w:t>
            </w:r>
            <w:r>
              <w:rPr>
                <w:rFonts w:hint="eastAsia" w:ascii="宋体" w:hAnsi="宋体" w:eastAsia="宋体" w:cs="宋体"/>
                <w:color w:val="auto"/>
                <w:sz w:val="24"/>
                <w:szCs w:val="24"/>
                <w:highlight w:val="none"/>
                <w:lang w:val="en-US" w:eastAsia="zh-CN"/>
              </w:rPr>
              <w:t>交通类或机电设备安装类</w:t>
            </w:r>
            <w:r>
              <w:rPr>
                <w:rFonts w:hint="eastAsia" w:ascii="宋体" w:hAnsi="宋体" w:cs="宋体"/>
                <w:color w:val="auto"/>
                <w:sz w:val="24"/>
                <w:szCs w:val="24"/>
                <w:highlight w:val="none"/>
                <w:lang w:val="en-US" w:eastAsia="zh-CN"/>
              </w:rPr>
              <w:t>或电气类</w:t>
            </w:r>
            <w:r>
              <w:rPr>
                <w:rFonts w:hint="eastAsia" w:ascii="宋体" w:hAnsi="宋体" w:eastAsia="宋体" w:cs="宋体"/>
                <w:color w:val="auto"/>
                <w:sz w:val="24"/>
                <w:szCs w:val="24"/>
                <w:highlight w:val="none"/>
                <w:lang w:val="en-US" w:eastAsia="zh-CN"/>
              </w:rPr>
              <w:t>中级及以上职称证书</w:t>
            </w:r>
            <w:r>
              <w:rPr>
                <w:rFonts w:hint="eastAsia" w:ascii="宋体" w:hAnsi="宋体" w:eastAsia="宋体" w:cs="宋体"/>
                <w:color w:val="auto"/>
                <w:sz w:val="24"/>
                <w:szCs w:val="24"/>
                <w:highlight w:val="none"/>
                <w:lang w:eastAsia="zh-CN"/>
              </w:rPr>
              <w:t>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持有</w:t>
            </w:r>
            <w:r>
              <w:rPr>
                <w:rFonts w:hint="eastAsia" w:ascii="宋体" w:hAnsi="宋体" w:eastAsia="宋体" w:cs="宋体"/>
                <w:color w:val="auto"/>
                <w:sz w:val="24"/>
                <w:szCs w:val="24"/>
                <w:highlight w:val="none"/>
                <w:lang w:val="en-US" w:eastAsia="zh-CN"/>
              </w:rPr>
              <w:t>交通类或机电设备安装类</w:t>
            </w:r>
            <w:r>
              <w:rPr>
                <w:rFonts w:hint="eastAsia" w:ascii="宋体" w:hAnsi="宋体" w:cs="宋体"/>
                <w:color w:val="auto"/>
                <w:sz w:val="24"/>
                <w:szCs w:val="24"/>
                <w:highlight w:val="none"/>
                <w:lang w:val="en-US" w:eastAsia="zh-CN"/>
              </w:rPr>
              <w:t>或电气类高级</w:t>
            </w:r>
            <w:r>
              <w:rPr>
                <w:rFonts w:hint="eastAsia" w:ascii="宋体" w:hAnsi="宋体" w:eastAsia="宋体" w:cs="宋体"/>
                <w:color w:val="auto"/>
                <w:sz w:val="24"/>
                <w:szCs w:val="24"/>
                <w:highlight w:val="none"/>
                <w:lang w:val="en-US" w:eastAsia="zh-CN"/>
              </w:rPr>
              <w:t>职称证书</w:t>
            </w:r>
            <w:r>
              <w:rPr>
                <w:rFonts w:hint="eastAsia" w:ascii="宋体" w:hAnsi="宋体" w:eastAsia="宋体" w:cs="宋体"/>
                <w:color w:val="auto"/>
                <w:sz w:val="24"/>
                <w:szCs w:val="24"/>
                <w:highlight w:val="none"/>
                <w:lang w:eastAsia="zh-CN"/>
              </w:rPr>
              <w:t>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本项</w:t>
            </w:r>
            <w:r>
              <w:rPr>
                <w:rFonts w:hint="eastAsia" w:ascii="宋体" w:hAnsi="宋体" w:eastAsia="宋体" w:cs="宋体"/>
                <w:color w:val="auto"/>
                <w:sz w:val="24"/>
                <w:szCs w:val="24"/>
                <w:highlight w:val="none"/>
              </w:rPr>
              <w:t>最多得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。（投标时须提供相应证书及</w:t>
            </w:r>
            <w:r>
              <w:rPr>
                <w:rFonts w:hint="eastAsia" w:ascii="宋体" w:hAnsi="宋体" w:eastAsia="宋体" w:cs="宋体"/>
                <w:color w:val="auto"/>
                <w:sz w:val="24"/>
                <w:szCs w:val="24"/>
                <w:highlight w:val="none"/>
                <w:lang w:val="en-US" w:eastAsia="zh-CN"/>
              </w:rPr>
              <w:t>该人员</w:t>
            </w:r>
            <w:r>
              <w:rPr>
                <w:rFonts w:hint="eastAsia" w:ascii="宋体" w:hAnsi="宋体" w:eastAsia="宋体" w:cs="宋体"/>
                <w:color w:val="auto"/>
                <w:sz w:val="24"/>
                <w:szCs w:val="24"/>
                <w:highlight w:val="none"/>
                <w:lang w:eastAsia="zh-CN"/>
              </w:rPr>
              <w:t>近</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个月</w:t>
            </w:r>
            <w:r>
              <w:rPr>
                <w:rFonts w:hint="eastAsia" w:ascii="宋体" w:hAnsi="宋体" w:eastAsia="宋体" w:cs="宋体"/>
                <w:color w:val="auto"/>
                <w:sz w:val="24"/>
                <w:szCs w:val="24"/>
                <w:highlight w:val="none"/>
                <w:shd w:val="clear" w:color="auto" w:fill="auto"/>
                <w:lang w:eastAsia="zh-CN"/>
              </w:rPr>
              <w:t>(不含投标当月)</w:t>
            </w:r>
            <w:r>
              <w:rPr>
                <w:rFonts w:hint="eastAsia" w:ascii="宋体" w:hAnsi="宋体" w:eastAsia="宋体" w:cs="宋体"/>
                <w:color w:val="auto"/>
                <w:sz w:val="24"/>
                <w:szCs w:val="24"/>
                <w:highlight w:val="none"/>
                <w:lang w:eastAsia="zh-CN"/>
              </w:rPr>
              <w:t>以来</w:t>
            </w:r>
            <w:r>
              <w:rPr>
                <w:rFonts w:hint="eastAsia" w:ascii="宋体" w:hAnsi="宋体" w:eastAsia="宋体" w:cs="宋体"/>
                <w:color w:val="auto"/>
                <w:sz w:val="24"/>
                <w:szCs w:val="24"/>
                <w:highlight w:val="none"/>
                <w:lang w:val="en-US" w:eastAsia="zh-CN"/>
              </w:rPr>
              <w:t>任意一个月在投标人单位</w:t>
            </w:r>
            <w:r>
              <w:rPr>
                <w:rFonts w:hint="eastAsia" w:ascii="宋体" w:hAnsi="宋体" w:eastAsia="宋体" w:cs="宋体"/>
                <w:color w:val="auto"/>
                <w:sz w:val="24"/>
                <w:szCs w:val="24"/>
                <w:highlight w:val="none"/>
                <w:lang w:eastAsia="zh-CN"/>
              </w:rPr>
              <w:t>缴纳社保证明材料复印件加盖投标人公章，未提供或提供不全的不得分）。</w:t>
            </w:r>
          </w:p>
        </w:tc>
      </w:tr>
      <w:tr w14:paraId="71DDF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2" w:hRule="atLeast"/>
          <w:jc w:val="center"/>
        </w:trPr>
        <w:tc>
          <w:tcPr>
            <w:tcW w:w="1626" w:type="dxa"/>
            <w:noWrap/>
            <w:tcMar>
              <w:top w:w="0" w:type="dxa"/>
              <w:left w:w="0" w:type="dxa"/>
              <w:bottom w:w="0" w:type="dxa"/>
              <w:right w:w="0" w:type="dxa"/>
            </w:tcMar>
            <w:vAlign w:val="center"/>
          </w:tcPr>
          <w:p w14:paraId="46AE736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质保期服务</w:t>
            </w:r>
          </w:p>
          <w:p w14:paraId="43197B0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val="en-US" w:eastAsia="zh-CN"/>
              </w:rPr>
              <w:t>分）</w:t>
            </w:r>
          </w:p>
        </w:tc>
        <w:tc>
          <w:tcPr>
            <w:tcW w:w="7729" w:type="dxa"/>
            <w:noWrap/>
            <w:tcMar>
              <w:top w:w="0" w:type="dxa"/>
              <w:left w:w="0" w:type="dxa"/>
              <w:bottom w:w="0" w:type="dxa"/>
              <w:right w:w="0" w:type="dxa"/>
            </w:tcMar>
            <w:vAlign w:val="top"/>
          </w:tcPr>
          <w:p w14:paraId="009AC1F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42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32"/>
                <w:highlight w:val="none"/>
              </w:rPr>
              <w:t>投标人承诺的质保期在</w:t>
            </w:r>
            <w:r>
              <w:rPr>
                <w:rFonts w:hint="eastAsia" w:ascii="宋体" w:hAnsi="宋体" w:cs="宋体"/>
                <w:color w:val="auto"/>
                <w:sz w:val="24"/>
                <w:szCs w:val="32"/>
                <w:highlight w:val="none"/>
                <w:lang w:eastAsia="zh-CN"/>
              </w:rPr>
              <w:t>竞争性磋商文件</w:t>
            </w:r>
            <w:r>
              <w:rPr>
                <w:rFonts w:hint="eastAsia" w:ascii="宋体" w:hAnsi="宋体" w:eastAsia="宋体" w:cs="宋体"/>
                <w:color w:val="auto"/>
                <w:sz w:val="24"/>
                <w:szCs w:val="32"/>
                <w:highlight w:val="none"/>
              </w:rPr>
              <w:t>基本要求（3年）基础上，每增加1年得</w:t>
            </w:r>
            <w:r>
              <w:rPr>
                <w:rFonts w:hint="eastAsia" w:ascii="宋体" w:hAnsi="宋体" w:cs="宋体"/>
                <w:color w:val="auto"/>
                <w:sz w:val="24"/>
                <w:szCs w:val="32"/>
                <w:highlight w:val="none"/>
                <w:lang w:val="en-US" w:eastAsia="zh-CN"/>
              </w:rPr>
              <w:t>4</w:t>
            </w:r>
            <w:r>
              <w:rPr>
                <w:rFonts w:hint="eastAsia" w:ascii="宋体" w:hAnsi="宋体" w:eastAsia="宋体" w:cs="宋体"/>
                <w:color w:val="auto"/>
                <w:sz w:val="24"/>
                <w:szCs w:val="32"/>
                <w:highlight w:val="none"/>
              </w:rPr>
              <w:t>分，最多得</w:t>
            </w:r>
            <w:r>
              <w:rPr>
                <w:rFonts w:hint="eastAsia" w:ascii="宋体" w:hAnsi="宋体" w:cs="宋体"/>
                <w:color w:val="auto"/>
                <w:sz w:val="24"/>
                <w:szCs w:val="32"/>
                <w:highlight w:val="none"/>
                <w:lang w:val="en-US" w:eastAsia="zh-CN"/>
              </w:rPr>
              <w:t>8</w:t>
            </w:r>
            <w:r>
              <w:rPr>
                <w:rFonts w:hint="eastAsia" w:ascii="宋体" w:hAnsi="宋体" w:eastAsia="宋体" w:cs="宋体"/>
                <w:color w:val="auto"/>
                <w:sz w:val="24"/>
                <w:szCs w:val="32"/>
                <w:highlight w:val="none"/>
              </w:rPr>
              <w:t>分。</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lang w:val="en-US" w:eastAsia="zh-CN"/>
              </w:rPr>
              <w:t>注：</w:t>
            </w:r>
            <w:r>
              <w:rPr>
                <w:rFonts w:hint="eastAsia" w:ascii="宋体" w:hAnsi="宋体" w:eastAsia="宋体" w:cs="宋体"/>
                <w:color w:val="auto"/>
                <w:sz w:val="24"/>
                <w:szCs w:val="32"/>
                <w:highlight w:val="none"/>
                <w:lang w:eastAsia="zh-CN"/>
              </w:rPr>
              <w:t>以提供承诺函加盖投标人公章为准</w:t>
            </w:r>
            <w:r>
              <w:rPr>
                <w:rFonts w:hint="eastAsia" w:ascii="宋体" w:hAnsi="宋体" w:eastAsia="宋体" w:cs="宋体"/>
                <w:color w:val="auto"/>
                <w:sz w:val="24"/>
                <w:szCs w:val="32"/>
                <w:highlight w:val="none"/>
                <w:lang w:val="en-US" w:eastAsia="zh-CN"/>
              </w:rPr>
              <w:t>，</w:t>
            </w:r>
            <w:r>
              <w:rPr>
                <w:rFonts w:hint="eastAsia" w:ascii="宋体" w:hAnsi="宋体" w:cs="宋体"/>
                <w:color w:val="auto"/>
                <w:sz w:val="24"/>
                <w:szCs w:val="32"/>
                <w:highlight w:val="none"/>
                <w:lang w:val="en-US" w:eastAsia="zh-CN"/>
              </w:rPr>
              <w:t>格式见附件</w:t>
            </w:r>
            <w:r>
              <w:rPr>
                <w:rFonts w:hint="eastAsia" w:ascii="宋体" w:hAnsi="宋体" w:eastAsia="宋体" w:cs="宋体"/>
                <w:color w:val="auto"/>
                <w:sz w:val="24"/>
                <w:szCs w:val="32"/>
                <w:highlight w:val="none"/>
                <w:lang w:eastAsia="zh-CN"/>
              </w:rPr>
              <w:t>。）</w:t>
            </w:r>
          </w:p>
        </w:tc>
      </w:tr>
      <w:tr w14:paraId="3B3ED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26" w:type="dxa"/>
            <w:noWrap/>
            <w:tcMar>
              <w:top w:w="0" w:type="dxa"/>
              <w:left w:w="0" w:type="dxa"/>
              <w:bottom w:w="0" w:type="dxa"/>
              <w:right w:w="0" w:type="dxa"/>
            </w:tcMar>
            <w:vAlign w:val="center"/>
          </w:tcPr>
          <w:p w14:paraId="522B2B7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项目实施方案（</w:t>
            </w:r>
            <w:r>
              <w:rPr>
                <w:rFonts w:hint="eastAsia" w:ascii="宋体" w:hAnsi="宋体" w:eastAsia="宋体" w:cs="宋体"/>
                <w:b w:val="0"/>
                <w:bCs w:val="0"/>
                <w:color w:val="auto"/>
                <w:sz w:val="24"/>
                <w:szCs w:val="24"/>
                <w:highlight w:val="none"/>
                <w:lang w:val="en-US" w:eastAsia="zh-CN"/>
              </w:rPr>
              <w:t>40分）</w:t>
            </w:r>
          </w:p>
        </w:tc>
        <w:tc>
          <w:tcPr>
            <w:tcW w:w="7729" w:type="dxa"/>
            <w:noWrap/>
            <w:tcMar>
              <w:top w:w="0" w:type="dxa"/>
              <w:left w:w="0" w:type="dxa"/>
              <w:bottom w:w="0" w:type="dxa"/>
              <w:right w:w="0" w:type="dxa"/>
            </w:tcMar>
            <w:vAlign w:val="center"/>
          </w:tcPr>
          <w:p w14:paraId="185E741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42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根据投标供应商的项目实施方案的完整性、准确性等方面进行综合评分：</w:t>
            </w:r>
          </w:p>
          <w:p w14:paraId="25A1FA6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1.施工方案与技术措施（</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30E0E00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420"/>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根据投标供应商提供的</w:t>
            </w:r>
            <w:r>
              <w:rPr>
                <w:rFonts w:hint="eastAsia" w:ascii="宋体" w:hAnsi="宋体" w:eastAsia="宋体" w:cs="宋体"/>
                <w:color w:val="auto"/>
                <w:sz w:val="24"/>
                <w:szCs w:val="24"/>
                <w:highlight w:val="none"/>
              </w:rPr>
              <w:t>施工方案与技术措施进行评审</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包括但不限于：①施工准备；②施工项目目标控制</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③技术措施</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④科学施工工艺</w:t>
            </w:r>
            <w:r>
              <w:rPr>
                <w:rFonts w:hint="eastAsia" w:ascii="宋体" w:hAnsi="宋体" w:eastAsia="宋体" w:cs="宋体"/>
                <w:color w:val="auto"/>
                <w:sz w:val="24"/>
                <w:szCs w:val="24"/>
                <w:highlight w:val="none"/>
                <w:lang w:val="zh-CN"/>
              </w:rPr>
              <w:t>等</w:t>
            </w:r>
            <w:r>
              <w:rPr>
                <w:rFonts w:hint="eastAsia" w:ascii="宋体" w:hAnsi="宋体" w:eastAsia="宋体" w:cs="宋体"/>
                <w:color w:val="auto"/>
                <w:sz w:val="24"/>
                <w:szCs w:val="24"/>
                <w:highlight w:val="none"/>
              </w:rPr>
              <w:t>方面内容</w:t>
            </w:r>
            <w:r>
              <w:rPr>
                <w:rFonts w:hint="eastAsia" w:ascii="宋体" w:hAnsi="宋体" w:eastAsia="宋体" w:cs="宋体"/>
                <w:color w:val="auto"/>
                <w:sz w:val="24"/>
                <w:szCs w:val="24"/>
                <w:highlight w:val="none"/>
                <w:lang w:val="zh-CN"/>
              </w:rPr>
              <w:t>：</w:t>
            </w:r>
          </w:p>
          <w:p w14:paraId="7D317EB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方案内容包含以上全部内容且符合本项目实际需求的，得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分，每缺少一项内容，或内容明显错误，或内容非专门针对本项目，或内容不能满足本项目实际需求的，每一项扣</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分，扣完</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分为止（即：得 0分）。</w:t>
            </w:r>
          </w:p>
          <w:p w14:paraId="0C2E0C8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2.工程进度计划与保证措施（</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172C7A8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本项目的工期紧、任务重、质量保证的前提下，供应商提供工程进度计划与保证措施方案，包括但不限于：①对施工进度的关键因素分析；②保证措施和人员分工的合理性；③工期进度安排；④机械设备和材料投入</w:t>
            </w:r>
            <w:r>
              <w:rPr>
                <w:rFonts w:hint="eastAsia" w:ascii="宋体" w:hAnsi="宋体" w:eastAsia="宋体" w:cs="宋体"/>
                <w:color w:val="auto"/>
                <w:sz w:val="24"/>
                <w:szCs w:val="24"/>
                <w:highlight w:val="none"/>
                <w:lang w:val="zh-CN"/>
              </w:rPr>
              <w:t>等</w:t>
            </w:r>
            <w:r>
              <w:rPr>
                <w:rFonts w:hint="eastAsia" w:ascii="宋体" w:hAnsi="宋体" w:eastAsia="宋体" w:cs="宋体"/>
                <w:color w:val="auto"/>
                <w:sz w:val="24"/>
                <w:szCs w:val="24"/>
                <w:highlight w:val="none"/>
              </w:rPr>
              <w:t>方面内容：</w:t>
            </w:r>
          </w:p>
          <w:p w14:paraId="7350F82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方案内容包含以上全部内容且符合本项目实际需求的，得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分，每缺少一项内容，或内容明显错误，或内容非专门针对本项目，或内容不能满足本项目实际需求的，每一项扣</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分，扣完</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分为止（即：得 0分）。</w:t>
            </w:r>
          </w:p>
          <w:p w14:paraId="641358C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安全管理体系和措施（</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3EE6F40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根据投标供应商提供的</w:t>
            </w:r>
            <w:r>
              <w:rPr>
                <w:rFonts w:hint="eastAsia" w:ascii="宋体" w:hAnsi="宋体" w:eastAsia="宋体" w:cs="宋体"/>
                <w:color w:val="auto"/>
                <w:sz w:val="24"/>
                <w:szCs w:val="24"/>
                <w:highlight w:val="none"/>
              </w:rPr>
              <w:t>安全管理体系和措施进行评审</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包括但不限于：①安全管理体系；②岗位职责的健全；③安全保证措施；④安全责任落</w:t>
            </w:r>
            <w:r>
              <w:rPr>
                <w:rFonts w:hint="eastAsia" w:ascii="宋体" w:hAnsi="宋体" w:eastAsia="宋体" w:cs="宋体"/>
                <w:color w:val="auto"/>
                <w:sz w:val="24"/>
                <w:szCs w:val="24"/>
                <w:highlight w:val="none"/>
                <w:lang w:val="zh-CN"/>
              </w:rPr>
              <w:t>等</w:t>
            </w:r>
            <w:r>
              <w:rPr>
                <w:rFonts w:hint="eastAsia" w:ascii="宋体" w:hAnsi="宋体" w:eastAsia="宋体" w:cs="宋体"/>
                <w:color w:val="auto"/>
                <w:sz w:val="24"/>
                <w:szCs w:val="24"/>
                <w:highlight w:val="none"/>
              </w:rPr>
              <w:t>方面内容：</w:t>
            </w:r>
          </w:p>
          <w:p w14:paraId="3013F04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方案内容包含以上全部内容且符合本项目实际需求的，得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分，每缺少一项内容，或内容明显错误，或内容非专门针对本项目，或内容不能满足本项目实际需求的，每一项扣</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分，扣完</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分为止（即：得 0分）。</w:t>
            </w:r>
          </w:p>
          <w:p w14:paraId="2DCAB7F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.质量管理体系和措施（</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0208213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根据供应商</w:t>
            </w:r>
            <w:r>
              <w:rPr>
                <w:rFonts w:hint="eastAsia" w:ascii="宋体" w:hAnsi="宋体" w:eastAsia="宋体" w:cs="宋体"/>
                <w:color w:val="auto"/>
                <w:sz w:val="24"/>
                <w:szCs w:val="24"/>
                <w:highlight w:val="none"/>
                <w:lang w:val="zh-CN"/>
              </w:rPr>
              <w:t>提供的</w:t>
            </w:r>
            <w:r>
              <w:rPr>
                <w:rFonts w:hint="eastAsia" w:ascii="宋体" w:hAnsi="宋体" w:eastAsia="宋体" w:cs="宋体"/>
                <w:color w:val="auto"/>
                <w:sz w:val="24"/>
                <w:szCs w:val="24"/>
                <w:highlight w:val="none"/>
              </w:rPr>
              <w:t>质量管理体系和措施进行评审</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包括但不限于：①确定质量方针和目标；②质量管理体系；③质量保证措施；④制度、岗位职责的健全</w:t>
            </w:r>
            <w:r>
              <w:rPr>
                <w:rFonts w:hint="eastAsia" w:ascii="宋体" w:hAnsi="宋体" w:eastAsia="宋体" w:cs="宋体"/>
                <w:color w:val="auto"/>
                <w:sz w:val="24"/>
                <w:szCs w:val="24"/>
                <w:highlight w:val="none"/>
                <w:lang w:val="zh-CN"/>
              </w:rPr>
              <w:t>等</w:t>
            </w:r>
            <w:r>
              <w:rPr>
                <w:rFonts w:hint="eastAsia" w:ascii="宋体" w:hAnsi="宋体" w:eastAsia="宋体" w:cs="宋体"/>
                <w:color w:val="auto"/>
                <w:sz w:val="24"/>
                <w:szCs w:val="24"/>
                <w:highlight w:val="none"/>
              </w:rPr>
              <w:t>方面内容：</w:t>
            </w:r>
          </w:p>
          <w:p w14:paraId="22F10D6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方案内容包含以上全部内容且符合本项目实际需求的，得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分，每缺少一项内容，或内容明显错误，或内容非专门针对本项目，或内容不能满足本项目实际需求的，每一项扣</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分，扣完</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分为止（即：得 0分）。</w:t>
            </w:r>
          </w:p>
          <w:p w14:paraId="01C4C90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.质保期内的服务方案（</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5795789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根据投标供应商提供的</w:t>
            </w:r>
            <w:r>
              <w:rPr>
                <w:rFonts w:hint="eastAsia" w:ascii="宋体" w:hAnsi="宋体" w:eastAsia="宋体" w:cs="宋体"/>
                <w:color w:val="auto"/>
                <w:sz w:val="24"/>
                <w:szCs w:val="24"/>
                <w:highlight w:val="none"/>
              </w:rPr>
              <w:t>质保期内的服务方案进行评审，包括但不限于：①质保期服务计划制定；②提供及时、全面的售后服务；③工程质保期内的检测和维修；④与采购人的及时沟与反馈等方面内容：</w:t>
            </w:r>
          </w:p>
          <w:p w14:paraId="1FFB53E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方案内容包含以上全部内容且符合本项目实际需求的，得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分，每缺少一项内容，或内容明显错误，或内容非专门针对本项目，或内容不能满足本项目实际需求的，每一项扣</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分，扣完</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分为止（即：得 0分）。</w:t>
            </w:r>
          </w:p>
          <w:p w14:paraId="187299F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注：项目实施方案应表述简洁，合计不得超过</w:t>
            </w:r>
            <w:r>
              <w:rPr>
                <w:rFonts w:hint="eastAsia" w:ascii="宋体" w:hAnsi="宋体" w:eastAsia="宋体" w:cs="宋体"/>
                <w:color w:val="auto"/>
                <w:sz w:val="24"/>
                <w:szCs w:val="24"/>
                <w:highlight w:val="none"/>
                <w:lang w:val="en-US" w:eastAsia="zh-CN"/>
              </w:rPr>
              <w:t>80</w:t>
            </w:r>
            <w:r>
              <w:rPr>
                <w:rFonts w:hint="eastAsia" w:ascii="宋体" w:hAnsi="宋体" w:eastAsia="宋体" w:cs="宋体"/>
                <w:color w:val="auto"/>
                <w:sz w:val="24"/>
                <w:szCs w:val="24"/>
                <w:highlight w:val="none"/>
              </w:rPr>
              <w:t>页</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否则每超过1页扣1分，扣完为止</w:t>
            </w:r>
            <w:r>
              <w:rPr>
                <w:rFonts w:hint="eastAsia" w:ascii="宋体" w:hAnsi="宋体" w:eastAsia="宋体" w:cs="宋体"/>
                <w:color w:val="auto"/>
                <w:sz w:val="24"/>
                <w:szCs w:val="24"/>
                <w:highlight w:val="none"/>
              </w:rPr>
              <w:t>。</w:t>
            </w:r>
          </w:p>
        </w:tc>
      </w:tr>
    </w:tbl>
    <w:p w14:paraId="4991DF1A">
      <w:pPr>
        <w:pStyle w:val="51"/>
        <w:rPr>
          <w:rFonts w:hint="eastAsia"/>
          <w:color w:val="auto"/>
          <w:sz w:val="36"/>
          <w:szCs w:val="36"/>
          <w:highlight w:val="none"/>
        </w:rPr>
        <w:sectPr>
          <w:pgSz w:w="11906" w:h="16838"/>
          <w:pgMar w:top="1015" w:right="1196" w:bottom="868" w:left="1259" w:header="851" w:footer="907" w:gutter="0"/>
          <w:pgBorders>
            <w:top w:val="none" w:sz="0" w:space="0"/>
            <w:left w:val="none" w:sz="0" w:space="0"/>
            <w:bottom w:val="none" w:sz="0" w:space="0"/>
            <w:right w:val="none" w:sz="0" w:space="0"/>
          </w:pgBorders>
          <w:pgNumType w:fmt="decimal"/>
          <w:cols w:space="720" w:num="1"/>
          <w:docGrid w:linePitch="360" w:charSpace="0"/>
        </w:sectPr>
      </w:pPr>
      <w:bookmarkStart w:id="205" w:name="_Toc203032712"/>
    </w:p>
    <w:p w14:paraId="3BB0237C">
      <w:pPr>
        <w:pStyle w:val="51"/>
        <w:jc w:val="center"/>
        <w:rPr>
          <w:color w:val="auto"/>
          <w:sz w:val="36"/>
          <w:szCs w:val="36"/>
          <w:highlight w:val="none"/>
        </w:rPr>
      </w:pPr>
      <w:r>
        <w:rPr>
          <w:rFonts w:hint="eastAsia"/>
          <w:color w:val="auto"/>
          <w:sz w:val="36"/>
          <w:szCs w:val="36"/>
          <w:highlight w:val="none"/>
        </w:rPr>
        <w:t>第六章  竞争性磋商响应文件格式</w:t>
      </w:r>
      <w:bookmarkEnd w:id="180"/>
      <w:bookmarkEnd w:id="181"/>
      <w:bookmarkEnd w:id="182"/>
      <w:bookmarkEnd w:id="205"/>
    </w:p>
    <w:p w14:paraId="7CF38130">
      <w:pPr>
        <w:jc w:val="center"/>
        <w:rPr>
          <w:rFonts w:ascii="宋体" w:hAnsi="宋体"/>
          <w:b/>
          <w:color w:val="auto"/>
          <w:sz w:val="72"/>
          <w:szCs w:val="21"/>
          <w:highlight w:val="none"/>
        </w:rPr>
      </w:pPr>
    </w:p>
    <w:p w14:paraId="29450EBE">
      <w:pPr>
        <w:jc w:val="center"/>
        <w:rPr>
          <w:rFonts w:ascii="黑体" w:hAnsi="黑体" w:eastAsia="黑体"/>
          <w:b/>
          <w:color w:val="auto"/>
          <w:sz w:val="72"/>
          <w:szCs w:val="21"/>
          <w:highlight w:val="none"/>
        </w:rPr>
      </w:pPr>
      <w:r>
        <w:rPr>
          <w:rFonts w:hint="eastAsia" w:ascii="黑体" w:hAnsi="黑体" w:eastAsia="黑体"/>
          <w:b/>
          <w:color w:val="auto"/>
          <w:sz w:val="72"/>
          <w:szCs w:val="21"/>
          <w:highlight w:val="none"/>
        </w:rPr>
        <w:t xml:space="preserve"> 响 应 文 件</w:t>
      </w:r>
    </w:p>
    <w:p w14:paraId="6FFFA039">
      <w:pPr>
        <w:pStyle w:val="308"/>
        <w:ind w:firstLine="0"/>
        <w:jc w:val="center"/>
        <w:rPr>
          <w:rFonts w:ascii="黑体" w:hAnsi="黑体" w:eastAsia="黑体"/>
          <w:b/>
          <w:bCs/>
          <w:color w:val="auto"/>
          <w:sz w:val="32"/>
          <w:highlight w:val="none"/>
        </w:rPr>
      </w:pPr>
    </w:p>
    <w:p w14:paraId="037F3186">
      <w:pPr>
        <w:ind w:firstLine="1084"/>
        <w:rPr>
          <w:rFonts w:ascii="黑体" w:hAnsi="黑体" w:eastAsia="黑体"/>
          <w:b/>
          <w:color w:val="auto"/>
          <w:sz w:val="36"/>
          <w:szCs w:val="21"/>
          <w:highlight w:val="none"/>
        </w:rPr>
      </w:pPr>
      <w:r>
        <w:rPr>
          <w:rFonts w:hint="eastAsia" w:ascii="黑体" w:hAnsi="黑体" w:eastAsia="黑体"/>
          <w:b/>
          <w:color w:val="auto"/>
          <w:sz w:val="36"/>
          <w:szCs w:val="21"/>
          <w:highlight w:val="none"/>
        </w:rPr>
        <w:t xml:space="preserve">             </w:t>
      </w:r>
    </w:p>
    <w:p w14:paraId="06D76350">
      <w:pPr>
        <w:ind w:firstLine="1084"/>
        <w:rPr>
          <w:rFonts w:ascii="黑体" w:hAnsi="黑体" w:eastAsia="黑体"/>
          <w:b/>
          <w:color w:val="auto"/>
          <w:sz w:val="36"/>
          <w:szCs w:val="21"/>
          <w:highlight w:val="none"/>
        </w:rPr>
      </w:pPr>
    </w:p>
    <w:p w14:paraId="7C13A7A4">
      <w:pPr>
        <w:ind w:firstLine="1084"/>
        <w:rPr>
          <w:rFonts w:ascii="黑体" w:hAnsi="黑体" w:eastAsia="黑体"/>
          <w:b/>
          <w:color w:val="auto"/>
          <w:sz w:val="36"/>
          <w:szCs w:val="21"/>
          <w:highlight w:val="none"/>
        </w:rPr>
      </w:pPr>
    </w:p>
    <w:p w14:paraId="0E5A52F7">
      <w:pPr>
        <w:spacing w:line="700" w:lineRule="exact"/>
        <w:ind w:firstLine="1084"/>
        <w:rPr>
          <w:rFonts w:ascii="宋体" w:hAnsi="宋体" w:cs="宋体"/>
          <w:b/>
          <w:color w:val="auto"/>
          <w:sz w:val="36"/>
          <w:highlight w:val="none"/>
        </w:rPr>
      </w:pPr>
      <w:r>
        <w:rPr>
          <w:rFonts w:hint="eastAsia" w:ascii="宋体" w:hAnsi="宋体" w:cs="宋体"/>
          <w:b/>
          <w:color w:val="auto"/>
          <w:sz w:val="36"/>
          <w:highlight w:val="none"/>
        </w:rPr>
        <w:t>项 目 名 称：</w:t>
      </w:r>
      <w:r>
        <w:rPr>
          <w:rFonts w:hint="eastAsia" w:ascii="宋体" w:hAnsi="宋体" w:cs="宋体"/>
          <w:b/>
          <w:color w:val="auto"/>
          <w:sz w:val="36"/>
          <w:highlight w:val="none"/>
          <w:u w:val="single"/>
        </w:rPr>
        <w:t xml:space="preserve">                  </w:t>
      </w:r>
    </w:p>
    <w:p w14:paraId="496BD14C">
      <w:pPr>
        <w:spacing w:line="700" w:lineRule="exact"/>
        <w:ind w:firstLine="1084"/>
        <w:rPr>
          <w:rFonts w:ascii="宋体" w:hAnsi="宋体" w:cs="宋体"/>
          <w:b/>
          <w:color w:val="auto"/>
          <w:sz w:val="36"/>
          <w:highlight w:val="none"/>
        </w:rPr>
      </w:pPr>
      <w:r>
        <w:rPr>
          <w:rFonts w:hint="eastAsia" w:ascii="宋体" w:hAnsi="宋体" w:cs="宋体"/>
          <w:b/>
          <w:color w:val="auto"/>
          <w:sz w:val="36"/>
          <w:highlight w:val="none"/>
        </w:rPr>
        <w:t>项 目 编 号：</w:t>
      </w:r>
      <w:r>
        <w:rPr>
          <w:rFonts w:hint="eastAsia" w:ascii="宋体" w:hAnsi="宋体" w:cs="宋体"/>
          <w:b/>
          <w:color w:val="auto"/>
          <w:sz w:val="36"/>
          <w:highlight w:val="none"/>
          <w:u w:val="single"/>
        </w:rPr>
        <w:t xml:space="preserve">                  </w:t>
      </w:r>
    </w:p>
    <w:p w14:paraId="6F95BDD5">
      <w:pPr>
        <w:spacing w:line="700" w:lineRule="exact"/>
        <w:ind w:firstLine="1084"/>
        <w:rPr>
          <w:rFonts w:ascii="宋体" w:hAnsi="宋体" w:cs="宋体"/>
          <w:b/>
          <w:color w:val="auto"/>
          <w:sz w:val="36"/>
          <w:highlight w:val="none"/>
        </w:rPr>
      </w:pPr>
      <w:r>
        <w:rPr>
          <w:rFonts w:hint="eastAsia" w:ascii="宋体" w:hAnsi="宋体" w:cs="宋体"/>
          <w:b/>
          <w:color w:val="auto"/>
          <w:sz w:val="36"/>
          <w:highlight w:val="none"/>
        </w:rPr>
        <w:t>供应商名称：</w:t>
      </w:r>
      <w:r>
        <w:rPr>
          <w:rFonts w:hint="eastAsia" w:ascii="宋体" w:hAnsi="宋体" w:cs="宋体"/>
          <w:b/>
          <w:color w:val="auto"/>
          <w:sz w:val="36"/>
          <w:highlight w:val="none"/>
          <w:u w:val="single"/>
        </w:rPr>
        <w:t>（加盖CA电子公章）</w:t>
      </w:r>
    </w:p>
    <w:p w14:paraId="6B8C9105">
      <w:pPr>
        <w:spacing w:line="700" w:lineRule="exact"/>
        <w:rPr>
          <w:rFonts w:ascii="宋体" w:hAnsi="宋体" w:cs="宋体"/>
          <w:b/>
          <w:color w:val="auto"/>
          <w:sz w:val="36"/>
          <w:highlight w:val="none"/>
        </w:rPr>
      </w:pPr>
      <w:r>
        <w:rPr>
          <w:rFonts w:hint="eastAsia" w:ascii="宋体" w:hAnsi="宋体" w:cs="宋体"/>
          <w:b/>
          <w:color w:val="auto"/>
          <w:sz w:val="36"/>
          <w:highlight w:val="none"/>
        </w:rPr>
        <w:t xml:space="preserve">      日       期：</w:t>
      </w:r>
      <w:r>
        <w:rPr>
          <w:rFonts w:hint="eastAsia" w:ascii="宋体" w:hAnsi="宋体" w:cs="宋体"/>
          <w:b/>
          <w:color w:val="auto"/>
          <w:sz w:val="36"/>
          <w:highlight w:val="none"/>
          <w:u w:val="single"/>
        </w:rPr>
        <w:t xml:space="preserve">                  </w:t>
      </w:r>
    </w:p>
    <w:p w14:paraId="27891CEC">
      <w:pPr>
        <w:pStyle w:val="308"/>
        <w:ind w:firstLine="2464"/>
        <w:rPr>
          <w:rFonts w:ascii="宋体" w:hAnsi="宋体" w:cs="Times New Roman"/>
          <w:bCs/>
          <w:color w:val="auto"/>
          <w:sz w:val="32"/>
          <w:szCs w:val="32"/>
          <w:highlight w:val="none"/>
        </w:rPr>
      </w:pPr>
    </w:p>
    <w:p w14:paraId="2BB097BD">
      <w:pPr>
        <w:pStyle w:val="308"/>
        <w:spacing w:before="0" w:after="0"/>
        <w:ind w:firstLine="0"/>
        <w:rPr>
          <w:rFonts w:ascii="宋体" w:hAnsi="宋体"/>
          <w:color w:val="auto"/>
          <w:highlight w:val="none"/>
        </w:rPr>
      </w:pPr>
    </w:p>
    <w:p w14:paraId="5E115C8D">
      <w:pPr>
        <w:pStyle w:val="308"/>
        <w:spacing w:before="0" w:after="0"/>
        <w:ind w:firstLine="0"/>
        <w:rPr>
          <w:rFonts w:ascii="宋体" w:hAnsi="宋体"/>
          <w:color w:val="auto"/>
          <w:highlight w:val="none"/>
        </w:rPr>
      </w:pPr>
    </w:p>
    <w:p w14:paraId="5BF510A1">
      <w:pPr>
        <w:pStyle w:val="308"/>
        <w:spacing w:before="0" w:after="0"/>
        <w:ind w:firstLine="0"/>
        <w:rPr>
          <w:rFonts w:ascii="宋体" w:hAnsi="宋体"/>
          <w:color w:val="auto"/>
          <w:highlight w:val="none"/>
        </w:rPr>
      </w:pPr>
    </w:p>
    <w:p w14:paraId="092EF418">
      <w:pPr>
        <w:pStyle w:val="308"/>
        <w:spacing w:before="0" w:after="0"/>
        <w:ind w:firstLine="0"/>
        <w:rPr>
          <w:rFonts w:ascii="宋体" w:hAnsi="宋体"/>
          <w:color w:val="auto"/>
          <w:highlight w:val="none"/>
        </w:rPr>
      </w:pPr>
    </w:p>
    <w:p w14:paraId="438FA9D0">
      <w:pPr>
        <w:pStyle w:val="308"/>
        <w:spacing w:before="0" w:after="0"/>
        <w:ind w:firstLine="0"/>
        <w:rPr>
          <w:rFonts w:ascii="宋体" w:hAnsi="宋体"/>
          <w:color w:val="auto"/>
          <w:highlight w:val="none"/>
        </w:rPr>
      </w:pPr>
    </w:p>
    <w:p w14:paraId="04AE743F">
      <w:pPr>
        <w:pStyle w:val="308"/>
        <w:spacing w:before="0" w:after="0"/>
        <w:ind w:firstLine="0"/>
        <w:rPr>
          <w:rFonts w:ascii="宋体" w:hAnsi="宋体"/>
          <w:color w:val="auto"/>
          <w:highlight w:val="none"/>
        </w:rPr>
      </w:pPr>
    </w:p>
    <w:p w14:paraId="56033FE3">
      <w:pPr>
        <w:pStyle w:val="30"/>
        <w:spacing w:line="360" w:lineRule="auto"/>
        <w:jc w:val="center"/>
        <w:rPr>
          <w:rFonts w:ascii="宋体" w:hAnsi="宋体"/>
          <w:color w:val="auto"/>
          <w:sz w:val="32"/>
          <w:highlight w:val="none"/>
        </w:rPr>
      </w:pPr>
    </w:p>
    <w:p w14:paraId="3243A2CA">
      <w:pPr>
        <w:jc w:val="center"/>
        <w:rPr>
          <w:rFonts w:ascii="宋体" w:hAnsi="宋体" w:cs="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cs="宋体"/>
          <w:b/>
          <w:color w:val="auto"/>
          <w:sz w:val="32"/>
          <w:szCs w:val="32"/>
          <w:highlight w:val="none"/>
        </w:rPr>
        <w:t>响应文件目录</w:t>
      </w:r>
    </w:p>
    <w:p w14:paraId="19982231">
      <w:pPr>
        <w:spacing w:line="440" w:lineRule="exact"/>
        <w:jc w:val="center"/>
        <w:rPr>
          <w:rFonts w:ascii="宋体" w:hAnsi="宋体"/>
          <w:b/>
          <w:bCs/>
          <w:color w:val="auto"/>
          <w:sz w:val="32"/>
          <w:szCs w:val="32"/>
          <w:highlight w:val="none"/>
        </w:rPr>
      </w:pPr>
    </w:p>
    <w:p w14:paraId="61F6244F">
      <w:pPr>
        <w:spacing w:line="360" w:lineRule="auto"/>
        <w:ind w:firstLine="482"/>
        <w:rPr>
          <w:rFonts w:ascii="宋体" w:hAnsi="宋体" w:cs="宋体"/>
          <w:i/>
          <w:iCs/>
          <w:color w:val="auto"/>
          <w:sz w:val="24"/>
          <w:highlight w:val="none"/>
          <w:u w:val="single"/>
        </w:rPr>
      </w:pPr>
      <w:r>
        <w:rPr>
          <w:rFonts w:hint="eastAsia" w:ascii="宋体" w:hAnsi="宋体" w:cs="宋体"/>
          <w:i/>
          <w:iCs/>
          <w:color w:val="auto"/>
          <w:sz w:val="24"/>
          <w:highlight w:val="none"/>
          <w:u w:val="single"/>
        </w:rPr>
        <w:t>一、 法人或者其他组织的营业执照等证明文件，自然人的身份证明</w:t>
      </w:r>
    </w:p>
    <w:p w14:paraId="328CFE83">
      <w:pPr>
        <w:spacing w:line="360" w:lineRule="auto"/>
        <w:ind w:firstLine="482"/>
        <w:rPr>
          <w:rFonts w:ascii="宋体" w:hAnsi="宋体" w:cs="宋体"/>
          <w:i/>
          <w:iCs/>
          <w:color w:val="auto"/>
          <w:sz w:val="24"/>
          <w:highlight w:val="none"/>
          <w:u w:val="single"/>
        </w:rPr>
      </w:pPr>
      <w:r>
        <w:rPr>
          <w:rFonts w:hint="eastAsia" w:ascii="宋体" w:hAnsi="宋体" w:cs="宋体"/>
          <w:b/>
          <w:bCs/>
          <w:i/>
          <w:iCs/>
          <w:color w:val="auto"/>
          <w:sz w:val="24"/>
          <w:highlight w:val="none"/>
          <w:u w:val="single"/>
        </w:rPr>
        <w:t>二、</w:t>
      </w:r>
      <w:r>
        <w:rPr>
          <w:rFonts w:hint="eastAsia" w:ascii="宋体" w:hAnsi="宋体" w:cs="宋体"/>
          <w:i/>
          <w:iCs/>
          <w:color w:val="auto"/>
          <w:sz w:val="24"/>
          <w:highlight w:val="none"/>
          <w:u w:val="single"/>
        </w:rPr>
        <w:t xml:space="preserve"> 上一年度的财务状况报表（至少提供资产负债表、利润表、现金流量表，磋商供应商成立不满一年无需提供） </w:t>
      </w:r>
    </w:p>
    <w:p w14:paraId="6E6347B6">
      <w:pPr>
        <w:spacing w:line="360" w:lineRule="auto"/>
        <w:ind w:firstLine="482"/>
        <w:rPr>
          <w:rFonts w:ascii="宋体" w:hAnsi="宋体" w:cs="宋体"/>
          <w:i/>
          <w:iCs/>
          <w:color w:val="auto"/>
          <w:sz w:val="24"/>
          <w:highlight w:val="none"/>
          <w:u w:val="single"/>
        </w:rPr>
      </w:pPr>
      <w:r>
        <w:rPr>
          <w:rFonts w:hint="eastAsia" w:ascii="宋体" w:hAnsi="宋体" w:cs="宋体"/>
          <w:b/>
          <w:i/>
          <w:iCs/>
          <w:color w:val="auto"/>
          <w:sz w:val="24"/>
          <w:highlight w:val="none"/>
          <w:u w:val="single"/>
        </w:rPr>
        <w:t xml:space="preserve">三、 </w:t>
      </w:r>
      <w:r>
        <w:rPr>
          <w:rFonts w:hint="eastAsia" w:ascii="宋体" w:hAnsi="宋体" w:cs="宋体"/>
          <w:i/>
          <w:iCs/>
          <w:color w:val="auto"/>
          <w:sz w:val="24"/>
          <w:highlight w:val="none"/>
          <w:u w:val="single"/>
        </w:rPr>
        <w:t>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5DA39115">
      <w:pPr>
        <w:spacing w:line="360" w:lineRule="auto"/>
        <w:ind w:firstLine="482"/>
        <w:rPr>
          <w:rFonts w:ascii="宋体" w:hAnsi="宋体" w:cs="宋体"/>
          <w:i/>
          <w:iCs/>
          <w:color w:val="auto"/>
          <w:sz w:val="24"/>
          <w:highlight w:val="none"/>
          <w:u w:val="single"/>
        </w:rPr>
      </w:pPr>
      <w:r>
        <w:rPr>
          <w:rFonts w:hint="eastAsia" w:ascii="宋体" w:hAnsi="宋体" w:cs="宋体"/>
          <w:i/>
          <w:iCs/>
          <w:color w:val="auto"/>
          <w:sz w:val="24"/>
          <w:highlight w:val="none"/>
          <w:u w:val="single"/>
        </w:rPr>
        <w:t>四、 具备履行合同所必需的设备和专业技术能力的书面声明</w:t>
      </w:r>
    </w:p>
    <w:p w14:paraId="799F937B">
      <w:pPr>
        <w:spacing w:line="360" w:lineRule="auto"/>
        <w:ind w:firstLine="482"/>
        <w:rPr>
          <w:rFonts w:ascii="宋体" w:hAnsi="宋体" w:cs="宋体"/>
          <w:i/>
          <w:iCs/>
          <w:color w:val="auto"/>
          <w:sz w:val="24"/>
          <w:highlight w:val="none"/>
          <w:u w:val="single"/>
        </w:rPr>
      </w:pPr>
      <w:r>
        <w:rPr>
          <w:rFonts w:hint="eastAsia" w:ascii="宋体" w:hAnsi="宋体" w:cs="宋体"/>
          <w:i/>
          <w:iCs/>
          <w:color w:val="auto"/>
          <w:sz w:val="24"/>
          <w:highlight w:val="none"/>
          <w:u w:val="single"/>
        </w:rPr>
        <w:t>五、 参加政府采购活动前 3 年内在经营活动中没有重大违法记录的书面声明（原件彩色扫描件,格式见附表）</w:t>
      </w:r>
    </w:p>
    <w:p w14:paraId="13E6DE13">
      <w:pPr>
        <w:spacing w:line="360" w:lineRule="auto"/>
        <w:ind w:firstLine="482"/>
        <w:rPr>
          <w:rFonts w:ascii="宋体" w:hAnsi="宋体" w:cs="宋体"/>
          <w:i/>
          <w:iCs/>
          <w:color w:val="auto"/>
          <w:sz w:val="24"/>
          <w:highlight w:val="none"/>
          <w:u w:val="single"/>
        </w:rPr>
      </w:pPr>
      <w:r>
        <w:rPr>
          <w:rFonts w:hint="eastAsia" w:ascii="宋体" w:hAnsi="宋体" w:cs="宋体"/>
          <w:i/>
          <w:iCs/>
          <w:color w:val="auto"/>
          <w:sz w:val="24"/>
          <w:highlight w:val="none"/>
          <w:u w:val="single"/>
        </w:rPr>
        <w:t>六、特定资格要求的证明文件（如果本项目设置特定资格要求，则需要提供）</w:t>
      </w:r>
    </w:p>
    <w:p w14:paraId="4889213A">
      <w:pPr>
        <w:spacing w:line="360" w:lineRule="auto"/>
        <w:ind w:firstLine="482"/>
        <w:rPr>
          <w:rFonts w:ascii="宋体" w:hAnsi="宋体" w:cs="宋体"/>
          <w:i/>
          <w:iCs/>
          <w:color w:val="auto"/>
          <w:sz w:val="24"/>
          <w:highlight w:val="none"/>
          <w:u w:val="single"/>
        </w:rPr>
      </w:pPr>
      <w:r>
        <w:rPr>
          <w:rFonts w:hint="eastAsia" w:ascii="宋体" w:hAnsi="宋体" w:cs="宋体"/>
          <w:i/>
          <w:iCs/>
          <w:color w:val="auto"/>
          <w:sz w:val="24"/>
          <w:highlight w:val="none"/>
          <w:u w:val="single"/>
        </w:rPr>
        <w:t>文件</w:t>
      </w:r>
      <w:r>
        <w:rPr>
          <w:rFonts w:hint="eastAsia" w:ascii="宋体" w:hAnsi="宋体" w:cs="宋体"/>
          <w:i/>
          <w:iCs/>
          <w:color w:val="auto"/>
          <w:sz w:val="24"/>
          <w:highlight w:val="none"/>
          <w:u w:val="single"/>
          <w:lang w:val="en-US" w:eastAsia="zh-CN"/>
        </w:rPr>
        <w:t>1</w:t>
      </w:r>
      <w:r>
        <w:rPr>
          <w:rFonts w:hint="eastAsia" w:ascii="宋体" w:hAnsi="宋体" w:cs="宋体"/>
          <w:i/>
          <w:iCs/>
          <w:color w:val="auto"/>
          <w:sz w:val="24"/>
          <w:highlight w:val="none"/>
          <w:u w:val="single"/>
        </w:rPr>
        <w:t xml:space="preserve"> 供应商施工资质证书、安全生产许可证、项目负责人建造师证书及安全生产考核合格证书（B类）（原件彩色扫描件）</w:t>
      </w:r>
    </w:p>
    <w:p w14:paraId="3580C41B">
      <w:pPr>
        <w:spacing w:line="360" w:lineRule="auto"/>
        <w:ind w:firstLine="482"/>
        <w:rPr>
          <w:rFonts w:ascii="宋体" w:hAnsi="宋体" w:cs="宋体"/>
          <w:i/>
          <w:iCs/>
          <w:color w:val="auto"/>
          <w:sz w:val="24"/>
          <w:highlight w:val="none"/>
          <w:u w:val="single"/>
        </w:rPr>
      </w:pPr>
      <w:r>
        <w:rPr>
          <w:rFonts w:hint="eastAsia" w:ascii="宋体" w:hAnsi="宋体" w:cs="宋体"/>
          <w:i/>
          <w:iCs/>
          <w:color w:val="auto"/>
          <w:sz w:val="24"/>
          <w:highlight w:val="none"/>
          <w:u w:val="single"/>
        </w:rPr>
        <w:t>文件</w:t>
      </w:r>
      <w:r>
        <w:rPr>
          <w:rFonts w:hint="eastAsia" w:ascii="宋体" w:hAnsi="宋体" w:cs="宋体"/>
          <w:i/>
          <w:iCs/>
          <w:color w:val="auto"/>
          <w:sz w:val="24"/>
          <w:highlight w:val="none"/>
          <w:u w:val="single"/>
          <w:lang w:val="en-US" w:eastAsia="zh-CN"/>
        </w:rPr>
        <w:t>2</w:t>
      </w:r>
      <w:r>
        <w:rPr>
          <w:rFonts w:hint="eastAsia" w:ascii="宋体" w:hAnsi="宋体" w:cs="宋体"/>
          <w:i/>
          <w:iCs/>
          <w:color w:val="auto"/>
          <w:sz w:val="24"/>
          <w:highlight w:val="none"/>
          <w:u w:val="single"/>
        </w:rPr>
        <w:t xml:space="preserve"> 项目负责人养老保险证明彩色扫描件</w:t>
      </w:r>
    </w:p>
    <w:p w14:paraId="5761FA8D">
      <w:pPr>
        <w:spacing w:line="360" w:lineRule="auto"/>
        <w:ind w:firstLine="482"/>
        <w:rPr>
          <w:rFonts w:hint="eastAsia" w:ascii="宋体" w:hAnsi="宋体" w:cs="宋体"/>
          <w:i/>
          <w:iCs/>
          <w:color w:val="auto"/>
          <w:sz w:val="24"/>
          <w:highlight w:val="none"/>
          <w:u w:val="single"/>
        </w:rPr>
      </w:pPr>
      <w:r>
        <w:rPr>
          <w:rFonts w:hint="eastAsia" w:ascii="宋体" w:hAnsi="宋体" w:cs="宋体"/>
          <w:i/>
          <w:iCs/>
          <w:color w:val="auto"/>
          <w:sz w:val="24"/>
          <w:highlight w:val="none"/>
          <w:u w:val="single"/>
        </w:rPr>
        <w:t>七、法人授权书</w:t>
      </w:r>
    </w:p>
    <w:p w14:paraId="2976CCE3">
      <w:pPr>
        <w:spacing w:line="360" w:lineRule="auto"/>
        <w:ind w:firstLine="482"/>
        <w:rPr>
          <w:rFonts w:ascii="宋体" w:hAnsi="宋体" w:cs="宋体"/>
          <w:i/>
          <w:iCs/>
          <w:color w:val="auto"/>
          <w:highlight w:val="none"/>
          <w:u w:val="single"/>
        </w:rPr>
      </w:pPr>
      <w:r>
        <w:rPr>
          <w:rFonts w:hint="eastAsia" w:ascii="宋体" w:hAnsi="宋体" w:cs="宋体"/>
          <w:i/>
          <w:iCs/>
          <w:color w:val="auto"/>
          <w:sz w:val="24"/>
          <w:highlight w:val="none"/>
          <w:u w:val="single"/>
        </w:rPr>
        <w:t>八、磋商响应函</w:t>
      </w:r>
    </w:p>
    <w:p w14:paraId="639E78D3">
      <w:pPr>
        <w:spacing w:line="360" w:lineRule="auto"/>
        <w:ind w:firstLine="482"/>
        <w:rPr>
          <w:rFonts w:ascii="宋体" w:hAnsi="宋体" w:cs="宋体"/>
          <w:i/>
          <w:iCs/>
          <w:color w:val="auto"/>
          <w:sz w:val="24"/>
          <w:highlight w:val="none"/>
          <w:u w:val="single"/>
        </w:rPr>
      </w:pPr>
      <w:r>
        <w:rPr>
          <w:rFonts w:hint="eastAsia" w:ascii="宋体" w:hAnsi="宋体" w:cs="宋体"/>
          <w:i/>
          <w:iCs/>
          <w:color w:val="auto"/>
          <w:sz w:val="24"/>
          <w:highlight w:val="none"/>
          <w:u w:val="single"/>
        </w:rPr>
        <w:t>九、中小企业声明函</w:t>
      </w:r>
    </w:p>
    <w:p w14:paraId="3D38995B">
      <w:pPr>
        <w:spacing w:line="360" w:lineRule="auto"/>
        <w:ind w:firstLine="482"/>
        <w:rPr>
          <w:rFonts w:ascii="宋体" w:hAnsi="宋体" w:cs="宋体"/>
          <w:color w:val="auto"/>
          <w:sz w:val="24"/>
          <w:highlight w:val="none"/>
          <w:u w:val="single"/>
        </w:rPr>
      </w:pPr>
      <w:r>
        <w:rPr>
          <w:rFonts w:hint="eastAsia" w:ascii="宋体" w:hAnsi="宋体" w:cs="宋体"/>
          <w:color w:val="auto"/>
          <w:sz w:val="24"/>
          <w:highlight w:val="none"/>
          <w:u w:val="none"/>
        </w:rPr>
        <w:t>十、残疾人福利性单位声明函</w:t>
      </w:r>
    </w:p>
    <w:p w14:paraId="4DECBFD4">
      <w:pPr>
        <w:spacing w:line="360" w:lineRule="auto"/>
        <w:ind w:firstLine="482"/>
        <w:rPr>
          <w:rFonts w:hint="eastAsia" w:ascii="宋体" w:hAnsi="宋体" w:cs="宋体"/>
          <w:i/>
          <w:iCs/>
          <w:color w:val="auto"/>
          <w:sz w:val="24"/>
          <w:highlight w:val="none"/>
          <w:u w:val="single"/>
        </w:rPr>
      </w:pPr>
      <w:r>
        <w:rPr>
          <w:rFonts w:hint="eastAsia" w:ascii="宋体" w:hAnsi="宋体" w:cs="宋体"/>
          <w:i/>
          <w:iCs/>
          <w:color w:val="auto"/>
          <w:sz w:val="24"/>
          <w:highlight w:val="none"/>
          <w:u w:val="single"/>
        </w:rPr>
        <w:t>十一、磋商报价表</w:t>
      </w:r>
    </w:p>
    <w:p w14:paraId="4ED13915">
      <w:pPr>
        <w:spacing w:line="360" w:lineRule="auto"/>
        <w:ind w:firstLine="482"/>
        <w:rPr>
          <w:rFonts w:hint="eastAsia" w:ascii="宋体" w:hAnsi="宋体" w:cs="宋体"/>
          <w:i/>
          <w:iCs/>
          <w:color w:val="auto"/>
          <w:sz w:val="24"/>
          <w:highlight w:val="none"/>
          <w:u w:val="single"/>
        </w:rPr>
      </w:pPr>
      <w:r>
        <w:rPr>
          <w:rFonts w:hint="eastAsia" w:ascii="宋体" w:hAnsi="宋体" w:cs="宋体"/>
          <w:i/>
          <w:iCs/>
          <w:color w:val="auto"/>
          <w:sz w:val="24"/>
          <w:highlight w:val="none"/>
          <w:u w:val="single"/>
        </w:rPr>
        <w:t>十二、已标价的工程量清单报价表</w:t>
      </w:r>
    </w:p>
    <w:p w14:paraId="4F365935">
      <w:pPr>
        <w:spacing w:line="360" w:lineRule="auto"/>
        <w:ind w:firstLine="482"/>
        <w:rPr>
          <w:rFonts w:hint="eastAsia" w:ascii="宋体" w:hAnsi="宋体" w:cs="宋体"/>
          <w:i/>
          <w:iCs/>
          <w:color w:val="auto"/>
          <w:sz w:val="24"/>
          <w:highlight w:val="none"/>
          <w:u w:val="single"/>
        </w:rPr>
      </w:pPr>
      <w:r>
        <w:rPr>
          <w:rFonts w:hint="eastAsia" w:ascii="宋体" w:hAnsi="宋体" w:cs="宋体"/>
          <w:i/>
          <w:iCs/>
          <w:color w:val="auto"/>
          <w:sz w:val="24"/>
          <w:highlight w:val="none"/>
          <w:u w:val="single"/>
        </w:rPr>
        <w:t>十</w:t>
      </w:r>
      <w:r>
        <w:rPr>
          <w:rFonts w:hint="eastAsia" w:ascii="宋体" w:hAnsi="宋体" w:cs="宋体"/>
          <w:i/>
          <w:iCs/>
          <w:color w:val="auto"/>
          <w:sz w:val="24"/>
          <w:highlight w:val="none"/>
          <w:u w:val="single"/>
          <w:lang w:val="en-US" w:eastAsia="zh-CN"/>
        </w:rPr>
        <w:t>三</w:t>
      </w:r>
      <w:r>
        <w:rPr>
          <w:rFonts w:hint="eastAsia" w:ascii="宋体" w:hAnsi="宋体" w:cs="宋体"/>
          <w:i/>
          <w:iCs/>
          <w:color w:val="auto"/>
          <w:sz w:val="24"/>
          <w:highlight w:val="none"/>
          <w:u w:val="single"/>
        </w:rPr>
        <w:t>、技术要求响应及偏离表</w:t>
      </w:r>
    </w:p>
    <w:p w14:paraId="7F1CB26B">
      <w:pPr>
        <w:spacing w:line="360" w:lineRule="auto"/>
        <w:ind w:firstLine="482"/>
        <w:rPr>
          <w:rFonts w:hint="eastAsia" w:ascii="宋体" w:hAnsi="宋体" w:eastAsia="宋体" w:cs="宋体"/>
          <w:i/>
          <w:iCs/>
          <w:color w:val="auto"/>
          <w:sz w:val="24"/>
          <w:highlight w:val="none"/>
          <w:u w:val="single"/>
        </w:rPr>
      </w:pPr>
      <w:r>
        <w:rPr>
          <w:rFonts w:hint="eastAsia" w:ascii="宋体" w:hAnsi="宋体" w:cs="宋体"/>
          <w:i/>
          <w:iCs/>
          <w:color w:val="auto"/>
          <w:sz w:val="24"/>
          <w:highlight w:val="none"/>
          <w:u w:val="single"/>
        </w:rPr>
        <w:t>十</w:t>
      </w:r>
      <w:r>
        <w:rPr>
          <w:rFonts w:hint="eastAsia" w:ascii="宋体" w:hAnsi="宋体" w:eastAsia="宋体" w:cs="宋体"/>
          <w:i/>
          <w:iCs/>
          <w:color w:val="auto"/>
          <w:sz w:val="24"/>
          <w:highlight w:val="none"/>
          <w:u w:val="single"/>
          <w:lang w:val="en-US" w:eastAsia="zh-CN"/>
        </w:rPr>
        <w:t>四</w:t>
      </w:r>
      <w:r>
        <w:rPr>
          <w:rFonts w:hint="eastAsia" w:ascii="宋体" w:hAnsi="宋体" w:eastAsia="宋体" w:cs="宋体"/>
          <w:i/>
          <w:iCs/>
          <w:color w:val="auto"/>
          <w:sz w:val="24"/>
          <w:highlight w:val="none"/>
          <w:u w:val="single"/>
        </w:rPr>
        <w:t>、商务要求响应及偏离表</w:t>
      </w:r>
    </w:p>
    <w:p w14:paraId="48F6FFA0">
      <w:pPr>
        <w:spacing w:line="360" w:lineRule="auto"/>
        <w:ind w:firstLine="482"/>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十</w:t>
      </w:r>
      <w:r>
        <w:rPr>
          <w:rFonts w:hint="eastAsia" w:ascii="宋体" w:hAnsi="宋体" w:eastAsia="宋体" w:cs="宋体"/>
          <w:i/>
          <w:iCs/>
          <w:color w:val="auto"/>
          <w:sz w:val="24"/>
          <w:highlight w:val="none"/>
          <w:u w:val="single"/>
          <w:lang w:val="en-US" w:eastAsia="zh-CN"/>
        </w:rPr>
        <w:t>五</w:t>
      </w:r>
      <w:r>
        <w:rPr>
          <w:rFonts w:hint="eastAsia" w:ascii="宋体" w:hAnsi="宋体" w:eastAsia="宋体" w:cs="宋体"/>
          <w:i/>
          <w:iCs/>
          <w:color w:val="auto"/>
          <w:sz w:val="24"/>
          <w:highlight w:val="none"/>
          <w:u w:val="single"/>
        </w:rPr>
        <w:t>、承诺函</w:t>
      </w:r>
    </w:p>
    <w:p w14:paraId="1B25E716">
      <w:pPr>
        <w:spacing w:line="360" w:lineRule="auto"/>
        <w:ind w:firstLine="482"/>
        <w:rPr>
          <w:rFonts w:ascii="宋体" w:hAnsi="宋体" w:cs="宋体"/>
          <w:color w:val="auto"/>
          <w:sz w:val="24"/>
          <w:highlight w:val="none"/>
          <w:u w:val="none"/>
        </w:rPr>
      </w:pPr>
      <w:r>
        <w:rPr>
          <w:rFonts w:hint="eastAsia" w:ascii="宋体" w:hAnsi="宋体" w:cs="宋体"/>
          <w:color w:val="auto"/>
          <w:sz w:val="24"/>
          <w:highlight w:val="none"/>
          <w:u w:val="none"/>
        </w:rPr>
        <w:t>十</w:t>
      </w:r>
      <w:r>
        <w:rPr>
          <w:rFonts w:hint="eastAsia" w:ascii="宋体" w:hAnsi="宋体" w:cs="宋体"/>
          <w:i/>
          <w:iCs/>
          <w:color w:val="auto"/>
          <w:sz w:val="24"/>
          <w:highlight w:val="none"/>
          <w:u w:val="none"/>
          <w:lang w:val="en-US" w:eastAsia="zh-CN"/>
        </w:rPr>
        <w:t>六</w:t>
      </w:r>
      <w:r>
        <w:rPr>
          <w:rFonts w:hint="eastAsia" w:ascii="宋体" w:hAnsi="宋体" w:cs="宋体"/>
          <w:color w:val="auto"/>
          <w:sz w:val="24"/>
          <w:highlight w:val="none"/>
          <w:u w:val="none"/>
        </w:rPr>
        <w:t>、</w:t>
      </w:r>
      <w:r>
        <w:rPr>
          <w:rFonts w:hint="eastAsia" w:ascii="宋体" w:hAnsi="宋体" w:cs="宋体"/>
          <w:color w:val="auto"/>
          <w:sz w:val="24"/>
          <w:highlight w:val="none"/>
          <w:u w:val="none"/>
          <w:lang w:val="en-US" w:eastAsia="zh-CN"/>
        </w:rPr>
        <w:t>项目</w:t>
      </w:r>
      <w:r>
        <w:rPr>
          <w:rFonts w:hint="eastAsia" w:ascii="宋体" w:hAnsi="宋体" w:cs="宋体"/>
          <w:color w:val="auto"/>
          <w:sz w:val="24"/>
          <w:highlight w:val="none"/>
          <w:u w:val="none"/>
        </w:rPr>
        <w:t>实施方案</w:t>
      </w:r>
    </w:p>
    <w:p w14:paraId="6D9B156F">
      <w:pPr>
        <w:spacing w:line="360" w:lineRule="auto"/>
        <w:ind w:firstLine="482"/>
        <w:rPr>
          <w:rFonts w:hint="eastAsia" w:ascii="宋体" w:hAnsi="宋体" w:eastAsia="宋体" w:cs="宋体"/>
          <w:i/>
          <w:iCs/>
          <w:color w:val="auto"/>
          <w:sz w:val="24"/>
          <w:highlight w:val="none"/>
          <w:u w:val="single"/>
          <w:lang w:val="en-US" w:eastAsia="zh-CN"/>
        </w:rPr>
      </w:pPr>
      <w:r>
        <w:rPr>
          <w:rFonts w:hint="eastAsia" w:ascii="宋体" w:hAnsi="宋体" w:eastAsia="宋体" w:cs="宋体"/>
          <w:i/>
          <w:iCs/>
          <w:color w:val="auto"/>
          <w:sz w:val="24"/>
          <w:highlight w:val="none"/>
          <w:u w:val="single"/>
          <w:lang w:val="en-US" w:eastAsia="zh-CN"/>
        </w:rPr>
        <w:t>十七、盐城市政府采购事前信用承诺书</w:t>
      </w:r>
    </w:p>
    <w:p w14:paraId="49CC4209">
      <w:pPr>
        <w:spacing w:line="360" w:lineRule="auto"/>
        <w:ind w:firstLine="482"/>
        <w:rPr>
          <w:rFonts w:ascii="宋体" w:hAnsi="宋体" w:cs="宋体"/>
          <w:color w:val="auto"/>
          <w:sz w:val="24"/>
          <w:highlight w:val="none"/>
          <w:u w:val="none"/>
        </w:rPr>
      </w:pPr>
      <w:r>
        <w:rPr>
          <w:rFonts w:hint="eastAsia" w:ascii="宋体" w:hAnsi="宋体" w:cs="宋体"/>
          <w:color w:val="auto"/>
          <w:sz w:val="24"/>
          <w:highlight w:val="none"/>
          <w:u w:val="none"/>
        </w:rPr>
        <w:t>十</w:t>
      </w:r>
      <w:r>
        <w:rPr>
          <w:rFonts w:hint="eastAsia" w:ascii="宋体" w:hAnsi="宋体" w:cs="宋体"/>
          <w:color w:val="auto"/>
          <w:sz w:val="24"/>
          <w:highlight w:val="none"/>
          <w:u w:val="none"/>
          <w:lang w:val="en-US" w:eastAsia="zh-CN"/>
        </w:rPr>
        <w:t>八</w:t>
      </w:r>
      <w:r>
        <w:rPr>
          <w:rFonts w:hint="eastAsia" w:ascii="宋体" w:hAnsi="宋体" w:cs="宋体"/>
          <w:color w:val="auto"/>
          <w:sz w:val="24"/>
          <w:highlight w:val="none"/>
          <w:u w:val="none"/>
        </w:rPr>
        <w:t>、供应商认为需要提供的其他证明材料</w:t>
      </w:r>
    </w:p>
    <w:p w14:paraId="6358C38E">
      <w:pPr>
        <w:spacing w:line="440" w:lineRule="exact"/>
        <w:rPr>
          <w:rFonts w:ascii="宋体" w:hAnsi="宋体"/>
          <w:color w:val="auto"/>
          <w:sz w:val="24"/>
          <w:highlight w:val="none"/>
        </w:rPr>
      </w:pPr>
    </w:p>
    <w:p w14:paraId="52587D34">
      <w:pPr>
        <w:spacing w:line="500" w:lineRule="exact"/>
        <w:ind w:firstLine="482"/>
        <w:rPr>
          <w:rFonts w:ascii="宋体" w:hAnsi="宋体" w:cs="宋体"/>
          <w:b/>
          <w:bCs/>
          <w:color w:val="auto"/>
          <w:sz w:val="24"/>
          <w:highlight w:val="none"/>
          <w:u w:val="single"/>
        </w:rPr>
      </w:pPr>
      <w:r>
        <w:rPr>
          <w:rFonts w:hint="eastAsia" w:ascii="宋体" w:hAnsi="宋体"/>
          <w:b/>
          <w:color w:val="auto"/>
          <w:sz w:val="32"/>
          <w:szCs w:val="32"/>
          <w:highlight w:val="none"/>
        </w:rPr>
        <w:br w:type="page" w:clear="all"/>
      </w:r>
      <w:r>
        <w:rPr>
          <w:rFonts w:hint="eastAsia" w:ascii="宋体" w:hAnsi="宋体" w:cs="宋体"/>
          <w:b/>
          <w:bCs/>
          <w:i/>
          <w:iCs/>
          <w:color w:val="auto"/>
          <w:sz w:val="24"/>
          <w:highlight w:val="none"/>
          <w:u w:val="single"/>
        </w:rPr>
        <w:t>一、法人或者其他组织的营业执照等证明文件，自然人的身份证明</w:t>
      </w:r>
    </w:p>
    <w:p w14:paraId="7D1C7137">
      <w:pPr>
        <w:spacing w:line="360" w:lineRule="auto"/>
        <w:ind w:firstLine="480"/>
        <w:rPr>
          <w:rFonts w:ascii="宋体" w:hAnsi="宋体" w:cs="宋体"/>
          <w:color w:val="auto"/>
          <w:sz w:val="24"/>
          <w:highlight w:val="none"/>
        </w:rPr>
      </w:pPr>
    </w:p>
    <w:p w14:paraId="47E8045D">
      <w:pPr>
        <w:spacing w:line="500" w:lineRule="exact"/>
        <w:ind w:firstLine="482"/>
        <w:rPr>
          <w:rFonts w:hint="eastAsia" w:ascii="宋体" w:hAnsi="宋体" w:cs="宋体"/>
          <w:b/>
          <w:bCs/>
          <w:i/>
          <w:iCs/>
          <w:color w:val="auto"/>
          <w:sz w:val="24"/>
          <w:highlight w:val="none"/>
          <w:u w:val="single"/>
        </w:rPr>
      </w:pPr>
      <w:r>
        <w:rPr>
          <w:rFonts w:hint="eastAsia" w:ascii="宋体" w:hAnsi="宋体" w:cs="宋体"/>
          <w:b/>
          <w:bCs/>
          <w:i/>
          <w:iCs/>
          <w:color w:val="auto"/>
          <w:sz w:val="24"/>
          <w:highlight w:val="none"/>
          <w:u w:val="single"/>
        </w:rPr>
        <w:t>二、上一年度的财务状况报表</w:t>
      </w:r>
    </w:p>
    <w:p w14:paraId="5D11BB3D">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供应商成立不满一年不需提供</w:t>
      </w:r>
    </w:p>
    <w:p w14:paraId="238199E1">
      <w:pPr>
        <w:spacing w:line="360" w:lineRule="auto"/>
        <w:rPr>
          <w:rFonts w:ascii="宋体" w:hAnsi="宋体" w:cs="宋体"/>
          <w:color w:val="auto"/>
          <w:sz w:val="24"/>
          <w:highlight w:val="none"/>
          <w:u w:val="single"/>
        </w:rPr>
      </w:pPr>
    </w:p>
    <w:p w14:paraId="2FC0EBF1">
      <w:pPr>
        <w:spacing w:line="500" w:lineRule="exact"/>
        <w:ind w:firstLine="482"/>
        <w:rPr>
          <w:rFonts w:hint="eastAsia" w:ascii="宋体" w:hAnsi="宋体" w:cs="宋体"/>
          <w:b/>
          <w:bCs/>
          <w:i/>
          <w:iCs/>
          <w:color w:val="auto"/>
          <w:sz w:val="24"/>
          <w:highlight w:val="none"/>
          <w:u w:val="single"/>
        </w:rPr>
      </w:pPr>
      <w:r>
        <w:rPr>
          <w:rFonts w:hint="eastAsia" w:ascii="宋体" w:hAnsi="宋体" w:cs="宋体"/>
          <w:b/>
          <w:bCs/>
          <w:i/>
          <w:iCs/>
          <w:color w:val="auto"/>
          <w:sz w:val="24"/>
          <w:highlight w:val="none"/>
          <w:u w:val="single"/>
        </w:rPr>
        <w:t>三、依法缴纳税收和社会保障资金的相关材料</w:t>
      </w:r>
    </w:p>
    <w:p w14:paraId="2D1DCABF">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提供提交投标文件截止时间前一年内至少一个月依法缴纳税收及缴纳社会保障资金的证明材料。供应商依法享受缓缴、免缴税收、社会保障资金的提供证明材料。</w:t>
      </w:r>
    </w:p>
    <w:p w14:paraId="27159CBD">
      <w:pPr>
        <w:spacing w:line="360" w:lineRule="auto"/>
        <w:rPr>
          <w:rFonts w:ascii="宋体" w:hAnsi="宋体" w:cs="宋体"/>
          <w:color w:val="auto"/>
          <w:sz w:val="24"/>
          <w:highlight w:val="none"/>
          <w:u w:val="single"/>
        </w:rPr>
      </w:pPr>
    </w:p>
    <w:p w14:paraId="25AFD57B">
      <w:pPr>
        <w:spacing w:line="500" w:lineRule="exact"/>
        <w:ind w:firstLine="482"/>
        <w:rPr>
          <w:rFonts w:ascii="宋体" w:hAnsi="宋体" w:cs="宋体"/>
          <w:b/>
          <w:bCs/>
          <w:color w:val="auto"/>
          <w:sz w:val="24"/>
          <w:highlight w:val="none"/>
          <w:u w:val="single"/>
        </w:rPr>
      </w:pPr>
      <w:r>
        <w:rPr>
          <w:rFonts w:hint="eastAsia" w:ascii="宋体" w:hAnsi="宋体" w:cs="宋体"/>
          <w:b/>
          <w:bCs/>
          <w:i/>
          <w:iCs/>
          <w:color w:val="auto"/>
          <w:sz w:val="24"/>
          <w:highlight w:val="none"/>
          <w:u w:val="single"/>
        </w:rPr>
        <w:t>四、具备履行合同所必需的设备和专业技术能力的书面声明</w:t>
      </w:r>
    </w:p>
    <w:p w14:paraId="49F2D4DD">
      <w:pPr>
        <w:spacing w:line="360" w:lineRule="auto"/>
        <w:ind w:firstLine="492"/>
        <w:rPr>
          <w:rFonts w:ascii="宋体" w:hAnsi="宋体" w:cs="宋体"/>
          <w:bCs/>
          <w:color w:val="auto"/>
          <w:sz w:val="24"/>
          <w:highlight w:val="none"/>
        </w:rPr>
      </w:pPr>
      <w:r>
        <w:rPr>
          <w:rFonts w:hint="eastAsia" w:ascii="宋体" w:hAnsi="宋体" w:cs="宋体"/>
          <w:bCs/>
          <w:color w:val="auto"/>
          <w:sz w:val="24"/>
          <w:highlight w:val="none"/>
        </w:rPr>
        <w:t>我单位郑重声明：我单位具备履行本项采购合同所必需的设备和专业技术能力，为履行本项采购合同我公司具备如下主要设备和主要专业技术能力：</w:t>
      </w:r>
    </w:p>
    <w:p w14:paraId="2EFDD9DE">
      <w:pPr>
        <w:spacing w:line="360" w:lineRule="auto"/>
        <w:ind w:firstLine="492"/>
        <w:rPr>
          <w:rFonts w:ascii="宋体" w:hAnsi="宋体" w:cs="宋体"/>
          <w:bCs/>
          <w:color w:val="auto"/>
          <w:sz w:val="24"/>
          <w:highlight w:val="none"/>
        </w:rPr>
      </w:pPr>
      <w:r>
        <w:rPr>
          <w:rFonts w:hint="eastAsia" w:ascii="宋体" w:hAnsi="宋体" w:cs="宋体"/>
          <w:bCs/>
          <w:color w:val="auto"/>
          <w:sz w:val="24"/>
          <w:highlight w:val="none"/>
        </w:rPr>
        <w:t>主要设备有：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w:t>
      </w:r>
    </w:p>
    <w:p w14:paraId="137117EA">
      <w:pPr>
        <w:spacing w:line="360" w:lineRule="auto"/>
        <w:ind w:firstLine="492"/>
        <w:rPr>
          <w:rFonts w:ascii="宋体" w:hAnsi="宋体" w:cs="宋体"/>
          <w:bCs/>
          <w:color w:val="auto"/>
          <w:sz w:val="24"/>
          <w:highlight w:val="none"/>
        </w:rPr>
      </w:pPr>
      <w:r>
        <w:rPr>
          <w:rFonts w:hint="eastAsia" w:ascii="宋体" w:hAnsi="宋体" w:cs="宋体"/>
          <w:bCs/>
          <w:color w:val="auto"/>
          <w:sz w:val="24"/>
          <w:highlight w:val="none"/>
        </w:rPr>
        <w:t>主要专业技术能力有：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w:t>
      </w:r>
    </w:p>
    <w:p w14:paraId="07C39D23">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w:t>
      </w:r>
    </w:p>
    <w:p w14:paraId="4F584054">
      <w:pPr>
        <w:pStyle w:val="397"/>
        <w:spacing w:line="360" w:lineRule="auto"/>
        <w:ind w:firstLine="0"/>
        <w:rPr>
          <w:rFonts w:ascii="宋体" w:hAnsi="宋体" w:cs="宋体"/>
          <w:b/>
          <w:bCs/>
          <w:color w:val="auto"/>
          <w:sz w:val="24"/>
          <w:szCs w:val="24"/>
          <w:highlight w:val="none"/>
        </w:rPr>
      </w:pPr>
    </w:p>
    <w:p w14:paraId="127D9C71">
      <w:pPr>
        <w:spacing w:line="500" w:lineRule="exact"/>
        <w:ind w:firstLine="482"/>
        <w:rPr>
          <w:rFonts w:hint="eastAsia" w:ascii="宋体" w:hAnsi="宋体" w:cs="宋体"/>
          <w:b/>
          <w:bCs/>
          <w:i/>
          <w:iCs/>
          <w:color w:val="auto"/>
          <w:sz w:val="24"/>
          <w:highlight w:val="none"/>
          <w:u w:val="single"/>
        </w:rPr>
      </w:pPr>
      <w:r>
        <w:rPr>
          <w:rFonts w:hint="eastAsia" w:ascii="宋体" w:hAnsi="宋体" w:cs="宋体"/>
          <w:b/>
          <w:bCs/>
          <w:i/>
          <w:iCs/>
          <w:color w:val="auto"/>
          <w:sz w:val="24"/>
          <w:highlight w:val="none"/>
          <w:u w:val="single"/>
        </w:rPr>
        <w:t>五、参加政府采购活动前 3 年内在经营活动中没有重大违法记录的书面声明</w:t>
      </w:r>
    </w:p>
    <w:p w14:paraId="7671AEAF">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声  明</w:t>
      </w:r>
    </w:p>
    <w:p w14:paraId="666E8B75">
      <w:pPr>
        <w:spacing w:line="360" w:lineRule="auto"/>
        <w:rPr>
          <w:rFonts w:ascii="宋体" w:hAnsi="宋体" w:cs="宋体"/>
          <w:bCs/>
          <w:color w:val="auto"/>
          <w:sz w:val="24"/>
          <w:highlight w:val="none"/>
        </w:rPr>
      </w:pPr>
      <w:r>
        <w:rPr>
          <w:rFonts w:hint="eastAsia" w:ascii="宋体" w:hAnsi="宋体" w:cs="宋体"/>
          <w:b/>
          <w:bCs/>
          <w:color w:val="auto"/>
          <w:sz w:val="24"/>
          <w:highlight w:val="none"/>
        </w:rPr>
        <w:t xml:space="preserve">    </w:t>
      </w:r>
      <w:r>
        <w:rPr>
          <w:rFonts w:hint="eastAsia" w:ascii="宋体" w:hAnsi="宋体" w:cs="宋体"/>
          <w:bCs/>
          <w:color w:val="auto"/>
          <w:sz w:val="24"/>
          <w:highlight w:val="none"/>
        </w:rPr>
        <w:t>我单位郑重声明：参加本次政府采购活动前 3 年内，我单位在经营活动中没有因违法经营受到刑事处罚或者责令停产停业、吊销许可证或者执照、较大数额罚款等行政处罚。</w:t>
      </w:r>
    </w:p>
    <w:p w14:paraId="6CB5CA51">
      <w:pPr>
        <w:spacing w:line="360" w:lineRule="auto"/>
        <w:rPr>
          <w:rFonts w:ascii="宋体" w:hAnsi="宋体" w:cs="宋体"/>
          <w:color w:val="auto"/>
          <w:sz w:val="24"/>
          <w:highlight w:val="none"/>
          <w:u w:val="single"/>
        </w:rPr>
      </w:pPr>
    </w:p>
    <w:p w14:paraId="75604B61">
      <w:pPr>
        <w:spacing w:line="500" w:lineRule="exact"/>
        <w:ind w:firstLine="482"/>
        <w:rPr>
          <w:rFonts w:ascii="宋体" w:hAnsi="宋体" w:cs="宋体"/>
          <w:b/>
          <w:bCs/>
          <w:color w:val="auto"/>
          <w:sz w:val="24"/>
          <w:highlight w:val="none"/>
        </w:rPr>
      </w:pPr>
      <w:r>
        <w:rPr>
          <w:rFonts w:hint="eastAsia" w:ascii="宋体" w:hAnsi="宋体" w:cs="宋体"/>
          <w:b/>
          <w:bCs/>
          <w:i/>
          <w:iCs/>
          <w:color w:val="auto"/>
          <w:sz w:val="24"/>
          <w:highlight w:val="none"/>
          <w:u w:val="single"/>
        </w:rPr>
        <w:t>六、特定资格要求的证明文件</w:t>
      </w:r>
    </w:p>
    <w:p w14:paraId="08CDE7E7">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文件1 供应商施工资质证书、安全生产许可证、项目负责人建造师证书及安全生产考核合格证书（B类）（原件彩色扫描件）</w:t>
      </w:r>
    </w:p>
    <w:p w14:paraId="7B786162">
      <w:pPr>
        <w:spacing w:line="360" w:lineRule="auto"/>
        <w:ind w:firstLine="480" w:firstLineChars="200"/>
        <w:rPr>
          <w:rFonts w:ascii="宋体" w:hAnsi="宋体" w:cs="宋体"/>
          <w:bCs/>
          <w:color w:val="auto"/>
          <w:sz w:val="24"/>
          <w:highlight w:val="none"/>
        </w:rPr>
      </w:pPr>
      <w:r>
        <w:rPr>
          <w:rFonts w:hint="eastAsia" w:ascii="宋体" w:hAnsi="宋体" w:cs="宋体"/>
          <w:color w:val="auto"/>
          <w:sz w:val="24"/>
          <w:highlight w:val="none"/>
        </w:rPr>
        <w:t>文件2 项目负责人养老保险证明彩色扫描件。</w:t>
      </w:r>
    </w:p>
    <w:p w14:paraId="46E523DE">
      <w:pPr>
        <w:spacing w:line="360" w:lineRule="auto"/>
        <w:rPr>
          <w:rFonts w:ascii="宋体" w:hAnsi="宋体" w:cs="宋体"/>
          <w:bCs/>
          <w:color w:val="auto"/>
          <w:sz w:val="24"/>
          <w:highlight w:val="none"/>
        </w:rPr>
      </w:pPr>
    </w:p>
    <w:p w14:paraId="79F11E78">
      <w:pPr>
        <w:spacing w:line="360" w:lineRule="auto"/>
        <w:jc w:val="center"/>
        <w:rPr>
          <w:rFonts w:ascii="宋体" w:hAnsi="宋体" w:cs="宋体"/>
          <w:color w:val="auto"/>
          <w:sz w:val="24"/>
          <w:highlight w:val="none"/>
          <w:u w:val="single"/>
        </w:rPr>
      </w:pPr>
    </w:p>
    <w:p w14:paraId="7309CC43">
      <w:pPr>
        <w:spacing w:line="360" w:lineRule="auto"/>
        <w:jc w:val="center"/>
        <w:rPr>
          <w:rFonts w:ascii="宋体" w:hAnsi="宋体" w:cs="宋体"/>
          <w:color w:val="auto"/>
          <w:sz w:val="24"/>
          <w:highlight w:val="none"/>
          <w:u w:val="single"/>
        </w:rPr>
      </w:pPr>
    </w:p>
    <w:p w14:paraId="688A5734">
      <w:pPr>
        <w:spacing w:line="360" w:lineRule="auto"/>
        <w:jc w:val="center"/>
        <w:rPr>
          <w:rFonts w:ascii="宋体" w:hAnsi="宋体" w:cs="宋体"/>
          <w:color w:val="auto"/>
          <w:sz w:val="24"/>
          <w:highlight w:val="none"/>
          <w:u w:val="single"/>
        </w:rPr>
      </w:pPr>
    </w:p>
    <w:p w14:paraId="4AC8143A">
      <w:pPr>
        <w:spacing w:line="360" w:lineRule="auto"/>
        <w:jc w:val="center"/>
        <w:rPr>
          <w:rFonts w:ascii="宋体" w:hAnsi="宋体" w:cs="宋体"/>
          <w:color w:val="auto"/>
          <w:sz w:val="24"/>
          <w:highlight w:val="none"/>
          <w:u w:val="single"/>
        </w:rPr>
      </w:pPr>
    </w:p>
    <w:p w14:paraId="4186B3B8">
      <w:pPr>
        <w:spacing w:line="360" w:lineRule="auto"/>
        <w:jc w:val="center"/>
        <w:rPr>
          <w:rFonts w:ascii="宋体" w:hAnsi="宋体" w:cs="宋体"/>
          <w:color w:val="auto"/>
          <w:sz w:val="24"/>
          <w:highlight w:val="none"/>
          <w:u w:val="single"/>
        </w:rPr>
      </w:pPr>
    </w:p>
    <w:p w14:paraId="621C6BB0">
      <w:pPr>
        <w:spacing w:line="360" w:lineRule="auto"/>
        <w:jc w:val="center"/>
        <w:rPr>
          <w:rFonts w:ascii="宋体" w:hAnsi="宋体" w:cs="宋体"/>
          <w:color w:val="auto"/>
          <w:sz w:val="24"/>
          <w:highlight w:val="none"/>
          <w:u w:val="single"/>
        </w:rPr>
      </w:pPr>
    </w:p>
    <w:p w14:paraId="79EA0051">
      <w:pPr>
        <w:spacing w:line="360" w:lineRule="auto"/>
        <w:jc w:val="center"/>
        <w:rPr>
          <w:rFonts w:hint="eastAsia" w:ascii="宋体" w:hAnsi="宋体" w:cs="宋体"/>
          <w:b/>
          <w:bCs/>
          <w:i/>
          <w:iCs/>
          <w:color w:val="auto"/>
          <w:sz w:val="24"/>
          <w:highlight w:val="none"/>
          <w:u w:val="single"/>
        </w:rPr>
      </w:pPr>
      <w:r>
        <w:rPr>
          <w:rFonts w:hint="eastAsia" w:ascii="宋体" w:hAnsi="宋体" w:cs="宋体"/>
          <w:b/>
          <w:bCs/>
          <w:i/>
          <w:iCs/>
          <w:color w:val="auto"/>
          <w:sz w:val="24"/>
          <w:highlight w:val="none"/>
          <w:u w:val="single"/>
        </w:rPr>
        <w:t>七、法人授权书</w:t>
      </w:r>
    </w:p>
    <w:p w14:paraId="6536B4E4">
      <w:pPr>
        <w:tabs>
          <w:tab w:val="left" w:pos="360"/>
        </w:tabs>
        <w:spacing w:line="600" w:lineRule="exact"/>
        <w:ind w:firstLine="482"/>
        <w:rPr>
          <w:rFonts w:ascii="宋体" w:hAnsi="宋体" w:cs="宋体"/>
          <w:color w:val="auto"/>
          <w:sz w:val="24"/>
          <w:highlight w:val="none"/>
        </w:rPr>
      </w:pPr>
      <w:r>
        <w:rPr>
          <w:rFonts w:hint="eastAsia" w:ascii="宋体" w:hAnsi="宋体" w:cs="宋体"/>
          <w:color w:val="auto"/>
          <w:sz w:val="24"/>
          <w:highlight w:val="none"/>
        </w:rPr>
        <w:t>本授权书声明：____________（供应商名称）授权________________（被授权人的姓名）为我方就</w:t>
      </w:r>
      <w:r>
        <w:rPr>
          <w:rFonts w:hint="eastAsia" w:ascii="宋体" w:hAnsi="宋体" w:cs="宋体"/>
          <w:color w:val="auto"/>
          <w:sz w:val="24"/>
          <w:highlight w:val="none"/>
          <w:u w:val="single"/>
          <w:lang w:eastAsia="zh-CN"/>
        </w:rPr>
        <w:t>盐城市公安局盐都分局国省道科技提升项目</w:t>
      </w:r>
      <w:r>
        <w:rPr>
          <w:rFonts w:hint="eastAsia" w:ascii="宋体" w:hAnsi="宋体" w:cs="宋体"/>
          <w:color w:val="auto"/>
          <w:sz w:val="24"/>
          <w:highlight w:val="none"/>
        </w:rPr>
        <w:t>采购活动的合法代理人，以本公司名义全权处理一切与该项目采购有关的事务。</w:t>
      </w:r>
    </w:p>
    <w:p w14:paraId="1B0E58CF">
      <w:pPr>
        <w:tabs>
          <w:tab w:val="left" w:pos="360"/>
        </w:tabs>
        <w:spacing w:line="600" w:lineRule="exact"/>
        <w:ind w:firstLine="480"/>
        <w:rPr>
          <w:rFonts w:ascii="宋体" w:hAnsi="宋体" w:cs="宋体"/>
          <w:color w:val="auto"/>
          <w:sz w:val="24"/>
          <w:highlight w:val="none"/>
        </w:rPr>
      </w:pPr>
      <w:r>
        <w:rPr>
          <w:rFonts w:hint="eastAsia" w:ascii="宋体" w:hAnsi="宋体" w:cs="宋体"/>
          <w:color w:val="auto"/>
          <w:sz w:val="24"/>
          <w:highlight w:val="none"/>
        </w:rPr>
        <w:t>本授权书于______年____月____日起生效，特此声明。</w:t>
      </w:r>
    </w:p>
    <w:p w14:paraId="2DFA267E">
      <w:pPr>
        <w:pStyle w:val="344"/>
        <w:spacing w:line="600" w:lineRule="exact"/>
        <w:rPr>
          <w:rFonts w:ascii="宋体" w:hAnsi="宋体" w:cs="宋体"/>
          <w:color w:val="auto"/>
          <w:highlight w:val="none"/>
          <w:u w:val="single"/>
        </w:rPr>
      </w:pPr>
      <w:r>
        <w:rPr>
          <w:rFonts w:hint="eastAsia" w:ascii="宋体" w:hAnsi="宋体" w:cs="宋体"/>
          <w:color w:val="auto"/>
          <w:highlight w:val="none"/>
        </w:rPr>
        <w:t xml:space="preserve">         被授权人身份证号码：</w:t>
      </w:r>
      <w:r>
        <w:rPr>
          <w:rFonts w:hint="eastAsia" w:ascii="宋体" w:hAnsi="宋体" w:cs="宋体"/>
          <w:color w:val="auto"/>
          <w:highlight w:val="none"/>
          <w:u w:val="single"/>
        </w:rPr>
        <w:t xml:space="preserve">                              </w:t>
      </w:r>
    </w:p>
    <w:p w14:paraId="2782D9B7">
      <w:pPr>
        <w:pStyle w:val="344"/>
        <w:spacing w:line="600" w:lineRule="exact"/>
        <w:rPr>
          <w:rFonts w:ascii="宋体" w:hAnsi="宋体" w:cs="宋体"/>
          <w:color w:val="auto"/>
          <w:highlight w:val="none"/>
          <w:u w:val="single"/>
        </w:rPr>
      </w:pPr>
      <w:r>
        <w:rPr>
          <w:rFonts w:hint="eastAsia" w:ascii="宋体" w:hAnsi="宋体" w:cs="宋体"/>
          <w:color w:val="auto"/>
          <w:highlight w:val="none"/>
        </w:rPr>
        <w:t xml:space="preserve">          被授权人联系电话：（手机）</w:t>
      </w:r>
      <w:r>
        <w:rPr>
          <w:rFonts w:hint="eastAsia" w:ascii="宋体" w:hAnsi="宋体" w:cs="宋体"/>
          <w:color w:val="auto"/>
          <w:highlight w:val="none"/>
          <w:u w:val="single"/>
        </w:rPr>
        <w:t xml:space="preserve">                          </w:t>
      </w:r>
    </w:p>
    <w:p w14:paraId="17C167A3">
      <w:pPr>
        <w:pStyle w:val="344"/>
        <w:spacing w:line="600" w:lineRule="exact"/>
        <w:ind w:firstLine="1200"/>
        <w:rPr>
          <w:rFonts w:ascii="宋体" w:hAnsi="宋体" w:cs="宋体"/>
          <w:color w:val="auto"/>
          <w:highlight w:val="none"/>
        </w:rPr>
      </w:pPr>
      <w:r>
        <w:rPr>
          <w:rFonts w:hint="eastAsia" w:ascii="宋体" w:hAnsi="宋体" w:cs="宋体"/>
          <w:color w:val="auto"/>
          <w:highlight w:val="none"/>
        </w:rPr>
        <w:t>授权单位名称：</w:t>
      </w:r>
      <w:r>
        <w:rPr>
          <w:rFonts w:hint="eastAsia" w:ascii="宋体" w:hAnsi="宋体" w:cs="宋体"/>
          <w:color w:val="auto"/>
          <w:highlight w:val="none"/>
          <w:u w:val="single"/>
        </w:rPr>
        <w:t>（加盖CA电子公章）</w:t>
      </w:r>
    </w:p>
    <w:p w14:paraId="47877A7E">
      <w:pPr>
        <w:pStyle w:val="344"/>
        <w:spacing w:line="600" w:lineRule="exact"/>
        <w:ind w:firstLine="480"/>
        <w:rPr>
          <w:rFonts w:ascii="宋体" w:hAnsi="宋体" w:cs="宋体"/>
          <w:color w:val="auto"/>
          <w:highlight w:val="none"/>
          <w:u w:val="single"/>
        </w:rPr>
      </w:pPr>
      <w:r>
        <w:rPr>
          <w:rFonts w:hint="eastAsia" w:ascii="宋体" w:hAnsi="宋体" w:cs="宋体"/>
          <w:color w:val="auto"/>
          <w:highlight w:val="none"/>
        </w:rPr>
        <w:t xml:space="preserve">      单位地址：</w:t>
      </w:r>
      <w:r>
        <w:rPr>
          <w:rFonts w:hint="eastAsia" w:ascii="宋体" w:hAnsi="宋体" w:cs="宋体"/>
          <w:color w:val="auto"/>
          <w:highlight w:val="none"/>
          <w:u w:val="single"/>
        </w:rPr>
        <w:t xml:space="preserve">                                         </w:t>
      </w:r>
    </w:p>
    <w:p w14:paraId="30E33CF3">
      <w:pPr>
        <w:pStyle w:val="344"/>
        <w:spacing w:line="600" w:lineRule="exact"/>
        <w:ind w:firstLine="480"/>
        <w:rPr>
          <w:rFonts w:ascii="宋体" w:hAnsi="宋体" w:cs="宋体"/>
          <w:color w:val="auto"/>
          <w:highlight w:val="none"/>
        </w:rPr>
      </w:pPr>
      <w:r>
        <w:rPr>
          <w:rFonts w:hint="eastAsia" w:ascii="宋体" w:hAnsi="宋体" w:cs="宋体"/>
          <w:color w:val="auto"/>
          <w:highlight w:val="none"/>
        </w:rPr>
        <w:t xml:space="preserve">      日期：</w:t>
      </w:r>
      <w:r>
        <w:rPr>
          <w:rFonts w:hint="eastAsia" w:ascii="宋体" w:hAnsi="宋体" w:cs="宋体"/>
          <w:color w:val="auto"/>
          <w:highlight w:val="none"/>
          <w:u w:val="single"/>
        </w:rPr>
        <w:t xml:space="preserve">                                         </w:t>
      </w:r>
    </w:p>
    <w:p w14:paraId="62C30202">
      <w:pPr>
        <w:tabs>
          <w:tab w:val="left" w:pos="360"/>
        </w:tabs>
        <w:spacing w:line="600" w:lineRule="exact"/>
        <w:rPr>
          <w:rFonts w:ascii="宋体" w:hAnsi="宋体" w:cs="宋体"/>
          <w:color w:val="auto"/>
          <w:sz w:val="24"/>
          <w:highlight w:val="none"/>
        </w:rPr>
      </w:pPr>
      <w:r>
        <w:rPr>
          <w:rFonts w:hint="eastAsia" w:ascii="宋体" w:hAnsi="宋体" w:cs="宋体"/>
          <w:color w:val="auto"/>
          <w:sz w:val="24"/>
          <w:highlight w:val="none"/>
        </w:rPr>
        <w:t xml:space="preserve"> </w:t>
      </w:r>
    </w:p>
    <w:p w14:paraId="0A52D545">
      <w:pPr>
        <w:spacing w:line="600" w:lineRule="exact"/>
        <w:rPr>
          <w:rFonts w:ascii="宋体" w:hAnsi="宋体" w:cs="宋体"/>
          <w:color w:val="auto"/>
          <w:highlight w:val="none"/>
        </w:rPr>
      </w:pPr>
      <w:bookmarkStart w:id="206" w:name="_格式3__银行出具的资信证明"/>
      <w:bookmarkEnd w:id="206"/>
      <w:bookmarkStart w:id="207" w:name="_Hlt26955070"/>
      <w:bookmarkEnd w:id="207"/>
      <w:bookmarkStart w:id="208" w:name="_Hlt26671380"/>
      <w:bookmarkEnd w:id="208"/>
      <w:r>
        <w:rPr>
          <w:rFonts w:hint="eastAsia" w:ascii="宋体" w:hAnsi="宋体" w:cs="宋体"/>
          <w:color w:val="auto"/>
          <w:highlight w:val="none"/>
        </w:rPr>
        <w:t>法定代表人及被授权人身份证：</w:t>
      </w:r>
    </w:p>
    <w:p w14:paraId="42CDB3A4">
      <w:pPr>
        <w:tabs>
          <w:tab w:val="left" w:pos="360"/>
        </w:tabs>
        <w:ind w:firstLine="4216"/>
        <w:rPr>
          <w:rFonts w:ascii="宋体" w:hAnsi="宋体" w:cs="宋体"/>
          <w:b/>
          <w:bCs/>
          <w:color w:val="auto"/>
          <w:szCs w:val="21"/>
          <w:highlight w:val="none"/>
        </w:rPr>
      </w:pPr>
    </w:p>
    <w:p w14:paraId="30F4983F">
      <w:pPr>
        <w:tabs>
          <w:tab w:val="left" w:pos="360"/>
        </w:tabs>
        <w:ind w:firstLine="4216"/>
        <w:rPr>
          <w:rFonts w:ascii="宋体" w:hAnsi="宋体" w:cs="宋体"/>
          <w:b/>
          <w:bCs/>
          <w:color w:val="auto"/>
          <w:szCs w:val="21"/>
          <w:highlight w:val="none"/>
        </w:rPr>
      </w:pPr>
    </w:p>
    <w:p w14:paraId="72986178">
      <w:pPr>
        <w:tabs>
          <w:tab w:val="left" w:pos="360"/>
        </w:tabs>
        <w:ind w:firstLine="4216"/>
        <w:rPr>
          <w:rFonts w:ascii="宋体" w:hAnsi="宋体" w:cs="宋体"/>
          <w:b/>
          <w:bCs/>
          <w:color w:val="auto"/>
          <w:szCs w:val="21"/>
          <w:highlight w:val="none"/>
        </w:rPr>
      </w:pPr>
    </w:p>
    <w:p w14:paraId="1E31BA8C">
      <w:pPr>
        <w:tabs>
          <w:tab w:val="left" w:pos="360"/>
        </w:tabs>
        <w:ind w:firstLine="4216"/>
        <w:rPr>
          <w:rFonts w:ascii="宋体" w:hAnsi="宋体" w:cs="宋体"/>
          <w:b/>
          <w:bCs/>
          <w:color w:val="auto"/>
          <w:szCs w:val="21"/>
          <w:highlight w:val="none"/>
        </w:rPr>
      </w:pPr>
    </w:p>
    <w:p w14:paraId="1FFD99DF">
      <w:pPr>
        <w:tabs>
          <w:tab w:val="left" w:pos="360"/>
        </w:tabs>
        <w:ind w:firstLine="4216"/>
        <w:rPr>
          <w:rFonts w:ascii="宋体" w:hAnsi="宋体" w:cs="宋体"/>
          <w:b/>
          <w:bCs/>
          <w:color w:val="auto"/>
          <w:szCs w:val="21"/>
          <w:highlight w:val="none"/>
        </w:rPr>
      </w:pPr>
    </w:p>
    <w:p w14:paraId="775A15C7">
      <w:pPr>
        <w:tabs>
          <w:tab w:val="left" w:pos="360"/>
        </w:tabs>
        <w:ind w:firstLine="4216"/>
        <w:rPr>
          <w:rFonts w:ascii="宋体" w:hAnsi="宋体" w:cs="宋体"/>
          <w:b/>
          <w:bCs/>
          <w:color w:val="auto"/>
          <w:szCs w:val="21"/>
          <w:highlight w:val="none"/>
        </w:rPr>
      </w:pPr>
    </w:p>
    <w:p w14:paraId="32985324">
      <w:pPr>
        <w:tabs>
          <w:tab w:val="left" w:pos="360"/>
        </w:tabs>
        <w:ind w:firstLine="4216"/>
        <w:rPr>
          <w:rFonts w:ascii="宋体" w:hAnsi="宋体" w:cs="宋体"/>
          <w:b/>
          <w:bCs/>
          <w:color w:val="auto"/>
          <w:szCs w:val="21"/>
          <w:highlight w:val="none"/>
        </w:rPr>
      </w:pPr>
    </w:p>
    <w:p w14:paraId="7A166E59">
      <w:pPr>
        <w:tabs>
          <w:tab w:val="left" w:pos="360"/>
        </w:tabs>
        <w:ind w:firstLine="4216"/>
        <w:rPr>
          <w:rFonts w:ascii="宋体" w:hAnsi="宋体" w:cs="宋体"/>
          <w:b/>
          <w:bCs/>
          <w:color w:val="auto"/>
          <w:szCs w:val="21"/>
          <w:highlight w:val="none"/>
        </w:rPr>
      </w:pPr>
    </w:p>
    <w:p w14:paraId="3FAE32D0">
      <w:pPr>
        <w:ind w:firstLine="2879"/>
        <w:rPr>
          <w:rFonts w:ascii="宋体" w:hAnsi="宋体"/>
          <w:color w:val="auto"/>
          <w:highlight w:val="none"/>
        </w:rPr>
      </w:pPr>
    </w:p>
    <w:p w14:paraId="1914B33D">
      <w:pPr>
        <w:spacing w:line="560" w:lineRule="exact"/>
        <w:jc w:val="center"/>
        <w:rPr>
          <w:rFonts w:ascii="宋体" w:hAnsi="宋体" w:cs="宋体"/>
          <w:b/>
          <w:bCs/>
          <w:color w:val="auto"/>
          <w:sz w:val="32"/>
          <w:szCs w:val="32"/>
          <w:highlight w:val="none"/>
        </w:rPr>
      </w:pPr>
    </w:p>
    <w:p w14:paraId="4DD061BB">
      <w:pPr>
        <w:spacing w:line="560" w:lineRule="exact"/>
        <w:jc w:val="center"/>
        <w:rPr>
          <w:rFonts w:ascii="宋体" w:hAnsi="宋体" w:cs="宋体"/>
          <w:b/>
          <w:bCs/>
          <w:color w:val="auto"/>
          <w:sz w:val="32"/>
          <w:szCs w:val="32"/>
          <w:highlight w:val="none"/>
        </w:rPr>
      </w:pPr>
    </w:p>
    <w:p w14:paraId="0A5F6730">
      <w:pPr>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p>
    <w:p w14:paraId="1BDAFB41">
      <w:pPr>
        <w:rPr>
          <w:rFonts w:ascii="宋体" w:hAnsi="宋体" w:cs="宋体"/>
          <w:b/>
          <w:color w:val="auto"/>
          <w:sz w:val="24"/>
          <w:highlight w:val="none"/>
        </w:rPr>
      </w:pPr>
    </w:p>
    <w:p w14:paraId="0CB9AD83">
      <w:pPr>
        <w:spacing w:line="360" w:lineRule="auto"/>
        <w:jc w:val="center"/>
        <w:rPr>
          <w:rFonts w:hint="eastAsia" w:ascii="宋体" w:hAnsi="宋体" w:cs="宋体"/>
          <w:b/>
          <w:bCs/>
          <w:i/>
          <w:iCs/>
          <w:color w:val="auto"/>
          <w:sz w:val="24"/>
          <w:highlight w:val="none"/>
          <w:u w:val="single"/>
        </w:rPr>
      </w:pPr>
      <w:r>
        <w:rPr>
          <w:rFonts w:hint="eastAsia" w:ascii="宋体" w:hAnsi="宋体" w:cs="宋体"/>
          <w:b/>
          <w:bCs/>
          <w:i/>
          <w:iCs/>
          <w:color w:val="auto"/>
          <w:sz w:val="24"/>
          <w:highlight w:val="none"/>
          <w:u w:val="single"/>
        </w:rPr>
        <w:t>八、磋商响应函</w:t>
      </w:r>
    </w:p>
    <w:p w14:paraId="0E6389FF">
      <w:pPr>
        <w:tabs>
          <w:tab w:val="left" w:pos="360"/>
        </w:tabs>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 xml:space="preserve"> （采购人）   </w:t>
      </w:r>
    </w:p>
    <w:p w14:paraId="0903A212">
      <w:pPr>
        <w:tabs>
          <w:tab w:val="left" w:pos="360"/>
        </w:tabs>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根据贵方的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号</w:t>
      </w:r>
      <w:r>
        <w:rPr>
          <w:rFonts w:hint="eastAsia" w:ascii="宋体" w:hAnsi="宋体" w:cs="宋体"/>
          <w:color w:val="auto"/>
          <w:sz w:val="24"/>
          <w:highlight w:val="none"/>
        </w:rPr>
        <w:t>磋商文件，正式授权下述签字人_________ (姓名和职务)代表我方______________（供应商的名称），全权处理本次项目磋商采购的有关事宜。</w:t>
      </w:r>
    </w:p>
    <w:p w14:paraId="38FFBBC3">
      <w:pPr>
        <w:tabs>
          <w:tab w:val="left" w:pos="360"/>
        </w:tabs>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据此函，__________（签字人）兹宣布同意如下：</w:t>
      </w:r>
    </w:p>
    <w:p w14:paraId="0AC35382">
      <w:pPr>
        <w:tabs>
          <w:tab w:val="left" w:pos="360"/>
        </w:tabs>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1.按磋商文件规定的各项要求，向买方提供所需服务。</w:t>
      </w:r>
    </w:p>
    <w:p w14:paraId="2EEA9C70">
      <w:pPr>
        <w:pStyle w:val="49"/>
        <w:spacing w:before="0" w:beforeAutospacing="0" w:after="0" w:afterAutospacing="0" w:line="360" w:lineRule="auto"/>
        <w:ind w:firstLine="480"/>
        <w:rPr>
          <w:color w:val="auto"/>
          <w:highlight w:val="none"/>
        </w:rPr>
      </w:pPr>
      <w:r>
        <w:rPr>
          <w:rFonts w:hint="eastAsia"/>
          <w:color w:val="auto"/>
          <w:highlight w:val="none"/>
        </w:rPr>
        <w:t>2.我们完全理解贵方不一定将合同授予最低报价的供应商。</w:t>
      </w:r>
    </w:p>
    <w:p w14:paraId="42DF6E06">
      <w:pPr>
        <w:tabs>
          <w:tab w:val="left" w:pos="360"/>
        </w:tabs>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3.我们已详细审核全部磋商文件及其有效补充文件，我们知道必须放弃提出含糊不清或误解问题的权利。</w:t>
      </w:r>
    </w:p>
    <w:p w14:paraId="379D9523">
      <w:pPr>
        <w:tabs>
          <w:tab w:val="left" w:pos="360"/>
        </w:tabs>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4.我们同意从规定的响应文件接收截止时间起遵循本响应文件，并在规定的磋商有效期期满之前均具有约束力。</w:t>
      </w:r>
    </w:p>
    <w:p w14:paraId="70BD6634">
      <w:pPr>
        <w:tabs>
          <w:tab w:val="left" w:pos="360"/>
        </w:tabs>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5.同意向贵方提供贵方可能另外要求的与磋商采购有关的任何证据或资料，并保证我方已提供和将要提供的文件是真实的、准确的。</w:t>
      </w:r>
    </w:p>
    <w:p w14:paraId="354055D5">
      <w:pPr>
        <w:tabs>
          <w:tab w:val="left" w:pos="360"/>
        </w:tabs>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6.一旦我方成交，我方将根据磋商文件的规定，严格履行合同的责任和义务，并保证在磋商文件规定的时间完成项目，交付买方验收、使用。</w:t>
      </w:r>
    </w:p>
    <w:p w14:paraId="50DC7B1C">
      <w:pPr>
        <w:tabs>
          <w:tab w:val="left" w:pos="360"/>
        </w:tabs>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7.我方与本磋商有关的正式通讯地址为：</w:t>
      </w:r>
    </w:p>
    <w:p w14:paraId="5C19FAAB">
      <w:pPr>
        <w:tabs>
          <w:tab w:val="left" w:pos="360"/>
        </w:tabs>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地 址：</w:t>
      </w:r>
    </w:p>
    <w:p w14:paraId="628F1E0C">
      <w:pPr>
        <w:tabs>
          <w:tab w:val="left" w:pos="360"/>
        </w:tabs>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邮 编：</w:t>
      </w:r>
    </w:p>
    <w:p w14:paraId="2C07FBEA">
      <w:pPr>
        <w:tabs>
          <w:tab w:val="left" w:pos="360"/>
        </w:tabs>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电 话：</w:t>
      </w:r>
    </w:p>
    <w:p w14:paraId="401F85A8">
      <w:pPr>
        <w:tabs>
          <w:tab w:val="left" w:pos="360"/>
        </w:tabs>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传 真：</w:t>
      </w:r>
    </w:p>
    <w:p w14:paraId="42CADB85">
      <w:pPr>
        <w:tabs>
          <w:tab w:val="left" w:pos="360"/>
        </w:tabs>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供应商开户行：</w:t>
      </w:r>
    </w:p>
    <w:p w14:paraId="16B295D3">
      <w:pPr>
        <w:tabs>
          <w:tab w:val="left" w:pos="360"/>
        </w:tabs>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 xml:space="preserve">账 户： </w:t>
      </w:r>
    </w:p>
    <w:p w14:paraId="5B378FBF">
      <w:pPr>
        <w:tabs>
          <w:tab w:val="left" w:pos="360"/>
        </w:tabs>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日 期：________年____月____日</w:t>
      </w:r>
    </w:p>
    <w:p w14:paraId="2AB4A74E">
      <w:pPr>
        <w:rPr>
          <w:rFonts w:ascii="宋体" w:hAnsi="宋体" w:cs="宋体"/>
          <w:color w:val="auto"/>
          <w:highlight w:val="none"/>
        </w:rPr>
      </w:pPr>
    </w:p>
    <w:p w14:paraId="2F48BC8B">
      <w:pPr>
        <w:rPr>
          <w:rFonts w:ascii="宋体" w:hAnsi="宋体" w:cs="宋体"/>
          <w:color w:val="auto"/>
          <w:sz w:val="24"/>
          <w:highlight w:val="none"/>
        </w:rPr>
      </w:pPr>
      <w:r>
        <w:rPr>
          <w:rFonts w:hint="eastAsia" w:ascii="宋体" w:hAnsi="宋体" w:cs="宋体"/>
          <w:color w:val="auto"/>
          <w:highlight w:val="none"/>
        </w:rPr>
        <w:br w:type="page" w:clear="all"/>
      </w:r>
    </w:p>
    <w:p w14:paraId="25C6B55C">
      <w:pPr>
        <w:spacing w:line="360" w:lineRule="auto"/>
        <w:jc w:val="center"/>
        <w:rPr>
          <w:rFonts w:ascii="宋体" w:hAnsi="宋体" w:cs="宋体"/>
          <w:b/>
          <w:bCs/>
          <w:i/>
          <w:iCs/>
          <w:color w:val="auto"/>
          <w:sz w:val="24"/>
          <w:highlight w:val="none"/>
          <w:u w:val="single"/>
        </w:rPr>
      </w:pPr>
      <w:r>
        <w:rPr>
          <w:rFonts w:hint="eastAsia" w:ascii="宋体" w:hAnsi="宋体" w:cs="宋体"/>
          <w:b/>
          <w:bCs/>
          <w:i/>
          <w:iCs/>
          <w:color w:val="auto"/>
          <w:sz w:val="24"/>
          <w:highlight w:val="none"/>
          <w:u w:val="single"/>
        </w:rPr>
        <w:t>九、中小企业声明函（工程）</w:t>
      </w:r>
    </w:p>
    <w:p w14:paraId="56972D2C">
      <w:pPr>
        <w:spacing w:line="560" w:lineRule="exact"/>
        <w:rPr>
          <w:rFonts w:ascii="宋体" w:hAnsi="宋体" w:cs="宋体"/>
          <w:b/>
          <w:bCs/>
          <w:color w:val="auto"/>
          <w:sz w:val="28"/>
          <w:szCs w:val="28"/>
          <w:highlight w:val="none"/>
        </w:rPr>
      </w:pPr>
    </w:p>
    <w:p w14:paraId="7B365B6E">
      <w:pPr>
        <w:spacing w:line="600" w:lineRule="exact"/>
        <w:ind w:firstLine="480"/>
        <w:rPr>
          <w:rFonts w:ascii="宋体" w:hAnsi="宋体" w:cs="宋体"/>
          <w:color w:val="auto"/>
          <w:sz w:val="24"/>
          <w:highlight w:val="none"/>
        </w:rPr>
      </w:pPr>
      <w:r>
        <w:rPr>
          <w:rFonts w:hint="eastAsia" w:ascii="宋体" w:hAnsi="宋体" w:cs="宋体"/>
          <w:color w:val="auto"/>
          <w:sz w:val="24"/>
          <w:highlight w:val="none"/>
        </w:rPr>
        <w:t>本公司</w:t>
      </w:r>
      <w:r>
        <w:rPr>
          <w:rFonts w:hint="eastAsia" w:ascii="宋体" w:hAnsi="宋体" w:cs="宋体"/>
          <w:color w:val="auto"/>
          <w:sz w:val="24"/>
          <w:highlight w:val="none"/>
          <w:u w:val="single"/>
        </w:rPr>
        <w:t>（联合体）</w:t>
      </w:r>
      <w:r>
        <w:rPr>
          <w:rFonts w:hint="eastAsia" w:ascii="宋体" w:hAnsi="宋体" w:cs="宋体"/>
          <w:color w:val="auto"/>
          <w:sz w:val="24"/>
          <w:highlight w:val="none"/>
        </w:rPr>
        <w:t>郑重声明，根据《政府采购促进中小企业发展管理办法》（财库﹝2020﹞46 号）的规定，本公司</w:t>
      </w:r>
      <w:r>
        <w:rPr>
          <w:rFonts w:hint="eastAsia" w:ascii="宋体" w:hAnsi="宋体" w:cs="宋体"/>
          <w:color w:val="auto"/>
          <w:sz w:val="24"/>
          <w:highlight w:val="none"/>
          <w:u w:val="single"/>
        </w:rPr>
        <w:t>（联合体）</w:t>
      </w:r>
      <w:r>
        <w:rPr>
          <w:rFonts w:hint="eastAsia" w:ascii="宋体" w:hAnsi="宋体" w:cs="宋体"/>
          <w:color w:val="auto"/>
          <w:sz w:val="24"/>
          <w:highlight w:val="none"/>
        </w:rPr>
        <w:t>参加</w:t>
      </w:r>
      <w:r>
        <w:rPr>
          <w:rFonts w:hint="eastAsia" w:ascii="宋体" w:hAnsi="宋体" w:cs="宋体"/>
          <w:color w:val="auto"/>
          <w:sz w:val="24"/>
          <w:highlight w:val="none"/>
          <w:u w:val="single"/>
          <w:lang w:eastAsia="zh-CN"/>
        </w:rPr>
        <w:t>盐城市公安局盐都分局</w:t>
      </w:r>
      <w:r>
        <w:rPr>
          <w:rFonts w:hint="eastAsia" w:ascii="宋体" w:hAnsi="宋体" w:cs="宋体"/>
          <w:color w:val="auto"/>
          <w:sz w:val="24"/>
          <w:highlight w:val="none"/>
        </w:rPr>
        <w:t>的采购编号为</w:t>
      </w:r>
      <w:r>
        <w:rPr>
          <w:rFonts w:hint="eastAsia" w:ascii="宋体" w:hAnsi="宋体" w:cs="宋体"/>
          <w:color w:val="auto"/>
          <w:sz w:val="24"/>
          <w:highlight w:val="none"/>
          <w:u w:val="single"/>
          <w:lang w:val="en-US" w:eastAsia="zh-CN"/>
        </w:rPr>
        <w:t>JSZC-320903-JCJS-C2026-0006</w:t>
      </w:r>
      <w:r>
        <w:rPr>
          <w:rFonts w:hint="eastAsia" w:ascii="宋体" w:hAnsi="宋体" w:cs="宋体"/>
          <w:color w:val="auto"/>
          <w:sz w:val="24"/>
          <w:highlight w:val="none"/>
        </w:rPr>
        <w:t>的</w:t>
      </w:r>
      <w:r>
        <w:rPr>
          <w:rFonts w:hint="eastAsia" w:ascii="宋体" w:hAnsi="宋体" w:cs="宋体"/>
          <w:color w:val="auto"/>
          <w:sz w:val="24"/>
          <w:highlight w:val="none"/>
          <w:u w:val="single"/>
          <w:lang w:eastAsia="zh-CN"/>
        </w:rPr>
        <w:t>盐城市公安局盐都分局国省道科技提升项目</w:t>
      </w:r>
      <w:r>
        <w:rPr>
          <w:rFonts w:hint="eastAsia" w:ascii="宋体" w:hAnsi="宋体" w:cs="宋体"/>
          <w:color w:val="auto"/>
          <w:sz w:val="24"/>
          <w:highlight w:val="none"/>
        </w:rPr>
        <w:t>采购活动，工程的施工单位全部为符合政策要求的中小企业。相关企业（含联合体中的中小企业、签订分包意向协议的中小企业）的具体情况如下：</w:t>
      </w:r>
    </w:p>
    <w:p w14:paraId="57C04F7A">
      <w:pPr>
        <w:spacing w:line="600" w:lineRule="exact"/>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i/>
          <w:iCs/>
          <w:color w:val="auto"/>
          <w:sz w:val="24"/>
          <w:highlight w:val="none"/>
          <w:u w:val="single"/>
        </w:rPr>
        <w:t xml:space="preserve">（标的名称） </w:t>
      </w:r>
      <w:r>
        <w:rPr>
          <w:rFonts w:hint="eastAsia" w:ascii="宋体" w:hAnsi="宋体" w:cs="宋体"/>
          <w:color w:val="auto"/>
          <w:sz w:val="24"/>
          <w:highlight w:val="none"/>
        </w:rPr>
        <w:t>，属于</w:t>
      </w:r>
      <w:r>
        <w:rPr>
          <w:rFonts w:hint="eastAsia" w:ascii="宋体" w:hAnsi="宋体" w:cs="宋体"/>
          <w:i/>
          <w:iCs/>
          <w:color w:val="auto"/>
          <w:sz w:val="24"/>
          <w:highlight w:val="none"/>
          <w:u w:val="single"/>
        </w:rPr>
        <w:t>（采购文件中明确的所属行业）</w:t>
      </w:r>
      <w:r>
        <w:rPr>
          <w:rFonts w:hint="eastAsia" w:ascii="宋体" w:hAnsi="宋体" w:cs="宋体"/>
          <w:color w:val="auto"/>
          <w:sz w:val="24"/>
          <w:highlight w:val="none"/>
        </w:rPr>
        <w:t>行业；承接企业为</w:t>
      </w:r>
      <w:r>
        <w:rPr>
          <w:rFonts w:hint="eastAsia" w:ascii="宋体" w:hAnsi="宋体" w:cs="宋体"/>
          <w:i/>
          <w:iCs/>
          <w:color w:val="auto"/>
          <w:sz w:val="24"/>
          <w:highlight w:val="none"/>
          <w:u w:val="single"/>
        </w:rPr>
        <w:t>（企业名称）</w:t>
      </w:r>
      <w:r>
        <w:rPr>
          <w:rFonts w:hint="eastAsia" w:ascii="宋体" w:hAnsi="宋体" w:cs="宋体"/>
          <w:color w:val="auto"/>
          <w:sz w:val="24"/>
          <w:highlight w:val="none"/>
        </w:rPr>
        <w:t>，从业人员</w:t>
      </w:r>
      <w:r>
        <w:rPr>
          <w:rFonts w:hint="eastAsia" w:ascii="宋体" w:hAnsi="宋体" w:cs="宋体"/>
          <w:i/>
          <w:iCs/>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i/>
          <w:iCs/>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i/>
          <w:iCs/>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i/>
          <w:iCs/>
          <w:color w:val="auto"/>
          <w:sz w:val="24"/>
          <w:highlight w:val="none"/>
          <w:u w:val="single"/>
        </w:rPr>
        <w:t>（中型企业、小型企业、微型企业）</w:t>
      </w:r>
      <w:r>
        <w:rPr>
          <w:rFonts w:hint="eastAsia" w:ascii="宋体" w:hAnsi="宋体" w:cs="宋体"/>
          <w:color w:val="auto"/>
          <w:sz w:val="24"/>
          <w:highlight w:val="none"/>
        </w:rPr>
        <w:t>；</w:t>
      </w:r>
    </w:p>
    <w:p w14:paraId="1A76BAE1">
      <w:pPr>
        <w:numPr>
          <w:ilvl w:val="0"/>
          <w:numId w:val="3"/>
        </w:numPr>
        <w:spacing w:line="600" w:lineRule="exact"/>
        <w:ind w:firstLine="480"/>
        <w:rPr>
          <w:rFonts w:ascii="宋体" w:hAnsi="宋体" w:cs="宋体"/>
          <w:color w:val="auto"/>
          <w:sz w:val="24"/>
          <w:highlight w:val="none"/>
        </w:rPr>
      </w:pPr>
      <w:r>
        <w:rPr>
          <w:rFonts w:hint="eastAsia" w:ascii="宋体" w:hAnsi="宋体" w:cs="宋体"/>
          <w:i/>
          <w:iCs/>
          <w:color w:val="auto"/>
          <w:sz w:val="24"/>
          <w:highlight w:val="none"/>
          <w:u w:val="single"/>
        </w:rPr>
        <w:t xml:space="preserve">（标的名称） </w:t>
      </w:r>
      <w:r>
        <w:rPr>
          <w:rFonts w:hint="eastAsia" w:ascii="宋体" w:hAnsi="宋体" w:cs="宋体"/>
          <w:color w:val="auto"/>
          <w:sz w:val="24"/>
          <w:highlight w:val="none"/>
        </w:rPr>
        <w:t>，属于</w:t>
      </w:r>
      <w:r>
        <w:rPr>
          <w:rFonts w:hint="eastAsia" w:ascii="宋体" w:hAnsi="宋体" w:cs="宋体"/>
          <w:i/>
          <w:iCs/>
          <w:color w:val="auto"/>
          <w:sz w:val="24"/>
          <w:highlight w:val="none"/>
          <w:u w:val="single"/>
        </w:rPr>
        <w:t>（采购文件中明确的所属行业）</w:t>
      </w:r>
      <w:r>
        <w:rPr>
          <w:rFonts w:hint="eastAsia" w:ascii="宋体" w:hAnsi="宋体" w:cs="宋体"/>
          <w:color w:val="auto"/>
          <w:sz w:val="24"/>
          <w:highlight w:val="none"/>
        </w:rPr>
        <w:t>行业；承接企业为</w:t>
      </w:r>
      <w:r>
        <w:rPr>
          <w:rFonts w:hint="eastAsia" w:ascii="宋体" w:hAnsi="宋体" w:cs="宋体"/>
          <w:i/>
          <w:iCs/>
          <w:color w:val="auto"/>
          <w:sz w:val="24"/>
          <w:highlight w:val="none"/>
          <w:u w:val="single"/>
        </w:rPr>
        <w:t>（企业名称）</w:t>
      </w:r>
      <w:r>
        <w:rPr>
          <w:rFonts w:hint="eastAsia" w:ascii="宋体" w:hAnsi="宋体" w:cs="宋体"/>
          <w:color w:val="auto"/>
          <w:sz w:val="24"/>
          <w:highlight w:val="none"/>
        </w:rPr>
        <w:t>，从业人员</w:t>
      </w:r>
      <w:r>
        <w:rPr>
          <w:rFonts w:hint="eastAsia" w:ascii="宋体" w:hAnsi="宋体" w:cs="宋体"/>
          <w:i/>
          <w:iCs/>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i/>
          <w:iCs/>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i/>
          <w:iCs/>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i/>
          <w:iCs/>
          <w:color w:val="auto"/>
          <w:sz w:val="24"/>
          <w:highlight w:val="none"/>
          <w:u w:val="single"/>
        </w:rPr>
        <w:t>（中型企业、小型企业、微型企业）</w:t>
      </w:r>
      <w:r>
        <w:rPr>
          <w:rFonts w:hint="eastAsia" w:ascii="宋体" w:hAnsi="宋体" w:cs="宋体"/>
          <w:color w:val="auto"/>
          <w:sz w:val="24"/>
          <w:highlight w:val="none"/>
        </w:rPr>
        <w:t>；</w:t>
      </w:r>
    </w:p>
    <w:p w14:paraId="40ED24AE">
      <w:pPr>
        <w:spacing w:line="600" w:lineRule="exact"/>
        <w:ind w:firstLine="480"/>
        <w:rPr>
          <w:rFonts w:ascii="宋体" w:hAnsi="宋体" w:cs="宋体"/>
          <w:color w:val="auto"/>
          <w:sz w:val="24"/>
          <w:highlight w:val="none"/>
        </w:rPr>
      </w:pPr>
      <w:r>
        <w:rPr>
          <w:rFonts w:hint="eastAsia" w:ascii="宋体" w:hAnsi="宋体" w:cs="宋体"/>
          <w:color w:val="auto"/>
          <w:sz w:val="24"/>
          <w:highlight w:val="none"/>
        </w:rPr>
        <w:t>……</w:t>
      </w:r>
    </w:p>
    <w:p w14:paraId="0553A31E">
      <w:pPr>
        <w:spacing w:line="600" w:lineRule="exact"/>
        <w:ind w:firstLine="480"/>
        <w:rPr>
          <w:rFonts w:ascii="宋体" w:hAnsi="宋体" w:cs="宋体"/>
          <w:color w:val="auto"/>
          <w:sz w:val="24"/>
          <w:highlight w:val="none"/>
        </w:rPr>
      </w:pPr>
      <w:r>
        <w:rPr>
          <w:rFonts w:hint="eastAsia" w:ascii="宋体" w:hAnsi="宋体" w:cs="宋体"/>
          <w:color w:val="auto"/>
          <w:sz w:val="24"/>
          <w:highlight w:val="none"/>
        </w:rPr>
        <w:t>以上企业，不属于大企业的分支机构，不存在控股股东为大企业的情形，也不存在与大企业的负责人为同一人的情形。</w:t>
      </w:r>
    </w:p>
    <w:p w14:paraId="34968F28">
      <w:pPr>
        <w:spacing w:line="600" w:lineRule="exact"/>
        <w:ind w:firstLine="480"/>
        <w:rPr>
          <w:rFonts w:ascii="宋体" w:hAnsi="宋体" w:cs="宋体"/>
          <w:color w:val="auto"/>
          <w:sz w:val="24"/>
          <w:highlight w:val="none"/>
        </w:rPr>
      </w:pPr>
      <w:r>
        <w:rPr>
          <w:rFonts w:hint="eastAsia" w:ascii="宋体" w:hAnsi="宋体" w:cs="宋体"/>
          <w:color w:val="auto"/>
          <w:sz w:val="24"/>
          <w:highlight w:val="none"/>
        </w:rPr>
        <w:t>本企业对上述声明内容的真实性负责。如有虚假，将依法承担相应责任。</w:t>
      </w:r>
    </w:p>
    <w:p w14:paraId="199DBEED">
      <w:pPr>
        <w:spacing w:line="600" w:lineRule="exact"/>
        <w:ind w:firstLine="4080"/>
        <w:rPr>
          <w:rFonts w:ascii="宋体" w:hAnsi="宋体" w:cs="宋体"/>
          <w:color w:val="auto"/>
          <w:sz w:val="24"/>
          <w:highlight w:val="none"/>
        </w:rPr>
      </w:pPr>
      <w:r>
        <w:rPr>
          <w:rFonts w:hint="eastAsia" w:ascii="宋体" w:hAnsi="宋体" w:cs="宋体"/>
          <w:color w:val="auto"/>
          <w:sz w:val="24"/>
          <w:highlight w:val="none"/>
        </w:rPr>
        <w:t>企业名称（</w:t>
      </w:r>
      <w:r>
        <w:rPr>
          <w:rFonts w:hint="eastAsia" w:ascii="宋体" w:hAnsi="宋体" w:cs="宋体"/>
          <w:color w:val="auto"/>
          <w:highlight w:val="none"/>
        </w:rPr>
        <w:t>加盖CA电子公章</w:t>
      </w:r>
      <w:r>
        <w:rPr>
          <w:rFonts w:hint="eastAsia" w:ascii="宋体" w:hAnsi="宋体" w:cs="宋体"/>
          <w:color w:val="auto"/>
          <w:sz w:val="24"/>
          <w:highlight w:val="none"/>
        </w:rPr>
        <w:t>）：</w:t>
      </w:r>
    </w:p>
    <w:p w14:paraId="7042F09E">
      <w:pPr>
        <w:spacing w:line="600" w:lineRule="exact"/>
        <w:ind w:firstLine="4080"/>
        <w:rPr>
          <w:rFonts w:ascii="宋体" w:hAnsi="宋体" w:cs="宋体"/>
          <w:color w:val="auto"/>
          <w:sz w:val="24"/>
          <w:highlight w:val="none"/>
        </w:rPr>
      </w:pPr>
      <w:r>
        <w:rPr>
          <w:rFonts w:hint="eastAsia" w:ascii="宋体" w:hAnsi="宋体" w:cs="宋体"/>
          <w:color w:val="auto"/>
          <w:sz w:val="24"/>
          <w:highlight w:val="none"/>
        </w:rPr>
        <w:t>日期：</w:t>
      </w:r>
    </w:p>
    <w:p w14:paraId="0F476CCF">
      <w:pPr>
        <w:spacing w:line="0" w:lineRule="atLeast"/>
        <w:ind w:firstLine="480"/>
        <w:rPr>
          <w:rFonts w:ascii="Calibri" w:hAnsi="Calibri"/>
          <w:color w:val="auto"/>
          <w:sz w:val="24"/>
          <w:highlight w:val="none"/>
        </w:rPr>
      </w:pPr>
      <w:r>
        <w:rPr>
          <w:rFonts w:hint="eastAsia" w:ascii="宋体" w:hAnsi="宋体" w:cs="宋体"/>
          <w:color w:val="auto"/>
          <w:sz w:val="24"/>
          <w:highlight w:val="none"/>
        </w:rPr>
        <w:t>备注1：从业人员、营业收入、资产总额填报上一年度数据，无上一年度数据的新成立企业可不填报。</w:t>
      </w:r>
    </w:p>
    <w:p w14:paraId="67225C44">
      <w:pPr>
        <w:spacing w:line="0" w:lineRule="atLeast"/>
        <w:ind w:firstLine="480"/>
        <w:rPr>
          <w:rFonts w:ascii="Calibri" w:hAnsi="Calibri"/>
          <w:color w:val="auto"/>
          <w:sz w:val="24"/>
          <w:highlight w:val="none"/>
        </w:rPr>
      </w:pPr>
      <w:r>
        <w:rPr>
          <w:rFonts w:hint="eastAsia" w:ascii="宋体" w:hAnsi="宋体" w:cs="宋体"/>
          <w:color w:val="auto"/>
          <w:sz w:val="24"/>
          <w:highlight w:val="none"/>
        </w:rPr>
        <w:t>备注2：供应商如不提供此声明函，价格将不做相应扣除（如项目全面面向中小企业，则资格审查不通过）。</w:t>
      </w:r>
    </w:p>
    <w:p w14:paraId="1D9949D1">
      <w:pPr>
        <w:spacing w:line="560" w:lineRule="exact"/>
        <w:jc w:val="center"/>
        <w:rPr>
          <w:rFonts w:ascii="宋体" w:hAnsi="宋体" w:cs="宋体"/>
          <w:b/>
          <w:bCs/>
          <w:color w:val="auto"/>
          <w:sz w:val="24"/>
          <w:highlight w:val="none"/>
        </w:rPr>
      </w:pPr>
    </w:p>
    <w:p w14:paraId="332FFE1B">
      <w:pPr>
        <w:rPr>
          <w:rFonts w:ascii="宋体" w:hAnsi="宋体" w:cs="宋体"/>
          <w:b/>
          <w:bCs/>
          <w:color w:val="auto"/>
          <w:sz w:val="24"/>
          <w:highlight w:val="none"/>
        </w:rPr>
      </w:pPr>
      <w:r>
        <w:rPr>
          <w:rFonts w:hint="eastAsia" w:ascii="宋体" w:hAnsi="宋体" w:cs="宋体"/>
          <w:b/>
          <w:bCs/>
          <w:color w:val="auto"/>
          <w:sz w:val="24"/>
          <w:highlight w:val="none"/>
        </w:rPr>
        <w:br w:type="page" w:clear="all"/>
      </w:r>
    </w:p>
    <w:p w14:paraId="48EE8782">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十、残疾人福利性单位声明函</w:t>
      </w:r>
    </w:p>
    <w:p w14:paraId="318EFE7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项目采购活动由本单位提供服务。</w:t>
      </w:r>
    </w:p>
    <w:p w14:paraId="1B242C8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本单位对上述声明的真实性负责。如有虚假，将依法承担相应责任。</w:t>
      </w:r>
    </w:p>
    <w:p w14:paraId="5AD8178A">
      <w:pPr>
        <w:spacing w:line="360" w:lineRule="auto"/>
        <w:ind w:firstLine="480"/>
        <w:rPr>
          <w:rFonts w:ascii="宋体" w:hAnsi="宋体" w:cs="宋体"/>
          <w:color w:val="auto"/>
          <w:sz w:val="24"/>
          <w:highlight w:val="none"/>
        </w:rPr>
      </w:pPr>
    </w:p>
    <w:p w14:paraId="56C3C16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（备注：中标供应商为残疾人福利单位的，此声明函将随中标结果同时公告，接受社会监督）</w:t>
      </w:r>
    </w:p>
    <w:p w14:paraId="46FCFBC0">
      <w:pPr>
        <w:spacing w:line="360" w:lineRule="auto"/>
        <w:ind w:firstLine="624"/>
        <w:rPr>
          <w:rFonts w:ascii="宋体" w:hAnsi="宋体" w:cs="宋体"/>
          <w:color w:val="auto"/>
          <w:spacing w:val="6"/>
          <w:sz w:val="24"/>
          <w:highlight w:val="none"/>
        </w:rPr>
      </w:pPr>
    </w:p>
    <w:p w14:paraId="25A8AEEB">
      <w:pPr>
        <w:tabs>
          <w:tab w:val="left" w:pos="4860"/>
        </w:tabs>
        <w:spacing w:line="360" w:lineRule="auto"/>
        <w:ind w:right="1560" w:firstLine="624"/>
        <w:jc w:val="center"/>
        <w:rPr>
          <w:rFonts w:ascii="宋体" w:hAnsi="宋体" w:cs="宋体"/>
          <w:color w:val="auto"/>
          <w:sz w:val="24"/>
          <w:highlight w:val="none"/>
        </w:rPr>
      </w:pPr>
      <w:r>
        <w:rPr>
          <w:rFonts w:hint="eastAsia" w:ascii="宋体" w:hAnsi="宋体" w:cs="宋体"/>
          <w:color w:val="auto"/>
          <w:spacing w:val="6"/>
          <w:sz w:val="24"/>
          <w:highlight w:val="none"/>
        </w:rPr>
        <w:t xml:space="preserve">             </w:t>
      </w:r>
      <w:r>
        <w:rPr>
          <w:rFonts w:hint="eastAsia" w:ascii="宋体" w:hAnsi="宋体" w:cs="宋体"/>
          <w:color w:val="auto"/>
          <w:sz w:val="24"/>
          <w:highlight w:val="none"/>
        </w:rPr>
        <w:t xml:space="preserve">          供应商全称（加盖CA电子公章）：</w:t>
      </w:r>
    </w:p>
    <w:p w14:paraId="53E7993A">
      <w:pPr>
        <w:tabs>
          <w:tab w:val="left" w:pos="4860"/>
        </w:tabs>
        <w:spacing w:line="360" w:lineRule="auto"/>
        <w:ind w:right="1560" w:firstLine="480"/>
        <w:jc w:val="center"/>
        <w:rPr>
          <w:rFonts w:ascii="宋体" w:hAnsi="宋体" w:cs="宋体"/>
          <w:color w:val="auto"/>
          <w:sz w:val="24"/>
          <w:highlight w:val="none"/>
        </w:rPr>
      </w:pPr>
      <w:r>
        <w:rPr>
          <w:rFonts w:hint="eastAsia" w:ascii="宋体" w:hAnsi="宋体" w:cs="宋体"/>
          <w:color w:val="auto"/>
          <w:sz w:val="24"/>
          <w:highlight w:val="none"/>
        </w:rPr>
        <w:t xml:space="preserve">        日  期：</w:t>
      </w:r>
    </w:p>
    <w:p w14:paraId="6DC38106">
      <w:pPr>
        <w:spacing w:line="360" w:lineRule="auto"/>
        <w:jc w:val="center"/>
        <w:rPr>
          <w:rFonts w:ascii="宋体" w:hAnsi="宋体" w:cs="宋体"/>
          <w:b/>
          <w:color w:val="auto"/>
          <w:sz w:val="24"/>
          <w:highlight w:val="none"/>
        </w:rPr>
      </w:pPr>
    </w:p>
    <w:p w14:paraId="48F8C2C9">
      <w:pPr>
        <w:spacing w:line="360" w:lineRule="auto"/>
        <w:jc w:val="center"/>
        <w:rPr>
          <w:rFonts w:ascii="宋体" w:hAnsi="宋体" w:cs="宋体"/>
          <w:b/>
          <w:color w:val="auto"/>
          <w:sz w:val="24"/>
          <w:highlight w:val="none"/>
        </w:rPr>
      </w:pPr>
    </w:p>
    <w:p w14:paraId="6D947256">
      <w:pPr>
        <w:spacing w:line="360" w:lineRule="auto"/>
        <w:jc w:val="center"/>
        <w:rPr>
          <w:rFonts w:ascii="宋体" w:hAnsi="宋体" w:cs="宋体"/>
          <w:b/>
          <w:color w:val="auto"/>
          <w:sz w:val="24"/>
          <w:highlight w:val="none"/>
        </w:rPr>
      </w:pPr>
    </w:p>
    <w:p w14:paraId="3C396014">
      <w:pPr>
        <w:spacing w:line="360" w:lineRule="auto"/>
        <w:jc w:val="center"/>
        <w:rPr>
          <w:rFonts w:ascii="宋体" w:hAnsi="宋体" w:cs="宋体"/>
          <w:b/>
          <w:color w:val="auto"/>
          <w:sz w:val="24"/>
          <w:highlight w:val="none"/>
        </w:rPr>
      </w:pPr>
    </w:p>
    <w:p w14:paraId="13602FFD">
      <w:pPr>
        <w:spacing w:line="360" w:lineRule="auto"/>
        <w:jc w:val="center"/>
        <w:rPr>
          <w:rFonts w:ascii="宋体" w:hAnsi="宋体" w:cs="宋体"/>
          <w:b/>
          <w:color w:val="auto"/>
          <w:sz w:val="24"/>
          <w:highlight w:val="none"/>
        </w:rPr>
      </w:pPr>
    </w:p>
    <w:p w14:paraId="4C40FD4D">
      <w:pPr>
        <w:spacing w:line="360" w:lineRule="auto"/>
        <w:jc w:val="center"/>
        <w:rPr>
          <w:rFonts w:ascii="宋体" w:hAnsi="宋体" w:cs="宋体"/>
          <w:b/>
          <w:color w:val="auto"/>
          <w:sz w:val="24"/>
          <w:highlight w:val="none"/>
        </w:rPr>
      </w:pPr>
    </w:p>
    <w:p w14:paraId="5F4E84FF">
      <w:pPr>
        <w:spacing w:line="360" w:lineRule="auto"/>
        <w:jc w:val="center"/>
        <w:rPr>
          <w:rFonts w:ascii="宋体" w:hAnsi="宋体" w:cs="宋体"/>
          <w:b/>
          <w:color w:val="auto"/>
          <w:sz w:val="24"/>
          <w:highlight w:val="none"/>
        </w:rPr>
      </w:pPr>
    </w:p>
    <w:p w14:paraId="652AEF39">
      <w:pPr>
        <w:spacing w:line="360" w:lineRule="auto"/>
        <w:jc w:val="center"/>
        <w:rPr>
          <w:rFonts w:ascii="宋体" w:hAnsi="宋体" w:cs="宋体"/>
          <w:b/>
          <w:color w:val="auto"/>
          <w:sz w:val="24"/>
          <w:highlight w:val="none"/>
        </w:rPr>
      </w:pPr>
    </w:p>
    <w:p w14:paraId="2B14908C">
      <w:pPr>
        <w:spacing w:line="360" w:lineRule="auto"/>
        <w:jc w:val="center"/>
        <w:rPr>
          <w:rFonts w:ascii="宋体" w:hAnsi="宋体" w:cs="宋体"/>
          <w:b/>
          <w:color w:val="auto"/>
          <w:sz w:val="24"/>
          <w:highlight w:val="none"/>
        </w:rPr>
      </w:pPr>
    </w:p>
    <w:p w14:paraId="688FC02D">
      <w:pPr>
        <w:widowControl/>
        <w:spacing w:line="360" w:lineRule="auto"/>
        <w:jc w:val="left"/>
        <w:rPr>
          <w:rFonts w:ascii="宋体" w:hAnsi="宋体" w:cs="宋体"/>
          <w:b/>
          <w:color w:val="auto"/>
          <w:sz w:val="24"/>
          <w:highlight w:val="none"/>
        </w:rPr>
        <w:sectPr>
          <w:pgSz w:w="11906" w:h="16838"/>
          <w:pgMar w:top="1015" w:right="1196" w:bottom="868" w:left="1259" w:header="851" w:footer="907" w:gutter="0"/>
          <w:pgBorders>
            <w:top w:val="none" w:sz="0" w:space="0"/>
            <w:left w:val="none" w:sz="0" w:space="0"/>
            <w:bottom w:val="none" w:sz="0" w:space="0"/>
            <w:right w:val="none" w:sz="0" w:space="0"/>
          </w:pgBorders>
          <w:pgNumType w:fmt="decimal"/>
          <w:cols w:space="720" w:num="1"/>
          <w:docGrid w:linePitch="360" w:charSpace="0"/>
        </w:sectPr>
      </w:pPr>
    </w:p>
    <w:p w14:paraId="1D67CF61">
      <w:pPr>
        <w:spacing w:line="360" w:lineRule="auto"/>
        <w:jc w:val="center"/>
        <w:rPr>
          <w:rFonts w:hint="eastAsia" w:ascii="宋体" w:hAnsi="宋体" w:cs="宋体"/>
          <w:b/>
          <w:bCs/>
          <w:i/>
          <w:iCs/>
          <w:color w:val="auto"/>
          <w:sz w:val="24"/>
          <w:highlight w:val="none"/>
          <w:u w:val="single"/>
        </w:rPr>
      </w:pPr>
      <w:r>
        <w:rPr>
          <w:rFonts w:hint="eastAsia" w:ascii="宋体" w:hAnsi="宋体" w:cs="宋体"/>
          <w:b/>
          <w:bCs/>
          <w:i/>
          <w:iCs/>
          <w:color w:val="auto"/>
          <w:sz w:val="24"/>
          <w:highlight w:val="none"/>
          <w:u w:val="single"/>
        </w:rPr>
        <w:t>十一、磋商报价表</w:t>
      </w:r>
    </w:p>
    <w:p w14:paraId="42E9A082">
      <w:pPr>
        <w:spacing w:line="276" w:lineRule="auto"/>
        <w:ind w:firstLine="482"/>
        <w:rPr>
          <w:rFonts w:ascii="宋体" w:hAnsi="宋体" w:cs="宋体"/>
          <w:b/>
          <w:color w:val="auto"/>
          <w:sz w:val="22"/>
          <w:szCs w:val="22"/>
          <w:highlight w:val="none"/>
        </w:rPr>
      </w:pPr>
      <w:r>
        <w:rPr>
          <w:rFonts w:hint="eastAsia" w:ascii="宋体" w:hAnsi="宋体" w:cs="宋体"/>
          <w:b/>
          <w:color w:val="auto"/>
          <w:sz w:val="22"/>
          <w:szCs w:val="22"/>
          <w:highlight w:val="none"/>
        </w:rPr>
        <w:t>货币单位：人民币元</w:t>
      </w:r>
    </w:p>
    <w:p w14:paraId="22A3CD51">
      <w:pPr>
        <w:spacing w:line="276" w:lineRule="auto"/>
        <w:ind w:firstLine="482"/>
        <w:rPr>
          <w:rFonts w:hint="eastAsia" w:ascii="宋体" w:hAnsi="宋体" w:eastAsia="宋体" w:cs="宋体"/>
          <w:b/>
          <w:color w:val="auto"/>
          <w:sz w:val="22"/>
          <w:szCs w:val="22"/>
          <w:highlight w:val="none"/>
          <w:lang w:eastAsia="zh-CN"/>
        </w:rPr>
      </w:pPr>
      <w:r>
        <w:rPr>
          <w:rFonts w:hint="eastAsia" w:ascii="宋体" w:hAnsi="宋体" w:cs="宋体"/>
          <w:b/>
          <w:color w:val="auto"/>
          <w:sz w:val="22"/>
          <w:szCs w:val="22"/>
          <w:highlight w:val="none"/>
        </w:rPr>
        <w:t>项目编号：JSZC-320903-JCJS-C2026-0006</w:t>
      </w:r>
    </w:p>
    <w:p w14:paraId="45316C08">
      <w:pPr>
        <w:spacing w:line="276" w:lineRule="auto"/>
        <w:ind w:firstLine="482"/>
        <w:rPr>
          <w:rFonts w:ascii="宋体" w:hAnsi="宋体" w:cs="宋体"/>
          <w:b/>
          <w:color w:val="auto"/>
          <w:sz w:val="22"/>
          <w:szCs w:val="22"/>
          <w:highlight w:val="none"/>
        </w:rPr>
      </w:pPr>
    </w:p>
    <w:tbl>
      <w:tblPr>
        <w:tblStyle w:val="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080"/>
        <w:gridCol w:w="2228"/>
        <w:gridCol w:w="3154"/>
      </w:tblGrid>
      <w:tr w14:paraId="478F4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6" w:hRule="atLeast"/>
        </w:trPr>
        <w:tc>
          <w:tcPr>
            <w:tcW w:w="4080" w:type="dxa"/>
            <w:tcBorders>
              <w:top w:val="single" w:color="000000" w:sz="4" w:space="0"/>
              <w:left w:val="single" w:color="000000" w:sz="4" w:space="0"/>
              <w:bottom w:val="single" w:color="000000" w:sz="4" w:space="0"/>
              <w:right w:val="single" w:color="000000" w:sz="4" w:space="0"/>
            </w:tcBorders>
            <w:noWrap w:val="0"/>
            <w:vAlign w:val="center"/>
          </w:tcPr>
          <w:p w14:paraId="17203977">
            <w:pPr>
              <w:jc w:val="center"/>
              <w:rPr>
                <w:rFonts w:ascii="宋体" w:hAnsi="宋体" w:cs="宋体"/>
                <w:b/>
                <w:color w:val="auto"/>
                <w:sz w:val="24"/>
                <w:szCs w:val="22"/>
                <w:highlight w:val="none"/>
                <w:lang w:eastAsia="en-US"/>
              </w:rPr>
            </w:pPr>
            <w:r>
              <w:rPr>
                <w:rFonts w:hint="eastAsia" w:ascii="宋体" w:hAnsi="宋体" w:cs="宋体"/>
                <w:b/>
                <w:color w:val="auto"/>
                <w:sz w:val="24"/>
                <w:szCs w:val="22"/>
                <w:highlight w:val="none"/>
                <w:lang w:eastAsia="en-US"/>
              </w:rPr>
              <w:t>项目名称</w:t>
            </w:r>
          </w:p>
        </w:tc>
        <w:tc>
          <w:tcPr>
            <w:tcW w:w="2228" w:type="dxa"/>
            <w:tcBorders>
              <w:top w:val="single" w:color="000000" w:sz="4" w:space="0"/>
              <w:left w:val="single" w:color="000000" w:sz="4" w:space="0"/>
              <w:bottom w:val="single" w:color="000000" w:sz="4" w:space="0"/>
              <w:right w:val="single" w:color="000000" w:sz="4" w:space="0"/>
            </w:tcBorders>
            <w:noWrap w:val="0"/>
            <w:vAlign w:val="center"/>
          </w:tcPr>
          <w:p w14:paraId="6BF0EBEF">
            <w:pPr>
              <w:jc w:val="center"/>
              <w:rPr>
                <w:rFonts w:ascii="宋体" w:hAnsi="宋体" w:cs="宋体"/>
                <w:b/>
                <w:color w:val="auto"/>
                <w:sz w:val="24"/>
                <w:szCs w:val="22"/>
                <w:highlight w:val="none"/>
                <w:lang w:eastAsia="en-US"/>
              </w:rPr>
            </w:pPr>
            <w:r>
              <w:rPr>
                <w:rFonts w:hint="eastAsia" w:ascii="宋体" w:hAnsi="宋体" w:cs="宋体"/>
                <w:b/>
                <w:color w:val="auto"/>
                <w:sz w:val="24"/>
                <w:szCs w:val="22"/>
                <w:highlight w:val="none"/>
                <w:lang w:eastAsia="en-US"/>
              </w:rPr>
              <w:t>项目内容</w:t>
            </w:r>
          </w:p>
        </w:tc>
        <w:tc>
          <w:tcPr>
            <w:tcW w:w="3154" w:type="dxa"/>
            <w:tcBorders>
              <w:top w:val="single" w:color="000000" w:sz="4" w:space="0"/>
              <w:left w:val="single" w:color="000000" w:sz="4" w:space="0"/>
              <w:bottom w:val="single" w:color="000000" w:sz="4" w:space="0"/>
              <w:right w:val="single" w:color="000000" w:sz="4" w:space="0"/>
            </w:tcBorders>
            <w:noWrap w:val="0"/>
            <w:vAlign w:val="center"/>
          </w:tcPr>
          <w:p w14:paraId="2CD6AE7C">
            <w:pPr>
              <w:jc w:val="center"/>
              <w:rPr>
                <w:rFonts w:ascii="宋体" w:hAnsi="宋体" w:cs="宋体"/>
                <w:b/>
                <w:color w:val="auto"/>
                <w:sz w:val="24"/>
                <w:szCs w:val="22"/>
                <w:highlight w:val="none"/>
                <w:lang w:eastAsia="en-US"/>
              </w:rPr>
            </w:pPr>
            <w:r>
              <w:rPr>
                <w:rFonts w:hint="eastAsia" w:ascii="宋体" w:hAnsi="宋体" w:cs="宋体"/>
                <w:b/>
                <w:color w:val="auto"/>
                <w:sz w:val="24"/>
                <w:szCs w:val="22"/>
                <w:highlight w:val="none"/>
                <w:lang w:eastAsia="en-US"/>
              </w:rPr>
              <w:t>总价（小写）</w:t>
            </w:r>
          </w:p>
        </w:tc>
      </w:tr>
      <w:tr w14:paraId="6DCD3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4" w:hRule="atLeast"/>
        </w:trPr>
        <w:tc>
          <w:tcPr>
            <w:tcW w:w="4080" w:type="dxa"/>
            <w:tcBorders>
              <w:top w:val="single" w:color="000000" w:sz="4" w:space="0"/>
              <w:left w:val="single" w:color="000000" w:sz="4" w:space="0"/>
              <w:bottom w:val="single" w:color="000000" w:sz="4" w:space="0"/>
              <w:right w:val="single" w:color="000000" w:sz="4" w:space="0"/>
            </w:tcBorders>
            <w:noWrap w:val="0"/>
            <w:vAlign w:val="center"/>
          </w:tcPr>
          <w:p w14:paraId="2B9E57FF">
            <w:pPr>
              <w:jc w:val="center"/>
              <w:rPr>
                <w:rFonts w:hint="eastAsia" w:ascii="宋体" w:hAnsi="宋体" w:eastAsia="宋体" w:cs="宋体"/>
                <w:color w:val="auto"/>
                <w:sz w:val="24"/>
                <w:szCs w:val="22"/>
                <w:highlight w:val="none"/>
                <w:lang w:eastAsia="zh-CN"/>
              </w:rPr>
            </w:pPr>
            <w:r>
              <w:rPr>
                <w:rFonts w:hint="eastAsia" w:ascii="宋体" w:hAnsi="宋体" w:cs="宋体"/>
                <w:color w:val="auto"/>
                <w:sz w:val="24"/>
                <w:szCs w:val="22"/>
                <w:highlight w:val="none"/>
                <w:lang w:eastAsia="zh-CN"/>
              </w:rPr>
              <w:t>盐城市公安局盐都分局国省道科技提升项目</w:t>
            </w:r>
          </w:p>
        </w:tc>
        <w:tc>
          <w:tcPr>
            <w:tcW w:w="2228" w:type="dxa"/>
            <w:tcBorders>
              <w:top w:val="single" w:color="000000" w:sz="4" w:space="0"/>
              <w:left w:val="single" w:color="000000" w:sz="4" w:space="0"/>
              <w:bottom w:val="single" w:color="000000" w:sz="4" w:space="0"/>
              <w:right w:val="single" w:color="000000" w:sz="4" w:space="0"/>
            </w:tcBorders>
            <w:noWrap w:val="0"/>
            <w:vAlign w:val="center"/>
          </w:tcPr>
          <w:p w14:paraId="5D958355">
            <w:pPr>
              <w:jc w:val="center"/>
              <w:rPr>
                <w:rFonts w:ascii="宋体" w:hAnsi="宋体" w:cs="宋体"/>
                <w:color w:val="auto"/>
                <w:sz w:val="24"/>
                <w:szCs w:val="22"/>
                <w:highlight w:val="none"/>
                <w:lang w:eastAsia="en-US"/>
              </w:rPr>
            </w:pPr>
            <w:r>
              <w:rPr>
                <w:rFonts w:hint="eastAsia" w:ascii="宋体" w:hAnsi="宋体" w:cs="宋体"/>
                <w:color w:val="auto"/>
                <w:sz w:val="24"/>
                <w:szCs w:val="22"/>
                <w:highlight w:val="none"/>
                <w:lang w:eastAsia="en-US"/>
              </w:rPr>
              <w:t>详见</w:t>
            </w:r>
            <w:r>
              <w:rPr>
                <w:rFonts w:hint="eastAsia" w:ascii="宋体" w:hAnsi="宋体" w:cs="宋体"/>
                <w:color w:val="auto"/>
                <w:sz w:val="24"/>
                <w:szCs w:val="22"/>
                <w:highlight w:val="none"/>
              </w:rPr>
              <w:t>响应</w:t>
            </w:r>
            <w:r>
              <w:rPr>
                <w:rFonts w:hint="eastAsia" w:ascii="宋体" w:hAnsi="宋体" w:cs="宋体"/>
                <w:color w:val="auto"/>
                <w:sz w:val="24"/>
                <w:szCs w:val="22"/>
                <w:highlight w:val="none"/>
                <w:lang w:eastAsia="en-US"/>
              </w:rPr>
              <w:t>文件</w:t>
            </w:r>
          </w:p>
        </w:tc>
        <w:tc>
          <w:tcPr>
            <w:tcW w:w="3154" w:type="dxa"/>
            <w:tcBorders>
              <w:top w:val="single" w:color="000000" w:sz="4" w:space="0"/>
              <w:left w:val="single" w:color="000000" w:sz="4" w:space="0"/>
              <w:bottom w:val="single" w:color="000000" w:sz="4" w:space="0"/>
              <w:right w:val="single" w:color="000000" w:sz="4" w:space="0"/>
            </w:tcBorders>
            <w:noWrap w:val="0"/>
            <w:vAlign w:val="center"/>
          </w:tcPr>
          <w:p w14:paraId="1FA6CE40">
            <w:pPr>
              <w:jc w:val="center"/>
              <w:rPr>
                <w:rFonts w:ascii="宋体" w:hAnsi="宋体" w:cs="宋体"/>
                <w:color w:val="auto"/>
                <w:sz w:val="24"/>
                <w:szCs w:val="22"/>
                <w:highlight w:val="none"/>
                <w:lang w:eastAsia="en-US"/>
              </w:rPr>
            </w:pPr>
            <w:r>
              <w:rPr>
                <w:rFonts w:hint="eastAsia" w:ascii="宋体" w:hAnsi="宋体" w:cs="宋体"/>
                <w:color w:val="auto"/>
                <w:sz w:val="24"/>
                <w:szCs w:val="22"/>
                <w:highlight w:val="none"/>
              </w:rPr>
              <w:t xml:space="preserve">           </w:t>
            </w:r>
            <w:r>
              <w:rPr>
                <w:rFonts w:hint="eastAsia" w:ascii="宋体" w:hAnsi="宋体" w:cs="宋体"/>
                <w:color w:val="auto"/>
                <w:sz w:val="24"/>
                <w:szCs w:val="22"/>
                <w:highlight w:val="none"/>
                <w:lang w:eastAsia="en-US"/>
              </w:rPr>
              <w:t>元</w:t>
            </w:r>
          </w:p>
        </w:tc>
      </w:tr>
      <w:tr w14:paraId="19C33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4" w:hRule="atLeast"/>
        </w:trPr>
        <w:tc>
          <w:tcPr>
            <w:tcW w:w="4080" w:type="dxa"/>
            <w:tcBorders>
              <w:top w:val="single" w:color="000000" w:sz="4" w:space="0"/>
              <w:left w:val="single" w:color="000000" w:sz="4" w:space="0"/>
              <w:bottom w:val="single" w:color="000000" w:sz="4" w:space="0"/>
              <w:right w:val="single" w:color="000000" w:sz="4" w:space="0"/>
            </w:tcBorders>
            <w:noWrap w:val="0"/>
            <w:vAlign w:val="center"/>
          </w:tcPr>
          <w:p w14:paraId="4779DD88">
            <w:pPr>
              <w:jc w:val="center"/>
              <w:rPr>
                <w:rFonts w:ascii="宋体" w:hAnsi="宋体" w:cs="宋体"/>
                <w:color w:val="auto"/>
                <w:sz w:val="24"/>
                <w:szCs w:val="22"/>
                <w:highlight w:val="none"/>
                <w:lang w:eastAsia="en-US"/>
              </w:rPr>
            </w:pPr>
            <w:r>
              <w:rPr>
                <w:rFonts w:hint="eastAsia" w:ascii="宋体" w:hAnsi="宋体" w:cs="宋体"/>
                <w:color w:val="auto"/>
                <w:sz w:val="24"/>
                <w:szCs w:val="22"/>
                <w:highlight w:val="none"/>
                <w:lang w:eastAsia="en-US"/>
              </w:rPr>
              <w:t>总价（大写）：</w:t>
            </w:r>
          </w:p>
        </w:tc>
        <w:tc>
          <w:tcPr>
            <w:tcW w:w="5382" w:type="dxa"/>
            <w:gridSpan w:val="2"/>
            <w:tcBorders>
              <w:top w:val="single" w:color="000000" w:sz="4" w:space="0"/>
              <w:left w:val="single" w:color="000000" w:sz="4" w:space="0"/>
              <w:bottom w:val="single" w:color="000000" w:sz="4" w:space="0"/>
              <w:right w:val="single" w:color="000000" w:sz="4" w:space="0"/>
            </w:tcBorders>
            <w:noWrap w:val="0"/>
            <w:vAlign w:val="center"/>
          </w:tcPr>
          <w:p w14:paraId="30C2C5E1">
            <w:pPr>
              <w:jc w:val="center"/>
              <w:rPr>
                <w:rFonts w:ascii="宋体" w:hAnsi="宋体" w:cs="宋体"/>
                <w:color w:val="auto"/>
                <w:sz w:val="24"/>
                <w:szCs w:val="22"/>
                <w:highlight w:val="none"/>
                <w:lang w:eastAsia="en-US"/>
              </w:rPr>
            </w:pPr>
          </w:p>
        </w:tc>
      </w:tr>
    </w:tbl>
    <w:p w14:paraId="07249D9C">
      <w:pPr>
        <w:spacing w:before="100" w:beforeAutospacing="1" w:after="100" w:afterAutospacing="1"/>
        <w:rPr>
          <w:rFonts w:ascii="宋体" w:hAnsi="宋体" w:cs="宋体"/>
          <w:color w:val="auto"/>
          <w:sz w:val="24"/>
          <w:highlight w:val="none"/>
        </w:rPr>
      </w:pPr>
      <w:r>
        <w:rPr>
          <w:rFonts w:hint="eastAsia" w:ascii="宋体" w:hAnsi="宋体" w:cs="宋体"/>
          <w:color w:val="auto"/>
          <w:sz w:val="24"/>
          <w:highlight w:val="none"/>
        </w:rPr>
        <w:t>报价说明：</w:t>
      </w:r>
    </w:p>
    <w:p w14:paraId="2A30D928">
      <w:pPr>
        <w:spacing w:before="100" w:beforeAutospacing="1" w:after="100" w:afterAutospacing="1"/>
        <w:rPr>
          <w:rFonts w:ascii="宋体" w:hAnsi="宋体" w:cs="宋体"/>
          <w:color w:val="auto"/>
          <w:sz w:val="24"/>
          <w:highlight w:val="none"/>
        </w:rPr>
      </w:pPr>
      <w:r>
        <w:rPr>
          <w:rFonts w:hint="eastAsia" w:ascii="宋体" w:hAnsi="宋体" w:cs="宋体"/>
          <w:color w:val="auto"/>
          <w:sz w:val="24"/>
          <w:highlight w:val="none"/>
        </w:rPr>
        <w:t>1、报价包括完成项目的所有费用。采购人不再支付报价以外的任何费用。</w:t>
      </w:r>
    </w:p>
    <w:p w14:paraId="0235E6CE">
      <w:pPr>
        <w:spacing w:before="100" w:beforeAutospacing="1" w:after="100" w:afterAutospacing="1"/>
        <w:rPr>
          <w:rFonts w:ascii="宋体" w:hAnsi="宋体" w:cs="宋体"/>
          <w:color w:val="auto"/>
          <w:sz w:val="24"/>
          <w:highlight w:val="none"/>
        </w:rPr>
      </w:pPr>
      <w:r>
        <w:rPr>
          <w:rFonts w:hint="eastAsia" w:ascii="宋体" w:hAnsi="宋体" w:cs="宋体"/>
          <w:color w:val="auto"/>
          <w:sz w:val="24"/>
          <w:highlight w:val="none"/>
        </w:rPr>
        <w:t>2、报价以总价为准，大小写不一致以大写为准；</w:t>
      </w:r>
    </w:p>
    <w:p w14:paraId="242F2025">
      <w:pPr>
        <w:spacing w:before="100" w:beforeAutospacing="1" w:after="100" w:afterAutospacing="1"/>
        <w:rPr>
          <w:rFonts w:ascii="宋体" w:hAnsi="宋体" w:cs="宋体"/>
          <w:color w:val="auto"/>
          <w:sz w:val="24"/>
          <w:highlight w:val="none"/>
        </w:rPr>
      </w:pPr>
      <w:r>
        <w:rPr>
          <w:rFonts w:hint="eastAsia" w:ascii="宋体" w:hAnsi="宋体" w:cs="宋体"/>
          <w:color w:val="auto"/>
          <w:sz w:val="24"/>
          <w:highlight w:val="none"/>
        </w:rPr>
        <w:t>3、偏离说明：详见《偏离表》；</w:t>
      </w:r>
    </w:p>
    <w:p w14:paraId="628A1F2C">
      <w:pPr>
        <w:spacing w:before="100" w:beforeAutospacing="1" w:after="100" w:afterAutospacing="1"/>
        <w:rPr>
          <w:rFonts w:ascii="宋体" w:hAnsi="宋体" w:cs="宋体"/>
          <w:color w:val="auto"/>
          <w:sz w:val="24"/>
          <w:highlight w:val="none"/>
        </w:rPr>
      </w:pPr>
      <w:r>
        <w:rPr>
          <w:rFonts w:hint="eastAsia" w:ascii="宋体" w:hAnsi="宋体" w:cs="宋体"/>
          <w:color w:val="auto"/>
          <w:sz w:val="24"/>
          <w:highlight w:val="none"/>
        </w:rPr>
        <w:t>4、如最后报价未列明单价，则最后所报各项单价计算方法为：（最后报价/ 最初报价）* 各项最初报价的单价。</w:t>
      </w:r>
    </w:p>
    <w:p w14:paraId="2D99E0C5">
      <w:pPr>
        <w:spacing w:before="100" w:beforeAutospacing="1" w:after="100" w:afterAutospacing="1"/>
        <w:rPr>
          <w:rFonts w:ascii="宋体" w:hAnsi="宋体" w:cs="宋体"/>
          <w:color w:val="auto"/>
          <w:sz w:val="24"/>
          <w:highlight w:val="none"/>
        </w:rPr>
      </w:pPr>
      <w:r>
        <w:rPr>
          <w:rFonts w:hint="eastAsia" w:ascii="宋体" w:hAnsi="宋体" w:cs="宋体"/>
          <w:color w:val="auto"/>
          <w:sz w:val="24"/>
          <w:highlight w:val="none"/>
        </w:rPr>
        <w:t>供应商（加盖CA电子公章）：</w:t>
      </w:r>
    </w:p>
    <w:p w14:paraId="0FE1314B">
      <w:pPr>
        <w:spacing w:line="360" w:lineRule="auto"/>
        <w:jc w:val="center"/>
        <w:rPr>
          <w:rFonts w:ascii="宋体" w:hAnsi="宋体" w:cs="宋体"/>
          <w:b/>
          <w:color w:val="auto"/>
          <w:sz w:val="24"/>
          <w:highlight w:val="none"/>
        </w:rPr>
      </w:pPr>
    </w:p>
    <w:p w14:paraId="507BA73C">
      <w:pPr>
        <w:spacing w:line="360" w:lineRule="auto"/>
        <w:rPr>
          <w:rFonts w:ascii="宋体" w:hAnsi="宋体" w:cs="宋体"/>
          <w:bCs/>
          <w:color w:val="auto"/>
          <w:sz w:val="24"/>
          <w:highlight w:val="none"/>
        </w:rPr>
      </w:pPr>
    </w:p>
    <w:p w14:paraId="22DEE89B">
      <w:pPr>
        <w:spacing w:line="360" w:lineRule="auto"/>
        <w:rPr>
          <w:rFonts w:ascii="宋体" w:hAnsi="宋体" w:cs="宋体"/>
          <w:bCs/>
          <w:color w:val="auto"/>
          <w:sz w:val="24"/>
          <w:highlight w:val="none"/>
        </w:rPr>
      </w:pPr>
    </w:p>
    <w:p w14:paraId="688B818D">
      <w:pPr>
        <w:spacing w:line="360" w:lineRule="auto"/>
        <w:rPr>
          <w:rFonts w:ascii="宋体" w:hAnsi="宋体" w:cs="宋体"/>
          <w:bCs/>
          <w:color w:val="auto"/>
          <w:sz w:val="24"/>
          <w:highlight w:val="none"/>
        </w:rPr>
      </w:pPr>
    </w:p>
    <w:p w14:paraId="1A3574AC">
      <w:pPr>
        <w:spacing w:line="360" w:lineRule="auto"/>
        <w:rPr>
          <w:rFonts w:ascii="宋体" w:hAnsi="宋体" w:cs="宋体"/>
          <w:bCs/>
          <w:color w:val="auto"/>
          <w:sz w:val="24"/>
          <w:highlight w:val="none"/>
        </w:rPr>
      </w:pPr>
    </w:p>
    <w:p w14:paraId="2138CB51">
      <w:pPr>
        <w:spacing w:line="360" w:lineRule="auto"/>
        <w:rPr>
          <w:rFonts w:ascii="宋体" w:hAnsi="宋体" w:cs="宋体"/>
          <w:color w:val="auto"/>
          <w:sz w:val="24"/>
          <w:highlight w:val="none"/>
        </w:rPr>
      </w:pPr>
    </w:p>
    <w:p w14:paraId="00560D81">
      <w:pPr>
        <w:spacing w:line="360" w:lineRule="auto"/>
        <w:rPr>
          <w:rFonts w:ascii="宋体" w:hAnsi="宋体" w:cs="宋体"/>
          <w:color w:val="auto"/>
          <w:sz w:val="24"/>
          <w:highlight w:val="none"/>
        </w:rPr>
      </w:pPr>
    </w:p>
    <w:p w14:paraId="0034F16D">
      <w:pPr>
        <w:spacing w:line="360" w:lineRule="auto"/>
        <w:rPr>
          <w:rFonts w:ascii="宋体" w:hAnsi="宋体" w:cs="宋体"/>
          <w:color w:val="auto"/>
          <w:sz w:val="24"/>
          <w:highlight w:val="none"/>
        </w:rPr>
      </w:pPr>
    </w:p>
    <w:p w14:paraId="5E8539DA">
      <w:pPr>
        <w:rPr>
          <w:rFonts w:ascii="宋体" w:hAnsi="宋体" w:cs="宋体"/>
          <w:b/>
          <w:color w:val="auto"/>
          <w:sz w:val="24"/>
          <w:highlight w:val="none"/>
        </w:rPr>
      </w:pPr>
      <w:r>
        <w:rPr>
          <w:rFonts w:hint="eastAsia" w:ascii="宋体" w:hAnsi="宋体" w:cs="宋体"/>
          <w:b/>
          <w:color w:val="auto"/>
          <w:sz w:val="24"/>
          <w:highlight w:val="none"/>
        </w:rPr>
        <w:br w:type="page" w:clear="all"/>
      </w:r>
    </w:p>
    <w:p w14:paraId="232FC7BD">
      <w:pPr>
        <w:spacing w:line="360" w:lineRule="auto"/>
        <w:jc w:val="center"/>
        <w:rPr>
          <w:rFonts w:hint="eastAsia" w:ascii="宋体" w:hAnsi="宋体" w:cs="宋体"/>
          <w:b/>
          <w:bCs/>
          <w:i/>
          <w:iCs/>
          <w:color w:val="auto"/>
          <w:sz w:val="24"/>
          <w:highlight w:val="none"/>
          <w:u w:val="single"/>
        </w:rPr>
      </w:pPr>
      <w:r>
        <w:rPr>
          <w:rFonts w:hint="eastAsia" w:ascii="宋体" w:hAnsi="宋体" w:cs="宋体"/>
          <w:b/>
          <w:bCs/>
          <w:i/>
          <w:iCs/>
          <w:color w:val="auto"/>
          <w:sz w:val="24"/>
          <w:highlight w:val="none"/>
          <w:u w:val="single"/>
        </w:rPr>
        <w:t>十二、</w:t>
      </w:r>
      <w:r>
        <w:rPr>
          <w:rFonts w:hint="eastAsia" w:ascii="宋体" w:hAnsi="宋体" w:cs="宋体"/>
          <w:b/>
          <w:bCs/>
          <w:i/>
          <w:iCs/>
          <w:color w:val="auto"/>
          <w:sz w:val="24"/>
          <w:highlight w:val="none"/>
          <w:u w:val="single"/>
          <w:lang w:val="en-US" w:eastAsia="zh-CN"/>
        </w:rPr>
        <w:t>分项</w:t>
      </w:r>
      <w:r>
        <w:rPr>
          <w:rFonts w:hint="eastAsia" w:ascii="宋体" w:hAnsi="宋体" w:cs="宋体"/>
          <w:b/>
          <w:bCs/>
          <w:i/>
          <w:iCs/>
          <w:color w:val="auto"/>
          <w:sz w:val="24"/>
          <w:highlight w:val="none"/>
          <w:u w:val="single"/>
        </w:rPr>
        <w:t>报价表</w:t>
      </w:r>
    </w:p>
    <w:p w14:paraId="3B75B34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highlight w:val="none"/>
        </w:rPr>
      </w:pPr>
      <w:r>
        <w:rPr>
          <w:rFonts w:ascii="宋体" w:hAnsi="宋体" w:eastAsia="宋体" w:cs="宋体"/>
          <w:color w:val="auto"/>
          <w:sz w:val="21"/>
          <w:highlight w:val="none"/>
        </w:rPr>
        <w:t> </w:t>
      </w:r>
    </w:p>
    <w:p w14:paraId="62B4A45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宋体" w:hAnsi="宋体" w:eastAsia="宋体" w:cs="宋体"/>
          <w:color w:val="auto"/>
          <w:sz w:val="24"/>
          <w:highlight w:val="none"/>
        </w:rPr>
      </w:pPr>
    </w:p>
    <w:p w14:paraId="2A8A607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宋体" w:hAnsi="宋体" w:eastAsia="宋体" w:cs="宋体"/>
          <w:color w:val="auto"/>
          <w:sz w:val="24"/>
          <w:highlight w:val="none"/>
        </w:rPr>
      </w:pPr>
    </w:p>
    <w:p w14:paraId="25B65AC6">
      <w:pPr>
        <w:pBdr>
          <w:top w:val="none" w:color="000000" w:sz="0" w:space="0"/>
          <w:left w:val="none" w:color="000000" w:sz="0" w:space="0"/>
          <w:bottom w:val="none" w:color="000000" w:sz="0" w:space="0"/>
          <w:right w:val="none" w:color="000000" w:sz="0" w:space="0"/>
        </w:pBdr>
        <w:spacing w:before="0" w:after="0" w:line="85" w:lineRule="atLeast"/>
        <w:ind w:left="0" w:right="0" w:firstLine="480"/>
        <w:jc w:val="center"/>
        <w:rPr>
          <w:rFonts w:ascii="宋体" w:hAnsi="宋体" w:eastAsia="宋体" w:cs="宋体"/>
          <w:color w:val="auto"/>
          <w:sz w:val="24"/>
          <w:highlight w:val="none"/>
        </w:rPr>
      </w:pPr>
      <w:r>
        <w:rPr>
          <w:rFonts w:hint="eastAsia" w:ascii="宋体" w:hAnsi="宋体" w:eastAsia="宋体" w:cs="宋体"/>
          <w:color w:val="auto"/>
          <w:sz w:val="24"/>
          <w:highlight w:val="none"/>
        </w:rPr>
        <w:t>按提供的招标格式清单填报</w:t>
      </w:r>
    </w:p>
    <w:p w14:paraId="4E1E77F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宋体" w:hAnsi="宋体" w:eastAsia="宋体" w:cs="宋体"/>
          <w:color w:val="auto"/>
          <w:sz w:val="24"/>
          <w:highlight w:val="none"/>
        </w:rPr>
      </w:pPr>
    </w:p>
    <w:p w14:paraId="3F0E570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宋体" w:hAnsi="宋体" w:eastAsia="宋体" w:cs="宋体"/>
          <w:color w:val="auto"/>
          <w:sz w:val="24"/>
          <w:highlight w:val="none"/>
        </w:rPr>
      </w:pPr>
    </w:p>
    <w:p w14:paraId="61E2537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color w:val="auto"/>
          <w:highlight w:val="none"/>
        </w:rPr>
      </w:pPr>
      <w:r>
        <w:rPr>
          <w:rFonts w:ascii="宋体" w:hAnsi="宋体" w:eastAsia="宋体" w:cs="宋体"/>
          <w:color w:val="auto"/>
          <w:sz w:val="24"/>
          <w:highlight w:val="none"/>
        </w:rPr>
        <w:t>价格构成或报价要求：</w:t>
      </w:r>
    </w:p>
    <w:p w14:paraId="390F9B2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color w:val="auto"/>
          <w:highlight w:val="none"/>
        </w:rPr>
      </w:pPr>
      <w:r>
        <w:rPr>
          <w:rFonts w:ascii="宋体" w:hAnsi="宋体" w:eastAsia="宋体" w:cs="宋体"/>
          <w:color w:val="auto"/>
          <w:sz w:val="24"/>
          <w:highlight w:val="none"/>
        </w:rPr>
        <w:t>1、该报价非本次磋商中的最后报价。</w:t>
      </w:r>
    </w:p>
    <w:p w14:paraId="6974E0A7">
      <w:pPr>
        <w:spacing w:line="360" w:lineRule="auto"/>
        <w:jc w:val="center"/>
        <w:rPr>
          <w:rFonts w:ascii="宋体" w:hAnsi="宋体" w:cs="宋体"/>
          <w:b/>
          <w:bCs/>
          <w:color w:val="auto"/>
          <w:sz w:val="24"/>
          <w:szCs w:val="24"/>
          <w:highlight w:val="none"/>
        </w:rPr>
      </w:pPr>
    </w:p>
    <w:p w14:paraId="1C49109E">
      <w:pPr>
        <w:rPr>
          <w:rFonts w:ascii="宋体" w:hAnsi="宋体" w:cs="宋体"/>
          <w:b/>
          <w:color w:val="auto"/>
          <w:sz w:val="24"/>
          <w:highlight w:val="none"/>
        </w:rPr>
      </w:pPr>
      <w:r>
        <w:rPr>
          <w:rFonts w:hint="eastAsia" w:ascii="宋体" w:hAnsi="宋体" w:cs="宋体"/>
          <w:b/>
          <w:color w:val="auto"/>
          <w:sz w:val="24"/>
          <w:highlight w:val="none"/>
        </w:rPr>
        <w:br w:type="page" w:clear="all"/>
      </w:r>
    </w:p>
    <w:p w14:paraId="2E08F7C1">
      <w:pPr>
        <w:spacing w:line="360" w:lineRule="auto"/>
        <w:jc w:val="center"/>
        <w:rPr>
          <w:rFonts w:ascii="宋体" w:hAnsi="宋体" w:cs="宋体"/>
          <w:b/>
          <w:color w:val="auto"/>
          <w:sz w:val="24"/>
          <w:highlight w:val="none"/>
        </w:rPr>
      </w:pPr>
      <w:r>
        <w:rPr>
          <w:rFonts w:hint="eastAsia" w:ascii="宋体" w:hAnsi="宋体" w:cs="宋体"/>
          <w:b/>
          <w:bCs/>
          <w:i/>
          <w:iCs/>
          <w:color w:val="auto"/>
          <w:sz w:val="24"/>
          <w:highlight w:val="none"/>
          <w:u w:val="single"/>
        </w:rPr>
        <w:t>十</w:t>
      </w:r>
      <w:r>
        <w:rPr>
          <w:rFonts w:hint="eastAsia" w:ascii="宋体" w:hAnsi="宋体" w:cs="宋体"/>
          <w:b/>
          <w:bCs/>
          <w:i/>
          <w:iCs/>
          <w:color w:val="auto"/>
          <w:sz w:val="24"/>
          <w:highlight w:val="none"/>
          <w:u w:val="single"/>
          <w:lang w:val="en-US" w:eastAsia="zh-CN"/>
        </w:rPr>
        <w:t>三</w:t>
      </w:r>
      <w:r>
        <w:rPr>
          <w:rFonts w:hint="eastAsia" w:ascii="宋体" w:hAnsi="宋体" w:cs="宋体"/>
          <w:b/>
          <w:bCs/>
          <w:i/>
          <w:iCs/>
          <w:color w:val="auto"/>
          <w:sz w:val="24"/>
          <w:highlight w:val="none"/>
          <w:u w:val="single"/>
        </w:rPr>
        <w:t>、技术要求响应及偏离表</w:t>
      </w:r>
    </w:p>
    <w:tbl>
      <w:tblPr>
        <w:tblStyle w:val="5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45DDB5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Pr>
        <w:tc>
          <w:tcPr>
            <w:tcW w:w="545" w:type="dxa"/>
            <w:tcBorders>
              <w:top w:val="single" w:color="000000" w:sz="4" w:space="0"/>
              <w:left w:val="single" w:color="000000" w:sz="4" w:space="0"/>
              <w:bottom w:val="single" w:color="000000" w:sz="4" w:space="0"/>
              <w:right w:val="single" w:color="000000" w:sz="4" w:space="0"/>
            </w:tcBorders>
            <w:noWrap w:val="0"/>
            <w:vAlign w:val="center"/>
          </w:tcPr>
          <w:p w14:paraId="0C82AD7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3291" w:type="dxa"/>
            <w:tcBorders>
              <w:top w:val="single" w:color="000000" w:sz="4" w:space="0"/>
              <w:left w:val="single" w:color="000000" w:sz="4" w:space="0"/>
              <w:bottom w:val="single" w:color="000000" w:sz="4" w:space="0"/>
              <w:right w:val="single" w:color="000000" w:sz="4" w:space="0"/>
            </w:tcBorders>
            <w:noWrap w:val="0"/>
            <w:vAlign w:val="center"/>
          </w:tcPr>
          <w:p w14:paraId="00488603">
            <w:pPr>
              <w:spacing w:line="360" w:lineRule="auto"/>
              <w:jc w:val="center"/>
              <w:rPr>
                <w:rFonts w:ascii="宋体" w:hAnsi="宋体" w:cs="宋体"/>
                <w:color w:val="auto"/>
                <w:sz w:val="24"/>
                <w:highlight w:val="none"/>
              </w:rPr>
            </w:pPr>
            <w:r>
              <w:rPr>
                <w:rFonts w:hint="eastAsia" w:ascii="宋体" w:hAnsi="宋体" w:cs="宋体"/>
                <w:color w:val="auto"/>
                <w:sz w:val="24"/>
                <w:highlight w:val="none"/>
                <w:lang w:eastAsia="zh-CN"/>
              </w:rPr>
              <w:t>竞争性磋商文件</w:t>
            </w:r>
            <w:r>
              <w:rPr>
                <w:rFonts w:hint="eastAsia" w:ascii="宋体" w:hAnsi="宋体" w:cs="宋体"/>
                <w:color w:val="auto"/>
                <w:sz w:val="24"/>
                <w:highlight w:val="none"/>
              </w:rPr>
              <w:t>要求</w:t>
            </w:r>
          </w:p>
        </w:tc>
        <w:tc>
          <w:tcPr>
            <w:tcW w:w="2852" w:type="dxa"/>
            <w:tcBorders>
              <w:top w:val="single" w:color="000000" w:sz="4" w:space="0"/>
              <w:left w:val="single" w:color="000000" w:sz="4" w:space="0"/>
              <w:bottom w:val="single" w:color="000000" w:sz="4" w:space="0"/>
              <w:right w:val="single" w:color="000000" w:sz="4" w:space="0"/>
            </w:tcBorders>
            <w:noWrap w:val="0"/>
            <w:vAlign w:val="center"/>
          </w:tcPr>
          <w:p w14:paraId="0A33EDF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投标响应情况</w:t>
            </w:r>
          </w:p>
        </w:tc>
        <w:tc>
          <w:tcPr>
            <w:tcW w:w="1308" w:type="dxa"/>
            <w:tcBorders>
              <w:top w:val="single" w:color="000000" w:sz="4" w:space="0"/>
              <w:left w:val="single" w:color="000000" w:sz="4" w:space="0"/>
              <w:bottom w:val="single" w:color="000000" w:sz="4" w:space="0"/>
              <w:right w:val="single" w:color="000000" w:sz="4" w:space="0"/>
            </w:tcBorders>
            <w:noWrap w:val="0"/>
            <w:vAlign w:val="center"/>
          </w:tcPr>
          <w:p w14:paraId="32B9A81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超出、符合或偏离</w:t>
            </w:r>
          </w:p>
        </w:tc>
        <w:tc>
          <w:tcPr>
            <w:tcW w:w="1173" w:type="dxa"/>
            <w:tcBorders>
              <w:top w:val="single" w:color="000000" w:sz="4" w:space="0"/>
              <w:left w:val="single" w:color="000000" w:sz="4" w:space="0"/>
              <w:bottom w:val="single" w:color="000000" w:sz="4" w:space="0"/>
              <w:right w:val="single" w:color="000000" w:sz="4" w:space="0"/>
            </w:tcBorders>
            <w:noWrap w:val="0"/>
            <w:vAlign w:val="center"/>
          </w:tcPr>
          <w:p w14:paraId="286F3CA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证明</w:t>
            </w:r>
          </w:p>
          <w:p w14:paraId="4E58CBAB">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材料</w:t>
            </w:r>
          </w:p>
        </w:tc>
      </w:tr>
      <w:tr w14:paraId="19772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Borders>
              <w:top w:val="single" w:color="000000" w:sz="4" w:space="0"/>
              <w:left w:val="single" w:color="000000" w:sz="4" w:space="0"/>
              <w:bottom w:val="single" w:color="000000" w:sz="4" w:space="0"/>
              <w:right w:val="single" w:color="000000" w:sz="4" w:space="0"/>
            </w:tcBorders>
            <w:noWrap w:val="0"/>
          </w:tcPr>
          <w:p w14:paraId="3388ECE0">
            <w:pPr>
              <w:spacing w:line="360" w:lineRule="auto"/>
              <w:jc w:val="center"/>
              <w:rPr>
                <w:rFonts w:ascii="宋体" w:hAnsi="宋体" w:cs="宋体"/>
                <w:color w:val="auto"/>
                <w:sz w:val="24"/>
                <w:highlight w:val="none"/>
              </w:rPr>
            </w:pPr>
          </w:p>
        </w:tc>
        <w:tc>
          <w:tcPr>
            <w:tcW w:w="3291" w:type="dxa"/>
            <w:tcBorders>
              <w:top w:val="single" w:color="000000" w:sz="4" w:space="0"/>
              <w:left w:val="single" w:color="000000" w:sz="4" w:space="0"/>
              <w:bottom w:val="single" w:color="000000" w:sz="4" w:space="0"/>
              <w:right w:val="single" w:color="000000" w:sz="4" w:space="0"/>
            </w:tcBorders>
            <w:noWrap w:val="0"/>
          </w:tcPr>
          <w:p w14:paraId="5C0F3EFB">
            <w:pPr>
              <w:spacing w:line="360" w:lineRule="auto"/>
              <w:jc w:val="center"/>
              <w:rPr>
                <w:rFonts w:ascii="宋体" w:hAnsi="宋体" w:cs="宋体"/>
                <w:color w:val="auto"/>
                <w:sz w:val="24"/>
                <w:highlight w:val="none"/>
              </w:rPr>
            </w:pPr>
          </w:p>
        </w:tc>
        <w:tc>
          <w:tcPr>
            <w:tcW w:w="2852" w:type="dxa"/>
            <w:tcBorders>
              <w:top w:val="single" w:color="000000" w:sz="4" w:space="0"/>
              <w:left w:val="single" w:color="000000" w:sz="4" w:space="0"/>
              <w:bottom w:val="single" w:color="000000" w:sz="4" w:space="0"/>
              <w:right w:val="single" w:color="000000" w:sz="4" w:space="0"/>
            </w:tcBorders>
            <w:noWrap w:val="0"/>
          </w:tcPr>
          <w:p w14:paraId="74DC42E9">
            <w:pPr>
              <w:spacing w:line="360" w:lineRule="auto"/>
              <w:jc w:val="center"/>
              <w:rPr>
                <w:rFonts w:ascii="宋体" w:hAnsi="宋体" w:cs="宋体"/>
                <w:color w:val="auto"/>
                <w:sz w:val="24"/>
                <w:highlight w:val="none"/>
              </w:rPr>
            </w:pPr>
          </w:p>
        </w:tc>
        <w:tc>
          <w:tcPr>
            <w:tcW w:w="1308" w:type="dxa"/>
            <w:tcBorders>
              <w:top w:val="single" w:color="000000" w:sz="4" w:space="0"/>
              <w:left w:val="single" w:color="000000" w:sz="4" w:space="0"/>
              <w:bottom w:val="single" w:color="000000" w:sz="4" w:space="0"/>
              <w:right w:val="single" w:color="000000" w:sz="4" w:space="0"/>
            </w:tcBorders>
            <w:noWrap w:val="0"/>
          </w:tcPr>
          <w:p w14:paraId="20ECFC33">
            <w:pPr>
              <w:spacing w:line="360" w:lineRule="auto"/>
              <w:jc w:val="center"/>
              <w:rPr>
                <w:rFonts w:ascii="宋体" w:hAnsi="宋体" w:cs="宋体"/>
                <w:color w:val="auto"/>
                <w:sz w:val="24"/>
                <w:highlight w:val="none"/>
              </w:rPr>
            </w:pPr>
          </w:p>
        </w:tc>
        <w:tc>
          <w:tcPr>
            <w:tcW w:w="1173" w:type="dxa"/>
            <w:tcBorders>
              <w:top w:val="single" w:color="000000" w:sz="4" w:space="0"/>
              <w:left w:val="single" w:color="000000" w:sz="4" w:space="0"/>
              <w:bottom w:val="single" w:color="000000" w:sz="4" w:space="0"/>
              <w:right w:val="single" w:color="000000" w:sz="4" w:space="0"/>
            </w:tcBorders>
            <w:noWrap w:val="0"/>
          </w:tcPr>
          <w:p w14:paraId="3BB69DF5">
            <w:pPr>
              <w:spacing w:line="360" w:lineRule="auto"/>
              <w:jc w:val="center"/>
              <w:rPr>
                <w:rFonts w:ascii="宋体" w:hAnsi="宋体" w:cs="宋体"/>
                <w:color w:val="auto"/>
                <w:sz w:val="24"/>
                <w:highlight w:val="none"/>
              </w:rPr>
            </w:pPr>
          </w:p>
        </w:tc>
      </w:tr>
      <w:tr w14:paraId="319A4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Borders>
              <w:top w:val="single" w:color="000000" w:sz="4" w:space="0"/>
              <w:left w:val="single" w:color="000000" w:sz="4" w:space="0"/>
              <w:bottom w:val="single" w:color="000000" w:sz="4" w:space="0"/>
              <w:right w:val="single" w:color="000000" w:sz="4" w:space="0"/>
            </w:tcBorders>
            <w:noWrap w:val="0"/>
          </w:tcPr>
          <w:p w14:paraId="0E1F5BDA">
            <w:pPr>
              <w:spacing w:line="360" w:lineRule="auto"/>
              <w:jc w:val="center"/>
              <w:rPr>
                <w:rFonts w:ascii="宋体" w:hAnsi="宋体" w:cs="宋体"/>
                <w:color w:val="auto"/>
                <w:sz w:val="24"/>
                <w:highlight w:val="none"/>
              </w:rPr>
            </w:pPr>
          </w:p>
        </w:tc>
        <w:tc>
          <w:tcPr>
            <w:tcW w:w="3291" w:type="dxa"/>
            <w:tcBorders>
              <w:top w:val="single" w:color="000000" w:sz="4" w:space="0"/>
              <w:left w:val="single" w:color="000000" w:sz="4" w:space="0"/>
              <w:bottom w:val="single" w:color="000000" w:sz="4" w:space="0"/>
              <w:right w:val="single" w:color="000000" w:sz="4" w:space="0"/>
            </w:tcBorders>
            <w:noWrap w:val="0"/>
          </w:tcPr>
          <w:p w14:paraId="388C1E52">
            <w:pPr>
              <w:spacing w:line="360" w:lineRule="auto"/>
              <w:jc w:val="center"/>
              <w:rPr>
                <w:rFonts w:ascii="宋体" w:hAnsi="宋体" w:cs="宋体"/>
                <w:color w:val="auto"/>
                <w:sz w:val="24"/>
                <w:highlight w:val="none"/>
              </w:rPr>
            </w:pPr>
          </w:p>
        </w:tc>
        <w:tc>
          <w:tcPr>
            <w:tcW w:w="2852" w:type="dxa"/>
            <w:tcBorders>
              <w:top w:val="single" w:color="000000" w:sz="4" w:space="0"/>
              <w:left w:val="single" w:color="000000" w:sz="4" w:space="0"/>
              <w:bottom w:val="single" w:color="000000" w:sz="4" w:space="0"/>
              <w:right w:val="single" w:color="000000" w:sz="4" w:space="0"/>
            </w:tcBorders>
            <w:noWrap w:val="0"/>
          </w:tcPr>
          <w:p w14:paraId="2AD70859">
            <w:pPr>
              <w:spacing w:line="360" w:lineRule="auto"/>
              <w:jc w:val="center"/>
              <w:rPr>
                <w:rFonts w:ascii="宋体" w:hAnsi="宋体" w:cs="宋体"/>
                <w:color w:val="auto"/>
                <w:sz w:val="24"/>
                <w:highlight w:val="none"/>
              </w:rPr>
            </w:pPr>
          </w:p>
        </w:tc>
        <w:tc>
          <w:tcPr>
            <w:tcW w:w="1308" w:type="dxa"/>
            <w:tcBorders>
              <w:top w:val="single" w:color="000000" w:sz="4" w:space="0"/>
              <w:left w:val="single" w:color="000000" w:sz="4" w:space="0"/>
              <w:bottom w:val="single" w:color="000000" w:sz="4" w:space="0"/>
              <w:right w:val="single" w:color="000000" w:sz="4" w:space="0"/>
            </w:tcBorders>
            <w:noWrap w:val="0"/>
          </w:tcPr>
          <w:p w14:paraId="38C4FBEF">
            <w:pPr>
              <w:spacing w:line="360" w:lineRule="auto"/>
              <w:jc w:val="center"/>
              <w:rPr>
                <w:rFonts w:ascii="宋体" w:hAnsi="宋体" w:cs="宋体"/>
                <w:color w:val="auto"/>
                <w:sz w:val="24"/>
                <w:highlight w:val="none"/>
              </w:rPr>
            </w:pPr>
          </w:p>
        </w:tc>
        <w:tc>
          <w:tcPr>
            <w:tcW w:w="1173" w:type="dxa"/>
            <w:tcBorders>
              <w:top w:val="single" w:color="000000" w:sz="4" w:space="0"/>
              <w:left w:val="single" w:color="000000" w:sz="4" w:space="0"/>
              <w:bottom w:val="single" w:color="000000" w:sz="4" w:space="0"/>
              <w:right w:val="single" w:color="000000" w:sz="4" w:space="0"/>
            </w:tcBorders>
            <w:noWrap w:val="0"/>
          </w:tcPr>
          <w:p w14:paraId="56EB62D6">
            <w:pPr>
              <w:spacing w:line="360" w:lineRule="auto"/>
              <w:jc w:val="center"/>
              <w:rPr>
                <w:rFonts w:ascii="宋体" w:hAnsi="宋体" w:cs="宋体"/>
                <w:color w:val="auto"/>
                <w:sz w:val="24"/>
                <w:highlight w:val="none"/>
              </w:rPr>
            </w:pPr>
          </w:p>
        </w:tc>
      </w:tr>
      <w:tr w14:paraId="24BD5C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Borders>
              <w:top w:val="single" w:color="000000" w:sz="4" w:space="0"/>
              <w:left w:val="single" w:color="000000" w:sz="4" w:space="0"/>
              <w:bottom w:val="single" w:color="000000" w:sz="4" w:space="0"/>
              <w:right w:val="single" w:color="000000" w:sz="4" w:space="0"/>
            </w:tcBorders>
            <w:noWrap w:val="0"/>
          </w:tcPr>
          <w:p w14:paraId="395FBCF5">
            <w:pPr>
              <w:spacing w:line="360" w:lineRule="auto"/>
              <w:jc w:val="center"/>
              <w:rPr>
                <w:rFonts w:ascii="宋体" w:hAnsi="宋体" w:cs="宋体"/>
                <w:color w:val="auto"/>
                <w:sz w:val="24"/>
                <w:highlight w:val="none"/>
              </w:rPr>
            </w:pPr>
          </w:p>
        </w:tc>
        <w:tc>
          <w:tcPr>
            <w:tcW w:w="3291" w:type="dxa"/>
            <w:tcBorders>
              <w:top w:val="single" w:color="000000" w:sz="4" w:space="0"/>
              <w:left w:val="single" w:color="000000" w:sz="4" w:space="0"/>
              <w:bottom w:val="single" w:color="000000" w:sz="4" w:space="0"/>
              <w:right w:val="single" w:color="000000" w:sz="4" w:space="0"/>
            </w:tcBorders>
            <w:noWrap w:val="0"/>
          </w:tcPr>
          <w:p w14:paraId="46E938FA">
            <w:pPr>
              <w:spacing w:line="360" w:lineRule="auto"/>
              <w:jc w:val="center"/>
              <w:rPr>
                <w:rFonts w:ascii="宋体" w:hAnsi="宋体" w:cs="宋体"/>
                <w:color w:val="auto"/>
                <w:sz w:val="24"/>
                <w:highlight w:val="none"/>
              </w:rPr>
            </w:pPr>
          </w:p>
        </w:tc>
        <w:tc>
          <w:tcPr>
            <w:tcW w:w="2852" w:type="dxa"/>
            <w:tcBorders>
              <w:top w:val="single" w:color="000000" w:sz="4" w:space="0"/>
              <w:left w:val="single" w:color="000000" w:sz="4" w:space="0"/>
              <w:bottom w:val="single" w:color="000000" w:sz="4" w:space="0"/>
              <w:right w:val="single" w:color="000000" w:sz="4" w:space="0"/>
            </w:tcBorders>
            <w:noWrap w:val="0"/>
          </w:tcPr>
          <w:p w14:paraId="047CDEA9">
            <w:pPr>
              <w:spacing w:line="360" w:lineRule="auto"/>
              <w:jc w:val="center"/>
              <w:rPr>
                <w:rFonts w:ascii="宋体" w:hAnsi="宋体" w:cs="宋体"/>
                <w:color w:val="auto"/>
                <w:sz w:val="24"/>
                <w:highlight w:val="none"/>
              </w:rPr>
            </w:pPr>
          </w:p>
        </w:tc>
        <w:tc>
          <w:tcPr>
            <w:tcW w:w="1308" w:type="dxa"/>
            <w:tcBorders>
              <w:top w:val="single" w:color="000000" w:sz="4" w:space="0"/>
              <w:left w:val="single" w:color="000000" w:sz="4" w:space="0"/>
              <w:bottom w:val="single" w:color="000000" w:sz="4" w:space="0"/>
              <w:right w:val="single" w:color="000000" w:sz="4" w:space="0"/>
            </w:tcBorders>
            <w:noWrap w:val="0"/>
          </w:tcPr>
          <w:p w14:paraId="4E182AEA">
            <w:pPr>
              <w:spacing w:line="360" w:lineRule="auto"/>
              <w:jc w:val="center"/>
              <w:rPr>
                <w:rFonts w:ascii="宋体" w:hAnsi="宋体" w:cs="宋体"/>
                <w:color w:val="auto"/>
                <w:sz w:val="24"/>
                <w:highlight w:val="none"/>
              </w:rPr>
            </w:pPr>
          </w:p>
        </w:tc>
        <w:tc>
          <w:tcPr>
            <w:tcW w:w="1173" w:type="dxa"/>
            <w:tcBorders>
              <w:top w:val="single" w:color="000000" w:sz="4" w:space="0"/>
              <w:left w:val="single" w:color="000000" w:sz="4" w:space="0"/>
              <w:bottom w:val="single" w:color="000000" w:sz="4" w:space="0"/>
              <w:right w:val="single" w:color="000000" w:sz="4" w:space="0"/>
            </w:tcBorders>
            <w:noWrap w:val="0"/>
          </w:tcPr>
          <w:p w14:paraId="6532137F">
            <w:pPr>
              <w:spacing w:line="360" w:lineRule="auto"/>
              <w:jc w:val="center"/>
              <w:rPr>
                <w:rFonts w:ascii="宋体" w:hAnsi="宋体" w:cs="宋体"/>
                <w:color w:val="auto"/>
                <w:sz w:val="24"/>
                <w:highlight w:val="none"/>
              </w:rPr>
            </w:pPr>
          </w:p>
        </w:tc>
      </w:tr>
      <w:tr w14:paraId="459B5E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Borders>
              <w:top w:val="single" w:color="000000" w:sz="4" w:space="0"/>
              <w:left w:val="single" w:color="000000" w:sz="4" w:space="0"/>
              <w:bottom w:val="single" w:color="000000" w:sz="4" w:space="0"/>
              <w:right w:val="single" w:color="000000" w:sz="4" w:space="0"/>
            </w:tcBorders>
            <w:noWrap w:val="0"/>
          </w:tcPr>
          <w:p w14:paraId="0F1E3E7B">
            <w:pPr>
              <w:spacing w:line="360" w:lineRule="auto"/>
              <w:jc w:val="center"/>
              <w:rPr>
                <w:rFonts w:ascii="宋体" w:hAnsi="宋体" w:cs="宋体"/>
                <w:color w:val="auto"/>
                <w:sz w:val="24"/>
                <w:highlight w:val="none"/>
              </w:rPr>
            </w:pPr>
          </w:p>
        </w:tc>
        <w:tc>
          <w:tcPr>
            <w:tcW w:w="3291" w:type="dxa"/>
            <w:tcBorders>
              <w:top w:val="single" w:color="000000" w:sz="4" w:space="0"/>
              <w:left w:val="single" w:color="000000" w:sz="4" w:space="0"/>
              <w:bottom w:val="single" w:color="000000" w:sz="4" w:space="0"/>
              <w:right w:val="single" w:color="000000" w:sz="4" w:space="0"/>
            </w:tcBorders>
            <w:noWrap w:val="0"/>
          </w:tcPr>
          <w:p w14:paraId="56642DE4">
            <w:pPr>
              <w:spacing w:line="360" w:lineRule="auto"/>
              <w:jc w:val="center"/>
              <w:rPr>
                <w:rFonts w:ascii="宋体" w:hAnsi="宋体" w:cs="宋体"/>
                <w:color w:val="auto"/>
                <w:sz w:val="24"/>
                <w:highlight w:val="none"/>
              </w:rPr>
            </w:pPr>
          </w:p>
        </w:tc>
        <w:tc>
          <w:tcPr>
            <w:tcW w:w="2852" w:type="dxa"/>
            <w:tcBorders>
              <w:top w:val="single" w:color="000000" w:sz="4" w:space="0"/>
              <w:left w:val="single" w:color="000000" w:sz="4" w:space="0"/>
              <w:bottom w:val="single" w:color="000000" w:sz="4" w:space="0"/>
              <w:right w:val="single" w:color="000000" w:sz="4" w:space="0"/>
            </w:tcBorders>
            <w:noWrap w:val="0"/>
          </w:tcPr>
          <w:p w14:paraId="34C68021">
            <w:pPr>
              <w:spacing w:line="360" w:lineRule="auto"/>
              <w:jc w:val="center"/>
              <w:rPr>
                <w:rFonts w:ascii="宋体" w:hAnsi="宋体" w:cs="宋体"/>
                <w:color w:val="auto"/>
                <w:sz w:val="24"/>
                <w:highlight w:val="none"/>
              </w:rPr>
            </w:pPr>
          </w:p>
        </w:tc>
        <w:tc>
          <w:tcPr>
            <w:tcW w:w="1308" w:type="dxa"/>
            <w:tcBorders>
              <w:top w:val="single" w:color="000000" w:sz="4" w:space="0"/>
              <w:left w:val="single" w:color="000000" w:sz="4" w:space="0"/>
              <w:bottom w:val="single" w:color="000000" w:sz="4" w:space="0"/>
              <w:right w:val="single" w:color="000000" w:sz="4" w:space="0"/>
            </w:tcBorders>
            <w:noWrap w:val="0"/>
          </w:tcPr>
          <w:p w14:paraId="463E1936">
            <w:pPr>
              <w:spacing w:line="360" w:lineRule="auto"/>
              <w:jc w:val="center"/>
              <w:rPr>
                <w:rFonts w:ascii="宋体" w:hAnsi="宋体" w:cs="宋体"/>
                <w:color w:val="auto"/>
                <w:sz w:val="24"/>
                <w:highlight w:val="none"/>
              </w:rPr>
            </w:pPr>
          </w:p>
        </w:tc>
        <w:tc>
          <w:tcPr>
            <w:tcW w:w="1173" w:type="dxa"/>
            <w:tcBorders>
              <w:top w:val="single" w:color="000000" w:sz="4" w:space="0"/>
              <w:left w:val="single" w:color="000000" w:sz="4" w:space="0"/>
              <w:bottom w:val="single" w:color="000000" w:sz="4" w:space="0"/>
              <w:right w:val="single" w:color="000000" w:sz="4" w:space="0"/>
            </w:tcBorders>
            <w:noWrap w:val="0"/>
          </w:tcPr>
          <w:p w14:paraId="2D8B7243">
            <w:pPr>
              <w:spacing w:line="360" w:lineRule="auto"/>
              <w:jc w:val="center"/>
              <w:rPr>
                <w:rFonts w:ascii="宋体" w:hAnsi="宋体" w:cs="宋体"/>
                <w:color w:val="auto"/>
                <w:sz w:val="24"/>
                <w:highlight w:val="none"/>
              </w:rPr>
            </w:pPr>
          </w:p>
        </w:tc>
      </w:tr>
      <w:tr w14:paraId="47DBB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Borders>
              <w:top w:val="single" w:color="000000" w:sz="4" w:space="0"/>
              <w:left w:val="single" w:color="000000" w:sz="4" w:space="0"/>
              <w:bottom w:val="single" w:color="000000" w:sz="4" w:space="0"/>
              <w:right w:val="single" w:color="000000" w:sz="4" w:space="0"/>
            </w:tcBorders>
            <w:noWrap w:val="0"/>
          </w:tcPr>
          <w:p w14:paraId="16B97B9D">
            <w:pPr>
              <w:spacing w:line="360" w:lineRule="auto"/>
              <w:jc w:val="center"/>
              <w:rPr>
                <w:rFonts w:ascii="宋体" w:hAnsi="宋体" w:cs="宋体"/>
                <w:color w:val="auto"/>
                <w:sz w:val="24"/>
                <w:highlight w:val="none"/>
              </w:rPr>
            </w:pPr>
          </w:p>
        </w:tc>
        <w:tc>
          <w:tcPr>
            <w:tcW w:w="3291" w:type="dxa"/>
            <w:tcBorders>
              <w:top w:val="single" w:color="000000" w:sz="4" w:space="0"/>
              <w:left w:val="single" w:color="000000" w:sz="4" w:space="0"/>
              <w:bottom w:val="single" w:color="000000" w:sz="4" w:space="0"/>
              <w:right w:val="single" w:color="000000" w:sz="4" w:space="0"/>
            </w:tcBorders>
            <w:noWrap w:val="0"/>
          </w:tcPr>
          <w:p w14:paraId="306FFB92">
            <w:pPr>
              <w:spacing w:line="360" w:lineRule="auto"/>
              <w:jc w:val="center"/>
              <w:rPr>
                <w:rFonts w:ascii="宋体" w:hAnsi="宋体" w:cs="宋体"/>
                <w:color w:val="auto"/>
                <w:sz w:val="24"/>
                <w:highlight w:val="none"/>
              </w:rPr>
            </w:pPr>
          </w:p>
        </w:tc>
        <w:tc>
          <w:tcPr>
            <w:tcW w:w="2852" w:type="dxa"/>
            <w:tcBorders>
              <w:top w:val="single" w:color="000000" w:sz="4" w:space="0"/>
              <w:left w:val="single" w:color="000000" w:sz="4" w:space="0"/>
              <w:bottom w:val="single" w:color="000000" w:sz="4" w:space="0"/>
              <w:right w:val="single" w:color="000000" w:sz="4" w:space="0"/>
            </w:tcBorders>
            <w:noWrap w:val="0"/>
          </w:tcPr>
          <w:p w14:paraId="4B8EB179">
            <w:pPr>
              <w:spacing w:line="360" w:lineRule="auto"/>
              <w:jc w:val="center"/>
              <w:rPr>
                <w:rFonts w:ascii="宋体" w:hAnsi="宋体" w:cs="宋体"/>
                <w:color w:val="auto"/>
                <w:sz w:val="24"/>
                <w:highlight w:val="none"/>
              </w:rPr>
            </w:pPr>
          </w:p>
        </w:tc>
        <w:tc>
          <w:tcPr>
            <w:tcW w:w="1308" w:type="dxa"/>
            <w:tcBorders>
              <w:top w:val="single" w:color="000000" w:sz="4" w:space="0"/>
              <w:left w:val="single" w:color="000000" w:sz="4" w:space="0"/>
              <w:bottom w:val="single" w:color="000000" w:sz="4" w:space="0"/>
              <w:right w:val="single" w:color="000000" w:sz="4" w:space="0"/>
            </w:tcBorders>
            <w:noWrap w:val="0"/>
          </w:tcPr>
          <w:p w14:paraId="4CAF2D37">
            <w:pPr>
              <w:spacing w:line="360" w:lineRule="auto"/>
              <w:jc w:val="center"/>
              <w:rPr>
                <w:rFonts w:ascii="宋体" w:hAnsi="宋体" w:cs="宋体"/>
                <w:color w:val="auto"/>
                <w:sz w:val="24"/>
                <w:highlight w:val="none"/>
              </w:rPr>
            </w:pPr>
          </w:p>
        </w:tc>
        <w:tc>
          <w:tcPr>
            <w:tcW w:w="1173" w:type="dxa"/>
            <w:tcBorders>
              <w:top w:val="single" w:color="000000" w:sz="4" w:space="0"/>
              <w:left w:val="single" w:color="000000" w:sz="4" w:space="0"/>
              <w:bottom w:val="single" w:color="000000" w:sz="4" w:space="0"/>
              <w:right w:val="single" w:color="000000" w:sz="4" w:space="0"/>
            </w:tcBorders>
            <w:noWrap w:val="0"/>
          </w:tcPr>
          <w:p w14:paraId="41B29A4F">
            <w:pPr>
              <w:spacing w:line="360" w:lineRule="auto"/>
              <w:jc w:val="center"/>
              <w:rPr>
                <w:rFonts w:ascii="宋体" w:hAnsi="宋体" w:cs="宋体"/>
                <w:color w:val="auto"/>
                <w:sz w:val="24"/>
                <w:highlight w:val="none"/>
              </w:rPr>
            </w:pPr>
          </w:p>
        </w:tc>
      </w:tr>
      <w:tr w14:paraId="786A0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Borders>
              <w:top w:val="single" w:color="000000" w:sz="4" w:space="0"/>
              <w:left w:val="single" w:color="000000" w:sz="4" w:space="0"/>
              <w:bottom w:val="single" w:color="000000" w:sz="4" w:space="0"/>
              <w:right w:val="single" w:color="000000" w:sz="4" w:space="0"/>
            </w:tcBorders>
            <w:noWrap w:val="0"/>
          </w:tcPr>
          <w:p w14:paraId="339E5B30">
            <w:pPr>
              <w:spacing w:line="360" w:lineRule="auto"/>
              <w:jc w:val="center"/>
              <w:rPr>
                <w:rFonts w:ascii="宋体" w:hAnsi="宋体" w:cs="宋体"/>
                <w:color w:val="auto"/>
                <w:sz w:val="24"/>
                <w:highlight w:val="none"/>
              </w:rPr>
            </w:pPr>
          </w:p>
        </w:tc>
        <w:tc>
          <w:tcPr>
            <w:tcW w:w="3291" w:type="dxa"/>
            <w:tcBorders>
              <w:top w:val="single" w:color="000000" w:sz="4" w:space="0"/>
              <w:left w:val="single" w:color="000000" w:sz="4" w:space="0"/>
              <w:bottom w:val="single" w:color="000000" w:sz="4" w:space="0"/>
              <w:right w:val="single" w:color="000000" w:sz="4" w:space="0"/>
            </w:tcBorders>
            <w:noWrap w:val="0"/>
          </w:tcPr>
          <w:p w14:paraId="6D388740">
            <w:pPr>
              <w:spacing w:line="360" w:lineRule="auto"/>
              <w:jc w:val="center"/>
              <w:rPr>
                <w:rFonts w:ascii="宋体" w:hAnsi="宋体" w:cs="宋体"/>
                <w:color w:val="auto"/>
                <w:sz w:val="24"/>
                <w:highlight w:val="none"/>
              </w:rPr>
            </w:pPr>
          </w:p>
        </w:tc>
        <w:tc>
          <w:tcPr>
            <w:tcW w:w="2852" w:type="dxa"/>
            <w:tcBorders>
              <w:top w:val="single" w:color="000000" w:sz="4" w:space="0"/>
              <w:left w:val="single" w:color="000000" w:sz="4" w:space="0"/>
              <w:bottom w:val="single" w:color="000000" w:sz="4" w:space="0"/>
              <w:right w:val="single" w:color="000000" w:sz="4" w:space="0"/>
            </w:tcBorders>
            <w:noWrap w:val="0"/>
          </w:tcPr>
          <w:p w14:paraId="3FBDEF90">
            <w:pPr>
              <w:spacing w:line="360" w:lineRule="auto"/>
              <w:jc w:val="center"/>
              <w:rPr>
                <w:rFonts w:ascii="宋体" w:hAnsi="宋体" w:cs="宋体"/>
                <w:color w:val="auto"/>
                <w:sz w:val="24"/>
                <w:highlight w:val="none"/>
              </w:rPr>
            </w:pPr>
          </w:p>
        </w:tc>
        <w:tc>
          <w:tcPr>
            <w:tcW w:w="1308" w:type="dxa"/>
            <w:tcBorders>
              <w:top w:val="single" w:color="000000" w:sz="4" w:space="0"/>
              <w:left w:val="single" w:color="000000" w:sz="4" w:space="0"/>
              <w:bottom w:val="single" w:color="000000" w:sz="4" w:space="0"/>
              <w:right w:val="single" w:color="000000" w:sz="4" w:space="0"/>
            </w:tcBorders>
            <w:noWrap w:val="0"/>
          </w:tcPr>
          <w:p w14:paraId="3F7F179A">
            <w:pPr>
              <w:spacing w:line="360" w:lineRule="auto"/>
              <w:jc w:val="center"/>
              <w:rPr>
                <w:rFonts w:ascii="宋体" w:hAnsi="宋体" w:cs="宋体"/>
                <w:color w:val="auto"/>
                <w:sz w:val="24"/>
                <w:highlight w:val="none"/>
              </w:rPr>
            </w:pPr>
          </w:p>
        </w:tc>
        <w:tc>
          <w:tcPr>
            <w:tcW w:w="1173" w:type="dxa"/>
            <w:tcBorders>
              <w:top w:val="single" w:color="000000" w:sz="4" w:space="0"/>
              <w:left w:val="single" w:color="000000" w:sz="4" w:space="0"/>
              <w:bottom w:val="single" w:color="000000" w:sz="4" w:space="0"/>
              <w:right w:val="single" w:color="000000" w:sz="4" w:space="0"/>
            </w:tcBorders>
            <w:noWrap w:val="0"/>
          </w:tcPr>
          <w:p w14:paraId="4CBAEBF1">
            <w:pPr>
              <w:spacing w:line="360" w:lineRule="auto"/>
              <w:jc w:val="center"/>
              <w:rPr>
                <w:rFonts w:ascii="宋体" w:hAnsi="宋体" w:cs="宋体"/>
                <w:color w:val="auto"/>
                <w:sz w:val="24"/>
                <w:highlight w:val="none"/>
              </w:rPr>
            </w:pPr>
          </w:p>
        </w:tc>
      </w:tr>
      <w:tr w14:paraId="29937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Borders>
              <w:top w:val="single" w:color="000000" w:sz="4" w:space="0"/>
              <w:left w:val="single" w:color="000000" w:sz="4" w:space="0"/>
              <w:bottom w:val="single" w:color="000000" w:sz="4" w:space="0"/>
              <w:right w:val="single" w:color="000000" w:sz="4" w:space="0"/>
            </w:tcBorders>
            <w:noWrap w:val="0"/>
          </w:tcPr>
          <w:p w14:paraId="68638ADE">
            <w:pPr>
              <w:spacing w:line="360" w:lineRule="auto"/>
              <w:jc w:val="center"/>
              <w:rPr>
                <w:rFonts w:ascii="宋体" w:hAnsi="宋体" w:cs="宋体"/>
                <w:color w:val="auto"/>
                <w:sz w:val="24"/>
                <w:highlight w:val="none"/>
              </w:rPr>
            </w:pPr>
          </w:p>
        </w:tc>
        <w:tc>
          <w:tcPr>
            <w:tcW w:w="3291" w:type="dxa"/>
            <w:tcBorders>
              <w:top w:val="single" w:color="000000" w:sz="4" w:space="0"/>
              <w:left w:val="single" w:color="000000" w:sz="4" w:space="0"/>
              <w:bottom w:val="single" w:color="000000" w:sz="4" w:space="0"/>
              <w:right w:val="single" w:color="000000" w:sz="4" w:space="0"/>
            </w:tcBorders>
            <w:noWrap w:val="0"/>
          </w:tcPr>
          <w:p w14:paraId="02050A22">
            <w:pPr>
              <w:spacing w:line="360" w:lineRule="auto"/>
              <w:jc w:val="center"/>
              <w:rPr>
                <w:rFonts w:ascii="宋体" w:hAnsi="宋体" w:cs="宋体"/>
                <w:color w:val="auto"/>
                <w:sz w:val="24"/>
                <w:highlight w:val="none"/>
              </w:rPr>
            </w:pPr>
          </w:p>
        </w:tc>
        <w:tc>
          <w:tcPr>
            <w:tcW w:w="2852" w:type="dxa"/>
            <w:tcBorders>
              <w:top w:val="single" w:color="000000" w:sz="4" w:space="0"/>
              <w:left w:val="single" w:color="000000" w:sz="4" w:space="0"/>
              <w:bottom w:val="single" w:color="000000" w:sz="4" w:space="0"/>
              <w:right w:val="single" w:color="000000" w:sz="4" w:space="0"/>
            </w:tcBorders>
            <w:noWrap w:val="0"/>
          </w:tcPr>
          <w:p w14:paraId="4ABD1D43">
            <w:pPr>
              <w:spacing w:line="360" w:lineRule="auto"/>
              <w:jc w:val="center"/>
              <w:rPr>
                <w:rFonts w:ascii="宋体" w:hAnsi="宋体" w:cs="宋体"/>
                <w:color w:val="auto"/>
                <w:sz w:val="24"/>
                <w:highlight w:val="none"/>
              </w:rPr>
            </w:pPr>
          </w:p>
        </w:tc>
        <w:tc>
          <w:tcPr>
            <w:tcW w:w="1308" w:type="dxa"/>
            <w:tcBorders>
              <w:top w:val="single" w:color="000000" w:sz="4" w:space="0"/>
              <w:left w:val="single" w:color="000000" w:sz="4" w:space="0"/>
              <w:bottom w:val="single" w:color="000000" w:sz="4" w:space="0"/>
              <w:right w:val="single" w:color="000000" w:sz="4" w:space="0"/>
            </w:tcBorders>
            <w:noWrap w:val="0"/>
          </w:tcPr>
          <w:p w14:paraId="78B5796B">
            <w:pPr>
              <w:spacing w:line="360" w:lineRule="auto"/>
              <w:jc w:val="center"/>
              <w:rPr>
                <w:rFonts w:ascii="宋体" w:hAnsi="宋体" w:cs="宋体"/>
                <w:color w:val="auto"/>
                <w:sz w:val="24"/>
                <w:highlight w:val="none"/>
              </w:rPr>
            </w:pPr>
          </w:p>
        </w:tc>
        <w:tc>
          <w:tcPr>
            <w:tcW w:w="1173" w:type="dxa"/>
            <w:tcBorders>
              <w:top w:val="single" w:color="000000" w:sz="4" w:space="0"/>
              <w:left w:val="single" w:color="000000" w:sz="4" w:space="0"/>
              <w:bottom w:val="single" w:color="000000" w:sz="4" w:space="0"/>
              <w:right w:val="single" w:color="000000" w:sz="4" w:space="0"/>
            </w:tcBorders>
            <w:noWrap w:val="0"/>
          </w:tcPr>
          <w:p w14:paraId="3880547C">
            <w:pPr>
              <w:spacing w:line="360" w:lineRule="auto"/>
              <w:jc w:val="center"/>
              <w:rPr>
                <w:rFonts w:ascii="宋体" w:hAnsi="宋体" w:cs="宋体"/>
                <w:color w:val="auto"/>
                <w:sz w:val="24"/>
                <w:highlight w:val="none"/>
              </w:rPr>
            </w:pPr>
          </w:p>
        </w:tc>
      </w:tr>
      <w:tr w14:paraId="60482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Borders>
              <w:top w:val="single" w:color="000000" w:sz="4" w:space="0"/>
              <w:left w:val="single" w:color="000000" w:sz="4" w:space="0"/>
              <w:bottom w:val="single" w:color="000000" w:sz="4" w:space="0"/>
              <w:right w:val="single" w:color="000000" w:sz="4" w:space="0"/>
            </w:tcBorders>
            <w:noWrap w:val="0"/>
          </w:tcPr>
          <w:p w14:paraId="59C3FED1">
            <w:pPr>
              <w:spacing w:line="360" w:lineRule="auto"/>
              <w:jc w:val="center"/>
              <w:rPr>
                <w:rFonts w:ascii="宋体" w:hAnsi="宋体" w:cs="宋体"/>
                <w:color w:val="auto"/>
                <w:sz w:val="24"/>
                <w:highlight w:val="none"/>
              </w:rPr>
            </w:pPr>
          </w:p>
        </w:tc>
        <w:tc>
          <w:tcPr>
            <w:tcW w:w="3291" w:type="dxa"/>
            <w:tcBorders>
              <w:top w:val="single" w:color="000000" w:sz="4" w:space="0"/>
              <w:left w:val="single" w:color="000000" w:sz="4" w:space="0"/>
              <w:bottom w:val="single" w:color="000000" w:sz="4" w:space="0"/>
              <w:right w:val="single" w:color="000000" w:sz="4" w:space="0"/>
            </w:tcBorders>
            <w:noWrap w:val="0"/>
          </w:tcPr>
          <w:p w14:paraId="0AF45A6C">
            <w:pPr>
              <w:spacing w:line="360" w:lineRule="auto"/>
              <w:jc w:val="center"/>
              <w:rPr>
                <w:rFonts w:ascii="宋体" w:hAnsi="宋体" w:cs="宋体"/>
                <w:color w:val="auto"/>
                <w:sz w:val="24"/>
                <w:highlight w:val="none"/>
              </w:rPr>
            </w:pPr>
            <w:r>
              <w:rPr>
                <w:rFonts w:hint="eastAsia" w:ascii="宋体" w:hAnsi="宋体" w:cs="宋体"/>
                <w:color w:val="auto"/>
                <w:sz w:val="24"/>
                <w:highlight w:val="none"/>
              </w:rPr>
              <w:t>……</w:t>
            </w:r>
          </w:p>
        </w:tc>
        <w:tc>
          <w:tcPr>
            <w:tcW w:w="2852" w:type="dxa"/>
            <w:tcBorders>
              <w:top w:val="single" w:color="000000" w:sz="4" w:space="0"/>
              <w:left w:val="single" w:color="000000" w:sz="4" w:space="0"/>
              <w:bottom w:val="single" w:color="000000" w:sz="4" w:space="0"/>
              <w:right w:val="single" w:color="000000" w:sz="4" w:space="0"/>
            </w:tcBorders>
            <w:noWrap w:val="0"/>
          </w:tcPr>
          <w:p w14:paraId="595F40BF">
            <w:pPr>
              <w:spacing w:line="360" w:lineRule="auto"/>
              <w:jc w:val="center"/>
              <w:rPr>
                <w:rFonts w:ascii="宋体" w:hAnsi="宋体" w:cs="宋体"/>
                <w:color w:val="auto"/>
                <w:sz w:val="24"/>
                <w:highlight w:val="none"/>
              </w:rPr>
            </w:pPr>
          </w:p>
        </w:tc>
        <w:tc>
          <w:tcPr>
            <w:tcW w:w="1308" w:type="dxa"/>
            <w:tcBorders>
              <w:top w:val="single" w:color="000000" w:sz="4" w:space="0"/>
              <w:left w:val="single" w:color="000000" w:sz="4" w:space="0"/>
              <w:bottom w:val="single" w:color="000000" w:sz="4" w:space="0"/>
              <w:right w:val="single" w:color="000000" w:sz="4" w:space="0"/>
            </w:tcBorders>
            <w:noWrap w:val="0"/>
          </w:tcPr>
          <w:p w14:paraId="37C6CC55">
            <w:pPr>
              <w:spacing w:line="360" w:lineRule="auto"/>
              <w:jc w:val="center"/>
              <w:rPr>
                <w:rFonts w:ascii="宋体" w:hAnsi="宋体" w:cs="宋体"/>
                <w:color w:val="auto"/>
                <w:sz w:val="24"/>
                <w:highlight w:val="none"/>
              </w:rPr>
            </w:pPr>
          </w:p>
        </w:tc>
        <w:tc>
          <w:tcPr>
            <w:tcW w:w="1173" w:type="dxa"/>
            <w:tcBorders>
              <w:top w:val="single" w:color="000000" w:sz="4" w:space="0"/>
              <w:left w:val="single" w:color="000000" w:sz="4" w:space="0"/>
              <w:bottom w:val="single" w:color="000000" w:sz="4" w:space="0"/>
              <w:right w:val="single" w:color="000000" w:sz="4" w:space="0"/>
            </w:tcBorders>
            <w:noWrap w:val="0"/>
          </w:tcPr>
          <w:p w14:paraId="5CF2DE0D">
            <w:pPr>
              <w:spacing w:line="360" w:lineRule="auto"/>
              <w:jc w:val="center"/>
              <w:rPr>
                <w:rFonts w:ascii="宋体" w:hAnsi="宋体" w:cs="宋体"/>
                <w:color w:val="auto"/>
                <w:sz w:val="24"/>
                <w:highlight w:val="none"/>
              </w:rPr>
            </w:pPr>
          </w:p>
        </w:tc>
      </w:tr>
    </w:tbl>
    <w:p w14:paraId="0A73E516">
      <w:pPr>
        <w:spacing w:line="360" w:lineRule="auto"/>
        <w:rPr>
          <w:rFonts w:ascii="宋体" w:hAnsi="宋体" w:cs="宋体"/>
          <w:color w:val="auto"/>
          <w:sz w:val="24"/>
          <w:highlight w:val="none"/>
        </w:rPr>
      </w:pPr>
      <w:r>
        <w:rPr>
          <w:rFonts w:hint="eastAsia" w:ascii="宋体" w:hAnsi="宋体" w:cs="宋体"/>
          <w:color w:val="auto"/>
          <w:sz w:val="24"/>
          <w:highlight w:val="none"/>
        </w:rPr>
        <w:t>注： 行数不够，可自行添加。</w:t>
      </w:r>
    </w:p>
    <w:p w14:paraId="0FFBFA73">
      <w:pPr>
        <w:spacing w:line="360" w:lineRule="auto"/>
        <w:jc w:val="center"/>
        <w:rPr>
          <w:rFonts w:ascii="宋体" w:hAnsi="宋体" w:cs="宋体"/>
          <w:b/>
          <w:color w:val="auto"/>
          <w:sz w:val="24"/>
          <w:highlight w:val="none"/>
        </w:rPr>
      </w:pPr>
    </w:p>
    <w:p w14:paraId="6406E341">
      <w:pPr>
        <w:spacing w:line="360" w:lineRule="auto"/>
        <w:jc w:val="center"/>
        <w:rPr>
          <w:rFonts w:ascii="宋体" w:hAnsi="宋体" w:cs="宋体"/>
          <w:b/>
          <w:color w:val="auto"/>
          <w:sz w:val="24"/>
          <w:highlight w:val="none"/>
        </w:rPr>
      </w:pPr>
    </w:p>
    <w:p w14:paraId="3DA740F6">
      <w:pPr>
        <w:spacing w:line="360" w:lineRule="auto"/>
        <w:jc w:val="center"/>
        <w:rPr>
          <w:rFonts w:ascii="宋体" w:hAnsi="宋体" w:cs="宋体"/>
          <w:b/>
          <w:color w:val="auto"/>
          <w:sz w:val="24"/>
          <w:highlight w:val="none"/>
        </w:rPr>
      </w:pPr>
    </w:p>
    <w:p w14:paraId="0D7B827B">
      <w:pPr>
        <w:spacing w:line="360" w:lineRule="auto"/>
        <w:jc w:val="center"/>
        <w:rPr>
          <w:rFonts w:ascii="宋体" w:hAnsi="宋体" w:cs="宋体"/>
          <w:b/>
          <w:color w:val="auto"/>
          <w:sz w:val="24"/>
          <w:highlight w:val="none"/>
        </w:rPr>
      </w:pPr>
    </w:p>
    <w:p w14:paraId="287A773F">
      <w:pPr>
        <w:spacing w:line="360" w:lineRule="auto"/>
        <w:rPr>
          <w:rFonts w:ascii="宋体" w:hAnsi="宋体" w:cs="宋体"/>
          <w:color w:val="auto"/>
          <w:sz w:val="24"/>
          <w:highlight w:val="none"/>
        </w:rPr>
      </w:pPr>
    </w:p>
    <w:p w14:paraId="5AE731FA">
      <w:pPr>
        <w:spacing w:line="360" w:lineRule="auto"/>
        <w:rPr>
          <w:rFonts w:ascii="宋体" w:hAnsi="宋体" w:cs="宋体"/>
          <w:color w:val="auto"/>
          <w:sz w:val="24"/>
          <w:highlight w:val="none"/>
        </w:rPr>
      </w:pPr>
    </w:p>
    <w:p w14:paraId="7371FC40">
      <w:pPr>
        <w:spacing w:line="360" w:lineRule="auto"/>
        <w:rPr>
          <w:rFonts w:ascii="宋体" w:hAnsi="宋体" w:cs="宋体"/>
          <w:color w:val="auto"/>
          <w:sz w:val="24"/>
          <w:highlight w:val="none"/>
        </w:rPr>
      </w:pPr>
    </w:p>
    <w:p w14:paraId="1DD34590">
      <w:pPr>
        <w:spacing w:line="360" w:lineRule="auto"/>
        <w:rPr>
          <w:rFonts w:ascii="宋体" w:hAnsi="宋体" w:cs="宋体"/>
          <w:color w:val="auto"/>
          <w:sz w:val="24"/>
          <w:highlight w:val="none"/>
        </w:rPr>
      </w:pPr>
    </w:p>
    <w:p w14:paraId="655F9D89">
      <w:pPr>
        <w:pStyle w:val="66"/>
        <w:rPr>
          <w:rFonts w:eastAsiaTheme="minorEastAsia"/>
          <w:color w:val="auto"/>
          <w:highlight w:val="none"/>
        </w:rPr>
      </w:pPr>
    </w:p>
    <w:p w14:paraId="0DD54206">
      <w:pPr>
        <w:pStyle w:val="66"/>
        <w:rPr>
          <w:rFonts w:eastAsiaTheme="minorEastAsia"/>
          <w:color w:val="auto"/>
          <w:highlight w:val="none"/>
        </w:rPr>
      </w:pPr>
    </w:p>
    <w:p w14:paraId="2F8EA44A">
      <w:pPr>
        <w:spacing w:line="360" w:lineRule="auto"/>
        <w:rPr>
          <w:rFonts w:ascii="宋体" w:hAnsi="宋体" w:cs="宋体"/>
          <w:color w:val="auto"/>
          <w:sz w:val="24"/>
          <w:highlight w:val="none"/>
        </w:rPr>
      </w:pPr>
    </w:p>
    <w:p w14:paraId="13E7A7CD">
      <w:pPr>
        <w:spacing w:line="360" w:lineRule="auto"/>
        <w:rPr>
          <w:rFonts w:ascii="宋体" w:hAnsi="宋体" w:cs="宋体"/>
          <w:color w:val="auto"/>
          <w:sz w:val="24"/>
          <w:highlight w:val="none"/>
        </w:rPr>
      </w:pPr>
    </w:p>
    <w:p w14:paraId="14D92D8B">
      <w:pPr>
        <w:spacing w:line="360" w:lineRule="auto"/>
        <w:rPr>
          <w:rFonts w:ascii="宋体" w:hAnsi="宋体" w:cs="宋体"/>
          <w:color w:val="auto"/>
          <w:sz w:val="24"/>
          <w:highlight w:val="none"/>
        </w:rPr>
      </w:pPr>
    </w:p>
    <w:p w14:paraId="5F17AEB7">
      <w:pPr>
        <w:spacing w:line="360" w:lineRule="auto"/>
        <w:rPr>
          <w:rFonts w:ascii="宋体" w:hAnsi="宋体" w:cs="宋体"/>
          <w:color w:val="auto"/>
          <w:sz w:val="24"/>
          <w:highlight w:val="none"/>
        </w:rPr>
      </w:pPr>
    </w:p>
    <w:p w14:paraId="03CD8EDC">
      <w:pPr>
        <w:spacing w:line="360" w:lineRule="auto"/>
        <w:rPr>
          <w:rFonts w:ascii="宋体" w:hAnsi="宋体" w:cs="宋体"/>
          <w:color w:val="auto"/>
          <w:sz w:val="24"/>
          <w:highlight w:val="none"/>
        </w:rPr>
      </w:pPr>
    </w:p>
    <w:p w14:paraId="3962F98B">
      <w:pPr>
        <w:spacing w:line="360" w:lineRule="auto"/>
        <w:jc w:val="center"/>
        <w:rPr>
          <w:rFonts w:hint="eastAsia" w:ascii="宋体" w:hAnsi="宋体" w:cs="宋体"/>
          <w:b/>
          <w:bCs/>
          <w:i/>
          <w:iCs/>
          <w:color w:val="auto"/>
          <w:sz w:val="24"/>
          <w:highlight w:val="none"/>
          <w:u w:val="single"/>
        </w:rPr>
      </w:pPr>
      <w:bookmarkStart w:id="209" w:name="_Hlt26955054"/>
      <w:bookmarkEnd w:id="209"/>
      <w:r>
        <w:rPr>
          <w:rFonts w:hint="eastAsia" w:ascii="宋体" w:hAnsi="宋体" w:cs="宋体"/>
          <w:b/>
          <w:bCs/>
          <w:i/>
          <w:iCs/>
          <w:color w:val="auto"/>
          <w:sz w:val="24"/>
          <w:highlight w:val="none"/>
          <w:u w:val="single"/>
        </w:rPr>
        <w:t>十</w:t>
      </w:r>
      <w:r>
        <w:rPr>
          <w:rFonts w:hint="eastAsia" w:ascii="宋体" w:hAnsi="宋体" w:cs="宋体"/>
          <w:b/>
          <w:bCs/>
          <w:i/>
          <w:iCs/>
          <w:color w:val="auto"/>
          <w:sz w:val="24"/>
          <w:highlight w:val="none"/>
          <w:u w:val="single"/>
          <w:lang w:val="en-US" w:eastAsia="zh-CN"/>
        </w:rPr>
        <w:t>四</w:t>
      </w:r>
      <w:r>
        <w:rPr>
          <w:rFonts w:hint="eastAsia" w:ascii="宋体" w:hAnsi="宋体" w:cs="宋体"/>
          <w:b/>
          <w:bCs/>
          <w:i/>
          <w:iCs/>
          <w:color w:val="auto"/>
          <w:sz w:val="24"/>
          <w:highlight w:val="none"/>
          <w:u w:val="single"/>
        </w:rPr>
        <w:t>、商务要求响应及偏离表</w:t>
      </w:r>
    </w:p>
    <w:tbl>
      <w:tblPr>
        <w:tblStyle w:val="5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2688"/>
        <w:gridCol w:w="2883"/>
        <w:gridCol w:w="1302"/>
        <w:gridCol w:w="1614"/>
      </w:tblGrid>
      <w:tr w14:paraId="0AE3F7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82" w:type="dxa"/>
            <w:tcBorders>
              <w:top w:val="single" w:color="000000" w:sz="4" w:space="0"/>
              <w:left w:val="single" w:color="000000" w:sz="4" w:space="0"/>
              <w:bottom w:val="single" w:color="000000" w:sz="4" w:space="0"/>
              <w:right w:val="single" w:color="000000" w:sz="4" w:space="0"/>
            </w:tcBorders>
            <w:noWrap w:val="0"/>
            <w:vAlign w:val="center"/>
          </w:tcPr>
          <w:p w14:paraId="65E8D164">
            <w:pPr>
              <w:spacing w:line="360" w:lineRule="auto"/>
              <w:jc w:val="center"/>
              <w:rPr>
                <w:rFonts w:ascii="宋体" w:hAnsi="宋体" w:cs="宋体"/>
                <w:color w:val="auto"/>
                <w:sz w:val="24"/>
                <w:highlight w:val="none"/>
              </w:rPr>
            </w:pPr>
            <w:bookmarkStart w:id="210" w:name="_Hlt26955056"/>
            <w:bookmarkEnd w:id="210"/>
            <w:bookmarkStart w:id="211" w:name="_Hlt26671343"/>
            <w:bookmarkEnd w:id="211"/>
            <w:bookmarkStart w:id="212" w:name="_Hlt26955064"/>
            <w:bookmarkEnd w:id="212"/>
            <w:bookmarkStart w:id="213" w:name="_Hlt24879081"/>
            <w:bookmarkEnd w:id="213"/>
            <w:bookmarkStart w:id="214" w:name="_Hlt26671372"/>
            <w:bookmarkEnd w:id="214"/>
            <w:bookmarkStart w:id="215" w:name="_Hlt26609391"/>
            <w:bookmarkEnd w:id="215"/>
            <w:bookmarkStart w:id="216" w:name="_Hlt26580838"/>
            <w:bookmarkEnd w:id="216"/>
            <w:bookmarkStart w:id="217" w:name="_Hlt26782999"/>
            <w:bookmarkEnd w:id="217"/>
            <w:r>
              <w:rPr>
                <w:rFonts w:hint="eastAsia" w:ascii="宋体" w:hAnsi="宋体" w:cs="宋体"/>
                <w:color w:val="auto"/>
                <w:sz w:val="24"/>
                <w:highlight w:val="none"/>
              </w:rPr>
              <w:t>序号</w:t>
            </w:r>
          </w:p>
        </w:tc>
        <w:tc>
          <w:tcPr>
            <w:tcW w:w="2688" w:type="dxa"/>
            <w:tcBorders>
              <w:top w:val="single" w:color="000000" w:sz="4" w:space="0"/>
              <w:left w:val="single" w:color="000000" w:sz="4" w:space="0"/>
              <w:bottom w:val="single" w:color="000000" w:sz="4" w:space="0"/>
              <w:right w:val="single" w:color="000000" w:sz="4" w:space="0"/>
            </w:tcBorders>
            <w:noWrap w:val="0"/>
            <w:vAlign w:val="center"/>
          </w:tcPr>
          <w:p w14:paraId="7E45DBA9">
            <w:pPr>
              <w:spacing w:line="360" w:lineRule="auto"/>
              <w:jc w:val="center"/>
              <w:rPr>
                <w:rFonts w:ascii="宋体" w:hAnsi="宋体" w:cs="宋体"/>
                <w:color w:val="auto"/>
                <w:sz w:val="24"/>
                <w:highlight w:val="none"/>
              </w:rPr>
            </w:pPr>
            <w:r>
              <w:rPr>
                <w:rFonts w:hint="eastAsia" w:ascii="宋体" w:hAnsi="宋体" w:cs="宋体"/>
                <w:color w:val="auto"/>
                <w:sz w:val="24"/>
                <w:highlight w:val="none"/>
                <w:lang w:eastAsia="zh-CN"/>
              </w:rPr>
              <w:t>竞争性磋商文件</w:t>
            </w:r>
            <w:r>
              <w:rPr>
                <w:rFonts w:hint="eastAsia" w:ascii="宋体" w:hAnsi="宋体" w:cs="宋体"/>
                <w:color w:val="auto"/>
                <w:sz w:val="24"/>
                <w:highlight w:val="none"/>
              </w:rPr>
              <w:t>要求</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14:paraId="073CB033">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投标响应情况</w:t>
            </w:r>
          </w:p>
        </w:tc>
        <w:tc>
          <w:tcPr>
            <w:tcW w:w="1302" w:type="dxa"/>
            <w:tcBorders>
              <w:top w:val="single" w:color="000000" w:sz="4" w:space="0"/>
              <w:left w:val="single" w:color="000000" w:sz="4" w:space="0"/>
              <w:bottom w:val="single" w:color="000000" w:sz="4" w:space="0"/>
              <w:right w:val="single" w:color="000000" w:sz="4" w:space="0"/>
            </w:tcBorders>
            <w:noWrap w:val="0"/>
            <w:vAlign w:val="center"/>
          </w:tcPr>
          <w:p w14:paraId="7C28417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超出、符合或偏离</w:t>
            </w:r>
          </w:p>
        </w:tc>
        <w:tc>
          <w:tcPr>
            <w:tcW w:w="1614" w:type="dxa"/>
            <w:tcBorders>
              <w:top w:val="single" w:color="000000" w:sz="4" w:space="0"/>
              <w:left w:val="single" w:color="000000" w:sz="4" w:space="0"/>
              <w:bottom w:val="single" w:color="000000" w:sz="4" w:space="0"/>
              <w:right w:val="single" w:color="000000" w:sz="4" w:space="0"/>
            </w:tcBorders>
            <w:noWrap w:val="0"/>
            <w:vAlign w:val="center"/>
          </w:tcPr>
          <w:p w14:paraId="5CC68935">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证明</w:t>
            </w:r>
          </w:p>
          <w:p w14:paraId="06DAC7F6">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材料</w:t>
            </w:r>
          </w:p>
        </w:tc>
      </w:tr>
      <w:tr w14:paraId="115AD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Borders>
              <w:top w:val="single" w:color="000000" w:sz="4" w:space="0"/>
              <w:left w:val="single" w:color="000000" w:sz="4" w:space="0"/>
              <w:bottom w:val="single" w:color="000000" w:sz="4" w:space="0"/>
              <w:right w:val="single" w:color="000000" w:sz="4" w:space="0"/>
            </w:tcBorders>
            <w:noWrap w:val="0"/>
          </w:tcPr>
          <w:p w14:paraId="566B002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2688" w:type="dxa"/>
            <w:tcBorders>
              <w:top w:val="single" w:color="000000" w:sz="4" w:space="0"/>
              <w:left w:val="single" w:color="000000" w:sz="4" w:space="0"/>
              <w:bottom w:val="single" w:color="000000" w:sz="4" w:space="0"/>
              <w:right w:val="single" w:color="000000" w:sz="4" w:space="0"/>
            </w:tcBorders>
            <w:noWrap w:val="0"/>
            <w:vAlign w:val="center"/>
          </w:tcPr>
          <w:p w14:paraId="5EBDBC6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合同内容</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14:paraId="46ADE83B">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按照</w:t>
            </w:r>
            <w:r>
              <w:rPr>
                <w:rFonts w:hint="eastAsia" w:ascii="宋体" w:hAnsi="宋体" w:cs="宋体"/>
                <w:color w:val="auto"/>
                <w:sz w:val="24"/>
                <w:highlight w:val="none"/>
                <w:lang w:eastAsia="zh-CN"/>
              </w:rPr>
              <w:t>竞争性磋商文件</w:t>
            </w:r>
            <w:r>
              <w:rPr>
                <w:rFonts w:hint="eastAsia" w:ascii="宋体" w:hAnsi="宋体" w:cs="宋体"/>
                <w:color w:val="auto"/>
                <w:sz w:val="24"/>
                <w:highlight w:val="none"/>
              </w:rPr>
              <w:t>约定</w:t>
            </w:r>
          </w:p>
        </w:tc>
        <w:tc>
          <w:tcPr>
            <w:tcW w:w="1302" w:type="dxa"/>
            <w:tcBorders>
              <w:top w:val="single" w:color="000000" w:sz="4" w:space="0"/>
              <w:left w:val="single" w:color="000000" w:sz="4" w:space="0"/>
              <w:bottom w:val="single" w:color="000000" w:sz="4" w:space="0"/>
              <w:right w:val="single" w:color="000000" w:sz="4" w:space="0"/>
            </w:tcBorders>
            <w:noWrap w:val="0"/>
          </w:tcPr>
          <w:p w14:paraId="514BB395">
            <w:pPr>
              <w:spacing w:line="360" w:lineRule="auto"/>
              <w:jc w:val="center"/>
              <w:rPr>
                <w:rFonts w:ascii="宋体" w:hAnsi="宋体" w:cs="宋体"/>
                <w:color w:val="auto"/>
                <w:sz w:val="24"/>
                <w:highlight w:val="none"/>
              </w:rPr>
            </w:pPr>
          </w:p>
        </w:tc>
        <w:tc>
          <w:tcPr>
            <w:tcW w:w="1614" w:type="dxa"/>
            <w:tcBorders>
              <w:top w:val="single" w:color="000000" w:sz="4" w:space="0"/>
              <w:left w:val="single" w:color="000000" w:sz="4" w:space="0"/>
              <w:bottom w:val="single" w:color="000000" w:sz="4" w:space="0"/>
              <w:right w:val="single" w:color="000000" w:sz="4" w:space="0"/>
            </w:tcBorders>
            <w:noWrap w:val="0"/>
          </w:tcPr>
          <w:p w14:paraId="036B64FD">
            <w:pPr>
              <w:spacing w:line="360" w:lineRule="auto"/>
              <w:jc w:val="center"/>
              <w:rPr>
                <w:rFonts w:ascii="宋体" w:hAnsi="宋体" w:cs="宋体"/>
                <w:color w:val="auto"/>
                <w:sz w:val="24"/>
                <w:highlight w:val="none"/>
              </w:rPr>
            </w:pPr>
          </w:p>
        </w:tc>
      </w:tr>
      <w:tr w14:paraId="19AEF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Borders>
              <w:top w:val="single" w:color="000000" w:sz="4" w:space="0"/>
              <w:left w:val="single" w:color="000000" w:sz="4" w:space="0"/>
              <w:bottom w:val="single" w:color="000000" w:sz="4" w:space="0"/>
              <w:right w:val="single" w:color="000000" w:sz="4" w:space="0"/>
            </w:tcBorders>
            <w:noWrap w:val="0"/>
          </w:tcPr>
          <w:p w14:paraId="5FF6ED33">
            <w:pPr>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2688" w:type="dxa"/>
            <w:tcBorders>
              <w:top w:val="single" w:color="000000" w:sz="4" w:space="0"/>
              <w:left w:val="single" w:color="000000" w:sz="4" w:space="0"/>
              <w:bottom w:val="single" w:color="000000" w:sz="4" w:space="0"/>
              <w:right w:val="single" w:color="000000" w:sz="4" w:space="0"/>
            </w:tcBorders>
            <w:noWrap w:val="0"/>
            <w:vAlign w:val="center"/>
          </w:tcPr>
          <w:p w14:paraId="357EF23D">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工期</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14:paraId="6D798842">
            <w:pPr>
              <w:spacing w:line="360" w:lineRule="auto"/>
              <w:jc w:val="center"/>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日历天</w:t>
            </w:r>
          </w:p>
        </w:tc>
        <w:tc>
          <w:tcPr>
            <w:tcW w:w="1302" w:type="dxa"/>
            <w:tcBorders>
              <w:top w:val="single" w:color="000000" w:sz="4" w:space="0"/>
              <w:left w:val="single" w:color="000000" w:sz="4" w:space="0"/>
              <w:bottom w:val="single" w:color="000000" w:sz="4" w:space="0"/>
              <w:right w:val="single" w:color="000000" w:sz="4" w:space="0"/>
            </w:tcBorders>
            <w:noWrap w:val="0"/>
          </w:tcPr>
          <w:p w14:paraId="45702209">
            <w:pPr>
              <w:spacing w:line="360" w:lineRule="auto"/>
              <w:jc w:val="center"/>
              <w:rPr>
                <w:rFonts w:ascii="宋体" w:hAnsi="宋体" w:cs="宋体"/>
                <w:color w:val="auto"/>
                <w:sz w:val="24"/>
                <w:highlight w:val="none"/>
              </w:rPr>
            </w:pPr>
          </w:p>
        </w:tc>
        <w:tc>
          <w:tcPr>
            <w:tcW w:w="1614" w:type="dxa"/>
            <w:tcBorders>
              <w:top w:val="single" w:color="000000" w:sz="4" w:space="0"/>
              <w:left w:val="single" w:color="000000" w:sz="4" w:space="0"/>
              <w:bottom w:val="single" w:color="000000" w:sz="4" w:space="0"/>
              <w:right w:val="single" w:color="000000" w:sz="4" w:space="0"/>
            </w:tcBorders>
            <w:noWrap w:val="0"/>
          </w:tcPr>
          <w:p w14:paraId="7346ADEB">
            <w:pPr>
              <w:spacing w:line="360" w:lineRule="auto"/>
              <w:jc w:val="center"/>
              <w:rPr>
                <w:rFonts w:ascii="宋体" w:hAnsi="宋体" w:cs="宋体"/>
                <w:color w:val="auto"/>
                <w:sz w:val="24"/>
                <w:highlight w:val="none"/>
              </w:rPr>
            </w:pPr>
          </w:p>
        </w:tc>
      </w:tr>
      <w:tr w14:paraId="1D919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Borders>
              <w:top w:val="single" w:color="000000" w:sz="4" w:space="0"/>
              <w:left w:val="single" w:color="000000" w:sz="4" w:space="0"/>
              <w:bottom w:val="single" w:color="000000" w:sz="4" w:space="0"/>
              <w:right w:val="single" w:color="000000" w:sz="4" w:space="0"/>
            </w:tcBorders>
            <w:noWrap w:val="0"/>
          </w:tcPr>
          <w:p w14:paraId="5F5750E8">
            <w:pPr>
              <w:spacing w:line="360" w:lineRule="auto"/>
              <w:jc w:val="center"/>
              <w:rPr>
                <w:rFonts w:ascii="宋体" w:hAnsi="宋体" w:cs="宋体"/>
                <w:color w:val="auto"/>
                <w:sz w:val="24"/>
                <w:highlight w:val="none"/>
              </w:rPr>
            </w:pPr>
            <w:r>
              <w:rPr>
                <w:rFonts w:hint="eastAsia" w:ascii="宋体" w:hAnsi="宋体" w:cs="宋体"/>
                <w:color w:val="auto"/>
                <w:sz w:val="24"/>
                <w:highlight w:val="none"/>
              </w:rPr>
              <w:t>3</w:t>
            </w:r>
          </w:p>
        </w:tc>
        <w:tc>
          <w:tcPr>
            <w:tcW w:w="2688" w:type="dxa"/>
            <w:tcBorders>
              <w:top w:val="single" w:color="000000" w:sz="4" w:space="0"/>
              <w:left w:val="single" w:color="000000" w:sz="4" w:space="0"/>
              <w:bottom w:val="single" w:color="000000" w:sz="4" w:space="0"/>
              <w:right w:val="single" w:color="000000" w:sz="4" w:space="0"/>
            </w:tcBorders>
            <w:noWrap w:val="0"/>
            <w:vAlign w:val="center"/>
          </w:tcPr>
          <w:p w14:paraId="4DA07465">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质量</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14:paraId="32C1F3EA">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合格</w:t>
            </w:r>
          </w:p>
        </w:tc>
        <w:tc>
          <w:tcPr>
            <w:tcW w:w="1302" w:type="dxa"/>
            <w:tcBorders>
              <w:top w:val="single" w:color="000000" w:sz="4" w:space="0"/>
              <w:left w:val="single" w:color="000000" w:sz="4" w:space="0"/>
              <w:bottom w:val="single" w:color="000000" w:sz="4" w:space="0"/>
              <w:right w:val="single" w:color="000000" w:sz="4" w:space="0"/>
            </w:tcBorders>
            <w:noWrap w:val="0"/>
          </w:tcPr>
          <w:p w14:paraId="30A6D3C2">
            <w:pPr>
              <w:spacing w:line="360" w:lineRule="auto"/>
              <w:jc w:val="center"/>
              <w:rPr>
                <w:rFonts w:ascii="宋体" w:hAnsi="宋体" w:cs="宋体"/>
                <w:color w:val="auto"/>
                <w:sz w:val="24"/>
                <w:highlight w:val="none"/>
              </w:rPr>
            </w:pPr>
          </w:p>
        </w:tc>
        <w:tc>
          <w:tcPr>
            <w:tcW w:w="1614" w:type="dxa"/>
            <w:tcBorders>
              <w:top w:val="single" w:color="000000" w:sz="4" w:space="0"/>
              <w:left w:val="single" w:color="000000" w:sz="4" w:space="0"/>
              <w:bottom w:val="single" w:color="000000" w:sz="4" w:space="0"/>
              <w:right w:val="single" w:color="000000" w:sz="4" w:space="0"/>
            </w:tcBorders>
            <w:noWrap w:val="0"/>
          </w:tcPr>
          <w:p w14:paraId="5216A501">
            <w:pPr>
              <w:spacing w:line="360" w:lineRule="auto"/>
              <w:jc w:val="center"/>
              <w:rPr>
                <w:rFonts w:ascii="宋体" w:hAnsi="宋体" w:cs="宋体"/>
                <w:color w:val="auto"/>
                <w:sz w:val="24"/>
                <w:highlight w:val="none"/>
              </w:rPr>
            </w:pPr>
          </w:p>
        </w:tc>
      </w:tr>
      <w:tr w14:paraId="02E0C2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Borders>
              <w:top w:val="single" w:color="000000" w:sz="4" w:space="0"/>
              <w:left w:val="single" w:color="000000" w:sz="4" w:space="0"/>
              <w:bottom w:val="single" w:color="000000" w:sz="4" w:space="0"/>
              <w:right w:val="single" w:color="000000" w:sz="4" w:space="0"/>
            </w:tcBorders>
            <w:noWrap w:val="0"/>
          </w:tcPr>
          <w:p w14:paraId="31E280A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4</w:t>
            </w:r>
          </w:p>
        </w:tc>
        <w:tc>
          <w:tcPr>
            <w:tcW w:w="2688" w:type="dxa"/>
            <w:tcBorders>
              <w:top w:val="single" w:color="000000" w:sz="4" w:space="0"/>
              <w:left w:val="single" w:color="000000" w:sz="4" w:space="0"/>
              <w:bottom w:val="single" w:color="000000" w:sz="4" w:space="0"/>
              <w:right w:val="single" w:color="000000" w:sz="4" w:space="0"/>
            </w:tcBorders>
            <w:noWrap w:val="0"/>
            <w:vAlign w:val="center"/>
          </w:tcPr>
          <w:p w14:paraId="2C5594F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付款方式</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14:paraId="1A0511A6">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按照</w:t>
            </w:r>
            <w:r>
              <w:rPr>
                <w:rFonts w:hint="eastAsia" w:ascii="宋体" w:hAnsi="宋体" w:cs="宋体"/>
                <w:color w:val="auto"/>
                <w:sz w:val="24"/>
                <w:highlight w:val="none"/>
                <w:lang w:eastAsia="zh-CN"/>
              </w:rPr>
              <w:t>竞争性磋商文件</w:t>
            </w:r>
            <w:r>
              <w:rPr>
                <w:rFonts w:hint="eastAsia" w:ascii="宋体" w:hAnsi="宋体" w:cs="宋体"/>
                <w:color w:val="auto"/>
                <w:sz w:val="24"/>
                <w:highlight w:val="none"/>
              </w:rPr>
              <w:t>约定</w:t>
            </w:r>
          </w:p>
        </w:tc>
        <w:tc>
          <w:tcPr>
            <w:tcW w:w="1302" w:type="dxa"/>
            <w:tcBorders>
              <w:top w:val="single" w:color="000000" w:sz="4" w:space="0"/>
              <w:left w:val="single" w:color="000000" w:sz="4" w:space="0"/>
              <w:bottom w:val="single" w:color="000000" w:sz="4" w:space="0"/>
              <w:right w:val="single" w:color="000000" w:sz="4" w:space="0"/>
            </w:tcBorders>
            <w:noWrap w:val="0"/>
          </w:tcPr>
          <w:p w14:paraId="7F8F7BA1">
            <w:pPr>
              <w:spacing w:line="360" w:lineRule="auto"/>
              <w:jc w:val="center"/>
              <w:rPr>
                <w:rFonts w:ascii="宋体" w:hAnsi="宋体" w:cs="宋体"/>
                <w:color w:val="auto"/>
                <w:sz w:val="24"/>
                <w:highlight w:val="none"/>
              </w:rPr>
            </w:pPr>
          </w:p>
        </w:tc>
        <w:tc>
          <w:tcPr>
            <w:tcW w:w="1614" w:type="dxa"/>
            <w:tcBorders>
              <w:top w:val="single" w:color="000000" w:sz="4" w:space="0"/>
              <w:left w:val="single" w:color="000000" w:sz="4" w:space="0"/>
              <w:bottom w:val="single" w:color="000000" w:sz="4" w:space="0"/>
              <w:right w:val="single" w:color="000000" w:sz="4" w:space="0"/>
            </w:tcBorders>
            <w:noWrap w:val="0"/>
          </w:tcPr>
          <w:p w14:paraId="5D33C93B">
            <w:pPr>
              <w:spacing w:line="360" w:lineRule="auto"/>
              <w:jc w:val="center"/>
              <w:rPr>
                <w:rFonts w:ascii="宋体" w:hAnsi="宋体" w:cs="宋体"/>
                <w:color w:val="auto"/>
                <w:sz w:val="24"/>
                <w:highlight w:val="none"/>
              </w:rPr>
            </w:pPr>
          </w:p>
        </w:tc>
      </w:tr>
      <w:tr w14:paraId="78571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Borders>
              <w:top w:val="single" w:color="000000" w:sz="4" w:space="0"/>
              <w:left w:val="single" w:color="000000" w:sz="4" w:space="0"/>
              <w:bottom w:val="single" w:color="000000" w:sz="4" w:space="0"/>
              <w:right w:val="single" w:color="000000" w:sz="4" w:space="0"/>
            </w:tcBorders>
            <w:noWrap w:val="0"/>
          </w:tcPr>
          <w:p w14:paraId="38AD07CA">
            <w:pPr>
              <w:spacing w:line="360" w:lineRule="auto"/>
              <w:jc w:val="center"/>
              <w:rPr>
                <w:rFonts w:ascii="宋体" w:hAnsi="宋体" w:cs="宋体"/>
                <w:color w:val="auto"/>
                <w:sz w:val="24"/>
                <w:highlight w:val="none"/>
              </w:rPr>
            </w:pPr>
            <w:r>
              <w:rPr>
                <w:rFonts w:hint="eastAsia" w:ascii="宋体" w:hAnsi="宋体" w:cs="宋体"/>
                <w:color w:val="auto"/>
                <w:sz w:val="24"/>
                <w:highlight w:val="none"/>
              </w:rPr>
              <w:t>5</w:t>
            </w:r>
          </w:p>
        </w:tc>
        <w:tc>
          <w:tcPr>
            <w:tcW w:w="2688" w:type="dxa"/>
            <w:tcBorders>
              <w:top w:val="single" w:color="000000" w:sz="4" w:space="0"/>
              <w:left w:val="single" w:color="000000" w:sz="4" w:space="0"/>
              <w:bottom w:val="single" w:color="000000" w:sz="4" w:space="0"/>
              <w:right w:val="single" w:color="000000" w:sz="4" w:space="0"/>
            </w:tcBorders>
            <w:noWrap w:val="0"/>
            <w:vAlign w:val="center"/>
          </w:tcPr>
          <w:p w14:paraId="4BBC21E9">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投标货币</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14:paraId="72222646">
            <w:pPr>
              <w:spacing w:line="360" w:lineRule="auto"/>
              <w:jc w:val="center"/>
              <w:rPr>
                <w:rFonts w:ascii="宋体" w:hAnsi="宋体" w:cs="宋体"/>
                <w:color w:val="auto"/>
                <w:sz w:val="24"/>
                <w:highlight w:val="none"/>
              </w:rPr>
            </w:pPr>
            <w:r>
              <w:rPr>
                <w:rFonts w:hint="eastAsia" w:ascii="宋体" w:hAnsi="宋体" w:cs="宋体"/>
                <w:color w:val="auto"/>
                <w:sz w:val="24"/>
                <w:highlight w:val="none"/>
              </w:rPr>
              <w:t>人民币</w:t>
            </w:r>
          </w:p>
        </w:tc>
        <w:tc>
          <w:tcPr>
            <w:tcW w:w="1302" w:type="dxa"/>
            <w:tcBorders>
              <w:top w:val="single" w:color="000000" w:sz="4" w:space="0"/>
              <w:left w:val="single" w:color="000000" w:sz="4" w:space="0"/>
              <w:bottom w:val="single" w:color="000000" w:sz="4" w:space="0"/>
              <w:right w:val="single" w:color="000000" w:sz="4" w:space="0"/>
            </w:tcBorders>
            <w:noWrap w:val="0"/>
          </w:tcPr>
          <w:p w14:paraId="4744C4A5">
            <w:pPr>
              <w:spacing w:line="360" w:lineRule="auto"/>
              <w:jc w:val="center"/>
              <w:rPr>
                <w:rFonts w:ascii="宋体" w:hAnsi="宋体" w:cs="宋体"/>
                <w:color w:val="auto"/>
                <w:sz w:val="24"/>
                <w:highlight w:val="none"/>
              </w:rPr>
            </w:pPr>
          </w:p>
        </w:tc>
        <w:tc>
          <w:tcPr>
            <w:tcW w:w="1614" w:type="dxa"/>
            <w:tcBorders>
              <w:top w:val="single" w:color="000000" w:sz="4" w:space="0"/>
              <w:left w:val="single" w:color="000000" w:sz="4" w:space="0"/>
              <w:bottom w:val="single" w:color="000000" w:sz="4" w:space="0"/>
              <w:right w:val="single" w:color="000000" w:sz="4" w:space="0"/>
            </w:tcBorders>
            <w:noWrap w:val="0"/>
          </w:tcPr>
          <w:p w14:paraId="288AB6F5">
            <w:pPr>
              <w:spacing w:line="360" w:lineRule="auto"/>
              <w:jc w:val="center"/>
              <w:rPr>
                <w:rFonts w:ascii="宋体" w:hAnsi="宋体" w:cs="宋体"/>
                <w:color w:val="auto"/>
                <w:sz w:val="24"/>
                <w:highlight w:val="none"/>
              </w:rPr>
            </w:pPr>
          </w:p>
        </w:tc>
      </w:tr>
      <w:tr w14:paraId="0FB3F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1" w:hRule="atLeast"/>
        </w:trPr>
        <w:tc>
          <w:tcPr>
            <w:tcW w:w="682" w:type="dxa"/>
            <w:tcBorders>
              <w:top w:val="single" w:color="000000" w:sz="4" w:space="0"/>
              <w:left w:val="single" w:color="000000" w:sz="4" w:space="0"/>
              <w:bottom w:val="single" w:color="000000" w:sz="4" w:space="0"/>
              <w:right w:val="single" w:color="000000" w:sz="4" w:space="0"/>
            </w:tcBorders>
            <w:noWrap w:val="0"/>
          </w:tcPr>
          <w:p w14:paraId="79AE4B4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6</w:t>
            </w:r>
          </w:p>
        </w:tc>
        <w:tc>
          <w:tcPr>
            <w:tcW w:w="2688" w:type="dxa"/>
            <w:tcBorders>
              <w:top w:val="single" w:color="000000" w:sz="4" w:space="0"/>
              <w:left w:val="single" w:color="000000" w:sz="4" w:space="0"/>
              <w:bottom w:val="single" w:color="000000" w:sz="4" w:space="0"/>
              <w:right w:val="single" w:color="000000" w:sz="4" w:space="0"/>
            </w:tcBorders>
            <w:noWrap w:val="0"/>
            <w:vAlign w:val="center"/>
          </w:tcPr>
          <w:p w14:paraId="154B3578">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履约保证金</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14:paraId="42619E4B">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按照</w:t>
            </w:r>
            <w:r>
              <w:rPr>
                <w:rFonts w:hint="eastAsia" w:ascii="宋体" w:hAnsi="宋体" w:cs="宋体"/>
                <w:color w:val="auto"/>
                <w:sz w:val="24"/>
                <w:highlight w:val="none"/>
                <w:lang w:eastAsia="zh-CN"/>
              </w:rPr>
              <w:t>竞争性磋商文件</w:t>
            </w:r>
            <w:r>
              <w:rPr>
                <w:rFonts w:hint="eastAsia" w:ascii="宋体" w:hAnsi="宋体" w:cs="宋体"/>
                <w:color w:val="auto"/>
                <w:sz w:val="24"/>
                <w:highlight w:val="none"/>
              </w:rPr>
              <w:t>约定</w:t>
            </w:r>
          </w:p>
        </w:tc>
        <w:tc>
          <w:tcPr>
            <w:tcW w:w="1302" w:type="dxa"/>
            <w:tcBorders>
              <w:top w:val="single" w:color="000000" w:sz="4" w:space="0"/>
              <w:left w:val="single" w:color="000000" w:sz="4" w:space="0"/>
              <w:bottom w:val="single" w:color="000000" w:sz="4" w:space="0"/>
              <w:right w:val="single" w:color="000000" w:sz="4" w:space="0"/>
            </w:tcBorders>
            <w:noWrap w:val="0"/>
          </w:tcPr>
          <w:p w14:paraId="13D68FD3">
            <w:pPr>
              <w:spacing w:line="360" w:lineRule="auto"/>
              <w:jc w:val="center"/>
              <w:rPr>
                <w:rFonts w:ascii="宋体" w:hAnsi="宋体" w:cs="宋体"/>
                <w:color w:val="auto"/>
                <w:sz w:val="24"/>
                <w:highlight w:val="none"/>
              </w:rPr>
            </w:pPr>
          </w:p>
        </w:tc>
        <w:tc>
          <w:tcPr>
            <w:tcW w:w="1614" w:type="dxa"/>
            <w:tcBorders>
              <w:top w:val="single" w:color="000000" w:sz="4" w:space="0"/>
              <w:left w:val="single" w:color="000000" w:sz="4" w:space="0"/>
              <w:bottom w:val="single" w:color="000000" w:sz="4" w:space="0"/>
              <w:right w:val="single" w:color="000000" w:sz="4" w:space="0"/>
            </w:tcBorders>
            <w:noWrap w:val="0"/>
          </w:tcPr>
          <w:p w14:paraId="2335C5E6">
            <w:pPr>
              <w:spacing w:line="360" w:lineRule="auto"/>
              <w:jc w:val="center"/>
              <w:rPr>
                <w:rFonts w:ascii="宋体" w:hAnsi="宋体" w:cs="宋体"/>
                <w:color w:val="auto"/>
                <w:sz w:val="24"/>
                <w:highlight w:val="none"/>
              </w:rPr>
            </w:pPr>
          </w:p>
        </w:tc>
      </w:tr>
      <w:tr w14:paraId="1E7CD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Borders>
              <w:top w:val="single" w:color="000000" w:sz="4" w:space="0"/>
              <w:left w:val="single" w:color="000000" w:sz="4" w:space="0"/>
              <w:bottom w:val="single" w:color="000000" w:sz="4" w:space="0"/>
              <w:right w:val="single" w:color="000000" w:sz="4" w:space="0"/>
            </w:tcBorders>
            <w:noWrap w:val="0"/>
          </w:tcPr>
          <w:p w14:paraId="5E6FD963">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7</w:t>
            </w:r>
          </w:p>
        </w:tc>
        <w:tc>
          <w:tcPr>
            <w:tcW w:w="2688" w:type="dxa"/>
            <w:tcBorders>
              <w:top w:val="single" w:color="000000" w:sz="4" w:space="0"/>
              <w:left w:val="single" w:color="000000" w:sz="4" w:space="0"/>
              <w:bottom w:val="single" w:color="000000" w:sz="4" w:space="0"/>
              <w:right w:val="single" w:color="000000" w:sz="4" w:space="0"/>
            </w:tcBorders>
            <w:noWrap w:val="0"/>
            <w:vAlign w:val="center"/>
          </w:tcPr>
          <w:p w14:paraId="6A02BF7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其他</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14:paraId="51B890C9">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按照</w:t>
            </w:r>
            <w:r>
              <w:rPr>
                <w:rFonts w:hint="eastAsia" w:ascii="宋体" w:hAnsi="宋体" w:cs="宋体"/>
                <w:color w:val="auto"/>
                <w:sz w:val="24"/>
                <w:highlight w:val="none"/>
                <w:lang w:eastAsia="zh-CN"/>
              </w:rPr>
              <w:t>竞争性磋商文件</w:t>
            </w:r>
            <w:r>
              <w:rPr>
                <w:rFonts w:hint="eastAsia" w:ascii="宋体" w:hAnsi="宋体" w:cs="宋体"/>
                <w:color w:val="auto"/>
                <w:sz w:val="24"/>
                <w:highlight w:val="none"/>
              </w:rPr>
              <w:t>约定</w:t>
            </w:r>
          </w:p>
        </w:tc>
        <w:tc>
          <w:tcPr>
            <w:tcW w:w="1302" w:type="dxa"/>
            <w:tcBorders>
              <w:top w:val="single" w:color="000000" w:sz="4" w:space="0"/>
              <w:left w:val="single" w:color="000000" w:sz="4" w:space="0"/>
              <w:bottom w:val="single" w:color="000000" w:sz="4" w:space="0"/>
              <w:right w:val="single" w:color="000000" w:sz="4" w:space="0"/>
            </w:tcBorders>
            <w:noWrap w:val="0"/>
          </w:tcPr>
          <w:p w14:paraId="3D534B4B">
            <w:pPr>
              <w:spacing w:line="360" w:lineRule="auto"/>
              <w:jc w:val="center"/>
              <w:rPr>
                <w:rFonts w:ascii="宋体" w:hAnsi="宋体" w:cs="宋体"/>
                <w:color w:val="auto"/>
                <w:sz w:val="24"/>
                <w:highlight w:val="none"/>
              </w:rPr>
            </w:pPr>
          </w:p>
        </w:tc>
        <w:tc>
          <w:tcPr>
            <w:tcW w:w="1614" w:type="dxa"/>
            <w:tcBorders>
              <w:top w:val="single" w:color="000000" w:sz="4" w:space="0"/>
              <w:left w:val="single" w:color="000000" w:sz="4" w:space="0"/>
              <w:bottom w:val="single" w:color="000000" w:sz="4" w:space="0"/>
              <w:right w:val="single" w:color="000000" w:sz="4" w:space="0"/>
            </w:tcBorders>
            <w:noWrap w:val="0"/>
          </w:tcPr>
          <w:p w14:paraId="11B10719">
            <w:pPr>
              <w:spacing w:line="360" w:lineRule="auto"/>
              <w:jc w:val="center"/>
              <w:rPr>
                <w:rFonts w:ascii="宋体" w:hAnsi="宋体" w:cs="宋体"/>
                <w:color w:val="auto"/>
                <w:sz w:val="24"/>
                <w:highlight w:val="none"/>
              </w:rPr>
            </w:pPr>
          </w:p>
        </w:tc>
      </w:tr>
    </w:tbl>
    <w:p w14:paraId="5D9676A8">
      <w:pPr>
        <w:spacing w:line="360" w:lineRule="auto"/>
        <w:rPr>
          <w:rFonts w:ascii="宋体" w:hAnsi="宋体" w:cs="宋体"/>
          <w:color w:val="auto"/>
          <w:sz w:val="24"/>
          <w:highlight w:val="none"/>
        </w:rPr>
      </w:pPr>
      <w:r>
        <w:rPr>
          <w:rFonts w:hint="eastAsia" w:ascii="宋体" w:hAnsi="宋体" w:cs="宋体"/>
          <w:color w:val="auto"/>
          <w:sz w:val="24"/>
          <w:highlight w:val="none"/>
        </w:rPr>
        <w:t>注： 行数不够，可自行添加。</w:t>
      </w:r>
    </w:p>
    <w:p w14:paraId="10F3EC30">
      <w:pPr>
        <w:spacing w:line="360" w:lineRule="auto"/>
        <w:rPr>
          <w:rFonts w:ascii="宋体" w:hAnsi="宋体" w:cs="宋体"/>
          <w:color w:val="auto"/>
          <w:sz w:val="24"/>
          <w:highlight w:val="none"/>
        </w:rPr>
      </w:pPr>
    </w:p>
    <w:p w14:paraId="22A8F697">
      <w:pPr>
        <w:spacing w:line="360" w:lineRule="auto"/>
        <w:rPr>
          <w:rFonts w:ascii="宋体" w:hAnsi="宋体" w:cs="宋体"/>
          <w:color w:val="auto"/>
          <w:sz w:val="24"/>
          <w:highlight w:val="none"/>
        </w:rPr>
      </w:pPr>
    </w:p>
    <w:p w14:paraId="53920ECF">
      <w:pPr>
        <w:rPr>
          <w:rFonts w:ascii="宋体" w:hAnsi="宋体" w:cs="宋体"/>
          <w:b/>
          <w:color w:val="auto"/>
          <w:sz w:val="32"/>
          <w:szCs w:val="32"/>
          <w:highlight w:val="none"/>
        </w:rPr>
      </w:pPr>
      <w:r>
        <w:rPr>
          <w:rFonts w:hint="eastAsia" w:ascii="宋体" w:hAnsi="宋体" w:cs="宋体"/>
          <w:b/>
          <w:bCs/>
          <w:color w:val="auto"/>
          <w:sz w:val="24"/>
          <w:highlight w:val="none"/>
        </w:rPr>
        <w:br w:type="page" w:clear="all"/>
      </w:r>
    </w:p>
    <w:p w14:paraId="08144B89">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i/>
          <w:iCs/>
          <w:color w:val="auto"/>
          <w:sz w:val="24"/>
          <w:highlight w:val="none"/>
          <w:u w:val="single"/>
          <w:lang w:val="en-US" w:eastAsia="zh-CN"/>
        </w:rPr>
        <w:t>十五、承诺函</w:t>
      </w:r>
    </w:p>
    <w:p w14:paraId="5BF83134">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highlight w:val="none"/>
          <w:lang w:val="en-US" w:eastAsia="zh-CN"/>
        </w:rPr>
      </w:pPr>
    </w:p>
    <w:p w14:paraId="2E295171">
      <w:pPr>
        <w:keepNext w:val="0"/>
        <w:keepLines w:val="0"/>
        <w:widowControl/>
        <w:suppressLineNumbers w:val="0"/>
        <w:spacing w:before="0" w:beforeAutospacing="0" w:after="0" w:afterAutospacing="0"/>
        <w:ind w:left="0" w:right="0"/>
        <w:jc w:val="left"/>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 xml:space="preserve">盐城市公安局盐都分局： </w:t>
      </w:r>
    </w:p>
    <w:p w14:paraId="5877A492">
      <w:pPr>
        <w:widowControl/>
        <w:spacing w:line="499" w:lineRule="atLeast"/>
        <w:ind w:firstLine="480" w:firstLineChars="200"/>
        <w:jc w:val="left"/>
        <w:rPr>
          <w:rFonts w:hint="eastAsia" w:ascii="宋体" w:hAnsi="宋体" w:eastAsia="宋体" w:cs="宋体"/>
          <w:i w:val="0"/>
          <w:iCs w:val="0"/>
          <w:color w:val="auto"/>
          <w:sz w:val="24"/>
          <w:highlight w:val="none"/>
          <w:u w:val="none"/>
          <w:shd w:val="clear" w:color="auto" w:fill="auto"/>
          <w:lang w:val="en-US" w:eastAsia="zh-CN"/>
        </w:rPr>
      </w:pPr>
      <w:r>
        <w:rPr>
          <w:rFonts w:hint="eastAsia" w:ascii="宋体" w:hAnsi="宋体" w:eastAsia="宋体" w:cs="宋体"/>
          <w:i w:val="0"/>
          <w:iCs w:val="0"/>
          <w:color w:val="auto"/>
          <w:sz w:val="24"/>
          <w:highlight w:val="none"/>
          <w:u w:val="none"/>
          <w:shd w:val="clear" w:color="auto" w:fill="auto"/>
          <w:lang w:val="en-US" w:eastAsia="zh-CN"/>
        </w:rPr>
        <w:t>1、 我方拟任项目经理满足采购文件规定的无在建工程投标资格要求。如经查实因具有在建工程不具备投标资格，一旦我方中标，可及时取消我方的中标资格，我方承担相应责任。</w:t>
      </w:r>
    </w:p>
    <w:p w14:paraId="6656B7E5">
      <w:pPr>
        <w:widowControl/>
        <w:spacing w:line="499" w:lineRule="atLeast"/>
        <w:ind w:firstLine="480" w:firstLineChars="200"/>
        <w:jc w:val="left"/>
        <w:rPr>
          <w:rFonts w:hint="eastAsia" w:ascii="宋体" w:hAnsi="宋体" w:eastAsia="宋体" w:cs="宋体"/>
          <w:i w:val="0"/>
          <w:iCs w:val="0"/>
          <w:color w:val="auto"/>
          <w:sz w:val="24"/>
          <w:highlight w:val="none"/>
          <w:u w:val="none"/>
          <w:shd w:val="clear" w:color="auto" w:fill="auto"/>
          <w:lang w:val="en-US" w:eastAsia="zh-CN"/>
        </w:rPr>
      </w:pPr>
      <w:r>
        <w:rPr>
          <w:rFonts w:hint="eastAsia" w:ascii="宋体" w:hAnsi="宋体" w:eastAsia="宋体" w:cs="宋体"/>
          <w:i w:val="0"/>
          <w:iCs w:val="0"/>
          <w:color w:val="auto"/>
          <w:sz w:val="24"/>
          <w:highlight w:val="none"/>
          <w:u w:val="none"/>
          <w:shd w:val="clear" w:color="auto" w:fill="auto"/>
          <w:lang w:val="en-US" w:eastAsia="zh-CN"/>
        </w:rPr>
        <w:t>2、我方使用于本工程的所有产品的技术参数完全满足</w:t>
      </w:r>
      <w:r>
        <w:rPr>
          <w:rFonts w:hint="eastAsia" w:ascii="宋体" w:hAnsi="宋体" w:cs="宋体"/>
          <w:i w:val="0"/>
          <w:iCs w:val="0"/>
          <w:color w:val="auto"/>
          <w:sz w:val="24"/>
          <w:highlight w:val="none"/>
          <w:u w:val="none"/>
          <w:shd w:val="clear" w:color="auto" w:fill="auto"/>
          <w:lang w:val="en-US" w:eastAsia="zh-CN"/>
        </w:rPr>
        <w:t>竞争性磋商文件</w:t>
      </w:r>
      <w:r>
        <w:rPr>
          <w:rFonts w:hint="eastAsia" w:ascii="宋体" w:hAnsi="宋体" w:eastAsia="宋体" w:cs="宋体"/>
          <w:i w:val="0"/>
          <w:iCs w:val="0"/>
          <w:color w:val="auto"/>
          <w:sz w:val="24"/>
          <w:highlight w:val="none"/>
          <w:u w:val="none"/>
          <w:shd w:val="clear" w:color="auto" w:fill="auto"/>
          <w:lang w:val="en-US" w:eastAsia="zh-CN"/>
        </w:rPr>
        <w:t>“技术参数要求”，且自行完成与盐都交管大队现有平台无缝对接实现全部功能。如我方不能按招标要求或投标承诺完成约定的平台的无缝对接实现全部功能的，采购人有权解除合同，一切责任由我方承担。用于本项目的产品设备在安装前须报送采购人审查，审查通过后方可用于本项目的施工。否则，采购人将不予以验收，由此产生的一切责任和损失由我方承担。</w:t>
      </w:r>
    </w:p>
    <w:p w14:paraId="50DECE84">
      <w:pPr>
        <w:widowControl/>
        <w:spacing w:line="499" w:lineRule="atLeast"/>
        <w:ind w:firstLine="480" w:firstLineChars="200"/>
        <w:jc w:val="left"/>
        <w:rPr>
          <w:rFonts w:hint="eastAsia" w:ascii="宋体" w:hAnsi="宋体" w:eastAsia="宋体" w:cs="宋体"/>
          <w:i w:val="0"/>
          <w:iCs w:val="0"/>
          <w:color w:val="auto"/>
          <w:sz w:val="24"/>
          <w:highlight w:val="none"/>
          <w:u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3、我方承诺质保期为</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lang w:val="en-US" w:eastAsia="zh-CN"/>
        </w:rPr>
        <w:t>年。（“投标报价清单”内中标人承担“</w:t>
      </w:r>
      <w:r>
        <w:rPr>
          <w:rFonts w:hint="eastAsia" w:ascii="宋体" w:hAnsi="宋体" w:cs="宋体"/>
          <w:color w:val="auto"/>
          <w:sz w:val="24"/>
          <w:highlight w:val="none"/>
          <w:shd w:val="clear" w:color="auto" w:fill="auto"/>
          <w:lang w:val="en-US" w:eastAsia="zh-CN"/>
        </w:rPr>
        <w:t>取电施工及维护质</w:t>
      </w:r>
      <w:r>
        <w:rPr>
          <w:rFonts w:hint="eastAsia" w:ascii="宋体" w:hAnsi="宋体" w:eastAsia="宋体" w:cs="宋体"/>
          <w:i w:val="0"/>
          <w:iCs w:val="0"/>
          <w:color w:val="auto"/>
          <w:sz w:val="24"/>
          <w:highlight w:val="none"/>
          <w:u w:val="none"/>
          <w:shd w:val="clear" w:color="auto" w:fill="auto"/>
          <w:lang w:val="en-US" w:eastAsia="zh-CN"/>
        </w:rPr>
        <w:t>保期间电费、光纤链路租赁费”年限也同步为该年限）</w:t>
      </w:r>
    </w:p>
    <w:p w14:paraId="0CA24344">
      <w:pPr>
        <w:widowControl/>
        <w:spacing w:line="499" w:lineRule="atLeast"/>
        <w:ind w:firstLine="480" w:firstLineChars="200"/>
        <w:jc w:val="left"/>
        <w:rPr>
          <w:rFonts w:hint="default" w:ascii="宋体" w:hAnsi="宋体" w:eastAsia="宋体" w:cs="宋体"/>
          <w:i w:val="0"/>
          <w:iCs w:val="0"/>
          <w:color w:val="auto"/>
          <w:sz w:val="24"/>
          <w:highlight w:val="none"/>
          <w:u w:val="none"/>
          <w:shd w:val="clear" w:color="auto" w:fill="auto"/>
          <w:lang w:val="en-US" w:eastAsia="zh-CN"/>
        </w:rPr>
      </w:pPr>
      <w:r>
        <w:rPr>
          <w:rFonts w:hint="eastAsia" w:ascii="宋体" w:hAnsi="宋体" w:eastAsia="宋体" w:cs="宋体"/>
          <w:i w:val="0"/>
          <w:iCs w:val="0"/>
          <w:color w:val="auto"/>
          <w:sz w:val="24"/>
          <w:highlight w:val="none"/>
          <w:u w:val="none"/>
          <w:shd w:val="clear" w:color="auto" w:fill="auto"/>
          <w:lang w:val="en-US" w:eastAsia="zh-CN"/>
        </w:rPr>
        <w:t>4、</w:t>
      </w:r>
      <w:r>
        <w:rPr>
          <w:rFonts w:hint="eastAsia" w:ascii="宋体" w:hAnsi="宋体" w:cs="宋体"/>
          <w:i w:val="0"/>
          <w:iCs w:val="0"/>
          <w:color w:val="auto"/>
          <w:sz w:val="24"/>
          <w:highlight w:val="none"/>
          <w:u w:val="none"/>
          <w:shd w:val="clear" w:color="auto" w:fill="auto"/>
          <w:lang w:val="en-US" w:eastAsia="zh-CN"/>
        </w:rPr>
        <w:t>我方承诺，如我方中标，中标后、合同签订前，我方向采购人提供设备厂商原厂承诺函并加盖设备原厂公章。否则我方自愿放弃中标资格，并接受采购人对我方的处罚。</w:t>
      </w:r>
      <w:r>
        <w:rPr>
          <w:rFonts w:hint="eastAsia" w:ascii="宋体" w:hAnsi="宋体" w:cs="宋体"/>
          <w:i w:val="0"/>
          <w:iCs w:val="0"/>
          <w:color w:val="auto"/>
          <w:sz w:val="24"/>
          <w:highlight w:val="none"/>
          <w:u w:val="none"/>
          <w:shd w:val="clear" w:color="auto" w:fill="auto"/>
          <w:lang w:val="en-US" w:eastAsia="zh-CN"/>
        </w:rPr>
        <w:tab/>
      </w:r>
    </w:p>
    <w:p w14:paraId="6578603A">
      <w:pPr>
        <w:widowControl/>
        <w:spacing w:line="499" w:lineRule="atLeas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w:t>
      </w:r>
    </w:p>
    <w:p w14:paraId="7F408F46">
      <w:pPr>
        <w:widowControl/>
        <w:spacing w:line="499" w:lineRule="atLeast"/>
        <w:ind w:firstLine="482" w:firstLineChars="200"/>
        <w:jc w:val="left"/>
        <w:rPr>
          <w:rFonts w:hint="eastAsia" w:ascii="宋体" w:hAnsi="宋体" w:cs="宋体"/>
          <w:b/>
          <w:bCs/>
          <w:i/>
          <w:iCs/>
          <w:color w:val="auto"/>
          <w:sz w:val="24"/>
          <w:highlight w:val="none"/>
          <w:u w:val="single"/>
          <w:shd w:val="clear" w:color="auto" w:fill="auto"/>
          <w:lang w:val="en-US" w:eastAsia="zh-CN"/>
        </w:rPr>
      </w:pPr>
      <w:r>
        <w:rPr>
          <w:rFonts w:hint="eastAsia" w:ascii="宋体" w:hAnsi="宋体" w:eastAsia="宋体" w:cs="宋体"/>
          <w:b/>
          <w:bCs/>
          <w:i/>
          <w:iCs/>
          <w:color w:val="auto"/>
          <w:sz w:val="24"/>
          <w:highlight w:val="none"/>
          <w:u w:val="single"/>
          <w:shd w:val="clear" w:color="auto" w:fill="auto"/>
          <w:lang w:val="en-US" w:eastAsia="zh-CN"/>
        </w:rPr>
        <w:t>注：本承诺函第1、2条须必须响应项</w:t>
      </w:r>
      <w:r>
        <w:rPr>
          <w:rFonts w:hint="eastAsia" w:ascii="宋体" w:hAnsi="宋体" w:cs="宋体"/>
          <w:b/>
          <w:bCs/>
          <w:i/>
          <w:iCs/>
          <w:color w:val="auto"/>
          <w:sz w:val="24"/>
          <w:highlight w:val="none"/>
          <w:u w:val="single"/>
          <w:shd w:val="clear" w:color="auto" w:fill="auto"/>
          <w:lang w:val="en-US" w:eastAsia="zh-CN"/>
        </w:rPr>
        <w:t>；</w:t>
      </w:r>
    </w:p>
    <w:p w14:paraId="5926F7FB">
      <w:pPr>
        <w:widowControl/>
        <w:spacing w:line="499" w:lineRule="atLeast"/>
        <w:ind w:firstLine="482" w:firstLineChars="200"/>
        <w:jc w:val="left"/>
        <w:rPr>
          <w:rFonts w:hint="eastAsia" w:ascii="宋体" w:hAnsi="宋体" w:cs="宋体"/>
          <w:b/>
          <w:bCs/>
          <w:i/>
          <w:iCs/>
          <w:color w:val="auto"/>
          <w:sz w:val="24"/>
          <w:highlight w:val="none"/>
          <w:u w:val="single"/>
          <w:shd w:val="clear" w:color="auto" w:fill="auto"/>
          <w:lang w:val="en-US" w:eastAsia="zh-CN"/>
        </w:rPr>
      </w:pPr>
      <w:r>
        <w:rPr>
          <w:rFonts w:hint="eastAsia" w:ascii="宋体" w:hAnsi="宋体" w:eastAsia="宋体" w:cs="宋体"/>
          <w:b/>
          <w:bCs/>
          <w:i/>
          <w:iCs/>
          <w:color w:val="auto"/>
          <w:sz w:val="24"/>
          <w:highlight w:val="none"/>
          <w:u w:val="single"/>
          <w:shd w:val="clear" w:color="auto" w:fill="auto"/>
          <w:lang w:val="en-US" w:eastAsia="zh-CN"/>
        </w:rPr>
        <w:t>本承诺函第3条投标人须按不低于3年进行承诺</w:t>
      </w:r>
      <w:r>
        <w:rPr>
          <w:rFonts w:hint="eastAsia" w:ascii="宋体" w:hAnsi="宋体" w:cs="宋体"/>
          <w:b/>
          <w:bCs/>
          <w:i/>
          <w:iCs/>
          <w:color w:val="auto"/>
          <w:sz w:val="24"/>
          <w:highlight w:val="none"/>
          <w:u w:val="single"/>
          <w:shd w:val="clear" w:color="auto" w:fill="auto"/>
          <w:lang w:val="en-US" w:eastAsia="zh-CN"/>
        </w:rPr>
        <w:t>；</w:t>
      </w:r>
    </w:p>
    <w:p w14:paraId="23846627">
      <w:pPr>
        <w:widowControl/>
        <w:spacing w:line="499" w:lineRule="atLeast"/>
        <w:ind w:firstLine="482" w:firstLineChars="200"/>
        <w:jc w:val="left"/>
        <w:rPr>
          <w:rFonts w:hint="eastAsia" w:ascii="宋体" w:hAnsi="宋体" w:cs="宋体"/>
          <w:b/>
          <w:bCs/>
          <w:i/>
          <w:iCs/>
          <w:color w:val="auto"/>
          <w:sz w:val="24"/>
          <w:highlight w:val="none"/>
          <w:u w:val="single"/>
          <w:shd w:val="clear" w:color="auto" w:fill="auto"/>
          <w:lang w:val="en-US" w:eastAsia="zh-CN"/>
        </w:rPr>
      </w:pPr>
      <w:r>
        <w:rPr>
          <w:rFonts w:hint="eastAsia" w:ascii="宋体" w:hAnsi="宋体" w:eastAsia="宋体" w:cs="宋体"/>
          <w:b/>
          <w:bCs/>
          <w:i/>
          <w:iCs/>
          <w:color w:val="auto"/>
          <w:sz w:val="24"/>
          <w:highlight w:val="none"/>
          <w:u w:val="single"/>
          <w:shd w:val="clear" w:color="auto" w:fill="auto"/>
          <w:lang w:val="en-US" w:eastAsia="zh-CN"/>
        </w:rPr>
        <w:t>本承诺函</w:t>
      </w:r>
      <w:r>
        <w:rPr>
          <w:rFonts w:hint="eastAsia" w:ascii="宋体" w:hAnsi="宋体" w:cs="宋体"/>
          <w:b/>
          <w:bCs/>
          <w:i/>
          <w:iCs/>
          <w:color w:val="auto"/>
          <w:sz w:val="24"/>
          <w:highlight w:val="none"/>
          <w:u w:val="single"/>
          <w:shd w:val="clear" w:color="auto" w:fill="auto"/>
          <w:lang w:val="en-US" w:eastAsia="zh-CN"/>
        </w:rPr>
        <w:t>第4条如在投标时已提供“</w:t>
      </w:r>
      <w:r>
        <w:rPr>
          <w:rFonts w:hint="eastAsia" w:ascii="宋体" w:hAnsi="宋体"/>
          <w:b/>
          <w:bCs/>
          <w:i/>
          <w:iCs/>
          <w:color w:val="auto"/>
          <w:sz w:val="24"/>
          <w:highlight w:val="none"/>
          <w:u w:val="single"/>
          <w:lang w:val="en-US" w:eastAsia="zh-CN"/>
        </w:rPr>
        <w:t>设备厂商原厂承诺函并加盖设备原厂公章</w:t>
      </w:r>
      <w:r>
        <w:rPr>
          <w:rFonts w:hint="eastAsia" w:ascii="宋体" w:hAnsi="宋体" w:cs="宋体"/>
          <w:b/>
          <w:bCs/>
          <w:i/>
          <w:iCs/>
          <w:color w:val="auto"/>
          <w:sz w:val="24"/>
          <w:highlight w:val="none"/>
          <w:u w:val="single"/>
          <w:shd w:val="clear" w:color="auto" w:fill="auto"/>
          <w:lang w:val="en-US" w:eastAsia="zh-CN"/>
        </w:rPr>
        <w:t>”，则可删除本条承诺内容，否则需要提供本条承诺内容。</w:t>
      </w:r>
    </w:p>
    <w:p w14:paraId="06EBF43F">
      <w:pPr>
        <w:widowControl/>
        <w:spacing w:line="499" w:lineRule="atLeast"/>
        <w:ind w:firstLine="482" w:firstLineChars="200"/>
        <w:jc w:val="left"/>
        <w:rPr>
          <w:rFonts w:hint="default"/>
          <w:color w:val="auto"/>
          <w:highlight w:val="none"/>
          <w:lang w:val="en-US"/>
        </w:rPr>
      </w:pPr>
      <w:r>
        <w:rPr>
          <w:rFonts w:hint="eastAsia" w:ascii="宋体" w:hAnsi="宋体" w:cs="宋体"/>
          <w:b/>
          <w:bCs/>
          <w:i/>
          <w:iCs/>
          <w:color w:val="auto"/>
          <w:sz w:val="24"/>
          <w:highlight w:val="none"/>
          <w:u w:val="single"/>
          <w:shd w:val="clear" w:color="auto" w:fill="auto"/>
          <w:lang w:val="en-US" w:eastAsia="zh-CN"/>
        </w:rPr>
        <w:t>未按上述要求承诺的，按</w:t>
      </w:r>
      <w:r>
        <w:rPr>
          <w:rFonts w:hint="eastAsia" w:ascii="宋体" w:hAnsi="宋体" w:eastAsia="宋体" w:cs="宋体"/>
          <w:b/>
          <w:bCs/>
          <w:i/>
          <w:iCs/>
          <w:color w:val="auto"/>
          <w:sz w:val="24"/>
          <w:highlight w:val="none"/>
          <w:u w:val="single"/>
          <w:shd w:val="clear" w:color="auto" w:fill="auto"/>
          <w:lang w:val="en-US" w:eastAsia="zh-CN"/>
        </w:rPr>
        <w:t>无效投标处理。</w:t>
      </w:r>
    </w:p>
    <w:p w14:paraId="4EEAB98F">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highlight w:val="none"/>
        </w:rPr>
      </w:pPr>
    </w:p>
    <w:p w14:paraId="733099EF">
      <w:pPr>
        <w:pStyle w:val="344"/>
        <w:keepNext w:val="0"/>
        <w:keepLines w:val="0"/>
        <w:pageBreakBefore w:val="0"/>
        <w:widowControl w:val="0"/>
        <w:kinsoku/>
        <w:wordWrap/>
        <w:overflowPunct/>
        <w:topLinePunct w:val="0"/>
        <w:autoSpaceDE/>
        <w:autoSpaceDN/>
        <w:bidi w:val="0"/>
        <w:adjustRightInd/>
        <w:snapToGrid/>
        <w:spacing w:line="300" w:lineRule="exact"/>
        <w:ind w:firstLine="480" w:firstLineChars="200"/>
        <w:jc w:val="both"/>
        <w:textAlignment w:val="auto"/>
        <w:rPr>
          <w:rFonts w:hint="eastAsia" w:ascii="宋体" w:hAnsi="宋体" w:eastAsia="宋体" w:cs="宋体"/>
          <w:color w:val="auto"/>
          <w:sz w:val="24"/>
          <w:szCs w:val="24"/>
          <w:highlight w:val="none"/>
          <w:lang w:val="en-US" w:eastAsia="zh-CN"/>
        </w:rPr>
      </w:pPr>
    </w:p>
    <w:p w14:paraId="089451DA">
      <w:pPr>
        <w:pStyle w:val="344"/>
        <w:keepNext w:val="0"/>
        <w:keepLines w:val="0"/>
        <w:pageBreakBefore w:val="0"/>
        <w:widowControl w:val="0"/>
        <w:kinsoku/>
        <w:wordWrap/>
        <w:overflowPunct/>
        <w:topLinePunct w:val="0"/>
        <w:autoSpaceDE/>
        <w:autoSpaceDN/>
        <w:bidi w:val="0"/>
        <w:adjustRightInd/>
        <w:snapToGrid/>
        <w:spacing w:line="300" w:lineRule="exact"/>
        <w:ind w:firstLine="480"/>
        <w:jc w:val="right"/>
        <w:textAlignment w:val="auto"/>
        <w:rPr>
          <w:rFonts w:hint="eastAsia" w:ascii="宋体" w:hAnsi="宋体" w:eastAsia="宋体" w:cs="宋体"/>
          <w:color w:val="auto"/>
          <w:sz w:val="24"/>
          <w:szCs w:val="24"/>
          <w:highlight w:val="none"/>
        </w:rPr>
      </w:pPr>
    </w:p>
    <w:p w14:paraId="0ACB683B">
      <w:pPr>
        <w:spacing w:line="348" w:lineRule="auto"/>
        <w:ind w:left="4309" w:leftChars="2052" w:firstLine="120" w:firstLineChars="5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供应商（单位公章）：</w:t>
      </w:r>
      <w:r>
        <w:rPr>
          <w:rFonts w:hint="eastAsia" w:ascii="宋体" w:hAnsi="宋体" w:eastAsia="宋体" w:cs="宋体"/>
          <w:color w:val="auto"/>
          <w:highlight w:val="none"/>
        </w:rPr>
        <w:t>_______________</w:t>
      </w:r>
    </w:p>
    <w:p w14:paraId="3D52740B">
      <w:pPr>
        <w:spacing w:line="348" w:lineRule="auto"/>
        <w:ind w:firstLine="2280" w:firstLineChars="9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法定代表人或授权代表（签字或盖章）：</w:t>
      </w:r>
      <w:r>
        <w:rPr>
          <w:rFonts w:hint="eastAsia" w:ascii="宋体" w:hAnsi="宋体" w:eastAsia="宋体" w:cs="宋体"/>
          <w:color w:val="auto"/>
          <w:highlight w:val="none"/>
        </w:rPr>
        <w:t xml:space="preserve">______________________   </w:t>
      </w:r>
      <w:r>
        <w:rPr>
          <w:rFonts w:hint="eastAsia" w:ascii="宋体" w:hAnsi="宋体" w:eastAsia="宋体" w:cs="宋体"/>
          <w:color w:val="auto"/>
          <w:sz w:val="24"/>
          <w:szCs w:val="24"/>
          <w:highlight w:val="none"/>
        </w:rPr>
        <w:t xml:space="preserve">                          </w:t>
      </w:r>
    </w:p>
    <w:p w14:paraId="5B37C58C">
      <w:pPr>
        <w:spacing w:line="348" w:lineRule="auto"/>
        <w:jc w:val="center"/>
        <w:rPr>
          <w:rFonts w:hint="eastAsia" w:ascii="宋体" w:hAnsi="宋体" w:eastAsia="宋体" w:cs="宋体"/>
          <w:b/>
          <w:bCs/>
          <w:color w:val="auto"/>
          <w:sz w:val="44"/>
          <w:highlight w:val="none"/>
        </w:rPr>
      </w:pPr>
      <w:r>
        <w:rPr>
          <w:rFonts w:hint="eastAsia" w:ascii="宋体" w:hAnsi="宋体" w:eastAsia="宋体" w:cs="宋体"/>
          <w:color w:val="auto"/>
          <w:sz w:val="24"/>
          <w:szCs w:val="24"/>
          <w:highlight w:val="none"/>
        </w:rPr>
        <w:t xml:space="preserve">                                       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5D7CB90">
      <w:pPr>
        <w:spacing w:line="360" w:lineRule="auto"/>
        <w:jc w:val="center"/>
        <w:rPr>
          <w:rFonts w:hint="eastAsia" w:ascii="宋体" w:hAnsi="宋体" w:cs="宋体"/>
          <w:b/>
          <w:bCs/>
          <w:color w:val="auto"/>
          <w:sz w:val="24"/>
          <w:highlight w:val="none"/>
        </w:rPr>
      </w:pPr>
    </w:p>
    <w:p w14:paraId="360F0387">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十</w:t>
      </w:r>
      <w:r>
        <w:rPr>
          <w:rFonts w:hint="eastAsia" w:ascii="宋体" w:hAnsi="宋体" w:cs="宋体"/>
          <w:b/>
          <w:bCs/>
          <w:color w:val="auto"/>
          <w:sz w:val="24"/>
          <w:highlight w:val="none"/>
          <w:lang w:val="en-US" w:eastAsia="zh-CN"/>
        </w:rPr>
        <w:t>六</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项目</w:t>
      </w:r>
      <w:r>
        <w:rPr>
          <w:rFonts w:hint="eastAsia" w:ascii="宋体" w:hAnsi="宋体" w:cs="宋体"/>
          <w:b/>
          <w:bCs/>
          <w:color w:val="auto"/>
          <w:sz w:val="24"/>
          <w:highlight w:val="none"/>
        </w:rPr>
        <w:t>实施方案</w:t>
      </w:r>
    </w:p>
    <w:p w14:paraId="429BB61E">
      <w:pPr>
        <w:jc w:val="center"/>
        <w:rPr>
          <w:rFonts w:ascii="宋体" w:hAnsi="宋体" w:cs="宋体"/>
          <w:b/>
          <w:color w:val="auto"/>
          <w:sz w:val="24"/>
          <w:highlight w:val="none"/>
        </w:rPr>
      </w:pPr>
    </w:p>
    <w:p w14:paraId="2076CE08">
      <w:pPr>
        <w:jc w:val="center"/>
        <w:rPr>
          <w:rFonts w:ascii="宋体" w:hAnsi="宋体" w:cs="宋体"/>
          <w:b/>
          <w:color w:val="auto"/>
          <w:sz w:val="24"/>
          <w:highlight w:val="none"/>
        </w:rPr>
      </w:pPr>
    </w:p>
    <w:p w14:paraId="46EFEACB">
      <w:pPr>
        <w:jc w:val="center"/>
        <w:rPr>
          <w:rFonts w:ascii="宋体" w:hAnsi="宋体" w:cs="宋体"/>
          <w:b/>
          <w:color w:val="auto"/>
          <w:sz w:val="24"/>
          <w:highlight w:val="none"/>
        </w:rPr>
      </w:pPr>
    </w:p>
    <w:p w14:paraId="0A9EB372">
      <w:pPr>
        <w:jc w:val="center"/>
        <w:rPr>
          <w:rFonts w:ascii="宋体" w:hAnsi="宋体" w:cs="宋体"/>
          <w:b/>
          <w:color w:val="auto"/>
          <w:sz w:val="24"/>
          <w:highlight w:val="none"/>
        </w:rPr>
      </w:pPr>
    </w:p>
    <w:p w14:paraId="127EF357">
      <w:pPr>
        <w:jc w:val="center"/>
        <w:rPr>
          <w:rFonts w:ascii="宋体" w:hAnsi="宋体" w:cs="宋体"/>
          <w:b/>
          <w:color w:val="auto"/>
          <w:sz w:val="24"/>
          <w:highlight w:val="none"/>
        </w:rPr>
      </w:pPr>
    </w:p>
    <w:p w14:paraId="07DA2384">
      <w:pPr>
        <w:jc w:val="center"/>
        <w:rPr>
          <w:rFonts w:ascii="宋体" w:hAnsi="宋体" w:cs="宋体"/>
          <w:b/>
          <w:color w:val="auto"/>
          <w:sz w:val="24"/>
          <w:highlight w:val="none"/>
        </w:rPr>
      </w:pPr>
    </w:p>
    <w:p w14:paraId="790127E1">
      <w:pPr>
        <w:jc w:val="center"/>
        <w:rPr>
          <w:rFonts w:ascii="宋体" w:hAnsi="宋体" w:cs="宋体"/>
          <w:b/>
          <w:color w:val="auto"/>
          <w:sz w:val="24"/>
          <w:highlight w:val="none"/>
        </w:rPr>
      </w:pPr>
    </w:p>
    <w:p w14:paraId="525C3788">
      <w:pPr>
        <w:jc w:val="center"/>
        <w:rPr>
          <w:rFonts w:ascii="宋体" w:hAnsi="宋体" w:cs="宋体"/>
          <w:b/>
          <w:color w:val="auto"/>
          <w:sz w:val="24"/>
          <w:highlight w:val="none"/>
        </w:rPr>
      </w:pPr>
    </w:p>
    <w:p w14:paraId="32ACB4DC">
      <w:pPr>
        <w:jc w:val="center"/>
        <w:rPr>
          <w:rFonts w:ascii="宋体" w:hAnsi="宋体" w:cs="宋体"/>
          <w:b/>
          <w:color w:val="auto"/>
          <w:sz w:val="24"/>
          <w:highlight w:val="none"/>
        </w:rPr>
      </w:pPr>
    </w:p>
    <w:p w14:paraId="643C87F1">
      <w:pPr>
        <w:jc w:val="center"/>
        <w:rPr>
          <w:rFonts w:ascii="宋体" w:hAnsi="宋体" w:cs="宋体"/>
          <w:b/>
          <w:color w:val="auto"/>
          <w:sz w:val="24"/>
          <w:highlight w:val="none"/>
        </w:rPr>
      </w:pPr>
    </w:p>
    <w:p w14:paraId="5473E742">
      <w:pPr>
        <w:jc w:val="center"/>
        <w:rPr>
          <w:rFonts w:ascii="宋体" w:hAnsi="宋体" w:cs="宋体"/>
          <w:b/>
          <w:color w:val="auto"/>
          <w:sz w:val="24"/>
          <w:highlight w:val="none"/>
        </w:rPr>
      </w:pPr>
    </w:p>
    <w:p w14:paraId="7514CB8C">
      <w:pPr>
        <w:jc w:val="center"/>
        <w:rPr>
          <w:rFonts w:ascii="宋体" w:hAnsi="宋体" w:cs="宋体"/>
          <w:b/>
          <w:color w:val="auto"/>
          <w:sz w:val="24"/>
          <w:highlight w:val="none"/>
        </w:rPr>
      </w:pPr>
    </w:p>
    <w:p w14:paraId="0D3207EF">
      <w:pPr>
        <w:jc w:val="center"/>
        <w:rPr>
          <w:rFonts w:ascii="宋体" w:hAnsi="宋体" w:cs="宋体"/>
          <w:b/>
          <w:color w:val="auto"/>
          <w:sz w:val="24"/>
          <w:highlight w:val="none"/>
        </w:rPr>
      </w:pPr>
    </w:p>
    <w:p w14:paraId="29144E2B">
      <w:pPr>
        <w:jc w:val="center"/>
        <w:rPr>
          <w:rFonts w:ascii="宋体" w:hAnsi="宋体" w:cs="宋体"/>
          <w:b/>
          <w:color w:val="auto"/>
          <w:sz w:val="24"/>
          <w:highlight w:val="none"/>
        </w:rPr>
      </w:pPr>
    </w:p>
    <w:p w14:paraId="2B3A2080">
      <w:pPr>
        <w:jc w:val="center"/>
        <w:rPr>
          <w:rFonts w:ascii="宋体" w:hAnsi="宋体" w:cs="宋体"/>
          <w:b/>
          <w:color w:val="auto"/>
          <w:sz w:val="24"/>
          <w:highlight w:val="none"/>
        </w:rPr>
      </w:pPr>
    </w:p>
    <w:p w14:paraId="3D8C1DCC">
      <w:pPr>
        <w:jc w:val="center"/>
        <w:rPr>
          <w:rFonts w:ascii="宋体" w:hAnsi="宋体" w:cs="宋体"/>
          <w:b/>
          <w:color w:val="auto"/>
          <w:sz w:val="24"/>
          <w:highlight w:val="none"/>
        </w:rPr>
      </w:pPr>
    </w:p>
    <w:p w14:paraId="58EEED1D">
      <w:pPr>
        <w:jc w:val="center"/>
        <w:rPr>
          <w:rFonts w:ascii="宋体" w:hAnsi="宋体" w:cs="宋体"/>
          <w:b/>
          <w:color w:val="auto"/>
          <w:sz w:val="24"/>
          <w:highlight w:val="none"/>
        </w:rPr>
      </w:pPr>
    </w:p>
    <w:p w14:paraId="09330E93">
      <w:pPr>
        <w:jc w:val="center"/>
        <w:rPr>
          <w:rFonts w:ascii="宋体" w:hAnsi="宋体" w:cs="宋体"/>
          <w:b/>
          <w:color w:val="auto"/>
          <w:sz w:val="24"/>
          <w:highlight w:val="none"/>
        </w:rPr>
      </w:pPr>
    </w:p>
    <w:p w14:paraId="147B8C09">
      <w:pPr>
        <w:jc w:val="center"/>
        <w:rPr>
          <w:rFonts w:ascii="宋体" w:hAnsi="宋体" w:cs="宋体"/>
          <w:b/>
          <w:color w:val="auto"/>
          <w:sz w:val="24"/>
          <w:highlight w:val="none"/>
        </w:rPr>
      </w:pPr>
    </w:p>
    <w:p w14:paraId="7AE51C8D">
      <w:pPr>
        <w:jc w:val="center"/>
        <w:rPr>
          <w:rFonts w:ascii="宋体" w:hAnsi="宋体" w:cs="宋体"/>
          <w:b/>
          <w:color w:val="auto"/>
          <w:sz w:val="24"/>
          <w:highlight w:val="none"/>
        </w:rPr>
      </w:pPr>
    </w:p>
    <w:p w14:paraId="1CA77C3A">
      <w:pPr>
        <w:jc w:val="center"/>
        <w:rPr>
          <w:rFonts w:ascii="宋体" w:hAnsi="宋体" w:cs="宋体"/>
          <w:b/>
          <w:color w:val="auto"/>
          <w:sz w:val="24"/>
          <w:highlight w:val="none"/>
        </w:rPr>
      </w:pPr>
    </w:p>
    <w:p w14:paraId="59132D5C">
      <w:pPr>
        <w:jc w:val="center"/>
        <w:rPr>
          <w:rFonts w:ascii="宋体" w:hAnsi="宋体" w:cs="宋体"/>
          <w:b/>
          <w:color w:val="auto"/>
          <w:sz w:val="24"/>
          <w:highlight w:val="none"/>
        </w:rPr>
      </w:pPr>
    </w:p>
    <w:p w14:paraId="4E904E47">
      <w:pPr>
        <w:jc w:val="center"/>
        <w:rPr>
          <w:rFonts w:ascii="宋体" w:hAnsi="宋体" w:cs="宋体"/>
          <w:b/>
          <w:color w:val="auto"/>
          <w:sz w:val="24"/>
          <w:highlight w:val="none"/>
        </w:rPr>
      </w:pPr>
    </w:p>
    <w:p w14:paraId="50EAB245">
      <w:pPr>
        <w:jc w:val="center"/>
        <w:rPr>
          <w:rFonts w:ascii="宋体" w:hAnsi="宋体" w:cs="宋体"/>
          <w:b/>
          <w:color w:val="auto"/>
          <w:sz w:val="24"/>
          <w:highlight w:val="none"/>
        </w:rPr>
      </w:pPr>
    </w:p>
    <w:p w14:paraId="548D206E">
      <w:pPr>
        <w:rPr>
          <w:rFonts w:ascii="宋体" w:hAnsi="宋体" w:cs="宋体"/>
          <w:color w:val="auto"/>
          <w:sz w:val="32"/>
          <w:szCs w:val="32"/>
          <w:highlight w:val="none"/>
        </w:rPr>
      </w:pPr>
      <w:r>
        <w:rPr>
          <w:rFonts w:hint="eastAsia" w:ascii="宋体" w:hAnsi="宋体" w:cs="宋体"/>
          <w:color w:val="auto"/>
          <w:sz w:val="32"/>
          <w:szCs w:val="32"/>
          <w:highlight w:val="none"/>
        </w:rPr>
        <w:br w:type="page" w:clear="all"/>
      </w:r>
    </w:p>
    <w:p w14:paraId="4726586A">
      <w:pPr>
        <w:spacing w:line="360" w:lineRule="auto"/>
        <w:jc w:val="center"/>
        <w:rPr>
          <w:rFonts w:hint="eastAsia" w:ascii="宋体" w:hAnsi="宋体" w:cs="宋体"/>
          <w:b/>
          <w:bCs/>
          <w:i/>
          <w:iCs/>
          <w:color w:val="auto"/>
          <w:sz w:val="24"/>
          <w:highlight w:val="none"/>
          <w:u w:val="single"/>
        </w:rPr>
      </w:pPr>
      <w:r>
        <w:rPr>
          <w:rFonts w:hint="eastAsia" w:ascii="宋体" w:hAnsi="宋体" w:cs="宋体"/>
          <w:b/>
          <w:bCs/>
          <w:i/>
          <w:iCs/>
          <w:color w:val="auto"/>
          <w:sz w:val="24"/>
          <w:highlight w:val="none"/>
          <w:u w:val="single"/>
        </w:rPr>
        <w:t>十</w:t>
      </w:r>
      <w:r>
        <w:rPr>
          <w:rFonts w:hint="eastAsia" w:ascii="宋体" w:hAnsi="宋体" w:cs="宋体"/>
          <w:b/>
          <w:bCs/>
          <w:i/>
          <w:iCs/>
          <w:color w:val="auto"/>
          <w:sz w:val="24"/>
          <w:highlight w:val="none"/>
          <w:u w:val="single"/>
          <w:lang w:val="en-US" w:eastAsia="zh-CN"/>
        </w:rPr>
        <w:t>七</w:t>
      </w:r>
      <w:r>
        <w:rPr>
          <w:rFonts w:hint="eastAsia" w:ascii="宋体" w:hAnsi="宋体" w:cs="宋体"/>
          <w:b/>
          <w:bCs/>
          <w:i/>
          <w:iCs/>
          <w:color w:val="auto"/>
          <w:sz w:val="24"/>
          <w:highlight w:val="none"/>
          <w:u w:val="single"/>
        </w:rPr>
        <w:t>、盐城市政府采购事前信用承诺书</w:t>
      </w:r>
    </w:p>
    <w:p w14:paraId="114BB581">
      <w:pPr>
        <w:spacing w:line="500" w:lineRule="exact"/>
        <w:ind w:firstLine="480"/>
        <w:rPr>
          <w:rFonts w:ascii="宋体" w:hAnsi="宋体" w:cs="宋体"/>
          <w:color w:val="auto"/>
          <w:sz w:val="24"/>
          <w:highlight w:val="none"/>
        </w:rPr>
      </w:pPr>
      <w:r>
        <w:rPr>
          <w:rFonts w:hint="eastAsia" w:ascii="宋体" w:hAnsi="宋体" w:cs="宋体"/>
          <w:color w:val="auto"/>
          <w:sz w:val="24"/>
          <w:highlight w:val="none"/>
        </w:rPr>
        <w:t>为营造我市公开、公平、公正、诚实守信的政府采购交易环境，树立诚信守法的供应商形象，本人代表本单位作出以下承诺：</w:t>
      </w:r>
    </w:p>
    <w:p w14:paraId="14CE4DC5">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67D6167E">
      <w:pPr>
        <w:spacing w:line="500" w:lineRule="exact"/>
        <w:ind w:firstLine="480"/>
        <w:rPr>
          <w:rFonts w:ascii="宋体" w:hAnsi="宋体" w:cs="宋体"/>
          <w:color w:val="auto"/>
          <w:sz w:val="24"/>
          <w:highlight w:val="none"/>
        </w:rPr>
      </w:pPr>
      <w:r>
        <w:rPr>
          <w:rFonts w:hint="eastAsia" w:ascii="宋体" w:hAnsi="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59A88BA">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（三）严格依照国家和省、市关于政府采购的法律、法规、规章、规范性文件，参加政府采购投标活动；积极履行社会责任，促进廉政建设； </w:t>
      </w:r>
    </w:p>
    <w:p w14:paraId="346B8382">
      <w:pPr>
        <w:spacing w:line="500" w:lineRule="exact"/>
        <w:rPr>
          <w:rFonts w:ascii="宋体" w:hAnsi="宋体" w:cs="宋体"/>
          <w:color w:val="auto"/>
          <w:sz w:val="24"/>
          <w:highlight w:val="none"/>
        </w:rPr>
      </w:pPr>
      <w:r>
        <w:rPr>
          <w:rFonts w:hint="eastAsia" w:ascii="宋体" w:hAnsi="宋体" w:cs="宋体"/>
          <w:color w:val="auto"/>
          <w:sz w:val="24"/>
          <w:highlight w:val="none"/>
        </w:rPr>
        <w:t>   （四）严格遵守即时信息公示规定，及时维护和更新盐城市政府采购网中与本单位相关的信息；</w:t>
      </w:r>
    </w:p>
    <w:p w14:paraId="57F7BC14">
      <w:pPr>
        <w:spacing w:line="500" w:lineRule="exact"/>
        <w:rPr>
          <w:rFonts w:ascii="宋体" w:hAnsi="宋体" w:cs="宋体"/>
          <w:color w:val="auto"/>
          <w:sz w:val="24"/>
          <w:highlight w:val="none"/>
        </w:rPr>
      </w:pPr>
      <w:r>
        <w:rPr>
          <w:rFonts w:hint="eastAsia" w:ascii="宋体" w:hAnsi="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039C9471">
      <w:pPr>
        <w:spacing w:line="500" w:lineRule="exact"/>
        <w:rPr>
          <w:rFonts w:ascii="宋体" w:hAnsi="宋体" w:cs="宋体"/>
          <w:color w:val="auto"/>
          <w:sz w:val="24"/>
          <w:highlight w:val="none"/>
        </w:rPr>
      </w:pPr>
      <w:r>
        <w:rPr>
          <w:rFonts w:hint="eastAsia" w:ascii="宋体" w:hAnsi="宋体" w:cs="宋体"/>
          <w:color w:val="auto"/>
          <w:sz w:val="24"/>
          <w:highlight w:val="none"/>
        </w:rPr>
        <w:t>   （六）自觉接受政府、行业组织、社会公众、新闻舆论的监督；</w:t>
      </w:r>
    </w:p>
    <w:p w14:paraId="00CEDDD6">
      <w:pPr>
        <w:spacing w:line="500" w:lineRule="exact"/>
        <w:ind w:firstLine="480"/>
        <w:rPr>
          <w:rFonts w:ascii="宋体" w:hAnsi="宋体" w:cs="宋体"/>
          <w:color w:val="auto"/>
          <w:sz w:val="24"/>
          <w:highlight w:val="none"/>
        </w:rPr>
      </w:pPr>
      <w:r>
        <w:rPr>
          <w:rFonts w:hint="eastAsia" w:ascii="宋体" w:hAnsi="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AA834B7">
      <w:pPr>
        <w:spacing w:line="500" w:lineRule="exact"/>
        <w:rPr>
          <w:rFonts w:ascii="宋体" w:hAnsi="宋体" w:cs="宋体"/>
          <w:color w:val="auto"/>
          <w:sz w:val="24"/>
          <w:highlight w:val="none"/>
        </w:rPr>
      </w:pPr>
      <w:r>
        <w:rPr>
          <w:rFonts w:hint="eastAsia" w:ascii="宋体" w:hAnsi="宋体" w:cs="宋体"/>
          <w:color w:val="auto"/>
          <w:sz w:val="24"/>
          <w:highlight w:val="none"/>
        </w:rPr>
        <w:t>   （八）本人已认真阅读了上述承诺，并向本单位员工作了宣传教育。</w:t>
      </w:r>
    </w:p>
    <w:p w14:paraId="72BA3BE8">
      <w:pPr>
        <w:spacing w:line="500" w:lineRule="exact"/>
        <w:rPr>
          <w:rFonts w:ascii="宋体" w:hAnsi="宋体" w:cs="宋体"/>
          <w:color w:val="auto"/>
          <w:sz w:val="24"/>
          <w:highlight w:val="none"/>
        </w:rPr>
      </w:pPr>
    </w:p>
    <w:p w14:paraId="2C1E547E">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 xml:space="preserve">                 法定代表人（签字或盖章）：</w:t>
      </w:r>
    </w:p>
    <w:p w14:paraId="77EC0AEF">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 xml:space="preserve">                   单位名称（盖章）：</w:t>
      </w:r>
    </w:p>
    <w:p w14:paraId="26D4259E">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 xml:space="preserve">                      年    月    日</w:t>
      </w:r>
    </w:p>
    <w:p w14:paraId="4545869F">
      <w:pPr>
        <w:widowControl/>
        <w:jc w:val="left"/>
        <w:rPr>
          <w:rFonts w:ascii="宋体" w:hAnsi="宋体" w:cs="宋体"/>
          <w:color w:val="auto"/>
          <w:sz w:val="24"/>
          <w:highlight w:val="none"/>
        </w:rPr>
      </w:pPr>
    </w:p>
    <w:p w14:paraId="1C370C51">
      <w:pPr>
        <w:widowControl/>
        <w:jc w:val="left"/>
        <w:rPr>
          <w:rFonts w:ascii="宋体" w:hAnsi="宋体" w:cs="宋体"/>
          <w:b/>
          <w:color w:val="auto"/>
          <w:sz w:val="32"/>
          <w:szCs w:val="32"/>
          <w:highlight w:val="none"/>
        </w:rPr>
      </w:pPr>
      <w:r>
        <w:rPr>
          <w:b/>
          <w:color w:val="auto"/>
          <w:sz w:val="32"/>
          <w:szCs w:val="32"/>
          <w:highlight w:val="none"/>
        </w:rPr>
        <w:br w:type="page" w:clear="all"/>
      </w:r>
    </w:p>
    <w:p w14:paraId="72886F51">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十</w:t>
      </w:r>
      <w:r>
        <w:rPr>
          <w:rFonts w:hint="eastAsia" w:ascii="宋体" w:hAnsi="宋体" w:cs="宋体"/>
          <w:b/>
          <w:bCs/>
          <w:color w:val="auto"/>
          <w:sz w:val="24"/>
          <w:highlight w:val="none"/>
          <w:lang w:val="en-US" w:eastAsia="zh-CN"/>
        </w:rPr>
        <w:t>八</w:t>
      </w:r>
      <w:r>
        <w:rPr>
          <w:rFonts w:hint="eastAsia" w:ascii="宋体" w:hAnsi="宋体" w:cs="宋体"/>
          <w:b/>
          <w:bCs/>
          <w:color w:val="auto"/>
          <w:sz w:val="24"/>
          <w:highlight w:val="none"/>
        </w:rPr>
        <w:t>、供应商认为需要提供的其他证明材料</w:t>
      </w:r>
    </w:p>
    <w:p w14:paraId="148E01C1">
      <w:pPr>
        <w:widowControl/>
        <w:jc w:val="left"/>
        <w:rPr>
          <w:rFonts w:ascii="宋体" w:hAnsi="宋体" w:cs="宋体"/>
          <w:b/>
          <w:color w:val="auto"/>
          <w:sz w:val="32"/>
          <w:szCs w:val="32"/>
          <w:highlight w:val="none"/>
        </w:rPr>
      </w:pPr>
      <w:r>
        <w:rPr>
          <w:b/>
          <w:color w:val="auto"/>
          <w:sz w:val="32"/>
          <w:szCs w:val="32"/>
          <w:highlight w:val="none"/>
        </w:rPr>
        <w:br w:type="page" w:clear="all"/>
      </w:r>
    </w:p>
    <w:p w14:paraId="61BE7DD7">
      <w:pPr>
        <w:pStyle w:val="49"/>
        <w:jc w:val="center"/>
        <w:rPr>
          <w:b/>
          <w:color w:val="auto"/>
          <w:sz w:val="32"/>
          <w:szCs w:val="32"/>
          <w:highlight w:val="none"/>
        </w:rPr>
      </w:pPr>
      <w:r>
        <w:rPr>
          <w:rFonts w:hint="eastAsia"/>
          <w:b/>
          <w:color w:val="auto"/>
          <w:sz w:val="32"/>
          <w:szCs w:val="32"/>
          <w:highlight w:val="none"/>
        </w:rPr>
        <w:t>质疑函范本</w:t>
      </w:r>
    </w:p>
    <w:p w14:paraId="21169093">
      <w:pPr>
        <w:pStyle w:val="49"/>
        <w:spacing w:before="290" w:beforeAutospacing="0" w:line="360" w:lineRule="auto"/>
        <w:jc w:val="both"/>
        <w:rPr>
          <w:color w:val="auto"/>
          <w:highlight w:val="none"/>
        </w:rPr>
      </w:pPr>
      <w:r>
        <w:rPr>
          <w:rFonts w:hint="eastAsia"/>
          <w:color w:val="auto"/>
          <w:highlight w:val="none"/>
        </w:rPr>
        <w:t>一、质疑供应商基本信息</w:t>
      </w:r>
    </w:p>
    <w:p w14:paraId="05F06E32">
      <w:pPr>
        <w:pStyle w:val="49"/>
        <w:spacing w:line="360" w:lineRule="auto"/>
        <w:jc w:val="both"/>
        <w:rPr>
          <w:color w:val="auto"/>
          <w:highlight w:val="none"/>
        </w:rPr>
      </w:pPr>
      <w:r>
        <w:rPr>
          <w:rFonts w:hint="eastAsia"/>
          <w:color w:val="auto"/>
          <w:highlight w:val="none"/>
        </w:rPr>
        <w:t>质疑供应商：</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 </w:t>
      </w:r>
      <w:r>
        <w:rPr>
          <w:rFonts w:hint="eastAsia"/>
          <w:color w:val="auto"/>
          <w:highlight w:val="none"/>
          <w:u w:val="single"/>
        </w:rPr>
        <w:tab/>
      </w:r>
      <w:r>
        <w:rPr>
          <w:rFonts w:hint="eastAsia"/>
          <w:color w:val="auto"/>
          <w:highlight w:val="none"/>
          <w:u w:val="single"/>
        </w:rPr>
        <w:t xml:space="preserve">       </w:t>
      </w:r>
    </w:p>
    <w:p w14:paraId="54B7D44E">
      <w:pPr>
        <w:pStyle w:val="49"/>
        <w:spacing w:line="360" w:lineRule="auto"/>
        <w:jc w:val="both"/>
        <w:rPr>
          <w:color w:val="auto"/>
          <w:highlight w:val="none"/>
          <w:u w:val="single"/>
        </w:rPr>
      </w:pPr>
      <w:r>
        <w:rPr>
          <w:rFonts w:hint="eastAsia"/>
          <w:color w:val="auto"/>
          <w:highlight w:val="none"/>
        </w:rPr>
        <w:t>地址：</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w:t>
      </w:r>
    </w:p>
    <w:p w14:paraId="12A853AD">
      <w:pPr>
        <w:pStyle w:val="49"/>
        <w:spacing w:line="360" w:lineRule="auto"/>
        <w:jc w:val="both"/>
        <w:rPr>
          <w:color w:val="auto"/>
          <w:highlight w:val="none"/>
        </w:rPr>
      </w:pPr>
      <w:r>
        <w:rPr>
          <w:rFonts w:hint="eastAsia"/>
          <w:color w:val="auto"/>
          <w:highlight w:val="none"/>
        </w:rPr>
        <w:t>邮编：</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347B55D0">
      <w:pPr>
        <w:pStyle w:val="49"/>
        <w:spacing w:line="360" w:lineRule="auto"/>
        <w:jc w:val="both"/>
        <w:rPr>
          <w:color w:val="auto"/>
          <w:highlight w:val="none"/>
          <w:u w:val="single"/>
        </w:rPr>
      </w:pPr>
      <w:r>
        <w:rPr>
          <w:rFonts w:hint="eastAsia"/>
          <w:color w:val="auto"/>
          <w:highlight w:val="none"/>
        </w:rPr>
        <w:t>联系人：</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52862642">
      <w:pPr>
        <w:pStyle w:val="49"/>
        <w:spacing w:line="360" w:lineRule="auto"/>
        <w:jc w:val="both"/>
        <w:rPr>
          <w:color w:val="auto"/>
          <w:highlight w:val="none"/>
        </w:rPr>
      </w:pPr>
      <w:r>
        <w:rPr>
          <w:rFonts w:hint="eastAsia"/>
          <w:color w:val="auto"/>
          <w:highlight w:val="none"/>
        </w:rPr>
        <w:t>联系电话：</w:t>
      </w:r>
      <w:r>
        <w:rPr>
          <w:rFonts w:hint="eastAsia"/>
          <w:color w:val="auto"/>
          <w:highlight w:val="none"/>
          <w:u w:val="single"/>
        </w:rPr>
        <w:t xml:space="preserve">                                           </w:t>
      </w:r>
    </w:p>
    <w:p w14:paraId="73CD4B6D">
      <w:pPr>
        <w:pStyle w:val="49"/>
        <w:spacing w:line="360" w:lineRule="auto"/>
        <w:jc w:val="both"/>
        <w:rPr>
          <w:color w:val="auto"/>
          <w:highlight w:val="none"/>
        </w:rPr>
      </w:pPr>
      <w:r>
        <w:rPr>
          <w:rFonts w:hint="eastAsia"/>
          <w:color w:val="auto"/>
          <w:highlight w:val="none"/>
        </w:rPr>
        <w:t>授权代表：</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4426942E">
      <w:pPr>
        <w:pStyle w:val="49"/>
        <w:spacing w:line="360" w:lineRule="auto"/>
        <w:jc w:val="both"/>
        <w:rPr>
          <w:color w:val="auto"/>
          <w:highlight w:val="none"/>
        </w:rPr>
      </w:pPr>
      <w:r>
        <w:rPr>
          <w:rFonts w:hint="eastAsia"/>
          <w:color w:val="auto"/>
          <w:highlight w:val="none"/>
        </w:rPr>
        <w:t>联系电话：</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59498E4F">
      <w:pPr>
        <w:pStyle w:val="49"/>
        <w:spacing w:line="360" w:lineRule="auto"/>
        <w:jc w:val="both"/>
        <w:rPr>
          <w:color w:val="auto"/>
          <w:highlight w:val="none"/>
          <w:u w:val="single"/>
        </w:rPr>
      </w:pPr>
      <w:r>
        <w:rPr>
          <w:rFonts w:hint="eastAsia"/>
          <w:color w:val="auto"/>
          <w:highlight w:val="none"/>
        </w:rPr>
        <w:t>地址： </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75C53A4E">
      <w:pPr>
        <w:pStyle w:val="49"/>
        <w:spacing w:line="360" w:lineRule="auto"/>
        <w:jc w:val="both"/>
        <w:rPr>
          <w:color w:val="auto"/>
          <w:highlight w:val="none"/>
        </w:rPr>
      </w:pPr>
      <w:r>
        <w:rPr>
          <w:rFonts w:hint="eastAsia"/>
          <w:color w:val="auto"/>
          <w:highlight w:val="none"/>
        </w:rPr>
        <w:t>邮编：</w:t>
      </w:r>
      <w:r>
        <w:rPr>
          <w:rFonts w:hint="eastAsia"/>
          <w:color w:val="auto"/>
          <w:highlight w:val="none"/>
          <w:u w:val="single"/>
        </w:rPr>
        <w:t xml:space="preserve">                                </w:t>
      </w:r>
    </w:p>
    <w:p w14:paraId="37D3FB45">
      <w:pPr>
        <w:pStyle w:val="49"/>
        <w:spacing w:line="360" w:lineRule="auto"/>
        <w:jc w:val="both"/>
        <w:rPr>
          <w:color w:val="auto"/>
          <w:highlight w:val="none"/>
        </w:rPr>
      </w:pPr>
      <w:r>
        <w:rPr>
          <w:rFonts w:hint="eastAsia"/>
          <w:color w:val="auto"/>
          <w:highlight w:val="none"/>
        </w:rPr>
        <w:t>二、质疑项目基本情况</w:t>
      </w:r>
    </w:p>
    <w:p w14:paraId="449A60C6">
      <w:pPr>
        <w:pStyle w:val="49"/>
        <w:spacing w:line="360" w:lineRule="auto"/>
        <w:jc w:val="both"/>
        <w:rPr>
          <w:color w:val="auto"/>
          <w:highlight w:val="none"/>
        </w:rPr>
      </w:pPr>
      <w:r>
        <w:rPr>
          <w:rFonts w:hint="eastAsia"/>
          <w:color w:val="auto"/>
          <w:highlight w:val="none"/>
        </w:rPr>
        <w:t>质疑项目的名称：</w:t>
      </w:r>
      <w:r>
        <w:rPr>
          <w:rFonts w:hint="eastAsia"/>
          <w:color w:val="auto"/>
          <w:highlight w:val="none"/>
          <w:u w:val="single"/>
        </w:rPr>
        <w:t xml:space="preserve">                            </w:t>
      </w:r>
    </w:p>
    <w:p w14:paraId="70E4F459">
      <w:pPr>
        <w:pStyle w:val="49"/>
        <w:spacing w:line="360" w:lineRule="auto"/>
        <w:jc w:val="both"/>
        <w:rPr>
          <w:color w:val="auto"/>
          <w:highlight w:val="none"/>
          <w:u w:val="single"/>
        </w:rPr>
      </w:pPr>
      <w:r>
        <w:rPr>
          <w:rFonts w:hint="eastAsia"/>
          <w:color w:val="auto"/>
          <w:highlight w:val="none"/>
        </w:rPr>
        <w:t>质疑项目的编号：</w:t>
      </w:r>
      <w:r>
        <w:rPr>
          <w:rFonts w:hint="eastAsia"/>
          <w:color w:val="auto"/>
          <w:highlight w:val="none"/>
          <w:u w:val="single"/>
        </w:rPr>
        <w:t xml:space="preserve">                          </w:t>
      </w:r>
    </w:p>
    <w:p w14:paraId="336790A1">
      <w:pPr>
        <w:pStyle w:val="49"/>
        <w:spacing w:line="360" w:lineRule="auto"/>
        <w:jc w:val="both"/>
        <w:rPr>
          <w:color w:val="auto"/>
          <w:highlight w:val="none"/>
        </w:rPr>
      </w:pPr>
      <w:r>
        <w:rPr>
          <w:rFonts w:hint="eastAsia"/>
          <w:color w:val="auto"/>
          <w:highlight w:val="none"/>
        </w:rPr>
        <w:t>包号：</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7C034EC1">
      <w:pPr>
        <w:pStyle w:val="49"/>
        <w:spacing w:line="360" w:lineRule="auto"/>
        <w:jc w:val="both"/>
        <w:rPr>
          <w:color w:val="auto"/>
          <w:highlight w:val="none"/>
        </w:rPr>
      </w:pPr>
      <w:r>
        <w:rPr>
          <w:rFonts w:hint="eastAsia"/>
          <w:color w:val="auto"/>
          <w:highlight w:val="none"/>
        </w:rPr>
        <w:t>采购人名称：</w:t>
      </w:r>
      <w:r>
        <w:rPr>
          <w:rFonts w:hint="eastAsia"/>
          <w:color w:val="auto"/>
          <w:highlight w:val="none"/>
          <w:u w:val="single"/>
        </w:rPr>
        <w:t xml:space="preserve">                            </w:t>
      </w:r>
    </w:p>
    <w:p w14:paraId="4095E076">
      <w:pPr>
        <w:pStyle w:val="49"/>
        <w:spacing w:line="360" w:lineRule="auto"/>
        <w:jc w:val="both"/>
        <w:rPr>
          <w:color w:val="auto"/>
          <w:highlight w:val="none"/>
        </w:rPr>
      </w:pPr>
      <w:r>
        <w:rPr>
          <w:rFonts w:hint="eastAsia"/>
          <w:color w:val="auto"/>
          <w:highlight w:val="none"/>
        </w:rPr>
        <w:t>采购文件获取日期：</w:t>
      </w:r>
      <w:r>
        <w:rPr>
          <w:rFonts w:hint="eastAsia"/>
          <w:color w:val="auto"/>
          <w:highlight w:val="none"/>
          <w:u w:val="single"/>
        </w:rPr>
        <w:t xml:space="preserve">                             </w:t>
      </w:r>
    </w:p>
    <w:p w14:paraId="76AAF02A">
      <w:pPr>
        <w:pStyle w:val="49"/>
        <w:spacing w:line="360" w:lineRule="auto"/>
        <w:jc w:val="both"/>
        <w:rPr>
          <w:color w:val="auto"/>
          <w:highlight w:val="none"/>
        </w:rPr>
      </w:pPr>
      <w:r>
        <w:rPr>
          <w:rFonts w:hint="eastAsia"/>
          <w:color w:val="auto"/>
          <w:highlight w:val="none"/>
        </w:rPr>
        <w:t>三、质疑事项具体内容</w:t>
      </w:r>
    </w:p>
    <w:p w14:paraId="23E0F8E9">
      <w:pPr>
        <w:pStyle w:val="49"/>
        <w:spacing w:line="360" w:lineRule="auto"/>
        <w:jc w:val="both"/>
        <w:rPr>
          <w:color w:val="auto"/>
          <w:highlight w:val="none"/>
        </w:rPr>
      </w:pPr>
      <w:r>
        <w:rPr>
          <w:rFonts w:hint="eastAsia"/>
          <w:color w:val="auto"/>
          <w:highlight w:val="none"/>
        </w:rPr>
        <w:t>质疑事项1：</w:t>
      </w:r>
      <w:r>
        <w:rPr>
          <w:rFonts w:hint="eastAsia"/>
          <w:color w:val="auto"/>
          <w:highlight w:val="none"/>
          <w:u w:val="single"/>
        </w:rPr>
        <w:t xml:space="preserve">                             </w:t>
      </w:r>
    </w:p>
    <w:p w14:paraId="4FE06A85">
      <w:pPr>
        <w:pStyle w:val="49"/>
        <w:spacing w:line="360" w:lineRule="auto"/>
        <w:rPr>
          <w:color w:val="auto"/>
          <w:highlight w:val="none"/>
        </w:rPr>
      </w:pPr>
      <w:r>
        <w:rPr>
          <w:rFonts w:hint="eastAsia"/>
          <w:color w:val="auto"/>
          <w:highlight w:val="none"/>
        </w:rPr>
        <w:t>事实依据：</w:t>
      </w:r>
      <w:r>
        <w:rPr>
          <w:rFonts w:hint="eastAsia"/>
          <w:color w:val="auto"/>
          <w:highlight w:val="none"/>
          <w:u w:val="single"/>
        </w:rPr>
        <w:t xml:space="preserve">                                                   </w:t>
      </w:r>
    </w:p>
    <w:p w14:paraId="38697124">
      <w:pPr>
        <w:pStyle w:val="49"/>
        <w:spacing w:line="360" w:lineRule="auto"/>
        <w:jc w:val="both"/>
        <w:rPr>
          <w:color w:val="auto"/>
          <w:highlight w:val="none"/>
        </w:rPr>
      </w:pPr>
      <w:r>
        <w:rPr>
          <w:rFonts w:hint="eastAsia"/>
          <w:color w:val="auto"/>
          <w:highlight w:val="none"/>
        </w:rPr>
        <w:t>法律依据：</w:t>
      </w:r>
      <w:r>
        <w:rPr>
          <w:rFonts w:hint="eastAsia"/>
          <w:color w:val="auto"/>
          <w:highlight w:val="none"/>
          <w:u w:val="single"/>
        </w:rPr>
        <w:t xml:space="preserve">                                                    </w:t>
      </w:r>
    </w:p>
    <w:p w14:paraId="2BC31781">
      <w:pPr>
        <w:pStyle w:val="49"/>
        <w:spacing w:line="360" w:lineRule="auto"/>
        <w:jc w:val="both"/>
        <w:rPr>
          <w:color w:val="auto"/>
          <w:highlight w:val="none"/>
        </w:rPr>
      </w:pPr>
      <w:r>
        <w:rPr>
          <w:rFonts w:hint="eastAsia"/>
          <w:color w:val="auto"/>
          <w:highlight w:val="none"/>
        </w:rPr>
        <w:t>质疑事项2</w:t>
      </w:r>
    </w:p>
    <w:p w14:paraId="2FB6C710">
      <w:pPr>
        <w:pStyle w:val="49"/>
        <w:spacing w:line="360" w:lineRule="auto"/>
        <w:jc w:val="both"/>
        <w:rPr>
          <w:color w:val="auto"/>
          <w:highlight w:val="none"/>
        </w:rPr>
      </w:pPr>
      <w:r>
        <w:rPr>
          <w:rFonts w:hint="eastAsia"/>
          <w:color w:val="auto"/>
          <w:highlight w:val="none"/>
        </w:rPr>
        <w:t>……</w:t>
      </w:r>
    </w:p>
    <w:p w14:paraId="42A8ECBF">
      <w:pPr>
        <w:pStyle w:val="49"/>
        <w:spacing w:line="360" w:lineRule="auto"/>
        <w:jc w:val="both"/>
        <w:rPr>
          <w:color w:val="auto"/>
          <w:highlight w:val="none"/>
        </w:rPr>
      </w:pPr>
      <w:r>
        <w:rPr>
          <w:rFonts w:hint="eastAsia"/>
          <w:color w:val="auto"/>
          <w:highlight w:val="none"/>
        </w:rPr>
        <w:t>四、与质疑事项相关的质疑请求</w:t>
      </w:r>
    </w:p>
    <w:p w14:paraId="70C6C615">
      <w:pPr>
        <w:pStyle w:val="49"/>
        <w:spacing w:line="360" w:lineRule="auto"/>
        <w:jc w:val="both"/>
        <w:rPr>
          <w:color w:val="auto"/>
          <w:highlight w:val="none"/>
        </w:rPr>
      </w:pPr>
      <w:r>
        <w:rPr>
          <w:rFonts w:hint="eastAsia"/>
          <w:color w:val="auto"/>
          <w:highlight w:val="none"/>
        </w:rPr>
        <w:t>请求：</w:t>
      </w:r>
      <w:r>
        <w:rPr>
          <w:rFonts w:hint="eastAsia"/>
          <w:color w:val="auto"/>
          <w:highlight w:val="none"/>
          <w:u w:val="single"/>
        </w:rPr>
        <w:t xml:space="preserve">                                                          </w:t>
      </w:r>
    </w:p>
    <w:p w14:paraId="1635974C">
      <w:pPr>
        <w:pStyle w:val="49"/>
        <w:jc w:val="both"/>
        <w:rPr>
          <w:color w:val="auto"/>
          <w:highlight w:val="none"/>
        </w:rPr>
      </w:pPr>
      <w:r>
        <w:rPr>
          <w:rFonts w:hint="eastAsia"/>
          <w:color w:val="auto"/>
          <w:highlight w:val="none"/>
        </w:rPr>
        <w:t xml:space="preserve">签字(签章)：                 公章：               日期：    </w:t>
      </w:r>
    </w:p>
    <w:p w14:paraId="2ADAAD2E">
      <w:pPr>
        <w:pStyle w:val="49"/>
        <w:spacing w:line="0" w:lineRule="atLeast"/>
        <w:jc w:val="both"/>
        <w:rPr>
          <w:color w:val="auto"/>
          <w:highlight w:val="none"/>
        </w:rPr>
      </w:pPr>
      <w:r>
        <w:rPr>
          <w:rFonts w:hint="eastAsia"/>
          <w:b/>
          <w:color w:val="auto"/>
          <w:highlight w:val="none"/>
        </w:rPr>
        <w:t>质疑函制作说明：</w:t>
      </w:r>
    </w:p>
    <w:p w14:paraId="169BDC36">
      <w:pPr>
        <w:pStyle w:val="49"/>
        <w:spacing w:line="0" w:lineRule="atLeast"/>
        <w:ind w:firstLine="480"/>
        <w:rPr>
          <w:color w:val="auto"/>
          <w:highlight w:val="none"/>
        </w:rPr>
      </w:pPr>
      <w:r>
        <w:rPr>
          <w:rFonts w:hint="eastAsia"/>
          <w:color w:val="auto"/>
          <w:highlight w:val="none"/>
        </w:rPr>
        <w:t>1.供应商提出质疑时，应提交质疑函和必要的证明材料。</w:t>
      </w:r>
    </w:p>
    <w:p w14:paraId="3F3F5726">
      <w:pPr>
        <w:pStyle w:val="49"/>
        <w:spacing w:line="0" w:lineRule="atLeast"/>
        <w:ind w:firstLine="480"/>
        <w:rPr>
          <w:color w:val="auto"/>
          <w:highlight w:val="none"/>
        </w:rPr>
      </w:pPr>
      <w:r>
        <w:rPr>
          <w:rFonts w:hint="eastAsia"/>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6EA6E6F">
      <w:pPr>
        <w:pStyle w:val="49"/>
        <w:spacing w:line="0" w:lineRule="atLeast"/>
        <w:ind w:firstLine="480"/>
        <w:rPr>
          <w:color w:val="auto"/>
          <w:highlight w:val="none"/>
        </w:rPr>
      </w:pPr>
      <w:r>
        <w:rPr>
          <w:rFonts w:hint="eastAsia"/>
          <w:color w:val="auto"/>
          <w:highlight w:val="none"/>
        </w:rPr>
        <w:t>3.质疑供应商若对项目的某一分包进行质疑，质疑函中应列明具体分包号。</w:t>
      </w:r>
    </w:p>
    <w:p w14:paraId="39679D5B">
      <w:pPr>
        <w:pStyle w:val="49"/>
        <w:spacing w:line="0" w:lineRule="atLeast"/>
        <w:ind w:firstLine="480"/>
        <w:rPr>
          <w:color w:val="auto"/>
          <w:highlight w:val="none"/>
        </w:rPr>
      </w:pPr>
      <w:r>
        <w:rPr>
          <w:rFonts w:hint="eastAsia"/>
          <w:color w:val="auto"/>
          <w:highlight w:val="none"/>
        </w:rPr>
        <w:t>4.质疑函的质疑事项应具体、明确，并有必要的事实依据和法律依据。</w:t>
      </w:r>
    </w:p>
    <w:p w14:paraId="15A4F8E7">
      <w:pPr>
        <w:pStyle w:val="49"/>
        <w:spacing w:line="0" w:lineRule="atLeast"/>
        <w:ind w:firstLine="480"/>
        <w:rPr>
          <w:color w:val="auto"/>
          <w:highlight w:val="none"/>
        </w:rPr>
      </w:pPr>
      <w:r>
        <w:rPr>
          <w:rFonts w:hint="eastAsia"/>
          <w:color w:val="auto"/>
          <w:highlight w:val="none"/>
        </w:rPr>
        <w:t>5.质疑函的质疑请求应与质疑事项相关。</w:t>
      </w:r>
    </w:p>
    <w:p w14:paraId="725F63F7">
      <w:pPr>
        <w:pStyle w:val="49"/>
        <w:spacing w:line="0" w:lineRule="atLeast"/>
        <w:ind w:firstLine="480"/>
        <w:rPr>
          <w:color w:val="auto"/>
          <w:highlight w:val="none"/>
        </w:rPr>
      </w:pPr>
      <w:r>
        <w:rPr>
          <w:rFonts w:hint="eastAsia"/>
          <w:color w:val="auto"/>
          <w:highlight w:val="none"/>
        </w:rPr>
        <w:t>6.质疑供应商为自然人的，质疑函应由本人签字；质疑供应商为法人或者其他组织的，质疑函应由法定代表人、主要负责人，或者其授权代表签字或者盖章，并加盖公章。</w:t>
      </w:r>
    </w:p>
    <w:p w14:paraId="202F404B">
      <w:pPr>
        <w:spacing w:line="500" w:lineRule="exact"/>
        <w:jc w:val="center"/>
        <w:rPr>
          <w:rFonts w:ascii="宋体" w:hAnsi="宋体" w:cs="宋体"/>
          <w:color w:val="auto"/>
          <w:sz w:val="24"/>
          <w:highlight w:val="none"/>
        </w:rPr>
      </w:pPr>
    </w:p>
    <w:p w14:paraId="3E026985">
      <w:pPr>
        <w:jc w:val="center"/>
        <w:rPr>
          <w:color w:val="auto"/>
          <w:highlight w:val="none"/>
        </w:rPr>
      </w:pPr>
    </w:p>
    <w:sectPr>
      <w:footerReference r:id="rId5" w:type="first"/>
      <w:pgSz w:w="11906" w:h="16838"/>
      <w:pgMar w:top="1474" w:right="1474" w:bottom="1474" w:left="1474" w:header="851" w:footer="907" w:gutter="0"/>
      <w:pgBorders>
        <w:top w:val="none" w:sz="0" w:space="0"/>
        <w:left w:val="none" w:sz="0" w:space="0"/>
        <w:bottom w:val="none" w:sz="0" w:space="0"/>
        <w:right w:val="none" w:sz="0" w:space="0"/>
      </w:pgBorders>
      <w:pgNumType w:fmt="decimal"/>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楷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Book Antiqua">
    <w:altName w:val="Segoe Print"/>
    <w:panose1 w:val="02040602050305030304"/>
    <w:charset w:val="00"/>
    <w:family w:val="auto"/>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黑体_GBK">
    <w:altName w:val="微软雅黑"/>
    <w:panose1 w:val="020B05030202020202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方正小标宋_GBK">
    <w:altName w:val="微软雅黑"/>
    <w:panose1 w:val="020B0503020202020204"/>
    <w:charset w:val="00"/>
    <w:family w:val="auto"/>
    <w:pitch w:val="default"/>
    <w:sig w:usb0="00000000" w:usb1="00000000" w:usb2="00000000" w:usb3="00000000" w:csb0="00000000" w:csb1="00000000"/>
  </w:font>
  <w:font w:name="方正姚体">
    <w:altName w:val="宋体"/>
    <w:panose1 w:val="02010601030101010101"/>
    <w:charset w:val="86"/>
    <w:family w:val="auto"/>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F21A05E0">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95C0E">
    <w:pPr>
      <w:pStyle w:val="3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B56883">
                          <w:pPr>
                            <w:pStyle w:val="3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1B56883">
                    <w:pPr>
                      <w:pStyle w:val="3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08C35">
    <w:pPr>
      <w:pStyle w:val="34"/>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AF332E">
                          <w:pPr>
                            <w:pStyle w:val="3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FAF332E">
                    <w:pPr>
                      <w:pStyle w:val="34"/>
                    </w:pPr>
                    <w:r>
                      <w:fldChar w:fldCharType="begin"/>
                    </w:r>
                    <w:r>
                      <w:instrText xml:space="preserve"> PAGE  \* MERGEFORMAT </w:instrText>
                    </w:r>
                    <w:r>
                      <w:fldChar w:fldCharType="separate"/>
                    </w:r>
                    <w:r>
                      <w:t>1</w:t>
                    </w:r>
                    <w:r>
                      <w:fldChar w:fldCharType="end"/>
                    </w:r>
                  </w:p>
                </w:txbxContent>
              </v:textbox>
            </v:shape>
          </w:pict>
        </mc:Fallback>
      </mc:AlternateContent>
    </w:r>
  </w:p>
  <w:p w14:paraId="321A0899">
    <w:pPr>
      <w:pStyle w:val="3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9D333">
    <w:pPr>
      <w:pStyle w:val="34"/>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7EC9B6">
                          <w:pPr>
                            <w:pStyle w:val="34"/>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97EC9B6">
                    <w:pPr>
                      <w:pStyle w:val="34"/>
                    </w:pPr>
                    <w:r>
                      <w:fldChar w:fldCharType="begin"/>
                    </w:r>
                    <w:r>
                      <w:instrText xml:space="preserve"> PAGE  \* MERGEFORMAT </w:instrText>
                    </w:r>
                    <w:r>
                      <w:fldChar w:fldCharType="separate"/>
                    </w:r>
                    <w:r>
                      <w:t>61</w:t>
                    </w:r>
                    <w:r>
                      <w:fldChar w:fldCharType="end"/>
                    </w:r>
                  </w:p>
                </w:txbxContent>
              </v:textbox>
            </v:shape>
          </w:pict>
        </mc:Fallback>
      </mc:AlternateContent>
    </w:r>
  </w:p>
  <w:p w14:paraId="0488FD03">
    <w:pPr>
      <w:pStyle w:val="3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C6CB17"/>
    <w:multiLevelType w:val="multilevel"/>
    <w:tmpl w:val="B4C6CB17"/>
    <w:lvl w:ilvl="0" w:tentative="0">
      <w:start w:val="2"/>
      <w:numFmt w:val="decimal"/>
      <w:suff w:val="space"/>
      <w:lvlText w:val="%1."/>
      <w:lvlJc w:val="left"/>
      <w:pPr>
        <w:ind w:left="0" w:firstLine="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CF092B84"/>
    <w:multiLevelType w:val="multilevel"/>
    <w:tmpl w:val="CF092B84"/>
    <w:lvl w:ilvl="0" w:tentative="0">
      <w:start w:val="1"/>
      <w:numFmt w:val="upperLetter"/>
      <w:pStyle w:val="36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japaneseCounting"/>
      <w:pStyle w:val="350"/>
      <w:lvlText w:val="第%1章"/>
      <w:lvlJc w:val="left"/>
      <w:pPr>
        <w:ind w:left="9351" w:hanging="420"/>
      </w:pPr>
      <w:rPr>
        <w:rFonts w:hint="eastAsia" w:ascii="黑体" w:eastAsia="黑体"/>
        <w:b w:val="0"/>
        <w:sz w:val="36"/>
        <w:lang w:val="en-US"/>
      </w:rPr>
    </w:lvl>
    <w:lvl w:ilvl="1" w:tentative="0">
      <w:start w:val="1"/>
      <w:numFmt w:val="decimal"/>
      <w:pStyle w:val="351"/>
      <w:lvlText w:val="%1.%2"/>
      <w:lvlJc w:val="left"/>
      <w:pPr>
        <w:tabs>
          <w:tab w:val="left" w:pos="851"/>
        </w:tabs>
        <w:ind w:left="0" w:firstLine="0"/>
      </w:pPr>
      <w:rPr>
        <w:rFonts w:cs="Times New Roman"/>
        <w:b w:val="0"/>
        <w:bCs w:val="0"/>
        <w:i w:val="0"/>
        <w:iCs w:val="0"/>
        <w:caps w:val="0"/>
        <w:smallCaps w:val="0"/>
        <w:strike w:val="0"/>
        <w:vanish w:val="0"/>
        <w:spacing w:val="0"/>
        <w:position w:val="0"/>
        <w:u w:val="none"/>
        <w:vertAlign w:val="baseline"/>
      </w:rPr>
    </w:lvl>
    <w:lvl w:ilvl="2" w:tentative="0">
      <w:start w:val="1"/>
      <w:numFmt w:val="decimal"/>
      <w:pStyle w:val="352"/>
      <w:lvlText w:val="%1.%2.%3"/>
      <w:lvlJc w:val="left"/>
      <w:pPr>
        <w:tabs>
          <w:tab w:val="left" w:pos="851"/>
        </w:tabs>
        <w:ind w:left="0" w:firstLine="0"/>
      </w:pPr>
      <w:rPr>
        <w:rFonts w:cs="Times New Roman"/>
        <w:b w:val="0"/>
        <w:bCs w:val="0"/>
        <w:i w:val="0"/>
        <w:iCs w:val="0"/>
        <w:caps w:val="0"/>
        <w:smallCaps w:val="0"/>
        <w:strike w:val="0"/>
        <w:vanish w:val="0"/>
        <w:color w:val="000000"/>
        <w:spacing w:val="0"/>
        <w:position w:val="0"/>
        <w:u w:val="none"/>
        <w:vertAlign w:val="baseline"/>
      </w:rPr>
    </w:lvl>
    <w:lvl w:ilvl="3" w:tentative="0">
      <w:start w:val="1"/>
      <w:numFmt w:val="decimal"/>
      <w:pStyle w:val="365"/>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num w:numId="1">
    <w:abstractNumId w:val="2"/>
  </w:num>
  <w:num w:numId="2">
    <w:abstractNumId w:val="1"/>
  </w:num>
  <w:num w:numId="3">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3268D"/>
    <w:rsid w:val="026B1575"/>
    <w:rsid w:val="0287525C"/>
    <w:rsid w:val="03975759"/>
    <w:rsid w:val="042B0A2E"/>
    <w:rsid w:val="076E554F"/>
    <w:rsid w:val="089B6610"/>
    <w:rsid w:val="095D5E26"/>
    <w:rsid w:val="0B124D35"/>
    <w:rsid w:val="0B574F31"/>
    <w:rsid w:val="0D417345"/>
    <w:rsid w:val="0D9E4270"/>
    <w:rsid w:val="10706D9E"/>
    <w:rsid w:val="110034B4"/>
    <w:rsid w:val="119B72CE"/>
    <w:rsid w:val="126D502D"/>
    <w:rsid w:val="13102BA6"/>
    <w:rsid w:val="156633A9"/>
    <w:rsid w:val="16E402D0"/>
    <w:rsid w:val="170950B3"/>
    <w:rsid w:val="18195771"/>
    <w:rsid w:val="19371C8A"/>
    <w:rsid w:val="1A4F7C67"/>
    <w:rsid w:val="1DC8392D"/>
    <w:rsid w:val="1E1E18C9"/>
    <w:rsid w:val="1E5D5505"/>
    <w:rsid w:val="1EE054DE"/>
    <w:rsid w:val="204158FD"/>
    <w:rsid w:val="222B0BB6"/>
    <w:rsid w:val="234E048E"/>
    <w:rsid w:val="24DE0385"/>
    <w:rsid w:val="252523ED"/>
    <w:rsid w:val="25DA0762"/>
    <w:rsid w:val="25E35426"/>
    <w:rsid w:val="267D0ADF"/>
    <w:rsid w:val="282C1383"/>
    <w:rsid w:val="2B8312F5"/>
    <w:rsid w:val="2F2D419C"/>
    <w:rsid w:val="2FFB5EB3"/>
    <w:rsid w:val="30BB6CB3"/>
    <w:rsid w:val="31EF0CAF"/>
    <w:rsid w:val="328E671A"/>
    <w:rsid w:val="33F42B8A"/>
    <w:rsid w:val="347831DE"/>
    <w:rsid w:val="35656D18"/>
    <w:rsid w:val="3B3D3DF1"/>
    <w:rsid w:val="3BD96015"/>
    <w:rsid w:val="3EDB73BB"/>
    <w:rsid w:val="41046658"/>
    <w:rsid w:val="43AF029E"/>
    <w:rsid w:val="44655C74"/>
    <w:rsid w:val="44B50C22"/>
    <w:rsid w:val="44C13B24"/>
    <w:rsid w:val="45402A0F"/>
    <w:rsid w:val="474204C0"/>
    <w:rsid w:val="4CA01CF5"/>
    <w:rsid w:val="4F5F2D15"/>
    <w:rsid w:val="4FCE1559"/>
    <w:rsid w:val="506A3039"/>
    <w:rsid w:val="53000FB3"/>
    <w:rsid w:val="541008E5"/>
    <w:rsid w:val="5531796B"/>
    <w:rsid w:val="57007337"/>
    <w:rsid w:val="57534930"/>
    <w:rsid w:val="57551578"/>
    <w:rsid w:val="583A08A9"/>
    <w:rsid w:val="598801C3"/>
    <w:rsid w:val="5A193FFB"/>
    <w:rsid w:val="61341A7A"/>
    <w:rsid w:val="61F767B2"/>
    <w:rsid w:val="63822E81"/>
    <w:rsid w:val="6591114B"/>
    <w:rsid w:val="68707450"/>
    <w:rsid w:val="6D480C98"/>
    <w:rsid w:val="6F4E0211"/>
    <w:rsid w:val="700D1D1C"/>
    <w:rsid w:val="713C0B14"/>
    <w:rsid w:val="717E6A9E"/>
    <w:rsid w:val="7372081D"/>
    <w:rsid w:val="756D2A54"/>
    <w:rsid w:val="75BE06D4"/>
    <w:rsid w:val="773761F7"/>
    <w:rsid w:val="79B67EDA"/>
    <w:rsid w:val="79D22A2E"/>
    <w:rsid w:val="7A6D50F0"/>
    <w:rsid w:val="7AB429BD"/>
    <w:rsid w:val="7B694BC0"/>
    <w:rsid w:val="7E376E27"/>
    <w:rsid w:val="7FDD5C95"/>
    <w:rsid w:val="7FF013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qFormat="1"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92"/>
    <w:qFormat/>
    <w:uiPriority w:val="0"/>
    <w:pPr>
      <w:keepNext/>
      <w:outlineLvl w:val="0"/>
    </w:pPr>
    <w:rPr>
      <w:rFonts w:ascii="楷体_GB2312" w:eastAsia="楷体_GB2312"/>
      <w:sz w:val="28"/>
      <w:szCs w:val="20"/>
    </w:rPr>
  </w:style>
  <w:style w:type="paragraph" w:styleId="4">
    <w:name w:val="heading 2"/>
    <w:basedOn w:val="1"/>
    <w:next w:val="5"/>
    <w:link w:val="93"/>
    <w:qFormat/>
    <w:uiPriority w:val="0"/>
    <w:pPr>
      <w:keepNext/>
      <w:keepLines/>
      <w:spacing w:before="260" w:after="260" w:line="416" w:lineRule="auto"/>
      <w:jc w:val="center"/>
      <w:outlineLvl w:val="1"/>
    </w:pPr>
    <w:rPr>
      <w:rFonts w:ascii="Arial" w:hAnsi="Arial" w:eastAsia="幼圆"/>
      <w:b/>
      <w:sz w:val="44"/>
      <w:szCs w:val="20"/>
    </w:rPr>
  </w:style>
  <w:style w:type="paragraph" w:styleId="6">
    <w:name w:val="heading 3"/>
    <w:basedOn w:val="1"/>
    <w:next w:val="1"/>
    <w:link w:val="94"/>
    <w:qFormat/>
    <w:uiPriority w:val="0"/>
    <w:pPr>
      <w:keepNext/>
      <w:keepLines/>
      <w:spacing w:before="260" w:after="260" w:line="416" w:lineRule="auto"/>
      <w:outlineLvl w:val="2"/>
    </w:pPr>
    <w:rPr>
      <w:b/>
      <w:sz w:val="32"/>
      <w:szCs w:val="20"/>
    </w:rPr>
  </w:style>
  <w:style w:type="paragraph" w:styleId="7">
    <w:name w:val="heading 4"/>
    <w:basedOn w:val="8"/>
    <w:next w:val="1"/>
    <w:link w:val="95"/>
    <w:qFormat/>
    <w:uiPriority w:val="0"/>
    <w:pPr>
      <w:keepLines/>
      <w:spacing w:before="280" w:after="290" w:line="376" w:lineRule="auto"/>
      <w:outlineLvl w:val="3"/>
    </w:pPr>
    <w:rPr>
      <w:rFonts w:ascii="Arial" w:hAnsi="Arial" w:eastAsia="黑体"/>
      <w:b w:val="0"/>
      <w:bCs w:val="0"/>
      <w:sz w:val="28"/>
      <w:szCs w:val="28"/>
    </w:rPr>
  </w:style>
  <w:style w:type="paragraph" w:styleId="8">
    <w:name w:val="heading 5"/>
    <w:basedOn w:val="1"/>
    <w:next w:val="1"/>
    <w:link w:val="96"/>
    <w:qFormat/>
    <w:uiPriority w:val="0"/>
    <w:pPr>
      <w:keepNext/>
      <w:outlineLvl w:val="4"/>
    </w:pPr>
    <w:rPr>
      <w:rFonts w:ascii="宋体" w:hAnsi="宋体"/>
      <w:b/>
      <w:bCs/>
    </w:rPr>
  </w:style>
  <w:style w:type="paragraph" w:styleId="9">
    <w:name w:val="heading 6"/>
    <w:basedOn w:val="1"/>
    <w:next w:val="1"/>
    <w:link w:val="97"/>
    <w:qFormat/>
    <w:uiPriority w:val="0"/>
    <w:pPr>
      <w:keepNext/>
      <w:keepLines/>
      <w:spacing w:before="240" w:after="64" w:line="317" w:lineRule="auto"/>
      <w:outlineLvl w:val="5"/>
    </w:pPr>
    <w:rPr>
      <w:rFonts w:ascii="Cambria" w:hAnsi="Cambria"/>
      <w:b/>
      <w:bCs/>
      <w:sz w:val="24"/>
    </w:rPr>
  </w:style>
  <w:style w:type="paragraph" w:styleId="10">
    <w:name w:val="heading 7"/>
    <w:basedOn w:val="1"/>
    <w:next w:val="1"/>
    <w:link w:val="98"/>
    <w:qFormat/>
    <w:uiPriority w:val="0"/>
    <w:pPr>
      <w:keepNext/>
      <w:keepLines/>
      <w:spacing w:before="240" w:after="64" w:line="320" w:lineRule="auto"/>
      <w:outlineLvl w:val="6"/>
    </w:pPr>
    <w:rPr>
      <w:b/>
      <w:bCs/>
      <w:sz w:val="24"/>
    </w:rPr>
  </w:style>
  <w:style w:type="paragraph" w:styleId="11">
    <w:name w:val="heading 8"/>
    <w:basedOn w:val="1"/>
    <w:next w:val="1"/>
    <w:link w:val="99"/>
    <w:qFormat/>
    <w:uiPriority w:val="0"/>
    <w:pPr>
      <w:keepNext/>
      <w:keepLines/>
      <w:spacing w:before="240" w:after="64" w:line="317" w:lineRule="auto"/>
      <w:outlineLvl w:val="7"/>
    </w:pPr>
    <w:rPr>
      <w:rFonts w:ascii="Cambria" w:hAnsi="Cambria"/>
      <w:sz w:val="24"/>
    </w:rPr>
  </w:style>
  <w:style w:type="paragraph" w:styleId="12">
    <w:name w:val="heading 9"/>
    <w:basedOn w:val="1"/>
    <w:next w:val="1"/>
    <w:link w:val="100"/>
    <w:qFormat/>
    <w:uiPriority w:val="0"/>
    <w:pPr>
      <w:keepNext/>
      <w:keepLines/>
      <w:spacing w:before="240" w:after="64" w:line="317" w:lineRule="auto"/>
      <w:outlineLvl w:val="8"/>
    </w:pPr>
    <w:rPr>
      <w:rFonts w:ascii="Cambria" w:hAnsi="Cambria"/>
      <w:szCs w:val="21"/>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1"/>
    <w:next w:val="1"/>
    <w:qFormat/>
    <w:uiPriority w:val="0"/>
    <w:pPr>
      <w:spacing w:after="120" w:afterLines="0"/>
      <w:ind w:firstLine="420" w:firstLineChars="100"/>
    </w:pPr>
    <w:rPr>
      <w:sz w:val="21"/>
      <w:szCs w:val="24"/>
    </w:rPr>
  </w:style>
  <w:style w:type="paragraph" w:styleId="5">
    <w:name w:val="Normal Indent"/>
    <w:basedOn w:val="1"/>
    <w:link w:val="267"/>
    <w:qFormat/>
    <w:uiPriority w:val="0"/>
    <w:pPr>
      <w:ind w:firstLine="420"/>
    </w:pPr>
    <w:rPr>
      <w:szCs w:val="20"/>
    </w:rPr>
  </w:style>
  <w:style w:type="paragraph" w:styleId="13">
    <w:name w:val="toc 7"/>
    <w:basedOn w:val="1"/>
    <w:next w:val="1"/>
    <w:unhideWhenUsed/>
    <w:qFormat/>
    <w:uiPriority w:val="39"/>
    <w:pPr>
      <w:spacing w:after="57"/>
      <w:ind w:left="1701"/>
    </w:pPr>
  </w:style>
  <w:style w:type="paragraph" w:styleId="14">
    <w:name w:val="Note Heading"/>
    <w:basedOn w:val="1"/>
    <w:next w:val="1"/>
    <w:link w:val="101"/>
    <w:qFormat/>
    <w:uiPriority w:val="0"/>
    <w:pPr>
      <w:jc w:val="center"/>
    </w:pPr>
    <w:rPr>
      <w:sz w:val="24"/>
      <w:szCs w:val="20"/>
    </w:rPr>
  </w:style>
  <w:style w:type="paragraph" w:styleId="15">
    <w:name w:val="caption"/>
    <w:basedOn w:val="1"/>
    <w:next w:val="1"/>
    <w:qFormat/>
    <w:uiPriority w:val="0"/>
    <w:rPr>
      <w:rFonts w:ascii="Cambria" w:hAnsi="Cambria" w:eastAsia="黑体"/>
      <w:sz w:val="20"/>
      <w:szCs w:val="20"/>
    </w:rPr>
  </w:style>
  <w:style w:type="paragraph" w:styleId="16">
    <w:name w:val="Document Map"/>
    <w:basedOn w:val="1"/>
    <w:link w:val="102"/>
    <w:qFormat/>
    <w:uiPriority w:val="99"/>
    <w:pPr>
      <w:shd w:val="clear" w:color="auto" w:fill="000080"/>
    </w:pPr>
  </w:style>
  <w:style w:type="paragraph" w:styleId="17">
    <w:name w:val="annotation text"/>
    <w:basedOn w:val="1"/>
    <w:link w:val="103"/>
    <w:qFormat/>
    <w:uiPriority w:val="0"/>
    <w:pPr>
      <w:jc w:val="left"/>
    </w:pPr>
  </w:style>
  <w:style w:type="paragraph" w:styleId="18">
    <w:name w:val="Body Text 3"/>
    <w:basedOn w:val="1"/>
    <w:link w:val="104"/>
    <w:qFormat/>
    <w:uiPriority w:val="0"/>
    <w:rPr>
      <w:rFonts w:ascii="仿宋_GB2312" w:hAnsi="Arial" w:eastAsia="仿宋_GB2312"/>
      <w:sz w:val="32"/>
      <w:szCs w:val="20"/>
    </w:rPr>
  </w:style>
  <w:style w:type="paragraph" w:styleId="19">
    <w:name w:val="Body Text"/>
    <w:basedOn w:val="1"/>
    <w:next w:val="20"/>
    <w:link w:val="105"/>
    <w:qFormat/>
    <w:uiPriority w:val="0"/>
    <w:rPr>
      <w:rFonts w:ascii="楷体_GB2312" w:hAnsi="Arial" w:eastAsia="楷体_GB2312"/>
      <w:sz w:val="28"/>
      <w:szCs w:val="20"/>
    </w:rPr>
  </w:style>
  <w:style w:type="paragraph" w:customStyle="1" w:styleId="20">
    <w:name w:val="一级条标题"/>
    <w:basedOn w:val="21"/>
    <w:next w:val="22"/>
    <w:qFormat/>
    <w:uiPriority w:val="99"/>
    <w:pPr>
      <w:tabs>
        <w:tab w:val="left" w:pos="810"/>
        <w:tab w:val="left" w:pos="907"/>
        <w:tab w:val="left" w:pos="1265"/>
      </w:tabs>
      <w:spacing w:before="0" w:after="0"/>
      <w:ind w:left="907" w:hanging="907"/>
      <w:outlineLvl w:val="2"/>
    </w:pPr>
    <w:rPr>
      <w:rFonts w:hAnsi="宋体"/>
      <w:sz w:val="20"/>
      <w:szCs w:val="20"/>
    </w:rPr>
  </w:style>
  <w:style w:type="paragraph" w:customStyle="1" w:styleId="21">
    <w:name w:val="章标题"/>
    <w:next w:val="1"/>
    <w:qFormat/>
    <w:uiPriority w:val="99"/>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22">
    <w:name w:val="段"/>
    <w:next w:val="1"/>
    <w:qFormat/>
    <w:uiPriority w:val="0"/>
    <w:pPr>
      <w:widowControl w:val="0"/>
      <w:ind w:firstLine="200"/>
      <w:jc w:val="both"/>
    </w:pPr>
    <w:rPr>
      <w:rFonts w:hint="default" w:ascii="宋体" w:hAnsi="宋体" w:eastAsia="宋体" w:cs="宋体"/>
      <w:color w:val="000000"/>
      <w:sz w:val="21"/>
      <w:szCs w:val="21"/>
      <w:lang w:val="en-US" w:eastAsia="zh-CN" w:bidi="ar-SA"/>
    </w:rPr>
  </w:style>
  <w:style w:type="paragraph" w:styleId="23">
    <w:name w:val="Body Text Indent"/>
    <w:basedOn w:val="1"/>
    <w:link w:val="88"/>
    <w:unhideWhenUsed/>
    <w:qFormat/>
    <w:uiPriority w:val="0"/>
    <w:pPr>
      <w:spacing w:after="120"/>
      <w:ind w:left="420"/>
    </w:pPr>
  </w:style>
  <w:style w:type="paragraph" w:styleId="24">
    <w:name w:val="Block Text"/>
    <w:basedOn w:val="1"/>
    <w:qFormat/>
    <w:uiPriority w:val="99"/>
    <w:pPr>
      <w:tabs>
        <w:tab w:val="left" w:pos="9000"/>
      </w:tabs>
      <w:spacing w:after="120"/>
      <w:ind w:left="1440" w:right="1440"/>
    </w:pPr>
  </w:style>
  <w:style w:type="paragraph" w:styleId="25">
    <w:name w:val="index 4"/>
    <w:basedOn w:val="1"/>
    <w:next w:val="1"/>
    <w:qFormat/>
    <w:uiPriority w:val="0"/>
    <w:pPr>
      <w:ind w:left="600"/>
    </w:pPr>
  </w:style>
  <w:style w:type="paragraph" w:styleId="26">
    <w:name w:val="toc 5"/>
    <w:basedOn w:val="1"/>
    <w:next w:val="1"/>
    <w:unhideWhenUsed/>
    <w:qFormat/>
    <w:uiPriority w:val="39"/>
    <w:pPr>
      <w:spacing w:after="57"/>
      <w:ind w:left="1134"/>
    </w:pPr>
  </w:style>
  <w:style w:type="paragraph" w:styleId="27">
    <w:name w:val="toc 3"/>
    <w:basedOn w:val="1"/>
    <w:next w:val="1"/>
    <w:unhideWhenUsed/>
    <w:qFormat/>
    <w:uiPriority w:val="39"/>
    <w:pPr>
      <w:spacing w:after="57"/>
      <w:ind w:left="567"/>
    </w:pPr>
  </w:style>
  <w:style w:type="paragraph" w:styleId="28">
    <w:name w:val="Plain Text"/>
    <w:basedOn w:val="1"/>
    <w:next w:val="1"/>
    <w:link w:val="106"/>
    <w:qFormat/>
    <w:uiPriority w:val="0"/>
    <w:rPr>
      <w:rFonts w:ascii="宋体" w:hAnsi="Courier New"/>
      <w:sz w:val="28"/>
    </w:rPr>
  </w:style>
  <w:style w:type="paragraph" w:styleId="29">
    <w:name w:val="toc 8"/>
    <w:basedOn w:val="1"/>
    <w:next w:val="1"/>
    <w:unhideWhenUsed/>
    <w:qFormat/>
    <w:uiPriority w:val="39"/>
    <w:pPr>
      <w:spacing w:after="57"/>
      <w:ind w:left="1984"/>
    </w:pPr>
  </w:style>
  <w:style w:type="paragraph" w:styleId="30">
    <w:name w:val="Date"/>
    <w:basedOn w:val="1"/>
    <w:next w:val="1"/>
    <w:link w:val="107"/>
    <w:qFormat/>
    <w:uiPriority w:val="0"/>
    <w:rPr>
      <w:sz w:val="24"/>
      <w:szCs w:val="20"/>
    </w:rPr>
  </w:style>
  <w:style w:type="paragraph" w:styleId="31">
    <w:name w:val="Body Text Indent 2"/>
    <w:basedOn w:val="1"/>
    <w:link w:val="108"/>
    <w:qFormat/>
    <w:uiPriority w:val="0"/>
    <w:pPr>
      <w:ind w:firstLine="560"/>
    </w:pPr>
    <w:rPr>
      <w:rFonts w:ascii="宋体" w:hAnsi="宋体"/>
      <w:sz w:val="28"/>
    </w:rPr>
  </w:style>
  <w:style w:type="paragraph" w:styleId="32">
    <w:name w:val="endnote text"/>
    <w:basedOn w:val="1"/>
    <w:link w:val="109"/>
    <w:semiHidden/>
    <w:unhideWhenUsed/>
    <w:qFormat/>
    <w:uiPriority w:val="99"/>
    <w:rPr>
      <w:sz w:val="20"/>
    </w:rPr>
  </w:style>
  <w:style w:type="paragraph" w:styleId="33">
    <w:name w:val="Balloon Text"/>
    <w:basedOn w:val="1"/>
    <w:link w:val="110"/>
    <w:qFormat/>
    <w:uiPriority w:val="99"/>
    <w:rPr>
      <w:sz w:val="18"/>
      <w:szCs w:val="18"/>
    </w:rPr>
  </w:style>
  <w:style w:type="paragraph" w:styleId="34">
    <w:name w:val="footer"/>
    <w:basedOn w:val="1"/>
    <w:link w:val="91"/>
    <w:unhideWhenUsed/>
    <w:qFormat/>
    <w:uiPriority w:val="99"/>
    <w:pPr>
      <w:tabs>
        <w:tab w:val="center" w:pos="4153"/>
        <w:tab w:val="right" w:pos="8306"/>
      </w:tabs>
      <w:jc w:val="left"/>
    </w:pPr>
    <w:rPr>
      <w:sz w:val="18"/>
      <w:szCs w:val="18"/>
    </w:rPr>
  </w:style>
  <w:style w:type="paragraph" w:styleId="35">
    <w:name w:val="envelope return"/>
    <w:basedOn w:val="1"/>
    <w:unhideWhenUsed/>
    <w:qFormat/>
    <w:uiPriority w:val="0"/>
    <w:rPr>
      <w:rFonts w:ascii="Arial" w:hAnsi="Arial"/>
    </w:rPr>
  </w:style>
  <w:style w:type="paragraph" w:styleId="36">
    <w:name w:val="header"/>
    <w:basedOn w:val="1"/>
    <w:link w:val="90"/>
    <w:unhideWhenUsed/>
    <w:qFormat/>
    <w:uiPriority w:val="99"/>
    <w:pPr>
      <w:tabs>
        <w:tab w:val="center" w:pos="4153"/>
        <w:tab w:val="right" w:pos="8306"/>
      </w:tabs>
      <w:jc w:val="center"/>
    </w:pPr>
    <w:rPr>
      <w:sz w:val="18"/>
      <w:szCs w:val="18"/>
    </w:rPr>
  </w:style>
  <w:style w:type="paragraph" w:styleId="37">
    <w:name w:val="toc 1"/>
    <w:basedOn w:val="1"/>
    <w:next w:val="1"/>
    <w:unhideWhenUsed/>
    <w:qFormat/>
    <w:uiPriority w:val="39"/>
    <w:pPr>
      <w:spacing w:after="57"/>
    </w:pPr>
  </w:style>
  <w:style w:type="paragraph" w:styleId="38">
    <w:name w:val="toc 4"/>
    <w:basedOn w:val="1"/>
    <w:next w:val="1"/>
    <w:unhideWhenUsed/>
    <w:qFormat/>
    <w:uiPriority w:val="39"/>
    <w:pPr>
      <w:spacing w:after="57"/>
      <w:ind w:left="850"/>
    </w:pPr>
  </w:style>
  <w:style w:type="paragraph" w:styleId="39">
    <w:name w:val="Subtitle"/>
    <w:basedOn w:val="1"/>
    <w:next w:val="1"/>
    <w:link w:val="111"/>
    <w:qFormat/>
    <w:uiPriority w:val="0"/>
    <w:pPr>
      <w:spacing w:before="240" w:after="60" w:line="312" w:lineRule="auto"/>
      <w:jc w:val="center"/>
      <w:outlineLvl w:val="1"/>
    </w:pPr>
    <w:rPr>
      <w:rFonts w:ascii="Cambria" w:hAnsi="Cambria"/>
      <w:b/>
      <w:bCs/>
      <w:sz w:val="32"/>
      <w:szCs w:val="32"/>
    </w:rPr>
  </w:style>
  <w:style w:type="paragraph" w:styleId="40">
    <w:name w:val="footnote text"/>
    <w:basedOn w:val="1"/>
    <w:next w:val="41"/>
    <w:link w:val="112"/>
    <w:qFormat/>
    <w:uiPriority w:val="0"/>
    <w:pPr>
      <w:jc w:val="left"/>
    </w:pPr>
    <w:rPr>
      <w:sz w:val="18"/>
      <w:szCs w:val="18"/>
    </w:rPr>
  </w:style>
  <w:style w:type="paragraph" w:customStyle="1" w:styleId="41">
    <w:name w:val="index 51"/>
    <w:basedOn w:val="1"/>
    <w:next w:val="1"/>
    <w:qFormat/>
    <w:uiPriority w:val="0"/>
    <w:pPr>
      <w:ind w:left="798"/>
      <w:jc w:val="left"/>
    </w:pPr>
    <w:rPr>
      <w:rFonts w:ascii="Calibri" w:hAnsi="Calibri"/>
    </w:rPr>
  </w:style>
  <w:style w:type="paragraph" w:styleId="42">
    <w:name w:val="toc 6"/>
    <w:basedOn w:val="1"/>
    <w:next w:val="1"/>
    <w:unhideWhenUsed/>
    <w:qFormat/>
    <w:uiPriority w:val="39"/>
    <w:pPr>
      <w:spacing w:after="57"/>
      <w:ind w:left="1417"/>
    </w:pPr>
  </w:style>
  <w:style w:type="paragraph" w:styleId="43">
    <w:name w:val="Body Text Indent 3"/>
    <w:basedOn w:val="1"/>
    <w:link w:val="113"/>
    <w:qFormat/>
    <w:uiPriority w:val="0"/>
    <w:pPr>
      <w:ind w:firstLine="523"/>
    </w:pPr>
    <w:rPr>
      <w:rFonts w:ascii="仿宋_GB2312" w:hAnsi="宋体" w:eastAsia="仿宋_GB2312"/>
      <w:sz w:val="24"/>
    </w:rPr>
  </w:style>
  <w:style w:type="paragraph" w:styleId="44">
    <w:name w:val="table of figures"/>
    <w:basedOn w:val="1"/>
    <w:next w:val="1"/>
    <w:unhideWhenUsed/>
    <w:qFormat/>
    <w:uiPriority w:val="99"/>
  </w:style>
  <w:style w:type="paragraph" w:styleId="45">
    <w:name w:val="toc 2"/>
    <w:basedOn w:val="1"/>
    <w:next w:val="1"/>
    <w:unhideWhenUsed/>
    <w:qFormat/>
    <w:uiPriority w:val="39"/>
    <w:pPr>
      <w:spacing w:after="57"/>
      <w:ind w:left="283"/>
    </w:pPr>
  </w:style>
  <w:style w:type="paragraph" w:styleId="46">
    <w:name w:val="toc 9"/>
    <w:basedOn w:val="1"/>
    <w:next w:val="1"/>
    <w:unhideWhenUsed/>
    <w:qFormat/>
    <w:uiPriority w:val="39"/>
    <w:pPr>
      <w:spacing w:after="57"/>
      <w:ind w:left="2268"/>
    </w:pPr>
  </w:style>
  <w:style w:type="paragraph" w:styleId="47">
    <w:name w:val="Body Text 2"/>
    <w:basedOn w:val="1"/>
    <w:link w:val="114"/>
    <w:qFormat/>
    <w:uiPriority w:val="0"/>
    <w:pPr>
      <w:jc w:val="center"/>
    </w:pPr>
    <w:rPr>
      <w:rFonts w:ascii="仿宋_GB2312" w:eastAsia="仿宋_GB2312"/>
      <w:sz w:val="44"/>
    </w:rPr>
  </w:style>
  <w:style w:type="paragraph" w:styleId="48">
    <w:name w:val="HTML Preformatted"/>
    <w:basedOn w:val="1"/>
    <w:link w:val="11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styleId="49">
    <w:name w:val="Normal (Web)"/>
    <w:basedOn w:val="1"/>
    <w:unhideWhenUsed/>
    <w:qFormat/>
    <w:uiPriority w:val="0"/>
    <w:pPr>
      <w:widowControl/>
      <w:spacing w:before="100" w:beforeAutospacing="1" w:after="100" w:afterAutospacing="1"/>
      <w:jc w:val="left"/>
    </w:pPr>
    <w:rPr>
      <w:rFonts w:ascii="宋体" w:hAnsi="宋体" w:cs="宋体"/>
      <w:sz w:val="24"/>
    </w:rPr>
  </w:style>
  <w:style w:type="paragraph" w:styleId="50">
    <w:name w:val="index 1"/>
    <w:basedOn w:val="1"/>
    <w:next w:val="1"/>
    <w:semiHidden/>
    <w:qFormat/>
    <w:uiPriority w:val="0"/>
    <w:rPr>
      <w:rFonts w:ascii="宋体" w:hAnsi="宋体"/>
      <w:szCs w:val="18"/>
    </w:rPr>
  </w:style>
  <w:style w:type="paragraph" w:styleId="51">
    <w:name w:val="Title"/>
    <w:basedOn w:val="1"/>
    <w:next w:val="1"/>
    <w:link w:val="116"/>
    <w:qFormat/>
    <w:uiPriority w:val="0"/>
    <w:pPr>
      <w:spacing w:before="240" w:after="60"/>
      <w:jc w:val="center"/>
      <w:outlineLvl w:val="0"/>
    </w:pPr>
    <w:rPr>
      <w:rFonts w:ascii="Cambria" w:hAnsi="Cambria"/>
      <w:b/>
      <w:bCs/>
      <w:sz w:val="32"/>
      <w:szCs w:val="32"/>
    </w:rPr>
  </w:style>
  <w:style w:type="paragraph" w:styleId="52">
    <w:name w:val="annotation subject"/>
    <w:basedOn w:val="17"/>
    <w:next w:val="17"/>
    <w:link w:val="117"/>
    <w:qFormat/>
    <w:uiPriority w:val="0"/>
    <w:rPr>
      <w:b/>
      <w:bCs/>
    </w:rPr>
  </w:style>
  <w:style w:type="paragraph" w:styleId="53">
    <w:name w:val="Body Text First Indent 2"/>
    <w:basedOn w:val="23"/>
    <w:link w:val="89"/>
    <w:semiHidden/>
    <w:unhideWhenUsed/>
    <w:qFormat/>
    <w:uiPriority w:val="99"/>
    <w:pPr>
      <w:ind w:firstLine="420"/>
    </w:pPr>
  </w:style>
  <w:style w:type="table" w:styleId="55">
    <w:name w:val="Table Grid"/>
    <w:basedOn w:val="5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7">
    <w:name w:val="Strong"/>
    <w:qFormat/>
    <w:uiPriority w:val="22"/>
    <w:rPr>
      <w:b/>
      <w:bCs/>
    </w:rPr>
  </w:style>
  <w:style w:type="character" w:styleId="58">
    <w:name w:val="endnote reference"/>
    <w:semiHidden/>
    <w:unhideWhenUsed/>
    <w:qFormat/>
    <w:uiPriority w:val="99"/>
    <w:rPr>
      <w:vertAlign w:val="superscript"/>
    </w:rPr>
  </w:style>
  <w:style w:type="character" w:styleId="59">
    <w:name w:val="page number"/>
    <w:qFormat/>
    <w:uiPriority w:val="0"/>
  </w:style>
  <w:style w:type="character" w:styleId="60">
    <w:name w:val="FollowedHyperlink"/>
    <w:qFormat/>
    <w:uiPriority w:val="0"/>
    <w:rPr>
      <w:color w:val="800080"/>
      <w:u w:val="single"/>
    </w:rPr>
  </w:style>
  <w:style w:type="character" w:styleId="61">
    <w:name w:val="Emphasis"/>
    <w:qFormat/>
    <w:uiPriority w:val="0"/>
    <w:rPr>
      <w:i/>
      <w:iCs/>
    </w:rPr>
  </w:style>
  <w:style w:type="character" w:styleId="62">
    <w:name w:val="Hyperlink"/>
    <w:qFormat/>
    <w:uiPriority w:val="99"/>
    <w:rPr>
      <w:color w:val="0000FF"/>
      <w:u w:val="single"/>
    </w:rPr>
  </w:style>
  <w:style w:type="character" w:styleId="63">
    <w:name w:val="annotation reference"/>
    <w:qFormat/>
    <w:uiPriority w:val="0"/>
    <w:rPr>
      <w:sz w:val="21"/>
      <w:szCs w:val="21"/>
    </w:rPr>
  </w:style>
  <w:style w:type="character" w:styleId="64">
    <w:name w:val="footnote reference"/>
    <w:unhideWhenUsed/>
    <w:qFormat/>
    <w:uiPriority w:val="99"/>
    <w:rPr>
      <w:vertAlign w:val="superscript"/>
    </w:rPr>
  </w:style>
  <w:style w:type="paragraph" w:customStyle="1" w:styleId="65">
    <w:name w:val="目录 1111"/>
    <w:basedOn w:val="1"/>
    <w:next w:val="1"/>
    <w:unhideWhenUsed/>
    <w:qFormat/>
    <w:uiPriority w:val="39"/>
    <w:pPr>
      <w:widowControl/>
      <w:spacing w:after="100" w:line="259" w:lineRule="auto"/>
      <w:jc w:val="left"/>
    </w:pPr>
    <w:rPr>
      <w:rFonts w:ascii="Calibri" w:hAnsi="Calibri" w:eastAsia="宋体"/>
      <w:sz w:val="22"/>
      <w:szCs w:val="22"/>
    </w:rPr>
  </w:style>
  <w:style w:type="paragraph" w:customStyle="1" w:styleId="66">
    <w:name w:val="Default"/>
    <w:qFormat/>
    <w:uiPriority w:val="0"/>
    <w:pPr>
      <w:widowControl w:val="0"/>
    </w:pPr>
    <w:rPr>
      <w:rFonts w:hint="default" w:ascii="仿宋_GB2312" w:hAnsi="Times New Roman" w:eastAsia="仿宋_GB2312" w:cs="仿宋_GB2312"/>
      <w:color w:val="000000"/>
      <w:sz w:val="24"/>
      <w:szCs w:val="24"/>
      <w:lang w:val="en-US" w:eastAsia="zh-CN" w:bidi="ar-SA"/>
    </w:rPr>
  </w:style>
  <w:style w:type="table" w:customStyle="1" w:styleId="67">
    <w:name w:val="Plain Table 1"/>
    <w:basedOn w:val="5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basedOn w:val="5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basedOn w:val="5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basedOn w:val="5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basedOn w:val="5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basedOn w:val="5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2"/>
    <w:basedOn w:val="5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3"/>
    <w:basedOn w:val="5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4"/>
    <w:basedOn w:val="5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5 Dark"/>
    <w:basedOn w:val="5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7">
    <w:name w:val="Grid Table 6 Colorful"/>
    <w:basedOn w:val="5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8">
    <w:name w:val="Grid Table 7 Colorful"/>
    <w:basedOn w:val="5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9">
    <w:name w:val="List Table 1 Light"/>
    <w:basedOn w:val="5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0">
    <w:name w:val="List Table 2"/>
    <w:basedOn w:val="5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1">
    <w:name w:val="List Table 3"/>
    <w:basedOn w:val="5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2">
    <w:name w:val="List Table 4"/>
    <w:basedOn w:val="5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3">
    <w:name w:val="List Table 5 Dark"/>
    <w:basedOn w:val="5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4">
    <w:name w:val="List Table 6 Colorful"/>
    <w:basedOn w:val="5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5">
    <w:name w:val="List Table 7 Colorful"/>
    <w:basedOn w:val="5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6">
    <w:name w:val="Endnote Text Char"/>
    <w:qFormat/>
    <w:uiPriority w:val="99"/>
    <w:rPr>
      <w:sz w:val="20"/>
    </w:rPr>
  </w:style>
  <w:style w:type="paragraph" w:customStyle="1" w:styleId="87">
    <w:name w:val="TOC Heading"/>
    <w:unhideWhenUsed/>
    <w:qFormat/>
    <w:uiPriority w:val="39"/>
    <w:rPr>
      <w:rFonts w:hint="default" w:ascii="Times New Roman" w:hAnsi="Times New Roman" w:eastAsia="宋体" w:cs="Times New Roman"/>
    </w:rPr>
  </w:style>
  <w:style w:type="character" w:customStyle="1" w:styleId="88">
    <w:name w:val="正文文本缩进 字符"/>
    <w:basedOn w:val="56"/>
    <w:link w:val="23"/>
    <w:qFormat/>
    <w:uiPriority w:val="0"/>
    <w:rPr>
      <w:rFonts w:ascii="Times New Roman" w:hAnsi="Times New Roman" w:eastAsia="宋体" w:cs="Times New Roman"/>
      <w:szCs w:val="24"/>
    </w:rPr>
  </w:style>
  <w:style w:type="character" w:customStyle="1" w:styleId="89">
    <w:name w:val="正文文本首行缩进 2 字符"/>
    <w:basedOn w:val="88"/>
    <w:link w:val="53"/>
    <w:semiHidden/>
    <w:qFormat/>
    <w:uiPriority w:val="99"/>
    <w:rPr>
      <w:rFonts w:ascii="Times New Roman" w:hAnsi="Times New Roman" w:eastAsia="宋体" w:cs="Times New Roman"/>
      <w:szCs w:val="24"/>
    </w:rPr>
  </w:style>
  <w:style w:type="character" w:customStyle="1" w:styleId="90">
    <w:name w:val="页眉 字符"/>
    <w:basedOn w:val="56"/>
    <w:link w:val="36"/>
    <w:qFormat/>
    <w:uiPriority w:val="99"/>
    <w:rPr>
      <w:rFonts w:ascii="Times New Roman" w:hAnsi="Times New Roman" w:eastAsia="宋体" w:cs="Times New Roman"/>
      <w:sz w:val="18"/>
      <w:szCs w:val="18"/>
    </w:rPr>
  </w:style>
  <w:style w:type="character" w:customStyle="1" w:styleId="91">
    <w:name w:val="页脚 字符"/>
    <w:basedOn w:val="56"/>
    <w:link w:val="34"/>
    <w:qFormat/>
    <w:uiPriority w:val="99"/>
    <w:rPr>
      <w:rFonts w:ascii="Times New Roman" w:hAnsi="Times New Roman" w:eastAsia="宋体" w:cs="Times New Roman"/>
      <w:sz w:val="18"/>
      <w:szCs w:val="18"/>
    </w:rPr>
  </w:style>
  <w:style w:type="character" w:customStyle="1" w:styleId="92">
    <w:name w:val="标题 1 字符"/>
    <w:basedOn w:val="56"/>
    <w:link w:val="3"/>
    <w:qFormat/>
    <w:uiPriority w:val="0"/>
    <w:rPr>
      <w:rFonts w:ascii="楷体_GB2312" w:hAnsi="Times New Roman" w:eastAsia="楷体_GB2312" w:cs="Times New Roman"/>
      <w:sz w:val="28"/>
      <w:szCs w:val="20"/>
    </w:rPr>
  </w:style>
  <w:style w:type="character" w:customStyle="1" w:styleId="93">
    <w:name w:val="标题 2 字符"/>
    <w:basedOn w:val="56"/>
    <w:link w:val="4"/>
    <w:qFormat/>
    <w:uiPriority w:val="0"/>
    <w:rPr>
      <w:rFonts w:ascii="Arial" w:hAnsi="Arial" w:eastAsia="幼圆" w:cs="Times New Roman"/>
      <w:b/>
      <w:sz w:val="44"/>
      <w:szCs w:val="20"/>
    </w:rPr>
  </w:style>
  <w:style w:type="character" w:customStyle="1" w:styleId="94">
    <w:name w:val="标题 3 字符"/>
    <w:basedOn w:val="56"/>
    <w:link w:val="6"/>
    <w:qFormat/>
    <w:uiPriority w:val="0"/>
    <w:rPr>
      <w:rFonts w:ascii="Times New Roman" w:hAnsi="Times New Roman" w:eastAsia="宋体" w:cs="Times New Roman"/>
      <w:b/>
      <w:sz w:val="32"/>
      <w:szCs w:val="20"/>
    </w:rPr>
  </w:style>
  <w:style w:type="character" w:customStyle="1" w:styleId="95">
    <w:name w:val="标题 4 字符"/>
    <w:basedOn w:val="56"/>
    <w:link w:val="7"/>
    <w:qFormat/>
    <w:uiPriority w:val="0"/>
    <w:rPr>
      <w:rFonts w:ascii="Arial" w:hAnsi="Arial" w:eastAsia="黑体" w:cs="Times New Roman"/>
      <w:sz w:val="28"/>
      <w:szCs w:val="28"/>
    </w:rPr>
  </w:style>
  <w:style w:type="character" w:customStyle="1" w:styleId="96">
    <w:name w:val="标题 5 字符"/>
    <w:basedOn w:val="56"/>
    <w:link w:val="8"/>
    <w:qFormat/>
    <w:uiPriority w:val="0"/>
    <w:rPr>
      <w:rFonts w:ascii="宋体" w:hAnsi="宋体" w:eastAsia="宋体" w:cs="Times New Roman"/>
      <w:b/>
      <w:bCs/>
      <w:szCs w:val="24"/>
    </w:rPr>
  </w:style>
  <w:style w:type="character" w:customStyle="1" w:styleId="97">
    <w:name w:val="标题 6 字符"/>
    <w:basedOn w:val="56"/>
    <w:link w:val="9"/>
    <w:qFormat/>
    <w:uiPriority w:val="0"/>
    <w:rPr>
      <w:rFonts w:ascii="Cambria" w:hAnsi="Cambria" w:eastAsia="宋体" w:cs="Times New Roman"/>
      <w:b/>
      <w:bCs/>
      <w:sz w:val="24"/>
      <w:szCs w:val="24"/>
    </w:rPr>
  </w:style>
  <w:style w:type="character" w:customStyle="1" w:styleId="98">
    <w:name w:val="标题 7 字符"/>
    <w:basedOn w:val="56"/>
    <w:link w:val="10"/>
    <w:qFormat/>
    <w:uiPriority w:val="0"/>
    <w:rPr>
      <w:rFonts w:ascii="Times New Roman" w:hAnsi="Times New Roman" w:eastAsia="宋体" w:cs="Times New Roman"/>
      <w:b/>
      <w:bCs/>
      <w:sz w:val="24"/>
      <w:szCs w:val="24"/>
    </w:rPr>
  </w:style>
  <w:style w:type="character" w:customStyle="1" w:styleId="99">
    <w:name w:val="标题 8 字符"/>
    <w:basedOn w:val="56"/>
    <w:link w:val="11"/>
    <w:qFormat/>
    <w:uiPriority w:val="0"/>
    <w:rPr>
      <w:rFonts w:ascii="Cambria" w:hAnsi="Cambria" w:eastAsia="宋体" w:cs="Times New Roman"/>
      <w:sz w:val="24"/>
      <w:szCs w:val="24"/>
    </w:rPr>
  </w:style>
  <w:style w:type="character" w:customStyle="1" w:styleId="100">
    <w:name w:val="标题 9 字符"/>
    <w:basedOn w:val="56"/>
    <w:link w:val="12"/>
    <w:qFormat/>
    <w:uiPriority w:val="0"/>
    <w:rPr>
      <w:rFonts w:ascii="Cambria" w:hAnsi="Cambria" w:eastAsia="宋体" w:cs="Times New Roman"/>
      <w:szCs w:val="21"/>
    </w:rPr>
  </w:style>
  <w:style w:type="character" w:customStyle="1" w:styleId="101">
    <w:name w:val="注释标题 字符"/>
    <w:basedOn w:val="56"/>
    <w:link w:val="14"/>
    <w:qFormat/>
    <w:uiPriority w:val="0"/>
    <w:rPr>
      <w:rFonts w:ascii="Times New Roman" w:hAnsi="Times New Roman" w:eastAsia="宋体" w:cs="Times New Roman"/>
      <w:sz w:val="24"/>
      <w:szCs w:val="20"/>
    </w:rPr>
  </w:style>
  <w:style w:type="character" w:customStyle="1" w:styleId="102">
    <w:name w:val="文档结构图 字符"/>
    <w:basedOn w:val="56"/>
    <w:link w:val="16"/>
    <w:qFormat/>
    <w:uiPriority w:val="99"/>
    <w:rPr>
      <w:rFonts w:ascii="Times New Roman" w:hAnsi="Times New Roman" w:eastAsia="宋体" w:cs="Times New Roman"/>
      <w:szCs w:val="24"/>
      <w:shd w:val="clear" w:color="auto" w:fill="000080"/>
    </w:rPr>
  </w:style>
  <w:style w:type="character" w:customStyle="1" w:styleId="103">
    <w:name w:val="批注文字 字符"/>
    <w:basedOn w:val="56"/>
    <w:link w:val="17"/>
    <w:qFormat/>
    <w:uiPriority w:val="0"/>
    <w:rPr>
      <w:rFonts w:ascii="Times New Roman" w:hAnsi="Times New Roman" w:eastAsia="宋体" w:cs="Times New Roman"/>
      <w:szCs w:val="24"/>
    </w:rPr>
  </w:style>
  <w:style w:type="character" w:customStyle="1" w:styleId="104">
    <w:name w:val="正文文本 3 字符"/>
    <w:basedOn w:val="56"/>
    <w:link w:val="18"/>
    <w:qFormat/>
    <w:uiPriority w:val="0"/>
    <w:rPr>
      <w:rFonts w:ascii="仿宋_GB2312" w:hAnsi="Arial" w:eastAsia="仿宋_GB2312" w:cs="Times New Roman"/>
      <w:sz w:val="32"/>
      <w:szCs w:val="20"/>
    </w:rPr>
  </w:style>
  <w:style w:type="character" w:customStyle="1" w:styleId="105">
    <w:name w:val="正文文本 字符"/>
    <w:basedOn w:val="56"/>
    <w:link w:val="19"/>
    <w:qFormat/>
    <w:uiPriority w:val="0"/>
    <w:rPr>
      <w:rFonts w:ascii="楷体_GB2312" w:hAnsi="Arial" w:eastAsia="楷体_GB2312" w:cs="Times New Roman"/>
      <w:sz w:val="28"/>
      <w:szCs w:val="20"/>
    </w:rPr>
  </w:style>
  <w:style w:type="character" w:customStyle="1" w:styleId="106">
    <w:name w:val="纯文本 字符"/>
    <w:basedOn w:val="56"/>
    <w:link w:val="28"/>
    <w:qFormat/>
    <w:uiPriority w:val="0"/>
    <w:rPr>
      <w:rFonts w:ascii="宋体" w:hAnsi="Courier New" w:eastAsia="宋体" w:cs="Times New Roman"/>
      <w:sz w:val="28"/>
      <w:szCs w:val="24"/>
    </w:rPr>
  </w:style>
  <w:style w:type="character" w:customStyle="1" w:styleId="107">
    <w:name w:val="日期 字符"/>
    <w:basedOn w:val="56"/>
    <w:link w:val="30"/>
    <w:qFormat/>
    <w:uiPriority w:val="0"/>
    <w:rPr>
      <w:rFonts w:ascii="Times New Roman" w:hAnsi="Times New Roman" w:eastAsia="宋体" w:cs="Times New Roman"/>
      <w:sz w:val="24"/>
      <w:szCs w:val="20"/>
    </w:rPr>
  </w:style>
  <w:style w:type="character" w:customStyle="1" w:styleId="108">
    <w:name w:val="正文文本缩进 2 字符"/>
    <w:basedOn w:val="56"/>
    <w:link w:val="31"/>
    <w:qFormat/>
    <w:uiPriority w:val="0"/>
    <w:rPr>
      <w:rFonts w:ascii="宋体" w:hAnsi="宋体" w:eastAsia="宋体" w:cs="Times New Roman"/>
      <w:sz w:val="28"/>
      <w:szCs w:val="24"/>
    </w:rPr>
  </w:style>
  <w:style w:type="character" w:customStyle="1" w:styleId="109">
    <w:name w:val="尾注文本 字符"/>
    <w:basedOn w:val="56"/>
    <w:link w:val="32"/>
    <w:semiHidden/>
    <w:qFormat/>
    <w:uiPriority w:val="99"/>
    <w:rPr>
      <w:rFonts w:ascii="Times New Roman" w:hAnsi="Times New Roman" w:eastAsia="宋体" w:cs="Times New Roman"/>
      <w:sz w:val="20"/>
      <w:szCs w:val="24"/>
    </w:rPr>
  </w:style>
  <w:style w:type="character" w:customStyle="1" w:styleId="110">
    <w:name w:val="批注框文本 字符"/>
    <w:basedOn w:val="56"/>
    <w:link w:val="33"/>
    <w:qFormat/>
    <w:uiPriority w:val="99"/>
    <w:rPr>
      <w:rFonts w:ascii="Times New Roman" w:hAnsi="Times New Roman" w:eastAsia="宋体" w:cs="Times New Roman"/>
      <w:sz w:val="18"/>
      <w:szCs w:val="18"/>
    </w:rPr>
  </w:style>
  <w:style w:type="character" w:customStyle="1" w:styleId="111">
    <w:name w:val="副标题 字符"/>
    <w:basedOn w:val="56"/>
    <w:link w:val="39"/>
    <w:qFormat/>
    <w:uiPriority w:val="0"/>
    <w:rPr>
      <w:rFonts w:ascii="Cambria" w:hAnsi="Cambria" w:eastAsia="宋体" w:cs="Times New Roman"/>
      <w:b/>
      <w:bCs/>
      <w:sz w:val="32"/>
      <w:szCs w:val="32"/>
    </w:rPr>
  </w:style>
  <w:style w:type="character" w:customStyle="1" w:styleId="112">
    <w:name w:val="脚注文本 字符"/>
    <w:basedOn w:val="56"/>
    <w:link w:val="40"/>
    <w:qFormat/>
    <w:uiPriority w:val="0"/>
    <w:rPr>
      <w:rFonts w:ascii="Times New Roman" w:hAnsi="Times New Roman" w:eastAsia="宋体" w:cs="Times New Roman"/>
      <w:sz w:val="18"/>
      <w:szCs w:val="18"/>
    </w:rPr>
  </w:style>
  <w:style w:type="character" w:customStyle="1" w:styleId="113">
    <w:name w:val="正文文本缩进 3 字符"/>
    <w:basedOn w:val="56"/>
    <w:link w:val="43"/>
    <w:qFormat/>
    <w:uiPriority w:val="0"/>
    <w:rPr>
      <w:rFonts w:ascii="仿宋_GB2312" w:hAnsi="宋体" w:eastAsia="仿宋_GB2312" w:cs="Times New Roman"/>
      <w:sz w:val="24"/>
      <w:szCs w:val="24"/>
    </w:rPr>
  </w:style>
  <w:style w:type="character" w:customStyle="1" w:styleId="114">
    <w:name w:val="正文文本 2 字符"/>
    <w:basedOn w:val="56"/>
    <w:link w:val="47"/>
    <w:qFormat/>
    <w:uiPriority w:val="0"/>
    <w:rPr>
      <w:rFonts w:ascii="仿宋_GB2312" w:hAnsi="Times New Roman" w:eastAsia="仿宋_GB2312" w:cs="Times New Roman"/>
      <w:sz w:val="44"/>
      <w:szCs w:val="24"/>
    </w:rPr>
  </w:style>
  <w:style w:type="character" w:customStyle="1" w:styleId="115">
    <w:name w:val="HTML 预设格式 字符"/>
    <w:basedOn w:val="56"/>
    <w:link w:val="48"/>
    <w:qFormat/>
    <w:uiPriority w:val="0"/>
    <w:rPr>
      <w:rFonts w:ascii="黑体" w:hAnsi="Courier New" w:eastAsia="黑体" w:cs="Times New Roman"/>
      <w:sz w:val="20"/>
      <w:szCs w:val="20"/>
    </w:rPr>
  </w:style>
  <w:style w:type="character" w:customStyle="1" w:styleId="116">
    <w:name w:val="标题 字符"/>
    <w:basedOn w:val="56"/>
    <w:link w:val="51"/>
    <w:qFormat/>
    <w:uiPriority w:val="0"/>
    <w:rPr>
      <w:rFonts w:ascii="Cambria" w:hAnsi="Cambria" w:eastAsia="宋体" w:cs="Times New Roman"/>
      <w:b/>
      <w:bCs/>
      <w:sz w:val="32"/>
      <w:szCs w:val="32"/>
    </w:rPr>
  </w:style>
  <w:style w:type="character" w:customStyle="1" w:styleId="117">
    <w:name w:val="批注主题 字符"/>
    <w:basedOn w:val="103"/>
    <w:link w:val="52"/>
    <w:qFormat/>
    <w:uiPriority w:val="0"/>
    <w:rPr>
      <w:rFonts w:ascii="Times New Roman" w:hAnsi="Times New Roman" w:eastAsia="宋体" w:cs="Times New Roman"/>
      <w:b/>
      <w:bCs/>
      <w:szCs w:val="24"/>
    </w:rPr>
  </w:style>
  <w:style w:type="character" w:customStyle="1" w:styleId="118">
    <w:name w:val="Heading 1 Char"/>
    <w:link w:val="119"/>
    <w:qFormat/>
    <w:uiPriority w:val="9"/>
    <w:rPr>
      <w:rFonts w:ascii="Arial" w:hAnsi="Arial" w:eastAsia="Arial" w:cs="Arial"/>
      <w:sz w:val="40"/>
      <w:szCs w:val="40"/>
    </w:rPr>
  </w:style>
  <w:style w:type="paragraph" w:customStyle="1" w:styleId="119">
    <w:name w:val="标题 11"/>
    <w:basedOn w:val="1"/>
    <w:next w:val="1"/>
    <w:link w:val="118"/>
    <w:qFormat/>
    <w:uiPriority w:val="9"/>
    <w:pPr>
      <w:keepNext/>
      <w:keepLines/>
      <w:spacing w:before="480" w:after="200"/>
      <w:outlineLvl w:val="0"/>
    </w:pPr>
    <w:rPr>
      <w:rFonts w:ascii="Arial" w:hAnsi="Arial" w:eastAsia="Arial" w:cs="Arial"/>
      <w:sz w:val="40"/>
      <w:szCs w:val="40"/>
    </w:rPr>
  </w:style>
  <w:style w:type="character" w:customStyle="1" w:styleId="120">
    <w:name w:val="Heading 2 Char"/>
    <w:qFormat/>
    <w:uiPriority w:val="9"/>
    <w:rPr>
      <w:rFonts w:ascii="Arial" w:hAnsi="Arial" w:eastAsia="Arial" w:cs="Arial"/>
      <w:sz w:val="34"/>
    </w:rPr>
  </w:style>
  <w:style w:type="character" w:customStyle="1" w:styleId="121">
    <w:name w:val="Heading 3 Char"/>
    <w:qFormat/>
    <w:uiPriority w:val="9"/>
    <w:rPr>
      <w:rFonts w:ascii="Arial" w:hAnsi="Arial" w:eastAsia="Arial" w:cs="Arial"/>
      <w:sz w:val="30"/>
      <w:szCs w:val="30"/>
    </w:rPr>
  </w:style>
  <w:style w:type="character" w:customStyle="1" w:styleId="122">
    <w:name w:val="Heading 4 Char"/>
    <w:qFormat/>
    <w:uiPriority w:val="9"/>
    <w:rPr>
      <w:rFonts w:ascii="Arial" w:hAnsi="Arial" w:eastAsia="Arial" w:cs="Arial"/>
      <w:b/>
      <w:bCs/>
      <w:sz w:val="26"/>
      <w:szCs w:val="26"/>
    </w:rPr>
  </w:style>
  <w:style w:type="character" w:customStyle="1" w:styleId="123">
    <w:name w:val="Heading 5 Char"/>
    <w:qFormat/>
    <w:uiPriority w:val="9"/>
    <w:rPr>
      <w:rFonts w:ascii="Arial" w:hAnsi="Arial" w:eastAsia="Arial" w:cs="Arial"/>
      <w:b/>
      <w:bCs/>
      <w:sz w:val="24"/>
      <w:szCs w:val="24"/>
    </w:rPr>
  </w:style>
  <w:style w:type="character" w:customStyle="1" w:styleId="124">
    <w:name w:val="Heading 6 Char"/>
    <w:qFormat/>
    <w:uiPriority w:val="9"/>
    <w:rPr>
      <w:rFonts w:ascii="Arial" w:hAnsi="Arial" w:eastAsia="Arial" w:cs="Arial"/>
      <w:b/>
      <w:bCs/>
      <w:sz w:val="22"/>
      <w:szCs w:val="22"/>
    </w:rPr>
  </w:style>
  <w:style w:type="character" w:customStyle="1" w:styleId="125">
    <w:name w:val="Heading 7 Char"/>
    <w:qFormat/>
    <w:uiPriority w:val="9"/>
    <w:rPr>
      <w:rFonts w:ascii="Arial" w:hAnsi="Arial" w:eastAsia="Arial" w:cs="Arial"/>
      <w:b/>
      <w:bCs/>
      <w:i/>
      <w:iCs/>
      <w:sz w:val="22"/>
      <w:szCs w:val="22"/>
    </w:rPr>
  </w:style>
  <w:style w:type="character" w:customStyle="1" w:styleId="126">
    <w:name w:val="Heading 8 Char"/>
    <w:qFormat/>
    <w:uiPriority w:val="9"/>
    <w:rPr>
      <w:rFonts w:ascii="Arial" w:hAnsi="Arial" w:eastAsia="Arial" w:cs="Arial"/>
      <w:i/>
      <w:iCs/>
      <w:sz w:val="22"/>
      <w:szCs w:val="22"/>
    </w:rPr>
  </w:style>
  <w:style w:type="character" w:customStyle="1" w:styleId="127">
    <w:name w:val="Heading 9 Char"/>
    <w:qFormat/>
    <w:uiPriority w:val="9"/>
    <w:rPr>
      <w:rFonts w:ascii="Arial" w:hAnsi="Arial" w:eastAsia="Arial" w:cs="Arial"/>
      <w:i/>
      <w:iCs/>
      <w:sz w:val="21"/>
      <w:szCs w:val="21"/>
    </w:rPr>
  </w:style>
  <w:style w:type="paragraph" w:styleId="128">
    <w:name w:val="No Spacing"/>
    <w:qFormat/>
    <w:uiPriority w:val="0"/>
    <w:pPr>
      <w:widowControl w:val="0"/>
      <w:jc w:val="both"/>
    </w:pPr>
    <w:rPr>
      <w:rFonts w:hint="default" w:ascii="Calibri" w:hAnsi="Calibri" w:eastAsia="宋体" w:cs="Times New Roman"/>
      <w:sz w:val="21"/>
      <w:szCs w:val="22"/>
      <w:lang w:val="en-US" w:eastAsia="zh-CN" w:bidi="ar-SA"/>
    </w:rPr>
  </w:style>
  <w:style w:type="character" w:customStyle="1" w:styleId="129">
    <w:name w:val="Title Char"/>
    <w:qFormat/>
    <w:uiPriority w:val="10"/>
    <w:rPr>
      <w:sz w:val="48"/>
      <w:szCs w:val="48"/>
    </w:rPr>
  </w:style>
  <w:style w:type="character" w:customStyle="1" w:styleId="130">
    <w:name w:val="Subtitle Char"/>
    <w:qFormat/>
    <w:uiPriority w:val="11"/>
    <w:rPr>
      <w:sz w:val="24"/>
      <w:szCs w:val="24"/>
    </w:rPr>
  </w:style>
  <w:style w:type="paragraph" w:styleId="131">
    <w:name w:val="Quote"/>
    <w:basedOn w:val="1"/>
    <w:next w:val="1"/>
    <w:link w:val="132"/>
    <w:qFormat/>
    <w:uiPriority w:val="99"/>
    <w:rPr>
      <w:i/>
      <w:iCs/>
      <w:color w:val="000000"/>
    </w:rPr>
  </w:style>
  <w:style w:type="character" w:customStyle="1" w:styleId="132">
    <w:name w:val="引用 字符"/>
    <w:basedOn w:val="56"/>
    <w:link w:val="131"/>
    <w:qFormat/>
    <w:uiPriority w:val="99"/>
    <w:rPr>
      <w:rFonts w:ascii="Times New Roman" w:hAnsi="Times New Roman" w:eastAsia="宋体" w:cs="Times New Roman"/>
      <w:i/>
      <w:iCs/>
      <w:color w:val="000000"/>
      <w:szCs w:val="24"/>
    </w:rPr>
  </w:style>
  <w:style w:type="character" w:customStyle="1" w:styleId="133">
    <w:name w:val="Quote Char"/>
    <w:qFormat/>
    <w:uiPriority w:val="29"/>
    <w:rPr>
      <w:i/>
    </w:rPr>
  </w:style>
  <w:style w:type="paragraph" w:styleId="134">
    <w:name w:val="Intense Quote"/>
    <w:basedOn w:val="1"/>
    <w:next w:val="1"/>
    <w:link w:val="135"/>
    <w:qFormat/>
    <w:uiPriority w:val="99"/>
    <w:pPr>
      <w:pBdr>
        <w:bottom w:val="single" w:color="4F81BD" w:sz="4" w:space="4"/>
      </w:pBdr>
      <w:spacing w:before="200" w:after="280"/>
      <w:ind w:left="936" w:right="936"/>
    </w:pPr>
    <w:rPr>
      <w:b/>
      <w:bCs/>
      <w:i/>
      <w:iCs/>
      <w:color w:val="4F81BD"/>
    </w:rPr>
  </w:style>
  <w:style w:type="character" w:customStyle="1" w:styleId="135">
    <w:name w:val="明显引用 字符"/>
    <w:basedOn w:val="56"/>
    <w:link w:val="134"/>
    <w:qFormat/>
    <w:uiPriority w:val="99"/>
    <w:rPr>
      <w:rFonts w:ascii="Times New Roman" w:hAnsi="Times New Roman" w:eastAsia="宋体" w:cs="Times New Roman"/>
      <w:b/>
      <w:bCs/>
      <w:i/>
      <w:iCs/>
      <w:color w:val="4F81BD"/>
      <w:szCs w:val="24"/>
    </w:rPr>
  </w:style>
  <w:style w:type="character" w:customStyle="1" w:styleId="136">
    <w:name w:val="Intense Quote Char"/>
    <w:qFormat/>
    <w:uiPriority w:val="30"/>
    <w:rPr>
      <w:i/>
    </w:rPr>
  </w:style>
  <w:style w:type="character" w:customStyle="1" w:styleId="137">
    <w:name w:val="Header Char"/>
    <w:qFormat/>
    <w:uiPriority w:val="99"/>
  </w:style>
  <w:style w:type="character" w:customStyle="1" w:styleId="138">
    <w:name w:val="Footer Char"/>
    <w:qFormat/>
    <w:uiPriority w:val="99"/>
  </w:style>
  <w:style w:type="character" w:customStyle="1" w:styleId="139">
    <w:name w:val="Caption Char"/>
    <w:qFormat/>
    <w:uiPriority w:val="99"/>
  </w:style>
  <w:style w:type="table" w:customStyle="1" w:styleId="140">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41">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42">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43">
    <w:name w:val="无格式表格 31"/>
    <w:qFormat/>
    <w:uiPriority w:val="99"/>
    <w:tblPr>
      <w:tblCellMar>
        <w:top w:w="0" w:type="dxa"/>
        <w:left w:w="0" w:type="dxa"/>
        <w:bottom w:w="0" w:type="dxa"/>
        <w:right w:w="0" w:type="dxa"/>
      </w:tblCellMar>
    </w:tblPr>
  </w:style>
  <w:style w:type="table" w:customStyle="1" w:styleId="144">
    <w:name w:val="无格式表格 41"/>
    <w:qFormat/>
    <w:uiPriority w:val="99"/>
    <w:tblPr>
      <w:tblCellMar>
        <w:top w:w="0" w:type="dxa"/>
        <w:left w:w="0" w:type="dxa"/>
        <w:bottom w:w="0" w:type="dxa"/>
        <w:right w:w="0" w:type="dxa"/>
      </w:tblCellMar>
    </w:tblPr>
  </w:style>
  <w:style w:type="table" w:customStyle="1" w:styleId="145">
    <w:name w:val="无格式表格 51"/>
    <w:qFormat/>
    <w:uiPriority w:val="99"/>
    <w:tblPr>
      <w:tblCellMar>
        <w:top w:w="0" w:type="dxa"/>
        <w:left w:w="0" w:type="dxa"/>
        <w:bottom w:w="0" w:type="dxa"/>
        <w:right w:w="0" w:type="dxa"/>
      </w:tblCellMar>
    </w:tblPr>
  </w:style>
  <w:style w:type="table" w:customStyle="1" w:styleId="146">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47">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48">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49">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50">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51">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52">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53">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54">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55">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6">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7">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8">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59">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60">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61">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62">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3">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4">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5">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66">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67">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68">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69">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70">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71">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72">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73">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74">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75">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76">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77">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78">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79">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80">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81">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82">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83">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84">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85">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86">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87">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88">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89">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90">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91">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92">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93">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94">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95">
    <w:name w:val="清单表 1 浅色1"/>
    <w:qFormat/>
    <w:uiPriority w:val="99"/>
    <w:tblPr>
      <w:tblCellMar>
        <w:top w:w="0" w:type="dxa"/>
        <w:left w:w="0" w:type="dxa"/>
        <w:bottom w:w="0" w:type="dxa"/>
        <w:right w:w="0" w:type="dxa"/>
      </w:tblCellMar>
    </w:tblPr>
  </w:style>
  <w:style w:type="table" w:customStyle="1" w:styleId="196">
    <w:name w:val="List Table 1 Light - Accent 1"/>
    <w:qFormat/>
    <w:uiPriority w:val="99"/>
    <w:tblPr>
      <w:tblCellMar>
        <w:top w:w="0" w:type="dxa"/>
        <w:left w:w="0" w:type="dxa"/>
        <w:bottom w:w="0" w:type="dxa"/>
        <w:right w:w="0" w:type="dxa"/>
      </w:tblCellMar>
    </w:tblPr>
  </w:style>
  <w:style w:type="table" w:customStyle="1" w:styleId="197">
    <w:name w:val="List Table 1 Light - Accent 2"/>
    <w:qFormat/>
    <w:uiPriority w:val="99"/>
    <w:tblPr>
      <w:tblCellMar>
        <w:top w:w="0" w:type="dxa"/>
        <w:left w:w="0" w:type="dxa"/>
        <w:bottom w:w="0" w:type="dxa"/>
        <w:right w:w="0" w:type="dxa"/>
      </w:tblCellMar>
    </w:tblPr>
  </w:style>
  <w:style w:type="table" w:customStyle="1" w:styleId="198">
    <w:name w:val="List Table 1 Light - Accent 3"/>
    <w:qFormat/>
    <w:uiPriority w:val="99"/>
    <w:tblPr>
      <w:tblCellMar>
        <w:top w:w="0" w:type="dxa"/>
        <w:left w:w="0" w:type="dxa"/>
        <w:bottom w:w="0" w:type="dxa"/>
        <w:right w:w="0" w:type="dxa"/>
      </w:tblCellMar>
    </w:tblPr>
  </w:style>
  <w:style w:type="table" w:customStyle="1" w:styleId="199">
    <w:name w:val="List Table 1 Light - Accent 4"/>
    <w:qFormat/>
    <w:uiPriority w:val="99"/>
    <w:tblPr>
      <w:tblCellMar>
        <w:top w:w="0" w:type="dxa"/>
        <w:left w:w="0" w:type="dxa"/>
        <w:bottom w:w="0" w:type="dxa"/>
        <w:right w:w="0" w:type="dxa"/>
      </w:tblCellMar>
    </w:tblPr>
  </w:style>
  <w:style w:type="table" w:customStyle="1" w:styleId="200">
    <w:name w:val="List Table 1 Light - Accent 5"/>
    <w:qFormat/>
    <w:uiPriority w:val="99"/>
    <w:tblPr>
      <w:tblCellMar>
        <w:top w:w="0" w:type="dxa"/>
        <w:left w:w="0" w:type="dxa"/>
        <w:bottom w:w="0" w:type="dxa"/>
        <w:right w:w="0" w:type="dxa"/>
      </w:tblCellMar>
    </w:tblPr>
  </w:style>
  <w:style w:type="table" w:customStyle="1" w:styleId="201">
    <w:name w:val="List Table 1 Light - Accent 6"/>
    <w:qFormat/>
    <w:uiPriority w:val="99"/>
    <w:tblPr>
      <w:tblCellMar>
        <w:top w:w="0" w:type="dxa"/>
        <w:left w:w="0" w:type="dxa"/>
        <w:bottom w:w="0" w:type="dxa"/>
        <w:right w:w="0" w:type="dxa"/>
      </w:tblCellMar>
    </w:tblPr>
  </w:style>
  <w:style w:type="table" w:customStyle="1" w:styleId="202">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203">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204">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205">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206">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207">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208">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209">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210">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211">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212">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213">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214">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215">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216">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217">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218">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219">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220">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221">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222">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223">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224">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225">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226">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227">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228">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229">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30">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231">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32">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33">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34">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35">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36">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37">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38">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39">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40">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41">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42">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43">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44">
    <w:name w:val="Lined - Accent"/>
    <w:qFormat/>
    <w:uiPriority w:val="99"/>
    <w:rPr>
      <w:color w:val="404040"/>
    </w:rPr>
    <w:tblPr>
      <w:tblCellMar>
        <w:top w:w="0" w:type="dxa"/>
        <w:left w:w="0" w:type="dxa"/>
        <w:bottom w:w="0" w:type="dxa"/>
        <w:right w:w="0" w:type="dxa"/>
      </w:tblCellMar>
    </w:tblPr>
  </w:style>
  <w:style w:type="table" w:customStyle="1" w:styleId="245">
    <w:name w:val="Lined - Accent 1"/>
    <w:qFormat/>
    <w:uiPriority w:val="99"/>
    <w:rPr>
      <w:color w:val="404040"/>
    </w:rPr>
    <w:tblPr>
      <w:tblCellMar>
        <w:top w:w="0" w:type="dxa"/>
        <w:left w:w="0" w:type="dxa"/>
        <w:bottom w:w="0" w:type="dxa"/>
        <w:right w:w="0" w:type="dxa"/>
      </w:tblCellMar>
    </w:tblPr>
  </w:style>
  <w:style w:type="table" w:customStyle="1" w:styleId="246">
    <w:name w:val="Lined - Accent 2"/>
    <w:qFormat/>
    <w:uiPriority w:val="99"/>
    <w:rPr>
      <w:color w:val="404040"/>
    </w:rPr>
    <w:tblPr>
      <w:tblCellMar>
        <w:top w:w="0" w:type="dxa"/>
        <w:left w:w="0" w:type="dxa"/>
        <w:bottom w:w="0" w:type="dxa"/>
        <w:right w:w="0" w:type="dxa"/>
      </w:tblCellMar>
    </w:tblPr>
  </w:style>
  <w:style w:type="table" w:customStyle="1" w:styleId="247">
    <w:name w:val="Lined - Accent 3"/>
    <w:qFormat/>
    <w:uiPriority w:val="99"/>
    <w:rPr>
      <w:color w:val="404040"/>
    </w:rPr>
    <w:tblPr>
      <w:tblCellMar>
        <w:top w:w="0" w:type="dxa"/>
        <w:left w:w="0" w:type="dxa"/>
        <w:bottom w:w="0" w:type="dxa"/>
        <w:right w:w="0" w:type="dxa"/>
      </w:tblCellMar>
    </w:tblPr>
  </w:style>
  <w:style w:type="table" w:customStyle="1" w:styleId="248">
    <w:name w:val="Lined - Accent 4"/>
    <w:qFormat/>
    <w:uiPriority w:val="99"/>
    <w:rPr>
      <w:color w:val="404040"/>
    </w:rPr>
    <w:tblPr>
      <w:tblCellMar>
        <w:top w:w="0" w:type="dxa"/>
        <w:left w:w="0" w:type="dxa"/>
        <w:bottom w:w="0" w:type="dxa"/>
        <w:right w:w="0" w:type="dxa"/>
      </w:tblCellMar>
    </w:tblPr>
  </w:style>
  <w:style w:type="table" w:customStyle="1" w:styleId="249">
    <w:name w:val="Lined - Accent 5"/>
    <w:qFormat/>
    <w:uiPriority w:val="99"/>
    <w:rPr>
      <w:color w:val="404040"/>
    </w:rPr>
    <w:tblPr>
      <w:tblCellMar>
        <w:top w:w="0" w:type="dxa"/>
        <w:left w:w="0" w:type="dxa"/>
        <w:bottom w:w="0" w:type="dxa"/>
        <w:right w:w="0" w:type="dxa"/>
      </w:tblCellMar>
    </w:tblPr>
  </w:style>
  <w:style w:type="table" w:customStyle="1" w:styleId="250">
    <w:name w:val="Lined - Accent 6"/>
    <w:qFormat/>
    <w:uiPriority w:val="99"/>
    <w:rPr>
      <w:color w:val="404040"/>
    </w:rPr>
    <w:tblPr>
      <w:tblCellMar>
        <w:top w:w="0" w:type="dxa"/>
        <w:left w:w="0" w:type="dxa"/>
        <w:bottom w:w="0" w:type="dxa"/>
        <w:right w:w="0" w:type="dxa"/>
      </w:tblCellMar>
    </w:tblPr>
  </w:style>
  <w:style w:type="table" w:customStyle="1" w:styleId="251">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52">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53">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54">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55">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56">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57">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58">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59">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60">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61">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62">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63">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64">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65">
    <w:name w:val="Footnote Text Char"/>
    <w:qFormat/>
    <w:uiPriority w:val="99"/>
    <w:rPr>
      <w:sz w:val="18"/>
    </w:rPr>
  </w:style>
  <w:style w:type="paragraph" w:customStyle="1" w:styleId="266">
    <w:name w:val="TOC 标题1"/>
    <w:unhideWhenUsed/>
    <w:qFormat/>
    <w:uiPriority w:val="39"/>
    <w:rPr>
      <w:rFonts w:hint="default" w:ascii="Times New Roman" w:hAnsi="Times New Roman" w:eastAsia="宋体" w:cs="Times New Roman"/>
      <w:lang w:val="en-US" w:eastAsia="zh-CN" w:bidi="ar-SA"/>
    </w:rPr>
  </w:style>
  <w:style w:type="character" w:customStyle="1" w:styleId="267">
    <w:name w:val="正文缩进 字符"/>
    <w:link w:val="5"/>
    <w:qFormat/>
    <w:uiPriority w:val="0"/>
    <w:rPr>
      <w:rFonts w:ascii="Times New Roman" w:hAnsi="Times New Roman" w:eastAsia="宋体" w:cs="Times New Roman"/>
      <w:szCs w:val="20"/>
    </w:rPr>
  </w:style>
  <w:style w:type="paragraph" w:customStyle="1" w:styleId="268">
    <w:name w:val="目录 71"/>
    <w:basedOn w:val="1"/>
    <w:next w:val="1"/>
    <w:qFormat/>
    <w:uiPriority w:val="0"/>
    <w:pPr>
      <w:ind w:left="2520"/>
    </w:pPr>
  </w:style>
  <w:style w:type="paragraph" w:customStyle="1" w:styleId="269">
    <w:name w:val="目录 51"/>
    <w:basedOn w:val="1"/>
    <w:next w:val="1"/>
    <w:qFormat/>
    <w:uiPriority w:val="0"/>
    <w:pPr>
      <w:ind w:left="1680"/>
    </w:pPr>
  </w:style>
  <w:style w:type="paragraph" w:customStyle="1" w:styleId="270">
    <w:name w:val="目录 31"/>
    <w:basedOn w:val="1"/>
    <w:next w:val="1"/>
    <w:qFormat/>
    <w:uiPriority w:val="39"/>
    <w:pPr>
      <w:tabs>
        <w:tab w:val="right" w:leader="dot" w:pos="9440"/>
      </w:tabs>
      <w:spacing w:line="240" w:lineRule="exact"/>
      <w:ind w:left="539"/>
      <w:jc w:val="left"/>
    </w:pPr>
    <w:rPr>
      <w:rFonts w:ascii="黑体" w:hAnsi="宋体" w:eastAsia="黑体"/>
      <w:bCs/>
      <w:iCs/>
      <w:sz w:val="18"/>
      <w:szCs w:val="32"/>
    </w:rPr>
  </w:style>
  <w:style w:type="paragraph" w:customStyle="1" w:styleId="271">
    <w:name w:val="目录 81"/>
    <w:basedOn w:val="1"/>
    <w:next w:val="1"/>
    <w:qFormat/>
    <w:uiPriority w:val="0"/>
    <w:pPr>
      <w:ind w:left="2940"/>
    </w:pPr>
  </w:style>
  <w:style w:type="paragraph" w:customStyle="1" w:styleId="272">
    <w:name w:val="目录 11"/>
    <w:basedOn w:val="1"/>
    <w:next w:val="1"/>
    <w:qFormat/>
    <w:uiPriority w:val="39"/>
    <w:pPr>
      <w:tabs>
        <w:tab w:val="right" w:leader="dot" w:pos="9440"/>
      </w:tabs>
      <w:spacing w:before="120" w:after="120" w:line="300" w:lineRule="exact"/>
      <w:jc w:val="left"/>
    </w:pPr>
    <w:rPr>
      <w:rFonts w:ascii="黑体" w:eastAsia="黑体"/>
      <w:b/>
      <w:caps/>
      <w:sz w:val="18"/>
      <w:szCs w:val="28"/>
    </w:rPr>
  </w:style>
  <w:style w:type="paragraph" w:customStyle="1" w:styleId="273">
    <w:name w:val="目录 41"/>
    <w:basedOn w:val="1"/>
    <w:next w:val="1"/>
    <w:qFormat/>
    <w:uiPriority w:val="0"/>
    <w:pPr>
      <w:ind w:left="1260"/>
    </w:pPr>
  </w:style>
  <w:style w:type="paragraph" w:customStyle="1" w:styleId="274">
    <w:name w:val="目录 61"/>
    <w:basedOn w:val="1"/>
    <w:next w:val="1"/>
    <w:qFormat/>
    <w:uiPriority w:val="0"/>
    <w:pPr>
      <w:ind w:left="2100"/>
    </w:pPr>
  </w:style>
  <w:style w:type="paragraph" w:customStyle="1" w:styleId="275">
    <w:name w:val="目录 21"/>
    <w:basedOn w:val="1"/>
    <w:next w:val="1"/>
    <w:qFormat/>
    <w:uiPriority w:val="39"/>
    <w:pPr>
      <w:tabs>
        <w:tab w:val="right" w:leader="dot" w:pos="9440"/>
      </w:tabs>
      <w:spacing w:line="260" w:lineRule="exact"/>
      <w:jc w:val="left"/>
    </w:pPr>
    <w:rPr>
      <w:rFonts w:ascii="黑体" w:eastAsia="黑体"/>
      <w:b/>
      <w:bCs/>
      <w:smallCaps/>
      <w:sz w:val="18"/>
      <w:szCs w:val="44"/>
    </w:rPr>
  </w:style>
  <w:style w:type="paragraph" w:customStyle="1" w:styleId="276">
    <w:name w:val="目录 91"/>
    <w:basedOn w:val="1"/>
    <w:next w:val="1"/>
    <w:qFormat/>
    <w:uiPriority w:val="0"/>
    <w:pPr>
      <w:ind w:left="3360"/>
    </w:pPr>
  </w:style>
  <w:style w:type="paragraph" w:customStyle="1" w:styleId="277">
    <w:name w:val="正文首行缩进1"/>
    <w:basedOn w:val="19"/>
    <w:next w:val="14"/>
    <w:qFormat/>
    <w:uiPriority w:val="99"/>
    <w:pPr>
      <w:spacing w:line="360" w:lineRule="auto"/>
      <w:ind w:firstLine="200"/>
    </w:pPr>
    <w:rPr>
      <w:rFonts w:ascii="仿宋_GB2312" w:hAnsi="Times New Roman" w:eastAsia="仿宋_GB2312"/>
      <w:sz w:val="30"/>
      <w:szCs w:val="30"/>
    </w:rPr>
  </w:style>
  <w:style w:type="paragraph" w:customStyle="1" w:styleId="278">
    <w:name w:val="正文首行缩进 211"/>
    <w:basedOn w:val="23"/>
    <w:next w:val="5"/>
    <w:qFormat/>
    <w:uiPriority w:val="0"/>
    <w:pPr>
      <w:spacing w:after="0" w:line="360" w:lineRule="auto"/>
      <w:ind w:left="0" w:firstLine="420"/>
    </w:pPr>
    <w:rPr>
      <w:rFonts w:ascii="宋体" w:hAnsi="宋体"/>
      <w:szCs w:val="20"/>
    </w:rPr>
  </w:style>
  <w:style w:type="paragraph" w:customStyle="1" w:styleId="279">
    <w:name w:val="BodyText1I21"/>
    <w:basedOn w:val="280"/>
    <w:qFormat/>
    <w:uiPriority w:val="0"/>
    <w:pPr>
      <w:spacing w:after="120" w:line="240" w:lineRule="auto"/>
      <w:ind w:left="420" w:firstLine="420"/>
    </w:pPr>
  </w:style>
  <w:style w:type="paragraph" w:customStyle="1" w:styleId="280">
    <w:name w:val="BodyTextIndent1"/>
    <w:basedOn w:val="1"/>
    <w:qFormat/>
    <w:uiPriority w:val="0"/>
    <w:pPr>
      <w:spacing w:before="240" w:line="360" w:lineRule="auto"/>
      <w:ind w:firstLine="552"/>
    </w:pPr>
  </w:style>
  <w:style w:type="character" w:customStyle="1" w:styleId="281">
    <w:name w:val="批注文字 字符1"/>
    <w:semiHidden/>
    <w:qFormat/>
    <w:uiPriority w:val="99"/>
    <w:rPr>
      <w:rFonts w:ascii="Times New Roman" w:hAnsi="Times New Roman" w:eastAsia="宋体" w:cs="Times New Roman"/>
      <w:szCs w:val="24"/>
    </w:rPr>
  </w:style>
  <w:style w:type="character" w:customStyle="1" w:styleId="282">
    <w:name w:val="引用 Char"/>
    <w:qFormat/>
    <w:uiPriority w:val="0"/>
    <w:rPr>
      <w:i/>
      <w:iCs/>
      <w:color w:val="000000"/>
      <w:sz w:val="21"/>
      <w:szCs w:val="22"/>
    </w:rPr>
  </w:style>
  <w:style w:type="character" w:customStyle="1" w:styleId="283">
    <w:name w:val="jj1"/>
    <w:qFormat/>
    <w:uiPriority w:val="0"/>
    <w:rPr>
      <w:sz w:val="20"/>
      <w:szCs w:val="20"/>
      <w:u w:val="none"/>
    </w:rPr>
  </w:style>
  <w:style w:type="character" w:customStyle="1" w:styleId="284">
    <w:name w:val="textcontents"/>
    <w:qFormat/>
    <w:uiPriority w:val="0"/>
    <w:rPr>
      <w:rFonts w:cs="Times New Roman"/>
    </w:rPr>
  </w:style>
  <w:style w:type="character" w:customStyle="1" w:styleId="285">
    <w:name w:val="fontstyle01"/>
    <w:qFormat/>
    <w:uiPriority w:val="0"/>
    <w:rPr>
      <w:rFonts w:hint="eastAsia" w:ascii="宋体" w:hAnsi="宋体" w:eastAsia="宋体"/>
      <w:color w:val="000000"/>
      <w:sz w:val="22"/>
      <w:szCs w:val="22"/>
    </w:rPr>
  </w:style>
  <w:style w:type="character" w:customStyle="1" w:styleId="286">
    <w:name w:val="Char Char7"/>
    <w:qFormat/>
    <w:uiPriority w:val="0"/>
    <w:rPr>
      <w:rFonts w:ascii="Arial" w:hAnsi="Arial" w:eastAsia="黑体"/>
      <w:b/>
      <w:bCs/>
      <w:sz w:val="32"/>
      <w:szCs w:val="32"/>
    </w:rPr>
  </w:style>
  <w:style w:type="character" w:customStyle="1" w:styleId="287">
    <w:name w:val="标题2 Char"/>
    <w:qFormat/>
    <w:uiPriority w:val="0"/>
    <w:rPr>
      <w:rFonts w:ascii="方正楷体_GBK" w:hAnsi="Book Antiqua" w:eastAsia="方正楷体_GBK"/>
      <w:sz w:val="32"/>
      <w:lang w:val="en-US" w:eastAsia="zh-CN" w:bidi="ar-SA"/>
    </w:rPr>
  </w:style>
  <w:style w:type="character" w:customStyle="1" w:styleId="288">
    <w:name w:val="标题5 Char Char"/>
    <w:link w:val="289"/>
    <w:qFormat/>
    <w:uiPriority w:val="0"/>
    <w:rPr>
      <w:rFonts w:ascii="Arial" w:hAnsi="Arial"/>
      <w:b/>
      <w:bCs/>
      <w:sz w:val="24"/>
      <w:szCs w:val="32"/>
    </w:rPr>
  </w:style>
  <w:style w:type="paragraph" w:customStyle="1" w:styleId="289">
    <w:name w:val="标题5"/>
    <w:basedOn w:val="6"/>
    <w:link w:val="288"/>
    <w:qFormat/>
    <w:uiPriority w:val="0"/>
    <w:pPr>
      <w:spacing w:line="413" w:lineRule="auto"/>
    </w:pPr>
    <w:rPr>
      <w:rFonts w:ascii="Arial" w:hAnsi="Arial" w:eastAsiaTheme="minorEastAsia" w:cstheme="minorBidi"/>
      <w:bCs/>
      <w:sz w:val="24"/>
      <w:szCs w:val="32"/>
    </w:rPr>
  </w:style>
  <w:style w:type="character" w:customStyle="1" w:styleId="290">
    <w:name w:val="_Style 138"/>
    <w:qFormat/>
    <w:uiPriority w:val="0"/>
    <w:rPr>
      <w:b/>
      <w:bCs/>
      <w:smallCaps/>
      <w:spacing w:val="5"/>
    </w:rPr>
  </w:style>
  <w:style w:type="character" w:customStyle="1" w:styleId="291">
    <w:name w:val="明显引用 Char"/>
    <w:qFormat/>
    <w:uiPriority w:val="0"/>
    <w:rPr>
      <w:b/>
      <w:bCs/>
      <w:i/>
      <w:iCs/>
      <w:color w:val="4F81BD"/>
      <w:sz w:val="21"/>
      <w:szCs w:val="22"/>
    </w:rPr>
  </w:style>
  <w:style w:type="character" w:customStyle="1" w:styleId="292">
    <w:name w:val="Char Char71"/>
    <w:qFormat/>
    <w:uiPriority w:val="0"/>
    <w:rPr>
      <w:rFonts w:ascii="Arial" w:hAnsi="Arial" w:eastAsia="黑体"/>
      <w:b/>
      <w:bCs/>
      <w:sz w:val="32"/>
      <w:szCs w:val="32"/>
    </w:rPr>
  </w:style>
  <w:style w:type="character" w:customStyle="1" w:styleId="293">
    <w:name w:val="_Style 132"/>
    <w:qFormat/>
    <w:uiPriority w:val="0"/>
    <w:rPr>
      <w:i/>
      <w:iCs/>
      <w:color w:val="808080"/>
    </w:rPr>
  </w:style>
  <w:style w:type="character" w:customStyle="1" w:styleId="294">
    <w:name w:val="批注主题 Char2"/>
    <w:qFormat/>
    <w:uiPriority w:val="0"/>
  </w:style>
  <w:style w:type="character" w:customStyle="1" w:styleId="295">
    <w:name w:val="_Style 147"/>
    <w:qFormat/>
    <w:uiPriority w:val="0"/>
    <w:rPr>
      <w:smallCaps/>
      <w:color w:val="C0504D"/>
      <w:u w:val="single"/>
    </w:rPr>
  </w:style>
  <w:style w:type="character" w:customStyle="1" w:styleId="296">
    <w:name w:val="批注框文本 Char1"/>
    <w:qFormat/>
    <w:uiPriority w:val="0"/>
    <w:rPr>
      <w:sz w:val="18"/>
      <w:szCs w:val="18"/>
    </w:rPr>
  </w:style>
  <w:style w:type="character" w:customStyle="1" w:styleId="297">
    <w:name w:val="日期 Char1"/>
    <w:qFormat/>
    <w:uiPriority w:val="0"/>
    <w:rPr>
      <w:sz w:val="21"/>
      <w:szCs w:val="22"/>
    </w:rPr>
  </w:style>
  <w:style w:type="character" w:customStyle="1" w:styleId="298">
    <w:name w:val="列出段落 Char"/>
    <w:link w:val="299"/>
    <w:qFormat/>
    <w:uiPriority w:val="0"/>
    <w:rPr>
      <w:rFonts w:ascii="Calibri" w:hAnsi="Calibri"/>
      <w:sz w:val="24"/>
      <w:szCs w:val="24"/>
      <w:lang w:eastAsia="en-US" w:bidi="en-US"/>
    </w:rPr>
  </w:style>
  <w:style w:type="paragraph" w:customStyle="1" w:styleId="299">
    <w:name w:val="列出段落1"/>
    <w:basedOn w:val="1"/>
    <w:link w:val="298"/>
    <w:qFormat/>
    <w:uiPriority w:val="0"/>
    <w:pPr>
      <w:widowControl/>
      <w:ind w:left="720"/>
      <w:contextualSpacing/>
      <w:jc w:val="left"/>
    </w:pPr>
    <w:rPr>
      <w:rFonts w:ascii="Calibri" w:hAnsi="Calibri" w:eastAsiaTheme="minorEastAsia" w:cstheme="minorBidi"/>
      <w:sz w:val="24"/>
      <w:lang w:eastAsia="en-US" w:bidi="en-US"/>
    </w:rPr>
  </w:style>
  <w:style w:type="character" w:customStyle="1" w:styleId="300">
    <w:name w:val="Char Char19"/>
    <w:qFormat/>
    <w:uiPriority w:val="0"/>
    <w:rPr>
      <w:rFonts w:ascii="Arial" w:hAnsi="Arial" w:eastAsia="黑体"/>
      <w:b/>
      <w:bCs/>
      <w:sz w:val="32"/>
      <w:szCs w:val="32"/>
      <w:lang w:val="en-US" w:eastAsia="zh-CN" w:bidi="ar-SA"/>
    </w:rPr>
  </w:style>
  <w:style w:type="character" w:customStyle="1" w:styleId="301">
    <w:name w:val="标题4 Char Char"/>
    <w:link w:val="302"/>
    <w:qFormat/>
    <w:uiPriority w:val="0"/>
    <w:rPr>
      <w:rFonts w:ascii="Arial" w:hAnsi="Arial"/>
      <w:b/>
      <w:bCs/>
      <w:sz w:val="24"/>
      <w:szCs w:val="32"/>
    </w:rPr>
  </w:style>
  <w:style w:type="paragraph" w:customStyle="1" w:styleId="302">
    <w:name w:val="标题4"/>
    <w:basedOn w:val="4"/>
    <w:next w:val="25"/>
    <w:link w:val="301"/>
    <w:qFormat/>
    <w:uiPriority w:val="0"/>
    <w:pPr>
      <w:spacing w:line="413" w:lineRule="auto"/>
      <w:jc w:val="both"/>
    </w:pPr>
    <w:rPr>
      <w:rFonts w:eastAsiaTheme="minorEastAsia" w:cstheme="minorBidi"/>
      <w:bCs/>
      <w:sz w:val="24"/>
      <w:szCs w:val="32"/>
    </w:rPr>
  </w:style>
  <w:style w:type="character" w:customStyle="1" w:styleId="303">
    <w:name w:val="_Style 137"/>
    <w:qFormat/>
    <w:uiPriority w:val="0"/>
    <w:rPr>
      <w:b/>
      <w:bCs/>
      <w:smallCaps/>
      <w:color w:val="C0504D"/>
      <w:spacing w:val="5"/>
      <w:u w:val="single"/>
    </w:rPr>
  </w:style>
  <w:style w:type="character" w:customStyle="1" w:styleId="304">
    <w:name w:val="批注主题 Char1"/>
    <w:qFormat/>
    <w:uiPriority w:val="0"/>
    <w:rPr>
      <w:b/>
      <w:bCs/>
      <w:sz w:val="21"/>
      <w:szCs w:val="22"/>
    </w:rPr>
  </w:style>
  <w:style w:type="character" w:customStyle="1" w:styleId="305">
    <w:name w:val="批注主题 字符1"/>
    <w:semiHidden/>
    <w:qFormat/>
    <w:uiPriority w:val="99"/>
    <w:rPr>
      <w:rFonts w:ascii="Times New Roman" w:hAnsi="Times New Roman" w:eastAsia="宋体" w:cs="Times New Roman"/>
      <w:b/>
      <w:bCs/>
      <w:szCs w:val="24"/>
    </w:rPr>
  </w:style>
  <w:style w:type="character" w:customStyle="1" w:styleId="306">
    <w:name w:val="notprint"/>
    <w:qFormat/>
    <w:uiPriority w:val="0"/>
  </w:style>
  <w:style w:type="character" w:customStyle="1" w:styleId="307">
    <w:name w:val="普通正文 Char"/>
    <w:link w:val="308"/>
    <w:qFormat/>
    <w:uiPriority w:val="0"/>
    <w:rPr>
      <w:rFonts w:ascii="Arial" w:hAnsi="Arial"/>
      <w:sz w:val="24"/>
      <w:szCs w:val="24"/>
    </w:rPr>
  </w:style>
  <w:style w:type="paragraph" w:customStyle="1" w:styleId="308">
    <w:name w:val="普通正文"/>
    <w:basedOn w:val="1"/>
    <w:link w:val="307"/>
    <w:qFormat/>
    <w:uiPriority w:val="0"/>
    <w:pPr>
      <w:spacing w:before="120" w:after="120" w:line="360" w:lineRule="auto"/>
      <w:ind w:firstLine="480"/>
      <w:jc w:val="left"/>
    </w:pPr>
    <w:rPr>
      <w:rFonts w:ascii="Arial" w:hAnsi="Arial" w:eastAsiaTheme="minorEastAsia" w:cstheme="minorBidi"/>
      <w:sz w:val="24"/>
    </w:rPr>
  </w:style>
  <w:style w:type="character" w:customStyle="1" w:styleId="309">
    <w:name w:val="标题 2 Char_1_0"/>
    <w:link w:val="310"/>
    <w:qFormat/>
    <w:uiPriority w:val="99"/>
    <w:rPr>
      <w:rFonts w:ascii="Cambria" w:hAnsi="Cambria"/>
      <w:b/>
      <w:bCs/>
      <w:sz w:val="32"/>
      <w:szCs w:val="32"/>
    </w:rPr>
  </w:style>
  <w:style w:type="paragraph" w:customStyle="1" w:styleId="310">
    <w:name w:val="标题 2_1_0"/>
    <w:basedOn w:val="311"/>
    <w:next w:val="311"/>
    <w:link w:val="309"/>
    <w:unhideWhenUsed/>
    <w:qFormat/>
    <w:uiPriority w:val="99"/>
    <w:pPr>
      <w:keepNext/>
      <w:keepLines/>
      <w:spacing w:before="260" w:after="260" w:line="416" w:lineRule="auto"/>
      <w:outlineLvl w:val="1"/>
    </w:pPr>
    <w:rPr>
      <w:rFonts w:ascii="Cambria" w:hAnsi="Cambria" w:eastAsiaTheme="minorEastAsia" w:cstheme="minorBidi"/>
      <w:b/>
      <w:bCs/>
      <w:sz w:val="32"/>
      <w:szCs w:val="32"/>
    </w:rPr>
  </w:style>
  <w:style w:type="paragraph" w:customStyle="1" w:styleId="311">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312">
    <w:name w:val="文档结构图 字符1"/>
    <w:semiHidden/>
    <w:qFormat/>
    <w:uiPriority w:val="99"/>
    <w:rPr>
      <w:rFonts w:ascii="Microsoft YaHei UI" w:hAnsi="Times New Roman" w:eastAsia="Microsoft YaHei UI" w:cs="Times New Roman"/>
      <w:sz w:val="18"/>
      <w:szCs w:val="18"/>
    </w:rPr>
  </w:style>
  <w:style w:type="character" w:customStyle="1" w:styleId="313">
    <w:name w:val="页眉 字符1"/>
    <w:semiHidden/>
    <w:qFormat/>
    <w:uiPriority w:val="99"/>
    <w:rPr>
      <w:rFonts w:ascii="Times New Roman" w:hAnsi="Times New Roman" w:eastAsia="宋体" w:cs="Times New Roman"/>
      <w:sz w:val="18"/>
      <w:szCs w:val="18"/>
    </w:rPr>
  </w:style>
  <w:style w:type="character" w:customStyle="1" w:styleId="314">
    <w:name w:val="文档结构图 Char1"/>
    <w:qFormat/>
    <w:uiPriority w:val="0"/>
    <w:rPr>
      <w:rFonts w:ascii="宋体"/>
      <w:sz w:val="18"/>
      <w:szCs w:val="18"/>
    </w:rPr>
  </w:style>
  <w:style w:type="character" w:customStyle="1" w:styleId="315">
    <w:name w:val="Char Char191"/>
    <w:qFormat/>
    <w:uiPriority w:val="0"/>
    <w:rPr>
      <w:rFonts w:ascii="Arial" w:hAnsi="Arial" w:eastAsia="黑体"/>
      <w:b/>
      <w:bCs/>
      <w:sz w:val="32"/>
      <w:szCs w:val="32"/>
      <w:lang w:val="en-US" w:eastAsia="zh-CN" w:bidi="ar-SA"/>
    </w:rPr>
  </w:style>
  <w:style w:type="character" w:customStyle="1" w:styleId="316">
    <w:name w:val="正文文本 字符1"/>
    <w:semiHidden/>
    <w:qFormat/>
    <w:uiPriority w:val="99"/>
    <w:rPr>
      <w:rFonts w:ascii="Times New Roman" w:hAnsi="Times New Roman" w:eastAsia="宋体" w:cs="Times New Roman"/>
      <w:szCs w:val="24"/>
    </w:rPr>
  </w:style>
  <w:style w:type="character" w:customStyle="1" w:styleId="317">
    <w:name w:val="批注文字 Char Char"/>
    <w:qFormat/>
    <w:uiPriority w:val="0"/>
    <w:rPr>
      <w:rFonts w:ascii="宋体" w:hAnsi="Times New Roman" w:eastAsia="宋体" w:cs="Times New Roman"/>
      <w:sz w:val="28"/>
      <w:szCs w:val="20"/>
    </w:rPr>
  </w:style>
  <w:style w:type="character" w:customStyle="1" w:styleId="318">
    <w:name w:val="_Style 145"/>
    <w:qFormat/>
    <w:uiPriority w:val="0"/>
    <w:rPr>
      <w:b/>
      <w:bCs/>
      <w:i/>
      <w:iCs/>
      <w:color w:val="4F81BD"/>
    </w:rPr>
  </w:style>
  <w:style w:type="character" w:customStyle="1" w:styleId="319">
    <w:name w:val="批注框文本 字符1"/>
    <w:semiHidden/>
    <w:qFormat/>
    <w:uiPriority w:val="99"/>
    <w:rPr>
      <w:rFonts w:ascii="Times New Roman" w:hAnsi="Times New Roman" w:eastAsia="宋体" w:cs="Times New Roman"/>
      <w:sz w:val="18"/>
      <w:szCs w:val="18"/>
    </w:rPr>
  </w:style>
  <w:style w:type="character" w:customStyle="1" w:styleId="320">
    <w:name w:val="font31"/>
    <w:qFormat/>
    <w:uiPriority w:val="0"/>
    <w:rPr>
      <w:rFonts w:hint="eastAsia" w:ascii="宋体" w:hAnsi="宋体" w:eastAsia="宋体" w:cs="宋体"/>
      <w:color w:val="000000"/>
      <w:sz w:val="24"/>
      <w:szCs w:val="24"/>
      <w:u w:val="none"/>
    </w:rPr>
  </w:style>
  <w:style w:type="character" w:customStyle="1" w:styleId="321">
    <w:name w:val="正文文本 Char1"/>
    <w:qFormat/>
    <w:uiPriority w:val="0"/>
    <w:rPr>
      <w:sz w:val="21"/>
      <w:szCs w:val="22"/>
    </w:rPr>
  </w:style>
  <w:style w:type="character" w:customStyle="1" w:styleId="322">
    <w:name w:val="副标题 Char1"/>
    <w:qFormat/>
    <w:uiPriority w:val="0"/>
    <w:rPr>
      <w:rFonts w:ascii="Cambria" w:hAnsi="Cambria" w:cs="Times New Roman"/>
      <w:b/>
      <w:bCs/>
      <w:sz w:val="32"/>
      <w:szCs w:val="32"/>
    </w:rPr>
  </w:style>
  <w:style w:type="character" w:customStyle="1" w:styleId="323">
    <w:name w:val="Char Char21"/>
    <w:qFormat/>
    <w:uiPriority w:val="0"/>
    <w:rPr>
      <w:rFonts w:ascii="黑体" w:hAnsi="宋体" w:eastAsia="黑体"/>
      <w:bCs/>
      <w:sz w:val="28"/>
      <w:szCs w:val="28"/>
    </w:rPr>
  </w:style>
  <w:style w:type="character" w:customStyle="1" w:styleId="324">
    <w:name w:val="批注文字 Char2"/>
    <w:qFormat/>
    <w:uiPriority w:val="0"/>
    <w:rPr>
      <w:rFonts w:eastAsia="宋体"/>
      <w:sz w:val="21"/>
      <w:szCs w:val="24"/>
      <w:lang w:val="en-US" w:eastAsia="zh-CN" w:bidi="ar-SA"/>
    </w:rPr>
  </w:style>
  <w:style w:type="character" w:customStyle="1" w:styleId="325">
    <w:name w:val="批注文字 Char1"/>
    <w:qFormat/>
    <w:uiPriority w:val="0"/>
    <w:rPr>
      <w:sz w:val="21"/>
      <w:szCs w:val="24"/>
    </w:rPr>
  </w:style>
  <w:style w:type="character" w:customStyle="1" w:styleId="326">
    <w:name w:val="Char Char20"/>
    <w:qFormat/>
    <w:uiPriority w:val="0"/>
    <w:rPr>
      <w:rFonts w:eastAsia="宋体"/>
      <w:b/>
      <w:bCs/>
      <w:sz w:val="44"/>
      <w:szCs w:val="44"/>
      <w:lang w:val="en-US" w:eastAsia="zh-CN" w:bidi="ar-SA"/>
    </w:rPr>
  </w:style>
  <w:style w:type="character" w:customStyle="1" w:styleId="327">
    <w:name w:val="标题 Char1"/>
    <w:qFormat/>
    <w:uiPriority w:val="0"/>
    <w:rPr>
      <w:rFonts w:ascii="Cambria" w:hAnsi="Cambria" w:cs="Times New Roman"/>
      <w:b/>
      <w:bCs/>
      <w:sz w:val="32"/>
      <w:szCs w:val="32"/>
    </w:rPr>
  </w:style>
  <w:style w:type="character" w:customStyle="1" w:styleId="328">
    <w:name w:val="标题 3 Char1"/>
    <w:qFormat/>
    <w:uiPriority w:val="0"/>
    <w:rPr>
      <w:rFonts w:ascii="黑体" w:hAnsi="宋体" w:eastAsia="黑体"/>
      <w:bCs/>
      <w:sz w:val="28"/>
      <w:szCs w:val="28"/>
    </w:rPr>
  </w:style>
  <w:style w:type="character" w:customStyle="1" w:styleId="329">
    <w:name w:val="页脚 字符1"/>
    <w:semiHidden/>
    <w:qFormat/>
    <w:uiPriority w:val="99"/>
    <w:rPr>
      <w:rFonts w:ascii="Times New Roman" w:hAnsi="Times New Roman" w:eastAsia="宋体" w:cs="Times New Roman"/>
      <w:sz w:val="18"/>
      <w:szCs w:val="18"/>
    </w:rPr>
  </w:style>
  <w:style w:type="character" w:customStyle="1" w:styleId="330">
    <w:name w:val="页脚 Char1"/>
    <w:qFormat/>
    <w:uiPriority w:val="99"/>
    <w:rPr>
      <w:sz w:val="18"/>
      <w:szCs w:val="24"/>
    </w:rPr>
  </w:style>
  <w:style w:type="character" w:customStyle="1" w:styleId="331">
    <w:name w:val="页眉 Char1"/>
    <w:qFormat/>
    <w:uiPriority w:val="99"/>
    <w:rPr>
      <w:sz w:val="18"/>
      <w:szCs w:val="24"/>
    </w:rPr>
  </w:style>
  <w:style w:type="character" w:customStyle="1" w:styleId="332">
    <w:name w:val="Char Char211"/>
    <w:qFormat/>
    <w:uiPriority w:val="0"/>
    <w:rPr>
      <w:rFonts w:ascii="黑体" w:hAnsi="宋体" w:eastAsia="黑体"/>
      <w:bCs/>
      <w:sz w:val="28"/>
      <w:szCs w:val="28"/>
    </w:rPr>
  </w:style>
  <w:style w:type="character" w:customStyle="1" w:styleId="333">
    <w:name w:val="Char Char201"/>
    <w:qFormat/>
    <w:uiPriority w:val="0"/>
    <w:rPr>
      <w:rFonts w:eastAsia="宋体"/>
      <w:b/>
      <w:bCs/>
      <w:sz w:val="44"/>
      <w:szCs w:val="44"/>
      <w:lang w:val="en-US" w:eastAsia="zh-CN" w:bidi="ar-SA"/>
    </w:rPr>
  </w:style>
  <w:style w:type="paragraph" w:customStyle="1" w:styleId="334">
    <w:name w:val="样式 标题 2 + Times New Roman 四号 非加粗 段前: 5 磅 段后: 0 磅 行距: 固定值 20..."/>
    <w:basedOn w:val="4"/>
    <w:qFormat/>
    <w:uiPriority w:val="0"/>
    <w:pPr>
      <w:spacing w:before="100" w:after="0" w:line="400" w:lineRule="exact"/>
      <w:jc w:val="both"/>
    </w:pPr>
    <w:rPr>
      <w:rFonts w:ascii="Times New Roman" w:hAnsi="Times New Roman" w:eastAsia="黑体" w:cs="宋体"/>
      <w:b w:val="0"/>
      <w:sz w:val="28"/>
    </w:rPr>
  </w:style>
  <w:style w:type="paragraph" w:customStyle="1" w:styleId="335">
    <w:name w:val="_Style 110"/>
    <w:qFormat/>
    <w:uiPriority w:val="0"/>
    <w:rPr>
      <w:rFonts w:hint="default" w:ascii="Times New Roman" w:hAnsi="Times New Roman" w:eastAsia="宋体" w:cs="Times New Roman"/>
      <w:sz w:val="21"/>
      <w:szCs w:val="24"/>
      <w:lang w:val="en-US" w:eastAsia="zh-CN" w:bidi="ar-SA"/>
    </w:rPr>
  </w:style>
  <w:style w:type="paragraph" w:customStyle="1" w:styleId="336">
    <w:name w:val="Heading 71"/>
    <w:basedOn w:val="1"/>
    <w:qFormat/>
    <w:uiPriority w:val="0"/>
    <w:pPr>
      <w:jc w:val="left"/>
      <w:outlineLvl w:val="7"/>
    </w:pPr>
    <w:rPr>
      <w:rFonts w:ascii="宋体" w:hAnsi="宋体" w:cs="宋体"/>
      <w:sz w:val="28"/>
      <w:szCs w:val="28"/>
      <w:lang w:eastAsia="en-US"/>
    </w:rPr>
  </w:style>
  <w:style w:type="paragraph" w:customStyle="1" w:styleId="337">
    <w:name w:val="Char Char Char Char"/>
    <w:basedOn w:val="16"/>
    <w:qFormat/>
    <w:uiPriority w:val="0"/>
    <w:pPr>
      <w:spacing w:line="360" w:lineRule="auto"/>
    </w:pPr>
    <w:rPr>
      <w:rFonts w:ascii="Tahoma" w:hAnsi="Tahoma"/>
      <w:sz w:val="24"/>
    </w:rPr>
  </w:style>
  <w:style w:type="paragraph" w:customStyle="1" w:styleId="338">
    <w:name w:val="标书正文格式"/>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paragraph" w:customStyle="1" w:styleId="339">
    <w:name w:val="标题 2_0"/>
    <w:basedOn w:val="1"/>
    <w:next w:val="1"/>
    <w:qFormat/>
    <w:uiPriority w:val="9"/>
    <w:pPr>
      <w:keepNext/>
      <w:keepLines/>
      <w:spacing w:before="260" w:after="260" w:line="416" w:lineRule="auto"/>
      <w:outlineLvl w:val="1"/>
    </w:pPr>
    <w:rPr>
      <w:rFonts w:ascii="Arial" w:hAnsi="Arial" w:eastAsia="黑体"/>
      <w:b/>
      <w:bCs/>
      <w:sz w:val="32"/>
      <w:szCs w:val="32"/>
    </w:rPr>
  </w:style>
  <w:style w:type="paragraph" w:customStyle="1" w:styleId="340">
    <w:name w:val="标题2"/>
    <w:basedOn w:val="1"/>
    <w:next w:val="1"/>
    <w:qFormat/>
    <w:uiPriority w:val="0"/>
    <w:pPr>
      <w:jc w:val="center"/>
    </w:pPr>
    <w:rPr>
      <w:rFonts w:eastAsia="方正楷体_GBK"/>
    </w:rPr>
  </w:style>
  <w:style w:type="paragraph" w:customStyle="1" w:styleId="341">
    <w:name w:val="列出段落2"/>
    <w:basedOn w:val="1"/>
    <w:qFormat/>
    <w:uiPriority w:val="0"/>
    <w:pPr>
      <w:ind w:firstLine="420"/>
    </w:pPr>
  </w:style>
  <w:style w:type="paragraph" w:customStyle="1" w:styleId="342">
    <w:name w:val="表格正文"/>
    <w:basedOn w:val="1"/>
    <w:qFormat/>
    <w:uiPriority w:val="0"/>
    <w:rPr>
      <w:rFonts w:ascii="宋体" w:hAnsi="宋体"/>
      <w:szCs w:val="21"/>
    </w:rPr>
  </w:style>
  <w:style w:type="paragraph" w:customStyle="1" w:styleId="343">
    <w:name w:val="Coms Alinea"/>
    <w:qFormat/>
    <w:uiPriority w:val="0"/>
    <w:pPr>
      <w:widowControl w:val="0"/>
    </w:pPr>
    <w:rPr>
      <w:rFonts w:hint="default" w:ascii="Arial" w:hAnsi="Arial" w:eastAsia="宋体" w:cs="Arial"/>
      <w:lang w:val="en-US" w:eastAsia="zh-CN" w:bidi="ar-SA"/>
    </w:rPr>
  </w:style>
  <w:style w:type="paragraph" w:customStyle="1" w:styleId="344">
    <w:name w:val="Char"/>
    <w:basedOn w:val="1"/>
    <w:qFormat/>
    <w:uiPriority w:val="0"/>
    <w:pPr>
      <w:tabs>
        <w:tab w:val="left" w:pos="360"/>
      </w:tabs>
    </w:pPr>
    <w:rPr>
      <w:sz w:val="24"/>
    </w:rPr>
  </w:style>
  <w:style w:type="paragraph" w:customStyle="1" w:styleId="345">
    <w:name w:val="标题3"/>
    <w:basedOn w:val="1"/>
    <w:next w:val="1"/>
    <w:qFormat/>
    <w:uiPriority w:val="0"/>
    <w:rPr>
      <w:rFonts w:eastAsia="方正黑体_GBK"/>
    </w:rPr>
  </w:style>
  <w:style w:type="paragraph" w:customStyle="1" w:styleId="346">
    <w:name w:val="修订1"/>
    <w:unhideWhenUsed/>
    <w:qFormat/>
    <w:uiPriority w:val="99"/>
    <w:rPr>
      <w:rFonts w:hint="default" w:ascii="Times New Roman" w:hAnsi="Times New Roman" w:eastAsia="宋体" w:cs="Times New Roman"/>
      <w:sz w:val="21"/>
      <w:szCs w:val="24"/>
      <w:lang w:val="en-US" w:eastAsia="zh-CN" w:bidi="ar-SA"/>
    </w:rPr>
  </w:style>
  <w:style w:type="paragraph" w:customStyle="1" w:styleId="347">
    <w:name w:val="BioQuote Tekst"/>
    <w:basedOn w:val="1"/>
    <w:qFormat/>
    <w:uiPriority w:val="0"/>
    <w:pPr>
      <w:ind w:right="-1"/>
    </w:pPr>
    <w:rPr>
      <w:rFonts w:ascii="Arial" w:hAnsi="Arial"/>
      <w:sz w:val="22"/>
      <w:szCs w:val="20"/>
      <w:lang w:eastAsia="en-US"/>
    </w:rPr>
  </w:style>
  <w:style w:type="paragraph" w:customStyle="1" w:styleId="348">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349">
    <w:name w:val="Heading11"/>
    <w:basedOn w:val="1"/>
    <w:next w:val="1"/>
    <w:qFormat/>
    <w:uiPriority w:val="0"/>
    <w:pPr>
      <w:keepNext/>
    </w:pPr>
    <w:rPr>
      <w:rFonts w:ascii="等线 Light" w:eastAsia="等线 Light"/>
      <w:sz w:val="28"/>
      <w:szCs w:val="20"/>
    </w:rPr>
  </w:style>
  <w:style w:type="paragraph" w:customStyle="1" w:styleId="350">
    <w:name w:val="正文 第一章"/>
    <w:basedOn w:val="1"/>
    <w:next w:val="351"/>
    <w:qFormat/>
    <w:uiPriority w:val="0"/>
    <w:pPr>
      <w:pageBreakBefore/>
      <w:numPr>
        <w:ilvl w:val="0"/>
        <w:numId w:val="1"/>
      </w:numPr>
      <w:spacing w:before="240" w:after="240" w:line="480" w:lineRule="auto"/>
      <w:jc w:val="center"/>
      <w:outlineLvl w:val="0"/>
    </w:pPr>
    <w:rPr>
      <w:rFonts w:ascii="黑体" w:hAnsi="宋体" w:eastAsia="黑体"/>
      <w:sz w:val="36"/>
      <w:szCs w:val="21"/>
    </w:rPr>
  </w:style>
  <w:style w:type="paragraph" w:customStyle="1" w:styleId="351">
    <w:name w:val="正文 1.1"/>
    <w:basedOn w:val="1"/>
    <w:next w:val="352"/>
    <w:qFormat/>
    <w:uiPriority w:val="0"/>
    <w:pPr>
      <w:numPr>
        <w:ilvl w:val="1"/>
        <w:numId w:val="1"/>
      </w:numPr>
      <w:tabs>
        <w:tab w:val="clear" w:pos="851"/>
      </w:tabs>
      <w:spacing w:line="360" w:lineRule="auto"/>
      <w:ind w:left="980" w:hanging="980"/>
      <w:outlineLvl w:val="1"/>
    </w:pPr>
    <w:rPr>
      <w:rFonts w:ascii="仿宋" w:hAnsi="仿宋" w:eastAsia="仿宋"/>
      <w:b/>
      <w:sz w:val="28"/>
      <w:szCs w:val="21"/>
    </w:rPr>
  </w:style>
  <w:style w:type="paragraph" w:customStyle="1" w:styleId="352">
    <w:name w:val="正文 1.1.1"/>
    <w:basedOn w:val="1"/>
    <w:next w:val="1"/>
    <w:qFormat/>
    <w:uiPriority w:val="0"/>
    <w:pPr>
      <w:numPr>
        <w:ilvl w:val="2"/>
        <w:numId w:val="1"/>
      </w:numPr>
      <w:spacing w:line="360" w:lineRule="auto"/>
      <w:outlineLvl w:val="2"/>
    </w:pPr>
    <w:rPr>
      <w:rFonts w:ascii="宋体" w:hAnsi="宋体"/>
      <w:color w:val="000000"/>
      <w:sz w:val="28"/>
      <w:szCs w:val="21"/>
    </w:rPr>
  </w:style>
  <w:style w:type="paragraph" w:customStyle="1" w:styleId="353">
    <w:name w:val="Char Char Char Char1 Char Char Char"/>
    <w:basedOn w:val="16"/>
    <w:qFormat/>
    <w:uiPriority w:val="0"/>
    <w:pPr>
      <w:spacing w:line="360" w:lineRule="auto"/>
    </w:pPr>
    <w:rPr>
      <w:rFonts w:ascii="Tahoma" w:hAnsi="Tahoma"/>
      <w:sz w:val="24"/>
    </w:rPr>
  </w:style>
  <w:style w:type="paragraph" w:customStyle="1" w:styleId="354">
    <w:name w:val="p0"/>
    <w:basedOn w:val="1"/>
    <w:qFormat/>
    <w:uiPriority w:val="0"/>
    <w:pPr>
      <w:widowControl/>
      <w:spacing w:before="100" w:beforeAutospacing="1" w:after="100" w:afterAutospacing="1"/>
      <w:jc w:val="left"/>
    </w:pPr>
    <w:rPr>
      <w:rFonts w:ascii="宋体" w:hAnsi="宋体" w:cs="宋体"/>
    </w:rPr>
  </w:style>
  <w:style w:type="paragraph" w:customStyle="1" w:styleId="355">
    <w:name w:val="正文空2格  1."/>
    <w:basedOn w:val="1"/>
    <w:qFormat/>
    <w:uiPriority w:val="0"/>
    <w:pPr>
      <w:spacing w:line="360" w:lineRule="auto"/>
      <w:ind w:firstLine="480"/>
    </w:pPr>
    <w:rPr>
      <w:rFonts w:ascii="宋体" w:eastAsia="仿宋" w:cs="宋体"/>
      <w:sz w:val="28"/>
      <w:szCs w:val="20"/>
    </w:rPr>
  </w:style>
  <w:style w:type="paragraph" w:customStyle="1" w:styleId="356">
    <w:name w:val="Char Char Char Char1 Char Char"/>
    <w:basedOn w:val="1"/>
    <w:qFormat/>
    <w:uiPriority w:val="0"/>
    <w:pPr>
      <w:tabs>
        <w:tab w:val="left" w:pos="360"/>
      </w:tabs>
    </w:pPr>
    <w:rPr>
      <w:sz w:val="24"/>
    </w:rPr>
  </w:style>
  <w:style w:type="paragraph" w:customStyle="1" w:styleId="357">
    <w:name w:val="默认段落字体 Para Char Char Char Char Char Char Char Char Char1 Char Char Char Char Char Char Char"/>
    <w:basedOn w:val="16"/>
    <w:qFormat/>
    <w:uiPriority w:val="0"/>
    <w:rPr>
      <w:rFonts w:ascii="Tahoma" w:hAnsi="Tahoma"/>
      <w:sz w:val="24"/>
    </w:rPr>
  </w:style>
  <w:style w:type="paragraph" w:customStyle="1" w:styleId="358">
    <w:name w:val="列出段落3"/>
    <w:basedOn w:val="1"/>
    <w:qFormat/>
    <w:uiPriority w:val="0"/>
    <w:pPr>
      <w:ind w:firstLine="420"/>
    </w:pPr>
    <w:rPr>
      <w:rFonts w:ascii="Calibri" w:hAnsi="Calibri"/>
      <w:szCs w:val="22"/>
    </w:rPr>
  </w:style>
  <w:style w:type="paragraph" w:customStyle="1" w:styleId="359">
    <w:name w:val="Char Char Char1 Char Char Char Char Char Char Char"/>
    <w:basedOn w:val="1"/>
    <w:qFormat/>
    <w:uiPriority w:val="0"/>
  </w:style>
  <w:style w:type="paragraph" w:customStyle="1" w:styleId="360">
    <w:name w:val="正文 A"/>
    <w:next w:val="22"/>
    <w:qFormat/>
    <w:uiPriority w:val="0"/>
    <w:pPr>
      <w:widowControl w:val="0"/>
      <w:jc w:val="both"/>
    </w:pPr>
    <w:rPr>
      <w:rFonts w:hint="default" w:ascii="Calibri" w:hAnsi="Calibri" w:eastAsia="Times New Roman" w:cs="Calibri"/>
      <w:color w:val="000000"/>
      <w:sz w:val="21"/>
      <w:szCs w:val="21"/>
      <w:lang w:val="en-US" w:eastAsia="zh-CN" w:bidi="ar-SA"/>
    </w:rPr>
  </w:style>
  <w:style w:type="paragraph" w:customStyle="1" w:styleId="361">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362">
    <w:name w:val="Char1"/>
    <w:basedOn w:val="1"/>
    <w:qFormat/>
    <w:uiPriority w:val="0"/>
    <w:rPr>
      <w:rFonts w:ascii="Tahoma" w:hAnsi="Tahoma"/>
      <w:sz w:val="24"/>
      <w:szCs w:val="20"/>
    </w:rPr>
  </w:style>
  <w:style w:type="paragraph" w:customStyle="1" w:styleId="363">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364">
    <w:name w:val="xl47"/>
    <w:basedOn w:val="1"/>
    <w:qFormat/>
    <w:uiPriority w:val="0"/>
    <w:pPr>
      <w:widowControl/>
      <w:spacing w:before="100" w:beforeAutospacing="1" w:after="100" w:afterAutospacing="1"/>
      <w:jc w:val="center"/>
    </w:pPr>
    <w:rPr>
      <w:rFonts w:hint="eastAsia" w:ascii="方正姚体" w:hAnsi="宋体" w:eastAsia="方正姚体"/>
      <w:b/>
      <w:bCs/>
      <w:sz w:val="36"/>
      <w:szCs w:val="36"/>
    </w:rPr>
  </w:style>
  <w:style w:type="paragraph" w:customStyle="1" w:styleId="365">
    <w:name w:val="第四级"/>
    <w:basedOn w:val="1"/>
    <w:next w:val="1"/>
    <w:qFormat/>
    <w:uiPriority w:val="0"/>
    <w:pPr>
      <w:numPr>
        <w:ilvl w:val="3"/>
        <w:numId w:val="1"/>
      </w:numPr>
      <w:spacing w:line="360" w:lineRule="auto"/>
    </w:pPr>
    <w:rPr>
      <w:rFonts w:ascii="宋体" w:hAnsi="宋体" w:eastAsia="仿宋"/>
      <w:sz w:val="28"/>
      <w:szCs w:val="21"/>
    </w:rPr>
  </w:style>
  <w:style w:type="paragraph" w:styleId="366">
    <w:name w:val="List Paragraph"/>
    <w:basedOn w:val="1"/>
    <w:qFormat/>
    <w:uiPriority w:val="0"/>
    <w:pPr>
      <w:ind w:firstLine="420"/>
    </w:pPr>
    <w:rPr>
      <w:rFonts w:ascii="Calibri" w:hAnsi="Calibri"/>
      <w:szCs w:val="22"/>
    </w:rPr>
  </w:style>
  <w:style w:type="paragraph" w:customStyle="1" w:styleId="367">
    <w:name w:val="Table Text"/>
    <w:qFormat/>
    <w:uiPriority w:val="0"/>
    <w:pPr>
      <w:spacing w:before="143" w:after="80"/>
      <w:jc w:val="center"/>
    </w:pPr>
    <w:rPr>
      <w:rFonts w:hint="default" w:ascii="仿宋_GB2312" w:hAnsi="宋体" w:eastAsia="仿宋_GB2312" w:cs="Times New Roman"/>
      <w:sz w:val="24"/>
      <w:lang w:val="en-US" w:eastAsia="zh-CN" w:bidi="ar-SA"/>
    </w:rPr>
  </w:style>
  <w:style w:type="paragraph" w:customStyle="1" w:styleId="368">
    <w:name w:val="_Style 120"/>
    <w:basedOn w:val="3"/>
    <w:next w:val="1"/>
    <w:qFormat/>
    <w:uiPriority w:val="0"/>
    <w:pPr>
      <w:keepLines/>
      <w:spacing w:before="340" w:after="330" w:line="578" w:lineRule="auto"/>
      <w:outlineLvl w:val="9"/>
    </w:pPr>
    <w:rPr>
      <w:rFonts w:ascii="Times New Roman" w:eastAsia="宋体"/>
      <w:b/>
      <w:bCs/>
      <w:sz w:val="44"/>
      <w:szCs w:val="44"/>
    </w:rPr>
  </w:style>
  <w:style w:type="paragraph" w:customStyle="1" w:styleId="369">
    <w:name w:val="Heading 41"/>
    <w:basedOn w:val="1"/>
    <w:qFormat/>
    <w:uiPriority w:val="0"/>
    <w:pPr>
      <w:jc w:val="left"/>
      <w:outlineLvl w:val="4"/>
    </w:pPr>
    <w:rPr>
      <w:rFonts w:ascii="宋体" w:hAnsi="宋体" w:cs="宋体"/>
      <w:sz w:val="32"/>
      <w:szCs w:val="32"/>
      <w:lang w:eastAsia="en-US"/>
    </w:rPr>
  </w:style>
  <w:style w:type="paragraph" w:customStyle="1" w:styleId="370">
    <w:name w:val="Table Paragraph"/>
    <w:basedOn w:val="1"/>
    <w:qFormat/>
    <w:uiPriority w:val="0"/>
    <w:pPr>
      <w:jc w:val="left"/>
    </w:pPr>
    <w:rPr>
      <w:rFonts w:ascii="Calibri" w:hAnsi="Calibri" w:cs="Calibri"/>
      <w:sz w:val="22"/>
      <w:szCs w:val="22"/>
      <w:lang w:eastAsia="en-US"/>
    </w:rPr>
  </w:style>
  <w:style w:type="paragraph" w:customStyle="1" w:styleId="371">
    <w:name w:val="Blockquote"/>
    <w:basedOn w:val="1"/>
    <w:qFormat/>
    <w:uiPriority w:val="0"/>
    <w:pPr>
      <w:spacing w:before="100" w:after="100"/>
      <w:ind w:left="360" w:right="360"/>
      <w:jc w:val="left"/>
    </w:pPr>
    <w:rPr>
      <w:sz w:val="24"/>
      <w:szCs w:val="20"/>
    </w:rPr>
  </w:style>
  <w:style w:type="paragraph" w:customStyle="1" w:styleId="372">
    <w:name w:val="样式 标题 3 + (中文) 黑体 小四 非加粗 段前: 7.8 磅 段后: 0 磅 行距: 固定值 20 磅"/>
    <w:basedOn w:val="6"/>
    <w:qFormat/>
    <w:uiPriority w:val="0"/>
    <w:pPr>
      <w:spacing w:before="0" w:after="0" w:line="400" w:lineRule="exact"/>
    </w:pPr>
    <w:rPr>
      <w:rFonts w:eastAsia="黑体" w:cs="宋体"/>
      <w:b w:val="0"/>
      <w:sz w:val="24"/>
    </w:rPr>
  </w:style>
  <w:style w:type="paragraph" w:customStyle="1" w:styleId="373">
    <w:name w:val="空半行"/>
    <w:basedOn w:val="1"/>
    <w:qFormat/>
    <w:uiPriority w:val="0"/>
    <w:pPr>
      <w:spacing w:line="120" w:lineRule="exact"/>
    </w:pPr>
    <w:rPr>
      <w:rFonts w:eastAsia="仿宋_GB2312"/>
      <w:color w:val="FFFFFF"/>
      <w:sz w:val="30"/>
      <w:szCs w:val="20"/>
    </w:rPr>
  </w:style>
  <w:style w:type="paragraph" w:customStyle="1" w:styleId="374">
    <w:name w:val="flNote"/>
    <w:basedOn w:val="1"/>
    <w:qFormat/>
    <w:uiPriority w:val="0"/>
    <w:pPr>
      <w:spacing w:before="320" w:after="160" w:line="360" w:lineRule="atLeast"/>
      <w:jc w:val="center"/>
    </w:pPr>
    <w:rPr>
      <w:rFonts w:ascii="Arial" w:eastAsia="黑体"/>
      <w:sz w:val="30"/>
      <w:szCs w:val="20"/>
    </w:rPr>
  </w:style>
  <w:style w:type="paragraph" w:customStyle="1" w:styleId="375">
    <w:name w:val="Char Char Char1 Char Char Char Char Char Char Char1"/>
    <w:basedOn w:val="1"/>
    <w:qFormat/>
    <w:uiPriority w:val="0"/>
    <w:rPr>
      <w:rFonts w:ascii="Tahoma" w:hAnsi="Tahoma"/>
      <w:sz w:val="24"/>
      <w:szCs w:val="20"/>
    </w:rPr>
  </w:style>
  <w:style w:type="paragraph" w:customStyle="1" w:styleId="376">
    <w:name w:val="正文_1"/>
    <w:next w:val="37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7">
    <w:name w:val="正文首行缩进 21"/>
    <w:basedOn w:val="378"/>
    <w:unhideWhenUsed/>
    <w:qFormat/>
    <w:uiPriority w:val="99"/>
    <w:pPr>
      <w:ind w:firstLine="420"/>
    </w:pPr>
  </w:style>
  <w:style w:type="paragraph" w:customStyle="1" w:styleId="378">
    <w:name w:val="正文文本缩进_0"/>
    <w:basedOn w:val="376"/>
    <w:qFormat/>
    <w:uiPriority w:val="0"/>
    <w:pPr>
      <w:spacing w:line="360" w:lineRule="auto"/>
      <w:ind w:firstLine="435"/>
    </w:pPr>
    <w:rPr>
      <w:sz w:val="24"/>
    </w:rPr>
  </w:style>
  <w:style w:type="paragraph" w:customStyle="1" w:styleId="379">
    <w:name w:val="Normal_0"/>
    <w:qFormat/>
    <w:uiPriority w:val="0"/>
    <w:pPr>
      <w:widowControl w:val="0"/>
    </w:pPr>
    <w:rPr>
      <w:rFonts w:hint="default" w:ascii="Calibri" w:hAnsi="Calibri" w:eastAsia="宋体" w:cs="Times New Roman"/>
      <w:sz w:val="21"/>
      <w:szCs w:val="22"/>
      <w:lang w:val="en-US" w:eastAsia="zh-CN" w:bidi="ar-SA"/>
    </w:rPr>
  </w:style>
  <w:style w:type="paragraph" w:customStyle="1" w:styleId="380">
    <w:name w:val="_Style 13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1">
    <w:name w:val="Normal1"/>
    <w:qFormat/>
    <w:uiPriority w:val="0"/>
    <w:pPr>
      <w:widowControl w:val="0"/>
      <w:jc w:val="both"/>
    </w:pPr>
    <w:rPr>
      <w:rFonts w:hint="default" w:ascii="Times New Roman" w:hAnsi="Times New Roman" w:eastAsia="Times New Roman" w:cs="Times New Roman"/>
      <w:lang w:val="en-US" w:eastAsia="zh-CN" w:bidi="ar-SA"/>
    </w:rPr>
  </w:style>
  <w:style w:type="paragraph" w:customStyle="1" w:styleId="382">
    <w:name w:val="样式 标题 2 + 黑色 行距: 1.5 倍行距"/>
    <w:basedOn w:val="4"/>
    <w:qFormat/>
    <w:uiPriority w:val="0"/>
    <w:pPr>
      <w:spacing w:line="360" w:lineRule="auto"/>
      <w:jc w:val="both"/>
    </w:pPr>
    <w:rPr>
      <w:rFonts w:eastAsia="宋体" w:cs="宋体"/>
      <w:bCs/>
      <w:color w:val="000000"/>
      <w:sz w:val="32"/>
      <w:szCs w:val="32"/>
    </w:rPr>
  </w:style>
  <w:style w:type="paragraph" w:customStyle="1" w:styleId="383">
    <w:name w:val="正文 New New New New"/>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84">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5">
    <w:name w:val="纯文本1_0"/>
    <w:basedOn w:val="1"/>
    <w:qFormat/>
    <w:uiPriority w:val="0"/>
    <w:rPr>
      <w:rFonts w:ascii="宋体" w:hAnsi="Courier New"/>
      <w:sz w:val="28"/>
    </w:rPr>
  </w:style>
  <w:style w:type="paragraph" w:customStyle="1" w:styleId="386">
    <w:name w:val="正文_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7">
    <w:name w:val="纯文本1_0_0"/>
    <w:basedOn w:val="1"/>
    <w:qFormat/>
    <w:uiPriority w:val="0"/>
    <w:rPr>
      <w:rFonts w:ascii="宋体" w:hAnsi="Courier New"/>
      <w:sz w:val="28"/>
    </w:rPr>
  </w:style>
  <w:style w:type="paragraph" w:customStyle="1" w:styleId="388">
    <w:name w:val="正文_13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9">
    <w:name w:val="Normal_12"/>
    <w:qFormat/>
    <w:uiPriority w:val="0"/>
    <w:rPr>
      <w:rFonts w:hint="default" w:ascii="黑体" w:hAnsi="黑体" w:eastAsia="黑体" w:cs="Times New Roman"/>
      <w:b/>
      <w:sz w:val="32"/>
      <w:szCs w:val="24"/>
      <w:lang w:val="en-US" w:eastAsia="zh-CN" w:bidi="ar-SA"/>
    </w:rPr>
  </w:style>
  <w:style w:type="character" w:customStyle="1" w:styleId="390">
    <w:name w:val="NormalCharacter1"/>
    <w:qFormat/>
    <w:uiPriority w:val="0"/>
  </w:style>
  <w:style w:type="paragraph" w:customStyle="1" w:styleId="391">
    <w:name w:val="标题 31"/>
    <w:basedOn w:val="1"/>
    <w:next w:val="5"/>
    <w:link w:val="392"/>
    <w:qFormat/>
    <w:uiPriority w:val="0"/>
    <w:pPr>
      <w:keepNext/>
      <w:keepLines/>
      <w:spacing w:before="260" w:after="260" w:line="416" w:lineRule="auto"/>
      <w:outlineLvl w:val="2"/>
    </w:pPr>
    <w:rPr>
      <w:b/>
      <w:bCs/>
      <w:sz w:val="32"/>
      <w:szCs w:val="32"/>
    </w:rPr>
  </w:style>
  <w:style w:type="character" w:customStyle="1" w:styleId="392">
    <w:name w:val="标题 3 字符1"/>
    <w:link w:val="391"/>
    <w:qFormat/>
    <w:uiPriority w:val="0"/>
    <w:rPr>
      <w:rFonts w:ascii="Times New Roman" w:hAnsi="Times New Roman" w:eastAsia="宋体" w:cs="Times New Roman"/>
      <w:b/>
      <w:bCs/>
      <w:sz w:val="32"/>
      <w:szCs w:val="32"/>
    </w:rPr>
  </w:style>
  <w:style w:type="character" w:customStyle="1" w:styleId="393">
    <w:name w:val="样式1 Char"/>
    <w:basedOn w:val="56"/>
    <w:qFormat/>
    <w:uiPriority w:val="0"/>
    <w:rPr>
      <w:b/>
      <w:bCs/>
    </w:rPr>
  </w:style>
  <w:style w:type="character" w:customStyle="1" w:styleId="394">
    <w:name w:val="正文缩进 Char1"/>
    <w:qFormat/>
    <w:uiPriority w:val="0"/>
    <w:rPr>
      <w:rFonts w:eastAsia="宋体"/>
      <w:sz w:val="21"/>
      <w:lang w:val="en-US" w:eastAsia="zh-CN" w:bidi="ar-SA"/>
    </w:rPr>
  </w:style>
  <w:style w:type="paragraph" w:customStyle="1" w:styleId="395">
    <w:name w:val="首行缩进"/>
    <w:basedOn w:val="1"/>
    <w:qFormat/>
    <w:uiPriority w:val="0"/>
    <w:pPr>
      <w:spacing w:line="360" w:lineRule="auto"/>
      <w:ind w:firstLine="480"/>
    </w:pPr>
    <w:rPr>
      <w:rFonts w:ascii="宋体" w:hAnsi="宋体" w:cs="宋体"/>
      <w:sz w:val="24"/>
    </w:rPr>
  </w:style>
  <w:style w:type="character" w:customStyle="1" w:styleId="396">
    <w:name w:val="正文文本 Char2"/>
    <w:qFormat/>
    <w:uiPriority w:val="0"/>
    <w:rPr>
      <w:rFonts w:ascii="楷体_GB2312" w:hAnsi="Arial" w:eastAsia="楷体_GB2312"/>
      <w:sz w:val="28"/>
    </w:rPr>
  </w:style>
  <w:style w:type="paragraph" w:customStyle="1" w:styleId="397">
    <w:name w:val="正文缩进1"/>
    <w:basedOn w:val="1"/>
    <w:qFormat/>
    <w:uiPriority w:val="0"/>
    <w:pPr>
      <w:ind w:firstLine="420"/>
    </w:pPr>
    <w:rPr>
      <w:szCs w:val="20"/>
    </w:rPr>
  </w:style>
  <w:style w:type="character" w:customStyle="1" w:styleId="398">
    <w:name w:val="cf01"/>
    <w:basedOn w:val="56"/>
    <w:qFormat/>
    <w:uiPriority w:val="0"/>
    <w:rPr>
      <w:rFonts w:hint="eastAsia" w:ascii="Microsoft YaHei UI" w:hAnsi="Microsoft YaHei UI" w:eastAsia="Microsoft YaHei UI"/>
      <w:sz w:val="18"/>
      <w:szCs w:val="18"/>
    </w:rPr>
  </w:style>
  <w:style w:type="character" w:customStyle="1" w:styleId="399">
    <w:name w:val="Unresolved Mention"/>
    <w:basedOn w:val="56"/>
    <w:semiHidden/>
    <w:unhideWhenUsed/>
    <w:qFormat/>
    <w:uiPriority w:val="99"/>
    <w:rPr>
      <w:color w:val="605E5C"/>
      <w:shd w:val="clear" w:color="auto" w:fill="E1DFDD"/>
    </w:rPr>
  </w:style>
  <w:style w:type="character" w:customStyle="1" w:styleId="400">
    <w:name w:val="font61"/>
    <w:basedOn w:val="56"/>
    <w:qFormat/>
    <w:uiPriority w:val="0"/>
    <w:rPr>
      <w:rFonts w:ascii="Calibri" w:hAnsi="Calibri" w:cs="Calibri"/>
      <w:color w:val="000000"/>
      <w:sz w:val="24"/>
      <w:szCs w:val="24"/>
      <w:u w:val="none"/>
    </w:rPr>
  </w:style>
  <w:style w:type="character" w:customStyle="1" w:styleId="401">
    <w:name w:val="font11"/>
    <w:basedOn w:val="56"/>
    <w:qFormat/>
    <w:uiPriority w:val="0"/>
    <w:rPr>
      <w:rFonts w:hint="eastAsia" w:ascii="宋体" w:hAnsi="宋体" w:eastAsia="宋体" w:cs="宋体"/>
      <w:color w:val="000000"/>
      <w:sz w:val="24"/>
      <w:szCs w:val="24"/>
      <w:u w:val="none"/>
    </w:rPr>
  </w:style>
  <w:style w:type="character" w:customStyle="1" w:styleId="402">
    <w:name w:val="font71"/>
    <w:basedOn w:val="56"/>
    <w:qFormat/>
    <w:uiPriority w:val="0"/>
    <w:rPr>
      <w:rFonts w:ascii="Calibri" w:hAnsi="Calibri" w:cs="Calibri"/>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79</Pages>
  <Words>36496</Words>
  <Characters>39622</Characters>
  <TotalTime>6</TotalTime>
  <ScaleCrop>false</ScaleCrop>
  <LinksUpToDate>false</LinksUpToDate>
  <CharactersWithSpaces>40230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2024-10-19T02:42:00Z</dcterms:created>
  <dc:creator>钊 周</dc:creator>
  <cp:lastModifiedBy>吉胜1418378764</cp:lastModifiedBy>
  <dcterms:modified xsi:type="dcterms:W3CDTF">2026-06-26T05:23:35Z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C113A8775B354B2CB6169BA6A1CC1C0C_13</vt:lpwstr>
  </property>
  <property fmtid="{D5CDD505-2E9C-101B-9397-08002B2CF9AE}" pid="4" name="KSOTemplateDocerSaveRecord">
    <vt:lpwstr>eyJoZGlkIjoiZDExZWQzYzZjNWM3OWE2OWM5ZDI4ZmVjYzA3NTA2NzQiLCJ1c2VySWQiOiIyNjY5ODk2MiJ9</vt:lpwstr>
  </property>
</Properties>
</file>