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tabs>
          <w:tab w:val="right" w:pos="9094" w:leader="dot"/>
        </w:tabs>
        <w:rPr>
          <w:b/>
          <w:bCs/>
          <w:sz w:val="36"/>
          <w:szCs w:val="36"/>
        </w:rPr>
      </w:pPr>
      <w:r>
        <w:rPr>
          <w:b/>
          <w:bCs/>
          <w:sz w:val="36"/>
          <w:szCs w:val="36"/>
        </w:rPr>
      </w:r>
      <w:r/>
    </w:p>
    <w:p>
      <w:pPr>
        <w:pStyle w:val="953"/>
        <w:jc w:val="center"/>
        <w:tabs>
          <w:tab w:val="right" w:pos="9094" w:leader="dot"/>
        </w:tabs>
        <w:rPr>
          <w:b/>
          <w:bCs/>
          <w:sz w:val="36"/>
          <w:szCs w:val="36"/>
        </w:rPr>
      </w:pPr>
      <w:r>
        <w:rPr>
          <w:b/>
          <w:bCs/>
          <w:sz w:val="36"/>
          <w:szCs w:val="36"/>
        </w:rPr>
      </w:r>
      <w:r/>
    </w:p>
    <w:p>
      <w:pPr>
        <w:pStyle w:val="953"/>
        <w:jc w:val="center"/>
        <w:tabs>
          <w:tab w:val="right" w:pos="9094" w:leader="dot"/>
        </w:tabs>
        <w:rPr>
          <w:b/>
          <w:bCs/>
          <w:sz w:val="36"/>
          <w:szCs w:val="36"/>
        </w:rPr>
      </w:pPr>
      <w:r>
        <w:rPr>
          <w:rFonts w:hint="eastAsia"/>
          <w:b/>
          <w:sz w:val="36"/>
          <w:szCs w:val="36"/>
        </w:rPr>
        <w:t xml:space="preserve">靖江市人民医院检验病理外送服务</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 xml:space="preserve">招  标  文  件</w:t>
      </w:r>
      <w:r/>
    </w:p>
    <w:p>
      <w:pPr>
        <w:ind w:firstLine="320"/>
        <w:spacing w:line="360" w:lineRule="auto"/>
        <w:rPr>
          <w:sz w:val="32"/>
          <w:szCs w:val="32"/>
        </w:rPr>
      </w:pPr>
      <w:r>
        <w:rPr>
          <w:sz w:val="32"/>
          <w:szCs w:val="32"/>
        </w:rPr>
      </w:r>
      <w:r/>
    </w:p>
    <w:p>
      <w:pPr>
        <w:ind w:firstLine="1120"/>
        <w:spacing w:line="360" w:lineRule="auto"/>
        <w:rPr>
          <w:sz w:val="32"/>
          <w:szCs w:val="32"/>
        </w:rPr>
      </w:pPr>
      <w:r>
        <w:rPr>
          <w:sz w:val="32"/>
          <w:szCs w:val="32"/>
        </w:rPr>
      </w:r>
      <w:r/>
    </w:p>
    <w:p>
      <w:pPr>
        <w:pStyle w:val="938"/>
      </w:pPr>
      <w:r/>
      <w:r/>
    </w:p>
    <w:p>
      <w:pPr>
        <w:pStyle w:val="938"/>
      </w:pPr>
      <w:r/>
      <w:r/>
    </w:p>
    <w:p>
      <w:pPr>
        <w:ind w:firstLine="560"/>
        <w:spacing w:before="156" w:after="156"/>
        <w:rPr>
          <w:rFonts w:ascii="宋体" w:hAnsi="宋体"/>
          <w:sz w:val="28"/>
          <w:szCs w:val="28"/>
        </w:rPr>
      </w:pPr>
      <w:r>
        <w:rPr>
          <w:rFonts w:ascii="宋体" w:hAnsi="宋体"/>
          <w:sz w:val="28"/>
          <w:szCs w:val="28"/>
        </w:rPr>
      </w:r>
      <w:r/>
    </w:p>
    <w:p>
      <w:pPr>
        <w:ind w:firstLine="560"/>
        <w:spacing w:before="156" w:after="156"/>
        <w:rPr>
          <w:rFonts w:ascii="宋体" w:hAnsi="宋体"/>
          <w:sz w:val="28"/>
          <w:szCs w:val="28"/>
          <w:u w:val="single"/>
        </w:rPr>
      </w:pPr>
      <w:r>
        <w:rPr>
          <w:rFonts w:ascii="宋体" w:hAnsi="宋体"/>
          <w:sz w:val="28"/>
          <w:szCs w:val="28"/>
          <w:u w:val="single"/>
        </w:rPr>
      </w:r>
      <w:r/>
    </w:p>
    <w:p>
      <w:pPr>
        <w:ind w:firstLine="560"/>
        <w:spacing w:before="156" w:after="156"/>
        <w:rPr>
          <w:rFonts w:ascii="宋体" w:hAnsi="宋体"/>
          <w:sz w:val="28"/>
          <w:szCs w:val="28"/>
          <w:u w:val="single"/>
        </w:rPr>
      </w:pPr>
      <w:r>
        <w:rPr>
          <w:rFonts w:ascii="宋体" w:hAnsi="宋体"/>
          <w:sz w:val="28"/>
          <w:szCs w:val="28"/>
          <w:u w:val="single"/>
        </w:rPr>
      </w:r>
      <w:r/>
    </w:p>
    <w:p>
      <w:pPr>
        <w:ind w:firstLine="560"/>
        <w:spacing w:before="156" w:after="156"/>
        <w:rPr>
          <w:rFonts w:ascii="宋体" w:hAnsi="宋体"/>
          <w:sz w:val="28"/>
          <w:szCs w:val="28"/>
          <w:u w:val="single"/>
        </w:rPr>
      </w:pPr>
      <w:r>
        <w:rPr>
          <w:rFonts w:hint="eastAsia" w:ascii="宋体" w:hAnsi="宋体"/>
          <w:sz w:val="28"/>
          <w:szCs w:val="28"/>
          <w:highlight w:val="none"/>
          <w:u w:val="single"/>
        </w:rPr>
      </w:r>
      <w:r>
        <w:rPr>
          <w:rFonts w:hint="eastAsia" w:ascii="宋体" w:hAnsi="宋体"/>
          <w:sz w:val="28"/>
          <w:szCs w:val="28"/>
          <w:highlight w:val="none"/>
          <w:u w:val="single"/>
        </w:rPr>
      </w:r>
      <w:r/>
    </w:p>
    <w:p>
      <w:pPr>
        <w:ind w:firstLine="560"/>
        <w:spacing w:before="156" w:after="156"/>
        <w:rPr>
          <w:rFonts w:hint="eastAsia" w:ascii="宋体" w:hAnsi="宋体"/>
          <w:sz w:val="28"/>
          <w:szCs w:val="28"/>
          <w:highlight w:val="none"/>
          <w:u w:val="single"/>
        </w:rPr>
      </w:pPr>
      <w:r>
        <w:rPr>
          <w:rFonts w:hint="eastAsia" w:ascii="宋体" w:hAnsi="宋体"/>
          <w:sz w:val="28"/>
          <w:szCs w:val="28"/>
          <w:highlight w:val="none"/>
          <w:u w:val="single"/>
        </w:rPr>
      </w:r>
      <w:r>
        <w:rPr>
          <w:rFonts w:hint="eastAsia" w:ascii="宋体" w:hAnsi="宋体"/>
          <w:sz w:val="28"/>
          <w:szCs w:val="28"/>
          <w:highlight w:val="none"/>
          <w:u w:val="single"/>
        </w:rPr>
      </w:r>
      <w:r/>
    </w:p>
    <w:p>
      <w:pPr>
        <w:ind w:firstLine="560"/>
        <w:spacing w:before="156" w:after="156"/>
        <w:rPr>
          <w:rFonts w:hint="eastAsia" w:ascii="宋体" w:hAnsi="宋体"/>
          <w:sz w:val="28"/>
          <w:szCs w:val="28"/>
          <w:highlight w:val="none"/>
          <w:u w:val="single"/>
        </w:rPr>
      </w:pPr>
      <w:r>
        <w:rPr>
          <w:rFonts w:hint="eastAsia" w:ascii="宋体" w:hAnsi="宋体"/>
          <w:sz w:val="28"/>
          <w:szCs w:val="28"/>
        </w:rPr>
        <w:t xml:space="preserve">招   标   人（盖章）：</w:t>
      </w:r>
      <w:r>
        <w:rPr>
          <w:rFonts w:hint="eastAsia" w:ascii="宋体" w:hAnsi="宋体"/>
          <w:sz w:val="28"/>
          <w:szCs w:val="28"/>
          <w:u w:val="single"/>
        </w:rPr>
        <w:t xml:space="preserve">    靖江市人民医院               </w:t>
      </w:r>
      <w:r/>
    </w:p>
    <w:p>
      <w:pPr>
        <w:pStyle w:val="938"/>
      </w:pPr>
      <w:r/>
      <w:r/>
    </w:p>
    <w:p>
      <w:pPr>
        <w:ind w:firstLine="560"/>
        <w:spacing w:before="156" w:after="156"/>
        <w:rPr>
          <w:rFonts w:ascii="宋体" w:hAnsi="宋体"/>
          <w:sz w:val="28"/>
          <w:szCs w:val="28"/>
        </w:rPr>
      </w:pPr>
      <w:r/>
      <w:bookmarkStart w:id="0" w:name="_Toc2344"/>
      <w:r/>
      <w:r/>
    </w:p>
    <w:p>
      <w:pPr>
        <w:ind w:firstLine="560"/>
        <w:spacing w:before="156" w:after="156"/>
        <w:rPr>
          <w:rFonts w:ascii="宋体" w:hAnsi="宋体"/>
          <w:sz w:val="28"/>
          <w:szCs w:val="28"/>
        </w:rPr>
      </w:pPr>
      <w:r>
        <w:rPr>
          <w:rFonts w:ascii="宋体" w:hAnsi="宋体"/>
          <w:sz w:val="28"/>
          <w:szCs w:val="28"/>
        </w:rPr>
      </w:r>
      <w:r/>
    </w:p>
    <w:p>
      <w:pPr>
        <w:ind w:firstLine="560"/>
        <w:spacing w:before="156" w:after="156"/>
        <w:rPr>
          <w:rFonts w:ascii="宋体" w:hAnsi="宋体"/>
          <w:sz w:val="28"/>
          <w:szCs w:val="28"/>
        </w:rPr>
      </w:pPr>
      <w:r>
        <w:rPr>
          <w:rFonts w:hint="eastAsia" w:ascii="宋体" w:hAnsi="宋体"/>
          <w:sz w:val="28"/>
          <w:szCs w:val="28"/>
        </w:rPr>
        <w:t xml:space="preserve">采购代理机构（盖章）：</w:t>
      </w:r>
      <w:bookmarkEnd w:id="0"/>
      <w:r>
        <w:rPr>
          <w:rFonts w:hint="eastAsia" w:ascii="宋体" w:hAnsi="宋体"/>
          <w:sz w:val="28"/>
          <w:szCs w:val="28"/>
          <w:u w:val="single"/>
        </w:rPr>
        <w:t xml:space="preserve"> </w:t>
      </w:r>
      <w:bookmarkStart w:id="1" w:name="OLE_LINK6"/>
      <w:r/>
      <w:bookmarkStart w:id="2" w:name="OLE_LINK7"/>
      <w:r>
        <w:rPr>
          <w:rFonts w:hint="eastAsia" w:ascii="宋体" w:hAnsi="宋体"/>
          <w:sz w:val="28"/>
          <w:szCs w:val="28"/>
          <w:u w:val="single"/>
        </w:rPr>
        <w:t xml:space="preserve">江苏智汇锡建工程项目管理有限公司</w:t>
      </w:r>
      <w:bookmarkEnd w:id="1"/>
      <w:r/>
      <w:bookmarkEnd w:id="2"/>
      <w:r>
        <w:rPr>
          <w:rFonts w:hint="eastAsia" w:ascii="宋体" w:hAnsi="宋体"/>
          <w:sz w:val="28"/>
          <w:szCs w:val="28"/>
          <w:u w:val="single"/>
        </w:rPr>
        <w:t xml:space="preserve">  </w:t>
      </w:r>
      <w:r>
        <w:rPr>
          <w:rFonts w:hint="eastAsia" w:ascii="宋体" w:hAnsi="宋体"/>
          <w:sz w:val="28"/>
          <w:szCs w:val="28"/>
        </w:rPr>
        <w:t xml:space="preserve"> </w:t>
      </w:r>
      <w:r/>
    </w:p>
    <w:p>
      <w:pPr>
        <w:pStyle w:val="953"/>
        <w:jc w:val="center"/>
        <w:tabs>
          <w:tab w:val="right" w:pos="9094" w:leader="dot"/>
        </w:tabs>
        <w:rPr>
          <w:rFonts w:ascii="宋体" w:hAnsi="宋体"/>
          <w:b/>
          <w:sz w:val="32"/>
          <w:szCs w:val="32"/>
        </w:rPr>
      </w:pPr>
      <w:r>
        <w:rPr>
          <w:rFonts w:hint="eastAsia" w:ascii="宋体" w:hAnsi="宋体"/>
          <w:b/>
          <w:sz w:val="32"/>
          <w:szCs w:val="32"/>
        </w:rPr>
        <w:t xml:space="preserve"> </w:t>
      </w:r>
      <w:bookmarkStart w:id="3" w:name="_Toc21097"/>
      <w:r/>
      <w:r/>
    </w:p>
    <w:p>
      <w:pPr>
        <w:pStyle w:val="953"/>
        <w:jc w:val="center"/>
        <w:tabs>
          <w:tab w:val="right" w:pos="9094" w:leader="dot"/>
        </w:tabs>
        <w:rPr>
          <w:rFonts w:ascii="宋体" w:hAnsi="宋体"/>
          <w:sz w:val="32"/>
          <w:szCs w:val="32"/>
        </w:rPr>
      </w:pPr>
      <w:r>
        <w:rPr>
          <w:rFonts w:hint="eastAsia" w:ascii="宋体" w:hAnsi="宋体"/>
          <w:sz w:val="32"/>
          <w:szCs w:val="32"/>
        </w:rPr>
        <w:t xml:space="preserve">20</w:t>
      </w:r>
      <w:bookmarkStart w:id="4" w:name="_Toc6218"/>
      <w:r/>
      <w:bookmarkStart w:id="5" w:name="_Toc7487"/>
      <w:r/>
      <w:bookmarkStart w:id="6" w:name="_Toc23445"/>
      <w:r>
        <w:rPr>
          <w:rFonts w:hint="eastAsia" w:ascii="宋体" w:hAnsi="宋体"/>
          <w:sz w:val="32"/>
          <w:szCs w:val="32"/>
        </w:rPr>
        <w:t xml:space="preserve">26年06月</w:t>
      </w:r>
      <w:bookmarkEnd w:id="3"/>
      <w:r/>
      <w:bookmarkEnd w:id="4"/>
      <w:r/>
      <w:bookmarkEnd w:id="5"/>
      <w:r/>
      <w:bookmarkEnd w:id="6"/>
      <w:r/>
      <w:r/>
    </w:p>
    <w:p>
      <w:r/>
      <w:r/>
    </w:p>
    <w:p>
      <w:r/>
      <w:r/>
    </w:p>
    <w:p>
      <w:r/>
      <w:r/>
    </w:p>
    <w:p>
      <w:pPr>
        <w:pStyle w:val="953"/>
        <w:jc w:val="center"/>
        <w:tabs>
          <w:tab w:val="right" w:pos="9094" w:leader="dot"/>
        </w:tabs>
        <w:rPr>
          <w:b/>
          <w:bCs/>
          <w:sz w:val="36"/>
          <w:szCs w:val="36"/>
        </w:rPr>
      </w:pPr>
      <w:r>
        <w:rPr>
          <w:rFonts w:hint="eastAsia"/>
          <w:b/>
          <w:bCs/>
          <w:sz w:val="36"/>
          <w:szCs w:val="36"/>
        </w:rPr>
        <w:t xml:space="preserve">目    录</w:t>
      </w:r>
      <w:r/>
    </w:p>
    <w:p>
      <w:pPr>
        <w:pStyle w:val="953"/>
        <w:spacing w:line="480" w:lineRule="auto"/>
        <w:tabs>
          <w:tab w:val="right" w:pos="9094" w:leader="dot"/>
        </w:tabs>
        <w:rPr>
          <w:sz w:val="36"/>
          <w:szCs w:val="36"/>
        </w:rPr>
      </w:pPr>
      <w:r>
        <w:rPr>
          <w:sz w:val="36"/>
          <w:szCs w:val="36"/>
        </w:rPr>
      </w:r>
      <w:r/>
    </w:p>
    <w:p>
      <w:pPr>
        <w:pStyle w:val="953"/>
        <w:ind w:left="420"/>
        <w:spacing w:before="240" w:line="360" w:lineRule="auto"/>
        <w:tabs>
          <w:tab w:val="right" w:pos="8296" w:leader="dot"/>
        </w:tabs>
        <w:rPr>
          <w:rFonts w:ascii="华文中宋" w:hAnsi="华文中宋" w:eastAsia="华文中宋" w:cs="华文中宋"/>
          <w:sz w:val="24"/>
        </w:rPr>
      </w:pPr>
      <w:r>
        <w:rPr>
          <w:rFonts w:hint="eastAsia" w:ascii="华文中宋" w:hAnsi="华文中宋" w:eastAsia="华文中宋" w:cs="华文中宋"/>
          <w:b/>
          <w:bCs/>
          <w:sz w:val="24"/>
        </w:rPr>
        <w:fldChar w:fldCharType="begin"/>
      </w:r>
      <w:r>
        <w:rPr>
          <w:rFonts w:hint="eastAsia" w:ascii="华文中宋" w:hAnsi="华文中宋" w:eastAsia="华文中宋" w:cs="华文中宋"/>
          <w:b/>
          <w:bCs/>
          <w:sz w:val="24"/>
        </w:rPr>
        <w:instrText xml:space="preserve"> TOC \o "1-1" \h \z \u </w:instrText>
      </w:r>
      <w:r>
        <w:rPr>
          <w:rFonts w:hint="eastAsia" w:ascii="华文中宋" w:hAnsi="华文中宋" w:eastAsia="华文中宋" w:cs="华文中宋"/>
          <w:b/>
          <w:bCs/>
          <w:sz w:val="24"/>
        </w:rPr>
        <w:fldChar w:fldCharType="separate"/>
      </w:r>
      <w:r>
        <w:fldChar w:fldCharType="begin"/>
      </w:r>
      <w:r>
        <w:instrText xml:space="preserve"> HYPERLINK \l "_Toc152268436" </w:instrText>
      </w:r>
      <w:r>
        <w:fldChar w:fldCharType="separate"/>
      </w:r>
      <w:r>
        <w:rPr>
          <w:rStyle w:val="970"/>
          <w:rFonts w:hint="eastAsia" w:ascii="华文中宋" w:hAnsi="华文中宋" w:eastAsia="华文中宋" w:cs="华文中宋"/>
          <w:color w:val="auto"/>
          <w:sz w:val="24"/>
        </w:rPr>
        <w:t xml:space="preserve">供应商CA数字证书和电子签章办理特别提醒</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_Toc152268436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3</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"_Toc152268437" </w:instrText>
      </w:r>
      <w:r>
        <w:fldChar w:fldCharType="separate"/>
      </w:r>
      <w:r>
        <w:rPr>
          <w:rStyle w:val="970"/>
          <w:rFonts w:hint="eastAsia" w:ascii="华文中宋" w:hAnsi="华文中宋" w:eastAsia="华文中宋" w:cs="华文中宋"/>
          <w:color w:val="auto"/>
          <w:sz w:val="24"/>
        </w:rPr>
        <w:t xml:space="preserve">关于政府采购线上合同信用融资功能告知提醒</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_Toc152268437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4</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"_Toc152268438" </w:instrText>
      </w:r>
      <w:r>
        <w:fldChar w:fldCharType="separate"/>
      </w:r>
      <w:r>
        <w:rPr>
          <w:rStyle w:val="970"/>
          <w:rFonts w:hint="eastAsia" w:ascii="华文中宋" w:hAnsi="华文中宋" w:eastAsia="华文中宋" w:cs="华文中宋"/>
          <w:color w:val="auto"/>
          <w:sz w:val="24"/>
        </w:rPr>
        <w:t xml:space="preserve">第一章  招标公告</w:t>
      </w:r>
      <w:bookmarkStart w:id="143" w:name="_GoBack"/>
      <w:r/>
      <w:bookmarkEnd w:id="143"/>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_Toc152268438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6</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"_Toc152268439" </w:instrText>
      </w:r>
      <w:r>
        <w:fldChar w:fldCharType="separate"/>
      </w:r>
      <w:r>
        <w:rPr>
          <w:rStyle w:val="970"/>
          <w:rFonts w:hint="eastAsia" w:ascii="华文中宋" w:hAnsi="华文中宋" w:eastAsia="华文中宋" w:cs="华文中宋"/>
          <w:color w:val="auto"/>
          <w:sz w:val="24"/>
        </w:rPr>
        <w:t xml:space="preserve">第二章 投标人须知</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_Toc152268439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9</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"_Toc152268440" </w:instrText>
      </w:r>
      <w:r>
        <w:fldChar w:fldCharType="separate"/>
      </w:r>
      <w:r>
        <w:rPr>
          <w:rStyle w:val="970"/>
          <w:rFonts w:hint="eastAsia" w:ascii="华文中宋" w:hAnsi="华文中宋" w:eastAsia="华文中宋" w:cs="华文中宋"/>
          <w:color w:val="auto"/>
          <w:sz w:val="24"/>
        </w:rPr>
        <w:t xml:space="preserve">第三章 资格审查办法</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_Toc152268440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22</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"_Toc152268441" </w:instrText>
      </w:r>
      <w:r>
        <w:fldChar w:fldCharType="separate"/>
      </w:r>
      <w:r>
        <w:rPr>
          <w:rStyle w:val="970"/>
          <w:rFonts w:hint="eastAsia" w:ascii="华文中宋" w:hAnsi="华文中宋" w:eastAsia="华文中宋" w:cs="华文中宋"/>
          <w:color w:val="auto"/>
          <w:sz w:val="24"/>
        </w:rPr>
        <w:t xml:space="preserve">第四章 评标办法</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_Toc152268441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24</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"_Toc152268442" </w:instrText>
      </w:r>
      <w:r>
        <w:fldChar w:fldCharType="separate"/>
      </w:r>
      <w:r>
        <w:rPr>
          <w:rStyle w:val="970"/>
          <w:rFonts w:hint="eastAsia" w:ascii="华文中宋" w:hAnsi="华文中宋" w:eastAsia="华文中宋" w:cs="华文中宋"/>
          <w:color w:val="auto"/>
          <w:sz w:val="24"/>
        </w:rPr>
        <w:t xml:space="preserve">第五章 合同格式及条款</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_Toc152268442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31</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"_Toc152268447" </w:instrText>
      </w:r>
      <w:r>
        <w:fldChar w:fldCharType="separate"/>
      </w:r>
      <w:r>
        <w:rPr>
          <w:rStyle w:val="970"/>
          <w:rFonts w:hint="eastAsia" w:ascii="华文中宋" w:hAnsi="华文中宋" w:eastAsia="华文中宋" w:cs="华文中宋"/>
          <w:color w:val="auto"/>
          <w:sz w:val="24"/>
        </w:rPr>
        <w:t xml:space="preserve">第六章 项目采购需求</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_Toc152268447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39</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left="420"/>
        <w:spacing w:before="240" w:line="360" w:lineRule="auto"/>
        <w:tabs>
          <w:tab w:val="right" w:pos="8296" w:leader="dot"/>
        </w:tabs>
        <w:rPr>
          <w:rFonts w:ascii="华文中宋" w:hAnsi="华文中宋" w:eastAsia="华文中宋" w:cs="华文中宋"/>
          <w:sz w:val="24"/>
        </w:rPr>
      </w:pPr>
      <w:r>
        <w:fldChar w:fldCharType="begin"/>
      </w:r>
      <w:r>
        <w:instrText xml:space="preserve"> HYPERLINK \l "_Toc152268448" </w:instrText>
      </w:r>
      <w:r>
        <w:fldChar w:fldCharType="separate"/>
      </w:r>
      <w:r>
        <w:rPr>
          <w:rStyle w:val="970"/>
          <w:rFonts w:hint="eastAsia" w:ascii="华文中宋" w:hAnsi="华文中宋" w:eastAsia="华文中宋" w:cs="华文中宋"/>
          <w:color w:val="auto"/>
          <w:sz w:val="24"/>
        </w:rPr>
        <w:t xml:space="preserve">第七章 电子投标文件格式</w:t>
      </w:r>
      <w:r>
        <w:rPr>
          <w:rFonts w:hint="eastAsia" w:ascii="华文中宋" w:hAnsi="华文中宋" w:eastAsia="华文中宋" w:cs="华文中宋"/>
          <w:sz w:val="24"/>
        </w:rPr>
        <w:tab/>
      </w:r>
      <w:r>
        <w:rPr>
          <w:rFonts w:hint="eastAsia" w:ascii="华文中宋" w:hAnsi="华文中宋" w:eastAsia="华文中宋" w:cs="华文中宋"/>
          <w:sz w:val="24"/>
        </w:rPr>
        <w:fldChar w:fldCharType="begin"/>
      </w:r>
      <w:r>
        <w:rPr>
          <w:rFonts w:hint="eastAsia" w:ascii="华文中宋" w:hAnsi="华文中宋" w:eastAsia="华文中宋" w:cs="华文中宋"/>
          <w:sz w:val="24"/>
        </w:rPr>
        <w:instrText xml:space="preserve"> PAGEREF _Toc152268448 \h </w:instrText>
      </w:r>
      <w:r>
        <w:rPr>
          <w:rFonts w:hint="eastAsia" w:ascii="华文中宋" w:hAnsi="华文中宋" w:eastAsia="华文中宋" w:cs="华文中宋"/>
          <w:sz w:val="24"/>
        </w:rPr>
        <w:fldChar w:fldCharType="separate"/>
      </w:r>
      <w:r>
        <w:rPr>
          <w:rFonts w:hint="eastAsia" w:ascii="华文中宋" w:hAnsi="华文中宋" w:eastAsia="华文中宋" w:cs="华文中宋"/>
          <w:sz w:val="24"/>
        </w:rPr>
        <w:t xml:space="preserve">48</w:t>
      </w:r>
      <w:r>
        <w:rPr>
          <w:rFonts w:hint="eastAsia" w:ascii="华文中宋" w:hAnsi="华文中宋" w:eastAsia="华文中宋" w:cs="华文中宋"/>
          <w:sz w:val="24"/>
        </w:rPr>
        <w:fldChar w:fldCharType="end"/>
      </w:r>
      <w:r>
        <w:rPr>
          <w:rFonts w:hint="eastAsia" w:ascii="华文中宋" w:hAnsi="华文中宋" w:eastAsia="华文中宋" w:cs="华文中宋"/>
          <w:sz w:val="24"/>
        </w:rPr>
        <w:fldChar w:fldCharType="end"/>
      </w:r>
      <w:r/>
    </w:p>
    <w:p>
      <w:pPr>
        <w:pStyle w:val="953"/>
        <w:ind w:right="420" w:firstLine="720"/>
        <w:spacing w:line="360" w:lineRule="auto"/>
        <w:tabs>
          <w:tab w:val="right" w:pos="9151" w:leader="dot"/>
        </w:tabs>
        <w:rPr>
          <w:rFonts w:ascii="华文中宋" w:hAnsi="华文中宋" w:eastAsia="华文中宋" w:cs="华文中宋"/>
          <w:sz w:val="28"/>
          <w:szCs w:val="28"/>
        </w:rPr>
      </w:pPr>
      <w:r>
        <w:rPr>
          <w:rFonts w:hint="eastAsia" w:ascii="华文中宋" w:hAnsi="华文中宋" w:eastAsia="华文中宋" w:cs="华文中宋"/>
          <w:bCs/>
          <w:sz w:val="24"/>
        </w:rPr>
        <w:fldChar w:fldCharType="end"/>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24"/>
        <w:jc w:val="center"/>
        <w:spacing w:before="0" w:after="0" w:line="240" w:lineRule="auto"/>
        <w:rPr>
          <w:rFonts w:ascii="微软雅黑" w:hAnsi="微软雅黑" w:eastAsia="微软雅黑" w:cs="微软雅黑"/>
          <w:b w:val="0"/>
          <w:bCs w:val="0"/>
          <w:sz w:val="32"/>
          <w:szCs w:val="36"/>
        </w:rPr>
      </w:pPr>
      <w:r/>
      <w:bookmarkStart w:id="7" w:name="_Toc152268436"/>
      <w:r/>
      <w:bookmarkStart w:id="8" w:name="_Toc150280159"/>
      <w:r>
        <w:rPr>
          <w:rFonts w:hint="eastAsia" w:ascii="微软雅黑" w:hAnsi="微软雅黑" w:eastAsia="微软雅黑" w:cs="微软雅黑"/>
          <w:b w:val="0"/>
          <w:bCs w:val="0"/>
          <w:sz w:val="32"/>
          <w:szCs w:val="36"/>
        </w:rPr>
        <w:t xml:space="preserve">供应商CA数字证书和电子签章办理特别提醒</w:t>
      </w:r>
      <w:bookmarkEnd w:id="7"/>
      <w:r/>
      <w:bookmarkEnd w:id="8"/>
      <w:r/>
      <w:r/>
    </w:p>
    <w:p>
      <w:pPr>
        <w:ind w:firstLine="470"/>
        <w:spacing w:line="520" w:lineRule="exact"/>
        <w:rPr>
          <w:rFonts w:ascii="宋体" w:hAnsi="宋体" w:cs="宋体"/>
          <w:sz w:val="24"/>
          <w:szCs w:val="24"/>
        </w:rPr>
      </w:pPr>
      <w:r>
        <w:rPr>
          <w:rFonts w:hint="eastAsia" w:ascii="宋体" w:hAnsi="宋体" w:cs="宋体"/>
          <w:sz w:val="24"/>
          <w:szCs w:val="24"/>
        </w:rPr>
        <w:t xml:space="preserve">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CA数字证书”的获取与更换:</w:t>
      </w:r>
      <w:r/>
    </w:p>
    <w:p>
      <w:pPr>
        <w:ind w:firstLine="480"/>
        <w:spacing w:line="520" w:lineRule="exact"/>
        <w:rPr>
          <w:rFonts w:ascii="宋体" w:hAnsi="宋体" w:cs="宋体"/>
          <w:sz w:val="24"/>
          <w:szCs w:val="24"/>
        </w:rPr>
      </w:pPr>
      <w:r>
        <w:rPr>
          <w:rFonts w:hint="eastAsia" w:ascii="宋体" w:hAnsi="宋体" w:cs="宋体"/>
          <w:sz w:val="24"/>
          <w:szCs w:val="24"/>
        </w:rPr>
        <w:t xml:space="preserve">1.供应商需办理“CA数字证书”，“苏采云”系统仅支持江苏省电子政务证书认证中心CA(由江苏意源科技有限公司提供服务)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520" w:lineRule="exact"/>
        <w:rPr>
          <w:rFonts w:ascii="宋体" w:hAnsi="宋体" w:cs="宋体"/>
          <w:sz w:val="24"/>
          <w:szCs w:val="24"/>
        </w:rPr>
      </w:pPr>
      <w:r>
        <w:rPr>
          <w:rFonts w:hint="eastAsia" w:ascii="宋体" w:hAnsi="宋体" w:cs="宋体"/>
          <w:sz w:val="24"/>
          <w:szCs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520" w:lineRule="exact"/>
        <w:rPr>
          <w:rFonts w:ascii="宋体" w:hAnsi="宋体" w:cs="宋体"/>
          <w:sz w:val="24"/>
          <w:szCs w:val="24"/>
        </w:rPr>
      </w:pPr>
      <w:r>
        <w:rPr>
          <w:rFonts w:hint="eastAsia" w:ascii="宋体" w:hAnsi="宋体" w:cs="宋体"/>
          <w:sz w:val="24"/>
          <w:szCs w:val="24"/>
        </w:rPr>
        <w:t xml:space="preserve">3. “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520" w:lineRule="exact"/>
        <w:rPr>
          <w:rStyle w:val="970"/>
          <w:rFonts w:ascii="宋体" w:hAnsi="宋体" w:cs="宋体"/>
          <w:color w:val="auto"/>
          <w:sz w:val="24"/>
          <w:szCs w:val="24"/>
        </w:rPr>
      </w:pPr>
      <w:r>
        <w:rPr>
          <w:rFonts w:hint="eastAsia" w:ascii="宋体" w:hAnsi="宋体" w:cs="宋体"/>
          <w:sz w:val="24"/>
          <w:szCs w:val="24"/>
        </w:rPr>
        <w:t xml:space="preserve">4. “CA数字证书”的办理、注册、安装、解绑，详见供应商操作指南，具体网址：“江苏政府采购网”-“办事指南”-“资料下载”-“江苏省政府采购管理交易系统（苏采云）供应商操作指南”。</w:t>
      </w:r>
      <w:r/>
    </w:p>
    <w:p>
      <w:pPr>
        <w:rPr>
          <w:sz w:val="36"/>
          <w:szCs w:val="36"/>
        </w:rPr>
      </w:pPr>
      <w:r>
        <w:rPr>
          <w:rFonts w:hint="eastAsia" w:ascii="微软雅黑" w:hAnsi="微软雅黑" w:eastAsia="微软雅黑" w:cs="微软雅黑"/>
          <w:b/>
          <w:bCs/>
          <w:sz w:val="24"/>
        </w:rPr>
        <w:t xml:space="preserve">如潜在供应商未按上述要求操作，将自行承担所产生的风险。</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24"/>
        <w:jc w:val="center"/>
        <w:spacing w:before="0" w:after="0" w:line="360" w:lineRule="auto"/>
        <w:rPr>
          <w:rFonts w:ascii="黑体" w:hAnsi="黑体" w:eastAsia="黑体"/>
          <w:bCs w:val="0"/>
          <w:sz w:val="28"/>
          <w:szCs w:val="28"/>
        </w:rPr>
      </w:pPr>
      <w:r/>
      <w:bookmarkStart w:id="9" w:name="_Toc152268437"/>
      <w:r>
        <w:rPr>
          <w:rFonts w:ascii="微软雅黑" w:hAnsi="微软雅黑" w:eastAsia="微软雅黑" w:cs="微软雅黑"/>
          <w:b w:val="0"/>
          <w:bCs w:val="0"/>
          <w:sz w:val="32"/>
          <w:szCs w:val="36"/>
        </w:rPr>
        <w:t xml:space="preserve">关于政府采购线上合同信用融资功能告知提醒</w:t>
      </w:r>
      <w:bookmarkEnd w:id="9"/>
      <w:r/>
      <w:r/>
    </w:p>
    <w:p>
      <w:pPr>
        <w:pStyle w:val="935"/>
        <w:ind w:firstLine="0"/>
        <w:spacing w:line="360" w:lineRule="auto"/>
        <w:rPr>
          <w:rFonts w:ascii="华文中宋" w:hAnsi="华文中宋" w:eastAsia="华文中宋"/>
          <w:sz w:val="24"/>
          <w:szCs w:val="28"/>
        </w:rPr>
      </w:pPr>
      <w:r>
        <w:rPr>
          <w:rFonts w:ascii="华文中宋" w:hAnsi="华文中宋" w:eastAsia="华文中宋"/>
          <w:sz w:val="24"/>
          <w:szCs w:val="28"/>
        </w:rPr>
        <w:t xml:space="preserve">各政府采购供应商：</w:t>
      </w:r>
      <w:r/>
    </w:p>
    <w:p>
      <w:pPr>
        <w:pStyle w:val="935"/>
        <w:ind w:firstLine="480"/>
        <w:spacing w:line="360" w:lineRule="auto"/>
        <w:rPr>
          <w:rFonts w:ascii="华文中宋" w:hAnsi="华文中宋" w:eastAsia="华文中宋"/>
          <w:sz w:val="24"/>
          <w:szCs w:val="28"/>
        </w:rPr>
      </w:pPr>
      <w:r>
        <w:rPr>
          <w:rFonts w:ascii="华文中宋" w:hAnsi="华文中宋" w:eastAsia="华文中宋"/>
          <w:sz w:val="24"/>
          <w:szCs w:val="28"/>
        </w:rPr>
        <w:t xml:space="preserve">今年我市已正式启用“苏采云”系统，目前已全面开通政府采购线上合同信用融资（以下简称“政采贷”）功能。成交供应商可凭政府采购合同在中征平台发起贷款申请贷款。</w:t>
      </w:r>
      <w:r/>
    </w:p>
    <w:p>
      <w:pPr>
        <w:pStyle w:val="935"/>
        <w:ind w:firstLine="480"/>
        <w:spacing w:line="360" w:lineRule="auto"/>
        <w:rPr>
          <w:rFonts w:ascii="华文中宋" w:hAnsi="华文中宋" w:eastAsia="华文中宋"/>
          <w:sz w:val="24"/>
          <w:szCs w:val="28"/>
        </w:rPr>
      </w:pPr>
      <w:r>
        <w:rPr>
          <w:rFonts w:ascii="华文中宋" w:hAnsi="华文中宋" w:eastAsia="华文中宋"/>
          <w:sz w:val="24"/>
          <w:szCs w:val="28"/>
        </w:rPr>
        <w:t xml:space="preserve">“政采贷”业务流程</w:t>
      </w:r>
      <w:r/>
    </w:p>
    <w:p>
      <w:pPr>
        <w:pStyle w:val="935"/>
        <w:ind w:firstLine="560"/>
        <w:jc w:val="center"/>
        <w:spacing w:line="360" w:lineRule="auto"/>
        <w:rPr>
          <w:rFonts w:eastAsia="仿宋"/>
          <w:sz w:val="28"/>
          <w:szCs w:val="28"/>
        </w:rPr>
      </w:pPr>
      <w:r>
        <w:rPr>
          <w:rFonts w:eastAsia="仿宋"/>
          <w:sz w:val="28"/>
          <w:szCs w:val="28"/>
        </w:rPr>
        <mc:AlternateContent>
          <mc:Choice Requires="wpg">
            <w:drawing>
              <wp:inline xmlns:wp="http://schemas.openxmlformats.org/drawingml/2006/wordprocessingDrawing" distT="0" distB="0" distL="0" distR="0">
                <wp:extent cx="4576445" cy="17449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4576534" cy="1745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3pt;height:137.4pt;mso-wrap-distance-left:0.0pt;mso-wrap-distance-top:0.0pt;mso-wrap-distance-right:0.0pt;mso-wrap-distance-bottom:0.0pt;" stroked="f">
                <v:path textboxrect="0,0,0,0"/>
                <v:imagedata r:id="rId11" o:title=""/>
              </v:shape>
            </w:pict>
          </mc:Fallback>
        </mc:AlternateConten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常见问题</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Q1：哪些企业能申请“政采贷”？</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答：江苏省内采用国库集中支付的政府采购项目的中标供应商，可凭政府采购合同申请"政采贷"。</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Q2：供应商在哪里申请“政采贷”？</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答：中标供应商在“中征应收账款融资服务平台”（简称“中征平台”）上向意向银行发起融资申请</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Q3：中标供应商要注意什么？</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答：中标供应商要加强和采购单位的沟通协调，尽早确定融资需求。需要“政采贷”融资的，政府采购合同付款账号应当空置。</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Q4：采购单位要做什么？</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Q5：“政采贷”融资失败怎么办？</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政采贷：</w:t>
      </w:r>
      <w:r>
        <w:fldChar w:fldCharType="begin"/>
      </w:r>
      <w:r>
        <w:instrText xml:space="preserve"> HYPERLINK "http://www.ccgp-jiangsu.gov.cn/jiangsu/paying.html" </w:instrText>
      </w:r>
      <w:r>
        <w:fldChar w:fldCharType="separate"/>
      </w:r>
      <w:r>
        <w:rPr>
          <w:rFonts w:ascii="华文中宋" w:hAnsi="华文中宋" w:eastAsia="华文中宋"/>
          <w:sz w:val="24"/>
        </w:rPr>
        <w:t xml:space="preserve">http://www.ccgp-jiangsu.gov.cn/jiangsu/paying.html</w:t>
      </w:r>
      <w:r>
        <w:rPr>
          <w:rFonts w:ascii="华文中宋" w:hAnsi="华文中宋" w:eastAsia="华文中宋"/>
          <w:sz w:val="24"/>
        </w:rPr>
        <w:fldChar w:fldCharType="end"/>
      </w:r>
      <w:r/>
    </w:p>
    <w:p>
      <w:pPr>
        <w:pStyle w:val="935"/>
        <w:ind w:firstLine="480"/>
        <w:spacing w:line="360" w:lineRule="auto"/>
        <w:rPr>
          <w:rFonts w:ascii="华文中宋" w:hAnsi="华文中宋" w:eastAsia="华文中宋"/>
          <w:sz w:val="24"/>
        </w:rPr>
      </w:pPr>
      <w:r>
        <w:rPr>
          <w:rFonts w:ascii="华文中宋" w:hAnsi="华文中宋" w:eastAsia="华文中宋"/>
          <w:sz w:val="24"/>
        </w:rPr>
        <w:t xml:space="preserve">中征平台：</w:t>
      </w:r>
      <w:r>
        <w:fldChar w:fldCharType="begin"/>
      </w:r>
      <w:r>
        <w:instrText xml:space="preserve"> HYPERLINK "https://www.crcrfsp.com/" </w:instrText>
      </w:r>
      <w:r>
        <w:fldChar w:fldCharType="separate"/>
      </w:r>
      <w:r>
        <w:rPr>
          <w:rFonts w:ascii="华文中宋" w:hAnsi="华文中宋" w:eastAsia="华文中宋"/>
          <w:sz w:val="24"/>
        </w:rPr>
        <w:t xml:space="preserve">https://www.crcrfsp.com/</w:t>
      </w:r>
      <w:r>
        <w:rPr>
          <w:rFonts w:ascii="华文中宋" w:hAnsi="华文中宋" w:eastAsia="华文中宋"/>
          <w:sz w:val="24"/>
        </w:rPr>
        <w:fldChar w:fldCharType="end"/>
      </w:r>
      <w:r/>
    </w:p>
    <w:p>
      <w:pPr>
        <w:pStyle w:val="935"/>
        <w:ind w:firstLine="480"/>
        <w:spacing w:line="360" w:lineRule="auto"/>
        <w:rPr>
          <w:rFonts w:ascii="华文中宋" w:hAnsi="华文中宋" w:eastAsia="华文中宋"/>
          <w:b/>
          <w:bCs/>
          <w:sz w:val="24"/>
        </w:rPr>
      </w:pPr>
      <w:r>
        <w:rPr>
          <w:rFonts w:ascii="华文中宋" w:hAnsi="华文中宋" w:eastAsia="华文中宋"/>
          <w:sz w:val="24"/>
        </w:rPr>
        <w:t xml:space="preserve">联系电话：0523-84821917</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4"/>
        </w:rPr>
      </w:r>
      <w:r/>
    </w:p>
    <w:p>
      <w:pPr>
        <w:rPr>
          <w:sz w:val="24"/>
          <w:szCs w:val="24"/>
        </w:rPr>
      </w:pPr>
      <w:r>
        <w:rPr>
          <w:sz w:val="24"/>
          <w:szCs w:val="24"/>
        </w:rPr>
      </w:r>
      <w:r/>
    </w:p>
    <w:p>
      <w:pPr>
        <w:pStyle w:val="924"/>
        <w:jc w:val="center"/>
        <w:spacing w:before="0" w:after="0" w:line="240" w:lineRule="auto"/>
        <w:rPr>
          <w:sz w:val="36"/>
          <w:szCs w:val="36"/>
        </w:rPr>
      </w:pPr>
      <w:r/>
      <w:bookmarkStart w:id="10" w:name="_Toc152268438"/>
      <w:r/>
      <w:bookmarkStart w:id="11" w:name="_Toc4915"/>
      <w:r>
        <w:rPr>
          <w:rFonts w:hint="eastAsia" w:ascii="微软雅黑" w:hAnsi="微软雅黑" w:eastAsia="微软雅黑" w:cs="微软雅黑"/>
          <w:b w:val="0"/>
          <w:bCs w:val="0"/>
          <w:sz w:val="36"/>
          <w:szCs w:val="36"/>
        </w:rPr>
        <w:t xml:space="preserve">第一章  招标公告</w:t>
      </w:r>
      <w:bookmarkEnd w:id="10"/>
      <w:r/>
      <w:bookmarkEnd w:id="11"/>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6"/>
      </w:tblGrid>
      <w:tr>
        <w:trPr>
          <w:jc w:val="center"/>
          <w:trHeight w:val="1500"/>
        </w:trPr>
        <w:tc>
          <w:tcPr>
            <w:tcW w:w="9040" w:type="dxa"/>
            <w:vAlign w:val="center"/>
            <w:textDirection w:val="lrTb"/>
            <w:noWrap w:val="false"/>
          </w:tcPr>
          <w:p>
            <w:pPr>
              <w:ind w:firstLine="442"/>
              <w:spacing w:line="360" w:lineRule="auto"/>
            </w:pPr>
            <w:r>
              <w:rPr>
                <w:rFonts w:hint="eastAsia"/>
                <w:sz w:val="24"/>
                <w:szCs w:val="28"/>
                <w:lang w:eastAsia="zh-CN"/>
              </w:rPr>
              <w:t xml:space="preserve">靖江市人民医院检验病理外送服务</w:t>
            </w:r>
            <w:r>
              <w:rPr>
                <w:sz w:val="24"/>
                <w:szCs w:val="28"/>
              </w:rPr>
              <w:t xml:space="preserve"> </w:t>
            </w:r>
            <w:r>
              <w:rPr>
                <w:rFonts w:hint="eastAsia"/>
                <w:sz w:val="24"/>
                <w:szCs w:val="28"/>
                <w:lang w:eastAsia="zh-CN"/>
              </w:rPr>
              <w:t xml:space="preserve">JSZC-321282-JSZH-G2026-0047</w:t>
            </w:r>
            <w:r>
              <w:rPr>
                <w:rFonts w:hint="eastAsia"/>
                <w:sz w:val="24"/>
                <w:szCs w:val="28"/>
              </w:rPr>
              <w:t xml:space="preserve"> </w:t>
            </w:r>
            <w:r>
              <w:rPr>
                <w:sz w:val="24"/>
                <w:szCs w:val="28"/>
              </w:rPr>
              <w:t xml:space="preserve">招标项目的潜在投标人应在“苏采云”系统（http://jszfcg.jsczt.cn） 获取招标文件，并于2026-0</w:t>
            </w:r>
            <w:r>
              <w:rPr>
                <w:rFonts w:hint="eastAsia"/>
                <w:sz w:val="24"/>
                <w:szCs w:val="28"/>
              </w:rPr>
              <w:t xml:space="preserve">7</w:t>
            </w:r>
            <w:r>
              <w:rPr>
                <w:sz w:val="24"/>
                <w:szCs w:val="28"/>
              </w:rPr>
              <w:t xml:space="preserve">-</w:t>
            </w:r>
            <w:r>
              <w:rPr>
                <w:rFonts w:hint="eastAsia"/>
                <w:sz w:val="24"/>
                <w:szCs w:val="28"/>
                <w:lang w:val="en-US" w:eastAsia="zh-CN"/>
              </w:rPr>
              <w:t xml:space="preserve">16</w:t>
            </w:r>
            <w:r>
              <w:rPr>
                <w:sz w:val="24"/>
                <w:szCs w:val="28"/>
              </w:rPr>
              <w:t xml:space="preserve"> </w:t>
            </w:r>
            <w:r>
              <w:rPr>
                <w:rFonts w:hint="eastAsia"/>
                <w:sz w:val="24"/>
                <w:szCs w:val="28"/>
              </w:rPr>
              <w:t xml:space="preserve"> </w:t>
            </w:r>
            <w:r>
              <w:rPr>
                <w:sz w:val="24"/>
                <w:szCs w:val="28"/>
              </w:rPr>
              <w:t xml:space="preserve">14:00 （北京时间）前递交投标文件</w:t>
            </w:r>
            <w:r>
              <w:rPr>
                <w:rFonts w:hint="eastAsia"/>
                <w:sz w:val="22"/>
              </w:rPr>
              <w:t xml:space="preserve">。</w:t>
            </w:r>
            <w:r/>
          </w:p>
        </w:tc>
      </w:tr>
    </w:tbl>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项目基本情况</w:t>
      </w:r>
      <w:r/>
    </w:p>
    <w:p>
      <w:pPr>
        <w:ind w:firstLine="440"/>
        <w:jc w:val="left"/>
        <w:spacing w:line="360" w:lineRule="auto"/>
        <w:widowControl/>
        <w:rPr>
          <w:rFonts w:ascii="宋体" w:cs="宋体"/>
          <w:sz w:val="24"/>
          <w:szCs w:val="24"/>
        </w:rPr>
      </w:pPr>
      <w:r>
        <w:rPr>
          <w:rFonts w:hint="eastAsia" w:ascii="宋体" w:cs="宋体"/>
          <w:sz w:val="24"/>
          <w:szCs w:val="24"/>
        </w:rPr>
        <w:t xml:space="preserve">项目名称：医院检验病理外送服务</w:t>
      </w:r>
      <w:r/>
    </w:p>
    <w:p>
      <w:pPr>
        <w:ind w:firstLine="440"/>
        <w:jc w:val="left"/>
        <w:spacing w:line="360" w:lineRule="auto"/>
        <w:widowControl/>
        <w:rPr>
          <w:rFonts w:hint="eastAsia" w:ascii="黑体" w:hAnsi="黑体" w:eastAsia="宋体" w:cs="黑体"/>
          <w:sz w:val="24"/>
          <w:szCs w:val="24"/>
          <w:lang w:eastAsia="zh-CN"/>
        </w:rPr>
      </w:pPr>
      <w:r>
        <w:rPr>
          <w:rFonts w:hint="eastAsia" w:ascii="宋体" w:cs="宋体"/>
          <w:sz w:val="24"/>
          <w:szCs w:val="24"/>
        </w:rPr>
        <w:t xml:space="preserve">项目编号：</w:t>
      </w:r>
      <w:r>
        <w:rPr>
          <w:rFonts w:hint="eastAsia" w:ascii="宋体" w:cs="宋体"/>
          <w:sz w:val="24"/>
          <w:szCs w:val="24"/>
          <w:lang w:eastAsia="zh-CN"/>
        </w:rPr>
        <w:t xml:space="preserve">JSZC-321282-JSZH-G2026-0047</w:t>
      </w:r>
      <w:r/>
    </w:p>
    <w:p>
      <w:pPr>
        <w:ind w:firstLine="440"/>
        <w:jc w:val="left"/>
        <w:spacing w:line="360" w:lineRule="auto"/>
        <w:widowControl/>
        <w:rPr>
          <w:rFonts w:ascii="宋体" w:cs="宋体"/>
          <w:sz w:val="24"/>
          <w:szCs w:val="24"/>
        </w:rPr>
      </w:pPr>
      <w:r>
        <w:rPr>
          <w:rFonts w:hint="eastAsia" w:ascii="宋体" w:cs="宋体"/>
          <w:sz w:val="24"/>
          <w:szCs w:val="24"/>
        </w:rPr>
        <w:t xml:space="preserve">采购方式：公开招标</w:t>
      </w:r>
      <w:r/>
    </w:p>
    <w:p>
      <w:pPr>
        <w:ind w:firstLine="440"/>
        <w:jc w:val="left"/>
        <w:spacing w:line="360" w:lineRule="auto"/>
        <w:widowControl/>
        <w:rPr>
          <w:rFonts w:ascii="宋体" w:cs="宋体"/>
          <w:sz w:val="24"/>
          <w:szCs w:val="24"/>
          <w:highlight w:val="yellow"/>
        </w:rPr>
      </w:pPr>
      <w:r>
        <w:rPr>
          <w:rFonts w:hint="eastAsia" w:ascii="宋体" w:cs="宋体"/>
          <w:sz w:val="24"/>
          <w:szCs w:val="24"/>
        </w:rPr>
        <w:t xml:space="preserve">预算金额：</w:t>
      </w:r>
      <w:r>
        <w:rPr>
          <w:rFonts w:hint="eastAsia" w:ascii="宋体" w:cs="宋体"/>
          <w:sz w:val="24"/>
          <w:szCs w:val="24"/>
          <w:highlight w:val="white"/>
        </w:rPr>
        <w:t xml:space="preserve">3</w:t>
      </w:r>
      <w:r>
        <w:rPr>
          <w:rFonts w:hint="eastAsia" w:ascii="宋体" w:cs="宋体"/>
          <w:sz w:val="24"/>
          <w:szCs w:val="24"/>
          <w:highlight w:val="white"/>
        </w:rPr>
        <w:t xml:space="preserve">00万元</w:t>
      </w:r>
      <w:r/>
    </w:p>
    <w:p>
      <w:pPr>
        <w:ind w:firstLine="440"/>
        <w:jc w:val="left"/>
        <w:spacing w:line="360" w:lineRule="auto"/>
        <w:widowControl/>
        <w:rPr>
          <w:rFonts w:ascii="宋体" w:cs="宋体"/>
          <w:sz w:val="24"/>
          <w:szCs w:val="24"/>
        </w:rPr>
      </w:pPr>
      <w:r>
        <w:rPr>
          <w:rFonts w:hint="eastAsia" w:ascii="宋体" w:cs="宋体"/>
          <w:sz w:val="24"/>
          <w:szCs w:val="24"/>
        </w:rPr>
        <w:t xml:space="preserve">最高投标限价：江苏省物价局、省卫生厅关于核定病理等部分医疗项目收费标准的通知》的收费标准×（1-55%）。</w:t>
      </w:r>
      <w:r/>
    </w:p>
    <w:p>
      <w:pPr>
        <w:ind w:firstLine="440"/>
        <w:jc w:val="left"/>
        <w:spacing w:line="360" w:lineRule="auto"/>
        <w:widowControl/>
        <w:rPr>
          <w:rFonts w:ascii="宋体" w:cs="宋体"/>
          <w:sz w:val="24"/>
          <w:szCs w:val="24"/>
        </w:rPr>
      </w:pPr>
      <w:r>
        <w:rPr>
          <w:rFonts w:hint="eastAsia" w:ascii="宋体" w:cs="宋体"/>
          <w:sz w:val="24"/>
          <w:szCs w:val="24"/>
        </w:rPr>
        <w:t xml:space="preserve">采购需求：标本接收、运输、检验检查、以无纸化方式将报告及时传递至医院的LIS和HIS等相关业务系统、售后、投诉和纠纷处理以及相关附加服务。</w:t>
      </w:r>
      <w:r/>
    </w:p>
    <w:p>
      <w:pPr>
        <w:ind w:firstLine="440"/>
        <w:jc w:val="left"/>
        <w:spacing w:line="360" w:lineRule="auto"/>
        <w:widowControl/>
        <w:rPr>
          <w:rFonts w:ascii="宋体" w:cs="宋体"/>
          <w:sz w:val="24"/>
          <w:szCs w:val="24"/>
        </w:rPr>
      </w:pPr>
      <w:r>
        <w:rPr>
          <w:rFonts w:hint="eastAsia" w:ascii="宋体" w:cs="宋体"/>
          <w:sz w:val="24"/>
          <w:szCs w:val="24"/>
        </w:rPr>
        <w:t xml:space="preserve">合同履行期限：3年</w:t>
      </w:r>
      <w:r/>
    </w:p>
    <w:p>
      <w:pPr>
        <w:ind w:firstLine="440"/>
        <w:jc w:val="left"/>
        <w:spacing w:line="360" w:lineRule="auto"/>
        <w:widowControl/>
        <w:rPr>
          <w:rFonts w:ascii="宋体" w:cs="宋体"/>
          <w:sz w:val="24"/>
          <w:szCs w:val="24"/>
        </w:rPr>
      </w:pPr>
      <w:r>
        <w:rPr>
          <w:rFonts w:hint="eastAsia" w:ascii="宋体" w:cs="宋体"/>
          <w:sz w:val="24"/>
          <w:szCs w:val="24"/>
        </w:rPr>
        <w:t xml:space="preserve">本项目不接受联合体。</w:t>
      </w:r>
      <w:r/>
    </w:p>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申请人资格条件</w:t>
      </w:r>
      <w:r/>
    </w:p>
    <w:p>
      <w:pPr>
        <w:ind w:firstLine="440"/>
        <w:jc w:val="left"/>
        <w:spacing w:line="360" w:lineRule="auto"/>
        <w:widowControl/>
        <w:rPr>
          <w:rFonts w:ascii="宋体" w:cs="宋体"/>
          <w:sz w:val="24"/>
          <w:szCs w:val="24"/>
        </w:rPr>
      </w:pPr>
      <w:r>
        <w:rPr>
          <w:rFonts w:hint="eastAsia" w:ascii="宋体" w:cs="宋体"/>
          <w:sz w:val="24"/>
          <w:szCs w:val="24"/>
          <w:lang w:eastAsia="zh-CN"/>
        </w:rPr>
        <w:t xml:space="preserve">（</w:t>
      </w:r>
      <w:r>
        <w:rPr>
          <w:rFonts w:hint="eastAsia" w:ascii="宋体" w:cs="宋体"/>
          <w:sz w:val="24"/>
          <w:szCs w:val="24"/>
          <w:lang w:val="en-US" w:eastAsia="zh-CN"/>
        </w:rPr>
        <w:t xml:space="preserve">一</w:t>
      </w:r>
      <w:r>
        <w:rPr>
          <w:rFonts w:hint="eastAsia" w:ascii="宋体" w:cs="宋体"/>
          <w:sz w:val="24"/>
          <w:szCs w:val="24"/>
          <w:lang w:eastAsia="zh-CN"/>
        </w:rPr>
        <w:t xml:space="preserve">）</w:t>
      </w:r>
      <w:r>
        <w:rPr>
          <w:rFonts w:hint="eastAsia" w:ascii="宋体" w:cs="宋体"/>
          <w:sz w:val="24"/>
          <w:szCs w:val="24"/>
        </w:rPr>
        <w:t xml:space="preserve">满足《中华人民共和国政府采购法》第二十二条规定；</w:t>
      </w:r>
      <w:r/>
    </w:p>
    <w:p>
      <w:pPr>
        <w:ind w:firstLine="44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1.具有独立承担民事责任的能力（提供有效的法人或者其他组织的营业执照等证明文件原件扫描件）；</w:t>
      </w:r>
      <w:r/>
    </w:p>
    <w:p>
      <w:pPr>
        <w:ind w:firstLine="440"/>
        <w:spacing w:line="360" w:lineRule="auto"/>
        <w:rPr>
          <w:rFonts w:hint="eastAsia" w:ascii="宋体" w:hAnsi="宋体" w:cs="宋体"/>
          <w:sz w:val="24"/>
          <w:szCs w:val="24"/>
        </w:rPr>
      </w:pPr>
      <w:r>
        <w:rPr>
          <w:rFonts w:hint="eastAsia" w:ascii="宋体" w:hAnsi="宋体" w:cs="宋体"/>
          <w:sz w:val="24"/>
          <w:szCs w:val="24"/>
        </w:rPr>
        <w:t xml:space="preserve">2.具有《政府采购法》第二十二条第（二）、（三）、（四）、（五）项规定的基本资格条件（按投标文件格式要求提供了《基本资格条件声明函》）。</w:t>
      </w:r>
      <w:r/>
    </w:p>
    <w:p>
      <w:pPr>
        <w:ind w:firstLine="440"/>
        <w:spacing w:line="360" w:lineRule="auto"/>
        <w:rPr>
          <w:rFonts w:ascii="宋体" w:hAnsi="宋体" w:cs="宋体"/>
          <w:sz w:val="24"/>
          <w:szCs w:val="24"/>
          <w:u w:val="single"/>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cs="宋体"/>
          <w:sz w:val="24"/>
          <w:szCs w:val="24"/>
        </w:rPr>
        <w:t xml:space="preserve">落实政府采购政策需满足的资格要求：无；</w:t>
      </w:r>
      <w:r/>
    </w:p>
    <w:p>
      <w:pPr>
        <w:ind w:firstLine="440"/>
        <w:spacing w:line="360" w:lineRule="auto"/>
        <w:rPr>
          <w:rFonts w:ascii="宋体" w:cs="宋体"/>
          <w:sz w:val="24"/>
          <w:szCs w:val="24"/>
        </w:rPr>
      </w:pPr>
      <w:r>
        <w:rPr>
          <w:rFonts w:hint="eastAsia" w:ascii="宋体" w:cs="宋体"/>
          <w:sz w:val="24"/>
          <w:szCs w:val="24"/>
          <w:lang w:eastAsia="zh-CN"/>
        </w:rPr>
        <w:t xml:space="preserve">（</w:t>
      </w:r>
      <w:r>
        <w:rPr>
          <w:rFonts w:hint="eastAsia" w:ascii="宋体" w:cs="宋体"/>
          <w:sz w:val="24"/>
          <w:szCs w:val="24"/>
          <w:lang w:val="en-US" w:eastAsia="zh-CN"/>
        </w:rPr>
        <w:t xml:space="preserve">三</w:t>
      </w:r>
      <w:r>
        <w:rPr>
          <w:rFonts w:hint="eastAsia" w:ascii="宋体" w:cs="宋体"/>
          <w:sz w:val="24"/>
          <w:szCs w:val="24"/>
          <w:lang w:eastAsia="zh-CN"/>
        </w:rPr>
        <w:t xml:space="preserve">）</w:t>
      </w:r>
      <w:r>
        <w:rPr>
          <w:rFonts w:hint="eastAsia" w:ascii="宋体" w:cs="宋体"/>
          <w:sz w:val="24"/>
          <w:szCs w:val="24"/>
        </w:rPr>
        <w:t xml:space="preserve">本项目的特定资格要求：具有有效的《医疗机构执业许可证》。</w:t>
      </w:r>
      <w:r/>
    </w:p>
    <w:p>
      <w:pPr>
        <w:ind w:firstLine="440"/>
        <w:spacing w:line="360" w:lineRule="auto"/>
        <w:rPr>
          <w:rFonts w:hint="eastAsia" w:ascii="宋体" w:cs="宋体"/>
          <w:sz w:val="24"/>
          <w:szCs w:val="24"/>
        </w:rPr>
      </w:pPr>
      <w:r>
        <w:rPr>
          <w:rFonts w:hint="eastAsia" w:ascii="宋体" w:cs="宋体"/>
          <w:sz w:val="24"/>
          <w:szCs w:val="24"/>
          <w:lang w:eastAsia="zh-CN"/>
        </w:rPr>
        <w:t xml:space="preserve">（</w:t>
      </w:r>
      <w:r>
        <w:rPr>
          <w:rFonts w:hint="eastAsia" w:ascii="宋体" w:cs="宋体"/>
          <w:sz w:val="24"/>
          <w:szCs w:val="24"/>
          <w:lang w:val="en-US" w:eastAsia="zh-CN"/>
        </w:rPr>
        <w:t xml:space="preserve">四</w:t>
      </w:r>
      <w:r>
        <w:rPr>
          <w:rFonts w:hint="eastAsia" w:ascii="宋体" w:cs="宋体"/>
          <w:sz w:val="24"/>
          <w:szCs w:val="24"/>
          <w:lang w:eastAsia="zh-CN"/>
        </w:rPr>
        <w:t xml:space="preserve">）</w:t>
      </w:r>
      <w:r>
        <w:rPr>
          <w:rFonts w:hint="eastAsia" w:ascii="宋体" w:cs="宋体"/>
          <w:sz w:val="24"/>
          <w:szCs w:val="24"/>
        </w:rPr>
        <w:t xml:space="preserve">投标截止时间当日，投标人有下列情形之一的，不得参加本采购项目招标投标活动：</w:t>
      </w:r>
      <w:r/>
    </w:p>
    <w:p>
      <w:pPr>
        <w:ind w:firstLine="440"/>
        <w:spacing w:line="360" w:lineRule="auto"/>
        <w:rPr>
          <w:rFonts w:hint="eastAsia" w:ascii="宋体" w:cs="宋体"/>
          <w:sz w:val="24"/>
          <w:szCs w:val="24"/>
        </w:rPr>
      </w:pPr>
      <w:r>
        <w:rPr>
          <w:rFonts w:hint="eastAsia" w:ascii="宋体" w:cs="宋体"/>
          <w:sz w:val="24"/>
          <w:szCs w:val="24"/>
        </w:rPr>
        <w:t xml:space="preserve">1.单位负责人为同一人或者存在直接控股、管理关系的不同投标人；</w:t>
      </w:r>
      <w:r/>
    </w:p>
    <w:p>
      <w:pPr>
        <w:ind w:firstLine="440"/>
        <w:spacing w:line="360" w:lineRule="auto"/>
        <w:rPr>
          <w:rFonts w:hint="eastAsia" w:ascii="宋体" w:cs="宋体"/>
          <w:sz w:val="24"/>
          <w:szCs w:val="24"/>
        </w:rPr>
      </w:pPr>
      <w:r>
        <w:rPr>
          <w:rFonts w:hint="eastAsia" w:ascii="宋体" w:cs="宋体"/>
          <w:sz w:val="24"/>
          <w:szCs w:val="24"/>
        </w:rPr>
        <w:t xml:space="preserve">2.被各级财政主管部门取消采购项目所在地的投标资格且处于有效期内；</w:t>
      </w:r>
      <w:r/>
    </w:p>
    <w:p>
      <w:pPr>
        <w:ind w:firstLine="440"/>
        <w:spacing w:line="360" w:lineRule="auto"/>
        <w:rPr>
          <w:rFonts w:hint="eastAsia" w:ascii="宋体" w:cs="宋体"/>
          <w:sz w:val="24"/>
          <w:szCs w:val="24"/>
        </w:rPr>
      </w:pPr>
      <w:r>
        <w:rPr>
          <w:rFonts w:hint="eastAsia" w:ascii="宋体" w:cs="宋体"/>
          <w:sz w:val="24"/>
          <w:szCs w:val="24"/>
        </w:rPr>
        <w:t xml:space="preserve">3.被责令停业，暂扣或吊销营业执照，或吊销资质证书；</w:t>
      </w:r>
      <w:r/>
    </w:p>
    <w:p>
      <w:pPr>
        <w:ind w:firstLine="440"/>
        <w:spacing w:line="360" w:lineRule="auto"/>
        <w:rPr>
          <w:rFonts w:hint="eastAsia" w:ascii="宋体" w:cs="宋体"/>
          <w:sz w:val="24"/>
          <w:szCs w:val="24"/>
        </w:rPr>
      </w:pPr>
      <w:r>
        <w:rPr>
          <w:rFonts w:hint="eastAsia" w:ascii="宋体" w:cs="宋体"/>
          <w:sz w:val="24"/>
          <w:szCs w:val="24"/>
        </w:rPr>
        <w:t xml:space="preserve">4.进入清算程序，或被宣告破产，或其他丧失履约能力的情形；</w:t>
      </w:r>
      <w:r/>
    </w:p>
    <w:p>
      <w:pPr>
        <w:ind w:firstLine="440"/>
        <w:spacing w:line="360" w:lineRule="auto"/>
        <w:rPr>
          <w:rFonts w:hint="eastAsia" w:ascii="宋体" w:cs="宋体"/>
          <w:sz w:val="24"/>
          <w:szCs w:val="24"/>
        </w:rPr>
      </w:pPr>
      <w:r>
        <w:rPr>
          <w:rFonts w:hint="eastAsia" w:ascii="宋体" w:cs="宋体"/>
          <w:sz w:val="24"/>
          <w:szCs w:val="24"/>
        </w:rPr>
        <w:t xml:space="preserve">5.在“中国政府采购网(www.ccgp.gov.cn)”中被列入“政府采购严重违法失信行为记录名单》”（以采购人或采购代理机构在资格审查时，通过相关网站查询为准）；</w:t>
      </w:r>
      <w:r/>
    </w:p>
    <w:p>
      <w:pPr>
        <w:ind w:firstLine="440"/>
        <w:spacing w:line="360" w:lineRule="auto"/>
        <w:rPr>
          <w:rFonts w:hint="eastAsia" w:ascii="宋体" w:cs="宋体"/>
          <w:sz w:val="24"/>
          <w:szCs w:val="24"/>
        </w:rPr>
      </w:pPr>
      <w:r>
        <w:rPr>
          <w:rFonts w:hint="eastAsia" w:ascii="宋体" w:cs="宋体"/>
          <w:sz w:val="24"/>
          <w:szCs w:val="24"/>
        </w:rPr>
        <w:t xml:space="preserve">6.在“信用中国（http://www.creditchina.gov.cn/）”网站中被列入“失信被执行人名单”或“税收违法黑名单”（以采购人或采购代理机构在资格审查时，通过相关网站查询为准）；</w:t>
      </w:r>
      <w:r/>
    </w:p>
    <w:p>
      <w:pPr>
        <w:ind w:firstLine="440"/>
        <w:spacing w:line="360" w:lineRule="auto"/>
        <w:rPr>
          <w:rFonts w:hint="eastAsia" w:ascii="宋体" w:cs="宋体"/>
          <w:sz w:val="24"/>
          <w:szCs w:val="24"/>
        </w:rPr>
      </w:pPr>
      <w:r>
        <w:rPr>
          <w:rFonts w:hint="eastAsia" w:ascii="宋体" w:cs="宋体"/>
          <w:sz w:val="24"/>
          <w:szCs w:val="24"/>
        </w:rPr>
        <w:t xml:space="preserve">7.为采购项目提供整体设计、规范编制或者项目管理、监理、检测等服务的；</w:t>
      </w:r>
      <w:r/>
    </w:p>
    <w:p>
      <w:pPr>
        <w:ind w:firstLine="440"/>
        <w:spacing w:line="360" w:lineRule="auto"/>
        <w:rPr>
          <w:rFonts w:ascii="宋体" w:cs="宋体"/>
          <w:sz w:val="24"/>
          <w:szCs w:val="24"/>
        </w:rPr>
      </w:pPr>
      <w:r>
        <w:rPr>
          <w:rFonts w:hint="eastAsia" w:ascii="宋体" w:cs="宋体"/>
          <w:sz w:val="24"/>
          <w:szCs w:val="24"/>
        </w:rPr>
        <w:t xml:space="preserve">8.法律、法规规定的其他情形。</w:t>
      </w:r>
      <w:r/>
    </w:p>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获取招标文件</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时间：自招标文件公告发布之日起5个工作日 </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地点：“苏采云”系统（http://jszfcg.jsczt.cn） </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方式：“苏采云”系统（http://jszfcg.jsczt.cn） </w:t>
      </w:r>
      <w:r/>
    </w:p>
    <w:p>
      <w:pPr>
        <w:ind w:firstLine="440"/>
        <w:spacing w:line="360" w:lineRule="auto"/>
        <w:rPr>
          <w:rFonts w:ascii="宋体" w:cs="宋体"/>
          <w:sz w:val="24"/>
          <w:szCs w:val="24"/>
        </w:rPr>
      </w:pPr>
      <w:r>
        <w:rPr>
          <w:rFonts w:hint="eastAsia" w:asciiTheme="minorEastAsia" w:hAnsiTheme="minorEastAsia" w:eastAsiaTheme="minorEastAsia" w:cstheme="minorEastAsia"/>
          <w:bCs/>
          <w:sz w:val="24"/>
          <w:szCs w:val="24"/>
        </w:rPr>
        <w:t xml:space="preserve">售价：0.00元 </w:t>
      </w:r>
      <w:r/>
    </w:p>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提交投标文件截止时间、开标时间和地点</w:t>
      </w:r>
      <w:r/>
    </w:p>
    <w:p>
      <w:pPr>
        <w:ind w:firstLine="480"/>
        <w:spacing w:line="360" w:lineRule="auto"/>
        <w:rPr>
          <w:sz w:val="24"/>
          <w:szCs w:val="24"/>
        </w:rPr>
      </w:pPr>
      <w:r>
        <w:rPr>
          <w:rFonts w:hint="eastAsia" w:asciiTheme="minorEastAsia" w:hAnsiTheme="minorEastAsia" w:eastAsiaTheme="minorEastAsia" w:cstheme="minorEastAsia"/>
          <w:sz w:val="24"/>
          <w:szCs w:val="24"/>
        </w:rPr>
        <w:t xml:space="preserve">2026-0</w:t>
      </w:r>
      <w:r>
        <w:rPr>
          <w:rFonts w:hint="eastAsia" w:asciiTheme="minorEastAsia" w:hAnsiTheme="minorEastAsia" w:cstheme="minorEastAsia"/>
          <w:sz w:val="24"/>
          <w:szCs w:val="24"/>
        </w:rPr>
        <w:t xml:space="preserve">7</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 14:00 （北京时间）</w:t>
      </w:r>
      <w:r/>
    </w:p>
    <w:p>
      <w:pPr>
        <w:ind w:firstLine="440"/>
        <w:spacing w:line="360" w:lineRule="auto"/>
        <w:rPr>
          <w:rFonts w:ascii="宋体" w:cs="宋体"/>
          <w:sz w:val="24"/>
          <w:szCs w:val="24"/>
        </w:rPr>
      </w:pPr>
      <w:r>
        <w:rPr>
          <w:rFonts w:hint="eastAsia" w:asciiTheme="minorEastAsia" w:hAnsiTheme="minorEastAsia" w:eastAsiaTheme="minorEastAsia" w:cstheme="minorEastAsia"/>
          <w:sz w:val="24"/>
          <w:szCs w:val="24"/>
        </w:rPr>
        <w:t xml:space="preserve">地点：“苏采云”系统（http://jszfcg.jsczt.cn）</w:t>
      </w:r>
      <w:r/>
    </w:p>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公告期限</w:t>
      </w:r>
      <w:r/>
    </w:p>
    <w:p>
      <w:pPr>
        <w:ind w:firstLine="440"/>
        <w:spacing w:line="360" w:lineRule="auto"/>
        <w:rPr>
          <w:rFonts w:ascii="宋体" w:cs="宋体"/>
          <w:sz w:val="24"/>
          <w:szCs w:val="24"/>
        </w:rPr>
      </w:pPr>
      <w:r>
        <w:rPr>
          <w:rFonts w:hint="eastAsia" w:ascii="宋体" w:cs="宋体"/>
          <w:sz w:val="24"/>
          <w:szCs w:val="24"/>
        </w:rPr>
        <w:t xml:space="preserve">自本公告发布之日起5个工作日</w:t>
      </w:r>
      <w:r/>
    </w:p>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其他补充事宜</w:t>
      </w:r>
      <w:r/>
    </w:p>
    <w:p>
      <w:pPr>
        <w:ind w:firstLine="440"/>
        <w:spacing w:line="360" w:lineRule="auto"/>
        <w:rPr>
          <w:rFonts w:ascii="宋体" w:hAnsi="宋体" w:cs="宋体"/>
          <w:sz w:val="24"/>
          <w:szCs w:val="24"/>
        </w:rPr>
      </w:pPr>
      <w:r>
        <w:rPr>
          <w:rFonts w:hint="eastAsia" w:ascii="宋体" w:hAnsi="宋体" w:cs="宋体"/>
          <w:sz w:val="24"/>
          <w:szCs w:val="24"/>
        </w:rPr>
        <w:t xml:space="preserve">1.本项目采用全流程电子化方式，潜在投标人访问电子招标投标交易平台的网络地址和方法：</w:t>
      </w:r>
      <w:r/>
    </w:p>
    <w:p>
      <w:pPr>
        <w:ind w:firstLine="440"/>
        <w:spacing w:line="360" w:lineRule="auto"/>
        <w:rPr>
          <w:rFonts w:ascii="宋体" w:hAnsi="宋体" w:cs="宋体"/>
          <w:sz w:val="24"/>
          <w:szCs w:val="24"/>
        </w:rPr>
      </w:pPr>
      <w:r>
        <w:rPr>
          <w:rFonts w:hint="eastAsia" w:ascii="宋体" w:hAnsi="宋体" w:cs="宋体"/>
          <w:sz w:val="24"/>
          <w:szCs w:val="24"/>
        </w:rPr>
        <w:t xml:space="preserve">（1）登录 http://jszfcg.jsczt.cn/，点击“苏采云”进入系统；</w:t>
      </w:r>
      <w:r/>
    </w:p>
    <w:p>
      <w:pPr>
        <w:ind w:firstLine="440"/>
        <w:spacing w:line="360" w:lineRule="auto"/>
        <w:rPr>
          <w:rFonts w:ascii="宋体" w:hAnsi="宋体" w:cs="宋体"/>
          <w:sz w:val="24"/>
          <w:szCs w:val="24"/>
        </w:rPr>
      </w:pPr>
      <w:r>
        <w:rPr>
          <w:rFonts w:hint="eastAsia" w:ascii="宋体" w:hAnsi="宋体" w:cs="宋体"/>
          <w:sz w:val="24"/>
          <w:szCs w:val="24"/>
        </w:rPr>
        <w:t xml:space="preserve">（2）投标客户端工具及供应商操作手册可访问江苏省政府采购网，选中“业务工作”，“下载专区”进行下载《江苏省政府采购管理交易系统（苏采云）供应商操作手册及政府采购客户端》。</w:t>
      </w:r>
      <w:r/>
    </w:p>
    <w:p>
      <w:pPr>
        <w:ind w:firstLine="440"/>
        <w:spacing w:line="360" w:lineRule="auto"/>
        <w:rPr>
          <w:rFonts w:ascii="宋体" w:hAnsi="宋体" w:cs="宋体"/>
          <w:sz w:val="24"/>
          <w:szCs w:val="24"/>
        </w:rPr>
      </w:pPr>
      <w:r>
        <w:rPr>
          <w:rFonts w:hint="eastAsia" w:ascii="宋体" w:hAnsi="宋体" w:cs="宋体"/>
          <w:sz w:val="24"/>
          <w:szCs w:val="24"/>
        </w:rPr>
        <w:t xml:space="preserve">2.采购代理机构将数据电文形式的招标文件加载至电子招标投标交易平台，供潜在投标人下载或者查阅。如果项目采购文件变更并发布更正公告，需要重新下载采购文件。</w:t>
      </w:r>
      <w:r/>
    </w:p>
    <w:p>
      <w:pPr>
        <w:ind w:firstLine="440"/>
        <w:spacing w:line="360" w:lineRule="auto"/>
        <w:rPr>
          <w:rFonts w:ascii="宋体" w:hAnsi="宋体" w:cs="宋体"/>
          <w:sz w:val="24"/>
          <w:szCs w:val="24"/>
        </w:rPr>
      </w:pPr>
      <w:r>
        <w:rPr>
          <w:rFonts w:hint="eastAsia" w:ascii="宋体" w:hAnsi="宋体" w:cs="宋体"/>
          <w:sz w:val="24"/>
          <w:szCs w:val="24"/>
        </w:rPr>
        <w:t xml:space="preserve">3.如在制作电子投标文件中有任何疑问，请拨打电子化政府采购技术支持电话：0523-86897512。</w:t>
      </w:r>
      <w:r/>
    </w:p>
    <w:p>
      <w:pPr>
        <w:ind w:firstLine="440"/>
        <w:spacing w:line="360" w:lineRule="auto"/>
        <w:rPr>
          <w:rFonts w:ascii="宋体" w:hAnsi="宋体" w:cs="宋体"/>
          <w:sz w:val="24"/>
          <w:szCs w:val="24"/>
        </w:rPr>
      </w:pPr>
      <w:r>
        <w:rPr>
          <w:rFonts w:hint="eastAsia" w:ascii="宋体" w:hAnsi="宋体" w:cs="宋体"/>
          <w:sz w:val="24"/>
          <w:szCs w:val="24"/>
        </w:rPr>
        <w:t xml:space="preserve">4.如潜在投标人未按上述要求操作，将自行承担所产生的风险。</w:t>
      </w:r>
      <w:r/>
    </w:p>
    <w:p>
      <w:pPr>
        <w:numPr>
          <w:ilvl w:val="0"/>
          <w:numId w:val="1"/>
        </w:numPr>
        <w:ind w:left="0" w:firstLine="440"/>
        <w:spacing w:line="360" w:lineRule="auto"/>
        <w:rPr>
          <w:rFonts w:ascii="黑体" w:hAnsi="黑体" w:eastAsia="黑体" w:cs="黑体"/>
          <w:sz w:val="24"/>
          <w:szCs w:val="24"/>
        </w:rPr>
      </w:pPr>
      <w:r>
        <w:rPr>
          <w:rFonts w:hint="eastAsia" w:ascii="黑体" w:hAnsi="黑体" w:eastAsia="黑体" w:cs="黑体"/>
          <w:sz w:val="24"/>
          <w:szCs w:val="24"/>
        </w:rPr>
        <w:t xml:space="preserve">凡对本次采购提出询问，请按以下方式联系。</w:t>
      </w:r>
      <w:r/>
    </w:p>
    <w:p>
      <w:pPr>
        <w:ind w:firstLine="440"/>
        <w:spacing w:line="360" w:lineRule="auto"/>
        <w:rPr>
          <w:rFonts w:ascii="宋体" w:hAnsi="宋体" w:cs="宋体"/>
          <w:sz w:val="24"/>
          <w:szCs w:val="24"/>
        </w:rPr>
      </w:pPr>
      <w:r>
        <w:rPr>
          <w:rFonts w:hint="eastAsia" w:ascii="宋体" w:hAnsi="宋体" w:cs="宋体"/>
          <w:sz w:val="24"/>
          <w:szCs w:val="24"/>
        </w:rPr>
        <w:t xml:space="preserve">1、采购人信息</w:t>
      </w:r>
      <w:r/>
    </w:p>
    <w:p>
      <w:pPr>
        <w:ind w:right="-374" w:firstLine="480"/>
        <w:spacing w:line="360" w:lineRule="auto"/>
        <w:tabs>
          <w:tab w:val="left" w:pos="8460" w:leader="none"/>
        </w:tabs>
        <w:rPr>
          <w:rFonts w:ascii="宋体" w:hAnsi="宋体" w:cs="宋体"/>
          <w:sz w:val="24"/>
          <w:szCs w:val="24"/>
        </w:rPr>
      </w:pPr>
      <w:r>
        <w:rPr>
          <w:rFonts w:hint="eastAsia" w:ascii="宋体" w:hAnsi="宋体" w:cs="宋体"/>
          <w:sz w:val="24"/>
          <w:szCs w:val="24"/>
        </w:rPr>
        <w:t xml:space="preserve">单位名称：靖江市人民医院</w:t>
      </w:r>
      <w:r/>
    </w:p>
    <w:p>
      <w:pPr>
        <w:ind w:right="-374" w:firstLine="480"/>
        <w:spacing w:line="360" w:lineRule="auto"/>
        <w:tabs>
          <w:tab w:val="left" w:pos="8460" w:leader="none"/>
        </w:tabs>
        <w:rPr>
          <w:rFonts w:ascii="宋体" w:hAnsi="宋体" w:cs="宋体"/>
          <w:sz w:val="24"/>
          <w:szCs w:val="24"/>
        </w:rPr>
      </w:pPr>
      <w:r>
        <w:rPr>
          <w:rFonts w:hint="eastAsia" w:ascii="宋体" w:hAnsi="宋体" w:cs="宋体"/>
          <w:sz w:val="24"/>
          <w:szCs w:val="24"/>
        </w:rPr>
        <w:t xml:space="preserve">单位地址：靖江市中洲东路28号</w:t>
      </w:r>
      <w:r/>
    </w:p>
    <w:p>
      <w:pPr>
        <w:ind w:right="-374" w:firstLine="480"/>
        <w:spacing w:line="360" w:lineRule="auto"/>
        <w:tabs>
          <w:tab w:val="left" w:pos="8460" w:leader="none"/>
        </w:tabs>
        <w:rPr>
          <w:rFonts w:ascii="宋体" w:hAnsi="宋体" w:cs="宋体"/>
          <w:sz w:val="24"/>
          <w:szCs w:val="24"/>
        </w:rPr>
      </w:pPr>
      <w:r>
        <w:rPr>
          <w:rFonts w:hint="eastAsia" w:ascii="宋体" w:hAnsi="宋体" w:cs="宋体"/>
          <w:sz w:val="24"/>
          <w:szCs w:val="24"/>
        </w:rPr>
        <w:t xml:space="preserve">联系人：王先生</w:t>
      </w:r>
      <w:r/>
    </w:p>
    <w:p>
      <w:pPr>
        <w:ind w:right="-374" w:firstLine="480"/>
        <w:spacing w:line="360" w:lineRule="auto"/>
        <w:tabs>
          <w:tab w:val="left" w:pos="8460" w:leader="none"/>
        </w:tabs>
        <w:rPr>
          <w:rFonts w:ascii="宋体" w:cs="宋体"/>
          <w:sz w:val="24"/>
          <w:szCs w:val="24"/>
        </w:rPr>
      </w:pPr>
      <w:r>
        <w:rPr>
          <w:rFonts w:hint="eastAsia" w:ascii="宋体" w:hAnsi="宋体" w:cs="宋体"/>
          <w:sz w:val="24"/>
          <w:szCs w:val="24"/>
        </w:rPr>
        <w:t xml:space="preserve">联系电话：0523-84995920</w:t>
      </w:r>
      <w:r/>
    </w:p>
    <w:p>
      <w:pPr>
        <w:ind w:firstLine="440"/>
        <w:spacing w:line="360" w:lineRule="auto"/>
        <w:rPr>
          <w:rFonts w:ascii="宋体" w:cs="宋体"/>
          <w:sz w:val="24"/>
          <w:szCs w:val="24"/>
        </w:rPr>
      </w:pPr>
      <w:r>
        <w:rPr>
          <w:rFonts w:hint="eastAsia" w:ascii="宋体" w:cs="宋体"/>
          <w:sz w:val="24"/>
          <w:szCs w:val="24"/>
        </w:rPr>
        <w:t xml:space="preserve">2、采购代理机构信息</w:t>
      </w:r>
      <w:r/>
    </w:p>
    <w:p>
      <w:pPr>
        <w:ind w:firstLine="440"/>
        <w:spacing w:line="360" w:lineRule="auto"/>
        <w:rPr>
          <w:rFonts w:ascii="宋体" w:cs="宋体"/>
          <w:sz w:val="24"/>
          <w:szCs w:val="24"/>
        </w:rPr>
      </w:pPr>
      <w:r>
        <w:rPr>
          <w:rFonts w:hint="eastAsia" w:ascii="宋体" w:cs="宋体"/>
          <w:sz w:val="24"/>
          <w:szCs w:val="24"/>
        </w:rPr>
        <w:t xml:space="preserve">名称：</w:t>
      </w:r>
      <w:r>
        <w:rPr>
          <w:rFonts w:hint="eastAsia" w:ascii="宋体" w:hAnsi="宋体" w:cs="宋体"/>
          <w:sz w:val="24"/>
          <w:szCs w:val="24"/>
          <w:lang w:val="zh-CN"/>
        </w:rPr>
        <w:t xml:space="preserve">江苏智汇锡建工程项目管理有限公司</w:t>
      </w:r>
      <w:r/>
    </w:p>
    <w:p>
      <w:pPr>
        <w:ind w:firstLine="440"/>
        <w:spacing w:line="360" w:lineRule="auto"/>
        <w:rPr>
          <w:rFonts w:ascii="宋体" w:cs="宋体"/>
          <w:sz w:val="24"/>
          <w:szCs w:val="24"/>
        </w:rPr>
      </w:pPr>
      <w:r>
        <w:rPr>
          <w:rFonts w:hint="eastAsia" w:ascii="宋体" w:cs="宋体"/>
          <w:sz w:val="24"/>
          <w:szCs w:val="24"/>
        </w:rPr>
        <w:t xml:space="preserve">地址：靖江市晨阳社区22幢-9号</w:t>
      </w:r>
      <w:r/>
    </w:p>
    <w:p>
      <w:pPr>
        <w:ind w:firstLine="440"/>
        <w:spacing w:line="360" w:lineRule="auto"/>
        <w:rPr>
          <w:rFonts w:ascii="宋体" w:cs="宋体"/>
          <w:sz w:val="24"/>
          <w:szCs w:val="24"/>
        </w:rPr>
      </w:pPr>
      <w:r>
        <w:rPr>
          <w:rFonts w:hint="eastAsia" w:ascii="宋体" w:hAnsi="宋体" w:cs="宋体"/>
          <w:sz w:val="24"/>
          <w:szCs w:val="24"/>
        </w:rPr>
        <w:t xml:space="preserve">联系人：闻先生</w:t>
      </w:r>
      <w:r/>
    </w:p>
    <w:p>
      <w:pPr>
        <w:ind w:firstLine="480"/>
        <w:spacing w:line="360" w:lineRule="auto"/>
        <w:rPr>
          <w:rFonts w:asciiTheme="minorEastAsia" w:hAnsiTheme="minorEastAsia" w:eastAsiaTheme="minorEastAsia" w:cstheme="minorEastAsia"/>
          <w:sz w:val="24"/>
          <w:szCs w:val="24"/>
        </w:rPr>
      </w:pPr>
      <w:r>
        <w:rPr>
          <w:rFonts w:hint="eastAsia" w:ascii="宋体" w:cs="宋体"/>
          <w:sz w:val="24"/>
          <w:szCs w:val="24"/>
        </w:rPr>
        <w:t xml:space="preserve">联系方式：13809011110</w:t>
      </w:r>
      <w:r/>
    </w:p>
    <w:p>
      <w:pPr>
        <w:ind w:firstLine="440"/>
        <w:spacing w:line="440" w:lineRule="exact"/>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rPr>
          <w:rFonts w:ascii="华文中宋" w:hAnsi="华文中宋" w:eastAsia="华文中宋" w:cs="华文中宋"/>
          <w:sz w:val="24"/>
          <w:szCs w:val="24"/>
        </w:rPr>
      </w:r>
      <w:r/>
    </w:p>
    <w:p>
      <w:pPr>
        <w:pStyle w:val="735"/>
        <w:rPr>
          <w:rFonts w:ascii="华文中宋" w:hAnsi="华文中宋" w:eastAsia="华文中宋" w:cs="华文中宋"/>
          <w:sz w:val="24"/>
          <w:szCs w:val="24"/>
        </w:rPr>
      </w:pPr>
      <w:r>
        <w:rPr>
          <w:rFonts w:ascii="华文中宋" w:hAnsi="华文中宋" w:eastAsia="华文中宋" w:cs="华文中宋"/>
          <w:sz w:val="24"/>
          <w:szCs w:val="24"/>
        </w:rPr>
      </w:r>
      <w:r/>
    </w:p>
    <w:p>
      <w:pPr>
        <w:pStyle w:val="924"/>
        <w:jc w:val="center"/>
        <w:spacing w:before="0" w:after="0" w:line="360" w:lineRule="auto"/>
        <w:rPr>
          <w:rFonts w:ascii="微软雅黑" w:hAnsi="微软雅黑" w:eastAsia="微软雅黑" w:cs="微软雅黑"/>
          <w:b w:val="0"/>
          <w:bCs w:val="0"/>
          <w:sz w:val="36"/>
          <w:szCs w:val="36"/>
        </w:rPr>
      </w:pPr>
      <w:r/>
      <w:bookmarkStart w:id="12" w:name="_Toc387526373"/>
      <w:r/>
      <w:bookmarkStart w:id="13" w:name="_Toc2936"/>
      <w:r/>
      <w:bookmarkStart w:id="14" w:name="_Toc368759512"/>
      <w:r/>
      <w:bookmarkStart w:id="15" w:name="_Toc6984"/>
      <w:r/>
      <w:bookmarkStart w:id="16" w:name="_Toc184635069"/>
      <w:r/>
      <w:bookmarkStart w:id="17" w:name="_Toc152268439"/>
      <w:r/>
      <w:bookmarkStart w:id="18" w:name="_Toc6770"/>
      <w:r/>
      <w:bookmarkStart w:id="19" w:name="_Toc363326679"/>
      <w:r/>
      <w:bookmarkStart w:id="20" w:name="_Toc387526281"/>
      <w:r/>
      <w:bookmarkStart w:id="21" w:name="_Toc369077558"/>
      <w:r/>
      <w:bookmarkStart w:id="22" w:name="_Toc387526177"/>
      <w:r>
        <w:rPr>
          <w:rFonts w:hint="eastAsia" w:ascii="微软雅黑" w:hAnsi="微软雅黑" w:eastAsia="微软雅黑" w:cs="微软雅黑"/>
          <w:b w:val="0"/>
          <w:bCs w:val="0"/>
          <w:sz w:val="36"/>
          <w:szCs w:val="36"/>
        </w:rPr>
        <w:t xml:space="preserve">第二章 投标人须知</w:t>
      </w:r>
      <w:bookmarkEnd w:id="12"/>
      <w:r/>
      <w:bookmarkEnd w:id="13"/>
      <w:r/>
      <w:bookmarkEnd w:id="14"/>
      <w:r/>
      <w:bookmarkEnd w:id="15"/>
      <w:r/>
      <w:bookmarkEnd w:id="16"/>
      <w:r/>
      <w:bookmarkEnd w:id="17"/>
      <w:r/>
      <w:bookmarkEnd w:id="18"/>
      <w:r/>
      <w:bookmarkEnd w:id="19"/>
      <w:r/>
      <w:bookmarkEnd w:id="20"/>
      <w:r/>
      <w:bookmarkEnd w:id="21"/>
      <w:r/>
      <w:bookmarkEnd w:id="22"/>
      <w:r/>
      <w:r/>
    </w:p>
    <w:p>
      <w:pPr>
        <w:pStyle w:val="928"/>
        <w:ind w:firstLine="118"/>
        <w:jc w:val="center"/>
        <w:spacing w:before="0" w:after="0" w:line="360" w:lineRule="auto"/>
        <w:rPr>
          <w:sz w:val="28"/>
          <w:szCs w:val="21"/>
        </w:rPr>
      </w:pPr>
      <w:r/>
      <w:bookmarkStart w:id="23" w:name="_Toc3882"/>
      <w:r/>
      <w:bookmarkStart w:id="24" w:name="_Toc387526374"/>
      <w:r/>
      <w:bookmarkStart w:id="25" w:name="_Toc387526282"/>
      <w:r/>
      <w:bookmarkStart w:id="26" w:name="_Toc9578"/>
      <w:r/>
      <w:bookmarkStart w:id="27" w:name="_Toc16205"/>
      <w:r/>
      <w:bookmarkStart w:id="28" w:name="_Toc369077559"/>
      <w:r/>
      <w:bookmarkStart w:id="29" w:name="_Toc387526178"/>
      <w:r>
        <w:rPr>
          <w:rFonts w:hint="eastAsia"/>
          <w:sz w:val="28"/>
          <w:szCs w:val="21"/>
        </w:rPr>
        <w:t xml:space="preserve">投标人须知前附表</w:t>
      </w:r>
      <w:bookmarkEnd w:id="23"/>
      <w:r/>
      <w:bookmarkEnd w:id="24"/>
      <w:r/>
      <w:bookmarkEnd w:id="25"/>
      <w:r/>
      <w:bookmarkEnd w:id="26"/>
      <w:r/>
      <w:bookmarkEnd w:id="27"/>
      <w:r/>
      <w:bookmarkEnd w:id="28"/>
      <w:r/>
      <w:bookmarkEnd w:id="29"/>
      <w:r/>
      <w:r/>
    </w:p>
    <w:tbl>
      <w:tblPr>
        <w:tblStyle w:val="689"/>
        <w:tblW w:w="9322"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560"/>
        <w:gridCol w:w="5629"/>
      </w:tblGrid>
      <w:tr>
        <w:trPr>
          <w:trHeight w:val="710"/>
        </w:trPr>
        <w:tc>
          <w:tcPr>
            <w:tcW w:w="1133" w:type="dxa"/>
            <w:vAlign w:val="center"/>
            <w:textDirection w:val="lrTb"/>
            <w:noWrap w:val="false"/>
          </w:tcPr>
          <w:p>
            <w:pPr>
              <w:jc w:val="center"/>
              <w:spacing w:line="4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条款号</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条款名称</w:t>
            </w:r>
            <w:r/>
          </w:p>
        </w:tc>
        <w:tc>
          <w:tcPr>
            <w:tcW w:w="5629" w:type="dxa"/>
            <w:vAlign w:val="center"/>
            <w:textDirection w:val="lrTb"/>
            <w:noWrap w:val="false"/>
          </w:tcPr>
          <w:p>
            <w:pPr>
              <w:jc w:val="center"/>
              <w:spacing w:line="4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编列内容</w:t>
            </w:r>
            <w:r/>
          </w:p>
        </w:tc>
      </w:tr>
      <w:tr>
        <w:trPr>
          <w:trHeight w:val="9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名称：靖江市人民医院</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址：靖江市中洲路28号</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联系人：王先生</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电话：</w:t>
            </w:r>
            <w:r>
              <w:rPr>
                <w:rFonts w:hint="eastAsia" w:asciiTheme="minorEastAsia" w:hAnsiTheme="minorEastAsia" w:eastAsiaTheme="minorEastAsia" w:cstheme="minorEastAsia"/>
                <w:sz w:val="24"/>
                <w:szCs w:val="24"/>
                <w:lang w:val="zh-CN"/>
              </w:rPr>
              <w:t xml:space="preserve">0523-84995920</w:t>
            </w:r>
            <w:r/>
          </w:p>
        </w:tc>
      </w:tr>
      <w:tr>
        <w:trPr>
          <w:trHeight w:val="1421"/>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采购代理机构</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名称：江苏智汇锡建工程项目管理有限公司</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地址：靖江市晨阳社区22幢-9号</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人：闻先生</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联系方式：13809011110　　</w:t>
            </w:r>
            <w:r/>
          </w:p>
        </w:tc>
      </w:tr>
      <w:tr>
        <w:trPr>
          <w:trHeight w:val="703"/>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tc>
        <w:tc>
          <w:tcPr>
            <w:tcW w:w="5629" w:type="dxa"/>
            <w:vAlign w:val="center"/>
            <w:textDirection w:val="lrTb"/>
            <w:noWrap w:val="false"/>
          </w:tcPr>
          <w:p>
            <w:pPr>
              <w:spacing w:line="40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靖江市人民医院检验病理外送服务</w:t>
            </w:r>
            <w:r/>
          </w:p>
        </w:tc>
      </w:tr>
      <w:tr>
        <w:trPr>
          <w:trHeight w:val="63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JSZC-321282-JSZH-G2026-0047</w:t>
            </w:r>
            <w:r>
              <w:rPr>
                <w:rFonts w:hint="eastAsia" w:asciiTheme="minorEastAsia" w:hAnsiTheme="minorEastAsia" w:eastAsiaTheme="minorEastAsia" w:cstheme="minorEastAsia"/>
                <w:sz w:val="24"/>
                <w:szCs w:val="24"/>
              </w:rPr>
              <w:t xml:space="preserve">   </w:t>
            </w:r>
            <w:r/>
          </w:p>
        </w:tc>
      </w:tr>
      <w:tr>
        <w:trPr>
          <w:trHeight w:val="606"/>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采购预算</w:t>
            </w:r>
            <w:r/>
          </w:p>
        </w:tc>
        <w:tc>
          <w:tcPr>
            <w:tcW w:w="5629" w:type="dxa"/>
            <w:vAlign w:val="center"/>
            <w:textDirection w:val="lrTb"/>
            <w:noWrap w:val="false"/>
          </w:tcPr>
          <w:p>
            <w:pPr>
              <w:spacing w:line="40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u w:val="single"/>
              </w:rPr>
              <w:t xml:space="preserve"> 300 </w:t>
            </w:r>
            <w:r>
              <w:rPr>
                <w:rFonts w:hint="eastAsia" w:asciiTheme="minorEastAsia" w:hAnsiTheme="minorEastAsia" w:eastAsiaTheme="minorEastAsia" w:cstheme="minorEastAsia"/>
                <w:b w:val="0"/>
                <w:bCs w:val="0"/>
                <w:sz w:val="24"/>
                <w:szCs w:val="24"/>
              </w:rPr>
              <w:t xml:space="preserve">万元</w:t>
            </w:r>
            <w:r/>
          </w:p>
        </w:tc>
      </w:tr>
      <w:tr>
        <w:trPr>
          <w:trHeight w:val="678"/>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1.1.7</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最高限价</w:t>
            </w:r>
            <w:r/>
          </w:p>
        </w:tc>
        <w:tc>
          <w:tcPr>
            <w:tcW w:w="5629" w:type="dxa"/>
            <w:vAlign w:val="center"/>
            <w:textDirection w:val="lrTb"/>
            <w:noWrap w:val="false"/>
          </w:tcPr>
          <w:p>
            <w:pPr>
              <w:spacing w:line="400" w:lineRule="exact"/>
              <w:rPr>
                <w:rFonts w:asciiTheme="minorEastAsia" w:hAnsiTheme="minorEastAsia" w:eastAsiaTheme="minorEastAsia" w:cstheme="minorEastAsia"/>
                <w:b w:val="0"/>
                <w:bCs w:val="0"/>
                <w:sz w:val="24"/>
                <w:szCs w:val="24"/>
                <w:u w:val="single"/>
              </w:rPr>
            </w:pPr>
            <w:r>
              <w:rPr>
                <w:rFonts w:hint="eastAsia" w:asciiTheme="minorEastAsia" w:hAnsiTheme="minorEastAsia" w:eastAsiaTheme="minorEastAsia" w:cstheme="minorEastAsia"/>
                <w:b w:val="0"/>
                <w:bCs w:val="0"/>
                <w:sz w:val="24"/>
                <w:szCs w:val="24"/>
                <w:u w:val="single"/>
              </w:rPr>
            </w:r>
            <w:r>
              <w:rPr>
                <w:rFonts w:hint="eastAsia" w:ascii="宋体" w:cs="宋体"/>
                <w:sz w:val="24"/>
                <w:szCs w:val="24"/>
              </w:rPr>
              <w:t xml:space="preserve">江苏省物价局、省卫生厅关于核定病理等部分医疗项目收费标准的通知》的收费标准×（1-55%）。</w:t>
            </w:r>
            <w:r>
              <w:rPr>
                <w:rFonts w:hint="eastAsia" w:asciiTheme="minorEastAsia" w:hAnsiTheme="minorEastAsia" w:eastAsiaTheme="minorEastAsia" w:cstheme="minorEastAsia"/>
                <w:b w:val="0"/>
                <w:bCs w:val="0"/>
                <w:sz w:val="24"/>
                <w:szCs w:val="24"/>
                <w:u w:val="single"/>
              </w:rPr>
            </w:r>
            <w:r/>
          </w:p>
        </w:tc>
      </w:tr>
      <w:tr>
        <w:trPr>
          <w:trHeight w:val="678"/>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1.1.8</w:t>
            </w:r>
            <w:r/>
          </w:p>
        </w:tc>
        <w:tc>
          <w:tcPr>
            <w:tcW w:w="2560"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是否接受进口</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产品投标</w:t>
            </w:r>
            <w:r/>
          </w:p>
        </w:tc>
        <w:tc>
          <w:tcPr>
            <w:tcW w:w="5629" w:type="dxa"/>
            <w:vAlign w:val="center"/>
            <w:textDirection w:val="lrTb"/>
            <w:noWrap w:val="false"/>
          </w:tcPr>
          <w:p>
            <w:pPr>
              <w:ind w:right="113"/>
              <w:jc w:val="left"/>
              <w:rPr>
                <w:rFonts w:asciiTheme="minorEastAsia" w:hAnsiTheme="minorEastAsia" w:eastAsiaTheme="minorEastAsia" w:cstheme="minorEastAsia"/>
                <w:b w:val="0"/>
                <w:bCs w:val="0"/>
                <w:sz w:val="24"/>
                <w:szCs w:val="24"/>
              </w:rPr>
            </w:pPr>
            <w:r>
              <w:rPr>
                <w:rFonts w:ascii="宋体" w:hAnsi="宋体" w:cs="宋体"/>
                <w:b w:val="0"/>
                <w:bCs w:val="0"/>
                <w:color w:val="000000"/>
                <w:sz w:val="24"/>
              </w:rPr>
              <w:t xml:space="preserve">□</w:t>
            </w:r>
            <w:r>
              <w:rPr>
                <w:rFonts w:hint="eastAsia" w:asciiTheme="minorEastAsia" w:hAnsiTheme="minorEastAsia" w:eastAsiaTheme="minorEastAsia" w:cstheme="minorEastAsia"/>
                <w:b w:val="0"/>
                <w:bCs w:val="0"/>
                <w:sz w:val="24"/>
                <w:szCs w:val="24"/>
              </w:rPr>
              <w:t xml:space="preserve">接受</w:t>
            </w:r>
            <w:r/>
          </w:p>
          <w:p>
            <w:pPr>
              <w:ind w:right="113"/>
              <w:jc w:val="left"/>
              <w:rPr>
                <w:rFonts w:asciiTheme="minorEastAsia" w:hAnsiTheme="minorEastAsia" w:eastAsiaTheme="minorEastAsia" w:cstheme="minorEastAsia"/>
                <w:b w:val="0"/>
                <w:bCs w:val="0"/>
                <w:sz w:val="24"/>
                <w:szCs w:val="24"/>
                <w:u w:val="single"/>
              </w:rPr>
            </w:pPr>
            <w:r>
              <w:rPr>
                <w:rFonts w:ascii="宋体" w:hAnsi="宋体" w:cs="宋体"/>
                <w:b w:val="0"/>
                <w:bCs w:val="0"/>
                <w:color w:val="000000"/>
                <w:sz w:val="24"/>
              </w:rPr>
              <w:t xml:space="preserve">☑不</w:t>
            </w:r>
            <w:r>
              <w:rPr>
                <w:rFonts w:hint="eastAsia" w:asciiTheme="minorEastAsia" w:hAnsiTheme="minorEastAsia" w:eastAsiaTheme="minorEastAsia" w:cstheme="minorEastAsia"/>
                <w:b w:val="0"/>
                <w:bCs w:val="0"/>
                <w:sz w:val="24"/>
                <w:szCs w:val="24"/>
              </w:rPr>
              <w:t xml:space="preserve">接受</w:t>
            </w:r>
            <w:r/>
          </w:p>
        </w:tc>
      </w:tr>
      <w:tr>
        <w:trPr>
          <w:trHeight w:val="666"/>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合同履行期限</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Cs/>
                <w:sz w:val="24"/>
                <w:szCs w:val="24"/>
                <w:u w:val="single"/>
              </w:rPr>
              <w:t xml:space="preserve">3 </w:t>
            </w:r>
            <w:r>
              <w:rPr>
                <w:rFonts w:hint="eastAsia" w:asciiTheme="minorEastAsia" w:hAnsiTheme="minorEastAsia" w:eastAsiaTheme="minorEastAsia" w:cstheme="minorEastAsia"/>
                <w:bCs/>
                <w:sz w:val="24"/>
                <w:szCs w:val="24"/>
              </w:rPr>
              <w:t xml:space="preserve">年</w:t>
            </w:r>
            <w:r/>
          </w:p>
        </w:tc>
      </w:tr>
      <w:tr>
        <w:trPr>
          <w:trHeight w:val="642"/>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验收要求</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val="0"/>
                <w:bCs/>
                <w:sz w:val="24"/>
                <w:szCs w:val="24"/>
                <w:u w:val="single"/>
              </w:rPr>
            </w:pPr>
            <w:r>
              <w:rPr>
                <w:rFonts w:hint="eastAsia" w:asciiTheme="minorEastAsia" w:hAnsiTheme="minorEastAsia" w:eastAsiaTheme="minorEastAsia" w:cstheme="minorEastAsia"/>
                <w:b w:val="0"/>
                <w:bCs/>
                <w:sz w:val="24"/>
                <w:szCs w:val="24"/>
                <w:u w:val="single"/>
              </w:rPr>
              <w:t xml:space="preserve">符合国家有关标准和招标文件要求。</w:t>
            </w:r>
            <w:r/>
          </w:p>
        </w:tc>
      </w:tr>
      <w:tr>
        <w:trPr>
          <w:trHeight w:val="484"/>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本项目标的所属行业</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u w:val="single"/>
              </w:rPr>
              <w:t xml:space="preserve">其他未列明行业</w:t>
            </w:r>
            <w:r>
              <w:rPr>
                <w:rFonts w:hint="eastAsia" w:asciiTheme="minorEastAsia" w:hAnsiTheme="minorEastAsia" w:eastAsiaTheme="minorEastAsia" w:cstheme="minorEastAsia"/>
                <w:b w:val="0"/>
                <w:bCs/>
                <w:sz w:val="24"/>
                <w:szCs w:val="24"/>
              </w:rPr>
              <w:t xml:space="preserve"> </w:t>
            </w:r>
            <w:r/>
          </w:p>
        </w:tc>
      </w:tr>
      <w:tr>
        <w:trPr>
          <w:trHeight w:val="618"/>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基本资格条件</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见《第一章招标公告》</w:t>
            </w:r>
            <w:r/>
          </w:p>
        </w:tc>
      </w:tr>
      <w:tr>
        <w:trPr>
          <w:trHeight w:val="594"/>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特定资格条件</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见《第一章招标公告》</w:t>
            </w:r>
            <w:r/>
          </w:p>
        </w:tc>
      </w:tr>
      <w:tr>
        <w:trPr>
          <w:trHeight w:val="833"/>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1.4.4</w:t>
            </w:r>
            <w:r/>
          </w:p>
        </w:tc>
        <w:tc>
          <w:tcPr>
            <w:tcW w:w="2560"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是否接受联合体投标</w:t>
            </w:r>
            <w:r/>
          </w:p>
        </w:tc>
        <w:tc>
          <w:tcPr>
            <w:tcW w:w="5629" w:type="dxa"/>
            <w:vAlign w:val="center"/>
            <w:textDirection w:val="lrTb"/>
            <w:noWrap w:val="false"/>
          </w:tcPr>
          <w:p>
            <w:pPr>
              <w:ind w:right="113"/>
              <w:jc w:val="left"/>
              <w:rPr>
                <w:rFonts w:asciiTheme="minorEastAsia" w:hAnsiTheme="minorEastAsia" w:eastAsiaTheme="minorEastAsia" w:cstheme="minorEastAsia"/>
                <w:sz w:val="24"/>
                <w:szCs w:val="24"/>
              </w:rPr>
            </w:pPr>
            <w:r>
              <w:rPr>
                <w:rFonts w:ascii="宋体" w:hAnsi="宋体" w:cs="宋体"/>
                <w:color w:val="000000"/>
                <w:sz w:val="24"/>
              </w:rPr>
              <w:t xml:space="preserve">□</w:t>
            </w:r>
            <w:r>
              <w:rPr>
                <w:rFonts w:hint="eastAsia" w:asciiTheme="minorEastAsia" w:hAnsiTheme="minorEastAsia" w:eastAsiaTheme="minorEastAsia" w:cstheme="minorEastAsia"/>
                <w:sz w:val="24"/>
                <w:szCs w:val="24"/>
              </w:rPr>
              <w:t xml:space="preserve">接受</w:t>
            </w:r>
            <w:r/>
          </w:p>
          <w:p>
            <w:pPr>
              <w:ind w:right="113"/>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☑不接受</w:t>
            </w:r>
            <w:r/>
          </w:p>
        </w:tc>
      </w:tr>
      <w:tr>
        <w:trPr>
          <w:trHeight w:val="42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投标人提交</w:t>
            </w:r>
            <w:r/>
          </w:p>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询问截止时间</w:t>
            </w:r>
            <w:r/>
          </w:p>
        </w:tc>
        <w:tc>
          <w:tcPr>
            <w:tcW w:w="5629" w:type="dxa"/>
            <w:vAlign w:val="center"/>
            <w:textDirection w:val="lrTb"/>
            <w:noWrap w:val="false"/>
          </w:tcPr>
          <w:p>
            <w:pPr>
              <w:ind w:right="113"/>
              <w:jc w:val="left"/>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sz w:val="24"/>
                <w:szCs w:val="24"/>
                <w:lang w:val="en-US" w:eastAsia="zh-CN"/>
              </w:rPr>
              <w:t xml:space="preserve">采购公告届满后2个工作日内</w:t>
            </w:r>
            <w:r/>
          </w:p>
        </w:tc>
      </w:tr>
      <w:tr>
        <w:trPr>
          <w:trHeight w:val="65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投标有效期</w:t>
            </w:r>
            <w:r/>
          </w:p>
        </w:tc>
        <w:tc>
          <w:tcPr>
            <w:tcW w:w="5629" w:type="dxa"/>
            <w:vAlign w:val="center"/>
            <w:textDirection w:val="lrTb"/>
            <w:noWrap w:val="false"/>
          </w:tcPr>
          <w:p>
            <w:pPr>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u w:val="single"/>
              </w:rPr>
              <w:t xml:space="preserve"> 90 </w:t>
            </w:r>
            <w:r>
              <w:rPr>
                <w:rFonts w:hint="eastAsia" w:asciiTheme="minorEastAsia" w:hAnsiTheme="minorEastAsia" w:eastAsiaTheme="minorEastAsia" w:cstheme="minorEastAsia"/>
                <w:b w:val="0"/>
                <w:bCs/>
                <w:sz w:val="24"/>
                <w:szCs w:val="24"/>
                <w:lang w:val="zh-CN"/>
              </w:rPr>
              <w:t xml:space="preserve">日（从投标截止日起算）</w:t>
            </w:r>
            <w:r/>
          </w:p>
        </w:tc>
      </w:tr>
      <w:tr>
        <w:trPr>
          <w:trHeight w:val="47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投标文件提交</w:t>
            </w:r>
            <w:r/>
          </w:p>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截止时间</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时间：</w:t>
            </w:r>
            <w:r>
              <w:rPr>
                <w:rFonts w:hint="eastAsia" w:asciiTheme="minorEastAsia" w:hAnsiTheme="minorEastAsia" w:eastAsiaTheme="minorEastAsia" w:cstheme="minorEastAsia"/>
                <w:b w:val="0"/>
                <w:bCs/>
                <w:sz w:val="24"/>
                <w:szCs w:val="24"/>
                <w:u w:val="single"/>
              </w:rPr>
              <w:t xml:space="preserve">见招标公告</w:t>
            </w:r>
            <w:r/>
          </w:p>
          <w:p>
            <w:pPr>
              <w:jc w:val="left"/>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地点：</w:t>
            </w:r>
            <w:r>
              <w:rPr>
                <w:rFonts w:hint="eastAsia" w:asciiTheme="minorEastAsia" w:hAnsiTheme="minorEastAsia" w:eastAsiaTheme="minorEastAsia" w:cstheme="minorEastAsia"/>
                <w:b w:val="0"/>
                <w:bCs/>
                <w:sz w:val="24"/>
                <w:szCs w:val="24"/>
                <w:u w:val="single"/>
              </w:rPr>
              <w:t xml:space="preserve">见招标公告</w:t>
            </w:r>
            <w:r/>
          </w:p>
        </w:tc>
      </w:tr>
      <w:tr>
        <w:trPr>
          <w:trHeight w:val="69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开标时间和地点</w:t>
            </w:r>
            <w:r/>
          </w:p>
        </w:tc>
        <w:tc>
          <w:tcPr>
            <w:tcW w:w="5629" w:type="dxa"/>
            <w:vAlign w:val="center"/>
            <w:textDirection w:val="lrTb"/>
            <w:noWrap w:val="false"/>
          </w:tcPr>
          <w:p>
            <w:pPr>
              <w:spacing w:line="400" w:lineRule="exact"/>
              <w:rPr>
                <w:rFonts w:asciiTheme="minorEastAsia" w:hAnsiTheme="minorEastAsia" w:eastAsiaTheme="minorEastAsia" w:cstheme="minorEastAsia"/>
                <w:b w:val="0"/>
                <w:bCs/>
                <w:sz w:val="24"/>
                <w:szCs w:val="24"/>
                <w:u w:val="single"/>
              </w:rPr>
            </w:pPr>
            <w:r>
              <w:rPr>
                <w:rFonts w:hint="eastAsia" w:asciiTheme="minorEastAsia" w:hAnsiTheme="minorEastAsia" w:eastAsiaTheme="minorEastAsia" w:cstheme="minorEastAsia"/>
                <w:b w:val="0"/>
                <w:bCs/>
                <w:sz w:val="24"/>
                <w:szCs w:val="24"/>
              </w:rPr>
              <w:t xml:space="preserve">开标时间：</w:t>
            </w:r>
            <w:r>
              <w:rPr>
                <w:rFonts w:hint="eastAsia" w:asciiTheme="minorEastAsia" w:hAnsiTheme="minorEastAsia" w:eastAsiaTheme="minorEastAsia" w:cstheme="minorEastAsia"/>
                <w:b w:val="0"/>
                <w:bCs/>
                <w:sz w:val="24"/>
                <w:szCs w:val="24"/>
                <w:u w:val="single"/>
              </w:rPr>
              <w:t xml:space="preserve">同投标文件提交截止时间</w:t>
            </w:r>
            <w:r/>
          </w:p>
          <w:p>
            <w:pPr>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开标地点：</w:t>
            </w:r>
            <w:r>
              <w:rPr>
                <w:rFonts w:hint="eastAsia" w:asciiTheme="minorEastAsia" w:hAnsiTheme="minorEastAsia" w:eastAsiaTheme="minorEastAsia" w:cstheme="minorEastAsia"/>
                <w:b w:val="0"/>
                <w:bCs/>
                <w:sz w:val="24"/>
                <w:szCs w:val="24"/>
                <w:u w:val="single"/>
              </w:rPr>
              <w:t xml:space="preserve"> 同投标文件提交地点 </w:t>
            </w:r>
            <w:r/>
          </w:p>
        </w:tc>
      </w:tr>
      <w:tr>
        <w:trPr>
          <w:trHeight w:val="69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5.1.3</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解密时长</w:t>
            </w:r>
            <w:r/>
          </w:p>
        </w:tc>
        <w:tc>
          <w:tcPr>
            <w:tcW w:w="5629" w:type="dxa"/>
            <w:vAlign w:val="center"/>
            <w:textDirection w:val="lrTb"/>
            <w:noWrap w:val="false"/>
          </w:tcPr>
          <w:p>
            <w:pPr>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u w:val="single"/>
              </w:rPr>
              <w:t xml:space="preserve">30</w:t>
            </w:r>
            <w:r>
              <w:rPr>
                <w:rFonts w:hint="eastAsia" w:asciiTheme="minorEastAsia" w:hAnsiTheme="minorEastAsia" w:eastAsiaTheme="minorEastAsia" w:cstheme="minorEastAsia"/>
                <w:b w:val="0"/>
                <w:bCs/>
                <w:sz w:val="24"/>
                <w:szCs w:val="24"/>
              </w:rPr>
              <w:t xml:space="preserve">分钟</w:t>
            </w:r>
            <w:r/>
          </w:p>
        </w:tc>
      </w:tr>
      <w:tr>
        <w:trPr>
          <w:trHeight w:val="63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评标委员会成员</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评标委员会人数：</w:t>
            </w:r>
            <w:r>
              <w:rPr>
                <w:rFonts w:hint="eastAsia" w:asciiTheme="minorEastAsia" w:hAnsiTheme="minorEastAsia" w:eastAsiaTheme="minorEastAsia" w:cstheme="minorEastAsia"/>
                <w:b w:val="0"/>
                <w:bCs/>
                <w:sz w:val="24"/>
                <w:szCs w:val="24"/>
                <w:u w:val="single"/>
              </w:rPr>
              <w:t xml:space="preserve"> 5 </w:t>
            </w:r>
            <w:r>
              <w:rPr>
                <w:rFonts w:hint="eastAsia" w:asciiTheme="minorEastAsia" w:hAnsiTheme="minorEastAsia" w:eastAsiaTheme="minorEastAsia" w:cstheme="minorEastAsia"/>
                <w:b w:val="0"/>
                <w:bCs/>
                <w:sz w:val="24"/>
                <w:szCs w:val="24"/>
              </w:rPr>
              <w:t xml:space="preserve">人；其中：采购人代表</w:t>
            </w:r>
            <w:r>
              <w:rPr>
                <w:rFonts w:hint="eastAsia" w:asciiTheme="minorEastAsia" w:hAnsiTheme="minorEastAsia" w:eastAsiaTheme="minorEastAsia" w:cstheme="minorEastAsia"/>
                <w:b w:val="0"/>
                <w:bCs/>
                <w:sz w:val="24"/>
                <w:szCs w:val="24"/>
                <w:u w:val="single"/>
              </w:rPr>
              <w:t xml:space="preserve"> 1 </w:t>
            </w:r>
            <w:r>
              <w:rPr>
                <w:rFonts w:hint="eastAsia" w:asciiTheme="minorEastAsia" w:hAnsiTheme="minorEastAsia" w:eastAsiaTheme="minorEastAsia" w:cstheme="minorEastAsia"/>
                <w:b w:val="0"/>
                <w:bCs/>
                <w:sz w:val="24"/>
                <w:szCs w:val="24"/>
              </w:rPr>
              <w:t xml:space="preserve">人，评审专家</w:t>
            </w:r>
            <w:r>
              <w:rPr>
                <w:rFonts w:hint="eastAsia" w:asciiTheme="minorEastAsia" w:hAnsiTheme="minorEastAsia" w:eastAsiaTheme="minorEastAsia" w:cstheme="minorEastAsia"/>
                <w:b w:val="0"/>
                <w:bCs/>
                <w:sz w:val="24"/>
                <w:szCs w:val="24"/>
                <w:u w:val="single"/>
              </w:rPr>
              <w:t xml:space="preserve"> 4 </w:t>
            </w:r>
            <w:r>
              <w:rPr>
                <w:rFonts w:hint="eastAsia" w:asciiTheme="minorEastAsia" w:hAnsiTheme="minorEastAsia" w:eastAsiaTheme="minorEastAsia" w:cstheme="minorEastAsia"/>
                <w:b w:val="0"/>
                <w:bCs/>
                <w:sz w:val="24"/>
                <w:szCs w:val="24"/>
              </w:rPr>
              <w:t xml:space="preserve">人；或</w:t>
            </w:r>
            <w:r>
              <w:rPr>
                <w:rFonts w:hint="eastAsia" w:asciiTheme="minorEastAsia" w:hAnsiTheme="minorEastAsia" w:eastAsiaTheme="minorEastAsia" w:cstheme="minorEastAsia"/>
                <w:b w:val="0"/>
                <w:bCs/>
                <w:sz w:val="24"/>
                <w:szCs w:val="24"/>
                <w:u w:val="single"/>
              </w:rPr>
              <w:t xml:space="preserve">全部由评审专家</w:t>
            </w:r>
            <w:r>
              <w:rPr>
                <w:rFonts w:hint="eastAsia" w:asciiTheme="minorEastAsia" w:hAnsiTheme="minorEastAsia" w:eastAsiaTheme="minorEastAsia" w:cstheme="minorEastAsia"/>
                <w:b w:val="0"/>
                <w:bCs/>
                <w:sz w:val="24"/>
                <w:szCs w:val="24"/>
              </w:rPr>
              <w:t xml:space="preserve">组成。 </w:t>
            </w:r>
            <w:r/>
          </w:p>
        </w:tc>
      </w:tr>
      <w:tr>
        <w:trPr>
          <w:trHeight w:val="684"/>
        </w:trPr>
        <w:tc>
          <w:tcPr>
            <w:tcW w:w="113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5.4.2</w:t>
            </w:r>
            <w:r/>
          </w:p>
        </w:tc>
        <w:tc>
          <w:tcPr>
            <w:tcW w:w="2560"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评标委员会确定的</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中标候选人名单数量</w:t>
            </w:r>
            <w:r/>
          </w:p>
        </w:tc>
        <w:tc>
          <w:tcPr>
            <w:tcW w:w="5629"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u w:val="single"/>
              </w:rPr>
              <w:t xml:space="preserve"> 3 </w:t>
            </w:r>
            <w:r>
              <w:rPr>
                <w:rFonts w:hint="eastAsia" w:asciiTheme="minorEastAsia" w:hAnsiTheme="minorEastAsia" w:eastAsiaTheme="minorEastAsia" w:cstheme="minorEastAsia"/>
                <w:b w:val="0"/>
                <w:bCs/>
                <w:sz w:val="24"/>
                <w:szCs w:val="24"/>
              </w:rPr>
              <w:t xml:space="preserve">名</w:t>
            </w:r>
            <w:r/>
          </w:p>
        </w:tc>
      </w:tr>
      <w:tr>
        <w:trPr>
          <w:trHeight w:val="728"/>
        </w:trPr>
        <w:tc>
          <w:tcPr>
            <w:tcW w:w="113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6.1.2</w:t>
            </w:r>
            <w:r/>
          </w:p>
        </w:tc>
        <w:tc>
          <w:tcPr>
            <w:tcW w:w="2560"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是否委托评标委员会</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直接确定中标人</w:t>
            </w:r>
            <w:r/>
          </w:p>
        </w:tc>
        <w:tc>
          <w:tcPr>
            <w:tcW w:w="5629" w:type="dxa"/>
            <w:vAlign w:val="center"/>
            <w:textDirection w:val="lrTb"/>
            <w:noWrap w:val="false"/>
          </w:tcPr>
          <w:p>
            <w:pPr>
              <w:ind w:right="113"/>
              <w:jc w:val="left"/>
              <w:rPr>
                <w:b w:val="0"/>
                <w:bCs/>
              </w:rPr>
            </w:pPr>
            <w:r>
              <w:rPr>
                <w:rFonts w:ascii="宋体" w:hAnsi="宋体" w:cs="宋体"/>
                <w:b w:val="0"/>
                <w:bCs/>
                <w:color w:val="000000"/>
                <w:sz w:val="24"/>
              </w:rPr>
              <w:t xml:space="preserve">□</w:t>
            </w:r>
            <w:r>
              <w:rPr>
                <w:rFonts w:hint="eastAsia" w:asciiTheme="minorEastAsia" w:hAnsiTheme="minorEastAsia" w:eastAsiaTheme="minorEastAsia" w:cstheme="minorEastAsia"/>
                <w:b w:val="0"/>
                <w:bCs/>
                <w:sz w:val="24"/>
                <w:szCs w:val="24"/>
              </w:rPr>
              <w:t xml:space="preserve">是</w:t>
            </w:r>
            <w:r/>
          </w:p>
          <w:p>
            <w:pPr>
              <w:ind w:right="113"/>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☑否</w:t>
            </w:r>
            <w:r/>
          </w:p>
        </w:tc>
      </w:tr>
      <w:tr>
        <w:trPr>
          <w:trHeight w:val="92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7.2.8</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投诉受理部门</w:t>
            </w:r>
            <w:r/>
          </w:p>
        </w:tc>
        <w:tc>
          <w:tcPr>
            <w:tcW w:w="5629" w:type="dxa"/>
            <w:vAlign w:val="center"/>
            <w:textDirection w:val="lrTb"/>
            <w:noWrap w:val="false"/>
          </w:tcPr>
          <w:p>
            <w:pPr>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名称：靖江市财政局</w:t>
            </w:r>
            <w:r/>
          </w:p>
          <w:p>
            <w:pPr>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地址：靖江市政务服务中心4楼</w:t>
            </w:r>
            <w:r/>
          </w:p>
          <w:p>
            <w:pPr>
              <w:spacing w:line="400" w:lineRule="exact"/>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电话：0523-89182489</w:t>
            </w:r>
            <w:r/>
          </w:p>
        </w:tc>
      </w:tr>
      <w:tr>
        <w:trPr>
          <w:trHeight w:val="18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招标代理费</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（1）根据采购人与招标代理人签订的《委托代理合同》的约定，本项目招标代理服务费用由中标人承担。标准为苏政采协[2024]20号文标准的55%【（计算基数为300万元】。</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（2）招标代理费不单独列项，无论投标人如何报价，均视为包含在投标人投标报价中。</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（3）中标人在领取中标通知书前需将招标代理费用一次性支付给招标代理人。</w:t>
            </w:r>
            <w:r/>
          </w:p>
        </w:tc>
      </w:tr>
    </w:tbl>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24"/>
        </w:rPr>
      </w:pPr>
      <w:r>
        <w:rPr>
          <w:rFonts w:hint="eastAsia" w:ascii="宋体" w:hAnsi="宋体" w:cs="宋体"/>
          <w:b/>
          <w:bCs/>
          <w:sz w:val="32"/>
          <w:szCs w:val="32"/>
        </w:rPr>
        <w:t xml:space="preserve">投标人须知</w:t>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一、总则</w:t>
      </w:r>
      <w:r/>
    </w:p>
    <w:p>
      <w:pPr>
        <w:pStyle w:val="928"/>
        <w:ind w:firstLine="482"/>
        <w:spacing w:before="0" w:after="0" w:line="440" w:lineRule="exact"/>
        <w:rPr>
          <w:b/>
          <w:bCs/>
          <w:szCs w:val="24"/>
        </w:rPr>
      </w:pPr>
      <w:r/>
      <w:bookmarkStart w:id="30" w:name="_Toc387526180"/>
      <w:r/>
      <w:bookmarkStart w:id="31" w:name="_Toc8645"/>
      <w:r/>
      <w:bookmarkStart w:id="32" w:name="_Toc29754"/>
      <w:r/>
      <w:bookmarkStart w:id="33" w:name="_Toc387526284"/>
      <w:r/>
      <w:bookmarkStart w:id="34" w:name="_Toc9727"/>
      <w:r/>
      <w:bookmarkStart w:id="35" w:name="_Toc3640"/>
      <w:r/>
      <w:bookmarkStart w:id="36" w:name="_Toc387526376"/>
      <w:r/>
      <w:bookmarkStart w:id="37" w:name="_Toc3629"/>
      <w:r/>
      <w:bookmarkStart w:id="38" w:name="_Toc5365"/>
      <w:r>
        <w:rPr>
          <w:rFonts w:hint="eastAsia"/>
          <w:b/>
          <w:bCs/>
          <w:szCs w:val="24"/>
        </w:rPr>
        <w:t xml:space="preserve">1.1 项目概况</w:t>
      </w:r>
      <w:bookmarkEnd w:id="30"/>
      <w:r/>
      <w:bookmarkEnd w:id="31"/>
      <w:r/>
      <w:bookmarkEnd w:id="32"/>
      <w:r/>
      <w:bookmarkEnd w:id="33"/>
      <w:r/>
      <w:bookmarkEnd w:id="34"/>
      <w:r/>
      <w:bookmarkEnd w:id="35"/>
      <w:r/>
      <w:bookmarkEnd w:id="36"/>
      <w:r/>
      <w:bookmarkEnd w:id="37"/>
      <w:r/>
      <w:bookmarkEnd w:id="38"/>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1.1.1 根据《中华人民共和国政府采购法》、《中华人民共和国政府采购法实施条例》等有关法律、法规和规章的规定，现对本项目进行公开招标采购。</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1.1.2采购人：见投标人须知前附表。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1.1.3采购代理机构：见投标人须知前附表。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1.1.4项目名称：见投标人须知前附表。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1.1.5项目编号：见投标人须知前附表。</w:t>
      </w:r>
      <w:bookmarkStart w:id="39" w:name="_Toc10060"/>
      <w:r/>
      <w:bookmarkStart w:id="40" w:name="_Toc30088"/>
      <w:r/>
      <w:bookmarkStart w:id="41" w:name="_Toc12333"/>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1.1.6采购预算：见投标人须知前附表。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1.1.7最高限价：见投标人须知前附表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1.1.8是否接受进口产品投标：见投标人须知前附表。进口产品是指通过中国海关报关验放进入中国境内且产自关境外的产品。</w:t>
      </w:r>
      <w:r/>
    </w:p>
    <w:p>
      <w:pPr>
        <w:pStyle w:val="928"/>
        <w:ind w:firstLine="482"/>
        <w:spacing w:before="0" w:after="0" w:line="440" w:lineRule="exact"/>
        <w:rPr>
          <w:rFonts w:ascii="黑体" w:cs="黑体"/>
          <w:b/>
          <w:bCs/>
          <w:szCs w:val="24"/>
        </w:rPr>
      </w:pPr>
      <w:r>
        <w:rPr>
          <w:rFonts w:hint="eastAsia" w:ascii="黑体" w:cs="黑体"/>
          <w:b/>
          <w:bCs/>
          <w:szCs w:val="24"/>
        </w:rPr>
        <w:t xml:space="preserve">1.2</w:t>
      </w:r>
      <w:bookmarkEnd w:id="39"/>
      <w:r/>
      <w:bookmarkEnd w:id="40"/>
      <w:r/>
      <w:bookmarkEnd w:id="41"/>
      <w:r>
        <w:rPr>
          <w:rFonts w:hint="eastAsia" w:ascii="黑体" w:cs="黑体"/>
          <w:b/>
          <w:bCs/>
          <w:szCs w:val="24"/>
        </w:rPr>
        <w:t xml:space="preserve">合同履行期限及验收要求</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1.2.1合同履行期限：见投标须知前附表。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1.2.2 验收要求：见投标须知前附表。</w:t>
      </w:r>
      <w:r/>
    </w:p>
    <w:p>
      <w:pPr>
        <w:pStyle w:val="928"/>
        <w:ind w:firstLine="482"/>
        <w:spacing w:before="0" w:after="0" w:line="440" w:lineRule="exact"/>
        <w:rPr>
          <w:rFonts w:ascii="黑体" w:cs="黑体"/>
          <w:b/>
          <w:bCs/>
          <w:szCs w:val="24"/>
        </w:rPr>
      </w:pPr>
      <w:r/>
      <w:bookmarkStart w:id="42" w:name="_Toc23392"/>
      <w:r/>
      <w:bookmarkStart w:id="43" w:name="_Toc10223"/>
      <w:r/>
      <w:bookmarkStart w:id="44" w:name="_Toc19315"/>
      <w:r>
        <w:rPr>
          <w:rFonts w:hint="eastAsia" w:ascii="黑体" w:cs="黑体"/>
          <w:b/>
          <w:bCs/>
          <w:szCs w:val="24"/>
        </w:rPr>
        <w:t xml:space="preserve">1.3 本项目所属行业</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1.3.1 本项目所属行业：见投标人须知前附表。</w:t>
      </w:r>
      <w:r/>
    </w:p>
    <w:p>
      <w:pPr>
        <w:pStyle w:val="928"/>
        <w:ind w:firstLine="482"/>
        <w:spacing w:before="0" w:after="0" w:line="440" w:lineRule="exact"/>
        <w:rPr>
          <w:rFonts w:ascii="黑体" w:cs="黑体"/>
          <w:b/>
          <w:bCs/>
          <w:szCs w:val="24"/>
        </w:rPr>
      </w:pPr>
      <w:r>
        <w:rPr>
          <w:rFonts w:hint="eastAsia" w:ascii="黑体" w:cs="黑体"/>
          <w:b/>
          <w:bCs/>
          <w:szCs w:val="24"/>
        </w:rPr>
        <w:t xml:space="preserve">1.4 投标人的资格条件</w:t>
      </w:r>
      <w:bookmarkEnd w:id="42"/>
      <w:r/>
      <w:bookmarkEnd w:id="43"/>
      <w:r/>
      <w:bookmarkEnd w:id="44"/>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1.4.1 参加本次政府采购活动的投标人应当具备的资格条件：见“投标人须知前附表”。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1.4.2 参加本次政府采购活动的投标人应当具备的特定资格条件：见“投标人须知前附表”。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1.4.3 投标截止时间当日，投标人有下列情形之一的，不得参加本采购项目招标投标活动：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（1）单位负责人为同一人或者存在直接控股、管理关系的不同投标人；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（2）被各级财政主管部门取消采购项目所在地的投标资格且处于有效期内；</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（3）被责令停业，暂扣或吊销营业执照，或吊销资质证书；</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（4）进入清算程序，或被宣告破产，或其他丧失履约能力的情形；</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（5）在“中国政府采购网(www.ccgp.gov.cn)”中被列入“政府采购严重违法失信行为记录名单》” （由采购人或采购代理机构在资格审查时，通过相关网站查询为准）；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（6）在“信用中国（http://www.creditchina.gov.cn/）”网站中被列入“失信被执行人名单”或“税收违法黑名单”（由采购人或采购代理机构在资格审查时，通过相关网站查询为准）；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（7）为采购项目提供整体设计、规范编制或者项目管理、监理、检测等服务的投标人，不得再参加该采购项目的其他采购活动；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（8）法律、法规规定的其他情形。</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1.4.4 本项目是否接受联合体投标：见供应商须知前附表。</w:t>
      </w:r>
      <w:r/>
    </w:p>
    <w:p>
      <w:pPr>
        <w:pStyle w:val="928"/>
        <w:ind w:firstLine="482"/>
        <w:spacing w:before="0" w:after="0" w:line="440" w:lineRule="exact"/>
        <w:rPr>
          <w:rFonts w:ascii="黑体" w:cs="黑体"/>
          <w:b/>
          <w:bCs/>
          <w:szCs w:val="24"/>
        </w:rPr>
      </w:pPr>
      <w:r/>
      <w:bookmarkStart w:id="45" w:name="_Toc9211"/>
      <w:r/>
      <w:bookmarkStart w:id="46" w:name="_Toc4763"/>
      <w:r/>
      <w:bookmarkStart w:id="47" w:name="_Toc2634"/>
      <w:r>
        <w:rPr>
          <w:rFonts w:hint="eastAsia" w:ascii="黑体" w:cs="黑体"/>
          <w:b/>
          <w:bCs/>
          <w:szCs w:val="24"/>
        </w:rPr>
        <w:t xml:space="preserve">1.5 投标费用</w:t>
      </w:r>
      <w:bookmarkEnd w:id="45"/>
      <w:r/>
      <w:bookmarkEnd w:id="46"/>
      <w:r/>
      <w:bookmarkEnd w:id="47"/>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投标人应自行承担所有与编写、提交投标文件等有关费用。采购人和采购人代理人在任何情况下均无义务和责任承担这些费用。</w:t>
      </w:r>
      <w:r/>
    </w:p>
    <w:p>
      <w:pPr>
        <w:pStyle w:val="928"/>
        <w:ind w:firstLine="482"/>
        <w:spacing w:before="0" w:after="0" w:line="440" w:lineRule="exact"/>
        <w:rPr>
          <w:rFonts w:ascii="黑体" w:cs="黑体"/>
          <w:b/>
          <w:bCs/>
          <w:szCs w:val="24"/>
        </w:rPr>
      </w:pPr>
      <w:r/>
      <w:bookmarkStart w:id="48" w:name="_Toc11299"/>
      <w:r/>
      <w:bookmarkStart w:id="49" w:name="_Toc27420"/>
      <w:r/>
      <w:bookmarkStart w:id="50" w:name="_Toc14340"/>
      <w:r>
        <w:rPr>
          <w:rFonts w:hint="eastAsia" w:ascii="黑体" w:cs="黑体"/>
          <w:b/>
          <w:bCs/>
          <w:szCs w:val="24"/>
        </w:rPr>
        <w:t xml:space="preserve">1.6</w:t>
      </w:r>
      <w:bookmarkEnd w:id="48"/>
      <w:r>
        <w:rPr>
          <w:rFonts w:hint="eastAsia" w:ascii="黑体" w:cs="黑体"/>
          <w:b/>
          <w:bCs/>
          <w:szCs w:val="24"/>
        </w:rPr>
        <w:t xml:space="preserve"> </w:t>
      </w:r>
      <w:bookmarkEnd w:id="49"/>
      <w:r/>
      <w:bookmarkEnd w:id="50"/>
      <w:r>
        <w:rPr>
          <w:rFonts w:hint="eastAsia" w:ascii="黑体" w:cs="黑体"/>
          <w:b/>
          <w:bCs/>
          <w:szCs w:val="24"/>
        </w:rPr>
        <w:t xml:space="preserve">政府采购政策功能落实</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1.6.1 中小企业</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（1）根据《政府采购促进中小企业发展管理办法》（财库〔2020〕46号）规定，在政府采购活动中，供应商提供的服务全部由中小企业承接，享受中小企业扶持政策：</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（2）采购人、采购代理机构将对符合规定的小微企业报价给予10%的价格扣除，用扣除后的价格参与评审。</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（3）中小企业参加政府采购活动，应当出具《中小企业声明函》。否则不得享受相关中小企业扶持政策。</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1.6.2 残疾人福利性单位</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根据《关于促进残疾人就业政府采购政策的通知》（财库〔2017〕141号）的规定，残疾人福利性单位视同小型、微型企业,享受评审中价格扣除政策。残疾人福利性单位属于小型、微型企业的，不重复享受政策。</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（2）残疾人福利性单位在参加政府采购活动时，应当按招标文件要求提供《残疾人福利性单位声明函》，并对声明的真实性负责。否则不得享受相关中小企业扶持政策。</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1.6.3 监狱企业</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（1）根据《财政部 司法部关于政府采购支持监狱企业发展有关问题的通知》（财库〔2014〕68号）的规定，监狱企业视同小型、微型企业，享受评审中价格扣除政策。监狱企业属于小型、微型企业的，不重复享受政策。</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（2）监狱企业参加政府采购活动时，应当提供由省级以上监狱管理局、戒毒管理局（含新疆生产建设兵团）出具的属于监狱企业的证明文件。否则不得享受相关中小企业扶持政策。</w:t>
      </w:r>
      <w:r/>
    </w:p>
    <w:p>
      <w:pPr>
        <w:pStyle w:val="928"/>
        <w:ind w:firstLine="482"/>
        <w:spacing w:before="0" w:after="0" w:line="440" w:lineRule="exact"/>
        <w:rPr>
          <w:rFonts w:ascii="黑体" w:cs="黑体"/>
          <w:b/>
          <w:bCs/>
          <w:szCs w:val="24"/>
        </w:rPr>
      </w:pPr>
      <w:r/>
      <w:bookmarkStart w:id="51" w:name="_Toc11883"/>
      <w:r/>
      <w:bookmarkStart w:id="52" w:name="_Toc1291"/>
      <w:r/>
      <w:bookmarkStart w:id="53" w:name="_Toc20762"/>
      <w:r>
        <w:rPr>
          <w:rFonts w:hint="eastAsia" w:ascii="黑体" w:cs="黑体"/>
          <w:b/>
          <w:bCs/>
          <w:szCs w:val="24"/>
        </w:rPr>
        <w:t xml:space="preserve">1.7  投标语言及计量单位</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1.7.1 投标人提交的投标文件以及投标人就有关投标的所有来往函电均应使用中文。投标人可以在投标文件中提交用其他语言打印的数据或资料，但是必须提供由专业翻译机构出具的中文译文，并以中文译文为准，否则视同未提供该数据或资料。</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1.7.2 投标文件中所使用的计量单位，除招标文件有特殊规定外，应使用中华人民共和国法定计量单位。</w:t>
      </w:r>
      <w:bookmarkEnd w:id="51"/>
      <w:r/>
      <w:bookmarkEnd w:id="52"/>
      <w:r/>
      <w:bookmarkEnd w:id="53"/>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二、招标文件</w:t>
      </w:r>
      <w:r/>
    </w:p>
    <w:p>
      <w:pPr>
        <w:pStyle w:val="928"/>
        <w:ind w:firstLine="482"/>
        <w:spacing w:before="0" w:after="0" w:line="440" w:lineRule="exact"/>
        <w:rPr>
          <w:rFonts w:ascii="黑体" w:cs="黑体"/>
          <w:b/>
          <w:bCs/>
          <w:szCs w:val="24"/>
        </w:rPr>
      </w:pPr>
      <w:r/>
      <w:bookmarkStart w:id="54" w:name="_Toc27315"/>
      <w:r/>
      <w:bookmarkStart w:id="55" w:name="_Toc20640"/>
      <w:r/>
      <w:bookmarkStart w:id="56" w:name="_Toc23238"/>
      <w:r>
        <w:rPr>
          <w:rFonts w:hint="eastAsia" w:ascii="黑体" w:cs="黑体"/>
          <w:b/>
          <w:bCs/>
          <w:szCs w:val="24"/>
        </w:rPr>
        <w:t xml:space="preserve">2.1 招标文件构成</w:t>
      </w:r>
      <w:bookmarkEnd w:id="54"/>
      <w:r/>
      <w:bookmarkEnd w:id="55"/>
      <w:r/>
      <w:bookmarkEnd w:id="56"/>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2.1.1 本招标文件包括（但并不仅限于）：</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第一章 招标公告</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第二章 投标人须知及前附表</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第三章 资格审查办法</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第四章 评标办法</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第五章 合同格式及条款</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第六章 采购项目需求</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第七章 投标文件格式</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2.1.2 对采购文件所作的答疑、澄清、修改，构成招标文件的组成部分。当上述文件相互之间发生矛盾时，以后发出的文件为准。</w:t>
      </w:r>
      <w:r/>
    </w:p>
    <w:p>
      <w:pPr>
        <w:pStyle w:val="928"/>
        <w:ind w:firstLine="482"/>
        <w:spacing w:before="0" w:after="0" w:line="440" w:lineRule="exact"/>
        <w:rPr>
          <w:rFonts w:ascii="黑体" w:cs="黑体"/>
          <w:b/>
          <w:bCs/>
          <w:szCs w:val="24"/>
        </w:rPr>
      </w:pPr>
      <w:r/>
      <w:bookmarkStart w:id="57" w:name="_Toc19552"/>
      <w:r/>
      <w:bookmarkStart w:id="58" w:name="_Toc1392"/>
      <w:r/>
      <w:bookmarkStart w:id="59" w:name="_Toc17142"/>
      <w:r>
        <w:rPr>
          <w:rFonts w:hint="eastAsia" w:ascii="黑体" w:cs="黑体"/>
          <w:b/>
          <w:bCs/>
          <w:szCs w:val="24"/>
        </w:rPr>
        <w:t xml:space="preserve">2.2 招标文件的澄清</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2.2.1 投标人对已依法获取的招标文件发现问题、或产生疑问，应当在投标须知前附表规定的截止时间前，采用书面形式向采购人或采购代理机构提出询问或澄清要求。</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2.2.2招标文件的澄清将通过“江苏政府采购网（http://www.ccgp-jiangsu.gov.cn/）”公开发布。澄清是构成招标文件的组成部分。</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2.2.3 如果澄清的内容影响投标文件编制且不能满足投标人编制投标文件时间，采购人将视情况可能适当延长投标截止时间。</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2.2.4投标人应及时通过“江苏政府采购网（http://www.ccgp-jiangsu.gov.cn/）”查询和下载澄清文件，查询和下载如有遗漏，其风险由投标人自行承担。</w:t>
      </w:r>
      <w:r/>
    </w:p>
    <w:p>
      <w:pPr>
        <w:pStyle w:val="928"/>
        <w:ind w:firstLine="482"/>
        <w:spacing w:before="0" w:after="0" w:line="440" w:lineRule="exact"/>
        <w:rPr>
          <w:rFonts w:ascii="黑体" w:cs="黑体"/>
          <w:b/>
          <w:bCs/>
          <w:szCs w:val="24"/>
        </w:rPr>
      </w:pPr>
      <w:r>
        <w:rPr>
          <w:rFonts w:hint="eastAsia" w:ascii="黑体" w:cs="黑体"/>
          <w:b/>
          <w:bCs/>
          <w:szCs w:val="24"/>
        </w:rPr>
        <w:t xml:space="preserve">2.3 招标文件的修改</w:t>
      </w:r>
      <w:bookmarkEnd w:id="57"/>
      <w:r/>
      <w:bookmarkEnd w:id="58"/>
      <w:r/>
      <w:bookmarkEnd w:id="59"/>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2.3.1 采购人或者采购代理机构可以对已发出的招标文件进行必要的修改。招标文件的修改将通过“江苏政府采购网（http://www.ccgp-jiangsu.gov.cn/）”公开发布。招标文件的修改是构成招标文件的组成部分。</w:t>
      </w:r>
      <w:r/>
    </w:p>
    <w:p>
      <w:pPr>
        <w:ind w:firstLine="480"/>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2.3.2 如果修改内容影响投标文件编制且不能满足投标人编制投标文件时间，采购人将视情况可能适当延长投标截止时间。</w:t>
      </w:r>
      <w:r/>
    </w:p>
    <w:p>
      <w:pPr>
        <w:ind w:firstLine="480"/>
        <w:jc w:val="left"/>
        <w:spacing w:line="440" w:lineRule="exact"/>
        <w:rPr>
          <w:rFonts w:ascii="华文中宋" w:hAnsi="华文中宋" w:eastAsia="华文中宋" w:cs="华文中宋"/>
          <w:sz w:val="24"/>
          <w:szCs w:val="24"/>
        </w:rPr>
      </w:pPr>
      <w:r>
        <w:rPr>
          <w:rFonts w:hint="eastAsia" w:ascii="华文中宋" w:hAnsi="华文中宋" w:eastAsia="华文中宋" w:cs="华文中宋"/>
          <w:sz w:val="24"/>
          <w:szCs w:val="24"/>
        </w:rPr>
        <w:t xml:space="preserve">2.3.3投标人应及时通过“江苏政府采购网（http://www.ccgp-jiangsu.gov.cn/）”查询和下载招标文件的修改，查询和下载如有遗漏，其风险由投标人自行承担。</w:t>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三、投标文件</w:t>
      </w:r>
      <w:r/>
    </w:p>
    <w:p>
      <w:pPr>
        <w:pStyle w:val="928"/>
        <w:ind w:firstLine="482"/>
        <w:spacing w:before="0" w:after="0" w:line="440" w:lineRule="exact"/>
        <w:rPr>
          <w:rFonts w:ascii="黑体" w:cs="黑体"/>
          <w:b/>
          <w:bCs/>
          <w:szCs w:val="24"/>
        </w:rPr>
      </w:pPr>
      <w:r/>
      <w:bookmarkStart w:id="60" w:name="_Toc32403"/>
      <w:r/>
      <w:bookmarkStart w:id="61" w:name="_Toc19018"/>
      <w:r/>
      <w:bookmarkStart w:id="62" w:name="_Toc23314"/>
      <w:r>
        <w:rPr>
          <w:rFonts w:hint="eastAsia" w:ascii="黑体" w:cs="黑体"/>
          <w:b/>
          <w:bCs/>
          <w:szCs w:val="24"/>
        </w:rPr>
        <w:t xml:space="preserve">3.1 投标文件构成</w:t>
      </w:r>
      <w:bookmarkEnd w:id="60"/>
      <w:r/>
      <w:bookmarkEnd w:id="61"/>
      <w:r/>
      <w:bookmarkEnd w:id="62"/>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3.1.1 投标人编写的投标文件应包括资格证明文件、实质性要求响应及偏离表、投标分项报价表、技术要求响应及偏离表、商务要求响应及偏离表、其他证明文件、投标函、开标一览表等部分。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3.1.2 如标书制作工具中格式和内容与“江苏政府采购网”发布的招标文件不一致，请以“江苏政府采购网”发布的招标文件为准。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3.1.3 评标过程中，投标人根据评标委员会要求作出的澄清、修改，构成投标文件的组成部分。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3.1.4 第七章“投标文件格式”中要求提供相关证明材料作为附件的，投标人应按要求在投标文件中提供相应证明材料。否则，不予认可。</w:t>
      </w:r>
      <w:r/>
    </w:p>
    <w:p>
      <w:pPr>
        <w:pStyle w:val="928"/>
        <w:ind w:firstLine="482"/>
        <w:spacing w:before="0" w:after="0" w:line="440" w:lineRule="exact"/>
        <w:rPr>
          <w:rFonts w:ascii="黑体" w:cs="黑体"/>
          <w:b/>
          <w:bCs/>
          <w:szCs w:val="24"/>
        </w:rPr>
      </w:pPr>
      <w:r/>
      <w:bookmarkStart w:id="63" w:name="_Toc25754"/>
      <w:r/>
      <w:bookmarkStart w:id="64" w:name="_Toc10094"/>
      <w:r/>
      <w:bookmarkStart w:id="65" w:name="_Toc11397"/>
      <w:r>
        <w:rPr>
          <w:rFonts w:hint="eastAsia" w:ascii="黑体" w:cs="黑体"/>
          <w:b/>
          <w:bCs/>
          <w:szCs w:val="24"/>
        </w:rPr>
        <w:t xml:space="preserve">3.2.投标报价</w:t>
      </w:r>
      <w:bookmarkEnd w:id="63"/>
      <w:r/>
      <w:bookmarkEnd w:id="64"/>
      <w:r/>
      <w:bookmarkEnd w:id="65"/>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3.2.1投标报价为完成本项目从样本接收、包装、运输、检测、出具报告、实验数据及样本回收及与此相关的全部服务费用。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3.2.2 投标报价为一次不得更改报价，投标人只有一次报价的机会。投标报价不得有选择性报价和附有条件的报价，否则其投标无效。</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3.2.3 投标人应按招标文件要求填写“投标分项报价表”。对于采用货币报价的项目，开标一览表中的投标总报价应与投标分项报价表中的投标总报价一致，如不一致，不作为无效投标处理，但评标时按开标一览表中价格为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3.2.4 在合同实施期间，中标供应商的中标优惠率不因任何因素变化而调整。以可调整中标优惠率的投标文件，评标委员会将否决其投标。</w:t>
      </w:r>
      <w:r/>
    </w:p>
    <w:p>
      <w:pPr>
        <w:pStyle w:val="928"/>
        <w:ind w:firstLine="482"/>
        <w:spacing w:before="0" w:after="0" w:line="440" w:lineRule="exact"/>
        <w:rPr>
          <w:rFonts w:ascii="黑体" w:cs="黑体"/>
          <w:b/>
          <w:bCs/>
          <w:szCs w:val="24"/>
        </w:rPr>
      </w:pPr>
      <w:r/>
      <w:bookmarkStart w:id="66" w:name="_Toc10338"/>
      <w:r/>
      <w:bookmarkStart w:id="67" w:name="_Toc21868"/>
      <w:r/>
      <w:bookmarkStart w:id="68" w:name="_Toc15276"/>
      <w:r/>
      <w:bookmarkStart w:id="69" w:name="_Toc27515"/>
      <w:r/>
      <w:bookmarkStart w:id="70" w:name="_Toc5062"/>
      <w:r/>
      <w:bookmarkStart w:id="71" w:name="_Toc11258"/>
      <w:r/>
      <w:bookmarkStart w:id="72" w:name="_Toc17381"/>
      <w:r>
        <w:rPr>
          <w:rFonts w:hint="eastAsia" w:ascii="黑体" w:cs="黑体"/>
          <w:b/>
          <w:bCs/>
          <w:szCs w:val="24"/>
        </w:rPr>
        <w:t xml:space="preserve">3.3 投标有效期</w:t>
      </w:r>
      <w:bookmarkEnd w:id="66"/>
      <w:r/>
      <w:bookmarkEnd w:id="67"/>
      <w:r/>
      <w:bookmarkEnd w:id="68"/>
      <w:r/>
      <w:bookmarkEnd w:id="69"/>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3.3.1 在投标须知前附表规定的有效期内，投标文件应保持有效。有效期短于该规定期限的投标，将作为无效投标处理。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3.3.2 在特殊情况下，在原投标有效期期满之前，采购人可与投标人协商延长投标文件的有效期。这种要求和答复都应以书面形式进行。投标人可以拒绝接受延期要求。同意延长有效期的投标人除按照采购人要求修改投标文件有效期外，不得修改投标文件的其他内容。</w:t>
      </w:r>
      <w:r/>
    </w:p>
    <w:p>
      <w:pPr>
        <w:pStyle w:val="928"/>
        <w:ind w:firstLine="482"/>
        <w:spacing w:before="0" w:after="0" w:line="440" w:lineRule="exact"/>
        <w:rPr>
          <w:rFonts w:ascii="黑体" w:cs="黑体"/>
          <w:b/>
          <w:bCs/>
          <w:szCs w:val="24"/>
        </w:rPr>
      </w:pPr>
      <w:r/>
      <w:bookmarkStart w:id="73" w:name="_Toc15008"/>
      <w:r>
        <w:rPr>
          <w:rFonts w:hint="eastAsia" w:ascii="黑体" w:cs="黑体"/>
          <w:b/>
          <w:bCs/>
          <w:szCs w:val="24"/>
        </w:rPr>
        <w:t xml:space="preserve">3.4 投标文件的编制</w:t>
      </w:r>
      <w:bookmarkEnd w:id="73"/>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3.4.1 投标人应将下载的采购文件导入“政府采购客户端”，并按照《苏采云平台供应商操作手册》和第七章“投标文件格式”的要求制作投标文件。</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3.4.2 投标文件制作完成后导出投标文件（文件后缀为 zip）用于上传。</w:t>
      </w:r>
      <w:bookmarkEnd w:id="70"/>
      <w:r/>
      <w:bookmarkEnd w:id="71"/>
      <w:r/>
      <w:bookmarkEnd w:id="72"/>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四、投标文件的提交</w:t>
      </w:r>
      <w:r/>
    </w:p>
    <w:p>
      <w:pPr>
        <w:pStyle w:val="928"/>
        <w:ind w:firstLine="482"/>
        <w:spacing w:before="0" w:after="0" w:line="440" w:lineRule="exact"/>
        <w:rPr>
          <w:rFonts w:ascii="黑体" w:cs="黑体"/>
          <w:b/>
          <w:bCs/>
          <w:szCs w:val="24"/>
        </w:rPr>
      </w:pPr>
      <w:r/>
      <w:bookmarkStart w:id="74" w:name="_Toc24836"/>
      <w:r/>
      <w:bookmarkStart w:id="75" w:name="_Toc11648"/>
      <w:r/>
      <w:bookmarkStart w:id="76" w:name="_Toc17014"/>
      <w:r/>
      <w:bookmarkStart w:id="77" w:name="_Toc16990"/>
      <w:r>
        <w:rPr>
          <w:rFonts w:hint="eastAsia" w:ascii="黑体" w:cs="黑体"/>
          <w:b/>
          <w:bCs/>
          <w:szCs w:val="24"/>
        </w:rPr>
        <w:t xml:space="preserve">4.1</w:t>
      </w:r>
      <w:bookmarkEnd w:id="74"/>
      <w:r/>
      <w:bookmarkStart w:id="78" w:name="_Toc19436"/>
      <w:r>
        <w:rPr>
          <w:rFonts w:hint="eastAsia" w:ascii="黑体" w:cs="黑体"/>
          <w:b/>
          <w:bCs/>
          <w:szCs w:val="24"/>
        </w:rPr>
        <w:t xml:space="preserve">投标文件的</w:t>
      </w:r>
      <w:bookmarkEnd w:id="78"/>
      <w:r>
        <w:rPr>
          <w:rFonts w:hint="eastAsia" w:ascii="黑体" w:cs="黑体"/>
          <w:b/>
          <w:bCs/>
          <w:szCs w:val="24"/>
        </w:rPr>
        <w:t xml:space="preserve">提交</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4.1.1 投标人必须在投标须知前附表规定的提交投标文件截止时间前，进入“参与详情”页面，点击“上传文件”，上传已制作完成的投标文件，等待开标。</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4.1.2 投标人有下列情形之一的，采购人将拒绝接受其投标文件：</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（1）投标截止时间后上传的投标文件；</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（2）未上传至指定系统的投标文件。</w:t>
      </w:r>
      <w:bookmarkEnd w:id="75"/>
      <w:r/>
      <w:bookmarkEnd w:id="76"/>
      <w:r/>
      <w:bookmarkEnd w:id="77"/>
      <w:r/>
      <w:r/>
    </w:p>
    <w:p>
      <w:pPr>
        <w:pStyle w:val="928"/>
        <w:ind w:firstLine="482"/>
        <w:spacing w:before="0" w:after="0" w:line="440" w:lineRule="exact"/>
        <w:rPr>
          <w:rFonts w:ascii="黑体" w:cs="黑体"/>
          <w:b/>
          <w:bCs/>
          <w:szCs w:val="24"/>
        </w:rPr>
      </w:pPr>
      <w:r/>
      <w:bookmarkStart w:id="79" w:name="_Toc4761"/>
      <w:r/>
      <w:bookmarkStart w:id="80" w:name="_Toc15834"/>
      <w:r/>
      <w:bookmarkStart w:id="81" w:name="_Toc13169"/>
      <w:r>
        <w:rPr>
          <w:rFonts w:hint="eastAsia" w:ascii="黑体" w:cs="黑体"/>
          <w:b/>
          <w:bCs/>
          <w:szCs w:val="24"/>
        </w:rPr>
        <w:t xml:space="preserve">4.2 投标文件的修改和撤回</w:t>
      </w:r>
      <w:bookmarkEnd w:id="79"/>
      <w:r/>
      <w:bookmarkEnd w:id="80"/>
      <w:r/>
      <w:bookmarkEnd w:id="81"/>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4.2.1 投标人在投标截止时间前，可以对所提交的投标文件进行补充、修改或者撤回。</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4.2.2 如果投标文件在客户端重新修改过了，需要重新导出和上传新投标文件。可将原先上传的投标文件撤回，撤回后，重新上传新投标文件。</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4.2.3 在投标有效期内，投标人不得撤回投标文件。投标人之间恶意串通而撤回投标的，将受到根据政府采购法律法规的有关规定做出的处理。</w:t>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五、开标、评标</w:t>
      </w:r>
      <w:r/>
    </w:p>
    <w:p>
      <w:pPr>
        <w:pStyle w:val="928"/>
        <w:ind w:firstLine="482"/>
        <w:spacing w:before="0" w:after="0" w:line="440" w:lineRule="exact"/>
        <w:rPr>
          <w:rFonts w:ascii="黑体" w:cs="黑体"/>
          <w:b/>
          <w:bCs/>
          <w:szCs w:val="24"/>
        </w:rPr>
      </w:pPr>
      <w:r/>
      <w:bookmarkStart w:id="82" w:name="_Toc5282"/>
      <w:r/>
      <w:bookmarkStart w:id="83" w:name="_Toc21656"/>
      <w:r/>
      <w:bookmarkStart w:id="84" w:name="_Toc26293"/>
      <w:r>
        <w:rPr>
          <w:rFonts w:hint="eastAsia" w:ascii="黑体" w:cs="黑体"/>
          <w:b/>
          <w:bCs/>
          <w:szCs w:val="24"/>
        </w:rPr>
        <w:t xml:space="preserve">5.1 开标</w:t>
      </w:r>
      <w:bookmarkEnd w:id="82"/>
      <w:r/>
      <w:bookmarkEnd w:id="83"/>
      <w:r/>
      <w:bookmarkEnd w:id="84"/>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5.1.1 采购人或采购代理机构在投标人须知前附表规定的开标时间和地点公开开标。投标人不足3家的，不得开标。</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5.1.2 投标人应当按照《操作手册》规定，参加开标活动和在苏采云系统规定的时间内对投标文件进行解密。投标人在开、评标全过程中应保持通讯畅通，及时登录苏采云系统查阅、答复相关信息，并安排专人与采购人及评标委员会联系。</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5.1.3 开标程序：</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（1）登录苏采云系统，点击“工作台”，选中“开标大厅”，选择对应项目；</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开标流程进入【解锁】环节点击【解锁】图标，并在投标须知前附表规定的解密时长内，使用CA证书进行标书解密，解锁完成后及时关注开标大厅，等待后续多次报价、答疑澄清等提示；在解密时长倒计时结束前，投标人可进行解密操作，当剩余时间为0后，投标人则不可以进行解密操作，系统会自动进入下一节点【唱标】</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（3）投标人在倒计时结束前点击【唱标确认】按钮进行开标记录确认，倒计时结束后系统将会视为已确认；</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（4）开标会议结束。</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5.1.4 开标时，投标文件中“开标一览表”内容与投标文件中相应内容不一致的，以“开标一览表”为准；大写金额与小写金额不一致的，以大写金额为准。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5.1.5 投标人代表对开标过程和开标记录有疑义，以及认为采购人、采购代理机构相关工作人员有需要回避的情形的，可通过【留言板】功能进行提出；请供应商谨慎发言以免被禁言。采购人或采购代理机构对投标人代表提出的询问或者回避申请应当及时处理。</w:t>
      </w:r>
      <w:r/>
    </w:p>
    <w:p>
      <w:pPr>
        <w:pStyle w:val="928"/>
        <w:ind w:firstLine="482"/>
        <w:spacing w:before="0" w:after="0" w:line="440" w:lineRule="exact"/>
        <w:rPr>
          <w:rFonts w:ascii="黑体" w:cs="黑体"/>
          <w:b/>
          <w:bCs/>
          <w:szCs w:val="24"/>
        </w:rPr>
      </w:pPr>
      <w:r/>
      <w:bookmarkStart w:id="85" w:name="_Toc15880"/>
      <w:r/>
      <w:bookmarkStart w:id="86" w:name="_Toc31967"/>
      <w:r/>
      <w:bookmarkStart w:id="87" w:name="_Toc3693"/>
      <w:r>
        <w:rPr>
          <w:rFonts w:hint="eastAsia" w:ascii="黑体" w:cs="黑体"/>
          <w:b/>
          <w:bCs/>
          <w:szCs w:val="24"/>
        </w:rPr>
        <w:t xml:space="preserve">5.2 资格</w:t>
      </w:r>
      <w:bookmarkEnd w:id="85"/>
      <w:r/>
      <w:bookmarkEnd w:id="86"/>
      <w:r>
        <w:rPr>
          <w:rFonts w:hint="eastAsia" w:ascii="黑体" w:cs="黑体"/>
          <w:b/>
          <w:bCs/>
          <w:szCs w:val="24"/>
        </w:rPr>
        <w:t xml:space="preserve">评审</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5.2.1开标结束后，采购人或者采购代理机构依法对投标人的资格进行审查。</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5.2.2采购人或者采购代理机构应当按照第三章“资格审查办法”规定的资格评审标准对投标文件进行资格评审。</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5.2.3 资格评审结束后，合格投标人不足3家的，不得评标。</w:t>
      </w:r>
      <w:r/>
    </w:p>
    <w:p>
      <w:pPr>
        <w:pStyle w:val="928"/>
        <w:ind w:firstLine="482"/>
        <w:spacing w:before="0" w:after="0" w:line="440" w:lineRule="exact"/>
        <w:rPr>
          <w:rFonts w:ascii="黑体" w:cs="黑体"/>
          <w:b/>
          <w:bCs/>
          <w:szCs w:val="24"/>
        </w:rPr>
      </w:pPr>
      <w:r/>
      <w:bookmarkStart w:id="88" w:name="_Toc26733"/>
      <w:r/>
      <w:bookmarkStart w:id="89" w:name="_Toc27848"/>
      <w:r>
        <w:rPr>
          <w:rFonts w:hint="eastAsia" w:ascii="黑体" w:cs="黑体"/>
          <w:b/>
          <w:bCs/>
          <w:szCs w:val="24"/>
        </w:rPr>
        <w:t xml:space="preserve">5.3 评标</w:t>
      </w:r>
      <w:bookmarkEnd w:id="87"/>
      <w:r/>
      <w:bookmarkEnd w:id="88"/>
      <w:r/>
      <w:bookmarkEnd w:id="89"/>
      <w:r>
        <w:rPr>
          <w:rFonts w:hint="eastAsia" w:ascii="黑体" w:cs="黑体"/>
          <w:b/>
          <w:bCs/>
          <w:szCs w:val="24"/>
        </w:rPr>
        <w:t xml:space="preserve">委员会</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5.3.1 评标委员会由采购人代表和评审专家组成，成员人数见投标须知前附表。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5.3.2 评标委员会成员有下列情形之一的，应当回避；已经进入的，应当退出: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（1）投标人或者投标人主要负责人的近亲属；</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（2）项目主管部门或者行政监督部门的人员；</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（3）与投标人有经济利益关系；</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（4）曾因在招标、评标以及其他与招标投标有关系活动中从事违法行为而受到行政处罚或者刑事处罚的；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（5）与投标人有其他利害关系与投标人有利害关系。</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5.3.3 特殊情况处置</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（1）评标活动终止</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fldChar w:fldCharType="begin"/>
      </w:r>
      <w:r>
        <w:rPr>
          <w:rFonts w:hint="eastAsia" w:ascii="华文中宋" w:hAnsi="华文中宋" w:eastAsia="华文中宋" w:cs="宋体"/>
          <w:sz w:val="24"/>
          <w:szCs w:val="24"/>
        </w:rPr>
        <w:instrText xml:space="preserve"> = 1 \* GB3 \* MERGEFORMAT </w:instrText>
      </w:r>
      <w:r>
        <w:rPr>
          <w:rFonts w:hint="eastAsia" w:ascii="华文中宋" w:hAnsi="华文中宋" w:eastAsia="华文中宋" w:cs="宋体"/>
          <w:sz w:val="24"/>
          <w:szCs w:val="24"/>
        </w:rPr>
        <w:fldChar w:fldCharType="separate"/>
      </w:r>
      <w:r>
        <w:rPr>
          <w:rFonts w:hint="eastAsia" w:ascii="华文中宋" w:hAnsi="华文中宋" w:eastAsia="华文中宋" w:cs="宋体"/>
          <w:sz w:val="24"/>
          <w:szCs w:val="24"/>
        </w:rPr>
        <w:t xml:space="preserve">①</w:t>
      </w:r>
      <w:r>
        <w:rPr>
          <w:rFonts w:hint="eastAsia" w:ascii="华文中宋" w:hAnsi="华文中宋" w:eastAsia="华文中宋" w:cs="宋体"/>
          <w:sz w:val="24"/>
          <w:szCs w:val="24"/>
        </w:rPr>
        <w:fldChar w:fldCharType="end"/>
      </w:r>
      <w:r>
        <w:rPr>
          <w:rFonts w:hint="eastAsia" w:ascii="华文中宋" w:hAnsi="华文中宋" w:eastAsia="华文中宋" w:cs="宋体"/>
          <w:sz w:val="24"/>
          <w:szCs w:val="24"/>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fldChar w:fldCharType="begin"/>
      </w:r>
      <w:r>
        <w:rPr>
          <w:rFonts w:hint="eastAsia" w:ascii="华文中宋" w:hAnsi="华文中宋" w:eastAsia="华文中宋" w:cs="宋体"/>
          <w:sz w:val="24"/>
          <w:szCs w:val="24"/>
        </w:rPr>
        <w:instrText xml:space="preserve"> = 2 \* GB3 \* MERGEFORMAT </w:instrText>
      </w:r>
      <w:r>
        <w:rPr>
          <w:rFonts w:hint="eastAsia" w:ascii="华文中宋" w:hAnsi="华文中宋" w:eastAsia="华文中宋" w:cs="宋体"/>
          <w:sz w:val="24"/>
          <w:szCs w:val="24"/>
        </w:rPr>
        <w:fldChar w:fldCharType="separate"/>
      </w:r>
      <w:r>
        <w:rPr>
          <w:rFonts w:hint="eastAsia" w:ascii="华文中宋" w:hAnsi="华文中宋" w:eastAsia="华文中宋" w:cs="宋体"/>
          <w:sz w:val="24"/>
          <w:szCs w:val="24"/>
        </w:rPr>
        <w:t xml:space="preserve">②</w:t>
      </w:r>
      <w:r>
        <w:rPr>
          <w:rFonts w:hint="eastAsia" w:ascii="华文中宋" w:hAnsi="华文中宋" w:eastAsia="华文中宋" w:cs="宋体"/>
          <w:sz w:val="24"/>
          <w:szCs w:val="24"/>
        </w:rPr>
        <w:fldChar w:fldCharType="end"/>
      </w:r>
      <w:r>
        <w:rPr>
          <w:rFonts w:hint="eastAsia" w:ascii="华文中宋" w:hAnsi="华文中宋" w:eastAsia="华文中宋" w:cs="宋体"/>
          <w:sz w:val="24"/>
          <w:szCs w:val="24"/>
        </w:rPr>
        <w:t xml:space="preserve">发生下列情况之一的，评标委员会应终止评标并按照废标处理：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a.发生了不可抗力事件；</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b.评标委员会名单泄密或者评标委员成员无法中途更换的；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c.发生评标信息泄露或者出现非法干预评审、谈判工作的；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d.监督人员现场发现评标委员会或者成员未按照招标文件规定评审或者存在违反法律法规规定行为，且拒绝改正的。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出现上述情形的，评标委员会有权予以废标或者建议采购人和采购代理机构封存招标文件和所有投标或投标文件，择期重新组建评标委员会进行评审。</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(2)评标委员会中途更换成员</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fldChar w:fldCharType="begin"/>
      </w:r>
      <w:r>
        <w:rPr>
          <w:rFonts w:hint="eastAsia" w:ascii="华文中宋" w:hAnsi="华文中宋" w:eastAsia="华文中宋" w:cs="宋体"/>
          <w:sz w:val="24"/>
          <w:szCs w:val="24"/>
        </w:rPr>
        <w:instrText xml:space="preserve"> = 1 \* GB3 \* MERGEFORMAT </w:instrText>
      </w:r>
      <w:r>
        <w:rPr>
          <w:rFonts w:hint="eastAsia" w:ascii="华文中宋" w:hAnsi="华文中宋" w:eastAsia="华文中宋" w:cs="宋体"/>
          <w:sz w:val="24"/>
          <w:szCs w:val="24"/>
        </w:rPr>
        <w:fldChar w:fldCharType="separate"/>
      </w:r>
      <w:r>
        <w:rPr>
          <w:rFonts w:hint="eastAsia" w:ascii="华文中宋" w:hAnsi="华文中宋" w:eastAsia="华文中宋" w:cs="宋体"/>
          <w:sz w:val="24"/>
          <w:szCs w:val="24"/>
        </w:rPr>
        <w:t xml:space="preserve">①</w:t>
      </w:r>
      <w:r>
        <w:rPr>
          <w:rFonts w:hint="eastAsia" w:ascii="华文中宋" w:hAnsi="华文中宋" w:eastAsia="华文中宋" w:cs="宋体"/>
          <w:sz w:val="24"/>
          <w:szCs w:val="24"/>
        </w:rPr>
        <w:fldChar w:fldCharType="end"/>
      </w:r>
      <w:r>
        <w:rPr>
          <w:rFonts w:hint="eastAsia" w:ascii="华文中宋" w:hAnsi="华文中宋" w:eastAsia="华文中宋" w:cs="宋体"/>
          <w:sz w:val="24"/>
          <w:szCs w:val="24"/>
        </w:rPr>
        <w:t xml:space="preserve">除非发生下列情况之一，评标委员会成员不得中途更换：</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a.因不可抗拒的客观原因，不能到场或者需在评标过程中退出评标活动；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b.根据法律法规规定，某个或者某几个评标委员会成员需要回避；</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fldChar w:fldCharType="begin"/>
      </w:r>
      <w:r>
        <w:rPr>
          <w:rFonts w:hint="eastAsia" w:ascii="华文中宋" w:hAnsi="华文中宋" w:eastAsia="华文中宋" w:cs="宋体"/>
          <w:sz w:val="24"/>
          <w:szCs w:val="24"/>
        </w:rPr>
        <w:instrText xml:space="preserve"> = 2 \* GB3 \* MERGEFORMAT </w:instrText>
      </w:r>
      <w:r>
        <w:rPr>
          <w:rFonts w:hint="eastAsia" w:ascii="华文中宋" w:hAnsi="华文中宋" w:eastAsia="华文中宋" w:cs="宋体"/>
          <w:sz w:val="24"/>
          <w:szCs w:val="24"/>
        </w:rPr>
        <w:fldChar w:fldCharType="separate"/>
      </w:r>
      <w:r>
        <w:rPr>
          <w:rFonts w:hint="eastAsia" w:ascii="华文中宋" w:hAnsi="华文中宋" w:eastAsia="华文中宋" w:cs="宋体"/>
          <w:sz w:val="24"/>
          <w:szCs w:val="24"/>
        </w:rPr>
        <w:t xml:space="preserve">②</w:t>
      </w:r>
      <w:r>
        <w:rPr>
          <w:rFonts w:hint="eastAsia" w:ascii="华文中宋" w:hAnsi="华文中宋" w:eastAsia="华文中宋" w:cs="宋体"/>
          <w:sz w:val="24"/>
          <w:szCs w:val="24"/>
        </w:rPr>
        <w:fldChar w:fldCharType="end"/>
      </w:r>
      <w:r>
        <w:rPr>
          <w:rFonts w:hint="eastAsia" w:ascii="华文中宋" w:hAnsi="华文中宋" w:eastAsia="华文中宋" w:cs="宋体"/>
          <w:sz w:val="24"/>
          <w:szCs w:val="24"/>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(3)评委争议</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pStyle w:val="928"/>
        <w:ind w:firstLine="482"/>
        <w:spacing w:before="0" w:after="0" w:line="440" w:lineRule="exact"/>
        <w:rPr>
          <w:rFonts w:ascii="黑体" w:cs="黑体"/>
          <w:b/>
          <w:bCs/>
          <w:szCs w:val="24"/>
        </w:rPr>
      </w:pPr>
      <w:r>
        <w:rPr>
          <w:rFonts w:hint="eastAsia" w:ascii="黑体" w:cs="黑体"/>
          <w:b/>
          <w:bCs/>
          <w:szCs w:val="24"/>
        </w:rPr>
        <w:t xml:space="preserve">5.4 评标</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5.4.1评标委员会对符合资格的投标人的投标文件，按照第四章“评标办法”规定的评标方法、评审因素、标准和程序对投标文件进行评审。</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5.4.2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5.4.3 评标完成后，评标委员会根据全体评标成员签字的原始评标记录和评标结果编写评标报告。评标委员会推荐的中标候选人名单数量见投标人须知前附表。</w:t>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六、中标和合同</w:t>
      </w:r>
      <w:r/>
    </w:p>
    <w:p>
      <w:pPr>
        <w:pStyle w:val="928"/>
        <w:ind w:firstLine="482"/>
        <w:spacing w:before="0" w:after="0" w:line="440" w:lineRule="exact"/>
        <w:rPr>
          <w:rFonts w:ascii="黑体" w:cs="黑体"/>
          <w:b/>
          <w:bCs/>
          <w:szCs w:val="24"/>
        </w:rPr>
      </w:pPr>
      <w:r/>
      <w:bookmarkStart w:id="90" w:name="_Toc29521"/>
      <w:r/>
      <w:bookmarkStart w:id="91" w:name="_Toc8673"/>
      <w:r/>
      <w:bookmarkStart w:id="92" w:name="_Toc29296"/>
      <w:r/>
      <w:bookmarkStart w:id="93" w:name="_Toc21641"/>
      <w:r/>
      <w:bookmarkStart w:id="94" w:name="_Toc1623"/>
      <w:r/>
      <w:bookmarkStart w:id="95" w:name="_Toc11984"/>
      <w:r>
        <w:rPr>
          <w:rFonts w:hint="eastAsia" w:ascii="黑体" w:cs="黑体"/>
          <w:b/>
          <w:bCs/>
          <w:szCs w:val="24"/>
        </w:rPr>
        <w:t xml:space="preserve">6.1 定标</w:t>
      </w:r>
      <w:bookmarkEnd w:id="90"/>
      <w:r/>
      <w:bookmarkEnd w:id="91"/>
      <w:r/>
      <w:bookmarkEnd w:id="92"/>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6.1.1采购代理机构应当在评标结束后2个工作日内将评标报告送采购人。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28"/>
        <w:ind w:firstLine="482"/>
        <w:spacing w:before="0" w:after="0" w:line="440" w:lineRule="exact"/>
        <w:rPr>
          <w:rFonts w:ascii="黑体" w:cs="黑体"/>
          <w:b/>
          <w:bCs/>
          <w:szCs w:val="24"/>
        </w:rPr>
      </w:pPr>
      <w:r>
        <w:rPr>
          <w:rFonts w:hint="eastAsia" w:ascii="黑体" w:cs="黑体"/>
          <w:b/>
          <w:bCs/>
          <w:szCs w:val="24"/>
        </w:rPr>
        <w:t xml:space="preserve">6.2 中标通知</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6.2.2 采购人或者采购代理机构在公告中标结果的同时，采购人或者采购代理机构应当向中标人发出中标通知书；采用综合评分法的项目，未中标的投标人可于中标结果公告期限届满之日起通过苏采云系统查看自己的评审得分及排序情况。</w:t>
      </w:r>
      <w:r/>
    </w:p>
    <w:p>
      <w:pPr>
        <w:pStyle w:val="928"/>
        <w:ind w:firstLine="482"/>
        <w:spacing w:before="0" w:after="0" w:line="440" w:lineRule="exact"/>
        <w:rPr>
          <w:rFonts w:ascii="黑体" w:cs="黑体"/>
          <w:b/>
          <w:bCs/>
          <w:szCs w:val="24"/>
        </w:rPr>
      </w:pPr>
      <w:r>
        <w:rPr>
          <w:rFonts w:hint="eastAsia" w:ascii="黑体" w:cs="黑体"/>
          <w:b/>
          <w:bCs/>
          <w:szCs w:val="24"/>
        </w:rPr>
        <w:t xml:space="preserve">6.3 签订合同</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6.3.1采购人或者采购代理机构应当自中标通知书发出之日起三十日内，按照招标文件和中标人投标文件的规定，与中标人签订书面合同。所签订的合同不得对招标文件和中标人投标文件作实质性修改。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6.3.3 中标人拒绝与采购人签订合同的，采购人可以按照评审报告推荐的中标候选人名单排序，确定下一候选人为中标人，也可以重新开展政府采购活动。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6.3.4采购人不得向中标人提出任何不合理的要求，作为签订合同的条件，不得与中标人私下订立背离合同实质性内容的协议。</w:t>
      </w:r>
      <w:r/>
    </w:p>
    <w:p>
      <w:pPr>
        <w:ind w:firstLine="480"/>
        <w:spacing w:line="440" w:lineRule="exact"/>
        <w:rPr>
          <w:rFonts w:ascii="宋体" w:hAnsi="宋体" w:cs="宋体"/>
          <w:sz w:val="24"/>
          <w:szCs w:val="24"/>
        </w:rPr>
      </w:pPr>
      <w:r>
        <w:rPr>
          <w:rFonts w:hint="eastAsia" w:ascii="华文中宋" w:hAnsi="华文中宋" w:eastAsia="华文中宋" w:cs="宋体"/>
          <w:sz w:val="24"/>
          <w:szCs w:val="24"/>
        </w:rPr>
        <w:t xml:space="preserve">6.3.5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93"/>
      <w:r/>
      <w:bookmarkEnd w:id="94"/>
      <w:r/>
      <w:bookmarkEnd w:id="95"/>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七、废标、质疑与投诉</w:t>
      </w:r>
      <w:r/>
    </w:p>
    <w:p>
      <w:pPr>
        <w:pStyle w:val="928"/>
        <w:ind w:firstLine="482"/>
        <w:spacing w:before="0" w:after="0" w:line="440" w:lineRule="exact"/>
        <w:rPr>
          <w:rFonts w:ascii="黑体" w:cs="黑体"/>
          <w:b/>
          <w:bCs/>
          <w:szCs w:val="24"/>
        </w:rPr>
      </w:pPr>
      <w:r/>
      <w:bookmarkStart w:id="96" w:name="_Toc2774"/>
      <w:r/>
      <w:bookmarkStart w:id="97" w:name="_Toc10664"/>
      <w:r/>
      <w:bookmarkStart w:id="98" w:name="_Toc22258"/>
      <w:r>
        <w:rPr>
          <w:rFonts w:hint="eastAsia" w:ascii="黑体" w:cs="黑体"/>
          <w:b/>
          <w:bCs/>
          <w:szCs w:val="24"/>
        </w:rPr>
        <w:t xml:space="preserve">7.1 废标</w:t>
      </w:r>
      <w:bookmarkEnd w:id="96"/>
      <w:r/>
      <w:bookmarkEnd w:id="97"/>
      <w:r/>
      <w:bookmarkEnd w:id="98"/>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7.1.1 在招标采购过程中，有下列情况之一时，采购人应当予以废标，并将理由通知所有投标人：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（1）符合专业条件的投标人或招标文件作实质响应的投标人不足三家的；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（2）出现影响采购公正的违法、违规行为的；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（3）投标人的报价均超过了采购预算，采购人不能支付的；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（4）因重大变故，采购任务取消的。</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7.1.2 废标后，除采购任务取消情形外，招标采购单位应当重新组织招标；需要采取其他采购方式的，应当在采购活动开始前获得财政部门的批准。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7.1.3 公开招标数额标准以上的采购项目，投标截止后投标人不足3家或者招标文件作实质响应的投标人不足3家的，除采购任务取消情形外，按照以下方式处理：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（1）招标文件存在不合理条款或者招标程序不符合规定的，采购人、采购代理机构改正后依法重新招标；</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（2）招标文件没有不合理条款、招标程序符合规定，需要采用其他采购方式采购的，采购人应当依法报财政部门批准。</w:t>
      </w:r>
      <w:r/>
    </w:p>
    <w:p>
      <w:pPr>
        <w:pStyle w:val="928"/>
        <w:ind w:firstLine="482"/>
        <w:spacing w:before="0" w:after="0" w:line="440" w:lineRule="exact"/>
        <w:rPr>
          <w:rFonts w:ascii="黑体" w:cs="黑体"/>
          <w:b/>
          <w:bCs/>
          <w:szCs w:val="24"/>
        </w:rPr>
      </w:pPr>
      <w:r/>
      <w:bookmarkStart w:id="99" w:name="_Toc26328"/>
      <w:r/>
      <w:bookmarkStart w:id="100" w:name="_Toc8333"/>
      <w:r/>
      <w:bookmarkStart w:id="101" w:name="_Toc30375"/>
      <w:r>
        <w:rPr>
          <w:rFonts w:hint="eastAsia" w:ascii="黑体" w:cs="黑体"/>
          <w:b/>
          <w:bCs/>
          <w:szCs w:val="24"/>
        </w:rPr>
        <w:t xml:space="preserve">7.2 质疑</w:t>
      </w:r>
      <w:bookmarkEnd w:id="99"/>
      <w:r/>
      <w:bookmarkEnd w:id="100"/>
      <w:r/>
      <w:bookmarkEnd w:id="101"/>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7.2.2 提出质疑的投标人应当是参与本项目采购活动的投标人。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（1）对采购文件提出质疑的，潜在投标人应当在按规定获取采购文件之日起7个工作日内提出。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（2）对采购过程提出质疑的，应在各采购程序环节结束之日起7个工作日内提出。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（3）对中标结果提出质疑的，应当在中标结果公告届满之日起7个工作日内提出。</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7.2.3 投标人提出质疑应当提交质疑函和必要的证明材料。质疑函应当包括下列内容：</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（1）投标人的姓名或者名称、地址、邮编、联系人及联系电话；</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（2）质疑项目的名称、编号；</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（3）具体、明确的质疑事项和与质疑事项相关的请求；</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（4）事实依据；</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（5）必要的法律依据；</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（6）提出质疑的日期。</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7.2.5 除书面形式外，其他任何方式的质疑，采购人或者采购代理机构均不予接收和答复。</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7.2.6 采购人、采购代理机构在收到质疑函后七个工作日内做出答复，并以书面形式通知质疑人和其他有关投标人；但质疑答复的内容不得涉及商业秘密。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（2）对采购过程、中标结果提出的质疑，合格投标人符合法定数量时，可以从合格的中标候选人中另行确定中标人的，应当依法另行确定中标人；否则应当重新开展采购活动。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质疑答复导致中标结果改变的，采购人或者采购代理机构应当将有关情况书面报告本级财政部门。</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八、其他事宜</w:t>
      </w:r>
      <w:r/>
    </w:p>
    <w:p>
      <w:pPr>
        <w:pStyle w:val="928"/>
        <w:ind w:firstLine="482"/>
        <w:spacing w:before="0" w:after="0" w:line="440" w:lineRule="exact"/>
        <w:rPr>
          <w:rFonts w:ascii="黑体" w:cs="黑体"/>
          <w:b/>
          <w:bCs/>
          <w:szCs w:val="24"/>
        </w:rPr>
      </w:pPr>
      <w:r/>
      <w:bookmarkStart w:id="102" w:name="_Toc21692"/>
      <w:r/>
      <w:bookmarkStart w:id="103" w:name="_Toc6452"/>
      <w:r/>
      <w:bookmarkStart w:id="104" w:name="_Toc10386"/>
      <w:r>
        <w:rPr>
          <w:rFonts w:hint="eastAsia" w:ascii="黑体" w:cs="黑体"/>
          <w:b/>
          <w:bCs/>
          <w:szCs w:val="24"/>
        </w:rPr>
        <w:t xml:space="preserve">8.1 </w:t>
      </w:r>
      <w:bookmarkEnd w:id="102"/>
      <w:r/>
      <w:bookmarkEnd w:id="103"/>
      <w:r/>
      <w:bookmarkEnd w:id="104"/>
      <w:r>
        <w:rPr>
          <w:rFonts w:hint="eastAsia" w:ascii="黑体" w:cs="黑体"/>
          <w:b/>
          <w:bCs/>
          <w:szCs w:val="24"/>
        </w:rPr>
        <w:t xml:space="preserve">补充的其他内容</w:t>
      </w:r>
      <w:r/>
    </w:p>
    <w:p>
      <w:pPr>
        <w:ind w:firstLine="480"/>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8.1.1 采购人需要补充的其他内容：见投标人须知前附表</w:t>
      </w:r>
      <w:r/>
    </w:p>
    <w:p>
      <w:pPr>
        <w:ind w:firstLine="480"/>
        <w:jc w:val="left"/>
        <w:spacing w:line="440" w:lineRule="exact"/>
        <w:rPr>
          <w:rFonts w:ascii="华文中宋" w:hAnsi="华文中宋" w:eastAsia="华文中宋" w:cs="宋体"/>
          <w:sz w:val="24"/>
          <w:szCs w:val="24"/>
        </w:rPr>
      </w:pPr>
      <w:r>
        <w:rPr>
          <w:rFonts w:hint="eastAsia" w:ascii="华文中宋" w:hAnsi="华文中宋" w:eastAsia="华文中宋" w:cs="宋体"/>
          <w:sz w:val="24"/>
          <w:szCs w:val="24"/>
        </w:rPr>
        <w:t xml:space="preserve">8.1.2 其他未尽事宜按照《中华人民共和国政府采购法》及相关法律、法规、规章的有关规定执行。</w:t>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rPr>
          <w:rFonts w:ascii="宋体" w:hAnsi="宋体" w:cs="宋体"/>
        </w:rPr>
      </w:r>
      <w:r/>
    </w:p>
    <w:p>
      <w:pPr>
        <w:ind w:firstLine="420"/>
        <w:spacing w:line="440" w:lineRule="exact"/>
        <w:rPr>
          <w:rFonts w:ascii="宋体" w:hAnsi="宋体" w:cs="宋体"/>
        </w:rPr>
      </w:pPr>
      <w:r>
        <w:rPr>
          <w:rFonts w:ascii="宋体" w:hAnsi="宋体" w:cs="宋体"/>
        </w:rPr>
      </w:r>
      <w:r>
        <w:rPr>
          <w:rFonts w:ascii="宋体" w:hAnsi="宋体" w:cs="宋体"/>
        </w:rPr>
      </w:r>
      <w:r/>
    </w:p>
    <w:p>
      <w:pPr>
        <w:ind w:firstLine="420"/>
        <w:spacing w:line="440" w:lineRule="exact"/>
        <w:rPr>
          <w:rFonts w:ascii="宋体" w:hAnsi="宋体" w:cs="宋体"/>
        </w:rPr>
      </w:pPr>
      <w:r>
        <w:rPr>
          <w:rFonts w:ascii="宋体" w:hAnsi="宋体" w:cs="宋体"/>
        </w:rPr>
      </w:r>
      <w:r>
        <w:rPr>
          <w:rFonts w:ascii="宋体" w:hAnsi="宋体" w:cs="宋体"/>
        </w:rPr>
      </w:r>
      <w:r/>
    </w:p>
    <w:p>
      <w:pPr>
        <w:ind w:firstLine="420"/>
        <w:spacing w:line="440" w:lineRule="exact"/>
        <w:rPr>
          <w:rFonts w:ascii="宋体" w:hAnsi="宋体" w:cs="宋体"/>
        </w:rPr>
      </w:pPr>
      <w:r>
        <w:rPr>
          <w:rFonts w:ascii="宋体" w:hAnsi="宋体" w:cs="宋体"/>
        </w:rPr>
      </w:r>
      <w:r/>
    </w:p>
    <w:p>
      <w:pPr>
        <w:pStyle w:val="924"/>
        <w:jc w:val="center"/>
        <w:spacing w:after="20" w:line="360" w:lineRule="auto"/>
        <w:rPr>
          <w:rFonts w:ascii="微软雅黑" w:hAnsi="微软雅黑" w:eastAsia="微软雅黑" w:cs="微软雅黑"/>
          <w:b w:val="0"/>
          <w:bCs w:val="0"/>
          <w:sz w:val="36"/>
          <w:szCs w:val="36"/>
        </w:rPr>
      </w:pPr>
      <w:r/>
      <w:bookmarkStart w:id="105" w:name="_Toc765"/>
      <w:r/>
      <w:bookmarkStart w:id="106" w:name="_Toc152268440"/>
      <w:r>
        <w:rPr>
          <w:rFonts w:hint="eastAsia" w:ascii="微软雅黑" w:hAnsi="微软雅黑" w:eastAsia="微软雅黑" w:cs="微软雅黑"/>
          <w:b w:val="0"/>
          <w:bCs w:val="0"/>
          <w:sz w:val="36"/>
          <w:szCs w:val="36"/>
        </w:rPr>
        <w:t xml:space="preserve">第三章 资格审查办法</w:t>
      </w:r>
      <w:bookmarkEnd w:id="105"/>
      <w:r/>
      <w:bookmarkEnd w:id="106"/>
      <w:r/>
      <w:r/>
    </w:p>
    <w:p>
      <w:pPr>
        <w:spacing w:line="480" w:lineRule="exact"/>
        <w:rPr>
          <w:rFonts w:ascii="黑体" w:hAnsi="黑体" w:eastAsia="黑体" w:cs="宋体"/>
          <w:b/>
          <w:bCs/>
          <w:sz w:val="22"/>
        </w:rPr>
      </w:pPr>
      <w:r/>
      <w:bookmarkStart w:id="107" w:name="_Toc152047234"/>
      <w:r/>
      <w:bookmarkStart w:id="108" w:name="_Toc144974438"/>
      <w:r/>
      <w:bookmarkStart w:id="109" w:name="_Toc179715727"/>
      <w:r/>
      <w:bookmarkStart w:id="110" w:name="_Toc28292"/>
      <w:r/>
      <w:bookmarkStart w:id="111" w:name="_Toc234382664"/>
      <w:r/>
      <w:bookmarkStart w:id="112" w:name="_Toc4791"/>
      <w:r>
        <w:rPr>
          <w:rFonts w:hint="eastAsia" w:ascii="黑体" w:hAnsi="黑体" w:eastAsia="黑体" w:cs="宋体"/>
          <w:b/>
          <w:bCs/>
          <w:sz w:val="22"/>
        </w:rPr>
        <w:t xml:space="preserve">1.审查方法</w:t>
      </w:r>
      <w:bookmarkEnd w:id="107"/>
      <w:r/>
      <w:bookmarkEnd w:id="108"/>
      <w:r/>
      <w:bookmarkEnd w:id="109"/>
      <w:r/>
      <w:r/>
    </w:p>
    <w:p>
      <w:pPr>
        <w:ind w:firstLine="440"/>
        <w:spacing w:line="480" w:lineRule="exact"/>
        <w:rPr>
          <w:rFonts w:ascii="宋体" w:hAnsi="宋体" w:cs="宋体"/>
          <w:sz w:val="22"/>
        </w:rPr>
      </w:pPr>
      <w:r>
        <w:rPr>
          <w:rFonts w:hint="eastAsia" w:ascii="宋体" w:hAnsi="宋体" w:cs="宋体"/>
          <w:sz w:val="22"/>
        </w:rPr>
        <w:t xml:space="preserve">1.1 资格审查由采购人或者采购代理机构组成的评审小组依法对供应商的资格进行审查。</w:t>
      </w:r>
      <w:r/>
    </w:p>
    <w:p>
      <w:pPr>
        <w:ind w:firstLine="440"/>
        <w:spacing w:line="480" w:lineRule="exact"/>
        <w:rPr>
          <w:rFonts w:ascii="宋体" w:hAnsi="宋体" w:cs="宋体"/>
          <w:sz w:val="22"/>
        </w:rPr>
      </w:pPr>
      <w:r>
        <w:rPr>
          <w:rFonts w:hint="eastAsia" w:ascii="宋体" w:hAnsi="宋体" w:cs="宋体"/>
          <w:sz w:val="22"/>
        </w:rPr>
        <w:t xml:space="preserve">1.2 凡符合本章资格审查标准的供应商均通过资格审查，并进入评标。</w:t>
      </w:r>
      <w:r/>
    </w:p>
    <w:p>
      <w:pPr>
        <w:spacing w:line="480" w:lineRule="exact"/>
        <w:rPr>
          <w:rFonts w:ascii="黑体" w:hAnsi="黑体" w:eastAsia="黑体" w:cs="宋体"/>
          <w:b/>
          <w:bCs/>
          <w:sz w:val="22"/>
        </w:rPr>
      </w:pPr>
      <w:r/>
      <w:bookmarkStart w:id="113" w:name="_Toc152047235"/>
      <w:r/>
      <w:bookmarkStart w:id="114" w:name="_Toc179715728"/>
      <w:r/>
      <w:bookmarkStart w:id="115" w:name="_Toc144974439"/>
      <w:r>
        <w:rPr>
          <w:rFonts w:hint="eastAsia" w:ascii="黑体" w:hAnsi="黑体" w:eastAsia="黑体" w:cs="宋体"/>
          <w:b/>
          <w:bCs/>
          <w:sz w:val="22"/>
        </w:rPr>
        <w:t xml:space="preserve">2.审查标准</w:t>
      </w:r>
      <w:bookmarkEnd w:id="113"/>
      <w:r/>
      <w:bookmarkEnd w:id="114"/>
      <w:r/>
      <w:bookmarkEnd w:id="115"/>
      <w:r/>
      <w:r/>
    </w:p>
    <w:p>
      <w:pPr>
        <w:ind w:firstLine="442"/>
        <w:spacing w:line="480" w:lineRule="exact"/>
        <w:rPr>
          <w:rFonts w:ascii="黑体" w:hAnsi="黑体" w:eastAsia="黑体" w:cs="宋体"/>
          <w:b/>
          <w:bCs/>
          <w:sz w:val="22"/>
        </w:rPr>
      </w:pPr>
      <w:r>
        <w:rPr>
          <w:rFonts w:hint="eastAsia" w:ascii="宋体" w:hAnsi="宋体" w:cs="宋体"/>
          <w:b/>
          <w:bCs/>
          <w:sz w:val="22"/>
        </w:rPr>
        <w:t xml:space="preserve">2.1 供应商有不符合下列情形之一的，不能通过资格审查，其投标无效：</w:t>
      </w:r>
      <w:r/>
    </w:p>
    <w:tbl>
      <w:tblPr>
        <w:tblStyle w:val="689"/>
        <w:tblW w:w="8790" w:type="dxa"/>
        <w:tblInd w:w="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4420"/>
        <w:gridCol w:w="3720"/>
      </w:tblGrid>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序号</w:t>
            </w:r>
            <w:r/>
          </w:p>
        </w:tc>
        <w:tc>
          <w:tcPr>
            <w:tcW w:w="442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评审因素</w:t>
            </w:r>
            <w:r/>
          </w:p>
        </w:tc>
        <w:tc>
          <w:tcPr>
            <w:tcW w:w="3720" w:type="dxa"/>
            <w:vAlign w:val="center"/>
            <w:textDirection w:val="lrTb"/>
            <w:noWrap w:val="false"/>
          </w:tcPr>
          <w:p>
            <w:pPr>
              <w:ind w:firstLine="480"/>
              <w:jc w:val="center"/>
              <w:keepLines/>
              <w:keepNext/>
              <w:spacing w:line="240" w:lineRule="atLeast"/>
              <w:rPr>
                <w:rFonts w:ascii="宋体" w:hAnsi="宋体" w:cs="宋体"/>
                <w:b/>
                <w:szCs w:val="21"/>
              </w:rPr>
              <w:outlineLvl w:val="2"/>
            </w:pPr>
            <w:r>
              <w:rPr>
                <w:rFonts w:hint="eastAsia" w:ascii="宋体" w:hAnsi="宋体" w:cs="宋体"/>
                <w:b/>
                <w:szCs w:val="21"/>
              </w:rPr>
              <w:t xml:space="preserve">评审标准</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1</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具有独立承担民事责任的能力</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提供了有效的营业执照或事业单位法人登记证书原件扫描件。</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2</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具有良好的商业信誉和健全的财务会计制度</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按投标文件格式要求提供了声明函。</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3</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具有履行合同所必需的设备和专业技术能力</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按投标文件格式要求提供了声明函。</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4</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有依法缴纳税收和社会保障资金的良好记录</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按投标文件格式要求提供了声明函。</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5</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参加政府采购活动前3年内在经营活动中没有重大违法记录</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按投标文件格式要求提供了声明函。</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6</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联合体投标</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投标人单独投标，未组成联合体。</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7</w:t>
            </w:r>
            <w:r/>
          </w:p>
        </w:tc>
        <w:tc>
          <w:tcPr>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投标人不存在第二章“投标人须知”第 1.3.2 项规定的任何一种情形的。</w:t>
            </w:r>
            <w:r/>
          </w:p>
        </w:tc>
        <w:tc>
          <w:tcPr>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按投标文件格式要求提供了声明函。</w:t>
            </w:r>
            <w:r/>
          </w:p>
        </w:tc>
      </w:tr>
      <w:tr>
        <w:trPr>
          <w:trHeight w:val="640"/>
        </w:trPr>
        <w:tc>
          <w:tcPr>
            <w:tcW w:w="65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8</w:t>
            </w:r>
            <w:r/>
          </w:p>
        </w:tc>
        <w:tc>
          <w:tcPr>
            <w:shd w:val="clear" w:color="auto" w:fill="auto"/>
            <w:tcW w:w="4420" w:type="dxa"/>
            <w:vAlign w:val="center"/>
            <w:textDirection w:val="lrTb"/>
            <w:noWrap w:val="false"/>
          </w:tcPr>
          <w:p>
            <w:pPr>
              <w:jc w:val="center"/>
              <w:keepLines/>
              <w:keepNext/>
              <w:spacing w:line="240" w:lineRule="atLeast"/>
              <w:rPr>
                <w:rFonts w:ascii="宋体" w:hAnsi="宋体" w:cs="宋体"/>
                <w:b/>
                <w:bCs/>
                <w:szCs w:val="21"/>
              </w:rPr>
              <w:outlineLvl w:val="2"/>
            </w:pPr>
            <w:r>
              <w:rPr>
                <w:rFonts w:hint="eastAsia" w:ascii="宋体" w:hAnsi="宋体" w:cs="宋体"/>
                <w:b/>
                <w:bCs/>
                <w:szCs w:val="21"/>
              </w:rPr>
              <w:t xml:space="preserve">具有有效的《医疗机构执业许可证》</w:t>
            </w:r>
            <w:r/>
          </w:p>
        </w:tc>
        <w:tc>
          <w:tcPr>
            <w:shd w:val="clear" w:color="auto" w:fill="auto"/>
            <w:tcW w:w="3720" w:type="dxa"/>
            <w:vAlign w:val="center"/>
            <w:textDirection w:val="lrTb"/>
            <w:noWrap w:val="false"/>
          </w:tcPr>
          <w:p>
            <w:pPr>
              <w:keepLines/>
              <w:keepNext/>
              <w:spacing w:line="240" w:lineRule="atLeast"/>
              <w:rPr>
                <w:rFonts w:ascii="宋体" w:hAnsi="宋体" w:cs="宋体"/>
                <w:b/>
                <w:bCs/>
                <w:szCs w:val="21"/>
              </w:rPr>
              <w:outlineLvl w:val="2"/>
            </w:pPr>
            <w:r>
              <w:rPr>
                <w:rFonts w:hint="eastAsia" w:ascii="宋体" w:hAnsi="宋体" w:cs="宋体"/>
                <w:b/>
                <w:bCs/>
                <w:szCs w:val="21"/>
              </w:rPr>
              <w:t xml:space="preserve">提供了有效的《医疗机构执业许可证》原件扫描件。</w:t>
            </w:r>
            <w:r/>
          </w:p>
        </w:tc>
      </w:tr>
    </w:tbl>
    <w:p>
      <w:pPr>
        <w:ind w:firstLine="442"/>
        <w:spacing w:line="480" w:lineRule="exact"/>
        <w:rPr>
          <w:rFonts w:ascii="黑体" w:hAnsi="黑体" w:eastAsia="黑体" w:cs="宋体"/>
          <w:b/>
          <w:bCs/>
          <w:sz w:val="22"/>
        </w:rPr>
      </w:pPr>
      <w:r>
        <w:rPr>
          <w:rFonts w:hint="eastAsia" w:ascii="黑体" w:hAnsi="黑体" w:eastAsia="黑体" w:cs="宋体"/>
          <w:b/>
          <w:bCs/>
          <w:sz w:val="22"/>
        </w:rPr>
        <w:t xml:space="preserve">2.2 未能通过资格审查的供应商投标文件作无效投标文件处理，其投标文件不再提交评标委员会进行评标。</w:t>
      </w:r>
      <w:r/>
    </w:p>
    <w:p>
      <w:pPr>
        <w:spacing w:line="480" w:lineRule="exact"/>
        <w:rPr>
          <w:rFonts w:ascii="黑体" w:hAnsi="黑体" w:eastAsia="黑体" w:cs="宋体"/>
          <w:b/>
          <w:bCs/>
          <w:sz w:val="22"/>
        </w:rPr>
      </w:pPr>
      <w:r>
        <w:rPr>
          <w:rFonts w:hint="eastAsia" w:ascii="黑体" w:hAnsi="黑体" w:eastAsia="黑体" w:cs="宋体"/>
          <w:b/>
          <w:bCs/>
          <w:sz w:val="22"/>
        </w:rPr>
        <w:t xml:space="preserve">3．澄清、说明或者补正</w:t>
      </w:r>
      <w:r/>
    </w:p>
    <w:p>
      <w:pPr>
        <w:ind w:firstLine="440"/>
        <w:spacing w:line="480" w:lineRule="exact"/>
        <w:rPr>
          <w:rFonts w:ascii="宋体" w:hAnsi="宋体" w:cs="宋体"/>
          <w:sz w:val="22"/>
        </w:rPr>
      </w:pPr>
      <w:r>
        <w:rPr>
          <w:rFonts w:hint="eastAsia" w:ascii="宋体" w:hAnsi="宋体" w:cs="宋体"/>
          <w:sz w:val="22"/>
        </w:rPr>
        <w:t xml:space="preserve">3.1在资格审查过程中，资格评审小组可以通过【询标】按钮要求投标人对所提交的资格证明文件中不明确的内容进行必要的澄清、说明或者补正。</w:t>
      </w:r>
      <w:r/>
    </w:p>
    <w:p>
      <w:pPr>
        <w:ind w:firstLine="440"/>
        <w:spacing w:line="480" w:lineRule="exact"/>
        <w:rPr>
          <w:rFonts w:ascii="宋体" w:hAnsi="宋体" w:cs="宋体"/>
          <w:sz w:val="22"/>
        </w:rPr>
      </w:pPr>
      <w:r>
        <w:rPr>
          <w:rFonts w:hint="eastAsia" w:ascii="宋体" w:hAnsi="宋体" w:cs="宋体"/>
          <w:sz w:val="22"/>
        </w:rPr>
        <w:t xml:space="preserve">3.2.2 投标人在收到【询问函】后，应在规定的时长内完成【询问反馈】并签章。投标人的澄清、说明或者补正不得超出投标文件的范围或者改变投标文件的实质性内容。澄清、说明或者补正不得改变资格证明文件的实质性内容。投标人的澄清、说明或者补正内容属于投标文件的组成部分。</w:t>
      </w:r>
      <w:r/>
    </w:p>
    <w:p>
      <w:pPr>
        <w:ind w:firstLine="440"/>
        <w:spacing w:line="480" w:lineRule="exact"/>
        <w:rPr>
          <w:rFonts w:ascii="宋体" w:hAnsi="宋体" w:cs="宋体"/>
          <w:sz w:val="22"/>
        </w:rPr>
      </w:pPr>
      <w:r>
        <w:rPr>
          <w:rFonts w:hint="eastAsia" w:ascii="宋体" w:hAnsi="宋体" w:cs="宋体"/>
          <w:sz w:val="22"/>
        </w:rPr>
        <w:t xml:space="preserve">3.2 资格评审小组不接受投标人主动提出的澄清、说明或者补正。投标人不按资格评审小组的要求澄清、说明或补正的，资格评审小组将否决其投标。</w:t>
      </w:r>
      <w:r/>
    </w:p>
    <w:p>
      <w:pPr>
        <w:spacing w:line="480" w:lineRule="exact"/>
        <w:rPr>
          <w:rFonts w:ascii="黑体" w:hAnsi="黑体" w:eastAsia="黑体" w:cs="宋体"/>
          <w:b/>
          <w:bCs/>
          <w:sz w:val="22"/>
        </w:rPr>
      </w:pPr>
      <w:r>
        <w:rPr>
          <w:rFonts w:hint="eastAsia" w:ascii="黑体" w:hAnsi="黑体" w:eastAsia="黑体" w:cs="宋体"/>
          <w:b/>
          <w:bCs/>
          <w:sz w:val="22"/>
        </w:rPr>
        <w:t xml:space="preserve">4.审查结果</w:t>
      </w:r>
      <w:r/>
    </w:p>
    <w:p>
      <w:pPr>
        <w:ind w:firstLine="440"/>
        <w:spacing w:line="480" w:lineRule="exact"/>
        <w:rPr>
          <w:rFonts w:ascii="宋体" w:hAnsi="宋体" w:cs="宋体"/>
          <w:sz w:val="22"/>
        </w:rPr>
      </w:pPr>
      <w:r>
        <w:rPr>
          <w:rFonts w:hint="eastAsia" w:ascii="宋体" w:hAnsi="宋体" w:cs="宋体"/>
          <w:sz w:val="22"/>
        </w:rPr>
        <w:t xml:space="preserve">4.1 资格评审小组完成资格审查后，确定通过资格审查的投标人名单，并编制书面资格审查报告。</w:t>
      </w:r>
      <w:r/>
    </w:p>
    <w:p>
      <w:pPr>
        <w:ind w:firstLine="440"/>
        <w:spacing w:line="480" w:lineRule="exact"/>
        <w:rPr>
          <w:rFonts w:ascii="宋体" w:hAnsi="宋体" w:cs="宋体"/>
          <w:sz w:val="22"/>
        </w:rPr>
      </w:pPr>
      <w:r>
        <w:rPr>
          <w:rFonts w:hint="eastAsia" w:ascii="宋体" w:hAnsi="宋体" w:cs="宋体"/>
          <w:sz w:val="22"/>
        </w:rPr>
        <w:t xml:space="preserve">4.2 通过资格审查的投标人数量不足3个的，不再进行评标。 </w:t>
      </w:r>
      <w:r/>
    </w:p>
    <w:p>
      <w:pPr>
        <w:ind w:firstLine="440"/>
        <w:spacing w:line="360" w:lineRule="auto"/>
        <w:rPr>
          <w:rFonts w:ascii="宋体" w:hAnsi="宋体" w:cs="宋体"/>
          <w:sz w:val="22"/>
        </w:rPr>
      </w:pPr>
      <w:r>
        <w:rPr>
          <w:rFonts w:hint="eastAsia" w:ascii="宋体" w:hAnsi="宋体" w:cs="宋体"/>
          <w:sz w:val="22"/>
        </w:rPr>
        <w:t xml:space="preserve"> </w:t>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spacing w:line="520" w:lineRule="exact"/>
        <w:rPr>
          <w:rFonts w:ascii="宋体" w:hAnsi="宋体" w:cs="宋体"/>
          <w:sz w:val="22"/>
        </w:rPr>
      </w:pPr>
      <w:r>
        <w:rPr>
          <w:rFonts w:ascii="宋体" w:hAnsi="宋体" w:cs="宋体"/>
          <w:sz w:val="22"/>
        </w:rPr>
      </w:r>
      <w:r/>
    </w:p>
    <w:p>
      <w:pPr>
        <w:ind w:firstLine="440"/>
        <w:spacing w:line="480" w:lineRule="exact"/>
        <w:rPr>
          <w:rFonts w:ascii="宋体" w:hAnsi="宋体" w:cs="宋体"/>
          <w:sz w:val="22"/>
        </w:rPr>
      </w:pPr>
      <w:r>
        <w:rPr>
          <w:rFonts w:ascii="宋体" w:hAnsi="宋体" w:cs="宋体"/>
          <w:sz w:val="22"/>
        </w:rPr>
      </w:r>
      <w:r/>
    </w:p>
    <w:p>
      <w:pPr>
        <w:ind w:firstLine="440"/>
        <w:spacing w:line="480" w:lineRule="exact"/>
        <w:rPr>
          <w:rFonts w:ascii="宋体" w:hAnsi="宋体" w:cs="宋体"/>
          <w:sz w:val="22"/>
        </w:rPr>
      </w:pPr>
      <w:r>
        <w:rPr>
          <w:rFonts w:ascii="宋体" w:hAnsi="宋体" w:cs="宋体"/>
          <w:sz w:val="22"/>
        </w:rPr>
      </w:r>
      <w:r/>
    </w:p>
    <w:p>
      <w:pPr>
        <w:pStyle w:val="924"/>
        <w:jc w:val="center"/>
        <w:spacing w:after="20" w:line="240" w:lineRule="auto"/>
        <w:rPr>
          <w:rFonts w:ascii="微软雅黑" w:hAnsi="微软雅黑" w:eastAsia="微软雅黑" w:cs="微软雅黑"/>
          <w:b w:val="0"/>
          <w:bCs w:val="0"/>
          <w:sz w:val="36"/>
          <w:szCs w:val="36"/>
        </w:rPr>
      </w:pPr>
      <w:r/>
      <w:bookmarkStart w:id="116" w:name="_Toc152268441"/>
      <w:r>
        <w:rPr>
          <w:rFonts w:hint="eastAsia" w:ascii="微软雅黑" w:hAnsi="微软雅黑" w:eastAsia="微软雅黑" w:cs="微软雅黑"/>
          <w:b w:val="0"/>
          <w:bCs w:val="0"/>
          <w:sz w:val="36"/>
          <w:szCs w:val="36"/>
        </w:rPr>
        <w:t xml:space="preserve">第四章 评标办法</w:t>
      </w:r>
      <w:bookmarkEnd w:id="116"/>
      <w:r/>
      <w:r/>
    </w:p>
    <w:p>
      <w:pPr>
        <w:pStyle w:val="928"/>
        <w:ind w:firstLine="0"/>
        <w:jc w:val="center"/>
        <w:spacing w:before="0" w:after="0" w:line="360" w:lineRule="auto"/>
        <w:rPr>
          <w:sz w:val="28"/>
          <w:szCs w:val="21"/>
        </w:rPr>
      </w:pPr>
      <w:r>
        <w:rPr>
          <w:rFonts w:hint="eastAsia"/>
          <w:sz w:val="28"/>
          <w:szCs w:val="21"/>
        </w:rPr>
        <w:t xml:space="preserve">评标办法前附表</w:t>
      </w:r>
      <w:r/>
    </w:p>
    <w:tbl>
      <w:tblPr>
        <w:tblStyle w:val="689"/>
        <w:tblW w:w="932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1701"/>
        <w:gridCol w:w="2126"/>
        <w:gridCol w:w="4394"/>
      </w:tblGrid>
      <w:tr>
        <w:trPr>
          <w:trHeight w:val="697"/>
        </w:trPr>
        <w:tc>
          <w:tcPr>
            <w:gridSpan w:val="2"/>
            <w:tcBorders>
              <w:right w:val="single" w:color="auto" w:sz="4" w:space="0"/>
            </w:tcBorders>
            <w:tcW w:w="2802" w:type="dxa"/>
            <w:vAlign w:val="center"/>
            <w:textDirection w:val="lrTb"/>
            <w:noWrap w:val="false"/>
          </w:tcPr>
          <w:p>
            <w:pPr>
              <w:jc w:val="center"/>
              <w:rPr>
                <w:rFonts w:ascii="宋体" w:hAnsi="宋体"/>
                <w:b/>
                <w:bCs/>
                <w:szCs w:val="21"/>
              </w:rPr>
            </w:pPr>
            <w:r>
              <w:rPr>
                <w:rFonts w:hint="eastAsia" w:ascii="宋体" w:hAnsi="宋体"/>
                <w:b/>
                <w:bCs/>
                <w:szCs w:val="21"/>
              </w:rPr>
              <w:t xml:space="preserve">条款号</w:t>
            </w:r>
            <w:r/>
          </w:p>
        </w:tc>
        <w:tc>
          <w:tcPr>
            <w:gridSpan w:val="2"/>
            <w:tcBorders>
              <w:left w:val="single" w:color="auto" w:sz="4" w:space="0"/>
            </w:tcBorders>
            <w:tcW w:w="6520" w:type="dxa"/>
            <w:vAlign w:val="center"/>
            <w:textDirection w:val="lrTb"/>
            <w:noWrap w:val="false"/>
          </w:tcPr>
          <w:p>
            <w:pPr>
              <w:ind w:firstLine="480"/>
              <w:jc w:val="center"/>
              <w:keepLines/>
              <w:keepNext/>
              <w:rPr>
                <w:rFonts w:ascii="宋体" w:hAnsi="宋体" w:cs="宋体"/>
                <w:b/>
                <w:szCs w:val="21"/>
              </w:rPr>
              <w:outlineLvl w:val="2"/>
            </w:pPr>
            <w:r>
              <w:rPr>
                <w:rFonts w:hint="eastAsia" w:ascii="宋体" w:hAnsi="宋体" w:cs="宋体"/>
                <w:b/>
                <w:szCs w:val="21"/>
              </w:rPr>
              <w:t xml:space="preserve">评审因素与评审标准</w:t>
            </w:r>
            <w:r/>
          </w:p>
        </w:tc>
      </w:tr>
      <w:tr>
        <w:trPr>
          <w:trHeight w:val="732"/>
        </w:trPr>
        <w:tc>
          <w:tcPr>
            <w:tcBorders>
              <w:right w:val="single" w:color="auto" w:sz="4" w:space="0"/>
            </w:tcBorders>
            <w:tcW w:w="1101"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2.1.1</w:t>
            </w:r>
            <w:r/>
          </w:p>
        </w:tc>
        <w:tc>
          <w:tcPr>
            <w:tcBorders>
              <w:left w:val="single" w:color="auto" w:sz="4" w:space="0"/>
              <w:right w:val="single" w:color="auto" w:sz="4" w:space="0"/>
            </w:tcBorders>
            <w:tcW w:w="1701" w:type="dxa"/>
            <w:vAlign w:val="center"/>
            <w:textDirection w:val="lrTb"/>
            <w:noWrap w:val="false"/>
          </w:tcPr>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符</w:t>
            </w:r>
            <w:r/>
          </w:p>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合</w:t>
            </w:r>
            <w:r/>
          </w:p>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性</w:t>
            </w:r>
            <w:r/>
          </w:p>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评</w:t>
            </w:r>
            <w:r/>
          </w:p>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审</w:t>
            </w:r>
            <w:r/>
          </w:p>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标</w:t>
            </w:r>
            <w:r/>
          </w:p>
          <w:p>
            <w:pPr>
              <w:jc w:val="center"/>
              <w:keepLines/>
              <w:keepNext/>
              <w:spacing w:line="360" w:lineRule="auto"/>
              <w:rPr>
                <w:rFonts w:ascii="宋体" w:hAnsi="宋体" w:cs="宋体"/>
                <w:b/>
                <w:bCs/>
                <w:szCs w:val="21"/>
              </w:rPr>
              <w:outlineLvl w:val="2"/>
            </w:pPr>
            <w:r>
              <w:rPr>
                <w:rFonts w:hint="eastAsia" w:ascii="宋体" w:hAnsi="宋体" w:cs="宋体"/>
                <w:b/>
                <w:bCs/>
                <w:szCs w:val="21"/>
              </w:rPr>
              <w:t xml:space="preserve">准</w:t>
            </w:r>
            <w:r/>
          </w:p>
        </w:tc>
        <w:tc>
          <w:tcPr>
            <w:gridSpan w:val="2"/>
            <w:tcBorders>
              <w:left w:val="single" w:color="auto" w:sz="4" w:space="0"/>
            </w:tcBorders>
            <w:tcW w:w="6520" w:type="dxa"/>
            <w:textDirection w:val="lrTb"/>
            <w:noWrap w:val="false"/>
          </w:tcPr>
          <w:p>
            <w:pPr>
              <w:keepLines/>
              <w:keepNext/>
              <w:spacing w:line="360" w:lineRule="auto"/>
              <w:rPr>
                <w:rFonts w:ascii="宋体" w:hAnsi="宋体" w:cs="宋体"/>
                <w:bCs/>
                <w:sz w:val="22"/>
              </w:rPr>
              <w:outlineLvl w:val="2"/>
            </w:pPr>
            <w:r>
              <w:rPr>
                <w:rFonts w:hint="eastAsia" w:ascii="宋体" w:hAnsi="宋体" w:cs="宋体"/>
                <w:bCs/>
                <w:sz w:val="22"/>
              </w:rPr>
              <w:t xml:space="preserve">（1）投标文件组成齐全，格式、内容按招标文件的规定，字迹清晰可辩：</w:t>
            </w:r>
            <w:r/>
          </w:p>
          <w:p>
            <w:pPr>
              <w:keepLines/>
              <w:keepNext/>
              <w:spacing w:line="360" w:lineRule="auto"/>
              <w:rPr>
                <w:rFonts w:ascii="宋体" w:hAnsi="宋体" w:cs="宋体"/>
                <w:bCs/>
                <w:sz w:val="22"/>
              </w:rPr>
              <w:outlineLvl w:val="2"/>
            </w:pPr>
            <w:r>
              <w:rPr>
                <w:rFonts w:hint="eastAsia" w:ascii="宋体" w:hAnsi="宋体" w:cs="宋体"/>
                <w:bCs/>
                <w:sz w:val="22"/>
              </w:rPr>
              <w:t xml:space="preserve">（2）投标文件中单位和个人电子签章齐全，符合招标文件规定；</w:t>
            </w:r>
            <w:r/>
          </w:p>
          <w:p>
            <w:pPr>
              <w:keepLines/>
              <w:keepNext/>
              <w:spacing w:line="360" w:lineRule="auto"/>
              <w:rPr>
                <w:rFonts w:ascii="宋体" w:hAnsi="宋体" w:cs="宋体"/>
                <w:bCs/>
                <w:sz w:val="22"/>
              </w:rPr>
              <w:outlineLvl w:val="2"/>
            </w:pPr>
            <w:r>
              <w:rPr>
                <w:rFonts w:hint="eastAsia" w:ascii="宋体" w:hAnsi="宋体" w:cs="宋体"/>
                <w:bCs/>
                <w:sz w:val="22"/>
              </w:rPr>
              <w:t xml:space="preserve">（3）投标报价（优惠率）为唯一报价（优惠率），且未提交选择性报价（优惠率）；</w:t>
            </w:r>
            <w:r/>
          </w:p>
          <w:p>
            <w:pPr>
              <w:keepLines/>
              <w:keepNext/>
              <w:spacing w:line="360" w:lineRule="auto"/>
              <w:rPr>
                <w:rFonts w:ascii="宋体" w:hAnsi="宋体" w:eastAsia="Calibri" w:cs="宋体"/>
                <w:bCs/>
                <w:sz w:val="22"/>
              </w:rPr>
              <w:outlineLvl w:val="2"/>
            </w:pPr>
            <w:r>
              <w:rPr>
                <w:rFonts w:hint="eastAsia" w:ascii="宋体" w:hAnsi="宋体" w:cs="宋体"/>
                <w:sz w:val="22"/>
              </w:rPr>
              <w:t xml:space="preserve">（4）</w:t>
            </w:r>
            <w:r>
              <w:rPr>
                <w:rFonts w:hint="eastAsia" w:ascii="宋体" w:hAnsi="宋体" w:cs="宋体"/>
                <w:bCs/>
                <w:sz w:val="22"/>
              </w:rPr>
              <w:t xml:space="preserve">投标报价未高于采购人的最高投标限价；</w:t>
            </w:r>
            <w:r/>
          </w:p>
          <w:p>
            <w:pPr>
              <w:keepLines/>
              <w:keepNext/>
              <w:spacing w:line="360" w:lineRule="auto"/>
              <w:rPr>
                <w:rFonts w:ascii="宋体" w:hAnsi="宋体" w:cs="宋体"/>
                <w:bCs/>
                <w:sz w:val="22"/>
              </w:rPr>
              <w:outlineLvl w:val="2"/>
            </w:pPr>
            <w:r>
              <w:rPr>
                <w:rFonts w:hint="eastAsia" w:ascii="宋体" w:hAnsi="宋体" w:cs="宋体"/>
                <w:bCs/>
                <w:sz w:val="22"/>
              </w:rPr>
              <w:t xml:space="preserve">（5）投标人未提交可调价格的投标报价；</w:t>
            </w:r>
            <w:r/>
          </w:p>
          <w:p>
            <w:pPr>
              <w:keepLines/>
              <w:keepNext/>
              <w:spacing w:line="360" w:lineRule="auto"/>
              <w:rPr>
                <w:rFonts w:ascii="宋体" w:hAnsi="宋体" w:cs="宋体"/>
                <w:bCs/>
                <w:sz w:val="22"/>
              </w:rPr>
              <w:outlineLvl w:val="2"/>
            </w:pPr>
            <w:r>
              <w:rPr>
                <w:rFonts w:hint="eastAsia" w:ascii="宋体" w:hAnsi="宋体" w:cs="宋体"/>
                <w:bCs/>
                <w:sz w:val="22"/>
              </w:rPr>
              <w:t xml:space="preserve">（6）商务条款响应表中未出现负偏离；</w:t>
            </w:r>
            <w:r/>
          </w:p>
          <w:p>
            <w:pPr>
              <w:keepLines/>
              <w:keepNext/>
              <w:spacing w:line="360" w:lineRule="auto"/>
              <w:rPr>
                <w:rFonts w:ascii="宋体" w:hAnsi="宋体" w:cs="宋体"/>
                <w:bCs/>
                <w:sz w:val="22"/>
              </w:rPr>
              <w:outlineLvl w:val="2"/>
            </w:pPr>
            <w:r>
              <w:rPr>
                <w:rFonts w:hint="eastAsia" w:ascii="宋体" w:hAnsi="宋体" w:cs="宋体"/>
                <w:bCs/>
                <w:sz w:val="22"/>
              </w:rPr>
              <w:t xml:space="preserve">（7）技术条款响应表中未出现负偏离；</w:t>
            </w:r>
            <w:r/>
          </w:p>
          <w:p>
            <w:pPr>
              <w:keepLines/>
              <w:keepNext/>
              <w:spacing w:line="360" w:lineRule="auto"/>
              <w:rPr>
                <w:rFonts w:ascii="宋体" w:hAnsi="宋体" w:cs="宋体"/>
                <w:bCs/>
                <w:sz w:val="22"/>
              </w:rPr>
              <w:outlineLvl w:val="2"/>
            </w:pPr>
            <w:r>
              <w:rPr>
                <w:rFonts w:hint="eastAsia" w:ascii="宋体" w:hAnsi="宋体" w:cs="宋体"/>
                <w:bCs/>
                <w:sz w:val="22"/>
              </w:rPr>
              <w:t xml:space="preserve">（8）投标人未以任何方式或者方法提供报价以外的任何附赠条款；</w:t>
            </w:r>
            <w:r/>
          </w:p>
          <w:p>
            <w:pPr>
              <w:keepLines/>
              <w:keepNext/>
              <w:spacing w:line="360" w:lineRule="auto"/>
              <w:rPr>
                <w:rFonts w:ascii="宋体" w:hAnsi="宋体" w:cs="宋体"/>
                <w:b/>
                <w:bCs/>
                <w:szCs w:val="21"/>
              </w:rPr>
              <w:outlineLvl w:val="2"/>
            </w:pPr>
            <w:r>
              <w:rPr>
                <w:rFonts w:hint="eastAsia" w:ascii="宋体" w:hAnsi="宋体" w:cs="宋体"/>
                <w:bCs/>
                <w:sz w:val="22"/>
              </w:rPr>
              <w:t xml:space="preserve">（9）投标文件未附有采购人不能接受的条件。</w:t>
            </w:r>
            <w:r/>
          </w:p>
        </w:tc>
      </w:tr>
      <w:tr>
        <w:trPr>
          <w:trHeight w:val="838"/>
        </w:trPr>
        <w:tc>
          <w:tcPr>
            <w:tcBorders>
              <w:right w:val="single" w:color="auto" w:sz="4" w:space="0"/>
            </w:tcBorders>
            <w:tcW w:w="1101" w:type="dxa"/>
            <w:vAlign w:val="center"/>
            <w:textDirection w:val="lrTb"/>
            <w:noWrap w:val="false"/>
          </w:tcPr>
          <w:p>
            <w:pPr>
              <w:jc w:val="center"/>
              <w:rPr>
                <w:rFonts w:ascii="宋体" w:hAnsi="宋体"/>
                <w:b/>
                <w:bCs/>
                <w:szCs w:val="21"/>
              </w:rPr>
            </w:pPr>
            <w:r>
              <w:rPr>
                <w:rFonts w:hint="eastAsia" w:ascii="宋体" w:hAnsi="宋体"/>
                <w:b/>
                <w:bCs/>
                <w:szCs w:val="21"/>
              </w:rPr>
              <w:t xml:space="preserve">条款号</w:t>
            </w:r>
            <w:r/>
          </w:p>
        </w:tc>
        <w:tc>
          <w:tcPr>
            <w:tcBorders>
              <w:left w:val="single" w:color="auto" w:sz="4" w:space="0"/>
              <w:right w:val="single" w:color="auto" w:sz="4" w:space="0"/>
            </w:tcBorders>
            <w:tcW w:w="1701" w:type="dxa"/>
            <w:vAlign w:val="center"/>
            <w:textDirection w:val="lrTb"/>
            <w:noWrap w:val="false"/>
          </w:tcPr>
          <w:p>
            <w:pPr>
              <w:jc w:val="center"/>
              <w:rPr>
                <w:rFonts w:ascii="宋体" w:hAnsi="宋体"/>
                <w:b/>
                <w:bCs/>
                <w:szCs w:val="21"/>
              </w:rPr>
            </w:pPr>
            <w:r>
              <w:rPr>
                <w:rFonts w:hint="eastAsia" w:ascii="宋体" w:hAnsi="宋体"/>
                <w:b/>
                <w:bCs/>
                <w:szCs w:val="21"/>
              </w:rPr>
              <w:t xml:space="preserve">条款内容</w:t>
            </w:r>
            <w:r/>
          </w:p>
        </w:tc>
        <w:tc>
          <w:tcPr>
            <w:gridSpan w:val="2"/>
            <w:tcBorders>
              <w:left w:val="single" w:color="auto" w:sz="4" w:space="0"/>
            </w:tcBorders>
            <w:tcW w:w="6520" w:type="dxa"/>
            <w:vAlign w:val="center"/>
            <w:textDirection w:val="lrTb"/>
            <w:noWrap w:val="false"/>
          </w:tcPr>
          <w:p>
            <w:pPr>
              <w:jc w:val="center"/>
              <w:rPr>
                <w:rFonts w:ascii="宋体" w:hAnsi="宋体"/>
                <w:b/>
                <w:bCs/>
                <w:szCs w:val="21"/>
              </w:rPr>
            </w:pPr>
            <w:r>
              <w:rPr>
                <w:rFonts w:hint="eastAsia" w:ascii="宋体" w:hAnsi="宋体"/>
                <w:b/>
                <w:bCs/>
                <w:szCs w:val="21"/>
              </w:rPr>
              <w:t xml:space="preserve">编列内容</w:t>
            </w:r>
            <w:r/>
          </w:p>
        </w:tc>
      </w:tr>
      <w:tr>
        <w:trPr>
          <w:trHeight w:val="2772"/>
        </w:trPr>
        <w:tc>
          <w:tcPr>
            <w:tcBorders>
              <w:right w:val="single" w:color="auto" w:sz="4" w:space="0"/>
            </w:tcBorders>
            <w:tcW w:w="1101" w:type="dxa"/>
            <w:vAlign w:val="center"/>
            <w:textDirection w:val="lrTb"/>
            <w:noWrap w:val="false"/>
          </w:tcPr>
          <w:p>
            <w:pPr>
              <w:jc w:val="center"/>
              <w:spacing w:line="360" w:lineRule="auto"/>
              <w:rPr>
                <w:rFonts w:ascii="宋体" w:hAnsi="宋体"/>
                <w:b/>
                <w:bCs/>
                <w:szCs w:val="21"/>
              </w:rPr>
            </w:pPr>
            <w:r/>
            <w:bookmarkStart w:id="117" w:name="_Hlk232511433"/>
            <w:r>
              <w:rPr>
                <w:rFonts w:hint="eastAsia" w:ascii="宋体" w:hAnsi="宋体"/>
                <w:b/>
                <w:bCs/>
                <w:szCs w:val="21"/>
              </w:rPr>
              <w:t xml:space="preserve">2.3.1</w:t>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分值构成</w:t>
            </w:r>
            <w:r/>
          </w:p>
          <w:p>
            <w:pPr>
              <w:spacing w:line="360" w:lineRule="auto"/>
              <w:rPr>
                <w:rFonts w:ascii="宋体" w:hAnsi="宋体"/>
                <w:b/>
                <w:bCs/>
                <w:szCs w:val="21"/>
              </w:rPr>
            </w:pPr>
            <w:r>
              <w:rPr>
                <w:rFonts w:hint="eastAsia" w:ascii="宋体" w:hAnsi="宋体"/>
                <w:b/>
                <w:bCs/>
                <w:szCs w:val="21"/>
              </w:rPr>
              <w:t xml:space="preserve">（总分100分）</w:t>
            </w:r>
            <w:r/>
          </w:p>
        </w:tc>
        <w:tc>
          <w:tcPr>
            <w:gridSpan w:val="2"/>
            <w:tcBorders>
              <w:left w:val="single" w:color="auto" w:sz="4" w:space="0"/>
            </w:tcBorders>
            <w:tcW w:w="6520"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服务方案：38分</w:t>
            </w:r>
            <w:r/>
          </w:p>
          <w:p>
            <w:pPr>
              <w:jc w:val="left"/>
              <w:spacing w:line="360" w:lineRule="auto"/>
              <w:rPr>
                <w:rFonts w:ascii="宋体" w:hAnsi="宋体"/>
                <w:b/>
                <w:szCs w:val="21"/>
              </w:rPr>
            </w:pPr>
            <w:r>
              <w:rPr>
                <w:rFonts w:hint="eastAsia" w:ascii="宋体" w:hAnsi="宋体"/>
                <w:b/>
                <w:szCs w:val="21"/>
              </w:rPr>
              <w:t xml:space="preserve">企业能力：29分</w:t>
            </w:r>
            <w:r/>
          </w:p>
          <w:p>
            <w:pPr>
              <w:jc w:val="left"/>
              <w:spacing w:line="360" w:lineRule="auto"/>
              <w:rPr>
                <w:rFonts w:ascii="宋体" w:hAnsi="宋体"/>
                <w:b/>
                <w:szCs w:val="21"/>
              </w:rPr>
            </w:pPr>
            <w:r>
              <w:rPr>
                <w:rFonts w:hint="eastAsia" w:ascii="宋体" w:hAnsi="宋体"/>
                <w:b/>
                <w:szCs w:val="21"/>
              </w:rPr>
              <w:t xml:space="preserve">人员配备：8分</w:t>
            </w:r>
            <w:r/>
          </w:p>
          <w:p>
            <w:pPr>
              <w:jc w:val="left"/>
              <w:spacing w:line="360" w:lineRule="auto"/>
              <w:rPr>
                <w:rFonts w:ascii="宋体" w:hAnsi="宋体"/>
                <w:b/>
                <w:szCs w:val="21"/>
              </w:rPr>
            </w:pPr>
            <w:r>
              <w:rPr>
                <w:rFonts w:hint="eastAsia" w:ascii="宋体" w:hAnsi="宋体"/>
                <w:b/>
                <w:szCs w:val="21"/>
              </w:rPr>
              <w:t xml:space="preserve">学术水平：3分</w:t>
            </w:r>
            <w:r/>
          </w:p>
          <w:p>
            <w:pPr>
              <w:jc w:val="left"/>
              <w:spacing w:line="360" w:lineRule="auto"/>
              <w:rPr>
                <w:rFonts w:ascii="宋体" w:hAnsi="宋体"/>
                <w:b/>
                <w:szCs w:val="21"/>
              </w:rPr>
            </w:pPr>
            <w:r>
              <w:rPr>
                <w:rFonts w:hint="eastAsia" w:ascii="宋体" w:hAnsi="宋体"/>
                <w:b/>
                <w:szCs w:val="21"/>
              </w:rPr>
              <w:t xml:space="preserve">类似业绩：5分</w:t>
            </w:r>
            <w:r/>
          </w:p>
          <w:p>
            <w:pPr>
              <w:jc w:val="left"/>
              <w:spacing w:line="360" w:lineRule="auto"/>
              <w:rPr>
                <w:rFonts w:ascii="宋体" w:hAnsi="宋体"/>
                <w:b/>
                <w:szCs w:val="21"/>
              </w:rPr>
            </w:pPr>
            <w:r>
              <w:rPr>
                <w:rFonts w:hint="eastAsia" w:ascii="宋体" w:hAnsi="宋体"/>
                <w:b/>
                <w:szCs w:val="21"/>
              </w:rPr>
              <w:t xml:space="preserve">管理体系：7分</w:t>
            </w:r>
            <w:r/>
          </w:p>
          <w:p>
            <w:pPr>
              <w:jc w:val="left"/>
              <w:spacing w:line="360" w:lineRule="auto"/>
              <w:rPr>
                <w:rFonts w:ascii="宋体" w:hAnsi="宋体"/>
                <w:szCs w:val="21"/>
              </w:rPr>
            </w:pPr>
            <w:r>
              <w:rPr>
                <w:rFonts w:hint="eastAsia" w:ascii="宋体" w:hAnsi="宋体"/>
                <w:b/>
                <w:szCs w:val="21"/>
              </w:rPr>
              <w:t xml:space="preserve">价格部分：10分</w:t>
            </w:r>
            <w:bookmarkEnd w:id="117"/>
            <w:r/>
            <w:r/>
          </w:p>
        </w:tc>
      </w:tr>
      <w:tr>
        <w:trPr>
          <w:trHeight w:val="582"/>
        </w:trPr>
        <w:tc>
          <w:tcPr>
            <w:tcBorders>
              <w:right w:val="single" w:color="auto" w:sz="4" w:space="0"/>
            </w:tcBorders>
            <w:tcW w:w="1101" w:type="dxa"/>
            <w:vAlign w:val="center"/>
            <w:textDirection w:val="lrTb"/>
            <w:noWrap w:val="false"/>
          </w:tcPr>
          <w:p>
            <w:pPr>
              <w:jc w:val="center"/>
              <w:spacing w:line="360" w:lineRule="auto"/>
              <w:rPr>
                <w:rFonts w:ascii="宋体" w:hAnsi="宋体"/>
                <w:b/>
                <w:bCs/>
                <w:szCs w:val="21"/>
              </w:rPr>
            </w:pPr>
            <w:r>
              <w:rPr>
                <w:rFonts w:ascii="宋体" w:hAnsi="宋体"/>
                <w:b/>
                <w:bCs/>
                <w:szCs w:val="21"/>
              </w:rPr>
              <w:t xml:space="preserve">条款号</w:t>
            </w:r>
            <w:r/>
          </w:p>
        </w:tc>
        <w:tc>
          <w:tcPr>
            <w:tcBorders>
              <w:left w:val="single" w:color="auto" w:sz="4" w:space="0"/>
            </w:tcBorders>
            <w:tcW w:w="1701"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评分因素</w:t>
            </w:r>
            <w:r/>
          </w:p>
          <w:p>
            <w:pPr>
              <w:jc w:val="center"/>
              <w:spacing w:line="360" w:lineRule="auto"/>
              <w:rPr>
                <w:rFonts w:ascii="宋体" w:hAnsi="宋体"/>
                <w:b/>
                <w:bCs/>
                <w:szCs w:val="21"/>
              </w:rPr>
            </w:pPr>
            <w:r>
              <w:rPr>
                <w:rFonts w:hint="eastAsia" w:ascii="宋体" w:hAnsi="宋体"/>
                <w:b/>
                <w:bCs/>
                <w:szCs w:val="21"/>
              </w:rPr>
              <w:t xml:space="preserve">及分值</w:t>
            </w:r>
            <w:r/>
          </w:p>
        </w:tc>
        <w:tc>
          <w:tcPr>
            <w:tcBorders>
              <w:right w:val="single" w:color="auto" w:sz="4" w:space="0"/>
            </w:tcBorders>
            <w:tcW w:w="2126"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各评分因素细分项</w:t>
            </w:r>
            <w:r/>
          </w:p>
        </w:tc>
        <w:tc>
          <w:tcPr>
            <w:tcBorders>
              <w:left w:val="single" w:color="auto" w:sz="4" w:space="0"/>
            </w:tcBorders>
            <w:tcW w:w="4394"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评分标准</w:t>
            </w:r>
            <w:r/>
          </w:p>
        </w:tc>
      </w:tr>
      <w:tr>
        <w:trPr>
          <w:trHeight w:val="269"/>
        </w:trPr>
        <w:tc>
          <w:tcPr>
            <w:tcBorders>
              <w:right w:val="single" w:color="auto" w:sz="4" w:space="0"/>
            </w:tcBorders>
            <w:tcW w:w="1101" w:type="dxa"/>
            <w:vAlign w:val="center"/>
            <w:vMerge w:val="restart"/>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（1）</w:t>
            </w:r>
            <w:r/>
          </w:p>
        </w:tc>
        <w:tc>
          <w:tcPr>
            <w:tcBorders>
              <w:left w:val="single" w:color="auto" w:sz="4" w:space="0"/>
            </w:tcBorders>
            <w:tcW w:w="1701" w:type="dxa"/>
            <w:vAlign w:val="center"/>
            <w:vMerge w:val="restart"/>
            <w:textDirection w:val="lrTb"/>
            <w:noWrap w:val="false"/>
          </w:tcPr>
          <w:p>
            <w:pPr>
              <w:spacing w:line="400" w:lineRule="atLeast"/>
              <w:rPr>
                <w:rFonts w:ascii="宋体" w:hAnsi="宋体"/>
                <w:b/>
                <w:bCs/>
                <w:szCs w:val="21"/>
              </w:rPr>
            </w:pPr>
            <w:r>
              <w:rPr>
                <w:rFonts w:ascii="宋体" w:hAnsi="宋体"/>
                <w:b/>
                <w:bCs/>
                <w:szCs w:val="21"/>
              </w:rPr>
            </w:r>
            <w:r/>
          </w:p>
          <w:p>
            <w:pPr>
              <w:jc w:val="center"/>
              <w:spacing w:line="400" w:lineRule="atLeast"/>
              <w:rPr>
                <w:rFonts w:ascii="宋体" w:hAnsi="宋体"/>
                <w:b/>
                <w:bCs/>
                <w:szCs w:val="21"/>
              </w:rPr>
            </w:pPr>
            <w:r>
              <w:rPr>
                <w:rFonts w:hint="eastAsia" w:ascii="宋体" w:hAnsi="宋体"/>
                <w:b/>
                <w:bCs/>
                <w:szCs w:val="21"/>
              </w:rPr>
              <w:t xml:space="preserve">服务方案</w:t>
            </w:r>
            <w:r/>
          </w:p>
          <w:p>
            <w:pPr>
              <w:jc w:val="center"/>
              <w:spacing w:line="400" w:lineRule="atLeast"/>
              <w:rPr>
                <w:rFonts w:ascii="宋体" w:hAnsi="宋体"/>
                <w:b/>
                <w:bCs/>
                <w:szCs w:val="21"/>
              </w:rPr>
            </w:pPr>
            <w:r>
              <w:rPr>
                <w:rFonts w:hint="eastAsia" w:ascii="宋体" w:hAnsi="宋体"/>
                <w:b/>
                <w:bCs/>
                <w:szCs w:val="21"/>
              </w:rPr>
              <w:t xml:space="preserve">（38分）</w:t>
            </w:r>
            <w:r/>
          </w:p>
          <w:p>
            <w:pPr>
              <w:jc w:val="center"/>
              <w:spacing w:line="400" w:lineRule="atLeast"/>
              <w:rPr>
                <w:rFonts w:ascii="宋体" w:hAnsi="宋体"/>
                <w:b/>
                <w:bCs/>
                <w:szCs w:val="21"/>
              </w:rPr>
            </w:pPr>
            <w:r>
              <w:rPr>
                <w:rFonts w:ascii="宋体" w:hAnsi="宋体"/>
                <w:b/>
                <w:bCs/>
                <w:szCs w:val="21"/>
              </w:rPr>
            </w:r>
            <w:r/>
          </w:p>
        </w:tc>
        <w:tc>
          <w:tcPr>
            <w:tcBorders>
              <w:right w:val="single" w:color="auto" w:sz="4" w:space="0"/>
            </w:tcBorders>
            <w:tcW w:w="2126" w:type="dxa"/>
            <w:vAlign w:val="center"/>
            <w:textDirection w:val="lrTb"/>
            <w:noWrap w:val="false"/>
          </w:tcPr>
          <w:p>
            <w:pPr>
              <w:jc w:val="center"/>
              <w:spacing w:line="400" w:lineRule="atLeast"/>
              <w:rPr>
                <w:rFonts w:ascii="宋体" w:hAnsi="宋体"/>
                <w:bCs/>
                <w:szCs w:val="21"/>
              </w:rPr>
            </w:pPr>
            <w:r>
              <w:rPr>
                <w:rFonts w:hint="eastAsia" w:ascii="宋体" w:hAnsi="宋体"/>
                <w:bCs/>
                <w:szCs w:val="21"/>
              </w:rPr>
              <w:t xml:space="preserve">标本的收取、运输保管及保障措施</w:t>
            </w:r>
            <w:r/>
          </w:p>
          <w:p>
            <w:pPr>
              <w:jc w:val="center"/>
              <w:spacing w:line="400" w:lineRule="atLeast"/>
            </w:pPr>
            <w:r>
              <w:rPr>
                <w:rFonts w:hint="eastAsia" w:ascii="宋体" w:hAnsi="宋体"/>
                <w:bCs/>
                <w:szCs w:val="21"/>
              </w:rPr>
              <w:t xml:space="preserve">（6分）</w:t>
            </w:r>
            <w:r/>
          </w:p>
        </w:tc>
        <w:tc>
          <w:tcPr>
            <w:tcBorders>
              <w:left w:val="single" w:color="auto" w:sz="4" w:space="0"/>
            </w:tcBorders>
            <w:tcW w:w="4394" w:type="dxa"/>
            <w:vAlign w:val="center"/>
            <w:textDirection w:val="lrTb"/>
            <w:noWrap w:val="false"/>
          </w:tcPr>
          <w:p>
            <w:pPr>
              <w:pStyle w:val="692"/>
              <w:spacing w:after="0" w:line="400" w:lineRule="atLeast"/>
              <w:rPr>
                <w:bCs/>
                <w:sz w:val="21"/>
                <w:szCs w:val="21"/>
              </w:rPr>
            </w:pPr>
            <w:r>
              <w:rPr>
                <w:rFonts w:hint="eastAsia"/>
                <w:bCs/>
                <w:sz w:val="21"/>
                <w:szCs w:val="21"/>
              </w:rPr>
              <w:t xml:space="preserve">（1）标本的收取、运输保管流程规范、保障措施可行性强得6分；</w:t>
            </w:r>
            <w:r/>
          </w:p>
          <w:p>
            <w:pPr>
              <w:pStyle w:val="692"/>
              <w:spacing w:after="0" w:line="400" w:lineRule="atLeast"/>
              <w:rPr>
                <w:bCs/>
                <w:sz w:val="21"/>
                <w:szCs w:val="21"/>
              </w:rPr>
            </w:pPr>
            <w:r>
              <w:rPr>
                <w:rFonts w:hint="eastAsia"/>
                <w:bCs/>
                <w:sz w:val="21"/>
                <w:szCs w:val="21"/>
              </w:rPr>
              <w:t xml:space="preserve">（2）标本的收取、运输保管流程较规范、保障措施可行性较强得5分；</w:t>
            </w:r>
            <w:r/>
          </w:p>
          <w:p>
            <w:pPr>
              <w:pStyle w:val="692"/>
              <w:spacing w:after="0" w:line="400" w:lineRule="atLeast"/>
              <w:rPr>
                <w:bCs/>
                <w:sz w:val="21"/>
                <w:szCs w:val="21"/>
              </w:rPr>
            </w:pPr>
            <w:r>
              <w:rPr>
                <w:rFonts w:hint="eastAsia"/>
                <w:bCs/>
                <w:sz w:val="21"/>
                <w:szCs w:val="21"/>
              </w:rPr>
              <w:t xml:space="preserve">（3）标本的收取、运输保管流程基本规范、保障措施可行性一般得4分；</w:t>
            </w:r>
            <w:r/>
          </w:p>
          <w:p>
            <w:pPr>
              <w:pStyle w:val="692"/>
              <w:spacing w:after="0" w:line="400" w:lineRule="atLeast"/>
              <w:rPr>
                <w:bCs/>
                <w:sz w:val="21"/>
                <w:szCs w:val="21"/>
              </w:rPr>
            </w:pPr>
            <w:r>
              <w:rPr>
                <w:rFonts w:hint="eastAsia"/>
                <w:bCs/>
                <w:sz w:val="21"/>
                <w:szCs w:val="21"/>
              </w:rPr>
              <w:t xml:space="preserve">（4）标本的收取、运输保管流程不规范、保障措施可行性较差得3分；</w:t>
            </w:r>
            <w:r/>
          </w:p>
          <w:p>
            <w:pPr>
              <w:pStyle w:val="692"/>
              <w:spacing w:after="0" w:line="400" w:lineRule="atLeast"/>
              <w:rPr>
                <w:sz w:val="21"/>
                <w:szCs w:val="21"/>
              </w:rPr>
            </w:pPr>
            <w:r>
              <w:rPr>
                <w:rFonts w:hint="eastAsia"/>
                <w:bCs/>
                <w:sz w:val="21"/>
                <w:szCs w:val="21"/>
              </w:rPr>
              <w:t xml:space="preserve">（5）无标本的收取、运输保管及保障措施的得0分</w:t>
            </w:r>
            <w:r>
              <w:rPr>
                <w:rFonts w:hint="eastAsia"/>
                <w:sz w:val="21"/>
                <w:szCs w:val="21"/>
              </w:rPr>
              <w:t xml:space="preserve">。</w:t>
            </w:r>
            <w:r/>
          </w:p>
        </w:tc>
      </w:tr>
      <w:tr>
        <w:trPr>
          <w:trHeight w:val="269"/>
        </w:trPr>
        <w:tc>
          <w:tcPr>
            <w:tcBorders>
              <w:right w:val="single" w:color="auto" w:sz="4" w:space="0"/>
            </w:tcBorders>
            <w:tcW w:w="11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left w:val="single" w:color="auto" w:sz="4" w:space="0"/>
            </w:tcBorders>
            <w:tcW w:w="1701" w:type="dxa"/>
            <w:vAlign w:val="center"/>
            <w:vMerge w:val="continue"/>
            <w:textDirection w:val="lrTb"/>
            <w:noWrap w:val="false"/>
          </w:tcPr>
          <w:p>
            <w:pPr>
              <w:spacing w:line="400" w:lineRule="atLeast"/>
              <w:rPr>
                <w:rFonts w:ascii="宋体" w:hAnsi="宋体"/>
                <w:b/>
                <w:bCs/>
                <w:szCs w:val="21"/>
              </w:rPr>
            </w:pPr>
            <w:r>
              <w:rPr>
                <w:rFonts w:ascii="宋体" w:hAnsi="宋体"/>
                <w:b/>
                <w:bCs/>
                <w:szCs w:val="21"/>
              </w:rPr>
            </w:r>
            <w:r/>
          </w:p>
        </w:tc>
        <w:tc>
          <w:tcPr>
            <w:tcBorders>
              <w:right w:val="single" w:color="auto" w:sz="4" w:space="0"/>
            </w:tcBorders>
            <w:tcW w:w="2126" w:type="dxa"/>
            <w:vAlign w:val="center"/>
            <w:textDirection w:val="lrTb"/>
            <w:noWrap w:val="false"/>
          </w:tcPr>
          <w:p>
            <w:pPr>
              <w:jc w:val="center"/>
              <w:spacing w:line="400" w:lineRule="atLeast"/>
              <w:rPr>
                <w:rFonts w:ascii="宋体" w:hAnsi="宋体"/>
                <w:bCs/>
                <w:szCs w:val="21"/>
              </w:rPr>
            </w:pPr>
            <w:r>
              <w:rPr>
                <w:rFonts w:hint="eastAsia" w:ascii="宋体" w:hAnsi="宋体"/>
                <w:bCs/>
                <w:szCs w:val="21"/>
              </w:rPr>
              <w:t xml:space="preserve">检测检查项目及其检测检查方法</w:t>
            </w:r>
            <w:r/>
          </w:p>
          <w:p>
            <w:pPr>
              <w:jc w:val="center"/>
              <w:spacing w:line="400" w:lineRule="atLeast"/>
              <w:rPr>
                <w:rFonts w:ascii="宋体" w:hAnsi="宋体"/>
                <w:bCs/>
                <w:szCs w:val="21"/>
              </w:rPr>
            </w:pPr>
            <w:r>
              <w:rPr>
                <w:rFonts w:hint="eastAsia" w:ascii="宋体" w:hAnsi="宋体"/>
                <w:bCs/>
                <w:szCs w:val="21"/>
              </w:rPr>
              <w:t xml:space="preserve">（10分）</w:t>
            </w:r>
            <w:r/>
          </w:p>
        </w:tc>
        <w:tc>
          <w:tcPr>
            <w:tcBorders>
              <w:left w:val="single" w:color="auto" w:sz="4" w:space="0"/>
            </w:tcBorders>
            <w:tcW w:w="4394" w:type="dxa"/>
            <w:vAlign w:val="center"/>
            <w:textDirection w:val="lrTb"/>
            <w:noWrap w:val="false"/>
          </w:tcPr>
          <w:p>
            <w:pPr>
              <w:pStyle w:val="692"/>
              <w:spacing w:after="0" w:line="400" w:lineRule="atLeast"/>
              <w:rPr>
                <w:bCs/>
                <w:sz w:val="21"/>
                <w:szCs w:val="21"/>
              </w:rPr>
            </w:pPr>
            <w:r>
              <w:rPr>
                <w:rFonts w:hint="eastAsia"/>
                <w:bCs/>
                <w:sz w:val="21"/>
                <w:szCs w:val="21"/>
              </w:rPr>
              <w:t xml:space="preserve">（1）检测检查项目齐全、检测检查方法规范得10分；</w:t>
            </w:r>
            <w:r/>
          </w:p>
          <w:p>
            <w:pPr>
              <w:pStyle w:val="692"/>
              <w:spacing w:after="0" w:line="400" w:lineRule="atLeast"/>
              <w:rPr>
                <w:bCs/>
                <w:sz w:val="21"/>
                <w:szCs w:val="21"/>
              </w:rPr>
            </w:pPr>
            <w:r>
              <w:rPr>
                <w:rFonts w:hint="eastAsia"/>
                <w:bCs/>
                <w:sz w:val="21"/>
                <w:szCs w:val="21"/>
              </w:rPr>
              <w:t xml:space="preserve">（2）检测检查项目较齐全、检测检查方法较规范得9分；</w:t>
            </w:r>
            <w:r/>
          </w:p>
          <w:p>
            <w:pPr>
              <w:pStyle w:val="692"/>
              <w:spacing w:after="0" w:line="400" w:lineRule="atLeast"/>
              <w:rPr>
                <w:bCs/>
                <w:sz w:val="21"/>
                <w:szCs w:val="21"/>
              </w:rPr>
            </w:pPr>
            <w:r>
              <w:rPr>
                <w:rFonts w:hint="eastAsia"/>
                <w:bCs/>
                <w:sz w:val="21"/>
                <w:szCs w:val="21"/>
              </w:rPr>
              <w:t xml:space="preserve">（3）检测检查项目基本齐全、检测检查方法基本规范得8分；</w:t>
            </w:r>
            <w:r/>
          </w:p>
          <w:p>
            <w:pPr>
              <w:pStyle w:val="692"/>
              <w:spacing w:after="0" w:line="400" w:lineRule="atLeast"/>
              <w:rPr>
                <w:bCs/>
                <w:sz w:val="21"/>
                <w:szCs w:val="21"/>
              </w:rPr>
            </w:pPr>
            <w:r>
              <w:rPr>
                <w:rFonts w:hint="eastAsia"/>
                <w:bCs/>
                <w:sz w:val="21"/>
                <w:szCs w:val="21"/>
              </w:rPr>
              <w:t xml:space="preserve">（4）检测检查项目缺失严重、检测检查方法较不规范得7分；</w:t>
            </w:r>
            <w:r/>
          </w:p>
          <w:p>
            <w:pPr>
              <w:pStyle w:val="692"/>
              <w:spacing w:after="0" w:line="400" w:lineRule="atLeast"/>
              <w:rPr>
                <w:bCs/>
                <w:sz w:val="21"/>
                <w:szCs w:val="21"/>
              </w:rPr>
            </w:pPr>
            <w:r>
              <w:rPr>
                <w:rFonts w:hint="eastAsia"/>
                <w:bCs/>
                <w:sz w:val="21"/>
                <w:szCs w:val="21"/>
              </w:rPr>
              <w:t xml:space="preserve">（5）无检测检查项目及其检测检查方法得0分</w:t>
            </w:r>
            <w:r>
              <w:rPr>
                <w:rFonts w:hint="eastAsia"/>
                <w:sz w:val="21"/>
                <w:szCs w:val="21"/>
              </w:rPr>
              <w:t xml:space="preserve">。</w:t>
            </w:r>
            <w:r/>
          </w:p>
        </w:tc>
      </w:tr>
      <w:tr>
        <w:trPr>
          <w:trHeight w:val="1120"/>
        </w:trPr>
        <w:tc>
          <w:tcPr>
            <w:tcBorders>
              <w:right w:val="single" w:color="auto" w:sz="4" w:space="0"/>
            </w:tcBorders>
            <w:tcW w:w="11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left w:val="single" w:color="auto" w:sz="4" w:space="0"/>
            </w:tcBorders>
            <w:tcW w:w="17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right w:val="single" w:color="auto" w:sz="4" w:space="0"/>
            </w:tcBorders>
            <w:tcW w:w="2126" w:type="dxa"/>
            <w:vAlign w:val="center"/>
            <w:textDirection w:val="lrTb"/>
            <w:noWrap w:val="false"/>
          </w:tcPr>
          <w:p>
            <w:pPr>
              <w:jc w:val="center"/>
              <w:spacing w:line="400" w:lineRule="atLeast"/>
              <w:rPr>
                <w:rFonts w:ascii="宋体" w:hAnsi="宋体"/>
                <w:bCs/>
                <w:szCs w:val="21"/>
              </w:rPr>
            </w:pPr>
            <w:r>
              <w:rPr>
                <w:rFonts w:hint="eastAsia" w:ascii="宋体" w:hAnsi="宋体"/>
                <w:bCs/>
                <w:szCs w:val="21"/>
              </w:rPr>
              <w:t xml:space="preserve">结果报告质量控制及其保障措施</w:t>
            </w:r>
            <w:r/>
          </w:p>
          <w:p>
            <w:pPr>
              <w:jc w:val="center"/>
              <w:spacing w:line="400" w:lineRule="atLeast"/>
              <w:rPr>
                <w:rFonts w:ascii="宋体" w:hAnsi="宋体"/>
                <w:bCs/>
                <w:szCs w:val="21"/>
              </w:rPr>
            </w:pPr>
            <w:r>
              <w:rPr>
                <w:rFonts w:hint="eastAsia" w:ascii="宋体" w:hAnsi="宋体"/>
                <w:bCs/>
                <w:szCs w:val="21"/>
              </w:rPr>
              <w:t xml:space="preserve">（10分）</w:t>
            </w:r>
            <w:r/>
          </w:p>
        </w:tc>
        <w:tc>
          <w:tcPr>
            <w:tcBorders>
              <w:left w:val="single" w:color="auto" w:sz="4" w:space="0"/>
            </w:tcBorders>
            <w:tcW w:w="4394"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（1）结果报告质量控制体系健全、保障措施可行性强得10分；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（2）结果报告质量控制体系较健全、保障措施可行性较强得9分；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（3）结果报告质量控制体系基本健全、保障措施可行性一般得8分；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（4）结果报告质量控制体系缺失严重、保障措施可行性差得7分；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（5）无结果报告质量控制体系和保障措施得0分。</w:t>
            </w:r>
            <w:r/>
          </w:p>
        </w:tc>
      </w:tr>
      <w:tr>
        <w:trPr>
          <w:trHeight w:val="200"/>
        </w:trPr>
        <w:tc>
          <w:tcPr>
            <w:tcBorders>
              <w:right w:val="single" w:color="auto" w:sz="4" w:space="0"/>
            </w:tcBorders>
            <w:tcW w:w="11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left w:val="single" w:color="auto" w:sz="4" w:space="0"/>
            </w:tcBorders>
            <w:tcW w:w="17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right w:val="single" w:color="auto" w:sz="4" w:space="0"/>
            </w:tcBorders>
            <w:tcW w:w="2126" w:type="dxa"/>
            <w:vAlign w:val="center"/>
            <w:textDirection w:val="lrTb"/>
            <w:noWrap w:val="false"/>
          </w:tcPr>
          <w:p>
            <w:pPr>
              <w:jc w:val="center"/>
              <w:spacing w:line="400" w:lineRule="atLeast"/>
              <w:rPr>
                <w:rFonts w:ascii="宋体" w:hAnsi="宋体"/>
                <w:bCs/>
                <w:szCs w:val="21"/>
              </w:rPr>
            </w:pPr>
            <w:r>
              <w:rPr>
                <w:rFonts w:hint="eastAsia" w:ascii="宋体" w:hAnsi="宋体"/>
                <w:bCs/>
                <w:szCs w:val="21"/>
              </w:rPr>
              <w:t xml:space="preserve">异常报告和报告异议处理流程及解决措施</w:t>
            </w:r>
            <w:r/>
          </w:p>
          <w:p>
            <w:pPr>
              <w:jc w:val="center"/>
              <w:spacing w:line="400" w:lineRule="atLeast"/>
            </w:pPr>
            <w:r>
              <w:rPr>
                <w:rFonts w:hint="eastAsia" w:ascii="宋体" w:hAnsi="宋体"/>
                <w:bCs/>
                <w:szCs w:val="21"/>
              </w:rPr>
              <w:t xml:space="preserve">（6分）</w:t>
            </w:r>
            <w:r/>
          </w:p>
        </w:tc>
        <w:tc>
          <w:tcPr>
            <w:tcBorders>
              <w:left w:val="single" w:color="auto" w:sz="4" w:space="0"/>
            </w:tcBorders>
            <w:tcW w:w="4394"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（1）异常报告和报告异议处理流程规范、解决措施恰当得</w:t>
            </w:r>
            <w:r>
              <w:rPr>
                <w:rFonts w:hint="eastAsia" w:ascii="宋体" w:hAnsi="宋体" w:eastAsia="宋体"/>
                <w:b w:val="0"/>
                <w:sz w:val="21"/>
                <w:szCs w:val="21"/>
              </w:rPr>
              <w:t xml:space="preserve">6</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（2）异常报告和报告异议处理流程较规范、解决措施较恰当得</w:t>
            </w:r>
            <w:r>
              <w:rPr>
                <w:rFonts w:hint="eastAsia" w:ascii="宋体" w:hAnsi="宋体" w:eastAsia="宋体"/>
                <w:b w:val="0"/>
                <w:sz w:val="21"/>
                <w:szCs w:val="21"/>
              </w:rPr>
              <w:t xml:space="preserve">5</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（3）异常报告和报告异议处理流程基本规范、解决措施基本恰当得</w:t>
            </w:r>
            <w:r>
              <w:rPr>
                <w:rFonts w:hint="eastAsia" w:ascii="宋体" w:hAnsi="宋体" w:eastAsia="宋体"/>
                <w:b w:val="0"/>
                <w:sz w:val="21"/>
                <w:szCs w:val="21"/>
              </w:rPr>
              <w:t xml:space="preserve">4</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（4）异常报告和报告异议处理流程规范性差、解决措施不当得</w:t>
            </w:r>
            <w:r>
              <w:rPr>
                <w:rFonts w:hint="eastAsia" w:ascii="宋体" w:hAnsi="宋体" w:eastAsia="宋体"/>
                <w:b w:val="0"/>
                <w:sz w:val="21"/>
                <w:szCs w:val="21"/>
              </w:rPr>
              <w:t xml:space="preserve">3</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（5）无异常报告和报告异议处理流程及解决措施得0分。</w:t>
            </w:r>
            <w:r/>
          </w:p>
        </w:tc>
      </w:tr>
      <w:tr>
        <w:trPr>
          <w:trHeight w:val="169"/>
        </w:trPr>
        <w:tc>
          <w:tcPr>
            <w:tcBorders>
              <w:right w:val="single" w:color="auto" w:sz="4" w:space="0"/>
            </w:tcBorders>
            <w:tcW w:w="11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left w:val="single" w:color="auto" w:sz="4" w:space="0"/>
            </w:tcBorders>
            <w:tcW w:w="1701" w:type="dxa"/>
            <w:vAlign w:val="center"/>
            <w:vMerge w:val="continue"/>
            <w:textDirection w:val="lrTb"/>
            <w:noWrap w:val="false"/>
          </w:tcPr>
          <w:p>
            <w:pPr>
              <w:jc w:val="center"/>
              <w:spacing w:line="400" w:lineRule="atLeast"/>
              <w:rPr>
                <w:rFonts w:ascii="宋体" w:hAnsi="宋体"/>
                <w:b/>
                <w:bCs/>
                <w:szCs w:val="21"/>
              </w:rPr>
            </w:pPr>
            <w:r>
              <w:rPr>
                <w:rFonts w:ascii="宋体" w:hAnsi="宋体"/>
                <w:b/>
                <w:bCs/>
                <w:szCs w:val="21"/>
              </w:rPr>
            </w:r>
            <w:r/>
          </w:p>
        </w:tc>
        <w:tc>
          <w:tcPr>
            <w:tcBorders>
              <w:right w:val="single" w:color="auto" w:sz="4" w:space="0"/>
            </w:tcBorders>
            <w:tcW w:w="2126" w:type="dxa"/>
            <w:vAlign w:val="center"/>
            <w:textDirection w:val="lrTb"/>
            <w:noWrap w:val="false"/>
          </w:tcPr>
          <w:p>
            <w:pPr>
              <w:jc w:val="center"/>
              <w:spacing w:line="400" w:lineRule="atLeast"/>
              <w:rPr>
                <w:rFonts w:ascii="宋体" w:hAnsi="宋体"/>
                <w:bCs/>
                <w:szCs w:val="21"/>
              </w:rPr>
            </w:pPr>
            <w:r>
              <w:rPr>
                <w:rFonts w:hint="eastAsia" w:ascii="宋体" w:hAnsi="宋体"/>
                <w:bCs/>
                <w:szCs w:val="21"/>
              </w:rPr>
              <w:t xml:space="preserve">检验前培训服务方案及保障措施</w:t>
            </w:r>
            <w:r/>
          </w:p>
          <w:p>
            <w:pPr>
              <w:jc w:val="center"/>
              <w:spacing w:line="400" w:lineRule="atLeast"/>
            </w:pPr>
            <w:r>
              <w:rPr>
                <w:rFonts w:hint="eastAsia" w:ascii="宋体" w:hAnsi="宋体"/>
                <w:bCs/>
                <w:szCs w:val="21"/>
              </w:rPr>
              <w:t xml:space="preserve">（6分）</w:t>
            </w:r>
            <w:r/>
          </w:p>
        </w:tc>
        <w:tc>
          <w:tcPr>
            <w:tcBorders>
              <w:left w:val="single" w:color="auto" w:sz="4" w:space="0"/>
            </w:tcBorders>
            <w:tcW w:w="4394"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（1）培训服务方案规范、保障措施可行得</w:t>
            </w:r>
            <w:r>
              <w:rPr>
                <w:rFonts w:hint="eastAsia" w:ascii="宋体" w:hAnsi="宋体" w:eastAsia="宋体"/>
                <w:b w:val="0"/>
                <w:sz w:val="21"/>
                <w:szCs w:val="21"/>
              </w:rPr>
              <w:t xml:space="preserve">6</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（2）培训服务方案较规范、保障措施较可行得</w:t>
            </w:r>
            <w:r>
              <w:rPr>
                <w:rFonts w:hint="eastAsia" w:ascii="宋体" w:hAnsi="宋体" w:eastAsia="宋体"/>
                <w:b w:val="0"/>
                <w:sz w:val="21"/>
                <w:szCs w:val="21"/>
              </w:rPr>
              <w:t xml:space="preserve">5</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（3）培训服务方案基本规范、保障措施基本可行得</w:t>
            </w:r>
            <w:r>
              <w:rPr>
                <w:rFonts w:hint="eastAsia" w:ascii="宋体" w:hAnsi="宋体" w:eastAsia="宋体"/>
                <w:b w:val="0"/>
                <w:sz w:val="21"/>
                <w:szCs w:val="21"/>
              </w:rPr>
              <w:t xml:space="preserve">4</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（4）培训服务方案规范性差、保障措施可行性差得</w:t>
            </w:r>
            <w:r>
              <w:rPr>
                <w:rFonts w:hint="eastAsia" w:ascii="宋体" w:hAnsi="宋体" w:eastAsia="宋体"/>
                <w:b w:val="0"/>
                <w:sz w:val="21"/>
                <w:szCs w:val="21"/>
              </w:rPr>
              <w:t xml:space="preserve">3</w:t>
            </w:r>
            <w:r>
              <w:rPr>
                <w:rFonts w:hint="eastAsia" w:ascii="宋体" w:hAnsi="宋体"/>
                <w:b w:val="0"/>
                <w:sz w:val="21"/>
                <w:szCs w:val="21"/>
              </w:rPr>
              <w:t xml:space="preserve">分；</w:t>
            </w:r>
            <w:r/>
          </w:p>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（5）无培训服务方案及保障措施得0分。</w:t>
            </w:r>
            <w:r/>
          </w:p>
        </w:tc>
      </w:tr>
      <w:tr>
        <w:trPr>
          <w:trHeight w:val="809"/>
        </w:trPr>
        <w:tc>
          <w:tcPr>
            <w:tcBorders>
              <w:right w:val="single" w:color="auto" w:sz="4" w:space="0"/>
            </w:tcBorders>
            <w:tcW w:w="11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（2）</w:t>
            </w:r>
            <w:r/>
          </w:p>
        </w:tc>
        <w:tc>
          <w:tcPr>
            <w:tcBorders>
              <w:left w:val="single" w:color="auto" w:sz="4" w:space="0"/>
            </w:tcBorders>
            <w:tcW w:w="1701" w:type="dxa"/>
            <w:vAlign w:val="center"/>
            <w:textDirection w:val="lrTb"/>
            <w:noWrap w:val="false"/>
          </w:tcPr>
          <w:p>
            <w:pPr>
              <w:jc w:val="center"/>
              <w:spacing w:line="400" w:lineRule="atLeast"/>
              <w:rPr>
                <w:rFonts w:ascii="宋体" w:hAnsi="宋体" w:cs="宋体"/>
                <w:b/>
                <w:bCs/>
                <w:sz w:val="22"/>
              </w:rPr>
            </w:pPr>
            <w:r>
              <w:rPr>
                <w:rFonts w:hint="eastAsia" w:ascii="宋体" w:hAnsi="宋体" w:cs="宋体"/>
                <w:b/>
                <w:bCs/>
                <w:sz w:val="22"/>
              </w:rPr>
              <w:t xml:space="preserve">企业能力</w:t>
            </w:r>
            <w:r/>
          </w:p>
          <w:p>
            <w:pPr>
              <w:jc w:val="center"/>
              <w:spacing w:line="400" w:lineRule="atLeast"/>
              <w:rPr>
                <w:rFonts w:ascii="宋体" w:hAnsi="宋体"/>
                <w:b/>
                <w:bCs/>
                <w:szCs w:val="21"/>
              </w:rPr>
            </w:pPr>
            <w:r>
              <w:rPr>
                <w:rFonts w:hint="eastAsia" w:ascii="宋体" w:hAnsi="宋体" w:cs="宋体"/>
                <w:b/>
                <w:bCs/>
                <w:sz w:val="22"/>
              </w:rPr>
              <w:t xml:space="preserve">（29分）</w:t>
            </w:r>
            <w:r/>
          </w:p>
        </w:tc>
        <w:tc>
          <w:tcPr>
            <w:gridSpan w:val="2"/>
            <w:tcW w:w="6520" w:type="dxa"/>
            <w:vAlign w:val="center"/>
            <w:textDirection w:val="lrTb"/>
            <w:noWrap w:val="false"/>
          </w:tcPr>
          <w:p>
            <w:pPr>
              <w:spacing w:line="400" w:lineRule="atLeast"/>
              <w:rPr>
                <w:rFonts w:ascii="宋体" w:hAnsi="宋体" w:cs="宋体"/>
                <w:bCs/>
                <w:sz w:val="22"/>
              </w:rPr>
            </w:pPr>
            <w:r>
              <w:rPr>
                <w:rFonts w:hint="eastAsia" w:ascii="宋体" w:hAnsi="宋体" w:cs="宋体"/>
                <w:bCs/>
                <w:sz w:val="22"/>
              </w:rPr>
              <w:t xml:space="preserve">（1）投标人具有有效的《检验ISO15189实验室认可证书》得2分（需提供相关证书原件扫描件）；</w:t>
            </w:r>
            <w:r/>
          </w:p>
          <w:p>
            <w:pPr>
              <w:spacing w:line="400" w:lineRule="atLeast"/>
              <w:rPr>
                <w:rFonts w:ascii="宋体" w:hAnsi="宋体" w:cs="宋体"/>
                <w:bCs/>
                <w:sz w:val="22"/>
              </w:rPr>
            </w:pPr>
            <w:r>
              <w:rPr>
                <w:rFonts w:hint="eastAsia" w:ascii="宋体" w:hAnsi="宋体" w:cs="宋体"/>
                <w:bCs/>
                <w:sz w:val="22"/>
              </w:rPr>
              <w:t xml:space="preserve">（2）投标人具有有效的《医学检验生物样本冷链物流运作规范》国家标准达标证书得2分（需提供相关证书原件扫描件）；</w:t>
            </w:r>
            <w:r/>
          </w:p>
          <w:p>
            <w:pPr>
              <w:spacing w:line="400" w:lineRule="atLeast"/>
              <w:rPr>
                <w:rFonts w:ascii="宋体" w:hAnsi="宋体" w:cs="宋体"/>
                <w:bCs/>
                <w:sz w:val="22"/>
              </w:rPr>
            </w:pPr>
            <w:r>
              <w:rPr>
                <w:rFonts w:hint="eastAsia" w:ascii="宋体" w:hAnsi="宋体" w:cs="宋体"/>
                <w:bCs/>
                <w:sz w:val="22"/>
              </w:rPr>
              <w:t xml:space="preserve">（3）投标人具有有效的《生物实验室安全备案证书》，每提供一份得1分，最高得2分（需提供相关证书原件扫描件）；</w:t>
            </w:r>
            <w:r/>
          </w:p>
          <w:p>
            <w:pPr>
              <w:spacing w:line="400" w:lineRule="atLeast"/>
              <w:rPr>
                <w:rFonts w:ascii="宋体" w:hAnsi="宋体" w:cs="宋体"/>
                <w:bCs/>
                <w:sz w:val="22"/>
              </w:rPr>
            </w:pPr>
            <w:r>
              <w:rPr>
                <w:rFonts w:hint="eastAsia" w:ascii="宋体" w:hAnsi="宋体" w:cs="宋体"/>
                <w:bCs/>
                <w:sz w:val="22"/>
              </w:rPr>
              <w:t xml:space="preserve">（4）投标人具有有效的《临床基因扩增检验实验室技术验收合格证书》得2分（需提供相关证书原件扫描件）；</w:t>
            </w:r>
            <w:r/>
          </w:p>
          <w:p>
            <w:pPr>
              <w:spacing w:line="400" w:lineRule="atLeast"/>
              <w:rPr>
                <w:rFonts w:ascii="宋体" w:hAnsi="宋体" w:cs="宋体"/>
                <w:bCs/>
                <w:sz w:val="22"/>
              </w:rPr>
            </w:pPr>
            <w:r>
              <w:rPr>
                <w:rFonts w:hint="eastAsia" w:ascii="宋体" w:hAnsi="宋体" w:cs="宋体"/>
                <w:bCs/>
                <w:sz w:val="22"/>
              </w:rPr>
              <w:t xml:space="preserve">（5）投标人实验室检验检测项目在免疫（AD）、微生物（AE）、分子诊断（XA）领域内通过ISO15189认可的数量低于50项的不得分；达到50项不足55项的得3分；达到55项不足60项的5分，达到60项及以上的得8分（需提供中国合格评定国家认可委员会(CNAS)认可的医学实验室官网（https://www.cnas.org.cn/）查询的清单截图，带CNAS章）。</w:t>
            </w:r>
            <w:r/>
          </w:p>
          <w:p>
            <w:pPr>
              <w:numPr>
                <w:ilvl w:val="0"/>
                <w:numId w:val="2"/>
              </w:numPr>
              <w:spacing w:line="400" w:lineRule="atLeast"/>
              <w:rPr>
                <w:rFonts w:ascii="宋体" w:hAnsi="宋体" w:cs="宋体"/>
                <w:bCs/>
                <w:sz w:val="22"/>
              </w:rPr>
            </w:pPr>
            <w:r>
              <w:rPr>
                <w:rFonts w:hint="eastAsia" w:ascii="宋体" w:hAnsi="宋体" w:cs="宋体"/>
                <w:bCs/>
                <w:sz w:val="22"/>
              </w:rPr>
              <w:t xml:space="preserve">投标人实验室病理检测项目通过ISO15189认可的数量达到20项的得3分，每增加1项加1</w:t>
            </w:r>
            <w:r>
              <w:rPr>
                <w:rFonts w:hint="eastAsia" w:ascii="宋体" w:hAnsi="宋体" w:cs="宋体"/>
                <w:bCs/>
                <w:sz w:val="22"/>
                <w:lang w:val="en-US" w:eastAsia="zh-CN"/>
              </w:rPr>
              <w:t xml:space="preserve">.5</w:t>
            </w:r>
            <w:r>
              <w:rPr>
                <w:rFonts w:hint="eastAsia" w:ascii="宋体" w:hAnsi="宋体" w:cs="宋体"/>
                <w:bCs/>
                <w:sz w:val="22"/>
              </w:rPr>
              <w:t xml:space="preserve">分，最高加</w:t>
            </w:r>
            <w:r>
              <w:rPr>
                <w:rFonts w:hint="eastAsia" w:ascii="宋体" w:hAnsi="宋体" w:cs="宋体"/>
                <w:bCs/>
                <w:sz w:val="22"/>
                <w:lang w:val="en-US" w:eastAsia="zh-CN"/>
              </w:rPr>
              <w:t xml:space="preserve">3</w:t>
            </w:r>
            <w:r>
              <w:rPr>
                <w:rFonts w:hint="eastAsia" w:ascii="宋体" w:hAnsi="宋体" w:cs="宋体"/>
                <w:bCs/>
                <w:sz w:val="22"/>
              </w:rPr>
              <w:t xml:space="preserve">分。不到20项，不计分。本项最高得6分（需提供中国合格评定国家认可委员会(CNAS)认可的医学实验室官网（https://www.cnas.org.cn/）查询的清单截图，带CNAS章）。</w:t>
            </w:r>
            <w:r/>
          </w:p>
          <w:p>
            <w:pPr>
              <w:spacing w:line="400" w:lineRule="atLeast"/>
              <w:rPr>
                <w:rFonts w:ascii="宋体" w:hAnsi="宋体" w:cs="宋体"/>
                <w:bCs/>
                <w:sz w:val="22"/>
              </w:rPr>
            </w:pPr>
            <w:r>
              <w:rPr>
                <w:rFonts w:hint="eastAsia" w:ascii="宋体" w:hAnsi="宋体" w:cs="宋体"/>
                <w:bCs/>
                <w:sz w:val="22"/>
              </w:rPr>
              <w:t xml:space="preserve">（7）投标人被列入《苏省医疗机构临床检验结果互认名单》（2025）的得2分（提供官网发布的机构清单扫描件）。</w:t>
            </w:r>
            <w:r/>
          </w:p>
          <w:p>
            <w:pPr>
              <w:spacing w:line="400" w:lineRule="atLeast"/>
              <w:rPr>
                <w:rFonts w:ascii="宋体" w:hAnsi="宋体" w:cs="宋体"/>
                <w:bCs/>
                <w:sz w:val="22"/>
              </w:rPr>
            </w:pPr>
            <w:r>
              <w:rPr>
                <w:rFonts w:hint="eastAsia" w:ascii="宋体" w:hAnsi="宋体" w:cs="宋体"/>
                <w:bCs/>
                <w:sz w:val="22"/>
              </w:rPr>
              <w:t xml:space="preserve">（8）投标人具有有效的冷链物流运输道路（样本）运输经营许可证的得2分（需提供相关证书原件扫描件）。</w:t>
            </w:r>
            <w:r/>
          </w:p>
          <w:p>
            <w:pPr>
              <w:spacing w:line="400" w:lineRule="atLeast"/>
              <w:rPr>
                <w:rFonts w:ascii="宋体" w:hAnsi="宋体"/>
                <w:szCs w:val="21"/>
              </w:rPr>
            </w:pPr>
            <w:r>
              <w:rPr>
                <w:rFonts w:hint="eastAsia" w:ascii="宋体" w:hAnsi="宋体" w:cs="宋体"/>
                <w:bCs/>
                <w:sz w:val="22"/>
              </w:rPr>
              <w:t xml:space="preserve">（9）投标人应做好标本的保管、标识及运送，且将标本直接送达实验室，无中间交接环节。投标人承诺：标本途中运输时间＞4小时的不得分；3小时＜标本途中运输时间≤4小时得1分；标本途中运输时间≤3小时，得3分（需根据招标文件要求提供承诺函）。</w:t>
            </w:r>
            <w:r/>
          </w:p>
        </w:tc>
      </w:tr>
      <w:tr>
        <w:trPr>
          <w:trHeight w:val="809"/>
        </w:trPr>
        <w:tc>
          <w:tcPr>
            <w:tcBorders>
              <w:right w:val="single" w:color="auto" w:sz="4" w:space="0"/>
            </w:tcBorders>
            <w:tcW w:w="11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（3）</w:t>
            </w:r>
            <w:r/>
          </w:p>
        </w:tc>
        <w:tc>
          <w:tcPr>
            <w:tcBorders>
              <w:left w:val="single" w:color="auto" w:sz="4" w:space="0"/>
            </w:tcBorders>
            <w:tcW w:w="1701" w:type="dxa"/>
            <w:vAlign w:val="center"/>
            <w:textDirection w:val="lrTb"/>
            <w:noWrap w:val="false"/>
          </w:tcPr>
          <w:p>
            <w:pPr>
              <w:jc w:val="center"/>
              <w:spacing w:line="400" w:lineRule="atLeast"/>
              <w:rPr>
                <w:rFonts w:ascii="宋体" w:hAnsi="宋体" w:cs="宋体"/>
                <w:b/>
                <w:bCs/>
                <w:sz w:val="22"/>
              </w:rPr>
            </w:pPr>
            <w:r>
              <w:rPr>
                <w:rFonts w:hint="eastAsia" w:ascii="宋体" w:hAnsi="宋体" w:cs="宋体"/>
                <w:b/>
                <w:bCs/>
                <w:sz w:val="22"/>
              </w:rPr>
              <w:t xml:space="preserve">人员配备</w:t>
            </w:r>
            <w:r/>
          </w:p>
          <w:p>
            <w:pPr>
              <w:jc w:val="center"/>
              <w:spacing w:line="400" w:lineRule="atLeast"/>
              <w:rPr>
                <w:rFonts w:ascii="宋体" w:hAnsi="宋体" w:cs="宋体"/>
                <w:b/>
                <w:szCs w:val="21"/>
              </w:rPr>
            </w:pPr>
            <w:r>
              <w:rPr>
                <w:rFonts w:hint="eastAsia" w:ascii="宋体" w:hAnsi="宋体" w:cs="宋体"/>
                <w:b/>
                <w:bCs/>
                <w:sz w:val="22"/>
              </w:rPr>
              <w:t xml:space="preserve">（8分）</w:t>
            </w:r>
            <w:r/>
          </w:p>
        </w:tc>
        <w:tc>
          <w:tcPr>
            <w:gridSpan w:val="2"/>
            <w:tcW w:w="6520" w:type="dxa"/>
            <w:vAlign w:val="center"/>
            <w:textDirection w:val="lrTb"/>
            <w:noWrap w:val="false"/>
          </w:tcPr>
          <w:p>
            <w:pPr>
              <w:pStyle w:val="682"/>
              <w:keepLines w:val="0"/>
              <w:keepNext w:val="0"/>
              <w:spacing w:before="0" w:after="0" w:line="400" w:lineRule="atLeast"/>
              <w:rPr>
                <w:rFonts w:ascii="宋体" w:hAnsi="宋体" w:eastAsia="宋体" w:cs="宋体"/>
                <w:b w:val="0"/>
                <w:strike/>
                <w:sz w:val="22"/>
                <w:szCs w:val="22"/>
              </w:rPr>
            </w:pPr>
            <w:r>
              <w:rPr>
                <w:rFonts w:hint="eastAsia" w:ascii="宋体" w:hAnsi="宋体" w:eastAsia="宋体" w:cs="宋体"/>
                <w:b w:val="0"/>
                <w:sz w:val="22"/>
                <w:szCs w:val="22"/>
              </w:rPr>
              <w:t xml:space="preserve">投标人具有卫生专业或医学专业高级以上职称人员的得1分/人；本项最高得8分（需提供职称证书原件扫描件）。</w:t>
            </w:r>
            <w:r/>
          </w:p>
          <w:p>
            <w:pPr>
              <w:pStyle w:val="682"/>
              <w:keepLines w:val="0"/>
              <w:keepNext w:val="0"/>
              <w:spacing w:before="0" w:after="0" w:line="400" w:lineRule="atLeast"/>
              <w:rPr>
                <w:rFonts w:ascii="宋体" w:hAnsi="宋体"/>
                <w:b w:val="0"/>
                <w:sz w:val="21"/>
                <w:szCs w:val="21"/>
              </w:rPr>
            </w:pPr>
            <w:r>
              <w:rPr>
                <w:rFonts w:hint="eastAsia" w:ascii="宋体" w:hAnsi="宋体" w:eastAsia="宋体" w:cs="宋体"/>
                <w:sz w:val="22"/>
                <w:szCs w:val="22"/>
              </w:rPr>
              <w:t xml:space="preserve">注：以上人员均需提供投标人为其缴纳的</w:t>
            </w:r>
            <w:r>
              <w:rPr>
                <w:rFonts w:hint="eastAsia" w:ascii="宋体" w:hAnsi="宋体" w:cs="宋体"/>
                <w:sz w:val="22"/>
                <w:szCs w:val="22"/>
              </w:rPr>
              <w:t xml:space="preserve">投标截止前</w:t>
            </w:r>
            <w:r>
              <w:rPr>
                <w:rFonts w:hint="eastAsia" w:ascii="宋体" w:hAnsi="宋体" w:eastAsia="宋体" w:cs="宋体"/>
                <w:sz w:val="22"/>
                <w:szCs w:val="22"/>
              </w:rPr>
              <w:t xml:space="preserve">一个月或投标</w:t>
            </w:r>
            <w:r>
              <w:rPr>
                <w:rFonts w:hint="eastAsia" w:ascii="宋体" w:hAnsi="宋体" w:cs="宋体"/>
                <w:sz w:val="22"/>
                <w:szCs w:val="22"/>
              </w:rPr>
              <w:t xml:space="preserve">截止</w:t>
            </w:r>
            <w:r>
              <w:rPr>
                <w:rFonts w:hint="eastAsia" w:ascii="宋体" w:hAnsi="宋体" w:eastAsia="宋体" w:cs="宋体"/>
                <w:sz w:val="22"/>
                <w:szCs w:val="22"/>
              </w:rPr>
              <w:t xml:space="preserve">当月的社保证明缴纳证明原件扫描件；退休人员提供退休证和聘用合同。否则，该人员不予计分。</w:t>
            </w:r>
            <w:r/>
          </w:p>
        </w:tc>
      </w:tr>
      <w:tr>
        <w:trPr>
          <w:trHeight w:val="693"/>
        </w:trPr>
        <w:tc>
          <w:tcPr>
            <w:tcBorders>
              <w:right w:val="single" w:color="auto" w:sz="4" w:space="0"/>
            </w:tcBorders>
            <w:tcW w:w="11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（4）</w:t>
            </w:r>
            <w:r/>
          </w:p>
        </w:tc>
        <w:tc>
          <w:tcPr>
            <w:tcBorders>
              <w:left w:val="single" w:color="auto" w:sz="4" w:space="0"/>
            </w:tcBorders>
            <w:tcW w:w="17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学术水平</w:t>
            </w:r>
            <w:r/>
          </w:p>
          <w:p>
            <w:pPr>
              <w:jc w:val="center"/>
              <w:spacing w:line="400" w:lineRule="atLeast"/>
              <w:rPr>
                <w:rFonts w:ascii="宋体" w:hAnsi="宋体"/>
                <w:b/>
                <w:bCs/>
                <w:szCs w:val="21"/>
              </w:rPr>
            </w:pPr>
            <w:r>
              <w:rPr>
                <w:rFonts w:hint="eastAsia" w:ascii="宋体" w:hAnsi="宋体"/>
                <w:b/>
                <w:bCs/>
                <w:szCs w:val="21"/>
              </w:rPr>
              <w:t xml:space="preserve">（3分）</w:t>
            </w:r>
            <w:r/>
          </w:p>
        </w:tc>
        <w:tc>
          <w:tcPr>
            <w:gridSpan w:val="2"/>
            <w:tcW w:w="6520"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投标人2019年1月1</w:t>
            </w:r>
            <w:r>
              <w:rPr>
                <w:rFonts w:hint="eastAsia" w:ascii="宋体" w:hAnsi="宋体"/>
                <w:b w:val="0"/>
                <w:sz w:val="21"/>
                <w:szCs w:val="21"/>
              </w:rPr>
              <w:t xml:space="preserve">日</w:t>
            </w:r>
            <w:r>
              <w:rPr>
                <w:rFonts w:hint="eastAsia" w:ascii="宋体" w:hAnsi="宋体"/>
                <w:b w:val="0"/>
                <w:sz w:val="21"/>
                <w:szCs w:val="21"/>
              </w:rPr>
              <w:t xml:space="preserve">（发表日）以来，发表过与医学检验相关的SCI文章的得1分/篇，本项最高得3分（需提供包含论文发布媒介、发布时间、文章标题及作者的证明材料原件扫描件或官网查询截图）。</w:t>
            </w:r>
            <w:r/>
          </w:p>
        </w:tc>
      </w:tr>
      <w:tr>
        <w:trPr>
          <w:trHeight w:val="1017"/>
        </w:trPr>
        <w:tc>
          <w:tcPr>
            <w:tcBorders>
              <w:right w:val="single" w:color="auto" w:sz="4" w:space="0"/>
            </w:tcBorders>
            <w:tcW w:w="11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（5）</w:t>
            </w:r>
            <w:r/>
          </w:p>
        </w:tc>
        <w:tc>
          <w:tcPr>
            <w:tcBorders>
              <w:left w:val="single" w:color="auto" w:sz="4" w:space="0"/>
            </w:tcBorders>
            <w:tcW w:w="1701" w:type="dxa"/>
            <w:vAlign w:val="center"/>
            <w:textDirection w:val="lrTb"/>
            <w:noWrap w:val="false"/>
          </w:tcPr>
          <w:p>
            <w:pPr>
              <w:jc w:val="center"/>
              <w:spacing w:line="400" w:lineRule="atLeast"/>
              <w:rPr>
                <w:rFonts w:ascii="宋体" w:hAnsi="宋体" w:cs="宋体"/>
                <w:b/>
                <w:bCs/>
                <w:sz w:val="22"/>
              </w:rPr>
            </w:pPr>
            <w:r>
              <w:rPr>
                <w:rFonts w:hint="eastAsia" w:ascii="宋体" w:hAnsi="宋体" w:cs="宋体"/>
                <w:b/>
                <w:bCs/>
                <w:sz w:val="22"/>
              </w:rPr>
              <w:t xml:space="preserve">类似业绩</w:t>
            </w:r>
            <w:r/>
          </w:p>
          <w:p>
            <w:pPr>
              <w:jc w:val="center"/>
              <w:spacing w:line="400" w:lineRule="atLeast"/>
              <w:rPr>
                <w:rFonts w:ascii="宋体" w:hAnsi="宋体"/>
                <w:b/>
                <w:bCs/>
                <w:szCs w:val="21"/>
              </w:rPr>
            </w:pPr>
            <w:r>
              <w:rPr>
                <w:rFonts w:hint="eastAsia" w:ascii="宋体" w:hAnsi="宋体" w:cs="宋体"/>
                <w:b/>
                <w:bCs/>
                <w:sz w:val="22"/>
              </w:rPr>
              <w:t xml:space="preserve">（5分）</w:t>
            </w:r>
            <w:r/>
          </w:p>
        </w:tc>
        <w:tc>
          <w:tcPr>
            <w:gridSpan w:val="2"/>
            <w:tcW w:w="6520"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eastAsia="宋体" w:cs="宋体"/>
                <w:b w:val="0"/>
                <w:sz w:val="22"/>
                <w:szCs w:val="22"/>
              </w:rPr>
              <w:t xml:space="preserve">投标人自2025年1月1日（合同签订日）以来，承接过医疗机构检验或病理外送服务项目的得0.5分/个，最多得5分（需提供合同原件扫描件）。</w:t>
            </w:r>
            <w:r/>
          </w:p>
        </w:tc>
      </w:tr>
      <w:tr>
        <w:trPr>
          <w:trHeight w:val="809"/>
        </w:trPr>
        <w:tc>
          <w:tcPr>
            <w:tcBorders>
              <w:right w:val="single" w:color="auto" w:sz="4" w:space="0"/>
            </w:tcBorders>
            <w:tcW w:w="11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（6）</w:t>
            </w:r>
            <w:r/>
          </w:p>
        </w:tc>
        <w:tc>
          <w:tcPr>
            <w:tcBorders>
              <w:left w:val="single" w:color="auto" w:sz="4" w:space="0"/>
            </w:tcBorders>
            <w:tcW w:w="1701" w:type="dxa"/>
            <w:vAlign w:val="center"/>
            <w:textDirection w:val="lrTb"/>
            <w:noWrap w:val="false"/>
          </w:tcPr>
          <w:p>
            <w:pPr>
              <w:jc w:val="center"/>
              <w:spacing w:line="400" w:lineRule="atLeast"/>
              <w:rPr>
                <w:rFonts w:ascii="宋体" w:hAnsi="宋体" w:cs="宋体"/>
                <w:b/>
                <w:bCs/>
                <w:sz w:val="22"/>
              </w:rPr>
            </w:pPr>
            <w:r>
              <w:rPr>
                <w:rFonts w:hint="eastAsia" w:ascii="宋体" w:hAnsi="宋体" w:cs="宋体"/>
                <w:b/>
                <w:bCs/>
                <w:sz w:val="22"/>
              </w:rPr>
              <w:t xml:space="preserve">管理体系</w:t>
            </w:r>
            <w:r/>
          </w:p>
          <w:p>
            <w:pPr>
              <w:jc w:val="center"/>
              <w:spacing w:line="400" w:lineRule="atLeast"/>
              <w:rPr>
                <w:rFonts w:ascii="宋体" w:hAnsi="宋体"/>
                <w:b/>
                <w:bCs/>
                <w:szCs w:val="21"/>
              </w:rPr>
            </w:pPr>
            <w:r>
              <w:rPr>
                <w:rFonts w:hint="eastAsia" w:ascii="宋体" w:hAnsi="宋体" w:cs="宋体"/>
                <w:b/>
                <w:bCs/>
                <w:sz w:val="22"/>
              </w:rPr>
              <w:t xml:space="preserve">（7分）</w:t>
            </w:r>
            <w:r/>
          </w:p>
        </w:tc>
        <w:tc>
          <w:tcPr>
            <w:gridSpan w:val="2"/>
            <w:tcW w:w="6520"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eastAsia="宋体" w:cs="宋体"/>
                <w:b w:val="0"/>
                <w:sz w:val="22"/>
                <w:szCs w:val="22"/>
              </w:rPr>
              <w:t xml:space="preserve">投标人具备有效期内的ISO9001质量管理体系认证证书、ISO14001环境管理体系认证证书、ISO45001职业健康安全管理体系认证证书、商品售后服务认证，服务质量管理体系认证、履约能力管理体系，ISO/IEC20000信息技术服务管理体系的，每提供一份证书得1分，最多7分（需提供体系认证证书原件扫描件）。</w:t>
            </w:r>
            <w:r/>
          </w:p>
        </w:tc>
      </w:tr>
      <w:tr>
        <w:trPr/>
        <w:tc>
          <w:tcPr>
            <w:tcBorders>
              <w:right w:val="single" w:color="auto" w:sz="4" w:space="0"/>
            </w:tcBorders>
            <w:tcW w:w="11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2.3.2</w:t>
            </w:r>
            <w:r/>
          </w:p>
          <w:p>
            <w:pPr>
              <w:jc w:val="center"/>
              <w:spacing w:line="400" w:lineRule="atLeast"/>
              <w:rPr>
                <w:rFonts w:ascii="宋体" w:hAnsi="宋体"/>
                <w:b/>
                <w:bCs/>
                <w:szCs w:val="21"/>
              </w:rPr>
            </w:pPr>
            <w:r>
              <w:rPr>
                <w:rFonts w:hint="eastAsia" w:ascii="宋体" w:hAnsi="宋体"/>
                <w:b/>
                <w:bCs/>
                <w:szCs w:val="21"/>
              </w:rPr>
              <w:t xml:space="preserve">（7）</w:t>
            </w:r>
            <w:r/>
          </w:p>
        </w:tc>
        <w:tc>
          <w:tcPr>
            <w:tcBorders>
              <w:left w:val="single" w:color="auto" w:sz="4" w:space="0"/>
            </w:tcBorders>
            <w:tcW w:w="1701" w:type="dxa"/>
            <w:vAlign w:val="center"/>
            <w:textDirection w:val="lrTb"/>
            <w:noWrap w:val="false"/>
          </w:tcPr>
          <w:p>
            <w:pPr>
              <w:jc w:val="center"/>
              <w:spacing w:line="400" w:lineRule="atLeast"/>
              <w:rPr>
                <w:rFonts w:ascii="宋体" w:hAnsi="宋体"/>
                <w:b/>
                <w:bCs/>
                <w:szCs w:val="21"/>
              </w:rPr>
            </w:pPr>
            <w:r>
              <w:rPr>
                <w:rFonts w:hint="eastAsia" w:ascii="宋体" w:hAnsi="宋体"/>
                <w:b/>
                <w:bCs/>
                <w:szCs w:val="21"/>
              </w:rPr>
              <w:t xml:space="preserve">价格部分</w:t>
            </w:r>
            <w:r/>
          </w:p>
          <w:p>
            <w:pPr>
              <w:jc w:val="center"/>
              <w:spacing w:line="400" w:lineRule="atLeast"/>
              <w:rPr>
                <w:rFonts w:ascii="宋体" w:hAnsi="宋体"/>
                <w:b/>
                <w:bCs/>
                <w:szCs w:val="21"/>
              </w:rPr>
            </w:pPr>
            <w:r>
              <w:rPr>
                <w:rFonts w:hint="eastAsia" w:ascii="宋体" w:hAnsi="宋体"/>
                <w:b/>
                <w:bCs/>
                <w:szCs w:val="21"/>
              </w:rPr>
              <w:t xml:space="preserve">（10分）</w:t>
            </w:r>
            <w:r/>
          </w:p>
        </w:tc>
        <w:tc>
          <w:tcPr>
            <w:gridSpan w:val="2"/>
            <w:tcW w:w="6520" w:type="dxa"/>
            <w:vAlign w:val="center"/>
            <w:textDirection w:val="lrTb"/>
            <w:noWrap w:val="false"/>
          </w:tcPr>
          <w:p>
            <w:pPr>
              <w:pStyle w:val="682"/>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价格分采用低价优先法计算，即满足招标文件要求且投标价格最低的投标报价为评标基准价，其价格分为满分。其他投标人的价格分统一按照下列公式计算： </w:t>
            </w:r>
            <w:r/>
          </w:p>
          <w:p>
            <w:pPr>
              <w:pStyle w:val="682"/>
              <w:ind w:firstLine="210"/>
              <w:keepLines w:val="0"/>
              <w:keepNext w:val="0"/>
              <w:spacing w:before="0" w:after="0" w:line="400" w:lineRule="atLeast"/>
              <w:rPr>
                <w:rFonts w:ascii="宋体" w:hAnsi="宋体"/>
                <w:b w:val="0"/>
                <w:sz w:val="21"/>
                <w:szCs w:val="21"/>
              </w:rPr>
            </w:pPr>
            <w:r>
              <w:rPr>
                <w:rFonts w:hint="eastAsia" w:ascii="宋体" w:hAnsi="宋体"/>
                <w:b w:val="0"/>
                <w:sz w:val="21"/>
                <w:szCs w:val="21"/>
              </w:rPr>
              <w:t xml:space="preserve">投标报价得分=（评标基准价/投标报价）×10。</w:t>
            </w:r>
            <w:r/>
          </w:p>
          <w:p>
            <w:pPr>
              <w:pStyle w:val="682"/>
              <w:keepLines w:val="0"/>
              <w:keepNext w:val="0"/>
              <w:spacing w:before="0" w:after="0" w:line="400" w:lineRule="atLeast"/>
              <w:rPr>
                <w:rFonts w:ascii="宋体" w:hAnsi="宋体"/>
                <w:sz w:val="21"/>
                <w:szCs w:val="21"/>
              </w:rPr>
            </w:pPr>
            <w:r>
              <w:rPr>
                <w:rFonts w:hint="eastAsia" w:ascii="宋体" w:hAnsi="宋体"/>
                <w:sz w:val="21"/>
                <w:szCs w:val="21"/>
              </w:rPr>
              <w:t xml:space="preserve">注：</w:t>
            </w:r>
            <w:r/>
          </w:p>
          <w:p>
            <w:pPr>
              <w:pStyle w:val="682"/>
              <w:keepLines w:val="0"/>
              <w:keepNext w:val="0"/>
              <w:spacing w:before="0" w:after="0" w:line="400" w:lineRule="atLeast"/>
              <w:rPr>
                <w:rFonts w:ascii="宋体" w:hAnsi="宋体"/>
                <w:sz w:val="21"/>
                <w:szCs w:val="21"/>
              </w:rPr>
            </w:pPr>
            <w:r>
              <w:rPr>
                <w:rFonts w:hint="eastAsia" w:ascii="宋体" w:hAnsi="宋体"/>
                <w:sz w:val="21"/>
                <w:szCs w:val="21"/>
              </w:rPr>
              <w:t xml:space="preserve">（1）投标报价=1-优惠率；</w:t>
            </w:r>
            <w:r/>
          </w:p>
          <w:p>
            <w:pPr>
              <w:pStyle w:val="682"/>
              <w:keepLines w:val="0"/>
              <w:keepNext w:val="0"/>
              <w:spacing w:before="0" w:after="0" w:line="400" w:lineRule="atLeast"/>
              <w:rPr>
                <w:rFonts w:ascii="宋体" w:hAnsi="宋体"/>
                <w:sz w:val="21"/>
                <w:szCs w:val="21"/>
              </w:rPr>
            </w:pPr>
            <w:r>
              <w:rPr>
                <w:rFonts w:hint="eastAsia" w:ascii="宋体" w:hAnsi="宋体"/>
                <w:sz w:val="21"/>
                <w:szCs w:val="21"/>
              </w:rPr>
              <w:t xml:space="preserve">（2）对符合条件的小型企业或微型企业或残疾人福利性企业或监狱企业，以投标报价扣除10%后的价格计算评标基准价和投标报价。</w:t>
            </w:r>
            <w:r/>
          </w:p>
        </w:tc>
      </w:tr>
    </w:tbl>
    <w:p>
      <w:r/>
      <w:r/>
    </w:p>
    <w:p>
      <w:r/>
      <w:r/>
    </w:p>
    <w:p>
      <w:r/>
      <w:r/>
    </w:p>
    <w:p>
      <w:r/>
      <w:r/>
    </w:p>
    <w:p>
      <w:pPr>
        <w:pStyle w:val="928"/>
        <w:ind w:firstLine="108"/>
        <w:spacing w:line="360" w:lineRule="auto"/>
        <w:rPr>
          <w:rFonts w:ascii="黑体" w:cs="黑体"/>
          <w:b/>
          <w:bCs/>
        </w:rPr>
      </w:pPr>
      <w:r>
        <w:rPr>
          <w:highlight w:val="none"/>
        </w:rPr>
      </w:r>
      <w:r>
        <w:rPr>
          <w:highlight w:val="none"/>
        </w:rPr>
      </w:r>
      <w:r/>
    </w:p>
    <w:p>
      <w:pPr>
        <w:pStyle w:val="928"/>
        <w:ind w:firstLine="108"/>
        <w:spacing w:line="360" w:lineRule="auto"/>
        <w:rPr>
          <w:highlight w:val="none"/>
        </w:rPr>
      </w:pPr>
      <w:r>
        <w:rPr>
          <w:rFonts w:hint="eastAsia" w:ascii="黑体" w:cs="黑体"/>
          <w:b/>
          <w:bCs/>
          <w:szCs w:val="24"/>
        </w:rPr>
        <w:t xml:space="preserve">1. 评标方法</w:t>
      </w:r>
      <w:bookmarkEnd w:id="110"/>
      <w:r/>
      <w:bookmarkEnd w:id="111"/>
      <w:r/>
      <w:bookmarkEnd w:id="112"/>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本次评标采用综合评分法。评标委员会对满足招标文件实质性要求的投标文件，按照本章第2.2款规定的评分标准进行打分，并按得分由高到低顺序推荐中标候选人。得分相同的，按投标报价由低到高顺序排列；得分且投标报价相同的并列。</w:t>
      </w:r>
      <w:r/>
    </w:p>
    <w:p>
      <w:pPr>
        <w:pStyle w:val="928"/>
        <w:ind w:firstLine="108"/>
        <w:spacing w:line="360" w:lineRule="auto"/>
        <w:rPr>
          <w:rFonts w:ascii="黑体" w:cs="黑体"/>
          <w:b/>
          <w:bCs/>
          <w:szCs w:val="24"/>
        </w:rPr>
      </w:pPr>
      <w:r/>
      <w:bookmarkStart w:id="118" w:name="_Toc234382665"/>
      <w:r/>
      <w:bookmarkStart w:id="119" w:name="_Toc16894"/>
      <w:r/>
      <w:bookmarkStart w:id="120" w:name="_Toc1971"/>
      <w:r>
        <w:rPr>
          <w:rFonts w:hint="eastAsia" w:ascii="黑体" w:cs="黑体"/>
          <w:b/>
          <w:bCs/>
          <w:szCs w:val="24"/>
        </w:rPr>
        <w:t xml:space="preserve">2. 评审标准</w:t>
      </w:r>
      <w:bookmarkEnd w:id="118"/>
      <w:r/>
      <w:bookmarkEnd w:id="119"/>
      <w:r/>
      <w:bookmarkEnd w:id="120"/>
      <w:r/>
      <w:r/>
    </w:p>
    <w:p>
      <w:pPr>
        <w:ind w:firstLine="442"/>
        <w:spacing w:line="360" w:lineRule="auto"/>
        <w:rPr>
          <w:rFonts w:ascii="宋体" w:hAnsi="宋体"/>
          <w:b/>
          <w:bCs/>
          <w:sz w:val="24"/>
          <w:szCs w:val="24"/>
        </w:rPr>
      </w:pPr>
      <w:r/>
      <w:bookmarkStart w:id="121" w:name="_Toc3536"/>
      <w:r>
        <w:rPr>
          <w:rFonts w:hint="eastAsia" w:ascii="宋体" w:hAnsi="宋体"/>
          <w:b/>
          <w:bCs/>
          <w:sz w:val="24"/>
          <w:szCs w:val="24"/>
        </w:rPr>
        <w:t xml:space="preserve">2.1 符合性评审标准</w:t>
      </w:r>
      <w:bookmarkEnd w:id="121"/>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符合性评审标准：</w:t>
      </w:r>
      <w:r>
        <w:rPr>
          <w:rFonts w:ascii="华文中宋" w:hAnsi="华文中宋" w:eastAsia="华文中宋"/>
          <w:sz w:val="24"/>
          <w:szCs w:val="24"/>
        </w:rPr>
        <w:t xml:space="preserve">见评标办法前附表。</w:t>
      </w:r>
      <w:r/>
    </w:p>
    <w:p>
      <w:pPr>
        <w:ind w:firstLine="442"/>
        <w:spacing w:line="360" w:lineRule="auto"/>
        <w:rPr>
          <w:rFonts w:ascii="宋体" w:hAnsi="宋体"/>
          <w:b/>
          <w:bCs/>
          <w:sz w:val="24"/>
          <w:szCs w:val="24"/>
        </w:rPr>
      </w:pPr>
      <w:r/>
      <w:bookmarkStart w:id="122" w:name="_Toc29235"/>
      <w:r/>
      <w:bookmarkStart w:id="123" w:name="_Toc23546"/>
      <w:r/>
      <w:bookmarkStart w:id="124" w:name="_Toc234382667"/>
      <w:r>
        <w:rPr>
          <w:rFonts w:ascii="宋体" w:hAnsi="宋体"/>
          <w:b/>
          <w:bCs/>
          <w:sz w:val="24"/>
          <w:szCs w:val="24"/>
        </w:rPr>
        <w:t xml:space="preserve">2.</w:t>
      </w:r>
      <w:r>
        <w:rPr>
          <w:rFonts w:hint="eastAsia" w:ascii="宋体" w:hAnsi="宋体"/>
          <w:b/>
          <w:bCs/>
          <w:sz w:val="24"/>
          <w:szCs w:val="24"/>
        </w:rPr>
        <w:t xml:space="preserve">2</w:t>
      </w:r>
      <w:r>
        <w:rPr>
          <w:rFonts w:ascii="宋体" w:hAnsi="宋体"/>
          <w:b/>
          <w:bCs/>
          <w:sz w:val="24"/>
          <w:szCs w:val="24"/>
        </w:rPr>
        <w:t xml:space="preserve"> 分值构成与评分标准</w:t>
      </w:r>
      <w:bookmarkEnd w:id="122"/>
      <w:r/>
      <w:bookmarkEnd w:id="123"/>
      <w:r/>
      <w:bookmarkEnd w:id="124"/>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2.</w:t>
      </w:r>
      <w:r>
        <w:rPr>
          <w:rFonts w:hint="eastAsia" w:ascii="华文中宋" w:hAnsi="华文中宋" w:eastAsia="华文中宋"/>
          <w:sz w:val="24"/>
          <w:szCs w:val="24"/>
        </w:rPr>
        <w:t xml:space="preserve">2</w:t>
      </w:r>
      <w:r>
        <w:rPr>
          <w:rFonts w:ascii="华文中宋" w:hAnsi="华文中宋" w:eastAsia="华文中宋"/>
          <w:sz w:val="24"/>
          <w:szCs w:val="24"/>
        </w:rPr>
        <w:t xml:space="preserve">.1 分值构成</w:t>
      </w:r>
      <w:r>
        <w:rPr>
          <w:rFonts w:hint="eastAsia" w:ascii="华文中宋" w:hAnsi="华文中宋" w:eastAsia="华文中宋"/>
          <w:sz w:val="24"/>
          <w:szCs w:val="24"/>
        </w:rPr>
        <w:t xml:space="preserve">：</w:t>
      </w:r>
      <w:r>
        <w:rPr>
          <w:rFonts w:ascii="华文中宋" w:hAnsi="华文中宋" w:eastAsia="华文中宋"/>
          <w:sz w:val="24"/>
          <w:szCs w:val="24"/>
        </w:rPr>
        <w:t xml:space="preserve">见评标办法前附表；</w:t>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2.</w:t>
      </w:r>
      <w:r>
        <w:rPr>
          <w:rFonts w:hint="eastAsia" w:ascii="华文中宋" w:hAnsi="华文中宋" w:eastAsia="华文中宋"/>
          <w:sz w:val="24"/>
          <w:szCs w:val="24"/>
        </w:rPr>
        <w:t xml:space="preserve">2</w:t>
      </w:r>
      <w:r>
        <w:rPr>
          <w:rFonts w:ascii="华文中宋" w:hAnsi="华文中宋" w:eastAsia="华文中宋"/>
          <w:sz w:val="24"/>
          <w:szCs w:val="24"/>
        </w:rPr>
        <w:t xml:space="preserve">.</w:t>
      </w:r>
      <w:r>
        <w:rPr>
          <w:rFonts w:hint="eastAsia" w:ascii="华文中宋" w:hAnsi="华文中宋" w:eastAsia="华文中宋"/>
          <w:sz w:val="24"/>
          <w:szCs w:val="24"/>
        </w:rPr>
        <w:t xml:space="preserve">2 </w:t>
      </w:r>
      <w:r>
        <w:rPr>
          <w:rFonts w:ascii="华文中宋" w:hAnsi="华文中宋" w:eastAsia="华文中宋"/>
          <w:sz w:val="24"/>
          <w:szCs w:val="24"/>
        </w:rPr>
        <w:t xml:space="preserve">评分标准</w:t>
      </w:r>
      <w:r>
        <w:rPr>
          <w:rFonts w:hint="eastAsia" w:ascii="华文中宋" w:hAnsi="华文中宋" w:eastAsia="华文中宋"/>
          <w:sz w:val="24"/>
          <w:szCs w:val="24"/>
        </w:rPr>
        <w:t xml:space="preserve">：</w:t>
      </w:r>
      <w:r>
        <w:rPr>
          <w:rFonts w:ascii="华文中宋" w:hAnsi="华文中宋" w:eastAsia="华文中宋"/>
          <w:sz w:val="24"/>
          <w:szCs w:val="24"/>
        </w:rPr>
        <w:t xml:space="preserve">见评标办法前附表。</w:t>
      </w:r>
      <w:r/>
    </w:p>
    <w:p>
      <w:pPr>
        <w:pStyle w:val="928"/>
        <w:ind w:firstLine="108"/>
        <w:spacing w:line="360" w:lineRule="auto"/>
        <w:rPr>
          <w:rFonts w:ascii="黑体" w:cs="黑体"/>
          <w:b/>
          <w:bCs/>
          <w:szCs w:val="24"/>
        </w:rPr>
      </w:pPr>
      <w:r/>
      <w:bookmarkStart w:id="125" w:name="_Toc234382668"/>
      <w:r/>
      <w:bookmarkStart w:id="126" w:name="_Toc8953"/>
      <w:r/>
      <w:bookmarkStart w:id="127" w:name="_Toc24010"/>
      <w:r>
        <w:rPr>
          <w:rFonts w:hint="eastAsia" w:ascii="黑体" w:cs="黑体"/>
          <w:b/>
          <w:bCs/>
          <w:szCs w:val="24"/>
        </w:rPr>
        <w:t xml:space="preserve">3. 评标程序</w:t>
      </w:r>
      <w:bookmarkEnd w:id="125"/>
      <w:r/>
      <w:bookmarkEnd w:id="126"/>
      <w:r/>
      <w:bookmarkEnd w:id="127"/>
      <w:r/>
      <w:r/>
    </w:p>
    <w:p>
      <w:pPr>
        <w:ind w:firstLine="442"/>
        <w:spacing w:line="360" w:lineRule="auto"/>
        <w:rPr>
          <w:rFonts w:ascii="宋体" w:hAnsi="宋体"/>
          <w:sz w:val="24"/>
          <w:szCs w:val="24"/>
        </w:rPr>
      </w:pPr>
      <w:r/>
      <w:bookmarkStart w:id="128" w:name="_Toc9836"/>
      <w:r/>
      <w:bookmarkStart w:id="129" w:name="_Toc6644"/>
      <w:r>
        <w:rPr>
          <w:rFonts w:hint="eastAsia" w:ascii="宋体" w:hAnsi="宋体"/>
          <w:b/>
          <w:bCs/>
          <w:sz w:val="24"/>
          <w:szCs w:val="24"/>
        </w:rPr>
        <w:t xml:space="preserve">3.1 符合性评审</w:t>
      </w:r>
      <w:bookmarkEnd w:id="128"/>
      <w:r/>
      <w:bookmarkEnd w:id="129"/>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3.1.1 </w:t>
      </w:r>
      <w:r>
        <w:rPr>
          <w:rFonts w:ascii="华文中宋" w:hAnsi="华文中宋" w:eastAsia="华文中宋"/>
          <w:sz w:val="24"/>
          <w:szCs w:val="24"/>
        </w:rPr>
        <w:t xml:space="preserve">评标委员会依据本章第2.</w:t>
      </w:r>
      <w:r>
        <w:rPr>
          <w:rFonts w:hint="eastAsia" w:ascii="华文中宋" w:hAnsi="华文中宋" w:eastAsia="华文中宋"/>
          <w:sz w:val="24"/>
          <w:szCs w:val="24"/>
        </w:rPr>
        <w:t xml:space="preserve">1</w:t>
      </w:r>
      <w:r>
        <w:rPr>
          <w:rFonts w:ascii="华文中宋" w:hAnsi="华文中宋" w:eastAsia="华文中宋"/>
          <w:sz w:val="24"/>
          <w:szCs w:val="24"/>
        </w:rPr>
        <w:t xml:space="preserve">项规定的</w:t>
      </w:r>
      <w:r>
        <w:rPr>
          <w:rFonts w:hint="eastAsia" w:ascii="华文中宋" w:hAnsi="华文中宋" w:eastAsia="华文中宋"/>
          <w:sz w:val="24"/>
          <w:szCs w:val="24"/>
        </w:rPr>
        <w:t xml:space="preserve">符合性</w:t>
      </w:r>
      <w:r>
        <w:rPr>
          <w:rFonts w:ascii="华文中宋" w:hAnsi="华文中宋" w:eastAsia="华文中宋"/>
          <w:sz w:val="24"/>
          <w:szCs w:val="24"/>
        </w:rPr>
        <w:t xml:space="preserve">评审标准</w:t>
      </w:r>
      <w:r>
        <w:rPr>
          <w:rFonts w:hint="eastAsia" w:ascii="华文中宋" w:hAnsi="华文中宋" w:eastAsia="华文中宋"/>
          <w:sz w:val="24"/>
          <w:szCs w:val="24"/>
        </w:rPr>
        <w:t xml:space="preserve">，</w:t>
      </w:r>
      <w:r>
        <w:rPr>
          <w:rFonts w:ascii="华文中宋" w:hAnsi="华文中宋" w:eastAsia="华文中宋"/>
          <w:sz w:val="24"/>
          <w:szCs w:val="24"/>
        </w:rPr>
        <w:t xml:space="preserve">对</w:t>
      </w:r>
      <w:r>
        <w:rPr>
          <w:rFonts w:hint="eastAsia" w:ascii="华文中宋" w:hAnsi="华文中宋" w:eastAsia="华文中宋"/>
          <w:sz w:val="24"/>
          <w:szCs w:val="24"/>
        </w:rPr>
        <w:t xml:space="preserve">通过资格评审的</w:t>
      </w:r>
      <w:r>
        <w:rPr>
          <w:rFonts w:ascii="华文中宋" w:hAnsi="华文中宋" w:eastAsia="华文中宋"/>
          <w:sz w:val="24"/>
          <w:szCs w:val="24"/>
        </w:rPr>
        <w:t xml:space="preserve">投标文件进行</w:t>
      </w:r>
      <w:r>
        <w:rPr>
          <w:rFonts w:hint="eastAsia" w:ascii="华文中宋" w:hAnsi="华文中宋" w:eastAsia="华文中宋"/>
          <w:sz w:val="24"/>
          <w:szCs w:val="24"/>
        </w:rPr>
        <w:t xml:space="preserve">符合性评审</w:t>
      </w:r>
      <w:r>
        <w:rPr>
          <w:rFonts w:ascii="华文中宋" w:hAnsi="华文中宋" w:eastAsia="华文中宋"/>
          <w:sz w:val="24"/>
          <w:szCs w:val="24"/>
        </w:rPr>
        <w:t xml:space="preserve">。有一项不符合评审标准的，作</w:t>
      </w:r>
      <w:r>
        <w:rPr>
          <w:rFonts w:hint="eastAsia" w:ascii="华文中宋" w:hAnsi="华文中宋" w:eastAsia="华文中宋"/>
          <w:sz w:val="24"/>
          <w:szCs w:val="24"/>
        </w:rPr>
        <w:t xml:space="preserve">无效投标文件</w:t>
      </w:r>
      <w:r>
        <w:rPr>
          <w:rFonts w:ascii="华文中宋" w:hAnsi="华文中宋" w:eastAsia="华文中宋"/>
          <w:sz w:val="24"/>
          <w:szCs w:val="24"/>
        </w:rPr>
        <w:t xml:space="preserve">处理</w:t>
      </w:r>
      <w:r>
        <w:rPr>
          <w:rFonts w:hint="eastAsia" w:ascii="华文中宋" w:hAnsi="华文中宋" w:eastAsia="华文中宋"/>
          <w:sz w:val="24"/>
          <w:szCs w:val="24"/>
        </w:rPr>
        <w:t xml:space="preserve">。</w:t>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3.</w:t>
      </w:r>
      <w:r>
        <w:rPr>
          <w:rFonts w:hint="eastAsia" w:ascii="华文中宋" w:hAnsi="华文中宋" w:eastAsia="华文中宋"/>
          <w:sz w:val="24"/>
          <w:szCs w:val="24"/>
        </w:rPr>
        <w:t xml:space="preserve">1</w:t>
      </w:r>
      <w:r>
        <w:rPr>
          <w:rFonts w:ascii="华文中宋" w:hAnsi="华文中宋" w:eastAsia="华文中宋"/>
          <w:sz w:val="24"/>
          <w:szCs w:val="24"/>
        </w:rPr>
        <w:t xml:space="preserve">.2</w:t>
      </w:r>
      <w:r>
        <w:rPr>
          <w:rFonts w:hint="eastAsia" w:ascii="华文中宋" w:hAnsi="华文中宋" w:eastAsia="华文中宋"/>
          <w:sz w:val="24"/>
          <w:szCs w:val="24"/>
        </w:rPr>
        <w:t xml:space="preserve"> 投标文件报价出现前后不一致的，除招标文件另有规定外，按照下列规定修正：</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（1）投标文件中开标一览表内容与投标文件中相应内容不一致的，以开标一览表为准；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（2）大写金额和小写金额不一致的，以大写金额为准；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（3）单价金额小数点或者百分比有明显错位的，以开标一览表的总价为准，并修改单价；</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（4）总价金额与按单价汇总金额不一致的，以单价金额计算结果为准。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2"/>
        <w:spacing w:line="360" w:lineRule="auto"/>
        <w:rPr>
          <w:rFonts w:ascii="宋体" w:hAnsi="宋体"/>
          <w:b/>
          <w:bCs/>
          <w:sz w:val="24"/>
          <w:szCs w:val="24"/>
        </w:rPr>
      </w:pPr>
      <w:r/>
      <w:bookmarkStart w:id="130" w:name="_Toc19739"/>
      <w:r/>
      <w:bookmarkStart w:id="131" w:name="_Toc234382671"/>
      <w:r/>
      <w:bookmarkStart w:id="132" w:name="_Toc30764"/>
      <w:r>
        <w:rPr>
          <w:rFonts w:ascii="宋体" w:hAnsi="宋体"/>
          <w:b/>
          <w:bCs/>
          <w:sz w:val="24"/>
          <w:szCs w:val="24"/>
        </w:rPr>
        <w:t xml:space="preserve">3.</w:t>
      </w:r>
      <w:r>
        <w:rPr>
          <w:rFonts w:hint="eastAsia" w:ascii="宋体" w:hAnsi="宋体"/>
          <w:b/>
          <w:bCs/>
          <w:sz w:val="24"/>
          <w:szCs w:val="24"/>
        </w:rPr>
        <w:t xml:space="preserve">2</w:t>
      </w:r>
      <w:r>
        <w:rPr>
          <w:rFonts w:ascii="宋体" w:hAnsi="宋体"/>
          <w:b/>
          <w:bCs/>
          <w:sz w:val="24"/>
          <w:szCs w:val="24"/>
        </w:rPr>
        <w:t xml:space="preserve"> 澄清和补正</w:t>
      </w:r>
      <w:bookmarkEnd w:id="130"/>
      <w:r/>
      <w:bookmarkEnd w:id="131"/>
      <w:r/>
      <w:bookmarkEnd w:id="132"/>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3.</w:t>
      </w:r>
      <w:r>
        <w:rPr>
          <w:rFonts w:hint="eastAsia" w:ascii="华文中宋" w:hAnsi="华文中宋" w:eastAsia="华文中宋"/>
          <w:sz w:val="24"/>
          <w:szCs w:val="24"/>
        </w:rPr>
        <w:t xml:space="preserve">2</w:t>
      </w:r>
      <w:r>
        <w:rPr>
          <w:rFonts w:ascii="华文中宋" w:hAnsi="华文中宋" w:eastAsia="华文中宋"/>
          <w:sz w:val="24"/>
          <w:szCs w:val="24"/>
        </w:rPr>
        <w:t xml:space="preserve">.1 </w:t>
      </w:r>
      <w:r>
        <w:rPr>
          <w:rFonts w:hint="eastAsia" w:ascii="华文中宋" w:hAnsi="华文中宋" w:eastAsia="华文中宋"/>
          <w:sz w:val="24"/>
          <w:szCs w:val="24"/>
        </w:rPr>
        <w:t xml:space="preserve">对投标文件中含义不明确、同类问题表述不一致或者有明显文字和算术错误的内容，评标委员会可以通过“苏采云”系统【询标】按钮要求投标人作出必要的澄清、说明或者补正。</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3.2.2 投标人在收到评标委员会的【询问函】后，应在规定的时长内完成【询问反馈】并签章。投标人的澄清、说明或者补正不得超出投标文件的范围或者改变投标文件的实质性内容。</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3.2.3 </w:t>
      </w:r>
      <w:r>
        <w:rPr>
          <w:rFonts w:ascii="华文中宋" w:hAnsi="华文中宋" w:eastAsia="华文中宋"/>
          <w:sz w:val="24"/>
          <w:szCs w:val="24"/>
        </w:rPr>
        <w:t xml:space="preserve">评标委员会不接受</w:t>
      </w:r>
      <w:r>
        <w:rPr>
          <w:rFonts w:hint="eastAsia" w:ascii="华文中宋" w:hAnsi="华文中宋" w:eastAsia="华文中宋"/>
          <w:sz w:val="24"/>
          <w:szCs w:val="24"/>
        </w:rPr>
        <w:t xml:space="preserve">投标人</w:t>
      </w:r>
      <w:r>
        <w:rPr>
          <w:rFonts w:ascii="华文中宋" w:hAnsi="华文中宋" w:eastAsia="华文中宋"/>
          <w:sz w:val="24"/>
          <w:szCs w:val="24"/>
        </w:rPr>
        <w:t xml:space="preserve">主动提出的澄清、说明或补正。</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3.2.4 凡超出招标文件规定的或给采购人带来未曾要求的利益的变化、偏差或其他因素在评标时不予考虑。</w:t>
      </w:r>
      <w:r/>
    </w:p>
    <w:p>
      <w:pPr>
        <w:ind w:firstLine="442"/>
        <w:spacing w:line="360" w:lineRule="auto"/>
        <w:rPr>
          <w:rFonts w:ascii="宋体" w:hAnsi="宋体"/>
          <w:b/>
          <w:bCs/>
          <w:sz w:val="24"/>
          <w:szCs w:val="24"/>
        </w:rPr>
      </w:pPr>
      <w:r/>
      <w:bookmarkStart w:id="133" w:name="_Toc234382670"/>
      <w:r/>
      <w:bookmarkStart w:id="134" w:name="_Toc10483"/>
      <w:r/>
      <w:bookmarkStart w:id="135" w:name="_Toc3943"/>
      <w:r>
        <w:rPr>
          <w:rFonts w:ascii="宋体" w:hAnsi="宋体"/>
          <w:b/>
          <w:bCs/>
          <w:sz w:val="24"/>
          <w:szCs w:val="24"/>
        </w:rPr>
        <w:t xml:space="preserve">3.</w:t>
      </w:r>
      <w:r>
        <w:rPr>
          <w:rFonts w:hint="eastAsia" w:ascii="宋体" w:hAnsi="宋体"/>
          <w:b/>
          <w:bCs/>
          <w:sz w:val="24"/>
          <w:szCs w:val="24"/>
        </w:rPr>
        <w:t xml:space="preserve">3</w:t>
      </w:r>
      <w:bookmarkEnd w:id="133"/>
      <w:r/>
      <w:bookmarkEnd w:id="134"/>
      <w:r/>
      <w:bookmarkEnd w:id="135"/>
      <w:r>
        <w:rPr>
          <w:rFonts w:hint="eastAsia" w:ascii="宋体" w:hAnsi="宋体"/>
          <w:b/>
          <w:bCs/>
          <w:sz w:val="24"/>
          <w:szCs w:val="24"/>
        </w:rPr>
        <w:t xml:space="preserve">详细评审</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3.3.1 异常低价投标（响应）审查</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（1）评审中出现下列情形之一的，评审委员会应当启动异常低价投标（响应）审查程序：</w:t>
      </w:r>
      <w:r/>
    </w:p>
    <w:p>
      <w:pPr>
        <w:ind w:firstLine="440"/>
        <w:spacing w:line="360" w:lineRule="auto"/>
        <w:rPr>
          <w:rFonts w:ascii="华文中宋" w:hAnsi="华文中宋" w:eastAsia="华文中宋"/>
          <w:strike w:val="0"/>
          <w:sz w:val="24"/>
          <w:szCs w:val="24"/>
          <w:highlight w:val="none"/>
        </w:rPr>
      </w:pPr>
      <w:r>
        <w:rPr>
          <w:rFonts w:hint="eastAsia" w:ascii="华文中宋" w:hAnsi="华文中宋" w:eastAsia="华文中宋"/>
          <w:strike w:val="0"/>
          <w:sz w:val="24"/>
          <w:szCs w:val="24"/>
          <w:highlight w:val="none"/>
        </w:rPr>
        <w:t xml:space="preserve">a.投标（响应）报价低于全部通过符合性审查供应商投标（响应）报价平均值50%的，即投标（响应）报价&lt;全部通过符合性审查供应商投标（响应）报价平均值×50%；</w:t>
      </w:r>
      <w:r/>
    </w:p>
    <w:p>
      <w:pPr>
        <w:ind w:firstLine="440"/>
        <w:spacing w:line="360" w:lineRule="auto"/>
        <w:rPr>
          <w:rFonts w:ascii="华文中宋" w:hAnsi="华文中宋" w:eastAsia="华文中宋"/>
          <w:strike w:val="0"/>
          <w:sz w:val="24"/>
          <w:szCs w:val="24"/>
          <w:highlight w:val="none"/>
        </w:rPr>
      </w:pPr>
      <w:r>
        <w:rPr>
          <w:rFonts w:hint="eastAsia" w:ascii="华文中宋" w:hAnsi="华文中宋" w:eastAsia="华文中宋"/>
          <w:strike w:val="0"/>
          <w:sz w:val="24"/>
          <w:szCs w:val="24"/>
          <w:highlight w:val="none"/>
        </w:rPr>
        <w:t xml:space="preserve">b.投标（响应）报价低于通过符合性审查的次低报价供应商投标（响应）报价50%的，即投标（响应）报价&lt;通过符合性审查的次低报价供应商投标（响应）报价×50%；</w:t>
      </w:r>
      <w:r/>
    </w:p>
    <w:p>
      <w:pPr>
        <w:ind w:firstLine="440"/>
        <w:spacing w:line="360" w:lineRule="auto"/>
        <w:rPr>
          <w:rFonts w:ascii="华文中宋" w:hAnsi="华文中宋" w:eastAsia="华文中宋"/>
          <w:strike w:val="0"/>
          <w:sz w:val="24"/>
          <w:szCs w:val="24"/>
          <w:highlight w:val="none"/>
        </w:rPr>
      </w:pPr>
      <w:r>
        <w:rPr>
          <w:rFonts w:hint="eastAsia" w:ascii="华文中宋" w:hAnsi="华文中宋" w:eastAsia="华文中宋"/>
          <w:strike w:val="0"/>
          <w:sz w:val="24"/>
          <w:szCs w:val="24"/>
          <w:highlight w:val="none"/>
        </w:rPr>
        <w:t xml:space="preserve">c.投标（响应）报价低于采购项目最高限价45%的，即投标（响应）报价&lt;采购项目最高限价×45%；</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d.评审委员会基于专业判断，认为供应商报价过低，有可能影响产品质量或者不能诚信履约的其他情形。</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2）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c项情形，供应商已随投标（响应）文件一并提交相关书面说明及必要的证明材料的，在评审现场可不再重复提交。</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3.3.2 评标委员会按本章第2.2款规定的量化因素和分值对通过符合性评审的投标文件进行综合比较和评价，并计算出综合得分。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3.3.3 投标人的综合得分取评标委员会各成员独立对每个投标人评分的平均值。分值计算保留小数点后两位，小数点后第三位“四舍五入”。</w:t>
      </w:r>
      <w:r/>
    </w:p>
    <w:p>
      <w:pPr>
        <w:ind w:firstLine="442"/>
        <w:spacing w:line="360" w:lineRule="auto"/>
        <w:rPr>
          <w:rFonts w:ascii="宋体" w:hAnsi="宋体"/>
          <w:b/>
          <w:bCs/>
          <w:sz w:val="24"/>
          <w:szCs w:val="24"/>
        </w:rPr>
      </w:pPr>
      <w:r/>
      <w:bookmarkStart w:id="136" w:name="_Toc15663"/>
      <w:r>
        <w:rPr>
          <w:rFonts w:hint="eastAsia" w:ascii="宋体" w:hAnsi="宋体"/>
          <w:b/>
          <w:bCs/>
          <w:sz w:val="24"/>
          <w:szCs w:val="24"/>
        </w:rPr>
        <w:t xml:space="preserve">3.4 串通投标认定</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投标人有下列情形之一的，视为投标人串通投标，其投标无效：</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（1）不同投标人的投标文件由同一单位或者个人编制；</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（2）不同投标人委托同一单位或者个人办理投标事宜；</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（3）不同投标人的投标文件载明的项目管理成员或者联系人员为同一人；</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（4）不同投标人的投标文件异常一致或者投标报价呈规律性差异；</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（5）不同投标人的投标文件相互混装。</w:t>
      </w:r>
      <w:r/>
    </w:p>
    <w:p>
      <w:pPr>
        <w:ind w:firstLine="442"/>
        <w:spacing w:line="360" w:lineRule="auto"/>
        <w:rPr>
          <w:rFonts w:ascii="宋体" w:hAnsi="宋体"/>
          <w:b/>
          <w:bCs/>
          <w:sz w:val="24"/>
          <w:szCs w:val="24"/>
        </w:rPr>
      </w:pPr>
      <w:r>
        <w:rPr>
          <w:rFonts w:hint="eastAsia" w:ascii="宋体" w:hAnsi="宋体"/>
          <w:b/>
          <w:bCs/>
          <w:sz w:val="24"/>
          <w:szCs w:val="24"/>
        </w:rPr>
        <w:t xml:space="preserve">3.5 评标结果</w:t>
      </w:r>
      <w:bookmarkEnd w:id="136"/>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3.5.1 评标委员会按照得分由高到低的顺序推荐3名中标候选人，并标明排序。</w:t>
      </w:r>
      <w:r/>
    </w:p>
    <w:p>
      <w:pPr>
        <w:ind w:firstLine="440"/>
        <w:spacing w:line="360" w:lineRule="auto"/>
        <w:rPr>
          <w:rFonts w:ascii="华文中宋" w:hAnsi="华文中宋" w:eastAsia="华文中宋"/>
          <w:sz w:val="22"/>
        </w:rPr>
      </w:pPr>
      <w:r>
        <w:rPr>
          <w:rFonts w:hint="eastAsia" w:ascii="华文中宋" w:hAnsi="华文中宋" w:eastAsia="华文中宋"/>
          <w:sz w:val="24"/>
          <w:szCs w:val="24"/>
        </w:rPr>
        <w:t xml:space="preserve">3.5.2 评标委员会完成评标后，应当向采购人提交书面评标报告。</w:t>
      </w:r>
      <w:r/>
    </w:p>
    <w:p>
      <w:pPr>
        <w:ind w:firstLine="440"/>
        <w:jc w:val="left"/>
        <w:spacing w:line="480" w:lineRule="exact"/>
        <w:rPr>
          <w:rFonts w:ascii="宋体" w:hAnsi="宋体"/>
          <w:sz w:val="22"/>
        </w:rPr>
      </w:pPr>
      <w:r>
        <w:rPr>
          <w:rFonts w:ascii="宋体" w:hAnsi="宋体"/>
          <w:sz w:val="22"/>
        </w:rPr>
      </w:r>
      <w:r/>
    </w:p>
    <w:p>
      <w:pPr>
        <w:ind w:firstLine="440"/>
        <w:jc w:val="left"/>
        <w:spacing w:line="480" w:lineRule="exact"/>
        <w:rPr>
          <w:rFonts w:ascii="宋体" w:hAnsi="宋体"/>
          <w:sz w:val="22"/>
        </w:rPr>
      </w:pPr>
      <w:r>
        <w:rPr>
          <w:rFonts w:ascii="宋体" w:hAnsi="宋体"/>
          <w:sz w:val="22"/>
        </w:rPr>
      </w:r>
      <w:r/>
    </w:p>
    <w:p>
      <w:pPr>
        <w:ind w:firstLine="440"/>
        <w:jc w:val="left"/>
        <w:spacing w:line="480" w:lineRule="exact"/>
        <w:rPr>
          <w:rFonts w:ascii="宋体" w:hAnsi="宋体"/>
          <w:sz w:val="22"/>
        </w:rPr>
      </w:pPr>
      <w:r>
        <w:rPr>
          <w:rFonts w:ascii="宋体" w:hAnsi="宋体"/>
          <w:sz w:val="22"/>
        </w:rPr>
      </w:r>
      <w:r/>
    </w:p>
    <w:p>
      <w:pPr>
        <w:ind w:firstLine="440"/>
        <w:jc w:val="left"/>
        <w:spacing w:line="480" w:lineRule="exact"/>
        <w:rPr>
          <w:rFonts w:ascii="宋体" w:hAnsi="宋体"/>
          <w:sz w:val="22"/>
        </w:rPr>
      </w:pPr>
      <w:r>
        <w:rPr>
          <w:rFonts w:ascii="宋体" w:hAnsi="宋体"/>
          <w:sz w:val="22"/>
        </w:rPr>
      </w:r>
      <w:r/>
    </w:p>
    <w:p>
      <w:pPr>
        <w:pStyle w:val="924"/>
        <w:jc w:val="center"/>
        <w:spacing w:after="20" w:line="240" w:lineRule="auto"/>
        <w:rPr>
          <w:rFonts w:ascii="微软雅黑" w:hAnsi="微软雅黑" w:eastAsia="微软雅黑" w:cs="微软雅黑"/>
          <w:b w:val="0"/>
          <w:bCs w:val="0"/>
          <w:sz w:val="36"/>
          <w:szCs w:val="36"/>
        </w:rPr>
      </w:pPr>
      <w:r/>
      <w:bookmarkStart w:id="137" w:name="_Toc152268442"/>
      <w:r/>
      <w:bookmarkStart w:id="138" w:name="_Toc32256"/>
      <w:r>
        <w:rPr>
          <w:rFonts w:hint="eastAsia" w:ascii="微软雅黑" w:hAnsi="微软雅黑" w:eastAsia="微软雅黑" w:cs="微软雅黑"/>
          <w:b w:val="0"/>
          <w:bCs w:val="0"/>
          <w:sz w:val="36"/>
          <w:szCs w:val="36"/>
        </w:rPr>
        <w:t xml:space="preserve">第五章 合同格式及条款</w:t>
      </w:r>
      <w:bookmarkEnd w:id="137"/>
      <w:r/>
      <w:bookmarkEnd w:id="138"/>
      <w:r/>
      <w:r/>
    </w:p>
    <w:p>
      <w:pPr>
        <w:jc w:val="right"/>
        <w:spacing w:before="98" w:line="360" w:lineRule="auto"/>
        <w:widowControl/>
        <w:rPr>
          <w:rFonts w:ascii="宋体" w:hAnsi="宋体" w:cs="宋体"/>
          <w:sz w:val="22"/>
        </w:rPr>
      </w:pPr>
      <w:r>
        <w:rPr>
          <w:rFonts w:hint="eastAsia" w:ascii="宋体" w:hAnsi="宋体" w:cs="宋体"/>
          <w:spacing w:val="19"/>
          <w:sz w:val="24"/>
          <w:szCs w:val="24"/>
        </w:rPr>
        <w:t xml:space="preserve">合同编号：</w:t>
      </w:r>
      <w:r/>
    </w:p>
    <w:p>
      <w:pPr>
        <w:jc w:val="center"/>
        <w:spacing w:before="147" w:line="360" w:lineRule="auto"/>
        <w:widowControl/>
        <w:rPr>
          <w:rFonts w:ascii="宋体" w:hAnsi="宋体" w:cs="宋体"/>
          <w:sz w:val="28"/>
          <w:szCs w:val="28"/>
        </w:rPr>
      </w:pPr>
      <w:r>
        <w:rPr>
          <w:rFonts w:hint="eastAsia" w:ascii="宋体" w:hAnsi="宋体" w:cs="宋体"/>
          <w:b/>
          <w:bCs/>
          <w:spacing w:val="-14"/>
          <w:sz w:val="28"/>
          <w:szCs w:val="28"/>
        </w:rPr>
        <w:t xml:space="preserve">委托第三方检测协议</w:t>
      </w:r>
      <w:r/>
    </w:p>
    <w:p>
      <w:pPr>
        <w:spacing w:line="360" w:lineRule="auto"/>
        <w:widowControl/>
        <w:rPr>
          <w:rFonts w:ascii="宋体" w:hAnsi="宋体" w:cs="宋体"/>
          <w:spacing w:val="-128"/>
          <w:position w:val="2"/>
          <w:sz w:val="22"/>
        </w:rPr>
      </w:pPr>
      <w:r>
        <w:rPr>
          <w:rFonts w:hint="eastAsia" w:ascii="宋体" w:hAnsi="宋体" w:cs="宋体"/>
          <w:position w:val="2"/>
          <w:sz w:val="22"/>
        </w:rPr>
        <w:t xml:space="preserve">委托方（甲方）：</w:t>
      </w:r>
      <w:r>
        <w:rPr>
          <w:rFonts w:hint="eastAsia" w:ascii="宋体" w:hAnsi="宋体" w:cs="宋体"/>
          <w:position w:val="2"/>
          <w:sz w:val="22"/>
          <w:u w:val="single"/>
        </w:rPr>
        <w:t xml:space="preserve">靖江市人民医院</w:t>
      </w:r>
      <w:r>
        <w:rPr>
          <w:rFonts w:hint="eastAsia" w:ascii="宋体" w:hAnsi="宋体" w:cs="宋体"/>
          <w:spacing w:val="-128"/>
          <w:position w:val="2"/>
          <w:sz w:val="22"/>
        </w:rPr>
        <w:t xml:space="preserve"> </w:t>
      </w:r>
      <w:r/>
    </w:p>
    <w:p>
      <w:pPr>
        <w:spacing w:line="360" w:lineRule="auto"/>
        <w:widowControl/>
        <w:rPr>
          <w:rFonts w:ascii="宋体" w:hAnsi="宋体" w:cs="宋体"/>
          <w:position w:val="-1"/>
          <w:sz w:val="22"/>
          <w:u w:val="single"/>
        </w:rPr>
      </w:pPr>
      <w:r>
        <w:rPr>
          <w:rFonts w:hint="eastAsia" w:ascii="宋体" w:hAnsi="宋体" w:cs="宋体"/>
          <w:position w:val="-1"/>
          <w:sz w:val="22"/>
        </w:rPr>
        <w:t xml:space="preserve">统</w:t>
      </w:r>
      <w:r>
        <w:rPr>
          <w:rFonts w:hint="eastAsia" w:ascii="宋体" w:hAnsi="宋体" w:cs="宋体"/>
          <w:spacing w:val="-75"/>
          <w:position w:val="-1"/>
          <w:sz w:val="22"/>
        </w:rPr>
        <w:t xml:space="preserve"> </w:t>
      </w:r>
      <w:r>
        <w:rPr>
          <w:rFonts w:hint="eastAsia" w:ascii="宋体" w:hAnsi="宋体" w:cs="宋体"/>
          <w:position w:val="-1"/>
          <w:sz w:val="22"/>
        </w:rPr>
        <w:t xml:space="preserve">一</w:t>
      </w:r>
      <w:r>
        <w:rPr>
          <w:rFonts w:hint="eastAsia" w:ascii="宋体" w:hAnsi="宋体" w:cs="宋体"/>
          <w:spacing w:val="-78"/>
          <w:position w:val="-1"/>
          <w:sz w:val="22"/>
        </w:rPr>
        <w:t xml:space="preserve"> </w:t>
      </w:r>
      <w:r>
        <w:rPr>
          <w:rFonts w:hint="eastAsia" w:ascii="宋体" w:hAnsi="宋体" w:cs="宋体"/>
          <w:position w:val="-1"/>
          <w:sz w:val="22"/>
        </w:rPr>
        <w:t xml:space="preserve">社会信用代码：</w:t>
      </w:r>
      <w:r>
        <w:rPr>
          <w:rFonts w:hint="eastAsia" w:ascii="宋体" w:hAnsi="宋体" w:cs="宋体"/>
          <w:position w:val="-1"/>
          <w:sz w:val="22"/>
          <w:u w:val="single"/>
        </w:rPr>
        <w:t xml:space="preserve">123212824691913421 </w:t>
      </w:r>
      <w:r/>
    </w:p>
    <w:p>
      <w:pPr>
        <w:spacing w:line="360" w:lineRule="auto"/>
        <w:widowControl/>
        <w:rPr>
          <w:rFonts w:ascii="宋体" w:hAnsi="宋体" w:cs="宋体"/>
          <w:sz w:val="22"/>
          <w:u w:val="single"/>
        </w:rPr>
      </w:pPr>
      <w:r>
        <w:rPr>
          <w:rFonts w:hint="eastAsia" w:ascii="宋体" w:hAnsi="宋体" w:cs="宋体"/>
          <w:sz w:val="22"/>
        </w:rPr>
        <w:t xml:space="preserve">通讯地址：</w:t>
      </w:r>
      <w:r>
        <w:rPr>
          <w:rFonts w:hint="eastAsia" w:ascii="宋体" w:hAnsi="宋体" w:cs="宋体"/>
          <w:spacing w:val="-40"/>
          <w:sz w:val="22"/>
        </w:rPr>
        <w:t xml:space="preserve"> </w:t>
      </w:r>
      <w:r>
        <w:rPr>
          <w:rFonts w:hint="eastAsia" w:ascii="宋体" w:hAnsi="宋体" w:cs="宋体"/>
          <w:sz w:val="22"/>
          <w:u w:val="single"/>
        </w:rPr>
        <w:t xml:space="preserve"> 靖江市中洲东路28号</w:t>
      </w:r>
      <w:r/>
    </w:p>
    <w:p>
      <w:pPr>
        <w:spacing w:line="360" w:lineRule="auto"/>
        <w:widowControl/>
        <w:rPr>
          <w:rFonts w:ascii="宋体" w:hAnsi="宋体" w:cs="宋体"/>
          <w:position w:val="3"/>
          <w:sz w:val="22"/>
        </w:rPr>
      </w:pPr>
      <w:r>
        <w:rPr>
          <w:rFonts w:ascii="宋体" w:hAnsi="宋体" w:cs="宋体"/>
          <w:position w:val="3"/>
          <w:sz w:val="22"/>
        </w:rPr>
      </w:r>
      <w:r/>
    </w:p>
    <w:p>
      <w:pPr>
        <w:spacing w:line="360" w:lineRule="auto"/>
        <w:widowControl/>
        <w:rPr>
          <w:rFonts w:ascii="宋体" w:hAnsi="宋体" w:cs="宋体"/>
          <w:spacing w:val="-110"/>
          <w:position w:val="3"/>
          <w:sz w:val="22"/>
        </w:rPr>
      </w:pPr>
      <w:r>
        <w:rPr>
          <w:rFonts w:hint="eastAsia" w:ascii="宋体" w:hAnsi="宋体" w:cs="宋体"/>
          <w:position w:val="3"/>
          <w:sz w:val="22"/>
        </w:rPr>
        <w:t xml:space="preserve">受委托方（乙方）： </w:t>
      </w:r>
      <w:r>
        <w:rPr>
          <w:rFonts w:hint="eastAsia" w:ascii="宋体" w:hAnsi="宋体" w:cs="宋体"/>
          <w:position w:val="3"/>
          <w:sz w:val="22"/>
          <w:u w:val="single"/>
        </w:rPr>
        <w:t xml:space="preserve">            </w:t>
      </w:r>
      <w:r>
        <w:rPr>
          <w:rFonts w:hint="eastAsia" w:ascii="宋体" w:hAnsi="宋体" w:cs="宋体"/>
          <w:spacing w:val="-110"/>
          <w:position w:val="3"/>
          <w:sz w:val="22"/>
        </w:rPr>
        <w:t xml:space="preserve"> </w:t>
      </w:r>
      <w:r/>
    </w:p>
    <w:p>
      <w:pPr>
        <w:spacing w:line="360" w:lineRule="auto"/>
        <w:widowControl/>
        <w:rPr>
          <w:rFonts w:ascii="宋体" w:hAnsi="宋体" w:cs="宋体"/>
          <w:spacing w:val="5"/>
          <w:position w:val="-1"/>
          <w:sz w:val="22"/>
        </w:rPr>
      </w:pPr>
      <w:r>
        <w:rPr>
          <w:rFonts w:hint="eastAsia" w:ascii="宋体" w:hAnsi="宋体" w:cs="宋体"/>
          <w:position w:val="-1"/>
          <w:sz w:val="22"/>
        </w:rPr>
        <w:t xml:space="preserve">统一社会信用代码：</w:t>
      </w:r>
      <w:r>
        <w:rPr>
          <w:rFonts w:hint="eastAsia" w:ascii="宋体" w:hAnsi="宋体" w:cs="宋体"/>
          <w:spacing w:val="-41"/>
          <w:position w:val="-1"/>
          <w:sz w:val="22"/>
        </w:rPr>
        <w:t xml:space="preserve"> </w:t>
      </w:r>
      <w:r>
        <w:rPr>
          <w:rFonts w:hint="eastAsia" w:ascii="宋体" w:hAnsi="宋体" w:cs="宋体"/>
          <w:spacing w:val="5"/>
          <w:position w:val="-1"/>
          <w:sz w:val="22"/>
          <w:u w:val="single"/>
        </w:rPr>
        <w:t xml:space="preserve">       </w:t>
      </w:r>
      <w:r>
        <w:rPr>
          <w:rFonts w:hint="eastAsia" w:ascii="宋体" w:hAnsi="宋体" w:cs="宋体"/>
          <w:spacing w:val="5"/>
          <w:position w:val="-1"/>
          <w:sz w:val="22"/>
        </w:rPr>
        <w:t xml:space="preserve"> </w:t>
      </w:r>
      <w:r/>
    </w:p>
    <w:p>
      <w:pPr>
        <w:spacing w:line="360" w:lineRule="auto"/>
        <w:widowControl/>
        <w:rPr>
          <w:rFonts w:ascii="宋体" w:hAnsi="宋体" w:cs="宋体"/>
          <w:sz w:val="22"/>
        </w:rPr>
      </w:pPr>
      <w:r>
        <w:rPr>
          <w:rFonts w:hint="eastAsia" w:ascii="宋体" w:hAnsi="宋体" w:cs="宋体"/>
          <w:sz w:val="22"/>
        </w:rPr>
        <w:t xml:space="preserve">通讯地址：</w:t>
      </w:r>
      <w:r>
        <w:rPr>
          <w:rFonts w:hint="eastAsia" w:ascii="宋体" w:hAnsi="宋体" w:cs="宋体"/>
          <w:spacing w:val="-30"/>
          <w:sz w:val="22"/>
        </w:rPr>
        <w:t xml:space="preserve"> </w:t>
      </w:r>
      <w:r>
        <w:rPr>
          <w:rFonts w:hint="eastAsia" w:ascii="宋体" w:hAnsi="宋体" w:cs="宋体"/>
          <w:sz w:val="22"/>
          <w:u w:val="single"/>
        </w:rPr>
        <w:t xml:space="preserve">                         </w:t>
      </w:r>
      <w:r/>
    </w:p>
    <w:p>
      <w:pPr>
        <w:pStyle w:val="692"/>
        <w:ind w:left="0"/>
        <w:spacing w:line="360" w:lineRule="auto"/>
        <w:widowControl/>
        <w:rPr>
          <w:rFonts w:cs="宋体"/>
          <w:sz w:val="22"/>
        </w:rPr>
      </w:pPr>
      <w:r>
        <w:rPr>
          <w:rFonts w:cs="宋体"/>
          <w:sz w:val="22"/>
        </w:rPr>
      </w:r>
      <w:r/>
    </w:p>
    <w:p>
      <w:pPr>
        <w:ind w:firstLine="332"/>
        <w:spacing w:line="360" w:lineRule="auto"/>
        <w:widowControl/>
        <w:rPr>
          <w:rFonts w:ascii="宋体" w:hAnsi="宋体" w:cs="宋体"/>
          <w:sz w:val="22"/>
        </w:rPr>
      </w:pPr>
      <w:r>
        <w:rPr>
          <w:rFonts w:hint="eastAsia" w:ascii="宋体" w:hAnsi="宋体" w:cs="宋体"/>
          <w:spacing w:val="-27"/>
          <w:position w:val="1"/>
          <w:sz w:val="22"/>
        </w:rPr>
        <w:t xml:space="preserve">鉴于乙方具备提供</w:t>
      </w:r>
      <w:r>
        <w:rPr>
          <w:rFonts w:hint="eastAsia" w:ascii="宋体" w:hAnsi="宋体" w:cs="宋体"/>
          <w:spacing w:val="17"/>
          <w:position w:val="1"/>
          <w:sz w:val="22"/>
        </w:rPr>
        <w:t xml:space="preserve"> EB病毒DNA等</w:t>
      </w:r>
      <w:r>
        <w:rPr>
          <w:rFonts w:hint="eastAsia" w:ascii="宋体" w:hAnsi="宋体" w:cs="宋体"/>
          <w:spacing w:val="-27"/>
          <w:sz w:val="22"/>
        </w:rPr>
        <w:t xml:space="preserve">检测技术服务的资格、技术条件和能力，</w:t>
      </w:r>
      <w:r>
        <w:rPr>
          <w:rFonts w:hint="eastAsia" w:ascii="宋体" w:hAnsi="宋体" w:cs="宋体"/>
          <w:spacing w:val="4"/>
          <w:sz w:val="22"/>
        </w:rPr>
        <w:t xml:space="preserve"> </w:t>
      </w:r>
      <w:r>
        <w:rPr>
          <w:rFonts w:hint="eastAsia" w:ascii="宋体" w:hAnsi="宋体" w:cs="宋体"/>
          <w:spacing w:val="-25"/>
          <w:sz w:val="22"/>
        </w:rPr>
        <w:t xml:space="preserve">甲、乙双方经友好协商，在真实、充分地表</w:t>
      </w:r>
      <w:r>
        <w:rPr>
          <w:rFonts w:hint="eastAsia" w:ascii="宋体" w:hAnsi="宋体" w:cs="宋体"/>
          <w:spacing w:val="-26"/>
          <w:sz w:val="22"/>
        </w:rPr>
        <w:t xml:space="preserve">达各自意愿的基础上，就乙方</w:t>
      </w:r>
      <w:r>
        <w:rPr>
          <w:rFonts w:hint="eastAsia" w:ascii="宋体" w:hAnsi="宋体" w:cs="宋体"/>
          <w:sz w:val="22"/>
        </w:rPr>
        <w:t xml:space="preserve">  </w:t>
      </w:r>
      <w:r>
        <w:rPr>
          <w:rFonts w:hint="eastAsia" w:ascii="宋体" w:hAnsi="宋体" w:cs="宋体"/>
          <w:spacing w:val="-14"/>
          <w:sz w:val="22"/>
        </w:rPr>
        <w:t xml:space="preserve">为甲方提供检测服务等相关事宜达成一致，以资共同遵守。</w:t>
      </w:r>
      <w:r/>
    </w:p>
    <w:p>
      <w:pPr>
        <w:ind w:firstLine="358"/>
        <w:spacing w:line="360" w:lineRule="auto"/>
        <w:widowControl/>
        <w:rPr>
          <w:rFonts w:ascii="宋体" w:hAnsi="宋体" w:cs="宋体"/>
          <w:sz w:val="22"/>
        </w:rPr>
        <w:outlineLvl w:val="0"/>
      </w:pPr>
      <w:r>
        <w:rPr>
          <w:rFonts w:hint="eastAsia" w:ascii="宋体" w:hAnsi="宋体" w:cs="宋体"/>
          <w:b/>
          <w:bCs/>
          <w:spacing w:val="-21"/>
          <w:sz w:val="22"/>
        </w:rPr>
        <w:t xml:space="preserve">一、委托内容</w:t>
      </w:r>
      <w:r/>
    </w:p>
    <w:p>
      <w:pPr>
        <w:ind w:firstLine="440"/>
        <w:spacing w:line="360" w:lineRule="auto"/>
        <w:widowControl/>
        <w:rPr>
          <w:rFonts w:ascii="宋体" w:hAnsi="宋体" w:cs="宋体"/>
          <w:sz w:val="22"/>
        </w:rPr>
      </w:pPr>
      <w:r>
        <w:rPr>
          <w:rFonts w:hint="eastAsia" w:ascii="宋体" w:hAnsi="宋体" w:cs="宋体"/>
          <w:sz w:val="22"/>
        </w:rPr>
        <w:t xml:space="preserve">甲、乙双方经友好协商，乙方向甲方提供以</w:t>
      </w:r>
      <w:r>
        <w:rPr>
          <w:rFonts w:hint="eastAsia" w:ascii="宋体" w:hAnsi="宋体" w:cs="宋体"/>
          <w:spacing w:val="-1"/>
          <w:sz w:val="22"/>
        </w:rPr>
        <w:t xml:space="preserve">下检测服务：</w:t>
      </w:r>
      <w:r/>
    </w:p>
    <w:tbl>
      <w:tblPr>
        <w:tblStyle w:val="1106"/>
        <w:tblW w:w="8841"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624"/>
      </w:tblGrid>
      <w:tr>
        <w:trPr>
          <w:trHeight w:val="373"/>
        </w:trPr>
        <w:tc>
          <w:tcPr>
            <w:tcW w:w="2072" w:type="dxa"/>
            <w:textDirection w:val="lrTb"/>
            <w:noWrap w:val="false"/>
          </w:tcPr>
          <w:p>
            <w:pPr>
              <w:jc w:val="center"/>
              <w:spacing w:line="360" w:lineRule="auto"/>
              <w:widowControl/>
              <w:rPr>
                <w:rFonts w:ascii="宋体" w:hAnsi="宋体" w:cs="宋体"/>
                <w:sz w:val="22"/>
              </w:rPr>
            </w:pPr>
            <w:r>
              <w:rPr>
                <w:rFonts w:hint="eastAsia" w:ascii="宋体" w:hAnsi="宋体" w:cs="宋体"/>
                <w:spacing w:val="13"/>
                <w:sz w:val="22"/>
              </w:rPr>
              <w:t xml:space="preserve">检测项目</w:t>
            </w:r>
            <w:r/>
          </w:p>
        </w:tc>
        <w:tc>
          <w:tcPr>
            <w:tcW w:w="2077" w:type="dxa"/>
            <w:textDirection w:val="lrTb"/>
            <w:noWrap w:val="false"/>
          </w:tcPr>
          <w:p>
            <w:pPr>
              <w:jc w:val="center"/>
              <w:spacing w:line="360" w:lineRule="auto"/>
              <w:widowControl/>
              <w:rPr>
                <w:rFonts w:ascii="宋体" w:hAnsi="宋体" w:cs="宋体"/>
                <w:sz w:val="22"/>
              </w:rPr>
            </w:pPr>
            <w:r>
              <w:rPr>
                <w:rFonts w:hint="eastAsia" w:ascii="宋体" w:hAnsi="宋体" w:cs="宋体"/>
                <w:spacing w:val="3"/>
                <w:sz w:val="22"/>
              </w:rPr>
              <w:t xml:space="preserve">收费标准</w:t>
            </w:r>
            <w:r/>
          </w:p>
        </w:tc>
        <w:tc>
          <w:tcPr>
            <w:tcW w:w="2068" w:type="dxa"/>
            <w:textDirection w:val="lrTb"/>
            <w:noWrap w:val="false"/>
          </w:tcPr>
          <w:p>
            <w:pPr>
              <w:jc w:val="center"/>
              <w:spacing w:line="360" w:lineRule="auto"/>
              <w:widowControl/>
              <w:rPr>
                <w:rFonts w:ascii="宋体" w:hAnsi="宋体" w:cs="宋体"/>
                <w:sz w:val="22"/>
              </w:rPr>
            </w:pPr>
            <w:r>
              <w:rPr>
                <w:rFonts w:hint="eastAsia" w:ascii="宋体" w:hAnsi="宋体" w:cs="宋体"/>
                <w:spacing w:val="3"/>
                <w:sz w:val="22"/>
              </w:rPr>
              <w:t xml:space="preserve">结算价格</w:t>
            </w:r>
            <w:r/>
          </w:p>
        </w:tc>
        <w:tc>
          <w:tcPr>
            <w:tcW w:w="2624" w:type="dxa"/>
            <w:textDirection w:val="lrTb"/>
            <w:noWrap w:val="false"/>
          </w:tcPr>
          <w:p>
            <w:pPr>
              <w:jc w:val="center"/>
              <w:spacing w:line="360" w:lineRule="auto"/>
              <w:widowControl/>
              <w:rPr>
                <w:rFonts w:ascii="宋体" w:hAnsi="宋体" w:cs="宋体"/>
                <w:sz w:val="22"/>
              </w:rPr>
            </w:pPr>
            <w:r>
              <w:rPr>
                <w:rFonts w:hint="eastAsia" w:ascii="宋体" w:hAnsi="宋体" w:cs="宋体"/>
                <w:spacing w:val="4"/>
                <w:sz w:val="22"/>
              </w:rPr>
              <w:t xml:space="preserve">检测周期</w:t>
            </w:r>
            <w:r/>
          </w:p>
        </w:tc>
      </w:tr>
      <w:tr>
        <w:trPr>
          <w:trHeight w:val="357"/>
        </w:trPr>
        <w:tc>
          <w:tcPr>
            <w:tcW w:w="2072"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077"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068"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624"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357"/>
        </w:trPr>
        <w:tc>
          <w:tcPr>
            <w:tcW w:w="2072"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077"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068"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624"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353"/>
        </w:trPr>
        <w:tc>
          <w:tcPr>
            <w:tcW w:w="2072"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077"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068"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624" w:type="dxa"/>
            <w:textDirection w:val="lrTb"/>
            <w:noWrap w:val="false"/>
          </w:tcPr>
          <w:p>
            <w:pPr>
              <w:jc w:val="center"/>
              <w:spacing w:line="360" w:lineRule="auto"/>
              <w:widowControl/>
              <w:rPr>
                <w:rFonts w:ascii="宋体" w:hAnsi="宋体" w:cs="宋体"/>
                <w:sz w:val="22"/>
              </w:rPr>
            </w:pPr>
            <w:r>
              <w:rPr>
                <w:rFonts w:ascii="宋体" w:hAnsi="宋体" w:cs="宋体"/>
                <w:sz w:val="22"/>
              </w:rPr>
            </w:r>
            <w:r/>
          </w:p>
        </w:tc>
      </w:tr>
    </w:tbl>
    <w:p>
      <w:pPr>
        <w:ind w:firstLine="432"/>
        <w:spacing w:line="560" w:lineRule="exact"/>
        <w:widowControl/>
        <w:rPr>
          <w:rFonts w:ascii="宋体" w:hAnsi="宋体" w:cs="宋体"/>
          <w:sz w:val="22"/>
        </w:rPr>
      </w:pPr>
      <w:r>
        <w:rPr>
          <w:rFonts w:hint="eastAsia" w:ascii="宋体" w:hAnsi="宋体" w:cs="宋体"/>
          <w:spacing w:val="-2"/>
          <w:sz w:val="22"/>
        </w:rPr>
        <w:t xml:space="preserve">说明：</w:t>
      </w:r>
      <w:r/>
    </w:p>
    <w:p>
      <w:pPr>
        <w:ind w:firstLine="360"/>
        <w:spacing w:line="560" w:lineRule="exact"/>
        <w:widowControl/>
        <w:rPr>
          <w:rFonts w:ascii="宋体" w:hAnsi="宋体" w:cs="宋体"/>
          <w:sz w:val="22"/>
        </w:rPr>
      </w:pPr>
      <w:r>
        <w:rPr>
          <w:rFonts w:hint="eastAsia" w:ascii="宋体" w:hAnsi="宋体" w:cs="宋体"/>
          <w:spacing w:val="-20"/>
          <w:sz w:val="22"/>
        </w:rPr>
        <w:t xml:space="preserve">1、检测周期是自乙方接收到合格样本至出具检测报告的时间。</w:t>
      </w:r>
      <w:r/>
    </w:p>
    <w:p>
      <w:pPr>
        <w:ind w:firstLine="360"/>
        <w:spacing w:line="560" w:lineRule="exact"/>
        <w:widowControl/>
        <w:rPr>
          <w:rFonts w:ascii="宋体" w:hAnsi="宋体" w:cs="宋体"/>
          <w:spacing w:val="-20"/>
          <w:sz w:val="22"/>
        </w:rPr>
      </w:pPr>
      <w:r>
        <w:rPr>
          <w:rFonts w:hint="eastAsia" w:ascii="宋体" w:hAnsi="宋体" w:cs="宋体"/>
          <w:spacing w:val="-20"/>
          <w:sz w:val="22"/>
        </w:rPr>
        <w:t xml:space="preserve">2、在合同期内如遇到政策性收费价格下调，结算价格等比例下调。</w:t>
      </w:r>
      <w:r/>
    </w:p>
    <w:p>
      <w:pPr>
        <w:ind w:firstLine="360"/>
        <w:spacing w:line="560" w:lineRule="exact"/>
        <w:widowControl/>
        <w:rPr>
          <w:rFonts w:ascii="宋体" w:hAnsi="宋体" w:cs="宋体"/>
          <w:spacing w:val="-20"/>
          <w:sz w:val="22"/>
        </w:rPr>
      </w:pPr>
      <w:r>
        <w:rPr>
          <w:rFonts w:hint="eastAsia" w:ascii="宋体" w:hAnsi="宋体" w:cs="宋体"/>
          <w:spacing w:val="-20"/>
          <w:sz w:val="22"/>
        </w:rPr>
        <w:t xml:space="preserve">3、协议期内甲方如有乙方提供的项目手册内的其他项目新增需求，结算价按收费价的</w:t>
      </w:r>
      <w:r>
        <w:rPr>
          <w:rFonts w:hint="eastAsia" w:ascii="宋体" w:hAnsi="宋体" w:cs="宋体"/>
          <w:spacing w:val="-20"/>
          <w:sz w:val="22"/>
          <w:u w:val="single"/>
        </w:rPr>
        <w:t xml:space="preserve">     </w:t>
      </w:r>
      <w:r>
        <w:rPr>
          <w:rFonts w:hint="eastAsia" w:ascii="宋体" w:hAnsi="宋体" w:cs="宋体"/>
          <w:spacing w:val="-20"/>
          <w:sz w:val="22"/>
        </w:rPr>
        <w:t xml:space="preserve">结算。</w:t>
      </w:r>
      <w:r/>
    </w:p>
    <w:p>
      <w:pPr>
        <w:ind w:firstLine="342"/>
        <w:spacing w:line="560" w:lineRule="exact"/>
        <w:widowControl/>
        <w:rPr>
          <w:rFonts w:ascii="宋体" w:hAnsi="宋体" w:cs="宋体"/>
          <w:sz w:val="22"/>
        </w:rPr>
        <w:outlineLvl w:val="0"/>
      </w:pPr>
      <w:r>
        <w:rPr>
          <w:rFonts w:hint="eastAsia" w:ascii="宋体" w:hAnsi="宋体" w:cs="宋体"/>
          <w:b/>
          <w:bCs/>
          <w:spacing w:val="-25"/>
          <w:sz w:val="22"/>
        </w:rPr>
        <w:t xml:space="preserve">二、双方权利与义务</w:t>
      </w:r>
      <w:r/>
    </w:p>
    <w:p>
      <w:pPr>
        <w:ind w:firstLine="434"/>
        <w:spacing w:line="560" w:lineRule="exact"/>
        <w:widowControl/>
        <w:rPr>
          <w:rFonts w:ascii="宋体" w:hAnsi="宋体" w:cs="宋体"/>
          <w:sz w:val="22"/>
        </w:rPr>
        <w:outlineLvl w:val="0"/>
      </w:pPr>
      <w:r>
        <w:rPr>
          <w:rFonts w:hint="eastAsia" w:ascii="宋体" w:hAnsi="宋体" w:cs="宋体"/>
          <w:b/>
          <w:bCs/>
          <w:spacing w:val="-2"/>
          <w:sz w:val="22"/>
        </w:rPr>
        <w:t xml:space="preserve">(一)甲方权利和义务</w:t>
      </w:r>
      <w:r/>
    </w:p>
    <w:p>
      <w:pPr>
        <w:ind w:firstLine="348"/>
        <w:spacing w:line="560" w:lineRule="exact"/>
        <w:widowControl/>
        <w:rPr>
          <w:rFonts w:ascii="宋体" w:hAnsi="宋体" w:cs="宋体"/>
          <w:sz w:val="22"/>
        </w:rPr>
      </w:pPr>
      <w:r>
        <w:rPr>
          <w:rFonts w:hint="eastAsia" w:ascii="宋体" w:hAnsi="宋体" w:cs="宋体"/>
          <w:spacing w:val="-23"/>
          <w:sz w:val="22"/>
        </w:rPr>
        <w:t xml:space="preserve">1.受检者咨询：甲方负责告知受检者及家属关于检测</w:t>
      </w:r>
      <w:r>
        <w:rPr>
          <w:rFonts w:hint="eastAsia" w:ascii="宋体" w:hAnsi="宋体" w:cs="宋体"/>
          <w:spacing w:val="-24"/>
          <w:sz w:val="22"/>
        </w:rPr>
        <w:t xml:space="preserve">项目的相关必要</w:t>
      </w:r>
      <w:r>
        <w:rPr>
          <w:rFonts w:hint="eastAsia" w:ascii="宋体" w:hAnsi="宋体" w:cs="宋体"/>
          <w:sz w:val="22"/>
        </w:rPr>
        <w:t xml:space="preserve"> </w:t>
      </w:r>
      <w:r>
        <w:rPr>
          <w:rFonts w:hint="eastAsia" w:ascii="宋体" w:hAnsi="宋体" w:cs="宋体"/>
          <w:spacing w:val="-24"/>
          <w:sz w:val="22"/>
        </w:rPr>
        <w:t xml:space="preserve">信息及各种检测技术的局限性，并对受检者给予咨询解答工作，安排和指</w:t>
      </w:r>
      <w:r>
        <w:rPr>
          <w:rFonts w:hint="eastAsia" w:ascii="宋体" w:hAnsi="宋体" w:cs="宋体"/>
          <w:spacing w:val="-22"/>
          <w:sz w:val="22"/>
        </w:rPr>
        <w:t xml:space="preserve">导受检者在接受检测前签署相关的知情同意书。</w:t>
      </w:r>
      <w:r/>
    </w:p>
    <w:p>
      <w:pPr>
        <w:ind w:firstLine="348"/>
        <w:spacing w:line="560" w:lineRule="exact"/>
        <w:widowControl/>
        <w:rPr>
          <w:rFonts w:ascii="宋体" w:hAnsi="宋体" w:cs="宋体"/>
          <w:sz w:val="22"/>
        </w:rPr>
      </w:pPr>
      <w:r>
        <w:rPr>
          <w:rFonts w:hint="eastAsia" w:ascii="宋体" w:hAnsi="宋体" w:cs="宋体"/>
          <w:spacing w:val="-23"/>
          <w:sz w:val="22"/>
        </w:rPr>
        <w:t xml:space="preserve">2.样本采集和前期处理：甲方负责样本采集并保证样本的合法性、合</w:t>
      </w:r>
      <w:r>
        <w:rPr>
          <w:rFonts w:hint="eastAsia" w:ascii="宋体" w:hAnsi="宋体" w:cs="宋体"/>
          <w:spacing w:val="-24"/>
          <w:sz w:val="22"/>
        </w:rPr>
        <w:t xml:space="preserve">格性。甲方应当在约定的检测项目要求的规定时间内，按照规定的方式对</w:t>
      </w:r>
      <w:r>
        <w:rPr>
          <w:rFonts w:hint="eastAsia" w:ascii="宋体" w:hAnsi="宋体" w:cs="宋体"/>
          <w:spacing w:val="6"/>
          <w:sz w:val="22"/>
        </w:rPr>
        <w:t xml:space="preserve"> </w:t>
      </w:r>
      <w:r>
        <w:rPr>
          <w:rFonts w:hint="eastAsia" w:ascii="宋体" w:hAnsi="宋体" w:cs="宋体"/>
          <w:spacing w:val="-21"/>
          <w:sz w:val="22"/>
        </w:rPr>
        <w:t xml:space="preserve">其所采集的标本进行符合规范的前期处理和存储。</w:t>
      </w:r>
      <w:r/>
    </w:p>
    <w:p>
      <w:pPr>
        <w:ind w:firstLine="348"/>
        <w:spacing w:line="560" w:lineRule="exact"/>
        <w:widowControl/>
        <w:rPr>
          <w:rFonts w:ascii="宋体" w:hAnsi="宋体" w:cs="宋体"/>
          <w:sz w:val="22"/>
        </w:rPr>
      </w:pPr>
      <w:r>
        <w:rPr>
          <w:rFonts w:hint="eastAsia" w:ascii="宋体" w:hAnsi="宋体" w:cs="宋体"/>
          <w:spacing w:val="-23"/>
          <w:sz w:val="22"/>
        </w:rPr>
        <w:t xml:space="preserve">3.样本递送：甲方负责向乙方提供样本及每份样本的检测申请单、知</w:t>
      </w:r>
      <w:r>
        <w:rPr>
          <w:rFonts w:hint="eastAsia" w:ascii="宋体" w:hAnsi="宋体" w:cs="宋体"/>
          <w:spacing w:val="-24"/>
          <w:sz w:val="22"/>
        </w:rPr>
        <w:t xml:space="preserve">情同意书（收费价在1000元以上的项目需提供），并确保样本、申请单、知情同意书中受检者信息一致，受检者</w:t>
      </w:r>
      <w:r>
        <w:rPr>
          <w:rFonts w:hint="eastAsia" w:ascii="宋体" w:hAnsi="宋体" w:cs="宋体"/>
          <w:spacing w:val="-15"/>
          <w:sz w:val="22"/>
        </w:rPr>
        <w:t xml:space="preserve">和送检医生均需签字。甲方根据双方约定的方式将</w:t>
      </w:r>
      <w:r>
        <w:rPr>
          <w:rFonts w:hint="eastAsia" w:ascii="宋体" w:hAnsi="宋体" w:cs="宋体"/>
          <w:spacing w:val="-16"/>
          <w:sz w:val="22"/>
        </w:rPr>
        <w:t xml:space="preserve">上述资料和样本递送至</w:t>
      </w:r>
      <w:r>
        <w:rPr>
          <w:rFonts w:hint="eastAsia" w:ascii="宋体" w:hAnsi="宋体" w:cs="宋体"/>
          <w:spacing w:val="-14"/>
          <w:sz w:val="22"/>
        </w:rPr>
        <w:t xml:space="preserve">乙方，同时提供签字确认的交接单。</w:t>
      </w:r>
      <w:r/>
    </w:p>
    <w:p>
      <w:pPr>
        <w:ind w:firstLine="384"/>
        <w:spacing w:line="560" w:lineRule="exact"/>
        <w:widowControl/>
        <w:rPr>
          <w:rFonts w:ascii="宋体" w:hAnsi="宋体" w:cs="宋体"/>
          <w:sz w:val="22"/>
        </w:rPr>
      </w:pPr>
      <w:r>
        <w:rPr>
          <w:rFonts w:hint="eastAsia" w:ascii="宋体" w:hAnsi="宋体" w:cs="宋体"/>
          <w:spacing w:val="-14"/>
          <w:sz w:val="22"/>
        </w:rPr>
        <w:t xml:space="preserve">4.报告接收与发放：甲方应及时接收乙方所发放的检测报告单，根据</w:t>
      </w:r>
      <w:r>
        <w:rPr>
          <w:rFonts w:hint="eastAsia" w:ascii="宋体" w:hAnsi="宋体" w:cs="宋体"/>
          <w:spacing w:val="11"/>
          <w:sz w:val="22"/>
        </w:rPr>
        <w:t xml:space="preserve"> </w:t>
      </w:r>
      <w:r>
        <w:rPr>
          <w:rFonts w:hint="eastAsia" w:ascii="宋体" w:hAnsi="宋体" w:cs="宋体"/>
          <w:spacing w:val="-12"/>
          <w:sz w:val="22"/>
        </w:rPr>
        <w:t xml:space="preserve">检测结果及解释向受检者提供合理的医学建议。</w:t>
      </w:r>
      <w:r/>
    </w:p>
    <w:p>
      <w:pPr>
        <w:ind w:firstLine="384"/>
        <w:spacing w:line="560" w:lineRule="exact"/>
        <w:widowControl/>
        <w:rPr>
          <w:rFonts w:ascii="宋体" w:hAnsi="宋体" w:cs="宋体"/>
          <w:sz w:val="22"/>
        </w:rPr>
      </w:pPr>
      <w:r>
        <w:rPr>
          <w:rFonts w:hint="eastAsia" w:ascii="宋体" w:hAnsi="宋体" w:cs="宋体"/>
          <w:spacing w:val="-14"/>
          <w:sz w:val="22"/>
        </w:rPr>
        <w:t xml:space="preserve">5.样本重采：由于受检者个体差异及不可控因素</w:t>
      </w:r>
      <w:r>
        <w:rPr>
          <w:rFonts w:hint="eastAsia" w:ascii="宋体" w:hAnsi="宋体" w:cs="宋体"/>
          <w:spacing w:val="-15"/>
          <w:sz w:val="22"/>
        </w:rPr>
        <w:t xml:space="preserve">导致样本不符合检测要求需要重新采样的，甲方需根据乙方的反馈信息及时与受检者沟通并安</w:t>
      </w:r>
      <w:r>
        <w:rPr>
          <w:rFonts w:hint="eastAsia" w:ascii="宋体" w:hAnsi="宋体" w:cs="宋体"/>
          <w:spacing w:val="17"/>
          <w:sz w:val="22"/>
        </w:rPr>
        <w:t xml:space="preserve"> </w:t>
      </w:r>
      <w:r>
        <w:rPr>
          <w:rFonts w:hint="eastAsia" w:ascii="宋体" w:hAnsi="宋体" w:cs="宋体"/>
          <w:spacing w:val="-12"/>
          <w:sz w:val="22"/>
        </w:rPr>
        <w:t xml:space="preserve">排重新采样，重新采样检测不收取费用。</w:t>
      </w:r>
      <w:r/>
    </w:p>
    <w:p>
      <w:pPr>
        <w:ind w:firstLine="404"/>
        <w:spacing w:line="560" w:lineRule="exact"/>
        <w:widowControl/>
        <w:rPr>
          <w:rFonts w:ascii="宋体" w:hAnsi="宋体" w:cs="宋体"/>
          <w:sz w:val="22"/>
        </w:rPr>
      </w:pPr>
      <w:r>
        <w:rPr>
          <w:rFonts w:hint="eastAsia" w:ascii="宋体" w:hAnsi="宋体" w:cs="宋体"/>
          <w:spacing w:val="-9"/>
          <w:sz w:val="22"/>
        </w:rPr>
        <w:t xml:space="preserve">6.检测收费：甲方每</w:t>
      </w:r>
      <w:r>
        <w:rPr>
          <w:rFonts w:hint="eastAsia" w:ascii="宋体" w:hAnsi="宋体" w:cs="宋体"/>
          <w:spacing w:val="-115"/>
          <w:sz w:val="22"/>
        </w:rPr>
        <w:t xml:space="preserve"> </w:t>
      </w:r>
      <w:r>
        <w:rPr>
          <w:rFonts w:hint="eastAsia" w:ascii="宋体" w:hAnsi="宋体" w:cs="宋体"/>
          <w:spacing w:val="15"/>
          <w:sz w:val="22"/>
          <w:u w:val="single"/>
        </w:rPr>
        <w:t xml:space="preserve">  月 </w:t>
      </w:r>
      <w:r>
        <w:rPr>
          <w:rFonts w:hint="eastAsia" w:ascii="宋体" w:hAnsi="宋体" w:cs="宋体"/>
          <w:spacing w:val="-45"/>
          <w:sz w:val="22"/>
        </w:rPr>
        <w:t xml:space="preserve"> </w:t>
      </w:r>
      <w:r>
        <w:rPr>
          <w:rFonts w:hint="eastAsia" w:ascii="宋体" w:hAnsi="宋体" w:cs="宋体"/>
          <w:spacing w:val="-9"/>
          <w:sz w:val="22"/>
        </w:rPr>
        <w:t xml:space="preserve">(定期)统计一次，并及时和乙方提供</w:t>
      </w:r>
      <w:r>
        <w:rPr>
          <w:rFonts w:hint="eastAsia" w:ascii="宋体" w:hAnsi="宋体" w:cs="宋体"/>
          <w:spacing w:val="-13"/>
          <w:sz w:val="22"/>
        </w:rPr>
        <w:t xml:space="preserve">的对账单核对，准时结算检测费用。</w:t>
      </w:r>
      <w:r/>
    </w:p>
    <w:p>
      <w:pPr>
        <w:ind w:firstLine="396"/>
        <w:spacing w:line="560" w:lineRule="exact"/>
        <w:widowControl/>
        <w:rPr>
          <w:rFonts w:ascii="宋体" w:hAnsi="宋体" w:cs="宋体"/>
          <w:sz w:val="22"/>
        </w:rPr>
      </w:pPr>
      <w:r>
        <w:rPr>
          <w:rFonts w:hint="eastAsia" w:ascii="宋体" w:hAnsi="宋体" w:cs="宋体"/>
          <w:spacing w:val="-11"/>
          <w:sz w:val="22"/>
        </w:rPr>
        <w:t xml:space="preserve">7.甲方对乙方有监管权利，对乙方实验室以及提供的检测服务内容、</w:t>
      </w:r>
      <w:r>
        <w:rPr>
          <w:rFonts w:hint="eastAsia" w:ascii="宋体" w:hAnsi="宋体" w:cs="宋体"/>
          <w:spacing w:val="15"/>
          <w:sz w:val="22"/>
        </w:rPr>
        <w:t xml:space="preserve"> </w:t>
      </w:r>
      <w:r>
        <w:rPr>
          <w:rFonts w:hint="eastAsia" w:ascii="宋体" w:hAnsi="宋体" w:cs="宋体"/>
          <w:spacing w:val="-11"/>
          <w:sz w:val="22"/>
        </w:rPr>
        <w:t xml:space="preserve">质量进行定期或不定期质控监督。</w:t>
      </w:r>
      <w:r/>
    </w:p>
    <w:p>
      <w:pPr>
        <w:ind w:firstLine="356"/>
        <w:spacing w:line="560" w:lineRule="exact"/>
        <w:widowControl/>
        <w:rPr>
          <w:rFonts w:ascii="宋体" w:hAnsi="宋体" w:cs="宋体"/>
          <w:spacing w:val="-11"/>
          <w:sz w:val="22"/>
        </w:rPr>
      </w:pPr>
      <w:r>
        <w:rPr>
          <w:rFonts w:hint="eastAsia" w:ascii="宋体" w:hAnsi="宋体" w:cs="宋体"/>
          <w:spacing w:val="-21"/>
          <w:sz w:val="22"/>
        </w:rPr>
        <w:t xml:space="preserve">8</w:t>
      </w:r>
      <w:r>
        <w:rPr>
          <w:rFonts w:hint="eastAsia" w:ascii="宋体" w:hAnsi="宋体" w:cs="宋体"/>
          <w:spacing w:val="-11"/>
          <w:sz w:val="22"/>
        </w:rPr>
        <w:t xml:space="preserve">.甲方可根据临床诊疗需求，向乙方提出本协议附件所列项目之外的新增检测项目需求(限乙方项目手册内已有的项目且乙方具备合法检测资质且能独立开展项目），新增检测项目适用本合同全部条款。</w:t>
      </w:r>
      <w:r/>
    </w:p>
    <w:p>
      <w:pPr>
        <w:ind w:firstLine="396"/>
        <w:spacing w:line="560" w:lineRule="exact"/>
        <w:widowControl/>
        <w:rPr>
          <w:rFonts w:ascii="宋体" w:hAnsi="宋体" w:cs="宋体"/>
          <w:spacing w:val="-11"/>
          <w:sz w:val="22"/>
        </w:rPr>
      </w:pPr>
      <w:r>
        <w:rPr>
          <w:rFonts w:hint="eastAsia" w:ascii="宋体" w:hAnsi="宋体" w:cs="宋体"/>
          <w:spacing w:val="-11"/>
          <w:sz w:val="22"/>
        </w:rPr>
        <w:t xml:space="preserve">9.甲方有权约定检验项目危急值项目及其他需即时报告的异常结果（如特殊传染病等）范围。</w:t>
      </w:r>
      <w:r/>
    </w:p>
    <w:p>
      <w:pPr>
        <w:ind w:firstLine="350"/>
        <w:spacing w:line="560" w:lineRule="exact"/>
        <w:widowControl/>
        <w:rPr>
          <w:rFonts w:ascii="宋体" w:hAnsi="宋体" w:cs="宋体"/>
          <w:sz w:val="22"/>
        </w:rPr>
        <w:outlineLvl w:val="0"/>
      </w:pPr>
      <w:r>
        <w:rPr>
          <w:rFonts w:hint="eastAsia" w:ascii="宋体" w:hAnsi="宋体" w:cs="宋体"/>
          <w:b/>
          <w:bCs/>
          <w:spacing w:val="-23"/>
          <w:sz w:val="22"/>
        </w:rPr>
        <w:t xml:space="preserve">(</w:t>
      </w:r>
      <w:r>
        <w:rPr>
          <w:rFonts w:hint="eastAsia" w:ascii="宋体" w:hAnsi="宋体" w:cs="宋体"/>
          <w:spacing w:val="-50"/>
          <w:sz w:val="22"/>
        </w:rPr>
        <w:t xml:space="preserve"> </w:t>
      </w:r>
      <w:r>
        <w:rPr>
          <w:rFonts w:hint="eastAsia" w:ascii="宋体" w:hAnsi="宋体" w:cs="宋体"/>
          <w:b/>
          <w:bCs/>
          <w:spacing w:val="-23"/>
          <w:sz w:val="22"/>
        </w:rPr>
        <w:t xml:space="preserve">二</w:t>
      </w:r>
      <w:r>
        <w:rPr>
          <w:rFonts w:hint="eastAsia" w:ascii="宋体" w:hAnsi="宋体" w:cs="宋体"/>
          <w:spacing w:val="-62"/>
          <w:sz w:val="22"/>
        </w:rPr>
        <w:t xml:space="preserve"> </w:t>
      </w:r>
      <w:r>
        <w:rPr>
          <w:rFonts w:hint="eastAsia" w:ascii="宋体" w:hAnsi="宋体" w:cs="宋体"/>
          <w:b/>
          <w:bCs/>
          <w:spacing w:val="-23"/>
          <w:sz w:val="22"/>
        </w:rPr>
        <w:t xml:space="preserve">)</w:t>
      </w:r>
      <w:r>
        <w:rPr>
          <w:rFonts w:hint="eastAsia" w:ascii="宋体" w:hAnsi="宋体" w:cs="宋体"/>
          <w:spacing w:val="-23"/>
          <w:sz w:val="22"/>
        </w:rPr>
        <w:t xml:space="preserve"> </w:t>
      </w:r>
      <w:r>
        <w:rPr>
          <w:rFonts w:hint="eastAsia" w:ascii="宋体" w:hAnsi="宋体" w:cs="宋体"/>
          <w:b/>
          <w:bCs/>
          <w:spacing w:val="-23"/>
          <w:sz w:val="22"/>
        </w:rPr>
        <w:t xml:space="preserve">乙方权利和义务</w:t>
      </w:r>
      <w:r/>
    </w:p>
    <w:p>
      <w:pPr>
        <w:ind w:firstLine="376"/>
        <w:spacing w:line="560" w:lineRule="exact"/>
        <w:widowControl/>
        <w:rPr>
          <w:rFonts w:ascii="宋体" w:hAnsi="宋体" w:cs="宋体"/>
          <w:sz w:val="22"/>
        </w:rPr>
      </w:pPr>
      <w:r>
        <w:rPr>
          <w:rFonts w:hint="eastAsia" w:ascii="宋体" w:hAnsi="宋体" w:cs="宋体"/>
          <w:spacing w:val="-16"/>
          <w:sz w:val="22"/>
        </w:rPr>
        <w:t xml:space="preserve">1.临床培训和资料提供：乙方负责提供分析前样本的质量控制等相关</w:t>
      </w:r>
      <w:r>
        <w:rPr>
          <w:rFonts w:hint="eastAsia" w:ascii="宋体" w:hAnsi="宋体" w:cs="宋体"/>
          <w:spacing w:val="-15"/>
          <w:sz w:val="22"/>
        </w:rPr>
        <w:t xml:space="preserve">内容的培训服务。乙方负责提供标本采集、</w:t>
      </w:r>
      <w:r>
        <w:rPr>
          <w:rFonts w:hint="eastAsia" w:ascii="宋体" w:hAnsi="宋体" w:cs="宋体"/>
          <w:spacing w:val="-16"/>
          <w:sz w:val="22"/>
        </w:rPr>
        <w:t xml:space="preserve">运送所需的技术方法、递送所</w:t>
      </w:r>
      <w:r>
        <w:rPr>
          <w:rFonts w:hint="eastAsia" w:ascii="宋体" w:hAnsi="宋体" w:cs="宋体"/>
          <w:spacing w:val="-14"/>
          <w:sz w:val="22"/>
        </w:rPr>
        <w:t xml:space="preserve">需的相应文本和材料。乙方配合甲方提供新增检测项目的收费标准、检测周期、技术参数、样本要求及资质证明文件。</w:t>
      </w:r>
      <w:r/>
    </w:p>
    <w:p>
      <w:pPr>
        <w:ind w:firstLine="380"/>
        <w:spacing w:line="560" w:lineRule="exact"/>
        <w:widowControl/>
        <w:rPr>
          <w:rFonts w:ascii="宋体" w:hAnsi="宋体" w:cs="宋体"/>
          <w:sz w:val="22"/>
        </w:rPr>
      </w:pPr>
      <w:r>
        <w:rPr>
          <w:rFonts w:hint="eastAsia" w:ascii="宋体" w:hAnsi="宋体" w:cs="宋体"/>
          <w:spacing w:val="-15"/>
          <w:sz w:val="22"/>
        </w:rPr>
        <w:t xml:space="preserve">2.样本接收：乙方安排专人负责接收甲方递送的样本，并将签字确认后的交接单交还甲方。乙方接收到样本后核对样本、检测申请单和知情同</w:t>
      </w:r>
      <w:r>
        <w:rPr>
          <w:rFonts w:hint="eastAsia" w:ascii="宋体" w:hAnsi="宋体" w:cs="宋体"/>
          <w:spacing w:val="-16"/>
          <w:sz w:val="22"/>
        </w:rPr>
        <w:t xml:space="preserve">意书信息；若发现信息不一致、样本破损或外观异常、无受检者和送检医</w:t>
      </w:r>
      <w:r>
        <w:rPr>
          <w:rFonts w:hint="eastAsia" w:ascii="宋体" w:hAnsi="宋体" w:cs="宋体"/>
          <w:spacing w:val="-15"/>
          <w:sz w:val="22"/>
        </w:rPr>
        <w:t xml:space="preserve">生签字等现象，则该样本视为不合格样本，乙方</w:t>
      </w:r>
      <w:r>
        <w:rPr>
          <w:rFonts w:hint="eastAsia" w:ascii="宋体" w:hAnsi="宋体" w:cs="宋体"/>
          <w:spacing w:val="-16"/>
          <w:sz w:val="22"/>
        </w:rPr>
        <w:t xml:space="preserve">应及时通知甲方确认送检</w:t>
      </w:r>
      <w:r>
        <w:rPr>
          <w:rFonts w:hint="eastAsia" w:ascii="宋体" w:hAnsi="宋体" w:cs="宋体"/>
          <w:spacing w:val="-14"/>
          <w:sz w:val="22"/>
        </w:rPr>
        <w:t xml:space="preserve">信息或重采样本、补签字等。</w:t>
      </w:r>
      <w:r/>
    </w:p>
    <w:p>
      <w:pPr>
        <w:ind w:firstLine="380"/>
        <w:spacing w:line="560" w:lineRule="exact"/>
        <w:widowControl/>
        <w:rPr>
          <w:rFonts w:ascii="宋体" w:hAnsi="宋体" w:cs="宋体"/>
          <w:sz w:val="22"/>
        </w:rPr>
      </w:pPr>
      <w:r>
        <w:rPr>
          <w:rFonts w:hint="eastAsia" w:ascii="宋体" w:hAnsi="宋体" w:cs="宋体"/>
          <w:spacing w:val="-15"/>
          <w:sz w:val="22"/>
        </w:rPr>
        <w:t xml:space="preserve">3.样本检测：乙方负责在接收到合格的样本、相关知情同意书及临床</w:t>
      </w:r>
      <w:r>
        <w:rPr>
          <w:rFonts w:hint="eastAsia" w:ascii="宋体" w:hAnsi="宋体" w:cs="宋体"/>
          <w:spacing w:val="12"/>
          <w:sz w:val="22"/>
        </w:rPr>
        <w:t xml:space="preserve"> </w:t>
      </w:r>
      <w:r>
        <w:rPr>
          <w:rFonts w:hint="eastAsia" w:ascii="宋体" w:hAnsi="宋体" w:cs="宋体"/>
          <w:spacing w:val="-16"/>
          <w:sz w:val="22"/>
        </w:rPr>
        <w:t xml:space="preserve">申请单后，安排样本的检测。所有经过检测后的剩余样本，均由乙方按相</w:t>
      </w:r>
      <w:r>
        <w:rPr>
          <w:rFonts w:hint="eastAsia" w:ascii="宋体" w:hAnsi="宋体" w:cs="宋体"/>
          <w:spacing w:val="-12"/>
          <w:sz w:val="22"/>
        </w:rPr>
        <w:t xml:space="preserve">关法规负责处理或长期保管，并保证不提供给甲方之外的第三人。</w:t>
      </w:r>
      <w:r/>
    </w:p>
    <w:p>
      <w:pPr>
        <w:ind w:firstLine="424"/>
        <w:spacing w:line="560" w:lineRule="exact"/>
        <w:widowControl/>
        <w:rPr>
          <w:rFonts w:ascii="宋体" w:hAnsi="宋体" w:cs="宋体"/>
          <w:sz w:val="22"/>
        </w:rPr>
      </w:pPr>
      <w:r>
        <w:rPr>
          <w:rFonts w:hint="eastAsia" w:ascii="宋体" w:hAnsi="宋体" w:cs="宋体"/>
          <w:spacing w:val="-4"/>
          <w:sz w:val="22"/>
        </w:rPr>
        <w:t xml:space="preserve">(1)乙方严格按照相关标准开展本合同委托检测工作，不得转包、</w:t>
      </w:r>
      <w:r/>
    </w:p>
    <w:p>
      <w:pPr>
        <w:ind w:firstLine="384"/>
        <w:spacing w:line="560" w:lineRule="exact"/>
        <w:widowControl/>
        <w:rPr>
          <w:rFonts w:ascii="宋体" w:hAnsi="宋体" w:cs="宋体"/>
          <w:sz w:val="22"/>
        </w:rPr>
      </w:pPr>
      <w:r>
        <w:rPr>
          <w:rFonts w:hint="eastAsia" w:ascii="宋体" w:hAnsi="宋体" w:cs="宋体"/>
          <w:spacing w:val="-14"/>
          <w:sz w:val="22"/>
        </w:rPr>
        <w:t xml:space="preserve">分包，保证工作全过程的公正性、科学性、准</w:t>
      </w:r>
      <w:r>
        <w:rPr>
          <w:rFonts w:hint="eastAsia" w:ascii="宋体" w:hAnsi="宋体" w:cs="宋体"/>
          <w:spacing w:val="-15"/>
          <w:sz w:val="22"/>
        </w:rPr>
        <w:t xml:space="preserve">确性、可追溯性，并严格保</w:t>
      </w:r>
      <w:r>
        <w:rPr>
          <w:rFonts w:hint="eastAsia" w:ascii="宋体" w:hAnsi="宋体" w:cs="宋体"/>
          <w:sz w:val="22"/>
        </w:rPr>
        <w:t xml:space="preserve"> </w:t>
      </w:r>
      <w:r>
        <w:rPr>
          <w:rFonts w:hint="eastAsia" w:ascii="宋体" w:hAnsi="宋体" w:cs="宋体"/>
          <w:spacing w:val="-12"/>
          <w:sz w:val="22"/>
        </w:rPr>
        <w:t xml:space="preserve">障受检者个人隐私及数据安全，所涉及检测内容及结果不外泄。</w:t>
      </w:r>
      <w:r/>
    </w:p>
    <w:p>
      <w:pPr>
        <w:ind w:firstLine="424"/>
        <w:spacing w:line="560" w:lineRule="exact"/>
        <w:widowControl/>
        <w:rPr>
          <w:rFonts w:ascii="宋体" w:hAnsi="宋体" w:cs="宋体"/>
          <w:sz w:val="22"/>
        </w:rPr>
      </w:pPr>
      <w:r>
        <w:rPr>
          <w:rFonts w:hint="eastAsia" w:ascii="宋体" w:hAnsi="宋体" w:cs="宋体"/>
          <w:spacing w:val="-4"/>
          <w:sz w:val="22"/>
        </w:rPr>
        <w:t xml:space="preserve">(2)乙方检测时使用的设备必须在检定合格有效期内，环境符合标</w:t>
      </w:r>
      <w:r>
        <w:rPr>
          <w:rFonts w:hint="eastAsia" w:ascii="宋体" w:hAnsi="宋体" w:cs="宋体"/>
          <w:spacing w:val="-15"/>
          <w:sz w:val="22"/>
        </w:rPr>
        <w:t xml:space="preserve">准检测要求。</w:t>
      </w:r>
      <w:r/>
    </w:p>
    <w:p>
      <w:pPr>
        <w:ind w:firstLine="420"/>
        <w:spacing w:line="560" w:lineRule="exact"/>
        <w:widowControl/>
        <w:rPr>
          <w:rFonts w:ascii="宋体" w:hAnsi="宋体" w:cs="宋体"/>
          <w:sz w:val="22"/>
        </w:rPr>
      </w:pPr>
      <w:r>
        <w:rPr>
          <w:rFonts w:hint="eastAsia" w:ascii="宋体" w:hAnsi="宋体" w:cs="宋体"/>
          <w:spacing w:val="-5"/>
          <w:sz w:val="22"/>
        </w:rPr>
        <w:t xml:space="preserve">(3)乙方对标本的全程管理符合检测需求和生物安全的要求。</w:t>
      </w:r>
      <w:r/>
    </w:p>
    <w:p>
      <w:pPr>
        <w:ind w:firstLine="428"/>
        <w:spacing w:line="560" w:lineRule="exact"/>
        <w:widowControl/>
        <w:rPr>
          <w:rFonts w:ascii="宋体" w:hAnsi="宋体" w:cs="宋体"/>
          <w:sz w:val="22"/>
        </w:rPr>
      </w:pPr>
      <w:r>
        <w:rPr>
          <w:rFonts w:hint="eastAsia" w:ascii="宋体" w:hAnsi="宋体" w:cs="宋体"/>
          <w:spacing w:val="-3"/>
          <w:sz w:val="22"/>
        </w:rPr>
        <w:t xml:space="preserve">(4)乙方保证检验过程中的质量控制。</w:t>
      </w:r>
      <w:r/>
    </w:p>
    <w:p>
      <w:pPr>
        <w:ind w:firstLine="424"/>
        <w:spacing w:line="560" w:lineRule="exact"/>
        <w:widowControl/>
        <w:rPr>
          <w:rFonts w:ascii="宋体" w:hAnsi="宋体" w:cs="宋体"/>
          <w:sz w:val="22"/>
        </w:rPr>
      </w:pPr>
      <w:r>
        <w:rPr>
          <w:rFonts w:hint="eastAsia" w:ascii="宋体" w:hAnsi="宋体" w:cs="宋体"/>
          <w:spacing w:val="-4"/>
          <w:sz w:val="22"/>
        </w:rPr>
        <w:t xml:space="preserve">(5)乙方根据行业标准保留检测后的标本以备复检。由于标本量不</w:t>
      </w:r>
      <w:r>
        <w:rPr>
          <w:rFonts w:hint="eastAsia" w:ascii="宋体" w:hAnsi="宋体" w:cs="宋体"/>
          <w:spacing w:val="4"/>
          <w:sz w:val="22"/>
        </w:rPr>
        <w:t xml:space="preserve">  </w:t>
      </w:r>
      <w:r>
        <w:rPr>
          <w:rFonts w:hint="eastAsia" w:ascii="宋体" w:hAnsi="宋体" w:cs="宋体"/>
          <w:spacing w:val="-7"/>
          <w:sz w:val="22"/>
        </w:rPr>
        <w:t xml:space="preserve">够导致无法复检的，乙方不负责复检。检测后的标本保存期不少于7天，</w:t>
      </w:r>
      <w:r>
        <w:rPr>
          <w:rFonts w:hint="eastAsia" w:ascii="宋体" w:hAnsi="宋体" w:cs="宋体"/>
          <w:spacing w:val="-13"/>
          <w:sz w:val="22"/>
        </w:rPr>
        <w:t xml:space="preserve">检测报告保存期同病历保管要求。</w:t>
      </w:r>
      <w:r/>
    </w:p>
    <w:p>
      <w:pPr>
        <w:ind w:firstLine="424"/>
        <w:spacing w:line="560" w:lineRule="exact"/>
        <w:widowControl/>
        <w:rPr>
          <w:rFonts w:ascii="宋体" w:hAnsi="宋体" w:cs="宋体"/>
          <w:sz w:val="22"/>
        </w:rPr>
      </w:pPr>
      <w:r>
        <w:rPr>
          <w:rFonts w:hint="eastAsia" w:ascii="宋体" w:hAnsi="宋体" w:cs="宋体"/>
          <w:spacing w:val="-4"/>
          <w:sz w:val="22"/>
        </w:rPr>
        <w:t xml:space="preserve">(6)乙方仅对来样负责。乙方必须按照甲方委托书要求内容进行测</w:t>
      </w:r>
      <w:r>
        <w:rPr>
          <w:rFonts w:hint="eastAsia" w:ascii="宋体" w:hAnsi="宋体" w:cs="宋体"/>
          <w:spacing w:val="13"/>
          <w:sz w:val="22"/>
        </w:rPr>
        <w:t xml:space="preserve"> </w:t>
      </w:r>
      <w:r>
        <w:rPr>
          <w:rFonts w:hint="eastAsia" w:ascii="宋体" w:hAnsi="宋体" w:cs="宋体"/>
          <w:spacing w:val="-15"/>
          <w:sz w:val="22"/>
        </w:rPr>
        <w:t xml:space="preserve">试，出具检测报告。报告内容必须真实、准确，保证与所测试的原始数据一致。</w:t>
      </w:r>
      <w:r/>
    </w:p>
    <w:p>
      <w:pPr>
        <w:ind w:firstLine="424"/>
        <w:spacing w:line="560" w:lineRule="exact"/>
        <w:widowControl/>
        <w:rPr>
          <w:rFonts w:ascii="宋体" w:hAnsi="宋体" w:cs="宋体"/>
          <w:sz w:val="22"/>
        </w:rPr>
      </w:pPr>
      <w:r>
        <w:rPr>
          <w:rFonts w:hint="eastAsia" w:ascii="宋体" w:hAnsi="宋体" w:cs="宋体"/>
          <w:spacing w:val="-4"/>
          <w:sz w:val="22"/>
        </w:rPr>
        <w:t xml:space="preserve">(7)乙方对甲方提供的相关检测信息确认无误后，应在承诺的检测</w:t>
      </w:r>
      <w:r>
        <w:rPr>
          <w:rFonts w:hint="eastAsia" w:ascii="宋体" w:hAnsi="宋体" w:cs="宋体"/>
          <w:spacing w:val="-14"/>
          <w:sz w:val="22"/>
        </w:rPr>
        <w:t xml:space="preserve">周期内出具准确可靠的检测报告，乙方对出具的检测报</w:t>
      </w:r>
      <w:r>
        <w:rPr>
          <w:rFonts w:hint="eastAsia" w:ascii="宋体" w:hAnsi="宋体" w:cs="宋体"/>
          <w:spacing w:val="-15"/>
          <w:sz w:val="22"/>
        </w:rPr>
        <w:t xml:space="preserve">告负全部责任。如</w:t>
      </w:r>
      <w:r>
        <w:rPr>
          <w:rFonts w:hint="eastAsia" w:ascii="宋体" w:hAnsi="宋体" w:cs="宋体"/>
          <w:sz w:val="22"/>
        </w:rPr>
        <w:t xml:space="preserve"> </w:t>
      </w:r>
      <w:r>
        <w:rPr>
          <w:rFonts w:hint="eastAsia" w:ascii="宋体" w:hAnsi="宋体" w:cs="宋体"/>
          <w:spacing w:val="-11"/>
          <w:sz w:val="22"/>
        </w:rPr>
        <w:t xml:space="preserve">有特殊情况不能在周期内出具报告，应及时告知甲方。</w:t>
      </w:r>
      <w:r/>
    </w:p>
    <w:p>
      <w:pPr>
        <w:ind w:firstLine="428"/>
        <w:spacing w:line="560" w:lineRule="exact"/>
        <w:widowControl/>
        <w:rPr>
          <w:rFonts w:ascii="宋体" w:hAnsi="宋体" w:cs="宋体"/>
          <w:sz w:val="22"/>
        </w:rPr>
      </w:pPr>
      <w:r>
        <w:rPr>
          <w:rFonts w:hint="eastAsia" w:ascii="宋体" w:hAnsi="宋体" w:cs="宋体"/>
          <w:spacing w:val="-3"/>
          <w:sz w:val="22"/>
        </w:rPr>
        <w:t xml:space="preserve">(8)检验结果的信息化，乙方应根据甲方的需求具体落实并承担因</w:t>
      </w:r>
      <w:r>
        <w:rPr>
          <w:rFonts w:hint="eastAsia" w:ascii="宋体" w:hAnsi="宋体" w:cs="宋体"/>
          <w:spacing w:val="4"/>
          <w:sz w:val="22"/>
        </w:rPr>
        <w:t xml:space="preserve"> </w:t>
      </w:r>
      <w:r>
        <w:rPr>
          <w:rFonts w:hint="eastAsia" w:ascii="宋体" w:hAnsi="宋体" w:cs="宋体"/>
          <w:spacing w:val="-17"/>
          <w:sz w:val="22"/>
        </w:rPr>
        <w:t xml:space="preserve">此而发生的费用（包括与甲方 LIS 系统的对接开发、调试及后续维护等工作）。</w:t>
      </w:r>
      <w:r/>
    </w:p>
    <w:p>
      <w:pPr>
        <w:ind w:firstLine="388"/>
        <w:spacing w:line="560" w:lineRule="exact"/>
        <w:widowControl/>
        <w:rPr>
          <w:rFonts w:ascii="宋体" w:hAnsi="宋体" w:cs="宋体"/>
          <w:sz w:val="22"/>
        </w:rPr>
      </w:pPr>
      <w:r>
        <w:rPr>
          <w:rFonts w:hint="eastAsia" w:ascii="宋体" w:hAnsi="宋体" w:cs="宋体"/>
          <w:spacing w:val="-13"/>
          <w:sz w:val="22"/>
        </w:rPr>
        <w:t xml:space="preserve">(9)乙方专业的技术人员负责向甲方解释各项检测方法、质控标准、</w:t>
      </w:r>
      <w:r>
        <w:rPr>
          <w:rFonts w:hint="eastAsia" w:ascii="宋体" w:hAnsi="宋体" w:cs="宋体"/>
          <w:spacing w:val="1"/>
          <w:sz w:val="22"/>
        </w:rPr>
        <w:t xml:space="preserve"> </w:t>
      </w:r>
      <w:r>
        <w:rPr>
          <w:rFonts w:hint="eastAsia" w:ascii="宋体" w:hAnsi="宋体" w:cs="宋体"/>
          <w:spacing w:val="-15"/>
          <w:sz w:val="22"/>
        </w:rPr>
        <w:t xml:space="preserve">结果。</w:t>
      </w:r>
      <w:r/>
    </w:p>
    <w:p>
      <w:pPr>
        <w:ind w:firstLine="412"/>
        <w:spacing w:line="560" w:lineRule="exact"/>
        <w:widowControl/>
        <w:rPr>
          <w:rFonts w:ascii="宋体" w:hAnsi="宋体" w:cs="宋体"/>
          <w:spacing w:val="-15"/>
          <w:sz w:val="22"/>
        </w:rPr>
      </w:pPr>
      <w:r>
        <w:rPr>
          <w:rFonts w:hint="eastAsia" w:ascii="宋体" w:hAnsi="宋体" w:cs="宋体"/>
          <w:spacing w:val="-7"/>
          <w:sz w:val="22"/>
        </w:rPr>
        <w:t xml:space="preserve">(10)配合甲方不定期对样本运输、检测流程、</w:t>
      </w:r>
      <w:r>
        <w:rPr>
          <w:rFonts w:hint="eastAsia" w:ascii="宋体" w:hAnsi="宋体" w:cs="宋体"/>
          <w:spacing w:val="-8"/>
          <w:sz w:val="22"/>
        </w:rPr>
        <w:t xml:space="preserve">检验结果及检验质量</w:t>
      </w:r>
      <w:r>
        <w:rPr>
          <w:rFonts w:hint="eastAsia" w:ascii="宋体" w:hAnsi="宋体" w:cs="宋体"/>
          <w:sz w:val="22"/>
        </w:rPr>
        <w:t xml:space="preserve"> </w:t>
      </w:r>
      <w:r>
        <w:rPr>
          <w:rFonts w:hint="eastAsia" w:ascii="宋体" w:hAnsi="宋体" w:cs="宋体"/>
          <w:spacing w:val="-15"/>
          <w:sz w:val="22"/>
        </w:rPr>
        <w:t xml:space="preserve">的监督检查。</w:t>
      </w:r>
      <w:r/>
    </w:p>
    <w:p>
      <w:pPr>
        <w:ind w:firstLine="412"/>
        <w:spacing w:line="560" w:lineRule="exact"/>
        <w:widowControl/>
        <w:rPr>
          <w:rFonts w:ascii="宋体" w:hAnsi="宋体" w:cs="宋体"/>
          <w:spacing w:val="-15"/>
          <w:sz w:val="22"/>
        </w:rPr>
      </w:pPr>
      <w:r>
        <w:rPr>
          <w:rFonts w:hint="eastAsia" w:ascii="宋体" w:hAnsi="宋体" w:cs="宋体"/>
          <w:spacing w:val="-7"/>
          <w:sz w:val="22"/>
        </w:rPr>
        <w:t xml:space="preserve">(11)</w:t>
      </w:r>
      <w:r>
        <w:rPr>
          <w:rFonts w:hint="eastAsia" w:ascii="宋体" w:hAnsi="宋体" w:cs="宋体"/>
          <w:spacing w:val="-15"/>
          <w:sz w:val="22"/>
        </w:rPr>
        <w:t xml:space="preserve">乙方对本协议项下任何检测项目进行变更（包括但不限于调整参考区间、更换检测方法学、暂停或停止检测服务、调整检测流程），必须提前</w:t>
      </w:r>
      <w:r>
        <w:rPr>
          <w:rFonts w:hint="eastAsia" w:ascii="宋体" w:hAnsi="宋体" w:cs="宋体"/>
          <w:spacing w:val="-15"/>
          <w:sz w:val="22"/>
          <w:u w:val="single"/>
        </w:rPr>
        <w:t xml:space="preserve"> 7 </w:t>
      </w:r>
      <w:r>
        <w:rPr>
          <w:rFonts w:hint="eastAsia" w:ascii="宋体" w:hAnsi="宋体" w:cs="宋体"/>
          <w:spacing w:val="-15"/>
          <w:sz w:val="22"/>
        </w:rPr>
        <w:t xml:space="preserve">个工作日以书面形式（加盖公章）通知甲方，并同时通过电话、微信等即时通讯方式告知甲方项目联系人。</w:t>
      </w:r>
      <w:r/>
    </w:p>
    <w:p>
      <w:pPr>
        <w:ind w:firstLine="388"/>
        <w:spacing w:line="560" w:lineRule="exact"/>
        <w:widowControl/>
        <w:rPr>
          <w:rFonts w:ascii="宋体" w:hAnsi="宋体" w:cs="宋体"/>
          <w:sz w:val="22"/>
        </w:rPr>
      </w:pPr>
      <w:r>
        <w:rPr>
          <w:rFonts w:hint="eastAsia" w:ascii="宋体" w:hAnsi="宋体" w:cs="宋体"/>
          <w:spacing w:val="-13"/>
          <w:sz w:val="22"/>
        </w:rPr>
        <w:t xml:space="preserve">4.报告发放：乙方应根据约定的各检测项目的检</w:t>
      </w:r>
      <w:r>
        <w:rPr>
          <w:rFonts w:hint="eastAsia" w:ascii="宋体" w:hAnsi="宋体" w:cs="宋体"/>
          <w:spacing w:val="-14"/>
          <w:sz w:val="22"/>
        </w:rPr>
        <w:t xml:space="preserve">测周期将检测报告单</w:t>
      </w:r>
      <w:r>
        <w:rPr>
          <w:rFonts w:hint="eastAsia" w:ascii="宋体" w:hAnsi="宋体" w:cs="宋体"/>
          <w:sz w:val="22"/>
        </w:rPr>
        <w:t xml:space="preserve"> </w:t>
      </w:r>
      <w:r>
        <w:rPr>
          <w:rFonts w:hint="eastAsia" w:ascii="宋体" w:hAnsi="宋体" w:cs="宋体"/>
          <w:spacing w:val="-14"/>
          <w:sz w:val="22"/>
        </w:rPr>
        <w:t xml:space="preserve">以纸质报告和电子报告两种形式发给甲方，乙方自收到标本后，按照不同</w:t>
      </w:r>
      <w:r>
        <w:rPr>
          <w:rFonts w:hint="eastAsia" w:ascii="宋体" w:hAnsi="宋体" w:cs="宋体"/>
          <w:spacing w:val="13"/>
          <w:sz w:val="22"/>
        </w:rPr>
        <w:t xml:space="preserve"> </w:t>
      </w:r>
      <w:r>
        <w:rPr>
          <w:rFonts w:hint="eastAsia" w:ascii="宋体" w:hAnsi="宋体" w:cs="宋体"/>
          <w:spacing w:val="-14"/>
          <w:sz w:val="22"/>
        </w:rPr>
        <w:t xml:space="preserve">的检测项目所需周期完成相关检测。若由于样本自身或其他</w:t>
      </w:r>
      <w:r>
        <w:rPr>
          <w:rFonts w:hint="eastAsia" w:ascii="宋体" w:hAnsi="宋体" w:cs="宋体"/>
          <w:spacing w:val="-15"/>
          <w:sz w:val="22"/>
        </w:rPr>
        <w:t xml:space="preserve">原因而导致的</w:t>
      </w:r>
      <w:r>
        <w:rPr>
          <w:rFonts w:hint="eastAsia" w:ascii="宋体" w:hAnsi="宋体" w:cs="宋体"/>
          <w:sz w:val="22"/>
        </w:rPr>
        <w:t xml:space="preserve"> </w:t>
      </w:r>
      <w:r>
        <w:rPr>
          <w:rFonts w:hint="eastAsia" w:ascii="宋体" w:hAnsi="宋体" w:cs="宋体"/>
          <w:spacing w:val="-14"/>
          <w:sz w:val="22"/>
        </w:rPr>
        <w:t xml:space="preserve">无法出具检测报告的情况，乙方需第一时间通知甲方。若出现检测项目危</w:t>
      </w:r>
      <w:r>
        <w:rPr>
          <w:rFonts w:hint="eastAsia" w:ascii="宋体" w:hAnsi="宋体" w:cs="宋体"/>
          <w:spacing w:val="14"/>
          <w:sz w:val="22"/>
        </w:rPr>
        <w:t xml:space="preserve"> </w:t>
      </w:r>
      <w:r>
        <w:rPr>
          <w:rFonts w:hint="eastAsia" w:ascii="宋体" w:hAnsi="宋体" w:cs="宋体"/>
          <w:spacing w:val="-15"/>
          <w:sz w:val="22"/>
        </w:rPr>
        <w:t xml:space="preserve">急值或双方约定的其他异常结果报告，乙方应立即电话通知甲方，并及时</w:t>
      </w:r>
      <w:r>
        <w:rPr>
          <w:rFonts w:hint="eastAsia" w:ascii="宋体" w:hAnsi="宋体" w:cs="宋体"/>
          <w:spacing w:val="16"/>
          <w:sz w:val="22"/>
        </w:rPr>
        <w:t xml:space="preserve"> </w:t>
      </w:r>
      <w:r>
        <w:rPr>
          <w:rFonts w:hint="eastAsia" w:ascii="宋体" w:hAnsi="宋体" w:cs="宋体"/>
          <w:spacing w:val="-16"/>
          <w:sz w:val="22"/>
        </w:rPr>
        <w:t xml:space="preserve">出具相应的纸质和电子报告。</w:t>
      </w:r>
      <w:r/>
    </w:p>
    <w:p>
      <w:pPr>
        <w:ind w:firstLine="384"/>
        <w:spacing w:line="560" w:lineRule="exact"/>
        <w:widowControl/>
        <w:rPr>
          <w:rFonts w:ascii="宋体" w:hAnsi="宋体" w:cs="宋体"/>
          <w:sz w:val="22"/>
        </w:rPr>
      </w:pPr>
      <w:r>
        <w:rPr>
          <w:rFonts w:hint="eastAsia" w:ascii="宋体" w:hAnsi="宋体" w:cs="宋体"/>
          <w:spacing w:val="-14"/>
          <w:sz w:val="22"/>
        </w:rPr>
        <w:t xml:space="preserve">5.实验数据及样本回收：乙方应按检测周期将所有检测项目的原始实</w:t>
      </w:r>
      <w:r>
        <w:rPr>
          <w:rFonts w:hint="eastAsia" w:ascii="宋体" w:hAnsi="宋体" w:cs="宋体"/>
          <w:spacing w:val="4"/>
          <w:sz w:val="22"/>
        </w:rPr>
        <w:t xml:space="preserve">验数据(包括但不限于</w:t>
      </w:r>
      <w:r>
        <w:rPr>
          <w:rFonts w:hint="eastAsia" w:ascii="宋体" w:hAnsi="宋体" w:cs="宋体"/>
          <w:spacing w:val="-15"/>
          <w:sz w:val="22"/>
          <w:u w:val="single"/>
        </w:rPr>
        <w:t xml:space="preserve">检测原始读数与图谱、报告生成及审核原始数据、特殊项目专属检测数据 </w:t>
      </w:r>
      <w:r>
        <w:rPr>
          <w:rFonts w:hint="eastAsia" w:ascii="宋体" w:hAnsi="宋体" w:cs="宋体"/>
          <w:spacing w:val="4"/>
          <w:sz w:val="22"/>
        </w:rPr>
        <w:t xml:space="preserve">等)返还甲方，血液或</w:t>
      </w:r>
      <w:r>
        <w:rPr>
          <w:rFonts w:hint="eastAsia" w:ascii="宋体" w:hAnsi="宋体" w:cs="宋体"/>
          <w:sz w:val="22"/>
        </w:rPr>
        <w:t xml:space="preserve">DNA</w:t>
      </w:r>
      <w:r>
        <w:rPr>
          <w:rFonts w:hint="eastAsia" w:ascii="宋体" w:hAnsi="宋体" w:cs="宋体"/>
          <w:spacing w:val="-2"/>
          <w:sz w:val="22"/>
        </w:rPr>
        <w:t xml:space="preserve"> </w:t>
      </w:r>
      <w:r>
        <w:rPr>
          <w:rFonts w:hint="eastAsia" w:ascii="宋体" w:hAnsi="宋体" w:cs="宋体"/>
          <w:spacing w:val="4"/>
          <w:sz w:val="22"/>
        </w:rPr>
        <w:t xml:space="preserve">样</w:t>
      </w:r>
      <w:r>
        <w:rPr>
          <w:rFonts w:hint="eastAsia" w:ascii="宋体" w:hAnsi="宋体" w:cs="宋体"/>
          <w:spacing w:val="-12"/>
          <w:sz w:val="22"/>
        </w:rPr>
        <w:t xml:space="preserve">本需返回甲方或按国家有关要求保存。</w:t>
      </w:r>
      <w:r/>
    </w:p>
    <w:p>
      <w:pPr>
        <w:ind w:firstLine="350"/>
        <w:spacing w:line="560" w:lineRule="exact"/>
        <w:widowControl/>
        <w:rPr>
          <w:rFonts w:ascii="宋体" w:hAnsi="宋体" w:cs="宋体"/>
          <w:sz w:val="22"/>
        </w:rPr>
        <w:outlineLvl w:val="0"/>
      </w:pPr>
      <w:r>
        <w:rPr>
          <w:rFonts w:hint="eastAsia" w:ascii="宋体" w:hAnsi="宋体" w:cs="宋体"/>
          <w:b/>
          <w:bCs/>
          <w:spacing w:val="-23"/>
          <w:sz w:val="22"/>
        </w:rPr>
        <w:t xml:space="preserve">三</w:t>
      </w:r>
      <w:r>
        <w:rPr>
          <w:rFonts w:hint="eastAsia" w:ascii="宋体" w:hAnsi="宋体" w:cs="宋体"/>
          <w:spacing w:val="-64"/>
          <w:sz w:val="22"/>
        </w:rPr>
        <w:t xml:space="preserve"> </w:t>
      </w:r>
      <w:r>
        <w:rPr>
          <w:rFonts w:hint="eastAsia" w:ascii="宋体" w:hAnsi="宋体" w:cs="宋体"/>
          <w:b/>
          <w:bCs/>
          <w:spacing w:val="-23"/>
          <w:sz w:val="22"/>
        </w:rPr>
        <w:t xml:space="preserve">、受检样本的交接</w:t>
      </w:r>
      <w:r/>
    </w:p>
    <w:p>
      <w:pPr>
        <w:ind w:firstLine="396"/>
        <w:spacing w:line="560" w:lineRule="exact"/>
        <w:widowControl/>
        <w:rPr>
          <w:rFonts w:ascii="宋体" w:hAnsi="宋体" w:cs="宋体"/>
          <w:sz w:val="22"/>
        </w:rPr>
      </w:pPr>
      <w:r>
        <w:rPr>
          <w:rFonts w:hint="eastAsia" w:ascii="宋体" w:hAnsi="宋体" w:cs="宋体"/>
          <w:spacing w:val="-11"/>
          <w:sz w:val="22"/>
        </w:rPr>
        <w:t xml:space="preserve">(一)交接时间：乙方应在甲方通知后</w:t>
      </w:r>
      <w:r>
        <w:rPr>
          <w:rFonts w:hint="eastAsia" w:ascii="宋体" w:hAnsi="宋体" w:cs="宋体"/>
          <w:spacing w:val="-121"/>
          <w:sz w:val="22"/>
        </w:rPr>
        <w:t xml:space="preserve"> </w:t>
      </w:r>
      <w:r>
        <w:rPr>
          <w:rFonts w:hint="eastAsia" w:ascii="宋体" w:hAnsi="宋体" w:cs="宋体"/>
          <w:spacing w:val="5"/>
          <w:sz w:val="22"/>
          <w:u w:val="single"/>
        </w:rPr>
        <w:t xml:space="preserve"> 2 </w:t>
      </w:r>
      <w:r>
        <w:rPr>
          <w:rFonts w:hint="eastAsia" w:ascii="宋体" w:hAnsi="宋体" w:cs="宋体"/>
          <w:spacing w:val="-45"/>
          <w:sz w:val="22"/>
        </w:rPr>
        <w:t xml:space="preserve"> </w:t>
      </w:r>
      <w:r>
        <w:rPr>
          <w:rFonts w:hint="eastAsia" w:ascii="宋体" w:hAnsi="宋体" w:cs="宋体"/>
          <w:spacing w:val="-11"/>
          <w:sz w:val="22"/>
        </w:rPr>
        <w:t xml:space="preserve">小时内接收甲方递送的样</w:t>
      </w:r>
      <w:r>
        <w:rPr>
          <w:rFonts w:hint="eastAsia" w:ascii="宋体" w:hAnsi="宋体" w:cs="宋体"/>
          <w:sz w:val="22"/>
        </w:rPr>
        <w:t xml:space="preserve"> </w:t>
      </w:r>
      <w:r>
        <w:rPr>
          <w:rFonts w:hint="eastAsia" w:ascii="宋体" w:hAnsi="宋体" w:cs="宋体"/>
          <w:spacing w:val="-10"/>
          <w:sz w:val="22"/>
        </w:rPr>
        <w:t xml:space="preserve">本和资料。</w:t>
      </w:r>
      <w:r/>
    </w:p>
    <w:p>
      <w:pPr>
        <w:pStyle w:val="692"/>
        <w:ind w:left="0" w:firstLine="436"/>
        <w:spacing w:line="560" w:lineRule="exact"/>
        <w:widowControl/>
        <w:rPr>
          <w:rFonts w:cs="宋体"/>
          <w:sz w:val="22"/>
        </w:rPr>
      </w:pPr>
      <w:r>
        <w:rPr>
          <w:rFonts w:hint="eastAsia" w:cs="宋体"/>
          <w:spacing w:val="-1"/>
          <w:sz w:val="22"/>
        </w:rPr>
        <w:t xml:space="preserve">(二)交接地点：</w:t>
      </w:r>
      <w:r>
        <w:rPr>
          <w:rFonts w:hint="eastAsia" w:cs="宋体"/>
          <w:spacing w:val="83"/>
          <w:sz w:val="22"/>
        </w:rPr>
        <w:t xml:space="preserve"> </w:t>
      </w:r>
      <w:r>
        <w:rPr>
          <w:rFonts w:hint="eastAsia" w:cs="宋体"/>
          <w:spacing w:val="2"/>
          <w:sz w:val="22"/>
          <w:u w:val="single"/>
        </w:rPr>
        <w:t xml:space="preserve"> 医学检验科标本签收室      </w:t>
      </w:r>
      <w:r/>
    </w:p>
    <w:p>
      <w:pPr>
        <w:ind w:firstLine="408"/>
        <w:spacing w:line="560" w:lineRule="exact"/>
        <w:widowControl/>
        <w:rPr>
          <w:rFonts w:ascii="宋体" w:hAnsi="宋体" w:cs="宋体"/>
          <w:sz w:val="22"/>
        </w:rPr>
      </w:pPr>
      <w:r>
        <w:rPr>
          <w:rFonts w:hint="eastAsia" w:ascii="宋体" w:hAnsi="宋体" w:cs="宋体"/>
          <w:spacing w:val="-8"/>
          <w:sz w:val="22"/>
        </w:rPr>
        <w:t xml:space="preserve">(三)交接时甲方应保证包装符合运输和保存的要求；乙方接收或者</w:t>
      </w:r>
      <w:r>
        <w:rPr>
          <w:rFonts w:hint="eastAsia" w:ascii="宋体" w:hAnsi="宋体" w:cs="宋体"/>
          <w:spacing w:val="11"/>
          <w:sz w:val="22"/>
        </w:rPr>
        <w:t xml:space="preserve"> </w:t>
      </w:r>
      <w:r>
        <w:rPr>
          <w:rFonts w:hint="eastAsia" w:ascii="宋体" w:hAnsi="宋体" w:cs="宋体"/>
          <w:spacing w:val="3"/>
          <w:sz w:val="22"/>
        </w:rPr>
        <w:t xml:space="preserve">在甲方通知后2小时，视为乙方已接收。</w:t>
      </w:r>
      <w:r/>
    </w:p>
    <w:p>
      <w:pPr>
        <w:ind w:firstLine="424"/>
        <w:spacing w:line="560" w:lineRule="exact"/>
        <w:widowControl/>
        <w:rPr>
          <w:rFonts w:ascii="宋体" w:hAnsi="宋体" w:cs="宋体"/>
          <w:sz w:val="22"/>
        </w:rPr>
      </w:pPr>
      <w:r>
        <w:rPr>
          <w:rFonts w:hint="eastAsia" w:ascii="宋体" w:hAnsi="宋体" w:cs="宋体"/>
          <w:spacing w:val="-4"/>
          <w:sz w:val="22"/>
        </w:rPr>
        <w:t xml:space="preserve">(四)乙方应当在交接时应对样本及以下资料进行核</w:t>
      </w:r>
      <w:r>
        <w:rPr>
          <w:rFonts w:hint="eastAsia" w:ascii="宋体" w:hAnsi="宋体" w:cs="宋体"/>
          <w:spacing w:val="-5"/>
          <w:sz w:val="22"/>
        </w:rPr>
        <w:t xml:space="preserve">对：</w:t>
      </w:r>
      <w:r/>
    </w:p>
    <w:p>
      <w:pPr>
        <w:pStyle w:val="692"/>
        <w:ind w:left="0" w:firstLine="448"/>
        <w:spacing w:line="560" w:lineRule="exact"/>
        <w:widowControl/>
        <w:tabs>
          <w:tab w:val="left" w:pos="6890" w:leader="none"/>
        </w:tabs>
        <w:rPr>
          <w:rFonts w:cs="宋体"/>
          <w:sz w:val="22"/>
        </w:rPr>
      </w:pPr>
      <w:r>
        <w:rPr>
          <w:rFonts w:hint="eastAsia" w:cs="宋体"/>
          <w:spacing w:val="2"/>
          <w:sz w:val="22"/>
          <w:u w:val="single"/>
        </w:rPr>
        <w:t xml:space="preserve">检测申请单、知情同意书、检验项目、样本质量、交接凭证等</w:t>
      </w:r>
      <w:r>
        <w:rPr>
          <w:rFonts w:hint="eastAsia" w:cs="宋体"/>
          <w:sz w:val="22"/>
          <w:u w:val="single"/>
        </w:rPr>
        <w:tab/>
      </w:r>
      <w:r/>
    </w:p>
    <w:p>
      <w:pPr>
        <w:numPr>
          <w:ilvl w:val="0"/>
          <w:numId w:val="3"/>
        </w:numPr>
        <w:ind w:firstLine="416"/>
        <w:spacing w:line="560" w:lineRule="exact"/>
        <w:widowControl/>
        <w:rPr>
          <w:rFonts w:ascii="宋体" w:hAnsi="宋体" w:cs="宋体"/>
          <w:spacing w:val="-14"/>
          <w:sz w:val="22"/>
        </w:rPr>
      </w:pPr>
      <w:r>
        <w:rPr>
          <w:rFonts w:hint="eastAsia" w:ascii="宋体" w:hAnsi="宋体" w:cs="宋体"/>
          <w:spacing w:val="-6"/>
          <w:sz w:val="22"/>
        </w:rPr>
        <w:t xml:space="preserve">受检样本由</w:t>
      </w:r>
      <w:r>
        <w:rPr>
          <w:rFonts w:hint="eastAsia" w:ascii="宋体" w:hAnsi="宋体" w:cs="宋体"/>
          <w:spacing w:val="40"/>
          <w:sz w:val="22"/>
          <w:u w:val="single"/>
        </w:rPr>
        <w:t xml:space="preserve"> </w:t>
      </w:r>
      <w:r>
        <w:rPr>
          <w:rFonts w:hint="eastAsia" w:ascii="宋体" w:hAnsi="宋体" w:cs="宋体"/>
          <w:spacing w:val="-4"/>
          <w:sz w:val="22"/>
          <w:u w:val="single"/>
        </w:rPr>
        <w:t xml:space="preserve">乙</w:t>
      </w:r>
      <w:r>
        <w:rPr>
          <w:rFonts w:hint="eastAsia" w:ascii="宋体" w:hAnsi="宋体" w:cs="宋体"/>
          <w:spacing w:val="40"/>
          <w:sz w:val="22"/>
          <w:u w:val="single"/>
        </w:rPr>
        <w:t xml:space="preserve">  </w:t>
      </w:r>
      <w:r>
        <w:rPr>
          <w:rFonts w:hint="eastAsia" w:ascii="宋体" w:hAnsi="宋体" w:cs="宋体"/>
          <w:spacing w:val="-104"/>
          <w:sz w:val="22"/>
        </w:rPr>
        <w:t xml:space="preserve"> </w:t>
      </w:r>
      <w:r>
        <w:rPr>
          <w:rFonts w:hint="eastAsia" w:ascii="宋体" w:hAnsi="宋体" w:cs="宋体"/>
          <w:spacing w:val="-6"/>
          <w:sz w:val="22"/>
        </w:rPr>
        <w:t xml:space="preserve">方自行或者指定的具有样本运输条件和资</w:t>
      </w:r>
      <w:r>
        <w:rPr>
          <w:rFonts w:hint="eastAsia" w:ascii="宋体" w:hAnsi="宋体" w:cs="宋体"/>
          <w:spacing w:val="-7"/>
          <w:sz w:val="22"/>
        </w:rPr>
        <w:t xml:space="preserve">质的</w:t>
      </w:r>
      <w:r>
        <w:rPr>
          <w:rFonts w:hint="eastAsia" w:ascii="宋体" w:hAnsi="宋体" w:cs="宋体"/>
          <w:spacing w:val="-14"/>
          <w:sz w:val="22"/>
        </w:rPr>
        <w:t xml:space="preserve">物流进行运输，并由该方承担相关费用。</w:t>
      </w:r>
      <w:r/>
    </w:p>
    <w:p>
      <w:pPr>
        <w:ind w:firstLine="398"/>
        <w:spacing w:line="560" w:lineRule="exact"/>
        <w:widowControl/>
        <w:rPr>
          <w:rFonts w:ascii="宋体" w:hAnsi="宋体" w:cs="宋体"/>
          <w:sz w:val="22"/>
        </w:rPr>
        <w:outlineLvl w:val="0"/>
      </w:pPr>
      <w:r>
        <w:rPr>
          <w:rFonts w:hint="eastAsia" w:ascii="宋体" w:hAnsi="宋体" w:cs="宋体"/>
          <w:b/>
          <w:bCs/>
          <w:spacing w:val="-11"/>
          <w:sz w:val="22"/>
        </w:rPr>
        <w:t xml:space="preserve">四、费用结算</w:t>
      </w:r>
      <w:r/>
    </w:p>
    <w:p>
      <w:pPr>
        <w:ind w:firstLine="436"/>
        <w:spacing w:line="560" w:lineRule="exact"/>
        <w:widowControl/>
        <w:rPr>
          <w:rFonts w:ascii="宋体" w:hAnsi="宋体" w:cs="宋体"/>
          <w:sz w:val="22"/>
        </w:rPr>
      </w:pPr>
      <w:r>
        <w:rPr>
          <w:rFonts w:hint="eastAsia" w:ascii="宋体" w:hAnsi="宋体" w:cs="宋体"/>
          <w:spacing w:val="-1"/>
          <w:sz w:val="22"/>
        </w:rPr>
        <w:t xml:space="preserve">(一)结算规则：乙方每</w:t>
      </w:r>
      <w:r>
        <w:rPr>
          <w:rFonts w:hint="eastAsia" w:ascii="宋体" w:hAnsi="宋体" w:cs="宋体"/>
          <w:spacing w:val="23"/>
          <w:sz w:val="22"/>
          <w:u w:val="single"/>
        </w:rPr>
        <w:t xml:space="preserve">   月  </w:t>
      </w:r>
      <w:r>
        <w:rPr>
          <w:rFonts w:hint="eastAsia" w:ascii="宋体" w:hAnsi="宋体" w:cs="宋体"/>
          <w:spacing w:val="-62"/>
          <w:sz w:val="22"/>
        </w:rPr>
        <w:t xml:space="preserve"> </w:t>
      </w:r>
      <w:r>
        <w:rPr>
          <w:rFonts w:hint="eastAsia" w:ascii="宋体" w:hAnsi="宋体" w:cs="宋体"/>
          <w:spacing w:val="-1"/>
          <w:sz w:val="22"/>
        </w:rPr>
        <w:t xml:space="preserve">(周期)以甲方收费凭证与乙方收到</w:t>
      </w:r>
      <w:r>
        <w:rPr>
          <w:rFonts w:hint="eastAsia" w:ascii="宋体" w:hAnsi="宋体" w:cs="宋体"/>
          <w:sz w:val="22"/>
        </w:rPr>
        <w:t xml:space="preserve"> </w:t>
      </w:r>
      <w:r>
        <w:rPr>
          <w:rFonts w:hint="eastAsia" w:ascii="宋体" w:hAnsi="宋体" w:cs="宋体"/>
          <w:spacing w:val="-15"/>
          <w:sz w:val="22"/>
        </w:rPr>
        <w:t xml:space="preserve">的样本数量作为统计业务量的依据，乙方将统计量同时发送至甲方。双方</w:t>
      </w:r>
      <w:r>
        <w:rPr>
          <w:rFonts w:hint="eastAsia" w:ascii="宋体" w:hAnsi="宋体" w:cs="宋体"/>
          <w:spacing w:val="17"/>
          <w:sz w:val="22"/>
        </w:rPr>
        <w:t xml:space="preserve"> </w:t>
      </w:r>
      <w:r>
        <w:rPr>
          <w:rFonts w:hint="eastAsia" w:ascii="宋体" w:hAnsi="宋体" w:cs="宋体"/>
          <w:spacing w:val="-16"/>
          <w:sz w:val="22"/>
        </w:rPr>
        <w:t xml:space="preserve">核对无误后，甲方在收到乙方开具的相应税务发票后</w:t>
      </w:r>
      <w:r>
        <w:rPr>
          <w:rFonts w:hint="eastAsia" w:ascii="宋体" w:hAnsi="宋体" w:cs="宋体"/>
          <w:spacing w:val="-129"/>
          <w:sz w:val="22"/>
        </w:rPr>
        <w:t xml:space="preserve"> </w:t>
      </w:r>
      <w:r>
        <w:rPr>
          <w:rFonts w:hint="eastAsia" w:ascii="宋体" w:hAnsi="宋体" w:cs="宋体"/>
          <w:spacing w:val="27"/>
          <w:sz w:val="22"/>
          <w:u w:val="single"/>
        </w:rPr>
        <w:t xml:space="preserve"> 30 </w:t>
      </w:r>
      <w:r>
        <w:rPr>
          <w:rFonts w:hint="eastAsia" w:ascii="宋体" w:hAnsi="宋体" w:cs="宋体"/>
          <w:spacing w:val="-125"/>
          <w:sz w:val="22"/>
        </w:rPr>
        <w:t xml:space="preserve"> </w:t>
      </w:r>
      <w:r>
        <w:rPr>
          <w:rFonts w:hint="eastAsia" w:ascii="宋体" w:hAnsi="宋体" w:cs="宋体"/>
          <w:spacing w:val="-16"/>
          <w:sz w:val="22"/>
        </w:rPr>
        <w:t xml:space="preserve">工作日</w:t>
      </w:r>
      <w:r>
        <w:rPr>
          <w:rFonts w:hint="eastAsia" w:ascii="宋体" w:hAnsi="宋体" w:cs="宋体"/>
          <w:spacing w:val="-17"/>
          <w:sz w:val="22"/>
        </w:rPr>
        <w:t xml:space="preserve">内，按</w:t>
      </w:r>
      <w:r>
        <w:rPr>
          <w:rFonts w:hint="eastAsia" w:ascii="宋体" w:hAnsi="宋体" w:cs="宋体"/>
          <w:sz w:val="22"/>
        </w:rPr>
        <w:t xml:space="preserve"> </w:t>
      </w:r>
      <w:r>
        <w:rPr>
          <w:rFonts w:hint="eastAsia" w:ascii="宋体" w:hAnsi="宋体" w:cs="宋体"/>
          <w:spacing w:val="-15"/>
          <w:sz w:val="22"/>
        </w:rPr>
        <w:t xml:space="preserve">“业务量×结算价格”向乙方结算该周期内</w:t>
      </w:r>
      <w:r>
        <w:rPr>
          <w:rFonts w:hint="eastAsia" w:ascii="宋体" w:hAnsi="宋体" w:cs="宋体"/>
          <w:spacing w:val="-16"/>
          <w:sz w:val="22"/>
        </w:rPr>
        <w:t xml:space="preserve">的检测费用。</w:t>
      </w:r>
      <w:r/>
    </w:p>
    <w:p>
      <w:pPr>
        <w:ind w:firstLine="452"/>
        <w:spacing w:line="560" w:lineRule="exact"/>
        <w:widowControl/>
        <w:rPr>
          <w:rFonts w:ascii="宋体" w:hAnsi="宋体" w:cs="宋体"/>
          <w:sz w:val="22"/>
        </w:rPr>
      </w:pPr>
      <w:r>
        <w:rPr>
          <w:rFonts w:hint="eastAsia" w:ascii="宋体" w:hAnsi="宋体" w:cs="宋体"/>
          <w:spacing w:val="3"/>
          <w:sz w:val="22"/>
        </w:rPr>
        <w:t xml:space="preserve">(二)乙方收款信息：</w:t>
      </w:r>
      <w:r/>
    </w:p>
    <w:p>
      <w:pPr>
        <w:ind w:firstLine="400"/>
        <w:spacing w:line="560" w:lineRule="exact"/>
        <w:widowControl/>
        <w:rPr>
          <w:rFonts w:ascii="宋体" w:hAnsi="宋体" w:cs="宋体"/>
          <w:sz w:val="22"/>
        </w:rPr>
      </w:pPr>
      <w:r>
        <w:rPr>
          <w:rFonts w:hint="eastAsia" w:ascii="宋体" w:hAnsi="宋体" w:cs="宋体"/>
          <w:spacing w:val="-10"/>
          <w:sz w:val="22"/>
        </w:rPr>
        <w:t xml:space="preserve">户名：</w:t>
      </w:r>
      <w:r>
        <w:rPr>
          <w:rFonts w:hint="eastAsia" w:ascii="宋体" w:hAnsi="宋体" w:cs="宋体"/>
          <w:spacing w:val="-10"/>
          <w:sz w:val="22"/>
          <w:u w:val="single"/>
        </w:rPr>
        <w:t xml:space="preserve">                    </w:t>
      </w:r>
      <w:r>
        <w:rPr>
          <w:rFonts w:hint="eastAsia" w:ascii="宋体" w:hAnsi="宋体" w:cs="宋体"/>
          <w:spacing w:val="-11"/>
          <w:sz w:val="22"/>
          <w:u w:val="single"/>
        </w:rPr>
        <w:t xml:space="preserve">      </w:t>
      </w:r>
      <w:r/>
    </w:p>
    <w:p>
      <w:pPr>
        <w:ind w:firstLine="384"/>
        <w:spacing w:line="560" w:lineRule="exact"/>
        <w:widowControl/>
        <w:rPr>
          <w:rFonts w:ascii="宋体" w:hAnsi="宋体" w:cs="宋体"/>
          <w:spacing w:val="4"/>
          <w:sz w:val="22"/>
        </w:rPr>
      </w:pPr>
      <w:r>
        <w:rPr>
          <w:rFonts w:hint="eastAsia" w:ascii="宋体" w:hAnsi="宋体" w:cs="宋体"/>
          <w:spacing w:val="-14"/>
          <w:sz w:val="22"/>
        </w:rPr>
        <w:t xml:space="preserve">税号：</w:t>
      </w:r>
      <w:r>
        <w:rPr>
          <w:rFonts w:hint="eastAsia" w:ascii="宋体" w:hAnsi="宋体" w:cs="宋体"/>
          <w:spacing w:val="2"/>
          <w:sz w:val="22"/>
          <w:u w:val="single"/>
        </w:rPr>
        <w:t xml:space="preserve">                        </w:t>
      </w:r>
      <w:r>
        <w:rPr>
          <w:rFonts w:hint="eastAsia" w:ascii="宋体" w:hAnsi="宋体" w:cs="宋体"/>
          <w:spacing w:val="12"/>
          <w:sz w:val="22"/>
        </w:rPr>
        <w:t xml:space="preserve"> </w:t>
      </w:r>
      <w:r>
        <w:rPr>
          <w:rFonts w:hint="eastAsia" w:ascii="宋体" w:hAnsi="宋体" w:cs="宋体"/>
          <w:spacing w:val="-13"/>
          <w:sz w:val="22"/>
        </w:rPr>
        <w:t xml:space="preserve">开户行：</w:t>
      </w:r>
      <w:r>
        <w:rPr>
          <w:rFonts w:hint="eastAsia" w:ascii="宋体" w:hAnsi="宋体" w:cs="宋体"/>
          <w:spacing w:val="3"/>
          <w:sz w:val="22"/>
          <w:u w:val="single"/>
        </w:rPr>
        <w:t xml:space="preserve">                      </w:t>
      </w:r>
      <w:r>
        <w:rPr>
          <w:rFonts w:hint="eastAsia" w:ascii="宋体" w:hAnsi="宋体" w:cs="宋体"/>
          <w:spacing w:val="4"/>
          <w:sz w:val="22"/>
        </w:rPr>
        <w:t xml:space="preserve"> </w:t>
      </w:r>
      <w:r/>
    </w:p>
    <w:p>
      <w:pPr>
        <w:ind w:firstLine="384"/>
        <w:spacing w:line="560" w:lineRule="exact"/>
        <w:widowControl/>
        <w:rPr>
          <w:rFonts w:ascii="宋体" w:hAnsi="宋体" w:cs="宋体"/>
          <w:sz w:val="22"/>
          <w:u w:val="single"/>
        </w:rPr>
      </w:pPr>
      <w:r>
        <w:rPr>
          <w:rFonts w:hint="eastAsia" w:ascii="宋体" w:hAnsi="宋体" w:cs="宋体"/>
          <w:spacing w:val="-14"/>
          <w:sz w:val="22"/>
        </w:rPr>
        <w:t xml:space="preserve">账号：</w:t>
      </w:r>
      <w:r>
        <w:rPr>
          <w:rFonts w:hint="eastAsia" w:ascii="宋体" w:hAnsi="宋体" w:cs="宋体"/>
          <w:spacing w:val="2"/>
          <w:sz w:val="22"/>
          <w:u w:val="single"/>
        </w:rPr>
        <w:t xml:space="preserve">                        </w:t>
      </w:r>
      <w:r>
        <w:rPr>
          <w:rFonts w:hint="eastAsia" w:ascii="宋体" w:hAnsi="宋体" w:cs="宋体"/>
          <w:spacing w:val="12"/>
          <w:sz w:val="22"/>
        </w:rPr>
        <w:t xml:space="preserve"> </w:t>
      </w:r>
      <w:r>
        <w:rPr>
          <w:rFonts w:hint="eastAsia" w:ascii="宋体" w:hAnsi="宋体" w:cs="宋体"/>
          <w:spacing w:val="-7"/>
          <w:sz w:val="22"/>
        </w:rPr>
        <w:t xml:space="preserve">地址：</w:t>
      </w:r>
      <w:r>
        <w:rPr>
          <w:rFonts w:hint="eastAsia" w:ascii="宋体" w:hAnsi="宋体" w:cs="宋体"/>
          <w:spacing w:val="-25"/>
          <w:sz w:val="22"/>
        </w:rPr>
        <w:t xml:space="preserve"> </w:t>
      </w:r>
      <w:r>
        <w:rPr>
          <w:rFonts w:hint="eastAsia" w:ascii="宋体" w:hAnsi="宋体" w:cs="宋体"/>
          <w:sz w:val="22"/>
          <w:u w:val="single"/>
        </w:rPr>
        <w:t xml:space="preserve">                        </w:t>
      </w:r>
      <w:r/>
    </w:p>
    <w:p>
      <w:pPr>
        <w:ind w:firstLine="420"/>
        <w:spacing w:line="560" w:lineRule="exact"/>
        <w:widowControl/>
        <w:rPr>
          <w:rFonts w:ascii="宋体" w:hAnsi="宋体" w:cs="宋体"/>
          <w:spacing w:val="-5"/>
          <w:sz w:val="22"/>
        </w:rPr>
      </w:pPr>
      <w:r>
        <w:rPr>
          <w:rFonts w:hint="eastAsia" w:ascii="宋体" w:hAnsi="宋体" w:cs="宋体"/>
          <w:spacing w:val="-5"/>
          <w:sz w:val="22"/>
        </w:rPr>
        <w:t xml:space="preserve">(三)禁止现金交易，甲方将款项打入上述账号，即视为完成付款。</w:t>
      </w:r>
      <w:r/>
    </w:p>
    <w:p>
      <w:pPr>
        <w:ind w:firstLine="390"/>
        <w:spacing w:line="560" w:lineRule="exact"/>
        <w:widowControl/>
        <w:rPr>
          <w:rFonts w:ascii="宋体" w:hAnsi="宋体" w:cs="宋体"/>
          <w:sz w:val="22"/>
        </w:rPr>
        <w:outlineLvl w:val="0"/>
      </w:pPr>
      <w:r>
        <w:rPr>
          <w:rFonts w:hint="eastAsia" w:ascii="宋体" w:hAnsi="宋体" w:cs="宋体"/>
          <w:b/>
          <w:bCs/>
          <w:spacing w:val="-13"/>
          <w:sz w:val="22"/>
        </w:rPr>
        <w:t xml:space="preserve">五、保密义务</w:t>
      </w:r>
      <w:r/>
    </w:p>
    <w:p>
      <w:pPr>
        <w:ind w:firstLine="424"/>
        <w:spacing w:line="560" w:lineRule="exact"/>
        <w:widowControl/>
        <w:rPr>
          <w:rFonts w:ascii="宋体" w:hAnsi="宋体" w:cs="宋体"/>
          <w:sz w:val="22"/>
        </w:rPr>
      </w:pPr>
      <w:r>
        <w:rPr>
          <w:rFonts w:hint="eastAsia" w:ascii="宋体" w:hAnsi="宋体" w:cs="宋体"/>
          <w:spacing w:val="-4"/>
          <w:sz w:val="22"/>
        </w:rPr>
        <w:t xml:space="preserve">(一)在合作期内及以后，协议内容及双方相关资料(包括但</w:t>
      </w:r>
      <w:r>
        <w:rPr>
          <w:rFonts w:hint="eastAsia" w:ascii="宋体" w:hAnsi="宋体" w:cs="宋体"/>
          <w:spacing w:val="-5"/>
          <w:sz w:val="22"/>
        </w:rPr>
        <w:t xml:space="preserve">不限于</w:t>
      </w:r>
      <w:r>
        <w:rPr>
          <w:rFonts w:hint="eastAsia" w:ascii="宋体" w:hAnsi="宋体" w:cs="宋体"/>
          <w:sz w:val="22"/>
        </w:rPr>
        <w:t xml:space="preserve"> </w:t>
      </w:r>
      <w:r>
        <w:rPr>
          <w:rFonts w:hint="eastAsia" w:ascii="宋体" w:hAnsi="宋体" w:cs="宋体"/>
          <w:spacing w:val="-10"/>
          <w:sz w:val="22"/>
        </w:rPr>
        <w:t xml:space="preserve">各类数据、受检者信息、检测报告、样本、价格、商业信</w:t>
      </w:r>
      <w:r>
        <w:rPr>
          <w:rFonts w:hint="eastAsia" w:ascii="宋体" w:hAnsi="宋体" w:cs="宋体"/>
          <w:spacing w:val="-11"/>
          <w:sz w:val="22"/>
        </w:rPr>
        <w:t xml:space="preserve">息)均为保密资</w:t>
      </w:r>
      <w:r>
        <w:rPr>
          <w:rFonts w:hint="eastAsia" w:ascii="宋体" w:hAnsi="宋体" w:cs="宋体"/>
          <w:sz w:val="22"/>
        </w:rPr>
        <w:t xml:space="preserve"> </w:t>
      </w:r>
      <w:r>
        <w:rPr>
          <w:rFonts w:hint="eastAsia" w:ascii="宋体" w:hAnsi="宋体" w:cs="宋体"/>
          <w:spacing w:val="-15"/>
          <w:sz w:val="22"/>
        </w:rPr>
        <w:t xml:space="preserve">料。除非保密资料已通过正当途径为公众所知，或除非由拥有资料一方事</w:t>
      </w:r>
      <w:r>
        <w:rPr>
          <w:rFonts w:hint="eastAsia" w:ascii="宋体" w:hAnsi="宋体" w:cs="宋体"/>
          <w:spacing w:val="2"/>
          <w:sz w:val="22"/>
        </w:rPr>
        <w:t xml:space="preserve"> </w:t>
      </w:r>
      <w:r>
        <w:rPr>
          <w:rFonts w:hint="eastAsia" w:ascii="宋体" w:hAnsi="宋体" w:cs="宋体"/>
          <w:spacing w:val="-15"/>
          <w:sz w:val="22"/>
        </w:rPr>
        <w:t xml:space="preserve">先书面授权透露，双方均应各自对保密资料保密，不得向除对方以外的任</w:t>
      </w:r>
      <w:r>
        <w:rPr>
          <w:rFonts w:hint="eastAsia" w:ascii="宋体" w:hAnsi="宋体" w:cs="宋体"/>
          <w:sz w:val="22"/>
        </w:rPr>
        <w:t xml:space="preserve"> </w:t>
      </w:r>
      <w:r>
        <w:rPr>
          <w:rFonts w:hint="eastAsia" w:ascii="宋体" w:hAnsi="宋体" w:cs="宋体"/>
          <w:spacing w:val="-15"/>
          <w:sz w:val="22"/>
        </w:rPr>
        <w:t xml:space="preserve">何第三人透露，也不得将保密资料用于与本协议条款和条件不相符合的任</w:t>
      </w:r>
      <w:r>
        <w:rPr>
          <w:rFonts w:hint="eastAsia" w:ascii="宋体" w:hAnsi="宋体" w:cs="宋体"/>
          <w:sz w:val="22"/>
        </w:rPr>
        <w:t xml:space="preserve"> </w:t>
      </w:r>
      <w:r>
        <w:rPr>
          <w:rFonts w:hint="eastAsia" w:ascii="宋体" w:hAnsi="宋体" w:cs="宋体"/>
          <w:spacing w:val="-16"/>
          <w:sz w:val="22"/>
        </w:rPr>
        <w:t xml:space="preserve">何目的。</w:t>
      </w:r>
      <w:r/>
    </w:p>
    <w:p>
      <w:pPr>
        <w:ind w:firstLine="404"/>
        <w:spacing w:line="560" w:lineRule="exact"/>
        <w:widowControl/>
        <w:rPr>
          <w:rFonts w:ascii="宋体" w:hAnsi="宋体" w:cs="宋体"/>
          <w:sz w:val="22"/>
        </w:rPr>
      </w:pPr>
      <w:r>
        <w:rPr>
          <w:rFonts w:hint="eastAsia" w:ascii="宋体" w:hAnsi="宋体" w:cs="宋体"/>
          <w:spacing w:val="-9"/>
          <w:sz w:val="22"/>
        </w:rPr>
        <w:t xml:space="preserve">(二)双方只能向因职责所需而需要了解上述保密资料的工作人员透</w:t>
      </w:r>
      <w:r>
        <w:rPr>
          <w:rFonts w:hint="eastAsia" w:ascii="宋体" w:hAnsi="宋体" w:cs="宋体"/>
          <w:sz w:val="22"/>
        </w:rPr>
        <w:t xml:space="preserve"> </w:t>
      </w:r>
      <w:r>
        <w:rPr>
          <w:rFonts w:hint="eastAsia" w:ascii="宋体" w:hAnsi="宋体" w:cs="宋体"/>
          <w:spacing w:val="-16"/>
          <w:sz w:val="22"/>
        </w:rPr>
        <w:t xml:space="preserve">露保密资料，且该工作人员经双方协商授权确定，并应与授权的工作人员</w:t>
      </w:r>
      <w:r>
        <w:rPr>
          <w:rFonts w:hint="eastAsia" w:ascii="宋体" w:hAnsi="宋体" w:cs="宋体"/>
          <w:spacing w:val="16"/>
          <w:sz w:val="22"/>
        </w:rPr>
        <w:t xml:space="preserve"> </w:t>
      </w:r>
      <w:r>
        <w:rPr>
          <w:rFonts w:hint="eastAsia" w:ascii="宋体" w:hAnsi="宋体" w:cs="宋体"/>
          <w:spacing w:val="-13"/>
          <w:sz w:val="22"/>
        </w:rPr>
        <w:t xml:space="preserve">签订《保密合同》以防止未经授权向第三人披露。</w:t>
      </w:r>
      <w:r/>
    </w:p>
    <w:p>
      <w:pPr>
        <w:ind w:firstLine="404"/>
        <w:spacing w:line="560" w:lineRule="exact"/>
        <w:widowControl/>
        <w:rPr>
          <w:rFonts w:ascii="宋体" w:hAnsi="宋体" w:cs="宋体"/>
          <w:sz w:val="22"/>
        </w:rPr>
      </w:pPr>
      <w:r>
        <w:rPr>
          <w:rFonts w:hint="eastAsia" w:ascii="宋体" w:hAnsi="宋体" w:cs="宋体"/>
          <w:spacing w:val="-9"/>
          <w:sz w:val="22"/>
        </w:rPr>
        <w:t xml:space="preserve">(三)双方保证对受检者所有信息保密，除非该信息已经由受检者主</w:t>
      </w:r>
      <w:r>
        <w:rPr>
          <w:rFonts w:hint="eastAsia" w:ascii="宋体" w:hAnsi="宋体" w:cs="宋体"/>
          <w:spacing w:val="3"/>
          <w:sz w:val="22"/>
        </w:rPr>
        <w:t xml:space="preserve"> </w:t>
      </w:r>
      <w:r>
        <w:rPr>
          <w:rFonts w:hint="eastAsia" w:ascii="宋体" w:hAnsi="宋体" w:cs="宋体"/>
          <w:spacing w:val="-16"/>
          <w:sz w:val="22"/>
        </w:rPr>
        <w:t xml:space="preserve">动公开。</w:t>
      </w:r>
      <w:r/>
    </w:p>
    <w:p>
      <w:pPr>
        <w:ind w:firstLine="420"/>
        <w:spacing w:line="560" w:lineRule="exact"/>
        <w:widowControl/>
        <w:rPr>
          <w:rFonts w:ascii="宋体" w:hAnsi="宋体" w:cs="宋体"/>
          <w:sz w:val="22"/>
        </w:rPr>
      </w:pPr>
      <w:r>
        <w:rPr>
          <w:rFonts w:hint="eastAsia" w:ascii="宋体" w:hAnsi="宋体" w:cs="宋体"/>
          <w:spacing w:val="-5"/>
          <w:sz w:val="22"/>
        </w:rPr>
        <w:t xml:space="preserve">(四)除征得甲方事先书面同意外，乙方不得将检测信息用于科研、</w:t>
      </w:r>
      <w:r>
        <w:rPr>
          <w:rFonts w:hint="eastAsia" w:ascii="宋体" w:hAnsi="宋体" w:cs="宋体"/>
          <w:spacing w:val="4"/>
          <w:sz w:val="22"/>
        </w:rPr>
        <w:t xml:space="preserve"> </w:t>
      </w:r>
      <w:r>
        <w:rPr>
          <w:rFonts w:hint="eastAsia" w:ascii="宋体" w:hAnsi="宋体" w:cs="宋体"/>
          <w:spacing w:val="-17"/>
          <w:sz w:val="22"/>
        </w:rPr>
        <w:t xml:space="preserve">宣传。</w:t>
      </w:r>
      <w:r/>
    </w:p>
    <w:p>
      <w:pPr>
        <w:ind w:firstLine="404"/>
        <w:spacing w:line="560" w:lineRule="exact"/>
        <w:widowControl/>
        <w:rPr>
          <w:rFonts w:ascii="宋体" w:hAnsi="宋体" w:cs="宋体"/>
          <w:sz w:val="22"/>
        </w:rPr>
      </w:pPr>
      <w:r>
        <w:rPr>
          <w:rFonts w:hint="eastAsia" w:ascii="宋体" w:hAnsi="宋体" w:cs="宋体"/>
          <w:spacing w:val="-9"/>
          <w:sz w:val="22"/>
        </w:rPr>
        <w:t xml:space="preserve">(五)本协议规定的保密义务不因本协议的终止、中止而失效，除非</w:t>
      </w:r>
      <w:r>
        <w:rPr>
          <w:rFonts w:hint="eastAsia" w:ascii="宋体" w:hAnsi="宋体" w:cs="宋体"/>
          <w:spacing w:val="7"/>
          <w:sz w:val="22"/>
        </w:rPr>
        <w:t xml:space="preserve"> </w:t>
      </w:r>
      <w:r>
        <w:rPr>
          <w:rFonts w:hint="eastAsia" w:ascii="宋体" w:hAnsi="宋体" w:cs="宋体"/>
          <w:spacing w:val="-13"/>
          <w:sz w:val="22"/>
        </w:rPr>
        <w:t xml:space="preserve">相关资料依法成为公开信息。</w:t>
      </w:r>
      <w:r/>
    </w:p>
    <w:p>
      <w:pPr>
        <w:ind w:firstLine="406"/>
        <w:spacing w:line="560" w:lineRule="exact"/>
        <w:widowControl/>
        <w:rPr>
          <w:rFonts w:ascii="宋体" w:hAnsi="宋体" w:cs="宋体"/>
          <w:sz w:val="22"/>
        </w:rPr>
        <w:outlineLvl w:val="2"/>
      </w:pPr>
      <w:r>
        <w:rPr>
          <w:rFonts w:hint="eastAsia" w:ascii="宋体" w:hAnsi="宋体" w:cs="宋体"/>
          <w:b/>
          <w:bCs/>
          <w:spacing w:val="-9"/>
          <w:sz w:val="22"/>
        </w:rPr>
        <w:t xml:space="preserve">六、违约责任</w:t>
      </w:r>
      <w:r/>
    </w:p>
    <w:p>
      <w:pPr>
        <w:ind w:firstLine="510"/>
        <w:spacing w:line="560" w:lineRule="exact"/>
        <w:widowControl/>
        <w:rPr>
          <w:rFonts w:ascii="宋体" w:hAnsi="宋体" w:cs="宋体"/>
          <w:sz w:val="22"/>
        </w:rPr>
        <w:outlineLvl w:val="2"/>
      </w:pPr>
      <w:r>
        <w:rPr>
          <w:rFonts w:hint="eastAsia" w:ascii="宋体" w:hAnsi="宋体" w:cs="宋体"/>
          <w:b/>
          <w:bCs/>
          <w:spacing w:val="17"/>
          <w:sz w:val="22"/>
        </w:rPr>
        <w:t xml:space="preserve">(一)延期责任</w:t>
      </w:r>
      <w:r/>
    </w:p>
    <w:p>
      <w:pPr>
        <w:ind w:firstLine="420"/>
        <w:spacing w:line="560" w:lineRule="exact"/>
        <w:widowControl/>
        <w:rPr>
          <w:rFonts w:ascii="宋体" w:hAnsi="宋体" w:cs="宋体"/>
          <w:sz w:val="22"/>
        </w:rPr>
      </w:pPr>
      <w:r>
        <w:rPr>
          <w:rFonts w:hint="eastAsia" w:ascii="宋体" w:hAnsi="宋体" w:cs="宋体"/>
          <w:spacing w:val="-5"/>
          <w:sz w:val="22"/>
        </w:rPr>
        <w:t xml:space="preserve">1.如因甲方提供的样本及相关临床资料不合</w:t>
      </w:r>
      <w:r>
        <w:rPr>
          <w:rFonts w:hint="eastAsia" w:ascii="宋体" w:hAnsi="宋体" w:cs="宋体"/>
          <w:spacing w:val="-6"/>
          <w:sz w:val="22"/>
        </w:rPr>
        <w:t xml:space="preserve">格或未能按时提供等原</w:t>
      </w:r>
      <w:r>
        <w:rPr>
          <w:rFonts w:hint="eastAsia" w:ascii="宋体" w:hAnsi="宋体" w:cs="宋体"/>
          <w:sz w:val="22"/>
        </w:rPr>
        <w:t xml:space="preserve"> </w:t>
      </w:r>
      <w:r>
        <w:rPr>
          <w:rFonts w:hint="eastAsia" w:ascii="宋体" w:hAnsi="宋体" w:cs="宋体"/>
          <w:spacing w:val="-17"/>
          <w:sz w:val="22"/>
        </w:rPr>
        <w:t xml:space="preserve">因导致的检测延误，由甲方自行承担责任，因乙方未尽临床培训等相应义</w:t>
      </w:r>
      <w:r>
        <w:rPr>
          <w:rFonts w:hint="eastAsia" w:ascii="宋体" w:hAnsi="宋体" w:cs="宋体"/>
          <w:spacing w:val="-13"/>
          <w:sz w:val="22"/>
        </w:rPr>
        <w:t xml:space="preserve">务造成上述结果的情形除外。</w:t>
      </w:r>
      <w:r/>
    </w:p>
    <w:p>
      <w:pPr>
        <w:ind w:firstLine="432"/>
        <w:spacing w:line="560" w:lineRule="exact"/>
        <w:widowControl/>
        <w:rPr>
          <w:rFonts w:ascii="宋体" w:hAnsi="宋体" w:cs="宋体"/>
          <w:spacing w:val="-17"/>
          <w:sz w:val="22"/>
        </w:rPr>
      </w:pPr>
      <w:r>
        <w:rPr>
          <w:rFonts w:hint="eastAsia" w:ascii="宋体" w:hAnsi="宋体" w:cs="宋体"/>
          <w:spacing w:val="-2"/>
          <w:sz w:val="22"/>
        </w:rPr>
        <w:t xml:space="preserve">2.如因乙方原因(包括实验室内样本丢失、检测、出具报</w:t>
      </w:r>
      <w:r>
        <w:rPr>
          <w:rFonts w:hint="eastAsia" w:ascii="宋体" w:hAnsi="宋体" w:cs="宋体"/>
          <w:spacing w:val="-3"/>
          <w:sz w:val="22"/>
        </w:rPr>
        <w:t xml:space="preserve">告、数据传输等环节)</w:t>
      </w:r>
      <w:r>
        <w:rPr>
          <w:rFonts w:hint="eastAsia" w:ascii="宋体" w:hAnsi="宋体" w:cs="宋体"/>
          <w:sz w:val="22"/>
        </w:rPr>
        <w:t xml:space="preserve"> </w:t>
      </w:r>
      <w:r>
        <w:rPr>
          <w:rFonts w:hint="eastAsia" w:ascii="宋体" w:hAnsi="宋体" w:cs="宋体"/>
          <w:spacing w:val="-10"/>
          <w:sz w:val="22"/>
        </w:rPr>
        <w:t xml:space="preserve">不能按时提供检测结果导致的出具检测报告延误或未及时上报危急值，</w:t>
      </w:r>
      <w:r>
        <w:rPr>
          <w:rFonts w:hint="eastAsia" w:ascii="宋体" w:hAnsi="宋体" w:cs="宋体"/>
          <w:spacing w:val="-17"/>
          <w:sz w:val="22"/>
        </w:rPr>
        <w:t xml:space="preserve">因延误导致患者投诉致甲方赔偿的，所有费用由</w:t>
      </w:r>
      <w:r>
        <w:rPr>
          <w:rFonts w:hint="eastAsia" w:ascii="宋体" w:hAnsi="宋体" w:cs="宋体"/>
          <w:spacing w:val="-2"/>
          <w:sz w:val="22"/>
        </w:rPr>
        <w:t xml:space="preserve">乙方承担</w:t>
      </w:r>
      <w:r>
        <w:rPr>
          <w:rFonts w:hint="eastAsia" w:ascii="宋体" w:hAnsi="宋体" w:cs="宋体"/>
          <w:spacing w:val="-17"/>
          <w:sz w:val="22"/>
        </w:rPr>
        <w:t xml:space="preserve">。</w:t>
      </w:r>
      <w:r/>
    </w:p>
    <w:p>
      <w:pPr>
        <w:ind w:firstLine="372"/>
        <w:spacing w:line="560" w:lineRule="exact"/>
        <w:widowControl/>
        <w:rPr>
          <w:rFonts w:ascii="宋体" w:hAnsi="宋体" w:cs="宋体"/>
          <w:spacing w:val="-17"/>
          <w:sz w:val="22"/>
        </w:rPr>
      </w:pPr>
      <w:r>
        <w:rPr>
          <w:rFonts w:hint="eastAsia" w:ascii="宋体" w:hAnsi="宋体" w:cs="宋体"/>
          <w:spacing w:val="-17"/>
          <w:sz w:val="22"/>
        </w:rPr>
        <w:t xml:space="preserve">3.</w:t>
      </w:r>
      <w:r>
        <w:rPr>
          <w:rFonts w:hint="eastAsia" w:ascii="宋体" w:hAnsi="宋体" w:cs="宋体"/>
          <w:spacing w:val="-15"/>
          <w:sz w:val="22"/>
        </w:rPr>
        <w:t xml:space="preserve">乙方擅自对检测项目进行更改（包括但不限于调整参考区间、更换检测方法学、暂停或停止检测服务、调整检测流程），未及时履行通知义务，导致甲方临床诊疗工作受到影响或产生医疗纠纷的，由此造成的全部损失由乙方承担。</w:t>
      </w:r>
      <w:r/>
    </w:p>
    <w:p>
      <w:pPr>
        <w:ind w:firstLine="384"/>
        <w:spacing w:line="560" w:lineRule="exact"/>
        <w:widowControl/>
        <w:rPr>
          <w:rFonts w:ascii="宋体" w:hAnsi="宋体" w:cs="宋体"/>
          <w:sz w:val="22"/>
        </w:rPr>
      </w:pPr>
      <w:r>
        <w:rPr>
          <w:rFonts w:hint="eastAsia" w:ascii="宋体" w:hAnsi="宋体" w:cs="宋体"/>
          <w:spacing w:val="-14"/>
          <w:sz w:val="22"/>
        </w:rPr>
        <w:t xml:space="preserve">4.乙方在检测或数据处理过程中因样本活性低、个</w:t>
      </w:r>
      <w:r>
        <w:rPr>
          <w:rFonts w:hint="eastAsia" w:ascii="宋体" w:hAnsi="宋体" w:cs="宋体"/>
          <w:spacing w:val="-15"/>
          <w:sz w:val="22"/>
        </w:rPr>
        <w:t xml:space="preserve">体差异、结果疑难</w:t>
      </w:r>
      <w:r>
        <w:rPr>
          <w:rFonts w:hint="eastAsia" w:ascii="宋体" w:hAnsi="宋体" w:cs="宋体"/>
          <w:sz w:val="22"/>
        </w:rPr>
        <w:t xml:space="preserve">  </w:t>
      </w:r>
      <w:r>
        <w:rPr>
          <w:rFonts w:hint="eastAsia" w:ascii="宋体" w:hAnsi="宋体" w:cs="宋体"/>
          <w:spacing w:val="-15"/>
          <w:sz w:val="22"/>
        </w:rPr>
        <w:t xml:space="preserve">复杂需进一步验证性检测等原因而出现培养或检测困难，检测</w:t>
      </w:r>
      <w:r>
        <w:rPr>
          <w:rFonts w:hint="eastAsia" w:ascii="宋体" w:hAnsi="宋体" w:cs="宋体"/>
          <w:spacing w:val="-16"/>
          <w:sz w:val="22"/>
        </w:rPr>
        <w:t xml:space="preserve">报告出具时</w:t>
      </w:r>
      <w:r>
        <w:rPr>
          <w:rFonts w:hint="eastAsia" w:ascii="宋体" w:hAnsi="宋体" w:cs="宋体"/>
          <w:sz w:val="22"/>
        </w:rPr>
        <w:t xml:space="preserve">  </w:t>
      </w:r>
      <w:r>
        <w:rPr>
          <w:rFonts w:hint="eastAsia" w:ascii="宋体" w:hAnsi="宋体" w:cs="宋体"/>
          <w:spacing w:val="-15"/>
          <w:sz w:val="22"/>
        </w:rPr>
        <w:t xml:space="preserve">间将相应延长，在该情况下乙方应在检测周期届满前及时通知甲方，由甲</w:t>
      </w:r>
      <w:r>
        <w:rPr>
          <w:rFonts w:hint="eastAsia" w:ascii="宋体" w:hAnsi="宋体" w:cs="宋体"/>
          <w:spacing w:val="1"/>
          <w:sz w:val="22"/>
        </w:rPr>
        <w:t xml:space="preserve">  </w:t>
      </w:r>
      <w:r>
        <w:rPr>
          <w:rFonts w:hint="eastAsia" w:ascii="宋体" w:hAnsi="宋体" w:cs="宋体"/>
          <w:spacing w:val="-17"/>
          <w:sz w:val="22"/>
        </w:rPr>
        <w:t xml:space="preserve">乙双方积极协商解决。非因乙方过错且乙方尽通知义务造成的延期的情形，</w:t>
      </w:r>
      <w:r>
        <w:rPr>
          <w:rFonts w:hint="eastAsia" w:ascii="宋体" w:hAnsi="宋体" w:cs="宋体"/>
          <w:spacing w:val="14"/>
          <w:sz w:val="22"/>
        </w:rPr>
        <w:t xml:space="preserve"> </w:t>
      </w:r>
      <w:r>
        <w:rPr>
          <w:rFonts w:hint="eastAsia" w:ascii="宋体" w:hAnsi="宋体" w:cs="宋体"/>
          <w:spacing w:val="-12"/>
          <w:sz w:val="22"/>
        </w:rPr>
        <w:t xml:space="preserve">不属于乙方的违约情况。</w:t>
      </w:r>
      <w:r/>
    </w:p>
    <w:p>
      <w:pPr>
        <w:ind w:firstLine="384"/>
        <w:spacing w:line="560" w:lineRule="exact"/>
        <w:widowControl/>
        <w:rPr>
          <w:rFonts w:ascii="宋体" w:hAnsi="宋体" w:cs="宋体"/>
          <w:sz w:val="22"/>
        </w:rPr>
      </w:pPr>
      <w:r>
        <w:rPr>
          <w:rFonts w:hint="eastAsia" w:ascii="宋体" w:hAnsi="宋体" w:cs="宋体"/>
          <w:spacing w:val="-14"/>
          <w:sz w:val="22"/>
        </w:rPr>
        <w:t xml:space="preserve">5.不可抗拒的客观因素导致项目延误或协议不能继续履行时，双</w:t>
      </w:r>
      <w:r>
        <w:rPr>
          <w:rFonts w:hint="eastAsia" w:ascii="宋体" w:hAnsi="宋体" w:cs="宋体"/>
          <w:spacing w:val="-15"/>
          <w:sz w:val="22"/>
        </w:rPr>
        <w:t xml:space="preserve">方均</w:t>
      </w:r>
      <w:r>
        <w:rPr>
          <w:rFonts w:hint="eastAsia" w:ascii="宋体" w:hAnsi="宋体" w:cs="宋体"/>
          <w:sz w:val="22"/>
        </w:rPr>
        <w:t xml:space="preserve"> </w:t>
      </w:r>
      <w:r>
        <w:rPr>
          <w:rFonts w:hint="eastAsia" w:ascii="宋体" w:hAnsi="宋体" w:cs="宋体"/>
          <w:spacing w:val="-15"/>
          <w:sz w:val="22"/>
        </w:rPr>
        <w:t xml:space="preserve">不承担责任。受到不可抗力影响的一方应当及时书面通知另一方，</w:t>
      </w:r>
      <w:r>
        <w:rPr>
          <w:rFonts w:hint="eastAsia" w:ascii="宋体" w:hAnsi="宋体" w:cs="宋体"/>
          <w:spacing w:val="-16"/>
          <w:sz w:val="22"/>
        </w:rPr>
        <w:t xml:space="preserve">并出具</w:t>
      </w:r>
      <w:r>
        <w:rPr>
          <w:rFonts w:hint="eastAsia" w:ascii="宋体" w:hAnsi="宋体" w:cs="宋体"/>
          <w:sz w:val="22"/>
        </w:rPr>
        <w:t xml:space="preserve"> </w:t>
      </w:r>
      <w:r>
        <w:rPr>
          <w:rFonts w:hint="eastAsia" w:ascii="宋体" w:hAnsi="宋体" w:cs="宋体"/>
          <w:spacing w:val="-15"/>
          <w:sz w:val="22"/>
        </w:rPr>
        <w:t xml:space="preserve">证明材料。不可抗拒力包括地震、洪水、战争、军事行动、法律或政府政</w:t>
      </w:r>
      <w:r>
        <w:rPr>
          <w:rFonts w:hint="eastAsia" w:ascii="宋体" w:hAnsi="宋体" w:cs="宋体"/>
          <w:sz w:val="22"/>
        </w:rPr>
        <w:t xml:space="preserve"> </w:t>
      </w:r>
      <w:r>
        <w:rPr>
          <w:rFonts w:hint="eastAsia" w:ascii="宋体" w:hAnsi="宋体" w:cs="宋体"/>
          <w:spacing w:val="-12"/>
          <w:sz w:val="22"/>
        </w:rPr>
        <w:t xml:space="preserve">策等相关因素。</w:t>
      </w:r>
      <w:r/>
    </w:p>
    <w:p>
      <w:pPr>
        <w:ind w:firstLine="380"/>
        <w:spacing w:line="560" w:lineRule="exact"/>
        <w:widowControl/>
        <w:rPr>
          <w:rFonts w:ascii="宋体" w:hAnsi="宋体" w:cs="宋体"/>
          <w:sz w:val="22"/>
        </w:rPr>
      </w:pPr>
      <w:r>
        <w:rPr>
          <w:rFonts w:hint="eastAsia" w:ascii="宋体" w:hAnsi="宋体" w:cs="宋体"/>
          <w:spacing w:val="-15"/>
          <w:sz w:val="22"/>
        </w:rPr>
        <w:t xml:space="preserve">6.特殊情况下，需要重新取样进行重新检测的，取样和检测均不重复</w:t>
      </w:r>
      <w:r>
        <w:rPr>
          <w:rFonts w:hint="eastAsia" w:ascii="宋体" w:hAnsi="宋体" w:cs="宋体"/>
          <w:spacing w:val="4"/>
          <w:sz w:val="22"/>
        </w:rPr>
        <w:t xml:space="preserve"> </w:t>
      </w:r>
      <w:r>
        <w:rPr>
          <w:rFonts w:hint="eastAsia" w:ascii="宋体" w:hAnsi="宋体" w:cs="宋体"/>
          <w:spacing w:val="-20"/>
          <w:sz w:val="22"/>
        </w:rPr>
        <w:t xml:space="preserve">收费。如遇无法出具报告的案例，由甲方负责退回受检者相应</w:t>
      </w:r>
      <w:r>
        <w:rPr>
          <w:rFonts w:hint="eastAsia" w:ascii="宋体" w:hAnsi="宋体" w:cs="宋体"/>
          <w:spacing w:val="-21"/>
          <w:sz w:val="22"/>
        </w:rPr>
        <w:t xml:space="preserve">的检测费用，</w:t>
      </w:r>
      <w:r>
        <w:rPr>
          <w:rFonts w:hint="eastAsia" w:ascii="宋体" w:hAnsi="宋体" w:cs="宋体"/>
          <w:sz w:val="22"/>
        </w:rPr>
        <w:t xml:space="preserve"> </w:t>
      </w:r>
      <w:r>
        <w:rPr>
          <w:rFonts w:hint="eastAsia" w:ascii="宋体" w:hAnsi="宋体" w:cs="宋体"/>
          <w:spacing w:val="-11"/>
          <w:sz w:val="22"/>
        </w:rPr>
        <w:t xml:space="preserve">这种情形下甲方无需就该样本向乙方支付检测费</w:t>
      </w:r>
      <w:r>
        <w:rPr>
          <w:rFonts w:hint="eastAsia" w:ascii="宋体" w:hAnsi="宋体" w:cs="宋体"/>
          <w:spacing w:val="-12"/>
          <w:sz w:val="22"/>
        </w:rPr>
        <w:t xml:space="preserve">用。</w:t>
      </w:r>
      <w:r/>
    </w:p>
    <w:p>
      <w:pPr>
        <w:ind w:firstLine="450"/>
        <w:spacing w:line="560" w:lineRule="exact"/>
        <w:widowControl/>
        <w:rPr>
          <w:rFonts w:ascii="宋体" w:hAnsi="宋体" w:cs="宋体"/>
          <w:sz w:val="22"/>
        </w:rPr>
        <w:outlineLvl w:val="0"/>
      </w:pPr>
      <w:r>
        <w:rPr>
          <w:rFonts w:hint="eastAsia" w:ascii="宋体" w:hAnsi="宋体" w:cs="宋体"/>
          <w:b/>
          <w:bCs/>
          <w:spacing w:val="2"/>
          <w:sz w:val="22"/>
        </w:rPr>
        <w:t xml:space="preserve">(二)检测结果的争议</w:t>
      </w:r>
      <w:r/>
    </w:p>
    <w:p>
      <w:pPr>
        <w:ind w:firstLine="404"/>
        <w:spacing w:line="560" w:lineRule="exact"/>
        <w:widowControl/>
        <w:rPr>
          <w:rFonts w:ascii="宋体" w:hAnsi="宋体" w:cs="宋体"/>
          <w:sz w:val="22"/>
        </w:rPr>
      </w:pPr>
      <w:r>
        <w:rPr>
          <w:rFonts w:hint="eastAsia" w:ascii="宋体" w:hAnsi="宋体" w:cs="宋体"/>
          <w:spacing w:val="-9"/>
          <w:sz w:val="22"/>
        </w:rPr>
        <w:t xml:space="preserve">1.乙方保证对甲方送检的合格样本收费(包括完整的临床申请单及受</w:t>
      </w:r>
      <w:r>
        <w:rPr>
          <w:rFonts w:hint="eastAsia" w:ascii="宋体" w:hAnsi="宋体" w:cs="宋体"/>
          <w:spacing w:val="7"/>
          <w:sz w:val="22"/>
        </w:rPr>
        <w:t xml:space="preserve"> </w:t>
      </w:r>
      <w:r>
        <w:rPr>
          <w:rFonts w:hint="eastAsia" w:ascii="宋体" w:hAnsi="宋体" w:cs="宋体"/>
          <w:spacing w:val="-9"/>
          <w:sz w:val="22"/>
        </w:rPr>
        <w:t xml:space="preserve">检者知情同意书)按照甲方申请的检测方法进行检测并对检测结果</w:t>
      </w:r>
      <w:r>
        <w:rPr>
          <w:rFonts w:hint="eastAsia" w:ascii="宋体" w:hAnsi="宋体" w:cs="宋体"/>
          <w:spacing w:val="-10"/>
          <w:sz w:val="22"/>
        </w:rPr>
        <w:t xml:space="preserve">的质量</w:t>
      </w:r>
      <w:r>
        <w:rPr>
          <w:rFonts w:hint="eastAsia" w:ascii="宋体" w:hAnsi="宋体" w:cs="宋体"/>
          <w:sz w:val="22"/>
        </w:rPr>
        <w:t xml:space="preserve"> </w:t>
      </w:r>
      <w:r>
        <w:rPr>
          <w:rFonts w:hint="eastAsia" w:ascii="宋体" w:hAnsi="宋体" w:cs="宋体"/>
          <w:spacing w:val="-16"/>
          <w:sz w:val="22"/>
        </w:rPr>
        <w:t xml:space="preserve">承担责任。</w:t>
      </w:r>
      <w:r/>
    </w:p>
    <w:p>
      <w:pPr>
        <w:ind w:firstLine="388"/>
        <w:spacing w:line="560" w:lineRule="exact"/>
        <w:widowControl/>
        <w:rPr>
          <w:rFonts w:ascii="宋体" w:hAnsi="宋体" w:cs="宋体"/>
          <w:sz w:val="22"/>
        </w:rPr>
      </w:pPr>
      <w:r>
        <w:rPr>
          <w:rFonts w:hint="eastAsia" w:ascii="宋体" w:hAnsi="宋体" w:cs="宋体"/>
          <w:spacing w:val="-13"/>
          <w:sz w:val="22"/>
        </w:rPr>
        <w:t xml:space="preserve">2.乙方保证在技术检测范围内完成全部检测</w:t>
      </w:r>
      <w:r>
        <w:rPr>
          <w:rFonts w:hint="eastAsia" w:ascii="宋体" w:hAnsi="宋体" w:cs="宋体"/>
          <w:spacing w:val="-14"/>
          <w:sz w:val="22"/>
        </w:rPr>
        <w:t xml:space="preserve">内容。但是乙方在相应知</w:t>
      </w:r>
      <w:r>
        <w:rPr>
          <w:rFonts w:hint="eastAsia" w:ascii="宋体" w:hAnsi="宋体" w:cs="宋体"/>
          <w:sz w:val="22"/>
        </w:rPr>
        <w:t xml:space="preserve"> </w:t>
      </w:r>
      <w:r>
        <w:rPr>
          <w:rFonts w:hint="eastAsia" w:ascii="宋体" w:hAnsi="宋体" w:cs="宋体"/>
          <w:spacing w:val="-4"/>
          <w:sz w:val="22"/>
        </w:rPr>
        <w:t xml:space="preserve">情同意书上已标注的所用检测技术仍然不能全面覆</w:t>
      </w:r>
      <w:r>
        <w:rPr>
          <w:rFonts w:hint="eastAsia" w:ascii="宋体" w:hAnsi="宋体" w:cs="宋体"/>
          <w:spacing w:val="-5"/>
          <w:sz w:val="22"/>
        </w:rPr>
        <w:t xml:space="preserve">盖生物复杂性的具体</w:t>
      </w:r>
      <w:r>
        <w:rPr>
          <w:rFonts w:hint="eastAsia" w:ascii="宋体" w:hAnsi="宋体" w:cs="宋体"/>
          <w:sz w:val="22"/>
        </w:rPr>
        <w:t xml:space="preserve"> </w:t>
      </w:r>
      <w:r>
        <w:rPr>
          <w:rFonts w:hint="eastAsia" w:ascii="宋体" w:hAnsi="宋体" w:cs="宋体"/>
          <w:spacing w:val="-12"/>
          <w:sz w:val="22"/>
        </w:rPr>
        <w:t xml:space="preserve">情形，乙方不承担责任。</w:t>
      </w:r>
      <w:r/>
    </w:p>
    <w:p>
      <w:pPr>
        <w:ind w:firstLine="384"/>
        <w:spacing w:line="560" w:lineRule="exact"/>
        <w:widowControl/>
        <w:rPr>
          <w:rFonts w:ascii="宋体" w:hAnsi="宋体" w:cs="宋体"/>
          <w:sz w:val="22"/>
        </w:rPr>
      </w:pPr>
      <w:r>
        <w:rPr>
          <w:rFonts w:hint="eastAsia" w:ascii="宋体" w:hAnsi="宋体" w:cs="宋体"/>
          <w:spacing w:val="-14"/>
          <w:sz w:val="22"/>
        </w:rPr>
        <w:t xml:space="preserve">3.除上述情形之外，若甲乙双方对收费的样本检测结果的准确性有异</w:t>
      </w:r>
      <w:r>
        <w:rPr>
          <w:rFonts w:hint="eastAsia" w:ascii="宋体" w:hAnsi="宋体" w:cs="宋体"/>
          <w:spacing w:val="11"/>
          <w:sz w:val="22"/>
        </w:rPr>
        <w:t xml:space="preserve"> </w:t>
      </w:r>
      <w:r>
        <w:rPr>
          <w:rFonts w:hint="eastAsia" w:ascii="宋体" w:hAnsi="宋体" w:cs="宋体"/>
          <w:spacing w:val="-14"/>
          <w:sz w:val="22"/>
        </w:rPr>
        <w:t xml:space="preserve">议，可以在甲乙双方一致同意的前提下，通过中华医学会医疗事故技术鉴</w:t>
      </w:r>
      <w:r>
        <w:rPr>
          <w:rFonts w:hint="eastAsia" w:ascii="宋体" w:hAnsi="宋体" w:cs="宋体"/>
          <w:spacing w:val="6"/>
          <w:sz w:val="22"/>
        </w:rPr>
        <w:t xml:space="preserve"> </w:t>
      </w:r>
      <w:r>
        <w:rPr>
          <w:rFonts w:hint="eastAsia" w:ascii="宋体" w:hAnsi="宋体" w:cs="宋体"/>
          <w:spacing w:val="-14"/>
          <w:sz w:val="22"/>
        </w:rPr>
        <w:t xml:space="preserve">定办公室指定的单位用相应技术方法进行验证并组织专家论证，若确定为</w:t>
      </w:r>
      <w:r>
        <w:rPr>
          <w:rFonts w:hint="eastAsia" w:ascii="宋体" w:hAnsi="宋体" w:cs="宋体"/>
          <w:spacing w:val="7"/>
          <w:sz w:val="22"/>
        </w:rPr>
        <w:t xml:space="preserve"> </w:t>
      </w:r>
      <w:r>
        <w:rPr>
          <w:rFonts w:hint="eastAsia" w:ascii="宋体" w:hAnsi="宋体" w:cs="宋体"/>
          <w:spacing w:val="-12"/>
          <w:sz w:val="22"/>
        </w:rPr>
        <w:t xml:space="preserve">乙方检测结果不准确而造成的临床诊断失误，乙方承</w:t>
      </w:r>
      <w:r>
        <w:rPr>
          <w:rFonts w:hint="eastAsia" w:ascii="宋体" w:hAnsi="宋体" w:cs="宋体"/>
          <w:spacing w:val="-13"/>
          <w:sz w:val="22"/>
        </w:rPr>
        <w:t xml:space="preserve">担相应责任。</w:t>
      </w:r>
      <w:r/>
    </w:p>
    <w:p>
      <w:pPr>
        <w:ind w:firstLine="404"/>
        <w:spacing w:line="560" w:lineRule="exact"/>
        <w:widowControl/>
        <w:rPr>
          <w:rFonts w:ascii="宋体" w:hAnsi="宋体" w:cs="宋体"/>
          <w:sz w:val="22"/>
        </w:rPr>
      </w:pPr>
      <w:r>
        <w:rPr>
          <w:rFonts w:hint="eastAsia" w:ascii="宋体" w:hAnsi="宋体" w:cs="宋体"/>
          <w:spacing w:val="-9"/>
          <w:sz w:val="22"/>
        </w:rPr>
        <w:t xml:space="preserve">4.甲方对乙方提交的检测结果有异议的应当在接收报告后3个工作日</w:t>
      </w:r>
      <w:r>
        <w:rPr>
          <w:rFonts w:hint="eastAsia" w:ascii="宋体" w:hAnsi="宋体" w:cs="宋体"/>
          <w:spacing w:val="17"/>
          <w:sz w:val="22"/>
        </w:rPr>
        <w:t xml:space="preserve"> </w:t>
      </w:r>
      <w:r>
        <w:rPr>
          <w:rFonts w:hint="eastAsia" w:ascii="宋体" w:hAnsi="宋体" w:cs="宋体"/>
          <w:spacing w:val="-15"/>
          <w:sz w:val="22"/>
        </w:rPr>
        <w:t xml:space="preserve">内提出。若甲方在上述期限内没有提出异议，乙方将视同甲方完全接受检</w:t>
      </w:r>
      <w:r>
        <w:rPr>
          <w:rFonts w:hint="eastAsia" w:ascii="宋体" w:hAnsi="宋体" w:cs="宋体"/>
          <w:sz w:val="22"/>
        </w:rPr>
        <w:t xml:space="preserve"> </w:t>
      </w:r>
      <w:r>
        <w:rPr>
          <w:rFonts w:hint="eastAsia" w:ascii="宋体" w:hAnsi="宋体" w:cs="宋体"/>
          <w:spacing w:val="-14"/>
          <w:sz w:val="22"/>
        </w:rPr>
        <w:t xml:space="preserve">测结果。如因乙方检测结果有误经认定为乙方责任的，因此造成的医疗纠</w:t>
      </w:r>
      <w:r>
        <w:rPr>
          <w:rFonts w:hint="eastAsia" w:ascii="宋体" w:hAnsi="宋体" w:cs="宋体"/>
          <w:spacing w:val="5"/>
          <w:sz w:val="22"/>
        </w:rPr>
        <w:t xml:space="preserve"> </w:t>
      </w:r>
      <w:r>
        <w:rPr>
          <w:rFonts w:hint="eastAsia" w:ascii="宋体" w:hAnsi="宋体" w:cs="宋体"/>
          <w:spacing w:val="-1"/>
          <w:sz w:val="22"/>
        </w:rPr>
        <w:t xml:space="preserve">纷由乙方负责(不因甲方接受检测结果而免除乙方责任),如因乙方提供</w:t>
      </w:r>
      <w:r>
        <w:rPr>
          <w:rFonts w:hint="eastAsia" w:ascii="宋体" w:hAnsi="宋体" w:cs="宋体"/>
          <w:spacing w:val="10"/>
          <w:sz w:val="22"/>
        </w:rPr>
        <w:t xml:space="preserve"> </w:t>
      </w:r>
      <w:r>
        <w:rPr>
          <w:rFonts w:hint="eastAsia" w:ascii="宋体" w:hAnsi="宋体" w:cs="宋体"/>
          <w:spacing w:val="-11"/>
          <w:sz w:val="22"/>
        </w:rPr>
        <w:t xml:space="preserve">的知情同意书不全面并由此造成的医疗纠纷由乙方自行承担。</w:t>
      </w:r>
      <w:r/>
    </w:p>
    <w:p>
      <w:pPr>
        <w:ind w:firstLine="478"/>
        <w:spacing w:line="560" w:lineRule="exact"/>
        <w:widowControl/>
        <w:rPr>
          <w:rFonts w:ascii="宋体" w:hAnsi="宋体" w:cs="宋体"/>
          <w:sz w:val="22"/>
        </w:rPr>
        <w:outlineLvl w:val="0"/>
      </w:pPr>
      <w:r>
        <w:rPr>
          <w:rFonts w:hint="eastAsia" w:ascii="宋体" w:hAnsi="宋体" w:cs="宋体"/>
          <w:b/>
          <w:bCs/>
          <w:spacing w:val="9"/>
          <w:sz w:val="22"/>
        </w:rPr>
        <w:t xml:space="preserve">(三)违反保密义务</w:t>
      </w:r>
      <w:r/>
    </w:p>
    <w:p>
      <w:pPr>
        <w:ind w:firstLine="380"/>
        <w:spacing w:line="560" w:lineRule="exact"/>
        <w:widowControl/>
        <w:rPr>
          <w:rFonts w:ascii="宋体" w:hAnsi="宋体" w:cs="宋体"/>
          <w:sz w:val="22"/>
        </w:rPr>
      </w:pPr>
      <w:r>
        <w:rPr>
          <w:rFonts w:hint="eastAsia" w:ascii="宋体" w:hAnsi="宋体" w:cs="宋体"/>
          <w:spacing w:val="-15"/>
          <w:sz w:val="22"/>
        </w:rPr>
        <w:t xml:space="preserve">甲乙双方如有违反本协议第五条保密义务的</w:t>
      </w:r>
      <w:r>
        <w:rPr>
          <w:rFonts w:hint="eastAsia" w:ascii="宋体" w:hAnsi="宋体" w:cs="宋体"/>
          <w:spacing w:val="-16"/>
          <w:sz w:val="22"/>
        </w:rPr>
        <w:t xml:space="preserve">任何规定，则违约方须及</w:t>
      </w:r>
      <w:r>
        <w:rPr>
          <w:rFonts w:hint="eastAsia" w:ascii="宋体" w:hAnsi="宋体" w:cs="宋体"/>
          <w:sz w:val="22"/>
        </w:rPr>
        <w:t xml:space="preserve"> </w:t>
      </w:r>
      <w:r>
        <w:rPr>
          <w:rFonts w:hint="eastAsia" w:ascii="宋体" w:hAnsi="宋体" w:cs="宋体"/>
          <w:spacing w:val="-14"/>
          <w:sz w:val="22"/>
        </w:rPr>
        <w:t xml:space="preserve">时采取措施防止守约方损失扩大，赔偿守约方相关损失并支付</w:t>
      </w:r>
      <w:r>
        <w:rPr>
          <w:rFonts w:hint="eastAsia" w:ascii="宋体" w:hAnsi="宋体" w:cs="宋体"/>
          <w:spacing w:val="-93"/>
          <w:sz w:val="22"/>
        </w:rPr>
        <w:t xml:space="preserve"> </w:t>
      </w:r>
      <w:r>
        <w:rPr>
          <w:rFonts w:hint="eastAsia" w:ascii="宋体" w:hAnsi="宋体" w:cs="宋体"/>
          <w:spacing w:val="-14"/>
          <w:sz w:val="22"/>
          <w:u w:val="single"/>
        </w:rPr>
        <w:t xml:space="preserve">      </w:t>
      </w:r>
      <w:r>
        <w:rPr>
          <w:rFonts w:hint="eastAsia" w:ascii="宋体" w:hAnsi="宋体" w:cs="宋体"/>
          <w:spacing w:val="-14"/>
          <w:sz w:val="22"/>
        </w:rPr>
        <w:t xml:space="preserve">万元</w:t>
      </w:r>
      <w:r>
        <w:rPr>
          <w:rFonts w:hint="eastAsia" w:ascii="宋体" w:hAnsi="宋体" w:cs="宋体"/>
          <w:sz w:val="22"/>
        </w:rPr>
        <w:t xml:space="preserve"> </w:t>
      </w:r>
      <w:r>
        <w:rPr>
          <w:rFonts w:hint="eastAsia" w:ascii="宋体" w:hAnsi="宋体" w:cs="宋体"/>
          <w:spacing w:val="-14"/>
          <w:sz w:val="22"/>
        </w:rPr>
        <w:t xml:space="preserve">作为违约金。因违反保密条款引发侵权责任诉讼或赔偿事项的由违约方承</w:t>
      </w:r>
      <w:r>
        <w:rPr>
          <w:rFonts w:hint="eastAsia" w:ascii="宋体" w:hAnsi="宋体" w:cs="宋体"/>
          <w:spacing w:val="6"/>
          <w:sz w:val="22"/>
        </w:rPr>
        <w:t xml:space="preserve"> </w:t>
      </w:r>
      <w:r>
        <w:rPr>
          <w:rFonts w:hint="eastAsia" w:ascii="宋体" w:hAnsi="宋体" w:cs="宋体"/>
          <w:spacing w:val="-12"/>
          <w:sz w:val="22"/>
        </w:rPr>
        <w:t xml:space="preserve">担侵权法律责任。</w:t>
      </w:r>
      <w:r/>
    </w:p>
    <w:p>
      <w:pPr>
        <w:ind w:firstLine="466"/>
        <w:spacing w:line="560" w:lineRule="exact"/>
        <w:widowControl/>
        <w:rPr>
          <w:rFonts w:ascii="宋体" w:hAnsi="宋体" w:cs="宋体"/>
          <w:sz w:val="22"/>
        </w:rPr>
        <w:outlineLvl w:val="0"/>
      </w:pPr>
      <w:r>
        <w:rPr>
          <w:rFonts w:hint="eastAsia" w:ascii="宋体" w:hAnsi="宋体" w:cs="宋体"/>
          <w:b/>
          <w:bCs/>
          <w:spacing w:val="6"/>
          <w:sz w:val="22"/>
        </w:rPr>
        <w:t xml:space="preserve">(四)禁止转包、分包</w:t>
      </w:r>
      <w:r/>
    </w:p>
    <w:p>
      <w:pPr>
        <w:ind w:firstLine="380"/>
        <w:spacing w:line="560" w:lineRule="exact"/>
        <w:widowControl/>
        <w:rPr>
          <w:rFonts w:ascii="宋体" w:hAnsi="宋体" w:cs="宋体"/>
          <w:sz w:val="22"/>
        </w:rPr>
      </w:pPr>
      <w:r>
        <w:rPr>
          <w:rFonts w:hint="eastAsia" w:ascii="宋体" w:hAnsi="宋体" w:cs="宋体"/>
          <w:spacing w:val="-15"/>
          <w:sz w:val="22"/>
        </w:rPr>
        <w:t xml:space="preserve">乙方应亲自履行合同义务，不得将检测项目转包、分包给第三方进行</w:t>
      </w:r>
      <w:r>
        <w:rPr>
          <w:rFonts w:hint="eastAsia" w:ascii="宋体" w:hAnsi="宋体" w:cs="宋体"/>
          <w:spacing w:val="8"/>
          <w:sz w:val="22"/>
        </w:rPr>
        <w:t xml:space="preserve"> </w:t>
      </w:r>
      <w:r>
        <w:rPr>
          <w:rFonts w:hint="eastAsia" w:ascii="宋体" w:hAnsi="宋体" w:cs="宋体"/>
          <w:spacing w:val="-14"/>
          <w:sz w:val="22"/>
        </w:rPr>
        <w:t xml:space="preserve">检测。如乙方未经甲方同意，将样本送至第三方检测的，每发现一次计算</w:t>
      </w:r>
      <w:r>
        <w:rPr>
          <w:rFonts w:hint="eastAsia" w:ascii="宋体" w:hAnsi="宋体" w:cs="宋体"/>
          <w:spacing w:val="8"/>
          <w:sz w:val="22"/>
        </w:rPr>
        <w:t xml:space="preserve"> </w:t>
      </w:r>
      <w:r>
        <w:rPr>
          <w:rFonts w:hint="eastAsia" w:ascii="宋体" w:hAnsi="宋体" w:cs="宋体"/>
          <w:spacing w:val="-5"/>
          <w:sz w:val="22"/>
        </w:rPr>
        <w:t xml:space="preserve">一次违约责任并按</w:t>
      </w:r>
      <w:r>
        <w:rPr>
          <w:rFonts w:hint="eastAsia" w:ascii="宋体" w:hAnsi="宋体" w:cs="宋体"/>
          <w:spacing w:val="28"/>
          <w:sz w:val="22"/>
          <w:u w:val="single"/>
        </w:rPr>
        <w:t xml:space="preserve">    </w:t>
      </w:r>
      <w:r>
        <w:rPr>
          <w:rFonts w:hint="eastAsia" w:ascii="宋体" w:hAnsi="宋体" w:cs="宋体"/>
          <w:spacing w:val="-84"/>
          <w:sz w:val="22"/>
        </w:rPr>
        <w:t xml:space="preserve"> </w:t>
      </w:r>
      <w:r>
        <w:rPr>
          <w:rFonts w:hint="eastAsia" w:ascii="宋体" w:hAnsi="宋体" w:cs="宋体"/>
          <w:spacing w:val="-5"/>
          <w:sz w:val="22"/>
        </w:rPr>
        <w:t xml:space="preserve">万元/次承担违约责任。</w:t>
      </w:r>
      <w:r/>
    </w:p>
    <w:p>
      <w:pPr>
        <w:ind w:firstLine="434"/>
        <w:spacing w:line="560" w:lineRule="exact"/>
        <w:widowControl/>
        <w:rPr>
          <w:rFonts w:ascii="宋体" w:hAnsi="宋体" w:cs="宋体"/>
          <w:sz w:val="22"/>
        </w:rPr>
        <w:outlineLvl w:val="0"/>
      </w:pPr>
      <w:r>
        <w:rPr>
          <w:rFonts w:hint="eastAsia" w:ascii="宋体" w:hAnsi="宋体" w:cs="宋体"/>
          <w:b/>
          <w:bCs/>
          <w:spacing w:val="-2"/>
          <w:sz w:val="22"/>
        </w:rPr>
        <w:t xml:space="preserve">(五)检测不准确、不真实的责任承担</w:t>
      </w:r>
      <w:r/>
    </w:p>
    <w:p>
      <w:pPr>
        <w:ind w:firstLine="384"/>
        <w:spacing w:line="560" w:lineRule="exact"/>
        <w:widowControl/>
        <w:rPr>
          <w:rFonts w:ascii="宋体" w:hAnsi="宋体" w:cs="宋体"/>
          <w:sz w:val="22"/>
        </w:rPr>
      </w:pPr>
      <w:r>
        <w:rPr>
          <w:rFonts w:hint="eastAsia" w:ascii="宋体" w:hAnsi="宋体" w:cs="宋体"/>
          <w:spacing w:val="-14"/>
          <w:sz w:val="22"/>
        </w:rPr>
        <w:t xml:space="preserve">如乙方出具的检测报告不准确或不真实，导致甲方对外承担包括但不</w:t>
      </w:r>
      <w:r>
        <w:rPr>
          <w:rFonts w:hint="eastAsia" w:ascii="宋体" w:hAnsi="宋体" w:cs="宋体"/>
          <w:spacing w:val="3"/>
          <w:sz w:val="22"/>
        </w:rPr>
        <w:t xml:space="preserve"> </w:t>
      </w:r>
      <w:r>
        <w:rPr>
          <w:rFonts w:hint="eastAsia" w:ascii="宋体" w:hAnsi="宋体" w:cs="宋体"/>
          <w:spacing w:val="-19"/>
          <w:sz w:val="22"/>
        </w:rPr>
        <w:t xml:space="preserve">限于民事赔偿、行政处罚等责任，应由乙方承担甲方经济损失等全部责任，</w:t>
      </w:r>
      <w:r>
        <w:rPr>
          <w:rFonts w:hint="eastAsia" w:ascii="宋体" w:hAnsi="宋体" w:cs="宋体"/>
          <w:sz w:val="22"/>
        </w:rPr>
        <w:t xml:space="preserve"> </w:t>
      </w:r>
      <w:r>
        <w:rPr>
          <w:rFonts w:hint="eastAsia" w:ascii="宋体" w:hAnsi="宋体" w:cs="宋体"/>
          <w:spacing w:val="-15"/>
          <w:sz w:val="22"/>
        </w:rPr>
        <w:t xml:space="preserve">并按最终经济损失的</w:t>
      </w:r>
      <w:r>
        <w:rPr>
          <w:rFonts w:hint="eastAsia" w:ascii="宋体" w:hAnsi="宋体" w:cs="宋体"/>
          <w:spacing w:val="-123"/>
          <w:sz w:val="22"/>
        </w:rPr>
        <w:t xml:space="preserve"> </w:t>
      </w:r>
      <w:r>
        <w:rPr>
          <w:rFonts w:hint="eastAsia" w:ascii="宋体" w:hAnsi="宋体" w:cs="宋体"/>
          <w:spacing w:val="25"/>
          <w:sz w:val="22"/>
          <w:u w:val="single"/>
        </w:rPr>
        <w:t xml:space="preserve">  </w:t>
      </w:r>
      <w:r>
        <w:rPr>
          <w:rFonts w:hint="eastAsia" w:ascii="宋体" w:hAnsi="宋体" w:cs="宋体"/>
          <w:spacing w:val="-15"/>
          <w:sz w:val="22"/>
          <w:u w:val="single"/>
        </w:rPr>
        <w:t xml:space="preserve">(</w:t>
      </w:r>
      <w:r>
        <w:rPr>
          <w:rFonts w:hint="eastAsia" w:ascii="宋体" w:hAnsi="宋体" w:cs="宋体"/>
          <w:spacing w:val="41"/>
          <w:sz w:val="22"/>
          <w:u w:val="single"/>
        </w:rPr>
        <w:t xml:space="preserve"> </w:t>
      </w:r>
      <w:r>
        <w:rPr>
          <w:rFonts w:hint="eastAsia" w:ascii="宋体" w:hAnsi="宋体" w:cs="宋体"/>
          <w:spacing w:val="-15"/>
          <w:sz w:val="22"/>
          <w:u w:val="single"/>
        </w:rPr>
        <w:t xml:space="preserve">比 例 )  </w:t>
      </w:r>
      <w:r>
        <w:rPr>
          <w:rFonts w:hint="eastAsia" w:ascii="宋体" w:hAnsi="宋体" w:cs="宋体"/>
          <w:spacing w:val="-94"/>
          <w:sz w:val="22"/>
        </w:rPr>
        <w:t xml:space="preserve"> </w:t>
      </w:r>
      <w:r>
        <w:rPr>
          <w:rFonts w:hint="eastAsia" w:ascii="宋体" w:hAnsi="宋体" w:cs="宋体"/>
          <w:spacing w:val="-15"/>
          <w:sz w:val="22"/>
        </w:rPr>
        <w:t xml:space="preserve">向甲方支付违约金。</w:t>
      </w:r>
      <w:r/>
    </w:p>
    <w:p>
      <w:pPr>
        <w:ind w:firstLine="390"/>
        <w:spacing w:line="560" w:lineRule="exact"/>
        <w:widowControl/>
        <w:rPr>
          <w:rFonts w:ascii="宋体" w:hAnsi="宋体" w:cs="宋体"/>
          <w:sz w:val="22"/>
        </w:rPr>
        <w:outlineLvl w:val="0"/>
      </w:pPr>
      <w:r>
        <w:rPr>
          <w:rFonts w:hint="eastAsia" w:ascii="宋体" w:hAnsi="宋体" w:cs="宋体"/>
          <w:b/>
          <w:bCs/>
          <w:spacing w:val="-13"/>
          <w:sz w:val="22"/>
        </w:rPr>
        <w:t xml:space="preserve">七、协议履行</w:t>
      </w:r>
      <w:r/>
    </w:p>
    <w:p>
      <w:pPr>
        <w:ind w:firstLine="380"/>
        <w:spacing w:line="560" w:lineRule="exact"/>
        <w:widowControl/>
        <w:rPr>
          <w:rFonts w:ascii="宋体" w:hAnsi="宋体" w:cs="宋体"/>
          <w:sz w:val="22"/>
        </w:rPr>
      </w:pPr>
      <w:r>
        <w:rPr>
          <w:rFonts w:hint="eastAsia" w:ascii="宋体" w:hAnsi="宋体" w:cs="宋体"/>
          <w:spacing w:val="-15"/>
          <w:sz w:val="22"/>
        </w:rPr>
        <w:t xml:space="preserve">为确保协议的全面履行，在整个项目执行的</w:t>
      </w:r>
      <w:r>
        <w:rPr>
          <w:rFonts w:hint="eastAsia" w:ascii="宋体" w:hAnsi="宋体" w:cs="宋体"/>
          <w:spacing w:val="-16"/>
          <w:sz w:val="22"/>
        </w:rPr>
        <w:t xml:space="preserve">过程中，甲、乙双方应在</w:t>
      </w:r>
      <w:r>
        <w:rPr>
          <w:rFonts w:hint="eastAsia" w:ascii="宋体" w:hAnsi="宋体" w:cs="宋体"/>
          <w:sz w:val="22"/>
        </w:rPr>
        <w:t xml:space="preserve"> </w:t>
      </w:r>
      <w:r>
        <w:rPr>
          <w:rFonts w:hint="eastAsia" w:ascii="宋体" w:hAnsi="宋体" w:cs="宋体"/>
          <w:spacing w:val="-14"/>
          <w:sz w:val="22"/>
        </w:rPr>
        <w:t xml:space="preserve">遵守本协议的基础上，积极沟通，协调一致，保证该项目顺利进行。为保</w:t>
      </w:r>
      <w:r>
        <w:rPr>
          <w:rFonts w:hint="eastAsia" w:ascii="宋体" w:hAnsi="宋体" w:cs="宋体"/>
          <w:spacing w:val="8"/>
          <w:sz w:val="22"/>
        </w:rPr>
        <w:t xml:space="preserve"> </w:t>
      </w:r>
      <w:r>
        <w:rPr>
          <w:rFonts w:hint="eastAsia" w:ascii="宋体" w:hAnsi="宋体" w:cs="宋体"/>
          <w:spacing w:val="-14"/>
          <w:sz w:val="22"/>
        </w:rPr>
        <w:t xml:space="preserve">证沟通及时有效，合作双方确定在本协议有效期内，双方分别指定各方项</w:t>
      </w:r>
      <w:r>
        <w:rPr>
          <w:rFonts w:hint="eastAsia" w:ascii="宋体" w:hAnsi="宋体" w:cs="宋体"/>
          <w:spacing w:val="7"/>
          <w:sz w:val="22"/>
        </w:rPr>
        <w:t xml:space="preserve"> </w:t>
      </w:r>
      <w:r>
        <w:rPr>
          <w:rFonts w:hint="eastAsia" w:ascii="宋体" w:hAnsi="宋体" w:cs="宋体"/>
          <w:spacing w:val="-18"/>
          <w:sz w:val="22"/>
        </w:rPr>
        <w:t xml:space="preserve">目联系人。</w:t>
      </w:r>
      <w:r/>
    </w:p>
    <w:p>
      <w:pPr>
        <w:ind w:firstLine="416"/>
        <w:spacing w:line="560" w:lineRule="exact"/>
        <w:widowControl/>
        <w:rPr>
          <w:rFonts w:ascii="宋体" w:hAnsi="宋体" w:cs="宋体"/>
          <w:sz w:val="22"/>
        </w:rPr>
      </w:pPr>
      <w:r>
        <w:rPr>
          <w:rFonts w:hint="eastAsia" w:ascii="宋体" w:hAnsi="宋体" w:cs="宋体"/>
          <w:spacing w:val="-6"/>
          <w:sz w:val="22"/>
        </w:rPr>
        <w:t xml:space="preserve">甲方指定</w:t>
      </w:r>
      <w:r>
        <w:rPr>
          <w:rFonts w:hint="eastAsia" w:ascii="宋体" w:hAnsi="宋体" w:cs="宋体"/>
          <w:spacing w:val="-6"/>
          <w:sz w:val="22"/>
          <w:u w:val="single"/>
        </w:rPr>
        <w:t xml:space="preserve">(科室、职务、姓名、联系电话、电子邮箱等)</w:t>
      </w:r>
      <w:r>
        <w:rPr>
          <w:rFonts w:hint="eastAsia" w:ascii="宋体" w:hAnsi="宋体" w:cs="宋体"/>
          <w:spacing w:val="-6"/>
          <w:sz w:val="22"/>
        </w:rPr>
        <w:t xml:space="preserve">为甲方项目</w:t>
      </w:r>
      <w:r>
        <w:rPr>
          <w:rFonts w:hint="eastAsia" w:ascii="宋体" w:hAnsi="宋体" w:cs="宋体"/>
          <w:sz w:val="22"/>
        </w:rPr>
        <w:t xml:space="preserve"> </w:t>
      </w:r>
      <w:r>
        <w:rPr>
          <w:rFonts w:hint="eastAsia" w:ascii="宋体" w:hAnsi="宋体" w:cs="宋体"/>
          <w:spacing w:val="-11"/>
          <w:sz w:val="22"/>
        </w:rPr>
        <w:t xml:space="preserve">联系人。</w:t>
      </w:r>
      <w:r/>
    </w:p>
    <w:p>
      <w:pPr>
        <w:ind w:firstLine="420"/>
        <w:spacing w:line="560" w:lineRule="exact"/>
        <w:widowControl/>
        <w:rPr>
          <w:rFonts w:ascii="宋体" w:hAnsi="宋体" w:cs="宋体"/>
          <w:sz w:val="22"/>
        </w:rPr>
      </w:pPr>
      <w:r>
        <w:rPr>
          <w:rFonts w:hint="eastAsia" w:ascii="宋体" w:hAnsi="宋体" w:cs="宋体"/>
          <w:spacing w:val="-5"/>
          <w:sz w:val="22"/>
        </w:rPr>
        <w:t xml:space="preserve">乙方指定</w:t>
      </w:r>
      <w:r>
        <w:rPr>
          <w:rFonts w:hint="eastAsia" w:ascii="宋体" w:hAnsi="宋体" w:cs="宋体"/>
          <w:spacing w:val="-5"/>
          <w:sz w:val="22"/>
          <w:u w:val="single"/>
        </w:rPr>
        <w:t xml:space="preserve">(科室、职务、姓名、联系电话、电子</w:t>
      </w:r>
      <w:r>
        <w:rPr>
          <w:rFonts w:hint="eastAsia" w:ascii="宋体" w:hAnsi="宋体" w:cs="宋体"/>
          <w:spacing w:val="-6"/>
          <w:sz w:val="22"/>
          <w:u w:val="single"/>
        </w:rPr>
        <w:t xml:space="preserve">邮箱等)</w:t>
      </w:r>
      <w:r>
        <w:rPr>
          <w:rFonts w:hint="eastAsia" w:ascii="宋体" w:hAnsi="宋体" w:cs="宋体"/>
          <w:spacing w:val="-6"/>
          <w:sz w:val="22"/>
        </w:rPr>
        <w:t xml:space="preserve">为乙方项目</w:t>
      </w:r>
      <w:r>
        <w:rPr>
          <w:rFonts w:hint="eastAsia" w:ascii="宋体" w:hAnsi="宋体" w:cs="宋体"/>
          <w:sz w:val="22"/>
        </w:rPr>
        <w:t xml:space="preserve"> </w:t>
      </w:r>
      <w:r>
        <w:rPr>
          <w:rFonts w:hint="eastAsia" w:ascii="宋体" w:hAnsi="宋体" w:cs="宋体"/>
          <w:spacing w:val="-11"/>
          <w:sz w:val="22"/>
        </w:rPr>
        <w:t xml:space="preserve">联系人。</w:t>
      </w:r>
      <w:r/>
    </w:p>
    <w:p>
      <w:pPr>
        <w:ind w:firstLine="384"/>
        <w:spacing w:line="560" w:lineRule="exact"/>
        <w:widowControl/>
        <w:rPr>
          <w:rFonts w:ascii="宋体" w:hAnsi="宋体" w:cs="宋体"/>
          <w:sz w:val="22"/>
        </w:rPr>
      </w:pPr>
      <w:r>
        <w:rPr>
          <w:rFonts w:hint="eastAsia" w:ascii="宋体" w:hAnsi="宋体" w:cs="宋体"/>
          <w:spacing w:val="-14"/>
          <w:sz w:val="22"/>
        </w:rPr>
        <w:t xml:space="preserve">一方变更项目联系人的，应当及时并以书面形式通知对方。未及时通</w:t>
      </w:r>
      <w:r>
        <w:rPr>
          <w:rFonts w:hint="eastAsia" w:ascii="宋体" w:hAnsi="宋体" w:cs="宋体"/>
          <w:spacing w:val="-11"/>
          <w:sz w:val="22"/>
        </w:rPr>
        <w:t xml:space="preserve">知并影响本协议履行或造成损失的，未及时通知</w:t>
      </w:r>
      <w:r>
        <w:rPr>
          <w:rFonts w:hint="eastAsia" w:ascii="宋体" w:hAnsi="宋体" w:cs="宋体"/>
          <w:spacing w:val="-12"/>
          <w:sz w:val="22"/>
        </w:rPr>
        <w:t xml:space="preserve">一方应承担相应的责任。</w:t>
      </w:r>
      <w:r/>
    </w:p>
    <w:p>
      <w:pPr>
        <w:ind w:firstLine="386"/>
        <w:spacing w:line="560" w:lineRule="exact"/>
        <w:widowControl/>
        <w:rPr>
          <w:rFonts w:ascii="宋体" w:hAnsi="宋体" w:cs="宋体"/>
          <w:sz w:val="22"/>
        </w:rPr>
        <w:outlineLvl w:val="0"/>
      </w:pPr>
      <w:r>
        <w:rPr>
          <w:rFonts w:hint="eastAsia" w:ascii="宋体" w:hAnsi="宋体" w:cs="宋体"/>
          <w:b/>
          <w:bCs/>
          <w:spacing w:val="-14"/>
          <w:sz w:val="22"/>
        </w:rPr>
        <w:t xml:space="preserve">八、协议终止</w:t>
      </w:r>
      <w:r/>
    </w:p>
    <w:p>
      <w:pPr>
        <w:ind w:firstLine="388"/>
        <w:spacing w:line="560" w:lineRule="exact"/>
        <w:widowControl/>
        <w:rPr>
          <w:rFonts w:ascii="宋体" w:hAnsi="宋体" w:cs="宋体"/>
          <w:sz w:val="22"/>
        </w:rPr>
      </w:pPr>
      <w:r>
        <w:rPr>
          <w:rFonts w:hint="eastAsia" w:ascii="宋体" w:hAnsi="宋体" w:cs="宋体"/>
          <w:spacing w:val="-13"/>
          <w:sz w:val="22"/>
        </w:rPr>
        <w:t xml:space="preserve">如乙方在检测过程中出现以下情形，甲方有权终止合作：</w:t>
      </w:r>
      <w:r/>
    </w:p>
    <w:p>
      <w:pPr>
        <w:ind w:firstLine="384"/>
        <w:spacing w:line="560" w:lineRule="exact"/>
        <w:widowControl/>
        <w:rPr>
          <w:rFonts w:ascii="宋体" w:hAnsi="宋体" w:cs="宋体"/>
          <w:sz w:val="22"/>
        </w:rPr>
      </w:pPr>
      <w:r>
        <w:rPr>
          <w:rFonts w:hint="eastAsia" w:ascii="宋体" w:hAnsi="宋体" w:cs="宋体"/>
          <w:spacing w:val="-14"/>
          <w:sz w:val="22"/>
        </w:rPr>
        <w:t xml:space="preserve">1.因包括但不限于操作不规范或不符合技术规范等原因，导致检测结</w:t>
      </w:r>
      <w:r>
        <w:rPr>
          <w:rFonts w:hint="eastAsia" w:ascii="宋体" w:hAnsi="宋体" w:cs="宋体"/>
          <w:sz w:val="22"/>
        </w:rPr>
        <w:t xml:space="preserve"> </w:t>
      </w:r>
      <w:r>
        <w:rPr>
          <w:rFonts w:hint="eastAsia" w:ascii="宋体" w:hAnsi="宋体" w:cs="宋体"/>
          <w:spacing w:val="-20"/>
          <w:sz w:val="22"/>
        </w:rPr>
        <w:t xml:space="preserve">果不准确，达</w:t>
      </w:r>
      <w:r>
        <w:rPr>
          <w:rFonts w:hint="eastAsia" w:ascii="宋体" w:hAnsi="宋体" w:cs="宋体"/>
          <w:spacing w:val="1"/>
          <w:sz w:val="22"/>
          <w:u w:val="single"/>
        </w:rPr>
        <w:t xml:space="preserve"> 3</w:t>
      </w:r>
      <w:r>
        <w:rPr>
          <w:rFonts w:hint="eastAsia" w:ascii="宋体" w:hAnsi="宋体" w:cs="宋体"/>
          <w:spacing w:val="-105"/>
          <w:sz w:val="22"/>
        </w:rPr>
        <w:t xml:space="preserve"> </w:t>
      </w:r>
      <w:r>
        <w:rPr>
          <w:rFonts w:hint="eastAsia" w:ascii="宋体" w:hAnsi="宋体" w:cs="宋体"/>
          <w:spacing w:val="-20"/>
          <w:sz w:val="22"/>
        </w:rPr>
        <w:t xml:space="preserve">次或</w:t>
      </w:r>
      <w:r>
        <w:rPr>
          <w:rFonts w:hint="eastAsia" w:ascii="宋体" w:hAnsi="宋体" w:cs="宋体"/>
          <w:spacing w:val="4"/>
          <w:sz w:val="22"/>
          <w:u w:val="single"/>
        </w:rPr>
        <w:t xml:space="preserve"> 3</w:t>
      </w:r>
      <w:r>
        <w:rPr>
          <w:rFonts w:hint="eastAsia" w:ascii="宋体" w:hAnsi="宋体" w:cs="宋体"/>
          <w:spacing w:val="-125"/>
          <w:sz w:val="22"/>
        </w:rPr>
        <w:t xml:space="preserve"> </w:t>
      </w:r>
      <w:r>
        <w:rPr>
          <w:rFonts w:hint="eastAsia" w:ascii="宋体" w:hAnsi="宋体" w:cs="宋体"/>
          <w:spacing w:val="-20"/>
          <w:sz w:val="22"/>
        </w:rPr>
        <w:t xml:space="preserve">份。</w:t>
      </w:r>
      <w:r/>
    </w:p>
    <w:p>
      <w:pPr>
        <w:ind w:firstLine="384"/>
        <w:spacing w:line="560" w:lineRule="exact"/>
        <w:widowControl/>
        <w:rPr>
          <w:rFonts w:ascii="宋体" w:hAnsi="宋体" w:cs="宋体"/>
          <w:sz w:val="22"/>
        </w:rPr>
      </w:pPr>
      <w:r>
        <w:rPr>
          <w:rFonts w:hint="eastAsia" w:ascii="宋体" w:hAnsi="宋体" w:cs="宋体"/>
          <w:spacing w:val="-14"/>
          <w:sz w:val="22"/>
        </w:rPr>
        <w:t xml:space="preserve">2.未能按照合同约定的时间和质量要求完成检测，不能及时提供检测</w:t>
      </w:r>
      <w:r>
        <w:rPr>
          <w:rFonts w:hint="eastAsia" w:ascii="宋体" w:hAnsi="宋体" w:cs="宋体"/>
          <w:spacing w:val="1"/>
          <w:sz w:val="22"/>
        </w:rPr>
        <w:t xml:space="preserve"> </w:t>
      </w:r>
      <w:r>
        <w:rPr>
          <w:rFonts w:hint="eastAsia" w:ascii="宋体" w:hAnsi="宋体" w:cs="宋体"/>
          <w:spacing w:val="-20"/>
          <w:sz w:val="22"/>
        </w:rPr>
        <w:t xml:space="preserve">结果</w:t>
      </w:r>
      <w:r>
        <w:rPr>
          <w:rFonts w:hint="eastAsia" w:ascii="宋体" w:hAnsi="宋体" w:cs="宋体"/>
          <w:spacing w:val="-20"/>
          <w:sz w:val="22"/>
          <w:u w:val="single"/>
        </w:rPr>
        <w:t xml:space="preserve">达</w:t>
      </w:r>
      <w:r>
        <w:rPr>
          <w:rFonts w:hint="eastAsia" w:ascii="宋体" w:hAnsi="宋体" w:cs="宋体"/>
          <w:spacing w:val="11"/>
          <w:sz w:val="22"/>
          <w:u w:val="single"/>
        </w:rPr>
        <w:t xml:space="preserve"> 3 </w:t>
      </w:r>
      <w:r>
        <w:rPr>
          <w:rFonts w:hint="eastAsia" w:ascii="宋体" w:hAnsi="宋体" w:cs="宋体"/>
          <w:spacing w:val="-125"/>
          <w:sz w:val="22"/>
        </w:rPr>
        <w:t xml:space="preserve"> </w:t>
      </w:r>
      <w:r>
        <w:rPr>
          <w:rFonts w:hint="eastAsia" w:ascii="宋体" w:hAnsi="宋体" w:cs="宋体"/>
          <w:spacing w:val="-20"/>
          <w:sz w:val="22"/>
        </w:rPr>
        <w:t xml:space="preserve">次或</w:t>
      </w:r>
      <w:r>
        <w:rPr>
          <w:rFonts w:hint="eastAsia" w:ascii="宋体" w:hAnsi="宋体" w:cs="宋体"/>
          <w:spacing w:val="1"/>
          <w:sz w:val="22"/>
          <w:u w:val="single"/>
        </w:rPr>
        <w:t xml:space="preserve"> 3 </w:t>
      </w:r>
      <w:r>
        <w:rPr>
          <w:rFonts w:hint="eastAsia" w:ascii="宋体" w:hAnsi="宋体" w:cs="宋体"/>
          <w:spacing w:val="-20"/>
          <w:sz w:val="22"/>
        </w:rPr>
        <w:t xml:space="preserve">份，不可抗力除外。</w:t>
      </w:r>
      <w:r/>
    </w:p>
    <w:p>
      <w:pPr>
        <w:ind w:firstLine="400"/>
        <w:spacing w:line="560" w:lineRule="exact"/>
        <w:widowControl/>
        <w:rPr>
          <w:rFonts w:ascii="宋体" w:hAnsi="宋体" w:cs="宋体"/>
          <w:sz w:val="22"/>
        </w:rPr>
      </w:pPr>
      <w:r>
        <w:rPr>
          <w:rFonts w:hint="eastAsia" w:ascii="宋体" w:hAnsi="宋体" w:cs="宋体"/>
          <w:spacing w:val="-10"/>
          <w:sz w:val="22"/>
        </w:rPr>
        <w:t xml:space="preserve">3.实验室不诚信，出现欺诈行为，包括但不限于篡改室</w:t>
      </w:r>
      <w:r>
        <w:rPr>
          <w:rFonts w:hint="eastAsia" w:ascii="宋体" w:hAnsi="宋体" w:cs="宋体"/>
          <w:spacing w:val="-11"/>
          <w:sz w:val="22"/>
        </w:rPr>
        <w:t xml:space="preserve">内质控数据、</w:t>
      </w:r>
      <w:r>
        <w:rPr>
          <w:rFonts w:hint="eastAsia" w:ascii="宋体" w:hAnsi="宋体" w:cs="宋体"/>
          <w:sz w:val="22"/>
        </w:rPr>
        <w:t xml:space="preserve"> </w:t>
      </w:r>
      <w:r>
        <w:rPr>
          <w:rFonts w:hint="eastAsia" w:ascii="宋体" w:hAnsi="宋体" w:cs="宋体"/>
          <w:spacing w:val="-14"/>
          <w:sz w:val="22"/>
        </w:rPr>
        <w:t xml:space="preserve">受检者检验数据等。</w:t>
      </w:r>
      <w:r/>
    </w:p>
    <w:p>
      <w:pPr>
        <w:ind w:firstLine="380"/>
        <w:spacing w:line="560" w:lineRule="exact"/>
        <w:widowControl/>
        <w:rPr>
          <w:rFonts w:ascii="宋体" w:hAnsi="宋体" w:cs="宋体"/>
          <w:sz w:val="22"/>
        </w:rPr>
      </w:pPr>
      <w:r>
        <w:rPr>
          <w:rFonts w:hint="eastAsia" w:ascii="宋体" w:hAnsi="宋体" w:cs="宋体"/>
          <w:spacing w:val="-15"/>
          <w:sz w:val="22"/>
        </w:rPr>
        <w:t xml:space="preserve">4.实验室管理不善，出现生物安全隐患。</w:t>
      </w:r>
      <w:r/>
    </w:p>
    <w:p>
      <w:pPr>
        <w:ind w:firstLine="388"/>
        <w:spacing w:line="560" w:lineRule="exact"/>
        <w:widowControl/>
        <w:rPr>
          <w:rFonts w:ascii="宋体" w:hAnsi="宋体" w:cs="宋体"/>
          <w:sz w:val="22"/>
        </w:rPr>
      </w:pPr>
      <w:r>
        <w:rPr>
          <w:rFonts w:hint="eastAsia" w:ascii="宋体" w:hAnsi="宋体" w:cs="宋体"/>
          <w:spacing w:val="-13"/>
          <w:sz w:val="22"/>
        </w:rPr>
        <w:t xml:space="preserve">5.泄露受检者信息造成不良后果或者泄露信息达到</w:t>
      </w:r>
      <w:r>
        <w:rPr>
          <w:rFonts w:hint="eastAsia" w:ascii="宋体" w:hAnsi="宋体" w:cs="宋体"/>
          <w:spacing w:val="-13"/>
          <w:sz w:val="22"/>
          <w:u w:val="single"/>
        </w:rPr>
        <w:t xml:space="preserve"> 1</w:t>
      </w:r>
      <w:r>
        <w:rPr>
          <w:rFonts w:hint="eastAsia" w:ascii="宋体" w:hAnsi="宋体" w:cs="宋体"/>
          <w:spacing w:val="-13"/>
          <w:sz w:val="22"/>
        </w:rPr>
        <w:t xml:space="preserve">人次。</w:t>
      </w:r>
      <w:r/>
    </w:p>
    <w:p>
      <w:pPr>
        <w:pStyle w:val="692"/>
        <w:ind w:left="0" w:firstLine="444"/>
        <w:spacing w:line="560" w:lineRule="exact"/>
        <w:widowControl/>
        <w:rPr>
          <w:rFonts w:cs="宋体"/>
          <w:sz w:val="22"/>
        </w:rPr>
      </w:pPr>
      <w:r>
        <w:rPr>
          <w:rFonts w:hint="eastAsia" w:cs="宋体"/>
          <w:spacing w:val="1"/>
          <w:sz w:val="22"/>
        </w:rPr>
        <w:t xml:space="preserve">6.</w:t>
      </w:r>
      <w:r>
        <w:rPr>
          <w:rFonts w:hint="eastAsia" w:cs="宋体"/>
          <w:spacing w:val="-13"/>
          <w:sz w:val="22"/>
        </w:rPr>
        <w:t xml:space="preserve">发生其他违反有关法律法规规定的情形。</w:t>
      </w:r>
      <w:r/>
    </w:p>
    <w:p>
      <w:pPr>
        <w:ind w:firstLine="390"/>
        <w:spacing w:line="560" w:lineRule="exact"/>
        <w:widowControl/>
        <w:rPr>
          <w:rFonts w:ascii="宋体" w:hAnsi="宋体" w:cs="宋体"/>
          <w:sz w:val="22"/>
        </w:rPr>
        <w:outlineLvl w:val="0"/>
      </w:pPr>
      <w:r>
        <w:rPr>
          <w:rFonts w:hint="eastAsia" w:ascii="宋体" w:hAnsi="宋体" w:cs="宋体"/>
          <w:b/>
          <w:bCs/>
          <w:spacing w:val="-13"/>
          <w:sz w:val="22"/>
        </w:rPr>
        <w:t xml:space="preserve">九、廉洁条款</w:t>
      </w:r>
      <w:r/>
    </w:p>
    <w:p>
      <w:pPr>
        <w:ind w:firstLine="372"/>
        <w:spacing w:line="560" w:lineRule="exact"/>
        <w:widowControl/>
        <w:rPr>
          <w:rFonts w:ascii="宋体" w:hAnsi="宋体" w:cs="宋体"/>
          <w:sz w:val="22"/>
        </w:rPr>
      </w:pPr>
      <w:r>
        <w:rPr>
          <w:rFonts w:hint="eastAsia" w:ascii="宋体" w:hAnsi="宋体" w:cs="宋体"/>
          <w:spacing w:val="-17"/>
          <w:sz w:val="22"/>
        </w:rPr>
        <w:t xml:space="preserve">为进一步加强医疗卫生行风建设，规范医疗卫生机构购销行为，有效</w:t>
      </w:r>
      <w:r>
        <w:rPr>
          <w:rFonts w:hint="eastAsia" w:ascii="宋体" w:hAnsi="宋体" w:cs="宋体"/>
          <w:spacing w:val="15"/>
          <w:sz w:val="22"/>
        </w:rPr>
        <w:t xml:space="preserve"> </w:t>
      </w:r>
      <w:r>
        <w:rPr>
          <w:rFonts w:hint="eastAsia" w:ascii="宋体" w:hAnsi="宋体" w:cs="宋体"/>
          <w:spacing w:val="-15"/>
          <w:sz w:val="22"/>
        </w:rPr>
        <w:t xml:space="preserve">防范商业贿赂行为，营造公平交易、诚实守信的购销环境，特约定以下廉</w:t>
      </w:r>
      <w:r>
        <w:rPr>
          <w:rFonts w:hint="eastAsia" w:ascii="宋体" w:hAnsi="宋体" w:cs="宋体"/>
          <w:sz w:val="22"/>
        </w:rPr>
        <w:t xml:space="preserve"> </w:t>
      </w:r>
      <w:r>
        <w:rPr>
          <w:rFonts w:hint="eastAsia" w:ascii="宋体" w:hAnsi="宋体" w:cs="宋体"/>
          <w:spacing w:val="-14"/>
          <w:sz w:val="22"/>
        </w:rPr>
        <w:t xml:space="preserve">洁条款，以资合同各方共同遵守：</w:t>
      </w:r>
      <w:r/>
    </w:p>
    <w:p>
      <w:pPr>
        <w:ind w:firstLine="380"/>
        <w:spacing w:line="560" w:lineRule="exact"/>
        <w:widowControl/>
        <w:rPr>
          <w:rFonts w:ascii="宋体" w:hAnsi="宋体" w:cs="宋体"/>
          <w:sz w:val="22"/>
        </w:rPr>
      </w:pPr>
      <w:r>
        <w:rPr>
          <w:rFonts w:hint="eastAsia" w:ascii="宋体" w:hAnsi="宋体" w:cs="宋体"/>
          <w:spacing w:val="-15"/>
          <w:sz w:val="22"/>
        </w:rPr>
        <w:t xml:space="preserve">1.合同各方按照《民法典》及廉洁条款约定履行。</w:t>
      </w:r>
      <w:r/>
    </w:p>
    <w:p>
      <w:pPr>
        <w:ind w:firstLine="384"/>
        <w:spacing w:line="560" w:lineRule="exact"/>
        <w:widowControl/>
        <w:rPr>
          <w:rFonts w:ascii="宋体" w:hAnsi="宋体" w:cs="宋体"/>
          <w:sz w:val="22"/>
        </w:rPr>
      </w:pPr>
      <w:r>
        <w:rPr>
          <w:rFonts w:hint="eastAsia" w:ascii="宋体" w:hAnsi="宋体" w:cs="宋体"/>
          <w:spacing w:val="-14"/>
          <w:sz w:val="22"/>
        </w:rPr>
        <w:t xml:space="preserve">2.甲方严禁接受乙方以任何名义、形式给予的回扣，不得将接受捐赠</w:t>
      </w:r>
      <w:r>
        <w:rPr>
          <w:rFonts w:hint="eastAsia" w:ascii="宋体" w:hAnsi="宋体" w:cs="宋体"/>
          <w:sz w:val="22"/>
        </w:rPr>
        <w:t xml:space="preserve"> </w:t>
      </w:r>
      <w:r>
        <w:rPr>
          <w:rFonts w:hint="eastAsia" w:ascii="宋体" w:hAnsi="宋体" w:cs="宋体"/>
          <w:spacing w:val="-16"/>
          <w:sz w:val="22"/>
        </w:rPr>
        <w:t xml:space="preserve">资助与采购挂钩。甲方工作人员不得参加乙方安排并支付费用的营业性娱</w:t>
      </w:r>
      <w:r>
        <w:rPr>
          <w:rFonts w:hint="eastAsia" w:ascii="宋体" w:hAnsi="宋体" w:cs="宋体"/>
          <w:spacing w:val="9"/>
          <w:sz w:val="22"/>
        </w:rPr>
        <w:t xml:space="preserve"> </w:t>
      </w:r>
      <w:r>
        <w:rPr>
          <w:rFonts w:hint="eastAsia" w:ascii="宋体" w:hAnsi="宋体" w:cs="宋体"/>
          <w:spacing w:val="-15"/>
          <w:sz w:val="22"/>
        </w:rPr>
        <w:t xml:space="preserve">乐场所的娱乐活动，不得以任何形式向乙方索要现金、有价证券、支付凭</w:t>
      </w:r>
      <w:r>
        <w:rPr>
          <w:rFonts w:hint="eastAsia" w:ascii="宋体" w:hAnsi="宋体" w:cs="宋体"/>
          <w:spacing w:val="8"/>
          <w:sz w:val="22"/>
        </w:rPr>
        <w:t xml:space="preserve"> </w:t>
      </w:r>
      <w:r>
        <w:rPr>
          <w:rFonts w:hint="eastAsia" w:ascii="宋体" w:hAnsi="宋体" w:cs="宋体"/>
          <w:spacing w:val="-15"/>
          <w:sz w:val="22"/>
        </w:rPr>
        <w:t xml:space="preserve">证和贵重礼品等。被迫接受乙方给予的钱物，应予退还，无法退还的，有</w:t>
      </w:r>
      <w:r>
        <w:rPr>
          <w:rFonts w:hint="eastAsia" w:ascii="宋体" w:hAnsi="宋体" w:cs="宋体"/>
          <w:spacing w:val="7"/>
          <w:sz w:val="22"/>
        </w:rPr>
        <w:t xml:space="preserve"> </w:t>
      </w:r>
      <w:r>
        <w:rPr>
          <w:rFonts w:hint="eastAsia" w:ascii="宋体" w:hAnsi="宋体" w:cs="宋体"/>
          <w:spacing w:val="-14"/>
          <w:sz w:val="22"/>
        </w:rPr>
        <w:t xml:space="preserve">责任如实向纪检监察部门反映情况。</w:t>
      </w:r>
      <w:r/>
    </w:p>
    <w:p>
      <w:pPr>
        <w:ind w:firstLine="384"/>
        <w:spacing w:line="560" w:lineRule="exact"/>
        <w:widowControl/>
        <w:rPr>
          <w:rFonts w:ascii="宋体" w:hAnsi="宋体" w:cs="宋体"/>
          <w:sz w:val="22"/>
        </w:rPr>
      </w:pPr>
      <w:r>
        <w:rPr>
          <w:rFonts w:hint="eastAsia" w:ascii="宋体" w:hAnsi="宋体" w:cs="宋体"/>
          <w:spacing w:val="-14"/>
          <w:sz w:val="22"/>
        </w:rPr>
        <w:t xml:space="preserve">3.甲方严禁利用任何途径和方式，为乙方统计医师个人及临床科室有</w:t>
      </w:r>
      <w:r>
        <w:rPr>
          <w:rFonts w:hint="eastAsia" w:ascii="宋体" w:hAnsi="宋体" w:cs="宋体"/>
          <w:spacing w:val="1"/>
          <w:sz w:val="22"/>
        </w:rPr>
        <w:t xml:space="preserve"> </w:t>
      </w:r>
      <w:r>
        <w:rPr>
          <w:rFonts w:hint="eastAsia" w:ascii="宋体" w:hAnsi="宋体" w:cs="宋体"/>
          <w:spacing w:val="-13"/>
          <w:sz w:val="22"/>
        </w:rPr>
        <w:t xml:space="preserve">关产品用量信息，或为乙方统计提供便利。</w:t>
      </w:r>
      <w:r/>
    </w:p>
    <w:p>
      <w:pPr>
        <w:ind w:firstLine="384"/>
        <w:spacing w:line="560" w:lineRule="exact"/>
        <w:widowControl/>
        <w:rPr>
          <w:rFonts w:ascii="宋体" w:hAnsi="宋体" w:cs="宋体"/>
          <w:sz w:val="22"/>
        </w:rPr>
      </w:pPr>
      <w:r>
        <w:rPr>
          <w:rFonts w:hint="eastAsia" w:ascii="宋体" w:hAnsi="宋体" w:cs="宋体"/>
          <w:spacing w:val="-14"/>
          <w:sz w:val="22"/>
        </w:rPr>
        <w:t xml:space="preserve">4.乙方不得以回扣、宴请等方式影响甲方工作人员采购或使用产品的</w:t>
      </w:r>
      <w:r>
        <w:rPr>
          <w:rFonts w:hint="eastAsia" w:ascii="宋体" w:hAnsi="宋体" w:cs="宋体"/>
          <w:sz w:val="22"/>
        </w:rPr>
        <w:t xml:space="preserve"> </w:t>
      </w:r>
      <w:r>
        <w:rPr>
          <w:rFonts w:hint="eastAsia" w:ascii="宋体" w:hAnsi="宋体" w:cs="宋体"/>
          <w:spacing w:val="-11"/>
          <w:sz w:val="22"/>
        </w:rPr>
        <w:t xml:space="preserve">选择权，不得在学术活动中提供旅游、超标准支付食宿费用。</w:t>
      </w:r>
      <w:r/>
    </w:p>
    <w:p>
      <w:pPr>
        <w:ind w:firstLine="384"/>
        <w:spacing w:line="560" w:lineRule="exact"/>
        <w:widowControl/>
        <w:rPr>
          <w:rFonts w:ascii="宋体" w:hAnsi="宋体" w:cs="宋体"/>
          <w:sz w:val="22"/>
        </w:rPr>
      </w:pPr>
      <w:r>
        <w:rPr>
          <w:rFonts w:hint="eastAsia" w:ascii="宋体" w:hAnsi="宋体" w:cs="宋体"/>
          <w:spacing w:val="-14"/>
          <w:sz w:val="22"/>
        </w:rPr>
        <w:t xml:space="preserve">5.乙方指定销售代表必须在工作时间到甲方指</w:t>
      </w:r>
      <w:r>
        <w:rPr>
          <w:rFonts w:hint="eastAsia" w:ascii="宋体" w:hAnsi="宋体" w:cs="宋体"/>
          <w:spacing w:val="-15"/>
          <w:sz w:val="22"/>
        </w:rPr>
        <w:t xml:space="preserve">定地点联系商谈，不得</w:t>
      </w:r>
      <w:r>
        <w:rPr>
          <w:rFonts w:hint="eastAsia" w:ascii="宋体" w:hAnsi="宋体" w:cs="宋体"/>
          <w:sz w:val="22"/>
        </w:rPr>
        <w:t xml:space="preserve"> </w:t>
      </w:r>
      <w:r>
        <w:rPr>
          <w:rFonts w:hint="eastAsia" w:ascii="宋体" w:hAnsi="宋体" w:cs="宋体"/>
          <w:spacing w:val="-15"/>
          <w:sz w:val="22"/>
        </w:rPr>
        <w:t xml:space="preserve">到住院部、门诊部、医技科室等推销，不得借故到甲方相关领</w:t>
      </w:r>
      <w:r>
        <w:rPr>
          <w:rFonts w:hint="eastAsia" w:ascii="宋体" w:hAnsi="宋体" w:cs="宋体"/>
          <w:spacing w:val="-16"/>
          <w:sz w:val="22"/>
        </w:rPr>
        <w:t xml:space="preserve">导、部门负</w:t>
      </w:r>
      <w:r>
        <w:rPr>
          <w:rFonts w:hint="eastAsia" w:ascii="宋体" w:hAnsi="宋体" w:cs="宋体"/>
          <w:sz w:val="22"/>
        </w:rPr>
        <w:t xml:space="preserve"> </w:t>
      </w:r>
      <w:r>
        <w:rPr>
          <w:rFonts w:hint="eastAsia" w:ascii="宋体" w:hAnsi="宋体" w:cs="宋体"/>
          <w:spacing w:val="-13"/>
          <w:sz w:val="22"/>
        </w:rPr>
        <w:t xml:space="preserve">责人及相关工作人员非办公场所访谈并提供任何好处费等。</w:t>
      </w:r>
      <w:r/>
    </w:p>
    <w:p>
      <w:pPr>
        <w:ind w:firstLine="388"/>
        <w:spacing w:line="560" w:lineRule="exact"/>
        <w:widowControl/>
        <w:rPr>
          <w:rFonts w:ascii="宋体" w:hAnsi="宋体" w:cs="宋体"/>
          <w:sz w:val="22"/>
        </w:rPr>
      </w:pPr>
      <w:r>
        <w:rPr>
          <w:rFonts w:hint="eastAsia" w:ascii="宋体" w:hAnsi="宋体" w:cs="宋体"/>
          <w:spacing w:val="-13"/>
          <w:sz w:val="22"/>
        </w:rPr>
        <w:t xml:space="preserve">6.乙方承诺其公司法定代表人、实际控制人或者股东中无</w:t>
      </w:r>
      <w:r>
        <w:rPr>
          <w:rFonts w:hint="eastAsia" w:ascii="宋体" w:hAnsi="宋体" w:cs="宋体"/>
          <w:spacing w:val="-14"/>
          <w:sz w:val="22"/>
        </w:rPr>
        <w:t xml:space="preserve">甲方</w:t>
      </w:r>
      <w:r>
        <w:rPr>
          <w:rFonts w:hint="eastAsia" w:ascii="宋体" w:hAnsi="宋体" w:cs="宋体"/>
          <w:spacing w:val="-123"/>
          <w:sz w:val="22"/>
        </w:rPr>
        <w:t xml:space="preserve"> </w:t>
      </w:r>
      <w:r>
        <w:rPr>
          <w:rFonts w:hint="eastAsia" w:ascii="宋体" w:hAnsi="宋体" w:cs="宋体"/>
          <w:spacing w:val="-14"/>
          <w:sz w:val="22"/>
          <w:u w:val="single"/>
        </w:rPr>
        <w:t xml:space="preserve">    </w:t>
      </w:r>
      <w:r>
        <w:rPr>
          <w:rFonts w:hint="eastAsia" w:ascii="宋体" w:hAnsi="宋体" w:cs="宋体"/>
          <w:spacing w:val="-14"/>
          <w:sz w:val="22"/>
        </w:rPr>
        <w:t xml:space="preserve">级</w:t>
      </w:r>
      <w:r>
        <w:rPr>
          <w:rFonts w:hint="eastAsia" w:ascii="宋体" w:hAnsi="宋体" w:cs="宋体"/>
          <w:sz w:val="22"/>
        </w:rPr>
        <w:t xml:space="preserve"> </w:t>
      </w:r>
      <w:r>
        <w:rPr>
          <w:rFonts w:hint="eastAsia" w:ascii="宋体" w:hAnsi="宋体" w:cs="宋体"/>
          <w:spacing w:val="-17"/>
          <w:sz w:val="22"/>
        </w:rPr>
        <w:t xml:space="preserve">以上干部，且无医院</w:t>
      </w:r>
      <w:r>
        <w:rPr>
          <w:rFonts w:hint="eastAsia" w:ascii="宋体" w:hAnsi="宋体" w:cs="宋体"/>
          <w:spacing w:val="-99"/>
          <w:sz w:val="22"/>
        </w:rPr>
        <w:t xml:space="preserve"> </w:t>
      </w:r>
      <w:r>
        <w:rPr>
          <w:rFonts w:hint="eastAsia" w:ascii="宋体" w:hAnsi="宋体" w:cs="宋体"/>
          <w:spacing w:val="4"/>
          <w:sz w:val="22"/>
          <w:u w:val="single"/>
        </w:rPr>
        <w:t xml:space="preserve">    </w:t>
      </w:r>
      <w:r>
        <w:rPr>
          <w:rFonts w:hint="eastAsia" w:ascii="宋体" w:hAnsi="宋体" w:cs="宋体"/>
          <w:spacing w:val="-121"/>
          <w:sz w:val="22"/>
        </w:rPr>
        <w:t xml:space="preserve"> </w:t>
      </w:r>
      <w:r>
        <w:rPr>
          <w:rFonts w:hint="eastAsia" w:ascii="宋体" w:hAnsi="宋体" w:cs="宋体"/>
          <w:spacing w:val="-17"/>
          <w:sz w:val="22"/>
        </w:rPr>
        <w:t xml:space="preserve">级以上干部配偶、子女、子女配偶、子女配偶的</w:t>
      </w:r>
      <w:r>
        <w:rPr>
          <w:rFonts w:hint="eastAsia" w:ascii="宋体" w:hAnsi="宋体" w:cs="宋体"/>
          <w:sz w:val="22"/>
        </w:rPr>
        <w:t xml:space="preserve"> </w:t>
      </w:r>
      <w:r>
        <w:rPr>
          <w:rFonts w:hint="eastAsia" w:ascii="宋体" w:hAnsi="宋体" w:cs="宋体"/>
          <w:spacing w:val="-12"/>
          <w:sz w:val="22"/>
        </w:rPr>
        <w:t xml:space="preserve">父母，或者与其同城生活来往密切、有借贷关系或照护关系的亲属等。</w:t>
      </w:r>
      <w:r/>
    </w:p>
    <w:p>
      <w:pPr>
        <w:ind w:firstLine="400"/>
        <w:spacing w:line="560" w:lineRule="exact"/>
        <w:widowControl/>
        <w:rPr>
          <w:rFonts w:ascii="宋体" w:hAnsi="宋体" w:cs="宋体"/>
          <w:sz w:val="22"/>
        </w:rPr>
      </w:pPr>
      <w:r>
        <w:rPr>
          <w:rFonts w:hint="eastAsia" w:ascii="宋体" w:hAnsi="宋体" w:cs="宋体"/>
          <w:spacing w:val="-10"/>
          <w:sz w:val="22"/>
        </w:rPr>
        <w:t xml:space="preserve">7乙方如违反本廉洁条款，一经发现，甲方有权终止本合同，并向上</w:t>
      </w:r>
      <w:r>
        <w:rPr>
          <w:rFonts w:hint="eastAsia" w:ascii="宋体" w:hAnsi="宋体" w:cs="宋体"/>
          <w:spacing w:val="2"/>
          <w:sz w:val="22"/>
        </w:rPr>
        <w:t xml:space="preserve"> </w:t>
      </w:r>
      <w:r>
        <w:rPr>
          <w:rFonts w:hint="eastAsia" w:ascii="宋体" w:hAnsi="宋体" w:cs="宋体"/>
          <w:spacing w:val="-15"/>
          <w:sz w:val="22"/>
        </w:rPr>
        <w:t xml:space="preserve">级主管部门报告。如乙方被列入商业贿赂不良记录，则严格按照国家相关</w:t>
      </w:r>
      <w:r>
        <w:rPr>
          <w:rFonts w:hint="eastAsia" w:ascii="宋体" w:hAnsi="宋体" w:cs="宋体"/>
          <w:sz w:val="22"/>
        </w:rPr>
        <w:t xml:space="preserve"> </w:t>
      </w:r>
      <w:r>
        <w:rPr>
          <w:rFonts w:hint="eastAsia" w:ascii="宋体" w:hAnsi="宋体" w:cs="宋体"/>
          <w:spacing w:val="-10"/>
          <w:sz w:val="22"/>
        </w:rPr>
        <w:t xml:space="preserve">规定处理。</w:t>
      </w:r>
      <w:r/>
    </w:p>
    <w:p>
      <w:pPr>
        <w:ind w:firstLine="384"/>
        <w:spacing w:line="560" w:lineRule="exact"/>
        <w:widowControl/>
        <w:rPr>
          <w:rFonts w:ascii="宋体" w:hAnsi="宋体" w:cs="宋体"/>
          <w:sz w:val="22"/>
        </w:rPr>
      </w:pPr>
      <w:r>
        <w:rPr>
          <w:rFonts w:hint="eastAsia" w:ascii="宋体" w:hAnsi="宋体" w:cs="宋体"/>
          <w:spacing w:val="-14"/>
          <w:sz w:val="22"/>
        </w:rPr>
        <w:t xml:space="preserve">8.本廉洁条款在合同履行过程中，合同各方均需严格</w:t>
      </w:r>
      <w:r>
        <w:rPr>
          <w:rFonts w:hint="eastAsia" w:ascii="宋体" w:hAnsi="宋体" w:cs="宋体"/>
          <w:spacing w:val="-15"/>
          <w:sz w:val="22"/>
        </w:rPr>
        <w:t xml:space="preserve">遵守。</w:t>
      </w:r>
      <w:r/>
    </w:p>
    <w:p>
      <w:pPr>
        <w:ind w:firstLine="378"/>
        <w:spacing w:line="560" w:lineRule="exact"/>
        <w:widowControl/>
        <w:rPr>
          <w:rFonts w:ascii="宋体" w:hAnsi="宋体" w:cs="宋体"/>
          <w:sz w:val="22"/>
        </w:rPr>
      </w:pPr>
      <w:r>
        <w:rPr>
          <w:rFonts w:hint="eastAsia" w:ascii="宋体" w:hAnsi="宋体" w:cs="宋体"/>
          <w:b/>
          <w:bCs/>
          <w:spacing w:val="-16"/>
          <w:sz w:val="22"/>
        </w:rPr>
        <w:t xml:space="preserve">十、争议解决与文件送达</w:t>
      </w:r>
      <w:r>
        <w:rPr>
          <w:rFonts w:hint="eastAsia" w:ascii="宋体" w:hAnsi="宋体" w:cs="宋体"/>
          <w:spacing w:val="1"/>
          <w:sz w:val="22"/>
        </w:rPr>
        <w:t xml:space="preserve">(一)双方因履行本合同发生争议，应首先通过</w:t>
      </w:r>
      <w:r>
        <w:rPr>
          <w:rFonts w:hint="eastAsia" w:ascii="宋体" w:hAnsi="宋体" w:cs="宋体"/>
          <w:sz w:val="22"/>
        </w:rPr>
        <w:t xml:space="preserve">友好协商解决；协商 </w:t>
      </w:r>
      <w:r>
        <w:rPr>
          <w:rFonts w:hint="eastAsia" w:ascii="宋体" w:hAnsi="宋体" w:cs="宋体"/>
          <w:spacing w:val="-5"/>
          <w:sz w:val="22"/>
        </w:rPr>
        <w:t xml:space="preserve">不成时，可以选择以下第</w:t>
      </w:r>
      <w:r>
        <w:rPr>
          <w:rFonts w:hint="eastAsia" w:ascii="宋体" w:hAnsi="宋体" w:cs="宋体"/>
          <w:spacing w:val="-106"/>
          <w:sz w:val="22"/>
        </w:rPr>
        <w:t xml:space="preserve"> </w:t>
      </w:r>
      <w:r>
        <w:rPr>
          <w:rFonts w:hint="eastAsia" w:ascii="宋体" w:hAnsi="宋体" w:cs="宋体"/>
          <w:spacing w:val="10"/>
          <w:sz w:val="22"/>
          <w:u w:val="single"/>
        </w:rPr>
        <w:t xml:space="preserve">    </w:t>
      </w:r>
      <w:r>
        <w:rPr>
          <w:rFonts w:hint="eastAsia" w:ascii="宋体" w:hAnsi="宋体" w:cs="宋体"/>
          <w:spacing w:val="-120"/>
          <w:sz w:val="22"/>
        </w:rPr>
        <w:t xml:space="preserve"> </w:t>
      </w:r>
      <w:r>
        <w:rPr>
          <w:rFonts w:hint="eastAsia" w:ascii="宋体" w:hAnsi="宋体" w:cs="宋体"/>
          <w:spacing w:val="-5"/>
          <w:sz w:val="22"/>
        </w:rPr>
        <w:t xml:space="preserve">种途径解决：</w:t>
      </w:r>
      <w:r/>
    </w:p>
    <w:p>
      <w:pPr>
        <w:ind w:firstLine="416"/>
        <w:spacing w:line="560" w:lineRule="exact"/>
        <w:widowControl/>
        <w:rPr>
          <w:rFonts w:ascii="宋体" w:hAnsi="宋体" w:cs="宋体"/>
          <w:sz w:val="22"/>
        </w:rPr>
      </w:pPr>
      <w:r>
        <w:rPr>
          <w:rFonts w:hint="eastAsia" w:ascii="宋体" w:hAnsi="宋体" w:cs="宋体"/>
          <w:spacing w:val="-6"/>
          <w:sz w:val="22"/>
        </w:rPr>
        <w:t xml:space="preserve">1.提交</w:t>
      </w:r>
      <w:r>
        <w:rPr>
          <w:rFonts w:hint="eastAsia" w:ascii="宋体" w:hAnsi="宋体" w:cs="宋体"/>
          <w:spacing w:val="-6"/>
          <w:sz w:val="22"/>
          <w:u w:val="single"/>
        </w:rPr>
        <w:t xml:space="preserve">     </w:t>
      </w:r>
      <w:r>
        <w:rPr>
          <w:rFonts w:hint="eastAsia" w:ascii="宋体" w:hAnsi="宋体" w:cs="宋体"/>
          <w:spacing w:val="-102"/>
          <w:sz w:val="22"/>
        </w:rPr>
        <w:t xml:space="preserve"> </w:t>
      </w:r>
      <w:r>
        <w:rPr>
          <w:rFonts w:hint="eastAsia" w:ascii="宋体" w:hAnsi="宋体" w:cs="宋体"/>
          <w:spacing w:val="-6"/>
          <w:sz w:val="22"/>
        </w:rPr>
        <w:t xml:space="preserve">方住所地人民法院裁。</w:t>
      </w:r>
      <w:r>
        <w:rPr>
          <w:rFonts w:hint="eastAsia" w:ascii="宋体" w:hAnsi="宋体" w:cs="宋体"/>
          <w:sz w:val="22"/>
        </w:rPr>
        <w:t xml:space="preserve"> </w:t>
      </w:r>
      <w:r>
        <w:rPr>
          <w:rFonts w:hint="eastAsia" w:ascii="宋体" w:hAnsi="宋体" w:cs="宋体"/>
          <w:spacing w:val="-4"/>
          <w:sz w:val="22"/>
        </w:rPr>
        <w:t xml:space="preserve">2.提交</w:t>
      </w:r>
      <w:r>
        <w:rPr>
          <w:rFonts w:hint="eastAsia" w:ascii="宋体" w:hAnsi="宋体" w:cs="宋体"/>
          <w:spacing w:val="-4"/>
          <w:sz w:val="22"/>
          <w:u w:val="single"/>
        </w:rPr>
        <w:t xml:space="preserve">         </w:t>
      </w:r>
      <w:r>
        <w:rPr>
          <w:rFonts w:hint="eastAsia" w:ascii="宋体" w:hAnsi="宋体" w:cs="宋体"/>
          <w:spacing w:val="-4"/>
          <w:sz w:val="22"/>
        </w:rPr>
        <w:t xml:space="preserve">仲裁委员会裁决。</w:t>
      </w:r>
      <w:r/>
    </w:p>
    <w:p>
      <w:pPr>
        <w:ind w:firstLine="444"/>
        <w:spacing w:line="560" w:lineRule="exact"/>
        <w:widowControl/>
        <w:rPr>
          <w:rFonts w:ascii="宋体" w:hAnsi="宋体" w:cs="宋体"/>
          <w:sz w:val="22"/>
        </w:rPr>
      </w:pPr>
      <w:r>
        <w:rPr>
          <w:rFonts w:hint="eastAsia" w:ascii="宋体" w:hAnsi="宋体" w:cs="宋体"/>
          <w:spacing w:val="1"/>
          <w:sz w:val="22"/>
        </w:rPr>
        <w:t xml:space="preserve">(二)双方确认本合同载明的通讯地址可作为合同履行过程中相关文</w:t>
      </w:r>
      <w:r>
        <w:rPr>
          <w:rFonts w:hint="eastAsia" w:ascii="宋体" w:hAnsi="宋体" w:cs="宋体"/>
          <w:spacing w:val="10"/>
          <w:sz w:val="22"/>
        </w:rPr>
        <w:t xml:space="preserve"> </w:t>
      </w:r>
      <w:r>
        <w:rPr>
          <w:rFonts w:hint="eastAsia" w:ascii="宋体" w:hAnsi="宋体" w:cs="宋体"/>
          <w:spacing w:val="-10"/>
          <w:sz w:val="22"/>
        </w:rPr>
        <w:t xml:space="preserve">书、诉讼文书的送达地址，因载明的地址有误或未及时告知变更后的地址，</w:t>
      </w:r>
      <w:r>
        <w:rPr>
          <w:rFonts w:hint="eastAsia" w:ascii="宋体" w:hAnsi="宋体" w:cs="宋体"/>
          <w:spacing w:val="18"/>
          <w:sz w:val="22"/>
        </w:rPr>
        <w:t xml:space="preserve"> </w:t>
      </w:r>
      <w:r>
        <w:rPr>
          <w:rFonts w:hint="eastAsia" w:ascii="宋体" w:hAnsi="宋体" w:cs="宋体"/>
          <w:spacing w:val="-5"/>
          <w:sz w:val="22"/>
        </w:rPr>
        <w:t xml:space="preserve">导致相关文书及诉讼文书没能实际送达的，相关文书及诉讼文书退回之日</w:t>
      </w:r>
      <w:r>
        <w:rPr>
          <w:rFonts w:hint="eastAsia" w:ascii="宋体" w:hAnsi="宋体" w:cs="宋体"/>
          <w:spacing w:val="12"/>
          <w:sz w:val="22"/>
        </w:rPr>
        <w:t xml:space="preserve"> </w:t>
      </w:r>
      <w:r>
        <w:rPr>
          <w:rFonts w:hint="eastAsia" w:ascii="宋体" w:hAnsi="宋体" w:cs="宋体"/>
          <w:spacing w:val="-4"/>
          <w:sz w:val="22"/>
        </w:rPr>
        <w:t xml:space="preserve">即视为送达之日；因一方拒收的，相关文书及诉讼文书退回之日即视为送</w:t>
      </w:r>
      <w:r>
        <w:rPr>
          <w:rFonts w:hint="eastAsia" w:ascii="宋体" w:hAnsi="宋体" w:cs="宋体"/>
          <w:sz w:val="22"/>
        </w:rPr>
        <w:t xml:space="preserve"> </w:t>
      </w:r>
      <w:r>
        <w:rPr>
          <w:rFonts w:hint="eastAsia" w:ascii="宋体" w:hAnsi="宋体" w:cs="宋体"/>
          <w:spacing w:val="-6"/>
          <w:sz w:val="22"/>
        </w:rPr>
        <w:t xml:space="preserve">达之日。</w:t>
      </w:r>
      <w:r/>
    </w:p>
    <w:p>
      <w:pPr>
        <w:ind w:firstLine="410"/>
        <w:spacing w:line="560" w:lineRule="exact"/>
        <w:widowControl/>
        <w:rPr>
          <w:rFonts w:ascii="宋体" w:hAnsi="宋体" w:cs="宋体"/>
          <w:sz w:val="22"/>
        </w:rPr>
        <w:outlineLvl w:val="0"/>
      </w:pPr>
      <w:r>
        <w:rPr>
          <w:rFonts w:hint="eastAsia" w:ascii="宋体" w:hAnsi="宋体" w:cs="宋体"/>
          <w:b/>
          <w:bCs/>
          <w:spacing w:val="-8"/>
          <w:sz w:val="22"/>
        </w:rPr>
        <w:t xml:space="preserve">十一、其他</w:t>
      </w:r>
      <w:r/>
    </w:p>
    <w:p>
      <w:pPr>
        <w:ind w:firstLine="452"/>
        <w:spacing w:line="560" w:lineRule="exact"/>
        <w:widowControl/>
        <w:rPr>
          <w:rFonts w:ascii="宋体" w:hAnsi="宋体" w:cs="宋体"/>
          <w:sz w:val="22"/>
        </w:rPr>
      </w:pPr>
      <w:r>
        <w:rPr>
          <w:rFonts w:hint="eastAsia" w:ascii="宋体" w:hAnsi="宋体" w:cs="宋体"/>
          <w:spacing w:val="3"/>
          <w:sz w:val="22"/>
        </w:rPr>
        <w:t xml:space="preserve">(一)本协议经双方签字盖章后生效，合作期限自</w:t>
      </w:r>
      <w:r>
        <w:rPr>
          <w:rFonts w:hint="eastAsia" w:ascii="宋体" w:hAnsi="宋体" w:cs="宋体"/>
          <w:spacing w:val="3"/>
          <w:sz w:val="22"/>
          <w:u w:val="single"/>
        </w:rPr>
        <w:t xml:space="preserve">   </w:t>
      </w:r>
      <w:r>
        <w:rPr>
          <w:rFonts w:hint="eastAsia" w:ascii="宋体" w:hAnsi="宋体" w:cs="宋体"/>
          <w:spacing w:val="-130"/>
          <w:sz w:val="22"/>
        </w:rPr>
        <w:t xml:space="preserve"> </w:t>
      </w:r>
      <w:r>
        <w:rPr>
          <w:rFonts w:hint="eastAsia" w:ascii="宋体" w:hAnsi="宋体" w:cs="宋体"/>
          <w:spacing w:val="2"/>
          <w:sz w:val="22"/>
        </w:rPr>
        <w:t xml:space="preserve">年</w:t>
      </w:r>
      <w:r>
        <w:rPr>
          <w:rFonts w:hint="eastAsia" w:ascii="宋体" w:hAnsi="宋体" w:cs="宋体"/>
          <w:spacing w:val="18"/>
          <w:sz w:val="22"/>
          <w:u w:val="single"/>
        </w:rPr>
        <w:t xml:space="preserve">   </w:t>
      </w:r>
      <w:r>
        <w:rPr>
          <w:rFonts w:hint="eastAsia" w:ascii="宋体" w:hAnsi="宋体" w:cs="宋体"/>
          <w:spacing w:val="-120"/>
          <w:sz w:val="22"/>
        </w:rPr>
        <w:t xml:space="preserve"> </w:t>
      </w:r>
      <w:r>
        <w:rPr>
          <w:rFonts w:hint="eastAsia" w:ascii="宋体" w:hAnsi="宋体" w:cs="宋体"/>
          <w:spacing w:val="2"/>
          <w:sz w:val="22"/>
          <w:u w:val="single"/>
        </w:rPr>
        <w:t xml:space="preserve">月   </w:t>
      </w:r>
      <w:r>
        <w:rPr>
          <w:rFonts w:hint="eastAsia" w:ascii="宋体" w:hAnsi="宋体" w:cs="宋体"/>
          <w:spacing w:val="-120"/>
          <w:sz w:val="22"/>
        </w:rPr>
        <w:t xml:space="preserve"> </w:t>
      </w:r>
      <w:r>
        <w:rPr>
          <w:rFonts w:hint="eastAsia" w:ascii="宋体" w:hAnsi="宋体" w:cs="宋体"/>
          <w:spacing w:val="2"/>
          <w:sz w:val="22"/>
        </w:rPr>
        <w:t xml:space="preserve">日</w:t>
      </w:r>
      <w:r>
        <w:rPr>
          <w:rFonts w:hint="eastAsia" w:ascii="宋体" w:hAnsi="宋体" w:cs="宋体"/>
          <w:sz w:val="22"/>
        </w:rPr>
        <w:t xml:space="preserve"> </w:t>
      </w:r>
      <w:r>
        <w:rPr>
          <w:rFonts w:hint="eastAsia" w:ascii="宋体" w:hAnsi="宋体" w:cs="宋体"/>
          <w:spacing w:val="-5"/>
          <w:sz w:val="22"/>
        </w:rPr>
        <w:t xml:space="preserve">始至</w:t>
      </w:r>
      <w:r>
        <w:rPr>
          <w:rFonts w:hint="eastAsia" w:ascii="宋体" w:hAnsi="宋体" w:cs="宋体"/>
          <w:spacing w:val="15"/>
          <w:sz w:val="22"/>
          <w:u w:val="single"/>
        </w:rPr>
        <w:t xml:space="preserve">    </w:t>
      </w:r>
      <w:r>
        <w:rPr>
          <w:rFonts w:hint="eastAsia" w:ascii="宋体" w:hAnsi="宋体" w:cs="宋体"/>
          <w:spacing w:val="-118"/>
          <w:sz w:val="22"/>
        </w:rPr>
        <w:t xml:space="preserve"> </w:t>
      </w:r>
      <w:r>
        <w:rPr>
          <w:rFonts w:hint="eastAsia" w:ascii="宋体" w:hAnsi="宋体" w:cs="宋体"/>
          <w:spacing w:val="-5"/>
          <w:sz w:val="22"/>
        </w:rPr>
        <w:t xml:space="preserve">年</w:t>
      </w:r>
      <w:r>
        <w:rPr>
          <w:rFonts w:hint="eastAsia" w:ascii="宋体" w:hAnsi="宋体" w:cs="宋体"/>
          <w:spacing w:val="-5"/>
          <w:sz w:val="22"/>
          <w:u w:val="single"/>
        </w:rPr>
        <w:t xml:space="preserve">   </w:t>
      </w:r>
      <w:r>
        <w:rPr>
          <w:rFonts w:hint="eastAsia" w:ascii="宋体" w:hAnsi="宋体" w:cs="宋体"/>
          <w:spacing w:val="-120"/>
          <w:sz w:val="22"/>
        </w:rPr>
        <w:t xml:space="preserve"> </w:t>
      </w:r>
      <w:r>
        <w:rPr>
          <w:rFonts w:hint="eastAsia" w:ascii="宋体" w:hAnsi="宋体" w:cs="宋体"/>
          <w:spacing w:val="-5"/>
          <w:sz w:val="22"/>
          <w:u w:val="single"/>
        </w:rPr>
        <w:t xml:space="preserve">月   </w:t>
      </w:r>
      <w:r>
        <w:rPr>
          <w:rFonts w:hint="eastAsia" w:ascii="宋体" w:hAnsi="宋体" w:cs="宋体"/>
          <w:spacing w:val="-100"/>
          <w:sz w:val="22"/>
        </w:rPr>
        <w:t xml:space="preserve"> </w:t>
      </w:r>
      <w:r>
        <w:rPr>
          <w:rFonts w:hint="eastAsia" w:ascii="宋体" w:hAnsi="宋体" w:cs="宋体"/>
          <w:spacing w:val="-5"/>
          <w:sz w:val="22"/>
        </w:rPr>
        <w:t xml:space="preserve">日止，合作期限为</w:t>
      </w:r>
      <w:r>
        <w:rPr>
          <w:rFonts w:hint="eastAsia" w:ascii="宋体" w:hAnsi="宋体" w:cs="宋体"/>
          <w:spacing w:val="9"/>
          <w:sz w:val="22"/>
          <w:u w:val="single"/>
        </w:rPr>
        <w:t xml:space="preserve">   </w:t>
      </w:r>
      <w:r>
        <w:rPr>
          <w:rFonts w:hint="eastAsia" w:ascii="宋体" w:hAnsi="宋体" w:cs="宋体"/>
          <w:spacing w:val="-5"/>
          <w:sz w:val="22"/>
        </w:rPr>
        <w:t xml:space="preserve">年。合作期满，本协议自动失</w:t>
      </w:r>
      <w:r>
        <w:rPr>
          <w:rFonts w:hint="eastAsia" w:ascii="宋体" w:hAnsi="宋体" w:cs="宋体"/>
          <w:spacing w:val="2"/>
          <w:sz w:val="22"/>
        </w:rPr>
        <w:t xml:space="preserve"> </w:t>
      </w:r>
      <w:r>
        <w:rPr>
          <w:rFonts w:hint="eastAsia" w:ascii="宋体" w:hAnsi="宋体" w:cs="宋体"/>
          <w:spacing w:val="-3"/>
          <w:sz w:val="22"/>
        </w:rPr>
        <w:t xml:space="preserve">效。</w:t>
      </w:r>
      <w:r/>
    </w:p>
    <w:p>
      <w:pPr>
        <w:ind w:firstLine="368"/>
        <w:spacing w:line="560" w:lineRule="exact"/>
        <w:widowControl/>
        <w:rPr>
          <w:rFonts w:ascii="宋体" w:hAnsi="宋体" w:cs="宋体"/>
          <w:sz w:val="22"/>
        </w:rPr>
      </w:pPr>
      <w:r>
        <w:rPr>
          <w:rFonts w:hint="eastAsia" w:ascii="宋体" w:hAnsi="宋体" w:cs="宋体"/>
          <w:spacing w:val="-18"/>
          <w:sz w:val="22"/>
        </w:rPr>
        <w:t xml:space="preserve">(二)本协议一式陆份，甲乙双方各持叁份，具有同等法律效力。未</w:t>
      </w:r>
      <w:r>
        <w:rPr>
          <w:rFonts w:hint="eastAsia" w:ascii="宋体" w:hAnsi="宋体" w:cs="宋体"/>
          <w:spacing w:val="17"/>
          <w:sz w:val="22"/>
        </w:rPr>
        <w:t xml:space="preserve"> </w:t>
      </w:r>
      <w:r>
        <w:rPr>
          <w:rFonts w:hint="eastAsia" w:ascii="宋体" w:hAnsi="宋体" w:cs="宋体"/>
          <w:spacing w:val="-24"/>
          <w:sz w:val="22"/>
        </w:rPr>
        <w:t xml:space="preserve">尽事宜，另行签订补充协议，补充协议与本协议不一致的，以补充</w:t>
      </w:r>
      <w:r>
        <w:rPr>
          <w:rFonts w:hint="eastAsia" w:ascii="宋体" w:hAnsi="宋体" w:cs="宋体"/>
          <w:spacing w:val="-25"/>
          <w:sz w:val="22"/>
        </w:rPr>
        <w:t xml:space="preserve">协议为</w:t>
      </w:r>
      <w:r>
        <w:rPr>
          <w:rFonts w:hint="eastAsia" w:ascii="宋体" w:hAnsi="宋体" w:cs="宋体"/>
          <w:sz w:val="22"/>
        </w:rPr>
        <w:t xml:space="preserve"> </w:t>
      </w:r>
      <w:r>
        <w:rPr>
          <w:rFonts w:hint="eastAsia" w:ascii="宋体" w:hAnsi="宋体" w:cs="宋体"/>
          <w:spacing w:val="-16"/>
          <w:sz w:val="22"/>
        </w:rPr>
        <w:t xml:space="preserve">准。</w:t>
      </w:r>
      <w:r/>
    </w:p>
    <w:p>
      <w:pPr>
        <w:ind w:firstLine="512"/>
        <w:spacing w:line="560" w:lineRule="exact"/>
        <w:widowControl/>
        <w:rPr>
          <w:rFonts w:ascii="宋体" w:hAnsi="宋体" w:cs="宋体"/>
          <w:spacing w:val="18"/>
          <w:sz w:val="22"/>
        </w:rPr>
      </w:pPr>
      <w:r>
        <w:rPr>
          <w:rFonts w:hint="eastAsia" w:ascii="宋体" w:hAnsi="宋体" w:cs="宋体"/>
          <w:spacing w:val="18"/>
          <w:sz w:val="22"/>
        </w:rPr>
        <w:t xml:space="preserve">(以下无正文)</w:t>
      </w:r>
      <w:r/>
    </w:p>
    <w:p>
      <w:pPr>
        <w:ind w:firstLine="512"/>
        <w:spacing w:line="560" w:lineRule="exact"/>
        <w:widowControl/>
        <w:rPr>
          <w:rFonts w:ascii="宋体" w:hAnsi="宋体" w:cs="宋体"/>
          <w:spacing w:val="18"/>
          <w:sz w:val="22"/>
        </w:rPr>
      </w:pPr>
      <w:r>
        <w:rPr>
          <w:rFonts w:ascii="宋体" w:hAnsi="宋体" w:cs="宋体"/>
          <w:spacing w:val="18"/>
          <w:sz w:val="22"/>
        </w:rPr>
      </w:r>
      <w:r/>
    </w:p>
    <w:p>
      <w:pPr>
        <w:ind w:firstLine="512"/>
        <w:spacing w:line="560" w:lineRule="exact"/>
        <w:widowControl/>
        <w:rPr>
          <w:rFonts w:ascii="宋体" w:hAnsi="宋体" w:cs="宋体"/>
          <w:spacing w:val="18"/>
          <w:sz w:val="22"/>
        </w:rPr>
      </w:pPr>
      <w:r>
        <w:rPr>
          <w:rFonts w:hint="eastAsia" w:ascii="宋体" w:hAnsi="宋体" w:cs="宋体"/>
          <w:spacing w:val="18"/>
          <w:sz w:val="22"/>
        </w:rPr>
        <w:t xml:space="preserve">甲方(盖章):                   乙方(盖章):            </w:t>
      </w:r>
      <w:r/>
    </w:p>
    <w:p>
      <w:pPr>
        <w:ind w:firstLine="512"/>
        <w:spacing w:line="560" w:lineRule="exact"/>
        <w:widowControl/>
        <w:rPr>
          <w:rFonts w:ascii="宋体" w:hAnsi="宋体" w:cs="宋体"/>
          <w:spacing w:val="18"/>
          <w:sz w:val="22"/>
        </w:rPr>
      </w:pPr>
      <w:r>
        <w:rPr>
          <w:rFonts w:hint="eastAsia" w:ascii="宋体" w:hAnsi="宋体" w:cs="宋体"/>
          <w:spacing w:val="18"/>
          <w:sz w:val="22"/>
        </w:rPr>
        <w:t xml:space="preserve">法人代表(委托人):             法人代表(委托人):              </w:t>
      </w:r>
      <w:r/>
    </w:p>
    <w:p>
      <w:pPr>
        <w:ind w:firstLine="512"/>
        <w:spacing w:line="560" w:lineRule="exact"/>
        <w:widowControl/>
        <w:rPr>
          <w:rFonts w:ascii="宋体" w:hAnsi="宋体" w:cs="宋体"/>
          <w:spacing w:val="18"/>
          <w:sz w:val="22"/>
        </w:rPr>
      </w:pPr>
      <w:r>
        <w:rPr>
          <w:rFonts w:hint="eastAsia" w:ascii="宋体" w:hAnsi="宋体" w:cs="宋体"/>
          <w:spacing w:val="18"/>
          <w:sz w:val="22"/>
        </w:rPr>
        <w:t xml:space="preserve">经办人：                      经办人：</w:t>
      </w:r>
      <w:r/>
    </w:p>
    <w:p>
      <w:pPr>
        <w:ind w:firstLine="512"/>
        <w:spacing w:line="560" w:lineRule="exact"/>
        <w:widowControl/>
        <w:rPr>
          <w:rFonts w:ascii="宋体" w:hAnsi="宋体" w:cs="宋体"/>
          <w:spacing w:val="18"/>
          <w:sz w:val="22"/>
        </w:rPr>
      </w:pPr>
      <w:r>
        <w:rPr>
          <w:rFonts w:hint="eastAsia" w:ascii="宋体" w:hAnsi="宋体" w:cs="宋体"/>
          <w:spacing w:val="18"/>
          <w:sz w:val="22"/>
        </w:rPr>
        <w:t xml:space="preserve">签订日期：                    签订日期： </w:t>
      </w:r>
      <w:r/>
    </w:p>
    <w:p>
      <w:r/>
      <w:r/>
    </w:p>
    <w:p>
      <w:pPr>
        <w:pStyle w:val="924"/>
        <w:jc w:val="center"/>
        <w:spacing w:before="0" w:after="0" w:line="240" w:lineRule="auto"/>
        <w:rPr>
          <w:rFonts w:ascii="微软雅黑" w:hAnsi="微软雅黑" w:eastAsia="微软雅黑" w:cs="微软雅黑"/>
          <w:b w:val="0"/>
          <w:bCs w:val="0"/>
          <w:sz w:val="36"/>
          <w:szCs w:val="36"/>
        </w:rPr>
      </w:pPr>
      <w:r/>
      <w:bookmarkStart w:id="139" w:name="_Toc152268447"/>
      <w:r/>
      <w:bookmarkStart w:id="140" w:name="_Toc25476"/>
      <w:r>
        <w:rPr>
          <w:rFonts w:hint="eastAsia" w:ascii="微软雅黑" w:hAnsi="微软雅黑" w:eastAsia="微软雅黑" w:cs="微软雅黑"/>
          <w:b w:val="0"/>
          <w:bCs w:val="0"/>
          <w:sz w:val="36"/>
          <w:szCs w:val="36"/>
        </w:rPr>
        <w:t xml:space="preserve">第六章 项目采购需求</w:t>
      </w:r>
      <w:bookmarkEnd w:id="139"/>
      <w:r/>
      <w:bookmarkEnd w:id="140"/>
      <w:r/>
      <w:r/>
    </w:p>
    <w:p>
      <w:pPr>
        <w:ind w:firstLine="440"/>
        <w:spacing w:line="360" w:lineRule="auto"/>
        <w:rPr>
          <w:rFonts w:ascii="宋体" w:hAnsi="宋体" w:cs="宋体"/>
          <w:sz w:val="22"/>
          <w:szCs w:val="24"/>
        </w:rPr>
      </w:pPr>
      <w:r>
        <w:rPr>
          <w:rFonts w:ascii="宋体" w:hAnsi="宋体" w:cs="宋体"/>
          <w:sz w:val="22"/>
          <w:szCs w:val="24"/>
        </w:rPr>
      </w:r>
      <w:r/>
    </w:p>
    <w:p>
      <w:pPr>
        <w:ind w:firstLine="440"/>
        <w:spacing w:line="360" w:lineRule="auto"/>
        <w:rPr>
          <w:rFonts w:ascii="宋体" w:hAnsi="宋体" w:cs="宋体"/>
          <w:sz w:val="22"/>
          <w:szCs w:val="24"/>
        </w:rPr>
      </w:pPr>
      <w:r>
        <w:rPr>
          <w:rFonts w:hint="eastAsia" w:ascii="宋体" w:hAnsi="宋体" w:cs="宋体"/>
          <w:sz w:val="22"/>
          <w:szCs w:val="24"/>
        </w:rPr>
        <w:t xml:space="preserve">一、项目名称：医院检验病理外送服务</w:t>
      </w:r>
      <w:r/>
    </w:p>
    <w:p>
      <w:pPr>
        <w:ind w:firstLine="440"/>
        <w:spacing w:line="360" w:lineRule="auto"/>
        <w:rPr>
          <w:rFonts w:ascii="宋体" w:hAnsi="宋体" w:cs="宋体"/>
          <w:sz w:val="22"/>
          <w:szCs w:val="24"/>
        </w:rPr>
      </w:pPr>
      <w:r>
        <w:rPr>
          <w:rFonts w:hint="eastAsia" w:ascii="宋体" w:hAnsi="宋体" w:cs="宋体"/>
          <w:sz w:val="22"/>
          <w:szCs w:val="24"/>
        </w:rPr>
        <w:t xml:space="preserve">二、采购预算：300万元</w:t>
      </w:r>
      <w:r/>
    </w:p>
    <w:p>
      <w:pPr>
        <w:ind w:firstLine="440"/>
        <w:spacing w:line="360" w:lineRule="auto"/>
        <w:rPr>
          <w:rFonts w:ascii="宋体" w:hAnsi="宋体" w:cs="宋体"/>
          <w:sz w:val="22"/>
          <w:szCs w:val="24"/>
        </w:rPr>
      </w:pPr>
      <w:r>
        <w:rPr>
          <w:rFonts w:hint="eastAsia" w:ascii="宋体" w:hAnsi="宋体" w:cs="宋体"/>
          <w:sz w:val="22"/>
          <w:szCs w:val="24"/>
        </w:rPr>
        <w:t xml:space="preserve">三、最高投标限价：《江苏省物价局、省卫生厅关于核定病理等部分医疗项目收费标准的通知》中的规定的收费标准×（1-55%）。</w:t>
      </w:r>
      <w:r/>
    </w:p>
    <w:p>
      <w:pPr>
        <w:ind w:firstLine="440"/>
        <w:spacing w:line="360" w:lineRule="auto"/>
        <w:rPr>
          <w:rFonts w:ascii="宋体" w:hAnsi="宋体" w:cs="宋体"/>
          <w:sz w:val="22"/>
          <w:szCs w:val="24"/>
        </w:rPr>
      </w:pPr>
      <w:r>
        <w:rPr>
          <w:rFonts w:hint="eastAsia" w:ascii="宋体" w:hAnsi="宋体" w:cs="宋体"/>
          <w:sz w:val="22"/>
          <w:szCs w:val="24"/>
        </w:rPr>
        <w:t xml:space="preserve">四、服务期：3年。</w:t>
      </w:r>
      <w:r/>
    </w:p>
    <w:p>
      <w:pPr>
        <w:ind w:firstLine="440"/>
        <w:spacing w:line="360" w:lineRule="auto"/>
        <w:rPr>
          <w:rFonts w:ascii="宋体" w:hAnsi="宋体" w:cs="宋体"/>
          <w:sz w:val="22"/>
          <w:szCs w:val="24"/>
        </w:rPr>
      </w:pPr>
      <w:r>
        <w:rPr>
          <w:rFonts w:hint="eastAsia" w:ascii="宋体" w:hAnsi="宋体" w:cs="宋体"/>
          <w:sz w:val="22"/>
          <w:szCs w:val="24"/>
        </w:rPr>
        <w:t xml:space="preserve">五、检测项目及时限：</w:t>
      </w:r>
      <w:r/>
    </w:p>
    <w:p>
      <w:pPr>
        <w:ind w:firstLine="440"/>
        <w:spacing w:line="360" w:lineRule="auto"/>
        <w:rPr>
          <w:rFonts w:ascii="宋体" w:hAnsi="宋体" w:cs="宋体"/>
          <w:sz w:val="22"/>
          <w:szCs w:val="24"/>
        </w:rPr>
      </w:pPr>
      <w:r>
        <w:rPr>
          <w:rFonts w:hint="eastAsia" w:ascii="宋体" w:hAnsi="宋体" w:cs="宋体"/>
          <w:sz w:val="22"/>
          <w:szCs w:val="24"/>
        </w:rPr>
        <w:t xml:space="preserve">检验项目清单详见下表。外送项目包括但不限于下表中所列项目，其增减不受服务协议的限制，而是根据采购人业务发展和临床的需求进行增减。具体项目及数量以实际检验为准。</w:t>
      </w:r>
      <w:r/>
    </w:p>
    <w:tbl>
      <w:tblPr>
        <w:tblStyle w:val="689"/>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970"/>
        <w:gridCol w:w="5320"/>
        <w:gridCol w:w="2820"/>
      </w:tblGrid>
      <w:tr>
        <w:trPr>
          <w:trHeight w:val="645"/>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序号</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委托检验项目名称</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报告时间</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24h尿醛固酮</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24h尿儿茶酚胺类激素</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类胰岛素样生长因子结合蛋白3</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24h尿17-羟类皮质类固醇</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6个工作日内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24h尿17-酮类固醇</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6个工作日内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尿视黄醇结合蛋白</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铁3项（血铁、总铁结合力、铁饱和度）</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转铁蛋白</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抗磷脂酶A2受体抗体IGG</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轻链KAPPA定量(K-LC)</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轻链LAMBDA定量(λ-LC)</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尿游离轻链K、λ链定量(K-LC.λ-LC)</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糖化白蛋白</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免疫球蛋白G亚型（IgG4）</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粪便钙卫蛋白</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铜蓝蛋白</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巨细胞病毒定量（CMV-DNA）</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巨细胞病毒抗体（IgG+IGM)</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19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EB病毒DNA定量（EBV-DNA）</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上呼吸道感染EB病毒抗体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肺炎衣原体抗体IgG、IgM</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胰岛素生长因子1</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生长激素（空腹、30、60、90、120、180分钟)</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17-羟基孕酮</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骨代谢指标</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遗传代谢病检测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30个工作日内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Y染色体微缺失</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10个工作日内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白介素系列（1、6、8、10）</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29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食物不耐受90项</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肿瘤坏死因子</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566"/>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恶性肿瘤特异性生长因子</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自身免疫性肝病抗体11项</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胆汁性肝硬化相关抗体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系统性红斑狼疮相关抗体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肝纤维化指标</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8个工作日内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蛋白S、蛋白C</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乙肝病毒耐药基因相关检测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高敏乙肝病毒核酸定量检测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39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乙肝-YMDD变异</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丙肝RNA检测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丙肝病毒基因分型(测序法)</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丙肝超敏RNA测定</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甲肝抗体二项</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戊肝抗体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他克莫司药物浓度</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茶碱浓度</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卡马西平片浓度</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雷帕霉素浓度</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76"/>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49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环孢霉素</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吗替麦考酶酚酸脂浓度</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英夫利昔单体药物浓度测定</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细菌内毒素定量检测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血清肥达氏试验</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结核杆菌DNA检测（TB-DNA）</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1-2个工作日内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嗜肺军团菌抗体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抗卵巢抗体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抗角蛋白抗体（AKA）</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抗子宫内膜总抗体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59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抗心磷脂抗体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抗精子抗体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TORCH（IGG）5项</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2个工作日内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人抑制素B</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雄激素四项（HSBG、DHT、DHEA、DHEAS）</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脑脊液免疫定性及蛋白分析综合诊断套餐</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4个工作日内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周围神经疾病检测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5个工作日内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高尔基体蛋白73(GP73)</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8个工作日内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血管紧张素转化酶测定</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狼疮样抗凝物质筛查</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69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抗β2糖蛋白1(β2 GPI-1）抗体定量检测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分枝杆菌菌种鉴定基因检测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病毒性脑炎七项</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百日咳杆菌核酸检测-外送</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人疱疹病毒B型（HHV-8）DNA定性</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伏立康唑血药浓度检测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抗GP210抗体、抗SP100抗体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尿N-酰-β-D氨基葡萄糖苷酶测定</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尿β2微球蛋白</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DNA-病原微生物宏基因组检测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79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RNA-病原微生物宏基因组检测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80</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全套病原微生物宏基因组检测</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81</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MetaCAP病原微生物核酸高通量测序，探针捕获高通量测序法</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82</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呼吸道多种病原体靶向测序（呼吸100）</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83</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类风湿因子分型3项</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84</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单纯疱疹病毒</w:t>
            </w:r>
            <w:r>
              <w:rPr>
                <w:rFonts w:hint="eastAsia" w:ascii="宋体" w:hAnsi="宋体" w:cs="宋体"/>
                <w:sz w:val="22"/>
              </w:rPr>
              <w:fldChar w:fldCharType="begin"/>
            </w:r>
            <w:r>
              <w:rPr>
                <w:rFonts w:hint="eastAsia" w:ascii="宋体" w:hAnsi="宋体" w:cs="宋体"/>
                <w:sz w:val="22"/>
              </w:rPr>
              <w:instrText xml:space="preserve"> = 2 \* ROMAN \* MERGEFORMAT </w:instrText>
            </w:r>
            <w:r>
              <w:rPr>
                <w:rFonts w:hint="eastAsia" w:ascii="宋体" w:hAnsi="宋体" w:cs="宋体"/>
                <w:sz w:val="22"/>
              </w:rPr>
              <w:fldChar w:fldCharType="separate"/>
            </w:r>
            <w:r>
              <w:rPr>
                <w:rFonts w:hint="eastAsia" w:ascii="宋体" w:hAnsi="宋体" w:cs="宋体"/>
                <w:sz w:val="22"/>
              </w:rPr>
              <w:t xml:space="preserve">II</w:t>
            </w:r>
            <w:r>
              <w:rPr>
                <w:rFonts w:hint="eastAsia" w:ascii="宋体" w:hAnsi="宋体" w:cs="宋体"/>
                <w:sz w:val="22"/>
              </w:rPr>
              <w:fldChar w:fldCharType="end"/>
            </w:r>
            <w:r>
              <w:rPr>
                <w:rFonts w:hint="eastAsia" w:ascii="宋体" w:hAnsi="宋体" w:cs="宋体"/>
                <w:sz w:val="22"/>
              </w:rPr>
              <w:t xml:space="preserve">型IgM、IgG抗体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85</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戊型肝炎病毒抗体lgG</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86</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戊型肝炎病毒抗体lgM</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87</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外周血染色体检查</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7个工作日内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88</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维生素A、E血清浓度测定</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89</w:t>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cs="宋体"/>
                <w:sz w:val="22"/>
              </w:rPr>
              <w:t xml:space="preserve">抗β2糖蛋白1抗体</w:t>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cs="宋体"/>
                <w:sz w:val="22"/>
              </w:rPr>
              <w:t xml:space="preserve">3个工作日内</w:t>
            </w:r>
            <w:r/>
          </w:p>
        </w:tc>
      </w:tr>
      <w:tr>
        <w:trPr>
          <w:trHeight w:val="603"/>
        </w:trPr>
        <w:tc>
          <w:tcPr>
            <w:shd w:val="clear" w:color="auto" w:fill="ffffff" w:themeFill="background1"/>
            <w:tcW w:w="970" w:type="dxa"/>
            <w:vAlign w:val="center"/>
            <w:textDirection w:val="lrTb"/>
            <w:noWrap/>
          </w:tcPr>
          <w:p>
            <w:pPr>
              <w:jc w:val="center"/>
              <w:rPr>
                <w:rFonts w:ascii="宋体" w:hAnsi="宋体" w:cs="宋体"/>
                <w:sz w:val="22"/>
              </w:rPr>
            </w:pPr>
            <w:r>
              <w:rPr>
                <w:rFonts w:hint="eastAsia" w:ascii="宋体" w:hAnsi="宋体" w:cs="宋体"/>
                <w:sz w:val="22"/>
              </w:rPr>
              <w:t xml:space="preserve">90</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sz w:val="22"/>
              </w:rPr>
            </w:pPr>
            <w:r>
              <w:rPr>
                <w:rFonts w:hint="eastAsia" w:ascii="宋体" w:hAnsi="宋体" w:eastAsia="宋体" w:cs="宋体"/>
                <w:sz w:val="22"/>
              </w:rPr>
              <w:t xml:space="preserve">细小病毒B19</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sz w:val="22"/>
              </w:rPr>
            </w:pPr>
            <w:r>
              <w:rPr>
                <w:rFonts w:hint="eastAsia" w:ascii="宋体" w:hAnsi="宋体" w:eastAsia="宋体" w:cs="宋体"/>
                <w:sz w:val="22"/>
              </w:rPr>
              <w:t xml:space="preserve">3个工作日内</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91</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实体肿瘤精准诊疗相关基因测序检测（710基因）</w:t>
            </w:r>
            <w:r>
              <w:rPr>
                <w:rFonts w:ascii="宋体" w:hAnsi="宋体" w:cs="宋体"/>
              </w:rPr>
            </w:r>
            <w:r/>
          </w:p>
        </w:tc>
        <w:tc>
          <w:tcPr>
            <w:shd w:val="clear" w:color="auto" w:fill="ffffff" w:themeFill="background1"/>
            <w:tcW w:w="2820" w:type="dxa"/>
            <w:vAlign w:val="center"/>
            <w:textDirection w:val="lrTb"/>
            <w:noWrap w:val="false"/>
          </w:tcPr>
          <w:p>
            <w:pPr>
              <w:jc w:val="center"/>
              <w:widowControl/>
              <w:rPr>
                <w:rFonts w:ascii="宋体" w:hAnsi="宋体" w:cs="宋体"/>
                <w:color w:val="333333"/>
                <w:sz w:val="22"/>
              </w:rPr>
            </w:pPr>
            <w:r>
              <w:rPr>
                <w:rFonts w:hint="eastAsia" w:ascii="宋体" w:hAnsi="宋体" w:eastAsia="宋体" w:cs="宋体"/>
                <w:color w:val="333333"/>
                <w:sz w:val="22"/>
              </w:rPr>
              <w:t xml:space="preserve">9-11天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92</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实体肿瘤精准诊疗中级套餐（373基因）</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6-9天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93</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实体瘤基础套餐</w:t>
            </w:r>
            <w:r>
              <w:rPr>
                <w:rFonts w:hint="eastAsia" w:ascii="宋体" w:hAnsi="宋体" w:cs="宋体"/>
              </w:rPr>
              <w:br/>
            </w:r>
            <w:r>
              <w:rPr>
                <w:rFonts w:hint="eastAsia" w:ascii="宋体" w:hAnsi="宋体" w:eastAsia="宋体" w:cs="宋体"/>
              </w:rPr>
              <w:t xml:space="preserve">(164基因+MSI,FFPE)(164基因+MSI,ctDNA)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6-9天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94</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微小残留病灶（MRD）监测</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95</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PD-L1免疫组化（22C3）</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3-5天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96</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PD-L1免疫组化（SP263）</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3-7天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97</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PD-L1免疫组化（SP142）</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3-7天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98</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PD-L1免疫组化（E1L3N）</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3-7天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99</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微卫星序列不稳定性检测（MSI，片段分析）</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100</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肺癌中级套餐</w:t>
            </w:r>
            <w:r>
              <w:rPr>
                <w:rFonts w:hint="eastAsia" w:ascii="宋体" w:hAnsi="宋体" w:cs="宋体"/>
              </w:rPr>
              <w:br/>
            </w:r>
            <w:r>
              <w:rPr>
                <w:rFonts w:hint="eastAsia" w:ascii="宋体" w:hAnsi="宋体" w:eastAsia="宋体" w:cs="宋体"/>
              </w:rPr>
              <w:t xml:space="preserve">(126基因+MSI,FFPE)(126基因+MSI,ctDNA)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9-10天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101</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肺癌基础套餐加PD-L1</w:t>
            </w:r>
            <w:r>
              <w:rPr>
                <w:rFonts w:hint="eastAsia" w:ascii="宋体" w:hAnsi="宋体" w:cs="宋体"/>
              </w:rPr>
              <w:br/>
            </w:r>
            <w:r>
              <w:rPr>
                <w:rFonts w:hint="eastAsia" w:ascii="宋体" w:hAnsi="宋体" w:eastAsia="宋体" w:cs="宋体"/>
              </w:rPr>
              <w:t xml:space="preserve">(48基因+MSI,FFPE)</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102</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肺癌基础套餐</w:t>
            </w:r>
            <w:r>
              <w:rPr>
                <w:rFonts w:hint="eastAsia" w:ascii="宋体" w:hAnsi="宋体" w:cs="宋体"/>
              </w:rPr>
              <w:br/>
            </w:r>
            <w:r>
              <w:rPr>
                <w:rFonts w:hint="eastAsia" w:ascii="宋体" w:hAnsi="宋体" w:eastAsia="宋体" w:cs="宋体"/>
              </w:rPr>
              <w:t xml:space="preserve">(48基因+MSI,FFPE)(48基因+MSI,ctDNA)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103</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肺癌Mini套餐</w:t>
            </w:r>
            <w:r>
              <w:rPr>
                <w:rFonts w:hint="eastAsia" w:ascii="宋体" w:hAnsi="宋体" w:cs="宋体"/>
              </w:rPr>
              <w:br/>
            </w:r>
            <w:r>
              <w:rPr>
                <w:rFonts w:hint="eastAsia" w:ascii="宋体" w:hAnsi="宋体" w:eastAsia="宋体" w:cs="宋体"/>
              </w:rPr>
              <w:t xml:space="preserve">(26基因+MSI,FFPE)(26基因+MSI,ctDNA)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104</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ALK基因重排（FISH，组织）</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3-4天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105</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ROS1基因重排检测（FISH，组织）</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106</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FGFR1基因扩增检测（FISH，组织）</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107</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C-MYC基因扩增检测（FISH，组织）</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108</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结直肠癌相关基因测序检测（94基因+MSI）</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9-10天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109</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结直肠癌基础套餐</w:t>
            </w:r>
            <w:r>
              <w:rPr>
                <w:rFonts w:hint="eastAsia" w:ascii="宋体" w:hAnsi="宋体" w:cs="宋体"/>
              </w:rPr>
              <w:br/>
            </w:r>
            <w:r>
              <w:rPr>
                <w:rFonts w:hint="eastAsia" w:ascii="宋体" w:hAnsi="宋体" w:eastAsia="宋体" w:cs="宋体"/>
              </w:rPr>
              <w:t xml:space="preserve">(42基因+MSI,FFPE)(42基因+MSI,ctDNA)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110</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结直肠癌综合Mini套餐</w:t>
            </w:r>
            <w:r>
              <w:rPr>
                <w:rFonts w:hint="eastAsia" w:ascii="宋体" w:hAnsi="宋体" w:cs="宋体"/>
              </w:rPr>
              <w:br/>
            </w:r>
            <w:r>
              <w:rPr>
                <w:rFonts w:hint="eastAsia" w:ascii="宋体" w:hAnsi="宋体" w:eastAsia="宋体" w:cs="宋体"/>
              </w:rPr>
              <w:t xml:space="preserve">(DNA21基因+MSI+化疗2基因+RNA12基因,FFPE)</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8-10天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111</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结直肠癌Mini套餐</w:t>
            </w:r>
            <w:r>
              <w:rPr>
                <w:rFonts w:hint="eastAsia" w:ascii="宋体" w:hAnsi="宋体" w:cs="宋体"/>
              </w:rPr>
              <w:br/>
            </w:r>
            <w:r>
              <w:rPr>
                <w:rFonts w:hint="eastAsia" w:ascii="宋体" w:hAnsi="宋体" w:eastAsia="宋体" w:cs="宋体"/>
              </w:rPr>
              <w:t xml:space="preserve">(21基因+MSI+化疗2基因,FFPE)(21基因+MSI+化疗2基因,ctDNA)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112</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胃癌基础套餐</w:t>
            </w:r>
            <w:r>
              <w:rPr>
                <w:rFonts w:hint="eastAsia" w:ascii="宋体" w:hAnsi="宋体" w:cs="宋体"/>
              </w:rPr>
              <w:br/>
            </w:r>
            <w:r>
              <w:rPr>
                <w:rFonts w:hint="eastAsia" w:ascii="宋体" w:hAnsi="宋体" w:eastAsia="宋体" w:cs="宋体"/>
              </w:rPr>
              <w:t xml:space="preserve">(37基因+MSI+EBER,FFPE)(37基因+MSI,ctDNA)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113</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乳腺癌综合Mini套餐</w:t>
            </w:r>
            <w:r>
              <w:rPr>
                <w:rFonts w:hint="eastAsia" w:ascii="宋体" w:hAnsi="宋体" w:cs="宋体"/>
              </w:rPr>
              <w:br/>
            </w:r>
            <w:r>
              <w:rPr>
                <w:rFonts w:hint="eastAsia" w:ascii="宋体" w:hAnsi="宋体" w:eastAsia="宋体" w:cs="宋体"/>
              </w:rPr>
              <w:t xml:space="preserve">(DNA21基因+MSI+RNA15基因,FFPE)</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6-8天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114</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乳腺癌Mini套餐</w:t>
            </w:r>
            <w:r>
              <w:rPr>
                <w:rFonts w:hint="eastAsia" w:ascii="宋体" w:hAnsi="宋体" w:cs="宋体"/>
              </w:rPr>
              <w:br/>
            </w:r>
            <w:r>
              <w:rPr>
                <w:rFonts w:hint="eastAsia" w:ascii="宋体" w:hAnsi="宋体" w:eastAsia="宋体" w:cs="宋体"/>
              </w:rPr>
              <w:t xml:space="preserve">(21基因+MSI,FFPE)(21基因+MSI,ctDNA)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115</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HER-2/neu基因扩增检测（FISH，组织）</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4-5天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116</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BRCA1/2基因突变</w:t>
            </w:r>
            <w:r>
              <w:rPr>
                <w:rFonts w:hint="eastAsia" w:ascii="宋体" w:hAnsi="宋体" w:cs="宋体"/>
              </w:rPr>
              <w:br/>
            </w:r>
            <w:r>
              <w:rPr>
                <w:rFonts w:hint="eastAsia" w:ascii="宋体" w:hAnsi="宋体" w:eastAsia="宋体" w:cs="宋体"/>
              </w:rPr>
              <w:t xml:space="preserve">(体系+胚系,全外显子测序)</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6-8天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117</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黑色素瘤基础套餐(50基因+MSI,FFPE)(50基因+MSI,ctDNA)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7-9天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118</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同源重组修复缺陷评估</w:t>
            </w:r>
            <w:r>
              <w:rPr>
                <w:rFonts w:hint="eastAsia" w:ascii="宋体" w:hAnsi="宋体" w:cs="宋体"/>
              </w:rPr>
              <w:br/>
            </w:r>
            <w:r>
              <w:rPr>
                <w:rFonts w:hint="eastAsia" w:ascii="宋体" w:hAnsi="宋体" w:eastAsia="宋体" w:cs="宋体"/>
              </w:rPr>
              <w:t xml:space="preserve">(HRDscore+HRR373基因)</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10-15天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119</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卵巢癌综合Mini套餐</w:t>
            </w:r>
            <w:r>
              <w:rPr>
                <w:rFonts w:hint="eastAsia" w:ascii="宋体" w:hAnsi="宋体" w:cs="宋体"/>
              </w:rPr>
              <w:br/>
            </w:r>
            <w:r>
              <w:rPr>
                <w:rFonts w:hint="eastAsia" w:ascii="宋体" w:hAnsi="宋体" w:eastAsia="宋体" w:cs="宋体"/>
              </w:rPr>
              <w:t xml:space="preserve">(DNA22基因+MSI+RNA15基因,FFPE)</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6-8天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120</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卵巢癌Mini套餐</w:t>
            </w:r>
            <w:r>
              <w:rPr>
                <w:rFonts w:hint="eastAsia" w:ascii="宋体" w:hAnsi="宋体" w:cs="宋体"/>
              </w:rPr>
              <w:br/>
            </w:r>
            <w:r>
              <w:rPr>
                <w:rFonts w:hint="eastAsia" w:ascii="宋体" w:hAnsi="宋体" w:eastAsia="宋体" w:cs="宋体"/>
              </w:rPr>
              <w:t xml:space="preserve">(22基因+MSI,FFPE)(22基因+MSI,ctDNA)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121</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子宫内膜癌中级套餐</w:t>
            </w:r>
            <w:r>
              <w:rPr>
                <w:rFonts w:hint="eastAsia" w:ascii="宋体" w:hAnsi="宋体" w:cs="宋体"/>
              </w:rPr>
              <w:br/>
            </w:r>
            <w:r>
              <w:rPr>
                <w:rFonts w:hint="eastAsia" w:ascii="宋体" w:hAnsi="宋体" w:eastAsia="宋体" w:cs="宋体"/>
              </w:rPr>
              <w:t xml:space="preserve">(49基因+MSI,FFPE)(49基因+MSI,ctDNA)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9-10天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122</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子宫内膜癌Mini套餐</w:t>
            </w:r>
            <w:r>
              <w:rPr>
                <w:rFonts w:hint="eastAsia" w:ascii="宋体" w:hAnsi="宋体" w:cs="宋体"/>
              </w:rPr>
              <w:br/>
            </w:r>
            <w:r>
              <w:rPr>
                <w:rFonts w:hint="eastAsia" w:ascii="宋体" w:hAnsi="宋体" w:eastAsia="宋体" w:cs="宋体"/>
              </w:rPr>
              <w:t xml:space="preserve">(23基因+MSI,FFPE)(23基因+MSI,ctDNA)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123</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胃肠间质瘤中级套餐</w:t>
            </w:r>
            <w:r>
              <w:rPr>
                <w:rFonts w:hint="eastAsia" w:ascii="宋体" w:hAnsi="宋体" w:cs="宋体"/>
              </w:rPr>
              <w:br/>
            </w:r>
            <w:r>
              <w:rPr>
                <w:rFonts w:hint="eastAsia" w:ascii="宋体" w:hAnsi="宋体" w:eastAsia="宋体" w:cs="宋体"/>
              </w:rPr>
              <w:t xml:space="preserve">(57基因+MSI,FFPE)(57基因+MSI,ctDNA)</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9-10天</w:t>
            </w:r>
            <w:r>
              <w:rPr>
                <w:rFonts w:ascii="宋体" w:hAnsi="宋体" w:cs="宋体"/>
              </w:rPr>
            </w:r>
            <w:r/>
          </w:p>
        </w:tc>
      </w:tr>
      <w:tr>
        <w:trPr>
          <w:trHeight w:val="603"/>
        </w:trPr>
        <w:tc>
          <w:tcPr>
            <w:shd w:val="clear" w:color="auto" w:fill="ffffff" w:themeFill="background1"/>
            <w:tcW w:w="970" w:type="dxa"/>
            <w:vAlign w:val="center"/>
            <w:textDirection w:val="lrTb"/>
            <w:noWrap/>
          </w:tcPr>
          <w:p>
            <w:pPr>
              <w:jc w:val="center"/>
              <w:rPr>
                <w:rFonts w:ascii="宋体" w:hAnsi="宋体" w:cs="宋体"/>
              </w:rPr>
            </w:pPr>
            <w:r>
              <w:rPr>
                <w:rFonts w:hint="eastAsia" w:ascii="宋体" w:hAnsi="宋体" w:cs="宋体"/>
              </w:rPr>
              <w:t xml:space="preserve">124</w:t>
            </w:r>
            <w:r>
              <w:rPr>
                <w:rFonts w:ascii="宋体" w:hAnsi="宋体" w:cs="宋体"/>
              </w:rPr>
            </w:r>
            <w:r/>
          </w:p>
        </w:tc>
        <w:tc>
          <w:tcPr>
            <w:shd w:val="clear" w:color="auto" w:fill="ffffff" w:themeFill="background1"/>
            <w:tcW w:w="5320" w:type="dxa"/>
            <w:vAlign w:val="center"/>
            <w:textDirection w:val="lrTb"/>
            <w:noWrap/>
          </w:tcPr>
          <w:p>
            <w:pPr>
              <w:jc w:val="center"/>
              <w:rPr>
                <w:rFonts w:ascii="宋体" w:hAnsi="宋体" w:cs="宋体"/>
              </w:rPr>
            </w:pPr>
            <w:r>
              <w:rPr>
                <w:rFonts w:hint="eastAsia" w:ascii="宋体" w:hAnsi="宋体" w:eastAsia="宋体" w:cs="宋体"/>
              </w:rPr>
              <w:t xml:space="preserve">胃肠间质瘤综合Mini套餐</w:t>
            </w:r>
            <w:r>
              <w:rPr>
                <w:rFonts w:hint="eastAsia" w:ascii="宋体" w:hAnsi="宋体" w:cs="宋体"/>
              </w:rPr>
              <w:br/>
            </w:r>
            <w:r>
              <w:rPr>
                <w:rFonts w:hint="eastAsia" w:ascii="宋体" w:hAnsi="宋体" w:eastAsia="宋体" w:cs="宋体"/>
              </w:rPr>
              <w:t xml:space="preserve">(DNA19基因+MSI+RNA9基因,FFPE)</w:t>
            </w:r>
            <w:r>
              <w:rPr>
                <w:rFonts w:ascii="宋体" w:hAnsi="宋体" w:cs="宋体"/>
              </w:rPr>
            </w:r>
            <w:r/>
          </w:p>
        </w:tc>
        <w:tc>
          <w:tcPr>
            <w:shd w:val="clear" w:color="auto" w:fill="ffffff" w:themeFill="background1"/>
            <w:tcW w:w="2820" w:type="dxa"/>
            <w:vAlign w:val="center"/>
            <w:textDirection w:val="lrTb"/>
            <w:noWrap w:val="false"/>
          </w:tcPr>
          <w:p>
            <w:pPr>
              <w:jc w:val="center"/>
              <w:rPr>
                <w:rFonts w:ascii="宋体" w:hAnsi="宋体" w:cs="宋体"/>
                <w:color w:val="333333"/>
                <w:sz w:val="22"/>
              </w:rPr>
            </w:pPr>
            <w:r>
              <w:rPr>
                <w:rFonts w:hint="eastAsia" w:ascii="宋体" w:hAnsi="宋体" w:eastAsia="宋体" w:cs="宋体"/>
                <w:color w:val="333333"/>
                <w:sz w:val="22"/>
              </w:rPr>
              <w:t xml:space="preserve">5-7天</w:t>
            </w:r>
            <w:r>
              <w:rPr>
                <w:rFonts w:ascii="宋体" w:hAnsi="宋体" w:cs="宋体"/>
              </w:rPr>
            </w:r>
            <w:r/>
          </w:p>
        </w:tc>
      </w:tr>
    </w:tbl>
    <w:p>
      <w:pPr>
        <w:ind w:firstLine="440"/>
        <w:spacing w:line="360" w:lineRule="auto"/>
        <w:rPr>
          <w:rFonts w:ascii="宋体" w:hAnsi="宋体" w:cs="宋体"/>
          <w:sz w:val="22"/>
          <w:szCs w:val="24"/>
        </w:rPr>
      </w:pPr>
      <w:r>
        <w:rPr>
          <w:rFonts w:hint="eastAsia" w:ascii="宋体" w:hAnsi="宋体" w:cs="宋体"/>
          <w:sz w:val="22"/>
          <w:szCs w:val="24"/>
        </w:rPr>
        <w:t xml:space="preserve">六、服务要求</w:t>
      </w:r>
      <w:r/>
    </w:p>
    <w:p>
      <w:pPr>
        <w:ind w:firstLine="440"/>
        <w:spacing w:line="360" w:lineRule="auto"/>
        <w:rPr>
          <w:rFonts w:ascii="宋体" w:hAnsi="宋体" w:cs="宋体"/>
          <w:sz w:val="22"/>
          <w:szCs w:val="24"/>
        </w:rPr>
      </w:pPr>
      <w:r>
        <w:rPr>
          <w:rFonts w:hint="eastAsia" w:ascii="宋体" w:hAnsi="宋体" w:cs="宋体"/>
          <w:sz w:val="22"/>
          <w:szCs w:val="24"/>
        </w:rPr>
        <w:t xml:space="preserve">1、投标人必须配备完善医疗冷链物流系统和信息服务体系，要保证接收、送检标本运输过程的安全，保证标本的质量。</w:t>
      </w:r>
      <w:r/>
    </w:p>
    <w:p>
      <w:pPr>
        <w:ind w:firstLine="440"/>
        <w:spacing w:line="360" w:lineRule="auto"/>
        <w:rPr>
          <w:rFonts w:ascii="宋体" w:hAnsi="宋体" w:cs="宋体"/>
          <w:sz w:val="22"/>
          <w:szCs w:val="24"/>
        </w:rPr>
      </w:pPr>
      <w:r>
        <w:rPr>
          <w:rFonts w:hint="eastAsia" w:ascii="宋体" w:hAnsi="宋体" w:cs="宋体"/>
          <w:sz w:val="22"/>
          <w:szCs w:val="24"/>
        </w:rPr>
        <w:t xml:space="preserve">2、投标人提供每周七天的上门接收标本的服务，时间为8：30至17：30。遇特殊标本可机动收取。</w:t>
      </w:r>
      <w:r/>
    </w:p>
    <w:p>
      <w:pPr>
        <w:ind w:firstLine="440"/>
        <w:spacing w:line="360" w:lineRule="auto"/>
        <w:rPr>
          <w:rFonts w:ascii="宋体" w:hAnsi="宋体" w:cs="宋体"/>
          <w:sz w:val="22"/>
          <w:szCs w:val="24"/>
        </w:rPr>
      </w:pPr>
      <w:r>
        <w:rPr>
          <w:rFonts w:hint="eastAsia" w:ascii="宋体" w:hAnsi="宋体" w:cs="宋体"/>
          <w:sz w:val="22"/>
          <w:szCs w:val="24"/>
        </w:rPr>
        <w:t xml:space="preserve">3、投标人应具有规范标本接收、登记和包装流程，保证标本质量和安全，确保标本顺利交接，方便查核。</w:t>
      </w:r>
      <w:r/>
    </w:p>
    <w:p>
      <w:pPr>
        <w:ind w:firstLine="440"/>
        <w:spacing w:line="360" w:lineRule="auto"/>
        <w:rPr>
          <w:rFonts w:ascii="宋体" w:hAnsi="宋体" w:cs="宋体"/>
          <w:sz w:val="22"/>
          <w:szCs w:val="24"/>
        </w:rPr>
      </w:pPr>
      <w:r>
        <w:rPr>
          <w:rFonts w:hint="eastAsia" w:ascii="宋体" w:hAnsi="宋体" w:cs="宋体"/>
          <w:sz w:val="22"/>
          <w:szCs w:val="24"/>
        </w:rPr>
        <w:t xml:space="preserve">4、投标人标本接收人员要通过严格培训，负责标本质量的初检、标识的核对，标本的接收登记及包装储存。</w:t>
      </w:r>
      <w:r/>
    </w:p>
    <w:p>
      <w:pPr>
        <w:ind w:firstLine="440"/>
        <w:spacing w:line="360" w:lineRule="auto"/>
        <w:rPr>
          <w:rFonts w:ascii="宋体" w:hAnsi="宋体" w:cs="宋体"/>
          <w:sz w:val="22"/>
          <w:szCs w:val="24"/>
        </w:rPr>
      </w:pPr>
      <w:r>
        <w:rPr>
          <w:rFonts w:hint="eastAsia" w:ascii="宋体" w:hAnsi="宋体" w:cs="宋体"/>
          <w:sz w:val="22"/>
          <w:szCs w:val="24"/>
        </w:rPr>
        <w:t xml:space="preserve">5、投标人必须确保及时接收、送检标本和及时检验。标本不符合检验要求时，应及时通知采购人重新取样。</w:t>
      </w:r>
      <w:r/>
    </w:p>
    <w:p>
      <w:pPr>
        <w:ind w:firstLine="440"/>
        <w:spacing w:line="360" w:lineRule="auto"/>
        <w:rPr>
          <w:rFonts w:ascii="宋体" w:hAnsi="宋体" w:cs="宋体"/>
          <w:sz w:val="22"/>
          <w:szCs w:val="24"/>
        </w:rPr>
      </w:pPr>
      <w:r>
        <w:rPr>
          <w:rFonts w:hint="eastAsia" w:ascii="宋体" w:hAnsi="宋体" w:cs="宋体"/>
          <w:sz w:val="22"/>
          <w:szCs w:val="24"/>
        </w:rPr>
        <w:t xml:space="preserve">6、标本在送检过程中出现延迟、遗漏、丢失等情况，投标人应有完善的应急预案予以妥善解决，否则投标人应承担相应责任。</w:t>
      </w:r>
      <w:r/>
    </w:p>
    <w:p>
      <w:pPr>
        <w:ind w:firstLine="440"/>
        <w:spacing w:line="360" w:lineRule="auto"/>
        <w:rPr>
          <w:rFonts w:ascii="宋体" w:hAnsi="宋体" w:cs="宋体"/>
          <w:sz w:val="22"/>
          <w:szCs w:val="24"/>
        </w:rPr>
      </w:pPr>
      <w:r>
        <w:rPr>
          <w:rFonts w:hint="eastAsia" w:ascii="宋体" w:hAnsi="宋体" w:cs="宋体"/>
          <w:sz w:val="22"/>
          <w:szCs w:val="24"/>
        </w:rPr>
        <w:t xml:space="preserve">7、对检验后的标本进行妥善保存，并保存可供查验的仪器原始数据，以便检验结果有疑义时进行免费复查或再委托其他第三方检验，这种情况所发生的费用，由投标人承担。</w:t>
      </w:r>
      <w:r/>
    </w:p>
    <w:p>
      <w:pPr>
        <w:ind w:firstLine="440"/>
        <w:spacing w:line="360" w:lineRule="auto"/>
        <w:rPr>
          <w:rFonts w:ascii="宋体" w:hAnsi="宋体" w:cs="宋体"/>
          <w:sz w:val="22"/>
          <w:szCs w:val="24"/>
        </w:rPr>
      </w:pPr>
      <w:r>
        <w:rPr>
          <w:rFonts w:hint="eastAsia" w:ascii="宋体" w:hAnsi="宋体" w:cs="宋体"/>
          <w:sz w:val="22"/>
          <w:szCs w:val="24"/>
        </w:rPr>
        <w:t xml:space="preserve">8、对于因标本丢失、未在规定时间内出具报告、数据传输错误无法取单或检验项目检测结果不准确等造成的医疗事故（医疗事件）或医疗纠纷，投标人承担全部经济及法律责任。投标人对采购人不明原因（非院方及患者原因或产品质量问题）引起的医疗投诉、纠纷，能协助招标方做好患者的协调工作，并承担一定的处理费用。</w:t>
      </w:r>
      <w:r/>
    </w:p>
    <w:p>
      <w:pPr>
        <w:ind w:firstLine="440"/>
        <w:spacing w:line="360" w:lineRule="auto"/>
        <w:rPr>
          <w:rFonts w:ascii="宋体" w:hAnsi="宋体" w:cs="宋体"/>
          <w:sz w:val="22"/>
          <w:szCs w:val="24"/>
        </w:rPr>
      </w:pPr>
      <w:r>
        <w:rPr>
          <w:rFonts w:hint="eastAsia" w:ascii="宋体" w:hAnsi="宋体" w:cs="宋体"/>
          <w:sz w:val="22"/>
          <w:szCs w:val="24"/>
        </w:rPr>
        <w:t xml:space="preserve">9、检验报告单必须由具备相应资质的检验人员签发，上级检验师或医师复核。出现因检验结果错误导致采购人医疗纠纷等不良后果，责任由中标人承担。</w:t>
      </w:r>
      <w:r/>
    </w:p>
    <w:p>
      <w:pPr>
        <w:ind w:firstLine="440"/>
        <w:spacing w:line="360" w:lineRule="auto"/>
        <w:rPr>
          <w:rFonts w:ascii="宋体" w:hAnsi="宋体" w:cs="宋体"/>
          <w:sz w:val="22"/>
          <w:szCs w:val="24"/>
        </w:rPr>
      </w:pPr>
      <w:r>
        <w:rPr>
          <w:rFonts w:hint="eastAsia" w:ascii="宋体" w:hAnsi="宋体" w:cs="宋体"/>
          <w:sz w:val="22"/>
          <w:szCs w:val="24"/>
        </w:rPr>
        <w:t xml:space="preserve">10、部分特殊检查项目需要的采样器、知情同意书、专用的患者资料登记申请单等由投标人免费提供。</w:t>
      </w:r>
      <w:r/>
    </w:p>
    <w:p>
      <w:pPr>
        <w:ind w:firstLine="440"/>
        <w:spacing w:line="360" w:lineRule="auto"/>
        <w:rPr>
          <w:rFonts w:ascii="宋体" w:hAnsi="宋体" w:cs="宋体"/>
          <w:sz w:val="22"/>
          <w:szCs w:val="24"/>
        </w:rPr>
      </w:pPr>
      <w:r>
        <w:rPr>
          <w:rFonts w:hint="eastAsia" w:ascii="宋体" w:hAnsi="宋体" w:cs="宋体"/>
          <w:sz w:val="22"/>
          <w:szCs w:val="24"/>
        </w:rPr>
        <w:t xml:space="preserve">11、投标人应遵守保密制度，保护受检者的秘密，未经许可，不得向无关人员泄露受检者的检测情况，如有传染病阳性的报告，应负责及时报告给送检单位。</w:t>
      </w:r>
      <w:r/>
    </w:p>
    <w:p>
      <w:pPr>
        <w:ind w:firstLine="440"/>
        <w:spacing w:line="360" w:lineRule="auto"/>
        <w:rPr>
          <w:rFonts w:ascii="宋体" w:hAnsi="宋体" w:cs="宋体"/>
          <w:sz w:val="22"/>
          <w:szCs w:val="24"/>
        </w:rPr>
      </w:pPr>
      <w:r>
        <w:rPr>
          <w:rFonts w:hint="eastAsia" w:ascii="宋体" w:hAnsi="宋体" w:cs="宋体"/>
          <w:sz w:val="22"/>
          <w:szCs w:val="24"/>
        </w:rPr>
        <w:t xml:space="preserve">12、项目在中标后直至履行完毕止，本项目实施人员必须是投标文件中提供的人员，中标人不得以任何原因和方式将合同转包、分包或雇用其他作业单位人员进行实施。</w:t>
      </w:r>
      <w:r/>
    </w:p>
    <w:p>
      <w:pPr>
        <w:ind w:firstLine="440"/>
        <w:spacing w:line="360" w:lineRule="auto"/>
        <w:rPr>
          <w:rFonts w:ascii="宋体" w:hAnsi="宋体" w:cs="宋体"/>
          <w:sz w:val="22"/>
          <w:szCs w:val="24"/>
        </w:rPr>
      </w:pPr>
      <w:r>
        <w:rPr>
          <w:rFonts w:hint="eastAsia" w:ascii="宋体" w:hAnsi="宋体" w:cs="宋体"/>
          <w:sz w:val="22"/>
          <w:szCs w:val="24"/>
        </w:rPr>
        <w:t xml:space="preserve">七、结果查询</w:t>
      </w:r>
      <w:r/>
    </w:p>
    <w:p>
      <w:pPr>
        <w:ind w:firstLine="440"/>
        <w:spacing w:line="360" w:lineRule="auto"/>
        <w:rPr>
          <w:rFonts w:ascii="宋体" w:hAnsi="宋体" w:cs="宋体"/>
          <w:sz w:val="22"/>
          <w:szCs w:val="24"/>
        </w:rPr>
      </w:pPr>
      <w:r>
        <w:rPr>
          <w:rFonts w:hint="eastAsia" w:ascii="宋体" w:hAnsi="宋体" w:cs="宋体"/>
          <w:sz w:val="22"/>
          <w:szCs w:val="24"/>
        </w:rPr>
        <w:t xml:space="preserve">1.中标供应商必须确保检测结果传递及时，能接入采购人医院的LIS和HIS等相关业务系统，实现无纸化传输检测结果,且需符合国家信息安全有关的规定和要求。</w:t>
      </w:r>
      <w:r/>
    </w:p>
    <w:p>
      <w:pPr>
        <w:ind w:firstLine="440"/>
        <w:spacing w:line="360" w:lineRule="auto"/>
        <w:rPr>
          <w:rFonts w:ascii="宋体" w:hAnsi="宋体" w:cs="宋体"/>
          <w:sz w:val="22"/>
          <w:szCs w:val="24"/>
        </w:rPr>
      </w:pPr>
      <w:r>
        <w:rPr>
          <w:rFonts w:hint="eastAsia" w:ascii="宋体" w:hAnsi="宋体" w:cs="宋体"/>
          <w:sz w:val="22"/>
          <w:szCs w:val="24"/>
        </w:rPr>
        <w:t xml:space="preserve">2、提供网上查询服务，以供随时查询进度和结果。</w:t>
      </w:r>
      <w:r/>
    </w:p>
    <w:p>
      <w:pPr>
        <w:ind w:firstLine="440"/>
        <w:spacing w:line="360" w:lineRule="auto"/>
        <w:rPr>
          <w:rFonts w:ascii="宋体" w:hAnsi="宋体" w:cs="宋体"/>
          <w:sz w:val="22"/>
          <w:szCs w:val="24"/>
        </w:rPr>
      </w:pPr>
      <w:r>
        <w:rPr>
          <w:rFonts w:hint="eastAsia" w:ascii="宋体" w:hAnsi="宋体" w:cs="宋体"/>
          <w:sz w:val="22"/>
          <w:szCs w:val="24"/>
        </w:rPr>
        <w:t xml:space="preserve">3、提供电话查询服务，危急值专人电话跟进，确保患者检测信息与临床医生的畅通。</w:t>
      </w:r>
      <w:r/>
    </w:p>
    <w:p>
      <w:pPr>
        <w:ind w:firstLine="440"/>
        <w:spacing w:line="360" w:lineRule="auto"/>
        <w:rPr>
          <w:rFonts w:ascii="宋体" w:hAnsi="宋体" w:cs="宋体"/>
          <w:sz w:val="22"/>
          <w:szCs w:val="24"/>
        </w:rPr>
      </w:pPr>
      <w:r>
        <w:rPr>
          <w:rFonts w:hint="eastAsia" w:ascii="宋体" w:hAnsi="宋体" w:cs="宋体"/>
          <w:sz w:val="22"/>
          <w:szCs w:val="24"/>
        </w:rPr>
        <w:t xml:space="preserve">4、医务人员可以随时调阅检验结果，中标人须保证病人的资料的准确性和检验结果的及时性，并提供系统使用的必要培训与技术支持。</w:t>
      </w:r>
      <w:r/>
    </w:p>
    <w:p>
      <w:pPr>
        <w:ind w:firstLine="440"/>
        <w:spacing w:line="360" w:lineRule="auto"/>
        <w:rPr>
          <w:rFonts w:ascii="宋体" w:hAnsi="宋体" w:cs="宋体"/>
          <w:sz w:val="22"/>
          <w:szCs w:val="24"/>
        </w:rPr>
      </w:pPr>
      <w:r>
        <w:rPr>
          <w:rFonts w:hint="eastAsia" w:ascii="宋体" w:hAnsi="宋体" w:cs="宋体"/>
          <w:sz w:val="22"/>
          <w:szCs w:val="24"/>
        </w:rPr>
        <w:t xml:space="preserve">5、按照检测项目报告时间要求提供检测结果，并能满足采购人急诊项目的优先检测。</w:t>
      </w:r>
      <w:r/>
    </w:p>
    <w:p>
      <w:pPr>
        <w:ind w:firstLine="440"/>
        <w:spacing w:line="360" w:lineRule="auto"/>
        <w:rPr>
          <w:rFonts w:ascii="宋体" w:hAnsi="宋体" w:cs="宋体"/>
          <w:sz w:val="22"/>
          <w:szCs w:val="24"/>
        </w:rPr>
      </w:pPr>
      <w:r>
        <w:rPr>
          <w:rFonts w:hint="eastAsia" w:ascii="宋体" w:hAnsi="宋体" w:cs="宋体"/>
          <w:sz w:val="22"/>
          <w:szCs w:val="24"/>
        </w:rPr>
        <w:t xml:space="preserve">八、技术支持</w:t>
      </w:r>
      <w:r/>
    </w:p>
    <w:p>
      <w:pPr>
        <w:ind w:firstLine="440"/>
        <w:spacing w:line="360" w:lineRule="auto"/>
        <w:rPr>
          <w:rFonts w:ascii="宋体" w:hAnsi="宋体" w:cs="宋体"/>
          <w:sz w:val="22"/>
          <w:szCs w:val="24"/>
        </w:rPr>
      </w:pPr>
      <w:r>
        <w:rPr>
          <w:rFonts w:hint="eastAsia" w:ascii="宋体" w:hAnsi="宋体" w:cs="宋体"/>
          <w:sz w:val="22"/>
          <w:szCs w:val="24"/>
        </w:rPr>
        <w:t xml:space="preserve">1、投标人有合法有效的医疗机构执业许可证或医学检验实验室资质，参加省级及以上临床检验中心组织的室间质评，有完整的培训体系。</w:t>
      </w:r>
      <w:r/>
    </w:p>
    <w:p>
      <w:pPr>
        <w:ind w:firstLine="440"/>
        <w:spacing w:line="360" w:lineRule="auto"/>
        <w:rPr>
          <w:rFonts w:ascii="宋体" w:hAnsi="宋体" w:cs="宋体"/>
          <w:sz w:val="22"/>
          <w:szCs w:val="24"/>
        </w:rPr>
      </w:pPr>
      <w:r>
        <w:rPr>
          <w:rFonts w:hint="eastAsia" w:ascii="宋体" w:hAnsi="宋体" w:cs="宋体"/>
          <w:sz w:val="22"/>
          <w:szCs w:val="24"/>
        </w:rPr>
        <w:t xml:space="preserve">2、拥有权威机构的技术支撑，能依托权威技术支撑机构，协助采购人开展进修培训、协助医院中心开展继续教育、学术交流活动。</w:t>
      </w:r>
      <w:r/>
    </w:p>
    <w:p>
      <w:pPr>
        <w:ind w:firstLine="440"/>
        <w:spacing w:line="360" w:lineRule="auto"/>
        <w:rPr>
          <w:rFonts w:ascii="宋体" w:hAnsi="宋体" w:cs="宋体"/>
          <w:sz w:val="22"/>
          <w:szCs w:val="24"/>
        </w:rPr>
      </w:pPr>
      <w:r>
        <w:rPr>
          <w:rFonts w:hint="eastAsia" w:ascii="宋体" w:hAnsi="宋体" w:cs="宋体"/>
          <w:sz w:val="22"/>
          <w:szCs w:val="24"/>
        </w:rPr>
        <w:t xml:space="preserve">3、提供采购人医务工作人员到投标人实验室进修的机会，以提高采购人医务工作人员的专业技能。协助设计、制作相关医学检验宣传资料。能够协助检验科的建设和发展，每年提供检验人员免费进修和ISO15189知识培训工作。</w:t>
      </w:r>
      <w:r/>
    </w:p>
    <w:p>
      <w:pPr>
        <w:ind w:firstLine="440"/>
        <w:spacing w:line="360" w:lineRule="auto"/>
        <w:rPr>
          <w:rFonts w:ascii="宋体" w:hAnsi="宋体" w:cs="宋体"/>
          <w:sz w:val="22"/>
          <w:szCs w:val="24"/>
        </w:rPr>
      </w:pPr>
      <w:r>
        <w:rPr>
          <w:rFonts w:hint="eastAsia" w:ascii="宋体" w:hAnsi="宋体" w:cs="宋体"/>
          <w:sz w:val="22"/>
          <w:szCs w:val="24"/>
        </w:rPr>
        <w:t xml:space="preserve">九、人员要求</w:t>
      </w:r>
      <w:r/>
    </w:p>
    <w:p>
      <w:pPr>
        <w:ind w:firstLine="440"/>
        <w:spacing w:line="360" w:lineRule="auto"/>
        <w:rPr>
          <w:rFonts w:ascii="宋体" w:hAnsi="宋体" w:cs="宋体"/>
          <w:sz w:val="22"/>
          <w:szCs w:val="24"/>
        </w:rPr>
      </w:pPr>
      <w:r>
        <w:rPr>
          <w:rFonts w:hint="eastAsia" w:ascii="宋体" w:hAnsi="宋体" w:cs="宋体"/>
          <w:sz w:val="22"/>
          <w:szCs w:val="24"/>
        </w:rPr>
        <w:t xml:space="preserve">投标人参与本项目的检验检查人员配备必须合理，职责明确，提供完备的服务团队。</w:t>
      </w:r>
      <w:r/>
    </w:p>
    <w:p>
      <w:pPr>
        <w:ind w:firstLine="440"/>
        <w:spacing w:line="360" w:lineRule="auto"/>
        <w:rPr>
          <w:rFonts w:ascii="宋体" w:hAnsi="宋体" w:cs="宋体"/>
          <w:sz w:val="22"/>
          <w:szCs w:val="24"/>
        </w:rPr>
      </w:pPr>
      <w:r>
        <w:rPr>
          <w:rFonts w:hint="eastAsia" w:ascii="宋体" w:hAnsi="宋体" w:cs="宋体"/>
          <w:sz w:val="22"/>
          <w:szCs w:val="24"/>
        </w:rPr>
        <w:t xml:space="preserve">十、运输要求</w:t>
      </w:r>
      <w:r/>
    </w:p>
    <w:p>
      <w:pPr>
        <w:ind w:firstLine="440"/>
        <w:spacing w:line="360" w:lineRule="auto"/>
        <w:rPr>
          <w:rFonts w:ascii="宋体" w:hAnsi="宋体" w:cs="宋体"/>
          <w:sz w:val="22"/>
          <w:szCs w:val="24"/>
        </w:rPr>
      </w:pPr>
      <w:r>
        <w:rPr>
          <w:rFonts w:hint="eastAsia" w:ascii="宋体" w:hAnsi="宋体" w:cs="宋体"/>
          <w:sz w:val="22"/>
          <w:szCs w:val="24"/>
        </w:rPr>
        <w:t xml:space="preserve">1、标本的接收、送检的车辆必须配备专用车载冰箱或保温箱，冰箱或保温箱必须有相应的温度记录表，同时需具备RFID无线射频功能。</w:t>
      </w:r>
      <w:r/>
    </w:p>
    <w:p>
      <w:pPr>
        <w:ind w:firstLine="440"/>
        <w:spacing w:line="360" w:lineRule="auto"/>
        <w:rPr>
          <w:rFonts w:ascii="宋体" w:hAnsi="宋体" w:cs="宋体"/>
          <w:sz w:val="22"/>
          <w:szCs w:val="24"/>
        </w:rPr>
      </w:pPr>
      <w:r>
        <w:rPr>
          <w:rFonts w:hint="eastAsia" w:ascii="宋体" w:hAnsi="宋体" w:cs="宋体"/>
          <w:sz w:val="22"/>
          <w:szCs w:val="24"/>
        </w:rPr>
        <w:t xml:space="preserve">2、标本的运输要求直立、冷藏、封闭，符合《GBT 28577-2012 冷链物流分类与基本要求》与生物安全要求，确保运输过程的样品质量和环境安全。对于需低温冷冻或有特殊要求的样本视具体项目与我院检验科商定。</w:t>
      </w:r>
      <w:r/>
    </w:p>
    <w:p>
      <w:pPr>
        <w:ind w:firstLine="440"/>
        <w:spacing w:line="360" w:lineRule="auto"/>
        <w:rPr>
          <w:rFonts w:ascii="宋体" w:hAnsi="宋体" w:cs="宋体"/>
          <w:sz w:val="22"/>
          <w:szCs w:val="24"/>
        </w:rPr>
      </w:pPr>
      <w:r>
        <w:rPr>
          <w:rFonts w:hint="eastAsia" w:ascii="宋体" w:hAnsi="宋体" w:cs="宋体"/>
          <w:sz w:val="22"/>
          <w:szCs w:val="24"/>
        </w:rPr>
        <w:t xml:space="preserve">十一、售后服务</w:t>
      </w:r>
      <w:r/>
    </w:p>
    <w:p>
      <w:pPr>
        <w:ind w:firstLine="440"/>
        <w:spacing w:line="360" w:lineRule="auto"/>
        <w:rPr>
          <w:rFonts w:ascii="宋体" w:hAnsi="宋体" w:cs="宋体"/>
          <w:sz w:val="22"/>
          <w:szCs w:val="24"/>
        </w:rPr>
      </w:pPr>
      <w:r>
        <w:rPr>
          <w:rFonts w:hint="eastAsia" w:ascii="宋体" w:hAnsi="宋体" w:cs="宋体"/>
          <w:sz w:val="22"/>
          <w:szCs w:val="24"/>
        </w:rPr>
        <w:t xml:space="preserve">设有客服专线电话，处理相关的日常咨询及售后服务工作。具有完善管理制度和服务流程以保障上门服务及时有效性，并定期选派具有医学检验背景的专业技术人员提供售后服务。</w:t>
      </w:r>
      <w:r/>
    </w:p>
    <w:p>
      <w:pPr>
        <w:ind w:firstLine="440"/>
        <w:spacing w:line="360" w:lineRule="auto"/>
        <w:rPr>
          <w:rFonts w:ascii="宋体" w:hAnsi="宋体" w:cs="宋体"/>
          <w:sz w:val="22"/>
          <w:szCs w:val="24"/>
        </w:rPr>
      </w:pPr>
      <w:r>
        <w:rPr>
          <w:rFonts w:hint="eastAsia" w:ascii="宋体" w:hAnsi="宋体" w:cs="宋体"/>
          <w:sz w:val="22"/>
          <w:szCs w:val="24"/>
        </w:rPr>
        <w:t xml:space="preserve">十二、质量要求</w:t>
      </w:r>
      <w:r/>
    </w:p>
    <w:p>
      <w:pPr>
        <w:ind w:firstLine="440"/>
        <w:spacing w:line="360" w:lineRule="auto"/>
        <w:rPr>
          <w:rFonts w:ascii="宋体" w:hAnsi="宋体" w:cs="宋体"/>
          <w:sz w:val="22"/>
          <w:szCs w:val="24"/>
        </w:rPr>
      </w:pPr>
      <w:r>
        <w:rPr>
          <w:rFonts w:hint="eastAsia" w:ascii="宋体" w:hAnsi="宋体" w:cs="宋体"/>
          <w:sz w:val="22"/>
          <w:szCs w:val="24"/>
        </w:rPr>
        <w:t xml:space="preserve">投标实验室具有完善的质量管理体系，每次检测都有严格的室内质控，每年省临检中心的质量控制和室间质量评估工作，以控制诊断结果的质量。因投标实验室质量因素导致的医疗纠纷、事故等不良后果的，由此产生的赔偿责任由中标人承担。</w:t>
      </w:r>
      <w:r/>
    </w:p>
    <w:p>
      <w:pPr>
        <w:ind w:firstLine="440"/>
        <w:spacing w:line="360" w:lineRule="auto"/>
        <w:rPr>
          <w:rFonts w:ascii="宋体" w:hAnsi="宋体" w:cs="宋体"/>
          <w:sz w:val="22"/>
          <w:szCs w:val="24"/>
        </w:rPr>
      </w:pPr>
      <w:r>
        <w:rPr>
          <w:rFonts w:hint="eastAsia" w:ascii="宋体" w:hAnsi="宋体" w:cs="宋体"/>
          <w:sz w:val="22"/>
          <w:szCs w:val="24"/>
        </w:rPr>
        <w:t xml:space="preserve">十三、报价要求：</w:t>
      </w:r>
      <w:r/>
    </w:p>
    <w:p>
      <w:pPr>
        <w:ind w:firstLine="440"/>
        <w:spacing w:line="360" w:lineRule="auto"/>
        <w:rPr>
          <w:rFonts w:ascii="宋体" w:hAnsi="宋体" w:cs="宋体"/>
          <w:sz w:val="22"/>
          <w:szCs w:val="24"/>
        </w:rPr>
      </w:pPr>
      <w:r>
        <w:rPr>
          <w:rFonts w:hint="eastAsia" w:ascii="宋体" w:hAnsi="宋体" w:cs="宋体"/>
          <w:sz w:val="22"/>
          <w:szCs w:val="24"/>
        </w:rPr>
        <w:t xml:space="preserve">1、本次报价为含税全包价，包括人员费用、设备设施使用费、运输费、耗材费用、管理费、税费、利润和其他所有相关费用等。</w:t>
      </w:r>
      <w:r/>
    </w:p>
    <w:p>
      <w:pPr>
        <w:ind w:firstLine="440"/>
        <w:spacing w:line="360" w:lineRule="auto"/>
        <w:rPr>
          <w:rFonts w:ascii="宋体" w:hAnsi="宋体" w:cs="宋体"/>
          <w:sz w:val="22"/>
          <w:szCs w:val="24"/>
        </w:rPr>
      </w:pPr>
      <w:r>
        <w:rPr>
          <w:rFonts w:hint="eastAsia" w:ascii="宋体" w:hAnsi="宋体" w:cs="宋体"/>
          <w:sz w:val="22"/>
          <w:szCs w:val="24"/>
        </w:rPr>
        <w:t xml:space="preserve">2、本次报价采用优惠率报价法。投标人所报优惠率不得少于招标文件规定的优惠率（55%）。</w:t>
      </w:r>
      <w:r/>
    </w:p>
    <w:p>
      <w:pPr>
        <w:ind w:firstLine="440"/>
        <w:spacing w:line="360" w:lineRule="auto"/>
        <w:rPr>
          <w:rFonts w:ascii="宋体" w:hAnsi="宋体" w:cs="宋体"/>
          <w:sz w:val="22"/>
          <w:szCs w:val="24"/>
        </w:rPr>
      </w:pPr>
      <w:r>
        <w:rPr>
          <w:rFonts w:hint="eastAsia" w:ascii="宋体" w:hAnsi="宋体" w:cs="宋体"/>
          <w:sz w:val="22"/>
          <w:szCs w:val="24"/>
        </w:rPr>
        <w:t xml:space="preserve">3、合同实施期间，中标供应商的中标优惠率不因任何因素变化而调整。</w:t>
      </w:r>
      <w:r/>
    </w:p>
    <w:p>
      <w:pPr>
        <w:ind w:firstLine="440"/>
        <w:spacing w:line="360" w:lineRule="auto"/>
        <w:rPr>
          <w:rFonts w:ascii="宋体" w:hAnsi="宋体" w:cs="宋体"/>
          <w:sz w:val="22"/>
          <w:szCs w:val="24"/>
        </w:rPr>
      </w:pPr>
      <w:r>
        <w:rPr>
          <w:rFonts w:hint="eastAsia" w:ascii="宋体" w:hAnsi="宋体" w:cs="宋体"/>
          <w:sz w:val="22"/>
          <w:szCs w:val="24"/>
        </w:rPr>
        <w:t xml:space="preserve">4、采购合同履行的过程中，中标供应商不得以任何理由和借口向采购人提出增加服务附加费的要求，不得以此为由耽误报告交付时间，否则将承担相应法律责任。</w:t>
      </w:r>
      <w:r/>
    </w:p>
    <w:p>
      <w:pPr>
        <w:ind w:firstLine="440"/>
        <w:spacing w:line="360" w:lineRule="auto"/>
        <w:rPr>
          <w:rFonts w:ascii="宋体" w:hAnsi="宋体" w:cs="宋体"/>
          <w:sz w:val="22"/>
          <w:szCs w:val="24"/>
        </w:rPr>
      </w:pPr>
      <w:r>
        <w:rPr>
          <w:rFonts w:hint="eastAsia" w:ascii="宋体" w:hAnsi="宋体" w:cs="宋体"/>
          <w:sz w:val="22"/>
          <w:szCs w:val="24"/>
        </w:rPr>
        <w:t xml:space="preserve">十四、结算及付款方式：</w:t>
      </w:r>
      <w:r/>
    </w:p>
    <w:p>
      <w:pPr>
        <w:ind w:firstLine="440"/>
        <w:spacing w:line="360" w:lineRule="auto"/>
        <w:rPr>
          <w:rFonts w:ascii="宋体" w:hAnsi="宋体" w:cs="宋体"/>
          <w:sz w:val="22"/>
          <w:szCs w:val="24"/>
        </w:rPr>
      </w:pPr>
      <w:r>
        <w:rPr>
          <w:rFonts w:hint="eastAsia" w:ascii="宋体" w:hAnsi="宋体" w:cs="宋体"/>
          <w:sz w:val="22"/>
          <w:szCs w:val="24"/>
        </w:rPr>
        <w:t xml:space="preserve">1、结算期限：</w:t>
      </w:r>
      <w:r/>
    </w:p>
    <w:p>
      <w:pPr>
        <w:ind w:firstLine="440"/>
        <w:spacing w:line="360" w:lineRule="auto"/>
        <w:rPr>
          <w:rFonts w:ascii="宋体" w:hAnsi="宋体" w:cs="宋体"/>
          <w:sz w:val="22"/>
          <w:szCs w:val="24"/>
        </w:rPr>
      </w:pPr>
      <w:r>
        <w:rPr>
          <w:rFonts w:hint="eastAsia" w:ascii="宋体" w:hAnsi="宋体" w:cs="宋体"/>
          <w:sz w:val="22"/>
          <w:szCs w:val="24"/>
        </w:rPr>
        <w:t xml:space="preserve">每月月初支付上个月的检测费用，按实结算。</w:t>
      </w:r>
      <w:r/>
    </w:p>
    <w:p>
      <w:pPr>
        <w:ind w:firstLine="440"/>
        <w:spacing w:line="360" w:lineRule="auto"/>
        <w:rPr>
          <w:rFonts w:ascii="宋体" w:hAnsi="宋体" w:cs="宋体"/>
          <w:sz w:val="22"/>
          <w:szCs w:val="24"/>
        </w:rPr>
      </w:pPr>
      <w:r>
        <w:rPr>
          <w:rFonts w:hint="eastAsia" w:ascii="宋体" w:hAnsi="宋体" w:cs="宋体"/>
          <w:sz w:val="22"/>
          <w:szCs w:val="24"/>
        </w:rPr>
        <w:t xml:space="preserve">2、结算办法：</w:t>
      </w:r>
      <w:r/>
    </w:p>
    <w:p>
      <w:pPr>
        <w:ind w:firstLine="440"/>
        <w:spacing w:line="360" w:lineRule="auto"/>
        <w:rPr>
          <w:rFonts w:ascii="宋体" w:hAnsi="宋体" w:cs="宋体"/>
          <w:sz w:val="22"/>
          <w:szCs w:val="24"/>
        </w:rPr>
      </w:pPr>
      <w:r>
        <w:rPr>
          <w:rFonts w:hint="eastAsia" w:ascii="宋体" w:hAnsi="宋体" w:cs="宋体"/>
          <w:sz w:val="22"/>
          <w:szCs w:val="24"/>
        </w:rPr>
        <w:t xml:space="preserve">实际服务费用=∑检测检查项收费标准×当月对应实际检测检查数量×（1-中标优惠率）。</w:t>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ind w:firstLine="440"/>
        <w:jc w:val="left"/>
        <w:spacing w:line="440" w:lineRule="exact"/>
        <w:rPr>
          <w:rFonts w:ascii="宋体" w:hAnsi="宋体" w:cs="宋体"/>
          <w:sz w:val="22"/>
          <w:szCs w:val="22"/>
        </w:rPr>
      </w:pPr>
      <w:r>
        <w:rPr>
          <w:rFonts w:ascii="宋体" w:hAnsi="宋体" w:cs="宋体"/>
          <w:sz w:val="22"/>
        </w:rPr>
      </w:r>
      <w:r>
        <w:rPr>
          <w:rFonts w:ascii="宋体" w:hAnsi="宋体" w:cs="宋体"/>
          <w:sz w:val="22"/>
        </w:rPr>
      </w:r>
      <w:r/>
    </w:p>
    <w:p>
      <w:pPr>
        <w:ind w:firstLine="440"/>
        <w:jc w:val="left"/>
        <w:spacing w:line="440" w:lineRule="exact"/>
        <w:rPr>
          <w:rFonts w:ascii="宋体" w:hAnsi="宋体" w:cs="宋体"/>
          <w:sz w:val="22"/>
          <w:szCs w:val="22"/>
        </w:rPr>
      </w:pPr>
      <w:r>
        <w:rPr>
          <w:rFonts w:ascii="宋体" w:hAnsi="宋体" w:cs="宋体"/>
          <w:sz w:val="22"/>
          <w:szCs w:val="22"/>
        </w:rPr>
      </w:r>
      <w:r>
        <w:rPr>
          <w:rFonts w:ascii="宋体" w:hAnsi="宋体" w:cs="宋体"/>
          <w:sz w:val="22"/>
          <w:szCs w:val="22"/>
        </w:rPr>
      </w:r>
      <w:r/>
    </w:p>
    <w:p>
      <w:pPr>
        <w:ind w:firstLine="440"/>
        <w:jc w:val="left"/>
        <w:spacing w:line="440" w:lineRule="exact"/>
        <w:rPr>
          <w:rFonts w:ascii="宋体" w:hAnsi="宋体" w:cs="宋体"/>
          <w:sz w:val="22"/>
          <w:szCs w:val="22"/>
        </w:rPr>
      </w:pPr>
      <w:r>
        <w:rPr>
          <w:rFonts w:ascii="宋体" w:hAnsi="宋体" w:cs="宋体"/>
          <w:sz w:val="22"/>
        </w:rPr>
      </w:r>
      <w:r/>
    </w:p>
    <w:p>
      <w:pPr>
        <w:ind w:firstLine="440"/>
        <w:jc w:val="left"/>
        <w:spacing w:line="440" w:lineRule="exact"/>
        <w:rPr>
          <w:rFonts w:ascii="宋体" w:hAnsi="宋体" w:cs="宋体"/>
          <w:sz w:val="22"/>
        </w:rPr>
      </w:pPr>
      <w:r>
        <w:rPr>
          <w:rFonts w:ascii="宋体" w:hAnsi="宋体" w:cs="宋体"/>
          <w:sz w:val="22"/>
        </w:rPr>
      </w:r>
      <w:r/>
    </w:p>
    <w:p>
      <w:pPr>
        <w:pStyle w:val="924"/>
        <w:jc w:val="center"/>
        <w:spacing w:before="0" w:after="20" w:line="240" w:lineRule="auto"/>
        <w:rPr>
          <w:rFonts w:ascii="微软雅黑" w:hAnsi="微软雅黑" w:eastAsia="微软雅黑" w:cs="微软雅黑"/>
          <w:b w:val="0"/>
          <w:bCs w:val="0"/>
          <w:sz w:val="36"/>
          <w:szCs w:val="36"/>
        </w:rPr>
      </w:pPr>
      <w:r/>
      <w:bookmarkStart w:id="141" w:name="_Toc152268448"/>
      <w:r>
        <w:rPr>
          <w:rFonts w:hint="eastAsia" w:ascii="微软雅黑" w:hAnsi="微软雅黑" w:eastAsia="微软雅黑" w:cs="微软雅黑"/>
          <w:b w:val="0"/>
          <w:bCs w:val="0"/>
          <w:sz w:val="36"/>
          <w:szCs w:val="36"/>
        </w:rPr>
        <w:t xml:space="preserve">第七章 电子投标文件格式</w:t>
      </w:r>
      <w:bookmarkEnd w:id="141"/>
      <w:r/>
      <w:r/>
    </w:p>
    <w:p>
      <w:r/>
      <w:r/>
    </w:p>
    <w:p>
      <w:pPr>
        <w:rPr>
          <w:rStyle w:val="927"/>
          <w:rFonts w:ascii="黑体" w:hAnsi="黑体"/>
          <w:b w:val="0"/>
          <w:bCs w:val="0"/>
        </w:rPr>
      </w:pPr>
      <w:r/>
      <w:bookmarkStart w:id="142" w:name="_Toc3586"/>
      <w:r>
        <w:rPr>
          <w:rStyle w:val="927"/>
          <w:rFonts w:hint="eastAsia" w:ascii="黑体" w:hAnsi="黑体"/>
          <w:b w:val="0"/>
        </w:rPr>
        <w:t xml:space="preserve">封面</w:t>
      </w:r>
      <w:r/>
    </w:p>
    <w:p>
      <w:r/>
      <w:r/>
    </w:p>
    <w:p>
      <w:pPr>
        <w:jc w:val="center"/>
        <w:rPr>
          <w:sz w:val="32"/>
          <w:szCs w:val="36"/>
        </w:rPr>
      </w:pPr>
      <w:r>
        <w:rPr>
          <w:sz w:val="32"/>
          <w:szCs w:val="36"/>
        </w:rPr>
      </w:r>
      <w:r/>
    </w:p>
    <w:p>
      <w:pPr>
        <w:jc w:val="center"/>
        <w:rPr>
          <w:rFonts w:hint="eastAsia" w:eastAsia="宋体"/>
          <w:sz w:val="40"/>
          <w:szCs w:val="44"/>
          <w:lang w:eastAsia="zh-CN"/>
        </w:rPr>
      </w:pPr>
      <w:r>
        <w:rPr>
          <w:rFonts w:hint="eastAsia"/>
          <w:sz w:val="32"/>
          <w:szCs w:val="36"/>
          <w:lang w:eastAsia="zh-CN"/>
        </w:rPr>
        <w:t xml:space="preserve">靖江市人民医院检验病理外送服务</w:t>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rFonts w:hint="eastAsia"/>
          <w:b/>
          <w:bCs/>
          <w:sz w:val="56"/>
          <w:szCs w:val="72"/>
        </w:rPr>
        <w:t xml:space="preserve">投 标 文 件</w:t>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28"/>
          <w:szCs w:val="32"/>
        </w:rPr>
      </w:pPr>
      <w:r>
        <w:rPr>
          <w:rFonts w:hint="eastAsia"/>
          <w:sz w:val="28"/>
          <w:szCs w:val="32"/>
        </w:rPr>
        <w:t xml:space="preserve">投标人名称：</w:t>
      </w:r>
      <w:r>
        <w:rPr>
          <w:rFonts w:hint="eastAsia"/>
          <w:sz w:val="28"/>
          <w:szCs w:val="32"/>
          <w:u w:val="single"/>
        </w:rPr>
        <w:t xml:space="preserve">                              </w:t>
      </w:r>
      <w:r>
        <w:rPr>
          <w:rFonts w:hint="eastAsia"/>
          <w:sz w:val="28"/>
          <w:szCs w:val="32"/>
        </w:rPr>
        <w:t xml:space="preserve">（电子签章）</w:t>
      </w:r>
      <w:r/>
    </w:p>
    <w:p>
      <w:pPr>
        <w:jc w:val="center"/>
        <w:rPr>
          <w:sz w:val="28"/>
          <w:szCs w:val="32"/>
        </w:rPr>
      </w:pPr>
      <w:r>
        <w:rPr>
          <w:sz w:val="28"/>
          <w:szCs w:val="32"/>
        </w:rPr>
      </w:r>
      <w:r/>
    </w:p>
    <w:p>
      <w:pPr>
        <w:jc w:val="center"/>
        <w:rPr>
          <w:rFonts w:ascii="宋体" w:hAnsi="宋体"/>
          <w:sz w:val="40"/>
          <w:szCs w:val="52"/>
        </w:rPr>
      </w:pPr>
      <w:r>
        <w:rPr>
          <w:rFonts w:hint="eastAsia"/>
          <w:sz w:val="28"/>
          <w:szCs w:val="32"/>
        </w:rPr>
        <w:t xml:space="preserve">日期：   年  月   日</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黑体" w:hAnsi="黑体" w:eastAsia="黑体"/>
          <w:sz w:val="36"/>
          <w:szCs w:val="36"/>
        </w:rPr>
      </w:pPr>
      <w:r>
        <w:rPr>
          <w:rFonts w:hint="eastAsia" w:ascii="黑体" w:hAnsi="黑体" w:eastAsia="黑体"/>
          <w:sz w:val="36"/>
          <w:szCs w:val="36"/>
        </w:rPr>
        <w:t xml:space="preserve">开标一览表</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项目名称：</w:t>
      </w:r>
      <w:r/>
    </w:p>
    <w:p>
      <w:pPr>
        <w:jc w:val="left"/>
        <w:spacing w:line="360" w:lineRule="auto"/>
        <w:rPr>
          <w:rFonts w:ascii="宋体" w:hAnsi="宋体"/>
          <w:sz w:val="24"/>
          <w:szCs w:val="24"/>
        </w:rPr>
      </w:pPr>
      <w:r>
        <w:rPr>
          <w:rFonts w:hint="eastAsia" w:ascii="宋体" w:hAnsi="宋体"/>
          <w:sz w:val="24"/>
          <w:szCs w:val="24"/>
        </w:rPr>
        <w:t xml:space="preserve">项目编号：</w:t>
      </w:r>
      <w:r/>
    </w:p>
    <w:tbl>
      <w:tblPr>
        <w:tblStyle w:val="689"/>
        <w:tblW w:w="9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4211"/>
        <w:gridCol w:w="3168"/>
      </w:tblGrid>
      <w:tr>
        <w:trPr>
          <w:trHeight w:val="760"/>
        </w:trPr>
        <w:tc>
          <w:tcPr>
            <w:shd w:val="clear" w:color="auto" w:fill="auto"/>
            <w:tcW w:w="212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投标人名称</w:t>
            </w:r>
            <w:r/>
          </w:p>
        </w:tc>
        <w:tc>
          <w:tcPr>
            <w:shd w:val="clear" w:color="auto" w:fill="auto"/>
            <w:tcW w:w="42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优惠率（%）</w:t>
            </w:r>
            <w:r/>
          </w:p>
        </w:tc>
        <w:tc>
          <w:tcPr>
            <w:shd w:val="clear" w:color="auto" w:fill="auto"/>
            <w:tcW w:w="316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trHeight w:val="760"/>
        </w:trPr>
        <w:tc>
          <w:tcPr>
            <w:shd w:val="clear" w:color="auto" w:fill="auto"/>
            <w:tcW w:w="212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供应商名称</w:t>
            </w:r>
            <w:r/>
          </w:p>
        </w:tc>
        <w:tc>
          <w:tcPr>
            <w:shd w:val="clear" w:color="auto" w:fill="auto"/>
            <w:tcW w:w="4211" w:type="dxa"/>
            <w:vAlign w:val="center"/>
            <w:textDirection w:val="lrTb"/>
            <w:noWrap w:val="false"/>
          </w:tcPr>
          <w:p>
            <w:pPr>
              <w:ind w:right="960"/>
              <w:jc w:val="right"/>
              <w:spacing w:line="360" w:lineRule="auto"/>
              <w:rPr>
                <w:rFonts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646430</wp:posOffset>
                      </wp:positionH>
                      <wp:positionV relativeFrom="paragraph">
                        <wp:posOffset>41910</wp:posOffset>
                      </wp:positionV>
                      <wp:extent cx="1083310" cy="228600"/>
                      <wp:effectExtent l="4445" t="4445" r="17145" b="8255"/>
                      <wp:wrapNone/>
                      <wp:docPr id="2" name="Rectangle 2"/>
                      <wp:cNvGraphicFramePr/>
                      <a:graphic xmlns:a="http://schemas.openxmlformats.org/drawingml/2006/main">
                        <a:graphicData uri="http://schemas.microsoft.com/office/word/2010/wordprocessingShape">
                          <wps:wsp>
                            <wps:cNvPr id="0" name=""/>
                            <wps:cNvSpPr>
                              <a:spLocks noChangeArrowheads="1"/>
                            </wps:cNvSpPr>
                            <wps:spPr bwMode="auto">
                              <a:xfrm>
                                <a:off x="0" y="0"/>
                                <a:ext cx="1083310" cy="228600"/>
                              </a:xfrm>
                              <a:prstGeom prst="rect">
                                <a:avLst/>
                              </a:prstGeom>
                              <a:solidFill>
                                <a:srgbClr val="FFFFFF"/>
                              </a:solidFill>
                              <a:ln w="9525">
                                <a:solidFill>
                                  <a:srgbClr val="000000"/>
                                </a:solidFill>
                                <a:miter lim="800000"/>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50.9pt;mso-position-horizontal:absolute;mso-position-vertical-relative:text;margin-top:3.3pt;mso-position-vertical:absolute;width:85.3pt;height:18.0pt;mso-wrap-distance-left:9.0pt;mso-wrap-distance-top:0.0pt;mso-wrap-distance-right:9.0pt;mso-wrap-distance-bottom:0.0pt;visibility:visible;" fillcolor="#FFFFFF" strokecolor="#000000" strokeweight="0.75pt"/>
                  </w:pict>
                </mc:Fallback>
              </mc:AlternateContent>
            </w:r>
            <w:r>
              <w:rPr>
                <w:rFonts w:hint="eastAsia" w:ascii="宋体" w:hAnsi="宋体"/>
                <w:sz w:val="24"/>
                <w:szCs w:val="24"/>
              </w:rPr>
              <w:t xml:space="preserve">%       </w:t>
            </w:r>
            <w:r/>
          </w:p>
        </w:tc>
        <w:tc>
          <w:tcPr>
            <w:shd w:val="clear" w:color="auto" w:fill="auto"/>
            <w:tcW w:w="316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bl>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投标人公章：  （电子签章）</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（一）</w:t>
      </w:r>
      <w:bookmarkEnd w:id="142"/>
      <w:r>
        <w:rPr>
          <w:rFonts w:hint="eastAsia" w:ascii="黑体" w:hAnsi="黑体" w:eastAsia="黑体"/>
          <w:sz w:val="28"/>
          <w:szCs w:val="28"/>
        </w:rPr>
        <w:t xml:space="preserve">营业执照或事业单位法人登记证书原件扫描件</w:t>
      </w:r>
      <w:r/>
    </w:p>
    <w:p>
      <w:pPr>
        <w:pStyle w:val="938"/>
        <w:ind w:firstLine="562"/>
        <w:rPr>
          <w:rFonts w:ascii="宋体" w:hAnsi="宋体" w:cs="宋体"/>
          <w:b/>
          <w:bCs/>
          <w:sz w:val="28"/>
          <w:szCs w:val="28"/>
        </w:rPr>
      </w:pPr>
      <w:r>
        <w:rPr>
          <w:rFonts w:ascii="宋体" w:hAnsi="宋体" w:cs="宋体"/>
          <w:b/>
          <w:bCs/>
          <w:sz w:val="28"/>
          <w:szCs w:val="28"/>
        </w:rPr>
      </w:r>
      <w:r/>
    </w:p>
    <w:p>
      <w:pPr>
        <w:ind w:left="420"/>
        <w:jc w:val="center"/>
        <w:spacing w:line="440" w:lineRule="exact"/>
        <w:rPr>
          <w:rFonts w:ascii="宋体" w:hAnsi="宋体" w:cs="宋体"/>
          <w:b/>
          <w:bCs/>
          <w:sz w:val="28"/>
          <w:szCs w:val="28"/>
        </w:rPr>
      </w:pPr>
      <w:r>
        <w:rPr>
          <w:rFonts w:ascii="宋体" w:hAnsi="宋体" w:cs="宋体"/>
          <w:b/>
          <w:bCs/>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（二）基本资格条件声明函</w:t>
      </w:r>
      <w:r/>
    </w:p>
    <w:p>
      <w:pPr>
        <w:pStyle w:val="938"/>
        <w:spacing w:after="0" w:line="560" w:lineRule="exact"/>
        <w:rPr>
          <w:rFonts w:ascii="宋体" w:hAnsi="宋体" w:cs="宋体"/>
          <w:b/>
          <w:bCs/>
          <w:sz w:val="24"/>
          <w:u w:val="single"/>
        </w:rPr>
      </w:pPr>
      <w:r>
        <w:rPr>
          <w:rFonts w:hint="eastAsia" w:ascii="宋体" w:hAnsi="宋体" w:cs="宋体"/>
          <w:b/>
          <w:bCs/>
          <w:sz w:val="24"/>
          <w:u w:val="single"/>
        </w:rPr>
        <w:t xml:space="preserve">  采购人名称     </w:t>
      </w:r>
      <w:r>
        <w:rPr>
          <w:rFonts w:hint="eastAsia" w:ascii="宋体" w:hAnsi="宋体" w:cs="宋体"/>
          <w:b/>
          <w:bCs/>
          <w:sz w:val="24"/>
        </w:rPr>
        <w:t xml:space="preserve">：</w:t>
      </w:r>
      <w:r/>
    </w:p>
    <w:p>
      <w:pPr>
        <w:pStyle w:val="938"/>
        <w:ind w:firstLine="480"/>
        <w:spacing w:after="0" w:line="560" w:lineRule="exact"/>
        <w:rPr>
          <w:rFonts w:ascii="宋体" w:hAnsi="宋体" w:cs="宋体"/>
          <w:b/>
          <w:bCs/>
          <w:sz w:val="24"/>
        </w:rPr>
      </w:pPr>
      <w:r>
        <w:rPr>
          <w:rFonts w:hint="eastAsia" w:ascii="宋体" w:hAnsi="宋体" w:cs="宋体"/>
          <w:b/>
          <w:bCs/>
          <w:sz w:val="24"/>
        </w:rPr>
        <w:t xml:space="preserve">我单位自愿参加贵单位组织的</w:t>
      </w:r>
      <w:r>
        <w:rPr>
          <w:rFonts w:hint="eastAsia" w:ascii="宋体" w:hAnsi="宋体" w:cs="宋体"/>
          <w:b/>
          <w:bCs/>
          <w:sz w:val="24"/>
          <w:u w:val="single"/>
        </w:rPr>
        <w:t xml:space="preserve">    （项目名称）    </w:t>
      </w:r>
      <w:r>
        <w:rPr>
          <w:rFonts w:hint="eastAsia" w:ascii="宋体" w:hAnsi="宋体" w:cs="宋体"/>
          <w:b/>
          <w:bCs/>
          <w:sz w:val="24"/>
        </w:rPr>
        <w:t xml:space="preserve">政府采购活动，按照《政府采购法》及其实施条例等法律法规、规章政策以及本项目采购文件要求，我单位具备供应商基本资格条件。现就有关事项郑重声明如下：</w:t>
      </w:r>
      <w:r/>
    </w:p>
    <w:p>
      <w:pPr>
        <w:pStyle w:val="938"/>
        <w:ind w:firstLine="480"/>
        <w:spacing w:after="0" w:line="560" w:lineRule="exact"/>
        <w:rPr>
          <w:rFonts w:ascii="宋体" w:hAnsi="宋体" w:cs="宋体"/>
          <w:b/>
          <w:bCs/>
          <w:sz w:val="24"/>
        </w:rPr>
      </w:pPr>
      <w:r>
        <w:rPr>
          <w:rFonts w:hint="eastAsia" w:ascii="宋体" w:hAnsi="宋体" w:cs="宋体"/>
          <w:b/>
          <w:bCs/>
          <w:sz w:val="24"/>
        </w:rPr>
        <w:t xml:space="preserve">1．我公司具有良好的商业信誉和健全的财务制度；</w:t>
      </w:r>
      <w:r/>
    </w:p>
    <w:p>
      <w:pPr>
        <w:pStyle w:val="938"/>
        <w:ind w:firstLine="480"/>
        <w:spacing w:after="0" w:line="560" w:lineRule="exact"/>
        <w:rPr>
          <w:rFonts w:ascii="宋体" w:hAnsi="宋体" w:cs="宋体"/>
          <w:b/>
          <w:bCs/>
          <w:sz w:val="24"/>
        </w:rPr>
      </w:pPr>
      <w:r>
        <w:rPr>
          <w:rFonts w:hint="eastAsia" w:ascii="宋体" w:hAnsi="宋体" w:cs="宋体"/>
          <w:b/>
          <w:bCs/>
          <w:sz w:val="24"/>
        </w:rPr>
        <w:t xml:space="preserve">2．我公司具有履行合同所必须的设备和专业技术能力；</w:t>
      </w:r>
      <w:r/>
    </w:p>
    <w:p>
      <w:pPr>
        <w:pStyle w:val="938"/>
        <w:ind w:firstLine="480"/>
        <w:spacing w:after="0" w:line="560" w:lineRule="exact"/>
        <w:rPr>
          <w:rFonts w:ascii="宋体" w:hAnsi="宋体" w:cs="宋体"/>
          <w:b/>
          <w:bCs/>
          <w:sz w:val="24"/>
        </w:rPr>
      </w:pPr>
      <w:r>
        <w:rPr>
          <w:rFonts w:hint="eastAsia" w:ascii="宋体" w:hAnsi="宋体" w:cs="宋体"/>
          <w:b/>
          <w:bCs/>
          <w:sz w:val="24"/>
        </w:rPr>
        <w:t xml:space="preserve">3．我公司具有依法缴纳税收和社会保障资金的良好记录；</w:t>
      </w:r>
      <w:r/>
    </w:p>
    <w:p>
      <w:pPr>
        <w:pStyle w:val="938"/>
        <w:ind w:firstLine="480"/>
        <w:spacing w:after="0" w:line="560" w:lineRule="exact"/>
        <w:rPr>
          <w:rFonts w:ascii="宋体" w:hAnsi="宋体" w:cs="宋体"/>
          <w:b/>
          <w:bCs/>
          <w:sz w:val="24"/>
        </w:rPr>
      </w:pPr>
      <w:r>
        <w:rPr>
          <w:rFonts w:hint="eastAsia" w:ascii="宋体" w:hAnsi="宋体" w:cs="宋体"/>
          <w:b/>
          <w:bCs/>
          <w:sz w:val="24"/>
        </w:rPr>
        <w:t xml:space="preserve">4．我公司参加政府采购活动前三年内，在经营活动中没有重大违法记录；</w:t>
      </w:r>
      <w:r/>
    </w:p>
    <w:p>
      <w:pPr>
        <w:pStyle w:val="938"/>
        <w:ind w:firstLine="480"/>
        <w:spacing w:after="0" w:line="560" w:lineRule="exact"/>
        <w:rPr>
          <w:rFonts w:ascii="宋体" w:hAnsi="宋体" w:cs="宋体"/>
          <w:b/>
          <w:bCs/>
          <w:sz w:val="24"/>
        </w:rPr>
      </w:pPr>
      <w:r>
        <w:rPr>
          <w:rFonts w:hint="eastAsia" w:ascii="宋体" w:hAnsi="宋体" w:cs="宋体"/>
          <w:b/>
          <w:bCs/>
          <w:sz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ascii="宋体" w:hAnsi="宋体" w:cs="宋体"/>
          <w:sz w:val="24"/>
          <w:szCs w:val="24"/>
        </w:rPr>
      </w:r>
      <w:r/>
    </w:p>
    <w:p>
      <w:pPr>
        <w:ind w:firstLine="480"/>
        <w:jc w:val="right"/>
        <w:spacing w:line="560" w:lineRule="exact"/>
        <w:rPr>
          <w:rFonts w:ascii="宋体" w:hAnsi="宋体" w:cs="宋体"/>
          <w:sz w:val="24"/>
          <w:szCs w:val="24"/>
        </w:rPr>
      </w:pPr>
      <w:r>
        <w:rPr>
          <w:rFonts w:hint="eastAsia" w:ascii="宋体" w:hAnsi="宋体" w:cs="宋体"/>
          <w:sz w:val="24"/>
          <w:szCs w:val="24"/>
        </w:rPr>
        <w:t xml:space="preserve">投标人公章：            （电子签章）</w:t>
      </w:r>
      <w:r/>
    </w:p>
    <w:p>
      <w:pPr>
        <w:ind w:firstLine="480"/>
        <w:jc w:val="right"/>
        <w:spacing w:line="560" w:lineRule="exact"/>
        <w:rPr>
          <w:rFonts w:ascii="宋体" w:hAnsi="宋体" w:cs="宋体"/>
          <w:sz w:val="24"/>
          <w:szCs w:val="24"/>
        </w:rPr>
      </w:pPr>
      <w:r>
        <w:rPr>
          <w:rFonts w:hint="eastAsia" w:ascii="宋体" w:hAnsi="宋体" w:cs="宋体"/>
          <w:sz w:val="24"/>
          <w:szCs w:val="24"/>
        </w:rPr>
        <w:t xml:space="preserve">法定代表人：            </w:t>
      </w:r>
      <w:r>
        <w:rPr>
          <w:rFonts w:hint="eastAsia" w:ascii="宋体" w:hAnsi="宋体" w:cs="宋体"/>
          <w:bCs/>
          <w:sz w:val="24"/>
          <w:szCs w:val="24"/>
        </w:rPr>
        <w:t xml:space="preserve">（电子签章</w:t>
      </w:r>
      <w:r>
        <w:rPr>
          <w:rFonts w:hint="eastAsia" w:ascii="宋体" w:hAnsi="宋体" w:cs="宋体"/>
          <w:sz w:val="24"/>
          <w:szCs w:val="24"/>
        </w:rPr>
        <w:t xml:space="preserve">）</w:t>
      </w:r>
      <w:r/>
    </w:p>
    <w:p>
      <w:pPr>
        <w:ind w:firstLine="480"/>
        <w:jc w:val="right"/>
        <w:spacing w:line="56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（三）《医疗机构执业许可证》原件扫描件</w:t>
      </w:r>
      <w:r/>
    </w:p>
    <w:p>
      <w:pPr>
        <w:pStyle w:val="938"/>
        <w:ind w:firstLine="562"/>
        <w:rPr>
          <w:rFonts w:ascii="宋体" w:hAnsi="宋体" w:cs="宋体"/>
          <w:b/>
          <w:bCs/>
          <w:sz w:val="28"/>
          <w:szCs w:val="28"/>
        </w:rPr>
      </w:pPr>
      <w:r>
        <w:rPr>
          <w:rFonts w:ascii="宋体" w:hAnsi="宋体" w:cs="宋体"/>
          <w:b/>
          <w:bCs/>
          <w:sz w:val="28"/>
          <w:szCs w:val="28"/>
        </w:rPr>
      </w:r>
      <w:r/>
    </w:p>
    <w:p>
      <w:r/>
      <w:r/>
    </w:p>
    <w:p>
      <w:r/>
      <w:r/>
    </w:p>
    <w:p>
      <w:r/>
      <w:r/>
    </w:p>
    <w:p>
      <w:pPr>
        <w:ind w:left="420"/>
        <w:jc w:val="center"/>
        <w:spacing w:line="440" w:lineRule="exact"/>
        <w:rPr>
          <w:rFonts w:ascii="宋体" w:hAnsi="宋体" w:cs="宋体"/>
          <w:b/>
          <w:bCs/>
          <w:sz w:val="28"/>
          <w:szCs w:val="28"/>
        </w:rPr>
      </w:pPr>
      <w:r>
        <w:rPr>
          <w:rFonts w:ascii="宋体" w:hAnsi="宋体" w:cs="宋体"/>
          <w:b/>
          <w:bCs/>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ind w:firstLine="440"/>
        <w:spacing w:line="440" w:lineRule="exact"/>
        <w:rPr>
          <w:rFonts w:ascii="宋体" w:hAnsi="宋体" w:cs="宋体"/>
          <w:sz w:val="22"/>
        </w:rPr>
      </w:pPr>
      <w:r>
        <w:rPr>
          <w:rFonts w:ascii="宋体" w:hAnsi="宋体" w:cs="宋体"/>
          <w:sz w:val="22"/>
        </w:rPr>
      </w:r>
      <w:r/>
    </w:p>
    <w:p>
      <w:pPr>
        <w:jc w:val="center"/>
        <w:spacing w:line="360" w:lineRule="auto"/>
        <w:rPr>
          <w:rFonts w:ascii="黑体" w:hAnsi="黑体" w:eastAsia="黑体"/>
          <w:sz w:val="28"/>
          <w:szCs w:val="28"/>
        </w:rPr>
      </w:pPr>
      <w:r>
        <w:rPr>
          <w:rFonts w:hint="eastAsia" w:ascii="黑体" w:hAnsi="黑体" w:eastAsia="黑体"/>
          <w:sz w:val="28"/>
          <w:szCs w:val="28"/>
        </w:rPr>
        <w:t xml:space="preserve">（四）其他条件</w:t>
      </w:r>
      <w:r/>
    </w:p>
    <w:p>
      <w:pPr>
        <w:jc w:val="center"/>
        <w:spacing w:line="360" w:lineRule="auto"/>
        <w:rPr>
          <w:rFonts w:ascii="黑体" w:hAnsi="黑体" w:eastAsia="黑体"/>
          <w:sz w:val="28"/>
          <w:szCs w:val="28"/>
        </w:rPr>
      </w:pPr>
      <w:r>
        <w:rPr>
          <w:rFonts w:hint="eastAsia" w:ascii="黑体" w:hAnsi="黑体" w:eastAsia="黑体"/>
          <w:sz w:val="28"/>
          <w:szCs w:val="28"/>
        </w:rPr>
        <w:t xml:space="preserve">1.非联合体投标声明函</w:t>
      </w:r>
      <w:r/>
    </w:p>
    <w:p>
      <w:pPr>
        <w:jc w:val="center"/>
        <w:spacing w:line="360" w:lineRule="auto"/>
        <w:rPr>
          <w:rFonts w:ascii="黑体" w:hAnsi="黑体" w:eastAsia="黑体"/>
          <w:sz w:val="36"/>
          <w:szCs w:val="28"/>
        </w:rPr>
      </w:pPr>
      <w:r>
        <w:rPr>
          <w:rFonts w:ascii="黑体" w:hAnsi="黑体" w:eastAsia="黑体"/>
          <w:sz w:val="36"/>
          <w:szCs w:val="28"/>
        </w:rPr>
      </w:r>
      <w:r/>
    </w:p>
    <w:p>
      <w:pPr>
        <w:ind w:firstLine="480"/>
        <w:jc w:val="center"/>
        <w:spacing w:line="560" w:lineRule="exact"/>
        <w:rPr>
          <w:rFonts w:ascii="宋体" w:hAnsi="宋体" w:cs="宋体"/>
          <w:b/>
          <w:bCs/>
          <w:sz w:val="22"/>
        </w:rPr>
      </w:pPr>
      <w:r>
        <w:rPr>
          <w:rFonts w:hint="eastAsia" w:ascii="宋体" w:hAnsi="宋体" w:cs="宋体"/>
          <w:b/>
          <w:bCs/>
          <w:sz w:val="22"/>
        </w:rPr>
        <w:t xml:space="preserve">我单位单独投标，未组成联合体投标。</w:t>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right"/>
        <w:spacing w:line="560" w:lineRule="exact"/>
        <w:rPr>
          <w:rFonts w:ascii="宋体" w:hAnsi="宋体" w:cs="宋体"/>
          <w:sz w:val="22"/>
        </w:rPr>
      </w:pPr>
      <w:r>
        <w:rPr>
          <w:rFonts w:hint="eastAsia" w:ascii="宋体" w:hAnsi="宋体" w:cs="宋体"/>
          <w:sz w:val="22"/>
        </w:rPr>
        <w:t xml:space="preserve">投标人公章：            （电子签章）</w:t>
      </w:r>
      <w:r/>
    </w:p>
    <w:p>
      <w:pPr>
        <w:ind w:firstLine="480"/>
        <w:jc w:val="right"/>
        <w:spacing w:line="560" w:lineRule="exact"/>
        <w:rPr>
          <w:rFonts w:ascii="宋体" w:hAnsi="宋体" w:cs="宋体"/>
          <w:sz w:val="22"/>
        </w:rPr>
      </w:pPr>
      <w:r>
        <w:rPr>
          <w:rFonts w:hint="eastAsia" w:ascii="宋体" w:hAnsi="宋体" w:cs="宋体"/>
          <w:sz w:val="22"/>
        </w:rPr>
        <w:t xml:space="preserve">法定代表人：            （电子签章）</w:t>
      </w:r>
      <w:r/>
    </w:p>
    <w:p>
      <w:pPr>
        <w:jc w:val="right"/>
        <w:spacing w:line="560" w:lineRule="exact"/>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jc w:val="center"/>
        <w:spacing w:line="560" w:lineRule="exact"/>
        <w:rPr>
          <w:rFonts w:ascii="宋体" w:hAnsi="宋体" w:cs="宋体"/>
          <w:sz w:val="22"/>
        </w:rPr>
      </w:pPr>
      <w:r>
        <w:rPr>
          <w:rFonts w:ascii="宋体" w:hAnsi="宋体" w:cs="宋体"/>
          <w:sz w:val="22"/>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2.政府采购诚信投标承诺书</w:t>
      </w:r>
      <w:r/>
    </w:p>
    <w:p>
      <w:pPr>
        <w:pStyle w:val="938"/>
        <w:spacing w:after="0" w:line="560" w:lineRule="exact"/>
        <w:rPr>
          <w:rFonts w:ascii="宋体" w:hAnsi="宋体" w:cs="宋体"/>
          <w:b/>
          <w:bCs/>
          <w:sz w:val="22"/>
          <w:szCs w:val="22"/>
          <w:u w:val="single"/>
        </w:rPr>
      </w:pPr>
      <w:r>
        <w:rPr>
          <w:rFonts w:hint="eastAsia" w:ascii="宋体" w:hAnsi="宋体" w:cs="宋体"/>
          <w:b/>
          <w:bCs/>
          <w:sz w:val="22"/>
          <w:szCs w:val="22"/>
          <w:u w:val="single"/>
        </w:rPr>
        <w:t xml:space="preserve">采购人名称  </w:t>
      </w:r>
      <w:r>
        <w:rPr>
          <w:rFonts w:hint="eastAsia" w:ascii="宋体" w:hAnsi="宋体" w:cs="宋体"/>
          <w:b/>
          <w:bCs/>
          <w:sz w:val="22"/>
          <w:szCs w:val="22"/>
        </w:rPr>
        <w:t xml:space="preserve">：</w:t>
      </w:r>
      <w:r/>
    </w:p>
    <w:p>
      <w:pPr>
        <w:ind w:firstLine="480"/>
        <w:spacing w:line="560" w:lineRule="exact"/>
        <w:rPr>
          <w:rFonts w:ascii="宋体" w:hAnsi="宋体" w:cs="宋体"/>
          <w:sz w:val="22"/>
        </w:rPr>
      </w:pPr>
      <w:r>
        <w:rPr>
          <w:rFonts w:hint="eastAsia" w:ascii="宋体" w:hAnsi="宋体" w:cs="宋体"/>
          <w:b/>
          <w:bCs/>
          <w:sz w:val="22"/>
        </w:rPr>
        <w:t xml:space="preserve">我单位自愿参加贵单位组织的</w:t>
      </w:r>
      <w:r>
        <w:rPr>
          <w:rFonts w:hint="eastAsia" w:ascii="宋体" w:hAnsi="宋体" w:cs="宋体"/>
          <w:b/>
          <w:bCs/>
          <w:sz w:val="22"/>
          <w:u w:val="single"/>
        </w:rPr>
        <w:t xml:space="preserve">    （项目名称）    </w:t>
      </w:r>
      <w:r>
        <w:rPr>
          <w:rFonts w:hint="eastAsia" w:ascii="宋体" w:hAnsi="宋体" w:cs="宋体"/>
          <w:b/>
          <w:bCs/>
          <w:sz w:val="22"/>
        </w:rPr>
        <w:t xml:space="preserve">政府采购活动，我单位在此郑重承诺：</w:t>
      </w:r>
      <w:r/>
    </w:p>
    <w:p>
      <w:pPr>
        <w:ind w:firstLine="480"/>
        <w:spacing w:line="560" w:lineRule="exact"/>
        <w:rPr>
          <w:rFonts w:ascii="宋体" w:hAnsi="宋体" w:cs="宋体"/>
          <w:b/>
          <w:bCs/>
          <w:sz w:val="22"/>
        </w:rPr>
      </w:pPr>
      <w:r>
        <w:rPr>
          <w:rFonts w:hint="eastAsia" w:ascii="宋体" w:hAnsi="宋体" w:cs="宋体"/>
          <w:b/>
          <w:bCs/>
          <w:sz w:val="22"/>
        </w:rPr>
        <w:t xml:space="preserve">1、我方承诺在招标文件规定的投标有效期内不修改、撤销投标文件。</w:t>
      </w:r>
      <w:r/>
    </w:p>
    <w:p>
      <w:pPr>
        <w:ind w:firstLine="480"/>
        <w:spacing w:line="560" w:lineRule="exact"/>
        <w:rPr>
          <w:rFonts w:ascii="宋体" w:hAnsi="宋体" w:cs="宋体"/>
          <w:b/>
          <w:bCs/>
          <w:sz w:val="22"/>
        </w:rPr>
      </w:pPr>
      <w:r>
        <w:rPr>
          <w:rFonts w:hint="eastAsia" w:ascii="宋体" w:hAnsi="宋体" w:cs="宋体"/>
          <w:b/>
          <w:bCs/>
          <w:sz w:val="22"/>
        </w:rPr>
        <w:t xml:space="preserve">2、我方未以他人名义投标或以其他方式弄虚作假，骗取中标。</w:t>
      </w:r>
      <w:r/>
    </w:p>
    <w:p>
      <w:pPr>
        <w:ind w:firstLine="480"/>
        <w:spacing w:line="560" w:lineRule="exact"/>
        <w:rPr>
          <w:rFonts w:ascii="宋体" w:hAnsi="宋体" w:cs="宋体"/>
          <w:b/>
          <w:bCs/>
          <w:sz w:val="22"/>
        </w:rPr>
      </w:pPr>
      <w:r>
        <w:rPr>
          <w:rFonts w:hint="eastAsia" w:ascii="宋体" w:hAnsi="宋体" w:cs="宋体"/>
          <w:b/>
          <w:bCs/>
          <w:sz w:val="22"/>
        </w:rPr>
        <w:t xml:space="preserve">3、我方未与其他投标人相互串通投标。</w:t>
      </w:r>
      <w:r/>
    </w:p>
    <w:p>
      <w:pPr>
        <w:ind w:firstLine="480"/>
        <w:spacing w:line="560" w:lineRule="exact"/>
        <w:rPr>
          <w:rFonts w:ascii="宋体" w:hAnsi="宋体" w:cs="宋体"/>
          <w:b/>
          <w:bCs/>
          <w:sz w:val="22"/>
        </w:rPr>
      </w:pPr>
      <w:r>
        <w:rPr>
          <w:rFonts w:hint="eastAsia" w:ascii="宋体" w:hAnsi="宋体" w:cs="宋体"/>
          <w:b/>
          <w:bCs/>
          <w:sz w:val="22"/>
        </w:rPr>
        <w:t xml:space="preserve">4、我方不向采购人或评标委员会行贿以牟取中标。</w:t>
      </w:r>
      <w:r/>
    </w:p>
    <w:p>
      <w:pPr>
        <w:ind w:firstLine="480"/>
        <w:spacing w:line="560" w:lineRule="exact"/>
        <w:rPr>
          <w:rFonts w:ascii="宋体" w:hAnsi="宋体" w:cs="宋体"/>
          <w:b/>
          <w:bCs/>
          <w:sz w:val="22"/>
        </w:rPr>
      </w:pPr>
      <w:r>
        <w:rPr>
          <w:rFonts w:hint="eastAsia" w:ascii="宋体" w:hAnsi="宋体" w:cs="宋体"/>
          <w:b/>
          <w:bCs/>
          <w:sz w:val="22"/>
        </w:rPr>
        <w:t xml:space="preserve">5、我方不存在第二章投标人须知第1.4.3项情形之一。</w:t>
      </w:r>
      <w:r/>
    </w:p>
    <w:p>
      <w:pPr>
        <w:ind w:firstLine="480"/>
        <w:spacing w:line="560" w:lineRule="exact"/>
        <w:rPr>
          <w:rFonts w:ascii="宋体" w:hAnsi="宋体" w:cs="宋体"/>
          <w:b/>
          <w:bCs/>
          <w:sz w:val="22"/>
        </w:rPr>
      </w:pPr>
      <w:r>
        <w:rPr>
          <w:rFonts w:hint="eastAsia" w:ascii="宋体" w:hAnsi="宋体" w:cs="宋体"/>
          <w:b/>
          <w:bCs/>
          <w:sz w:val="22"/>
        </w:rPr>
        <w:t xml:space="preserve">6、我方所提交的投标文件及有关资料内容完整、真实和准确。</w:t>
      </w:r>
      <w:r/>
    </w:p>
    <w:p>
      <w:pPr>
        <w:ind w:firstLine="480"/>
        <w:spacing w:line="560" w:lineRule="exact"/>
        <w:rPr>
          <w:rFonts w:ascii="宋体" w:hAnsi="宋体" w:cs="宋体"/>
          <w:b/>
          <w:bCs/>
          <w:sz w:val="22"/>
        </w:rPr>
      </w:pPr>
      <w:r>
        <w:rPr>
          <w:rFonts w:hint="eastAsia" w:ascii="宋体" w:hAnsi="宋体" w:cs="宋体"/>
          <w:b/>
          <w:bCs/>
          <w:sz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jc w:val="right"/>
        <w:spacing w:line="560" w:lineRule="exact"/>
        <w:rPr>
          <w:rFonts w:ascii="宋体" w:hAnsi="宋体" w:cs="宋体"/>
          <w:sz w:val="22"/>
        </w:rPr>
      </w:pPr>
      <w:r>
        <w:rPr>
          <w:rFonts w:hint="eastAsia" w:ascii="宋体" w:hAnsi="宋体" w:cs="宋体"/>
          <w:sz w:val="22"/>
        </w:rPr>
        <w:t xml:space="preserve">投标人公章：            （电子签章）</w:t>
      </w:r>
      <w:r/>
    </w:p>
    <w:p>
      <w:pPr>
        <w:ind w:firstLine="480"/>
        <w:jc w:val="right"/>
        <w:spacing w:line="560" w:lineRule="exact"/>
        <w:rPr>
          <w:rFonts w:ascii="宋体" w:hAnsi="宋体" w:cs="宋体"/>
          <w:sz w:val="22"/>
        </w:rPr>
      </w:pPr>
      <w:r>
        <w:rPr>
          <w:rFonts w:hint="eastAsia" w:ascii="宋体" w:hAnsi="宋体" w:cs="宋体"/>
          <w:sz w:val="22"/>
        </w:rPr>
        <w:t xml:space="preserve">法定代表人：            （电子签章）</w:t>
      </w:r>
      <w:r/>
    </w:p>
    <w:p>
      <w:pPr>
        <w:jc w:val="right"/>
        <w:spacing w:line="560" w:lineRule="exact"/>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36"/>
          <w:szCs w:val="28"/>
        </w:rPr>
      </w:pPr>
      <w:r>
        <w:rPr>
          <w:rFonts w:hint="eastAsia" w:ascii="黑体" w:hAnsi="黑体" w:eastAsia="黑体"/>
          <w:sz w:val="28"/>
        </w:rPr>
        <w:t xml:space="preserve">商务条款响应表</w:t>
      </w:r>
      <w:r/>
    </w:p>
    <w:tbl>
      <w:tblPr>
        <w:tblStyle w:val="689"/>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2554"/>
        <w:gridCol w:w="2554"/>
        <w:gridCol w:w="1553"/>
      </w:tblGrid>
      <w:tr>
        <w:trPr>
          <w:cantSplit/>
          <w:trHeight w:val="900"/>
        </w:trPr>
        <w:tc>
          <w:tcPr>
            <w:tcW w:w="6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主要商务条款</w:t>
            </w:r>
            <w:r/>
          </w:p>
        </w:tc>
        <w:tc>
          <w:tcPr>
            <w:tcW w:w="25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招标文件要求</w:t>
            </w:r>
            <w:r/>
          </w:p>
        </w:tc>
        <w:tc>
          <w:tcPr>
            <w:tcW w:w="25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投标文件响应</w:t>
            </w:r>
            <w:r/>
          </w:p>
        </w:tc>
        <w:tc>
          <w:tcPr>
            <w:tcW w:w="155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偏离情况</w:t>
            </w:r>
            <w:r/>
          </w:p>
          <w:p>
            <w:pPr>
              <w:jc w:val="center"/>
              <w:widowControl/>
              <w:rPr>
                <w:rFonts w:ascii="宋体" w:hAnsi="宋体" w:cs="宋体"/>
                <w:szCs w:val="21"/>
              </w:rPr>
            </w:pPr>
            <w:r>
              <w:rPr>
                <w:rFonts w:hint="eastAsia" w:ascii="宋体" w:hAnsi="宋体" w:cs="宋体"/>
                <w:szCs w:val="21"/>
              </w:rPr>
              <w:t xml:space="preserve">（正/负/无）</w:t>
            </w:r>
            <w:r/>
          </w:p>
        </w:tc>
      </w:tr>
      <w:tr>
        <w:trPr>
          <w:trHeight w:val="674"/>
        </w:trPr>
        <w:tc>
          <w:tcPr>
            <w:tcW w:w="6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620" w:type="dxa"/>
            <w:vAlign w:val="center"/>
            <w:textDirection w:val="lrTb"/>
            <w:noWrap w:val="false"/>
          </w:tcPr>
          <w:p>
            <w:pPr>
              <w:jc w:val="center"/>
              <w:spacing w:line="400" w:lineRule="exact"/>
              <w:rPr>
                <w:rFonts w:ascii="宋体" w:hAnsi="宋体" w:cs="宋体"/>
                <w:szCs w:val="21"/>
              </w:rPr>
            </w:pPr>
            <w:r>
              <w:rPr>
                <w:rFonts w:hint="eastAsia" w:ascii="宋体" w:hAnsi="宋体" w:cs="宋体"/>
                <w:sz w:val="22"/>
              </w:rPr>
              <w:t xml:space="preserve">服务期</w:t>
            </w:r>
            <w:r/>
          </w:p>
        </w:tc>
        <w:tc>
          <w:tcPr>
            <w:tcW w:w="2554" w:type="dxa"/>
            <w:vAlign w:val="center"/>
            <w:textDirection w:val="lrTb"/>
            <w:noWrap w:val="false"/>
          </w:tcPr>
          <w:p>
            <w:pPr>
              <w:jc w:val="center"/>
              <w:spacing w:line="400" w:lineRule="exact"/>
              <w:rPr>
                <w:rFonts w:ascii="宋体" w:hAnsi="宋体" w:cs="宋体"/>
                <w:szCs w:val="21"/>
              </w:rPr>
            </w:pPr>
            <w:r>
              <w:rPr>
                <w:rFonts w:hint="eastAsia" w:ascii="宋体" w:hAnsi="宋体" w:cs="宋体"/>
                <w:sz w:val="22"/>
                <w:u w:val="single"/>
              </w:rPr>
              <w:t xml:space="preserve"> 3 年</w:t>
            </w:r>
            <w:r/>
          </w:p>
        </w:tc>
        <w:tc>
          <w:tcPr>
            <w:tcW w:w="255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3"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83"/>
        </w:trPr>
        <w:tc>
          <w:tcPr>
            <w:tcW w:w="6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620" w:type="dxa"/>
            <w:vAlign w:val="center"/>
            <w:textDirection w:val="lrTb"/>
            <w:noWrap w:val="false"/>
          </w:tcPr>
          <w:p>
            <w:pPr>
              <w:jc w:val="center"/>
              <w:spacing w:line="400" w:lineRule="exact"/>
              <w:rPr>
                <w:rFonts w:ascii="宋体" w:hAnsi="宋体" w:cs="宋体"/>
                <w:szCs w:val="21"/>
              </w:rPr>
            </w:pPr>
            <w:r>
              <w:rPr>
                <w:rFonts w:hint="eastAsia" w:ascii="宋体" w:hAnsi="宋体" w:cs="宋体"/>
                <w:sz w:val="22"/>
              </w:rPr>
              <w:t xml:space="preserve">投标有效期</w:t>
            </w:r>
            <w:r/>
          </w:p>
        </w:tc>
        <w:tc>
          <w:tcPr>
            <w:tcW w:w="2554" w:type="dxa"/>
            <w:vAlign w:val="center"/>
            <w:textDirection w:val="lrTb"/>
            <w:noWrap w:val="false"/>
          </w:tcPr>
          <w:p>
            <w:pPr>
              <w:jc w:val="center"/>
              <w:spacing w:line="400" w:lineRule="exact"/>
              <w:rPr>
                <w:rFonts w:ascii="宋体" w:hAnsi="宋体" w:cs="宋体"/>
                <w:szCs w:val="21"/>
              </w:rPr>
            </w:pPr>
            <w:r>
              <w:rPr>
                <w:rFonts w:hint="eastAsia" w:ascii="宋体" w:hAnsi="宋体" w:cs="宋体"/>
                <w:bCs/>
                <w:sz w:val="22"/>
                <w:u w:val="single"/>
              </w:rPr>
              <w:t xml:space="preserve">9</w:t>
            </w:r>
            <w:r>
              <w:rPr>
                <w:rFonts w:ascii="宋体" w:hAnsi="宋体" w:cs="宋体"/>
                <w:bCs/>
                <w:sz w:val="22"/>
                <w:u w:val="single"/>
              </w:rPr>
              <w:t xml:space="preserve">0</w:t>
            </w:r>
            <w:r>
              <w:rPr>
                <w:rFonts w:hint="eastAsia" w:ascii="宋体" w:hAnsi="宋体" w:cs="宋体"/>
                <w:b/>
                <w:sz w:val="22"/>
                <w:u w:val="single"/>
              </w:rPr>
              <w:t xml:space="preserve"> </w:t>
            </w:r>
            <w:r>
              <w:rPr>
                <w:rFonts w:hint="eastAsia" w:ascii="宋体" w:hAnsi="宋体" w:cs="宋体"/>
                <w:sz w:val="22"/>
                <w:lang w:val="zh-CN"/>
              </w:rPr>
              <w:t xml:space="preserve">日</w:t>
            </w:r>
            <w:r/>
          </w:p>
        </w:tc>
        <w:tc>
          <w:tcPr>
            <w:tcW w:w="2554" w:type="dxa"/>
            <w:vAlign w:val="center"/>
            <w:textDirection w:val="lrTb"/>
            <w:noWrap w:val="false"/>
          </w:tcPr>
          <w:p>
            <w:pPr>
              <w:jc w:val="left"/>
              <w:widowControl/>
              <w:rPr>
                <w:rFonts w:ascii="宋体" w:hAnsi="宋体" w:cs="宋体"/>
                <w:szCs w:val="21"/>
                <w:u w:val="single"/>
              </w:rPr>
            </w:pPr>
            <w:r>
              <w:rPr>
                <w:rFonts w:ascii="宋体" w:hAnsi="宋体" w:cs="宋体"/>
                <w:szCs w:val="21"/>
                <w:u w:val="single"/>
              </w:rPr>
            </w:r>
            <w:r/>
          </w:p>
        </w:tc>
        <w:tc>
          <w:tcPr>
            <w:tcW w:w="1553"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409"/>
        </w:trPr>
        <w:tc>
          <w:tcPr>
            <w:tcW w:w="6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620"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结算价格</w:t>
            </w:r>
            <w:r/>
          </w:p>
        </w:tc>
        <w:tc>
          <w:tcPr>
            <w:tcW w:w="2554" w:type="dxa"/>
            <w:vAlign w:val="center"/>
            <w:textDirection w:val="lrTb"/>
            <w:noWrap w:val="false"/>
          </w:tcPr>
          <w:p>
            <w:pPr>
              <w:jc w:val="left"/>
              <w:spacing w:line="400" w:lineRule="exact"/>
              <w:rPr>
                <w:rFonts w:ascii="宋体" w:hAnsi="宋体" w:cs="宋体"/>
                <w:bCs/>
                <w:sz w:val="22"/>
                <w:u w:val="single"/>
              </w:rPr>
            </w:pPr>
            <w:r>
              <w:rPr>
                <w:rFonts w:hint="eastAsia" w:ascii="宋体" w:hAnsi="宋体" w:cs="宋体"/>
                <w:bCs/>
                <w:sz w:val="22"/>
                <w:u w:val="single"/>
              </w:rPr>
              <w:t xml:space="preserve">按《江苏省物价局、省卫生厅关于核定病理等部分医疗项目收费标准的通知》中规定的收费标准的 （1-中标优惠率）。 </w:t>
            </w:r>
            <w:r/>
          </w:p>
        </w:tc>
        <w:tc>
          <w:tcPr>
            <w:tcW w:w="2554" w:type="dxa"/>
            <w:vAlign w:val="center"/>
            <w:textDirection w:val="lrTb"/>
            <w:noWrap w:val="false"/>
          </w:tcPr>
          <w:p>
            <w:pPr>
              <w:jc w:val="left"/>
              <w:widowControl/>
              <w:rPr>
                <w:rFonts w:ascii="宋体" w:hAnsi="宋体" w:cs="宋体"/>
                <w:szCs w:val="21"/>
                <w:u w:val="single"/>
              </w:rPr>
            </w:pPr>
            <w:r>
              <w:rPr>
                <w:rFonts w:ascii="宋体" w:hAnsi="宋体" w:cs="宋体"/>
                <w:szCs w:val="21"/>
                <w:u w:val="single"/>
              </w:rPr>
            </w:r>
            <w:r/>
          </w:p>
        </w:tc>
        <w:tc>
          <w:tcPr>
            <w:tcW w:w="1553"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40"/>
        </w:trPr>
        <w:tc>
          <w:tcPr>
            <w:tcW w:w="6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付款方式</w:t>
            </w:r>
            <w:r/>
          </w:p>
        </w:tc>
        <w:tc>
          <w:tcPr>
            <w:tcW w:w="255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每月月初支付上个月的检测费用，按实结算。</w:t>
            </w:r>
            <w:r/>
          </w:p>
        </w:tc>
        <w:tc>
          <w:tcPr>
            <w:tcW w:w="255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3"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ind w:left="420"/>
        <w:jc w:val="right"/>
        <w:spacing w:line="480" w:lineRule="auto"/>
        <w:rPr>
          <w:rFonts w:ascii="华文中宋" w:hAnsi="华文中宋" w:eastAsia="华文中宋" w:cs="华文中宋"/>
          <w:sz w:val="24"/>
          <w:szCs w:val="24"/>
        </w:rPr>
      </w:pPr>
      <w:r>
        <w:rPr>
          <w:rFonts w:ascii="华文中宋" w:hAnsi="华文中宋" w:eastAsia="华文中宋" w:cs="华文中宋"/>
          <w:sz w:val="24"/>
          <w:szCs w:val="24"/>
        </w:rPr>
      </w:r>
      <w:r/>
    </w:p>
    <w:p>
      <w:pPr>
        <w:ind w:left="420"/>
        <w:jc w:val="right"/>
        <w:spacing w:line="480" w:lineRule="auto"/>
        <w:rPr>
          <w:rFonts w:ascii="华文中宋" w:hAnsi="华文中宋" w:eastAsia="华文中宋" w:cs="华文中宋"/>
          <w:sz w:val="22"/>
        </w:rPr>
      </w:pPr>
      <w:r>
        <w:rPr>
          <w:rFonts w:hint="eastAsia" w:ascii="华文中宋" w:hAnsi="华文中宋" w:eastAsia="华文中宋" w:cs="华文中宋"/>
          <w:sz w:val="22"/>
        </w:rPr>
        <w:t xml:space="preserve">投标人公章：            （电子签章）</w:t>
      </w:r>
      <w:r/>
    </w:p>
    <w:p>
      <w:pPr>
        <w:ind w:firstLine="480"/>
        <w:jc w:val="right"/>
        <w:spacing w:line="360" w:lineRule="auto"/>
        <w:rPr>
          <w:rFonts w:ascii="华文中宋" w:hAnsi="华文中宋" w:eastAsia="华文中宋" w:cs="华文中宋"/>
          <w:sz w:val="22"/>
        </w:rPr>
      </w:pP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年</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月</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日</w:t>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ind w:firstLine="480"/>
        <w:jc w:val="right"/>
        <w:spacing w:line="360" w:lineRule="auto"/>
        <w:rPr>
          <w:rFonts w:ascii="华文中宋" w:hAnsi="华文中宋" w:eastAsia="华文中宋" w:cs="华文中宋"/>
          <w:sz w:val="22"/>
        </w:rPr>
      </w:pPr>
      <w:r>
        <w:rPr>
          <w:rFonts w:ascii="华文中宋" w:hAnsi="华文中宋" w:eastAsia="华文中宋" w:cs="华文中宋"/>
          <w:sz w:val="22"/>
        </w:rPr>
      </w:r>
      <w:r/>
    </w:p>
    <w:p>
      <w:pPr>
        <w:jc w:val="center"/>
        <w:spacing w:line="360" w:lineRule="auto"/>
        <w:rPr>
          <w:rFonts w:ascii="黑体" w:hAnsi="黑体" w:eastAsia="黑体"/>
          <w:sz w:val="36"/>
          <w:szCs w:val="36"/>
        </w:rPr>
      </w:pPr>
      <w:r>
        <w:rPr>
          <w:rFonts w:ascii="黑体" w:hAnsi="黑体" w:eastAsia="黑体"/>
          <w:sz w:val="36"/>
          <w:szCs w:val="36"/>
        </w:rPr>
        <w:t xml:space="preserve">技术条款响应表</w:t>
      </w:r>
      <w:r/>
    </w:p>
    <w:p>
      <w:pPr>
        <w:jc w:val="center"/>
        <w:spacing w:line="360" w:lineRule="auto"/>
        <w:rPr>
          <w:rFonts w:ascii="黑体" w:hAnsi="黑体" w:eastAsia="黑体"/>
          <w:sz w:val="36"/>
          <w:szCs w:val="36"/>
        </w:rPr>
      </w:pPr>
      <w:r>
        <w:rPr>
          <w:rFonts w:hint="eastAsia" w:ascii="黑体" w:hAnsi="黑体" w:eastAsia="黑体"/>
          <w:sz w:val="28"/>
          <w:szCs w:val="36"/>
        </w:rPr>
        <w:t xml:space="preserve">（一）检测项目清单及时限</w:t>
      </w:r>
      <w:r/>
    </w:p>
    <w:tbl>
      <w:tblPr>
        <w:tblStyle w:val="689"/>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701"/>
        <w:gridCol w:w="1701"/>
        <w:gridCol w:w="1701"/>
        <w:gridCol w:w="1701"/>
        <w:gridCol w:w="1417"/>
      </w:tblGrid>
      <w:tr>
        <w:trPr>
          <w:cantSplit/>
          <w:trHeight w:val="540"/>
        </w:trPr>
        <w:tc>
          <w:tcPr>
            <w:tcW w:w="90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W w:w="34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招标文件要求</w:t>
            </w:r>
            <w:r/>
          </w:p>
        </w:tc>
        <w:tc>
          <w:tcPr>
            <w:gridSpan w:val="2"/>
            <w:tcW w:w="34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投标文件响应</w:t>
            </w:r>
            <w:r/>
          </w:p>
        </w:tc>
        <w:tc>
          <w:tcPr>
            <w:tcW w:w="1417"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偏离情况</w:t>
            </w:r>
            <w:r/>
          </w:p>
          <w:p>
            <w:pPr>
              <w:jc w:val="center"/>
              <w:widowControl/>
              <w:rPr>
                <w:rFonts w:ascii="宋体" w:hAnsi="宋体" w:cs="宋体"/>
                <w:szCs w:val="21"/>
              </w:rPr>
            </w:pPr>
            <w:r>
              <w:rPr>
                <w:rFonts w:hint="eastAsia" w:ascii="宋体" w:hAnsi="宋体" w:cs="宋体"/>
                <w:szCs w:val="21"/>
              </w:rPr>
              <w:t xml:space="preserve">（正/负/无）</w:t>
            </w:r>
            <w:r/>
          </w:p>
        </w:tc>
      </w:tr>
      <w:tr>
        <w:trPr>
          <w:cantSplit/>
          <w:trHeight w:val="474"/>
        </w:trPr>
        <w:tc>
          <w:tcPr>
            <w:tcW w:w="90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t xml:space="preserve">检测项目</w:t>
            </w:r>
            <w:r/>
          </w:p>
        </w:tc>
        <w:tc>
          <w:tcPr>
            <w:tcW w:w="170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报告时间</w:t>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t xml:space="preserve">检测项目</w:t>
            </w:r>
            <w:r/>
          </w:p>
        </w:tc>
        <w:tc>
          <w:tcPr>
            <w:tcW w:w="170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报告时间</w:t>
            </w:r>
            <w:r/>
          </w:p>
        </w:tc>
        <w:tc>
          <w:tcPr>
            <w:tcW w:w="1417" w:type="dxa"/>
            <w:vMerge w:val="continue"/>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0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W w:w="170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01" w:type="dxa"/>
            <w:vAlign w:val="center"/>
            <w:textDirection w:val="lrTb"/>
            <w:noWrap w:val="false"/>
          </w:tcPr>
          <w:p>
            <w:pPr>
              <w:spacing w:line="400" w:lineRule="exact"/>
              <w:rPr>
                <w:rFonts w:ascii="宋体" w:hAnsi="宋体" w:cs="宋体"/>
                <w:szCs w:val="21"/>
              </w:rPr>
            </w:pPr>
            <w:r>
              <w:rPr>
                <w:rFonts w:ascii="宋体" w:hAnsi="宋体" w:cs="宋体"/>
                <w:szCs w:val="21"/>
              </w:rPr>
            </w:r>
            <w:r/>
          </w:p>
        </w:tc>
        <w:tc>
          <w:tcPr>
            <w:tcW w:w="1701" w:type="dxa"/>
            <w:vAlign w:val="center"/>
            <w:textDirection w:val="lrTb"/>
            <w:noWrap w:val="false"/>
          </w:tcPr>
          <w:p>
            <w:pPr>
              <w:spacing w:line="400" w:lineRule="exact"/>
              <w:rPr>
                <w:rFonts w:ascii="宋体" w:hAnsi="宋体" w:cs="宋体"/>
                <w:szCs w:val="21"/>
              </w:rPr>
            </w:pPr>
            <w:r>
              <w:rPr>
                <w:rFonts w:ascii="宋体" w:hAnsi="宋体" w:cs="宋体"/>
                <w:szCs w:val="21"/>
              </w:rPr>
            </w:r>
            <w:r/>
          </w:p>
        </w:tc>
        <w:tc>
          <w:tcPr>
            <w:tcW w:w="1701" w:type="dxa"/>
            <w:vAlign w:val="center"/>
            <w:textDirection w:val="lrTb"/>
            <w:noWrap w:val="false"/>
          </w:tcPr>
          <w:p>
            <w:pPr>
              <w:jc w:val="lef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01" w:type="dxa"/>
            <w:vAlign w:val="center"/>
            <w:textDirection w:val="lrTb"/>
            <w:noWrap w:val="false"/>
          </w:tcPr>
          <w:p>
            <w:pPr>
              <w:jc w:val="left"/>
              <w:spacing w:line="400" w:lineRule="exact"/>
              <w:rPr>
                <w:rFonts w:ascii="宋体" w:hAnsi="宋体" w:cs="宋体"/>
                <w:bCs/>
                <w:sz w:val="22"/>
                <w:u w:val="single"/>
              </w:rPr>
            </w:pPr>
            <w:r>
              <w:rPr>
                <w:rFonts w:ascii="宋体" w:hAnsi="宋体" w:cs="宋体"/>
                <w:bCs/>
                <w:sz w:val="22"/>
                <w:u w:val="single"/>
              </w:rPr>
            </w:r>
            <w:r/>
          </w:p>
        </w:tc>
        <w:tc>
          <w:tcPr>
            <w:tcW w:w="1701" w:type="dxa"/>
            <w:vAlign w:val="center"/>
            <w:textDirection w:val="lrTb"/>
            <w:noWrap w:val="false"/>
          </w:tcPr>
          <w:p>
            <w:pPr>
              <w:jc w:val="left"/>
              <w:spacing w:line="400" w:lineRule="exact"/>
              <w:rPr>
                <w:rFonts w:ascii="宋体" w:hAnsi="宋体" w:cs="宋体"/>
                <w:bCs/>
                <w:sz w:val="22"/>
                <w:u w:val="single"/>
              </w:rPr>
            </w:pPr>
            <w:r>
              <w:rPr>
                <w:rFonts w:ascii="宋体" w:hAnsi="宋体" w:cs="宋体"/>
                <w:bCs/>
                <w:sz w:val="22"/>
                <w:u w:val="single"/>
              </w:rPr>
            </w:r>
            <w:r/>
          </w:p>
        </w:tc>
        <w:tc>
          <w:tcPr>
            <w:tcW w:w="1701" w:type="dxa"/>
            <w:vAlign w:val="center"/>
            <w:textDirection w:val="lrTb"/>
            <w:noWrap w:val="false"/>
          </w:tcPr>
          <w:p>
            <w:pPr>
              <w:jc w:val="lef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7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124</w:t>
            </w:r>
            <w:r/>
          </w:p>
        </w:tc>
        <w:tc>
          <w:tcPr>
            <w:tcW w:w="17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0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bl>
    <w:p>
      <w:pPr>
        <w:spacing w:line="360" w:lineRule="auto"/>
        <w:rPr>
          <w:rFonts w:ascii="黑体" w:hAnsi="黑体" w:eastAsia="黑体"/>
          <w:sz w:val="22"/>
          <w:szCs w:val="36"/>
        </w:rPr>
      </w:pPr>
      <w:r>
        <w:rPr>
          <w:rFonts w:hint="eastAsia" w:ascii="黑体" w:hAnsi="黑体" w:eastAsia="黑体"/>
          <w:sz w:val="22"/>
          <w:szCs w:val="36"/>
        </w:rPr>
        <w:t xml:space="preserve">注：投标人需根据第六章项目采购需求中“检测项目清单及时限”逐条如实填写。如出现空白或不满足，将作为负偏离处理。 </w:t>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Segoe UI" w:hAnsi="Segoe UI" w:cs="Segoe UI"/>
          <w:szCs w:val="21"/>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黑体" w:hAnsi="黑体" w:eastAsia="黑体"/>
          <w:sz w:val="36"/>
          <w:szCs w:val="36"/>
        </w:rPr>
      </w:pPr>
      <w:r>
        <w:rPr>
          <w:rFonts w:hint="eastAsia" w:ascii="黑体" w:hAnsi="黑体" w:eastAsia="黑体"/>
          <w:sz w:val="28"/>
          <w:szCs w:val="36"/>
        </w:rPr>
        <w:t xml:space="preserve">（二）服务要求</w:t>
      </w:r>
      <w:r/>
    </w:p>
    <w:tbl>
      <w:tblPr>
        <w:tblStyle w:val="689"/>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402"/>
        <w:gridCol w:w="3267"/>
        <w:gridCol w:w="1552"/>
      </w:tblGrid>
      <w:tr>
        <w:trPr>
          <w:cantSplit/>
          <w:trHeight w:val="540"/>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34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招标文件要求</w:t>
            </w:r>
            <w:r/>
          </w:p>
        </w:tc>
        <w:tc>
          <w:tcPr>
            <w:tcW w:w="32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投标文件响应</w:t>
            </w:r>
            <w:r/>
          </w:p>
        </w:tc>
        <w:tc>
          <w:tcPr>
            <w:tcW w:w="1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偏离情况</w:t>
            </w:r>
            <w:r/>
          </w:p>
          <w:p>
            <w:pPr>
              <w:jc w:val="center"/>
              <w:widowControl/>
              <w:rPr>
                <w:rFonts w:ascii="宋体" w:hAnsi="宋体" w:cs="宋体"/>
                <w:szCs w:val="21"/>
              </w:rPr>
            </w:pPr>
            <w:r>
              <w:rPr>
                <w:rFonts w:hint="eastAsia" w:ascii="宋体" w:hAnsi="宋体" w:cs="宋体"/>
                <w:szCs w:val="21"/>
              </w:rPr>
              <w:t xml:space="preserve">（正/负/无）</w:t>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投标人必须配备完善医疗冷链物流系统和信息服务体系，要保证接收、送检标本运输过程的安全，保证标本的质量。</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投标人提供每周七天的上门接收标本的服务，时间为8：30至17：30。遇特殊标本可机动收取。</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投标人应具有规范标本接收、登记和包装流程，保证标本质量和安全，确保标本顺利交接，方便查核。</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投标人标本接收人员要通过严格培训，负责标本质量的初检、标识的核对，标本的接收登记及包装储存。</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投标人必须确保及时接收、送检标本和及时检验。标本不符合检验要求时，应及时通知采购人重新取样。</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标本在送检过程中出现延迟、遗漏、丢失等情况，投标人应有完善的应急预案予以妥善解决，否则投标人应承担相应责任。</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对检验后的标本进行妥善保存，并保存可供查验的仪器原始数据，以便检验结果有疑义时进行免费复查或再委托其他第三方检验，这种情况所发生的费用，由投标人承担。</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对于因标本丢失、未在规定时间内出具报告、数据传输错误无法取单或检验项目检测结果不准确等造成的医疗事故（医疗事件）或医疗纠纷，投标人承担全部经济及法律责任。投标人对采购人不明原因（非院方及患者原因或产品质量问题）引起的医疗投诉、纠纷，能协助招标方做好患者的协调工作，并承担一定的处理费用。</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检验报告单必须由具备相应资质的检验人员签发，上级检验师或医师复核。出现因检验结果错误导致采购人医疗纠纷等不良后果，责任由中标人承担。</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21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部分特殊检查项目需要的采样器、知情同意书、专用的患者资料登记申请单等由投标人免费提供。</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投标人应遵守保密制度，保护受检者的秘密，未经许可，不得向无关人员泄露受检者的检测情况，如有传染病阳性的报告，应负责及时报告给送检单位。</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402"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项目在中标后直至履行完毕止，本项目实施人员必须是投标文件中提供的人员，中标人不得以任何原因和方式将合同转包、分包或雇用其他作业单位人员进行实施。</w:t>
            </w:r>
            <w:r/>
          </w:p>
        </w:tc>
        <w:tc>
          <w:tcPr>
            <w:tcW w:w="32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552" w:type="dxa"/>
            <w:textDirection w:val="lrTb"/>
            <w:noWrap w:val="false"/>
          </w:tcPr>
          <w:p>
            <w:pPr>
              <w:jc w:val="center"/>
              <w:widowControl/>
              <w:rPr>
                <w:rFonts w:ascii="宋体" w:hAnsi="宋体" w:cs="宋体"/>
                <w:szCs w:val="21"/>
              </w:rPr>
            </w:pPr>
            <w:r>
              <w:rPr>
                <w:rFonts w:ascii="宋体" w:hAnsi="宋体" w:cs="宋体"/>
                <w:szCs w:val="21"/>
              </w:rPr>
            </w:r>
            <w:r/>
          </w:p>
        </w:tc>
      </w:tr>
    </w:tbl>
    <w:p>
      <w:pPr>
        <w:spacing w:line="360" w:lineRule="auto"/>
        <w:rPr>
          <w:rFonts w:ascii="黑体" w:hAnsi="黑体" w:eastAsia="黑体"/>
          <w:sz w:val="22"/>
          <w:szCs w:val="36"/>
        </w:rPr>
      </w:pPr>
      <w:r>
        <w:rPr>
          <w:rFonts w:ascii="黑体" w:hAnsi="黑体" w:eastAsia="黑体"/>
          <w:sz w:val="22"/>
          <w:szCs w:val="36"/>
        </w:rPr>
      </w:r>
      <w:r/>
    </w:p>
    <w:p>
      <w:pPr>
        <w:jc w:val="center"/>
        <w:spacing w:line="360" w:lineRule="auto"/>
        <w:rPr>
          <w:rFonts w:ascii="Segoe UI" w:hAnsi="Segoe UI" w:cs="Segoe UI"/>
          <w:szCs w:val="21"/>
        </w:rPr>
      </w:pPr>
      <w:r>
        <w:rPr>
          <w:rFonts w:ascii="Segoe UI" w:hAnsi="Segoe UI" w:cs="Segoe UI"/>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Segoe UI" w:hAnsi="Segoe UI" w:cs="Segoe UI"/>
          <w:szCs w:val="21"/>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黑体" w:hAnsi="黑体" w:eastAsia="黑体"/>
          <w:sz w:val="36"/>
          <w:szCs w:val="36"/>
        </w:rPr>
      </w:pPr>
      <w:r>
        <w:rPr>
          <w:rFonts w:hint="eastAsia" w:ascii="黑体" w:hAnsi="黑体" w:eastAsia="黑体"/>
          <w:sz w:val="28"/>
          <w:szCs w:val="36"/>
        </w:rPr>
        <w:t xml:space="preserve">（三）结果查询</w:t>
      </w:r>
      <w:r/>
    </w:p>
    <w:tbl>
      <w:tblPr>
        <w:tblStyle w:val="689"/>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402"/>
        <w:gridCol w:w="3402"/>
        <w:gridCol w:w="1417"/>
      </w:tblGrid>
      <w:tr>
        <w:trPr>
          <w:cantSplit/>
          <w:trHeight w:val="540"/>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34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招标文件要求</w:t>
            </w:r>
            <w:r/>
          </w:p>
        </w:tc>
        <w:tc>
          <w:tcPr>
            <w:tcW w:w="34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投标文件响应</w:t>
            </w:r>
            <w:r/>
          </w:p>
        </w:tc>
        <w:tc>
          <w:tcPr>
            <w:tcW w:w="141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偏离情况</w:t>
            </w:r>
            <w:r/>
          </w:p>
          <w:p>
            <w:pPr>
              <w:jc w:val="center"/>
              <w:widowControl/>
              <w:rPr>
                <w:rFonts w:ascii="宋体" w:hAnsi="宋体" w:cs="宋体"/>
                <w:szCs w:val="21"/>
              </w:rPr>
            </w:pPr>
            <w:r>
              <w:rPr>
                <w:rFonts w:hint="eastAsia" w:ascii="宋体" w:hAnsi="宋体" w:cs="宋体"/>
                <w:szCs w:val="21"/>
              </w:rPr>
              <w:t xml:space="preserve">（正/负/无）</w:t>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402" w:type="dxa"/>
            <w:vAlign w:val="center"/>
            <w:textDirection w:val="lrTb"/>
            <w:noWrap w:val="false"/>
          </w:tcPr>
          <w:p>
            <w:pPr>
              <w:widowControl/>
              <w:rPr>
                <w:rFonts w:ascii="宋体" w:hAnsi="宋体" w:cs="宋体"/>
                <w:color w:val="000000"/>
                <w:sz w:val="22"/>
              </w:rPr>
            </w:pPr>
            <w:r>
              <w:rPr>
                <w:rFonts w:hint="eastAsia" w:ascii="等线" w:hAnsi="等线" w:eastAsia="等线" w:cs="等线"/>
                <w:color w:val="000000"/>
                <w:szCs w:val="21"/>
                <w:lang w:bidi="ar"/>
              </w:rPr>
              <w:t xml:space="preserve">1.中标供应商必须确保检测结果传递及时，能接入采购人医院的LIS和HIS等相关业务系统，实现无纸化传输检测结果,且需符合国家信息安全有关的规定和要求。</w:t>
            </w:r>
            <w:r/>
          </w:p>
        </w:tc>
        <w:tc>
          <w:tcPr>
            <w:tcW w:w="340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402" w:type="dxa"/>
            <w:vAlign w:val="center"/>
            <w:textDirection w:val="lrTb"/>
            <w:noWrap w:val="false"/>
          </w:tcPr>
          <w:p>
            <w:pPr>
              <w:widowControl/>
              <w:rPr>
                <w:rFonts w:ascii="宋体" w:hAnsi="宋体" w:cs="宋体"/>
                <w:color w:val="000000"/>
                <w:sz w:val="22"/>
              </w:rPr>
            </w:pPr>
            <w:r>
              <w:rPr>
                <w:rFonts w:hint="eastAsia" w:ascii="等线" w:hAnsi="等线" w:eastAsia="等线" w:cs="等线"/>
                <w:color w:val="000000"/>
                <w:szCs w:val="21"/>
                <w:lang w:bidi="ar"/>
              </w:rPr>
              <w:t xml:space="preserve">2、提供网上查询服务，以供随时查询进度和结果。</w:t>
            </w:r>
            <w:r/>
          </w:p>
        </w:tc>
        <w:tc>
          <w:tcPr>
            <w:tcW w:w="340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402" w:type="dxa"/>
            <w:vAlign w:val="center"/>
            <w:textDirection w:val="lrTb"/>
            <w:noWrap w:val="false"/>
          </w:tcPr>
          <w:p>
            <w:pPr>
              <w:widowControl/>
              <w:rPr>
                <w:rFonts w:ascii="宋体" w:hAnsi="宋体" w:cs="宋体"/>
                <w:color w:val="000000"/>
                <w:sz w:val="22"/>
              </w:rPr>
            </w:pPr>
            <w:r>
              <w:rPr>
                <w:rFonts w:hint="eastAsia" w:ascii="等线" w:hAnsi="等线" w:eastAsia="等线" w:cs="等线"/>
                <w:color w:val="000000"/>
                <w:szCs w:val="21"/>
                <w:lang w:bidi="ar"/>
              </w:rPr>
              <w:t xml:space="preserve">3、提供电话查询服务，危急值专人电话跟进，确保患者检测信息与临床医生的畅通。</w:t>
            </w:r>
            <w:r/>
          </w:p>
        </w:tc>
        <w:tc>
          <w:tcPr>
            <w:tcW w:w="340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402" w:type="dxa"/>
            <w:vAlign w:val="center"/>
            <w:textDirection w:val="lrTb"/>
            <w:noWrap w:val="false"/>
          </w:tcPr>
          <w:p>
            <w:pPr>
              <w:widowControl/>
              <w:rPr>
                <w:rFonts w:ascii="宋体" w:hAnsi="宋体" w:cs="宋体"/>
                <w:color w:val="000000"/>
                <w:sz w:val="22"/>
              </w:rPr>
            </w:pPr>
            <w:r>
              <w:rPr>
                <w:rFonts w:hint="eastAsia" w:ascii="等线" w:hAnsi="等线" w:eastAsia="等线" w:cs="等线"/>
                <w:color w:val="000000"/>
                <w:szCs w:val="21"/>
                <w:lang w:bidi="ar"/>
              </w:rPr>
              <w:t xml:space="preserve">4、医务人员可以随时调阅检验结果，中标人须保证病人的资料的准确性和检验结果的及时性，并提供系统使用的必要培训与技术支持。</w:t>
            </w:r>
            <w:r/>
          </w:p>
        </w:tc>
        <w:tc>
          <w:tcPr>
            <w:tcW w:w="340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3402" w:type="dxa"/>
            <w:vAlign w:val="center"/>
            <w:textDirection w:val="lrTb"/>
            <w:noWrap w:val="false"/>
          </w:tcPr>
          <w:p>
            <w:pPr>
              <w:jc w:val="left"/>
              <w:widowControl/>
              <w:rPr>
                <w:rFonts w:ascii="宋体" w:hAnsi="宋体" w:cs="宋体"/>
                <w:color w:val="000000"/>
                <w:sz w:val="22"/>
              </w:rPr>
            </w:pPr>
            <w:r>
              <w:rPr>
                <w:rFonts w:hint="eastAsia" w:ascii="等线" w:hAnsi="等线" w:eastAsia="等线" w:cs="等线"/>
                <w:color w:val="000000"/>
                <w:szCs w:val="21"/>
                <w:lang w:bidi="ar"/>
              </w:rPr>
              <w:t xml:space="preserve">5、按照检测项目报告时间要求提供检测结果，并能满足采购人急诊项目的优先检测。</w:t>
            </w:r>
            <w:r/>
          </w:p>
        </w:tc>
        <w:tc>
          <w:tcPr>
            <w:tcW w:w="340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bl>
    <w:p>
      <w:pPr>
        <w:spacing w:line="360" w:lineRule="auto"/>
        <w:rPr>
          <w:rFonts w:ascii="黑体" w:hAnsi="黑体" w:eastAsia="黑体"/>
          <w:sz w:val="22"/>
          <w:szCs w:val="36"/>
        </w:rPr>
      </w:pPr>
      <w:r>
        <w:rPr>
          <w:rFonts w:ascii="黑体" w:hAnsi="黑体" w:eastAsia="黑体"/>
          <w:sz w:val="22"/>
          <w:szCs w:val="36"/>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right"/>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黑体" w:hAnsi="黑体" w:eastAsia="黑体"/>
          <w:sz w:val="36"/>
          <w:szCs w:val="36"/>
        </w:rPr>
      </w:pPr>
      <w:r>
        <w:rPr>
          <w:rFonts w:hint="eastAsia" w:ascii="黑体" w:hAnsi="黑体" w:eastAsia="黑体"/>
          <w:sz w:val="28"/>
          <w:szCs w:val="36"/>
        </w:rPr>
        <w:t xml:space="preserve">（四）其他要求</w:t>
      </w:r>
      <w:r/>
    </w:p>
    <w:tbl>
      <w:tblPr>
        <w:tblStyle w:val="689"/>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685"/>
        <w:gridCol w:w="3119"/>
        <w:gridCol w:w="1417"/>
      </w:tblGrid>
      <w:tr>
        <w:trPr>
          <w:cantSplit/>
          <w:trHeight w:val="540"/>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36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招标文件要求</w:t>
            </w:r>
            <w:r/>
          </w:p>
        </w:tc>
        <w:tc>
          <w:tcPr>
            <w:tcW w:w="31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投标文件响应</w:t>
            </w:r>
            <w:r/>
          </w:p>
        </w:tc>
        <w:tc>
          <w:tcPr>
            <w:tcW w:w="141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偏离情况</w:t>
            </w:r>
            <w:r/>
          </w:p>
          <w:p>
            <w:pPr>
              <w:jc w:val="center"/>
              <w:widowControl/>
              <w:rPr>
                <w:rFonts w:ascii="宋体" w:hAnsi="宋体" w:cs="宋体"/>
                <w:szCs w:val="21"/>
              </w:rPr>
            </w:pPr>
            <w:r>
              <w:rPr>
                <w:rFonts w:hint="eastAsia" w:ascii="宋体" w:hAnsi="宋体" w:cs="宋体"/>
                <w:szCs w:val="21"/>
              </w:rPr>
              <w:t xml:space="preserve">（正/负/无）</w:t>
            </w:r>
            <w:r/>
          </w:p>
        </w:tc>
      </w:tr>
      <w:tr>
        <w:trPr>
          <w:trHeight w:val="569"/>
        </w:trPr>
        <w:tc>
          <w:tcPr>
            <w:gridSpan w:val="4"/>
            <w:tcW w:w="9126" w:type="dxa"/>
            <w:vAlign w:val="center"/>
            <w:textDirection w:val="lrTb"/>
            <w:noWrap w:val="false"/>
          </w:tcPr>
          <w:p>
            <w:pPr>
              <w:jc w:val="center"/>
              <w:widowControl/>
              <w:rPr>
                <w:rFonts w:ascii="宋体" w:hAnsi="宋体" w:cs="宋体"/>
                <w:szCs w:val="21"/>
              </w:rPr>
            </w:pPr>
            <w:r>
              <w:rPr>
                <w:rFonts w:hint="eastAsia" w:ascii="宋体" w:hAnsi="宋体"/>
                <w:b/>
                <w:bCs/>
                <w:sz w:val="22"/>
              </w:rPr>
              <w:t xml:space="preserve">运输要求</w:t>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685" w:type="dxa"/>
            <w:vAlign w:val="center"/>
            <w:textDirection w:val="lrTb"/>
            <w:noWrap w:val="false"/>
          </w:tcPr>
          <w:p>
            <w:pPr>
              <w:widowControl/>
              <w:rPr>
                <w:rFonts w:ascii="宋体" w:hAnsi="宋体" w:cs="宋体"/>
                <w:color w:val="000000"/>
                <w:sz w:val="22"/>
              </w:rPr>
            </w:pPr>
            <w:r>
              <w:rPr>
                <w:rFonts w:hint="eastAsia" w:ascii="等线" w:hAnsi="等线" w:eastAsia="等线" w:cs="等线"/>
                <w:color w:val="000000"/>
                <w:szCs w:val="21"/>
                <w:lang w:bidi="ar"/>
              </w:rPr>
              <w:t xml:space="preserve">标本的接收、送检的车辆必须配备专用车载冰箱或保温箱，冰箱或保温箱必须有相应的温度记录表，同时需具备RFID无线射频功能。</w:t>
            </w:r>
            <w:r/>
          </w:p>
        </w:tc>
        <w:tc>
          <w:tcPr>
            <w:tcW w:w="31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685" w:type="dxa"/>
            <w:vAlign w:val="center"/>
            <w:textDirection w:val="lrTb"/>
            <w:noWrap w:val="false"/>
          </w:tcPr>
          <w:p>
            <w:pPr>
              <w:jc w:val="left"/>
              <w:widowControl/>
              <w:rPr>
                <w:rFonts w:ascii="宋体" w:hAnsi="宋体" w:cs="宋体"/>
                <w:color w:val="000000"/>
                <w:sz w:val="22"/>
              </w:rPr>
            </w:pPr>
            <w:r>
              <w:rPr>
                <w:rFonts w:hint="eastAsia" w:ascii="等线" w:hAnsi="等线" w:eastAsia="等线" w:cs="等线"/>
                <w:color w:val="000000"/>
                <w:szCs w:val="21"/>
                <w:lang w:bidi="ar"/>
              </w:rPr>
              <w:t xml:space="preserve">标本的运输要求直立、冷藏、封闭，符合《GBT 28577-2012 冷链物流分类与基本要求》与生物安全要求，确保运输过程的样品质量和环境安全。对于需低温冷冻或有特殊要求的样本视具体项目与我院检验科商定。</w:t>
            </w:r>
            <w:r/>
          </w:p>
        </w:tc>
        <w:tc>
          <w:tcPr>
            <w:tcW w:w="31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gridSpan w:val="4"/>
            <w:tcW w:w="9126" w:type="dxa"/>
            <w:vAlign w:val="center"/>
            <w:textDirection w:val="lrTb"/>
            <w:noWrap w:val="false"/>
          </w:tcPr>
          <w:p>
            <w:pPr>
              <w:jc w:val="center"/>
              <w:widowControl/>
              <w:rPr>
                <w:rFonts w:ascii="宋体" w:hAnsi="宋体" w:cs="宋体"/>
                <w:szCs w:val="21"/>
              </w:rPr>
            </w:pPr>
            <w:r>
              <w:rPr>
                <w:rFonts w:hint="eastAsia" w:ascii="宋体" w:hAnsi="宋体" w:cs="宋体"/>
                <w:b/>
                <w:bCs/>
                <w:color w:val="000000"/>
                <w:sz w:val="22"/>
              </w:rPr>
              <w:t xml:space="preserve">售后服务</w:t>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685" w:type="dxa"/>
            <w:vAlign w:val="center"/>
            <w:textDirection w:val="lrTb"/>
            <w:noWrap w:val="false"/>
          </w:tcPr>
          <w:p>
            <w:pPr>
              <w:rPr>
                <w:rFonts w:ascii="宋体" w:hAnsi="宋体" w:cs="宋体"/>
                <w:color w:val="000000"/>
                <w:sz w:val="22"/>
              </w:rPr>
            </w:pPr>
            <w:r>
              <w:rPr>
                <w:rFonts w:hint="eastAsia"/>
                <w:color w:val="000000"/>
                <w:sz w:val="22"/>
              </w:rPr>
              <w:t xml:space="preserve">设有客服专线电话，处理相关的日常咨询及售后服务工作。具有完善管理制度和服务流程以保障上门服务及时有效性，并定期选派具有医学检验背景的专业技术人员提供售后服务。</w:t>
            </w:r>
            <w:r/>
          </w:p>
        </w:tc>
        <w:tc>
          <w:tcPr>
            <w:tcW w:w="31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r>
        <w:trPr>
          <w:trHeight w:val="569"/>
        </w:trPr>
        <w:tc>
          <w:tcPr>
            <w:gridSpan w:val="4"/>
            <w:tcW w:w="9126" w:type="dxa"/>
            <w:vAlign w:val="center"/>
            <w:textDirection w:val="lrTb"/>
            <w:noWrap w:val="false"/>
          </w:tcPr>
          <w:p>
            <w:pPr>
              <w:jc w:val="center"/>
              <w:widowControl/>
              <w:rPr>
                <w:rFonts w:ascii="宋体" w:hAnsi="宋体" w:cs="宋体"/>
                <w:szCs w:val="21"/>
              </w:rPr>
            </w:pPr>
            <w:r>
              <w:rPr>
                <w:rFonts w:hint="eastAsia" w:ascii="宋体" w:hAnsi="宋体"/>
                <w:sz w:val="22"/>
              </w:rPr>
              <w:t xml:space="preserve">质量要求</w:t>
            </w:r>
            <w:r/>
          </w:p>
        </w:tc>
      </w:tr>
      <w:tr>
        <w:trPr>
          <w:trHeight w:val="569"/>
        </w:trPr>
        <w:tc>
          <w:tcPr>
            <w:tcW w:w="90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685" w:type="dxa"/>
            <w:vAlign w:val="center"/>
            <w:textDirection w:val="lrTb"/>
            <w:noWrap w:val="false"/>
          </w:tcPr>
          <w:p>
            <w:pPr>
              <w:rPr>
                <w:rFonts w:ascii="宋体" w:hAnsi="宋体" w:cs="宋体"/>
                <w:color w:val="000000"/>
                <w:sz w:val="22"/>
              </w:rPr>
            </w:pPr>
            <w:r>
              <w:rPr>
                <w:rFonts w:hint="eastAsia"/>
                <w:color w:val="000000"/>
                <w:sz w:val="22"/>
              </w:rPr>
              <w:t xml:space="preserve">投标实验室具有完善的质量管理体系，每次检测都有严格的室内质控，每年省临检中心的质量控制和室间质量评估工作，以控制诊断结果的质量。因投标实验室质量因素导致的医疗纠纷、事故等不良后果的，由此产生的赔偿责任由中标人承担。</w:t>
            </w:r>
            <w:r/>
          </w:p>
        </w:tc>
        <w:tc>
          <w:tcPr>
            <w:tcW w:w="31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17" w:type="dxa"/>
            <w:textDirection w:val="lrTb"/>
            <w:noWrap w:val="false"/>
          </w:tcPr>
          <w:p>
            <w:pPr>
              <w:jc w:val="center"/>
              <w:widowControl/>
              <w:rPr>
                <w:rFonts w:ascii="宋体" w:hAnsi="宋体" w:cs="宋体"/>
                <w:szCs w:val="21"/>
              </w:rPr>
            </w:pPr>
            <w:r>
              <w:rPr>
                <w:rFonts w:ascii="宋体" w:hAnsi="宋体" w:cs="宋体"/>
                <w:szCs w:val="21"/>
              </w:rPr>
            </w:r>
            <w:r/>
          </w:p>
        </w:tc>
      </w:tr>
    </w:tbl>
    <w:p>
      <w:pPr>
        <w:spacing w:line="360" w:lineRule="auto"/>
        <w:rPr>
          <w:rFonts w:ascii="黑体" w:hAnsi="黑体" w:eastAsia="黑体"/>
          <w:sz w:val="22"/>
          <w:szCs w:val="36"/>
        </w:rPr>
      </w:pPr>
      <w:r>
        <w:rPr>
          <w:rFonts w:ascii="黑体" w:hAnsi="黑体" w:eastAsia="黑体"/>
          <w:sz w:val="22"/>
          <w:szCs w:val="36"/>
        </w:rPr>
      </w:r>
      <w:r/>
    </w:p>
    <w:p>
      <w:pPr>
        <w:jc w:val="center"/>
        <w:spacing w:line="360" w:lineRule="auto"/>
        <w:rPr>
          <w:rFonts w:ascii="Segoe UI" w:hAnsi="Segoe UI" w:cs="Segoe UI"/>
          <w:szCs w:val="21"/>
        </w:rPr>
      </w:pPr>
      <w:r>
        <w:rPr>
          <w:rFonts w:ascii="Segoe UI" w:hAnsi="Segoe UI" w:cs="Segoe UI"/>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right"/>
        <w:spacing w:line="360" w:lineRule="auto"/>
        <w:rPr>
          <w:rFonts w:ascii="Segoe UI" w:hAnsi="Segoe UI" w:cs="Segoe UI"/>
        </w:rPr>
      </w:pPr>
      <w:r>
        <w:rPr>
          <w:rFonts w:ascii="Segoe UI" w:hAnsi="Segoe UI" w:cs="Segoe UI"/>
        </w:rPr>
      </w:r>
      <w:r/>
    </w:p>
    <w:p>
      <w:pPr>
        <w:jc w:val="right"/>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黑体" w:hAnsi="黑体" w:eastAsia="黑体"/>
          <w:sz w:val="36"/>
          <w:szCs w:val="36"/>
        </w:rPr>
      </w:pPr>
      <w:r>
        <w:rPr>
          <w:rFonts w:hint="eastAsia" w:ascii="黑体" w:hAnsi="黑体" w:eastAsia="黑体"/>
          <w:sz w:val="36"/>
          <w:szCs w:val="36"/>
        </w:rPr>
        <w:t xml:space="preserve">服务方案</w:t>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 w:val="28"/>
          <w:szCs w:val="21"/>
        </w:rPr>
      </w:pPr>
      <w:r>
        <w:rPr>
          <w:rFonts w:hint="eastAsia" w:ascii="Segoe UI" w:hAnsi="Segoe UI" w:cs="Segoe UI"/>
          <w:sz w:val="28"/>
          <w:szCs w:val="21"/>
        </w:rPr>
        <w:t xml:space="preserve">标本的收取、运输保管及保障措施</w:t>
      </w:r>
      <w:r/>
    </w:p>
    <w:p>
      <w:pPr>
        <w:jc w:val="center"/>
        <w:spacing w:line="360" w:lineRule="auto"/>
        <w:rPr>
          <w:rFonts w:ascii="Segoe UI" w:hAnsi="Segoe UI" w:cs="Segoe UI"/>
          <w:sz w:val="28"/>
          <w:szCs w:val="21"/>
        </w:rPr>
      </w:pPr>
      <w:r>
        <w:rPr>
          <w:rFonts w:hint="eastAsia" w:ascii="宋体" w:hAnsi="宋体" w:cs="宋体"/>
          <w:sz w:val="22"/>
          <w:szCs w:val="21"/>
        </w:rPr>
        <w:t xml:space="preserve">……</w:t>
      </w:r>
      <w:r/>
    </w:p>
    <w:p>
      <w:pPr>
        <w:jc w:val="center"/>
        <w:spacing w:line="360" w:lineRule="auto"/>
        <w:rPr>
          <w:rFonts w:ascii="Segoe UI" w:hAnsi="Segoe UI" w:cs="Segoe UI"/>
          <w:sz w:val="28"/>
          <w:szCs w:val="21"/>
        </w:rPr>
      </w:pPr>
      <w:r>
        <w:rPr>
          <w:rFonts w:ascii="Segoe UI" w:hAnsi="Segoe UI" w:cs="Segoe UI"/>
          <w:sz w:val="28"/>
          <w:szCs w:val="21"/>
        </w:rPr>
      </w:r>
      <w:r/>
    </w:p>
    <w:p>
      <w:pPr>
        <w:jc w:val="center"/>
        <w:spacing w:line="360" w:lineRule="auto"/>
        <w:rPr>
          <w:rFonts w:ascii="Segoe UI" w:hAnsi="Segoe UI" w:cs="Segoe UI"/>
          <w:sz w:val="28"/>
          <w:szCs w:val="21"/>
        </w:rPr>
      </w:pPr>
      <w:r>
        <w:rPr>
          <w:rFonts w:hint="eastAsia" w:ascii="Segoe UI" w:hAnsi="Segoe UI" w:cs="Segoe UI"/>
          <w:sz w:val="28"/>
          <w:szCs w:val="21"/>
        </w:rPr>
        <w:t xml:space="preserve">检测检查项目及其检测检查方法</w:t>
      </w:r>
      <w:r/>
    </w:p>
    <w:p>
      <w:pPr>
        <w:jc w:val="center"/>
        <w:spacing w:line="360" w:lineRule="auto"/>
        <w:rPr>
          <w:rFonts w:ascii="Segoe UI" w:hAnsi="Segoe UI" w:cs="Segoe UI"/>
          <w:sz w:val="28"/>
          <w:szCs w:val="21"/>
        </w:rPr>
      </w:pPr>
      <w:r>
        <w:rPr>
          <w:rFonts w:hint="eastAsia" w:ascii="宋体" w:hAnsi="宋体" w:cs="宋体"/>
          <w:sz w:val="22"/>
          <w:szCs w:val="21"/>
        </w:rPr>
        <w:t xml:space="preserve">……</w:t>
      </w:r>
      <w:r/>
    </w:p>
    <w:p>
      <w:pPr>
        <w:jc w:val="center"/>
        <w:spacing w:line="360" w:lineRule="auto"/>
        <w:rPr>
          <w:rFonts w:ascii="Segoe UI" w:hAnsi="Segoe UI" w:cs="Segoe UI"/>
          <w:sz w:val="28"/>
          <w:szCs w:val="21"/>
        </w:rPr>
      </w:pPr>
      <w:r>
        <w:rPr>
          <w:rFonts w:ascii="Segoe UI" w:hAnsi="Segoe UI" w:cs="Segoe UI"/>
          <w:sz w:val="28"/>
          <w:szCs w:val="21"/>
        </w:rPr>
      </w:r>
      <w:r/>
    </w:p>
    <w:p>
      <w:pPr>
        <w:jc w:val="center"/>
        <w:spacing w:line="360" w:lineRule="auto"/>
        <w:rPr>
          <w:rFonts w:ascii="Segoe UI" w:hAnsi="Segoe UI" w:cs="Segoe UI"/>
          <w:sz w:val="28"/>
          <w:szCs w:val="21"/>
        </w:rPr>
      </w:pPr>
      <w:r>
        <w:rPr>
          <w:rFonts w:hint="eastAsia" w:ascii="Segoe UI" w:hAnsi="Segoe UI" w:cs="Segoe UI"/>
          <w:sz w:val="28"/>
          <w:szCs w:val="21"/>
        </w:rPr>
        <w:t xml:space="preserve">结果报告质量控制及其保障措施</w:t>
      </w:r>
      <w:r/>
    </w:p>
    <w:p>
      <w:pPr>
        <w:jc w:val="center"/>
        <w:spacing w:line="360" w:lineRule="auto"/>
        <w:rPr>
          <w:rFonts w:ascii="Segoe UI" w:hAnsi="Segoe UI" w:cs="Segoe UI"/>
          <w:sz w:val="28"/>
          <w:szCs w:val="21"/>
        </w:rPr>
      </w:pPr>
      <w:r>
        <w:rPr>
          <w:rFonts w:hint="eastAsia" w:ascii="宋体" w:hAnsi="宋体" w:cs="宋体"/>
          <w:sz w:val="22"/>
          <w:szCs w:val="21"/>
        </w:rPr>
        <w:t xml:space="preserve">……</w:t>
      </w:r>
      <w:r/>
    </w:p>
    <w:p>
      <w:pPr>
        <w:jc w:val="center"/>
        <w:spacing w:line="360" w:lineRule="auto"/>
        <w:rPr>
          <w:rFonts w:ascii="Segoe UI" w:hAnsi="Segoe UI" w:cs="Segoe UI"/>
          <w:sz w:val="28"/>
          <w:szCs w:val="21"/>
        </w:rPr>
      </w:pPr>
      <w:r>
        <w:rPr>
          <w:rFonts w:ascii="Segoe UI" w:hAnsi="Segoe UI" w:cs="Segoe UI"/>
          <w:sz w:val="28"/>
          <w:szCs w:val="21"/>
        </w:rPr>
      </w:r>
      <w:r/>
    </w:p>
    <w:p>
      <w:pPr>
        <w:jc w:val="center"/>
        <w:spacing w:line="360" w:lineRule="auto"/>
        <w:rPr>
          <w:rFonts w:ascii="Segoe UI" w:hAnsi="Segoe UI" w:cs="Segoe UI"/>
          <w:sz w:val="28"/>
          <w:szCs w:val="21"/>
        </w:rPr>
      </w:pPr>
      <w:r>
        <w:rPr>
          <w:rFonts w:hint="eastAsia" w:ascii="Segoe UI" w:hAnsi="Segoe UI" w:cs="Segoe UI"/>
          <w:sz w:val="28"/>
          <w:szCs w:val="21"/>
        </w:rPr>
        <w:t xml:space="preserve">异常报告和报告异议处理流程及解决措施</w:t>
      </w:r>
      <w:r/>
    </w:p>
    <w:p>
      <w:pPr>
        <w:jc w:val="center"/>
        <w:spacing w:line="360" w:lineRule="auto"/>
        <w:rPr>
          <w:rFonts w:ascii="Segoe UI" w:hAnsi="Segoe UI" w:cs="Segoe UI"/>
          <w:sz w:val="28"/>
          <w:szCs w:val="21"/>
        </w:rPr>
      </w:pPr>
      <w:r>
        <w:rPr>
          <w:rFonts w:hint="eastAsia" w:ascii="宋体" w:hAnsi="宋体" w:cs="宋体"/>
          <w:sz w:val="22"/>
          <w:szCs w:val="21"/>
        </w:rPr>
        <w:t xml:space="preserve">……</w:t>
      </w:r>
      <w:r/>
    </w:p>
    <w:p>
      <w:pPr>
        <w:jc w:val="center"/>
        <w:spacing w:line="360" w:lineRule="auto"/>
        <w:rPr>
          <w:rFonts w:ascii="Segoe UI" w:hAnsi="Segoe UI" w:cs="Segoe UI"/>
          <w:sz w:val="28"/>
          <w:szCs w:val="21"/>
        </w:rPr>
      </w:pPr>
      <w:r>
        <w:rPr>
          <w:rFonts w:ascii="Segoe UI" w:hAnsi="Segoe UI" w:cs="Segoe UI"/>
          <w:sz w:val="28"/>
          <w:szCs w:val="21"/>
        </w:rPr>
      </w:r>
      <w:r/>
    </w:p>
    <w:p>
      <w:pPr>
        <w:jc w:val="center"/>
        <w:spacing w:line="360" w:lineRule="auto"/>
        <w:rPr>
          <w:rFonts w:ascii="Segoe UI" w:hAnsi="Segoe UI" w:cs="Segoe UI"/>
          <w:szCs w:val="21"/>
        </w:rPr>
      </w:pPr>
      <w:r>
        <w:rPr>
          <w:rFonts w:hint="eastAsia" w:ascii="Segoe UI" w:hAnsi="Segoe UI" w:cs="Segoe UI"/>
          <w:sz w:val="28"/>
          <w:szCs w:val="21"/>
        </w:rPr>
        <w:t xml:space="preserve">检验前培训服务方案及保障措施</w:t>
      </w:r>
      <w:r/>
    </w:p>
    <w:p>
      <w:pPr>
        <w:jc w:val="center"/>
        <w:spacing w:line="360" w:lineRule="auto"/>
        <w:rPr>
          <w:rFonts w:ascii="Segoe UI" w:hAnsi="Segoe UI" w:cs="Segoe UI"/>
          <w:szCs w:val="21"/>
        </w:rPr>
      </w:pPr>
      <w:r>
        <w:rPr>
          <w:rFonts w:hint="eastAsia" w:ascii="宋体" w:hAnsi="宋体" w:cs="宋体"/>
          <w:szCs w:val="21"/>
        </w:rPr>
        <w:t xml:space="preserve">……</w:t>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企业能力一览表</w:t>
      </w:r>
      <w:r/>
    </w:p>
    <w:tbl>
      <w:tblPr>
        <w:tblStyle w:val="68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2693"/>
        <w:gridCol w:w="2126"/>
      </w:tblGrid>
      <w:tr>
        <w:trPr>
          <w:trHeight w:val="700"/>
        </w:trPr>
        <w:tc>
          <w:tcPr>
            <w:tcW w:w="959" w:type="dxa"/>
            <w:vAlign w:val="center"/>
            <w:textDirection w:val="lrTb"/>
            <w:noWrap w:val="false"/>
          </w:tcPr>
          <w:p>
            <w:pPr>
              <w:pStyle w:val="692"/>
              <w:jc w:val="center"/>
              <w:spacing w:line="320" w:lineRule="exact"/>
              <w:rPr>
                <w:sz w:val="22"/>
              </w:rPr>
            </w:pPr>
            <w:r>
              <w:rPr>
                <w:rFonts w:hint="eastAsia"/>
                <w:sz w:val="22"/>
              </w:rPr>
              <w:t xml:space="preserve">序号</w:t>
            </w:r>
            <w:r/>
          </w:p>
        </w:tc>
        <w:tc>
          <w:tcPr>
            <w:tcW w:w="3544" w:type="dxa"/>
            <w:vAlign w:val="center"/>
            <w:textDirection w:val="lrTb"/>
            <w:noWrap w:val="false"/>
          </w:tcPr>
          <w:p>
            <w:pPr>
              <w:pStyle w:val="692"/>
              <w:jc w:val="center"/>
              <w:spacing w:line="320" w:lineRule="exact"/>
              <w:rPr>
                <w:sz w:val="22"/>
              </w:rPr>
            </w:pPr>
            <w:r>
              <w:rPr>
                <w:rFonts w:hint="eastAsia"/>
                <w:sz w:val="22"/>
              </w:rPr>
              <w:t xml:space="preserve">证证书名称</w:t>
            </w:r>
            <w:r/>
          </w:p>
        </w:tc>
        <w:tc>
          <w:tcPr>
            <w:tcW w:w="2693" w:type="dxa"/>
            <w:vAlign w:val="center"/>
            <w:textDirection w:val="lrTb"/>
            <w:noWrap w:val="false"/>
          </w:tcPr>
          <w:p>
            <w:pPr>
              <w:pStyle w:val="692"/>
              <w:jc w:val="center"/>
              <w:spacing w:line="320" w:lineRule="exact"/>
              <w:rPr>
                <w:sz w:val="22"/>
              </w:rPr>
            </w:pPr>
            <w:r>
              <w:rPr>
                <w:sz w:val="22"/>
              </w:rPr>
              <w:t xml:space="preserve">颁发机构</w:t>
            </w:r>
            <w:r/>
          </w:p>
        </w:tc>
        <w:tc>
          <w:tcPr>
            <w:tcW w:w="2126" w:type="dxa"/>
            <w:vAlign w:val="center"/>
            <w:textDirection w:val="lrTb"/>
            <w:noWrap w:val="false"/>
          </w:tcPr>
          <w:p>
            <w:pPr>
              <w:pStyle w:val="692"/>
              <w:jc w:val="center"/>
              <w:spacing w:line="320" w:lineRule="exact"/>
              <w:rPr>
                <w:sz w:val="22"/>
              </w:rPr>
            </w:pPr>
            <w:r>
              <w:rPr>
                <w:sz w:val="22"/>
              </w:rPr>
              <w:t xml:space="preserve">有效期</w:t>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1</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2</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3</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cs="宋体"/>
                <w:sz w:val="22"/>
              </w:rPr>
              <w:t xml:space="preserve">……</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bl>
    <w:p>
      <w:pPr>
        <w:spacing w:line="360" w:lineRule="auto"/>
        <w:rPr>
          <w:rFonts w:ascii="黑体" w:hAnsi="黑体" w:eastAsia="黑体" w:cs="Segoe UI"/>
          <w:sz w:val="36"/>
          <w:szCs w:val="21"/>
        </w:rPr>
      </w:pPr>
      <w:r>
        <w:rPr>
          <w:rFonts w:hint="eastAsia" w:asciiTheme="minorEastAsia" w:hAnsiTheme="minorEastAsia" w:eastAsiaTheme="minorEastAsia" w:cstheme="minorEastAsia"/>
          <w:b/>
          <w:bCs/>
          <w:sz w:val="22"/>
          <w:lang w:val="zh-CN"/>
        </w:rPr>
        <w:t xml:space="preserve">注：投标人需按招标文件第四章评标办法前附表第</w:t>
      </w:r>
      <w:r>
        <w:rPr>
          <w:rFonts w:asciiTheme="minorEastAsia" w:hAnsiTheme="minorEastAsia" w:eastAsiaTheme="minorEastAsia" w:cstheme="minorEastAsia"/>
          <w:b/>
          <w:bCs/>
          <w:sz w:val="22"/>
          <w:lang w:val="zh-CN"/>
        </w:rPr>
        <w:t xml:space="preserve">2.3.2</w:t>
      </w:r>
      <w:r>
        <w:rPr>
          <w:rFonts w:hint="eastAsia" w:asciiTheme="minorEastAsia" w:hAnsiTheme="minorEastAsia" w:eastAsiaTheme="minorEastAsia" w:cstheme="minorEastAsia"/>
          <w:b/>
          <w:bCs/>
          <w:sz w:val="22"/>
          <w:lang w:val="zh-CN"/>
        </w:rPr>
        <w:t xml:space="preserve">（2）项要求提供相关证明材料。</w:t>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标本途中运输时间承诺书</w:t>
      </w:r>
      <w:r/>
    </w:p>
    <w:p>
      <w:pPr>
        <w:pStyle w:val="692"/>
        <w:spacing w:line="480" w:lineRule="auto"/>
        <w:rPr>
          <w:rFonts w:cs="宋体"/>
          <w:b/>
          <w:bCs/>
          <w:u w:val="single"/>
        </w:rPr>
      </w:pPr>
      <w:r>
        <w:rPr>
          <w:rFonts w:cs="宋体"/>
          <w:b/>
          <w:bCs/>
          <w:u w:val="single"/>
        </w:rPr>
      </w:r>
      <w:r/>
    </w:p>
    <w:p>
      <w:pPr>
        <w:pStyle w:val="692"/>
        <w:spacing w:line="480" w:lineRule="auto"/>
        <w:rPr>
          <w:rFonts w:cs="宋体"/>
          <w:b/>
          <w:bCs/>
          <w:u w:val="single"/>
        </w:rPr>
      </w:pPr>
      <w:r>
        <w:rPr>
          <w:rFonts w:hint="eastAsia" w:cs="宋体"/>
          <w:b/>
          <w:bCs/>
          <w:u w:val="single"/>
        </w:rPr>
        <w:t xml:space="preserve">  采购人名称     </w:t>
      </w:r>
      <w:r>
        <w:rPr>
          <w:rFonts w:hint="eastAsia" w:cs="宋体"/>
          <w:b/>
          <w:bCs/>
        </w:rPr>
        <w:t xml:space="preserve">：</w:t>
      </w:r>
      <w:r/>
    </w:p>
    <w:p>
      <w:pPr>
        <w:pStyle w:val="692"/>
        <w:ind w:firstLine="482"/>
        <w:spacing w:line="480" w:lineRule="auto"/>
        <w:rPr>
          <w:rFonts w:cs="宋体"/>
          <w:b/>
          <w:bCs/>
          <w:sz w:val="22"/>
        </w:rPr>
      </w:pPr>
      <w:r>
        <w:rPr>
          <w:rFonts w:cs="宋体"/>
          <w:b/>
          <w:bCs/>
        </w:rPr>
        <w:t xml:space="preserve">我单位自愿参加贵单位组织的</w:t>
      </w:r>
      <w:r>
        <w:rPr>
          <w:rFonts w:hint="eastAsia" w:cs="宋体"/>
          <w:b/>
          <w:bCs/>
          <w:u w:val="single"/>
        </w:rPr>
        <w:t xml:space="preserve">    （项目名称）    </w:t>
      </w:r>
      <w:r>
        <w:rPr>
          <w:rFonts w:hint="eastAsia" w:cs="宋体"/>
          <w:b/>
          <w:bCs/>
        </w:rPr>
        <w:t xml:space="preserve">政府采购活动，我单位在此承诺：我单位标本途中运输时间为</w:t>
      </w:r>
      <w:r>
        <w:rPr>
          <w:rFonts w:hint="eastAsia" w:cs="宋体"/>
          <w:b/>
          <w:bCs/>
          <w:u w:val="single"/>
        </w:rPr>
        <w:t xml:space="preserve">          </w:t>
      </w:r>
      <w:r>
        <w:rPr>
          <w:rFonts w:hint="eastAsia" w:cs="宋体"/>
          <w:b/>
          <w:bCs/>
        </w:rPr>
        <w:t xml:space="preserve">小时。</w:t>
      </w:r>
      <w:r/>
    </w:p>
    <w:p>
      <w:pPr>
        <w:pStyle w:val="692"/>
        <w:ind w:firstLine="482"/>
        <w:spacing w:line="480" w:lineRule="auto"/>
        <w:rPr>
          <w:rFonts w:cs="宋体"/>
          <w:b/>
          <w:bCs/>
        </w:rPr>
      </w:pPr>
      <w:r>
        <w:rPr>
          <w:rFonts w:hint="eastAsia" w:cs="宋体"/>
          <w:b/>
          <w:bCs/>
        </w:rPr>
        <w:t xml:space="preserve">以上承诺若有不实，我单位自愿按照《中华人民共和国政府采购法》第七十七条规定，以提供虚假材料谋取中标而承担相应的法律责任。</w:t>
      </w:r>
      <w:r/>
    </w:p>
    <w:p>
      <w:pPr>
        <w:ind w:left="420"/>
        <w:spacing w:line="440" w:lineRule="exact"/>
        <w:rPr>
          <w:rFonts w:ascii="宋体" w:hAnsi="宋体" w:cs="宋体"/>
          <w:sz w:val="22"/>
        </w:rPr>
      </w:pPr>
      <w:r>
        <w:rPr>
          <w:rFonts w:ascii="宋体" w:hAnsi="宋体" w:cs="宋体"/>
          <w:sz w:val="22"/>
        </w:rPr>
      </w:r>
      <w:r/>
    </w:p>
    <w:p>
      <w:pPr>
        <w:ind w:left="420"/>
        <w:spacing w:line="440" w:lineRule="exact"/>
        <w:rPr>
          <w:rFonts w:ascii="宋体" w:hAnsi="宋体" w:cs="宋体"/>
          <w:sz w:val="22"/>
        </w:rPr>
      </w:pPr>
      <w:r>
        <w:rPr>
          <w:rFonts w:ascii="宋体" w:hAnsi="宋体" w:cs="宋体"/>
          <w:sz w:val="22"/>
        </w:rPr>
      </w:r>
      <w:r/>
    </w:p>
    <w:p>
      <w:pPr>
        <w:ind w:left="420"/>
        <w:spacing w:line="440" w:lineRule="exact"/>
        <w:rPr>
          <w:rFonts w:ascii="宋体" w:hAnsi="宋体" w:cs="宋体"/>
          <w:sz w:val="22"/>
        </w:rPr>
      </w:pPr>
      <w:r>
        <w:rPr>
          <w:rFonts w:ascii="宋体" w:hAnsi="宋体" w:cs="宋体"/>
          <w:sz w:val="22"/>
        </w:rPr>
      </w:r>
      <w:r/>
    </w:p>
    <w:p>
      <w:pPr>
        <w:ind w:left="420"/>
        <w:jc w:val="right"/>
        <w:spacing w:line="480" w:lineRule="auto"/>
        <w:rPr>
          <w:rFonts w:ascii="宋体" w:hAnsi="宋体" w:cs="宋体"/>
          <w:sz w:val="24"/>
        </w:rPr>
      </w:pPr>
      <w:r>
        <w:rPr>
          <w:rFonts w:hint="eastAsia" w:ascii="宋体" w:hAnsi="宋体" w:cs="宋体"/>
          <w:sz w:val="24"/>
        </w:rPr>
        <w:t xml:space="preserve">投标人公章：            （电子签章）</w:t>
      </w:r>
      <w:r/>
    </w:p>
    <w:p>
      <w:pPr>
        <w:ind w:left="420"/>
        <w:jc w:val="right"/>
        <w:spacing w:line="480" w:lineRule="auto"/>
        <w:rPr>
          <w:rFonts w:ascii="宋体" w:hAnsi="宋体" w:cs="宋体"/>
          <w:sz w:val="24"/>
        </w:rPr>
      </w:pPr>
      <w:r>
        <w:rPr>
          <w:rFonts w:ascii="宋体" w:hAnsi="宋体" w:cs="宋体"/>
          <w:sz w:val="24"/>
        </w:rPr>
      </w:r>
      <w:r/>
    </w:p>
    <w:p>
      <w:pPr>
        <w:ind w:left="420"/>
        <w:jc w:val="right"/>
        <w:spacing w:line="480" w:lineRule="auto"/>
        <w:rPr>
          <w:rFonts w:ascii="宋体" w:hAnsi="宋体" w:cs="宋体"/>
          <w:sz w:val="24"/>
        </w:rPr>
      </w:pPr>
      <w:r>
        <w:rPr>
          <w:rFonts w:hint="eastAsia" w:ascii="宋体" w:hAnsi="宋体" w:cs="宋体"/>
          <w:sz w:val="24"/>
        </w:rPr>
        <w:t xml:space="preserve">法定代表人：            （电子签章）</w:t>
      </w:r>
      <w:r/>
    </w:p>
    <w:p>
      <w:pPr>
        <w:jc w:val="right"/>
        <w:spacing w:line="360" w:lineRule="auto"/>
        <w:rPr>
          <w:rFonts w:ascii="黑体" w:hAnsi="黑体" w:eastAsia="黑体"/>
          <w:sz w:val="28"/>
          <w:szCs w:val="28"/>
        </w:rPr>
      </w:pP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人员配备一览表</w:t>
      </w:r>
      <w:r/>
    </w:p>
    <w:tbl>
      <w:tblPr>
        <w:tblStyle w:val="68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551"/>
        <w:gridCol w:w="2835"/>
        <w:gridCol w:w="1843"/>
      </w:tblGrid>
      <w:tr>
        <w:trPr>
          <w:trHeight w:val="700"/>
        </w:trPr>
        <w:tc>
          <w:tcPr>
            <w:tcW w:w="2093" w:type="dxa"/>
            <w:vAlign w:val="center"/>
            <w:textDirection w:val="lrTb"/>
            <w:noWrap w:val="false"/>
          </w:tcPr>
          <w:p>
            <w:pPr>
              <w:pStyle w:val="692"/>
              <w:jc w:val="center"/>
              <w:spacing w:line="320" w:lineRule="exact"/>
              <w:rPr>
                <w:sz w:val="22"/>
              </w:rPr>
            </w:pPr>
            <w:r>
              <w:rPr>
                <w:rFonts w:hint="eastAsia"/>
                <w:sz w:val="22"/>
              </w:rPr>
              <w:t xml:space="preserve">姓名</w:t>
            </w:r>
            <w:r/>
          </w:p>
        </w:tc>
        <w:tc>
          <w:tcPr>
            <w:tcW w:w="2551" w:type="dxa"/>
            <w:vAlign w:val="center"/>
            <w:textDirection w:val="lrTb"/>
            <w:noWrap w:val="false"/>
          </w:tcPr>
          <w:p>
            <w:pPr>
              <w:pStyle w:val="692"/>
              <w:jc w:val="center"/>
              <w:spacing w:line="320" w:lineRule="exact"/>
              <w:rPr>
                <w:sz w:val="22"/>
              </w:rPr>
            </w:pPr>
            <w:r>
              <w:rPr>
                <w:rFonts w:hint="eastAsia"/>
                <w:sz w:val="22"/>
              </w:rPr>
              <w:t xml:space="preserve">职称</w:t>
            </w:r>
            <w:r/>
          </w:p>
        </w:tc>
        <w:tc>
          <w:tcPr>
            <w:tcW w:w="2835" w:type="dxa"/>
            <w:vAlign w:val="center"/>
            <w:textDirection w:val="lrTb"/>
            <w:noWrap w:val="false"/>
          </w:tcPr>
          <w:p>
            <w:pPr>
              <w:pStyle w:val="692"/>
              <w:jc w:val="center"/>
              <w:spacing w:line="320" w:lineRule="exact"/>
              <w:rPr>
                <w:sz w:val="22"/>
              </w:rPr>
            </w:pPr>
            <w:r>
              <w:rPr>
                <w:rFonts w:hint="eastAsia"/>
                <w:sz w:val="22"/>
              </w:rPr>
              <w:t xml:space="preserve">医学会或专科分会任职</w:t>
            </w:r>
            <w:r/>
          </w:p>
        </w:tc>
        <w:tc>
          <w:tcPr>
            <w:tcW w:w="1843" w:type="dxa"/>
            <w:vAlign w:val="center"/>
            <w:textDirection w:val="lrTb"/>
            <w:noWrap w:val="false"/>
          </w:tcPr>
          <w:p>
            <w:pPr>
              <w:pStyle w:val="692"/>
              <w:jc w:val="center"/>
              <w:spacing w:line="320" w:lineRule="exact"/>
              <w:rPr>
                <w:sz w:val="22"/>
              </w:rPr>
            </w:pPr>
            <w:r>
              <w:rPr>
                <w:rFonts w:hint="eastAsia"/>
                <w:sz w:val="22"/>
              </w:rPr>
              <w:t xml:space="preserve">在职/退休</w:t>
            </w:r>
            <w:r/>
          </w:p>
        </w:tc>
      </w:tr>
      <w:tr>
        <w:trPr>
          <w:trHeight w:val="502"/>
        </w:trPr>
        <w:tc>
          <w:tcPr>
            <w:tcW w:w="2093" w:type="dxa"/>
            <w:vAlign w:val="center"/>
            <w:textDirection w:val="lrTb"/>
            <w:noWrap w:val="false"/>
          </w:tcPr>
          <w:p>
            <w:pPr>
              <w:pStyle w:val="692"/>
              <w:jc w:val="center"/>
              <w:spacing w:line="320" w:lineRule="exact"/>
              <w:rPr>
                <w:sz w:val="22"/>
              </w:rPr>
            </w:pPr>
            <w:r>
              <w:rPr>
                <w:sz w:val="22"/>
              </w:rPr>
            </w:r>
            <w:r/>
          </w:p>
        </w:tc>
        <w:tc>
          <w:tcPr>
            <w:tcW w:w="2551"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2093" w:type="dxa"/>
            <w:vAlign w:val="center"/>
            <w:textDirection w:val="lrTb"/>
            <w:noWrap w:val="false"/>
          </w:tcPr>
          <w:p>
            <w:pPr>
              <w:pStyle w:val="692"/>
              <w:jc w:val="center"/>
              <w:spacing w:line="320" w:lineRule="exact"/>
              <w:rPr>
                <w:sz w:val="22"/>
              </w:rPr>
            </w:pPr>
            <w:r>
              <w:rPr>
                <w:sz w:val="22"/>
              </w:rPr>
            </w:r>
            <w:r/>
          </w:p>
        </w:tc>
        <w:tc>
          <w:tcPr>
            <w:tcW w:w="2551"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2093" w:type="dxa"/>
            <w:vAlign w:val="center"/>
            <w:textDirection w:val="lrTb"/>
            <w:noWrap w:val="false"/>
          </w:tcPr>
          <w:p>
            <w:pPr>
              <w:pStyle w:val="692"/>
              <w:jc w:val="center"/>
              <w:spacing w:line="320" w:lineRule="exact"/>
              <w:rPr>
                <w:sz w:val="22"/>
              </w:rPr>
            </w:pPr>
            <w:r>
              <w:rPr>
                <w:sz w:val="22"/>
              </w:rPr>
            </w:r>
            <w:r/>
          </w:p>
        </w:tc>
        <w:tc>
          <w:tcPr>
            <w:tcW w:w="2551"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2093" w:type="dxa"/>
            <w:vAlign w:val="center"/>
            <w:textDirection w:val="lrTb"/>
            <w:noWrap w:val="false"/>
          </w:tcPr>
          <w:p>
            <w:pPr>
              <w:pStyle w:val="692"/>
              <w:jc w:val="center"/>
              <w:spacing w:line="320" w:lineRule="exact"/>
              <w:rPr>
                <w:sz w:val="22"/>
              </w:rPr>
            </w:pPr>
            <w:r>
              <w:rPr>
                <w:sz w:val="22"/>
              </w:rPr>
            </w:r>
            <w:r/>
          </w:p>
        </w:tc>
        <w:tc>
          <w:tcPr>
            <w:tcW w:w="2551"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2093" w:type="dxa"/>
            <w:vAlign w:val="center"/>
            <w:textDirection w:val="lrTb"/>
            <w:noWrap w:val="false"/>
          </w:tcPr>
          <w:p>
            <w:pPr>
              <w:pStyle w:val="692"/>
              <w:jc w:val="center"/>
              <w:spacing w:line="320" w:lineRule="exact"/>
              <w:rPr>
                <w:sz w:val="22"/>
              </w:rPr>
            </w:pPr>
            <w:r>
              <w:rPr>
                <w:sz w:val="22"/>
              </w:rPr>
            </w:r>
            <w:r/>
          </w:p>
        </w:tc>
        <w:tc>
          <w:tcPr>
            <w:tcW w:w="2551"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2093" w:type="dxa"/>
            <w:vAlign w:val="center"/>
            <w:textDirection w:val="lrTb"/>
            <w:noWrap w:val="false"/>
          </w:tcPr>
          <w:p>
            <w:pPr>
              <w:pStyle w:val="692"/>
              <w:jc w:val="center"/>
              <w:spacing w:line="320" w:lineRule="exact"/>
              <w:rPr>
                <w:sz w:val="22"/>
              </w:rPr>
            </w:pPr>
            <w:r>
              <w:rPr>
                <w:sz w:val="22"/>
              </w:rPr>
            </w:r>
            <w:r/>
          </w:p>
        </w:tc>
        <w:tc>
          <w:tcPr>
            <w:tcW w:w="2551"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bl>
    <w:p>
      <w:pPr>
        <w:jc w:val="left"/>
        <w:spacing w:line="440" w:lineRule="exact"/>
        <w:rPr>
          <w:rFonts w:asciiTheme="minorEastAsia" w:hAnsiTheme="minorEastAsia" w:eastAsiaTheme="minorEastAsia" w:cstheme="minorEastAsia"/>
          <w:b/>
          <w:bCs/>
          <w:sz w:val="22"/>
          <w:lang w:val="zh-CN"/>
        </w:rPr>
      </w:pPr>
      <w:r>
        <w:rPr>
          <w:rFonts w:hint="eastAsia" w:asciiTheme="minorEastAsia" w:hAnsiTheme="minorEastAsia" w:eastAsiaTheme="minorEastAsia" w:cstheme="minorEastAsia"/>
          <w:b/>
          <w:bCs/>
          <w:sz w:val="22"/>
          <w:lang w:val="zh-CN"/>
        </w:rPr>
        <w:t xml:space="preserve">注：投标人需按招标文件第四章评标办法前附表第</w:t>
      </w:r>
      <w:r>
        <w:rPr>
          <w:rFonts w:asciiTheme="minorEastAsia" w:hAnsiTheme="minorEastAsia" w:eastAsiaTheme="minorEastAsia" w:cstheme="minorEastAsia"/>
          <w:b/>
          <w:bCs/>
          <w:sz w:val="22"/>
          <w:lang w:val="zh-CN"/>
        </w:rPr>
        <w:t xml:space="preserve">2.3.2</w:t>
      </w:r>
      <w:r>
        <w:rPr>
          <w:rFonts w:hint="eastAsia" w:asciiTheme="minorEastAsia" w:hAnsiTheme="minorEastAsia" w:eastAsiaTheme="minorEastAsia" w:cstheme="minorEastAsia"/>
          <w:b/>
          <w:bCs/>
          <w:sz w:val="22"/>
          <w:lang w:val="zh-CN"/>
        </w:rPr>
        <w:t xml:space="preserve">（3）项要求提供相关证明材料。</w:t>
      </w:r>
      <w:r/>
    </w:p>
    <w:p>
      <w:pPr>
        <w:ind w:firstLine="442"/>
        <w:jc w:val="left"/>
        <w:spacing w:line="440" w:lineRule="exact"/>
        <w:rPr>
          <w:rFonts w:asciiTheme="minorEastAsia" w:hAnsiTheme="minorEastAsia" w:eastAsiaTheme="minorEastAsia" w:cstheme="minorEastAsia"/>
          <w:b/>
          <w:bCs/>
          <w:sz w:val="22"/>
        </w:rPr>
      </w:pPr>
      <w:r>
        <w:rPr>
          <w:rFonts w:asciiTheme="minorEastAsia" w:hAnsiTheme="minorEastAsia" w:eastAsiaTheme="minorEastAsia" w:cstheme="minorEastAsia"/>
          <w:b/>
          <w:bCs/>
          <w:sz w:val="22"/>
        </w:rPr>
      </w:r>
      <w:r/>
    </w:p>
    <w:p>
      <w:pPr>
        <w:ind w:left="420"/>
        <w:jc w:val="right"/>
        <w:spacing w:line="480" w:lineRule="auto"/>
        <w:rPr>
          <w:rFonts w:ascii="宋体" w:hAnsi="宋体" w:cs="宋体"/>
          <w:sz w:val="24"/>
          <w:szCs w:val="24"/>
        </w:rPr>
      </w:pPr>
      <w:r>
        <w:rPr>
          <w:rFonts w:ascii="宋体" w:hAnsi="宋体" w:cs="宋体"/>
          <w:sz w:val="24"/>
          <w:szCs w:val="24"/>
        </w:rPr>
      </w:r>
      <w:r/>
    </w:p>
    <w:p>
      <w:pPr>
        <w:ind w:left="420"/>
        <w:jc w:val="right"/>
        <w:spacing w:line="480" w:lineRule="auto"/>
        <w:rPr>
          <w:rFonts w:ascii="宋体" w:hAnsi="宋体" w:cs="宋体"/>
          <w:sz w:val="24"/>
          <w:szCs w:val="24"/>
        </w:rPr>
      </w:pPr>
      <w:r>
        <w:rPr>
          <w:rFonts w:ascii="宋体" w:hAnsi="宋体" w:cs="宋体"/>
          <w:sz w:val="24"/>
          <w:szCs w:val="24"/>
        </w:rPr>
      </w:r>
      <w:r/>
    </w:p>
    <w:p>
      <w:pPr>
        <w:ind w:left="420"/>
        <w:jc w:val="right"/>
        <w:spacing w:line="480" w:lineRule="auto"/>
        <w:rPr>
          <w:rFonts w:ascii="宋体" w:hAnsi="宋体" w:cs="宋体"/>
          <w:sz w:val="24"/>
          <w:szCs w:val="24"/>
        </w:rPr>
      </w:pPr>
      <w:r>
        <w:rPr>
          <w:rFonts w:ascii="宋体" w:hAnsi="宋体" w:cs="宋体"/>
          <w:sz w:val="24"/>
          <w:szCs w:val="24"/>
        </w:rPr>
      </w:r>
      <w:r/>
    </w:p>
    <w:p>
      <w:pPr>
        <w:ind w:left="420"/>
        <w:jc w:val="right"/>
        <w:spacing w:line="480" w:lineRule="auto"/>
        <w:rPr>
          <w:rFonts w:ascii="宋体" w:hAnsi="宋体" w:cs="宋体"/>
          <w:sz w:val="24"/>
          <w:szCs w:val="24"/>
        </w:rPr>
      </w:pPr>
      <w:r>
        <w:rPr>
          <w:rFonts w:ascii="宋体" w:hAnsi="宋体" w:cs="宋体"/>
          <w:sz w:val="24"/>
          <w:szCs w:val="24"/>
        </w:rPr>
      </w:r>
      <w:r/>
    </w:p>
    <w:p>
      <w:pPr>
        <w:ind w:left="420"/>
        <w:jc w:val="right"/>
        <w:spacing w:line="480" w:lineRule="auto"/>
        <w:rPr>
          <w:rFonts w:ascii="宋体" w:hAnsi="宋体" w:cs="宋体"/>
          <w:sz w:val="24"/>
          <w:szCs w:val="24"/>
        </w:rPr>
      </w:pPr>
      <w:r>
        <w:rPr>
          <w:rFonts w:ascii="宋体" w:hAnsi="宋体" w:cs="宋体"/>
          <w:sz w:val="24"/>
          <w:szCs w:val="24"/>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黑体" w:hAnsi="黑体" w:eastAsia="黑体" w:cs="Segoe UI"/>
          <w:sz w:val="36"/>
          <w:szCs w:val="36"/>
        </w:rPr>
      </w:pPr>
      <w:r>
        <w:rPr>
          <w:rFonts w:ascii="黑体" w:hAnsi="黑体" w:eastAsia="黑体" w:cs="Segoe UI"/>
          <w:sz w:val="36"/>
          <w:szCs w:val="36"/>
        </w:rPr>
      </w:r>
      <w:r/>
    </w:p>
    <w:p>
      <w:pPr>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学术水平一览表</w:t>
      </w:r>
      <w:r/>
    </w:p>
    <w:tbl>
      <w:tblPr>
        <w:tblStyle w:val="68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685"/>
        <w:gridCol w:w="2835"/>
        <w:gridCol w:w="1843"/>
      </w:tblGrid>
      <w:tr>
        <w:trPr>
          <w:trHeight w:val="700"/>
        </w:trPr>
        <w:tc>
          <w:tcPr>
            <w:tcW w:w="959" w:type="dxa"/>
            <w:vAlign w:val="center"/>
            <w:textDirection w:val="lrTb"/>
            <w:noWrap w:val="false"/>
          </w:tcPr>
          <w:p>
            <w:pPr>
              <w:pStyle w:val="692"/>
              <w:jc w:val="center"/>
              <w:spacing w:line="320" w:lineRule="exact"/>
              <w:rPr>
                <w:sz w:val="22"/>
              </w:rPr>
            </w:pPr>
            <w:r>
              <w:rPr>
                <w:rFonts w:hint="eastAsia"/>
                <w:sz w:val="22"/>
              </w:rPr>
              <w:t xml:space="preserve">序号</w:t>
            </w:r>
            <w:r/>
          </w:p>
        </w:tc>
        <w:tc>
          <w:tcPr>
            <w:tcW w:w="3685" w:type="dxa"/>
            <w:vAlign w:val="center"/>
            <w:textDirection w:val="lrTb"/>
            <w:noWrap w:val="false"/>
          </w:tcPr>
          <w:p>
            <w:pPr>
              <w:pStyle w:val="692"/>
              <w:jc w:val="center"/>
              <w:spacing w:line="320" w:lineRule="exact"/>
              <w:rPr>
                <w:sz w:val="22"/>
              </w:rPr>
            </w:pPr>
            <w:r>
              <w:rPr>
                <w:rFonts w:hint="eastAsia"/>
                <w:sz w:val="22"/>
              </w:rPr>
              <w:t xml:space="preserve">论文题目</w:t>
            </w:r>
            <w:r/>
          </w:p>
        </w:tc>
        <w:tc>
          <w:tcPr>
            <w:tcW w:w="2835" w:type="dxa"/>
            <w:vAlign w:val="center"/>
            <w:textDirection w:val="lrTb"/>
            <w:noWrap w:val="false"/>
          </w:tcPr>
          <w:p>
            <w:pPr>
              <w:pStyle w:val="692"/>
              <w:jc w:val="center"/>
              <w:spacing w:line="320" w:lineRule="exact"/>
              <w:rPr>
                <w:sz w:val="22"/>
              </w:rPr>
            </w:pPr>
            <w:r>
              <w:rPr>
                <w:sz w:val="22"/>
              </w:rPr>
              <w:t xml:space="preserve">发表媒介</w:t>
            </w:r>
            <w:r/>
          </w:p>
        </w:tc>
        <w:tc>
          <w:tcPr>
            <w:tcW w:w="1843" w:type="dxa"/>
            <w:vAlign w:val="center"/>
            <w:textDirection w:val="lrTb"/>
            <w:noWrap w:val="false"/>
          </w:tcPr>
          <w:p>
            <w:pPr>
              <w:pStyle w:val="692"/>
              <w:jc w:val="center"/>
              <w:spacing w:line="320" w:lineRule="exact"/>
              <w:rPr>
                <w:sz w:val="22"/>
              </w:rPr>
            </w:pPr>
            <w:r>
              <w:rPr>
                <w:sz w:val="22"/>
              </w:rPr>
              <w:t xml:space="preserve">发表时间</w:t>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1</w:t>
            </w:r>
            <w:r/>
          </w:p>
        </w:tc>
        <w:tc>
          <w:tcPr>
            <w:tcW w:w="3685"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2</w:t>
            </w:r>
            <w:r/>
          </w:p>
        </w:tc>
        <w:tc>
          <w:tcPr>
            <w:tcW w:w="3685"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3</w:t>
            </w:r>
            <w:r/>
          </w:p>
        </w:tc>
        <w:tc>
          <w:tcPr>
            <w:tcW w:w="3685"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cs="宋体"/>
                <w:sz w:val="22"/>
                <w:szCs w:val="21"/>
              </w:rPr>
              <w:t xml:space="preserve">……</w:t>
            </w:r>
            <w:r/>
          </w:p>
        </w:tc>
        <w:tc>
          <w:tcPr>
            <w:tcW w:w="3685" w:type="dxa"/>
            <w:vAlign w:val="center"/>
            <w:textDirection w:val="lrTb"/>
            <w:noWrap w:val="false"/>
          </w:tcPr>
          <w:p>
            <w:pPr>
              <w:pStyle w:val="692"/>
              <w:jc w:val="center"/>
              <w:spacing w:line="320" w:lineRule="exact"/>
              <w:rPr>
                <w:sz w:val="22"/>
              </w:rPr>
            </w:pPr>
            <w:r>
              <w:rPr>
                <w:sz w:val="22"/>
              </w:rPr>
            </w:r>
            <w:r/>
          </w:p>
        </w:tc>
        <w:tc>
          <w:tcPr>
            <w:tcW w:w="2835" w:type="dxa"/>
            <w:vAlign w:val="center"/>
            <w:textDirection w:val="lrTb"/>
            <w:noWrap w:val="false"/>
          </w:tcPr>
          <w:p>
            <w:pPr>
              <w:pStyle w:val="692"/>
              <w:jc w:val="center"/>
              <w:spacing w:line="320" w:lineRule="exact"/>
              <w:rPr>
                <w:sz w:val="22"/>
              </w:rPr>
            </w:pPr>
            <w:r>
              <w:rPr>
                <w:sz w:val="22"/>
              </w:rPr>
            </w:r>
            <w:r/>
          </w:p>
        </w:tc>
        <w:tc>
          <w:tcPr>
            <w:tcW w:w="1843" w:type="dxa"/>
            <w:vAlign w:val="center"/>
            <w:textDirection w:val="lrTb"/>
            <w:noWrap w:val="false"/>
          </w:tcPr>
          <w:p>
            <w:pPr>
              <w:pStyle w:val="692"/>
              <w:jc w:val="center"/>
              <w:spacing w:line="320" w:lineRule="exact"/>
              <w:rPr>
                <w:sz w:val="22"/>
              </w:rPr>
            </w:pPr>
            <w:r>
              <w:rPr>
                <w:sz w:val="22"/>
              </w:rPr>
            </w:r>
            <w:r/>
          </w:p>
        </w:tc>
      </w:tr>
    </w:tbl>
    <w:p>
      <w:pPr>
        <w:jc w:val="center"/>
        <w:spacing w:line="360" w:lineRule="auto"/>
        <w:rPr>
          <w:rFonts w:asciiTheme="minorEastAsia" w:hAnsiTheme="minorEastAsia" w:eastAsiaTheme="minorEastAsia" w:cstheme="minorEastAsia"/>
          <w:b/>
          <w:bCs/>
          <w:sz w:val="22"/>
          <w:lang w:val="zh-CN"/>
        </w:rPr>
      </w:pPr>
      <w:r>
        <w:rPr>
          <w:rFonts w:hint="eastAsia" w:asciiTheme="minorEastAsia" w:hAnsiTheme="minorEastAsia" w:eastAsiaTheme="minorEastAsia" w:cstheme="minorEastAsia"/>
          <w:b/>
          <w:bCs/>
          <w:sz w:val="22"/>
          <w:lang w:val="zh-CN"/>
        </w:rPr>
        <w:t xml:space="preserve">注：投标人需按招标文件第四章评标办法前附表第</w:t>
      </w:r>
      <w:r>
        <w:rPr>
          <w:rFonts w:asciiTheme="minorEastAsia" w:hAnsiTheme="minorEastAsia" w:eastAsiaTheme="minorEastAsia" w:cstheme="minorEastAsia"/>
          <w:b/>
          <w:bCs/>
          <w:sz w:val="22"/>
          <w:lang w:val="zh-CN"/>
        </w:rPr>
        <w:t xml:space="preserve">2.3.2</w:t>
      </w:r>
      <w:r>
        <w:rPr>
          <w:rFonts w:hint="eastAsia" w:asciiTheme="minorEastAsia" w:hAnsiTheme="minorEastAsia" w:eastAsiaTheme="minorEastAsia" w:cstheme="minorEastAsia"/>
          <w:b/>
          <w:bCs/>
          <w:sz w:val="22"/>
          <w:lang w:val="zh-CN"/>
        </w:rPr>
        <w:t xml:space="preserve">（4）项要求提供相关证明材料。</w:t>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Cs/>
          <w:sz w:val="22"/>
          <w:lang w:val="zh-CN"/>
        </w:rPr>
      </w:pPr>
      <w:r>
        <w:rPr>
          <w:rFonts w:asciiTheme="minorEastAsia" w:hAnsiTheme="minorEastAsia" w:eastAsiaTheme="minorEastAsia" w:cstheme="minorEastAsia"/>
          <w:bCs/>
          <w:sz w:val="22"/>
          <w:lang w:val="zh-CN"/>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Theme="minorEastAsia" w:hAnsiTheme="minorEastAsia" w:eastAsiaTheme="minorEastAsia" w:cstheme="minorEastAsia"/>
          <w:b/>
          <w:bCs/>
          <w:sz w:val="22"/>
          <w:lang w:val="zh-CN"/>
        </w:rPr>
      </w:pPr>
      <w:r>
        <w:rPr>
          <w:rFonts w:asciiTheme="minorEastAsia" w:hAnsiTheme="minorEastAsia" w:eastAsiaTheme="minorEastAsia" w:cstheme="minorEastAsia"/>
          <w:b/>
          <w:bCs/>
          <w:sz w:val="22"/>
          <w:lang w:val="zh-CN"/>
        </w:rPr>
      </w:r>
      <w:r/>
    </w:p>
    <w:p>
      <w:pPr>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类似业绩一览表</w:t>
      </w:r>
      <w:r/>
    </w:p>
    <w:tbl>
      <w:tblPr>
        <w:tblStyle w:val="68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69"/>
        <w:gridCol w:w="2309"/>
        <w:gridCol w:w="2084"/>
        <w:gridCol w:w="1176"/>
      </w:tblGrid>
      <w:tr>
        <w:trPr>
          <w:trHeight w:val="700"/>
        </w:trPr>
        <w:tc>
          <w:tcPr>
            <w:tcW w:w="959" w:type="dxa"/>
            <w:vAlign w:val="center"/>
            <w:textDirection w:val="lrTb"/>
            <w:noWrap w:val="false"/>
          </w:tcPr>
          <w:p>
            <w:pPr>
              <w:pStyle w:val="692"/>
              <w:jc w:val="center"/>
              <w:spacing w:line="320" w:lineRule="exact"/>
              <w:rPr>
                <w:sz w:val="22"/>
              </w:rPr>
            </w:pPr>
            <w:r>
              <w:rPr>
                <w:rFonts w:hint="eastAsia"/>
                <w:sz w:val="22"/>
              </w:rPr>
              <w:t xml:space="preserve">序号</w:t>
            </w:r>
            <w:r/>
          </w:p>
        </w:tc>
        <w:tc>
          <w:tcPr>
            <w:tcW w:w="2369" w:type="dxa"/>
            <w:vAlign w:val="center"/>
            <w:textDirection w:val="lrTb"/>
            <w:noWrap w:val="false"/>
          </w:tcPr>
          <w:p>
            <w:pPr>
              <w:pStyle w:val="692"/>
              <w:jc w:val="center"/>
              <w:spacing w:line="320" w:lineRule="exact"/>
              <w:rPr>
                <w:sz w:val="22"/>
              </w:rPr>
            </w:pPr>
            <w:r>
              <w:rPr>
                <w:rFonts w:hint="eastAsia"/>
                <w:sz w:val="22"/>
              </w:rPr>
              <w:t xml:space="preserve">医疗机构</w:t>
            </w:r>
            <w:r>
              <w:rPr>
                <w:rFonts w:hint="eastAsia"/>
                <w:sz w:val="22"/>
              </w:rPr>
              <w:t xml:space="preserve">名称</w:t>
            </w:r>
            <w:r/>
          </w:p>
        </w:tc>
        <w:tc>
          <w:tcPr>
            <w:tcW w:w="2309" w:type="dxa"/>
            <w:vAlign w:val="center"/>
            <w:textDirection w:val="lrTb"/>
            <w:noWrap w:val="false"/>
          </w:tcPr>
          <w:p>
            <w:pPr>
              <w:pStyle w:val="692"/>
              <w:jc w:val="center"/>
              <w:spacing w:line="320" w:lineRule="exact"/>
              <w:rPr>
                <w:sz w:val="22"/>
              </w:rPr>
            </w:pPr>
            <w:r>
              <w:rPr>
                <w:sz w:val="22"/>
              </w:rPr>
              <w:t xml:space="preserve">项目名称</w:t>
            </w:r>
            <w:r>
              <w:rPr>
                <w:sz w:val="22"/>
              </w:rPr>
            </w:r>
            <w:r/>
          </w:p>
        </w:tc>
        <w:tc>
          <w:tcPr>
            <w:tcW w:w="2084" w:type="dxa"/>
            <w:vAlign w:val="center"/>
            <w:textDirection w:val="lrTb"/>
            <w:noWrap w:val="false"/>
          </w:tcPr>
          <w:p>
            <w:pPr>
              <w:pStyle w:val="692"/>
              <w:jc w:val="center"/>
              <w:spacing w:line="320" w:lineRule="exact"/>
              <w:rPr>
                <w:sz w:val="22"/>
              </w:rPr>
            </w:pPr>
            <w:r>
              <w:rPr>
                <w:sz w:val="22"/>
              </w:rPr>
              <w:t xml:space="preserve">合同价（</w:t>
            </w:r>
            <w:r>
              <w:rPr>
                <w:sz w:val="22"/>
              </w:rPr>
              <w:t xml:space="preserve">万元</w:t>
            </w:r>
            <w:r>
              <w:rPr>
                <w:sz w:val="22"/>
              </w:rPr>
              <w:t xml:space="preserve">）</w:t>
            </w:r>
            <w:r>
              <w:rPr>
                <w:sz w:val="22"/>
              </w:rPr>
            </w:r>
            <w:r/>
          </w:p>
        </w:tc>
        <w:tc>
          <w:tcPr>
            <w:tcW w:w="1176" w:type="dxa"/>
            <w:vAlign w:val="center"/>
            <w:textDirection w:val="lrTb"/>
            <w:noWrap w:val="false"/>
          </w:tcPr>
          <w:p>
            <w:pPr>
              <w:pStyle w:val="692"/>
              <w:jc w:val="center"/>
              <w:spacing w:line="320" w:lineRule="exact"/>
              <w:rPr>
                <w:sz w:val="22"/>
              </w:rPr>
            </w:pPr>
            <w:r>
              <w:rPr>
                <w:sz w:val="22"/>
              </w:rPr>
              <w:t xml:space="preserve">合同订立时间</w:t>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1</w:t>
            </w:r>
            <w:r/>
          </w:p>
        </w:tc>
        <w:tc>
          <w:tcPr>
            <w:tcW w:w="2369" w:type="dxa"/>
            <w:vAlign w:val="center"/>
            <w:textDirection w:val="lrTb"/>
            <w:noWrap w:val="false"/>
          </w:tcPr>
          <w:p>
            <w:pPr>
              <w:pStyle w:val="692"/>
              <w:jc w:val="center"/>
              <w:spacing w:line="320" w:lineRule="exact"/>
              <w:rPr>
                <w:sz w:val="22"/>
              </w:rPr>
            </w:pPr>
            <w:r>
              <w:rPr>
                <w:sz w:val="22"/>
              </w:rPr>
            </w:r>
            <w:r/>
          </w:p>
        </w:tc>
        <w:tc>
          <w:tcPr>
            <w:tcW w:w="2309" w:type="dxa"/>
            <w:vAlign w:val="center"/>
            <w:textDirection w:val="lrTb"/>
            <w:noWrap w:val="false"/>
          </w:tcPr>
          <w:p>
            <w:pPr>
              <w:pStyle w:val="692"/>
              <w:jc w:val="center"/>
              <w:spacing w:line="320" w:lineRule="exact"/>
              <w:rPr>
                <w:sz w:val="22"/>
              </w:rPr>
            </w:pPr>
            <w:r>
              <w:rPr>
                <w:sz w:val="22"/>
              </w:rPr>
            </w:r>
            <w:r/>
          </w:p>
        </w:tc>
        <w:tc>
          <w:tcPr>
            <w:tcW w:w="2084" w:type="dxa"/>
            <w:vAlign w:val="center"/>
            <w:textDirection w:val="lrTb"/>
            <w:noWrap w:val="false"/>
          </w:tcPr>
          <w:p>
            <w:pPr>
              <w:pStyle w:val="692"/>
              <w:jc w:val="center"/>
              <w:spacing w:line="320" w:lineRule="exact"/>
              <w:rPr>
                <w:sz w:val="22"/>
              </w:rPr>
            </w:pPr>
            <w:r>
              <w:rPr>
                <w:sz w:val="22"/>
              </w:rPr>
            </w:r>
            <w:r/>
          </w:p>
        </w:tc>
        <w:tc>
          <w:tcPr>
            <w:tcW w:w="117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2</w:t>
            </w:r>
            <w:r/>
          </w:p>
        </w:tc>
        <w:tc>
          <w:tcPr>
            <w:tcW w:w="2369" w:type="dxa"/>
            <w:vAlign w:val="center"/>
            <w:textDirection w:val="lrTb"/>
            <w:noWrap w:val="false"/>
          </w:tcPr>
          <w:p>
            <w:pPr>
              <w:pStyle w:val="692"/>
              <w:jc w:val="center"/>
              <w:spacing w:line="320" w:lineRule="exact"/>
              <w:rPr>
                <w:sz w:val="22"/>
              </w:rPr>
            </w:pPr>
            <w:r>
              <w:rPr>
                <w:sz w:val="22"/>
              </w:rPr>
            </w:r>
            <w:r/>
          </w:p>
        </w:tc>
        <w:tc>
          <w:tcPr>
            <w:tcW w:w="2309" w:type="dxa"/>
            <w:vAlign w:val="center"/>
            <w:textDirection w:val="lrTb"/>
            <w:noWrap w:val="false"/>
          </w:tcPr>
          <w:p>
            <w:pPr>
              <w:pStyle w:val="692"/>
              <w:jc w:val="center"/>
              <w:spacing w:line="320" w:lineRule="exact"/>
              <w:rPr>
                <w:sz w:val="22"/>
              </w:rPr>
            </w:pPr>
            <w:r>
              <w:rPr>
                <w:sz w:val="22"/>
              </w:rPr>
            </w:r>
            <w:r/>
          </w:p>
        </w:tc>
        <w:tc>
          <w:tcPr>
            <w:tcW w:w="2084" w:type="dxa"/>
            <w:vAlign w:val="center"/>
            <w:textDirection w:val="lrTb"/>
            <w:noWrap w:val="false"/>
          </w:tcPr>
          <w:p>
            <w:pPr>
              <w:pStyle w:val="692"/>
              <w:jc w:val="center"/>
              <w:spacing w:line="320" w:lineRule="exact"/>
              <w:rPr>
                <w:sz w:val="22"/>
              </w:rPr>
            </w:pPr>
            <w:r>
              <w:rPr>
                <w:sz w:val="22"/>
              </w:rPr>
            </w:r>
            <w:r/>
          </w:p>
        </w:tc>
        <w:tc>
          <w:tcPr>
            <w:tcW w:w="117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3</w:t>
            </w:r>
            <w:r/>
          </w:p>
        </w:tc>
        <w:tc>
          <w:tcPr>
            <w:tcW w:w="2369" w:type="dxa"/>
            <w:vAlign w:val="center"/>
            <w:textDirection w:val="lrTb"/>
            <w:noWrap w:val="false"/>
          </w:tcPr>
          <w:p>
            <w:pPr>
              <w:pStyle w:val="692"/>
              <w:jc w:val="center"/>
              <w:spacing w:line="320" w:lineRule="exact"/>
              <w:rPr>
                <w:sz w:val="22"/>
              </w:rPr>
            </w:pPr>
            <w:r>
              <w:rPr>
                <w:sz w:val="22"/>
              </w:rPr>
            </w:r>
            <w:r/>
          </w:p>
        </w:tc>
        <w:tc>
          <w:tcPr>
            <w:tcW w:w="2309" w:type="dxa"/>
            <w:vAlign w:val="center"/>
            <w:textDirection w:val="lrTb"/>
            <w:noWrap w:val="false"/>
          </w:tcPr>
          <w:p>
            <w:pPr>
              <w:pStyle w:val="692"/>
              <w:jc w:val="center"/>
              <w:spacing w:line="320" w:lineRule="exact"/>
              <w:rPr>
                <w:sz w:val="22"/>
              </w:rPr>
            </w:pPr>
            <w:r>
              <w:rPr>
                <w:sz w:val="22"/>
              </w:rPr>
            </w:r>
            <w:r/>
          </w:p>
        </w:tc>
        <w:tc>
          <w:tcPr>
            <w:tcW w:w="2084" w:type="dxa"/>
            <w:vAlign w:val="center"/>
            <w:textDirection w:val="lrTb"/>
            <w:noWrap w:val="false"/>
          </w:tcPr>
          <w:p>
            <w:pPr>
              <w:pStyle w:val="692"/>
              <w:jc w:val="center"/>
              <w:spacing w:line="320" w:lineRule="exact"/>
              <w:rPr>
                <w:sz w:val="22"/>
              </w:rPr>
            </w:pPr>
            <w:r>
              <w:rPr>
                <w:sz w:val="22"/>
              </w:rPr>
            </w:r>
            <w:r/>
          </w:p>
        </w:tc>
        <w:tc>
          <w:tcPr>
            <w:tcW w:w="117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cs="宋体"/>
                <w:sz w:val="22"/>
                <w:szCs w:val="21"/>
              </w:rPr>
              <w:t xml:space="preserve">……</w:t>
            </w:r>
            <w:r/>
          </w:p>
        </w:tc>
        <w:tc>
          <w:tcPr>
            <w:tcW w:w="2369" w:type="dxa"/>
            <w:vAlign w:val="center"/>
            <w:textDirection w:val="lrTb"/>
            <w:noWrap w:val="false"/>
          </w:tcPr>
          <w:p>
            <w:pPr>
              <w:pStyle w:val="692"/>
              <w:jc w:val="center"/>
              <w:spacing w:line="320" w:lineRule="exact"/>
              <w:rPr>
                <w:sz w:val="22"/>
              </w:rPr>
            </w:pPr>
            <w:r>
              <w:rPr>
                <w:sz w:val="22"/>
              </w:rPr>
            </w:r>
            <w:r/>
          </w:p>
        </w:tc>
        <w:tc>
          <w:tcPr>
            <w:tcW w:w="2309" w:type="dxa"/>
            <w:vAlign w:val="center"/>
            <w:textDirection w:val="lrTb"/>
            <w:noWrap w:val="false"/>
          </w:tcPr>
          <w:p>
            <w:pPr>
              <w:pStyle w:val="692"/>
              <w:jc w:val="center"/>
              <w:spacing w:line="320" w:lineRule="exact"/>
              <w:rPr>
                <w:sz w:val="22"/>
              </w:rPr>
            </w:pPr>
            <w:r>
              <w:rPr>
                <w:sz w:val="22"/>
              </w:rPr>
            </w:r>
            <w:r/>
          </w:p>
        </w:tc>
        <w:tc>
          <w:tcPr>
            <w:tcW w:w="2084" w:type="dxa"/>
            <w:vAlign w:val="center"/>
            <w:textDirection w:val="lrTb"/>
            <w:noWrap w:val="false"/>
          </w:tcPr>
          <w:p>
            <w:pPr>
              <w:pStyle w:val="692"/>
              <w:jc w:val="center"/>
              <w:spacing w:line="320" w:lineRule="exact"/>
              <w:rPr>
                <w:sz w:val="22"/>
              </w:rPr>
            </w:pPr>
            <w:r>
              <w:rPr>
                <w:sz w:val="22"/>
              </w:rPr>
            </w:r>
            <w:r/>
          </w:p>
        </w:tc>
        <w:tc>
          <w:tcPr>
            <w:tcW w:w="1176" w:type="dxa"/>
            <w:vAlign w:val="center"/>
            <w:textDirection w:val="lrTb"/>
            <w:noWrap w:val="false"/>
          </w:tcPr>
          <w:p>
            <w:pPr>
              <w:pStyle w:val="692"/>
              <w:jc w:val="center"/>
              <w:spacing w:line="320" w:lineRule="exact"/>
              <w:rPr>
                <w:sz w:val="22"/>
              </w:rPr>
            </w:pPr>
            <w:r>
              <w:rPr>
                <w:sz w:val="22"/>
              </w:rPr>
            </w:r>
            <w:r/>
          </w:p>
        </w:tc>
      </w:tr>
    </w:tbl>
    <w:p>
      <w:pPr>
        <w:jc w:val="center"/>
        <w:spacing w:line="360" w:lineRule="auto"/>
        <w:rPr>
          <w:rFonts w:ascii="黑体" w:hAnsi="黑体" w:eastAsia="黑体" w:cs="Segoe UI"/>
          <w:sz w:val="36"/>
          <w:szCs w:val="21"/>
        </w:rPr>
      </w:pPr>
      <w:r>
        <w:rPr>
          <w:rFonts w:hint="eastAsia" w:asciiTheme="minorEastAsia" w:hAnsiTheme="minorEastAsia" w:eastAsiaTheme="minorEastAsia" w:cstheme="minorEastAsia"/>
          <w:b/>
          <w:bCs/>
          <w:sz w:val="22"/>
          <w:lang w:val="zh-CN"/>
        </w:rPr>
        <w:t xml:space="preserve">注：投标人需按招标文件第四章评标办法前附表第</w:t>
      </w:r>
      <w:r>
        <w:rPr>
          <w:rFonts w:asciiTheme="minorEastAsia" w:hAnsiTheme="minorEastAsia" w:eastAsiaTheme="minorEastAsia" w:cstheme="minorEastAsia"/>
          <w:b/>
          <w:bCs/>
          <w:sz w:val="22"/>
          <w:lang w:val="zh-CN"/>
        </w:rPr>
        <w:t xml:space="preserve">2.3.2</w:t>
      </w:r>
      <w:r>
        <w:rPr>
          <w:rFonts w:hint="eastAsia" w:asciiTheme="minorEastAsia" w:hAnsiTheme="minorEastAsia" w:eastAsiaTheme="minorEastAsia" w:cstheme="minorEastAsia"/>
          <w:b/>
          <w:bCs/>
          <w:sz w:val="22"/>
          <w:lang w:val="zh-CN"/>
        </w:rPr>
        <w:t xml:space="preserve">（5）项要求提供相关证明材料。</w:t>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Segoe UI" w:hAnsi="Segoe UI" w:cs="Segoe UI"/>
          <w:szCs w:val="21"/>
        </w:rPr>
      </w:pPr>
      <w:r>
        <w:rPr>
          <w:rFonts w:hint="eastAsia" w:ascii="黑体" w:hAnsi="黑体" w:eastAsia="黑体" w:cs="Segoe UI"/>
          <w:sz w:val="36"/>
          <w:szCs w:val="21"/>
        </w:rPr>
        <w:t xml:space="preserve">管理体系一览表</w:t>
      </w:r>
      <w:r/>
    </w:p>
    <w:tbl>
      <w:tblPr>
        <w:tblStyle w:val="68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2693"/>
        <w:gridCol w:w="2126"/>
      </w:tblGrid>
      <w:tr>
        <w:trPr>
          <w:trHeight w:val="700"/>
        </w:trPr>
        <w:tc>
          <w:tcPr>
            <w:tcW w:w="959" w:type="dxa"/>
            <w:vAlign w:val="center"/>
            <w:textDirection w:val="lrTb"/>
            <w:noWrap w:val="false"/>
          </w:tcPr>
          <w:p>
            <w:pPr>
              <w:pStyle w:val="692"/>
              <w:jc w:val="center"/>
              <w:spacing w:line="320" w:lineRule="exact"/>
              <w:rPr>
                <w:sz w:val="22"/>
              </w:rPr>
            </w:pPr>
            <w:r>
              <w:rPr>
                <w:rFonts w:hint="eastAsia"/>
                <w:sz w:val="22"/>
              </w:rPr>
              <w:t xml:space="preserve">序号</w:t>
            </w:r>
            <w:r/>
          </w:p>
        </w:tc>
        <w:tc>
          <w:tcPr>
            <w:tcW w:w="3544" w:type="dxa"/>
            <w:vAlign w:val="center"/>
            <w:textDirection w:val="lrTb"/>
            <w:noWrap w:val="false"/>
          </w:tcPr>
          <w:p>
            <w:pPr>
              <w:pStyle w:val="692"/>
              <w:jc w:val="center"/>
              <w:spacing w:line="320" w:lineRule="exact"/>
              <w:rPr>
                <w:sz w:val="22"/>
              </w:rPr>
            </w:pPr>
            <w:r>
              <w:rPr>
                <w:rFonts w:hint="eastAsia"/>
                <w:sz w:val="22"/>
              </w:rPr>
              <w:t xml:space="preserve">证书名称</w:t>
            </w:r>
            <w:r/>
          </w:p>
        </w:tc>
        <w:tc>
          <w:tcPr>
            <w:tcW w:w="2693" w:type="dxa"/>
            <w:vAlign w:val="center"/>
            <w:textDirection w:val="lrTb"/>
            <w:noWrap w:val="false"/>
          </w:tcPr>
          <w:p>
            <w:pPr>
              <w:pStyle w:val="692"/>
              <w:jc w:val="center"/>
              <w:spacing w:line="320" w:lineRule="exact"/>
              <w:rPr>
                <w:sz w:val="22"/>
              </w:rPr>
            </w:pPr>
            <w:r>
              <w:rPr>
                <w:sz w:val="22"/>
              </w:rPr>
              <w:t xml:space="preserve">颁发机构</w:t>
            </w:r>
            <w:r/>
          </w:p>
        </w:tc>
        <w:tc>
          <w:tcPr>
            <w:tcW w:w="2126" w:type="dxa"/>
            <w:vAlign w:val="center"/>
            <w:textDirection w:val="lrTb"/>
            <w:noWrap w:val="false"/>
          </w:tcPr>
          <w:p>
            <w:pPr>
              <w:pStyle w:val="692"/>
              <w:jc w:val="center"/>
              <w:spacing w:line="320" w:lineRule="exact"/>
              <w:rPr>
                <w:sz w:val="22"/>
              </w:rPr>
            </w:pPr>
            <w:r>
              <w:rPr>
                <w:sz w:val="22"/>
              </w:rPr>
              <w:t xml:space="preserve">有效期</w:t>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1</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2</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sz w:val="22"/>
              </w:rPr>
              <w:t xml:space="preserve">3</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r>
        <w:trPr>
          <w:trHeight w:val="502"/>
        </w:trPr>
        <w:tc>
          <w:tcPr>
            <w:tcW w:w="959" w:type="dxa"/>
            <w:vAlign w:val="center"/>
            <w:textDirection w:val="lrTb"/>
            <w:noWrap w:val="false"/>
          </w:tcPr>
          <w:p>
            <w:pPr>
              <w:pStyle w:val="692"/>
              <w:jc w:val="center"/>
              <w:spacing w:line="320" w:lineRule="exact"/>
              <w:rPr>
                <w:sz w:val="22"/>
              </w:rPr>
            </w:pPr>
            <w:r>
              <w:rPr>
                <w:rFonts w:hint="eastAsia" w:cs="宋体"/>
                <w:sz w:val="22"/>
              </w:rPr>
              <w:t xml:space="preserve">……</w:t>
            </w:r>
            <w:r/>
          </w:p>
        </w:tc>
        <w:tc>
          <w:tcPr>
            <w:tcW w:w="3544" w:type="dxa"/>
            <w:vAlign w:val="center"/>
            <w:textDirection w:val="lrTb"/>
            <w:noWrap w:val="false"/>
          </w:tcPr>
          <w:p>
            <w:pPr>
              <w:pStyle w:val="692"/>
              <w:jc w:val="center"/>
              <w:spacing w:line="320" w:lineRule="exact"/>
              <w:rPr>
                <w:sz w:val="22"/>
              </w:rPr>
            </w:pPr>
            <w:r>
              <w:rPr>
                <w:sz w:val="22"/>
              </w:rPr>
            </w:r>
            <w:r/>
          </w:p>
        </w:tc>
        <w:tc>
          <w:tcPr>
            <w:tcW w:w="2693" w:type="dxa"/>
            <w:vAlign w:val="center"/>
            <w:textDirection w:val="lrTb"/>
            <w:noWrap w:val="false"/>
          </w:tcPr>
          <w:p>
            <w:pPr>
              <w:pStyle w:val="692"/>
              <w:jc w:val="center"/>
              <w:spacing w:line="320" w:lineRule="exact"/>
              <w:rPr>
                <w:sz w:val="22"/>
              </w:rPr>
            </w:pPr>
            <w:r>
              <w:rPr>
                <w:sz w:val="22"/>
              </w:rPr>
            </w:r>
            <w:r/>
          </w:p>
        </w:tc>
        <w:tc>
          <w:tcPr>
            <w:tcW w:w="2126" w:type="dxa"/>
            <w:vAlign w:val="center"/>
            <w:textDirection w:val="lrTb"/>
            <w:noWrap w:val="false"/>
          </w:tcPr>
          <w:p>
            <w:pPr>
              <w:pStyle w:val="692"/>
              <w:jc w:val="center"/>
              <w:spacing w:line="320" w:lineRule="exact"/>
              <w:rPr>
                <w:sz w:val="22"/>
              </w:rPr>
            </w:pPr>
            <w:r>
              <w:rPr>
                <w:sz w:val="22"/>
              </w:rPr>
            </w:r>
            <w:r/>
          </w:p>
        </w:tc>
      </w:tr>
    </w:tbl>
    <w:p>
      <w:pPr>
        <w:jc w:val="center"/>
        <w:spacing w:line="360" w:lineRule="auto"/>
        <w:rPr>
          <w:rFonts w:ascii="黑体" w:hAnsi="黑体" w:eastAsia="黑体" w:cs="Segoe UI"/>
          <w:sz w:val="36"/>
          <w:szCs w:val="21"/>
        </w:rPr>
      </w:pPr>
      <w:r>
        <w:rPr>
          <w:rFonts w:hint="eastAsia" w:asciiTheme="minorEastAsia" w:hAnsiTheme="minorEastAsia" w:eastAsiaTheme="minorEastAsia" w:cstheme="minorEastAsia"/>
          <w:b/>
          <w:bCs/>
          <w:sz w:val="22"/>
          <w:lang w:val="zh-CN"/>
        </w:rPr>
        <w:t xml:space="preserve">注：投标人需按招标文件第四章评标办法前附表第</w:t>
      </w:r>
      <w:r>
        <w:rPr>
          <w:rFonts w:asciiTheme="minorEastAsia" w:hAnsiTheme="minorEastAsia" w:eastAsiaTheme="minorEastAsia" w:cstheme="minorEastAsia"/>
          <w:b/>
          <w:bCs/>
          <w:sz w:val="22"/>
          <w:lang w:val="zh-CN"/>
        </w:rPr>
        <w:t xml:space="preserve">2.3.2</w:t>
      </w:r>
      <w:r>
        <w:rPr>
          <w:rFonts w:hint="eastAsia" w:asciiTheme="minorEastAsia" w:hAnsiTheme="minorEastAsia" w:eastAsiaTheme="minorEastAsia" w:cstheme="minorEastAsia"/>
          <w:b/>
          <w:bCs/>
          <w:sz w:val="22"/>
          <w:lang w:val="zh-CN"/>
        </w:rPr>
        <w:t xml:space="preserve">（6）项要求提供相关证明材料。</w:t>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黑体" w:hAnsi="黑体" w:eastAsia="黑体" w:cs="Segoe UI"/>
          <w:sz w:val="36"/>
          <w:szCs w:val="21"/>
        </w:rPr>
      </w:pPr>
      <w:r>
        <w:rPr>
          <w:rFonts w:ascii="黑体" w:hAnsi="黑体" w:eastAsia="黑体" w:cs="Segoe UI"/>
          <w:sz w:val="36"/>
          <w:szCs w:val="21"/>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left="420"/>
        <w:jc w:val="right"/>
        <w:spacing w:line="48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Segoe UI" w:hAnsi="Segoe UI" w:cs="Segoe UI"/>
        </w:rPr>
      </w:pPr>
      <w:r>
        <w:rPr>
          <w:rFonts w:ascii="Segoe UI" w:hAnsi="Segoe UI" w:cs="Segoe UI"/>
        </w:rPr>
      </w:r>
      <w:r/>
    </w:p>
    <w:p>
      <w:pPr>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企业报价折扣证明</w:t>
      </w:r>
      <w:r/>
    </w:p>
    <w:p>
      <w:pPr>
        <w:pStyle w:val="692"/>
        <w:jc w:val="center"/>
        <w:rPr>
          <w:rFonts w:cs="宋体"/>
          <w:b/>
          <w:bCs/>
          <w:sz w:val="28"/>
          <w:szCs w:val="28"/>
        </w:rPr>
      </w:pPr>
      <w:r>
        <w:rPr>
          <w:rFonts w:hint="eastAsia" w:cs="宋体"/>
          <w:b/>
          <w:bCs/>
          <w:sz w:val="28"/>
          <w:szCs w:val="28"/>
        </w:rPr>
        <w:t xml:space="preserve">（一）中小企业声明函</w:t>
      </w:r>
      <w:r/>
    </w:p>
    <w:p>
      <w:pPr>
        <w:ind w:firstLine="442"/>
        <w:spacing w:line="560" w:lineRule="exact"/>
        <w:rPr>
          <w:rFonts w:cs="宋体"/>
          <w:sz w:val="24"/>
          <w:szCs w:val="24"/>
        </w:rPr>
      </w:pPr>
      <w:r>
        <w:rPr>
          <w:rFonts w:hint="eastAsia" w:cs="宋体"/>
          <w:sz w:val="24"/>
          <w:szCs w:val="24"/>
        </w:rPr>
        <w:t xml:space="preserve">本公司郑重声明，根据《政府采购促进中小企业发展管理办法》（财库﹝2020﹞46 号）的规定，本公司参加</w:t>
      </w:r>
      <w:r>
        <w:rPr>
          <w:rFonts w:hint="eastAsia" w:cs="宋体"/>
          <w:sz w:val="24"/>
          <w:szCs w:val="24"/>
          <w:u w:val="single"/>
        </w:rPr>
        <w:t xml:space="preserve"> （采购人名称）</w:t>
      </w:r>
      <w:r>
        <w:rPr>
          <w:rFonts w:hint="eastAsia" w:cs="宋体"/>
          <w:sz w:val="24"/>
          <w:szCs w:val="24"/>
        </w:rPr>
        <w:t xml:space="preserve">的</w:t>
      </w:r>
      <w:r>
        <w:rPr>
          <w:rFonts w:hint="eastAsia" w:cs="宋体"/>
          <w:sz w:val="24"/>
          <w:szCs w:val="24"/>
          <w:u w:val="single"/>
        </w:rPr>
        <w:t xml:space="preserve">   （项目名称）    </w:t>
      </w:r>
      <w:r>
        <w:rPr>
          <w:rFonts w:hint="eastAsia" w:cs="宋体"/>
          <w:sz w:val="24"/>
          <w:szCs w:val="24"/>
        </w:rPr>
        <w:t xml:space="preserve">采购活动，服务全部由符合政策要求的中小企业承接。相关企业的具体情况如下：</w:t>
      </w:r>
      <w:r/>
    </w:p>
    <w:p>
      <w:pPr>
        <w:ind w:firstLine="442"/>
        <w:spacing w:line="560" w:lineRule="exact"/>
        <w:rPr>
          <w:rFonts w:ascii="宋体" w:hAnsi="宋体" w:cs="宋体"/>
          <w:sz w:val="24"/>
          <w:szCs w:val="24"/>
        </w:rPr>
      </w:pPr>
      <w:r>
        <w:rPr>
          <w:rFonts w:hint="eastAsia" w:ascii="宋体" w:hAnsi="宋体" w:cs="宋体"/>
          <w:sz w:val="24"/>
          <w:szCs w:val="24"/>
          <w:u w:val="single"/>
        </w:rPr>
        <w:t xml:space="preserve">  医院检验病理外送服务  </w:t>
      </w:r>
      <w:r>
        <w:rPr>
          <w:rFonts w:hint="eastAsia" w:ascii="宋体" w:hAnsi="宋体" w:cs="宋体"/>
          <w:sz w:val="24"/>
          <w:szCs w:val="24"/>
        </w:rPr>
        <w:t xml:space="preserve">，属于</w:t>
      </w:r>
      <w:r>
        <w:rPr>
          <w:rFonts w:hint="eastAsia" w:ascii="宋体" w:hAnsi="宋体" w:cs="宋体"/>
          <w:sz w:val="24"/>
          <w:szCs w:val="24"/>
          <w:u w:val="single"/>
        </w:rPr>
        <w:t xml:space="preserve">  其他未列明行业   </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w:t>
      </w:r>
      <w:r>
        <w:rPr>
          <w:rFonts w:ascii="宋体" w:hAnsi="宋体" w:cs="宋体"/>
          <w:color w:val="000000"/>
          <w:sz w:val="24"/>
        </w:rPr>
        <w:t xml:space="preserve">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b/>
          <w:color w:val="000000"/>
          <w:sz w:val="24"/>
          <w:u w:val="single"/>
        </w:rPr>
        <w:t xml:space="preserve"> □中型企业□小型企业□微型企业</w:t>
      </w:r>
      <w:r>
        <w:rPr>
          <w:rFonts w:ascii="宋体" w:hAnsi="宋体" w:cs="宋体"/>
          <w:color w:val="000000"/>
          <w:sz w:val="24"/>
          <w:u w:val="single"/>
        </w:rPr>
        <w:t xml:space="preserve"> </w:t>
      </w:r>
      <w:r>
        <w:rPr>
          <w:rFonts w:ascii="宋体" w:hAnsi="宋体" w:cs="宋体"/>
          <w:color w:val="000000"/>
          <w:sz w:val="24"/>
        </w:rPr>
        <w:t xml:space="preserve">。</w:t>
      </w:r>
      <w:r/>
    </w:p>
    <w:p>
      <w:pPr>
        <w:ind w:firstLine="442"/>
        <w:spacing w:line="5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2"/>
        </w:rPr>
        <w:t xml:space="preserve">。</w:t>
      </w:r>
      <w:r/>
    </w:p>
    <w:p>
      <w:pPr>
        <w:ind w:firstLine="422"/>
        <w:spacing w:line="480" w:lineRule="exact"/>
        <w:rPr>
          <w:rFonts w:ascii="宋体" w:hAnsi="宋体" w:cs="宋体"/>
          <w:b/>
          <w:bCs/>
        </w:rPr>
      </w:pPr>
      <w:r>
        <w:rPr>
          <w:rFonts w:ascii="宋体" w:hAnsi="宋体" w:cs="宋体"/>
          <w:b/>
          <w:bCs/>
        </w:rPr>
      </w:r>
      <w:r/>
    </w:p>
    <w:p>
      <w:pPr>
        <w:spacing w:line="480" w:lineRule="exact"/>
        <w:rPr>
          <w:rFonts w:ascii="宋体" w:hAnsi="宋体" w:cs="宋体"/>
          <w:b/>
          <w:bCs/>
        </w:rPr>
      </w:pPr>
      <w:r>
        <w:rPr>
          <w:rFonts w:hint="eastAsia" w:ascii="宋体" w:hAnsi="宋体" w:cs="宋体"/>
          <w:b/>
          <w:bCs/>
        </w:rPr>
        <w:t xml:space="preserve">备注：</w:t>
      </w:r>
      <w:r/>
    </w:p>
    <w:p>
      <w:pPr>
        <w:ind w:firstLine="422"/>
        <w:spacing w:line="480" w:lineRule="exact"/>
        <w:rPr>
          <w:rFonts w:ascii="宋体" w:hAnsi="宋体" w:cs="宋体"/>
          <w:b/>
          <w:bCs/>
        </w:rPr>
      </w:pPr>
      <w:r>
        <w:rPr>
          <w:rFonts w:hint="eastAsia" w:ascii="宋体" w:hAnsi="宋体" w:cs="宋体"/>
          <w:b/>
          <w:bCs/>
        </w:rPr>
        <w:t xml:space="preserve">1.从业人员、营业收入、资产总额填报上一年度数据，无上一年度数据的新成立企业可不填报。</w:t>
      </w:r>
      <w:r/>
    </w:p>
    <w:p>
      <w:pPr>
        <w:ind w:firstLine="422"/>
        <w:spacing w:line="480" w:lineRule="exact"/>
        <w:rPr>
          <w:rFonts w:ascii="宋体" w:hAnsi="宋体" w:cs="宋体"/>
          <w:b/>
          <w:bCs/>
        </w:rPr>
      </w:pPr>
      <w:r>
        <w:rPr>
          <w:rFonts w:hint="eastAsia" w:ascii="宋体" w:hAnsi="宋体" w:cs="宋体"/>
          <w:b/>
          <w:bCs/>
        </w:rPr>
        <w:t xml:space="preserve">2.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在“□”内打“✓”勾选制造商的企业规模类型；未打“✓”勾选制造商的企业规模类型的，不予认可。</w:t>
      </w:r>
      <w:r/>
    </w:p>
    <w:p>
      <w:pPr>
        <w:ind w:firstLine="422"/>
        <w:spacing w:line="480" w:lineRule="exact"/>
        <w:rPr>
          <w:rFonts w:ascii="宋体" w:hAnsi="宋体" w:cs="宋体"/>
        </w:rPr>
      </w:pPr>
      <w:r>
        <w:rPr>
          <w:rFonts w:hint="eastAsia" w:ascii="宋体" w:hAnsi="宋体" w:cs="宋体"/>
          <w:b/>
          <w:bCs/>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cs="宋体"/>
        </w:rPr>
        <w:t xml:space="preserve"> </w:t>
      </w:r>
      <w:r/>
    </w:p>
    <w:p>
      <w:pPr>
        <w:ind w:firstLine="4180"/>
        <w:spacing w:line="560" w:lineRule="exact"/>
        <w:rPr>
          <w:rFonts w:ascii="宋体" w:hAnsi="宋体" w:cs="宋体"/>
          <w:bCs/>
          <w:sz w:val="22"/>
        </w:rPr>
      </w:pPr>
      <w:r>
        <w:rPr>
          <w:rFonts w:ascii="宋体" w:hAnsi="宋体" w:cs="宋体"/>
          <w:bCs/>
          <w:sz w:val="22"/>
        </w:rPr>
      </w:r>
      <w:r/>
    </w:p>
    <w:p>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jc w:val="right"/>
        <w:rPr>
          <w:rFonts w:ascii="宋体" w:hAnsi="宋体"/>
          <w:sz w:val="24"/>
          <w:szCs w:val="24"/>
          <w:u w:val="single"/>
        </w:rPr>
      </w:pPr>
      <w:r>
        <w:rPr>
          <w:rFonts w:ascii="宋体" w:hAnsi="宋体"/>
          <w:sz w:val="24"/>
          <w:szCs w:val="24"/>
          <w:u w:val="single"/>
        </w:rPr>
      </w:r>
      <w:r/>
    </w:p>
    <w:p>
      <w:pPr>
        <w:jc w:val="right"/>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p>
    <w:p>
      <w:pPr>
        <w:jc w:val="center"/>
        <w:spacing w:line="588" w:lineRule="exact"/>
        <w:rPr>
          <w:rFonts w:ascii="仿宋_GB2312" w:eastAsia="仿宋_GB2312"/>
          <w:b/>
          <w:spacing w:val="6"/>
          <w:sz w:val="30"/>
          <w:szCs w:val="30"/>
        </w:rPr>
      </w:pPr>
      <w:r>
        <w:rPr>
          <w:rFonts w:hint="eastAsia" w:ascii="仿宋_GB2312" w:eastAsia="仿宋_GB2312"/>
          <w:b/>
          <w:spacing w:val="6"/>
          <w:sz w:val="24"/>
          <w:szCs w:val="24"/>
        </w:rPr>
        <w:t xml:space="preserve">【非残疾人福利性单位无需提供】</w:t>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hint="eastAsia" w:ascii="华文中宋" w:hAnsi="华文中宋" w:eastAsia="华文中宋" w:cs="华文中宋"/>
          <w:sz w:val="24"/>
          <w:szCs w:val="24"/>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华文中宋" w:hAnsi="华文中宋" w:eastAsia="华文中宋" w:cs="华文中宋"/>
          <w:sz w:val="24"/>
          <w:szCs w:val="24"/>
          <w:u w:val="single"/>
          <w:shd w:val="clear" w:color="auto" w:fill="ffffff"/>
        </w:rPr>
        <w:t xml:space="preserve">                </w:t>
      </w:r>
      <w:r>
        <w:rPr>
          <w:rFonts w:hint="eastAsia" w:ascii="华文中宋" w:hAnsi="华文中宋" w:eastAsia="华文中宋" w:cs="华文中宋"/>
          <w:sz w:val="24"/>
          <w:szCs w:val="24"/>
          <w:shd w:val="clear" w:color="auto" w:fill="ffffff"/>
        </w:rPr>
        <w:t xml:space="preserve">单位的</w:t>
      </w:r>
      <w:r>
        <w:rPr>
          <w:rFonts w:hint="eastAsia" w:ascii="华文中宋" w:hAnsi="华文中宋" w:eastAsia="华文中宋" w:cs="华文中宋"/>
          <w:sz w:val="24"/>
          <w:szCs w:val="24"/>
          <w:u w:val="single"/>
          <w:shd w:val="clear" w:color="auto" w:fill="ffffff"/>
        </w:rPr>
        <w:t xml:space="preserve">         </w:t>
      </w:r>
      <w:r>
        <w:rPr>
          <w:rFonts w:hint="eastAsia" w:ascii="华文中宋" w:hAnsi="华文中宋" w:eastAsia="华文中宋" w:cs="华文中宋"/>
          <w:sz w:val="24"/>
          <w:szCs w:val="24"/>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华文中宋" w:hAnsi="华文中宋" w:eastAsia="华文中宋" w:cs="华文中宋"/>
          <w:sz w:val="24"/>
          <w:szCs w:val="24"/>
          <w:shd w:val="clear" w:color="auto" w:fill="ffffff"/>
        </w:rPr>
      </w:pPr>
      <w:r>
        <w:rPr>
          <w:rFonts w:hint="eastAsia" w:ascii="华文中宋" w:hAnsi="华文中宋" w:eastAsia="华文中宋" w:cs="华文中宋"/>
          <w:sz w:val="24"/>
          <w:szCs w:val="24"/>
          <w:shd w:val="clear" w:color="auto" w:fill="ffffff"/>
        </w:rPr>
        <w:t xml:space="preserve">本单位对上述声明的真实性负责。如有虚假，将依法承担相应责任。</w:t>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80"/>
        <w:jc w:val="right"/>
        <w:spacing w:line="360" w:lineRule="auto"/>
        <w:rPr>
          <w:rFonts w:ascii="华文中宋" w:hAnsi="华文中宋" w:eastAsia="华文中宋" w:cs="华文中宋"/>
          <w:sz w:val="24"/>
          <w:szCs w:val="24"/>
        </w:rPr>
      </w:pPr>
      <w:r>
        <w:rPr>
          <w:rFonts w:hint="eastAsia" w:ascii="华文中宋" w:hAnsi="华文中宋" w:eastAsia="华文中宋" w:cs="华文中宋"/>
          <w:sz w:val="24"/>
          <w:szCs w:val="24"/>
        </w:rPr>
        <w:t xml:space="preserve">投标人公章：            （电子签章）</w:t>
      </w:r>
      <w:r/>
    </w:p>
    <w:p>
      <w:pPr>
        <w:ind w:firstLine="480"/>
        <w:jc w:val="right"/>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ind w:firstLine="480"/>
        <w:jc w:val="right"/>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ind w:firstLine="480"/>
        <w:jc w:val="right"/>
        <w:spacing w:line="360" w:lineRule="auto"/>
        <w:rPr>
          <w:rFonts w:ascii="宋体" w:hAnsi="宋体"/>
          <w:sz w:val="22"/>
        </w:rPr>
      </w:pPr>
      <w:r>
        <w:rPr>
          <w:rFonts w:hint="eastAsia" w:ascii="华文中宋" w:hAnsi="华文中宋" w:eastAsia="华文中宋" w:cs="华文中宋"/>
          <w:sz w:val="24"/>
          <w:szCs w:val="24"/>
          <w:u w:val="single"/>
        </w:rPr>
        <w:t xml:space="preserve">         </w:t>
      </w:r>
      <w:r>
        <w:rPr>
          <w:rFonts w:hint="eastAsia" w:ascii="华文中宋" w:hAnsi="华文中宋" w:eastAsia="华文中宋" w:cs="华文中宋"/>
          <w:sz w:val="24"/>
          <w:szCs w:val="24"/>
        </w:rPr>
        <w:t xml:space="preserve">年</w:t>
      </w:r>
      <w:r>
        <w:rPr>
          <w:rFonts w:hint="eastAsia" w:ascii="华文中宋" w:hAnsi="华文中宋" w:eastAsia="华文中宋" w:cs="华文中宋"/>
          <w:sz w:val="24"/>
          <w:szCs w:val="24"/>
          <w:u w:val="single"/>
        </w:rPr>
        <w:t xml:space="preserve">   </w:t>
      </w:r>
      <w:r>
        <w:rPr>
          <w:rFonts w:hint="eastAsia" w:ascii="华文中宋" w:hAnsi="华文中宋" w:eastAsia="华文中宋" w:cs="华文中宋"/>
          <w:sz w:val="24"/>
          <w:szCs w:val="24"/>
        </w:rPr>
        <w:t xml:space="preserve">月</w:t>
      </w:r>
      <w:r>
        <w:rPr>
          <w:rFonts w:hint="eastAsia" w:ascii="华文中宋" w:hAnsi="华文中宋" w:eastAsia="华文中宋" w:cs="华文中宋"/>
          <w:sz w:val="24"/>
          <w:szCs w:val="24"/>
          <w:u w:val="single"/>
        </w:rPr>
        <w:t xml:space="preserve">   </w:t>
      </w:r>
      <w:r>
        <w:rPr>
          <w:rFonts w:hint="eastAsia" w:ascii="华文中宋" w:hAnsi="华文中宋" w:eastAsia="华文中宋" w:cs="华文中宋"/>
          <w:sz w:val="24"/>
          <w:szCs w:val="24"/>
        </w:rPr>
        <w:t xml:space="preserve">日</w:t>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（三）监狱企业证明</w:t>
      </w:r>
      <w:r/>
    </w:p>
    <w:p>
      <w:pPr>
        <w:pStyle w:val="938"/>
        <w:jc w:val="center"/>
        <w:spacing w:line="360" w:lineRule="auto"/>
        <w:rPr>
          <w:rFonts w:ascii="宋体" w:hAnsi="宋体" w:cs="宋体"/>
          <w:sz w:val="22"/>
          <w:szCs w:val="22"/>
        </w:rPr>
      </w:pPr>
      <w:r>
        <w:rPr>
          <w:rFonts w:hint="eastAsia" w:ascii="仿宋_GB2312" w:eastAsia="仿宋_GB2312"/>
          <w:b/>
          <w:spacing w:val="6"/>
          <w:sz w:val="24"/>
        </w:rPr>
        <w:t xml:space="preserve">【非监狱企业无需提供】</w:t>
      </w:r>
      <w:r/>
    </w:p>
    <w:p>
      <w:pPr>
        <w:pStyle w:val="938"/>
        <w:ind w:firstLine="482"/>
        <w:spacing w:line="480" w:lineRule="auto"/>
        <w:rPr>
          <w:rFonts w:ascii="宋体" w:hAnsi="宋体" w:cs="宋体"/>
          <w:b/>
          <w:bCs/>
          <w:sz w:val="24"/>
          <w:szCs w:val="21"/>
        </w:rPr>
      </w:pPr>
      <w:r>
        <w:rPr>
          <w:rFonts w:ascii="宋体" w:hAnsi="宋体" w:cs="宋体"/>
          <w:b/>
          <w:bCs/>
          <w:sz w:val="24"/>
          <w:szCs w:val="21"/>
        </w:rPr>
      </w:r>
      <w:r/>
    </w:p>
    <w:p>
      <w:pPr>
        <w:pStyle w:val="938"/>
        <w:ind w:firstLine="482"/>
        <w:spacing w:line="480" w:lineRule="auto"/>
        <w:rPr>
          <w:rFonts w:ascii="宋体" w:hAnsi="宋体" w:cs="宋体"/>
          <w:sz w:val="22"/>
          <w:szCs w:val="22"/>
        </w:rPr>
      </w:pPr>
      <w:r>
        <w:rPr>
          <w:rFonts w:hint="eastAsia" w:ascii="宋体" w:hAnsi="宋体" w:cs="宋体"/>
          <w:b/>
          <w:bCs/>
          <w:sz w:val="24"/>
          <w:szCs w:val="21"/>
        </w:rPr>
        <w:t xml:space="preserve">提供由省级以上监狱管理局、戒毒管理局（含新疆生产建设兵团）出具的投标人属于监狱企业的证明文件原件扫描件。</w:t>
      </w:r>
      <w:r/>
    </w:p>
    <w:p>
      <w:pPr>
        <w:pStyle w:val="938"/>
        <w:ind w:firstLine="440"/>
        <w:rPr>
          <w:rFonts w:ascii="宋体" w:hAnsi="宋体" w:cs="宋体"/>
          <w:sz w:val="22"/>
          <w:szCs w:val="22"/>
        </w:rPr>
      </w:pPr>
      <w:r>
        <w:rPr>
          <w:rFonts w:ascii="宋体" w:hAnsi="宋体" w:cs="宋体"/>
          <w:sz w:val="22"/>
          <w:szCs w:val="22"/>
        </w:rPr>
      </w:r>
      <w:r/>
    </w:p>
    <w:p>
      <w:pPr>
        <w:pStyle w:val="938"/>
        <w:ind w:firstLine="440"/>
        <w:rPr>
          <w:rFonts w:ascii="宋体" w:hAnsi="宋体" w:cs="宋体"/>
          <w:sz w:val="22"/>
          <w:szCs w:val="22"/>
        </w:rPr>
      </w:pPr>
      <w:r>
        <w:rPr>
          <w:rFonts w:ascii="宋体" w:hAnsi="宋体" w:cs="宋体"/>
          <w:sz w:val="22"/>
          <w:szCs w:val="22"/>
        </w:rPr>
      </w:r>
      <w:r/>
    </w:p>
    <w:p>
      <w:pPr>
        <w:pStyle w:val="938"/>
        <w:ind w:firstLine="440"/>
        <w:rPr>
          <w:rFonts w:ascii="宋体" w:hAnsi="宋体" w:cs="宋体"/>
          <w:sz w:val="22"/>
          <w:szCs w:val="22"/>
        </w:rPr>
      </w:pPr>
      <w:r>
        <w:rPr>
          <w:rFonts w:ascii="宋体" w:hAnsi="宋体" w:cs="宋体"/>
          <w:sz w:val="22"/>
          <w:szCs w:val="22"/>
        </w:rPr>
      </w:r>
      <w:r/>
    </w:p>
    <w:p>
      <w:pPr>
        <w:jc w:val="center"/>
        <w:spacing w:line="360" w:lineRule="auto"/>
        <w:rPr>
          <w:rFonts w:ascii="宋体" w:hAnsi="宋体" w:cs="宋体"/>
          <w:b/>
          <w:bCs/>
          <w:sz w:val="28"/>
          <w:szCs w:val="28"/>
        </w:rPr>
      </w:pPr>
      <w:r>
        <w:rPr>
          <w:rFonts w:ascii="宋体" w:hAnsi="宋体" w:cs="宋体"/>
          <w:b/>
          <w:bCs/>
          <w:sz w:val="28"/>
          <w:szCs w:val="28"/>
        </w:rPr>
      </w:r>
      <w:r/>
    </w:p>
    <w:p>
      <w:pPr>
        <w:spacing w:line="360" w:lineRule="auto"/>
        <w:rPr>
          <w:rFonts w:ascii="宋体" w:hAnsi="宋体"/>
          <w:sz w:val="24"/>
          <w:szCs w:val="24"/>
        </w:rPr>
      </w:pPr>
      <w:r>
        <w:rPr>
          <w:rFonts w:ascii="宋体" w:hAnsi="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center" w:pos="4405" w:leader="none"/>
        </w:tabs>
        <w:rPr>
          <w:rFonts w:ascii="宋体" w:hAnsi="宋体" w:cs="宋体"/>
          <w:sz w:val="22"/>
        </w:rPr>
      </w:pPr>
      <w:r>
        <w:rPr>
          <w:rFonts w:hint="eastAsia"/>
        </w:rPr>
        <w:tab/>
      </w:r>
      <w:r/>
    </w:p>
    <w:p>
      <w:pPr>
        <w:pStyle w:val="938"/>
        <w:jc w:val="center"/>
        <w:rPr>
          <w:rFonts w:ascii="黑体" w:hAnsi="黑体" w:eastAsia="黑体" w:cs="黑体"/>
          <w:b/>
          <w:bCs/>
          <w:sz w:val="28"/>
          <w:szCs w:val="22"/>
        </w:rPr>
      </w:pPr>
      <w:r>
        <w:rPr>
          <w:rFonts w:hint="eastAsia" w:ascii="黑体" w:hAnsi="黑体" w:eastAsia="黑体" w:cs="黑体"/>
          <w:b/>
          <w:bCs/>
          <w:color w:val="ff0000"/>
          <w:sz w:val="24"/>
          <w:szCs w:val="20"/>
        </w:rPr>
        <w:t xml:space="preserve">备注：以上内容，如含有排除或限制市场竞争的内容，请与我单位反映</w:t>
      </w:r>
      <w:r>
        <w:rPr>
          <w:rFonts w:hint="eastAsia" w:ascii="黑体" w:hAnsi="黑体" w:eastAsia="黑体" w:cs="黑体"/>
          <w:b/>
          <w:bCs/>
          <w:sz w:val="24"/>
          <w:szCs w:val="20"/>
        </w:rPr>
        <w:t xml:space="preserve">。</w:t>
      </w:r>
      <w:r/>
    </w:p>
    <w:sectPr>
      <w:footerReference w:type="default" r:id="rId9"/>
      <w:footnotePr/>
      <w:endnotePr/>
      <w:type w:val="nextPage"/>
      <w:pgSz w:w="11906" w:h="16838" w:orient="portrait"/>
      <w:pgMar w:top="1440" w:right="1463" w:bottom="1440" w:left="1633"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iconfont">
    <w:panose1 w:val="020B050302020202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w:fldChar w:fldCharType="begin"/>
    </w:r>
    <w:r>
      <w:instrText xml:space="preserve">PAGE \* MERGEFORMAT</w:instrText>
    </w:r>
    <w:r>
      <w:fldChar w:fldCharType="separate"/>
    </w:r>
    <w:r>
      <w:t xml:space="preserve">1</w:t>
    </w:r>
    <w:r>
      <w:fldChar w:fldCharType="end"/>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8">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9">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0">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1">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2">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3">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4">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5">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6">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7">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8">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9">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0">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1">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2">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3">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4">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5">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6">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7">
    <w:name w:val="TOC Heading"/>
    <w:uiPriority w:val="39"/>
    <w:unhideWhenUsed/>
  </w:style>
  <w:style w:type="paragraph" w:styleId="67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9">
    <w:name w:val="Heading 1"/>
    <w:basedOn w:val="678"/>
    <w:next w:val="678"/>
    <w:link w:val="796"/>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97"/>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9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99"/>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800"/>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801"/>
    <w:uiPriority w:val="9"/>
    <w:unhideWhenUsed/>
    <w:qFormat/>
    <w:pPr>
      <w:keepLines/>
      <w:keepNext/>
      <w:spacing w:before="320" w:after="200"/>
      <w:outlineLvl w:val="5"/>
    </w:pPr>
    <w:rPr>
      <w:rFonts w:ascii="Arial" w:hAnsi="Arial" w:eastAsia="Arial" w:cs="Arial"/>
      <w:b/>
      <w:bCs/>
      <w:sz w:val="22"/>
    </w:rPr>
  </w:style>
  <w:style w:type="paragraph" w:styleId="685">
    <w:name w:val="Heading 7"/>
    <w:basedOn w:val="678"/>
    <w:next w:val="678"/>
    <w:link w:val="802"/>
    <w:uiPriority w:val="9"/>
    <w:unhideWhenUsed/>
    <w:qFormat/>
    <w:pPr>
      <w:keepLines/>
      <w:keepNext/>
      <w:spacing w:before="320" w:after="200"/>
      <w:outlineLvl w:val="6"/>
    </w:pPr>
    <w:rPr>
      <w:rFonts w:ascii="Arial" w:hAnsi="Arial" w:eastAsia="Arial" w:cs="Arial"/>
      <w:b/>
      <w:bCs/>
      <w:i/>
      <w:iCs/>
      <w:sz w:val="22"/>
    </w:rPr>
  </w:style>
  <w:style w:type="paragraph" w:styleId="686">
    <w:name w:val="Heading 8"/>
    <w:basedOn w:val="678"/>
    <w:next w:val="678"/>
    <w:link w:val="803"/>
    <w:uiPriority w:val="9"/>
    <w:unhideWhenUsed/>
    <w:qFormat/>
    <w:pPr>
      <w:keepLines/>
      <w:keepNext/>
      <w:spacing w:before="320" w:after="200"/>
      <w:outlineLvl w:val="7"/>
    </w:pPr>
    <w:rPr>
      <w:rFonts w:ascii="Arial" w:hAnsi="Arial" w:eastAsia="Arial" w:cs="Arial"/>
      <w:i/>
      <w:iCs/>
      <w:sz w:val="22"/>
    </w:rPr>
  </w:style>
  <w:style w:type="paragraph" w:styleId="687">
    <w:name w:val="Heading 9"/>
    <w:basedOn w:val="678"/>
    <w:next w:val="678"/>
    <w:link w:val="804"/>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Body Text"/>
    <w:basedOn w:val="678"/>
    <w:uiPriority w:val="99"/>
    <w:unhideWhenUsed/>
    <w:qFormat/>
    <w:pPr>
      <w:ind w:left="117"/>
      <w:jc w:val="left"/>
      <w:spacing w:before="86" w:after="160" w:line="278" w:lineRule="auto"/>
    </w:pPr>
    <w:rPr>
      <w:rFonts w:ascii="宋体" w:hAnsi="宋体"/>
      <w:sz w:val="24"/>
    </w:rPr>
  </w:style>
  <w:style w:type="paragraph" w:styleId="693">
    <w:name w:val="toc 5"/>
    <w:basedOn w:val="678"/>
    <w:next w:val="678"/>
    <w:uiPriority w:val="39"/>
    <w:unhideWhenUsed/>
    <w:qFormat/>
    <w:pPr>
      <w:ind w:left="1134"/>
      <w:spacing w:after="57"/>
    </w:pPr>
  </w:style>
  <w:style w:type="paragraph" w:styleId="694">
    <w:name w:val="toc 3"/>
    <w:basedOn w:val="678"/>
    <w:next w:val="678"/>
    <w:uiPriority w:val="39"/>
    <w:unhideWhenUsed/>
    <w:qFormat/>
    <w:pPr>
      <w:ind w:left="567"/>
      <w:spacing w:after="57"/>
    </w:pPr>
  </w:style>
  <w:style w:type="paragraph" w:styleId="695">
    <w:name w:val="toc 8"/>
    <w:basedOn w:val="678"/>
    <w:next w:val="678"/>
    <w:uiPriority w:val="39"/>
    <w:unhideWhenUsed/>
    <w:qFormat/>
    <w:pPr>
      <w:ind w:left="1984"/>
      <w:spacing w:after="57"/>
    </w:pPr>
  </w:style>
  <w:style w:type="paragraph" w:styleId="696">
    <w:name w:val="endnote text"/>
    <w:basedOn w:val="678"/>
    <w:link w:val="762"/>
    <w:uiPriority w:val="99"/>
    <w:semiHidden/>
    <w:unhideWhenUsed/>
    <w:qFormat/>
    <w:rPr>
      <w:sz w:val="20"/>
    </w:rPr>
  </w:style>
  <w:style w:type="paragraph" w:styleId="697">
    <w:name w:val="Balloon Text"/>
    <w:basedOn w:val="678"/>
    <w:link w:val="1103"/>
    <w:uiPriority w:val="99"/>
    <w:semiHidden/>
    <w:unhideWhenUsed/>
    <w:qFormat/>
    <w:rPr>
      <w:sz w:val="18"/>
      <w:szCs w:val="18"/>
    </w:rPr>
  </w:style>
  <w:style w:type="paragraph" w:styleId="698">
    <w:name w:val="Footer"/>
    <w:basedOn w:val="678"/>
    <w:link w:val="815"/>
    <w:uiPriority w:val="99"/>
    <w:unhideWhenUsed/>
    <w:qFormat/>
    <w:pPr>
      <w:jc w:val="center"/>
      <w:tabs>
        <w:tab w:val="center" w:pos="7143" w:leader="none"/>
        <w:tab w:val="right" w:pos="14287" w:leader="none"/>
      </w:tabs>
    </w:pPr>
  </w:style>
  <w:style w:type="paragraph" w:styleId="699">
    <w:name w:val="Header"/>
    <w:basedOn w:val="678"/>
    <w:uiPriority w:val="99"/>
    <w:unhideWhenUsed/>
    <w:qFormat/>
    <w:pPr>
      <w:tabs>
        <w:tab w:val="center" w:pos="7143" w:leader="none"/>
        <w:tab w:val="right" w:pos="14287" w:leader="none"/>
      </w:tabs>
    </w:pPr>
  </w:style>
  <w:style w:type="paragraph" w:styleId="700">
    <w:name w:val="toc 1"/>
    <w:basedOn w:val="678"/>
    <w:next w:val="678"/>
    <w:uiPriority w:val="39"/>
    <w:unhideWhenUsed/>
    <w:qFormat/>
    <w:pPr>
      <w:spacing w:after="57"/>
    </w:pPr>
  </w:style>
  <w:style w:type="paragraph" w:styleId="701">
    <w:name w:val="toc 4"/>
    <w:basedOn w:val="678"/>
    <w:next w:val="678"/>
    <w:uiPriority w:val="39"/>
    <w:unhideWhenUsed/>
    <w:qFormat/>
    <w:pPr>
      <w:ind w:left="850"/>
      <w:spacing w:after="57"/>
    </w:pPr>
  </w:style>
  <w:style w:type="paragraph" w:styleId="702">
    <w:name w:val="Subtitle"/>
    <w:basedOn w:val="678"/>
    <w:next w:val="678"/>
    <w:link w:val="756"/>
    <w:uiPriority w:val="11"/>
    <w:qFormat/>
    <w:pPr>
      <w:spacing w:before="200" w:after="200"/>
    </w:pPr>
    <w:rPr>
      <w:sz w:val="24"/>
      <w:szCs w:val="24"/>
    </w:rPr>
  </w:style>
  <w:style w:type="paragraph" w:styleId="703">
    <w:name w:val="footnote text"/>
    <w:basedOn w:val="678"/>
    <w:link w:val="761"/>
    <w:uiPriority w:val="99"/>
    <w:semiHidden/>
    <w:unhideWhenUsed/>
    <w:qFormat/>
    <w:pPr>
      <w:spacing w:after="40"/>
    </w:pPr>
    <w:rPr>
      <w:sz w:val="18"/>
    </w:rPr>
  </w:style>
  <w:style w:type="paragraph" w:styleId="704">
    <w:name w:val="toc 6"/>
    <w:basedOn w:val="678"/>
    <w:next w:val="678"/>
    <w:uiPriority w:val="39"/>
    <w:unhideWhenUsed/>
    <w:qFormat/>
    <w:pPr>
      <w:ind w:left="1417"/>
      <w:spacing w:after="57"/>
    </w:pPr>
  </w:style>
  <w:style w:type="paragraph" w:styleId="705">
    <w:name w:val="table of figures"/>
    <w:basedOn w:val="678"/>
    <w:next w:val="678"/>
    <w:uiPriority w:val="99"/>
    <w:unhideWhenUsed/>
    <w:qFormat/>
  </w:style>
  <w:style w:type="paragraph" w:styleId="706">
    <w:name w:val="toc 2"/>
    <w:basedOn w:val="678"/>
    <w:next w:val="678"/>
    <w:uiPriority w:val="39"/>
    <w:unhideWhenUsed/>
    <w:qFormat/>
    <w:pPr>
      <w:ind w:left="283"/>
      <w:spacing w:after="57"/>
    </w:pPr>
  </w:style>
  <w:style w:type="paragraph" w:styleId="707">
    <w:name w:val="toc 9"/>
    <w:basedOn w:val="678"/>
    <w:next w:val="678"/>
    <w:uiPriority w:val="39"/>
    <w:unhideWhenUsed/>
    <w:qFormat/>
    <w:pPr>
      <w:ind w:left="2268"/>
      <w:spacing w:after="57"/>
    </w:pPr>
  </w:style>
  <w:style w:type="paragraph" w:styleId="708">
    <w:name w:val="Normal (Web)"/>
    <w:basedOn w:val="678"/>
    <w:uiPriority w:val="99"/>
    <w:qFormat/>
    <w:pPr>
      <w:jc w:val="left"/>
      <w:spacing w:before="100" w:beforeAutospacing="1" w:after="100" w:afterAutospacing="1"/>
      <w:widowControl/>
    </w:pPr>
    <w:rPr>
      <w:rFonts w:ascii="宋体" w:hAnsi="宋体" w:cs="宋体"/>
      <w:sz w:val="24"/>
      <w:szCs w:val="24"/>
    </w:rPr>
  </w:style>
  <w:style w:type="paragraph" w:styleId="709">
    <w:name w:val="Title"/>
    <w:basedOn w:val="678"/>
    <w:next w:val="678"/>
    <w:link w:val="755"/>
    <w:uiPriority w:val="10"/>
    <w:qFormat/>
    <w:pPr>
      <w:contextualSpacing/>
      <w:spacing w:before="300" w:after="200"/>
    </w:pPr>
    <w:rPr>
      <w:sz w:val="48"/>
      <w:szCs w:val="48"/>
    </w:rPr>
  </w:style>
  <w:style w:type="table" w:styleId="7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Emphasis"/>
    <w:uiPriority w:val="0"/>
    <w:qFormat/>
    <w:rPr>
      <w:i/>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footnote reference"/>
    <w:uiPriority w:val="99"/>
    <w:unhideWhenUsed/>
    <w:qFormat/>
    <w:rPr>
      <w:vertAlign w:val="superscript"/>
    </w:rPr>
  </w:style>
  <w:style w:type="table" w:styleId="715" w:customStyle="1">
    <w:name w:val="无格式表格 11"/>
    <w:basedOn w:val="689"/>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21"/>
    <w:basedOn w:val="689"/>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31"/>
    <w:basedOn w:val="6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无格式表格 41"/>
    <w:basedOn w:val="6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无格式表格 51"/>
    <w:basedOn w:val="6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网格表 1 浅色1"/>
    <w:basedOn w:val="689"/>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网格表 21"/>
    <w:basedOn w:val="689"/>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网格表 31"/>
    <w:basedOn w:val="689"/>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网格表 41"/>
    <w:basedOn w:val="689"/>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网格表 5 深色1"/>
    <w:basedOn w:val="689"/>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网格表 6 彩色1"/>
    <w:basedOn w:val="68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6" w:customStyle="1">
    <w:name w:val="网格表 7 彩色1"/>
    <w:basedOn w:val="68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7" w:customStyle="1">
    <w:name w:val="清单表 1 浅色1"/>
    <w:basedOn w:val="68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customStyle="1">
    <w:name w:val="清单表 21"/>
    <w:basedOn w:val="689"/>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9" w:customStyle="1">
    <w:name w:val="清单表 31"/>
    <w:basedOn w:val="689"/>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清单表 41"/>
    <w:basedOn w:val="689"/>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清单表 5 深色1"/>
    <w:basedOn w:val="689"/>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2" w:customStyle="1">
    <w:name w:val="清单表 6 彩色1"/>
    <w:basedOn w:val="689"/>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3" w:customStyle="1">
    <w:name w:val="清单表 7 彩色1"/>
    <w:basedOn w:val="68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首行缩进"/>
    <w:basedOn w:val="678"/>
    <w:uiPriority w:val="0"/>
    <w:qFormat/>
    <w:pPr>
      <w:ind w:firstLine="200"/>
    </w:pPr>
    <w:rPr>
      <w:szCs w:val="20"/>
      <w:lang w:val="zh-CN"/>
    </w:rPr>
  </w:style>
  <w:style w:type="character" w:styleId="736" w:customStyle="1">
    <w:name w:val="Heading 1 Char"/>
    <w:basedOn w:val="688"/>
    <w:uiPriority w:val="9"/>
    <w:qFormat/>
    <w:rPr>
      <w:rFonts w:ascii="Arial" w:hAnsi="Arial" w:eastAsia="Arial" w:cs="Arial"/>
      <w:sz w:val="40"/>
      <w:szCs w:val="40"/>
    </w:rPr>
  </w:style>
  <w:style w:type="character" w:styleId="737" w:customStyle="1">
    <w:name w:val="Heading 2 Char"/>
    <w:basedOn w:val="688"/>
    <w:uiPriority w:val="9"/>
    <w:qFormat/>
    <w:rPr>
      <w:rFonts w:ascii="Arial" w:hAnsi="Arial" w:eastAsia="Arial" w:cs="Arial"/>
      <w:sz w:val="34"/>
    </w:rPr>
  </w:style>
  <w:style w:type="character" w:styleId="738" w:customStyle="1">
    <w:name w:val="Heading 3 Char"/>
    <w:basedOn w:val="688"/>
    <w:uiPriority w:val="9"/>
    <w:qFormat/>
    <w:rPr>
      <w:rFonts w:ascii="Arial" w:hAnsi="Arial" w:eastAsia="Arial" w:cs="Arial"/>
      <w:sz w:val="30"/>
      <w:szCs w:val="30"/>
    </w:rPr>
  </w:style>
  <w:style w:type="character" w:styleId="739" w:customStyle="1">
    <w:name w:val="Heading 4 Char"/>
    <w:basedOn w:val="688"/>
    <w:uiPriority w:val="9"/>
    <w:qFormat/>
    <w:rPr>
      <w:rFonts w:ascii="Arial" w:hAnsi="Arial" w:eastAsia="Arial" w:cs="Arial"/>
      <w:b/>
      <w:bCs/>
      <w:sz w:val="26"/>
      <w:szCs w:val="26"/>
    </w:rPr>
  </w:style>
  <w:style w:type="character" w:styleId="740" w:customStyle="1">
    <w:name w:val="Heading 5 Char"/>
    <w:basedOn w:val="688"/>
    <w:uiPriority w:val="9"/>
    <w:qFormat/>
    <w:rPr>
      <w:rFonts w:ascii="Arial" w:hAnsi="Arial" w:eastAsia="Arial" w:cs="Arial"/>
      <w:b/>
      <w:bCs/>
      <w:sz w:val="24"/>
      <w:szCs w:val="24"/>
    </w:rPr>
  </w:style>
  <w:style w:type="character" w:styleId="741" w:customStyle="1">
    <w:name w:val="Heading 6 Char"/>
    <w:basedOn w:val="688"/>
    <w:uiPriority w:val="9"/>
    <w:qFormat/>
    <w:rPr>
      <w:rFonts w:ascii="Arial" w:hAnsi="Arial" w:eastAsia="Arial" w:cs="Arial"/>
      <w:b/>
      <w:bCs/>
      <w:sz w:val="22"/>
      <w:szCs w:val="22"/>
    </w:rPr>
  </w:style>
  <w:style w:type="character" w:styleId="742" w:customStyle="1">
    <w:name w:val="Heading 7 Char"/>
    <w:basedOn w:val="688"/>
    <w:uiPriority w:val="9"/>
    <w:qFormat/>
    <w:rPr>
      <w:rFonts w:ascii="Arial" w:hAnsi="Arial" w:eastAsia="Arial" w:cs="Arial"/>
      <w:b/>
      <w:bCs/>
      <w:i/>
      <w:iCs/>
      <w:sz w:val="22"/>
      <w:szCs w:val="22"/>
    </w:rPr>
  </w:style>
  <w:style w:type="character" w:styleId="743" w:customStyle="1">
    <w:name w:val="Heading 8 Char"/>
    <w:basedOn w:val="688"/>
    <w:uiPriority w:val="9"/>
    <w:qFormat/>
    <w:rPr>
      <w:rFonts w:ascii="Arial" w:hAnsi="Arial" w:eastAsia="Arial" w:cs="Arial"/>
      <w:i/>
      <w:iCs/>
      <w:sz w:val="22"/>
      <w:szCs w:val="22"/>
    </w:rPr>
  </w:style>
  <w:style w:type="character" w:styleId="744" w:customStyle="1">
    <w:name w:val="Heading 9 Char"/>
    <w:basedOn w:val="688"/>
    <w:uiPriority w:val="9"/>
    <w:qFormat/>
    <w:rPr>
      <w:rFonts w:ascii="Arial" w:hAnsi="Arial" w:eastAsia="Arial" w:cs="Arial"/>
      <w:i/>
      <w:iCs/>
      <w:sz w:val="21"/>
      <w:szCs w:val="21"/>
    </w:rPr>
  </w:style>
  <w:style w:type="character" w:styleId="745" w:customStyle="1">
    <w:name w:val="Title Char"/>
    <w:basedOn w:val="688"/>
    <w:uiPriority w:val="10"/>
    <w:qFormat/>
    <w:rPr>
      <w:sz w:val="48"/>
      <w:szCs w:val="48"/>
    </w:rPr>
  </w:style>
  <w:style w:type="character" w:styleId="746" w:customStyle="1">
    <w:name w:val="Subtitle Char"/>
    <w:basedOn w:val="688"/>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Caption Char"/>
    <w:uiPriority w:val="99"/>
    <w:qFormat/>
  </w:style>
  <w:style w:type="character" w:styleId="750" w:customStyle="1">
    <w:name w:val="Footnote Text Char"/>
    <w:uiPriority w:val="99"/>
    <w:qFormat/>
    <w:rPr>
      <w:sz w:val="18"/>
    </w:rPr>
  </w:style>
  <w:style w:type="character" w:styleId="751" w:customStyle="1">
    <w:name w:val="Endnote Text Char"/>
    <w:uiPriority w:val="99"/>
    <w:qFormat/>
    <w:rPr>
      <w:sz w:val="20"/>
    </w:rPr>
  </w:style>
  <w:style w:type="paragraph" w:styleId="752" w:customStyle="1">
    <w:name w:val="TOC 标题111"/>
    <w:uiPriority w:val="39"/>
    <w:unhideWhenUsed/>
    <w:qFormat/>
    <w:rPr>
      <w:rFonts w:ascii="Times New Roman" w:hAnsi="Times New Roman" w:eastAsia="宋体" w:cs="Times New Roman"/>
      <w:lang w:val="en-US" w:eastAsia="zh-CN" w:bidi="ar-SA"/>
    </w:rPr>
  </w:style>
  <w:style w:type="paragraph" w:styleId="753">
    <w:name w:val="List Paragraph"/>
    <w:basedOn w:val="678"/>
    <w:uiPriority w:val="34"/>
    <w:qFormat/>
    <w:pPr>
      <w:contextualSpacing/>
      <w:ind w:left="720"/>
    </w:p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标题 字符1"/>
    <w:link w:val="709"/>
    <w:uiPriority w:val="10"/>
    <w:qFormat/>
    <w:rPr>
      <w:sz w:val="48"/>
      <w:szCs w:val="48"/>
    </w:rPr>
  </w:style>
  <w:style w:type="character" w:styleId="756" w:customStyle="1">
    <w:name w:val="副标题 字符1"/>
    <w:link w:val="702"/>
    <w:uiPriority w:val="11"/>
    <w:qFormat/>
    <w:rPr>
      <w:sz w:val="24"/>
      <w:szCs w:val="24"/>
    </w:rPr>
  </w:style>
  <w:style w:type="paragraph" w:styleId="757">
    <w:name w:val="Quote"/>
    <w:basedOn w:val="678"/>
    <w:next w:val="678"/>
    <w:link w:val="758"/>
    <w:uiPriority w:val="29"/>
    <w:qFormat/>
    <w:pPr>
      <w:ind w:left="720" w:right="720"/>
    </w:pPr>
    <w:rPr>
      <w:i/>
    </w:rPr>
  </w:style>
  <w:style w:type="character" w:styleId="758" w:customStyle="1">
    <w:name w:val="引用 字符1"/>
    <w:link w:val="757"/>
    <w:uiPriority w:val="29"/>
    <w:qFormat/>
    <w:rPr>
      <w:i/>
    </w:rPr>
  </w:style>
  <w:style w:type="paragraph" w:styleId="759">
    <w:name w:val="Intense Quote"/>
    <w:basedOn w:val="678"/>
    <w:next w:val="678"/>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1"/>
    <w:link w:val="759"/>
    <w:uiPriority w:val="30"/>
    <w:qFormat/>
    <w:rPr>
      <w:i/>
    </w:rPr>
  </w:style>
  <w:style w:type="character" w:styleId="761" w:customStyle="1">
    <w:name w:val="脚注文本 字符1"/>
    <w:link w:val="703"/>
    <w:uiPriority w:val="99"/>
    <w:qFormat/>
    <w:rPr>
      <w:sz w:val="18"/>
    </w:rPr>
  </w:style>
  <w:style w:type="character" w:styleId="762" w:customStyle="1">
    <w:name w:val="尾注文本 字符1"/>
    <w:link w:val="696"/>
    <w:uiPriority w:val="99"/>
    <w:qFormat/>
    <w:rPr>
      <w:sz w:val="20"/>
    </w:rPr>
  </w:style>
  <w:style w:type="paragraph" w:styleId="763" w:customStyle="1">
    <w:name w:val="TOC 标题11"/>
    <w:uiPriority w:val="39"/>
    <w:unhideWhenUsed/>
    <w:qFormat/>
    <w:rPr>
      <w:rFonts w:ascii="Times New Roman" w:hAnsi="Times New Roman" w:eastAsia="宋体" w:cs="Times New Roman"/>
      <w:lang w:val="en-US" w:eastAsia="zh-CN" w:bidi="ar-SA"/>
    </w:rPr>
  </w:style>
  <w:style w:type="character" w:styleId="764" w:customStyle="1">
    <w:name w:val="默认段落字体11"/>
    <w:uiPriority w:val="1"/>
    <w:unhideWhenUsed/>
    <w:qFormat/>
  </w:style>
  <w:style w:type="table" w:styleId="765" w:customStyle="1">
    <w:name w:val="普通表格11"/>
    <w:uiPriority w:val="99"/>
    <w:unhideWhenUsed/>
    <w:qFormat/>
    <w:tblPr>
      <w:tblCellMar>
        <w:left w:w="0" w:type="dxa"/>
        <w:top w:w="0" w:type="dxa"/>
        <w:right w:w="0" w:type="dxa"/>
        <w:bottom w:w="0" w:type="dxa"/>
      </w:tblCellMar>
    </w:tblPr>
  </w:style>
  <w:style w:type="paragraph" w:styleId="766" w:customStyle="1">
    <w:name w:val="目录 711"/>
    <w:basedOn w:val="678"/>
    <w:next w:val="678"/>
    <w:uiPriority w:val="39"/>
    <w:unhideWhenUsed/>
    <w:qFormat/>
    <w:pPr>
      <w:ind w:left="1701"/>
      <w:spacing w:after="57"/>
    </w:pPr>
  </w:style>
  <w:style w:type="paragraph" w:styleId="767" w:customStyle="1">
    <w:name w:val="批注文字11"/>
    <w:basedOn w:val="678"/>
    <w:uiPriority w:val="0"/>
    <w:qFormat/>
    <w:pPr>
      <w:jc w:val="left"/>
    </w:pPr>
  </w:style>
  <w:style w:type="paragraph" w:styleId="768" w:customStyle="1">
    <w:name w:val="正文文本11"/>
    <w:basedOn w:val="678"/>
    <w:next w:val="678"/>
    <w:uiPriority w:val="0"/>
    <w:qFormat/>
    <w:rPr>
      <w:rFonts w:ascii="楷体_GB2312" w:hAnsi="Arial" w:eastAsia="楷体_GB2312"/>
      <w:sz w:val="28"/>
      <w:szCs w:val="28"/>
    </w:rPr>
  </w:style>
  <w:style w:type="paragraph" w:styleId="769" w:customStyle="1">
    <w:name w:val="目录 511"/>
    <w:basedOn w:val="678"/>
    <w:next w:val="678"/>
    <w:uiPriority w:val="39"/>
    <w:unhideWhenUsed/>
    <w:qFormat/>
    <w:pPr>
      <w:ind w:left="1134"/>
      <w:spacing w:after="57"/>
    </w:pPr>
  </w:style>
  <w:style w:type="paragraph" w:styleId="770" w:customStyle="1">
    <w:name w:val="目录 311"/>
    <w:basedOn w:val="678"/>
    <w:next w:val="678"/>
    <w:uiPriority w:val="39"/>
    <w:unhideWhenUsed/>
    <w:qFormat/>
    <w:pPr>
      <w:ind w:left="567"/>
      <w:spacing w:after="57"/>
    </w:pPr>
  </w:style>
  <w:style w:type="paragraph" w:styleId="771" w:customStyle="1">
    <w:name w:val="目录 811"/>
    <w:basedOn w:val="678"/>
    <w:next w:val="678"/>
    <w:uiPriority w:val="39"/>
    <w:unhideWhenUsed/>
    <w:qFormat/>
    <w:pPr>
      <w:ind w:left="1984"/>
      <w:spacing w:after="57"/>
    </w:pPr>
  </w:style>
  <w:style w:type="paragraph" w:styleId="772" w:customStyle="1">
    <w:name w:val="日期11"/>
    <w:basedOn w:val="678"/>
    <w:next w:val="678"/>
    <w:link w:val="773"/>
    <w:uiPriority w:val="99"/>
    <w:unhideWhenUsed/>
    <w:qFormat/>
    <w:pPr>
      <w:ind w:left="100"/>
    </w:pPr>
  </w:style>
  <w:style w:type="character" w:styleId="773" w:customStyle="1">
    <w:name w:val="日期 字符"/>
    <w:link w:val="772"/>
    <w:uiPriority w:val="99"/>
    <w:semiHidden/>
    <w:qFormat/>
    <w:rPr>
      <w:sz w:val="21"/>
      <w:szCs w:val="22"/>
    </w:rPr>
  </w:style>
  <w:style w:type="paragraph" w:styleId="774" w:customStyle="1">
    <w:name w:val="尾注文本1"/>
    <w:basedOn w:val="678"/>
    <w:link w:val="775"/>
    <w:uiPriority w:val="99"/>
    <w:unhideWhenUsed/>
    <w:qFormat/>
    <w:rPr>
      <w:sz w:val="20"/>
    </w:rPr>
  </w:style>
  <w:style w:type="character" w:styleId="775" w:customStyle="1">
    <w:name w:val="尾注文本 字符"/>
    <w:link w:val="774"/>
    <w:uiPriority w:val="99"/>
    <w:qFormat/>
    <w:rPr>
      <w:sz w:val="20"/>
    </w:rPr>
  </w:style>
  <w:style w:type="paragraph" w:styleId="776" w:customStyle="1">
    <w:name w:val="批注框文本11"/>
    <w:basedOn w:val="678"/>
    <w:link w:val="777"/>
    <w:uiPriority w:val="99"/>
    <w:unhideWhenUsed/>
    <w:qFormat/>
    <w:rPr>
      <w:sz w:val="18"/>
      <w:szCs w:val="18"/>
    </w:rPr>
  </w:style>
  <w:style w:type="character" w:styleId="777" w:customStyle="1">
    <w:name w:val="批注框文本 字符"/>
    <w:link w:val="776"/>
    <w:uiPriority w:val="99"/>
    <w:semiHidden/>
    <w:qFormat/>
    <w:rPr>
      <w:sz w:val="18"/>
      <w:szCs w:val="18"/>
    </w:rPr>
  </w:style>
  <w:style w:type="paragraph" w:styleId="778" w:customStyle="1">
    <w:name w:val="页脚11"/>
    <w:basedOn w:val="678"/>
    <w:uiPriority w:val="99"/>
    <w:unhideWhenUsed/>
    <w:qFormat/>
    <w:pPr>
      <w:jc w:val="left"/>
      <w:tabs>
        <w:tab w:val="center" w:pos="4153" w:leader="none"/>
        <w:tab w:val="right" w:pos="8306" w:leader="none"/>
      </w:tabs>
    </w:pPr>
    <w:rPr>
      <w:sz w:val="18"/>
    </w:rPr>
  </w:style>
  <w:style w:type="paragraph" w:styleId="779" w:customStyle="1">
    <w:name w:val="页眉11"/>
    <w:basedOn w:val="678"/>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80" w:customStyle="1">
    <w:name w:val="目录 111"/>
    <w:basedOn w:val="678"/>
    <w:next w:val="678"/>
    <w:uiPriority w:val="39"/>
    <w:unhideWhenUsed/>
    <w:qFormat/>
    <w:pPr>
      <w:spacing w:after="57"/>
    </w:pPr>
  </w:style>
  <w:style w:type="paragraph" w:styleId="781" w:customStyle="1">
    <w:name w:val="目录 411"/>
    <w:basedOn w:val="678"/>
    <w:next w:val="678"/>
    <w:uiPriority w:val="39"/>
    <w:unhideWhenUsed/>
    <w:qFormat/>
    <w:pPr>
      <w:ind w:left="850"/>
      <w:spacing w:after="57"/>
    </w:pPr>
  </w:style>
  <w:style w:type="paragraph" w:styleId="782" w:customStyle="1">
    <w:name w:val="副标题1"/>
    <w:basedOn w:val="678"/>
    <w:next w:val="678"/>
    <w:link w:val="783"/>
    <w:uiPriority w:val="11"/>
    <w:qFormat/>
    <w:pPr>
      <w:spacing w:before="200" w:after="200"/>
    </w:pPr>
    <w:rPr>
      <w:sz w:val="24"/>
      <w:szCs w:val="24"/>
    </w:rPr>
  </w:style>
  <w:style w:type="character" w:styleId="783" w:customStyle="1">
    <w:name w:val="副标题 字符"/>
    <w:link w:val="782"/>
    <w:uiPriority w:val="11"/>
    <w:qFormat/>
    <w:rPr>
      <w:sz w:val="24"/>
      <w:szCs w:val="24"/>
    </w:rPr>
  </w:style>
  <w:style w:type="paragraph" w:styleId="784" w:customStyle="1">
    <w:name w:val="脚注文本11"/>
    <w:basedOn w:val="678"/>
    <w:link w:val="785"/>
    <w:uiPriority w:val="99"/>
    <w:unhideWhenUsed/>
    <w:qFormat/>
    <w:pPr>
      <w:spacing w:after="40"/>
    </w:pPr>
    <w:rPr>
      <w:sz w:val="18"/>
    </w:rPr>
  </w:style>
  <w:style w:type="character" w:styleId="785" w:customStyle="1">
    <w:name w:val="脚注文本 字符"/>
    <w:link w:val="784"/>
    <w:uiPriority w:val="99"/>
    <w:qFormat/>
    <w:rPr>
      <w:sz w:val="18"/>
    </w:rPr>
  </w:style>
  <w:style w:type="paragraph" w:styleId="786" w:customStyle="1">
    <w:name w:val="目录 611"/>
    <w:basedOn w:val="678"/>
    <w:next w:val="678"/>
    <w:uiPriority w:val="39"/>
    <w:unhideWhenUsed/>
    <w:qFormat/>
    <w:pPr>
      <w:ind w:left="1417"/>
      <w:spacing w:after="57"/>
    </w:pPr>
  </w:style>
  <w:style w:type="paragraph" w:styleId="787" w:customStyle="1">
    <w:name w:val="图表目录1"/>
    <w:basedOn w:val="678"/>
    <w:next w:val="678"/>
    <w:uiPriority w:val="99"/>
    <w:unhideWhenUsed/>
    <w:qFormat/>
  </w:style>
  <w:style w:type="paragraph" w:styleId="788" w:customStyle="1">
    <w:name w:val="目录 211"/>
    <w:basedOn w:val="678"/>
    <w:next w:val="678"/>
    <w:uiPriority w:val="39"/>
    <w:unhideWhenUsed/>
    <w:qFormat/>
    <w:pPr>
      <w:ind w:left="283"/>
      <w:spacing w:after="57"/>
    </w:pPr>
  </w:style>
  <w:style w:type="paragraph" w:styleId="789" w:customStyle="1">
    <w:name w:val="目录 911"/>
    <w:basedOn w:val="678"/>
    <w:next w:val="678"/>
    <w:uiPriority w:val="39"/>
    <w:unhideWhenUsed/>
    <w:qFormat/>
    <w:pPr>
      <w:ind w:left="2268"/>
      <w:spacing w:after="57"/>
    </w:pPr>
  </w:style>
  <w:style w:type="paragraph" w:styleId="790" w:customStyle="1">
    <w:name w:val="标题1"/>
    <w:basedOn w:val="678"/>
    <w:next w:val="678"/>
    <w:link w:val="791"/>
    <w:uiPriority w:val="10"/>
    <w:qFormat/>
    <w:pPr>
      <w:contextualSpacing/>
      <w:spacing w:before="300" w:after="200"/>
    </w:pPr>
    <w:rPr>
      <w:sz w:val="48"/>
      <w:szCs w:val="48"/>
    </w:rPr>
  </w:style>
  <w:style w:type="character" w:styleId="791" w:customStyle="1">
    <w:name w:val="标题 字符"/>
    <w:link w:val="790"/>
    <w:uiPriority w:val="10"/>
    <w:qFormat/>
    <w:rPr>
      <w:sz w:val="48"/>
      <w:szCs w:val="48"/>
    </w:rPr>
  </w:style>
  <w:style w:type="table" w:styleId="792" w:customStyle="1">
    <w:name w:val="网格型11"/>
    <w:uiPriority w:val="59"/>
    <w:qFormat/>
    <w:tblPr>
      <w:tblCellMar>
        <w:left w:w="0" w:type="dxa"/>
        <w:top w:w="0" w:type="dxa"/>
        <w:right w:w="0" w:type="dxa"/>
        <w:bottom w:w="0" w:type="dxa"/>
      </w:tblCellMar>
    </w:tblPr>
  </w:style>
  <w:style w:type="character" w:styleId="793" w:customStyle="1">
    <w:name w:val="尾注引用1"/>
    <w:uiPriority w:val="99"/>
    <w:unhideWhenUsed/>
    <w:qFormat/>
    <w:rPr>
      <w:vertAlign w:val="superscript"/>
    </w:rPr>
  </w:style>
  <w:style w:type="character" w:styleId="794" w:customStyle="1">
    <w:name w:val="超链接11"/>
    <w:uiPriority w:val="99"/>
    <w:unhideWhenUsed/>
    <w:qFormat/>
    <w:rPr>
      <w:color w:val="0000ff"/>
      <w:u w:val="single"/>
    </w:rPr>
  </w:style>
  <w:style w:type="character" w:styleId="795" w:customStyle="1">
    <w:name w:val="脚注引用11"/>
    <w:uiPriority w:val="99"/>
    <w:unhideWhenUsed/>
    <w:qFormat/>
    <w:rPr>
      <w:vertAlign w:val="superscript"/>
    </w:rPr>
  </w:style>
  <w:style w:type="character" w:styleId="796" w:customStyle="1">
    <w:name w:val="标题 1 字符"/>
    <w:link w:val="679"/>
    <w:uiPriority w:val="9"/>
    <w:qFormat/>
    <w:rPr>
      <w:rFonts w:ascii="Arial" w:hAnsi="Arial" w:eastAsia="Arial" w:cs="Arial"/>
      <w:sz w:val="40"/>
      <w:szCs w:val="40"/>
    </w:rPr>
  </w:style>
  <w:style w:type="character" w:styleId="797" w:customStyle="1">
    <w:name w:val="标题 2 字符"/>
    <w:link w:val="680"/>
    <w:uiPriority w:val="9"/>
    <w:qFormat/>
    <w:rPr>
      <w:rFonts w:ascii="Arial" w:hAnsi="Arial" w:eastAsia="Arial" w:cs="Arial"/>
      <w:sz w:val="34"/>
    </w:rPr>
  </w:style>
  <w:style w:type="character" w:styleId="798" w:customStyle="1">
    <w:name w:val="标题 3 字符"/>
    <w:link w:val="681"/>
    <w:uiPriority w:val="9"/>
    <w:qFormat/>
    <w:rPr>
      <w:rFonts w:ascii="Arial" w:hAnsi="Arial" w:eastAsia="Arial" w:cs="Arial"/>
      <w:sz w:val="30"/>
      <w:szCs w:val="30"/>
    </w:rPr>
  </w:style>
  <w:style w:type="character" w:styleId="799" w:customStyle="1">
    <w:name w:val="标题 4 字符"/>
    <w:link w:val="682"/>
    <w:uiPriority w:val="9"/>
    <w:qFormat/>
    <w:rPr>
      <w:rFonts w:ascii="Arial" w:hAnsi="Arial" w:eastAsia="Arial" w:cs="Arial"/>
      <w:b/>
      <w:bCs/>
      <w:sz w:val="26"/>
      <w:szCs w:val="26"/>
    </w:rPr>
  </w:style>
  <w:style w:type="character" w:styleId="800" w:customStyle="1">
    <w:name w:val="标题 5 字符"/>
    <w:link w:val="683"/>
    <w:uiPriority w:val="9"/>
    <w:qFormat/>
    <w:rPr>
      <w:rFonts w:ascii="Arial" w:hAnsi="Arial" w:eastAsia="Arial" w:cs="Arial"/>
      <w:b/>
      <w:bCs/>
      <w:sz w:val="24"/>
      <w:szCs w:val="24"/>
    </w:rPr>
  </w:style>
  <w:style w:type="character" w:styleId="801" w:customStyle="1">
    <w:name w:val="标题 6 字符"/>
    <w:link w:val="684"/>
    <w:uiPriority w:val="9"/>
    <w:qFormat/>
    <w:rPr>
      <w:rFonts w:ascii="Arial" w:hAnsi="Arial" w:eastAsia="Arial" w:cs="Arial"/>
      <w:b/>
      <w:bCs/>
      <w:sz w:val="22"/>
      <w:szCs w:val="22"/>
    </w:rPr>
  </w:style>
  <w:style w:type="character" w:styleId="802" w:customStyle="1">
    <w:name w:val="标题 7 字符"/>
    <w:link w:val="685"/>
    <w:uiPriority w:val="9"/>
    <w:qFormat/>
    <w:rPr>
      <w:rFonts w:ascii="Arial" w:hAnsi="Arial" w:eastAsia="Arial" w:cs="Arial"/>
      <w:b/>
      <w:bCs/>
      <w:i/>
      <w:iCs/>
      <w:sz w:val="22"/>
      <w:szCs w:val="22"/>
    </w:rPr>
  </w:style>
  <w:style w:type="character" w:styleId="803" w:customStyle="1">
    <w:name w:val="标题 8 字符"/>
    <w:link w:val="686"/>
    <w:uiPriority w:val="9"/>
    <w:qFormat/>
    <w:rPr>
      <w:rFonts w:ascii="Arial" w:hAnsi="Arial" w:eastAsia="Arial" w:cs="Arial"/>
      <w:i/>
      <w:iCs/>
      <w:sz w:val="22"/>
      <w:szCs w:val="22"/>
    </w:rPr>
  </w:style>
  <w:style w:type="character" w:styleId="804" w:customStyle="1">
    <w:name w:val="标题 9 字符"/>
    <w:link w:val="687"/>
    <w:uiPriority w:val="9"/>
    <w:qFormat/>
    <w:rPr>
      <w:rFonts w:ascii="Arial" w:hAnsi="Arial" w:eastAsia="Arial" w:cs="Arial"/>
      <w:i/>
      <w:iCs/>
      <w:sz w:val="21"/>
      <w:szCs w:val="21"/>
    </w:rPr>
  </w:style>
  <w:style w:type="paragraph" w:styleId="805" w:customStyle="1">
    <w:name w:val="列表段落1"/>
    <w:basedOn w:val="678"/>
    <w:uiPriority w:val="34"/>
    <w:qFormat/>
    <w:pPr>
      <w:contextualSpacing/>
      <w:ind w:left="720"/>
    </w:pPr>
  </w:style>
  <w:style w:type="paragraph" w:styleId="806" w:customStyle="1">
    <w:name w:val="无间隔1"/>
    <w:uiPriority w:val="1"/>
    <w:qFormat/>
    <w:rPr>
      <w:rFonts w:ascii="Times New Roman" w:hAnsi="Times New Roman" w:eastAsia="宋体" w:cs="Times New Roman"/>
      <w:lang w:val="en-US" w:eastAsia="zh-CN" w:bidi="ar-SA"/>
    </w:rPr>
  </w:style>
  <w:style w:type="paragraph" w:styleId="807" w:customStyle="1">
    <w:name w:val="引用1"/>
    <w:basedOn w:val="678"/>
    <w:next w:val="678"/>
    <w:link w:val="808"/>
    <w:uiPriority w:val="29"/>
    <w:qFormat/>
    <w:pPr>
      <w:ind w:left="720" w:right="720"/>
    </w:pPr>
    <w:rPr>
      <w:i/>
    </w:rPr>
  </w:style>
  <w:style w:type="character" w:styleId="808" w:customStyle="1">
    <w:name w:val="引用 字符"/>
    <w:link w:val="807"/>
    <w:uiPriority w:val="29"/>
    <w:qFormat/>
    <w:rPr>
      <w:i/>
    </w:rPr>
  </w:style>
  <w:style w:type="paragraph" w:styleId="809" w:customStyle="1">
    <w:name w:val="明显引用1"/>
    <w:basedOn w:val="678"/>
    <w:next w:val="678"/>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paragraph" w:styleId="811" w:customStyle="1">
    <w:name w:val="Header1"/>
    <w:basedOn w:val="678"/>
    <w:link w:val="812"/>
    <w:uiPriority w:val="99"/>
    <w:unhideWhenUsed/>
    <w:qFormat/>
    <w:pPr>
      <w:tabs>
        <w:tab w:val="center" w:pos="7143" w:leader="none"/>
        <w:tab w:val="right" w:pos="14287" w:leader="none"/>
      </w:tabs>
    </w:pPr>
  </w:style>
  <w:style w:type="character" w:styleId="812" w:customStyle="1">
    <w:name w:val="Header Char"/>
    <w:link w:val="811"/>
    <w:uiPriority w:val="99"/>
    <w:qFormat/>
  </w:style>
  <w:style w:type="paragraph" w:styleId="813" w:customStyle="1">
    <w:name w:val="Footer1"/>
    <w:basedOn w:val="678"/>
    <w:link w:val="814"/>
    <w:uiPriority w:val="99"/>
    <w:unhideWhenUsed/>
    <w:qFormat/>
    <w:pPr>
      <w:tabs>
        <w:tab w:val="center" w:pos="7143" w:leader="none"/>
        <w:tab w:val="right" w:pos="14287" w:leader="none"/>
      </w:tabs>
    </w:pPr>
  </w:style>
  <w:style w:type="character" w:styleId="814" w:customStyle="1">
    <w:name w:val="Footer Char"/>
    <w:link w:val="813"/>
    <w:uiPriority w:val="99"/>
    <w:qFormat/>
  </w:style>
  <w:style w:type="character" w:styleId="815" w:customStyle="1">
    <w:name w:val="页脚 字符"/>
    <w:link w:val="698"/>
    <w:uiPriority w:val="99"/>
    <w:qFormat/>
  </w:style>
  <w:style w:type="paragraph" w:styleId="816" w:customStyle="1">
    <w:name w:val="Caption1"/>
    <w:basedOn w:val="678"/>
    <w:next w:val="678"/>
    <w:uiPriority w:val="35"/>
    <w:unhideWhenUsed/>
    <w:qFormat/>
    <w:pPr>
      <w:spacing w:line="276" w:lineRule="auto"/>
    </w:pPr>
    <w:rPr>
      <w:b/>
      <w:bCs/>
      <w:color w:val="4f81bd"/>
      <w:sz w:val="18"/>
      <w:szCs w:val="18"/>
    </w:rPr>
  </w:style>
  <w:style w:type="table" w:styleId="817" w:customStyle="1">
    <w:name w:val="Table Grid Light"/>
    <w:uiPriority w:val="59"/>
    <w:qFormat/>
    <w:tblPr>
      <w:tblCellMar>
        <w:left w:w="0" w:type="dxa"/>
        <w:top w:w="0" w:type="dxa"/>
        <w:right w:w="0" w:type="dxa"/>
        <w:bottom w:w="0" w:type="dxa"/>
      </w:tblCellMar>
    </w:tblPr>
  </w:style>
  <w:style w:type="table" w:styleId="818" w:customStyle="1">
    <w:name w:val="Grid Table 1 Light - Accent 1"/>
    <w:uiPriority w:val="99"/>
    <w:qFormat/>
    <w:tblPr>
      <w:tblCellMar>
        <w:left w:w="0" w:type="dxa"/>
        <w:top w:w="0" w:type="dxa"/>
        <w:right w:w="0" w:type="dxa"/>
        <w:bottom w:w="0" w:type="dxa"/>
      </w:tblCellMar>
    </w:tblPr>
  </w:style>
  <w:style w:type="table" w:styleId="819" w:customStyle="1">
    <w:name w:val="Grid Table 1 Light - Accent 2"/>
    <w:uiPriority w:val="99"/>
    <w:qFormat/>
    <w:tblPr>
      <w:tblCellMar>
        <w:left w:w="0" w:type="dxa"/>
        <w:top w:w="0" w:type="dxa"/>
        <w:right w:w="0" w:type="dxa"/>
        <w:bottom w:w="0" w:type="dxa"/>
      </w:tblCellMar>
    </w:tblPr>
  </w:style>
  <w:style w:type="table" w:styleId="820" w:customStyle="1">
    <w:name w:val="Grid Table 1 Light - Accent 3"/>
    <w:uiPriority w:val="99"/>
    <w:qFormat/>
    <w:tblPr>
      <w:tblCellMar>
        <w:left w:w="0" w:type="dxa"/>
        <w:top w:w="0" w:type="dxa"/>
        <w:right w:w="0" w:type="dxa"/>
        <w:bottom w:w="0" w:type="dxa"/>
      </w:tblCellMar>
    </w:tblPr>
  </w:style>
  <w:style w:type="table" w:styleId="821" w:customStyle="1">
    <w:name w:val="Grid Table 1 Light - Accent 4"/>
    <w:uiPriority w:val="99"/>
    <w:qFormat/>
    <w:tblPr>
      <w:tblCellMar>
        <w:left w:w="0" w:type="dxa"/>
        <w:top w:w="0" w:type="dxa"/>
        <w:right w:w="0" w:type="dxa"/>
        <w:bottom w:w="0" w:type="dxa"/>
      </w:tblCellMar>
    </w:tblPr>
  </w:style>
  <w:style w:type="table" w:styleId="822" w:customStyle="1">
    <w:name w:val="Grid Table 1 Light - Accent 5"/>
    <w:uiPriority w:val="99"/>
    <w:qFormat/>
    <w:tblPr>
      <w:tblCellMar>
        <w:left w:w="0" w:type="dxa"/>
        <w:top w:w="0" w:type="dxa"/>
        <w:right w:w="0" w:type="dxa"/>
        <w:bottom w:w="0" w:type="dxa"/>
      </w:tblCellMar>
    </w:tblPr>
  </w:style>
  <w:style w:type="table" w:styleId="823" w:customStyle="1">
    <w:name w:val="Grid Table 1 Light - Accent 6"/>
    <w:uiPriority w:val="99"/>
    <w:qFormat/>
    <w:tblPr>
      <w:tblCellMar>
        <w:left w:w="0" w:type="dxa"/>
        <w:top w:w="0" w:type="dxa"/>
        <w:right w:w="0" w:type="dxa"/>
        <w:bottom w:w="0" w:type="dxa"/>
      </w:tblCellMar>
    </w:tblPr>
  </w:style>
  <w:style w:type="table" w:styleId="824" w:customStyle="1">
    <w:name w:val="Grid Table 2 - Accent 1"/>
    <w:uiPriority w:val="99"/>
    <w:qFormat/>
    <w:tblPr>
      <w:tblCellMar>
        <w:left w:w="0" w:type="dxa"/>
        <w:top w:w="0" w:type="dxa"/>
        <w:right w:w="0" w:type="dxa"/>
        <w:bottom w:w="0" w:type="dxa"/>
      </w:tblCellMar>
    </w:tblPr>
  </w:style>
  <w:style w:type="table" w:styleId="825" w:customStyle="1">
    <w:name w:val="Grid Table 2 - Accent 2"/>
    <w:uiPriority w:val="99"/>
    <w:qFormat/>
    <w:tblPr>
      <w:tblCellMar>
        <w:left w:w="0" w:type="dxa"/>
        <w:top w:w="0" w:type="dxa"/>
        <w:right w:w="0" w:type="dxa"/>
        <w:bottom w:w="0" w:type="dxa"/>
      </w:tblCellMar>
    </w:tblPr>
  </w:style>
  <w:style w:type="table" w:styleId="826" w:customStyle="1">
    <w:name w:val="Grid Table 2 - Accent 3"/>
    <w:uiPriority w:val="99"/>
    <w:qFormat/>
    <w:tblPr>
      <w:tblCellMar>
        <w:left w:w="0" w:type="dxa"/>
        <w:top w:w="0" w:type="dxa"/>
        <w:right w:w="0" w:type="dxa"/>
        <w:bottom w:w="0" w:type="dxa"/>
      </w:tblCellMar>
    </w:tblPr>
  </w:style>
  <w:style w:type="table" w:styleId="827" w:customStyle="1">
    <w:name w:val="Grid Table 2 - Accent 4"/>
    <w:uiPriority w:val="99"/>
    <w:qFormat/>
    <w:tblPr>
      <w:tblCellMar>
        <w:left w:w="0" w:type="dxa"/>
        <w:top w:w="0" w:type="dxa"/>
        <w:right w:w="0" w:type="dxa"/>
        <w:bottom w:w="0" w:type="dxa"/>
      </w:tblCellMar>
    </w:tblPr>
  </w:style>
  <w:style w:type="table" w:styleId="828" w:customStyle="1">
    <w:name w:val="Grid Table 2 - Accent 5"/>
    <w:uiPriority w:val="99"/>
    <w:qFormat/>
    <w:tblPr>
      <w:tblCellMar>
        <w:left w:w="0" w:type="dxa"/>
        <w:top w:w="0" w:type="dxa"/>
        <w:right w:w="0" w:type="dxa"/>
        <w:bottom w:w="0" w:type="dxa"/>
      </w:tblCellMar>
    </w:tblPr>
  </w:style>
  <w:style w:type="table" w:styleId="829" w:customStyle="1">
    <w:name w:val="Grid Table 2 - Accent 6"/>
    <w:uiPriority w:val="99"/>
    <w:qFormat/>
    <w:tblPr>
      <w:tblCellMar>
        <w:left w:w="0" w:type="dxa"/>
        <w:top w:w="0" w:type="dxa"/>
        <w:right w:w="0" w:type="dxa"/>
        <w:bottom w:w="0" w:type="dxa"/>
      </w:tblCellMar>
    </w:tblPr>
  </w:style>
  <w:style w:type="table" w:styleId="830" w:customStyle="1">
    <w:name w:val="Grid Table 3 - Accent 1"/>
    <w:uiPriority w:val="99"/>
    <w:qFormat/>
    <w:tblPr>
      <w:tblCellMar>
        <w:left w:w="0" w:type="dxa"/>
        <w:top w:w="0" w:type="dxa"/>
        <w:right w:w="0" w:type="dxa"/>
        <w:bottom w:w="0" w:type="dxa"/>
      </w:tblCellMar>
    </w:tblPr>
  </w:style>
  <w:style w:type="table" w:styleId="831" w:customStyle="1">
    <w:name w:val="Grid Table 3 - Accent 2"/>
    <w:uiPriority w:val="99"/>
    <w:qFormat/>
    <w:tblPr>
      <w:tblCellMar>
        <w:left w:w="0" w:type="dxa"/>
        <w:top w:w="0" w:type="dxa"/>
        <w:right w:w="0" w:type="dxa"/>
        <w:bottom w:w="0" w:type="dxa"/>
      </w:tblCellMar>
    </w:tblPr>
  </w:style>
  <w:style w:type="table" w:styleId="832" w:customStyle="1">
    <w:name w:val="Grid Table 3 - Accent 3"/>
    <w:uiPriority w:val="99"/>
    <w:qFormat/>
    <w:tblPr>
      <w:tblCellMar>
        <w:left w:w="0" w:type="dxa"/>
        <w:top w:w="0" w:type="dxa"/>
        <w:right w:w="0" w:type="dxa"/>
        <w:bottom w:w="0" w:type="dxa"/>
      </w:tblCellMar>
    </w:tblPr>
  </w:style>
  <w:style w:type="table" w:styleId="833" w:customStyle="1">
    <w:name w:val="Grid Table 3 - Accent 4"/>
    <w:uiPriority w:val="99"/>
    <w:qFormat/>
    <w:tblPr>
      <w:tblCellMar>
        <w:left w:w="0" w:type="dxa"/>
        <w:top w:w="0" w:type="dxa"/>
        <w:right w:w="0" w:type="dxa"/>
        <w:bottom w:w="0" w:type="dxa"/>
      </w:tblCellMar>
    </w:tblPr>
  </w:style>
  <w:style w:type="table" w:styleId="834" w:customStyle="1">
    <w:name w:val="Grid Table 3 - Accent 5"/>
    <w:uiPriority w:val="99"/>
    <w:qFormat/>
    <w:tblPr>
      <w:tblCellMar>
        <w:left w:w="0" w:type="dxa"/>
        <w:top w:w="0" w:type="dxa"/>
        <w:right w:w="0" w:type="dxa"/>
        <w:bottom w:w="0" w:type="dxa"/>
      </w:tblCellMar>
    </w:tblPr>
  </w:style>
  <w:style w:type="table" w:styleId="835" w:customStyle="1">
    <w:name w:val="Grid Table 3 - Accent 6"/>
    <w:uiPriority w:val="99"/>
    <w:qFormat/>
    <w:tblPr>
      <w:tblCellMar>
        <w:left w:w="0" w:type="dxa"/>
        <w:top w:w="0" w:type="dxa"/>
        <w:right w:w="0" w:type="dxa"/>
        <w:bottom w:w="0" w:type="dxa"/>
      </w:tblCellMar>
    </w:tblPr>
  </w:style>
  <w:style w:type="table" w:styleId="836" w:customStyle="1">
    <w:name w:val="Grid Table 4 - Accent 1"/>
    <w:uiPriority w:val="59"/>
    <w:qFormat/>
    <w:tblPr>
      <w:tblCellMar>
        <w:left w:w="0" w:type="dxa"/>
        <w:top w:w="0" w:type="dxa"/>
        <w:right w:w="0" w:type="dxa"/>
        <w:bottom w:w="0" w:type="dxa"/>
      </w:tblCellMar>
    </w:tblPr>
  </w:style>
  <w:style w:type="table" w:styleId="837" w:customStyle="1">
    <w:name w:val="Grid Table 4 - Accent 2"/>
    <w:uiPriority w:val="59"/>
    <w:qFormat/>
    <w:tblPr>
      <w:tblCellMar>
        <w:left w:w="0" w:type="dxa"/>
        <w:top w:w="0" w:type="dxa"/>
        <w:right w:w="0" w:type="dxa"/>
        <w:bottom w:w="0" w:type="dxa"/>
      </w:tblCellMar>
    </w:tblPr>
  </w:style>
  <w:style w:type="table" w:styleId="838" w:customStyle="1">
    <w:name w:val="Grid Table 4 - Accent 3"/>
    <w:uiPriority w:val="59"/>
    <w:qFormat/>
    <w:tblPr>
      <w:tblCellMar>
        <w:left w:w="0" w:type="dxa"/>
        <w:top w:w="0" w:type="dxa"/>
        <w:right w:w="0" w:type="dxa"/>
        <w:bottom w:w="0" w:type="dxa"/>
      </w:tblCellMar>
    </w:tblPr>
  </w:style>
  <w:style w:type="table" w:styleId="839" w:customStyle="1">
    <w:name w:val="Grid Table 4 - Accent 4"/>
    <w:uiPriority w:val="59"/>
    <w:qFormat/>
    <w:tblPr>
      <w:tblCellMar>
        <w:left w:w="0" w:type="dxa"/>
        <w:top w:w="0" w:type="dxa"/>
        <w:right w:w="0" w:type="dxa"/>
        <w:bottom w:w="0" w:type="dxa"/>
      </w:tblCellMar>
    </w:tblPr>
  </w:style>
  <w:style w:type="table" w:styleId="840" w:customStyle="1">
    <w:name w:val="Grid Table 4 - Accent 5"/>
    <w:uiPriority w:val="59"/>
    <w:qFormat/>
    <w:tblPr>
      <w:tblCellMar>
        <w:left w:w="0" w:type="dxa"/>
        <w:top w:w="0" w:type="dxa"/>
        <w:right w:w="0" w:type="dxa"/>
        <w:bottom w:w="0" w:type="dxa"/>
      </w:tblCellMar>
    </w:tblPr>
  </w:style>
  <w:style w:type="table" w:styleId="841" w:customStyle="1">
    <w:name w:val="Grid Table 4 - Accent 6"/>
    <w:uiPriority w:val="59"/>
    <w:qFormat/>
    <w:tblPr>
      <w:tblCellMar>
        <w:left w:w="0" w:type="dxa"/>
        <w:top w:w="0" w:type="dxa"/>
        <w:right w:w="0" w:type="dxa"/>
        <w:bottom w:w="0" w:type="dxa"/>
      </w:tblCellMar>
    </w:tblPr>
  </w:style>
  <w:style w:type="table" w:styleId="842" w:customStyle="1">
    <w:name w:val="Grid Table 5 Dark- Accent 1"/>
    <w:uiPriority w:val="99"/>
    <w:qFormat/>
    <w:tblPr>
      <w:tblCellMar>
        <w:left w:w="0" w:type="dxa"/>
        <w:top w:w="0" w:type="dxa"/>
        <w:right w:w="0" w:type="dxa"/>
        <w:bottom w:w="0" w:type="dxa"/>
      </w:tblCellMar>
    </w:tblPr>
  </w:style>
  <w:style w:type="table" w:styleId="843" w:customStyle="1">
    <w:name w:val="Grid Table 5 Dark - Accent 2"/>
    <w:uiPriority w:val="99"/>
    <w:qFormat/>
    <w:tblPr>
      <w:tblCellMar>
        <w:left w:w="0" w:type="dxa"/>
        <w:top w:w="0" w:type="dxa"/>
        <w:right w:w="0" w:type="dxa"/>
        <w:bottom w:w="0" w:type="dxa"/>
      </w:tblCellMar>
    </w:tblPr>
  </w:style>
  <w:style w:type="table" w:styleId="844" w:customStyle="1">
    <w:name w:val="Grid Table 5 Dark - Accent 3"/>
    <w:uiPriority w:val="99"/>
    <w:qFormat/>
    <w:tblPr>
      <w:tblCellMar>
        <w:left w:w="0" w:type="dxa"/>
        <w:top w:w="0" w:type="dxa"/>
        <w:right w:w="0" w:type="dxa"/>
        <w:bottom w:w="0" w:type="dxa"/>
      </w:tblCellMar>
    </w:tblPr>
  </w:style>
  <w:style w:type="table" w:styleId="845" w:customStyle="1">
    <w:name w:val="Grid Table 5 Dark- Accent 4"/>
    <w:uiPriority w:val="99"/>
    <w:qFormat/>
    <w:tblPr>
      <w:tblCellMar>
        <w:left w:w="0" w:type="dxa"/>
        <w:top w:w="0" w:type="dxa"/>
        <w:right w:w="0" w:type="dxa"/>
        <w:bottom w:w="0" w:type="dxa"/>
      </w:tblCellMar>
    </w:tblPr>
  </w:style>
  <w:style w:type="table" w:styleId="846" w:customStyle="1">
    <w:name w:val="Grid Table 5 Dark - Accent 5"/>
    <w:uiPriority w:val="99"/>
    <w:qFormat/>
    <w:tblPr>
      <w:tblCellMar>
        <w:left w:w="0" w:type="dxa"/>
        <w:top w:w="0" w:type="dxa"/>
        <w:right w:w="0" w:type="dxa"/>
        <w:bottom w:w="0" w:type="dxa"/>
      </w:tblCellMar>
    </w:tblPr>
  </w:style>
  <w:style w:type="table" w:styleId="847" w:customStyle="1">
    <w:name w:val="Grid Table 5 Dark - Accent 6"/>
    <w:uiPriority w:val="99"/>
    <w:qFormat/>
    <w:tblPr>
      <w:tblCellMar>
        <w:left w:w="0" w:type="dxa"/>
        <w:top w:w="0" w:type="dxa"/>
        <w:right w:w="0" w:type="dxa"/>
        <w:bottom w:w="0" w:type="dxa"/>
      </w:tblCellMar>
    </w:tblPr>
  </w:style>
  <w:style w:type="table" w:styleId="848" w:customStyle="1">
    <w:name w:val="Grid Table 6 Colorful - Accent 1"/>
    <w:uiPriority w:val="99"/>
    <w:qFormat/>
    <w:tblPr>
      <w:tblCellMar>
        <w:left w:w="0" w:type="dxa"/>
        <w:top w:w="0" w:type="dxa"/>
        <w:right w:w="0" w:type="dxa"/>
        <w:bottom w:w="0" w:type="dxa"/>
      </w:tblCellMar>
    </w:tblPr>
  </w:style>
  <w:style w:type="table" w:styleId="849" w:customStyle="1">
    <w:name w:val="Grid Table 6 Colorful - Accent 2"/>
    <w:uiPriority w:val="99"/>
    <w:qFormat/>
    <w:tblPr>
      <w:tblCellMar>
        <w:left w:w="0" w:type="dxa"/>
        <w:top w:w="0" w:type="dxa"/>
        <w:right w:w="0" w:type="dxa"/>
        <w:bottom w:w="0" w:type="dxa"/>
      </w:tblCellMar>
    </w:tblPr>
  </w:style>
  <w:style w:type="table" w:styleId="850" w:customStyle="1">
    <w:name w:val="Grid Table 6 Colorful - Accent 3"/>
    <w:uiPriority w:val="99"/>
    <w:qFormat/>
    <w:tblPr>
      <w:tblCellMar>
        <w:left w:w="0" w:type="dxa"/>
        <w:top w:w="0" w:type="dxa"/>
        <w:right w:w="0" w:type="dxa"/>
        <w:bottom w:w="0" w:type="dxa"/>
      </w:tblCellMar>
    </w:tblPr>
  </w:style>
  <w:style w:type="table" w:styleId="851" w:customStyle="1">
    <w:name w:val="Grid Table 6 Colorful - Accent 4"/>
    <w:uiPriority w:val="99"/>
    <w:qFormat/>
    <w:tblPr>
      <w:tblCellMar>
        <w:left w:w="0" w:type="dxa"/>
        <w:top w:w="0" w:type="dxa"/>
        <w:right w:w="0" w:type="dxa"/>
        <w:bottom w:w="0" w:type="dxa"/>
      </w:tblCellMar>
    </w:tblPr>
  </w:style>
  <w:style w:type="table" w:styleId="852" w:customStyle="1">
    <w:name w:val="Grid Table 6 Colorful - Accent 5"/>
    <w:uiPriority w:val="99"/>
    <w:qFormat/>
    <w:tblPr>
      <w:tblCellMar>
        <w:left w:w="0" w:type="dxa"/>
        <w:top w:w="0" w:type="dxa"/>
        <w:right w:w="0" w:type="dxa"/>
        <w:bottom w:w="0" w:type="dxa"/>
      </w:tblCellMar>
    </w:tblPr>
  </w:style>
  <w:style w:type="table" w:styleId="853" w:customStyle="1">
    <w:name w:val="Grid Table 6 Colorful - Accent 6"/>
    <w:uiPriority w:val="99"/>
    <w:qFormat/>
    <w:tblPr>
      <w:tblCellMar>
        <w:left w:w="0" w:type="dxa"/>
        <w:top w:w="0" w:type="dxa"/>
        <w:right w:w="0" w:type="dxa"/>
        <w:bottom w:w="0" w:type="dxa"/>
      </w:tblCellMar>
    </w:tblPr>
  </w:style>
  <w:style w:type="table" w:styleId="854" w:customStyle="1">
    <w:name w:val="Grid Table 7 Colorful - Accent 1"/>
    <w:uiPriority w:val="99"/>
    <w:qFormat/>
    <w:tblPr>
      <w:tblCellMar>
        <w:left w:w="0" w:type="dxa"/>
        <w:top w:w="0" w:type="dxa"/>
        <w:right w:w="0" w:type="dxa"/>
        <w:bottom w:w="0" w:type="dxa"/>
      </w:tblCellMar>
    </w:tblPr>
  </w:style>
  <w:style w:type="table" w:styleId="855" w:customStyle="1">
    <w:name w:val="Grid Table 7 Colorful - Accent 2"/>
    <w:uiPriority w:val="99"/>
    <w:qFormat/>
    <w:tblPr>
      <w:tblCellMar>
        <w:left w:w="0" w:type="dxa"/>
        <w:top w:w="0" w:type="dxa"/>
        <w:right w:w="0" w:type="dxa"/>
        <w:bottom w:w="0" w:type="dxa"/>
      </w:tblCellMar>
    </w:tblPr>
  </w:style>
  <w:style w:type="table" w:styleId="856" w:customStyle="1">
    <w:name w:val="Grid Table 7 Colorful - Accent 3"/>
    <w:uiPriority w:val="99"/>
    <w:qFormat/>
    <w:tblPr>
      <w:tblCellMar>
        <w:left w:w="0" w:type="dxa"/>
        <w:top w:w="0" w:type="dxa"/>
        <w:right w:w="0" w:type="dxa"/>
        <w:bottom w:w="0" w:type="dxa"/>
      </w:tblCellMar>
    </w:tblPr>
  </w:style>
  <w:style w:type="table" w:styleId="857" w:customStyle="1">
    <w:name w:val="Grid Table 7 Colorful - Accent 4"/>
    <w:uiPriority w:val="99"/>
    <w:qFormat/>
    <w:tblPr>
      <w:tblCellMar>
        <w:left w:w="0" w:type="dxa"/>
        <w:top w:w="0" w:type="dxa"/>
        <w:right w:w="0" w:type="dxa"/>
        <w:bottom w:w="0" w:type="dxa"/>
      </w:tblCellMar>
    </w:tblPr>
  </w:style>
  <w:style w:type="table" w:styleId="858" w:customStyle="1">
    <w:name w:val="Grid Table 7 Colorful - Accent 5"/>
    <w:uiPriority w:val="99"/>
    <w:qFormat/>
    <w:tblPr>
      <w:tblCellMar>
        <w:left w:w="0" w:type="dxa"/>
        <w:top w:w="0" w:type="dxa"/>
        <w:right w:w="0" w:type="dxa"/>
        <w:bottom w:w="0" w:type="dxa"/>
      </w:tblCellMar>
    </w:tblPr>
  </w:style>
  <w:style w:type="table" w:styleId="859" w:customStyle="1">
    <w:name w:val="Grid Table 7 Colorful - Accent 6"/>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List Table 2 - Accent 1"/>
    <w:uiPriority w:val="99"/>
    <w:qFormat/>
    <w:tblPr>
      <w:tblCellMar>
        <w:left w:w="0" w:type="dxa"/>
        <w:top w:w="0" w:type="dxa"/>
        <w:right w:w="0" w:type="dxa"/>
        <w:bottom w:w="0" w:type="dxa"/>
      </w:tblCellMar>
    </w:tblPr>
  </w:style>
  <w:style w:type="table" w:styleId="867" w:customStyle="1">
    <w:name w:val="List Table 2 - Accent 2"/>
    <w:uiPriority w:val="99"/>
    <w:qFormat/>
    <w:tblPr>
      <w:tblCellMar>
        <w:left w:w="0" w:type="dxa"/>
        <w:top w:w="0" w:type="dxa"/>
        <w:right w:w="0" w:type="dxa"/>
        <w:bottom w:w="0" w:type="dxa"/>
      </w:tblCellMar>
    </w:tblPr>
  </w:style>
  <w:style w:type="table" w:styleId="868" w:customStyle="1">
    <w:name w:val="List Table 2 - Accent 3"/>
    <w:uiPriority w:val="99"/>
    <w:qFormat/>
    <w:tblPr>
      <w:tblCellMar>
        <w:left w:w="0" w:type="dxa"/>
        <w:top w:w="0" w:type="dxa"/>
        <w:right w:w="0" w:type="dxa"/>
        <w:bottom w:w="0" w:type="dxa"/>
      </w:tblCellMar>
    </w:tblPr>
  </w:style>
  <w:style w:type="table" w:styleId="869" w:customStyle="1">
    <w:name w:val="List Table 2 - Accent 4"/>
    <w:uiPriority w:val="99"/>
    <w:qFormat/>
    <w:tblPr>
      <w:tblCellMar>
        <w:left w:w="0" w:type="dxa"/>
        <w:top w:w="0" w:type="dxa"/>
        <w:right w:w="0" w:type="dxa"/>
        <w:bottom w:w="0" w:type="dxa"/>
      </w:tblCellMar>
    </w:tblPr>
  </w:style>
  <w:style w:type="table" w:styleId="870" w:customStyle="1">
    <w:name w:val="List Table 2 - Accent 5"/>
    <w:uiPriority w:val="99"/>
    <w:qFormat/>
    <w:tblPr>
      <w:tblCellMar>
        <w:left w:w="0" w:type="dxa"/>
        <w:top w:w="0" w:type="dxa"/>
        <w:right w:w="0" w:type="dxa"/>
        <w:bottom w:w="0" w:type="dxa"/>
      </w:tblCellMar>
    </w:tblPr>
  </w:style>
  <w:style w:type="table" w:styleId="871" w:customStyle="1">
    <w:name w:val="List Table 2 - Accent 6"/>
    <w:uiPriority w:val="99"/>
    <w:qFormat/>
    <w:tblPr>
      <w:tblCellMar>
        <w:left w:w="0" w:type="dxa"/>
        <w:top w:w="0" w:type="dxa"/>
        <w:right w:w="0" w:type="dxa"/>
        <w:bottom w:w="0" w:type="dxa"/>
      </w:tblCellMar>
    </w:tblPr>
  </w:style>
  <w:style w:type="table" w:styleId="872" w:customStyle="1">
    <w:name w:val="List Table 3 - Accent 1"/>
    <w:uiPriority w:val="99"/>
    <w:qFormat/>
    <w:tblPr>
      <w:tblCellMar>
        <w:left w:w="0" w:type="dxa"/>
        <w:top w:w="0" w:type="dxa"/>
        <w:right w:w="0" w:type="dxa"/>
        <w:bottom w:w="0" w:type="dxa"/>
      </w:tblCellMar>
    </w:tblPr>
  </w:style>
  <w:style w:type="table" w:styleId="873" w:customStyle="1">
    <w:name w:val="List Table 3 - Accent 2"/>
    <w:uiPriority w:val="99"/>
    <w:qFormat/>
    <w:tblPr>
      <w:tblCellMar>
        <w:left w:w="0" w:type="dxa"/>
        <w:top w:w="0" w:type="dxa"/>
        <w:right w:w="0" w:type="dxa"/>
        <w:bottom w:w="0" w:type="dxa"/>
      </w:tblCellMar>
    </w:tblPr>
  </w:style>
  <w:style w:type="table" w:styleId="874" w:customStyle="1">
    <w:name w:val="List Table 3 - Accent 3"/>
    <w:uiPriority w:val="99"/>
    <w:qFormat/>
    <w:tblPr>
      <w:tblCellMar>
        <w:left w:w="0" w:type="dxa"/>
        <w:top w:w="0" w:type="dxa"/>
        <w:right w:w="0" w:type="dxa"/>
        <w:bottom w:w="0" w:type="dxa"/>
      </w:tblCellMar>
    </w:tblPr>
  </w:style>
  <w:style w:type="table" w:styleId="875" w:customStyle="1">
    <w:name w:val="List Table 3 - Accent 4"/>
    <w:uiPriority w:val="99"/>
    <w:qFormat/>
    <w:tblPr>
      <w:tblCellMar>
        <w:left w:w="0" w:type="dxa"/>
        <w:top w:w="0" w:type="dxa"/>
        <w:right w:w="0" w:type="dxa"/>
        <w:bottom w:w="0" w:type="dxa"/>
      </w:tblCellMar>
    </w:tblPr>
  </w:style>
  <w:style w:type="table" w:styleId="876" w:customStyle="1">
    <w:name w:val="List Table 3 - Accent 5"/>
    <w:uiPriority w:val="99"/>
    <w:qFormat/>
    <w:tblPr>
      <w:tblCellMar>
        <w:left w:w="0" w:type="dxa"/>
        <w:top w:w="0" w:type="dxa"/>
        <w:right w:w="0" w:type="dxa"/>
        <w:bottom w:w="0" w:type="dxa"/>
      </w:tblCellMar>
    </w:tblPr>
  </w:style>
  <w:style w:type="table" w:styleId="877" w:customStyle="1">
    <w:name w:val="List Table 3 - Accent 6"/>
    <w:uiPriority w:val="99"/>
    <w:qFormat/>
    <w:tblPr>
      <w:tblCellMar>
        <w:left w:w="0" w:type="dxa"/>
        <w:top w:w="0" w:type="dxa"/>
        <w:right w:w="0" w:type="dxa"/>
        <w:bottom w:w="0" w:type="dxa"/>
      </w:tblCellMar>
    </w:tblPr>
  </w:style>
  <w:style w:type="table" w:styleId="878" w:customStyle="1">
    <w:name w:val="List Table 4 - Accent 1"/>
    <w:uiPriority w:val="99"/>
    <w:qFormat/>
    <w:tblPr>
      <w:tblCellMar>
        <w:left w:w="0" w:type="dxa"/>
        <w:top w:w="0" w:type="dxa"/>
        <w:right w:w="0" w:type="dxa"/>
        <w:bottom w:w="0" w:type="dxa"/>
      </w:tblCellMar>
    </w:tblPr>
  </w:style>
  <w:style w:type="table" w:styleId="879" w:customStyle="1">
    <w:name w:val="List Table 4 - Accent 2"/>
    <w:uiPriority w:val="99"/>
    <w:qFormat/>
    <w:tblPr>
      <w:tblCellMar>
        <w:left w:w="0" w:type="dxa"/>
        <w:top w:w="0" w:type="dxa"/>
        <w:right w:w="0" w:type="dxa"/>
        <w:bottom w:w="0" w:type="dxa"/>
      </w:tblCellMar>
    </w:tblPr>
  </w:style>
  <w:style w:type="table" w:styleId="880" w:customStyle="1">
    <w:name w:val="List Table 4 - Accent 3"/>
    <w:uiPriority w:val="99"/>
    <w:qFormat/>
    <w:tblPr>
      <w:tblCellMar>
        <w:left w:w="0" w:type="dxa"/>
        <w:top w:w="0" w:type="dxa"/>
        <w:right w:w="0" w:type="dxa"/>
        <w:bottom w:w="0" w:type="dxa"/>
      </w:tblCellMar>
    </w:tblPr>
  </w:style>
  <w:style w:type="table" w:styleId="881" w:customStyle="1">
    <w:name w:val="List Table 4 - Accent 4"/>
    <w:uiPriority w:val="99"/>
    <w:qFormat/>
    <w:tblPr>
      <w:tblCellMar>
        <w:left w:w="0" w:type="dxa"/>
        <w:top w:w="0" w:type="dxa"/>
        <w:right w:w="0" w:type="dxa"/>
        <w:bottom w:w="0" w:type="dxa"/>
      </w:tblCellMar>
    </w:tblPr>
  </w:style>
  <w:style w:type="table" w:styleId="882" w:customStyle="1">
    <w:name w:val="List Table 4 - Accent 5"/>
    <w:uiPriority w:val="99"/>
    <w:qFormat/>
    <w:tblPr>
      <w:tblCellMar>
        <w:left w:w="0" w:type="dxa"/>
        <w:top w:w="0" w:type="dxa"/>
        <w:right w:w="0" w:type="dxa"/>
        <w:bottom w:w="0" w:type="dxa"/>
      </w:tblCellMar>
    </w:tblPr>
  </w:style>
  <w:style w:type="table" w:styleId="883" w:customStyle="1">
    <w:name w:val="List Table 4 - Accent 6"/>
    <w:uiPriority w:val="99"/>
    <w:qFormat/>
    <w:tblPr>
      <w:tblCellMar>
        <w:left w:w="0" w:type="dxa"/>
        <w:top w:w="0" w:type="dxa"/>
        <w:right w:w="0" w:type="dxa"/>
        <w:bottom w:w="0" w:type="dxa"/>
      </w:tblCellMar>
    </w:tblPr>
  </w:style>
  <w:style w:type="table" w:styleId="884" w:customStyle="1">
    <w:name w:val="List Table 5 Dark - Accent 1"/>
    <w:uiPriority w:val="99"/>
    <w:qFormat/>
    <w:tblPr>
      <w:tblCellMar>
        <w:left w:w="0" w:type="dxa"/>
        <w:top w:w="0" w:type="dxa"/>
        <w:right w:w="0" w:type="dxa"/>
        <w:bottom w:w="0" w:type="dxa"/>
      </w:tblCellMar>
    </w:tblPr>
  </w:style>
  <w:style w:type="table" w:styleId="885" w:customStyle="1">
    <w:name w:val="List Table 5 Dark - Accent 2"/>
    <w:uiPriority w:val="99"/>
    <w:qFormat/>
    <w:tblPr>
      <w:tblCellMar>
        <w:left w:w="0" w:type="dxa"/>
        <w:top w:w="0" w:type="dxa"/>
        <w:right w:w="0" w:type="dxa"/>
        <w:bottom w:w="0" w:type="dxa"/>
      </w:tblCellMar>
    </w:tblPr>
  </w:style>
  <w:style w:type="table" w:styleId="886" w:customStyle="1">
    <w:name w:val="List Table 5 Dark - Accent 3"/>
    <w:uiPriority w:val="99"/>
    <w:qFormat/>
    <w:tblPr>
      <w:tblCellMar>
        <w:left w:w="0" w:type="dxa"/>
        <w:top w:w="0" w:type="dxa"/>
        <w:right w:w="0" w:type="dxa"/>
        <w:bottom w:w="0" w:type="dxa"/>
      </w:tblCellMar>
    </w:tblPr>
  </w:style>
  <w:style w:type="table" w:styleId="887" w:customStyle="1">
    <w:name w:val="List Table 5 Dark - Accent 4"/>
    <w:uiPriority w:val="99"/>
    <w:qFormat/>
    <w:tblPr>
      <w:tblCellMar>
        <w:left w:w="0" w:type="dxa"/>
        <w:top w:w="0" w:type="dxa"/>
        <w:right w:w="0" w:type="dxa"/>
        <w:bottom w:w="0" w:type="dxa"/>
      </w:tblCellMar>
    </w:tblPr>
  </w:style>
  <w:style w:type="table" w:styleId="888" w:customStyle="1">
    <w:name w:val="List Table 5 Dark - Accent 5"/>
    <w:uiPriority w:val="99"/>
    <w:qFormat/>
    <w:tblPr>
      <w:tblCellMar>
        <w:left w:w="0" w:type="dxa"/>
        <w:top w:w="0" w:type="dxa"/>
        <w:right w:w="0" w:type="dxa"/>
        <w:bottom w:w="0" w:type="dxa"/>
      </w:tblCellMar>
    </w:tblPr>
  </w:style>
  <w:style w:type="table" w:styleId="889" w:customStyle="1">
    <w:name w:val="List Table 5 Dark - Accent 6"/>
    <w:uiPriority w:val="99"/>
    <w:qFormat/>
    <w:tblPr>
      <w:tblCellMar>
        <w:left w:w="0" w:type="dxa"/>
        <w:top w:w="0" w:type="dxa"/>
        <w:right w:w="0" w:type="dxa"/>
        <w:bottom w:w="0" w:type="dxa"/>
      </w:tblCellMar>
    </w:tblPr>
  </w:style>
  <w:style w:type="table" w:styleId="890" w:customStyle="1">
    <w:name w:val="List Table 6 Colorful - Accent 1"/>
    <w:uiPriority w:val="99"/>
    <w:qFormat/>
    <w:tblPr>
      <w:tblCellMar>
        <w:left w:w="0" w:type="dxa"/>
        <w:top w:w="0" w:type="dxa"/>
        <w:right w:w="0" w:type="dxa"/>
        <w:bottom w:w="0" w:type="dxa"/>
      </w:tblCellMar>
    </w:tblPr>
  </w:style>
  <w:style w:type="table" w:styleId="891" w:customStyle="1">
    <w:name w:val="List Table 6 Colorful - Accent 2"/>
    <w:uiPriority w:val="99"/>
    <w:qFormat/>
    <w:tblPr>
      <w:tblCellMar>
        <w:left w:w="0" w:type="dxa"/>
        <w:top w:w="0" w:type="dxa"/>
        <w:right w:w="0" w:type="dxa"/>
        <w:bottom w:w="0" w:type="dxa"/>
      </w:tblCellMar>
    </w:tblPr>
  </w:style>
  <w:style w:type="table" w:styleId="892" w:customStyle="1">
    <w:name w:val="List Table 6 Colorful - Accent 3"/>
    <w:uiPriority w:val="99"/>
    <w:qFormat/>
    <w:tblPr>
      <w:tblCellMar>
        <w:left w:w="0" w:type="dxa"/>
        <w:top w:w="0" w:type="dxa"/>
        <w:right w:w="0" w:type="dxa"/>
        <w:bottom w:w="0" w:type="dxa"/>
      </w:tblCellMar>
    </w:tblPr>
  </w:style>
  <w:style w:type="table" w:styleId="893" w:customStyle="1">
    <w:name w:val="List Table 6 Colorful - Accent 4"/>
    <w:uiPriority w:val="99"/>
    <w:qFormat/>
    <w:tblPr>
      <w:tblCellMar>
        <w:left w:w="0" w:type="dxa"/>
        <w:top w:w="0" w:type="dxa"/>
        <w:right w:w="0" w:type="dxa"/>
        <w:bottom w:w="0" w:type="dxa"/>
      </w:tblCellMar>
    </w:tblPr>
  </w:style>
  <w:style w:type="table" w:styleId="894" w:customStyle="1">
    <w:name w:val="List Table 6 Colorful - Accent 5"/>
    <w:uiPriority w:val="99"/>
    <w:qFormat/>
    <w:tblPr>
      <w:tblCellMar>
        <w:left w:w="0" w:type="dxa"/>
        <w:top w:w="0" w:type="dxa"/>
        <w:right w:w="0" w:type="dxa"/>
        <w:bottom w:w="0" w:type="dxa"/>
      </w:tblCellMar>
    </w:tblPr>
  </w:style>
  <w:style w:type="table" w:styleId="895" w:customStyle="1">
    <w:name w:val="List Table 6 Colorful - Accent 6"/>
    <w:uiPriority w:val="99"/>
    <w:qFormat/>
    <w:tblPr>
      <w:tblCellMar>
        <w:left w:w="0" w:type="dxa"/>
        <w:top w:w="0" w:type="dxa"/>
        <w:right w:w="0" w:type="dxa"/>
        <w:bottom w:w="0" w:type="dxa"/>
      </w:tblCellMar>
    </w:tblPr>
  </w:style>
  <w:style w:type="table" w:styleId="896" w:customStyle="1">
    <w:name w:val="List Table 7 Colorful - Accent 1"/>
    <w:uiPriority w:val="99"/>
    <w:qFormat/>
    <w:tblPr>
      <w:tblCellMar>
        <w:left w:w="0" w:type="dxa"/>
        <w:top w:w="0" w:type="dxa"/>
        <w:right w:w="0" w:type="dxa"/>
        <w:bottom w:w="0" w:type="dxa"/>
      </w:tblCellMar>
    </w:tblPr>
  </w:style>
  <w:style w:type="table" w:styleId="897" w:customStyle="1">
    <w:name w:val="List Table 7 Colorful - Accent 2"/>
    <w:uiPriority w:val="99"/>
    <w:qFormat/>
    <w:tblPr>
      <w:tblCellMar>
        <w:left w:w="0" w:type="dxa"/>
        <w:top w:w="0" w:type="dxa"/>
        <w:right w:w="0" w:type="dxa"/>
        <w:bottom w:w="0" w:type="dxa"/>
      </w:tblCellMar>
    </w:tblPr>
  </w:style>
  <w:style w:type="table" w:styleId="898" w:customStyle="1">
    <w:name w:val="List Table 7 Colorful - Accent 3"/>
    <w:uiPriority w:val="99"/>
    <w:qFormat/>
    <w:tblPr>
      <w:tblCellMar>
        <w:left w:w="0" w:type="dxa"/>
        <w:top w:w="0" w:type="dxa"/>
        <w:right w:w="0" w:type="dxa"/>
        <w:bottom w:w="0" w:type="dxa"/>
      </w:tblCellMar>
    </w:tblPr>
  </w:style>
  <w:style w:type="table" w:styleId="899" w:customStyle="1">
    <w:name w:val="List Table 7 Colorful - Accent 4"/>
    <w:uiPriority w:val="99"/>
    <w:qFormat/>
    <w:tblPr>
      <w:tblCellMar>
        <w:left w:w="0" w:type="dxa"/>
        <w:top w:w="0" w:type="dxa"/>
        <w:right w:w="0" w:type="dxa"/>
        <w:bottom w:w="0" w:type="dxa"/>
      </w:tblCellMar>
    </w:tblPr>
  </w:style>
  <w:style w:type="table" w:styleId="900" w:customStyle="1">
    <w:name w:val="List Table 7 Colorful - Accent 5"/>
    <w:uiPriority w:val="99"/>
    <w:qFormat/>
    <w:tblPr>
      <w:tblCellMar>
        <w:left w:w="0" w:type="dxa"/>
        <w:top w:w="0" w:type="dxa"/>
        <w:right w:w="0" w:type="dxa"/>
        <w:bottom w:w="0" w:type="dxa"/>
      </w:tblCellMar>
    </w:tblPr>
  </w:style>
  <w:style w:type="table" w:styleId="901" w:customStyle="1">
    <w:name w:val="List Table 7 Colorful - Accent 6"/>
    <w:uiPriority w:val="99"/>
    <w:qFormat/>
    <w:tblPr>
      <w:tblCellMar>
        <w:left w:w="0" w:type="dxa"/>
        <w:top w:w="0" w:type="dxa"/>
        <w:right w:w="0" w:type="dxa"/>
        <w:bottom w:w="0" w:type="dxa"/>
      </w:tblCellMar>
    </w:tblPr>
  </w:style>
  <w:style w:type="table" w:styleId="902" w:customStyle="1">
    <w:name w:val="Lined - Accent"/>
    <w:uiPriority w:val="99"/>
    <w:qFormat/>
    <w:rPr>
      <w:color w:val="404040"/>
    </w:rPr>
    <w:tblPr>
      <w:tblCellMar>
        <w:left w:w="0" w:type="dxa"/>
        <w:top w:w="0" w:type="dxa"/>
        <w:right w:w="0" w:type="dxa"/>
        <w:bottom w:w="0" w:type="dxa"/>
      </w:tblCellMar>
    </w:tblPr>
  </w:style>
  <w:style w:type="table" w:styleId="903" w:customStyle="1">
    <w:name w:val="Lined - Accent 1"/>
    <w:uiPriority w:val="99"/>
    <w:qFormat/>
    <w:rPr>
      <w:color w:val="404040"/>
    </w:rPr>
    <w:tblPr>
      <w:tblCellMar>
        <w:left w:w="0" w:type="dxa"/>
        <w:top w:w="0" w:type="dxa"/>
        <w:right w:w="0" w:type="dxa"/>
        <w:bottom w:w="0" w:type="dxa"/>
      </w:tblCellMar>
    </w:tblPr>
  </w:style>
  <w:style w:type="table" w:styleId="904" w:customStyle="1">
    <w:name w:val="Lined - Accent 2"/>
    <w:uiPriority w:val="99"/>
    <w:qFormat/>
    <w:rPr>
      <w:color w:val="404040"/>
    </w:rPr>
    <w:tblPr>
      <w:tblCellMar>
        <w:left w:w="0" w:type="dxa"/>
        <w:top w:w="0" w:type="dxa"/>
        <w:right w:w="0" w:type="dxa"/>
        <w:bottom w:w="0" w:type="dxa"/>
      </w:tblCellMar>
    </w:tblPr>
  </w:style>
  <w:style w:type="table" w:styleId="905" w:customStyle="1">
    <w:name w:val="Lined - Accent 3"/>
    <w:uiPriority w:val="99"/>
    <w:qFormat/>
    <w:rPr>
      <w:color w:val="404040"/>
    </w:rPr>
    <w:tblPr>
      <w:tblCellMar>
        <w:left w:w="0" w:type="dxa"/>
        <w:top w:w="0" w:type="dxa"/>
        <w:right w:w="0" w:type="dxa"/>
        <w:bottom w:w="0" w:type="dxa"/>
      </w:tblCellMar>
    </w:tblPr>
  </w:style>
  <w:style w:type="table" w:styleId="906" w:customStyle="1">
    <w:name w:val="Lined - Accent 4"/>
    <w:uiPriority w:val="99"/>
    <w:qFormat/>
    <w:rPr>
      <w:color w:val="404040"/>
    </w:rPr>
    <w:tblPr>
      <w:tblCellMar>
        <w:left w:w="0" w:type="dxa"/>
        <w:top w:w="0" w:type="dxa"/>
        <w:right w:w="0" w:type="dxa"/>
        <w:bottom w:w="0" w:type="dxa"/>
      </w:tblCellMar>
    </w:tblPr>
  </w:style>
  <w:style w:type="table" w:styleId="907" w:customStyle="1">
    <w:name w:val="Lined - Accent 5"/>
    <w:uiPriority w:val="99"/>
    <w:qFormat/>
    <w:rPr>
      <w:color w:val="404040"/>
    </w:rPr>
    <w:tblPr>
      <w:tblCellMar>
        <w:left w:w="0" w:type="dxa"/>
        <w:top w:w="0" w:type="dxa"/>
        <w:right w:w="0" w:type="dxa"/>
        <w:bottom w:w="0" w:type="dxa"/>
      </w:tblCellMar>
    </w:tblPr>
  </w:style>
  <w:style w:type="table" w:styleId="908" w:customStyle="1">
    <w:name w:val="Lined - Accent 6"/>
    <w:uiPriority w:val="99"/>
    <w:qFormat/>
    <w:rPr>
      <w:color w:val="404040"/>
    </w:rPr>
    <w:tblPr>
      <w:tblCellMar>
        <w:left w:w="0" w:type="dxa"/>
        <w:top w:w="0" w:type="dxa"/>
        <w:right w:w="0" w:type="dxa"/>
        <w:bottom w:w="0" w:type="dxa"/>
      </w:tblCellMar>
    </w:tblPr>
  </w:style>
  <w:style w:type="table" w:styleId="909" w:customStyle="1">
    <w:name w:val="Bordered &amp; Lined - Accent"/>
    <w:uiPriority w:val="99"/>
    <w:qFormat/>
    <w:rPr>
      <w:color w:val="404040"/>
    </w:rPr>
    <w:tblPr>
      <w:tblCellMar>
        <w:left w:w="0" w:type="dxa"/>
        <w:top w:w="0" w:type="dxa"/>
        <w:right w:w="0" w:type="dxa"/>
        <w:bottom w:w="0" w:type="dxa"/>
      </w:tblCellMar>
    </w:tblPr>
  </w:style>
  <w:style w:type="table" w:styleId="910" w:customStyle="1">
    <w:name w:val="Bordered &amp; Lined - Accent 1"/>
    <w:uiPriority w:val="99"/>
    <w:qFormat/>
    <w:rPr>
      <w:color w:val="404040"/>
    </w:rPr>
    <w:tblPr>
      <w:tblCellMar>
        <w:left w:w="0" w:type="dxa"/>
        <w:top w:w="0" w:type="dxa"/>
        <w:right w:w="0" w:type="dxa"/>
        <w:bottom w:w="0" w:type="dxa"/>
      </w:tblCellMar>
    </w:tblPr>
  </w:style>
  <w:style w:type="table" w:styleId="911" w:customStyle="1">
    <w:name w:val="Bordered &amp; Lined - Accent 2"/>
    <w:uiPriority w:val="99"/>
    <w:qFormat/>
    <w:rPr>
      <w:color w:val="404040"/>
    </w:rPr>
    <w:tblPr>
      <w:tblCellMar>
        <w:left w:w="0" w:type="dxa"/>
        <w:top w:w="0" w:type="dxa"/>
        <w:right w:w="0" w:type="dxa"/>
        <w:bottom w:w="0" w:type="dxa"/>
      </w:tblCellMar>
    </w:tblPr>
  </w:style>
  <w:style w:type="table" w:styleId="912" w:customStyle="1">
    <w:name w:val="Bordered &amp; Lined - Accent 3"/>
    <w:uiPriority w:val="99"/>
    <w:qFormat/>
    <w:rPr>
      <w:color w:val="404040"/>
    </w:rPr>
    <w:tblPr>
      <w:tblCellMar>
        <w:left w:w="0" w:type="dxa"/>
        <w:top w:w="0" w:type="dxa"/>
        <w:right w:w="0" w:type="dxa"/>
        <w:bottom w:w="0" w:type="dxa"/>
      </w:tblCellMar>
    </w:tblPr>
  </w:style>
  <w:style w:type="table" w:styleId="913" w:customStyle="1">
    <w:name w:val="Bordered &amp; Lined - Accent 4"/>
    <w:uiPriority w:val="99"/>
    <w:qFormat/>
    <w:rPr>
      <w:color w:val="404040"/>
    </w:rPr>
    <w:tblPr>
      <w:tblCellMar>
        <w:left w:w="0" w:type="dxa"/>
        <w:top w:w="0" w:type="dxa"/>
        <w:right w:w="0" w:type="dxa"/>
        <w:bottom w:w="0" w:type="dxa"/>
      </w:tblCellMar>
    </w:tblPr>
  </w:style>
  <w:style w:type="table" w:styleId="914" w:customStyle="1">
    <w:name w:val="Bordered &amp; Lined - Accent 5"/>
    <w:uiPriority w:val="99"/>
    <w:qFormat/>
    <w:rPr>
      <w:color w:val="404040"/>
    </w:rPr>
    <w:tblPr>
      <w:tblCellMar>
        <w:left w:w="0" w:type="dxa"/>
        <w:top w:w="0" w:type="dxa"/>
        <w:right w:w="0" w:type="dxa"/>
        <w:bottom w:w="0" w:type="dxa"/>
      </w:tblCellMar>
    </w:tblPr>
  </w:style>
  <w:style w:type="table" w:styleId="915" w:customStyle="1">
    <w:name w:val="Bordered &amp; Lined - Accent 6"/>
    <w:uiPriority w:val="99"/>
    <w:qFormat/>
    <w:rPr>
      <w:color w:val="404040"/>
    </w:rPr>
    <w:tblPr>
      <w:tblCellMar>
        <w:left w:w="0" w:type="dxa"/>
        <w:top w:w="0" w:type="dxa"/>
        <w:right w:w="0" w:type="dxa"/>
        <w:bottom w:w="0" w:type="dxa"/>
      </w:tblCellMar>
    </w:tblPr>
  </w:style>
  <w:style w:type="table" w:styleId="916" w:customStyle="1">
    <w:name w:val="Bordered"/>
    <w:uiPriority w:val="99"/>
    <w:qFormat/>
    <w:tblPr>
      <w:tblCellMar>
        <w:left w:w="0" w:type="dxa"/>
        <w:top w:w="0" w:type="dxa"/>
        <w:right w:w="0" w:type="dxa"/>
        <w:bottom w:w="0" w:type="dxa"/>
      </w:tblCellMar>
    </w:tblPr>
  </w:style>
  <w:style w:type="table" w:styleId="917" w:customStyle="1">
    <w:name w:val="Bordered - Accent 1"/>
    <w:uiPriority w:val="99"/>
    <w:qFormat/>
    <w:tblPr>
      <w:tblCellMar>
        <w:left w:w="0" w:type="dxa"/>
        <w:top w:w="0" w:type="dxa"/>
        <w:right w:w="0" w:type="dxa"/>
        <w:bottom w:w="0" w:type="dxa"/>
      </w:tblCellMar>
    </w:tblPr>
  </w:style>
  <w:style w:type="table" w:styleId="918" w:customStyle="1">
    <w:name w:val="Bordered - Accent 2"/>
    <w:uiPriority w:val="99"/>
    <w:qFormat/>
    <w:tblPr>
      <w:tblCellMar>
        <w:left w:w="0" w:type="dxa"/>
        <w:top w:w="0" w:type="dxa"/>
        <w:right w:w="0" w:type="dxa"/>
        <w:bottom w:w="0" w:type="dxa"/>
      </w:tblCellMar>
    </w:tblPr>
  </w:style>
  <w:style w:type="table" w:styleId="919" w:customStyle="1">
    <w:name w:val="Bordered - Accent 3"/>
    <w:uiPriority w:val="99"/>
    <w:qFormat/>
    <w:tblPr>
      <w:tblCellMar>
        <w:left w:w="0" w:type="dxa"/>
        <w:top w:w="0" w:type="dxa"/>
        <w:right w:w="0" w:type="dxa"/>
        <w:bottom w:w="0" w:type="dxa"/>
      </w:tblCellMar>
    </w:tblPr>
  </w:style>
  <w:style w:type="table" w:styleId="920" w:customStyle="1">
    <w:name w:val="Bordered - Accent 4"/>
    <w:uiPriority w:val="99"/>
    <w:qFormat/>
    <w:tblPr>
      <w:tblCellMar>
        <w:left w:w="0" w:type="dxa"/>
        <w:top w:w="0" w:type="dxa"/>
        <w:right w:w="0" w:type="dxa"/>
        <w:bottom w:w="0" w:type="dxa"/>
      </w:tblCellMar>
    </w:tblPr>
  </w:style>
  <w:style w:type="table" w:styleId="921" w:customStyle="1">
    <w:name w:val="Bordered - Accent 5"/>
    <w:uiPriority w:val="99"/>
    <w:qFormat/>
    <w:tblPr>
      <w:tblCellMar>
        <w:left w:w="0" w:type="dxa"/>
        <w:top w:w="0" w:type="dxa"/>
        <w:right w:w="0" w:type="dxa"/>
        <w:bottom w:w="0" w:type="dxa"/>
      </w:tblCellMar>
    </w:tblPr>
  </w:style>
  <w:style w:type="table" w:styleId="922" w:customStyle="1">
    <w:name w:val="Bordered - Accent 6"/>
    <w:uiPriority w:val="99"/>
    <w:qFormat/>
    <w:tblPr>
      <w:tblCellMar>
        <w:left w:w="0" w:type="dxa"/>
        <w:top w:w="0" w:type="dxa"/>
        <w:right w:w="0" w:type="dxa"/>
        <w:bottom w:w="0" w:type="dxa"/>
      </w:tblCellMar>
    </w:tblPr>
  </w:style>
  <w:style w:type="paragraph" w:styleId="923" w:customStyle="1">
    <w:name w:val="TOC 标题2"/>
    <w:uiPriority w:val="39"/>
    <w:qFormat/>
    <w:rPr>
      <w:rFonts w:ascii="Times New Roman" w:hAnsi="Times New Roman" w:eastAsia="宋体" w:cs="Times New Roman"/>
      <w:lang w:val="en-US" w:eastAsia="zh-CN" w:bidi="ar-SA"/>
    </w:rPr>
  </w:style>
  <w:style w:type="paragraph" w:styleId="924" w:customStyle="1">
    <w:name w:val="标题 11"/>
    <w:basedOn w:val="678"/>
    <w:next w:val="678"/>
    <w:link w:val="925"/>
    <w:uiPriority w:val="0"/>
    <w:qFormat/>
    <w:pPr>
      <w:keepLines/>
      <w:keepNext/>
      <w:spacing w:before="340" w:after="330" w:line="578" w:lineRule="auto"/>
      <w:outlineLvl w:val="0"/>
    </w:pPr>
    <w:rPr>
      <w:b/>
      <w:bCs/>
      <w:sz w:val="44"/>
      <w:szCs w:val="44"/>
    </w:rPr>
  </w:style>
  <w:style w:type="character" w:styleId="925" w:customStyle="1">
    <w:name w:val="标题 1 Char"/>
    <w:link w:val="924"/>
    <w:uiPriority w:val="0"/>
    <w:qFormat/>
    <w:rPr>
      <w:rFonts w:ascii="Times New Roman" w:hAnsi="Times New Roman" w:eastAsia="宋体" w:cs="Times New Roman"/>
      <w:b/>
      <w:bCs/>
      <w:sz w:val="44"/>
      <w:szCs w:val="44"/>
    </w:rPr>
  </w:style>
  <w:style w:type="paragraph" w:styleId="926" w:customStyle="1">
    <w:name w:val="标题 21"/>
    <w:basedOn w:val="678"/>
    <w:next w:val="678"/>
    <w:link w:val="927"/>
    <w:uiPriority w:val="9"/>
    <w:qFormat/>
    <w:pPr>
      <w:keepLines/>
      <w:keepNext/>
      <w:spacing w:before="260" w:after="260" w:line="416" w:lineRule="auto"/>
      <w:outlineLvl w:val="1"/>
    </w:pPr>
    <w:rPr>
      <w:rFonts w:ascii="Arial" w:hAnsi="Arial" w:eastAsia="黑体"/>
      <w:b/>
      <w:bCs/>
      <w:sz w:val="32"/>
      <w:szCs w:val="32"/>
    </w:rPr>
  </w:style>
  <w:style w:type="character" w:styleId="927" w:customStyle="1">
    <w:name w:val="标题 2 Char"/>
    <w:link w:val="926"/>
    <w:uiPriority w:val="9"/>
    <w:qFormat/>
    <w:rPr>
      <w:rFonts w:ascii="Arial" w:hAnsi="Arial" w:eastAsia="黑体" w:cs="Times New Roman"/>
      <w:b/>
      <w:bCs/>
      <w:sz w:val="32"/>
      <w:szCs w:val="32"/>
    </w:rPr>
  </w:style>
  <w:style w:type="paragraph" w:styleId="928" w:customStyle="1">
    <w:name w:val="标题 31"/>
    <w:basedOn w:val="678"/>
    <w:next w:val="678"/>
    <w:link w:val="929"/>
    <w:uiPriority w:val="0"/>
    <w:qFormat/>
    <w:pPr>
      <w:ind w:firstLine="49"/>
      <w:keepLines/>
      <w:keepNext/>
      <w:spacing w:before="20" w:after="20" w:line="415" w:lineRule="auto"/>
      <w:outlineLvl w:val="2"/>
    </w:pPr>
    <w:rPr>
      <w:rFonts w:hAnsi="黑体" w:eastAsia="黑体"/>
      <w:sz w:val="24"/>
      <w:szCs w:val="20"/>
    </w:rPr>
  </w:style>
  <w:style w:type="character" w:styleId="929" w:customStyle="1">
    <w:name w:val="标题 3 Char"/>
    <w:link w:val="928"/>
    <w:uiPriority w:val="0"/>
    <w:qFormat/>
    <w:rPr>
      <w:rFonts w:ascii="Times New Roman" w:hAnsi="黑体" w:eastAsia="黑体" w:cs="Times New Roman"/>
      <w:sz w:val="24"/>
      <w:szCs w:val="20"/>
    </w:rPr>
  </w:style>
  <w:style w:type="paragraph" w:styleId="930" w:customStyle="1">
    <w:name w:val="标题 41"/>
    <w:basedOn w:val="678"/>
    <w:next w:val="678"/>
    <w:link w:val="931"/>
    <w:uiPriority w:val="1"/>
    <w:qFormat/>
    <w:pPr>
      <w:keepLines/>
      <w:keepNext/>
      <w:spacing w:before="280" w:after="290" w:line="376" w:lineRule="auto"/>
      <w:outlineLvl w:val="3"/>
    </w:pPr>
    <w:rPr>
      <w:rFonts w:ascii="Cambria" w:hAnsi="Cambria"/>
      <w:b/>
      <w:bCs/>
      <w:sz w:val="28"/>
      <w:szCs w:val="28"/>
    </w:rPr>
  </w:style>
  <w:style w:type="character" w:styleId="931" w:customStyle="1">
    <w:name w:val="标题 4 Char"/>
    <w:link w:val="930"/>
    <w:uiPriority w:val="1"/>
    <w:qFormat/>
    <w:rPr>
      <w:rFonts w:ascii="Cambria" w:hAnsi="Cambria" w:eastAsia="宋体" w:cs="Times New Roman"/>
      <w:b/>
      <w:bCs/>
      <w:sz w:val="28"/>
      <w:szCs w:val="28"/>
    </w:rPr>
  </w:style>
  <w:style w:type="character" w:styleId="932" w:customStyle="1">
    <w:name w:val="默认段落字体1"/>
    <w:uiPriority w:val="1"/>
    <w:unhideWhenUsed/>
    <w:qFormat/>
  </w:style>
  <w:style w:type="table" w:styleId="933" w:customStyle="1">
    <w:name w:val="普通表格1"/>
    <w:uiPriority w:val="99"/>
    <w:unhideWhenUsed/>
    <w:qFormat/>
    <w:tblPr>
      <w:tblCellMar>
        <w:left w:w="0" w:type="dxa"/>
        <w:top w:w="0" w:type="dxa"/>
        <w:right w:w="0" w:type="dxa"/>
        <w:bottom w:w="0" w:type="dxa"/>
      </w:tblCellMar>
    </w:tblPr>
  </w:style>
  <w:style w:type="paragraph" w:styleId="934" w:customStyle="1">
    <w:name w:val="目录 71"/>
    <w:basedOn w:val="678"/>
    <w:next w:val="678"/>
    <w:uiPriority w:val="0"/>
    <w:qFormat/>
    <w:pPr>
      <w:ind w:left="1200"/>
    </w:pPr>
    <w:rPr>
      <w:szCs w:val="24"/>
    </w:rPr>
  </w:style>
  <w:style w:type="paragraph" w:styleId="935" w:customStyle="1">
    <w:name w:val="正文缩进1"/>
    <w:basedOn w:val="678"/>
    <w:uiPriority w:val="0"/>
    <w:qFormat/>
    <w:pPr>
      <w:ind w:firstLine="200"/>
    </w:pPr>
    <w:rPr>
      <w:szCs w:val="24"/>
    </w:rPr>
  </w:style>
  <w:style w:type="paragraph" w:styleId="936" w:customStyle="1">
    <w:name w:val="批注文字1"/>
    <w:basedOn w:val="678"/>
    <w:link w:val="937"/>
    <w:uiPriority w:val="0"/>
    <w:qFormat/>
    <w:pPr>
      <w:jc w:val="left"/>
    </w:pPr>
    <w:rPr>
      <w:sz w:val="20"/>
      <w:szCs w:val="24"/>
    </w:rPr>
  </w:style>
  <w:style w:type="character" w:styleId="937" w:customStyle="1">
    <w:name w:val="批注文字 Char"/>
    <w:link w:val="936"/>
    <w:uiPriority w:val="0"/>
    <w:qFormat/>
    <w:rPr>
      <w:rFonts w:ascii="Times New Roman" w:hAnsi="Times New Roman" w:eastAsia="宋体" w:cs="Times New Roman"/>
      <w:szCs w:val="24"/>
    </w:rPr>
  </w:style>
  <w:style w:type="paragraph" w:styleId="938" w:customStyle="1">
    <w:name w:val="正文文本1"/>
    <w:basedOn w:val="678"/>
    <w:next w:val="678"/>
    <w:link w:val="939"/>
    <w:uiPriority w:val="0"/>
    <w:qFormat/>
    <w:pPr>
      <w:spacing w:after="120"/>
    </w:pPr>
    <w:rPr>
      <w:sz w:val="20"/>
      <w:szCs w:val="24"/>
    </w:rPr>
  </w:style>
  <w:style w:type="character" w:styleId="939" w:customStyle="1">
    <w:name w:val="正文文本 Char"/>
    <w:link w:val="938"/>
    <w:uiPriority w:val="99"/>
    <w:qFormat/>
    <w:rPr>
      <w:rFonts w:ascii="Times New Roman" w:hAnsi="Times New Roman" w:eastAsia="宋体" w:cs="Times New Roman"/>
      <w:szCs w:val="24"/>
    </w:rPr>
  </w:style>
  <w:style w:type="paragraph" w:styleId="940" w:customStyle="1">
    <w:name w:val="目录 51"/>
    <w:basedOn w:val="678"/>
    <w:next w:val="678"/>
    <w:uiPriority w:val="0"/>
    <w:qFormat/>
    <w:pPr>
      <w:ind w:left="800"/>
    </w:pPr>
    <w:rPr>
      <w:szCs w:val="24"/>
    </w:rPr>
  </w:style>
  <w:style w:type="paragraph" w:styleId="941" w:customStyle="1">
    <w:name w:val="目录 31"/>
    <w:basedOn w:val="678"/>
    <w:next w:val="678"/>
    <w:uiPriority w:val="0"/>
    <w:qFormat/>
    <w:pPr>
      <w:ind w:left="400"/>
    </w:pPr>
    <w:rPr>
      <w:szCs w:val="24"/>
    </w:rPr>
  </w:style>
  <w:style w:type="paragraph" w:styleId="942" w:customStyle="1">
    <w:name w:val="纯文本2"/>
    <w:basedOn w:val="678"/>
    <w:link w:val="943"/>
    <w:uiPriority w:val="0"/>
    <w:qFormat/>
    <w:rPr>
      <w:rFonts w:ascii="宋体" w:hAnsi="Courier New"/>
      <w:sz w:val="20"/>
      <w:szCs w:val="20"/>
    </w:rPr>
  </w:style>
  <w:style w:type="character" w:styleId="943" w:customStyle="1">
    <w:name w:val="纯文本 Char"/>
    <w:link w:val="942"/>
    <w:uiPriority w:val="0"/>
    <w:qFormat/>
    <w:rPr>
      <w:rFonts w:ascii="宋体" w:hAnsi="Courier New" w:eastAsia="宋体" w:cs="Times New Roman"/>
      <w:szCs w:val="20"/>
    </w:rPr>
  </w:style>
  <w:style w:type="paragraph" w:styleId="944" w:customStyle="1">
    <w:name w:val="目录 81"/>
    <w:basedOn w:val="678"/>
    <w:next w:val="678"/>
    <w:uiPriority w:val="0"/>
    <w:qFormat/>
    <w:pPr>
      <w:ind w:left="1400"/>
    </w:pPr>
    <w:rPr>
      <w:szCs w:val="24"/>
    </w:rPr>
  </w:style>
  <w:style w:type="paragraph" w:styleId="945" w:customStyle="1">
    <w:name w:val="日期1"/>
    <w:basedOn w:val="678"/>
    <w:next w:val="678"/>
    <w:link w:val="946"/>
    <w:uiPriority w:val="0"/>
    <w:qFormat/>
    <w:rPr>
      <w:rFonts w:ascii="宋体" w:hAnsi="宋体" w:eastAsia="楷体_GB2312"/>
      <w:sz w:val="24"/>
      <w:szCs w:val="20"/>
    </w:rPr>
  </w:style>
  <w:style w:type="character" w:styleId="946" w:customStyle="1">
    <w:name w:val="日期 Char"/>
    <w:link w:val="945"/>
    <w:uiPriority w:val="0"/>
    <w:qFormat/>
    <w:rPr>
      <w:rFonts w:ascii="宋体" w:hAnsi="宋体" w:eastAsia="楷体_GB2312" w:cs="Times New Roman"/>
      <w:sz w:val="24"/>
      <w:szCs w:val="20"/>
    </w:rPr>
  </w:style>
  <w:style w:type="paragraph" w:styleId="947" w:customStyle="1">
    <w:name w:val="批注框文本1"/>
    <w:basedOn w:val="678"/>
    <w:link w:val="948"/>
    <w:uiPriority w:val="0"/>
    <w:qFormat/>
    <w:rPr>
      <w:sz w:val="18"/>
      <w:szCs w:val="18"/>
    </w:rPr>
  </w:style>
  <w:style w:type="character" w:styleId="948" w:customStyle="1">
    <w:name w:val="批注框文本 Char"/>
    <w:link w:val="947"/>
    <w:uiPriority w:val="0"/>
    <w:qFormat/>
    <w:rPr>
      <w:rFonts w:ascii="Times New Roman" w:hAnsi="Times New Roman" w:eastAsia="宋体" w:cs="Times New Roman"/>
      <w:sz w:val="18"/>
      <w:szCs w:val="18"/>
    </w:rPr>
  </w:style>
  <w:style w:type="paragraph" w:styleId="949" w:customStyle="1">
    <w:name w:val="页脚1"/>
    <w:basedOn w:val="678"/>
    <w:link w:val="950"/>
    <w:uiPriority w:val="99"/>
    <w:qFormat/>
    <w:pPr>
      <w:jc w:val="left"/>
      <w:tabs>
        <w:tab w:val="center" w:pos="4153" w:leader="none"/>
        <w:tab w:val="right" w:pos="8306" w:leader="none"/>
      </w:tabs>
    </w:pPr>
    <w:rPr>
      <w:sz w:val="18"/>
      <w:szCs w:val="20"/>
    </w:rPr>
  </w:style>
  <w:style w:type="character" w:styleId="950" w:customStyle="1">
    <w:name w:val="页脚 Char"/>
    <w:link w:val="949"/>
    <w:uiPriority w:val="99"/>
    <w:qFormat/>
    <w:rPr>
      <w:rFonts w:ascii="Times New Roman" w:hAnsi="Times New Roman" w:eastAsia="宋体" w:cs="Times New Roman"/>
      <w:sz w:val="18"/>
      <w:szCs w:val="20"/>
    </w:rPr>
  </w:style>
  <w:style w:type="paragraph" w:styleId="951" w:customStyle="1">
    <w:name w:val="页眉1"/>
    <w:basedOn w:val="678"/>
    <w:link w:val="952"/>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Char"/>
    <w:link w:val="951"/>
    <w:uiPriority w:val="0"/>
    <w:qFormat/>
    <w:rPr>
      <w:rFonts w:ascii="Times New Roman" w:hAnsi="Times New Roman" w:eastAsia="宋体" w:cs="Times New Roman"/>
      <w:sz w:val="18"/>
      <w:szCs w:val="18"/>
    </w:rPr>
  </w:style>
  <w:style w:type="paragraph" w:styleId="953" w:customStyle="1">
    <w:name w:val="目录 11"/>
    <w:basedOn w:val="678"/>
    <w:next w:val="678"/>
    <w:uiPriority w:val="39"/>
    <w:qFormat/>
    <w:rPr>
      <w:szCs w:val="24"/>
    </w:rPr>
  </w:style>
  <w:style w:type="paragraph" w:styleId="954" w:customStyle="1">
    <w:name w:val="目录 41"/>
    <w:basedOn w:val="678"/>
    <w:next w:val="678"/>
    <w:uiPriority w:val="0"/>
    <w:qFormat/>
    <w:pPr>
      <w:ind w:left="600"/>
    </w:pPr>
    <w:rPr>
      <w:szCs w:val="24"/>
    </w:rPr>
  </w:style>
  <w:style w:type="paragraph" w:styleId="955" w:customStyle="1">
    <w:name w:val="脚注文本1"/>
    <w:basedOn w:val="678"/>
    <w:link w:val="956"/>
    <w:uiPriority w:val="0"/>
    <w:qFormat/>
    <w:pPr>
      <w:jc w:val="left"/>
    </w:pPr>
    <w:rPr>
      <w:sz w:val="18"/>
      <w:szCs w:val="18"/>
    </w:rPr>
  </w:style>
  <w:style w:type="character" w:styleId="956" w:customStyle="1">
    <w:name w:val="脚注文本 Char"/>
    <w:link w:val="955"/>
    <w:uiPriority w:val="0"/>
    <w:qFormat/>
    <w:rPr>
      <w:rFonts w:ascii="Times New Roman" w:hAnsi="Times New Roman" w:eastAsia="宋体" w:cs="Times New Roman"/>
      <w:sz w:val="18"/>
      <w:szCs w:val="18"/>
    </w:rPr>
  </w:style>
  <w:style w:type="paragraph" w:styleId="957" w:customStyle="1">
    <w:name w:val="目录 61"/>
    <w:basedOn w:val="678"/>
    <w:next w:val="678"/>
    <w:uiPriority w:val="0"/>
    <w:qFormat/>
    <w:pPr>
      <w:ind w:left="1000"/>
    </w:pPr>
    <w:rPr>
      <w:szCs w:val="24"/>
    </w:rPr>
  </w:style>
  <w:style w:type="paragraph" w:styleId="958" w:customStyle="1">
    <w:name w:val="目录 21"/>
    <w:basedOn w:val="678"/>
    <w:next w:val="678"/>
    <w:uiPriority w:val="0"/>
    <w:qFormat/>
    <w:pPr>
      <w:ind w:left="200"/>
    </w:pPr>
    <w:rPr>
      <w:szCs w:val="24"/>
    </w:rPr>
  </w:style>
  <w:style w:type="paragraph" w:styleId="959" w:customStyle="1">
    <w:name w:val="目录 91"/>
    <w:basedOn w:val="678"/>
    <w:next w:val="678"/>
    <w:uiPriority w:val="0"/>
    <w:qFormat/>
    <w:pPr>
      <w:ind w:left="1600"/>
    </w:pPr>
    <w:rPr>
      <w:szCs w:val="24"/>
    </w:rPr>
  </w:style>
  <w:style w:type="paragraph" w:styleId="960" w:customStyle="1">
    <w:name w:val="普通(网站)1"/>
    <w:basedOn w:val="678"/>
    <w:uiPriority w:val="0"/>
    <w:qFormat/>
    <w:pPr>
      <w:jc w:val="left"/>
      <w:spacing w:beforeAutospacing="1" w:afterAutospacing="1"/>
    </w:pPr>
    <w:rPr>
      <w:sz w:val="24"/>
      <w:szCs w:val="24"/>
    </w:rPr>
  </w:style>
  <w:style w:type="paragraph" w:styleId="961" w:customStyle="1">
    <w:name w:val="批注主题1"/>
    <w:basedOn w:val="936"/>
    <w:next w:val="936"/>
    <w:link w:val="962"/>
    <w:uiPriority w:val="0"/>
    <w:qFormat/>
    <w:rPr>
      <w:b/>
      <w:bCs/>
    </w:rPr>
  </w:style>
  <w:style w:type="character" w:styleId="962" w:customStyle="1">
    <w:name w:val="批注主题 Char"/>
    <w:link w:val="961"/>
    <w:uiPriority w:val="0"/>
    <w:qFormat/>
    <w:rPr>
      <w:rFonts w:ascii="Times New Roman" w:hAnsi="Times New Roman" w:eastAsia="宋体" w:cs="Times New Roman"/>
      <w:b/>
      <w:bCs/>
      <w:szCs w:val="24"/>
    </w:rPr>
  </w:style>
  <w:style w:type="table" w:styleId="963" w:customStyle="1">
    <w:name w:val="网格型1"/>
    <w:basedOn w:val="933"/>
    <w:uiPriority w:val="0"/>
    <w:qFormat/>
    <w:pPr>
      <w:jc w:val="both"/>
      <w:widowControl w:val="off"/>
    </w:pPr>
    <w:tblPr/>
  </w:style>
  <w:style w:type="character" w:styleId="964" w:customStyle="1">
    <w:name w:val="要点1"/>
    <w:uiPriority w:val="0"/>
    <w:qFormat/>
    <w:rPr>
      <w:b/>
      <w:sz w:val="24"/>
      <w:szCs w:val="24"/>
    </w:rPr>
  </w:style>
  <w:style w:type="character" w:styleId="965" w:customStyle="1">
    <w:name w:val="访问过的超链接1"/>
    <w:uiPriority w:val="0"/>
    <w:qFormat/>
    <w:rPr>
      <w:color w:val="800080"/>
      <w:u w:val="none"/>
    </w:rPr>
  </w:style>
  <w:style w:type="character" w:styleId="966" w:customStyle="1">
    <w:name w:val="强调1"/>
    <w:uiPriority w:val="0"/>
    <w:qFormat/>
    <w:rPr>
      <w:color w:val="cc0000"/>
      <w:sz w:val="24"/>
      <w:szCs w:val="24"/>
    </w:rPr>
  </w:style>
  <w:style w:type="character" w:styleId="967" w:customStyle="1">
    <w:name w:val="HTML 定义1"/>
    <w:uiPriority w:val="0"/>
    <w:qFormat/>
  </w:style>
  <w:style w:type="character" w:styleId="968" w:customStyle="1">
    <w:name w:val="HTML 缩写1"/>
    <w:uiPriority w:val="0"/>
    <w:qFormat/>
  </w:style>
  <w:style w:type="character" w:styleId="969" w:customStyle="1">
    <w:name w:val="HTML 变量1"/>
    <w:uiPriority w:val="0"/>
    <w:qFormat/>
  </w:style>
  <w:style w:type="character" w:styleId="970" w:customStyle="1">
    <w:name w:val="超链接1"/>
    <w:uiPriority w:val="99"/>
    <w:qFormat/>
    <w:rPr>
      <w:color w:val="555555"/>
      <w:u w:val="none"/>
    </w:rPr>
  </w:style>
  <w:style w:type="character" w:styleId="971" w:customStyle="1">
    <w:name w:val="HTML 代码1"/>
    <w:uiPriority w:val="0"/>
    <w:qFormat/>
    <w:rPr>
      <w:rFonts w:ascii="monospace" w:hAnsi="monospace" w:eastAsia="monospace" w:cs="monospace"/>
      <w:color w:val="555555"/>
      <w:sz w:val="24"/>
      <w:szCs w:val="24"/>
      <w:u w:val="none"/>
    </w:rPr>
  </w:style>
  <w:style w:type="character" w:styleId="972" w:customStyle="1">
    <w:name w:val="批注引用1"/>
    <w:uiPriority w:val="0"/>
    <w:qFormat/>
    <w:rPr>
      <w:sz w:val="21"/>
      <w:szCs w:val="21"/>
    </w:rPr>
  </w:style>
  <w:style w:type="character" w:styleId="973" w:customStyle="1">
    <w:name w:val="HTML 引文1"/>
    <w:uiPriority w:val="0"/>
    <w:qFormat/>
  </w:style>
  <w:style w:type="character" w:styleId="974" w:customStyle="1">
    <w:name w:val="脚注引用1"/>
    <w:uiPriority w:val="0"/>
    <w:qFormat/>
    <w:rPr>
      <w:vertAlign w:val="superscript"/>
    </w:rPr>
  </w:style>
  <w:style w:type="character" w:styleId="975" w:customStyle="1">
    <w:name w:val="HTML 键盘1"/>
    <w:uiPriority w:val="0"/>
    <w:qFormat/>
    <w:rPr>
      <w:rFonts w:ascii="monospace" w:hAnsi="monospace" w:eastAsia="monospace" w:cs="monospace"/>
      <w:sz w:val="24"/>
      <w:szCs w:val="24"/>
    </w:rPr>
  </w:style>
  <w:style w:type="character" w:styleId="976" w:customStyle="1">
    <w:name w:val="HTML 样本1"/>
    <w:uiPriority w:val="0"/>
    <w:qFormat/>
    <w:rPr>
      <w:rFonts w:ascii="monospace" w:hAnsi="monospace" w:eastAsia="monospace" w:cs="monospace"/>
      <w:sz w:val="24"/>
      <w:szCs w:val="24"/>
    </w:rPr>
  </w:style>
  <w:style w:type="paragraph" w:styleId="977" w:customStyle="1">
    <w:name w:val="段"/>
    <w:next w:val="678"/>
    <w:uiPriority w:val="0"/>
    <w:qFormat/>
    <w:pPr>
      <w:ind w:firstLine="200"/>
      <w:jc w:val="both"/>
    </w:pPr>
    <w:rPr>
      <w:rFonts w:ascii="宋体" w:hAnsi="Times New Roman" w:eastAsia="宋体" w:cs="Times New Roman"/>
      <w:sz w:val="21"/>
      <w:lang w:val="en-US" w:eastAsia="zh-CN" w:bidi="ar-SA"/>
    </w:rPr>
  </w:style>
  <w:style w:type="character" w:styleId="978" w:customStyle="1">
    <w:name w:val="place2"/>
    <w:uiPriority w:val="0"/>
    <w:qFormat/>
    <w:rPr>
      <w:rFonts w:ascii="微软雅黑" w:hAnsi="微软雅黑" w:eastAsia="微软雅黑" w:cs="微软雅黑"/>
      <w:color w:val="888888"/>
      <w:sz w:val="25"/>
      <w:szCs w:val="25"/>
    </w:rPr>
  </w:style>
  <w:style w:type="character" w:styleId="979" w:customStyle="1">
    <w:name w:val="ui-bz-bg-hover"/>
    <w:uiPriority w:val="0"/>
    <w:qFormat/>
    <w:rPr>
      <w:shd w:val="clear" w:color="auto" w:fill="000000"/>
    </w:rPr>
  </w:style>
  <w:style w:type="character" w:styleId="980" w:customStyle="1">
    <w:name w:val="font1"/>
    <w:uiPriority w:val="0"/>
    <w:qFormat/>
  </w:style>
  <w:style w:type="character" w:styleId="981" w:customStyle="1">
    <w:name w:val="place3"/>
    <w:uiPriority w:val="0"/>
    <w:qFormat/>
  </w:style>
  <w:style w:type="character" w:styleId="982" w:customStyle="1">
    <w:name w:val="bds_more1"/>
    <w:uiPriority w:val="0"/>
    <w:qFormat/>
  </w:style>
  <w:style w:type="character" w:styleId="983" w:customStyle="1">
    <w:name w:val="bds_nopic1"/>
    <w:uiPriority w:val="0"/>
    <w:qFormat/>
  </w:style>
  <w:style w:type="character" w:styleId="984" w:customStyle="1">
    <w:name w:val="redfilefwwh"/>
    <w:uiPriority w:val="0"/>
    <w:qFormat/>
    <w:rPr>
      <w:color w:val="ba2636"/>
      <w:sz w:val="18"/>
      <w:szCs w:val="18"/>
    </w:rPr>
  </w:style>
  <w:style w:type="character" w:styleId="985" w:customStyle="1">
    <w:name w:val="bds_nopic2"/>
    <w:uiPriority w:val="0"/>
    <w:qFormat/>
  </w:style>
  <w:style w:type="character" w:styleId="986" w:customStyle="1">
    <w:name w:val="top-icon"/>
    <w:uiPriority w:val="0"/>
    <w:qFormat/>
  </w:style>
  <w:style w:type="character" w:styleId="987" w:customStyle="1">
    <w:name w:val="no42"/>
    <w:uiPriority w:val="0"/>
    <w:qFormat/>
  </w:style>
  <w:style w:type="character" w:styleId="988" w:customStyle="1">
    <w:name w:val="hover"/>
    <w:uiPriority w:val="0"/>
    <w:qFormat/>
    <w:rPr>
      <w:color w:val="025291"/>
    </w:rPr>
  </w:style>
  <w:style w:type="character" w:styleId="989" w:customStyle="1">
    <w:name w:val="qxdate"/>
    <w:uiPriority w:val="0"/>
    <w:qFormat/>
    <w:rPr>
      <w:color w:val="333333"/>
      <w:sz w:val="18"/>
      <w:szCs w:val="18"/>
    </w:rPr>
  </w:style>
  <w:style w:type="character" w:styleId="990" w:customStyle="1">
    <w:name w:val="displayarti"/>
    <w:uiPriority w:val="0"/>
    <w:qFormat/>
    <w:rPr>
      <w:color w:val="ffffff"/>
      <w:shd w:val="clear" w:color="auto" w:fill="a00000"/>
    </w:rPr>
  </w:style>
  <w:style w:type="character" w:styleId="991" w:customStyle="1">
    <w:name w:val="tip7"/>
    <w:uiPriority w:val="0"/>
    <w:qFormat/>
    <w:rPr>
      <w:vanish/>
      <w:color w:val="ff0000"/>
      <w:sz w:val="18"/>
      <w:szCs w:val="18"/>
    </w:rPr>
  </w:style>
  <w:style w:type="character" w:styleId="992" w:customStyle="1">
    <w:name w:val="orange6"/>
    <w:uiPriority w:val="0"/>
    <w:qFormat/>
    <w:rPr>
      <w:color w:val="3fb58f"/>
    </w:rPr>
  </w:style>
  <w:style w:type="character" w:styleId="993" w:customStyle="1">
    <w:name w:val="ico-jiang1"/>
    <w:uiPriority w:val="0"/>
    <w:qFormat/>
  </w:style>
  <w:style w:type="character" w:styleId="994" w:customStyle="1">
    <w:name w:val="font"/>
    <w:uiPriority w:val="0"/>
    <w:qFormat/>
  </w:style>
  <w:style w:type="character" w:styleId="995" w:customStyle="1">
    <w:name w:val="prev"/>
    <w:uiPriority w:val="0"/>
    <w:qFormat/>
    <w:rPr>
      <w:color w:val="888888"/>
    </w:rPr>
  </w:style>
  <w:style w:type="character" w:styleId="996" w:customStyle="1">
    <w:name w:val="no72"/>
    <w:uiPriority w:val="0"/>
    <w:qFormat/>
  </w:style>
  <w:style w:type="character" w:styleId="997" w:customStyle="1">
    <w:name w:val="ui-bz-bg-hover1"/>
    <w:uiPriority w:val="0"/>
    <w:qFormat/>
  </w:style>
  <w:style w:type="character" w:styleId="998" w:customStyle="1">
    <w:name w:val="font31"/>
    <w:uiPriority w:val="0"/>
    <w:qFormat/>
    <w:rPr>
      <w:rFonts w:hint="eastAsia" w:ascii="宋体" w:hAnsi="宋体" w:eastAsia="宋体" w:cs="宋体"/>
      <w:color w:val="000000"/>
      <w:sz w:val="22"/>
      <w:szCs w:val="22"/>
      <w:u w:val="none"/>
    </w:rPr>
  </w:style>
  <w:style w:type="character" w:styleId="999" w:customStyle="1">
    <w:name w:val="font41"/>
    <w:uiPriority w:val="0"/>
    <w:qFormat/>
    <w:rPr>
      <w:rFonts w:hint="eastAsia" w:ascii="宋体" w:hAnsi="宋体" w:eastAsia="宋体" w:cs="宋体"/>
      <w:color w:val="000000"/>
      <w:sz w:val="22"/>
      <w:szCs w:val="22"/>
      <w:u w:val="none"/>
    </w:rPr>
  </w:style>
  <w:style w:type="character" w:styleId="1000" w:customStyle="1">
    <w:name w:val="ico-jiang"/>
    <w:uiPriority w:val="0"/>
    <w:qFormat/>
  </w:style>
  <w:style w:type="character" w:styleId="1001" w:customStyle="1">
    <w:name w:val="f-star"/>
    <w:uiPriority w:val="0"/>
    <w:qFormat/>
    <w:rPr>
      <w:color w:val="999999"/>
      <w:sz w:val="21"/>
      <w:szCs w:val="21"/>
    </w:rPr>
  </w:style>
  <w:style w:type="character" w:styleId="1002" w:customStyle="1">
    <w:name w:val="next3"/>
    <w:uiPriority w:val="0"/>
    <w:qFormat/>
    <w:rPr>
      <w:rFonts w:hint="eastAsia" w:ascii="微软雅黑" w:hAnsi="微软雅黑" w:eastAsia="微软雅黑" w:cs="微软雅黑"/>
      <w:sz w:val="21"/>
      <w:szCs w:val="21"/>
    </w:rPr>
  </w:style>
  <w:style w:type="character" w:styleId="1003" w:customStyle="1">
    <w:name w:val="bds_more"/>
    <w:uiPriority w:val="0"/>
    <w:qFormat/>
    <w:rPr>
      <w:rFonts w:hint="eastAsia" w:ascii="宋体" w:hAnsi="宋体" w:eastAsia="宋体" w:cs="宋体"/>
    </w:rPr>
  </w:style>
  <w:style w:type="character" w:styleId="1004" w:customStyle="1">
    <w:name w:val="font11"/>
    <w:uiPriority w:val="0"/>
    <w:qFormat/>
    <w:rPr>
      <w:rFonts w:hint="eastAsia" w:ascii="仿宋" w:hAnsi="仿宋" w:eastAsia="仿宋" w:cs="仿宋"/>
      <w:color w:val="000000"/>
      <w:sz w:val="24"/>
      <w:szCs w:val="24"/>
      <w:u w:val="none"/>
    </w:rPr>
  </w:style>
  <w:style w:type="character" w:styleId="1005" w:customStyle="1">
    <w:name w:val="redfilenumber"/>
    <w:uiPriority w:val="0"/>
    <w:qFormat/>
    <w:rPr>
      <w:color w:val="ba2636"/>
      <w:sz w:val="18"/>
      <w:szCs w:val="18"/>
    </w:rPr>
  </w:style>
  <w:style w:type="character" w:styleId="1006" w:customStyle="1">
    <w:name w:val="cfdate"/>
    <w:uiPriority w:val="0"/>
    <w:qFormat/>
    <w:rPr>
      <w:color w:val="333333"/>
      <w:sz w:val="18"/>
      <w:szCs w:val="18"/>
    </w:rPr>
  </w:style>
  <w:style w:type="character" w:styleId="1007" w:customStyle="1">
    <w:name w:val="next2"/>
    <w:uiPriority w:val="0"/>
    <w:qFormat/>
    <w:rPr>
      <w:color w:val="888888"/>
    </w:rPr>
  </w:style>
  <w:style w:type="character" w:styleId="1008" w:customStyle="1">
    <w:name w:val="font61"/>
    <w:uiPriority w:val="0"/>
    <w:qFormat/>
    <w:rPr>
      <w:rFonts w:hint="eastAsia" w:ascii="宋体" w:hAnsi="宋体" w:eastAsia="宋体" w:cs="宋体"/>
      <w:color w:val="000000"/>
      <w:sz w:val="22"/>
      <w:szCs w:val="22"/>
      <w:u w:val="none"/>
    </w:rPr>
  </w:style>
  <w:style w:type="character" w:styleId="1009" w:customStyle="1">
    <w:name w:val="bds_nopic"/>
    <w:uiPriority w:val="0"/>
    <w:qFormat/>
  </w:style>
  <w:style w:type="character" w:styleId="1010" w:customStyle="1">
    <w:name w:val="laypage_curr"/>
    <w:uiPriority w:val="0"/>
    <w:qFormat/>
    <w:rPr>
      <w:color w:val="fffdf4"/>
      <w:shd w:val="clear" w:color="auto" w:fill="0b67a6"/>
    </w:rPr>
  </w:style>
  <w:style w:type="character" w:styleId="1011" w:customStyle="1">
    <w:name w:val="gwds_nopic2"/>
    <w:uiPriority w:val="0"/>
    <w:qFormat/>
  </w:style>
  <w:style w:type="character" w:styleId="1012" w:customStyle="1">
    <w:name w:val="no62"/>
    <w:uiPriority w:val="0"/>
    <w:qFormat/>
  </w:style>
  <w:style w:type="character" w:styleId="1013" w:customStyle="1">
    <w:name w:val="font21"/>
    <w:uiPriority w:val="0"/>
    <w:qFormat/>
    <w:rPr>
      <w:rFonts w:hint="eastAsia" w:ascii="宋体" w:hAnsi="宋体" w:eastAsia="宋体" w:cs="宋体"/>
      <w:color w:val="000000"/>
      <w:sz w:val="24"/>
      <w:szCs w:val="24"/>
      <w:u w:val="none"/>
    </w:rPr>
  </w:style>
  <w:style w:type="character" w:styleId="1014" w:customStyle="1">
    <w:name w:val="hover17"/>
    <w:uiPriority w:val="0"/>
    <w:qFormat/>
    <w:rPr>
      <w:color w:val="025291"/>
    </w:rPr>
  </w:style>
  <w:style w:type="character" w:styleId="1015" w:customStyle="1">
    <w:name w:val="prev1"/>
    <w:uiPriority w:val="0"/>
    <w:qFormat/>
    <w:rPr>
      <w:rFonts w:ascii="微软雅黑" w:hAnsi="微软雅黑" w:eastAsia="微软雅黑" w:cs="微软雅黑"/>
      <w:sz w:val="21"/>
      <w:szCs w:val="21"/>
    </w:rPr>
  </w:style>
  <w:style w:type="character" w:styleId="1016" w:customStyle="1">
    <w:name w:val="t-tag"/>
    <w:uiPriority w:val="0"/>
    <w:qFormat/>
    <w:rPr>
      <w:color w:val="ffffff"/>
      <w:sz w:val="18"/>
      <w:szCs w:val="18"/>
      <w:shd w:val="clear" w:color="auto" w:fill="fe8833"/>
    </w:rPr>
  </w:style>
  <w:style w:type="character" w:styleId="1017" w:customStyle="1">
    <w:name w:val="org_name2"/>
    <w:uiPriority w:val="0"/>
    <w:qFormat/>
    <w:rPr>
      <w:color w:val="ff0000"/>
      <w:sz w:val="21"/>
      <w:szCs w:val="21"/>
    </w:rPr>
  </w:style>
  <w:style w:type="character" w:styleId="1018" w:customStyle="1">
    <w:name w:val="font01"/>
    <w:uiPriority w:val="99"/>
    <w:qFormat/>
    <w:rPr>
      <w:rFonts w:hint="eastAsia" w:ascii="宋体" w:hAnsi="宋体" w:eastAsia="宋体" w:cs="宋体"/>
      <w:color w:val="000000"/>
      <w:sz w:val="22"/>
      <w:szCs w:val="22"/>
      <w:u w:val="none"/>
    </w:rPr>
  </w:style>
  <w:style w:type="character" w:styleId="1019" w:customStyle="1">
    <w:name w:val="noline"/>
    <w:uiPriority w:val="0"/>
    <w:qFormat/>
  </w:style>
  <w:style w:type="character" w:styleId="1020" w:customStyle="1">
    <w:name w:val="place"/>
    <w:uiPriority w:val="0"/>
    <w:qFormat/>
  </w:style>
  <w:style w:type="character" w:styleId="1021" w:customStyle="1">
    <w:name w:val="place1"/>
    <w:uiPriority w:val="0"/>
    <w:qFormat/>
  </w:style>
  <w:style w:type="character" w:styleId="1022" w:customStyle="1">
    <w:name w:val="no52"/>
    <w:uiPriority w:val="0"/>
    <w:qFormat/>
  </w:style>
  <w:style w:type="character" w:styleId="1023" w:customStyle="1">
    <w:name w:val="my-notice1"/>
    <w:uiPriority w:val="0"/>
    <w:qFormat/>
  </w:style>
  <w:style w:type="character" w:styleId="1024" w:customStyle="1">
    <w:name w:val="gjfg"/>
    <w:uiPriority w:val="0"/>
    <w:qFormat/>
  </w:style>
  <w:style w:type="character" w:styleId="1025" w:customStyle="1">
    <w:name w:val="gwds_nopic1"/>
    <w:uiPriority w:val="0"/>
    <w:qFormat/>
  </w:style>
  <w:style w:type="character" w:styleId="1026" w:customStyle="1">
    <w:name w:val="gwds_nopic"/>
    <w:uiPriority w:val="0"/>
    <w:qFormat/>
  </w:style>
  <w:style w:type="character" w:styleId="1027" w:customStyle="1">
    <w:name w:val="bds_more2"/>
    <w:uiPriority w:val="0"/>
    <w:qFormat/>
  </w:style>
  <w:style w:type="character" w:styleId="1028" w:customStyle="1">
    <w:name w:val="my-class"/>
    <w:uiPriority w:val="0"/>
    <w:qFormat/>
  </w:style>
  <w:style w:type="character" w:styleId="1029" w:customStyle="1">
    <w:name w:val="hover18"/>
    <w:uiPriority w:val="0"/>
    <w:qFormat/>
    <w:rPr>
      <w:color w:val="025291"/>
    </w:rPr>
  </w:style>
  <w:style w:type="character" w:styleId="1030" w:customStyle="1">
    <w:name w:val="tip6"/>
    <w:uiPriority w:val="0"/>
    <w:qFormat/>
  </w:style>
  <w:style w:type="character" w:styleId="1031" w:customStyle="1">
    <w:name w:val="nth-child(1)"/>
    <w:uiPriority w:val="0"/>
    <w:qFormat/>
  </w:style>
  <w:style w:type="character" w:styleId="1032" w:customStyle="1">
    <w:name w:val="nth-child(1)1"/>
    <w:uiPriority w:val="0"/>
    <w:qFormat/>
  </w:style>
  <w:style w:type="character" w:styleId="1033" w:customStyle="1">
    <w:name w:val="pause-close"/>
    <w:uiPriority w:val="0"/>
    <w:qFormat/>
  </w:style>
  <w:style w:type="character" w:styleId="1034" w:customStyle="1">
    <w:name w:val="before"/>
    <w:uiPriority w:val="0"/>
    <w:qFormat/>
  </w:style>
  <w:style w:type="character" w:styleId="1035" w:customStyle="1">
    <w:name w:val="before1"/>
    <w:uiPriority w:val="0"/>
    <w:qFormat/>
  </w:style>
  <w:style w:type="character" w:styleId="1036" w:customStyle="1">
    <w:name w:val="after2"/>
    <w:uiPriority w:val="0"/>
    <w:qFormat/>
  </w:style>
  <w:style w:type="character" w:styleId="1037" w:customStyle="1">
    <w:name w:val="nth-child(2)"/>
    <w:uiPriority w:val="0"/>
    <w:qFormat/>
    <w:rPr>
      <w:b/>
      <w:sz w:val="36"/>
      <w:szCs w:val="36"/>
    </w:rPr>
  </w:style>
  <w:style w:type="character" w:styleId="1038" w:customStyle="1">
    <w:name w:val="nth-child(2)1"/>
    <w:uiPriority w:val="0"/>
    <w:qFormat/>
    <w:rPr>
      <w:rFonts w:ascii="iconfont" w:hAnsi="iconfont" w:eastAsia="iconfont" w:cs="iconfont"/>
    </w:rPr>
  </w:style>
  <w:style w:type="character" w:styleId="1039" w:customStyle="1">
    <w:name w:val="more1"/>
    <w:uiPriority w:val="0"/>
    <w:qFormat/>
    <w:rPr>
      <w:color w:val="666666"/>
      <w:sz w:val="18"/>
      <w:szCs w:val="18"/>
    </w:rPr>
  </w:style>
  <w:style w:type="character" w:styleId="1040" w:customStyle="1">
    <w:name w:val="ing"/>
    <w:uiPriority w:val="0"/>
    <w:qFormat/>
    <w:rPr>
      <w:color w:val="00b882"/>
    </w:rPr>
  </w:style>
  <w:style w:type="character" w:styleId="1041" w:customStyle="1">
    <w:name w:val="ing1"/>
    <w:uiPriority w:val="0"/>
    <w:qFormat/>
    <w:rPr>
      <w:color w:val="00b882"/>
    </w:rPr>
  </w:style>
  <w:style w:type="character" w:styleId="1042" w:customStyle="1">
    <w:name w:val="bg-icon2"/>
    <w:uiPriority w:val="0"/>
    <w:qFormat/>
    <w:rPr>
      <w:color w:val="00b28e"/>
    </w:rPr>
  </w:style>
  <w:style w:type="character" w:styleId="1043" w:customStyle="1">
    <w:name w:val="text6"/>
    <w:uiPriority w:val="0"/>
    <w:qFormat/>
  </w:style>
  <w:style w:type="character" w:styleId="1044" w:customStyle="1">
    <w:name w:val="hover34"/>
    <w:uiPriority w:val="0"/>
    <w:qFormat/>
    <w:rPr>
      <w:color w:val="00b882"/>
      <w:u w:val="single"/>
    </w:rPr>
  </w:style>
  <w:style w:type="character" w:styleId="1045" w:customStyle="1">
    <w:name w:val="hover35"/>
    <w:uiPriority w:val="0"/>
    <w:qFormat/>
    <w:rPr>
      <w:color w:val="ffffff"/>
    </w:rPr>
  </w:style>
  <w:style w:type="character" w:styleId="1046" w:customStyle="1">
    <w:name w:val="icons14"/>
    <w:uiPriority w:val="0"/>
    <w:qFormat/>
  </w:style>
  <w:style w:type="character" w:styleId="1047" w:customStyle="1">
    <w:name w:val="default-color"/>
    <w:uiPriority w:val="0"/>
    <w:qFormat/>
    <w:rPr>
      <w:sz w:val="24"/>
      <w:szCs w:val="24"/>
    </w:rPr>
  </w:style>
  <w:style w:type="character" w:styleId="1048" w:customStyle="1">
    <w:name w:val="default-color1"/>
    <w:uiPriority w:val="0"/>
    <w:qFormat/>
  </w:style>
  <w:style w:type="character" w:styleId="1049" w:customStyle="1">
    <w:name w:val="complete2"/>
    <w:uiPriority w:val="0"/>
    <w:qFormat/>
    <w:rPr>
      <w:shd w:val="clear" w:color="auto" w:fill="4bb7ce"/>
    </w:rPr>
  </w:style>
  <w:style w:type="paragraph" w:styleId="1050" w:customStyle="1">
    <w:name w:val="样式 标题 3 + (中文) 黑体 小四 非加粗 段前: 7.8 磅 段后: 0 磅 行距: 固定值 20 磅"/>
    <w:basedOn w:val="928"/>
    <w:uiPriority w:val="0"/>
    <w:qFormat/>
    <w:pPr>
      <w:spacing w:before="0" w:after="0" w:line="400" w:lineRule="exact"/>
    </w:pPr>
    <w:rPr>
      <w:rFonts w:cs="宋体"/>
    </w:rPr>
  </w:style>
  <w:style w:type="paragraph" w:styleId="1051" w:customStyle="1">
    <w:name w:val="列出段落3"/>
    <w:basedOn w:val="678"/>
    <w:uiPriority w:val="99"/>
    <w:qFormat/>
    <w:pPr>
      <w:ind w:firstLine="200"/>
    </w:pPr>
    <w:rPr>
      <w:szCs w:val="24"/>
    </w:rPr>
  </w:style>
  <w:style w:type="paragraph" w:styleId="1052"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53" w:customStyle="1">
    <w:name w:val="样式 标题 2 + Times New Roman 四号 非加粗 段前: 5 磅 段后: 0 磅 行距: 固定值 20..."/>
    <w:basedOn w:val="926"/>
    <w:uiPriority w:val="0"/>
    <w:qFormat/>
    <w:pPr>
      <w:spacing w:before="100" w:after="0" w:line="400" w:lineRule="exact"/>
    </w:pPr>
    <w:rPr>
      <w:rFonts w:ascii="Times New Roman" w:hAnsi="Times New Roman" w:cs="宋体"/>
      <w:b w:val="0"/>
      <w:bCs w:val="0"/>
      <w:sz w:val="28"/>
      <w:szCs w:val="20"/>
    </w:rPr>
  </w:style>
  <w:style w:type="paragraph" w:styleId="1054" w:customStyle="1">
    <w:name w:val="样式"/>
    <w:uiPriority w:val="0"/>
    <w:qFormat/>
    <w:pPr>
      <w:widowControl w:val="off"/>
    </w:pPr>
    <w:rPr>
      <w:rFonts w:ascii="宋体" w:hAnsi="宋体" w:eastAsia="宋体" w:cs="宋体"/>
      <w:sz w:val="24"/>
      <w:szCs w:val="24"/>
      <w:lang w:val="en-US" w:eastAsia="zh-CN" w:bidi="ar-SA"/>
    </w:rPr>
  </w:style>
  <w:style w:type="paragraph" w:styleId="1055" w:customStyle="1">
    <w:name w:val="纯文本1"/>
    <w:basedOn w:val="678"/>
    <w:uiPriority w:val="0"/>
    <w:qFormat/>
    <w:rPr>
      <w:rFonts w:ascii="宋体" w:hAnsi="Courier New"/>
      <w:sz w:val="28"/>
      <w:szCs w:val="24"/>
    </w:rPr>
  </w:style>
  <w:style w:type="paragraph" w:styleId="1056" w:customStyle="1">
    <w:name w:val="列出段落2"/>
    <w:basedOn w:val="678"/>
    <w:uiPriority w:val="99"/>
    <w:unhideWhenUsed/>
    <w:qFormat/>
    <w:pPr>
      <w:ind w:firstLine="200"/>
    </w:pPr>
    <w:rPr>
      <w:szCs w:val="24"/>
    </w:rPr>
  </w:style>
  <w:style w:type="paragraph" w:styleId="1057" w:customStyle="1">
    <w:name w:val="列出段落1"/>
    <w:basedOn w:val="678"/>
    <w:uiPriority w:val="99"/>
    <w:unhideWhenUsed/>
    <w:qFormat/>
    <w:pPr>
      <w:ind w:firstLine="200"/>
    </w:pPr>
    <w:rPr>
      <w:szCs w:val="24"/>
    </w:rPr>
  </w:style>
  <w:style w:type="paragraph" w:styleId="1058" w:customStyle="1">
    <w:name w:val="修订1"/>
    <w:uiPriority w:val="99"/>
    <w:unhideWhenUsed/>
    <w:qFormat/>
    <w:rPr>
      <w:rFonts w:ascii="Times New Roman" w:hAnsi="Times New Roman" w:eastAsia="宋体" w:cs="Times New Roman"/>
      <w:sz w:val="21"/>
      <w:szCs w:val="24"/>
      <w:lang w:val="en-US" w:eastAsia="zh-CN" w:bidi="ar-SA"/>
    </w:rPr>
  </w:style>
  <w:style w:type="paragraph" w:styleId="1059" w:customStyle="1">
    <w:name w:val="reply-text"/>
    <w:basedOn w:val="678"/>
    <w:uiPriority w:val="0"/>
    <w:qFormat/>
    <w:pPr>
      <w:ind w:right="1200"/>
      <w:jc w:val="left"/>
    </w:pPr>
    <w:rPr>
      <w:szCs w:val="21"/>
    </w:rPr>
  </w:style>
  <w:style w:type="character" w:styleId="1060" w:customStyle="1">
    <w:name w:val="next"/>
    <w:uiPriority w:val="0"/>
    <w:qFormat/>
    <w:rPr>
      <w:color w:val="888888"/>
    </w:rPr>
  </w:style>
  <w:style w:type="character" w:styleId="1061" w:customStyle="1">
    <w:name w:val="next1"/>
    <w:uiPriority w:val="0"/>
    <w:qFormat/>
    <w:rPr>
      <w:rFonts w:ascii="微软雅黑" w:hAnsi="微软雅黑" w:eastAsia="微软雅黑" w:cs="微软雅黑"/>
      <w:sz w:val="21"/>
      <w:szCs w:val="21"/>
    </w:rPr>
  </w:style>
  <w:style w:type="character" w:styleId="1062" w:customStyle="1">
    <w:name w:val="count3"/>
    <w:uiPriority w:val="0"/>
    <w:qFormat/>
  </w:style>
  <w:style w:type="character" w:styleId="1063" w:customStyle="1">
    <w:name w:val="t"/>
    <w:uiPriority w:val="0"/>
    <w:qFormat/>
  </w:style>
  <w:style w:type="character" w:styleId="1064" w:customStyle="1">
    <w:name w:val="lv5"/>
    <w:uiPriority w:val="0"/>
    <w:qFormat/>
  </w:style>
  <w:style w:type="character" w:styleId="1065" w:customStyle="1">
    <w:name w:val="jianj"/>
    <w:uiPriority w:val="0"/>
    <w:qFormat/>
  </w:style>
  <w:style w:type="character" w:styleId="1066" w:customStyle="1">
    <w:name w:val="jianj1"/>
    <w:uiPriority w:val="0"/>
    <w:qFormat/>
  </w:style>
  <w:style w:type="character" w:styleId="1067" w:customStyle="1">
    <w:name w:val="jianj2"/>
    <w:uiPriority w:val="0"/>
    <w:qFormat/>
  </w:style>
  <w:style w:type="character" w:styleId="1068" w:customStyle="1">
    <w:name w:val="sd"/>
    <w:uiPriority w:val="0"/>
    <w:qFormat/>
  </w:style>
  <w:style w:type="character" w:styleId="1069" w:customStyle="1">
    <w:name w:val="sc"/>
    <w:uiPriority w:val="0"/>
    <w:qFormat/>
  </w:style>
  <w:style w:type="character" w:styleId="1070" w:customStyle="1">
    <w:name w:val="sc1"/>
    <w:uiPriority w:val="0"/>
    <w:qFormat/>
  </w:style>
  <w:style w:type="character" w:styleId="1071" w:customStyle="1">
    <w:name w:val="aut"/>
    <w:uiPriority w:val="0"/>
    <w:qFormat/>
  </w:style>
  <w:style w:type="character" w:styleId="1072" w:customStyle="1">
    <w:name w:val="aut1"/>
    <w:uiPriority w:val="0"/>
    <w:qFormat/>
  </w:style>
  <w:style w:type="character" w:styleId="1073" w:customStyle="1">
    <w:name w:val="dn"/>
    <w:uiPriority w:val="0"/>
    <w:qFormat/>
  </w:style>
  <w:style w:type="character" w:styleId="1074" w:customStyle="1">
    <w:name w:val="pl"/>
    <w:uiPriority w:val="0"/>
    <w:qFormat/>
  </w:style>
  <w:style w:type="character" w:styleId="1075" w:customStyle="1">
    <w:name w:val="pl1"/>
    <w:uiPriority w:val="0"/>
    <w:qFormat/>
  </w:style>
  <w:style w:type="character" w:styleId="1076" w:customStyle="1">
    <w:name w:val="jrxz"/>
    <w:uiPriority w:val="0"/>
    <w:qFormat/>
  </w:style>
  <w:style w:type="character" w:styleId="1077" w:customStyle="1">
    <w:name w:val="jrxz1"/>
    <w:uiPriority w:val="0"/>
    <w:qFormat/>
  </w:style>
  <w:style w:type="character" w:styleId="1078" w:customStyle="1">
    <w:name w:val="down14"/>
    <w:uiPriority w:val="0"/>
    <w:qFormat/>
  </w:style>
  <w:style w:type="character" w:styleId="1079" w:customStyle="1">
    <w:name w:val="down15"/>
    <w:uiPriority w:val="0"/>
    <w:qFormat/>
  </w:style>
  <w:style w:type="character" w:styleId="1080" w:customStyle="1">
    <w:name w:val="zt"/>
    <w:uiPriority w:val="0"/>
    <w:qFormat/>
  </w:style>
  <w:style w:type="character" w:styleId="1081" w:customStyle="1">
    <w:name w:val="zt1"/>
    <w:uiPriority w:val="0"/>
    <w:qFormat/>
  </w:style>
  <w:style w:type="character" w:styleId="1082" w:customStyle="1">
    <w:name w:val="time22"/>
    <w:uiPriority w:val="0"/>
    <w:qFormat/>
  </w:style>
  <w:style w:type="character" w:styleId="1083" w:customStyle="1">
    <w:name w:val="time23"/>
    <w:uiPriority w:val="0"/>
    <w:qFormat/>
  </w:style>
  <w:style w:type="character" w:styleId="1084" w:customStyle="1">
    <w:name w:val="time24"/>
    <w:uiPriority w:val="0"/>
    <w:qFormat/>
  </w:style>
  <w:style w:type="character" w:styleId="1085" w:customStyle="1">
    <w:name w:val="anz"/>
    <w:uiPriority w:val="0"/>
    <w:qFormat/>
  </w:style>
  <w:style w:type="character" w:styleId="1086" w:customStyle="1">
    <w:name w:val="anz1"/>
    <w:uiPriority w:val="0"/>
    <w:qFormat/>
  </w:style>
  <w:style w:type="character" w:styleId="1087" w:customStyle="1">
    <w:name w:val="anz2"/>
    <w:uiPriority w:val="0"/>
    <w:qFormat/>
  </w:style>
  <w:style w:type="character" w:styleId="1088" w:customStyle="1">
    <w:name w:val="jiet"/>
    <w:uiPriority w:val="0"/>
    <w:qFormat/>
  </w:style>
  <w:style w:type="character" w:styleId="1089" w:customStyle="1">
    <w:name w:val="jiet1"/>
    <w:uiPriority w:val="0"/>
    <w:qFormat/>
  </w:style>
  <w:style w:type="character" w:styleId="1090" w:customStyle="1">
    <w:name w:val="jiet2"/>
    <w:uiPriority w:val="0"/>
    <w:qFormat/>
  </w:style>
  <w:style w:type="character" w:styleId="1091" w:customStyle="1">
    <w:name w:val="lv1"/>
    <w:uiPriority w:val="0"/>
    <w:qFormat/>
  </w:style>
  <w:style w:type="character" w:styleId="1092" w:customStyle="1">
    <w:name w:val="lv2"/>
    <w:uiPriority w:val="0"/>
    <w:qFormat/>
  </w:style>
  <w:style w:type="character" w:styleId="1093" w:customStyle="1">
    <w:name w:val="lv3"/>
    <w:uiPriority w:val="0"/>
    <w:qFormat/>
  </w:style>
  <w:style w:type="character" w:styleId="1094" w:customStyle="1">
    <w:name w:val="lv4"/>
    <w:uiPriority w:val="0"/>
    <w:qFormat/>
  </w:style>
  <w:style w:type="character" w:styleId="1095" w:customStyle="1">
    <w:name w:val="disabled"/>
    <w:uiPriority w:val="0"/>
    <w:qFormat/>
    <w:rPr>
      <w:color w:val="666666"/>
      <w:shd w:val="clear" w:color="auto" w:fill="ffffff"/>
    </w:rPr>
  </w:style>
  <w:style w:type="paragraph" w:styleId="1096" w:customStyle="1">
    <w:name w:val="格式３"/>
    <w:basedOn w:val="678"/>
    <w:uiPriority w:val="0"/>
    <w:qFormat/>
    <w:pPr>
      <w:ind w:left="600" w:hanging="250"/>
      <w:spacing w:line="420" w:lineRule="exact"/>
    </w:pPr>
    <w:rPr>
      <w:rFonts w:ascii="宋体" w:hAnsi="宋体"/>
      <w:color w:val="000000"/>
      <w:sz w:val="24"/>
      <w:szCs w:val="20"/>
    </w:rPr>
  </w:style>
  <w:style w:type="paragraph" w:styleId="1097" w:customStyle="1">
    <w:name w:val="正文文本 31"/>
    <w:basedOn w:val="678"/>
    <w:link w:val="1098"/>
    <w:uiPriority w:val="0"/>
    <w:qFormat/>
    <w:pPr>
      <w:jc w:val="center"/>
    </w:pPr>
    <w:rPr>
      <w:rFonts w:eastAsia="黑体"/>
      <w:sz w:val="72"/>
      <w:szCs w:val="24"/>
    </w:rPr>
  </w:style>
  <w:style w:type="character" w:styleId="1098" w:customStyle="1">
    <w:name w:val="正文文本 3 Char"/>
    <w:link w:val="1097"/>
    <w:uiPriority w:val="0"/>
    <w:qFormat/>
    <w:rPr>
      <w:rFonts w:ascii="Times New Roman" w:hAnsi="Times New Roman" w:eastAsia="黑体"/>
      <w:sz w:val="72"/>
      <w:szCs w:val="24"/>
    </w:rPr>
  </w:style>
  <w:style w:type="paragraph" w:styleId="1099" w:customStyle="1">
    <w:name w:val="正文文本缩进1"/>
    <w:basedOn w:val="678"/>
    <w:link w:val="1100"/>
    <w:uiPriority w:val="99"/>
    <w:unhideWhenUsed/>
    <w:qFormat/>
    <w:pPr>
      <w:ind w:left="200"/>
      <w:spacing w:after="120"/>
    </w:pPr>
    <w:rPr>
      <w:szCs w:val="24"/>
    </w:rPr>
  </w:style>
  <w:style w:type="character" w:styleId="1100" w:customStyle="1">
    <w:name w:val="正文文本缩进 Char"/>
    <w:link w:val="1099"/>
    <w:uiPriority w:val="99"/>
    <w:qFormat/>
    <w:rPr>
      <w:rFonts w:ascii="Times New Roman" w:hAnsi="Times New Roman"/>
      <w:sz w:val="21"/>
      <w:szCs w:val="24"/>
    </w:rPr>
  </w:style>
  <w:style w:type="paragraph" w:styleId="1101" w:customStyle="1">
    <w:name w:val="标题二、"/>
    <w:basedOn w:val="678"/>
    <w:uiPriority w:val="99"/>
    <w:qFormat/>
    <w:pPr>
      <w:ind w:firstLine="200"/>
      <w:spacing w:line="360" w:lineRule="auto"/>
      <w:outlineLvl w:val="2"/>
    </w:pPr>
    <w:rPr>
      <w:rFonts w:ascii="宋体" w:hAnsi="宋体"/>
      <w:b/>
      <w:szCs w:val="21"/>
    </w:rPr>
  </w:style>
  <w:style w:type="character" w:styleId="1102" w:customStyle="1">
    <w:name w:val="font51"/>
    <w:uiPriority w:val="0"/>
    <w:qFormat/>
    <w:rPr>
      <w:rFonts w:hint="eastAsia" w:ascii="华文中宋" w:hAnsi="华文中宋" w:eastAsia="华文中宋" w:cs="华文中宋"/>
      <w:color w:val="000000"/>
      <w:sz w:val="21"/>
      <w:szCs w:val="21"/>
      <w:u w:val="none"/>
    </w:rPr>
  </w:style>
  <w:style w:type="character" w:styleId="1103" w:customStyle="1">
    <w:name w:val="批注框文本 字符1"/>
    <w:basedOn w:val="688"/>
    <w:link w:val="697"/>
    <w:uiPriority w:val="99"/>
    <w:semiHidden/>
    <w:qFormat/>
    <w:rPr>
      <w:sz w:val="18"/>
      <w:szCs w:val="18"/>
    </w:rPr>
  </w:style>
  <w:style w:type="paragraph" w:styleId="1104" w:customStyle="1">
    <w:name w:val="标题 411"/>
    <w:basedOn w:val="678"/>
    <w:next w:val="678"/>
    <w:uiPriority w:val="1"/>
    <w:qFormat/>
    <w:pPr>
      <w:keepLines/>
      <w:keepNext/>
      <w:spacing w:before="280" w:after="290" w:line="376" w:lineRule="auto"/>
      <w:outlineLvl w:val="3"/>
    </w:pPr>
    <w:rPr>
      <w:rFonts w:ascii="Cambria" w:hAnsi="Cambria"/>
      <w:b/>
      <w:bCs/>
      <w:sz w:val="28"/>
      <w:szCs w:val="28"/>
    </w:rPr>
  </w:style>
  <w:style w:type="paragraph" w:styleId="1105" w:customStyle="1">
    <w:name w:val="纯文本11"/>
    <w:basedOn w:val="678"/>
    <w:uiPriority w:val="99"/>
    <w:unhideWhenUsed/>
    <w:qFormat/>
    <w:rPr>
      <w:rFonts w:ascii="宋体" w:hAnsi="Courier New" w:cs="Courier New"/>
    </w:rPr>
  </w:style>
  <w:style w:type="table" w:styleId="1106" w:customStyle="1">
    <w:name w:val="Table Normal"/>
    <w:uiPriority w:val="0"/>
    <w:semiHidden/>
    <w:unhideWhenUsed/>
    <w:qFormat/>
    <w:tblPr>
      <w:tblCellMar>
        <w:left w:w="0" w:type="dxa"/>
        <w:top w:w="0" w:type="dxa"/>
        <w:right w:w="0" w:type="dxa"/>
        <w:bottom w:w="0" w:type="dxa"/>
      </w:tblCellMar>
    </w:tbl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纵横</dc:creator>
  <cp:lastModifiedBy>陆静娟</cp:lastModifiedBy>
  <cp:revision>11</cp:revision>
  <dcterms:created xsi:type="dcterms:W3CDTF">2026-06-16T06:36:00Z</dcterms:created>
  <dcterms:modified xsi:type="dcterms:W3CDTF">2026-06-23T08:12:44Z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eyJoZGlkIjoiMzQ2NmMwMTI1OGNmODVlNDU2MDBkZWEwZTE4NmQzMDAiLCJ1c2VySWQiOiIyNTAyNzA3NDUifQ==</vt:lpwstr>
  </property>
  <property fmtid="{D5CDD505-2E9C-101B-9397-08002B2CF9AE}" pid="3" name="KSOProductBuildVer">
    <vt:lpwstr>2052-12.1.0.26895</vt:lpwstr>
  </property>
  <property fmtid="{D5CDD505-2E9C-101B-9397-08002B2CF9AE}" pid="4" name="ICV">
    <vt:lpwstr>FDAD675095564AC5B6DEABD2C21774C6_13</vt:lpwstr>
  </property>
</Properties>
</file>