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14"/>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14"/>
        <w:ind w:firstLine="0"/>
        <w:rPr>
          <w:rFonts w:hint="eastAsia" w:asciiTheme="minorEastAsia" w:hAnsiTheme="minorEastAsia" w:eastAsiaTheme="minorEastAsia" w:cstheme="minorEastAsia"/>
          <w:b/>
          <w:bCs/>
          <w:sz w:val="32"/>
        </w:rPr>
        <w:outlineLvl w:val="0"/>
      </w:pPr>
      <w:r/>
      <w:bookmarkStart w:id="0" w:name="_Toc20483"/>
      <w:r/>
      <w:r/>
    </w:p>
    <w:p>
      <w:pPr>
        <w:pStyle w:val="1014"/>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14"/>
        <w:ind w:firstLine="0"/>
        <w:rPr>
          <w:rFonts w:hint="eastAsia" w:asciiTheme="minorEastAsia" w:hAnsiTheme="minorEastAsia" w:cstheme="minorEastAsia"/>
          <w:b/>
          <w:bCs/>
          <w:color w:val="auto"/>
          <w:sz w:val="32"/>
          <w:highlight w:val="none"/>
        </w:rPr>
        <w:outlineLvl w:val="0"/>
      </w:pPr>
      <w:r>
        <w:rPr>
          <w:rFonts w:hint="eastAsia" w:asciiTheme="minorEastAsia" w:hAnsiTheme="minorEastAsia" w:eastAsiaTheme="minorEastAsia" w:cstheme="minorEastAsia"/>
          <w:b/>
          <w:bCs/>
          <w:color w:val="auto"/>
          <w:sz w:val="32"/>
          <w:highlight w:val="none"/>
        </w:rPr>
        <w:t xml:space="preserve">项目名称：</w:t>
      </w:r>
      <w:bookmarkEnd w:id="0"/>
      <w:r>
        <w:rPr>
          <w:rFonts w:hint="eastAsia"/>
          <w:b/>
          <w:bCs/>
          <w:color w:val="auto"/>
          <w:sz w:val="32"/>
          <w:highlight w:val="none"/>
        </w:rPr>
        <w:t xml:space="preserve">常州市教育局直属单位智慧安防建设设备及安装采购项目</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w:t>
      </w:r>
      <w:r>
        <w:rPr>
          <w:rFonts w:hint="eastAsia" w:asciiTheme="minorEastAsia" w:hAnsiTheme="minorEastAsia" w:eastAsiaTheme="minorEastAsia" w:cstheme="minorEastAsia"/>
          <w:b/>
          <w:bCs/>
          <w:sz w:val="32"/>
          <w:lang w:val="en-US" w:eastAsia="zh-CN"/>
        </w:rPr>
        <w:t xml:space="preserve">194</w:t>
      </w:r>
      <w:r>
        <w:rPr>
          <w:rFonts w:hint="eastAsia" w:asciiTheme="minorEastAsia" w:hAnsiTheme="minorEastAsia" w:eastAsiaTheme="minorEastAsia" w:cstheme="minorEastAsia"/>
          <w:b/>
          <w:bCs/>
          <w:sz w:val="32"/>
        </w:rPr>
        <w:tab/>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1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6</w:t>
      </w:r>
      <w:r>
        <w:rPr>
          <w:rFonts w:hint="eastAsia" w:asciiTheme="minorEastAsia" w:hAnsiTheme="minorEastAsia" w:eastAsiaTheme="minorEastAsia" w:cstheme="minorEastAsia"/>
          <w:b/>
          <w:bCs/>
          <w:sz w:val="32"/>
        </w:rPr>
        <w:t xml:space="preserve">月</w:t>
      </w:r>
      <w:r/>
    </w:p>
    <w:p>
      <w:pPr>
        <w:pStyle w:val="1014"/>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513029200"/>
      <w:r/>
      <w:bookmarkStart w:id="3" w:name="_Toc16938516"/>
      <w:r/>
      <w:bookmarkStart w:id="4" w:name="_Toc523127445"/>
      <w:r/>
      <w:bookmarkStart w:id="5" w:name="_Toc479757206"/>
      <w:r/>
      <w:bookmarkStart w:id="6" w:name="_Toc20823272"/>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04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04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043"/>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9"/>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受［常州刘国钧高等职业技术学校</w:t>
      </w:r>
      <w:r>
        <w:rPr>
          <w:rFonts w:hint="eastAsia" w:ascii="宋体" w:hAnsi="宋体"/>
          <w:sz w:val="24"/>
          <w:szCs w:val="24"/>
          <w:lang w:val="en-US" w:eastAsia="zh-CN"/>
        </w:rPr>
        <w:t xml:space="preserve">等</w:t>
      </w:r>
      <w:r>
        <w:rPr>
          <w:rFonts w:hint="eastAsia" w:ascii="宋体" w:hAnsi="宋体"/>
          <w:sz w:val="24"/>
          <w:szCs w:val="24"/>
        </w:rPr>
        <w:t xml:space="preserve">常州</w:t>
      </w:r>
      <w:r>
        <w:rPr>
          <w:rFonts w:hint="eastAsia" w:ascii="宋体" w:hAnsi="宋体"/>
          <w:sz w:val="24"/>
          <w:szCs w:val="24"/>
          <w:lang w:val="en-US" w:eastAsia="zh-CN"/>
        </w:rPr>
        <w:t xml:space="preserve">市教育局直属35个单位</w:t>
      </w:r>
      <w:r>
        <w:rPr>
          <w:rFonts w:hint="eastAsia" w:ascii="宋体" w:hAnsi="宋体"/>
          <w:sz w:val="24"/>
          <w:szCs w:val="24"/>
        </w:rPr>
        <w:t xml:space="preserve">］的</w:t>
      </w:r>
      <w:r>
        <w:rPr>
          <w:rFonts w:hint="eastAsia" w:ascii="宋体" w:hAnsi="宋体"/>
          <w:sz w:val="24"/>
          <w:szCs w:val="24"/>
          <w:lang w:val="en-US" w:eastAsia="zh-CN"/>
        </w:rPr>
        <w:t xml:space="preserve">共同</w:t>
      </w:r>
      <w:r>
        <w:rPr>
          <w:rFonts w:hint="eastAsia" w:ascii="宋体" w:hAnsi="宋体"/>
          <w:sz w:val="24"/>
          <w:szCs w:val="24"/>
        </w:rPr>
        <w:t xml:space="preserve">委托，常州市教育基本建设与装备管理中心（采购代理机构）就［常州市教育局直属单位智慧安防建设设备及安装采购项目］(项目编号：JSZC-320400-JZCG-G2026-0</w:t>
      </w:r>
      <w:r>
        <w:rPr>
          <w:rFonts w:hint="eastAsia" w:ascii="宋体" w:hAnsi="宋体"/>
          <w:sz w:val="24"/>
          <w:szCs w:val="24"/>
          <w:lang w:val="en-US" w:eastAsia="zh-CN"/>
        </w:rPr>
        <w:t xml:space="preserve">194</w:t>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u w:val="single"/>
        </w:rPr>
        <w:t xml:space="preserve"> 常州市教育局直属单位智慧安防建设设备及安装采购项目</w:t>
      </w:r>
      <w:r>
        <w:rPr>
          <w:rFonts w:hint="eastAsia" w:asciiTheme="minorEastAsia" w:hAnsiTheme="minorEastAsia" w:eastAsiaTheme="minorEastAsia" w:cstheme="minorEastAsia"/>
          <w:sz w:val="24"/>
          <w:szCs w:val="24"/>
          <w:highlight w:val="none"/>
        </w:rPr>
        <w:t xml:space="preserve">公开招标项目的潜在供应商可在</w:t>
      </w:r>
      <w:r>
        <w:rPr>
          <w:rFonts w:hint="eastAsia" w:asciiTheme="minorEastAsia" w:hAnsiTheme="minorEastAsia" w:eastAsiaTheme="minorEastAsia" w:cstheme="minorEastAsia"/>
          <w:sz w:val="24"/>
          <w:szCs w:val="24"/>
          <w:highlight w:val="none"/>
          <w:u w:val="single"/>
        </w:rPr>
        <w:t xml:space="preserve">“江苏政府采购网、常州市政府采购网”自行免费下载采购</w:t>
      </w:r>
      <w:r>
        <w:rPr>
          <w:rFonts w:hint="eastAsia" w:asciiTheme="minorEastAsia" w:hAnsiTheme="minorEastAsia" w:eastAsiaTheme="minorEastAsia" w:cstheme="minorEastAsia"/>
          <w:sz w:val="24"/>
          <w:szCs w:val="24"/>
          <w:highlight w:val="none"/>
        </w:rPr>
        <w:t xml:space="preserve">文件，并于</w:t>
      </w:r>
      <w:r>
        <w:rPr>
          <w:rFonts w:hint="eastAsia" w:asciiTheme="minorEastAsia" w:hAnsiTheme="minorEastAsia" w:eastAsiaTheme="minorEastAsia" w:cstheme="minorEastAsia"/>
          <w:sz w:val="24"/>
          <w:szCs w:val="24"/>
          <w:highlight w:val="none"/>
          <w:u w:val="single"/>
        </w:rPr>
        <w:t xml:space="preserve">  2026  </w:t>
      </w:r>
      <w:r>
        <w:rPr>
          <w:rFonts w:hint="eastAsia" w:asciiTheme="minorEastAsia" w:hAnsiTheme="minorEastAsia" w:eastAsiaTheme="minorEastAsia" w:cstheme="minorEastAsia"/>
          <w:bCs/>
          <w:sz w:val="24"/>
          <w:szCs w:val="24"/>
          <w:highlight w:val="none"/>
          <w:u w:val="single"/>
        </w:rPr>
        <w:t xml:space="preserve">年 </w:t>
      </w:r>
      <w:r>
        <w:rPr>
          <w:rFonts w:hint="eastAsia" w:asciiTheme="minorEastAsia" w:hAnsiTheme="minorEastAsia" w:eastAsiaTheme="minorEastAsia" w:cstheme="minorEastAsia"/>
          <w:bCs/>
          <w:sz w:val="24"/>
          <w:szCs w:val="24"/>
          <w:highlight w:val="none"/>
          <w:u w:val="single"/>
          <w:lang w:val="en-US" w:eastAsia="zh-CN"/>
        </w:rPr>
        <w:t xml:space="preserve">7</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21</w:t>
      </w:r>
      <w:r>
        <w:rPr>
          <w:rFonts w:hint="eastAsia" w:asciiTheme="minorEastAsia" w:hAnsiTheme="minorEastAsia" w:eastAsiaTheme="minorEastAsia" w:cstheme="minorEastAsia"/>
          <w:bCs/>
          <w:sz w:val="24"/>
          <w:szCs w:val="24"/>
          <w:highlight w:val="none"/>
          <w:u w:val="single"/>
        </w:rPr>
        <w:t xml:space="preserve">日 </w:t>
      </w:r>
      <w:r>
        <w:rPr>
          <w:rFonts w:hint="eastAsia" w:asciiTheme="minorEastAsia" w:hAnsiTheme="minorEastAsia" w:eastAsiaTheme="minorEastAsia" w:cstheme="minorEastAsia"/>
          <w:bCs/>
          <w:sz w:val="24"/>
          <w:szCs w:val="24"/>
          <w:highlight w:val="none"/>
          <w:u w:val="single"/>
          <w:lang w:val="en-US" w:eastAsia="zh-CN"/>
        </w:rPr>
        <w:t xml:space="preserve">9</w:t>
      </w:r>
      <w:r>
        <w:rPr>
          <w:rFonts w:hint="eastAsia" w:asciiTheme="minorEastAsia" w:hAnsiTheme="minorEastAsia" w:eastAsiaTheme="minorEastAsia" w:cstheme="minorEastAsia"/>
          <w:bCs/>
          <w:sz w:val="24"/>
          <w:szCs w:val="24"/>
          <w:highlight w:val="none"/>
          <w:u w:val="single"/>
        </w:rPr>
        <w:t xml:space="preserve">  点 </w:t>
      </w:r>
      <w:r>
        <w:rPr>
          <w:rFonts w:hint="eastAsia" w:asciiTheme="minorEastAsia" w:hAnsiTheme="minorEastAsia" w:eastAsiaTheme="minorEastAsia" w:cstheme="minorEastAsia"/>
          <w:bCs/>
          <w:sz w:val="24"/>
          <w:szCs w:val="24"/>
          <w:highlight w:val="none"/>
          <w:u w:val="single"/>
          <w:lang w:val="en-US" w:eastAsia="zh-CN"/>
        </w:rPr>
        <w:t xml:space="preserve">3</w:t>
      </w:r>
      <w:r>
        <w:rPr>
          <w:rFonts w:hint="eastAsia" w:asciiTheme="minorEastAsia" w:hAnsiTheme="minorEastAsia" w:eastAsiaTheme="minorEastAsia" w:cstheme="minorEastAsia"/>
          <w:bCs/>
          <w:sz w:val="24"/>
          <w:szCs w:val="24"/>
          <w:highlight w:val="none"/>
          <w:u w:val="single"/>
        </w:rPr>
        <w:t xml:space="preserve">0 分（</w:t>
      </w:r>
      <w:r>
        <w:rPr>
          <w:rFonts w:hint="eastAsia" w:asciiTheme="minorEastAsia" w:hAnsiTheme="minorEastAsia" w:eastAsiaTheme="minorEastAsia" w:cstheme="minorEastAsia"/>
          <w:bCs/>
          <w:sz w:val="24"/>
          <w:szCs w:val="24"/>
          <w:highlight w:val="none"/>
        </w:rPr>
        <w:t xml:space="preserve">北京时间）前递交投标文件</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5"/>
        <w:ind w:firstLine="498"/>
        <w:spacing w:before="156" w:after="156" w:line="360" w:lineRule="auto"/>
        <w:rPr>
          <w:rFonts w:hint="eastAsia" w:asciiTheme="minorEastAsia" w:hAnsiTheme="minorEastAsia" w:eastAsiaTheme="minorEastAsia" w:cstheme="minorEastAsia"/>
        </w:rPr>
      </w:pPr>
      <w:r/>
      <w:bookmarkStart w:id="9" w:name="_Toc35393790"/>
      <w:r/>
      <w:bookmarkStart w:id="10" w:name="_Toc35393621"/>
      <w:r/>
      <w:bookmarkStart w:id="11" w:name="_Toc28359079"/>
      <w:r/>
      <w:bookmarkStart w:id="12" w:name="_Toc28359002"/>
      <w:r/>
      <w:bookmarkStart w:id="13" w:name="_Toc38985263"/>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w:t>
      </w:r>
      <w:r>
        <w:rPr>
          <w:rFonts w:hint="eastAsia" w:asciiTheme="minorEastAsia" w:hAnsiTheme="minorEastAsia" w:eastAsiaTheme="minorEastAsia" w:cstheme="minorEastAsia"/>
          <w:sz w:val="24"/>
          <w:szCs w:val="24"/>
          <w:lang w:val="en-US" w:eastAsia="zh-CN"/>
        </w:rPr>
        <w:t xml:space="preserve">194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宋体" w:hAnsi="宋体"/>
          <w:sz w:val="24"/>
          <w:szCs w:val="24"/>
        </w:rPr>
      </w:pPr>
      <w:r>
        <w:rPr>
          <w:rFonts w:hint="eastAsia" w:asciiTheme="minorEastAsia" w:hAnsiTheme="minorEastAsia" w:eastAsiaTheme="minorEastAsia" w:cstheme="minorEastAsia"/>
          <w:sz w:val="24"/>
          <w:szCs w:val="24"/>
        </w:rPr>
        <w:t xml:space="preserve">2.项目名称：</w:t>
      </w:r>
      <w:bookmarkEnd w:id="14"/>
      <w:r/>
      <w:bookmarkStart w:id="15" w:name="_Toc35393622"/>
      <w:r/>
      <w:bookmarkStart w:id="16" w:name="_Toc28359080"/>
      <w:r/>
      <w:bookmarkStart w:id="17" w:name="_Toc38985264"/>
      <w:r/>
      <w:bookmarkStart w:id="18" w:name="_Toc28359003"/>
      <w:r/>
      <w:bookmarkStart w:id="19" w:name="_Toc35393791"/>
      <w:r>
        <w:rPr>
          <w:rFonts w:hint="eastAsia" w:ascii="宋体" w:hAnsi="宋体"/>
          <w:sz w:val="24"/>
          <w:szCs w:val="24"/>
        </w:rPr>
        <w:t xml:space="preserve">常州市教育局直属单位智慧安防建设设备及安装采购项目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745.76</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745.76</w:t>
      </w:r>
      <w:r>
        <w:rPr>
          <w:rFonts w:hint="eastAsia" w:ascii="宋体" w:hAnsi="宋体"/>
          <w:sz w:val="24"/>
          <w:szCs w:val="24"/>
          <w:u w:val="single"/>
        </w:rPr>
        <w:t xml:space="preserve"> </w:t>
      </w:r>
      <w:r>
        <w:rPr>
          <w:rFonts w:hint="eastAsia" w:ascii="宋体" w:hAnsi="宋体"/>
          <w:sz w:val="24"/>
          <w:szCs w:val="24"/>
        </w:rPr>
        <w:t xml:space="preserve">万元。</w:t>
      </w:r>
      <w:r/>
    </w:p>
    <w:tbl>
      <w:tblPr>
        <w:tblStyle w:val="737"/>
        <w:tblW w:w="52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3324"/>
        <w:gridCol w:w="1263"/>
        <w:gridCol w:w="1070"/>
        <w:gridCol w:w="1241"/>
        <w:gridCol w:w="1500"/>
      </w:tblGrid>
      <w:tr>
        <w:trPr>
          <w:jc w:val="center"/>
          <w:trHeight w:val="600"/>
        </w:trPr>
        <w:tc>
          <w:tcPr>
            <w:tcW w:w="339" w:type="pct"/>
            <w:vAlign w:val="center"/>
            <w:textDirection w:val="lrTb"/>
            <w:noWrap w:val="false"/>
          </w:tcPr>
          <w:p>
            <w:pPr>
              <w:jc w:val="center"/>
              <w:spacing w:line="240" w:lineRule="auto"/>
              <w:widowControl/>
              <w:rPr>
                <w:rFonts w:hint="eastAsia" w:ascii="宋体" w:hAnsi="宋体" w:cs="宋体"/>
                <w:lang w:bidi="ar"/>
              </w:rPr>
            </w:pPr>
            <w:r>
              <w:rPr>
                <w:rFonts w:hint="eastAsia" w:ascii="宋体" w:hAnsi="宋体" w:cs="宋体"/>
                <w:lang w:bidi="ar"/>
              </w:rPr>
              <w:t xml:space="preserve">包号</w:t>
            </w:r>
            <w:r/>
          </w:p>
        </w:tc>
        <w:tc>
          <w:tcPr>
            <w:tcW w:w="1844" w:type="pct"/>
            <w:vAlign w:val="center"/>
            <w:textDirection w:val="lrTb"/>
            <w:noWrap w:val="false"/>
          </w:tcPr>
          <w:p>
            <w:pPr>
              <w:jc w:val="center"/>
              <w:spacing w:line="240" w:lineRule="auto"/>
              <w:widowControl/>
              <w:rPr>
                <w:rFonts w:hint="eastAsia" w:ascii="宋体" w:hAnsi="宋体" w:cs="宋体"/>
                <w:lang w:bidi="ar"/>
              </w:rPr>
            </w:pPr>
            <w:r>
              <w:rPr>
                <w:bCs/>
              </w:rPr>
              <w:t xml:space="preserve">标的名称</w:t>
            </w:r>
            <w:r/>
          </w:p>
        </w:tc>
        <w:tc>
          <w:tcPr>
            <w:shd w:val="clear" w:color="auto" w:fill="auto"/>
            <w:tcW w:w="700" w:type="pct"/>
            <w:vAlign w:val="center"/>
            <w:textDirection w:val="lrTb"/>
            <w:noWrap/>
          </w:tcPr>
          <w:p>
            <w:pPr>
              <w:jc w:val="center"/>
              <w:spacing w:line="240" w:lineRule="auto"/>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rPr>
                <w:bCs/>
              </w:rPr>
            </w:pPr>
            <w:r>
              <w:rPr>
                <w:bCs/>
              </w:rPr>
              <w:t xml:space="preserve">预算金额</w:t>
            </w:r>
            <w:r/>
          </w:p>
          <w:p>
            <w:pPr>
              <w:jc w:val="center"/>
              <w:spacing w:line="240" w:lineRule="auto"/>
              <w:widowControl/>
              <w:rPr>
                <w:rFonts w:hint="eastAsia" w:ascii="宋体" w:hAnsi="宋体" w:eastAsia="宋体" w:cs="宋体"/>
                <w:sz w:val="21"/>
                <w:szCs w:val="21"/>
                <w:lang w:val="en-US" w:eastAsia="zh-CN" w:bidi="ar"/>
              </w:rPr>
            </w:pPr>
            <w:r>
              <w:rPr>
                <w:bCs/>
              </w:rPr>
              <w:t xml:space="preserve">（万元）</w:t>
            </w:r>
            <w:r/>
          </w:p>
        </w:tc>
        <w:tc>
          <w:tcPr>
            <w:shd w:val="clear" w:color="auto" w:fill="auto"/>
            <w:tcW w:w="593" w:type="pct"/>
            <w:vAlign w:val="center"/>
            <w:textDirection w:val="lrTb"/>
            <w:noWrap/>
          </w:tcPr>
          <w:p>
            <w:pPr>
              <w:jc w:val="center"/>
              <w:spacing w:line="240" w:lineRule="auto"/>
              <w:widowControl/>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widowControl/>
              <w:rPr>
                <w:rFonts w:hint="eastAsia" w:ascii="宋体" w:hAnsi="宋体" w:cs="宋体"/>
                <w:lang w:bidi="ar"/>
              </w:rPr>
            </w:pPr>
            <w:r>
              <w:rPr>
                <w:rFonts w:hint="eastAsia" w:ascii="宋体" w:hAnsi="宋体" w:cs="宋体"/>
                <w:lang w:bidi="ar"/>
              </w:rPr>
              <w:t xml:space="preserve">最高限额</w:t>
            </w:r>
            <w:r/>
          </w:p>
          <w:p>
            <w:pPr>
              <w:jc w:val="center"/>
              <w:spacing w:line="240" w:lineRule="auto"/>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688" w:type="pct"/>
            <w:vAlign w:val="center"/>
            <w:textDirection w:val="lrTb"/>
            <w:noWrap/>
          </w:tcPr>
          <w:p>
            <w:pPr>
              <w:jc w:val="center"/>
              <w:spacing w:line="240" w:lineRule="auto"/>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spacing w:line="240" w:lineRule="auto"/>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c>
          <w:tcPr>
            <w:tcW w:w="832" w:type="pct"/>
            <w:vAlign w:val="center"/>
            <w:textDirection w:val="lrTb"/>
            <w:noWrap/>
          </w:tcPr>
          <w:p>
            <w:pPr>
              <w:jc w:val="center"/>
              <w:spacing w:line="24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jc w:val="center"/>
          <w:trHeight w:val="600"/>
        </w:trPr>
        <w:tc>
          <w:tcPr>
            <w:tcW w:w="339" w:type="pct"/>
            <w:vAlign w:val="center"/>
            <w:vMerge w:val="restart"/>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700"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593"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c>
          <w:tcPr>
            <w:tcW w:w="832" w:type="pct"/>
            <w:vAlign w:val="center"/>
            <w:vMerge w:val="restart"/>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rPr>
                <w:rFonts w:hint="default"/>
                <w:lang w:val="en-US" w:eastAsia="zh-CN"/>
              </w:rPr>
            </w:pPr>
            <w:r>
              <w:rPr>
                <w:rFonts w:hint="default"/>
                <w:lang w:val="en-US" w:eastAsia="zh-CN"/>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bl>
    <w:p>
      <w:pPr>
        <w:pStyle w:val="740"/>
      </w:pPr>
      <w:r/>
      <w:r/>
    </w:p>
    <w:p>
      <w:pPr>
        <w:pStyle w:val="740"/>
        <w:spacing w:line="240" w:lineRule="auto"/>
        <w:rPr>
          <w:rFonts w:hint="default" w:eastAsia="宋体"/>
          <w:b/>
          <w:bCs/>
          <w:color w:val="ff0000"/>
          <w:lang w:val="en-US" w:eastAsia="zh-CN"/>
        </w:rPr>
      </w:pPr>
      <w:r>
        <w:rPr>
          <w:b/>
          <w:bCs/>
          <w:color w:val="ff0000"/>
        </w:rPr>
        <w:t xml:space="preserve">注：</w:t>
      </w:r>
      <w:r>
        <w:rPr>
          <w:rFonts w:hint="eastAsia"/>
          <w:b/>
          <w:bCs/>
          <w:color w:val="ff0000"/>
          <w:lang w:val="en-US" w:eastAsia="zh-CN"/>
        </w:rPr>
        <w:t xml:space="preserve">投标报价应不超过采购包总预算金额和总最高限价；对应</w:t>
      </w:r>
      <w:r>
        <w:rPr>
          <w:b/>
          <w:bCs/>
          <w:color w:val="ff0000"/>
        </w:rPr>
        <w:t xml:space="preserve">各</w:t>
      </w:r>
      <w:r>
        <w:rPr>
          <w:rFonts w:hint="eastAsia"/>
          <w:b/>
          <w:bCs/>
          <w:color w:val="ff0000"/>
          <w:lang w:val="en-US" w:eastAsia="zh-CN"/>
        </w:rPr>
        <w:t xml:space="preserve">采购单位的</w:t>
      </w:r>
      <w:r>
        <w:rPr>
          <w:b/>
          <w:bCs/>
          <w:color w:val="ff0000"/>
        </w:rPr>
        <w:t xml:space="preserve">报价</w:t>
      </w:r>
      <w:r>
        <w:rPr>
          <w:rFonts w:hint="eastAsia"/>
          <w:b/>
          <w:bCs/>
          <w:color w:val="ff0000"/>
          <w:lang w:val="en-US" w:eastAsia="zh-CN"/>
        </w:rPr>
        <w:t xml:space="preserve">也</w:t>
      </w:r>
      <w:r>
        <w:rPr>
          <w:b/>
          <w:bCs/>
          <w:color w:val="ff0000"/>
        </w:rPr>
        <w:t xml:space="preserve">不得超过</w:t>
      </w:r>
      <w:r>
        <w:rPr>
          <w:rFonts w:hint="eastAsia"/>
          <w:b/>
          <w:bCs/>
          <w:color w:val="ff0000"/>
          <w:lang w:val="en-US" w:eastAsia="zh-CN"/>
        </w:rPr>
        <w:t xml:space="preserve">各单位对应的</w:t>
      </w:r>
      <w:r>
        <w:rPr>
          <w:b/>
          <w:bCs/>
          <w:color w:val="ff0000"/>
        </w:rPr>
        <w:t xml:space="preserve">预算金额，否则作无效</w:t>
      </w:r>
      <w:r>
        <w:rPr>
          <w:rFonts w:hint="eastAsia"/>
          <w:b/>
          <w:bCs/>
          <w:color w:val="ff0000"/>
          <w:lang w:val="en-US" w:eastAsia="zh-CN"/>
        </w:rPr>
        <w:t xml:space="preserve">投标</w:t>
      </w:r>
      <w:r>
        <w:rPr>
          <w:b/>
          <w:bCs/>
          <w:color w:val="ff0000"/>
        </w:rPr>
        <w:t xml:space="preserve">处理。</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本项目是</w:t>
      </w:r>
      <w:r>
        <w:rPr>
          <w:rFonts w:hint="eastAsia" w:ascii="宋体" w:hAnsi="宋体"/>
          <w:sz w:val="24"/>
          <w:szCs w:val="24"/>
        </w:rPr>
        <w:t xml:space="preserve">常州市教育局直属单位智慧安防</w:t>
      </w:r>
      <w:r>
        <w:rPr>
          <w:rFonts w:hint="eastAsia" w:ascii="宋体" w:hAnsi="宋体"/>
          <w:sz w:val="24"/>
          <w:szCs w:val="24"/>
          <w:lang w:eastAsia="zh-CN"/>
        </w:rPr>
        <w:t xml:space="preserve">（</w:t>
      </w:r>
      <w:r>
        <w:rPr>
          <w:rFonts w:hint="eastAsia" w:ascii="宋体" w:hAnsi="宋体"/>
          <w:sz w:val="24"/>
          <w:szCs w:val="24"/>
        </w:rPr>
        <w:t xml:space="preserve">一期</w:t>
      </w:r>
      <w:r>
        <w:rPr>
          <w:rFonts w:hint="eastAsia" w:ascii="宋体" w:hAnsi="宋体"/>
          <w:sz w:val="24"/>
          <w:szCs w:val="24"/>
          <w:lang w:eastAsia="zh-CN"/>
        </w:rPr>
        <w:t xml:space="preserve">）</w:t>
      </w:r>
      <w:r>
        <w:rPr>
          <w:rFonts w:hint="eastAsia" w:ascii="宋体" w:hAnsi="宋体"/>
          <w:sz w:val="24"/>
          <w:szCs w:val="24"/>
          <w:lang w:val="en-US" w:eastAsia="zh-CN"/>
        </w:rPr>
        <w:t xml:space="preserve">的</w:t>
      </w:r>
      <w:r>
        <w:rPr>
          <w:rFonts w:hint="eastAsia" w:ascii="宋体" w:hAnsi="宋体"/>
          <w:sz w:val="24"/>
          <w:szCs w:val="24"/>
        </w:rPr>
        <w:t xml:space="preserve">设备及安装采购</w:t>
      </w:r>
      <w:r>
        <w:rPr>
          <w:rFonts w:hint="eastAsia" w:ascii="宋体" w:hAnsi="宋体"/>
          <w:sz w:val="24"/>
          <w:szCs w:val="24"/>
          <w:lang w:eastAsia="zh-CN"/>
        </w:rPr>
        <w:t xml:space="preserve">，</w:t>
      </w:r>
      <w:r>
        <w:rPr>
          <w:rFonts w:hint="eastAsia" w:ascii="宋体" w:hAnsi="宋体"/>
          <w:sz w:val="24"/>
          <w:szCs w:val="24"/>
          <w:lang w:val="en-US" w:eastAsia="zh-CN"/>
        </w:rPr>
        <w:t xml:space="preserve">主要建设内容包含防霸凌和充电桩消防监管</w:t>
      </w:r>
      <w:r>
        <w:rPr>
          <w:rFonts w:hint="eastAsia" w:ascii="宋体" w:hAnsi="宋体"/>
          <w:sz w:val="24"/>
          <w:szCs w:val="24"/>
        </w:rPr>
        <w:t xml:space="preserve">。（详细内容见本招标文件第四章）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35393792"/>
      <w:r/>
      <w:bookmarkStart w:id="21" w:name="_Toc28359004"/>
      <w:r/>
      <w:bookmarkStart w:id="22" w:name="_Toc38985265"/>
      <w:r/>
      <w:bookmarkStart w:id="23" w:name="_Toc35393623"/>
      <w:r/>
      <w:bookmarkStart w:id="24" w:name="_Toc28359081"/>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35393793"/>
      <w:r/>
      <w:bookmarkStart w:id="26" w:name="_Toc35393624"/>
      <w:r/>
      <w:bookmarkStart w:id="27" w:name="_Toc28359005"/>
      <w:r/>
      <w:bookmarkStart w:id="28" w:name="_Toc38985266"/>
      <w:r/>
      <w:bookmarkStart w:id="29" w:name="_Toc28359082"/>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bookmarkEnd w:id="26"/>
      <w:bookmarkEnd w:id="27"/>
      <w:bookmarkEnd w:id="28"/>
      <w:bookmarkEnd w:id="29"/>
      <w:r/>
    </w:p>
    <w:p>
      <w:pPr>
        <w:pStyle w:val="935"/>
        <w:ind w:firstLine="498"/>
        <w:spacing w:before="156" w:after="156" w:line="360" w:lineRule="auto"/>
        <w:rPr>
          <w:rFonts w:hint="eastAsia" w:asciiTheme="minorEastAsia" w:hAnsiTheme="minorEastAsia" w:eastAsiaTheme="minorEastAsia" w:cstheme="minorEastAsia"/>
        </w:rPr>
      </w:pPr>
      <w:r/>
      <w:bookmarkStart w:id="30" w:name="_Toc28359007"/>
      <w:r/>
      <w:bookmarkStart w:id="31" w:name="_Toc35393625"/>
      <w:r/>
      <w:bookmarkStart w:id="32" w:name="_Toc35393794"/>
      <w:r/>
      <w:bookmarkStart w:id="33" w:name="_Toc28359084"/>
      <w:r/>
      <w:bookmarkStart w:id="34" w:name="_Toc38985267"/>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8985268"/>
      <w:r/>
      <w:bookmarkStart w:id="36" w:name="_Toc35393626"/>
      <w:r/>
      <w:bookmarkStart w:id="37" w:name="_Toc35393795"/>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5"/>
        <w:ind w:firstLine="498"/>
        <w:spacing w:before="156" w:after="156" w:line="360" w:lineRule="auto"/>
      </w:pPr>
      <w:r/>
      <w:bookmarkStart w:id="38" w:name="_Toc28359085"/>
      <w:r/>
      <w:bookmarkStart w:id="39" w:name="_Toc38985269"/>
      <w:r/>
      <w:bookmarkStart w:id="40" w:name="_Toc35393796"/>
      <w:r/>
      <w:bookmarkStart w:id="41" w:name="_Toc28359008"/>
      <w:r/>
      <w:bookmarkStart w:id="42" w:name="_Toc35393627"/>
      <w:r/>
      <w:bookmarkStart w:id="43" w:name="_Toc28359010"/>
      <w:r/>
      <w:bookmarkStart w:id="44" w:name="_Toc28359087"/>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1.采购人信息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牵头单位</w:t>
      </w:r>
      <w:r>
        <w:rPr>
          <w:rFonts w:hint="eastAsia" w:ascii="宋体" w:hAnsi="宋体" w:cs="宋体"/>
          <w:sz w:val="24"/>
          <w:szCs w:val="24"/>
          <w:lang w:eastAsia="zh-CN"/>
        </w:rPr>
        <w:t xml:space="preserve">）</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称：常州刘国钧高等职业技术学校</w:t>
      </w:r>
      <w:r>
        <w:rPr>
          <w:rFonts w:hint="eastAsia" w:ascii="宋体" w:hAnsi="宋体" w:cs="宋体"/>
          <w:sz w:val="24"/>
          <w:szCs w:val="24"/>
          <w:highlight w:val="none"/>
        </w:rPr>
        <w:tab/>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址：常州市常州经济开发区富民路296号</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 张先生</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联系方式：0519-68785271</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bookmarkEnd w:id="44"/>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bookmarkEnd w:id="3"/>
      <w:bookmarkEnd w:id="4"/>
      <w:bookmarkEnd w:id="5"/>
      <w:bookmarkEnd w:id="6"/>
      <w:r/>
    </w:p>
    <w:p>
      <w:pPr>
        <w:pStyle w:val="931"/>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513029242"/>
      <w:r/>
      <w:bookmarkStart w:id="48" w:name="_Toc16938558"/>
      <w:r/>
      <w:bookmarkStart w:id="49" w:name="_Toc120614221"/>
      <w:r/>
      <w:bookmarkStart w:id="50" w:name="_Toc479757207"/>
      <w:r/>
      <w:bookmarkStart w:id="51" w:name="_Toc20823314"/>
      <w:r>
        <w:rPr>
          <w:rFonts w:hint="eastAsia" w:asciiTheme="minorEastAsia" w:hAnsiTheme="minorEastAsia" w:eastAsiaTheme="minorEastAsia" w:cstheme="minorEastAsia"/>
        </w:rPr>
        <w:t xml:space="preserve">第二章  </w:t>
      </w:r>
      <w:bookmarkEnd w:id="45"/>
      <w:r/>
      <w:bookmarkStart w:id="52" w:name="_Toc20823274"/>
      <w:r/>
      <w:bookmarkStart w:id="53" w:name="_Toc513029202"/>
      <w:r/>
      <w:bookmarkStart w:id="54" w:name="_Toc16938518"/>
      <w:r/>
      <w:bookmarkStart w:id="55" w:name="_Toc120614213"/>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935"/>
        <w:ind w:firstLine="498"/>
        <w:spacing w:before="156" w:after="156" w:line="360" w:lineRule="auto"/>
        <w:rPr>
          <w:rFonts w:hint="eastAsia" w:asciiTheme="minorEastAsia" w:hAnsiTheme="minorEastAsia" w:eastAsiaTheme="minorEastAsia" w:cstheme="minorEastAsia"/>
        </w:rPr>
      </w:pPr>
      <w:r/>
      <w:bookmarkStart w:id="56" w:name="_Toc513029203"/>
      <w:r/>
      <w:bookmarkStart w:id="57" w:name="_Toc16938519"/>
      <w:r/>
      <w:bookmarkStart w:id="58" w:name="_Toc20823275"/>
      <w:r/>
      <w:bookmarkStart w:id="59" w:name="_Toc120614214"/>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5" w:name="_Toc513029205"/>
      <w:r/>
      <w:bookmarkStart w:id="66" w:name="_Toc20823277"/>
      <w:r/>
      <w:bookmarkStart w:id="67" w:name="_Toc16938521"/>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8" w:name="_Toc16938522"/>
      <w:r/>
      <w:bookmarkStart w:id="69" w:name="_Toc513029206"/>
      <w:r/>
      <w:bookmarkStart w:id="70" w:name="_Toc20823278"/>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71" w:name="_Toc20823279"/>
      <w:r/>
      <w:bookmarkStart w:id="72" w:name="_Toc16938523"/>
      <w:r/>
      <w:bookmarkStart w:id="73" w:name="_Toc462564067"/>
      <w:r/>
      <w:bookmarkStart w:id="74" w:name="_Toc513029207"/>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937"/>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35"/>
        <w:ind w:firstLine="321"/>
        <w:spacing w:before="156" w:after="156" w:line="360" w:lineRule="auto"/>
        <w:rPr>
          <w:rFonts w:hint="eastAsia" w:asciiTheme="minorEastAsia" w:hAnsiTheme="minorEastAsia" w:eastAsiaTheme="minorEastAsia" w:cstheme="minorEastAsia"/>
        </w:rPr>
      </w:pPr>
      <w:r/>
      <w:bookmarkStart w:id="75" w:name="_Toc513029209"/>
      <w:r/>
      <w:bookmarkStart w:id="76" w:name="_Toc20823281"/>
      <w:r/>
      <w:bookmarkStart w:id="77" w:name="_Toc16938525"/>
      <w:r/>
      <w:bookmarkStart w:id="78" w:name="_Toc120614215"/>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79" w:name="_Toc16938526"/>
      <w:r/>
      <w:bookmarkStart w:id="80" w:name="_Toc513029210"/>
      <w:r/>
      <w:bookmarkStart w:id="81" w:name="_Toc20823282"/>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82" w:name="_Toc462564070"/>
      <w:r/>
      <w:bookmarkStart w:id="83" w:name="_Toc20823283"/>
      <w:r/>
      <w:bookmarkStart w:id="84" w:name="_Toc513029211"/>
      <w:r/>
      <w:bookmarkStart w:id="85" w:name="_Toc16938527"/>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86" w:name="_Toc513029212"/>
      <w:r/>
      <w:bookmarkStart w:id="87" w:name="_Toc462564071"/>
      <w:r/>
      <w:bookmarkStart w:id="88" w:name="_Toc16938528"/>
      <w:r/>
      <w:bookmarkStart w:id="89" w:name="_Toc20823284"/>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935"/>
        <w:ind w:firstLine="482"/>
        <w:spacing w:before="156" w:after="156" w:line="360" w:lineRule="auto"/>
        <w:rPr>
          <w:rFonts w:hint="eastAsia" w:asciiTheme="minorEastAsia" w:hAnsiTheme="minorEastAsia" w:eastAsiaTheme="minorEastAsia" w:cstheme="minorEastAsia"/>
        </w:rPr>
      </w:pPr>
      <w:r/>
      <w:bookmarkStart w:id="90" w:name="_Toc513029213"/>
      <w:r/>
      <w:bookmarkStart w:id="91" w:name="_Toc462564072"/>
      <w:r/>
      <w:bookmarkStart w:id="92" w:name="_Toc120614216"/>
      <w:r/>
      <w:bookmarkStart w:id="93" w:name="_Toc20823285"/>
      <w:r/>
      <w:bookmarkStart w:id="94" w:name="_Toc16938529"/>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937"/>
        <w:ind w:firstLine="560"/>
        <w:spacing w:before="0" w:after="0" w:line="240" w:lineRule="auto"/>
        <w:rPr>
          <w:rFonts w:hint="eastAsia" w:asciiTheme="minorEastAsia" w:hAnsiTheme="minorEastAsia" w:eastAsiaTheme="minorEastAsia" w:cstheme="minorEastAsia"/>
          <w:bCs w:val="0"/>
        </w:rPr>
      </w:pPr>
      <w:r/>
      <w:bookmarkStart w:id="95" w:name="_Toc462564073"/>
      <w:r/>
      <w:bookmarkStart w:id="96" w:name="_Toc513029214"/>
      <w:r/>
      <w:bookmarkStart w:id="97" w:name="_Toc20823286"/>
      <w:r/>
      <w:bookmarkStart w:id="98" w:name="_Toc16938530"/>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99" w:name="_Toc20823287"/>
      <w:r/>
      <w:bookmarkStart w:id="100" w:name="_Toc513029215"/>
      <w:r/>
      <w:bookmarkStart w:id="101" w:name="_Toc462564074"/>
      <w:r/>
      <w:bookmarkStart w:id="102" w:name="_Toc16938531"/>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03" w:name="_Hlt26670360"/>
      <w:r/>
      <w:bookmarkEnd w:id="103"/>
      <w:r/>
      <w:bookmarkStart w:id="104" w:name="_Hlt26668975"/>
      <w:r/>
      <w:bookmarkEnd w:id="104"/>
      <w:r/>
      <w:bookmarkStart w:id="105" w:name="_Hlt26954838"/>
      <w:r/>
      <w:bookmarkEnd w:id="105"/>
      <w:r/>
      <w:bookmarkStart w:id="106" w:name="_Toc14577357"/>
      <w:r/>
      <w:bookmarkStart w:id="107" w:name="_Toc49090509"/>
      <w:r/>
      <w:bookmarkStart w:id="108" w:name="_Toc513029219"/>
      <w:r/>
      <w:bookmarkStart w:id="109" w:name="_Toc513029216"/>
      <w:r/>
      <w:bookmarkStart w:id="110" w:name="_Toc49090507"/>
      <w:r/>
      <w:bookmarkStart w:id="111" w:name="_Toc14577354"/>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bookmarkEnd w:id="110"/>
      <w:bookmarkEnd w:id="111"/>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17" w:name="_Hlt26954844"/>
      <w:r/>
      <w:bookmarkEnd w:id="117"/>
      <w:r/>
      <w:bookmarkStart w:id="118" w:name="_Hlt26954846"/>
      <w:r/>
      <w:bookmarkEnd w:id="118"/>
      <w:r/>
      <w:bookmarkStart w:id="119" w:name="_Hlt26670425"/>
      <w:r/>
      <w:bookmarkEnd w:id="119"/>
      <w:r/>
      <w:bookmarkStart w:id="120" w:name="_Hlt26954848"/>
      <w:r/>
      <w:bookmarkEnd w:id="120"/>
      <w:r/>
      <w:bookmarkStart w:id="121" w:name="_Hlt26668983"/>
      <w:r/>
      <w:bookmarkEnd w:id="121"/>
      <w:r/>
      <w:bookmarkStart w:id="122" w:name="_Hlt26954731"/>
      <w:r/>
      <w:bookmarkEnd w:id="122"/>
      <w:r/>
      <w:bookmarkStart w:id="123" w:name="_Hlt26954842"/>
      <w:r/>
      <w:bookmarkEnd w:id="123"/>
      <w:r/>
      <w:bookmarkStart w:id="124" w:name="_Hlt26670482"/>
      <w:r/>
      <w:bookmarkEnd w:id="124"/>
      <w:r/>
      <w:bookmarkStart w:id="125" w:name="_Hlt26670403"/>
      <w:r/>
      <w:bookmarkEnd w:id="125"/>
      <w:r/>
      <w:bookmarkStart w:id="126" w:name="_Hlt26670486"/>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bookmarkEnd w:id="128"/>
      <w:r/>
    </w:p>
    <w:p>
      <w:pPr>
        <w:pStyle w:val="937"/>
        <w:ind w:firstLine="420"/>
        <w:spacing w:before="0" w:after="0" w:line="240" w:lineRule="auto"/>
        <w:rPr>
          <w:rFonts w:hint="eastAsia" w:asciiTheme="minorEastAsia" w:hAnsiTheme="minorEastAsia" w:eastAsiaTheme="minorEastAsia" w:cstheme="minorEastAsia"/>
          <w:b w:val="0"/>
          <w:bCs w:val="0"/>
        </w:rPr>
      </w:pPr>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935"/>
        <w:ind w:firstLine="482"/>
        <w:spacing w:before="156" w:after="156" w:line="360" w:lineRule="auto"/>
        <w:rPr>
          <w:rFonts w:hint="eastAsia" w:asciiTheme="minorEastAsia" w:hAnsiTheme="minorEastAsia" w:eastAsiaTheme="minorEastAsia" w:cstheme="minorEastAsia"/>
        </w:rPr>
      </w:pPr>
      <w:r/>
      <w:bookmarkStart w:id="134" w:name="_Hlt26954739"/>
      <w:r/>
      <w:bookmarkEnd w:id="134"/>
      <w:r/>
      <w:bookmarkStart w:id="135" w:name="_Hlt26954852"/>
      <w:r/>
      <w:bookmarkEnd w:id="135"/>
      <w:r/>
      <w:bookmarkStart w:id="136" w:name="_Toc513029224"/>
      <w:r/>
      <w:bookmarkStart w:id="137" w:name="_Toc120614217"/>
      <w:r/>
      <w:bookmarkStart w:id="138" w:name="_Toc16938540"/>
      <w:r/>
      <w:bookmarkStart w:id="139" w:name="_Toc20823296"/>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140" w:name="_Toc513029225"/>
      <w:r/>
      <w:bookmarkStart w:id="141" w:name="_Toc462564084"/>
      <w:r/>
      <w:bookmarkStart w:id="142" w:name="_Toc16938541"/>
      <w:r/>
      <w:bookmarkStart w:id="143" w:name="_Toc20823297"/>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040"/>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513029226"/>
      <w:r/>
      <w:bookmarkStart w:id="145" w:name="_Toc20823298"/>
      <w:r/>
      <w:bookmarkStart w:id="146" w:name="_Toc16938542"/>
      <w:r/>
      <w:r/>
    </w:p>
    <w:p>
      <w:pPr>
        <w:pStyle w:val="937"/>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20823299"/>
      <w:r/>
      <w:bookmarkStart w:id="149" w:name="_Toc513029227"/>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50" w:name="_Toc20823300"/>
      <w:r/>
      <w:bookmarkStart w:id="151" w:name="_Toc16938544"/>
      <w:r/>
      <w:bookmarkStart w:id="152" w:name="_Toc513029228"/>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35"/>
        <w:ind w:firstLine="482"/>
        <w:spacing w:before="156" w:after="156" w:line="360" w:lineRule="auto"/>
        <w:rPr>
          <w:rFonts w:hint="eastAsia" w:asciiTheme="minorEastAsia" w:hAnsiTheme="minorEastAsia" w:eastAsiaTheme="minorEastAsia" w:cstheme="minorEastAsia"/>
        </w:rPr>
      </w:pPr>
      <w:r/>
      <w:bookmarkStart w:id="153" w:name="_Toc20823301"/>
      <w:r/>
      <w:bookmarkStart w:id="154" w:name="_Toc513029229"/>
      <w:r/>
      <w:bookmarkStart w:id="155" w:name="_Toc120614218"/>
      <w:r/>
      <w:bookmarkStart w:id="156" w:name="_Toc16938545"/>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57" w:name="_Toc16938546"/>
      <w:r/>
      <w:bookmarkStart w:id="158" w:name="_Toc20823302"/>
      <w:r/>
      <w:bookmarkStart w:id="159" w:name="_Toc513029230"/>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0" w:name="_Toc513029231"/>
      <w:r/>
      <w:bookmarkStart w:id="161" w:name="_Toc16938547"/>
      <w:r/>
      <w:bookmarkStart w:id="162" w:name="_Toc20823303"/>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bookmarkEnd w:id="161"/>
      <w:bookmarkEnd w:id="162"/>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3" w:name="_Toc16938548"/>
      <w:r/>
      <w:bookmarkStart w:id="164" w:name="_Toc20823304"/>
      <w:r/>
      <w:bookmarkStart w:id="165" w:name="_Toc513029232"/>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6" w:name="_Toc20823305"/>
      <w:r/>
      <w:bookmarkStart w:id="167" w:name="_Toc16938549"/>
      <w:r/>
      <w:bookmarkStart w:id="168" w:name="_Toc513029233"/>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513029234"/>
      <w:r/>
      <w:bookmarkStart w:id="170" w:name="_Toc20823306"/>
      <w:r/>
      <w:bookmarkStart w:id="171" w:name="_Toc16938550"/>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20823307"/>
      <w:r/>
      <w:bookmarkStart w:id="173" w:name="_Toc513029235"/>
      <w:r/>
      <w:bookmarkStart w:id="174" w:name="_Toc16938551"/>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935"/>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937"/>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93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93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35"/>
        <w:spacing w:before="156" w:after="156" w:line="360" w:lineRule="auto"/>
        <w:rPr>
          <w:rFonts w:hint="eastAsia" w:asciiTheme="minorEastAsia" w:hAnsiTheme="minorEastAsia" w:eastAsiaTheme="minorEastAsia" w:cstheme="minorEastAsia"/>
        </w:rPr>
      </w:pPr>
      <w:r/>
      <w:bookmarkStart w:id="180" w:name="_Toc120614220"/>
      <w:r/>
      <w:bookmarkStart w:id="181" w:name="_Toc513029236"/>
      <w:r/>
      <w:bookmarkStart w:id="182" w:name="_Toc20823308"/>
      <w:r/>
      <w:bookmarkStart w:id="183" w:name="_Toc16938552"/>
      <w:r>
        <w:rPr>
          <w:rFonts w:hint="eastAsia" w:asciiTheme="minorEastAsia" w:hAnsiTheme="minorEastAsia" w:eastAsiaTheme="minorEastAsia" w:cstheme="minorEastAsia"/>
        </w:rPr>
        <w:t xml:space="preserve">七、授予合同</w:t>
      </w:r>
      <w:bookmarkEnd w:id="180"/>
      <w:r/>
      <w:bookmarkEnd w:id="181"/>
      <w:bookmarkEnd w:id="182"/>
      <w:bookmarkEnd w:id="183"/>
      <w:r/>
    </w:p>
    <w:p>
      <w:pPr>
        <w:pStyle w:val="937"/>
        <w:ind w:firstLine="600"/>
        <w:spacing w:before="0" w:after="0" w:line="240" w:lineRule="auto"/>
        <w:rPr>
          <w:rFonts w:hint="eastAsia" w:asciiTheme="minorEastAsia" w:hAnsiTheme="minorEastAsia" w:eastAsiaTheme="minorEastAsia" w:cstheme="minorEastAsia"/>
          <w:b w:val="0"/>
          <w:sz w:val="30"/>
          <w:szCs w:val="30"/>
        </w:rPr>
      </w:pPr>
      <w:r/>
      <w:bookmarkStart w:id="184" w:name="_Toc20823309"/>
      <w:r/>
      <w:bookmarkStart w:id="185" w:name="_Toc16938553"/>
      <w:r/>
      <w:bookmarkStart w:id="186" w:name="_Toc513029237"/>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bookmarkEnd w:id="185"/>
      <w:bookmarkEnd w:id="186"/>
      <w:r/>
    </w:p>
    <w:p>
      <w:pPr>
        <w:pStyle w:val="937"/>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32"/>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bookmarkEnd w:id="48"/>
      <w:bookmarkEnd w:id="49"/>
      <w:bookmarkEnd w:id="50"/>
      <w:bookmarkEnd w:id="51"/>
      <w:r/>
    </w:p>
    <w:p>
      <w:pPr>
        <w:jc w:val="center"/>
        <w:keepNext/>
        <w:rPr>
          <w:rFonts w:hint="eastAsia" w:asciiTheme="minorEastAsia" w:hAnsiTheme="minorEastAsia" w:eastAsiaTheme="minorEastAsia" w:cstheme="minorEastAsia"/>
          <w:bCs/>
          <w:sz w:val="44"/>
          <w:szCs w:val="28"/>
        </w:rPr>
        <w:outlineLvl w:val="0"/>
      </w:pPr>
      <w:r/>
      <w:bookmarkStart w:id="187" w:name="_Toc20823315"/>
      <w:r/>
      <w:bookmarkStart w:id="188" w:name="_Toc16938559"/>
      <w:r/>
      <w:bookmarkStart w:id="189" w:name="_Toc513029243"/>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w:t>
      </w: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bookmarkEnd w:id="188"/>
      <w:bookmarkEnd w:id="189"/>
      <w:r/>
    </w:p>
    <w:p>
      <w:pPr>
        <w:pStyle w:val="929"/>
        <w:rPr>
          <w:rFonts w:hint="eastAsia" w:asciiTheme="minorEastAsia" w:hAnsiTheme="minorEastAsia" w:eastAsiaTheme="minorEastAsia" w:cstheme="minorEastAsia"/>
          <w:b/>
          <w:bCs/>
          <w:sz w:val="44"/>
        </w:rPr>
      </w:pPr>
      <w:r/>
      <w:bookmarkStart w:id="191" w:name="_Toc17950"/>
      <w:r/>
      <w:bookmarkStart w:id="192" w:name="_Toc49090575"/>
      <w:r/>
      <w:bookmarkStart w:id="193" w:name="_Toc120614281"/>
      <w:r/>
      <w:bookmarkStart w:id="194" w:name="_Toc26554093"/>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19"/>
        <w:numPr>
          <w:ilvl w:val="0"/>
          <w:numId w:val="4"/>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numPr>
          <w:ilvl w:val="0"/>
          <w:numId w:val="5"/>
        </w:numPr>
        <w:spacing w:line="360" w:lineRule="auto"/>
        <w:rPr>
          <w:rFonts w:hint="eastAsia" w:ascii="宋体" w:hAnsi="宋体"/>
          <w:sz w:val="24"/>
          <w:szCs w:val="24"/>
        </w:rPr>
      </w:pPr>
      <w:r>
        <w:rPr>
          <w:rFonts w:hint="eastAsia" w:ascii="宋体" w:hAnsi="宋体"/>
          <w:bCs/>
          <w:sz w:val="24"/>
          <w:szCs w:val="24"/>
        </w:rPr>
        <w:t xml:space="preserve">项目名称：</w:t>
      </w:r>
      <w:r>
        <w:rPr>
          <w:rFonts w:hint="eastAsia" w:ascii="宋体" w:hAnsi="宋体"/>
          <w:sz w:val="24"/>
          <w:szCs w:val="24"/>
        </w:rPr>
        <w:t xml:space="preserve">常州市教育局直属单位智慧安防建设设备及安装采购项目</w:t>
      </w:r>
      <w:r/>
    </w:p>
    <w:p>
      <w:pPr>
        <w:numPr>
          <w:ilvl w:val="0"/>
          <w:numId w:val="5"/>
        </w:numPr>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745.76</w:t>
      </w:r>
      <w:r>
        <w:rPr>
          <w:rFonts w:hint="eastAsia" w:ascii="宋体" w:hAnsi="宋体"/>
          <w:sz w:val="24"/>
          <w:szCs w:val="24"/>
        </w:rPr>
        <w:t xml:space="preserve"> 万元</w:t>
      </w:r>
      <w:r/>
    </w:p>
    <w:tbl>
      <w:tblPr>
        <w:tblStyle w:val="737"/>
        <w:tblW w:w="4538"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324"/>
        <w:gridCol w:w="1263"/>
        <w:gridCol w:w="1070"/>
        <w:gridCol w:w="1241"/>
      </w:tblGrid>
      <w:tr>
        <w:trPr>
          <w:trHeight w:val="600"/>
        </w:trPr>
        <w:tc>
          <w:tcPr>
            <w:tcW w:w="541"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包号</w:t>
            </w:r>
            <w:r/>
          </w:p>
        </w:tc>
        <w:tc>
          <w:tcPr>
            <w:tcW w:w="2148"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bCs/>
              </w:rPr>
              <w:t xml:space="preserve">标的名称</w:t>
            </w:r>
            <w:r/>
          </w:p>
        </w:tc>
        <w:tc>
          <w:tcPr>
            <w:shd w:val="clear" w:color="auto" w:fill="auto"/>
            <w:tcW w:w="816" w:type="pct"/>
            <w:vAlign w:val="center"/>
            <w:textDirection w:val="lrTb"/>
            <w:noWrap/>
          </w:tcPr>
          <w:p>
            <w:pPr>
              <w:jc w:val="center"/>
              <w:keepLines w:val="0"/>
              <w:keepNext w:val="0"/>
              <w:pageBreakBefore w:val="0"/>
              <w:spacing w:line="240" w:lineRule="exact"/>
              <w:rPr>
                <w:bCs/>
              </w:rPr>
            </w:pPr>
            <w:r>
              <w:rPr>
                <w:bCs/>
              </w:rPr>
              <w:t xml:space="preserve">采购包</w:t>
            </w:r>
            <w:r/>
          </w:p>
          <w:p>
            <w:pPr>
              <w:jc w:val="center"/>
              <w:keepLines w:val="0"/>
              <w:keepNext w:val="0"/>
              <w:pageBreakBefore w:val="0"/>
              <w:spacing w:line="240" w:lineRule="exact"/>
              <w:rPr>
                <w:bCs/>
              </w:rPr>
            </w:pPr>
            <w:r>
              <w:rPr>
                <w:bCs/>
              </w:rPr>
              <w:t xml:space="preserve">预算金额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bCs/>
              </w:rPr>
              <w:t xml:space="preserve">（万元）</w:t>
            </w:r>
            <w:r/>
          </w:p>
        </w:tc>
        <w:tc>
          <w:tcPr>
            <w:shd w:val="clear" w:color="auto" w:fill="auto"/>
            <w:tcW w:w="691" w:type="pct"/>
            <w:vAlign w:val="center"/>
            <w:textDirection w:val="lrTb"/>
            <w:noWrap/>
          </w:tcPr>
          <w:p>
            <w:pPr>
              <w:jc w:val="center"/>
              <w:keepLines w:val="0"/>
              <w:keepNext w:val="0"/>
              <w:pageBreakBefore w:val="0"/>
              <w:spacing w:line="240" w:lineRule="exact"/>
              <w:widowControl/>
              <w:rPr>
                <w:bCs/>
              </w:rPr>
            </w:pPr>
            <w:r>
              <w:rPr>
                <w:bCs/>
              </w:rPr>
              <w:t xml:space="preserve">采购包</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最高限额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802" w:type="pct"/>
            <w:vAlign w:val="center"/>
            <w:textDirection w:val="lrTb"/>
            <w:noWrap/>
          </w:tcPr>
          <w:p>
            <w:pPr>
              <w:jc w:val="center"/>
              <w:keepLines w:val="0"/>
              <w:keepNext w:val="0"/>
              <w:pageBreakBefore w:val="0"/>
              <w:spacing w:line="240" w:lineRule="exact"/>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r>
      <w:tr>
        <w:trPr>
          <w:trHeight w:val="600"/>
        </w:trPr>
        <w:tc>
          <w:tcPr>
            <w:tcW w:w="541" w:type="pct"/>
            <w:vAlign w:val="center"/>
            <w:vMerge w:val="restart"/>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816" w:type="pct"/>
            <w:vAlign w:val="center"/>
            <w:vMerge w:val="restart"/>
            <w:textDirection w:val="lrTb"/>
            <w:noWrap/>
          </w:tcPr>
          <w:p>
            <w:pPr>
              <w:jc w:val="center"/>
              <w:keepLines w:val="0"/>
              <w:keepNext w:val="0"/>
              <w:pageBreakBefore w:val="0"/>
              <w:spacing w:line="24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691" w:type="pct"/>
            <w:vAlign w:val="center"/>
            <w:vMerge w:val="restart"/>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rPr>
                <w:rFonts w:hint="default"/>
                <w:lang w:val="en-US" w:eastAsia="zh-CN"/>
              </w:rPr>
            </w:pPr>
            <w:r>
              <w:rPr>
                <w:rFonts w:hint="default"/>
                <w:lang w:val="en-US" w:eastAsia="zh-CN"/>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r>
    </w:tbl>
    <w:p>
      <w:pPr>
        <w:pStyle w:val="741"/>
      </w:pPr>
      <w:r>
        <w:rPr>
          <w:rFonts w:hint="eastAsia"/>
          <w:b/>
          <w:bCs/>
          <w:color w:val="ff0000"/>
          <w:lang w:val="en-US" w:eastAsia="zh-CN"/>
        </w:rPr>
        <w:t xml:space="preserve">投标时应根据所有单位的基本要求汇总表提供采购包的总的报价表，同时根据附件中各单位的采购清单提供各个单位的报价表。</w:t>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为补齐校园安全监管短板，筑牢校园人身安全与消防安全双重防护防线，针对我市35所直属学校现存监管盲区，本次计划统一采购智能拾音器、火焰识别物联网监测设备，搭建一体化校园智能安防预警系统，全面消除校园安全隐患，保障师生人身及校园财产安全。</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厕所无监控、霸凌事件隐蔽难监管的痛点，本次为各校厕所部署专用智能拾音器设备。设备支持实时声音直播、全程录音回放，填补厕所视频监控盲区；搭载智能异响识别、霸凌敏感词语音识别算法，可自动识别异常声响，精准抓取欺凌辱骂类敏感词汇，一旦监测到违规语音信息，立即推送预警信息，帮助校方第一时间介入处置，遏制隐蔽性校园霸凌行为。</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电瓶车充电区、汽车充电桩火灾高发风险，全域加装火焰智能识别物联网相关设备。设备7×24小时不间断值守监测，可极速识别明火火苗，触发本地声光报警，同时自动拨打应急联系电话、推送移动端预警消息，联动校园安保人员快速处置，实现火灾早发现、早预警、早处置。</w:t>
      </w:r>
      <w:r/>
    </w:p>
    <w:p>
      <w:pPr>
        <w:spacing w:line="360" w:lineRule="auto"/>
        <w:rPr>
          <w:rFonts w:hint="eastAsia" w:ascii="宋体" w:hAnsi="宋体"/>
          <w:sz w:val="24"/>
          <w:szCs w:val="24"/>
        </w:rPr>
      </w:pPr>
      <w:r>
        <w:rPr>
          <w:rFonts w:hint="eastAsia" w:ascii="宋体" w:hAnsi="宋体"/>
          <w:sz w:val="24"/>
          <w:szCs w:val="24"/>
          <w:lang w:val="en-US" w:eastAsia="zh-CN"/>
        </w:rPr>
        <w:t xml:space="preserve">4.本项目为包干制，供应商报价为完成本项目的总报价</w:t>
      </w:r>
      <w:r>
        <w:rPr>
          <w:rFonts w:hint="eastAsia" w:ascii="宋体" w:hAnsi="宋体"/>
          <w:b/>
          <w:bCs/>
          <w:color w:val="auto"/>
          <w:sz w:val="24"/>
          <w:szCs w:val="24"/>
          <w:lang w:val="en-US" w:eastAsia="zh-CN"/>
        </w:rPr>
        <w:t xml:space="preserve">（含供货、安装集成、开挖、回填、辅材、FLUKE铜缆链路级测试及其他费用）</w:t>
      </w:r>
      <w:r>
        <w:rPr>
          <w:rFonts w:hint="eastAsia" w:ascii="宋体" w:hAnsi="宋体"/>
          <w:sz w:val="24"/>
          <w:szCs w:val="24"/>
          <w:lang w:val="en-US" w:eastAsia="zh-CN"/>
        </w:rPr>
        <w:t xml:space="preserve">，不再另外收取任何费用。</w:t>
      </w:r>
      <w:r/>
    </w:p>
    <w:p>
      <w:pPr>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lang w:val="en-US" w:eastAsia="zh-CN"/>
        </w:rPr>
        <w:t xml:space="preserve">7</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w:t>
      </w:r>
      <w:r>
        <w:rPr>
          <w:rFonts w:hint="eastAsia"/>
          <w:sz w:val="24"/>
          <w:lang w:val="en-US" w:eastAsia="zh-CN"/>
        </w:rPr>
        <w:t xml:space="preserve">1</w:t>
      </w:r>
      <w:r>
        <w:rPr>
          <w:rFonts w:hint="eastAsia"/>
          <w:sz w:val="24"/>
        </w:rPr>
        <w:t xml:space="preserve">.本项目的特定资格要求：无；</w:t>
      </w:r>
      <w:r/>
    </w:p>
    <w:p>
      <w:pPr>
        <w:spacing w:line="360" w:lineRule="auto"/>
        <w:rPr>
          <w:sz w:val="24"/>
        </w:rPr>
      </w:pPr>
      <w:r>
        <w:rPr>
          <w:rFonts w:hint="eastAsia"/>
          <w:sz w:val="24"/>
        </w:rPr>
        <w:t xml:space="preserve">1</w:t>
      </w:r>
      <w:r>
        <w:rPr>
          <w:rFonts w:hint="eastAsia"/>
          <w:sz w:val="24"/>
          <w:lang w:val="en-US" w:eastAsia="zh-CN"/>
        </w:rPr>
        <w:t xml:space="preserve">2</w:t>
      </w:r>
      <w:r>
        <w:rPr>
          <w:rFonts w:hint="eastAsia"/>
          <w:sz w:val="24"/>
        </w:rPr>
        <w:t xml:space="preserve">.项目类别：货物类；</w:t>
      </w:r>
      <w:r/>
    </w:p>
    <w:p>
      <w:pPr>
        <w:spacing w:line="400" w:lineRule="exac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w:t>
      </w:r>
      <w:r>
        <w:rPr>
          <w:rFonts w:hint="eastAsia" w:asciiTheme="minorEastAsia" w:hAnsiTheme="minorEastAsia" w:eastAsiaTheme="minorEastAsia" w:cstheme="minorEastAsia"/>
          <w:b/>
          <w:bCs/>
          <w:color w:val="auto"/>
          <w:sz w:val="24"/>
          <w:lang w:val="en-US" w:eastAsia="zh-CN"/>
        </w:rPr>
        <w:t xml:space="preserve">3</w:t>
      </w:r>
      <w:r>
        <w:rPr>
          <w:rFonts w:hint="eastAsia" w:asciiTheme="minorEastAsia" w:hAnsiTheme="minorEastAsia" w:eastAsiaTheme="minorEastAsia" w:cstheme="minorEastAsia"/>
          <w:b/>
          <w:bCs/>
          <w:color w:val="auto"/>
          <w:sz w:val="24"/>
        </w:rPr>
        <w:t xml:space="preserve">.其他，统一安排现场踏勘，时间</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lang w:val="en-US" w:eastAsia="zh-CN"/>
        </w:rPr>
        <w:t xml:space="preserve">地点、联系人详见以下安排表</w:t>
      </w:r>
      <w:r>
        <w:rPr>
          <w:rFonts w:hint="eastAsia" w:asciiTheme="minorEastAsia" w:hAnsiTheme="minorEastAsia" w:eastAsiaTheme="minorEastAsia" w:cstheme="minorEastAsia"/>
          <w:b/>
          <w:bCs/>
          <w:color w:val="auto"/>
          <w:sz w:val="24"/>
        </w:rPr>
        <w:t xml:space="preserve">。</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238"/>
        <w:gridCol w:w="1788"/>
        <w:gridCol w:w="1121"/>
        <w:gridCol w:w="1704"/>
      </w:tblGrid>
      <w:tr>
        <w:trPr/>
        <w:tc>
          <w:tcPr>
            <w:tcW w:w="667"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3238"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单位名称</w:t>
            </w:r>
            <w:r/>
          </w:p>
        </w:tc>
        <w:tc>
          <w:tcPr>
            <w:tcW w:w="1788"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时间</w:t>
            </w:r>
            <w:r/>
          </w:p>
        </w:tc>
        <w:tc>
          <w:tcPr>
            <w:tcW w:w="1121"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联系人</w:t>
            </w:r>
            <w:r/>
          </w:p>
        </w:tc>
        <w:tc>
          <w:tcPr>
            <w:tcW w:w="1704"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联系电话</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石老师</w:t>
            </w:r>
            <w:r/>
          </w:p>
        </w:tc>
        <w:tc>
          <w:tcPr>
            <w:tcW w:w="1704" w:type="dxa"/>
            <w:vAlign w:val="center"/>
            <w:textDirection w:val="lrTb"/>
            <w:noWrap w:val="false"/>
          </w:tcPr>
          <w:p>
            <w:pPr>
              <w:pStyle w:val="741"/>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18961189230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13815054588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13861022523</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赵老师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15206121652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夏老师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13776858317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胡老师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18951221165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15961114201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18961189372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9</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贺老师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15151977171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沈老师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13358170687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13584533317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13861132901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15301523112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13815059059</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徐老师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13775018855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郭老师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15716117395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13861150228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13775023568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17721686817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13706146251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13861186577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金老师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15851988440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23</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13961402182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许老师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19975131169</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谈老师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13861034325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时老师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13961478230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13584319451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15722767256</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13401320520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庄老师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13775059568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13515251455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李校长</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15151986868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13861065375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傅老师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13775089456</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15006116558</w:t>
            </w:r>
            <w:r/>
          </w:p>
        </w:tc>
      </w:tr>
    </w:tbl>
    <w:p>
      <w:pPr>
        <w:pStyle w:val="741"/>
        <w:rPr>
          <w:rFonts w:hint="default"/>
          <w:lang w:val="en-US" w:eastAsia="zh-CN"/>
        </w:rPr>
      </w:pPr>
      <w:r>
        <w:rPr>
          <w:rFonts w:hint="default"/>
          <w:lang w:val="en-US" w:eastAsia="zh-CN"/>
        </w:rPr>
      </w:r>
      <w:r/>
    </w:p>
    <w:p>
      <w:pPr>
        <w:pStyle w:val="1019"/>
        <w:numPr>
          <w:ilvl w:val="0"/>
          <w:numId w:val="4"/>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9"/>
        <w:numPr>
          <w:ilvl w:val="0"/>
          <w:numId w:val="4"/>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default" w:asciiTheme="minorEastAsia" w:hAnsiTheme="minorEastAsia" w:eastAsiaTheme="minorEastAsia" w:cstheme="minorEastAsia"/>
                <w:lang w:val="en-US" w:eastAsia="zh-CN"/>
              </w:rPr>
            </w:pPr>
            <w:r>
              <w:rPr>
                <w:rFonts w:hint="eastAsia" w:ascii="宋体" w:hAnsi="宋体" w:cs="宋体"/>
              </w:rPr>
              <w:t xml:space="preserve">本项目合同主体与付款单位为</w:t>
            </w:r>
            <w:r>
              <w:rPr>
                <w:rFonts w:hint="eastAsia" w:ascii="宋体" w:hAnsi="宋体" w:cs="宋体"/>
                <w:color w:val="auto"/>
              </w:rPr>
              <w:t xml:space="preserve">：</w:t>
            </w:r>
            <w:r>
              <w:rPr>
                <w:rFonts w:hint="eastAsia" w:asciiTheme="minorEastAsia" w:hAnsiTheme="minorEastAsia" w:eastAsiaTheme="minorEastAsia" w:cstheme="minorEastAsia"/>
                <w:color w:val="auto"/>
              </w:rPr>
              <w:t xml:space="preserve">常州市教育局直属35个单位</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提供所投产品</w:t>
            </w:r>
            <w:r>
              <w:rPr>
                <w:rFonts w:hint="eastAsia"/>
                <w:b/>
                <w:bCs/>
                <w:color w:val="auto"/>
                <w:highlight w:val="yellow"/>
                <w:lang w:eastAsia="zh-CN"/>
              </w:rPr>
              <w:t xml:space="preserve">（</w:t>
            </w:r>
            <w:r>
              <w:rPr>
                <w:rFonts w:hint="eastAsia"/>
                <w:b/>
                <w:bCs/>
                <w:color w:val="auto"/>
                <w:highlight w:val="yellow"/>
                <w:lang w:val="en-US" w:eastAsia="zh-CN"/>
              </w:rPr>
              <w:t xml:space="preserve">除辅材、护线管、金属软管、</w:t>
            </w:r>
            <w:r>
              <w:rPr>
                <w:rFonts w:hint="eastAsia" w:asciiTheme="minorEastAsia" w:hAnsiTheme="minorEastAsia" w:eastAsiaTheme="minorEastAsia" w:cstheme="minorEastAsia"/>
                <w:b/>
                <w:bCs/>
                <w:i w:val="0"/>
                <w:iCs w:val="0"/>
                <w:color w:val="000000"/>
                <w:sz w:val="21"/>
                <w:szCs w:val="21"/>
                <w:highlight w:val="yellow"/>
                <w:u w:val="none"/>
                <w:lang w:val="en-US" w:eastAsia="zh-CN" w:bidi="ar"/>
              </w:rPr>
              <w:t xml:space="preserve">光纤熔接、拖线板</w:t>
            </w:r>
            <w:r>
              <w:rPr>
                <w:rFonts w:hint="eastAsia"/>
                <w:b/>
                <w:bCs/>
                <w:color w:val="auto"/>
                <w:highlight w:val="yellow"/>
                <w:lang w:eastAsia="zh-CN"/>
              </w:rPr>
              <w:t xml:space="preserve">）</w:t>
            </w:r>
            <w:r>
              <w:rPr>
                <w:rFonts w:hint="eastAsia"/>
                <w:b/>
                <w:bCs/>
                <w:color w:val="auto"/>
                <w:lang w:val="en-US" w:eastAsia="zh-CN"/>
              </w:rPr>
              <w:t xml:space="preserve">的</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w:t>
            </w:r>
            <w:r>
              <w:rPr>
                <w:rFonts w:hint="eastAsia" w:asciiTheme="minorEastAsia" w:hAnsiTheme="minorEastAsia" w:eastAsiaTheme="minorEastAsia" w:cstheme="minorEastAsia"/>
                <w:color w:val="ff0000"/>
                <w:lang w:val="en-US" w:eastAsia="zh-CN"/>
              </w:rPr>
              <w:t xml:space="preserve">8</w:t>
            </w:r>
            <w:r>
              <w:rPr>
                <w:rFonts w:hint="eastAsia" w:asciiTheme="minorEastAsia" w:hAnsiTheme="minorEastAsia" w:eastAsiaTheme="minorEastAsia" w:cstheme="minorEastAsia"/>
                <w:color w:val="ff0000"/>
              </w:rPr>
              <w:t xml:space="preserve">月</w:t>
            </w:r>
            <w:r>
              <w:rPr>
                <w:rFonts w:hint="eastAsia" w:asciiTheme="minorEastAsia" w:hAnsiTheme="minorEastAsia" w:eastAsiaTheme="minorEastAsia" w:cstheme="minorEastAsia"/>
                <w:color w:val="ff0000"/>
                <w:lang w:val="en-US" w:eastAsia="zh-CN"/>
              </w:rPr>
              <w:t xml:space="preserve">2</w:t>
            </w:r>
            <w:r>
              <w:rPr>
                <w:rFonts w:hint="eastAsia" w:asciiTheme="minorEastAsia" w:hAnsiTheme="minorEastAsia" w:eastAsiaTheme="minorEastAsia" w:cstheme="minorEastAsia"/>
                <w:color w:val="ff0000"/>
              </w:rPr>
              <w:t xml:space="preserve">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highlight w:val="yellow"/>
                <w:lang w:val="en-US" w:eastAsia="zh-CN"/>
              </w:rPr>
            </w:pPr>
            <w:r>
              <w:rPr>
                <w:rFonts w:hint="eastAsia" w:asciiTheme="minorEastAsia" w:hAnsiTheme="minorEastAsia" w:eastAsiaTheme="minorEastAsia" w:cstheme="minorEastAsia"/>
                <w:highlight w:val="yellow"/>
                <w:lang w:val="en-US" w:eastAsia="zh-CN"/>
              </w:rPr>
              <w:t xml:space="preserve">12.投标供应商承诺所投摄像机能被学校</w:t>
            </w:r>
            <w:r>
              <w:rPr>
                <w:rFonts w:hint="eastAsia" w:asciiTheme="minorEastAsia" w:hAnsiTheme="minorEastAsia" w:eastAsiaTheme="minorEastAsia" w:cstheme="minorEastAsia"/>
                <w:b/>
                <w:bCs/>
                <w:highlight w:val="yellow"/>
                <w:lang w:val="en-US" w:eastAsia="zh-CN"/>
              </w:rPr>
              <w:t xml:space="preserve">现有安防管理软件</w:t>
            </w:r>
            <w:r>
              <w:rPr>
                <w:rFonts w:hint="eastAsia" w:asciiTheme="minorEastAsia" w:hAnsiTheme="minorEastAsia" w:eastAsiaTheme="minorEastAsia" w:cstheme="minorEastAsia"/>
                <w:highlight w:val="yellow"/>
                <w:lang w:val="en-US" w:eastAsia="zh-CN"/>
              </w:rPr>
              <w:t xml:space="preserve">纳管，提供摄像机接入学校现有安防管理系统的授权；投标供应商应承诺所投产品应满足</w:t>
            </w:r>
            <w:r>
              <w:rPr>
                <w:rFonts w:hint="eastAsia" w:asciiTheme="minorEastAsia" w:hAnsiTheme="minorEastAsia" w:eastAsiaTheme="minorEastAsia" w:cstheme="minorEastAsia"/>
                <w:b/>
                <w:bCs/>
                <w:highlight w:val="yellow"/>
                <w:lang w:val="en-US" w:eastAsia="zh-CN"/>
              </w:rPr>
              <w:t xml:space="preserve">常州市教育局直属单位智慧安防服务项目</w:t>
            </w:r>
            <w:r>
              <w:rPr>
                <w:rFonts w:hint="eastAsia" w:asciiTheme="minorEastAsia" w:hAnsiTheme="minorEastAsia" w:eastAsiaTheme="minorEastAsia" w:cstheme="minorEastAsia"/>
                <w:highlight w:val="yellow"/>
                <w:lang w:val="en-US" w:eastAsia="zh-CN"/>
              </w:rPr>
              <w:t xml:space="preserve">中的数据接入标准（详见接入和验收标准）并符合常州市教育局直属单位智慧安防服务的纳管要求。提供承诺函。</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highlight w:val="yellow"/>
              </w:rPr>
            </w:pPr>
            <w:r>
              <w:rPr>
                <w:rFonts w:hint="eastAsia" w:ascii="宋体" w:hAnsi="宋体" w:cs="宋体"/>
                <w:highlight w:val="yellow"/>
              </w:rPr>
              <w:t xml:space="preserve">未按要求提供上述材料的，相关检测报告视为无效佐证材料。</w:t>
            </w:r>
            <w:r/>
          </w:p>
          <w:p>
            <w:pPr>
              <w:numPr>
                <w:ilvl w:val="0"/>
                <w:numId w:val="0"/>
              </w:numPr>
              <w:spacing w:line="400" w:lineRule="exact"/>
              <w:widowControl/>
              <w:rPr>
                <w:rFonts w:hint="eastAsia" w:ascii="宋体" w:hAnsi="宋体" w:cs="宋体"/>
                <w:highlight w:val="yellow"/>
              </w:rPr>
            </w:pPr>
            <w:r>
              <w:rPr>
                <w:rFonts w:hint="eastAsia" w:ascii="宋体" w:hAnsi="宋体" w:eastAsia="宋体" w:cs="宋体"/>
                <w:color w:val="auto"/>
                <w:sz w:val="21"/>
                <w:szCs w:val="21"/>
                <w:highlight w:val="yellow"/>
              </w:rPr>
              <w:t xml:space="preserve">供应商</w:t>
            </w:r>
            <w:r>
              <w:rPr>
                <w:rFonts w:hint="eastAsia" w:ascii="宋体" w:hAnsi="宋体" w:cs="宋体"/>
                <w:color w:val="auto"/>
                <w:sz w:val="21"/>
                <w:szCs w:val="21"/>
                <w:highlight w:val="yellow"/>
                <w:lang w:val="en-US" w:eastAsia="zh-CN"/>
              </w:rPr>
              <w:t xml:space="preserve">响应时应提供</w:t>
            </w:r>
            <w:r>
              <w:rPr>
                <w:rFonts w:hint="eastAsia" w:ascii="宋体" w:hAnsi="宋体" w:eastAsia="宋体" w:cs="宋体"/>
                <w:color w:val="auto"/>
                <w:sz w:val="21"/>
                <w:szCs w:val="21"/>
                <w:highlight w:val="yellow"/>
              </w:rPr>
              <w:t xml:space="preserve">关于检测报告合规性的承诺函（实质性格式</w:t>
            </w:r>
            <w:r>
              <w:rPr>
                <w:rFonts w:hint="eastAsia" w:ascii="宋体" w:hAnsi="宋体" w:cs="宋体"/>
                <w:color w:val="auto"/>
                <w:sz w:val="21"/>
                <w:szCs w:val="21"/>
                <w:highlight w:val="yellow"/>
                <w:lang w:eastAsia="zh-CN"/>
              </w:rPr>
              <w:t xml:space="preserve">，</w:t>
            </w:r>
            <w:r>
              <w:rPr>
                <w:rFonts w:hint="eastAsia" w:ascii="宋体" w:hAnsi="宋体" w:cs="宋体"/>
                <w:color w:val="auto"/>
                <w:sz w:val="21"/>
                <w:szCs w:val="21"/>
                <w:highlight w:val="yellow"/>
                <w:lang w:val="en-US" w:eastAsia="zh-CN"/>
              </w:rPr>
              <w:t xml:space="preserve">详见投标文件格式</w:t>
            </w:r>
            <w:r>
              <w:rPr>
                <w:rFonts w:hint="eastAsia" w:ascii="宋体" w:hAnsi="宋体" w:eastAsia="宋体" w:cs="宋体"/>
                <w:color w:val="auto"/>
                <w:sz w:val="21"/>
                <w:szCs w:val="21"/>
                <w:highlight w:val="yellow"/>
              </w:rPr>
              <w:t xml:space="preserve">）</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pStyle w:val="740"/>
        <w:spacing w:before="0" w:line="400" w:lineRule="exact"/>
        <w:rPr>
          <w:rFonts w:hint="eastAsia"/>
          <w:sz w:val="21"/>
        </w:rPr>
      </w:pPr>
      <w:r>
        <w:rPr>
          <w:rFonts w:hint="eastAsia"/>
          <w:sz w:val="21"/>
        </w:rPr>
      </w:r>
      <w:r/>
    </w:p>
    <w:p>
      <w:pPr>
        <w:pStyle w:val="1019"/>
        <w:numPr>
          <w:ilvl w:val="0"/>
          <w:numId w:val="4"/>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8"/>
        </w:numPr>
        <w:spacing w:line="276"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rPr>
        <w:t xml:space="preserve">基本要求：</w:t>
      </w:r>
      <w:r>
        <w:rPr>
          <w:rFonts w:hint="eastAsia" w:asciiTheme="minorEastAsia" w:hAnsiTheme="minorEastAsia" w:eastAsiaTheme="minorEastAsia" w:cstheme="minorEastAsia"/>
          <w:b/>
          <w:bCs/>
          <w:color w:val="auto"/>
          <w:sz w:val="24"/>
          <w:szCs w:val="24"/>
        </w:rPr>
        <w:t xml:space="preserve"> </w:t>
      </w:r>
      <w:r/>
    </w:p>
    <w:p>
      <w:pPr>
        <w:numPr>
          <w:ilvl w:val="1"/>
          <w:numId w:val="9"/>
        </w:num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所有单位的基本要求汇总（汇总的采购清单若与各单位批复的采购清单不一致，以批复的各单位的采购清单为准）</w:t>
      </w:r>
      <w:r/>
    </w:p>
    <w:tbl>
      <w:tblPr>
        <w:tblStyle w:val="737"/>
        <w:tblW w:w="89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8"/>
        <w:gridCol w:w="6306"/>
        <w:gridCol w:w="1065"/>
        <w:gridCol w:w="975"/>
      </w:tblGrid>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总数量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单位</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智能网关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default"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防欺凌预警终端（拾音器），核心设备</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2171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电源控制箱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8口POE GPON</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182960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74650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芯</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49430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053"/>
                <w:rFonts w:hint="eastAsia" w:asciiTheme="minorEastAsia" w:hAnsiTheme="minorEastAsia" w:eastAsiaTheme="minorEastAsia" w:cstheme="minorEastAsia"/>
                <w:sz w:val="21"/>
                <w:szCs w:val="21"/>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ff0000"/>
                <w:sz w:val="21"/>
                <w:szCs w:val="21"/>
                <w:u w:val="none"/>
                <w:lang w:val="en-US"/>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ff0000"/>
                <w:sz w:val="21"/>
                <w:szCs w:val="21"/>
                <w:u w:val="none"/>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项</w:t>
            </w:r>
            <w:r/>
          </w:p>
        </w:tc>
      </w:tr>
    </w:tbl>
    <w:p>
      <w:pPr>
        <w:pStyle w:val="741"/>
        <w:ind w:left="0" w:firstLine="0"/>
        <w:rPr>
          <w:rFonts w:hint="eastAsia" w:asciiTheme="minorEastAsia" w:hAnsiTheme="minorEastAsia" w:eastAsiaTheme="minorEastAsia" w:cstheme="minorEastAsia"/>
          <w:b/>
          <w:bCs/>
          <w:color w:val="auto"/>
          <w:sz w:val="24"/>
          <w:szCs w:val="24"/>
          <w:lang w:val="en-US" w:eastAsia="zh-CN"/>
        </w:rPr>
      </w:pPr>
      <w:r/>
      <w:bookmarkStart w:id="226" w:name="_GoBack"/>
      <w:r>
        <w:rPr>
          <w:rFonts w:hint="eastAsia" w:asciiTheme="minorEastAsia" w:hAnsiTheme="minorEastAsia" w:eastAsiaTheme="minorEastAsia" w:cstheme="minorEastAsia"/>
          <w:b/>
          <w:bCs/>
          <w:color w:val="auto"/>
          <w:sz w:val="24"/>
          <w:szCs w:val="24"/>
          <w:lang w:val="en-US" w:eastAsia="zh-CN"/>
        </w:rPr>
        <w:t xml:space="preserve">各单位批复的采购清单，详见附件。</w:t>
      </w:r>
      <w:bookmarkEnd w:id="226"/>
      <w:r/>
    </w:p>
    <w:p>
      <w:pPr>
        <w:pStyle w:val="741"/>
        <w:ind w:left="0" w:firstLine="0"/>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各采购单位现有在用安防管理平台的品牌和版本信息，如下：</w:t>
      </w:r>
      <w:r/>
    </w:p>
    <w:tbl>
      <w:tblPr>
        <w:tblStyle w:val="760"/>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180"/>
        <w:gridCol w:w="861"/>
        <w:gridCol w:w="4260"/>
      </w:tblGrid>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序号</w:t>
            </w:r>
            <w:r/>
          </w:p>
        </w:tc>
        <w:tc>
          <w:tcPr>
            <w:tcW w:w="3180"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单位名称</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品牌</w:t>
            </w:r>
            <w:r/>
          </w:p>
        </w:tc>
        <w:tc>
          <w:tcPr>
            <w:tcW w:w="4260"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版本信息</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江苏省常州高级中学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华为</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9.0.0.SPC205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常州市第一中学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常州市第三中学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常州市第五中学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常州市戚墅堰高级中学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9600 VERSION:V2.4.2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常州市正行中学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同为</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z w:val="18"/>
                <w:szCs w:val="18"/>
                <w:u w:val="none"/>
              </w:rPr>
              <w:t xml:space="preserve">NVMS</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v1.5.113.20230613120000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常州市龙城高级中学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General ICC-B8900 ARM OL Chn Evolution V5.000.0000012.6.R.20230302.20230224172332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常州市三河口高级中学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常州刘国钧高等职业技术学校</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VMPS5.0-B3333.133.1.190125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常州开放大学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华为</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holosensv10.0.0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w:t>
            </w:r>
            <w:r>
              <w:rPr>
                <w:rFonts w:hint="eastAsia" w:ascii="宋体" w:hAnsi="宋体" w:cs="宋体"/>
                <w:i w:val="0"/>
                <w:iCs w:val="0"/>
                <w:color w:val="auto"/>
                <w:sz w:val="21"/>
                <w:szCs w:val="21"/>
                <w:u w:val="none"/>
                <w:lang w:val="en-US" w:eastAsia="zh-CN" w:bidi="ar"/>
              </w:rPr>
              <w:t xml:space="preserve">旅游</w:t>
            </w:r>
            <w:r>
              <w:rPr>
                <w:rFonts w:hint="eastAsia" w:ascii="宋体" w:hAnsi="宋体" w:eastAsia="宋体" w:cs="宋体"/>
                <w:i w:val="0"/>
                <w:iCs w:val="0"/>
                <w:color w:val="auto"/>
                <w:sz w:val="21"/>
                <w:szCs w:val="21"/>
                <w:u w:val="none"/>
                <w:lang w:val="en-US" w:eastAsia="zh-CN" w:bidi="ar"/>
              </w:rPr>
              <w:t xml:space="preserve">商贸高等职业技术学校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V1.4.100_20200831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常州市中吴实验学校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常州市市北实验初级中学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常州市虹景中学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V1.7.0_20210930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常州市田家炳初</w:t>
            </w:r>
            <w:r>
              <w:rPr>
                <w:rFonts w:hint="eastAsia" w:ascii="宋体" w:hAnsi="宋体" w:cs="宋体"/>
                <w:i w:val="0"/>
                <w:iCs w:val="0"/>
                <w:color w:val="auto"/>
                <w:sz w:val="21"/>
                <w:szCs w:val="21"/>
                <w:u w:val="none"/>
                <w:lang w:val="en-US" w:eastAsia="zh-CN" w:bidi="ar"/>
              </w:rPr>
              <w:t xml:space="preserve">级</w:t>
            </w:r>
            <w:r>
              <w:rPr>
                <w:rFonts w:hint="eastAsia" w:ascii="宋体" w:hAnsi="宋体" w:eastAsia="宋体" w:cs="宋体"/>
                <w:i w:val="0"/>
                <w:iCs w:val="0"/>
                <w:color w:val="auto"/>
                <w:sz w:val="21"/>
                <w:szCs w:val="21"/>
                <w:u w:val="none"/>
                <w:lang w:val="en-US" w:eastAsia="zh-CN" w:bidi="ar"/>
              </w:rPr>
              <w:t xml:space="preserve">中</w:t>
            </w:r>
            <w:r>
              <w:rPr>
                <w:rFonts w:hint="eastAsia" w:ascii="宋体" w:hAnsi="宋体" w:cs="宋体"/>
                <w:i w:val="0"/>
                <w:iCs w:val="0"/>
                <w:color w:val="auto"/>
                <w:sz w:val="21"/>
                <w:szCs w:val="21"/>
                <w:u w:val="none"/>
                <w:lang w:val="en-US" w:eastAsia="zh-CN" w:bidi="ar"/>
              </w:rPr>
              <w:t xml:space="preserve">学</w:t>
            </w:r>
            <w:r/>
          </w:p>
        </w:tc>
        <w:tc>
          <w:tcPr>
            <w:tcW w:w="861" w:type="dxa"/>
            <w:vAlign w:val="center"/>
            <w:textDirection w:val="lrTb"/>
            <w:noWrap w:val="false"/>
          </w:tcPr>
          <w:p>
            <w:pPr>
              <w:pStyle w:val="758"/>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大华</w:t>
            </w:r>
            <w:r/>
          </w:p>
        </w:tc>
        <w:tc>
          <w:tcPr>
            <w:tcW w:w="4260" w:type="dxa"/>
            <w:vAlign w:val="center"/>
            <w:textDirection w:val="lrTb"/>
            <w:noWrap w:val="false"/>
          </w:tcPr>
          <w:p>
            <w:pPr>
              <w:pStyle w:val="758"/>
              <w:ind w:left="0" w:right="0"/>
              <w:jc w:val="left"/>
              <w:keepLines w:val="0"/>
              <w:keepNext w:val="0"/>
              <w:spacing w:before="0" w:beforeAutospacing="0" w:after="0" w:afterAutospacing="0" w:line="23" w:lineRule="atLeast"/>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平台型号：DS-VM21S-B</w:t>
            </w:r>
            <w:r/>
          </w:p>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平台版本：iSecure Center综合安防管理平台软件V2.0.0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常州市兰陵中学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V1.4.0.20201207</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常州市勤业中学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iSecure Center</w:t>
            </w:r>
            <w:r>
              <w:rPr>
                <w:rFonts w:hint="eastAsia" w:asciiTheme="minorEastAsia" w:hAnsiTheme="minorEastAsia" w:eastAsiaTheme="minorEastAsia" w:cstheme="minorEastAsia"/>
                <w:i w:val="0"/>
                <w:strike w:val="0"/>
                <w:color w:val="auto"/>
                <w:spacing w:val="0"/>
                <w:sz w:val="18"/>
                <w:szCs w:val="18"/>
                <w:u w:val="none"/>
                <w:lang w:val="en-US" w:eastAsia="zh-CN"/>
              </w:rPr>
              <w:t xml:space="preserve"> </w:t>
            </w: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常州市实验</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VMS-B1101.19.41.200320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常州市翠竹中学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常州市清潭中学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V3.001.0000002.10.R.20190619_212343.1244975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常州市同济中学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shd w:val="clear" w:color="auto" w:fill="ffffff"/>
              </w:rPr>
              <w:t xml:space="preserve">V4.004.00000000.0.R.1260841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常州西藏民族中学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常州市青少年活动中心</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:V1.7.201_20230131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VMPS5.0-B3338.138.1.200518</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常州市明德实验中学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常州市朝阳中学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VMS-B230-A48</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常州市第二十四中学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常州市花园中学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常州市丽华中学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bl>
    <w:p>
      <w:pPr>
        <w:pStyle w:val="741"/>
        <w:rPr>
          <w:rFonts w:hint="default" w:asciiTheme="minorEastAsia" w:hAnsiTheme="minorEastAsia" w:eastAsiaTheme="minorEastAsia" w:cstheme="minorEastAsia"/>
          <w:b/>
          <w:bCs/>
          <w:color w:val="ff0000"/>
          <w:sz w:val="24"/>
          <w:szCs w:val="24"/>
          <w:lang w:val="en-US" w:eastAsia="zh-CN"/>
        </w:rPr>
      </w:pPr>
      <w:r>
        <w:rPr>
          <w:rFonts w:hint="default" w:asciiTheme="minorEastAsia" w:hAnsiTheme="minorEastAsia" w:eastAsiaTheme="minorEastAsia" w:cstheme="minorEastAsia"/>
          <w:b/>
          <w:bCs/>
          <w:color w:val="ff0000"/>
          <w:sz w:val="24"/>
          <w:szCs w:val="24"/>
          <w:lang w:val="en-US" w:eastAsia="zh-CN"/>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737"/>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48"/>
        <w:gridCol w:w="1559"/>
        <w:gridCol w:w="6526"/>
      </w:tblGrid>
      <w:tr>
        <w:trPr>
          <w:jc w:val="center"/>
          <w:tblHead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规格参数</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一、硬件接口与电气性能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1、通讯接口配置：标配至少 1路 RS485 接口（支持Modbus RTU协议），用于连接前端火焰探测器等串行设备。标配至少 1路 RJ45 以太网口（支持10/100Mbps自适应，支持TCP/IP、Modbus TCP等协议），用于接入局域网或上传数据至云平台。</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2、I/O信号处理能力：</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（1）数字量输入（DI）：支持不少于 8路无源干节点信号输入，支持状态实时采集（如开关量、报警触点）。</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（2）数字量输出（DO）：支持不少于 8路继电器或有源/无源干节点输出，单路负载能力不低于 2A/250VAC（或明确具体驱动能力），用于控制声光报警器、电源切断柜等。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（3）模拟量输入（AI）：支持不少于 8路 模拟信号输入，支持 4-20mA 电流信号或 0-10V 电压信号采集（需明确支持的信号类型），分辨率不低于12位，用于监测温度、电压等连续量。</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3、电源适应性：支持宽电压直流输入：DC 9V ~ 24V，具备反接保护及过压保护功能，适应现场复杂的供电环境。</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二、电磁兼容性（EMC）与安规</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4、传导骚扰限值：设备的传导骚扰电压发射值须满足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证明材料：须提供具备CMA资质的第三方检测报告扫描件，报告中须包含传导骚扰测试数据及合格结论。</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三、核心功能与软件</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5、综合管理与联动控制功能：网关须内置嵌入式操作系统或专用固件，支持通过标准API接口（如HTTP/MQTT/Socket）或本地配置工具实现以下功能，且运行稳定可靠：</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（1）网络配置：支持远程或本地配置IP地址、子网掩码、网关、DNS及无线通讯参数。</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★（2）I/O状态监控与控制:支持通过接口获取数字信号输入状态及数字信号输出状态。</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（3）支持通过接口远程 设置/翻转 DO输出状态，响应延迟应小于500ms。</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p>
          <w:p>
            <w:pPr>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w:t>
            </w:r>
            <w:r>
              <w:rPr>
                <w:rFonts w:hint="eastAsia" w:ascii="宋体" w:hAnsi="宋体" w:cs="宋体"/>
                <w:i w:val="0"/>
                <w:iCs w:val="0"/>
                <w:color w:val="auto"/>
                <w:sz w:val="21"/>
                <w:szCs w:val="21"/>
                <w:highlight w:val="none"/>
                <w:u w:val="none"/>
                <w:lang w:val="en-US" w:eastAsia="zh-CN" w:bidi="ar"/>
              </w:rPr>
              <w:t xml:space="preserve">快速</w:t>
            </w:r>
            <w:r>
              <w:rPr>
                <w:rFonts w:hint="eastAsia" w:ascii="宋体" w:hAnsi="宋体" w:eastAsia="宋体" w:cs="宋体"/>
                <w:i w:val="0"/>
                <w:iCs w:val="0"/>
                <w:color w:val="auto"/>
                <w:sz w:val="21"/>
                <w:szCs w:val="21"/>
                <w:highlight w:val="none"/>
                <w:u w:val="none"/>
                <w:lang w:val="en-US" w:eastAsia="zh-CN" w:bidi="ar"/>
              </w:rPr>
              <w:t xml:space="preserve">切断。</w:t>
            </w:r>
            <w:r>
              <w:rPr>
                <w:rFonts w:hint="eastAsia" w:ascii="宋体" w:hAnsi="宋体" w:eastAsia="宋体" w:cs="宋体"/>
                <w:b/>
                <w:bCs/>
                <w:i w:val="0"/>
                <w:iCs w:val="0"/>
                <w:color w:val="auto"/>
                <w:sz w:val="21"/>
                <w:szCs w:val="21"/>
                <w:highlight w:val="none"/>
                <w:u w:val="none"/>
                <w:lang w:val="en-US" w:eastAsia="zh-CN" w:bidi="ar"/>
              </w:rPr>
              <w:t xml:space="preserve">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火灾检测消防联动紫外火焰报警器 </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一、核心探测性能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1、探测原理：采用三波段红紫外复合探测技术（UV/</w:t>
            </w:r>
            <w:r>
              <w:rPr>
                <w:rFonts w:hint="eastAsia" w:ascii="宋体" w:hAnsi="宋体" w:eastAsia="宋体" w:cs="宋体"/>
                <w:i w:val="0"/>
                <w:iCs w:val="0"/>
                <w:color w:val="ff0000"/>
                <w:sz w:val="21"/>
                <w:szCs w:val="21"/>
                <w:highlight w:val="none"/>
                <w:u w:val="none"/>
                <w:lang w:val="en-US" w:eastAsia="zh-CN" w:bidi="ar"/>
              </w:rPr>
              <w:t xml:space="preserve">IR2</w:t>
            </w:r>
            <w:r>
              <w:rPr>
                <w:rFonts w:hint="eastAsia" w:ascii="宋体" w:hAnsi="宋体" w:eastAsia="宋体" w:cs="宋体"/>
                <w:i w:val="0"/>
                <w:iCs w:val="0"/>
                <w:color w:val="auto"/>
                <w:sz w:val="21"/>
                <w:szCs w:val="21"/>
                <w:highlight w:val="none"/>
                <w:u w:val="none"/>
                <w:lang w:val="en-US" w:eastAsia="zh-CN" w:bidi="ar"/>
              </w:rPr>
              <w:t xml:space="preserve">），能够同时检测紫外线及多个红外波段信号，有效识别真实火焰特征，具备极强的抗干扰能力（抗阳光、焊接弧光、热辐射等）。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2、探测视角与灵敏度：探测视角：水平视角不低于 120°；火焰灵敏度：符合国家标准 I级 灵敏度要求（或提供具体响应时间指标，如：对标准火源响应时间≤5秒）。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3、报警指示：设备本体须集成高亮声光报警器，报警时现场同步发出声光警示信号。</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4、工作温度：适应宽温环境，工作温度范围为 -10℃ ~ +55℃（建议根据实际户外需求扩展至 -40℃~+70℃，若原需求确认为-10~55℃则保留）。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5、联动响应速度：从探测到火焰信号至输出消防联动开关量信号的总响应时间 ≤1秒。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二、智能配置与通讯接口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6、多级灵敏度调节：具备设置火焰检测灵敏度，至少包含四个档位：关闭、低灵敏度、中灵敏度、高灵敏度，以适应不同复杂环境。</w:t>
            </w:r>
            <w:r>
              <w:rPr>
                <w:rFonts w:hint="eastAsia" w:ascii="宋体" w:hAnsi="宋体" w:eastAsia="宋体" w:cs="宋体"/>
                <w:b/>
                <w:bCs/>
                <w:i w:val="0"/>
                <w:iCs w:val="0"/>
                <w:color w:val="auto"/>
                <w:sz w:val="21"/>
                <w:szCs w:val="21"/>
                <w:highlight w:val="none"/>
                <w:u w:val="none"/>
                <w:lang w:val="en-US" w:eastAsia="zh-CN" w:bidi="ar"/>
              </w:rPr>
              <w:t xml:space="preserve">证明材料：投标时须提供具备CMA资质的第三方检测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★7、</w:t>
            </w:r>
            <w:r>
              <w:rPr>
                <w:rFonts w:hint="eastAsia" w:ascii="宋体" w:hAnsi="宋体" w:eastAsia="宋体" w:cs="宋体"/>
                <w:i w:val="0"/>
                <w:iCs w:val="0"/>
                <w:color w:val="auto"/>
                <w:sz w:val="21"/>
                <w:szCs w:val="21"/>
                <w:highlight w:val="none"/>
                <w:u w:val="none"/>
                <w:lang w:val="en-US" w:eastAsia="zh-CN" w:bidi="ar"/>
              </w:rPr>
              <w:t xml:space="preserve">数字化管理与控制接口：</w:t>
            </w:r>
            <w:r>
              <w:rPr>
                <w:rFonts w:hint="eastAsia" w:ascii="宋体" w:hAnsi="宋体" w:eastAsia="宋体" w:cs="宋体"/>
                <w:color w:val="auto"/>
                <w:sz w:val="21"/>
                <w:szCs w:val="21"/>
                <w:lang w:val="en-US" w:eastAsia="zh-CN"/>
              </w:rPr>
              <w:t xml:space="preserve">设备需标配标准通讯接口(如RS485/Modbus或以太网)，支持以下功能</w:t>
            </w:r>
            <w:r>
              <w:rPr>
                <w:rFonts w:hint="eastAsia" w:ascii="宋体" w:hAnsi="宋体" w:eastAsia="宋体" w:cs="宋体"/>
                <w:b/>
                <w:bCs/>
                <w:color w:val="auto"/>
                <w:sz w:val="21"/>
                <w:szCs w:val="21"/>
                <w:lang w:val="en-US" w:eastAsia="zh-CN"/>
              </w:rPr>
              <w:t xml:space="preserve">（证明材料：投标时</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lang w:val="en-US" w:eastAsia="zh-CN"/>
              </w:rPr>
              <w:t xml:space="preserve">）</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（1）设备重启:支持通过接口下发指令重启指定设备。</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（2）数据读取:支持获取设备检测到的UV(紫外线)值。</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（3）阈值设定:支持通过接口设置设备报警的UV阈值。</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（4）报警设置：支持通过接口让设备主动声光报警。</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8、防护等级：外壳防护等级不低于 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w:t>
            </w:r>
            <w:r>
              <w:rPr>
                <w:rFonts w:hint="eastAsia" w:ascii="宋体" w:hAnsi="宋体" w:cs="宋体"/>
                <w:b/>
                <w:bCs/>
                <w:i w:val="0"/>
                <w:iCs w:val="0"/>
                <w:color w:val="auto"/>
                <w:sz w:val="21"/>
                <w:szCs w:val="21"/>
                <w:highlight w:val="none"/>
                <w:u w:val="none"/>
                <w:lang w:val="en-US" w:eastAsia="zh-CN" w:bidi="ar"/>
              </w:rPr>
              <w:t xml:space="preserve">依据国家现行相关标准</w:t>
            </w:r>
            <w:r>
              <w:rPr>
                <w:rFonts w:hint="eastAsia" w:ascii="宋体" w:hAnsi="宋体" w:eastAsia="宋体" w:cs="宋体"/>
                <w:b/>
                <w:bCs/>
                <w:i w:val="0"/>
                <w:iCs w:val="0"/>
                <w:color w:val="auto"/>
                <w:sz w:val="21"/>
                <w:szCs w:val="21"/>
                <w:highlight w:val="none"/>
                <w:u w:val="none"/>
                <w:lang w:val="en-US" w:eastAsia="zh-CN" w:bidi="ar"/>
              </w:rPr>
              <w:t xml:space="preserve">出具的具有CMA标志的检测报告</w:t>
            </w:r>
            <w:r>
              <w:rPr>
                <w:rFonts w:hint="eastAsia" w:ascii="宋体" w:hAnsi="宋体" w:cs="宋体"/>
                <w:b/>
                <w:bCs/>
                <w:i w:val="0"/>
                <w:iCs w:val="0"/>
                <w:color w:val="auto"/>
                <w:sz w:val="21"/>
                <w:szCs w:val="21"/>
                <w:highlight w:val="none"/>
                <w:u w:val="none"/>
                <w:lang w:val="en-US" w:eastAsia="zh-CN" w:bidi="ar"/>
              </w:rPr>
              <w:t xml:space="preserve">原件或关键页</w:t>
            </w:r>
            <w:r>
              <w:rPr>
                <w:rFonts w:hint="eastAsia" w:ascii="宋体" w:hAnsi="宋体" w:eastAsia="宋体" w:cs="宋体"/>
                <w:b/>
                <w:bCs/>
                <w:i w:val="0"/>
                <w:iCs w:val="0"/>
                <w:color w:val="auto"/>
                <w:sz w:val="21"/>
                <w:szCs w:val="21"/>
                <w:highlight w:val="none"/>
                <w:u w:val="none"/>
                <w:lang w:val="en-US" w:eastAsia="zh-CN" w:bidi="ar"/>
              </w:rPr>
              <w:t xml:space="preserve">扫描件，明确标注</w:t>
            </w:r>
            <w:r>
              <w:rPr>
                <w:rFonts w:hint="eastAsia" w:ascii="宋体" w:hAnsi="宋体" w:cs="宋体"/>
                <w:b/>
                <w:bCs/>
                <w:i w:val="0"/>
                <w:iCs w:val="0"/>
                <w:color w:val="auto"/>
                <w:sz w:val="21"/>
                <w:szCs w:val="21"/>
                <w:highlight w:val="none"/>
                <w:u w:val="none"/>
                <w:lang w:val="en-US" w:eastAsia="zh-CN" w:bidi="ar"/>
              </w:rPr>
              <w:t xml:space="preserve">达到</w:t>
            </w:r>
            <w:r>
              <w:rPr>
                <w:rFonts w:hint="eastAsia" w:ascii="宋体" w:hAnsi="宋体" w:eastAsia="宋体" w:cs="宋体"/>
                <w:b/>
                <w:bCs/>
                <w:i w:val="0"/>
                <w:iCs w:val="0"/>
                <w:color w:val="auto"/>
                <w:sz w:val="21"/>
                <w:szCs w:val="21"/>
                <w:highlight w:val="none"/>
                <w:u w:val="none"/>
                <w:lang w:val="en-US" w:eastAsia="zh-CN" w:bidi="ar"/>
              </w:rPr>
              <w:t xml:space="preserve">IP66。</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三、电磁兼容性（EMC）与安规</w:t>
            </w:r>
            <w:r/>
          </w:p>
          <w:p>
            <w:pPr>
              <w:jc w:val="left"/>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9、传导骚扰限值：设备的传导骚扰电压发射值须满足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w:t>
            </w:r>
            <w:r>
              <w:rPr>
                <w:rFonts w:hint="eastAsia" w:ascii="宋体" w:hAnsi="宋体" w:cs="宋体"/>
                <w:b/>
                <w:bCs/>
                <w:i w:val="0"/>
                <w:iCs w:val="0"/>
                <w:color w:val="auto"/>
                <w:sz w:val="21"/>
                <w:szCs w:val="21"/>
                <w:highlight w:val="none"/>
                <w:u w:val="none"/>
                <w:lang w:val="en-US" w:eastAsia="zh-CN" w:bidi="ar"/>
              </w:rPr>
              <w:t xml:space="preserve">机构依据现行国家相关标准出具的具有CMA认证标志的检测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全文或关键页</w:t>
            </w:r>
            <w:r>
              <w:rPr>
                <w:rFonts w:hint="eastAsia" w:ascii="宋体" w:hAnsi="宋体" w:eastAsia="宋体" w:cs="宋体"/>
                <w:b/>
                <w:bCs/>
                <w:i w:val="0"/>
                <w:iCs w:val="0"/>
                <w:color w:val="auto"/>
                <w:sz w:val="21"/>
                <w:szCs w:val="21"/>
                <w:highlight w:val="none"/>
                <w:u w:val="none"/>
                <w:lang w:val="en-US" w:eastAsia="zh-CN" w:bidi="ar"/>
              </w:rPr>
              <w:t xml:space="preserve">扫描件，报告中须包含传导骚扰测试数据及合格结论。</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39"/>
              <w:numPr>
                <w:ilvl w:val="0"/>
                <w:numId w:val="0"/>
              </w:numPr>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1、使用类型：观测型，探测器类型：非制冷氧化钒焦平面探测器。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2、热成像镜头焦距≤3.5mm，热成像分辨率≥1280×720。</w:t>
            </w:r>
            <w:r/>
          </w:p>
          <w:p>
            <w:pPr>
              <w:pStyle w:val="739"/>
              <w:numPr>
                <w:ilvl w:val="0"/>
                <w:numId w:val="0"/>
              </w:numPr>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3、可见光传感器：≥1/2.7英寸CMOS传感器,</w:t>
            </w:r>
            <w:r>
              <w:rPr>
                <w:rFonts w:hint="eastAsia" w:ascii="宋体" w:hAnsi="宋体" w:eastAsia="宋体" w:cs="宋体"/>
                <w:i w:val="0"/>
                <w:iCs w:val="0"/>
                <w:color w:val="auto"/>
                <w:sz w:val="21"/>
                <w:szCs w:val="21"/>
                <w:highlight w:val="none"/>
                <w:u w:val="none"/>
                <w:lang w:val="en-US" w:eastAsia="zh-CN" w:bidi="ar"/>
              </w:rPr>
              <w:t xml:space="preserve">可见光镜头焦距≤4mm，</w:t>
            </w:r>
            <w:r>
              <w:rPr>
                <w:rFonts w:hint="eastAsia" w:ascii="宋体" w:hAnsi="宋体" w:eastAsia="宋体" w:cs="宋体"/>
                <w:b w:val="0"/>
                <w:bCs w:val="0"/>
                <w:i w:val="0"/>
                <w:iCs w:val="0"/>
                <w:color w:val="auto"/>
                <w:sz w:val="21"/>
                <w:szCs w:val="21"/>
                <w:highlight w:val="none"/>
                <w:u w:val="none"/>
                <w:lang w:val="en-US" w:eastAsia="zh-CN" w:bidi="ar"/>
              </w:rPr>
              <w:t xml:space="preserve">热成像</w:t>
            </w:r>
            <w:r>
              <w:rPr>
                <w:rFonts w:hint="eastAsia" w:ascii="宋体" w:hAnsi="宋体" w:eastAsia="宋体" w:cs="宋体"/>
                <w:i w:val="0"/>
                <w:iCs w:val="0"/>
                <w:color w:val="auto"/>
                <w:sz w:val="21"/>
                <w:szCs w:val="21"/>
                <w:highlight w:val="none"/>
                <w:u w:val="none"/>
                <w:lang w:val="en-US" w:eastAsia="zh-CN" w:bidi="ar"/>
              </w:rPr>
              <w:t xml:space="preserve">光谱范围：8μm～14μm，热成像探测器像素≥256×192</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4、可见光像素≥400万或最大分辨率≥2560×1440。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7、支持电子透雾。</w:t>
            </w:r>
            <w:r/>
          </w:p>
          <w:p>
            <w:pPr>
              <w:pStyle w:val="741"/>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8、热成像视场角：H:≥50°，V:≥37°；可见光视场角：H：71.2°， V：≥43°。</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、具备智能红外功能，能根据所摄目标距离自动调节红外辐射功率，智能红外补光距离≥30米</w:t>
            </w:r>
            <w:r>
              <w:rPr>
                <w:rFonts w:hint="eastAsia" w:ascii="宋体" w:hAnsi="宋体" w:eastAsia="宋体" w:cs="宋体"/>
                <w:i w:val="0"/>
                <w:iCs w:val="0"/>
                <w:color w:val="auto"/>
                <w:sz w:val="21"/>
                <w:szCs w:val="21"/>
                <w:highlight w:val="none"/>
                <w:u w:val="none"/>
                <w:lang w:val="en-US" w:eastAsia="zh-CN" w:bidi="ar"/>
              </w:rPr>
              <w:t xml:space="preserve">或在补光功能开启时能识别不低于30米处人体轮廓</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10、宽动态能力综合得分≥80。</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11、具备H.265、H.264、MJPEG视频编码格式，音频编码：G.711、AAC。</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12、周界防范距离（人）：≥35m（目标大小1.8m×0.5m）；周界防范距离（车）：≥105m（目标大小4m×1.4m）。</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摄像机在视频遮挡、存储器满、非法访问、网络断开、IP冲突时可给出报警提示；具备断网续传功能。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14、接口：RJ45百兆或千兆以太网电口，音频输入：≥1路，音频输出：≥1路，报警输入：≥1路，报警输出：≥1路，</w:t>
            </w:r>
            <w:r>
              <w:rPr>
                <w:rFonts w:hint="eastAsia" w:ascii="宋体" w:hAnsi="宋体" w:eastAsia="宋体" w:cs="宋体"/>
                <w:i w:val="0"/>
                <w:iCs w:val="0"/>
                <w:color w:val="auto"/>
                <w:sz w:val="21"/>
                <w:szCs w:val="21"/>
                <w:highlight w:val="none"/>
                <w:u w:val="none"/>
                <w:lang w:val="en-US" w:eastAsia="zh-CN" w:bidi="ar"/>
              </w:rPr>
              <w:t xml:space="preserve">RS-485接口：≥1路</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pStyle w:val="739"/>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w:t>
            </w:r>
            <w:r>
              <w:rPr>
                <w:rFonts w:hint="eastAsia" w:ascii="宋体" w:hAnsi="宋体" w:eastAsia="宋体" w:cs="宋体"/>
                <w:b/>
                <w:bCs/>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i w:val="0"/>
                <w:iCs w:val="0"/>
                <w:color w:val="auto"/>
                <w:sz w:val="21"/>
                <w:szCs w:val="21"/>
                <w:highlight w:val="none"/>
                <w:u w:val="none"/>
                <w:lang w:val="en-US" w:eastAsia="zh-CN" w:bidi="ar"/>
              </w:rPr>
              <w:t xml:space="preserve">、浪涌（冲击）抗扰度测试、防浪涌。</w:t>
            </w:r>
            <w:r>
              <w:rPr>
                <w:rFonts w:hint="eastAsia" w:ascii="宋体" w:hAnsi="宋体" w:eastAsia="宋体" w:cs="宋体"/>
                <w:b/>
                <w:bCs/>
                <w:color w:val="auto"/>
                <w:sz w:val="21"/>
                <w:szCs w:val="21"/>
                <w:highlight w:val="none"/>
                <w:lang w:val="en-US" w:eastAsia="zh-CN" w:bidi="ar"/>
              </w:rPr>
              <w:t xml:space="preserve">承诺</w:t>
            </w:r>
            <w:r>
              <w:rPr>
                <w:rFonts w:hint="eastAsia" w:ascii="宋体" w:hAnsi="宋体" w:eastAsia="宋体" w:cs="宋体"/>
                <w:b/>
                <w:bCs/>
                <w:color w:val="auto"/>
                <w:sz w:val="21"/>
                <w:szCs w:val="21"/>
                <w:highlight w:val="none"/>
                <w:lang w:bidi="ar"/>
              </w:rPr>
              <w:t xml:space="preserve">符合</w:t>
            </w:r>
            <w:r>
              <w:rPr>
                <w:rFonts w:hint="eastAsia" w:ascii="宋体" w:hAnsi="宋体" w:eastAsia="宋体" w:cs="宋体"/>
                <w:b/>
                <w:bCs/>
                <w:i w:val="0"/>
                <w:iCs w:val="0"/>
                <w:color w:val="auto"/>
                <w:sz w:val="21"/>
                <w:szCs w:val="21"/>
                <w:highlight w:val="none"/>
                <w:u w:val="none"/>
                <w:lang w:val="en-US" w:eastAsia="zh-CN" w:bidi="ar"/>
              </w:rPr>
              <w:t xml:space="preserve">GA/T 1127-2013或</w:t>
            </w:r>
            <w:r>
              <w:rPr>
                <w:rFonts w:hint="eastAsia" w:ascii="宋体" w:hAnsi="宋体" w:eastAsia="宋体" w:cs="宋体"/>
                <w:b/>
                <w:bCs/>
                <w:color w:val="auto"/>
                <w:sz w:val="21"/>
                <w:szCs w:val="21"/>
                <w:highlight w:val="none"/>
                <w:lang w:bidi="ar"/>
              </w:rPr>
              <w:t xml:space="preserve">GB/T 17626.5-</w:t>
            </w:r>
            <w:r>
              <w:rPr>
                <w:rFonts w:hint="eastAsia" w:ascii="宋体" w:hAnsi="宋体" w:eastAsia="宋体" w:cs="宋体"/>
                <w:b/>
                <w:bCs/>
                <w:color w:val="auto"/>
                <w:sz w:val="21"/>
                <w:szCs w:val="21"/>
                <w:highlight w:val="none"/>
                <w:lang w:val="en-US" w:eastAsia="zh-CN" w:bidi="ar"/>
              </w:rPr>
              <w:t xml:space="preserve">2008/</w:t>
            </w:r>
            <w:r>
              <w:rPr>
                <w:rFonts w:hint="eastAsia" w:ascii="宋体" w:hAnsi="宋体" w:eastAsia="宋体" w:cs="宋体"/>
                <w:b/>
                <w:bCs/>
                <w:color w:val="auto"/>
                <w:sz w:val="21"/>
                <w:szCs w:val="21"/>
                <w:highlight w:val="none"/>
                <w:lang w:bidi="ar"/>
              </w:rPr>
              <w:t xml:space="preserve">2019</w:t>
            </w:r>
            <w:r>
              <w:rPr>
                <w:rFonts w:hint="eastAsia" w:ascii="宋体" w:hAnsi="宋体" w:eastAsia="宋体" w:cs="宋体"/>
                <w:b/>
                <w:bCs/>
                <w:color w:val="auto"/>
                <w:sz w:val="21"/>
                <w:szCs w:val="21"/>
                <w:highlight w:val="none"/>
                <w:lang w:val="en-US" w:eastAsia="zh-CN" w:bidi="ar"/>
              </w:rPr>
              <w:t xml:space="preserve">对摄像机的</w:t>
            </w:r>
            <w:r>
              <w:rPr>
                <w:rFonts w:hint="eastAsia" w:ascii="宋体" w:hAnsi="宋体" w:eastAsia="宋体" w:cs="宋体"/>
                <w:b/>
                <w:bCs/>
                <w:i w:val="0"/>
                <w:iCs w:val="0"/>
                <w:color w:val="auto"/>
                <w:sz w:val="21"/>
                <w:szCs w:val="21"/>
                <w:highlight w:val="none"/>
                <w:u w:val="none"/>
                <w:lang w:val="en-US" w:eastAsia="zh-CN" w:bidi="ar"/>
              </w:rPr>
              <w:t xml:space="preserve">防浪涌</w:t>
            </w:r>
            <w:r>
              <w:rPr>
                <w:rFonts w:hint="eastAsia" w:ascii="宋体" w:hAnsi="宋体" w:eastAsia="宋体" w:cs="宋体"/>
                <w:b/>
                <w:bCs/>
                <w:color w:val="auto"/>
                <w:sz w:val="21"/>
                <w:szCs w:val="21"/>
                <w:highlight w:val="none"/>
                <w:lang w:val="en-US" w:eastAsia="zh-CN" w:bidi="ar"/>
              </w:rPr>
              <w:t xml:space="preserve">要求</w:t>
            </w:r>
            <w:r>
              <w:rPr>
                <w:rFonts w:hint="eastAsia" w:ascii="宋体" w:hAnsi="宋体" w:eastAsia="宋体" w:cs="宋体"/>
                <w:b/>
                <w:bCs/>
                <w:color w:val="auto"/>
                <w:sz w:val="21"/>
                <w:szCs w:val="21"/>
                <w:highlight w:val="none"/>
                <w:lang w:eastAsia="zh-CN" w:bidi="ar"/>
              </w:rPr>
              <w:t xml:space="preserve">。</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i w:val="0"/>
                <w:iCs w:val="0"/>
                <w:color w:val="auto"/>
                <w:sz w:val="21"/>
                <w:szCs w:val="21"/>
                <w:highlight w:val="none"/>
                <w:u w:val="none"/>
                <w:lang w:val="en-US" w:eastAsia="zh-CN" w:bidi="ar"/>
              </w:rPr>
              <w:t xml:space="preserve">、防护等级：≥IP67。</w:t>
            </w:r>
            <w:r>
              <w:rPr>
                <w:rFonts w:hint="eastAsia" w:ascii="宋体" w:hAnsi="宋体" w:eastAsia="宋体" w:cs="宋体"/>
                <w:b/>
                <w:bCs/>
                <w:i w:val="0"/>
                <w:iCs w:val="0"/>
                <w:color w:val="auto"/>
                <w:sz w:val="21"/>
                <w:szCs w:val="21"/>
                <w:highlight w:val="none"/>
                <w:u w:val="none"/>
                <w:lang w:val="en-US" w:eastAsia="zh-CN" w:bidi="ar"/>
              </w:rPr>
              <w:t xml:space="preserve">提供所投产品的检测报告原件关键页扫描件（依据GB/T 15211-2013或GA/T 1127-2013或</w:t>
            </w:r>
            <w:r>
              <w:rPr>
                <w:rFonts w:hint="eastAsia" w:ascii="宋体" w:hAnsi="宋体" w:eastAsia="宋体" w:cs="宋体"/>
                <w:b/>
                <w:bCs/>
                <w:color w:val="auto"/>
                <w:sz w:val="21"/>
                <w:szCs w:val="21"/>
                <w:highlight w:val="none"/>
              </w:rPr>
              <w:t xml:space="preserve">GB/T4208-2017标准</w:t>
            </w:r>
            <w:r>
              <w:rPr>
                <w:rFonts w:hint="eastAsia" w:ascii="宋体" w:hAnsi="宋体" w:eastAsia="宋体" w:cs="宋体"/>
                <w:b/>
                <w:bCs/>
                <w:i w:val="0"/>
                <w:iCs w:val="0"/>
                <w:color w:val="auto"/>
                <w:sz w:val="21"/>
                <w:szCs w:val="21"/>
                <w:highlight w:val="none"/>
                <w:u w:val="none"/>
                <w:lang w:val="en-US" w:eastAsia="zh-CN" w:bidi="ar"/>
              </w:rPr>
              <w:t xml:space="preserve">）等相关现行国家标准）。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★18、内置MIC。</w:t>
            </w:r>
            <w:r>
              <w:rPr>
                <w:rFonts w:hint="eastAsia" w:ascii="宋体" w:hAnsi="宋体" w:eastAsia="宋体" w:cs="宋体"/>
                <w:b/>
                <w:bCs/>
                <w:color w:val="auto"/>
                <w:sz w:val="21"/>
                <w:szCs w:val="21"/>
                <w:highlight w:val="none"/>
                <w:lang w:val="en-US" w:eastAsia="zh-CN"/>
              </w:rPr>
              <w:t xml:space="preserve">提供承诺函或提供原厂公开技术文档（白皮书、彩页、官网规格页截图及链接地址均可）。</w:t>
            </w:r>
            <w:r/>
          </w:p>
          <w:p>
            <w:pPr>
              <w:pStyle w:val="739"/>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19</w:t>
            </w:r>
            <w:r>
              <w:rPr>
                <w:rFonts w:hint="eastAsia" w:ascii="宋体" w:hAnsi="宋体" w:eastAsia="宋体" w:cs="宋体"/>
                <w:b w:val="0"/>
                <w:bCs w:val="0"/>
                <w:i w:val="0"/>
                <w:iCs w:val="0"/>
                <w:color w:val="auto"/>
                <w:sz w:val="21"/>
                <w:szCs w:val="21"/>
                <w:highlight w:val="none"/>
                <w:u w:val="none"/>
                <w:lang w:val="en-US" w:eastAsia="zh-CN" w:bidi="ar"/>
              </w:rPr>
              <w:t xml:space="preserve">、具备POE供电功能。</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提供原厂公开技术文档（白皮书、彩页、官网规格页截图及链接地址均可）。</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20</w:t>
            </w:r>
            <w:r>
              <w:rPr>
                <w:rFonts w:hint="eastAsia" w:ascii="宋体" w:hAnsi="宋体" w:eastAsia="宋体" w:cs="宋体"/>
                <w:b w:val="0"/>
                <w:bCs w:val="0"/>
                <w:i w:val="0"/>
                <w:iCs w:val="0"/>
                <w:color w:val="auto"/>
                <w:sz w:val="21"/>
                <w:szCs w:val="21"/>
                <w:highlight w:val="none"/>
                <w:u w:val="none"/>
                <w:lang w:val="en-US" w:eastAsia="zh-CN" w:bidi="ar"/>
              </w:rPr>
              <w:t xml:space="preserve">、符合GB/T 28181、Onvif、IPv4/6现行协议标准。</w:t>
            </w:r>
            <w:r>
              <w:rPr>
                <w:rFonts w:hint="eastAsia" w:ascii="宋体" w:hAnsi="宋体" w:eastAsia="宋体" w:cs="宋体"/>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21、</w:t>
            </w:r>
            <w:r>
              <w:rPr>
                <w:rFonts w:hint="eastAsia" w:ascii="宋体" w:hAnsi="宋体" w:eastAsia="宋体" w:cs="宋体"/>
                <w:sz w:val="21"/>
                <w:szCs w:val="21"/>
                <w:highlight w:val="none"/>
                <w:lang w:val="en-US" w:eastAsia="zh-CN"/>
              </w:rPr>
              <w:t xml:space="preserve">提供摄像机接入学校现有安防管理系统的授权。</w:t>
            </w:r>
            <w:r>
              <w:rPr>
                <w:rFonts w:hint="eastAsia" w:ascii="宋体" w:hAnsi="宋体" w:eastAsia="宋体" w:cs="宋体"/>
                <w:b/>
                <w:bCs/>
                <w:sz w:val="21"/>
                <w:szCs w:val="21"/>
                <w:highlight w:val="none"/>
                <w:lang w:val="en-US" w:eastAsia="zh-CN"/>
              </w:rPr>
              <w:t xml:space="preserve">提供承诺函。</w:t>
            </w:r>
            <w:r/>
          </w:p>
          <w:p>
            <w:pPr>
              <w:pStyle w:val="741"/>
              <w:ind w:firstLine="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741"/>
              <w:ind w:firstLine="0"/>
              <w:keepLines w:val="0"/>
              <w:keepNext w:val="0"/>
              <w:pageBreakBefore w:val="0"/>
              <w:spacing w:line="360" w:lineRule="exact"/>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22.</w:t>
            </w:r>
            <w:r>
              <w:rPr>
                <w:rFonts w:hint="eastAsia" w:ascii="宋体" w:hAnsi="宋体" w:eastAsia="宋体" w:cs="宋体"/>
                <w:b/>
                <w:bCs/>
                <w:i w:val="0"/>
                <w:iCs w:val="0"/>
                <w:color w:val="auto"/>
                <w:sz w:val="21"/>
                <w:szCs w:val="21"/>
                <w:highlight w:val="none"/>
                <w:u w:val="none"/>
                <w:lang w:val="en-US" w:eastAsia="zh-CN" w:bidi="ar"/>
              </w:rPr>
              <w:t xml:space="preserve">内置MIC</w:t>
            </w:r>
            <w:r>
              <w:rPr>
                <w:rFonts w:hint="eastAsia" w:ascii="宋体" w:hAnsi="宋体" w:cs="宋体"/>
                <w:b/>
                <w:bCs/>
                <w:i w:val="0"/>
                <w:iCs w:val="0"/>
                <w:color w:val="auto"/>
                <w:sz w:val="21"/>
                <w:szCs w:val="21"/>
                <w:highlight w:val="none"/>
                <w:u w:val="none"/>
                <w:lang w:val="en-US" w:eastAsia="zh-CN"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防欺凌预警终端（拾音器，核心设备）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numPr>
                <w:ilvl w:val="0"/>
                <w:numId w:val="1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连接方式：≥4条引线（电源正极、电源负极、信号正极、信号负极）；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2、拾音范围：1～150平方米，约半径7米；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3、灵敏度：-38dB±1dB（re 0dB=1V/Pa@1kHz）；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4、信噪比：70dB（1KHz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5、指向特性：全指向性；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6、动态范围：40dB（1KHz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7、单机含麦克风阵列，提供原厂产品彩页或白皮书。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i w:val="0"/>
                <w:iCs w:val="0"/>
                <w:color w:val="auto"/>
                <w:sz w:val="21"/>
                <w:szCs w:val="21"/>
                <w:highlight w:val="none"/>
                <w:u w:val="none"/>
                <w:lang w:val="en-US" w:eastAsia="zh-CN" w:bidi="ar"/>
              </w:rPr>
              <w:t xml:space="preserve">具备噪声抑制和回声消除处理；提供原厂产品彩页或白皮书。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9、DC12V或POE供网供电。</w:t>
            </w:r>
            <w:r/>
          </w:p>
          <w:p>
            <w:pPr>
              <w:numPr>
                <w:ilvl w:val="0"/>
                <w:numId w:val="0"/>
              </w:numPr>
              <w:jc w:val="left"/>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10、防尘防水级别≥IP66。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证明材料：投标时须提供第三方检测机构出具的具有CMA标志的检测报告扫描件，明确标注IP66测试结果。</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★（1）应可以通过接口获取拾音器的音频数据。（</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lang w:val="en-US" w:eastAsia="zh-CN"/>
              </w:rPr>
              <w:t xml:space="preserve">投标时</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（2）应可以通过接口获取拾音器音量级别，可以设置输入和输出音量放大级别，输入音量和输出音量放大级别不低于5个级别，1X~5X。</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（3）应可以远程网络升级拾音器的软件，支持批量升级。</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lang w:val="en-US" w:eastAsia="zh-CN"/>
              </w:rPr>
              <w:t xml:space="preserve">12、投标供应商承诺所产品能被常州市教育局直属单位智慧安防服务中的AI算力设备纳管。提供承诺函。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一、电气性能与容量</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1、供电制式与容量：输入/输出制式：支持 AC 380V/220V 三相五线制（TN-S系统）电源输入及输出。</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2、串接功能：具备串联接入主回路的能力，可作为“电源切断执行单元”串接在上级配电柜与充电负载之间。</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3、额定电流：主回路最大持续工作电流 ≥250A，且具备短时过载能力。</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4、分断能力：内部断路器的极限短路分断能力（Icu）应不低于 35kA，确保故障时能安全切断。</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二、消防联动控制逻辑（干节点联动控制）</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5、信号接口：设备须配置无源干节点（Dry Contact）输入接口，用于接收消防联动信号。</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控制逻辑：常态/复位状态（信号“开”/闭合）：当接收到物联网网关或消防主机发出的“允许供电”信号（触点闭合）时，控制箱内主接触器/断路器吸合，接通从输入端到输出端的电源通路，充电设备正常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7、报警/切断状态（信号“闭”/断开）：当接收到“紧急切断”信号（触点断开，如火灾报警触发）时，控制箱须在 ≤1秒 内自动脱扣，物理切断输入端到输出端的电源通路，强制停止所有充电负载供电。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8、失效保护（Fail-Safe）：控制回路应具备失电保护功能。即当控制信号线断路、网关断电或控制箱自身控制电源丢失时，默认执行切断电源动作，确保火灾等紧急情况下绝对安全。</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9、状态反馈（可选但推荐）：设备应提供一组干节点输出，用于向监控中心反馈当前“通/断”状态。</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三、接口与验证</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numPr>
                <w:ilvl w:val="0"/>
                <w:numId w:val="0"/>
              </w:numPr>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highlight w:val="none"/>
                <w:lang w:val="en-US" w:eastAsia="zh-CN"/>
              </w:rPr>
              <w:t xml:space="preserve">支持</w:t>
            </w:r>
            <w:r>
              <w:rPr>
                <w:rFonts w:hint="eastAsia" w:ascii="宋体" w:hAnsi="宋体" w:eastAsia="宋体" w:cs="宋体"/>
                <w:sz w:val="21"/>
                <w:szCs w:val="21"/>
                <w:highlight w:val="none"/>
              </w:rPr>
              <w:t xml:space="preserve">接收网关的输出干节点控制信号作为“电源切断控制柜”的输入信号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当控制信号为“开”时，“电源切断控制柜”的电源输入到电源输出通路应可以接通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当控制信号为“闭”时，“电源切断控制柜”的电源输入到电源输出通路应可以切断</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auto"/>
                <w:sz w:val="21"/>
                <w:szCs w:val="21"/>
                <w:lang w:val="en-US" w:eastAsia="zh-CN"/>
              </w:rPr>
              <w:t xml:space="preserve">证明材料：投标时</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741"/>
              <w:numPr>
                <w:ilvl w:val="0"/>
                <w:numId w:val="0"/>
              </w:numPr>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rPr>
                <w:rFonts w:hint="eastAsia" w:ascii="宋体" w:hAnsi="宋体" w:eastAsia="宋体" w:cs="宋体"/>
                <w:b/>
                <w:bCs/>
                <w:sz w:val="21"/>
                <w:szCs w:val="21"/>
                <w:highlight w:val="none"/>
                <w:lang w:val="en-US" w:eastAsia="zh-CN" w:bidi="ar-SA"/>
              </w:rPr>
              <w:t xml:space="preserve">提供承诺函。</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四、其他</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11、箱体面板须设置手动紧急停止按钮（蘑菇头按钮），在自动联动失效或人工发现火情时，可就地手动强制切断电源。</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12、箱体上有明显的“供电/断电”状态指示灯，方便巡检人员直观判断设备状态。</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一、端口与性能</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二、PoE供电能力</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PoE标准与功率：至少支持 IEEE 802.3at（PoE+），同时可</w:t>
            </w:r>
            <w:r>
              <w:rPr>
                <w:rFonts w:ascii="SimSun" w:hAnsi="SimSun" w:eastAsia="SimSun" w:cs="SimSun"/>
                <w:color w:val="ff0000"/>
                <w:sz w:val="21"/>
              </w:rPr>
              <w:t xml:space="preserve">POE供电端口≥24个；整机可用PoE功率 ≥ 370W。</w:t>
            </w:r>
            <w:r>
              <w:rPr>
                <w:rFonts w:ascii="SimSun" w:hAnsi="SimSun" w:eastAsia="SimSun" w:cs="SimSun"/>
                <w:b/>
                <w:color w:val="ff0000"/>
                <w:sz w:val="21"/>
              </w:rPr>
              <w:t xml:space="preserve">（实际供电需满足学校使用需求）。</w:t>
            </w:r>
            <w:r/>
            <w:r/>
            <w:r>
              <w:rPr>
                <w:sz w:val="21"/>
              </w:rP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741"/>
              <w:ind w:left="0" w:firstLine="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一、端口与性能</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 端口配置：提供 ≥</w:t>
            </w:r>
            <w:r>
              <w:rPr>
                <w:rFonts w:hint="eastAsia" w:ascii="宋体" w:hAnsi="宋体" w:eastAsia="宋体" w:cs="宋体"/>
                <w:i w:val="0"/>
                <w:iCs w:val="0"/>
                <w:color w:val="auto"/>
                <w:sz w:val="21"/>
                <w:szCs w:val="21"/>
                <w:highlight w:val="none"/>
                <w:u w:val="none"/>
                <w:lang w:val="en-US" w:eastAsia="zh-CN"/>
              </w:rPr>
              <w:t xml:space="preserve">48</w:t>
            </w:r>
            <w:r>
              <w:rPr>
                <w:rFonts w:hint="eastAsia" w:ascii="宋体" w:hAnsi="宋体" w:eastAsia="宋体" w:cs="宋体"/>
                <w:i w:val="0"/>
                <w:iCs w:val="0"/>
                <w:color w:val="auto"/>
                <w:sz w:val="21"/>
                <w:szCs w:val="21"/>
                <w:highlight w:val="none"/>
                <w:u w:val="none"/>
              </w:rPr>
              <w:t xml:space="preserve"> 个 10/100/1000M 自适应以太网电口（RJ45），全部支持</w:t>
            </w:r>
            <w:r>
              <w:rPr>
                <w:rFonts w:hint="eastAsia" w:ascii="宋体" w:hAnsi="宋体" w:eastAsia="宋体" w:cs="宋体"/>
                <w:i w:val="0"/>
                <w:iCs w:val="0"/>
                <w:color w:val="auto"/>
                <w:sz w:val="21"/>
                <w:szCs w:val="21"/>
                <w:highlight w:val="none"/>
                <w:u w:val="none"/>
                <w:lang w:val="en-US" w:eastAsia="zh-CN"/>
              </w:rPr>
              <w:t xml:space="preserve">不低于</w:t>
            </w:r>
            <w:r>
              <w:rPr>
                <w:rFonts w:hint="eastAsia" w:ascii="宋体" w:hAnsi="宋体" w:eastAsia="宋体" w:cs="宋体"/>
                <w:i w:val="0"/>
                <w:iCs w:val="0"/>
                <w:color w:val="auto"/>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整机交换容量 ≥</w:t>
            </w:r>
            <w:r>
              <w:rPr>
                <w:rFonts w:hint="eastAsia" w:ascii="宋体" w:hAnsi="宋体" w:eastAsia="宋体" w:cs="宋体"/>
                <w:i w:val="0"/>
                <w:iCs w:val="0"/>
                <w:color w:val="auto"/>
                <w:sz w:val="21"/>
                <w:szCs w:val="21"/>
                <w:highlight w:val="none"/>
                <w:u w:val="none"/>
                <w:lang w:val="en-US" w:eastAsia="zh-CN"/>
              </w:rPr>
              <w:t xml:space="preserve">600</w:t>
            </w:r>
            <w:r>
              <w:rPr>
                <w:rFonts w:hint="eastAsia" w:ascii="宋体" w:hAnsi="宋体" w:eastAsia="宋体" w:cs="宋体"/>
                <w:i w:val="0"/>
                <w:iCs w:val="0"/>
                <w:color w:val="auto"/>
                <w:sz w:val="21"/>
                <w:szCs w:val="21"/>
                <w:highlight w:val="none"/>
                <w:u w:val="none"/>
              </w:rPr>
              <w:t xml:space="preserve"> Gbps；整机包转发率 ≥ </w:t>
            </w:r>
            <w:r>
              <w:rPr>
                <w:rFonts w:hint="eastAsia" w:ascii="宋体" w:hAnsi="宋体" w:eastAsia="宋体" w:cs="宋体"/>
                <w:i w:val="0"/>
                <w:iCs w:val="0"/>
                <w:color w:val="auto"/>
                <w:sz w:val="21"/>
                <w:szCs w:val="21"/>
                <w:highlight w:val="none"/>
                <w:u w:val="none"/>
                <w:lang w:val="en-US" w:eastAsia="zh-CN"/>
              </w:rPr>
              <w:t xml:space="preserve">120</w:t>
            </w:r>
            <w:r>
              <w:rPr>
                <w:rFonts w:hint="eastAsia" w:ascii="宋体" w:hAnsi="宋体" w:eastAsia="宋体" w:cs="宋体"/>
                <w:i w:val="0"/>
                <w:iCs w:val="0"/>
                <w:color w:val="auto"/>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二、PoE供电能力</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PoE标准与功率：至少支持 IEEE 802.3at（PoE+），同时可</w:t>
            </w:r>
            <w:r>
              <w:rPr>
                <w:rFonts w:ascii="SimSun" w:hAnsi="SimSun" w:eastAsia="SimSun" w:cs="SimSun"/>
                <w:color w:val="ff0000"/>
                <w:sz w:val="21"/>
              </w:rPr>
              <w:t xml:space="preserve">POE供电端口≥48个；整机可用PoE功率 ≥720W。</w:t>
            </w:r>
            <w:r>
              <w:rPr>
                <w:rFonts w:ascii="SimSun" w:hAnsi="SimSun" w:eastAsia="SimSun" w:cs="SimSun"/>
                <w:b/>
                <w:color w:val="ff0000"/>
                <w:sz w:val="21"/>
              </w:rPr>
              <w:t xml:space="preserve">（实际供电需满足学校使用需求）。</w:t>
            </w:r>
            <w:r/>
            <w:r>
              <w:rPr>
                <w:rFonts w:hint="eastAsia" w:ascii="宋体" w:hAnsi="宋体" w:eastAsia="宋体" w:cs="宋体"/>
                <w:i w:val="0"/>
                <w:iCs w:val="0"/>
                <w:color w:val="000000"/>
                <w:sz w:val="21"/>
                <w:szCs w:val="21"/>
                <w:highlight w:val="none"/>
                <w:u w:val="none"/>
              </w:rPr>
            </w:r>
            <w:r>
              <w:rPr>
                <w:rFonts w:hint="eastAsia" w:ascii="宋体" w:hAnsi="宋体" w:eastAsia="宋体" w:cs="宋体"/>
                <w:b/>
                <w:bCs/>
                <w:i w:val="0"/>
                <w:iCs w:val="0"/>
                <w:color w:val="auto"/>
                <w:sz w:val="21"/>
                <w:szCs w:val="21"/>
                <w:highlight w:val="none"/>
                <w:u w:val="none"/>
              </w:rPr>
            </w:r>
            <w:r/>
            <w:r>
              <w:rPr>
                <w:sz w:val="21"/>
              </w:rP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741"/>
              <w:ind w:left="0" w:firstLine="0"/>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i w:val="0"/>
                <w:iCs w:val="0"/>
                <w:color w:val="auto"/>
                <w:sz w:val="21"/>
                <w:szCs w:val="21"/>
                <w:highlight w:val="none"/>
                <w:u w:val="none"/>
                <w:lang w:val="en-US" w:eastAsia="zh-CN" w:bidi="ar"/>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3.支持IPv4静态路由、RIP V1/V2、OSPF，支持IPv6静态路由、RIPng，支持 IPv4 和 IPv6 的三层路由和组播功能。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5.支持最多8个端口聚合。</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6.实现CPU保护功能，能限制非法报文对CPU的攻击，保护交换机在各种环境下稳定工作。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7.要求所投产品支持防雷等级≥10KV。</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bidi="ar"/>
              </w:rPr>
              <w:t xml:space="preserve">.支持MAC地址≥16K。提供证明材料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9.支持RIP、RIPng、OSPF、OSPFv3路由协议。</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p>
            <w:pPr>
              <w:pStyle w:val="741"/>
              <w:ind w:left="0"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12、与学校原有网络设备要兼容。提供承诺函加盖投标公章。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1、上行10G GPON端口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2、下行≥8GE，RJ-45接口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3、支持10/100/1000 Mbit/s接口速率自适应</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4、支持PPPoE/DHCP仿真测试</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5、支持防御MAC地址漂移，欺骗</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6、支持流量管理，流量监管，拥塞管理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1、盒式光分路器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2、分光比为1分8，均分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3、尾纤型号为SC/UPC</w:t>
            </w:r>
            <w:r>
              <w:rPr>
                <w:rFonts w:hint="eastAsia" w:ascii="宋体" w:hAnsi="宋体" w:eastAsia="宋体" w:cs="宋体"/>
                <w:color w:val="auto"/>
                <w:sz w:val="21"/>
                <w:szCs w:val="21"/>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光收发一体模块-SFP（1310nm、LC、10km），光模块序列号官网可查。</w:t>
            </w:r>
            <w:r>
              <w:rPr>
                <w:rFonts w:hint="eastAsia" w:ascii="宋体" w:hAnsi="宋体" w:eastAsia="宋体" w:cs="宋体"/>
                <w:b/>
                <w:bCs/>
                <w:i w:val="0"/>
                <w:iCs w:val="0"/>
                <w:color w:val="000000"/>
                <w:sz w:val="21"/>
                <w:szCs w:val="21"/>
                <w:highlight w:val="none"/>
                <w:u w:val="none"/>
                <w:lang w:val="en-US" w:eastAsia="zh-CN" w:bidi="ar"/>
              </w:rPr>
              <w:t xml:space="preserve">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rPr>
                <w:rFonts w:hint="eastAsia" w:ascii="宋体" w:hAnsi="宋体" w:eastAsia="宋体" w:cs="宋体"/>
                <w:b/>
                <w:bCs/>
                <w:i w:val="0"/>
                <w:iCs w:val="0"/>
                <w:color w:val="auto"/>
                <w:sz w:val="21"/>
                <w:szCs w:val="21"/>
                <w:highlight w:val="none"/>
                <w:u w:val="none"/>
                <w:lang w:val="en-US" w:eastAsia="zh-CN" w:bidi="ar"/>
              </w:rPr>
              <w:t xml:space="preserve">提供承诺函或</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2.导体直径：</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0.57mm，绝缘材料：聚烯烃或聚全氟乙丙烯树脂(FEP)；外护套：LSZH低烟无卤阻燃聚烯烃。</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▲3.提供所投六类非屏蔽低烟无卤双绞线不少于以下技术参数的检测报告：单根导体直流电阻、近端串音衰减(NEXT)、近端串音衰减功率和（PS NEXT）、衰减远端串音比(ACR-F)、衰减远端串音比功率和(PS  ACR-F)、特性阻抗 (Zm)、回波损耗（Return Loss）。</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提供所投产品由第三方检测机构出具的具有CMA标志的符合YD/T 1019-2023等现行国家或行业标准的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扫描件，检测报告数量不作要求。</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▲4.燃烧性能要求：所投六类非屏蔽低烟无卤双绞线至少达到单根电缆火焰垂直蔓延试验要求。</w:t>
            </w:r>
            <w:r>
              <w:rPr>
                <w:rFonts w:hint="eastAsia" w:ascii="宋体" w:hAnsi="宋体" w:eastAsia="宋体" w:cs="宋体"/>
                <w:b/>
                <w:bCs/>
                <w:i w:val="0"/>
                <w:iCs w:val="0"/>
                <w:color w:val="auto"/>
                <w:sz w:val="21"/>
                <w:szCs w:val="21"/>
                <w:highlight w:val="none"/>
                <w:u w:val="none"/>
                <w:lang w:val="en-US" w:eastAsia="zh-CN" w:bidi="ar"/>
              </w:rPr>
              <w:t xml:space="preserve">提供所投产品具有CMA标志的、由第三方检测机构出具的、符合GB/T 18380.12-2022或IEC 60332-1-2：2015标准中的单根电缆火焰垂直蔓延试验的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5.烟密度：透光率应不小于50%。</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提供所投产品由第三方检测机构出具的、具有CMA标志的、符合GB/T 17651.2-2021或IEC 61034-2:2019标准的检测报告</w:t>
            </w:r>
            <w:r>
              <w:rPr>
                <w:rFonts w:hint="eastAsia" w:ascii="宋体" w:hAnsi="宋体" w:cs="宋体"/>
                <w:b/>
                <w:bCs/>
                <w:i w:val="0"/>
                <w:iCs w:val="0"/>
                <w:color w:val="auto"/>
                <w:sz w:val="21"/>
                <w:szCs w:val="21"/>
                <w:highlight w:val="none"/>
                <w:u w:val="none"/>
                <w:lang w:val="en-US" w:eastAsia="zh-CN" w:bidi="ar"/>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1.采用多股软线为导体，两端RJ45接触针为镀金，跳线必须为注塑成型，LSZH低烟无卤护套。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2.长度规格：≥2米。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3.传输带宽支持250MHz。提供由具备有效CMA资质的检测机构出具的封面盖有CMA认定标志的检测报告原件</w:t>
            </w:r>
            <w:r>
              <w:rPr>
                <w:rFonts w:hint="eastAsia" w:ascii="宋体" w:hAnsi="宋体" w:cs="宋体"/>
                <w:i w:val="0"/>
                <w:iCs w:val="0"/>
                <w:color w:val="auto"/>
                <w:sz w:val="21"/>
                <w:szCs w:val="21"/>
                <w:highlight w:val="none"/>
                <w:u w:val="none"/>
                <w:lang w:val="en-US" w:eastAsia="zh-CN" w:bidi="ar"/>
              </w:rPr>
              <w:t xml:space="preserve">关键页</w:t>
            </w:r>
            <w:r>
              <w:rPr>
                <w:rFonts w:hint="eastAsia" w:ascii="宋体" w:hAnsi="宋体" w:eastAsia="宋体" w:cs="宋体"/>
                <w:i w:val="0"/>
                <w:iCs w:val="0"/>
                <w:color w:val="auto"/>
                <w:sz w:val="21"/>
                <w:szCs w:val="21"/>
                <w:highlight w:val="none"/>
                <w:u w:val="none"/>
                <w:lang w:val="en-US" w:eastAsia="zh-CN" w:bidi="ar"/>
              </w:rPr>
              <w:t xml:space="preserve">扫描件（符合现行国家或行业标准）。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4.所投跳线需经过严格的回波损耗及近端串扰测试。</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符合GB/T50312-2016或ANSI/TIA-568.2-D:2018或ISO/IEC11801或TIA/EIA-568.2-D:2018所制定的元件标准，投标时提供六类跳线的规格不限）；按第四章商务要求（其他要求的第2条）中明确的要求、提供相关佐证材料。</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2.规格及类型：芯数范围4芯，结构：GYTZS。</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w:t>
            </w:r>
            <w:r>
              <w:rPr>
                <w:rFonts w:hint="eastAsia" w:ascii="宋体" w:hAnsi="宋体" w:eastAsia="宋体" w:cs="宋体"/>
                <w:i w:val="0"/>
                <w:iCs w:val="0"/>
                <w:color w:val="auto"/>
                <w:sz w:val="21"/>
                <w:szCs w:val="21"/>
                <w:highlight w:val="none"/>
                <w:u w:val="none"/>
                <w:lang w:val="en-US" w:eastAsia="zh-CN" w:bidi="ar"/>
              </w:rPr>
              <w:t xml:space="preserve">室外单模光缆</w:t>
            </w:r>
            <w:r>
              <w:rPr>
                <w:rFonts w:hint="eastAsia" w:ascii="宋体" w:hAnsi="宋体" w:eastAsia="宋体" w:cs="宋体"/>
                <w:b w:val="0"/>
                <w:bCs w:val="0"/>
                <w:i w:val="0"/>
                <w:iCs w:val="0"/>
                <w:color w:val="auto"/>
                <w:sz w:val="21"/>
                <w:szCs w:val="21"/>
                <w:highlight w:val="none"/>
                <w:u w:val="none"/>
                <w:lang w:val="en-US" w:eastAsia="zh-CN" w:bidi="ar"/>
              </w:rPr>
              <w:t xml:space="preserve">产品至少达到单根电缆火焰垂直蔓延试验要求。提供所投产品具有CMA标志的、由第三方检测机构出具的、符合GB/T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i w:val="0"/>
                <w:iCs w:val="0"/>
                <w:color w:val="auto"/>
                <w:sz w:val="21"/>
                <w:szCs w:val="21"/>
                <w:highlight w:val="none"/>
                <w:u w:val="none"/>
                <w:lang w:val="en-US" w:eastAsia="zh-CN" w:bidi="ar"/>
              </w:rPr>
              <w:t xml:space="preserve">或IEC 60332-1-2：2015标准中的单根电缆火焰垂直蔓延试验的全文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5.外护套材料：无卤素、低烟、阻燃，黑色高密度聚乙烯（HDPE）或抗紫外线PE。</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6.阻水性能，纵向阻水（阻水带+填充油膏）。符合YD/T 901-2018等现行国家标准，提供第三方检测机构出具的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提供25年产品质量质保函加盖原厂鲜章扫描件</w:t>
            </w:r>
            <w:r>
              <w:rPr>
                <w:rFonts w:hint="eastAsia" w:ascii="宋体" w:hAnsi="宋体" w:eastAsia="宋体" w:cs="宋体"/>
                <w:b/>
                <w:bCs/>
                <w:i w:val="0"/>
                <w:iCs w:val="0"/>
                <w:color w:val="auto"/>
                <w:sz w:val="21"/>
                <w:szCs w:val="21"/>
                <w:highlight w:val="none"/>
                <w:u w:val="none"/>
                <w:lang w:val="en-US" w:eastAsia="zh-CN" w:bidi="ar"/>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产品技术规格书。</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★7.承诺所投产品符合YD/T 901-2018等现行国家或行业标准针对室外光纤的要求。提供承诺函（格式自拟）。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w:t>
            </w:r>
            <w:r>
              <w:rPr>
                <w:rFonts w:hint="eastAsia" w:ascii="宋体" w:hAnsi="宋体" w:cs="宋体"/>
                <w:b w:val="0"/>
                <w:bCs w:val="0"/>
                <w:i w:val="0"/>
                <w:iCs w:val="0"/>
                <w:color w:val="auto"/>
                <w:sz w:val="21"/>
                <w:szCs w:val="21"/>
                <w:highlight w:val="none"/>
                <w:u w:val="none"/>
                <w:lang w:val="en-US" w:eastAsia="zh-CN" w:bidi="ar"/>
              </w:rPr>
              <w:t xml:space="preserve">12</w:t>
            </w:r>
            <w:r>
              <w:rPr>
                <w:rFonts w:hint="eastAsia" w:ascii="宋体" w:hAnsi="宋体" w:eastAsia="宋体" w:cs="宋体"/>
                <w:b w:val="0"/>
                <w:bCs w:val="0"/>
                <w:i w:val="0"/>
                <w:iCs w:val="0"/>
                <w:color w:val="auto"/>
                <w:sz w:val="21"/>
                <w:szCs w:val="21"/>
                <w:highlight w:val="none"/>
                <w:u w:val="none"/>
                <w:lang w:val="en-US" w:eastAsia="zh-CN" w:bidi="ar"/>
              </w:rPr>
              <w:t xml:space="preserve">芯，结构：GYTZS。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3.提供所投产品以下技术参数的检测报告：光缆光纤特性、光缆机械性能、光缆衰减温度特性（光缆温度特性）或者衰减系数、光缆护套性能等。</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关键页扫描件（符合GB/T9771.3-2020或YD/T901-2018或（ANSI/TIA-568-3.D-2016、ANSI/TIA-568-C.3-2008等现行国家或行业标准，芯数不限）；按第四章商务要求（其他要求的第2条）中明确的要求、提供相关佐证材料。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4.护套材料：采用低烟无卤阻燃材料。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5.燃烧性能要求：所投室内单模光缆产品至少达到单根电缆火焰垂直蔓延试验要求。</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关键页扫描件（符合GB/T18380.12-2022或GB/T18380.22-2008或IEC60332-1-2：2015标准中的单根电缆火焰垂直蔓延试验的要求）；按第四章商务要求（其他要求的第2条）中明确的要求、提供相关佐证材料。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6.烟密度：透光率应不小于50%。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★7.提供承诺函（格式自拟），承诺所投产品符合GB/T9771.3-2020或</w:t>
            </w:r>
            <w:r>
              <w:rPr>
                <w:rFonts w:hint="eastAsia" w:ascii="宋体" w:hAnsi="宋体" w:eastAsia="宋体" w:cs="宋体"/>
                <w:b/>
                <w:bCs/>
                <w:i w:val="0"/>
                <w:iCs w:val="0"/>
                <w:color w:val="auto"/>
                <w:sz w:val="21"/>
                <w:szCs w:val="21"/>
                <w:highlight w:val="none"/>
                <w:u w:val="none"/>
                <w:lang w:val="en-US" w:eastAsia="zh-CN" w:bidi="ar"/>
              </w:rPr>
              <w:t xml:space="preserve">YD/T901-2018</w:t>
            </w:r>
            <w:r>
              <w:rPr>
                <w:rFonts w:hint="eastAsia" w:ascii="宋体" w:hAnsi="宋体" w:eastAsia="宋体" w:cs="宋体"/>
                <w:i w:val="0"/>
                <w:iCs w:val="0"/>
                <w:color w:val="auto"/>
                <w:sz w:val="21"/>
                <w:szCs w:val="21"/>
                <w:highlight w:val="none"/>
                <w:u w:val="none"/>
                <w:lang w:val="en-US" w:eastAsia="zh-CN" w:bidi="ar"/>
              </w:rPr>
              <w:t xml:space="preserve">或（ANSI/TIA-568-3.D-2016、ANSI/TIA-568-C.3-2008）等现行国家或行业标准针对室外光纤的要求。</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1.光纤类型：G.652.D/B1.3单模光纤（9/125μm），支持1310nm和1550nm窗口。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2.规格及结构：芯数范围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单芯子缆分支光缆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val="en-US" w:eastAsia="zh-CN"/>
              </w:rPr>
              <w:t xml:space="preserve">铠装</w:t>
            </w:r>
            <w:r>
              <w:rPr>
                <w:rFonts w:hint="eastAsia" w:ascii="宋体" w:hAnsi="宋体" w:eastAsia="宋体" w:cs="宋体"/>
                <w:color w:val="auto"/>
                <w:sz w:val="21"/>
                <w:szCs w:val="21"/>
                <w:highlight w:val="none"/>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▲3.提供所投产品以下技术参数的检测报告：光缆光纤特性 、光缆机械性能、</w:t>
            </w:r>
            <w:r>
              <w:rPr>
                <w:rFonts w:hint="eastAsia" w:ascii="宋体" w:hAnsi="宋体" w:eastAsia="宋体" w:cs="宋体"/>
                <w:b w:val="0"/>
                <w:bCs w:val="0"/>
                <w:color w:val="auto"/>
                <w:sz w:val="21"/>
                <w:szCs w:val="21"/>
                <w:highlight w:val="none"/>
                <w:lang w:val="en-US" w:eastAsia="zh-CN"/>
              </w:rPr>
              <w:t xml:space="preserve">光缆</w:t>
            </w:r>
            <w:r>
              <w:rPr>
                <w:rFonts w:hint="eastAsia" w:ascii="宋体" w:hAnsi="宋体" w:eastAsia="宋体" w:cs="宋体"/>
                <w:b w:val="0"/>
                <w:bCs w:val="0"/>
                <w:color w:val="auto"/>
                <w:sz w:val="21"/>
                <w:szCs w:val="21"/>
                <w:highlight w:val="none"/>
              </w:rPr>
              <w:t xml:space="preserve">衰减温度特性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光缆温度特性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color w:val="auto"/>
                <w:sz w:val="21"/>
                <w:szCs w:val="21"/>
                <w:highlight w:val="none"/>
                <w:lang w:val="en-US" w:eastAsia="zh-CN"/>
              </w:rPr>
              <w:t xml:space="preserve">衰减系数</w:t>
            </w:r>
            <w:r>
              <w:rPr>
                <w:rFonts w:hint="eastAsia" w:ascii="宋体" w:hAnsi="宋体" w:eastAsia="宋体" w:cs="宋体"/>
                <w:b w:val="0"/>
                <w:bCs w:val="0"/>
                <w:color w:val="auto"/>
                <w:sz w:val="21"/>
                <w:szCs w:val="21"/>
                <w:highlight w:val="none"/>
              </w:rPr>
              <w:t xml:space="preserve">、光缆护套性能等。提供所投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产品第三方检测机构出具且具有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的符合GB/T 9771.3-2020</w:t>
            </w:r>
            <w:r>
              <w:rPr>
                <w:rFonts w:hint="eastAsia" w:ascii="宋体" w:hAnsi="宋体" w:eastAsia="宋体" w:cs="宋体"/>
                <w:b w:val="0"/>
                <w:bCs w:val="0"/>
                <w:color w:val="auto"/>
                <w:sz w:val="21"/>
                <w:szCs w:val="21"/>
                <w:highlight w:val="none"/>
                <w:lang w:val="en-US" w:eastAsia="zh-CN"/>
              </w:rPr>
              <w:t xml:space="preserve">或YD/T1258.4-2019或（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芯数不限</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。检测报告中须体现检测依据以及是否通过检测的结论</w:t>
            </w:r>
            <w:r>
              <w:rPr>
                <w:rFonts w:hint="eastAsia" w:ascii="宋体" w:hAnsi="宋体" w:eastAsia="宋体" w:cs="宋体"/>
                <w:b w:val="0"/>
                <w:bCs w:val="0"/>
                <w:color w:val="auto"/>
                <w:sz w:val="21"/>
                <w:szCs w:val="21"/>
                <w:highlight w:val="none"/>
                <w:lang w:eastAsia="zh-CN"/>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4.护套材料：采用低烟无卤阻燃材料。</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▲5.燃烧性能要求：所投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产品至少达到单根电缆火焰垂直蔓延试验要求。提供所投产品具有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color w:val="auto"/>
                <w:sz w:val="21"/>
                <w:szCs w:val="21"/>
                <w:highlight w:val="none"/>
              </w:rPr>
              <w:t xml:space="preserve">或IEC 60332-1-2：2015标准中的单根电缆火焰垂直蔓延试验的全文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6.烟密度：透光率应不小于50%。</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.承诺所投产品符合GB/T 9771.3-2020或YD/T1258.4-2019</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等现行国家或行业标准针对室内光纤的要求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提供承诺函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格式自拟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numPr>
                <w:ilvl w:val="0"/>
                <w:numId w:val="11"/>
              </w:numPr>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WDZ-YJY4*70+1*35,</w:t>
            </w:r>
            <w:r>
              <w:rPr>
                <w:rFonts w:hint="eastAsia" w:ascii="宋体" w:hAnsi="宋体" w:eastAsia="宋体" w:cs="宋体"/>
                <w:color w:val="auto"/>
                <w:sz w:val="21"/>
                <w:szCs w:val="21"/>
                <w:lang w:val="en-US" w:eastAsia="zh-CN"/>
              </w:rPr>
              <w:t xml:space="preserve">铜芯，符合 GB/T 12706.1等相关国家标准。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numPr>
                <w:ilvl w:val="0"/>
                <w:numId w:val="12"/>
              </w:numPr>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RVVP4*1.5，</w:t>
            </w:r>
            <w:r>
              <w:rPr>
                <w:rFonts w:hint="eastAsia" w:ascii="宋体" w:hAnsi="宋体" w:eastAsia="宋体" w:cs="宋体"/>
                <w:color w:val="auto"/>
                <w:sz w:val="21"/>
                <w:szCs w:val="21"/>
                <w:lang w:val="en-US" w:eastAsia="zh-CN"/>
              </w:rPr>
              <w:t xml:space="preserve">铜芯，符合JB/T 8734.5等相关国家标准。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RVV3*1.5，</w:t>
            </w:r>
            <w:r>
              <w:rPr>
                <w:rFonts w:hint="eastAsia" w:ascii="宋体" w:hAnsi="宋体" w:eastAsia="宋体" w:cs="宋体"/>
                <w:color w:val="auto"/>
                <w:sz w:val="21"/>
                <w:szCs w:val="21"/>
                <w:lang w:val="en-US" w:eastAsia="zh-CN"/>
              </w:rPr>
              <w:t xml:space="preserve">铜芯，符合GB/T 5023.5等相关国家标准。</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RVV2*1.5，</w:t>
            </w:r>
            <w:r>
              <w:rPr>
                <w:rFonts w:hint="eastAsia" w:ascii="宋体" w:hAnsi="宋体" w:eastAsia="宋体" w:cs="宋体"/>
                <w:color w:val="auto"/>
                <w:sz w:val="21"/>
                <w:szCs w:val="21"/>
                <w:lang w:val="en-US" w:eastAsia="zh-CN"/>
              </w:rPr>
              <w:t xml:space="preserve">铜芯，符合GB/T 5023.5等相关国家标准。</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lang w:val="en-US" w:eastAsia="zh-CN"/>
              </w:rPr>
              <w:t xml:space="preserve">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1、配套室外安防箱，内含防水箱（或防水盒）*1。</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2、若为防水箱：国标304不锈钢，尺寸根据现场定制</w:t>
            </w:r>
            <w:r>
              <w:rPr>
                <w:rFonts w:hint="eastAsia" w:ascii="宋体" w:hAnsi="宋体" w:eastAsia="宋体" w:cs="宋体"/>
                <w:i w:val="0"/>
                <w:iCs w:val="0"/>
                <w:color w:val="auto"/>
                <w:sz w:val="21"/>
                <w:szCs w:val="21"/>
                <w:highlight w:val="none"/>
                <w:u w:val="none"/>
                <w:lang w:val="en-US" w:eastAsia="zh-CN" w:bidi="ar"/>
              </w:rPr>
              <w:t xml:space="preserve">；配套接地线、紧线器、线连接器和避雷器</w:t>
            </w:r>
            <w:r>
              <w:rPr>
                <w:rFonts w:hint="eastAsia" w:ascii="宋体" w:hAnsi="宋体" w:eastAsia="宋体" w:cs="宋体"/>
                <w:i w:val="0"/>
                <w:iCs w:val="0"/>
                <w:color w:val="auto"/>
                <w:sz w:val="21"/>
                <w:szCs w:val="21"/>
                <w:highlight w:val="none"/>
                <w:u w:val="none"/>
                <w:lang w:val="en-US" w:eastAsia="zh-CN" w:bidi="ar"/>
              </w:rPr>
              <w:t xml:space="preserve">。</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自带防拆。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jc w:val="both"/>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白色，壁装或可伸缩吊杆安装；材质铝合金或白钢支架，满足吊装/壁装多种场景。</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800*600*2000mm(深*宽*高)机柜，前门为钢化玻璃门，后门为无孔钢板门，含8位10A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val="en-US" w:eastAsia="zh-CN" w:bidi="ar"/>
              </w:rPr>
              <w:t xml:space="preserve">.24</w:t>
            </w:r>
            <w:r>
              <w:rPr>
                <w:rFonts w:hint="eastAsia" w:ascii="宋体" w:hAnsi="宋体" w:eastAsia="宋体" w:cs="宋体"/>
                <w:b w:val="0"/>
                <w:bCs w:val="0"/>
                <w:color w:val="auto"/>
                <w:sz w:val="21"/>
                <w:szCs w:val="21"/>
                <w:highlight w:val="none"/>
                <w:lang w:bidi="ar"/>
              </w:rPr>
              <w:t xml:space="preserve">芯LC双工光纤配线架，1U高度</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安装方式：19英寸机柜式安装，可直接安装于墙面</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rPr>
              <w:t xml:space="preserve">插入损耗：</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多模（850nm）：≤0.2dB（适配器+连接器）</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单模（1310nm/1550nm）：≤0.2dB</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回波损耗：≥45dB（UPC型，单模）</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符合IP</w:t>
            </w:r>
            <w:r>
              <w:rPr>
                <w:rFonts w:hint="eastAsia" w:ascii="宋体" w:hAnsi="宋体" w:eastAsia="宋体" w:cs="宋体"/>
                <w:b w:val="0"/>
                <w:bCs w:val="0"/>
                <w:color w:val="auto"/>
                <w:sz w:val="21"/>
                <w:szCs w:val="21"/>
                <w:highlight w:val="none"/>
                <w:lang w:val="en-US" w:eastAsia="zh-CN" w:bidi="ar"/>
              </w:rPr>
              <w:t xml:space="preserve">65</w:t>
            </w:r>
            <w:r>
              <w:rPr>
                <w:rFonts w:hint="eastAsia" w:ascii="宋体" w:hAnsi="宋体" w:eastAsia="宋体" w:cs="宋体"/>
                <w:b w:val="0"/>
                <w:bCs w:val="0"/>
                <w:color w:val="auto"/>
                <w:sz w:val="21"/>
                <w:szCs w:val="21"/>
                <w:highlight w:val="none"/>
                <w:lang w:bidi="ar"/>
              </w:rPr>
              <w:t xml:space="preserve">防护等级，适配器未使用时需配备防尘帽</w:t>
            </w:r>
            <w:r>
              <w:rPr>
                <w:rFonts w:hint="eastAsia" w:ascii="宋体" w:hAnsi="宋体" w:eastAsia="宋体" w:cs="宋体"/>
                <w:b w:val="0"/>
                <w:bCs w:val="0"/>
                <w:color w:val="auto"/>
                <w:sz w:val="21"/>
                <w:szCs w:val="21"/>
                <w:highlight w:val="none"/>
                <w:lang w:eastAsia="zh-CN" w:bidi="ar"/>
              </w:rPr>
              <w:t xml:space="preserve">。</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配套提供暗装底盒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，暗装盒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bidi="ar"/>
              </w:rPr>
              <w:t xml:space="preserve">内设有线缆盘绕存储架，线缆盘绕架设计弯曲半径≥40mm（静态）/≥80mm（动态），支持OM3/OM4/OS2光纤安全存储，满配耦合器。</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1.模块式配线架，满配24个模块；</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2.配线架后面配有理线托架，配线架配有防尘盖；</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3.直接使用于19英寸标准机柜、机架、挂墙柜等；</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4.采用优质冷轧钢板，表面经过特殊处理，坚固、美观、不易划伤；</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strike w:val="0"/>
                <w:color w:val="auto"/>
                <w:sz w:val="21"/>
                <w:szCs w:val="21"/>
                <w:highlight w:val="none"/>
                <w:u w:val="none"/>
                <w:lang w:val="en-US" w:eastAsia="zh-CN" w:bidi="ar"/>
              </w:rPr>
              <w:t xml:space="preserve">5.与6类非屏蔽双绞线所组成的链路，其电气性能应符合ANSI/TIA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w:t>
            </w:r>
            <w:r>
              <w:rPr>
                <w:rFonts w:hint="eastAsia" w:ascii="宋体" w:hAnsi="宋体" w:eastAsia="宋体" w:cs="宋体"/>
                <w:b w:val="0"/>
                <w:bCs w:val="0"/>
                <w:i w:val="0"/>
                <w:iCs w:val="0"/>
                <w:strike w:val="0"/>
                <w:color w:val="auto"/>
                <w:sz w:val="21"/>
                <w:szCs w:val="21"/>
                <w:highlight w:val="none"/>
                <w:u w:val="none"/>
                <w:lang w:val="en-US" w:eastAsia="zh-CN" w:bidi="ar"/>
              </w:rPr>
              <w:t xml:space="preserve">或TIA / EIA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18或</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bidi="ar"/>
              </w:rPr>
              <w:t xml:space="preserve">ISO/IEC11801-1-2017</w:t>
            </w:r>
            <w:r>
              <w:rPr>
                <w:rFonts w:hint="eastAsia" w:ascii="宋体" w:hAnsi="宋体" w:eastAsia="宋体" w:cs="宋体"/>
                <w:b w:val="0"/>
                <w:bCs w:val="0"/>
                <w:i w:val="0"/>
                <w:iCs w:val="0"/>
                <w:strike w:val="0"/>
                <w:color w:val="auto"/>
                <w:sz w:val="21"/>
                <w:szCs w:val="21"/>
                <w:highlight w:val="none"/>
                <w:u w:val="none"/>
                <w:lang w:val="en-US" w:eastAsia="zh-CN" w:bidi="ar"/>
              </w:rPr>
              <w:t xml:space="preserve">标准的规定。</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1.规格：1U封闭式网络理线架；</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单面槽理线架按19英寸机架标准设计，适用于配线架及设备跳线的水平和垂直方向的线缆管理；设计简洁、对于各种线缆提供灵活、有效和安全的管理，使布线系统整洁美观，提供24个管理环；采用滑槽式封闭结构；</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3.材料：全金属材质；</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4.性能：管理跳线数≥48，满足跳线或交叉线弯曲半径的合理性。</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u w:val="none"/>
                <w:lang w:val="en-US" w:eastAsia="zh-CN" w:bidi="ar"/>
              </w:rPr>
              <w:t xml:space="preserve">1.单工单模尾纤，1.5米，9/125，光纤尾纤用于光纤线路的灵活跳接或熔接，</w:t>
            </w:r>
            <w:r>
              <w:rPr>
                <w:rFonts w:hint="eastAsia" w:ascii="宋体" w:hAnsi="宋体" w:eastAsia="宋体" w:cs="宋体"/>
                <w:i w:val="0"/>
                <w:iCs w:val="0"/>
                <w:color w:val="auto"/>
                <w:sz w:val="21"/>
                <w:szCs w:val="21"/>
                <w:highlight w:val="none"/>
                <w:u w:val="none"/>
                <w:lang w:val="en-US" w:eastAsia="zh-CN" w:bidi="ar"/>
              </w:rPr>
              <w:t xml:space="preserve">插入损耗低，回波损耗高，性能满足国家或行业规范标准要求。</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2.护套材料采用LSZH低烟无卤，具有良好的阻燃性能。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3.技术规范：回拨损耗：单模＞50dB，插入损耗：最大值0.5dB，典型值0.2dB。</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1.G.652D单模光纤，双芯，LSZH护套，光缆的光学性能、机械性能、环境性能等符合现行国家或行业标准。</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提供所投产品由第三方检测机构出具的、具有CMA标志的检测报告原件关键页扫描件（依据</w:t>
            </w:r>
            <w:r>
              <w:rPr>
                <w:rFonts w:hint="eastAsia" w:ascii="宋体" w:hAnsi="宋体" w:eastAsia="宋体" w:cs="宋体"/>
                <w:b/>
                <w:bCs/>
                <w:i w:val="0"/>
                <w:iCs w:val="0"/>
                <w:color w:val="000000"/>
                <w:sz w:val="21"/>
                <w:szCs w:val="21"/>
                <w:highlight w:val="none"/>
                <w:u w:val="none"/>
                <w:lang w:val="en-US" w:eastAsia="zh-CN" w:bidi="ar"/>
              </w:rPr>
              <w:t xml:space="preserve">YD/T 1272.1-2018或YD/T 2152-2010或GB/T 9771-2020等现行国家或行业标准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检测报告中须体现检测依据以及是否通过检测的结论：需含光学性能、机械性能、环境性能检测项</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2.长度规格≥3米。</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规格:4口LC光纤终端盒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芯光纤的熔接，包括热缩保护管式和机械接续子式。</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分光盒可以用于室内安装，熔纤盘具有良好的互换性接入，可提供8芯光纤的熔接，包括热缩保护管式和机械接续子式。</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千兆1光4电POE交换机，支持导轨安装，工作温度-45°-85°， 含两端光模块。</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定制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熔接后的特性指标应符合现行国家或行业标准。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阻燃PVC25护线管，含配套敷设辅材。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25mm金属软管。</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1、不低于3米 5孔插座  整盘最大功率 2500W</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2、支持超功率自动断电，配备防过载保护器件。</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3、所投产品应符合国标相关标准。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辅材</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含标签、胶布、扎带、管卡、膨胀螺丝、螺母、水晶头等安装辅材。</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ind w:left="0" w:firstLine="0"/>
        <w:rPr>
          <w:rFonts w:hint="eastAsia" w:ascii="宋体" w:hAnsi="宋体"/>
          <w:b/>
          <w:bCs/>
          <w:sz w:val="24"/>
          <w:szCs w:val="24"/>
          <w:highlight w:val="none"/>
        </w:rPr>
      </w:pPr>
      <w:r>
        <w:rPr>
          <w:rFonts w:hint="eastAsia"/>
          <w:b/>
          <w:bCs/>
          <w:color w:val="auto"/>
          <w:sz w:val="21"/>
          <w:szCs w:val="21"/>
          <w:highlight w:val="none"/>
          <w:lang w:val="en-US" w:eastAsia="zh-CN"/>
        </w:rPr>
        <w:t xml:space="preserve">注意事项：1、其中设备安装点位表（由学校提供），包含四个信息——使用场景、位置信息、摄像机名称、IP地址等，数量要与服务标中的视频接入分析总路数一致。2、在施工过程中如果涉及到装饰的拆除与修复，一切费用由中标方负责。</w:t>
      </w:r>
      <w:r/>
    </w:p>
    <w:p>
      <w:pPr>
        <w:pStyle w:val="1042"/>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20"/>
        <w:spacing w:line="400" w:lineRule="exact"/>
        <w:widowControl/>
        <w:rPr>
          <w:rFonts w:hint="eastAsia" w:ascii="宋体" w:hAnsi="宋体"/>
          <w:b/>
          <w:bCs/>
          <w:sz w:val="24"/>
          <w:szCs w:val="24"/>
        </w:rPr>
      </w:pPr>
      <w:r>
        <w:rPr>
          <w:rFonts w:hint="eastAsia" w:ascii="宋体" w:hAnsi="宋体"/>
          <w:b/>
          <w:bCs/>
          <w:sz w:val="24"/>
          <w:szCs w:val="24"/>
          <w:lang w:val="en-US" w:eastAsia="zh-CN"/>
        </w:rPr>
        <w:t xml:space="preserve">本项目</w:t>
      </w:r>
      <w:r>
        <w:rPr>
          <w:rFonts w:hint="eastAsia" w:ascii="宋体" w:hAnsi="宋体"/>
          <w:b/>
          <w:bCs/>
          <w:sz w:val="24"/>
          <w:szCs w:val="24"/>
        </w:rPr>
        <w:t xml:space="preserve">综合布线</w:t>
      </w:r>
      <w:r>
        <w:rPr>
          <w:rFonts w:hint="eastAsia" w:ascii="宋体" w:hAnsi="宋体"/>
          <w:b/>
          <w:bCs/>
          <w:sz w:val="24"/>
          <w:szCs w:val="24"/>
          <w:lang w:val="en-US" w:eastAsia="zh-CN"/>
        </w:rPr>
        <w:t xml:space="preserve">部分</w:t>
      </w:r>
      <w:r>
        <w:rPr>
          <w:rFonts w:hint="eastAsia" w:ascii="宋体" w:hAnsi="宋体"/>
          <w:b/>
          <w:bCs/>
          <w:sz w:val="24"/>
          <w:szCs w:val="24"/>
        </w:rPr>
        <w:t xml:space="preserve">的验收要求</w:t>
      </w:r>
      <w:r>
        <w:rPr>
          <w:rFonts w:hint="eastAsia" w:ascii="宋体" w:hAnsi="宋体"/>
          <w:b/>
          <w:bCs/>
          <w:sz w:val="24"/>
          <w:szCs w:val="24"/>
          <w:lang w:eastAsia="zh-CN"/>
        </w:rPr>
        <w:t xml:space="preserve">，</w:t>
      </w:r>
      <w:r>
        <w:rPr>
          <w:rFonts w:hint="eastAsia" w:ascii="宋体" w:hAnsi="宋体"/>
          <w:b/>
          <w:bCs/>
          <w:sz w:val="24"/>
          <w:szCs w:val="24"/>
        </w:rPr>
        <w:t xml:space="preserve">见如下描述：</w:t>
      </w:r>
      <w:r/>
    </w:p>
    <w:p>
      <w:pPr>
        <w:ind w:firstLine="482"/>
        <w:spacing w:line="400" w:lineRule="exact"/>
        <w:widowControl/>
        <w:rPr>
          <w:rFonts w:hint="eastAsia" w:ascii="宋体" w:hAnsi="宋体"/>
          <w:sz w:val="24"/>
          <w:szCs w:val="24"/>
        </w:rPr>
      </w:pPr>
      <w:r>
        <w:rPr>
          <w:rFonts w:hint="eastAsia" w:ascii="宋体" w:hAnsi="宋体"/>
          <w:sz w:val="24"/>
          <w:szCs w:val="24"/>
        </w:rPr>
        <w:t xml:space="preserve">综合布线工程验收前应进行自检测试和竣工验收测试工作。</w:t>
      </w:r>
      <w:r/>
    </w:p>
    <w:p>
      <w:pPr>
        <w:ind w:firstLine="480"/>
        <w:spacing w:line="360" w:lineRule="auto"/>
        <w:rPr>
          <w:rFonts w:hint="eastAsia" w:ascii="宋体" w:hAnsi="宋体"/>
          <w:sz w:val="24"/>
          <w:szCs w:val="24"/>
        </w:rPr>
      </w:pPr>
      <w:r>
        <w:rPr>
          <w:rFonts w:hint="eastAsia" w:ascii="宋体" w:hAnsi="宋体"/>
          <w:sz w:val="24"/>
          <w:szCs w:val="24"/>
        </w:rPr>
        <w:t xml:space="preserve">（1）工程竣工以后，施工单位在工程验收前要提供的材料：</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1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①</w:t>
      </w:r>
      <w:r>
        <w:rPr>
          <w:rFonts w:ascii="宋体" w:hAnsi="宋体"/>
          <w:sz w:val="24"/>
          <w:szCs w:val="24"/>
        </w:rPr>
        <w:fldChar w:fldCharType="end"/>
      </w:r>
      <w:r>
        <w:rPr>
          <w:rFonts w:hint="eastAsia" w:ascii="宋体" w:hAnsi="宋体"/>
          <w:sz w:val="24"/>
          <w:szCs w:val="24"/>
        </w:rPr>
        <w:t xml:space="preserve">一套完整的通过审核的</w:t>
      </w:r>
      <w:r>
        <w:rPr>
          <w:rFonts w:ascii="宋体" w:hAnsi="宋体"/>
          <w:sz w:val="24"/>
          <w:szCs w:val="24"/>
        </w:rPr>
        <w:t xml:space="preserve">竣工图纸</w:t>
      </w:r>
      <w:r>
        <w:rPr>
          <w:rFonts w:hint="eastAsia" w:ascii="宋体" w:hAnsi="宋体"/>
          <w:sz w:val="24"/>
          <w:szCs w:val="24"/>
        </w:rPr>
        <w:t xml:space="preserve">（</w:t>
      </w:r>
      <w:r>
        <w:rPr>
          <w:rFonts w:ascii="宋体" w:hAnsi="宋体"/>
          <w:sz w:val="24"/>
          <w:szCs w:val="24"/>
        </w:rPr>
        <w:t xml:space="preserve">施工中更改后的施工设计图</w:t>
      </w:r>
      <w:r>
        <w:rPr>
          <w:rFonts w:hint="eastAsia" w:ascii="宋体" w:hAnsi="宋体"/>
          <w:sz w:val="24"/>
          <w:szCs w:val="24"/>
        </w:rPr>
        <w:t xml:space="preserve">）给采购单位，两份纸质稿及一份电子稿。</w:t>
      </w:r>
      <w:r/>
    </w:p>
    <w:p>
      <w:pPr>
        <w:ind w:firstLine="480"/>
        <w:spacing w:line="360" w:lineRule="auto"/>
        <w:rPr>
          <w:rFonts w:hint="eastAsia" w:ascii="宋体" w:hAnsi="宋体"/>
          <w:sz w:val="24"/>
          <w:szCs w:val="24"/>
        </w:rPr>
      </w:pPr>
      <w:r>
        <w:rPr>
          <w:rFonts w:hint="eastAsia" w:ascii="宋体" w:hAnsi="宋体"/>
          <w:sz w:val="24"/>
          <w:szCs w:val="24"/>
        </w:rPr>
        <w:t xml:space="preserve">综合布线的竣工图纸应包括说明、设计系统图及反映各部分设备安装情况的施工图。竣工图纸应表示以下内容：</w:t>
      </w:r>
      <w:r/>
    </w:p>
    <w:p>
      <w:pPr>
        <w:pStyle w:val="741"/>
        <w:numPr>
          <w:ilvl w:val="0"/>
          <w:numId w:val="13"/>
        </w:numPr>
        <w:rPr>
          <w:rFonts w:hint="eastAsia" w:ascii="宋体" w:hAnsi="宋体"/>
        </w:rPr>
      </w:pPr>
      <w:r>
        <w:rPr>
          <w:rFonts w:hint="eastAsia" w:ascii="宋体" w:hAnsi="宋体"/>
        </w:rPr>
        <w:t xml:space="preserve">安装场地和布线管道的位置、尺寸、标识符等；</w:t>
      </w:r>
      <w:r/>
    </w:p>
    <w:p>
      <w:pPr>
        <w:pStyle w:val="741"/>
        <w:numPr>
          <w:ilvl w:val="0"/>
          <w:numId w:val="13"/>
        </w:numPr>
        <w:rPr>
          <w:rFonts w:hint="eastAsia" w:ascii="宋体" w:hAnsi="宋体"/>
        </w:rPr>
      </w:pPr>
      <w:r>
        <w:rPr>
          <w:rFonts w:hint="eastAsia" w:ascii="宋体" w:hAnsi="宋体"/>
        </w:rPr>
        <w:t xml:space="preserve">设备间、电信间、进线间等安装场地的平面图或剖面图及信息插座模块安装位置；</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2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②</w:t>
      </w:r>
      <w:r>
        <w:rPr>
          <w:rFonts w:ascii="宋体" w:hAnsi="宋体"/>
          <w:sz w:val="24"/>
          <w:szCs w:val="24"/>
        </w:rPr>
        <w:fldChar w:fldCharType="end"/>
      </w:r>
      <w:r>
        <w:rPr>
          <w:rFonts w:hint="eastAsia" w:ascii="宋体" w:hAnsi="宋体"/>
          <w:sz w:val="24"/>
          <w:szCs w:val="24"/>
        </w:rPr>
        <w:t xml:space="preserve">设备材料进场检验记录及开箱检验记录</w:t>
      </w:r>
      <w:r>
        <w:rPr>
          <w:rFonts w:hint="eastAsia" w:ascii="宋体" w:hAnsi="宋体"/>
          <w:b/>
          <w:bCs/>
          <w:sz w:val="24"/>
          <w:szCs w:val="24"/>
        </w:rPr>
        <w:t xml:space="preserve">（尤其是要对各类铜缆的导体直径抽检）</w:t>
      </w:r>
      <w:r>
        <w:rPr>
          <w:rFonts w:hint="eastAsia" w:ascii="宋体" w:hAnsi="宋体"/>
          <w:sz w:val="24"/>
          <w:szCs w:val="24"/>
        </w:rPr>
        <w:t xml:space="preserve">，各类线材进校验收、签字记录。</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3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③</w:t>
      </w:r>
      <w:r>
        <w:rPr>
          <w:rFonts w:ascii="宋体" w:hAnsi="宋体"/>
          <w:sz w:val="24"/>
          <w:szCs w:val="24"/>
        </w:rPr>
        <w:fldChar w:fldCharType="end"/>
      </w:r>
      <w:r>
        <w:rPr>
          <w:rFonts w:hint="eastAsia" w:ascii="宋体" w:hAnsi="宋体"/>
          <w:sz w:val="24"/>
          <w:szCs w:val="24"/>
        </w:rPr>
        <w:t xml:space="preserve">隐蔽工程验收记录及签证。隐蔽工程要做好时间、施工情况记录，现场拍照存档。要有学校相关人员签字。如有信息化工程监理，要由监理按流程处理并签字确认。</w:t>
      </w:r>
      <w:r/>
    </w:p>
    <w:p>
      <w:pPr>
        <w:ind w:firstLine="480"/>
        <w:spacing w:line="360" w:lineRule="auto"/>
        <w:rPr>
          <w:rFonts w:hint="eastAsia" w:ascii="宋体" w:hAnsi="宋体"/>
          <w:sz w:val="24"/>
          <w:szCs w:val="24"/>
          <w:u w:val="single"/>
        </w:rPr>
      </w:pPr>
      <w:r>
        <w:rPr>
          <w:rFonts w:ascii="宋体" w:hAnsi="宋体"/>
          <w:sz w:val="24"/>
          <w:szCs w:val="24"/>
          <w:u w:val="single"/>
        </w:rPr>
        <w:fldChar w:fldCharType="begin"/>
      </w:r>
      <w:r>
        <w:rPr>
          <w:rFonts w:ascii="宋体" w:hAnsi="宋体"/>
          <w:sz w:val="24"/>
          <w:szCs w:val="24"/>
          <w:u w:val="single"/>
        </w:rPr>
        <w:instrText xml:space="preserve"> </w:instrText>
      </w:r>
      <w:r>
        <w:rPr>
          <w:rFonts w:hint="eastAsia" w:ascii="宋体" w:hAnsi="宋体"/>
          <w:sz w:val="24"/>
          <w:szCs w:val="24"/>
          <w:u w:val="single"/>
        </w:rPr>
        <w:instrText xml:space="preserve">= 4 \* GB3</w:instrText>
      </w:r>
      <w:r>
        <w:rPr>
          <w:rFonts w:ascii="宋体" w:hAnsi="宋体"/>
          <w:sz w:val="24"/>
          <w:szCs w:val="24"/>
          <w:u w:val="single"/>
        </w:rPr>
        <w:instrText xml:space="preserve"> </w:instrText>
      </w:r>
      <w:r>
        <w:rPr>
          <w:rFonts w:ascii="宋体" w:hAnsi="宋体"/>
          <w:sz w:val="24"/>
          <w:szCs w:val="24"/>
          <w:u w:val="single"/>
        </w:rPr>
        <w:fldChar w:fldCharType="separate"/>
      </w:r>
      <w:r>
        <w:rPr>
          <w:rFonts w:hint="eastAsia" w:ascii="宋体" w:hAnsi="宋体"/>
          <w:sz w:val="24"/>
          <w:szCs w:val="24"/>
          <w:u w:val="single"/>
        </w:rPr>
        <w:t xml:space="preserve">④</w:t>
      </w:r>
      <w:r>
        <w:rPr>
          <w:rFonts w:ascii="宋体" w:hAnsi="宋体"/>
          <w:sz w:val="24"/>
          <w:szCs w:val="24"/>
          <w:u w:val="single"/>
        </w:rPr>
        <w:fldChar w:fldCharType="end"/>
      </w:r>
      <w:r>
        <w:rPr>
          <w:rFonts w:hint="eastAsia" w:ascii="宋体" w:hAnsi="宋体"/>
          <w:sz w:val="24"/>
          <w:szCs w:val="24"/>
          <w:u w:val="single"/>
        </w:rPr>
        <w:t xml:space="preserve">系统中文检测报告及中文测试</w:t>
      </w:r>
      <w:r>
        <w:rPr>
          <w:rFonts w:ascii="宋体" w:hAnsi="宋体"/>
          <w:sz w:val="24"/>
          <w:szCs w:val="24"/>
          <w:u w:val="single"/>
        </w:rPr>
        <w:t xml:space="preserve">记录</w:t>
      </w:r>
      <w:r>
        <w:rPr>
          <w:rFonts w:hint="eastAsia" w:ascii="宋体" w:hAnsi="宋体"/>
          <w:sz w:val="24"/>
          <w:szCs w:val="24"/>
          <w:u w:val="single"/>
        </w:rPr>
        <w:t xml:space="preserve">：用FLUKE、OTDR等设备对所有点位进行测试，提供通过率为100%的测试报告；其中永久链路超过90米的不纳入测试范围，但必须保证能正常使用（比如PING不丢包等）。模拟广播的音箱线必须做通断和对地电阻测试，提供测试报告。</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应事先对工程中需要使用的仪表和工具进行测试或检查，测试仪精度应定期检测，每次现场测试前应出示仪表厂家或者是检测机构出具有效期内的测试仪的精度证明，缆线测试仪应附有检测机构的证明文件。</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检测须由持相关测试仪厂家出具的有效期内认证证明的人员操作或委托有相关人员和设备资质的第三方测试。</w:t>
      </w:r>
      <w:r/>
    </w:p>
    <w:p>
      <w:pPr>
        <w:ind w:firstLine="480"/>
        <w:spacing w:line="360" w:lineRule="auto"/>
        <w:rPr>
          <w:rFonts w:hint="eastAsia" w:ascii="宋体" w:hAnsi="宋体"/>
          <w:sz w:val="24"/>
          <w:szCs w:val="24"/>
        </w:rPr>
      </w:pPr>
      <w:r>
        <w:rPr>
          <w:rFonts w:hint="eastAsia" w:ascii="宋体" w:hAnsi="宋体"/>
          <w:sz w:val="24"/>
          <w:szCs w:val="24"/>
        </w:rPr>
        <w:t xml:space="preserve">应根据《综合布线工程验收规范》（GB</w:t>
      </w:r>
      <w:r>
        <w:rPr>
          <w:rFonts w:ascii="宋体" w:hAnsi="宋体"/>
          <w:sz w:val="24"/>
          <w:szCs w:val="24"/>
        </w:rPr>
        <w:t xml:space="preserve">/T </w:t>
      </w:r>
      <w:r>
        <w:rPr>
          <w:rFonts w:hint="eastAsia" w:ascii="宋体" w:hAnsi="宋体"/>
          <w:sz w:val="24"/>
          <w:szCs w:val="24"/>
        </w:rPr>
        <w:t xml:space="preserve">50312-2016）要求进行工程电气测试，布线系统各项测试结果应有详细记录，并应作为竣工资料的一部分。测试内容应按本规范附录A、附录B、附录C的规定，测试记录可采用自制表格、电子表格或仪表自动生成的报告文件等记录形式。其中双绞线布系统系统采用永久链路测试不低于规范明确的13个指标，光纤信息及链路测试采用等级2测试模型及方法；并填写综合布线系统工程电缆性能指标测试记录、综合布线工程光纤性能指标测试记录，形成综合布线系统工程电缆性能指标测试汇总表、综合布线工程光纤性能指标测试汇总表。</w:t>
      </w:r>
      <w:r/>
    </w:p>
    <w:p>
      <w:pPr>
        <w:ind w:firstLine="480"/>
        <w:spacing w:line="360" w:lineRule="auto"/>
        <w:rPr>
          <w:rFonts w:hint="eastAsia" w:ascii="宋体" w:hAnsi="宋体"/>
          <w:sz w:val="24"/>
          <w:szCs w:val="24"/>
        </w:rPr>
      </w:pPr>
      <w:r>
        <w:rPr>
          <w:rFonts w:hint="eastAsia" w:ascii="宋体" w:hAnsi="宋体"/>
          <w:sz w:val="24"/>
          <w:szCs w:val="24"/>
        </w:rPr>
        <w:t xml:space="preserve">系统性能检测单项合格判定和竣工检测综合合格判定应符合《综合布线工程验收规范》（GB</w:t>
      </w:r>
      <w:r>
        <w:rPr>
          <w:rFonts w:ascii="宋体" w:hAnsi="宋体"/>
          <w:sz w:val="24"/>
          <w:szCs w:val="24"/>
        </w:rPr>
        <w:t xml:space="preserve">/T </w:t>
      </w:r>
      <w:r>
        <w:rPr>
          <w:rFonts w:hint="eastAsia" w:ascii="宋体" w:hAnsi="宋体"/>
          <w:sz w:val="24"/>
          <w:szCs w:val="24"/>
        </w:rPr>
        <w:t xml:space="preserve">50312-2016）工程验收的规定。</w:t>
      </w:r>
      <w:r/>
    </w:p>
    <w:p>
      <w:pPr>
        <w:pStyle w:val="741"/>
        <w:ind w:firstLine="420"/>
        <w:rPr>
          <w:rFonts w:hint="eastAsia" w:ascii="宋体" w:hAnsi="宋体" w:cs="宋体"/>
        </w:rPr>
      </w:pPr>
      <w:r>
        <w:rPr>
          <w:rFonts w:hint="eastAsia" w:ascii="宋体" w:hAnsi="宋体" w:cs="宋体"/>
        </w:rPr>
        <w:t xml:space="preserve">⑤培训记录及培训资料。</w:t>
      </w:r>
      <w:r/>
    </w:p>
    <w:p>
      <w:pPr>
        <w:ind w:firstLine="480"/>
        <w:spacing w:line="360" w:lineRule="auto"/>
        <w:rPr>
          <w:rFonts w:hint="eastAsia" w:ascii="宋体" w:hAnsi="宋体"/>
          <w:sz w:val="24"/>
          <w:szCs w:val="24"/>
        </w:rPr>
      </w:pPr>
      <w:r>
        <w:rPr>
          <w:rFonts w:hint="eastAsia" w:ascii="宋体" w:hAnsi="宋体"/>
          <w:sz w:val="24"/>
          <w:szCs w:val="24"/>
        </w:rPr>
        <w:t xml:space="preserve">以上材料要保证质量，做到外观整洁、内容齐全、数据准确。</w:t>
      </w:r>
      <w:r/>
    </w:p>
    <w:p>
      <w:pPr>
        <w:ind w:firstLine="480"/>
        <w:spacing w:line="360" w:lineRule="auto"/>
        <w:rPr>
          <w:rFonts w:hint="eastAsia" w:ascii="宋体" w:hAnsi="宋体"/>
          <w:sz w:val="24"/>
          <w:szCs w:val="24"/>
        </w:rPr>
      </w:pPr>
      <w:r>
        <w:rPr>
          <w:rFonts w:hint="eastAsia" w:ascii="宋体" w:hAnsi="宋体"/>
          <w:sz w:val="24"/>
          <w:szCs w:val="24"/>
        </w:rPr>
        <w:t xml:space="preserve">（2）根据施工单位提供的</w:t>
      </w:r>
      <w:r>
        <w:rPr>
          <w:rFonts w:ascii="宋体" w:hAnsi="宋体"/>
          <w:sz w:val="24"/>
          <w:szCs w:val="24"/>
        </w:rPr>
        <w:t xml:space="preserve">测试</w:t>
      </w:r>
      <w:r>
        <w:rPr>
          <w:rFonts w:hint="eastAsia" w:ascii="宋体" w:hAnsi="宋体"/>
          <w:sz w:val="24"/>
          <w:szCs w:val="24"/>
        </w:rPr>
        <w:t xml:space="preserve">报告，</w:t>
      </w:r>
      <w:r>
        <w:rPr>
          <w:rFonts w:hint="eastAsia" w:ascii="宋体" w:hAnsi="宋体"/>
          <w:b/>
          <w:bCs/>
          <w:sz w:val="24"/>
          <w:szCs w:val="24"/>
        </w:rPr>
        <w:t xml:space="preserve">采购单位应进行的抽样复测（可以通过第三方进行复测）</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复测验证方法：抽样比例不低于10%，抽样点应包括最远布线点，通过率≥99%。对双绞电缆抽样检测时，被抽样检测点（线对）不合格比例不大于被测总数的1%，应为抽样检测通过，不合格的点（线对应予以修复并复检）。被抽样检测点（线对）不合格比例如果大于1%,应为一次抽样检测未通过，应进行加倍抽样，加倍抽样不合格比例不大于1%，应为抽样检测通过。当不合格比例仍大于1%，应为抽样检测不通过，应进行全部检测，并按全部检测要求进行判定。建议复测在设备试运行前进行。</w:t>
      </w:r>
      <w:r/>
    </w:p>
    <w:p>
      <w:pPr>
        <w:ind w:firstLine="420"/>
        <w:spacing w:line="360" w:lineRule="auto"/>
        <w:rPr>
          <w:rFonts w:hint="eastAsia" w:ascii="宋体" w:hAnsi="宋体"/>
          <w:b/>
          <w:bCs/>
          <w:sz w:val="24"/>
          <w:szCs w:val="24"/>
        </w:rPr>
      </w:pPr>
      <w:r>
        <w:rPr>
          <w:rFonts w:hint="eastAsia" w:ascii="宋体" w:hAnsi="宋体"/>
          <w:b/>
          <w:bCs/>
          <w:sz w:val="24"/>
          <w:szCs w:val="24"/>
        </w:rPr>
        <w:t xml:space="preserve">复测的费用由中标供应商承担。</w:t>
      </w:r>
      <w:r/>
    </w:p>
    <w:p>
      <w:pPr>
        <w:ind w:firstLine="420"/>
        <w:spacing w:line="360" w:lineRule="auto"/>
        <w:rPr>
          <w:rFonts w:hint="eastAsia" w:ascii="宋体" w:hAnsi="宋体"/>
          <w:b/>
          <w:bCs/>
          <w:sz w:val="24"/>
          <w:szCs w:val="24"/>
        </w:rPr>
      </w:pPr>
      <w:r>
        <w:rPr>
          <w:rFonts w:hint="eastAsia" w:ascii="宋体" w:hAnsi="宋体"/>
          <w:b/>
          <w:bCs/>
          <w:sz w:val="24"/>
          <w:szCs w:val="24"/>
        </w:rPr>
        <w:t xml:space="preserve">若发现施工单位在测试报告中弄虚作假，</w:t>
      </w:r>
      <w:r>
        <w:rPr>
          <w:rFonts w:hint="eastAsia"/>
          <w:b/>
          <w:bCs/>
          <w:sz w:val="24"/>
          <w:szCs w:val="24"/>
        </w:rPr>
        <w:t xml:space="preserve">招标代理机构按流程向财政部门要求对其</w:t>
      </w:r>
      <w:r>
        <w:rPr>
          <w:rFonts w:hint="eastAsia" w:ascii="宋体" w:hAnsi="宋体"/>
          <w:b/>
          <w:bCs/>
          <w:sz w:val="24"/>
          <w:szCs w:val="24"/>
        </w:rPr>
        <w:t xml:space="preserve">进行处罚（列入供应商不诚信行为）。</w:t>
      </w:r>
      <w:r/>
    </w:p>
    <w:p>
      <w:pPr>
        <w:numPr>
          <w:ilvl w:val="0"/>
          <w:numId w:val="14"/>
        </w:numPr>
        <w:ind w:left="0" w:firstLine="480"/>
        <w:spacing w:line="360" w:lineRule="auto"/>
        <w:rPr>
          <w:rFonts w:hint="eastAsia" w:ascii="宋体" w:hAnsi="宋体"/>
          <w:color w:val="auto"/>
          <w:sz w:val="24"/>
          <w:szCs w:val="24"/>
        </w:rPr>
      </w:pPr>
      <w:r>
        <w:rPr>
          <w:rFonts w:hint="eastAsia" w:ascii="宋体" w:hAnsi="宋体"/>
          <w:sz w:val="24"/>
          <w:szCs w:val="24"/>
        </w:rPr>
        <w:t xml:space="preserve">验收应遵循的国家现行有关规范或标准，包含但不只限于《综合布线工程验收规范（GB/T 50312-2016）》《通信管道工程施工及验收规范GB50374》《通信线路工程验收规范YD 5121》和《常州市教育局局属单位信息化工程重大项目验收规范》《校园网络环境系统项目建设指南》《校园广播系统项目建</w:t>
      </w:r>
      <w:r>
        <w:rPr>
          <w:rFonts w:hint="eastAsia" w:ascii="宋体" w:hAnsi="宋体"/>
          <w:color w:val="auto"/>
          <w:sz w:val="24"/>
          <w:szCs w:val="24"/>
        </w:rPr>
        <w:t xml:space="preserve">设指南》《校园安防系统项目建设指南》《常州市中小学校园公共广播系统建设标准指导意见》等规定的要求对施工质量进行验收。</w:t>
      </w:r>
      <w:r/>
    </w:p>
    <w:p>
      <w:pPr>
        <w:pStyle w:val="741"/>
        <w:rPr>
          <w:rFonts w:hint="default"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 xml:space="preserve">其余的对接及验收要求详见附件。</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tabs>
          <w:tab w:val="clear" w:pos="312" w:leader="none"/>
        </w:tabs>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实质性要求  </w:t>
      </w:r>
      <w:r/>
    </w:p>
    <w:tbl>
      <w:tblPr>
        <w:tblStyle w:val="737"/>
        <w:tblW w:w="8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300"/>
        <w:gridCol w:w="3639"/>
        <w:gridCol w:w="3123"/>
      </w:tblGrid>
      <w:tr>
        <w:trPr/>
        <w:tc>
          <w:tcPr>
            <w:tcW w:w="0" w:type="auto"/>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W w:w="1300" w:type="dxa"/>
            <w:vAlign w:val="center"/>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设备名称</w:t>
            </w:r>
            <w:r/>
          </w:p>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或其它</w:t>
            </w:r>
            <w:r/>
          </w:p>
        </w:tc>
        <w:tc>
          <w:tcPr>
            <w:tcW w:w="3639" w:type="dxa"/>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技术参数或要求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证明材料</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智能网关</w:t>
            </w:r>
            <w:r/>
          </w:p>
        </w:tc>
        <w:tc>
          <w:tcPr>
            <w:tcW w:w="3639" w:type="dxa"/>
            <w:vAlign w:val="center"/>
            <w:textDirection w:val="lrTb"/>
            <w:noWrap w:val="false"/>
          </w:tcPr>
          <w:p>
            <w:pPr>
              <w:numPr>
                <w:ilvl w:val="0"/>
                <w:numId w:val="16"/>
              </w:num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核心功能与软件</w:t>
            </w:r>
            <w:r/>
          </w:p>
          <w:p>
            <w:pPr>
              <w:numPr>
                <w:ilvl w:val="0"/>
                <w:numId w:val="0"/>
              </w:numPr>
              <w:jc w:val="left"/>
              <w:keepLines w:val="0"/>
              <w:keepNext w:val="0"/>
              <w:pageBreakBefore w:val="0"/>
              <w:spacing w:line="360" w:lineRule="exact"/>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5综合管理与联动控制功能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★（2）I/O状态监控与控制:支持通过接口获取数字信号输入状态及数字信号输出状态。</w:t>
            </w:r>
            <w:r/>
          </w:p>
        </w:tc>
        <w:tc>
          <w:tcPr>
            <w:tcW w:w="3123" w:type="dxa"/>
            <w:vAlign w:val="center"/>
            <w:vMerge w:val="restart"/>
            <w:textDirection w:val="lrTb"/>
            <w:noWrap w:val="false"/>
          </w:tcPr>
          <w:p>
            <w:pPr>
              <w:jc w:val="left"/>
              <w:spacing w:line="320" w:lineRule="exact"/>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w:t>
            </w:r>
            <w:r/>
          </w:p>
        </w:tc>
      </w:tr>
      <w:tr>
        <w:trPr/>
        <w:tc>
          <w:tcPr>
            <w:shd w:val="clear" w:color="auto" w:fill="auto"/>
            <w:tcW w:w="0" w:type="auto"/>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w:t>
            </w:r>
            <w:r/>
          </w:p>
        </w:tc>
        <w:tc>
          <w:tcPr>
            <w:shd w:val="clear" w:color="auto" w:fill="auto"/>
            <w:tcW w:w="1300"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多波段紫红外火焰探测器</w:t>
            </w:r>
            <w:r/>
          </w:p>
        </w:tc>
        <w:tc>
          <w:tcPr>
            <w:tcW w:w="3639" w:type="dxa"/>
            <w:vAlign w:val="center"/>
            <w:textDirection w:val="lrTb"/>
            <w:noWrap w:val="false"/>
          </w:tcPr>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数字化管理与控制接口：</w:t>
            </w:r>
            <w:r>
              <w:rPr>
                <w:rFonts w:hint="eastAsia" w:asciiTheme="minorEastAsia" w:hAnsiTheme="minorEastAsia" w:eastAsiaTheme="minorEastAsia" w:cstheme="minorEastAsia"/>
                <w:color w:val="auto"/>
                <w:sz w:val="21"/>
                <w:szCs w:val="21"/>
                <w:highlight w:val="none"/>
                <w:lang w:val="en-US" w:eastAsia="zh-CN"/>
              </w:rPr>
              <w:t xml:space="preserve">设备需标配标准通讯接口(如RS485/Modbus或以太网)，支持以下功能：</w:t>
            </w:r>
            <w:r/>
          </w:p>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（1）设备重启:支持通过接口下发指令重启指定设备。</w:t>
            </w:r>
            <w:r/>
          </w:p>
          <w:p>
            <w:pPr>
              <w:pStyle w:val="741"/>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（2）数据读取:支持获取设备检测到的UV(紫外线)值。</w:t>
            </w:r>
            <w:r/>
          </w:p>
          <w:p>
            <w:pPr>
              <w:pStyle w:val="741"/>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（3）阈值设定:支持通过接口设置设备报警的UV阈值。</w:t>
            </w:r>
            <w:r/>
          </w:p>
          <w:p>
            <w:pPr>
              <w:pStyle w:val="741"/>
              <w:numPr>
                <w:ilvl w:val="0"/>
                <w:numId w:val="0"/>
              </w:numPr>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（4）报警设置：支持通过接口让设备主动声光报警。</w:t>
            </w:r>
            <w:r/>
          </w:p>
        </w:tc>
        <w:tc>
          <w:tcPr>
            <w:tcW w:w="3123" w:type="dxa"/>
            <w:vAlign w:val="center"/>
            <w:textDirection w:val="lrTb"/>
            <w:noWrap w:val="false"/>
          </w:tcPr>
          <w:p>
            <w:pPr>
              <w:jc w:val="left"/>
              <w:spacing w:line="32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热成像双目枪式摄像机(含拾音器)</w:t>
            </w:r>
            <w:r/>
          </w:p>
        </w:tc>
        <w:tc>
          <w:tcPr>
            <w:tcW w:w="3639"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★18、内置MIC。</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提供承诺函或提供原厂公开技术文档（白皮书、彩页、官网规格页截图及链接地址均可）。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19</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、具备POE供电功能。</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20</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、符合GB/T 28181、Onvif、IPv4/6现行协议标准。</w:t>
            </w:r>
            <w:r/>
          </w:p>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textDirection w:val="lrTb"/>
            <w:noWrap w:val="false"/>
          </w:tcPr>
          <w:p>
            <w:pPr>
              <w:pStyle w:val="739"/>
              <w:ind w:left="0"/>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21、</w:t>
            </w:r>
            <w:r>
              <w:rPr>
                <w:rFonts w:hint="eastAsia" w:asciiTheme="minorEastAsia" w:hAnsiTheme="minorEastAsia" w:eastAsiaTheme="minorEastAsia" w:cstheme="minorEastAsia"/>
                <w:color w:val="auto"/>
                <w:highlight w:val="none"/>
                <w:lang w:val="en-US" w:eastAsia="zh-CN"/>
              </w:rPr>
              <w:t xml:space="preserve">提供摄像机接入学校现有安防管理系统的授权。</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防欺凌预警终端（拾音器，核心设备）</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★（1）应可以通过接口获取拾音器的音频数据。</w:t>
            </w:r>
            <w:r/>
          </w:p>
        </w:tc>
        <w:tc>
          <w:tcPr>
            <w:tcW w:w="3123"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lang w:val="en-US" w:eastAsia="zh-CN"/>
              </w:rPr>
              <w:t xml:space="preserve">投标时</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highlight w:val="none"/>
                <w:lang w:val="en-US" w:eastAsia="zh-CN"/>
              </w:rPr>
              <w:t xml:space="preserve">12、投标供应商承诺所产品能被常州市教育局直属单位智慧安防服务中的AI算力设备纳管。</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电源控制箱</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numPr>
                <w:ilvl w:val="0"/>
                <w:numId w:val="0"/>
              </w:numPr>
              <w:jc w:val="both"/>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（1）支持</w:t>
            </w:r>
            <w:r>
              <w:rPr>
                <w:rFonts w:hint="eastAsia" w:asciiTheme="minorEastAsia" w:hAnsiTheme="minorEastAsia" w:eastAsiaTheme="minorEastAsia" w:cstheme="minorEastAsia"/>
                <w:color w:val="auto"/>
                <w:sz w:val="21"/>
                <w:szCs w:val="21"/>
                <w:highlight w:val="none"/>
              </w:rPr>
              <w:t xml:space="preserve">接收网关的输出干节点控制信号作为“电源切断控制柜”的输入信号</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当控制信号为“开”时，“电源切断控制柜”的电源输入到电源输出通路应可以接通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当控制信号为“闭”时，“电源切断控制柜”的电源输入到电源输出通路应可以切断</w:t>
            </w:r>
            <w:r>
              <w:rPr>
                <w:rFonts w:hint="eastAsia" w:asciiTheme="minorEastAsia" w:hAnsiTheme="minorEastAsia" w:eastAsiaTheme="minorEastAsia" w:cstheme="minorEastAsia"/>
                <w:color w:val="auto"/>
                <w:sz w:val="21"/>
                <w:szCs w:val="21"/>
                <w:highlight w:val="none"/>
                <w:lang w:eastAsia="zh-CN"/>
              </w:rPr>
              <w:t xml:space="preserve">。</w:t>
            </w:r>
            <w:r/>
          </w:p>
        </w:tc>
        <w:tc>
          <w:tcPr>
            <w:tcW w:w="3123" w:type="dxa"/>
            <w:vAlign w:val="center"/>
            <w:textDirection w:val="lrTb"/>
            <w:noWrap w:val="false"/>
          </w:tcPr>
          <w:p>
            <w:pPr>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lang w:val="en-US" w:eastAsia="zh-CN"/>
              </w:rPr>
              <w:t xml:space="preserve">投标时</w:t>
            </w:r>
            <w:r>
              <w:rPr>
                <w:rFonts w:hint="eastAsia" w:ascii="宋体" w:hAnsi="宋体" w:eastAsia="宋体" w:cs="宋体"/>
                <w:b/>
                <w:bCs/>
                <w:i w:val="0"/>
                <w:iCs w:val="0"/>
                <w:color w:val="auto"/>
                <w:sz w:val="21"/>
                <w:szCs w:val="21"/>
                <w:highlight w:val="none"/>
                <w:u w:val="none"/>
                <w:lang w:val="en-US" w:eastAsia="zh-CN" w:bidi="ar"/>
              </w:rPr>
              <w:t xml:space="preserve">提供具备CMA资质的第三方检测</w:t>
            </w:r>
            <w:r>
              <w:rPr>
                <w:rFonts w:hint="eastAsia" w:ascii="宋体" w:hAnsi="宋体" w:cs="宋体"/>
                <w:b/>
                <w:bCs/>
                <w:i w:val="0"/>
                <w:iCs w:val="0"/>
                <w:color w:val="auto"/>
                <w:sz w:val="21"/>
                <w:szCs w:val="21"/>
                <w:highlight w:val="none"/>
                <w:u w:val="none"/>
                <w:lang w:val="en-US" w:eastAsia="zh-CN" w:bidi="ar"/>
              </w:rPr>
              <w:t xml:space="preserve">机构出具的带有CMA认证标志的检测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全文或关键页扫描件，检测依据GB/T 25000.51-2016 《系统与软件工程 系统与软件质量要求和评价(SQuaRE)第51部分：就绪可用软件产品(RUSP)的质量要求和测试细则》）；或提供承诺函</w:t>
            </w:r>
            <w:r>
              <w:rPr>
                <w:rFonts w:hint="eastAsia" w:ascii="宋体" w:hAnsi="宋体" w:cs="宋体"/>
                <w:b/>
                <w:bCs/>
                <w:i w:val="0"/>
                <w:iCs w:val="0"/>
                <w:color w:val="auto"/>
                <w:sz w:val="21"/>
                <w:szCs w:val="21"/>
                <w:highlight w:val="none"/>
                <w:u w:val="none"/>
                <w:lang w:val="en-US" w:eastAsia="zh-CN" w:bidi="ar"/>
              </w:rPr>
              <w:t xml:space="preserve">，承诺中标通知书发出后、合同签订前提供前述检测报告</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41"/>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bidi="ar-SA"/>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≥24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PoE标准与功率：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至少</w:t>
            </w:r>
            <w:r>
              <w:rPr>
                <w:rFonts w:hint="eastAsia" w:asciiTheme="minorEastAsia" w:hAnsiTheme="minorEastAsia" w:eastAsiaTheme="minorEastAsia" w:cstheme="minorEastAsia"/>
                <w:i w:val="0"/>
                <w:iCs w:val="0"/>
                <w:color w:val="auto"/>
                <w:sz w:val="21"/>
                <w:szCs w:val="21"/>
                <w:highlight w:val="none"/>
                <w:u w:val="none"/>
              </w:rPr>
              <w:t xml:space="preserve">支持 IEEE 802.3at（PoE+），</w:t>
            </w:r>
            <w:r>
              <w:rPr>
                <w:rFonts w:hint="eastAsia" w:asciiTheme="minorEastAsia" w:hAnsiTheme="minorEastAsia" w:eastAsiaTheme="minorEastAsia" w:cstheme="minorEastAsia"/>
                <w:color w:val="auto"/>
                <w:sz w:val="21"/>
                <w:szCs w:val="21"/>
                <w:highlight w:val="none"/>
              </w:rPr>
              <w:t xml:space="preserve">同时可POE供电端口≥24个</w:t>
            </w:r>
            <w:r>
              <w:rPr>
                <w:rFonts w:hint="eastAsia" w:asciiTheme="minorEastAsia" w:hAnsiTheme="minorEastAsia" w:eastAsiaTheme="minorEastAsia" w:cstheme="minorEastAsia"/>
                <w:i w:val="0"/>
                <w:iCs w:val="0"/>
                <w:color w:val="auto"/>
                <w:sz w:val="21"/>
                <w:szCs w:val="21"/>
                <w:highlight w:val="none"/>
                <w:u w:val="none"/>
              </w:rPr>
              <w:t xml:space="preserve">；整机可用PoE功率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370</w:t>
            </w:r>
            <w:r>
              <w:rPr>
                <w:rFonts w:hint="eastAsia" w:asciiTheme="minorEastAsia" w:hAnsiTheme="minorEastAsia" w:eastAsiaTheme="minorEastAsia" w:cstheme="minorEastAsia"/>
                <w:i w:val="0"/>
                <w:iCs w:val="0"/>
                <w:color w:val="auto"/>
                <w:sz w:val="21"/>
                <w:szCs w:val="21"/>
                <w:highlight w:val="none"/>
                <w:u w:val="none"/>
              </w:rPr>
              <w:t xml:space="preserve">W</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b/>
                <w:bCs/>
                <w:i w:val="0"/>
                <w:iCs w:val="0"/>
                <w:color w:val="auto"/>
                <w:sz w:val="21"/>
                <w:szCs w:val="21"/>
                <w:highlight w:val="none"/>
                <w:u w:val="none"/>
              </w:rPr>
              <w:t xml:space="preserve">（</w:t>
            </w:r>
            <w:r>
              <w:rPr>
                <w:rFonts w:hint="eastAsia" w:asciiTheme="minorEastAsia" w:hAnsiTheme="minorEastAsia" w:eastAsiaTheme="minorEastAsia" w:cstheme="minorEastAsia"/>
                <w:b/>
                <w:bCs/>
                <w:i w:val="0"/>
                <w:iCs w:val="0"/>
                <w:color w:val="auto"/>
                <w:sz w:val="21"/>
                <w:szCs w:val="21"/>
                <w:highlight w:val="none"/>
                <w:u w:val="none"/>
              </w:rPr>
              <w:t xml:space="preserve">实际供电需满足学校使用需求）。</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48</w:t>
            </w:r>
            <w:r>
              <w:rPr>
                <w:rFonts w:hint="eastAsia" w:asciiTheme="minorEastAsia" w:hAnsiTheme="minorEastAsia" w:eastAsiaTheme="minorEastAsia" w:cstheme="minorEastAsia"/>
                <w:i w:val="0"/>
                <w:iCs w:val="0"/>
                <w:color w:val="auto"/>
                <w:sz w:val="21"/>
                <w:szCs w:val="21"/>
                <w:highlight w:val="none"/>
                <w:u w:val="none"/>
              </w:rPr>
              <w:t xml:space="preserve">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PoE标准与功率：至少支持 IEEE 802.3at（PoE+），同时可</w:t>
            </w:r>
            <w:r>
              <w:rPr>
                <w:rFonts w:ascii="SimSun" w:hAnsi="SimSun" w:eastAsia="SimSun" w:cs="SimSun"/>
                <w:color w:val="ff0000"/>
                <w:sz w:val="21"/>
              </w:rPr>
              <w:t xml:space="preserve">POE供电端口≥48个；整机可用PoE功率 ≥720W。</w:t>
            </w:r>
            <w:r>
              <w:rPr>
                <w:rFonts w:ascii="SimSun" w:hAnsi="SimSun" w:eastAsia="SimSun" w:cs="SimSun"/>
                <w:b/>
                <w:color w:val="ff0000"/>
                <w:sz w:val="21"/>
              </w:rPr>
              <w:t xml:space="preserve">（实际供电需满足学校使用需求）。</w:t>
            </w:r>
            <w:r/>
            <w:r>
              <w:rPr>
                <w:rFonts w:hint="eastAsia" w:asciiTheme="minorEastAsia" w:hAnsiTheme="minorEastAsia" w:eastAsiaTheme="minorEastAsia" w:cstheme="minorEastAsia"/>
                <w:i w:val="0"/>
                <w:iCs w:val="0"/>
                <w:color w:val="auto"/>
                <w:sz w:val="21"/>
                <w:szCs w:val="21"/>
                <w:highlight w:val="none"/>
                <w:u w:val="none"/>
              </w:rPr>
            </w:r>
            <w:r/>
            <w:r>
              <w:rPr>
                <w:sz w:val="21"/>
              </w:rP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★1.交换能力≥256Gbps ，包转发速率≥25Mpps，≥8个千兆电口，≥1个1G SPF千兆光口。</w:t>
            </w:r>
            <w:r/>
          </w:p>
        </w:tc>
        <w:tc>
          <w:tcPr>
            <w:tcW w:w="3123"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★2.支持802.3at POE+功能 ；POE功率≥120W。实际供电需满足学校使用需求。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1300"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六类4对非屏蔽双绞线</w:t>
            </w:r>
            <w:r/>
          </w:p>
        </w:tc>
        <w:tc>
          <w:tcPr>
            <w:tcW w:w="3639"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提供承诺函或</w:t>
            </w: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4芯室外单模光缆</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★7.承诺所投产品符合YD/T 901-2018等现行国家或行业标准针对室外光纤的要求。</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6芯室外单模光缆</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8芯室内单模光缆</w:t>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rPr>
              <w:t xml:space="preserve">.承诺所投产品符合GB/T 9771.3-2020或YD/T1258.4-2019</w:t>
            </w:r>
            <w:r>
              <w:rPr>
                <w:rFonts w:hint="eastAsia" w:asciiTheme="minorEastAsia" w:hAnsiTheme="minorEastAsia" w:eastAsiaTheme="minorEastAsia" w:cstheme="minorEastAsia"/>
                <w:b w:val="0"/>
                <w:bCs w:val="0"/>
                <w:color w:val="auto"/>
                <w:sz w:val="21"/>
                <w:szCs w:val="21"/>
                <w:highlight w:val="none"/>
                <w:lang w:val="en-US" w:eastAsia="zh-CN"/>
              </w:rPr>
              <w:t xml:space="preserve">或（</w:t>
            </w:r>
            <w:r>
              <w:rPr>
                <w:rFonts w:hint="eastAsia" w:asciiTheme="minorEastAsia" w:hAnsiTheme="minorEastAsia" w:eastAsiaTheme="minorEastAsia" w:cstheme="minorEastAsia"/>
                <w:b w:val="0"/>
                <w:bCs w:val="0"/>
                <w:color w:val="auto"/>
                <w:sz w:val="21"/>
                <w:szCs w:val="21"/>
                <w:highlight w:val="none"/>
              </w:rPr>
              <w:t xml:space="preserve">ANSI/TIA-568-3.D-2016、ANSI/TIA-568-C.3-2008</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等现行国家或行业标准针对室内光纤的要求</w:t>
            </w:r>
            <w:r>
              <w:rPr>
                <w:rFonts w:hint="eastAsia" w:asciiTheme="minorEastAsia" w:hAnsiTheme="minorEastAsia" w:eastAsiaTheme="minorEastAsia" w:cstheme="minorEastAsia"/>
                <w:b w:val="0"/>
                <w:bCs w:val="0"/>
                <w:color w:val="auto"/>
                <w:sz w:val="21"/>
                <w:szCs w:val="21"/>
                <w:highlight w:val="none"/>
                <w:lang w:eastAsia="zh-CN"/>
              </w:rPr>
              <w:t xml:space="preserve">。</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提供承诺函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格式自拟</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w:t>
            </w:r>
            <w:r/>
          </w:p>
        </w:tc>
      </w:tr>
      <w:tr>
        <w:trPr>
          <w:trHeight w:val="995"/>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电源线（2*1.5）</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电源线（3*1.5）</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bl>
    <w:p>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spacing w:line="276" w:lineRule="auto"/>
        <w:rPr>
          <w:rFonts w:hint="eastAsia" w:asciiTheme="minorEastAsia" w:hAnsiTheme="minorEastAsia" w:eastAsiaTheme="minorEastAsia" w:cstheme="minorEastAsia"/>
          <w:b/>
          <w:bCs/>
          <w:sz w:val="24"/>
        </w:rPr>
      </w:pPr>
      <w:r/>
      <w:bookmarkStart w:id="197"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737"/>
        <w:tblW w:w="8333" w:type="dxa"/>
        <w:tblInd w:w="93" w:type="dxa"/>
        <w:tblLayout w:type="fixed"/>
        <w:tblCellMar>
          <w:left w:w="108" w:type="dxa"/>
          <w:top w:w="0" w:type="dxa"/>
          <w:right w:w="108" w:type="dxa"/>
          <w:bottom w:w="0" w:type="dxa"/>
        </w:tblCellMar>
        <w:tblLook w:val="04A0" w:firstRow="1" w:lastRow="0" w:firstColumn="1" w:lastColumn="0" w:noHBand="0" w:noVBand="1"/>
      </w:tblPr>
      <w:tblGrid>
        <w:gridCol w:w="883"/>
        <w:gridCol w:w="5033"/>
        <w:gridCol w:w="2417"/>
      </w:tblGrid>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non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宋体" w:hAnsi="宋体" w:eastAsia="宋体" w:cs="宋体"/>
                <w:color w:val="auto"/>
                <w:sz w:val="21"/>
                <w:szCs w:val="21"/>
                <w:highlight w:val="none"/>
                <w:lang w:val="en-US" w:eastAsia="zh-CN" w:bidi="ar-SA"/>
              </w:rPr>
              <w:t xml:space="preserve">其他未列明行业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053"/>
                <w:rFonts w:hint="eastAsia" w:asciiTheme="minorEastAsia" w:hAnsiTheme="minorEastAsia" w:eastAsiaTheme="minorEastAsia" w:cstheme="minorEastAsia"/>
                <w:sz w:val="21"/>
                <w:szCs w:val="21"/>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bl>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197"/>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14"/>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98" w:name="OLE_LINK2"/>
      <w:r/>
      <w:bookmarkStart w:id="199" w:name="OLE_LINK1"/>
      <w:r/>
      <w:bookmarkEnd w:id="198"/>
      <w:bookmarkEnd w:id="199"/>
      <w:r/>
    </w:p>
    <w:p>
      <w:pPr>
        <w:pStyle w:val="1014"/>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bookmarkStart w:id="200" w:name="_Toc3874"/>
      <w:r/>
      <w:r/>
    </w:p>
    <w:tbl>
      <w:tblPr>
        <w:tblStyle w:val="737"/>
        <w:tblW w:w="4994" w:type="pct"/>
        <w:tblInd w:w="6" w:type="dxa"/>
        <w:tblLayout w:type="fixed"/>
        <w:tblCellMar>
          <w:left w:w="108" w:type="dxa"/>
          <w:top w:w="0" w:type="dxa"/>
          <w:right w:w="108" w:type="dxa"/>
          <w:bottom w:w="0" w:type="dxa"/>
        </w:tblCellMar>
        <w:tblLook w:val="04A0" w:firstRow="1" w:lastRow="0" w:firstColumn="1" w:lastColumn="0" w:noHBand="0" w:noVBand="1"/>
      </w:tblPr>
      <w:tblGrid>
        <w:gridCol w:w="691"/>
        <w:gridCol w:w="1300"/>
        <w:gridCol w:w="3708"/>
        <w:gridCol w:w="753"/>
        <w:gridCol w:w="666"/>
        <w:gridCol w:w="704"/>
        <w:gridCol w:w="690"/>
      </w:tblGrid>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技术分</w:t>
            </w:r>
            <w:r/>
          </w:p>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1</w:t>
            </w:r>
            <w:r>
              <w:rPr>
                <w:rFonts w:hint="eastAsia" w:asciiTheme="minorEastAsia" w:hAnsiTheme="minorEastAsia" w:eastAsiaTheme="minorEastAsia" w:cstheme="minorEastAsia"/>
                <w:b/>
                <w:bCs/>
                <w:sz w:val="21"/>
                <w:szCs w:val="21"/>
                <w:lang w:val="en-US" w:eastAsia="zh-CN"/>
              </w:rPr>
              <w:t xml:space="preserve">18</w:t>
            </w:r>
            <w:r/>
          </w:p>
          <w:p>
            <w:pPr>
              <w:pStyle w:val="741"/>
              <w:keepLines w:val="0"/>
              <w:keepNext w:val="0"/>
              <w:pageBreakBefore w:val="0"/>
              <w:spacing w:line="360" w:lineRule="exact"/>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根据本项目的特点，提供详细方案，</w:t>
            </w:r>
            <w:r>
              <w:rPr>
                <w:rFonts w:hint="eastAsia" w:asciiTheme="minorEastAsia" w:hAnsiTheme="minorEastAsia" w:eastAsiaTheme="minorEastAsia" w:cstheme="minorEastAsia"/>
                <w:color w:val="auto"/>
                <w:lang w:val="en-US" w:eastAsia="zh-CN"/>
              </w:rPr>
              <w:t xml:space="preserve">至少</w:t>
            </w:r>
            <w:r>
              <w:rPr>
                <w:rFonts w:hint="eastAsia" w:asciiTheme="minorEastAsia" w:hAnsiTheme="minorEastAsia" w:eastAsiaTheme="minorEastAsia" w:cstheme="minorEastAsia"/>
                <w:color w:val="auto"/>
              </w:rPr>
              <w:t xml:space="preserve">包含：①现场勘察报告；②</w:t>
            </w:r>
            <w:r>
              <w:rPr>
                <w:rFonts w:hint="eastAsia" w:asciiTheme="minorEastAsia" w:hAnsiTheme="minorEastAsia" w:eastAsiaTheme="minorEastAsia" w:cstheme="minorEastAsia"/>
                <w:color w:val="auto"/>
                <w:lang w:val="en-US" w:eastAsia="zh-CN"/>
              </w:rPr>
              <w:t xml:space="preserve">与学校现有校园网络、监控网络的融合</w:t>
            </w:r>
            <w:r>
              <w:rPr>
                <w:rFonts w:hint="eastAsia" w:asciiTheme="minorEastAsia" w:hAnsiTheme="minorEastAsia" w:eastAsiaTheme="minorEastAsia" w:cstheme="minorEastAsia"/>
                <w:color w:val="auto"/>
              </w:rPr>
              <w:t xml:space="preserve">网络技术方案；③网络改造拓扑图；④</w:t>
            </w: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多波段紫红外火焰探测器与热成像双目枪式摄像机的联动方案</w:t>
            </w:r>
            <w:r>
              <w:rPr>
                <w:rFonts w:hint="eastAsia" w:asciiTheme="minorEastAsia" w:hAnsiTheme="minorEastAsia" w:eastAsiaTheme="minorEastAsia" w:cstheme="minorEastAsia"/>
                <w:color w:val="auto"/>
              </w:rPr>
              <w:t xml:space="preserve">；⑤</w:t>
            </w: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防欺凌预警终端（拾音器）与现有监控摄像机的联动方案；</w:t>
            </w:r>
            <w:r>
              <w:rPr>
                <w:rFonts w:hint="eastAsia" w:ascii="微软雅黑" w:hAnsi="微软雅黑" w:eastAsia="微软雅黑" w:cs="微软雅黑"/>
                <w:i w:val="0"/>
                <w:iCs w:val="0"/>
                <w:color w:val="auto"/>
                <w:sz w:val="21"/>
                <w:szCs w:val="21"/>
                <w:u w:val="none"/>
                <w:lang w:val="en-US" w:eastAsia="zh-CN" w:bidi="ar"/>
              </w:rPr>
              <w:t xml:space="preserve">⑥</w:t>
            </w:r>
            <w:r>
              <w:rPr>
                <w:rFonts w:hint="eastAsia" w:asciiTheme="minorEastAsia" w:hAnsiTheme="minorEastAsia" w:eastAsiaTheme="minorEastAsia" w:cstheme="minorEastAsia"/>
                <w:i w:val="0"/>
                <w:iCs w:val="0"/>
                <w:color w:val="auto"/>
                <w:sz w:val="21"/>
                <w:szCs w:val="21"/>
                <w:u w:val="none"/>
                <w:lang w:val="en-US" w:eastAsia="zh-CN" w:bidi="ar"/>
              </w:rPr>
              <w:t xml:space="preserve">本项目</w:t>
            </w:r>
            <w:r>
              <w:rPr>
                <w:rFonts w:hint="eastAsia" w:asciiTheme="minorEastAsia" w:hAnsiTheme="minorEastAsia" w:eastAsiaTheme="minorEastAsia" w:cstheme="minorEastAsia"/>
                <w:i w:val="0"/>
                <w:iCs w:val="0"/>
                <w:color w:val="000000"/>
                <w:sz w:val="21"/>
                <w:szCs w:val="21"/>
                <w:u w:val="none"/>
                <w:lang w:val="en-US" w:eastAsia="zh-CN" w:bidi="ar"/>
              </w:rPr>
              <w:t xml:space="preserve">热成像双目枪式摄像机与学校原有监控管理软件的对接方案</w:t>
            </w:r>
            <w:r>
              <w:rPr>
                <w:rFonts w:hint="eastAsia" w:asciiTheme="minorEastAsia" w:hAnsiTheme="minorEastAsia" w:eastAsiaTheme="minorEastAsia" w:cstheme="minorEastAsia"/>
                <w:color w:val="auto"/>
                <w:lang w:eastAsia="zh-CN"/>
              </w:rPr>
              <w:t xml:space="preserve">。</w:t>
            </w:r>
            <w:r>
              <w:rPr>
                <w:rFonts w:hAnsi="宋体" w:cs="宋体"/>
                <w:color w:val="auto"/>
              </w:rPr>
              <w:t xml:space="preserve">结合以上要求，分为以下</w:t>
            </w:r>
            <w:r>
              <w:rPr>
                <w:rFonts w:hint="eastAsia" w:hAnsi="宋体" w:cs="宋体"/>
                <w:color w:val="auto"/>
              </w:rPr>
              <w:t xml:space="preserve">三</w:t>
            </w:r>
            <w:r>
              <w:rPr>
                <w:rFonts w:hAnsi="宋体" w:cs="宋体"/>
                <w:color w:val="auto"/>
              </w:rPr>
              <w:t xml:space="preserve">个等级：</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1.技术方案完整，现场勘察报告详细掌握学校真实环境，</w:t>
            </w:r>
            <w:r>
              <w:rPr>
                <w:rFonts w:hint="eastAsia" w:ascii="宋体" w:hAnsi="宋体" w:cs="宋体"/>
                <w:color w:val="auto"/>
              </w:rPr>
              <w:t xml:space="preserve">对项目中的特点、重点和难点有详细阐述，</w:t>
            </w:r>
            <w:r>
              <w:rPr>
                <w:rFonts w:hint="eastAsia" w:asciiTheme="minorEastAsia" w:hAnsiTheme="minorEastAsia" w:eastAsiaTheme="minorEastAsia" w:cstheme="minorEastAsia"/>
                <w:color w:val="auto"/>
              </w:rPr>
              <w:t xml:space="preserve">针对性强，细节完善，得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2.技术方案</w:t>
            </w:r>
            <w:r>
              <w:rPr>
                <w:rFonts w:hint="eastAsia" w:asciiTheme="minorEastAsia" w:hAnsiTheme="minorEastAsia" w:eastAsiaTheme="minorEastAsia" w:cstheme="minorEastAsia"/>
                <w:color w:val="auto"/>
                <w:lang w:val="en-US" w:eastAsia="zh-CN"/>
              </w:rPr>
              <w:t xml:space="preserve">较</w:t>
            </w:r>
            <w:r>
              <w:rPr>
                <w:rFonts w:hint="eastAsia" w:asciiTheme="minorEastAsia" w:hAnsiTheme="minorEastAsia" w:eastAsiaTheme="minorEastAsia" w:cstheme="minorEastAsia"/>
                <w:color w:val="auto"/>
              </w:rPr>
              <w:t xml:space="preserve">完整，细节简单，基本符合项目需求，得</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 技术方案不完整，针对性一般，得1-</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w:t>
            </w:r>
            <w:r/>
          </w:p>
          <w:p>
            <w:pP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rPr>
              <w:t xml:space="preserve">未提供不得分。</w:t>
            </w:r>
            <w:r>
              <w:rPr>
                <w:rFonts w:asciiTheme="minorEastAsia" w:hAnsiTheme="minorEastAsia" w:eastAsiaTheme="minorEastAsia" w:cstheme="minorEastAsia"/>
                <w:color w:val="auto"/>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lang w:eastAsia="zh-CN"/>
              </w:rPr>
            </w:pPr>
            <w:r>
              <w:rPr>
                <w:rFonts w:hint="eastAsia" w:asciiTheme="minorEastAsia" w:hAnsiTheme="minorEastAsia" w:eastAsiaTheme="minorEastAsia" w:cstheme="minorEastAsia"/>
                <w:b/>
                <w:bCs/>
                <w:color w:val="auto"/>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color w:val="auto"/>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 xml:space="preserve">投标人应提供针对本项目的实施方案。</w:t>
            </w:r>
            <w:r>
              <w:rPr>
                <w:rFonts w:hint="eastAsia" w:ascii="宋体" w:hAnsi="宋体" w:cs="宋体"/>
                <w:color w:val="auto"/>
                <w:sz w:val="21"/>
                <w:szCs w:val="21"/>
                <w:highlight w:val="none"/>
                <w:lang w:bidi="ar"/>
              </w:rPr>
              <w:t xml:space="preserve">根据招标文件的要求</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提供</w:t>
            </w:r>
            <w:r>
              <w:rPr>
                <w:rFonts w:hint="eastAsia" w:ascii="宋体" w:hAnsi="宋体" w:cs="宋体"/>
                <w:color w:val="auto"/>
                <w:sz w:val="21"/>
                <w:szCs w:val="21"/>
                <w:highlight w:val="none"/>
                <w:lang w:val="en-US" w:eastAsia="zh-CN" w:bidi="ar"/>
              </w:rPr>
              <w:t xml:space="preserve">针对每个采购单位的</w:t>
            </w:r>
            <w:r>
              <w:rPr>
                <w:rFonts w:hint="eastAsia" w:ascii="宋体" w:hAnsi="宋体" w:cs="宋体"/>
                <w:color w:val="auto"/>
                <w:sz w:val="21"/>
                <w:szCs w:val="21"/>
                <w:highlight w:val="none"/>
                <w:lang w:bidi="ar"/>
              </w:rPr>
              <w:t xml:space="preserve">完善的施工方案，根据本项目的特点，详细说明在每一个环节中具体做法（包含但不限于</w:t>
            </w:r>
            <w:r>
              <w:rPr>
                <w:rFonts w:hint="eastAsia" w:ascii="宋体" w:hAnsi="宋体" w:cs="宋体"/>
                <w:color w:val="auto"/>
                <w:sz w:val="21"/>
                <w:szCs w:val="21"/>
                <w:highlight w:val="none"/>
                <w:lang w:val="en-US" w:eastAsia="zh-CN" w:bidi="ar"/>
              </w:rPr>
              <w:t xml:space="preserve">施工图、</w:t>
            </w:r>
            <w:r>
              <w:rPr>
                <w:rFonts w:hint="eastAsia" w:ascii="宋体" w:hAnsi="宋体" w:cs="宋体"/>
                <w:color w:val="auto"/>
                <w:sz w:val="21"/>
                <w:szCs w:val="21"/>
                <w:highlight w:val="none"/>
                <w:lang w:bidi="ar"/>
              </w:rPr>
              <w:t xml:space="preserve">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确保项目保质、保量、保时完成。</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结合以上要求，分为以下四个等级：</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 方案详细完善，对项目中的特点、重点和难点有详细、科学合理且具有可行性的阐述，施工过程规范，人员配备合理，有规范、严格的质量监控程序，得6分；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B 方案详细程度较好，对项目中的特点、重点和难点有较详细且具有可行性的阐述，施工过程规范性较好，人员配备较合理，有较好的质量监控程序，得4分；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C 方案简单，对项目中的特点、重点和难点简单阐述，施工过程规范性一般，人员配备不够合理，有简单的质量监控程序，得2分。</w:t>
            </w:r>
            <w:r/>
          </w:p>
          <w:p>
            <w:pPr>
              <w:jc w:val="left"/>
              <w:keepLines w:val="0"/>
              <w:keepNext w:val="0"/>
              <w:pageBreakBefore w:val="0"/>
              <w:spacing w:line="360" w:lineRule="exact"/>
              <w:widowControl/>
              <w:rPr>
                <w:rFonts w:hint="eastAsia"/>
                <w:color w:val="auto"/>
              </w:rPr>
            </w:pPr>
            <w:r>
              <w:rPr>
                <w:rFonts w:hint="eastAsia" w:ascii="宋体" w:hAnsi="宋体" w:cs="宋体"/>
                <w:color w:val="auto"/>
                <w:sz w:val="21"/>
                <w:szCs w:val="21"/>
                <w:highlight w:val="none"/>
                <w:lang w:bidi="ar"/>
              </w:rPr>
              <w:t xml:space="preserve">D 未提供方案，或方案不符合项目要求的，不得分。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color w:val="auto"/>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投标人应提供详细的售后服务方案。</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评委根据投标人售后人员配置、服务平台、技术能力和时间响应保障等方面综合考量投标人的综合服务能力，分三个等级。</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A 服务方案详细完善可行，能为用户提供完善的维护维修和技术保障服务，得</w:t>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B 服务方案一般可行，能为用户提供基本的售后服务的，得</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C 服务方案简单，仅能为用户提供有限的售后服务，得</w:t>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color w:val="auto"/>
                <w:highlight w:val="none"/>
                <w:lang w:bidi="ar"/>
              </w:rPr>
            </w:pPr>
            <w:r>
              <w:rPr>
                <w:rFonts w:hint="eastAsia" w:ascii="宋体" w:hAnsi="宋体" w:cs="宋体"/>
                <w:sz w:val="21"/>
                <w:szCs w:val="21"/>
                <w:highlight w:val="none"/>
                <w:lang w:bidi="ar"/>
              </w:rPr>
              <w:t xml:space="preserve">D 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8" w:type="dxa"/>
            <w:vAlign w:val="center"/>
            <w:textDirection w:val="lrTb"/>
            <w:noWrap w:val="false"/>
          </w:tcPr>
          <w:p>
            <w:pP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ind w:left="0" w:firstLine="0"/>
              <w:jc w:val="center"/>
              <w:keepLines w:val="0"/>
              <w:keepNext w:val="0"/>
              <w:pageBreakBefore w:val="0"/>
              <w:spacing w:line="360" w:lineRule="exac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52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rPr>
            </w:pPr>
            <w:r>
              <w:rPr>
                <w:rFonts w:hint="eastAsia" w:ascii="宋体" w:hAnsi="宋体" w:cs="宋体"/>
              </w:rPr>
              <w:t xml:space="preserve">根据投标单位技术偏离表中对本招标文件中产品技术指标（参数）的响应程度打分，所投产品全部满足招标文件技术参数要求得30分。1.带▲项为重要参数，出现一项负偏离扣1分；2.其他参数为一般参数，出现一项负偏离扣0.5分，扣完为止。</w:t>
            </w:r>
            <w:r>
              <w:rPr>
                <w:rFonts w:hint="eastAsia" w:asciiTheme="minorEastAsia" w:hAnsiTheme="minorEastAsia" w:eastAsiaTheme="minorEastAsia" w:cstheme="minorEastAsia"/>
                <w:color w:val="auto"/>
              </w:rPr>
              <w:t xml:space="preserve">打“★”项如有负偏离作为无效投标。如有提供虚假技术参数的，一经发现作</w:t>
            </w:r>
            <w:r>
              <w:rPr>
                <w:rFonts w:hint="eastAsia" w:asciiTheme="minorEastAsia" w:hAnsiTheme="minorEastAsia" w:eastAsiaTheme="minorEastAsia" w:cstheme="minorEastAsia"/>
              </w:rPr>
              <w:t xml:space="preserve">无效投标处理。</w:t>
            </w:r>
            <w:r/>
          </w:p>
          <w:p>
            <w:pPr>
              <w:pStyle w:val="741"/>
              <w:ind w:left="0" w:firstLine="0"/>
              <w:keepLines w:val="0"/>
              <w:keepNext w:val="0"/>
              <w:pageBreakBefore w:val="0"/>
              <w:spacing w:line="360" w:lineRule="exact"/>
              <w:rPr>
                <w:rFonts w:hint="eastAsia"/>
              </w:rPr>
            </w:pPr>
            <w:r>
              <w:rPr>
                <w:rFonts w:hint="eastAsia" w:asciiTheme="minorEastAsia" w:hAnsiTheme="minorEastAsia" w:eastAsiaTheme="minorEastAsia" w:cstheme="minorEastAsia"/>
                <w:b/>
                <w:bCs/>
                <w:sz w:val="21"/>
                <w:szCs w:val="21"/>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2</w:t>
            </w:r>
            <w:r>
              <w:rPr>
                <w:rFonts w:hint="eastAsia" w:ascii="宋体" w:hAnsi="宋体" w:cs="宋体"/>
                <w:b/>
                <w:bCs/>
                <w:strike w:val="0"/>
                <w:sz w:val="21"/>
                <w:szCs w:val="21"/>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布线类</w:t>
            </w:r>
            <w:r>
              <w:rPr>
                <w:rFonts w:hint="eastAsia" w:ascii="宋体" w:hAnsi="宋体" w:cs="宋体"/>
              </w:rPr>
              <w:t xml:space="preserve">产品</w:t>
            </w:r>
            <w:r>
              <w:rPr>
                <w:rFonts w:hint="eastAsia" w:ascii="宋体" w:hAnsi="宋体" w:cs="宋体"/>
                <w:lang w:val="en-US" w:eastAsia="zh-CN"/>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本次招标涉及到</w:t>
            </w:r>
            <w:r>
              <w:rPr>
                <w:rFonts w:hint="eastAsia" w:ascii="宋体" w:hAnsi="宋体" w:cs="宋体"/>
                <w:b/>
                <w:bCs/>
                <w:color w:val="auto"/>
                <w:sz w:val="21"/>
                <w:szCs w:val="21"/>
                <w:highlight w:val="none"/>
                <w:lang w:val="en-US" w:eastAsia="zh-CN"/>
              </w:rPr>
              <w:t xml:space="preserve">的两</w:t>
            </w:r>
            <w:r>
              <w:rPr>
                <w:rFonts w:hint="eastAsia" w:ascii="宋体" w:hAnsi="宋体" w:cs="宋体"/>
                <w:b/>
                <w:bCs/>
                <w:color w:val="auto"/>
                <w:sz w:val="21"/>
                <w:szCs w:val="21"/>
                <w:highlight w:val="none"/>
              </w:rPr>
              <w:t xml:space="preserve">种线缆类型</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（1）六类布线类（</w:t>
            </w:r>
            <w:r>
              <w:rPr>
                <w:rFonts w:hint="eastAsia" w:ascii="宋体" w:hAnsi="宋体" w:cs="宋体"/>
                <w:color w:val="auto"/>
                <w:sz w:val="21"/>
                <w:szCs w:val="21"/>
                <w:highlight w:val="none"/>
                <w:lang w:val="en-US" w:eastAsia="zh-CN"/>
              </w:rPr>
              <w:t xml:space="preserve">六类和</w:t>
            </w:r>
            <w:r>
              <w:rPr>
                <w:rFonts w:hint="eastAsia" w:ascii="宋体" w:hAnsi="宋体" w:cs="宋体"/>
                <w:color w:val="auto"/>
                <w:sz w:val="21"/>
                <w:szCs w:val="21"/>
                <w:highlight w:val="none"/>
              </w:rPr>
              <w:t xml:space="preserve">六类非屏蔽双绞线、六类非屏蔽模块、六类配线架及跳线等）；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（2）光纤类（光纤、跳线、配线架、适配器及尾纤等）；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对其中（1）、（2）</w:t>
            </w:r>
            <w:r>
              <w:rPr>
                <w:rFonts w:hint="eastAsia" w:ascii="宋体" w:hAnsi="宋体" w:cs="宋体"/>
                <w:color w:val="auto"/>
                <w:sz w:val="21"/>
                <w:szCs w:val="21"/>
                <w:highlight w:val="none"/>
                <w:lang w:val="en-US" w:eastAsia="zh-CN"/>
              </w:rPr>
              <w:t xml:space="preserve">线缆</w:t>
            </w:r>
            <w:r>
              <w:rPr>
                <w:rFonts w:hint="eastAsia" w:ascii="宋体" w:hAnsi="宋体" w:cs="宋体"/>
                <w:color w:val="auto"/>
                <w:sz w:val="21"/>
                <w:szCs w:val="21"/>
                <w:highlight w:val="none"/>
              </w:rPr>
              <w:t xml:space="preserve">类型链路产品检测报告进行评价：</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A.</w:t>
            </w:r>
            <w:r>
              <w:rPr>
                <w:rFonts w:hint="eastAsia" w:ascii="宋体" w:hAnsi="宋体" w:cs="宋体"/>
                <w:color w:val="auto"/>
                <w:sz w:val="21"/>
                <w:szCs w:val="21"/>
                <w:highlight w:val="none"/>
              </w:rPr>
              <w:t xml:space="preserve">同时提供所投电链路、光链路产品检测报告的得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B.</w:t>
            </w:r>
            <w:r>
              <w:rPr>
                <w:rFonts w:hint="eastAsia" w:ascii="宋体" w:hAnsi="宋体" w:cs="宋体"/>
                <w:color w:val="auto"/>
                <w:sz w:val="21"/>
                <w:szCs w:val="21"/>
                <w:highlight w:val="none"/>
              </w:rPr>
              <w:t xml:space="preserve">仅提供所投电链路产品检测报告的得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仅提供所投光链路产品检测报告的得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rPr>
              <w:t xml:space="preserve">其余不得分。</w:t>
            </w:r>
            <w:r/>
          </w:p>
          <w:p>
            <w:pPr>
              <w:pStyle w:val="741"/>
              <w:ind w:firstLine="0"/>
              <w:keepLines w:val="0"/>
              <w:keepNext w:val="0"/>
              <w:pageBreakBefore w:val="0"/>
              <w:spacing w:line="360" w:lineRule="exact"/>
              <w:rPr>
                <w:rFonts w:hint="eastAsia" w:ascii="宋体" w:hAnsi="宋体" w:cs="宋体"/>
                <w:sz w:val="21"/>
                <w:szCs w:val="21"/>
              </w:rPr>
            </w:pPr>
            <w:r>
              <w:rPr>
                <w:rFonts w:hint="eastAsia" w:ascii="宋体" w:hAnsi="宋体" w:eastAsia="宋体" w:cs="宋体"/>
                <w:b/>
                <w:bCs/>
                <w:strike w:val="0"/>
                <w:color w:val="auto"/>
                <w:sz w:val="21"/>
                <w:szCs w:val="21"/>
                <w:highlight w:val="none"/>
                <w:lang w:val="en-US" w:eastAsia="zh-CN"/>
              </w:rPr>
              <w:t xml:space="preserve">提供</w:t>
            </w:r>
            <w:r>
              <w:rPr>
                <w:rFonts w:hint="eastAsia" w:ascii="宋体" w:hAnsi="宋体" w:eastAsia="宋体" w:cs="宋体"/>
                <w:b/>
                <w:bCs/>
                <w:strike w:val="0"/>
                <w:color w:val="auto"/>
                <w:sz w:val="21"/>
                <w:szCs w:val="21"/>
                <w:highlight w:val="none"/>
              </w:rPr>
              <w:t xml:space="preserve">链路检测报告</w:t>
            </w:r>
            <w:r>
              <w:rPr>
                <w:rFonts w:hint="eastAsia" w:ascii="宋体" w:hAnsi="宋体" w:eastAsia="宋体" w:cs="宋体"/>
                <w:b/>
                <w:bCs/>
                <w:strike w:val="0"/>
                <w:color w:val="auto"/>
                <w:sz w:val="21"/>
                <w:szCs w:val="21"/>
                <w:highlight w:val="none"/>
                <w:lang w:val="en-US" w:eastAsia="zh-CN"/>
              </w:rPr>
              <w:t xml:space="preserve">扫描</w:t>
            </w:r>
            <w:r>
              <w:rPr>
                <w:rFonts w:hint="eastAsia" w:ascii="宋体" w:hAnsi="宋体" w:eastAsia="宋体" w:cs="宋体"/>
                <w:b/>
                <w:bCs/>
                <w:strike w:val="0"/>
                <w:color w:val="auto"/>
                <w:sz w:val="21"/>
                <w:szCs w:val="21"/>
                <w:highlight w:val="none"/>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根据投标单位提供的2023年</w:t>
            </w:r>
            <w:r>
              <w:rPr>
                <w:rFonts w:hint="eastAsia" w:ascii="宋体" w:hAnsi="宋体" w:cs="宋体"/>
                <w:color w:val="auto"/>
                <w:lang w:val="en-US" w:eastAsia="zh-CN"/>
              </w:rPr>
              <w:t xml:space="preserve">6</w:t>
            </w:r>
            <w:r>
              <w:rPr>
                <w:rFonts w:hint="eastAsia" w:ascii="宋体" w:hAnsi="宋体" w:cs="宋体"/>
                <w:color w:val="auto"/>
              </w:rPr>
              <w:t xml:space="preserve">月1日以来签订的、</w:t>
            </w:r>
            <w:r>
              <w:rPr>
                <w:rFonts w:hint="eastAsia" w:ascii="宋体" w:hAnsi="宋体" w:cs="宋体"/>
                <w:b/>
                <w:bCs/>
                <w:color w:val="auto"/>
              </w:rPr>
              <w:t xml:space="preserve">与本采购项目技术特点和需求类似的业绩，提供合同</w:t>
            </w:r>
            <w:r>
              <w:rPr>
                <w:rFonts w:hint="eastAsia" w:ascii="宋体" w:hAnsi="宋体" w:cs="宋体"/>
                <w:color w:val="auto"/>
              </w:rPr>
              <w:t xml:space="preserve">（提供合同全文扫描件）</w:t>
            </w:r>
            <w:r>
              <w:rPr>
                <w:rFonts w:hint="eastAsia" w:ascii="宋体" w:hAnsi="宋体" w:cs="宋体"/>
                <w:b/>
                <w:bCs/>
                <w:color w:val="auto"/>
              </w:rPr>
              <w:t xml:space="preserve">、验收报告</w:t>
            </w:r>
            <w:r>
              <w:rPr>
                <w:rFonts w:hint="eastAsia" w:ascii="宋体" w:hAnsi="宋体" w:cs="宋体"/>
                <w:b/>
                <w:bCs/>
                <w:color w:val="auto"/>
                <w:lang w:val="en-US" w:eastAsia="zh-CN"/>
              </w:rPr>
              <w:t xml:space="preserve">或</w:t>
            </w:r>
            <w:r>
              <w:rPr>
                <w:rFonts w:hint="eastAsia" w:ascii="宋体" w:hAnsi="宋体" w:cs="宋体"/>
                <w:b/>
                <w:bCs/>
                <w:color w:val="auto"/>
              </w:rPr>
              <w:t xml:space="preserve">结算发票作为证明材料</w:t>
            </w:r>
            <w:r>
              <w:rPr>
                <w:rFonts w:hint="eastAsia" w:ascii="宋体" w:hAnsi="宋体" w:cs="宋体"/>
                <w:color w:val="auto"/>
              </w:rPr>
              <w:t xml:space="preserve">（提供项目验收报告</w:t>
            </w:r>
            <w:r>
              <w:rPr>
                <w:rFonts w:hint="eastAsia" w:ascii="宋体" w:hAnsi="宋体" w:cs="宋体"/>
                <w:color w:val="auto"/>
                <w:lang w:val="en-US" w:eastAsia="zh-CN"/>
              </w:rPr>
              <w:t xml:space="preserve">和</w:t>
            </w:r>
            <w:r>
              <w:rPr>
                <w:rFonts w:hint="eastAsia" w:ascii="宋体" w:hAnsi="宋体" w:cs="宋体"/>
                <w:color w:val="auto"/>
              </w:rPr>
              <w:t xml:space="preserve">结算发票扫描件）进行评价，合同需符合下述要求：</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1. 合同时间以签订日期为准。</w:t>
            </w:r>
            <w:r/>
          </w:p>
          <w:p>
            <w:pPr>
              <w:jc w:val="left"/>
              <w:keepLines w:val="0"/>
              <w:keepNext w:val="0"/>
              <w:pageBreakBefore w:val="0"/>
              <w:spacing w:line="360" w:lineRule="exact"/>
              <w:widowControl/>
              <w:rPr>
                <w:rFonts w:hint="eastAsia" w:ascii="宋体" w:hAnsi="宋体" w:cs="宋体"/>
              </w:rPr>
            </w:pPr>
            <w:r>
              <w:rPr>
                <w:rFonts w:hint="eastAsia" w:ascii="宋体" w:hAnsi="宋体" w:cs="宋体"/>
                <w:color w:val="auto"/>
              </w:rPr>
              <w:t xml:space="preserve">2. 每提供1份得1分，最高得2分。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1.《建筑业企业资质证书》电子与智能化工程专业承包资质二级及以上资质，得2分。</w:t>
            </w:r>
            <w:r/>
          </w:p>
          <w:p>
            <w:pPr>
              <w:jc w:val="left"/>
              <w:keepLines w:val="0"/>
              <w:keepNext w:val="0"/>
              <w:pageBreakBefore w:val="0"/>
              <w:spacing w:line="360" w:lineRule="exact"/>
              <w:rPr>
                <w:rFonts w:hint="eastAsia" w:ascii="宋体" w:hAnsi="宋体" w:cs="宋体"/>
                <w:color w:val="auto"/>
              </w:rPr>
            </w:pPr>
            <w:r>
              <w:rPr>
                <w:rFonts w:hint="eastAsia" w:ascii="宋体" w:hAnsi="宋体" w:cs="宋体"/>
              </w:rPr>
              <w:t xml:space="preserve">2.投标人</w:t>
            </w:r>
            <w:r>
              <w:rPr>
                <w:rFonts w:hint="eastAsia" w:ascii="宋体" w:hAnsi="宋体" w:cs="宋体"/>
                <w:color w:val="auto"/>
              </w:rPr>
              <w:t xml:space="preserve">具有ITSS（信息技术服务运行维护标准）符合性证书，成熟度等级（通用标准三级及以上），得1分。</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3.具备有效期内的质量管理体系认证证书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27001:2022）、信息技术服务管理体系认证证书（ GB/T 24405.1或ISO/IEC 20000-1:2018）、环境管理体系认证（GB/T 24001 / ISO 14001），每个得1分，最高4分。</w:t>
            </w:r>
            <w:r/>
          </w:p>
          <w:p>
            <w:pPr>
              <w:pStyle w:val="741"/>
              <w:ind w:firstLine="0"/>
              <w:keepLines w:val="0"/>
              <w:keepNext w:val="0"/>
              <w:pageBreakBefore w:val="0"/>
              <w:spacing w:line="360" w:lineRule="exact"/>
              <w:rPr>
                <w:rFonts w:hint="eastAsia" w:ascii="宋体" w:hAnsi="宋体" w:cs="宋体"/>
                <w:sz w:val="21"/>
                <w:szCs w:val="21"/>
              </w:rPr>
            </w:pPr>
            <w:r>
              <w:rPr>
                <w:rFonts w:hint="eastAsia" w:asciiTheme="minorEastAsia" w:hAnsiTheme="minorEastAsia" w:eastAsiaTheme="minorEastAsia" w:cstheme="minorEastAsia"/>
                <w:b/>
                <w:bCs/>
                <w:color w:val="auto"/>
                <w:sz w:val="21"/>
                <w:szCs w:val="21"/>
              </w:rPr>
              <w:t xml:space="preserve">提供有效证书扫描件</w:t>
            </w:r>
            <w:r>
              <w:rPr>
                <w:rFonts w:hint="eastAsia" w:ascii="宋体" w:hAnsi="宋体" w:cs="宋体"/>
                <w:b/>
                <w:bCs/>
                <w:color w:val="auto"/>
                <w:sz w:val="21"/>
                <w:szCs w:val="21"/>
              </w:rPr>
              <w:t xml:space="preserve">加盖公章</w:t>
            </w:r>
            <w:r>
              <w:rPr>
                <w:rFonts w:hint="eastAsia" w:asciiTheme="minorEastAsia" w:hAnsiTheme="minorEastAsia" w:eastAsiaTheme="minorEastAsia" w:cstheme="minorEastAsia"/>
                <w:b/>
                <w:bCs/>
                <w:color w:val="auto"/>
                <w:sz w:val="21"/>
                <w:szCs w:val="21"/>
              </w:rPr>
              <w:t xml:space="preserve">，否则不得分。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7</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项目组成员实力评价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投标人须提供《项目团队成员一览表》及相应证明材料。根据团队配置情况评分，本项最高得7分。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1. 项目负责人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信息系统</w:t>
            </w:r>
            <w:r>
              <w:rPr>
                <w:rFonts w:hint="eastAsia" w:ascii="宋体" w:hAnsi="宋体" w:eastAsia="宋体" w:cs="宋体"/>
                <w:color w:val="auto"/>
                <w:sz w:val="21"/>
                <w:szCs w:val="21"/>
                <w:highlight w:val="none"/>
                <w:lang w:val="en-US" w:eastAsia="zh-CN"/>
              </w:rPr>
              <w:t xml:space="preserve">项目管理师（</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电子信息专业高级工程师</w:t>
            </w:r>
            <w:r>
              <w:rPr>
                <w:rFonts w:hint="eastAsia" w:ascii="宋体" w:hAnsi="宋体" w:cs="宋体"/>
                <w:highlight w:val="none"/>
              </w:rPr>
              <w:t xml:space="preserve">证书，得1分。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IT服务项目经理（ITSS）</w:t>
            </w:r>
            <w:r>
              <w:rPr>
                <w:rFonts w:hint="eastAsia" w:ascii="宋体" w:hAnsi="宋体" w:eastAsia="宋体" w:cs="宋体"/>
                <w:color w:val="auto"/>
                <w:sz w:val="21"/>
                <w:szCs w:val="21"/>
                <w:highlight w:val="none"/>
                <w:lang w:val="en-US" w:eastAsia="zh-CN"/>
              </w:rPr>
              <w:t xml:space="preserve">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2. 技术负责人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8"/>
              </w:numPr>
              <w:jc w:val="left"/>
              <w:keepLines w:val="0"/>
              <w:keepNext w:val="0"/>
              <w:pageBreakBefore w:val="0"/>
              <w:spacing w:line="3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一级注册建造师（通信与广电工程</w:t>
            </w:r>
            <w:r>
              <w:rPr>
                <w:rFonts w:hint="eastAsia" w:asciiTheme="minorEastAsia" w:hAnsiTheme="minorEastAsia" w:eastAsiaTheme="minorEastAsia" w:cstheme="minorEastAsia"/>
                <w:highlight w:val="none"/>
                <w:lang w:val="en-US" w:eastAsia="zh-CN"/>
              </w:rPr>
              <w:t xml:space="preserve">或机电工程</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得1分。</w:t>
            </w:r>
            <w:r/>
          </w:p>
          <w:p>
            <w:pPr>
              <w:numPr>
                <w:ilvl w:val="0"/>
                <w:numId w:val="18"/>
              </w:numPr>
              <w:jc w:val="left"/>
              <w:keepLines w:val="0"/>
              <w:keepNext w:val="0"/>
              <w:pageBreakBefore w:val="0"/>
              <w:spacing w:line="360" w:lineRule="exact"/>
              <w:rPr>
                <w:rFonts w:hint="eastAsia" w:ascii="宋体" w:hAnsi="宋体" w:eastAsia="宋体" w:cs="宋体"/>
                <w:highlight w:val="none"/>
                <w:lang w:val="en-US" w:eastAsia="zh-CN"/>
              </w:rPr>
            </w:pPr>
            <w:r>
              <w:rPr>
                <w:rFonts w:hint="eastAsia" w:ascii="宋体" w:hAnsi="宋体" w:cs="宋体"/>
                <w:highlight w:val="none"/>
              </w:rPr>
              <w:t xml:space="preserve">具备网络规划设计师（软考高级）或主流厂商（如华为、H3C、锐捷等）同等级别认证证书，得1分。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3. 项目团队其他成员</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本项可报多人或1人，最高得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9"/>
              </w:numPr>
              <w:jc w:val="left"/>
              <w:keepLines w:val="0"/>
              <w:keepNext w:val="0"/>
              <w:pageBreakBefore w:val="0"/>
              <w:spacing w:line="360" w:lineRule="exact"/>
              <w:rPr>
                <w:rFonts w:hint="eastAsia" w:ascii="宋体" w:hAnsi="宋体" w:cs="宋体"/>
                <w:highlight w:val="none"/>
              </w:rPr>
            </w:pP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所投产品品牌的或工信、人社等国家相关职能部门认定的相应中级以上网络认证证书（路由交换</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rPr>
                <w:rFonts w:hint="eastAsia" w:ascii="宋体" w:hAnsi="宋体" w:cs="宋体"/>
                <w:highlight w:val="none"/>
              </w:rPr>
              <w:t xml:space="preserve">。</w:t>
            </w:r>
            <w:r/>
          </w:p>
          <w:p>
            <w:pPr>
              <w:jc w:val="left"/>
              <w:keepLines w:val="0"/>
              <w:keepNext w:val="0"/>
              <w:pageBreakBefore w:val="0"/>
              <w:spacing w:line="360" w:lineRule="exact"/>
              <w:rPr>
                <w:rFonts w:hint="eastAsia"/>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Theme="minorEastAsia" w:hAnsiTheme="minorEastAsia" w:eastAsiaTheme="minorEastAsia" w:cstheme="minorEastAsia"/>
                <w:color w:val="auto"/>
                <w:highlight w:val="none"/>
              </w:rPr>
              <w:t xml:space="preserve">布线测试认证工程师</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6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jc w:val="left"/>
              <w:keepLines w:val="0"/>
              <w:keepNext w:val="0"/>
              <w:pageBreakBefore w:val="0"/>
              <w:spacing w:line="360" w:lineRule="exact"/>
              <w:widowControl/>
              <w:rPr>
                <w:rFonts w:hint="eastAsia"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质保期要求评价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整体免费原厂质保三年的基础上，每延长一年整体质保期得1分，最高得3分</w:t>
            </w:r>
            <w:r>
              <w:rPr>
                <w:rFonts w:hint="eastAsia" w:ascii="宋体" w:hAnsi="宋体" w:cs="宋体"/>
                <w:lang w:val="en-US" w:eastAsia="zh-CN"/>
              </w:rPr>
              <w:t xml:space="preserve">；</w:t>
            </w: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rPr>
                <w:rFonts w:hint="eastAsia" w:asciiTheme="minorEastAsia" w:hAnsiTheme="minorEastAsia" w:eastAsiaTheme="minorEastAsia" w:cstheme="minorEastAsia"/>
                <w:b/>
                <w:bCs/>
              </w:rPr>
              <w:t xml:space="preserve">提供投标商承诺函</w:t>
            </w:r>
            <w:r>
              <w:rPr>
                <w:rFonts w:hint="eastAsia" w:ascii="宋体" w:hAnsi="宋体" w:cs="宋体"/>
                <w:b/>
                <w:bCs/>
              </w:rPr>
              <w:t xml:space="preserve">加盖公章</w:t>
            </w:r>
            <w:r>
              <w:rPr>
                <w:rFonts w:hint="eastAsia" w:asciiTheme="minorEastAsia" w:hAnsiTheme="minorEastAsia" w:eastAsiaTheme="minorEastAsia" w:cstheme="minorEastAsia"/>
                <w:b/>
                <w:bCs/>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bl>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00"/>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01" w:name="_Hlt26671244"/>
      <w:r/>
      <w:bookmarkEnd w:id="201"/>
      <w:r/>
      <w:bookmarkStart w:id="202" w:name="_Hlt26955039"/>
      <w:r/>
      <w:bookmarkEnd w:id="202"/>
      <w:r/>
      <w:bookmarkStart w:id="203" w:name="_Toc26554094"/>
      <w:r/>
      <w:bookmarkStart w:id="204" w:name="_Toc120614282"/>
      <w:r/>
      <w:bookmarkStart w:id="205"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03"/>
      <w:bookmarkEnd w:id="204"/>
      <w:bookmarkEnd w:id="205"/>
      <w:r/>
    </w:p>
    <w:p>
      <w:pPr>
        <w:rPr>
          <w:rFonts w:hint="eastAsia" w:asciiTheme="minorEastAsia" w:hAnsiTheme="minorEastAsia" w:eastAsiaTheme="minorEastAsia" w:cstheme="minorEastAsia"/>
          <w:i/>
          <w:sz w:val="32"/>
          <w:szCs w:val="32"/>
          <w:u w:val="single"/>
        </w:rPr>
      </w:pPr>
      <w:r/>
      <w:bookmarkStart w:id="206"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32"/>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32"/>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740"/>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7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1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1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1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12"/>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12"/>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asciiTheme="minorEastAsia" w:hAnsiTheme="minorEastAsia" w:eastAsiaTheme="minorEastAsia" w:cstheme="minorEastAsia"/>
          <w:sz w:val="24"/>
          <w:szCs w:val="24"/>
          <w:u w:val="single"/>
        </w:rPr>
        <w:t xml:space="preserve">                                         </w:t>
      </w:r>
      <w:r/>
    </w:p>
    <w:p>
      <w:pPr>
        <w:pStyle w:val="932"/>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32"/>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14"/>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047"/>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758"/>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63"/>
          <w:rFonts w:hint="eastAsia" w:ascii="方正魏碑_GBK" w:hAnsi="方正魏碑_GBK" w:eastAsia="方正魏碑_GBK" w:cs="方正魏碑_GBK"/>
          <w:i w:val="0"/>
          <w:u w:val="single"/>
          <w:shd w:val="clear" w:color="auto" w:fill="ffffff"/>
        </w:rPr>
        <w:t xml:space="preserve">（产品名称1）</w:t>
      </w:r>
      <w:r>
        <w:rPr>
          <w:rStyle w:val="76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3"/>
          <w:rFonts w:hint="eastAsia" w:ascii="方正魏碑_GBK" w:hAnsi="方正魏碑_GBK" w:eastAsia="方正魏碑_GBK" w:cs="方正魏碑_GBK"/>
          <w:i w:val="0"/>
          <w:u w:val="single"/>
          <w:shd w:val="clear" w:color="auto" w:fill="ffffff"/>
        </w:rPr>
        <w:t xml:space="preserve">（厂名）</w:t>
      </w:r>
      <w:r>
        <w:rPr>
          <w:rStyle w:val="76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6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3"/>
          <w:rFonts w:hint="eastAsia" w:ascii="方正魏碑_GBK" w:hAnsi="方正魏碑_GBK" w:eastAsia="方正魏碑_GBK" w:cs="方正魏碑_GBK"/>
          <w:i w:val="0"/>
          <w:u w:val="single"/>
          <w:shd w:val="clear" w:color="auto" w:fill="ffffff"/>
        </w:rPr>
        <w:t xml:space="preserve">（规定</w:t>
      </w:r>
      <w:r>
        <w:rPr>
          <w:rStyle w:val="763"/>
          <w:rFonts w:ascii="方正魏碑_GBK" w:hAnsi="方正魏碑_GBK" w:eastAsia="方正魏碑_GBK" w:cs="方正魏碑_GBK"/>
          <w:i w:val="0"/>
          <w:u w:val="single"/>
          <w:shd w:val="clear" w:color="auto" w:fill="ffffff"/>
        </w:rPr>
        <w:t xml:space="preserve">比例</w:t>
      </w:r>
      <w:r>
        <w:rPr>
          <w:rStyle w:val="763"/>
          <w:rFonts w:hint="eastAsia" w:ascii="方正魏碑_GBK" w:hAnsi="方正魏碑_GBK" w:eastAsia="方正魏碑_GBK" w:cs="方正魏碑_GBK"/>
          <w:i w:val="0"/>
          <w:u w:val="single"/>
          <w:shd w:val="clear" w:color="auto" w:fill="ffffff"/>
        </w:rPr>
        <w:t xml:space="preserve">）</w:t>
      </w:r>
      <w:r>
        <w:rPr>
          <w:rStyle w:val="76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w:t>
      </w:r>
      <w:r>
        <w:rPr>
          <w:rStyle w:val="763"/>
          <w:rFonts w:ascii="方正魏碑_GBK" w:hAnsi="方正魏碑_GBK" w:eastAsia="方正魏碑_GBK" w:cs="方正魏碑_GBK"/>
          <w:i w:val="0"/>
          <w:u w:val="single"/>
          <w:shd w:val="clear" w:color="auto" w:fill="ffffff"/>
        </w:rPr>
        <w:t xml:space="preserve">组件</w:t>
      </w:r>
      <w:r>
        <w:rPr>
          <w:rStyle w:val="763"/>
          <w:rFonts w:hint="eastAsia" w:ascii="方正魏碑_GBK" w:hAnsi="方正魏碑_GBK" w:eastAsia="方正魏碑_GBK" w:cs="方正魏碑_GBK"/>
          <w:i w:val="0"/>
          <w:u w:val="single"/>
          <w:shd w:val="clear" w:color="auto" w:fill="ffffff"/>
        </w:rPr>
        <w:t xml:space="preserve">）</w:t>
      </w:r>
      <w:r>
        <w:rPr>
          <w:rStyle w:val="76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（关键工序）</w:t>
      </w:r>
      <w:r>
        <w:rPr>
          <w:rStyle w:val="76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6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6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63"/>
          <w:rFonts w:hint="eastAsia" w:ascii="方正魏碑_GBK" w:hAnsi="方正魏碑_GBK" w:eastAsia="方正魏碑_GBK" w:cs="方正魏碑_GBK"/>
          <w:i w:val="0"/>
          <w:u w:val="single"/>
          <w:shd w:val="clear" w:color="auto" w:fill="ffffff"/>
        </w:rPr>
        <w:t xml:space="preserve">（规定</w:t>
      </w:r>
      <w:r>
        <w:rPr>
          <w:rStyle w:val="763"/>
          <w:rFonts w:ascii="方正魏碑_GBK" w:hAnsi="方正魏碑_GBK" w:eastAsia="方正魏碑_GBK" w:cs="方正魏碑_GBK"/>
          <w:i w:val="0"/>
          <w:u w:val="single"/>
          <w:shd w:val="clear" w:color="auto" w:fill="ffffff"/>
        </w:rPr>
        <w:t xml:space="preserve">比例</w:t>
      </w:r>
      <w:r>
        <w:rPr>
          <w:rStyle w:val="76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w:t>
      </w:r>
      <w:r>
        <w:rPr>
          <w:rStyle w:val="763"/>
          <w:rFonts w:ascii="方正魏碑_GBK" w:hAnsi="方正魏碑_GBK" w:eastAsia="方正魏碑_GBK" w:cs="方正魏碑_GBK"/>
          <w:i w:val="0"/>
          <w:u w:val="single"/>
          <w:shd w:val="clear" w:color="auto" w:fill="ffffff"/>
        </w:rPr>
        <w:t xml:space="preserve">组件</w:t>
      </w:r>
      <w:r>
        <w:rPr>
          <w:rStyle w:val="76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5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8"/>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58"/>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5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5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5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58"/>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r>
      <w:r/>
    </w:p>
    <w:p>
      <w:pPr>
        <w:spacing w:line="4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lang w:val="en-US" w:eastAsia="zh-CN"/>
        </w:rPr>
        <w:t xml:space="preserve">5.</w:t>
      </w:r>
      <w:r>
        <w:rPr>
          <w:rFonts w:hint="eastAsia" w:ascii="方正魏碑_GBK" w:hAnsi="方正魏碑_GBK" w:eastAsia="方正魏碑_GBK" w:cs="方正魏碑_GBK"/>
          <w:color w:val="ff0000"/>
          <w:sz w:val="24"/>
          <w:szCs w:val="24"/>
        </w:rPr>
        <w:t xml:space="preserve">投标时应根据所有单位的基本要求汇总表提供采购包的总的报价表，同时根据附件中各单位的采购清单提供各个单位的报价表。</w:t>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20"/>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06"/>
      <w:r/>
    </w:p>
    <w:p>
      <w:pPr>
        <w:numPr>
          <w:ilvl w:val="0"/>
          <w:numId w:val="20"/>
        </w:numPr>
        <w:jc w:val="center"/>
        <w:rPr>
          <w:rFonts w:hint="eastAsia" w:asciiTheme="minorEastAsia" w:hAnsiTheme="minorEastAsia" w:eastAsiaTheme="minorEastAsia" w:cstheme="minorEastAsia"/>
          <w:b/>
          <w:sz w:val="32"/>
          <w:szCs w:val="32"/>
        </w:rPr>
      </w:pPr>
      <w:r/>
      <w:bookmarkStart w:id="210" w:name="_Hlt26955054"/>
      <w:r/>
      <w:bookmarkEnd w:id="210"/>
      <w:r>
        <w:rPr>
          <w:rFonts w:hint="eastAsia" w:asciiTheme="minorEastAsia" w:hAnsiTheme="minorEastAsia" w:eastAsiaTheme="minorEastAsia" w:cstheme="minorEastAsia"/>
          <w:b/>
          <w:sz w:val="32"/>
          <w:szCs w:val="32"/>
        </w:rPr>
        <w:t xml:space="preserve">合同及商务条款偏离表（分包号：）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11" w:name="_Hlt26609391"/>
            <w:r/>
            <w:bookmarkEnd w:id="211"/>
            <w:r/>
            <w:bookmarkStart w:id="212" w:name="_Hlt26955064"/>
            <w:r/>
            <w:bookmarkEnd w:id="212"/>
            <w:r/>
            <w:bookmarkStart w:id="213" w:name="_Hlt26782999"/>
            <w:r/>
            <w:bookmarkEnd w:id="213"/>
            <w:r/>
            <w:bookmarkStart w:id="214" w:name="_Hlt26671372"/>
            <w:r/>
            <w:bookmarkEnd w:id="214"/>
            <w:r/>
            <w:bookmarkStart w:id="215" w:name="_Hlt24879081"/>
            <w:r/>
            <w:bookmarkEnd w:id="215"/>
            <w:r/>
            <w:bookmarkStart w:id="216" w:name="_Hlt26671343"/>
            <w:r/>
            <w:bookmarkEnd w:id="216"/>
            <w:r/>
            <w:bookmarkStart w:id="217" w:name="_Hlt26580838"/>
            <w:r/>
            <w:bookmarkEnd w:id="217"/>
            <w:r/>
            <w:bookmarkStart w:id="218" w:name="_Hlt26955056"/>
            <w:r/>
            <w:bookmarkEnd w:id="218"/>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32"/>
        <w:ind w:firstLine="0"/>
        <w:rPr>
          <w:rFonts w:hint="eastAsia" w:asciiTheme="minorEastAsia" w:hAnsiTheme="minorEastAsia" w:eastAsiaTheme="minorEastAsia" w:cstheme="minorEastAsia"/>
          <w:sz w:val="24"/>
        </w:rPr>
      </w:pPr>
      <w:r/>
      <w:bookmarkStart w:id="219" w:name="_Hlt26671374"/>
      <w:r/>
      <w:bookmarkEnd w:id="219"/>
      <w:r/>
      <w:bookmarkStart w:id="220" w:name="_Hlt26955066"/>
      <w:r/>
      <w:bookmarkEnd w:id="220"/>
      <w:r/>
      <w:bookmarkStart w:id="221" w:name="_Hlt26609389"/>
      <w:r/>
      <w:bookmarkEnd w:id="221"/>
      <w:r/>
      <w:bookmarkStart w:id="222" w:name="_Toc462564146"/>
      <w:r/>
      <w:bookmarkEnd w:id="195"/>
      <w:bookmarkEnd w:id="196"/>
      <w:bookmarkEnd w:id="222"/>
      <w:r/>
    </w:p>
    <w:p>
      <w:pPr>
        <w:jc w:val="center"/>
        <w:rPr>
          <w:rFonts w:hint="eastAsia" w:asciiTheme="minorEastAsia" w:hAnsiTheme="minorEastAsia" w:eastAsiaTheme="minorEastAsia" w:cstheme="minorEastAsia"/>
          <w:b/>
          <w:sz w:val="32"/>
          <w:szCs w:val="32"/>
        </w:rPr>
      </w:pPr>
      <w:r/>
      <w:bookmarkStart w:id="223" w:name="_格式2__法定代表人授权书"/>
      <w:r/>
      <w:bookmarkEnd w:id="223"/>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740"/>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24" w:name="投标人关于检测报告合规性的承诺书"/>
      <w:r/>
      <w:bookmarkEnd w:id="224"/>
      <w:r>
        <w:rPr>
          <w:rFonts w:hint="eastAsia" w:asciiTheme="minorEastAsia" w:hAnsiTheme="minorEastAsia" w:eastAsiaTheme="minorEastAsia" w:cstheme="minorEastAsia"/>
          <w:b/>
          <w:sz w:val="24"/>
          <w:szCs w:val="24"/>
        </w:rPr>
        <w:t xml:space="preserve">投标人关于检测报告合规性的承诺函</w:t>
      </w:r>
      <w:r/>
    </w:p>
    <w:p>
      <w:pPr>
        <w:pStyle w:val="740"/>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740"/>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34"/>
        <w:numPr>
          <w:ilvl w:val="0"/>
          <w:numId w:val="22"/>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740"/>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34"/>
        <w:numPr>
          <w:ilvl w:val="0"/>
          <w:numId w:val="22"/>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740"/>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34"/>
        <w:numPr>
          <w:ilvl w:val="0"/>
          <w:numId w:val="22"/>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740"/>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34"/>
        <w:numPr>
          <w:ilvl w:val="0"/>
          <w:numId w:val="22"/>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740"/>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40"/>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40"/>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740"/>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33"/>
        <w:spacing w:line="400" w:lineRule="exact"/>
        <w:rPr>
          <w:rFonts w:hint="eastAsia" w:asciiTheme="minorEastAsia" w:hAnsiTheme="minorEastAsia" w:eastAsiaTheme="minorEastAsia" w:cstheme="minorEastAsia"/>
          <w:sz w:val="24"/>
          <w:szCs w:val="24"/>
        </w:rPr>
      </w:pPr>
      <w:r/>
      <w:bookmarkStart w:id="225" w:name="使用说明："/>
      <w:r/>
      <w:bookmarkEnd w:id="225"/>
      <w:r>
        <w:rPr>
          <w:rFonts w:hint="eastAsia" w:asciiTheme="minorEastAsia" w:hAnsiTheme="minorEastAsia" w:eastAsiaTheme="minorEastAsia" w:cstheme="minorEastAsia"/>
          <w:sz w:val="24"/>
          <w:szCs w:val="24"/>
        </w:rPr>
        <w:t xml:space="preserve">使用说明：</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737"/>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58</w:t>
    </w:r>
    <w:r>
      <w:fldChar w:fldCharType="end"/>
    </w:r>
    <w:r/>
  </w:p>
  <w:p>
    <w:pPr>
      <w:pStyle w:val="975"/>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59</w:t>
    </w:r>
    <w:r>
      <w:fldChar w:fldCharType="end"/>
    </w:r>
    <w:r/>
  </w:p>
  <w:p>
    <w:pPr>
      <w:pStyle w:val="975"/>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61</w:t>
    </w:r>
    <w:r>
      <w:fldChar w:fldCharType="end"/>
    </w:r>
    <w:r/>
  </w:p>
  <w:p>
    <w:pPr>
      <w:pStyle w:val="97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6"/>
  </w:num>
  <w:num w:numId="3">
    <w:abstractNumId w:val="13"/>
  </w:num>
  <w:num w:numId="4">
    <w:abstractNumId w:val="10"/>
  </w:num>
  <w:num w:numId="5">
    <w:abstractNumId w:val="8"/>
  </w:num>
  <w:num w:numId="6">
    <w:abstractNumId w:val="9"/>
  </w:num>
  <w:num w:numId="7">
    <w:abstractNumId w:val="3"/>
  </w:num>
  <w:num w:numId="8">
    <w:abstractNumId w:val="12"/>
  </w:num>
  <w:num w:numId="9">
    <w:abstractNumId w:val="5"/>
  </w:num>
  <w:num w:numId="10">
    <w:abstractNumId w:val="0"/>
  </w:num>
  <w:num w:numId="11">
    <w:abstractNumId w:val="6"/>
  </w:num>
  <w:num w:numId="12">
    <w:abstractNumId w:val="20"/>
  </w:num>
  <w:num w:numId="13">
    <w:abstractNumId w:val="11"/>
  </w:num>
  <w:num w:numId="14">
    <w:abstractNumId w:val="14"/>
  </w:num>
  <w:num w:numId="15">
    <w:abstractNumId w:val="21"/>
  </w:num>
  <w:num w:numId="16">
    <w:abstractNumId w:val="18"/>
  </w:num>
  <w:num w:numId="17">
    <w:abstractNumId w:val="2"/>
  </w:num>
  <w:num w:numId="18">
    <w:abstractNumId w:val="1"/>
  </w:num>
  <w:num w:numId="19">
    <w:abstractNumId w:val="7"/>
  </w:num>
  <w:num w:numId="20">
    <w:abstractNumId w:val="4"/>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774"/>
    <w:uiPriority w:val="9"/>
    <w:qFormat/>
    <w:pPr>
      <w:keepLines/>
      <w:keepNext/>
      <w:spacing w:before="480" w:after="200"/>
      <w:outlineLvl w:val="0"/>
    </w:pPr>
    <w:rPr>
      <w:rFonts w:ascii="Arial" w:hAnsi="Arial" w:eastAsia="Arial" w:cs="Arial"/>
      <w:sz w:val="40"/>
      <w:szCs w:val="40"/>
    </w:rPr>
  </w:style>
  <w:style w:type="paragraph" w:styleId="20">
    <w:name w:val="Heading 5"/>
    <w:basedOn w:val="732"/>
    <w:next w:val="732"/>
    <w:link w:val="78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2"/>
    <w:next w:val="732"/>
    <w:link w:val="78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2"/>
    <w:next w:val="73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2"/>
    <w:next w:val="732"/>
    <w:link w:val="78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2"/>
    <w:next w:val="732"/>
    <w:link w:val="790"/>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36"/>
    <w:link w:val="759"/>
    <w:uiPriority w:val="10"/>
    <w:rPr>
      <w:sz w:val="48"/>
      <w:szCs w:val="48"/>
    </w:rPr>
  </w:style>
  <w:style w:type="character" w:styleId="36">
    <w:name w:val="Subtitle Char"/>
    <w:basedOn w:val="736"/>
    <w:link w:val="752"/>
    <w:uiPriority w:val="11"/>
    <w:rPr>
      <w:sz w:val="24"/>
      <w:szCs w:val="24"/>
    </w:rPr>
  </w:style>
  <w:style w:type="character" w:styleId="38">
    <w:name w:val="Quote Char"/>
    <w:link w:val="793"/>
    <w:uiPriority w:val="29"/>
    <w:rPr>
      <w:i/>
    </w:rPr>
  </w:style>
  <w:style w:type="character" w:styleId="40">
    <w:name w:val="Intense Quote Char"/>
    <w:link w:val="795"/>
    <w:uiPriority w:val="30"/>
    <w:rPr>
      <w:i/>
    </w:rPr>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3">
    <w:name w:val="Heading 2"/>
    <w:basedOn w:val="732"/>
    <w:uiPriority w:val="1"/>
    <w:qFormat/>
    <w:pPr>
      <w:ind w:left="100"/>
      <w:spacing w:before="201"/>
      <w:outlineLvl w:val="1"/>
    </w:pPr>
    <w:rPr>
      <w:rFonts w:ascii="微软雅黑" w:hAnsi="微软雅黑" w:eastAsia="微软雅黑" w:cs="微软雅黑"/>
      <w:b/>
      <w:bCs/>
      <w:sz w:val="23"/>
      <w:szCs w:val="23"/>
    </w:rPr>
  </w:style>
  <w:style w:type="paragraph" w:styleId="734">
    <w:name w:val="Heading 3"/>
    <w:basedOn w:val="732"/>
    <w:uiPriority w:val="0"/>
    <w:qFormat/>
    <w:pPr>
      <w:jc w:val="left"/>
      <w:keepLines/>
      <w:keepNext/>
      <w:spacing w:before="360" w:after="120"/>
      <w:outlineLvl w:val="2"/>
    </w:pPr>
    <w:rPr>
      <w:rFonts w:ascii="宋体"/>
      <w:b/>
      <w:sz w:val="24"/>
      <w:szCs w:val="20"/>
      <w:u w:val="single"/>
    </w:rPr>
  </w:style>
  <w:style w:type="paragraph" w:styleId="735">
    <w:name w:val="Heading 4"/>
    <w:next w:val="732"/>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32"/>
    <w:next w:val="732"/>
    <w:uiPriority w:val="39"/>
    <w:unhideWhenUsed/>
    <w:qFormat/>
    <w:pPr>
      <w:ind w:left="1701"/>
      <w:spacing w:after="57"/>
    </w:pPr>
  </w:style>
  <w:style w:type="paragraph" w:styleId="739">
    <w:name w:val="annotation text"/>
    <w:basedOn w:val="732"/>
    <w:uiPriority w:val="99"/>
    <w:unhideWhenUsed/>
    <w:qFormat/>
    <w:pPr>
      <w:jc w:val="left"/>
    </w:pPr>
  </w:style>
  <w:style w:type="paragraph" w:styleId="740">
    <w:name w:val="Body Text"/>
    <w:basedOn w:val="732"/>
    <w:next w:val="732"/>
    <w:uiPriority w:val="0"/>
    <w:qFormat/>
    <w:pPr>
      <w:spacing w:before="120" w:line="22" w:lineRule="atLeast"/>
      <w:tabs>
        <w:tab w:val="left" w:pos="567" w:leader="none"/>
      </w:tabs>
    </w:pPr>
    <w:rPr>
      <w:rFonts w:ascii="宋体" w:hAnsi="宋体"/>
      <w:sz w:val="24"/>
    </w:rPr>
  </w:style>
  <w:style w:type="paragraph" w:styleId="741">
    <w:name w:val="Body Text Indent"/>
    <w:basedOn w:val="732"/>
    <w:uiPriority w:val="0"/>
    <w:qFormat/>
    <w:pPr>
      <w:ind w:firstLine="570"/>
      <w:spacing w:line="360" w:lineRule="auto"/>
    </w:pPr>
    <w:rPr>
      <w:sz w:val="24"/>
      <w:szCs w:val="24"/>
    </w:rPr>
  </w:style>
  <w:style w:type="paragraph" w:styleId="742">
    <w:name w:val="toc 5"/>
    <w:basedOn w:val="732"/>
    <w:next w:val="732"/>
    <w:uiPriority w:val="39"/>
    <w:unhideWhenUsed/>
    <w:qFormat/>
    <w:pPr>
      <w:ind w:left="1134"/>
      <w:spacing w:after="57"/>
    </w:pPr>
  </w:style>
  <w:style w:type="paragraph" w:styleId="743">
    <w:name w:val="toc 3"/>
    <w:basedOn w:val="732"/>
    <w:next w:val="732"/>
    <w:uiPriority w:val="39"/>
    <w:unhideWhenUsed/>
    <w:qFormat/>
    <w:pPr>
      <w:ind w:left="567"/>
      <w:spacing w:after="57"/>
    </w:pPr>
  </w:style>
  <w:style w:type="paragraph" w:styleId="744">
    <w:name w:val="Plain Text"/>
    <w:basedOn w:val="732"/>
    <w:uiPriority w:val="0"/>
    <w:qFormat/>
    <w:rPr>
      <w:rFonts w:hint="eastAsia" w:ascii="宋体" w:hAnsi="Courier New"/>
      <w:szCs w:val="20"/>
    </w:rPr>
  </w:style>
  <w:style w:type="paragraph" w:styleId="745">
    <w:name w:val="toc 8"/>
    <w:basedOn w:val="732"/>
    <w:next w:val="732"/>
    <w:uiPriority w:val="39"/>
    <w:unhideWhenUsed/>
    <w:qFormat/>
    <w:pPr>
      <w:ind w:left="1984"/>
      <w:spacing w:after="57"/>
    </w:pPr>
  </w:style>
  <w:style w:type="paragraph" w:styleId="746">
    <w:name w:val="endnote text"/>
    <w:basedOn w:val="732"/>
    <w:link w:val="767"/>
    <w:uiPriority w:val="99"/>
    <w:unhideWhenUsed/>
    <w:qFormat/>
    <w:rPr>
      <w:sz w:val="20"/>
    </w:rPr>
  </w:style>
  <w:style w:type="paragraph" w:styleId="747">
    <w:name w:val="Balloon Text"/>
    <w:basedOn w:val="732"/>
    <w:link w:val="1052"/>
    <w:uiPriority w:val="99"/>
    <w:semiHidden/>
    <w:unhideWhenUsed/>
    <w:qFormat/>
    <w:rPr>
      <w:sz w:val="18"/>
      <w:szCs w:val="18"/>
    </w:rPr>
  </w:style>
  <w:style w:type="paragraph" w:styleId="748">
    <w:name w:val="Footer"/>
    <w:basedOn w:val="732"/>
    <w:link w:val="768"/>
    <w:uiPriority w:val="99"/>
    <w:unhideWhenUsed/>
    <w:qFormat/>
    <w:pPr>
      <w:jc w:val="left"/>
      <w:tabs>
        <w:tab w:val="center" w:pos="4153" w:leader="none"/>
        <w:tab w:val="right" w:pos="8306" w:leader="none"/>
      </w:tabs>
    </w:pPr>
    <w:rPr>
      <w:sz w:val="18"/>
      <w:szCs w:val="18"/>
    </w:rPr>
  </w:style>
  <w:style w:type="paragraph" w:styleId="749">
    <w:name w:val="Header"/>
    <w:basedOn w:val="732"/>
    <w:link w:val="769"/>
    <w:uiPriority w:val="99"/>
    <w:unhideWhenUsed/>
    <w:qFormat/>
    <w:pPr>
      <w:jc w:val="center"/>
      <w:tabs>
        <w:tab w:val="center" w:pos="4153" w:leader="none"/>
        <w:tab w:val="right" w:pos="8306" w:leader="none"/>
      </w:tabs>
    </w:pPr>
    <w:rPr>
      <w:sz w:val="18"/>
      <w:szCs w:val="18"/>
    </w:rPr>
  </w:style>
  <w:style w:type="paragraph" w:styleId="750">
    <w:name w:val="toc 1"/>
    <w:basedOn w:val="732"/>
    <w:next w:val="732"/>
    <w:uiPriority w:val="39"/>
    <w:unhideWhenUsed/>
    <w:qFormat/>
    <w:pPr>
      <w:spacing w:after="57"/>
    </w:pPr>
  </w:style>
  <w:style w:type="paragraph" w:styleId="751">
    <w:name w:val="toc 4"/>
    <w:basedOn w:val="732"/>
    <w:next w:val="732"/>
    <w:uiPriority w:val="39"/>
    <w:unhideWhenUsed/>
    <w:qFormat/>
    <w:pPr>
      <w:ind w:left="850"/>
      <w:spacing w:after="57"/>
    </w:pPr>
  </w:style>
  <w:style w:type="paragraph" w:styleId="752">
    <w:name w:val="Subtitle"/>
    <w:basedOn w:val="732"/>
    <w:next w:val="732"/>
    <w:link w:val="770"/>
    <w:uiPriority w:val="11"/>
    <w:qFormat/>
    <w:pPr>
      <w:spacing w:before="200" w:after="200"/>
    </w:pPr>
    <w:rPr>
      <w:sz w:val="24"/>
      <w:szCs w:val="24"/>
    </w:rPr>
  </w:style>
  <w:style w:type="paragraph" w:styleId="753">
    <w:name w:val="footnote text"/>
    <w:basedOn w:val="732"/>
    <w:link w:val="771"/>
    <w:uiPriority w:val="99"/>
    <w:unhideWhenUsed/>
    <w:qFormat/>
    <w:pPr>
      <w:spacing w:after="40"/>
    </w:pPr>
    <w:rPr>
      <w:sz w:val="18"/>
    </w:rPr>
  </w:style>
  <w:style w:type="paragraph" w:styleId="754">
    <w:name w:val="toc 6"/>
    <w:basedOn w:val="732"/>
    <w:next w:val="732"/>
    <w:uiPriority w:val="39"/>
    <w:unhideWhenUsed/>
    <w:qFormat/>
    <w:pPr>
      <w:ind w:left="1417"/>
      <w:spacing w:after="57"/>
    </w:pPr>
  </w:style>
  <w:style w:type="paragraph" w:styleId="755">
    <w:name w:val="table of figures"/>
    <w:basedOn w:val="732"/>
    <w:next w:val="732"/>
    <w:uiPriority w:val="99"/>
    <w:unhideWhenUsed/>
    <w:qFormat/>
  </w:style>
  <w:style w:type="paragraph" w:styleId="756">
    <w:name w:val="toc 2"/>
    <w:basedOn w:val="732"/>
    <w:next w:val="732"/>
    <w:uiPriority w:val="39"/>
    <w:unhideWhenUsed/>
    <w:qFormat/>
    <w:pPr>
      <w:ind w:left="283"/>
      <w:spacing w:after="57"/>
    </w:pPr>
  </w:style>
  <w:style w:type="paragraph" w:styleId="757">
    <w:name w:val="toc 9"/>
    <w:basedOn w:val="732"/>
    <w:next w:val="732"/>
    <w:uiPriority w:val="39"/>
    <w:unhideWhenUsed/>
    <w:qFormat/>
    <w:pPr>
      <w:ind w:left="2268"/>
      <w:spacing w:after="57"/>
    </w:pPr>
  </w:style>
  <w:style w:type="paragraph" w:styleId="758">
    <w:name w:val="Normal (Web)"/>
    <w:basedOn w:val="732"/>
    <w:uiPriority w:val="0"/>
    <w:qFormat/>
    <w:pPr>
      <w:jc w:val="left"/>
      <w:spacing w:beforeAutospacing="1" w:afterAutospacing="1"/>
    </w:pPr>
    <w:rPr>
      <w:sz w:val="24"/>
    </w:rPr>
  </w:style>
  <w:style w:type="paragraph" w:styleId="759">
    <w:name w:val="Title"/>
    <w:basedOn w:val="732"/>
    <w:next w:val="732"/>
    <w:link w:val="772"/>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6"/>
    <w:uiPriority w:val="22"/>
    <w:qFormat/>
    <w:rPr>
      <w:b/>
    </w:rPr>
  </w:style>
  <w:style w:type="character" w:styleId="762">
    <w:name w:val="endnote reference"/>
    <w:uiPriority w:val="99"/>
    <w:unhideWhenUsed/>
    <w:qFormat/>
    <w:rPr>
      <w:vertAlign w:val="superscript"/>
    </w:rPr>
  </w:style>
  <w:style w:type="character" w:styleId="763">
    <w:name w:val="Emphasis"/>
    <w:uiPriority w:val="0"/>
    <w:qFormat/>
    <w:rPr>
      <w:i/>
    </w:rPr>
  </w:style>
  <w:style w:type="character" w:styleId="764">
    <w:name w:val="Hyperlink"/>
    <w:uiPriority w:val="99"/>
    <w:unhideWhenUsed/>
    <w:qFormat/>
    <w:rPr>
      <w:color w:val="0000ff"/>
      <w:u w:val="single"/>
    </w:rPr>
  </w:style>
  <w:style w:type="character" w:styleId="765">
    <w:name w:val="annotation reference"/>
    <w:basedOn w:val="736"/>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尾注文本 字符"/>
    <w:link w:val="746"/>
    <w:uiPriority w:val="99"/>
    <w:qFormat/>
    <w:rPr>
      <w:sz w:val="20"/>
    </w:rPr>
  </w:style>
  <w:style w:type="character" w:styleId="768" w:customStyle="1">
    <w:name w:val="页脚 字符1"/>
    <w:link w:val="748"/>
    <w:uiPriority w:val="99"/>
    <w:qFormat/>
    <w:rPr>
      <w:sz w:val="18"/>
      <w:szCs w:val="18"/>
    </w:rPr>
  </w:style>
  <w:style w:type="character" w:styleId="769" w:customStyle="1">
    <w:name w:val="页眉 字符1"/>
    <w:link w:val="749"/>
    <w:uiPriority w:val="99"/>
    <w:qFormat/>
    <w:rPr>
      <w:sz w:val="18"/>
      <w:szCs w:val="18"/>
    </w:rPr>
  </w:style>
  <w:style w:type="character" w:styleId="770" w:customStyle="1">
    <w:name w:val="副标题 字符"/>
    <w:link w:val="752"/>
    <w:uiPriority w:val="11"/>
    <w:qFormat/>
    <w:rPr>
      <w:sz w:val="24"/>
      <w:szCs w:val="24"/>
    </w:rPr>
  </w:style>
  <w:style w:type="character" w:styleId="771" w:customStyle="1">
    <w:name w:val="脚注文本 字符"/>
    <w:link w:val="753"/>
    <w:uiPriority w:val="99"/>
    <w:qFormat/>
    <w:rPr>
      <w:sz w:val="18"/>
    </w:rPr>
  </w:style>
  <w:style w:type="character" w:styleId="772" w:customStyle="1">
    <w:name w:val="标题 字符"/>
    <w:link w:val="759"/>
    <w:uiPriority w:val="10"/>
    <w:qFormat/>
    <w:rPr>
      <w:sz w:val="48"/>
      <w:szCs w:val="48"/>
    </w:rPr>
  </w:style>
  <w:style w:type="paragraph" w:styleId="773" w:customStyle="1">
    <w:name w:val="标题 11"/>
    <w:basedOn w:val="732"/>
    <w:next w:val="732"/>
    <w:link w:val="774"/>
    <w:uiPriority w:val="9"/>
    <w:qFormat/>
    <w:pPr>
      <w:keepLines/>
      <w:keepNext/>
      <w:spacing w:before="480" w:after="200"/>
      <w:outlineLvl w:val="0"/>
    </w:pPr>
    <w:rPr>
      <w:rFonts w:ascii="Arial" w:hAnsi="Arial" w:eastAsia="Arial" w:cs="Arial"/>
      <w:sz w:val="40"/>
      <w:szCs w:val="40"/>
    </w:rPr>
  </w:style>
  <w:style w:type="character" w:styleId="774" w:customStyle="1">
    <w:name w:val="Heading 1 Char"/>
    <w:link w:val="773"/>
    <w:uiPriority w:val="9"/>
    <w:qFormat/>
    <w:rPr>
      <w:rFonts w:ascii="Arial" w:hAnsi="Arial" w:eastAsia="Arial" w:cs="Arial"/>
      <w:sz w:val="40"/>
      <w:szCs w:val="40"/>
    </w:rPr>
  </w:style>
  <w:style w:type="paragraph" w:styleId="775" w:customStyle="1">
    <w:name w:val="标题 21"/>
    <w:basedOn w:val="732"/>
    <w:next w:val="732"/>
    <w:link w:val="776"/>
    <w:uiPriority w:val="9"/>
    <w:unhideWhenUsed/>
    <w:qFormat/>
    <w:pPr>
      <w:keepLines/>
      <w:keepNext/>
      <w:spacing w:before="360" w:after="200"/>
      <w:outlineLvl w:val="1"/>
    </w:pPr>
    <w:rPr>
      <w:rFonts w:ascii="Arial" w:hAnsi="Arial" w:eastAsia="Arial" w:cs="Arial"/>
      <w:sz w:val="34"/>
    </w:rPr>
  </w:style>
  <w:style w:type="character" w:styleId="776" w:customStyle="1">
    <w:name w:val="Heading 2 Char"/>
    <w:link w:val="775"/>
    <w:uiPriority w:val="9"/>
    <w:qFormat/>
    <w:rPr>
      <w:rFonts w:ascii="Arial" w:hAnsi="Arial" w:eastAsia="Arial" w:cs="Arial"/>
      <w:sz w:val="34"/>
    </w:rPr>
  </w:style>
  <w:style w:type="paragraph" w:styleId="777" w:customStyle="1">
    <w:name w:val="标题 31"/>
    <w:basedOn w:val="732"/>
    <w:next w:val="732"/>
    <w:link w:val="778"/>
    <w:uiPriority w:val="9"/>
    <w:unhideWhenUsed/>
    <w:qFormat/>
    <w:pPr>
      <w:keepLines/>
      <w:keepNext/>
      <w:spacing w:before="320" w:after="200"/>
      <w:outlineLvl w:val="2"/>
    </w:pPr>
    <w:rPr>
      <w:rFonts w:ascii="Arial" w:hAnsi="Arial" w:eastAsia="Arial" w:cs="Arial"/>
      <w:sz w:val="30"/>
      <w:szCs w:val="30"/>
    </w:rPr>
  </w:style>
  <w:style w:type="character" w:styleId="778" w:customStyle="1">
    <w:name w:val="Heading 3 Char"/>
    <w:link w:val="777"/>
    <w:uiPriority w:val="9"/>
    <w:qFormat/>
    <w:rPr>
      <w:rFonts w:ascii="Arial" w:hAnsi="Arial" w:eastAsia="Arial" w:cs="Arial"/>
      <w:sz w:val="30"/>
      <w:szCs w:val="30"/>
    </w:rPr>
  </w:style>
  <w:style w:type="paragraph" w:styleId="779" w:customStyle="1">
    <w:name w:val="标题 41"/>
    <w:basedOn w:val="732"/>
    <w:next w:val="732"/>
    <w:link w:val="780"/>
    <w:uiPriority w:val="9"/>
    <w:unhideWhenUsed/>
    <w:qFormat/>
    <w:pPr>
      <w:keepLines/>
      <w:keepNext/>
      <w:spacing w:before="320" w:after="200"/>
      <w:outlineLvl w:val="3"/>
    </w:pPr>
    <w:rPr>
      <w:rFonts w:ascii="Arial" w:hAnsi="Arial" w:eastAsia="Arial" w:cs="Arial"/>
      <w:b/>
      <w:bCs/>
      <w:sz w:val="26"/>
      <w:szCs w:val="26"/>
    </w:rPr>
  </w:style>
  <w:style w:type="character" w:styleId="780" w:customStyle="1">
    <w:name w:val="Heading 4 Char"/>
    <w:link w:val="779"/>
    <w:uiPriority w:val="9"/>
    <w:qFormat/>
    <w:rPr>
      <w:rFonts w:ascii="Arial" w:hAnsi="Arial" w:eastAsia="Arial" w:cs="Arial"/>
      <w:b/>
      <w:bCs/>
      <w:sz w:val="26"/>
      <w:szCs w:val="26"/>
    </w:rPr>
  </w:style>
  <w:style w:type="paragraph" w:styleId="781" w:customStyle="1">
    <w:name w:val="标题 51"/>
    <w:basedOn w:val="732"/>
    <w:next w:val="732"/>
    <w:link w:val="782"/>
    <w:uiPriority w:val="9"/>
    <w:unhideWhenUsed/>
    <w:qFormat/>
    <w:pPr>
      <w:keepLines/>
      <w:keepNext/>
      <w:spacing w:before="320" w:after="200"/>
      <w:outlineLvl w:val="4"/>
    </w:pPr>
    <w:rPr>
      <w:rFonts w:ascii="Arial" w:hAnsi="Arial" w:eastAsia="Arial" w:cs="Arial"/>
      <w:b/>
      <w:bCs/>
      <w:sz w:val="24"/>
      <w:szCs w:val="24"/>
    </w:rPr>
  </w:style>
  <w:style w:type="character" w:styleId="782" w:customStyle="1">
    <w:name w:val="Heading 5 Char"/>
    <w:link w:val="781"/>
    <w:uiPriority w:val="9"/>
    <w:qFormat/>
    <w:rPr>
      <w:rFonts w:ascii="Arial" w:hAnsi="Arial" w:eastAsia="Arial" w:cs="Arial"/>
      <w:b/>
      <w:bCs/>
      <w:sz w:val="24"/>
      <w:szCs w:val="24"/>
    </w:rPr>
  </w:style>
  <w:style w:type="paragraph" w:styleId="783" w:customStyle="1">
    <w:name w:val="标题 61"/>
    <w:basedOn w:val="732"/>
    <w:next w:val="732"/>
    <w:link w:val="784"/>
    <w:uiPriority w:val="9"/>
    <w:unhideWhenUsed/>
    <w:qFormat/>
    <w:pPr>
      <w:keepLines/>
      <w:keepNext/>
      <w:spacing w:before="320" w:after="200"/>
      <w:outlineLvl w:val="5"/>
    </w:pPr>
    <w:rPr>
      <w:rFonts w:ascii="Arial" w:hAnsi="Arial" w:eastAsia="Arial" w:cs="Arial"/>
      <w:b/>
      <w:bCs/>
      <w:sz w:val="22"/>
      <w:szCs w:val="22"/>
    </w:rPr>
  </w:style>
  <w:style w:type="character" w:styleId="784" w:customStyle="1">
    <w:name w:val="Heading 6 Char"/>
    <w:link w:val="783"/>
    <w:uiPriority w:val="9"/>
    <w:qFormat/>
    <w:rPr>
      <w:rFonts w:ascii="Arial" w:hAnsi="Arial" w:eastAsia="Arial" w:cs="Arial"/>
      <w:b/>
      <w:bCs/>
      <w:sz w:val="22"/>
      <w:szCs w:val="22"/>
    </w:rPr>
  </w:style>
  <w:style w:type="paragraph" w:styleId="785" w:customStyle="1">
    <w:name w:val="标题 71"/>
    <w:basedOn w:val="732"/>
    <w:next w:val="732"/>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customStyle="1">
    <w:name w:val="Heading 7 Char"/>
    <w:link w:val="785"/>
    <w:uiPriority w:val="9"/>
    <w:qFormat/>
    <w:rPr>
      <w:rFonts w:ascii="Arial" w:hAnsi="Arial" w:eastAsia="Arial" w:cs="Arial"/>
      <w:b/>
      <w:bCs/>
      <w:i/>
      <w:iCs/>
      <w:sz w:val="22"/>
      <w:szCs w:val="22"/>
    </w:rPr>
  </w:style>
  <w:style w:type="paragraph" w:styleId="787" w:customStyle="1">
    <w:name w:val="标题 81"/>
    <w:basedOn w:val="732"/>
    <w:next w:val="732"/>
    <w:link w:val="788"/>
    <w:uiPriority w:val="9"/>
    <w:unhideWhenUsed/>
    <w:qFormat/>
    <w:pPr>
      <w:keepLines/>
      <w:keepNext/>
      <w:spacing w:before="320" w:after="200"/>
      <w:outlineLvl w:val="7"/>
    </w:pPr>
    <w:rPr>
      <w:rFonts w:ascii="Arial" w:hAnsi="Arial" w:eastAsia="Arial" w:cs="Arial"/>
      <w:i/>
      <w:iCs/>
      <w:sz w:val="22"/>
      <w:szCs w:val="22"/>
    </w:rPr>
  </w:style>
  <w:style w:type="character" w:styleId="788" w:customStyle="1">
    <w:name w:val="Heading 8 Char"/>
    <w:link w:val="787"/>
    <w:uiPriority w:val="9"/>
    <w:qFormat/>
    <w:rPr>
      <w:rFonts w:ascii="Arial" w:hAnsi="Arial" w:eastAsia="Arial" w:cs="Arial"/>
      <w:i/>
      <w:iCs/>
      <w:sz w:val="22"/>
      <w:szCs w:val="22"/>
    </w:rPr>
  </w:style>
  <w:style w:type="paragraph" w:styleId="789" w:customStyle="1">
    <w:name w:val="标题 91"/>
    <w:basedOn w:val="732"/>
    <w:next w:val="732"/>
    <w:link w:val="790"/>
    <w:uiPriority w:val="9"/>
    <w:unhideWhenUsed/>
    <w:qFormat/>
    <w:pPr>
      <w:keepLines/>
      <w:keepNext/>
      <w:spacing w:before="320" w:after="200"/>
      <w:outlineLvl w:val="8"/>
    </w:pPr>
    <w:rPr>
      <w:rFonts w:ascii="Arial" w:hAnsi="Arial" w:eastAsia="Arial" w:cs="Arial"/>
      <w:i/>
      <w:iCs/>
    </w:rPr>
  </w:style>
  <w:style w:type="character" w:styleId="790" w:customStyle="1">
    <w:name w:val="Heading 9 Char"/>
    <w:link w:val="789"/>
    <w:uiPriority w:val="9"/>
    <w:qFormat/>
    <w:rPr>
      <w:rFonts w:ascii="Arial" w:hAnsi="Arial" w:eastAsia="Arial" w:cs="Arial"/>
      <w:i/>
      <w:iCs/>
      <w:sz w:val="21"/>
      <w:szCs w:val="21"/>
    </w:rPr>
  </w:style>
  <w:style w:type="paragraph" w:styleId="791">
    <w:name w:val="List Paragraph"/>
    <w:basedOn w:val="732"/>
    <w:uiPriority w:val="34"/>
    <w:qFormat/>
    <w:pPr>
      <w:contextualSpacing/>
      <w:ind w:left="720"/>
    </w:pPr>
  </w:style>
  <w:style w:type="paragraph" w:styleId="792">
    <w:name w:val="No Spacing"/>
    <w:uiPriority w:val="1"/>
    <w:qFormat/>
    <w:rPr>
      <w:rFonts w:ascii="Times New Roman" w:hAnsi="Times New Roman" w:eastAsia="宋体" w:cs="Times New Roman"/>
      <w:lang w:val="en-US" w:eastAsia="zh-CN" w:bidi="ar-SA"/>
    </w:rPr>
  </w:style>
  <w:style w:type="paragraph" w:styleId="793">
    <w:name w:val="Quote"/>
    <w:basedOn w:val="732"/>
    <w:next w:val="732"/>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32"/>
    <w:next w:val="73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paragraph" w:styleId="797" w:customStyle="1">
    <w:name w:val="页眉1"/>
    <w:basedOn w:val="732"/>
    <w:link w:val="798"/>
    <w:uiPriority w:val="99"/>
    <w:unhideWhenUsed/>
    <w:qFormat/>
    <w:pPr>
      <w:tabs>
        <w:tab w:val="center" w:pos="7143" w:leader="none"/>
        <w:tab w:val="right" w:pos="14287" w:leader="none"/>
      </w:tabs>
    </w:pPr>
  </w:style>
  <w:style w:type="character" w:styleId="798" w:customStyle="1">
    <w:name w:val="Header Char"/>
    <w:link w:val="797"/>
    <w:uiPriority w:val="99"/>
    <w:qFormat/>
  </w:style>
  <w:style w:type="paragraph" w:styleId="799" w:customStyle="1">
    <w:name w:val="页脚1"/>
    <w:basedOn w:val="732"/>
    <w:link w:val="801"/>
    <w:uiPriority w:val="99"/>
    <w:unhideWhenUsed/>
    <w:qFormat/>
    <w:pPr>
      <w:tabs>
        <w:tab w:val="center" w:pos="7143" w:leader="none"/>
        <w:tab w:val="right" w:pos="14287" w:leader="none"/>
      </w:tabs>
    </w:pPr>
  </w:style>
  <w:style w:type="character" w:styleId="800" w:customStyle="1">
    <w:name w:val="Caption Char"/>
    <w:uiPriority w:val="99"/>
    <w:qFormat/>
  </w:style>
  <w:style w:type="character" w:styleId="801" w:customStyle="1">
    <w:name w:val="Footer Char"/>
    <w:link w:val="799"/>
    <w:uiPriority w:val="99"/>
    <w:qFormat/>
  </w:style>
  <w:style w:type="paragraph" w:styleId="802" w:customStyle="1">
    <w:name w:val="题注1"/>
    <w:basedOn w:val="732"/>
    <w:next w:val="732"/>
    <w:uiPriority w:val="35"/>
    <w:unhideWhenUsed/>
    <w:qFormat/>
    <w:pPr>
      <w:spacing w:line="276" w:lineRule="auto"/>
    </w:pPr>
    <w:rPr>
      <w:b/>
      <w:bCs/>
      <w:color w:val="4f81bd"/>
      <w:sz w:val="18"/>
      <w:szCs w:val="18"/>
    </w:rPr>
  </w:style>
  <w:style w:type="table" w:styleId="803"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06" w:customStyle="1">
    <w:name w:val="_Style 67"/>
    <w:uiPriority w:val="99"/>
    <w:qFormat/>
    <w:tblPr>
      <w:tblCellMar>
        <w:left w:w="0" w:type="dxa"/>
        <w:top w:w="0" w:type="dxa"/>
        <w:right w:w="0" w:type="dxa"/>
        <w:bottom w:w="0" w:type="dxa"/>
      </w:tblCellMar>
    </w:tblPr>
  </w:style>
  <w:style w:type="table" w:styleId="807" w:customStyle="1">
    <w:name w:val="_Style 68"/>
    <w:uiPriority w:val="99"/>
    <w:qFormat/>
    <w:tblPr>
      <w:tblCellMar>
        <w:left w:w="0" w:type="dxa"/>
        <w:top w:w="0" w:type="dxa"/>
        <w:right w:w="0" w:type="dxa"/>
        <w:bottom w:w="0" w:type="dxa"/>
      </w:tblCellMar>
    </w:tblPr>
  </w:style>
  <w:style w:type="table" w:styleId="808" w:customStyle="1">
    <w:name w:val="_Style 69"/>
    <w:uiPriority w:val="99"/>
    <w:qFormat/>
    <w:tblPr>
      <w:tblCellMar>
        <w:left w:w="0" w:type="dxa"/>
        <w:top w:w="0" w:type="dxa"/>
        <w:right w:w="0" w:type="dxa"/>
        <w:bottom w:w="0" w:type="dxa"/>
      </w:tblCellMar>
    </w:tblPr>
  </w:style>
  <w:style w:type="table" w:styleId="809"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6"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3"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0"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7"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4"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1"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8" w:customStyle="1">
    <w:name w:val="_Style 119"/>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2"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3"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00"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28" w:customStyle="1">
    <w:name w:val="_Style 189"/>
    <w:uiPriority w:val="39"/>
    <w:qFormat/>
    <w:rPr>
      <w:rFonts w:ascii="Times New Roman" w:hAnsi="Times New Roman" w:eastAsia="宋体" w:cs="Times New Roman"/>
      <w:lang w:val="en-US" w:eastAsia="zh-CN" w:bidi="ar-SA"/>
    </w:rPr>
  </w:style>
  <w:style w:type="paragraph" w:styleId="929" w:customStyle="1">
    <w:name w:val="标题 111"/>
    <w:basedOn w:val="732"/>
    <w:next w:val="732"/>
    <w:link w:val="930"/>
    <w:uiPriority w:val="0"/>
    <w:qFormat/>
    <w:pPr>
      <w:jc w:val="center"/>
      <w:keepNext/>
      <w:outlineLvl w:val="0"/>
    </w:pPr>
    <w:rPr>
      <w:rFonts w:ascii="楷体_GB2312" w:eastAsia="楷体_GB2312"/>
      <w:sz w:val="28"/>
      <w:szCs w:val="28"/>
    </w:rPr>
  </w:style>
  <w:style w:type="character" w:styleId="930" w:customStyle="1">
    <w:name w:val="标题 1 字符"/>
    <w:link w:val="929"/>
    <w:uiPriority w:val="0"/>
    <w:qFormat/>
    <w:rPr>
      <w:rFonts w:ascii="楷体_GB2312" w:hAnsi="Times New Roman" w:eastAsia="楷体_GB2312" w:cs="Times New Roman"/>
      <w:sz w:val="28"/>
      <w:szCs w:val="28"/>
    </w:rPr>
  </w:style>
  <w:style w:type="paragraph" w:styleId="931" w:customStyle="1">
    <w:name w:val="标题 211"/>
    <w:basedOn w:val="732"/>
    <w:next w:val="932"/>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
    <w:basedOn w:val="732"/>
    <w:link w:val="934"/>
    <w:uiPriority w:val="99"/>
    <w:qFormat/>
    <w:pPr>
      <w:ind w:firstLine="420"/>
    </w:pPr>
  </w:style>
  <w:style w:type="character" w:styleId="933" w:customStyle="1">
    <w:name w:val="标题 2 字符"/>
    <w:link w:val="931"/>
    <w:uiPriority w:val="0"/>
    <w:qFormat/>
    <w:rPr>
      <w:rFonts w:ascii="Arial" w:hAnsi="Arial" w:eastAsia="幼圆" w:cs="Arial"/>
      <w:b/>
      <w:bCs/>
      <w:sz w:val="44"/>
      <w:szCs w:val="44"/>
    </w:rPr>
  </w:style>
  <w:style w:type="character" w:styleId="934" w:customStyle="1">
    <w:name w:val="正文缩进 字符"/>
    <w:link w:val="932"/>
    <w:uiPriority w:val="0"/>
    <w:qFormat/>
    <w:rPr>
      <w:rFonts w:ascii="Times New Roman" w:hAnsi="Times New Roman" w:eastAsia="宋体" w:cs="Times New Roman"/>
      <w:szCs w:val="21"/>
    </w:rPr>
  </w:style>
  <w:style w:type="paragraph" w:styleId="935" w:customStyle="1">
    <w:name w:val="标题 311"/>
    <w:basedOn w:val="732"/>
    <w:next w:val="932"/>
    <w:link w:val="936"/>
    <w:uiPriority w:val="0"/>
    <w:qFormat/>
    <w:pPr>
      <w:keepLines/>
      <w:keepNext/>
      <w:spacing w:before="260" w:after="260" w:line="416" w:lineRule="auto"/>
      <w:outlineLvl w:val="2"/>
    </w:pPr>
    <w:rPr>
      <w:b/>
      <w:bCs/>
      <w:sz w:val="32"/>
      <w:szCs w:val="32"/>
    </w:rPr>
  </w:style>
  <w:style w:type="character" w:styleId="936" w:customStyle="1">
    <w:name w:val="标题 3 字符"/>
    <w:link w:val="935"/>
    <w:uiPriority w:val="0"/>
    <w:qFormat/>
    <w:rPr>
      <w:rFonts w:ascii="Times New Roman" w:hAnsi="Times New Roman" w:eastAsia="宋体" w:cs="Times New Roman"/>
      <w:b/>
      <w:bCs/>
      <w:sz w:val="32"/>
      <w:szCs w:val="32"/>
    </w:rPr>
  </w:style>
  <w:style w:type="paragraph" w:styleId="937" w:customStyle="1">
    <w:name w:val="标题 411"/>
    <w:basedOn w:val="732"/>
    <w:next w:val="932"/>
    <w:link w:val="938"/>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标题 4 字符"/>
    <w:link w:val="937"/>
    <w:uiPriority w:val="0"/>
    <w:qFormat/>
    <w:rPr>
      <w:rFonts w:ascii="Arial" w:hAnsi="Arial" w:eastAsia="黑体" w:cs="Arial"/>
      <w:b/>
      <w:bCs/>
      <w:sz w:val="28"/>
      <w:szCs w:val="28"/>
    </w:rPr>
  </w:style>
  <w:style w:type="paragraph" w:styleId="939" w:customStyle="1">
    <w:name w:val="标题 511"/>
    <w:basedOn w:val="732"/>
    <w:next w:val="932"/>
    <w:link w:val="940"/>
    <w:uiPriority w:val="0"/>
    <w:qFormat/>
    <w:pPr>
      <w:keepNext/>
      <w:outlineLvl w:val="4"/>
    </w:pPr>
    <w:rPr>
      <w:rFonts w:ascii="宋体"/>
      <w:color w:val="000000"/>
      <w:sz w:val="28"/>
      <w:szCs w:val="28"/>
    </w:rPr>
  </w:style>
  <w:style w:type="character" w:styleId="940" w:customStyle="1">
    <w:name w:val="标题 5 字符"/>
    <w:link w:val="939"/>
    <w:uiPriority w:val="0"/>
    <w:qFormat/>
    <w:rPr>
      <w:rFonts w:ascii="宋体" w:hAnsi="Times New Roman" w:eastAsia="宋体" w:cs="Times New Roman"/>
      <w:color w:val="000000"/>
      <w:sz w:val="28"/>
      <w:szCs w:val="28"/>
    </w:rPr>
  </w:style>
  <w:style w:type="paragraph" w:styleId="941" w:customStyle="1">
    <w:name w:val="标题 611"/>
    <w:basedOn w:val="732"/>
    <w:next w:val="732"/>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2" w:customStyle="1">
    <w:name w:val="标题 6 字符"/>
    <w:link w:val="941"/>
    <w:uiPriority w:val="0"/>
    <w:qFormat/>
    <w:rPr>
      <w:rFonts w:ascii="Arial" w:hAnsi="Arial" w:eastAsia="黑体" w:cs="Times New Roman"/>
      <w:b/>
      <w:bCs/>
      <w:sz w:val="24"/>
      <w:szCs w:val="24"/>
    </w:rPr>
  </w:style>
  <w:style w:type="paragraph" w:styleId="943" w:customStyle="1">
    <w:name w:val="标题 711"/>
    <w:basedOn w:val="732"/>
    <w:next w:val="732"/>
    <w:link w:val="944"/>
    <w:uiPriority w:val="0"/>
    <w:qFormat/>
    <w:pPr>
      <w:numPr>
        <w:ilvl w:val="6"/>
        <w:numId w:val="1"/>
      </w:numPr>
      <w:keepLines/>
      <w:keepNext/>
      <w:spacing w:before="240" w:after="64" w:line="320" w:lineRule="auto"/>
      <w:outlineLvl w:val="6"/>
    </w:pPr>
    <w:rPr>
      <w:b/>
      <w:bCs/>
      <w:sz w:val="24"/>
      <w:szCs w:val="24"/>
    </w:rPr>
  </w:style>
  <w:style w:type="character" w:styleId="944" w:customStyle="1">
    <w:name w:val="标题 7 字符"/>
    <w:link w:val="943"/>
    <w:uiPriority w:val="0"/>
    <w:qFormat/>
    <w:rPr>
      <w:rFonts w:ascii="Times New Roman" w:hAnsi="Times New Roman" w:eastAsia="宋体" w:cs="Times New Roman"/>
      <w:b/>
      <w:bCs/>
      <w:sz w:val="24"/>
      <w:szCs w:val="24"/>
    </w:rPr>
  </w:style>
  <w:style w:type="paragraph" w:styleId="945" w:customStyle="1">
    <w:name w:val="标题 811"/>
    <w:basedOn w:val="732"/>
    <w:next w:val="732"/>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6" w:customStyle="1">
    <w:name w:val="标题 8 字符"/>
    <w:link w:val="945"/>
    <w:uiPriority w:val="0"/>
    <w:qFormat/>
    <w:rPr>
      <w:rFonts w:ascii="Arial" w:hAnsi="Arial" w:eastAsia="黑体" w:cs="Times New Roman"/>
      <w:sz w:val="24"/>
      <w:szCs w:val="24"/>
    </w:rPr>
  </w:style>
  <w:style w:type="paragraph" w:styleId="947" w:customStyle="1">
    <w:name w:val="标题 911"/>
    <w:basedOn w:val="732"/>
    <w:next w:val="732"/>
    <w:link w:val="948"/>
    <w:uiPriority w:val="0"/>
    <w:qFormat/>
    <w:pPr>
      <w:numPr>
        <w:ilvl w:val="8"/>
        <w:numId w:val="1"/>
      </w:numPr>
      <w:keepLines/>
      <w:keepNext/>
      <w:spacing w:before="240" w:after="64" w:line="320" w:lineRule="auto"/>
      <w:outlineLvl w:val="8"/>
    </w:pPr>
    <w:rPr>
      <w:rFonts w:ascii="Arial" w:hAnsi="Arial" w:eastAsia="黑体"/>
    </w:rPr>
  </w:style>
  <w:style w:type="character" w:styleId="948" w:customStyle="1">
    <w:name w:val="标题 9 字符"/>
    <w:link w:val="947"/>
    <w:uiPriority w:val="0"/>
    <w:qFormat/>
    <w:rPr>
      <w:rFonts w:ascii="Arial" w:hAnsi="Arial" w:eastAsia="黑体" w:cs="Times New Roman"/>
      <w:szCs w:val="21"/>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列表 31"/>
    <w:basedOn w:val="732"/>
    <w:uiPriority w:val="0"/>
    <w:qFormat/>
    <w:pPr>
      <w:ind w:left="100" w:hanging="200"/>
    </w:pPr>
  </w:style>
  <w:style w:type="paragraph" w:styleId="952" w:customStyle="1">
    <w:name w:val="目录 71"/>
    <w:basedOn w:val="732"/>
    <w:next w:val="732"/>
    <w:uiPriority w:val="0"/>
    <w:semiHidden/>
    <w:qFormat/>
    <w:pPr>
      <w:ind w:left="1260"/>
      <w:jc w:val="left"/>
    </w:pPr>
  </w:style>
  <w:style w:type="paragraph" w:styleId="953" w:customStyle="1">
    <w:name w:val="文档结构图1"/>
    <w:basedOn w:val="732"/>
    <w:link w:val="954"/>
    <w:uiPriority w:val="0"/>
    <w:semiHidden/>
    <w:qFormat/>
    <w:pPr>
      <w:shd w:val="clear" w:color="auto" w:fill="000080"/>
    </w:pPr>
  </w:style>
  <w:style w:type="character" w:styleId="954" w:customStyle="1">
    <w:name w:val="文档结构图 字符"/>
    <w:link w:val="953"/>
    <w:uiPriority w:val="0"/>
    <w:semiHidden/>
    <w:qFormat/>
    <w:rPr>
      <w:rFonts w:ascii="Times New Roman" w:hAnsi="Times New Roman" w:eastAsia="宋体" w:cs="Times New Roman"/>
      <w:szCs w:val="21"/>
      <w:shd w:val="clear" w:color="auto" w:fill="000080"/>
    </w:rPr>
  </w:style>
  <w:style w:type="paragraph" w:styleId="955" w:customStyle="1">
    <w:name w:val="批注文字1"/>
    <w:basedOn w:val="732"/>
    <w:link w:val="956"/>
    <w:uiPriority w:val="99"/>
    <w:qFormat/>
    <w:pPr>
      <w:jc w:val="left"/>
    </w:pPr>
  </w:style>
  <w:style w:type="character" w:styleId="956" w:customStyle="1">
    <w:name w:val="批注文字 字符"/>
    <w:link w:val="955"/>
    <w:uiPriority w:val="99"/>
    <w:qFormat/>
    <w:rPr>
      <w:rFonts w:ascii="Times New Roman" w:hAnsi="Times New Roman" w:eastAsia="宋体" w:cs="Times New Roman"/>
      <w:szCs w:val="21"/>
    </w:rPr>
  </w:style>
  <w:style w:type="paragraph" w:styleId="957" w:customStyle="1">
    <w:name w:val="正文文本 31"/>
    <w:basedOn w:val="732"/>
    <w:link w:val="958"/>
    <w:uiPriority w:val="0"/>
    <w:qFormat/>
    <w:rPr>
      <w:rFonts w:ascii="仿宋_GB2312" w:hAnsi="Arial" w:eastAsia="仿宋_GB2312"/>
      <w:sz w:val="32"/>
      <w:szCs w:val="32"/>
    </w:rPr>
  </w:style>
  <w:style w:type="character" w:styleId="958" w:customStyle="1">
    <w:name w:val="正文文本 3 字符"/>
    <w:link w:val="957"/>
    <w:uiPriority w:val="0"/>
    <w:qFormat/>
    <w:rPr>
      <w:rFonts w:ascii="仿宋_GB2312" w:hAnsi="Arial" w:eastAsia="仿宋_GB2312" w:cs="Times New Roman"/>
      <w:sz w:val="32"/>
      <w:szCs w:val="32"/>
    </w:rPr>
  </w:style>
  <w:style w:type="paragraph" w:styleId="959" w:customStyle="1">
    <w:name w:val="正文文本1"/>
    <w:basedOn w:val="732"/>
    <w:link w:val="960"/>
    <w:uiPriority w:val="0"/>
    <w:qFormat/>
    <w:rPr>
      <w:rFonts w:ascii="楷体_GB2312" w:hAnsi="Arial" w:eastAsia="楷体_GB2312"/>
      <w:sz w:val="28"/>
      <w:szCs w:val="28"/>
    </w:rPr>
  </w:style>
  <w:style w:type="character" w:styleId="960" w:customStyle="1">
    <w:name w:val="正文文本 字符"/>
    <w:link w:val="959"/>
    <w:uiPriority w:val="0"/>
    <w:qFormat/>
    <w:rPr>
      <w:rFonts w:ascii="楷体_GB2312" w:hAnsi="Arial" w:eastAsia="楷体_GB2312" w:cs="Times New Roman"/>
      <w:sz w:val="28"/>
      <w:szCs w:val="28"/>
    </w:rPr>
  </w:style>
  <w:style w:type="paragraph" w:styleId="961" w:customStyle="1">
    <w:name w:val="正文文本缩进1"/>
    <w:basedOn w:val="732"/>
    <w:link w:val="962"/>
    <w:uiPriority w:val="0"/>
    <w:qFormat/>
    <w:pPr>
      <w:ind w:firstLine="645"/>
    </w:pPr>
    <w:rPr>
      <w:rFonts w:ascii="楷体_GB2312" w:eastAsia="楷体_GB2312"/>
      <w:sz w:val="32"/>
      <w:szCs w:val="32"/>
    </w:rPr>
  </w:style>
  <w:style w:type="character" w:styleId="962" w:customStyle="1">
    <w:name w:val="正文文本缩进 字符"/>
    <w:link w:val="961"/>
    <w:uiPriority w:val="0"/>
    <w:qFormat/>
    <w:rPr>
      <w:rFonts w:ascii="楷体_GB2312" w:hAnsi="Times New Roman" w:eastAsia="楷体_GB2312" w:cs="Times New Roman"/>
      <w:sz w:val="32"/>
      <w:szCs w:val="32"/>
    </w:rPr>
  </w:style>
  <w:style w:type="paragraph" w:styleId="963" w:customStyle="1">
    <w:name w:val="列表 21"/>
    <w:basedOn w:val="732"/>
    <w:uiPriority w:val="0"/>
    <w:qFormat/>
    <w:pPr>
      <w:ind w:left="100" w:hanging="200"/>
    </w:pPr>
  </w:style>
  <w:style w:type="paragraph" w:styleId="964" w:customStyle="1">
    <w:name w:val="目录 51"/>
    <w:basedOn w:val="732"/>
    <w:next w:val="732"/>
    <w:uiPriority w:val="0"/>
    <w:semiHidden/>
    <w:qFormat/>
    <w:pPr>
      <w:ind w:left="840"/>
      <w:jc w:val="left"/>
    </w:pPr>
  </w:style>
  <w:style w:type="paragraph" w:styleId="965" w:customStyle="1">
    <w:name w:val="目录 31"/>
    <w:basedOn w:val="732"/>
    <w:next w:val="732"/>
    <w:uiPriority w:val="0"/>
    <w:semiHidden/>
    <w:qFormat/>
    <w:pPr>
      <w:ind w:left="420"/>
      <w:jc w:val="left"/>
    </w:pPr>
    <w:rPr>
      <w:i/>
      <w:iCs/>
      <w:szCs w:val="24"/>
    </w:rPr>
  </w:style>
  <w:style w:type="paragraph" w:styleId="966" w:customStyle="1">
    <w:name w:val="纯文本1"/>
    <w:basedOn w:val="732"/>
    <w:link w:val="967"/>
    <w:uiPriority w:val="0"/>
    <w:qFormat/>
    <w:rPr>
      <w:rFonts w:ascii="宋体" w:hAnsi="Courier New" w:cs="Courier New"/>
    </w:rPr>
  </w:style>
  <w:style w:type="character" w:styleId="967" w:customStyle="1">
    <w:name w:val="纯文本 字符"/>
    <w:link w:val="966"/>
    <w:uiPriority w:val="0"/>
    <w:qFormat/>
    <w:rPr>
      <w:rFonts w:ascii="宋体" w:hAnsi="Courier New" w:eastAsia="宋体" w:cs="Courier New"/>
      <w:szCs w:val="21"/>
    </w:rPr>
  </w:style>
  <w:style w:type="paragraph" w:styleId="968" w:customStyle="1">
    <w:name w:val="目录 81"/>
    <w:basedOn w:val="732"/>
    <w:next w:val="732"/>
    <w:uiPriority w:val="0"/>
    <w:semiHidden/>
    <w:qFormat/>
    <w:pPr>
      <w:ind w:left="1470"/>
      <w:jc w:val="left"/>
    </w:pPr>
  </w:style>
  <w:style w:type="paragraph" w:styleId="969" w:customStyle="1">
    <w:name w:val="日期1"/>
    <w:basedOn w:val="732"/>
    <w:next w:val="732"/>
    <w:link w:val="970"/>
    <w:uiPriority w:val="0"/>
    <w:qFormat/>
    <w:rPr>
      <w:sz w:val="24"/>
      <w:szCs w:val="24"/>
    </w:rPr>
  </w:style>
  <w:style w:type="character" w:styleId="970" w:customStyle="1">
    <w:name w:val="日期 字符"/>
    <w:link w:val="969"/>
    <w:uiPriority w:val="0"/>
    <w:qFormat/>
    <w:rPr>
      <w:rFonts w:ascii="Times New Roman" w:hAnsi="Times New Roman" w:eastAsia="宋体" w:cs="Times New Roman"/>
      <w:sz w:val="24"/>
      <w:szCs w:val="24"/>
    </w:rPr>
  </w:style>
  <w:style w:type="paragraph" w:styleId="971" w:customStyle="1">
    <w:name w:val="正文文本缩进 21"/>
    <w:basedOn w:val="732"/>
    <w:link w:val="972"/>
    <w:uiPriority w:val="0"/>
    <w:qFormat/>
    <w:pPr>
      <w:ind w:left="630" w:firstLine="645"/>
    </w:pPr>
    <w:rPr>
      <w:rFonts w:ascii="Arial" w:hAnsi="Arial" w:eastAsia="仿宋_GB2312" w:cs="Arial"/>
      <w:sz w:val="32"/>
      <w:szCs w:val="32"/>
    </w:rPr>
  </w:style>
  <w:style w:type="character" w:styleId="972" w:customStyle="1">
    <w:name w:val="正文文本缩进 2 字符"/>
    <w:link w:val="971"/>
    <w:uiPriority w:val="0"/>
    <w:qFormat/>
    <w:rPr>
      <w:rFonts w:ascii="Arial" w:hAnsi="Arial" w:eastAsia="仿宋_GB2312" w:cs="Arial"/>
      <w:sz w:val="32"/>
      <w:szCs w:val="32"/>
    </w:rPr>
  </w:style>
  <w:style w:type="paragraph" w:styleId="973" w:customStyle="1">
    <w:name w:val="批注框文本1"/>
    <w:basedOn w:val="732"/>
    <w:link w:val="974"/>
    <w:uiPriority w:val="0"/>
    <w:semiHidden/>
    <w:qFormat/>
    <w:rPr>
      <w:sz w:val="18"/>
      <w:szCs w:val="18"/>
    </w:rPr>
  </w:style>
  <w:style w:type="character" w:styleId="974" w:customStyle="1">
    <w:name w:val="批注框文本 字符"/>
    <w:link w:val="973"/>
    <w:uiPriority w:val="0"/>
    <w:semiHidden/>
    <w:qFormat/>
    <w:rPr>
      <w:rFonts w:ascii="Times New Roman" w:hAnsi="Times New Roman" w:eastAsia="宋体" w:cs="Times New Roman"/>
      <w:sz w:val="18"/>
      <w:szCs w:val="18"/>
    </w:rPr>
  </w:style>
  <w:style w:type="paragraph" w:styleId="975" w:customStyle="1">
    <w:name w:val="页脚11"/>
    <w:basedOn w:val="732"/>
    <w:link w:val="976"/>
    <w:uiPriority w:val="99"/>
    <w:qFormat/>
    <w:pPr>
      <w:jc w:val="left"/>
      <w:tabs>
        <w:tab w:val="center" w:pos="4153" w:leader="none"/>
        <w:tab w:val="right" w:pos="8306" w:leader="none"/>
      </w:tabs>
    </w:pPr>
    <w:rPr>
      <w:sz w:val="18"/>
      <w:szCs w:val="18"/>
    </w:rPr>
  </w:style>
  <w:style w:type="character" w:styleId="976" w:customStyle="1">
    <w:name w:val="页脚 字符"/>
    <w:link w:val="975"/>
    <w:uiPriority w:val="99"/>
    <w:qFormat/>
    <w:rPr>
      <w:rFonts w:ascii="Times New Roman" w:hAnsi="Times New Roman" w:eastAsia="宋体" w:cs="Times New Roman"/>
      <w:sz w:val="18"/>
      <w:szCs w:val="18"/>
    </w:rPr>
  </w:style>
  <w:style w:type="paragraph" w:styleId="977" w:customStyle="1">
    <w:name w:val="页眉11"/>
    <w:basedOn w:val="732"/>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字符"/>
    <w:link w:val="977"/>
    <w:uiPriority w:val="0"/>
    <w:qFormat/>
    <w:rPr>
      <w:rFonts w:ascii="Times New Roman" w:hAnsi="Times New Roman" w:eastAsia="宋体" w:cs="Times New Roman"/>
      <w:sz w:val="18"/>
      <w:szCs w:val="18"/>
    </w:rPr>
  </w:style>
  <w:style w:type="paragraph" w:styleId="979" w:customStyle="1">
    <w:name w:val="目录 1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32"/>
    <w:next w:val="732"/>
    <w:uiPriority w:val="0"/>
    <w:semiHidden/>
    <w:qFormat/>
    <w:pPr>
      <w:ind w:left="630"/>
      <w:jc w:val="left"/>
    </w:pPr>
  </w:style>
  <w:style w:type="paragraph" w:styleId="981" w:customStyle="1">
    <w:name w:val="列表1"/>
    <w:basedOn w:val="732"/>
    <w:uiPriority w:val="0"/>
    <w:qFormat/>
    <w:pPr>
      <w:ind w:left="200" w:hanging="200"/>
    </w:pPr>
  </w:style>
  <w:style w:type="paragraph" w:styleId="982" w:customStyle="1">
    <w:name w:val="目录 61"/>
    <w:basedOn w:val="732"/>
    <w:next w:val="732"/>
    <w:uiPriority w:val="0"/>
    <w:semiHidden/>
    <w:qFormat/>
    <w:pPr>
      <w:ind w:left="1050"/>
      <w:jc w:val="left"/>
    </w:pPr>
  </w:style>
  <w:style w:type="paragraph" w:styleId="983" w:customStyle="1">
    <w:name w:val="正文文本缩进 31"/>
    <w:basedOn w:val="732"/>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字符"/>
    <w:link w:val="983"/>
    <w:uiPriority w:val="0"/>
    <w:qFormat/>
    <w:rPr>
      <w:rFonts w:ascii="Arial" w:hAnsi="Arial" w:eastAsia="仿宋_GB2312" w:cs="Arial"/>
      <w:color w:val="ffff00"/>
      <w:sz w:val="32"/>
      <w:szCs w:val="32"/>
    </w:rPr>
  </w:style>
  <w:style w:type="paragraph" w:styleId="985" w:customStyle="1">
    <w:name w:val="图表目录1"/>
    <w:basedOn w:val="732"/>
    <w:next w:val="732"/>
    <w:uiPriority w:val="0"/>
    <w:semiHidden/>
    <w:qFormat/>
    <w:pPr>
      <w:ind w:left="840" w:hanging="420"/>
    </w:pPr>
  </w:style>
  <w:style w:type="paragraph" w:styleId="986" w:customStyle="1">
    <w:name w:val="目录 21"/>
    <w:basedOn w:val="732"/>
    <w:next w:val="732"/>
    <w:uiPriority w:val="0"/>
    <w:semiHidden/>
    <w:qFormat/>
    <w:pPr>
      <w:ind w:left="210"/>
      <w:jc w:val="left"/>
    </w:pPr>
    <w:rPr>
      <w:smallCaps/>
      <w:szCs w:val="24"/>
    </w:rPr>
  </w:style>
  <w:style w:type="paragraph" w:styleId="987" w:customStyle="1">
    <w:name w:val="目录 91"/>
    <w:basedOn w:val="732"/>
    <w:next w:val="732"/>
    <w:uiPriority w:val="0"/>
    <w:semiHidden/>
    <w:qFormat/>
    <w:pPr>
      <w:ind w:left="1680"/>
      <w:jc w:val="left"/>
    </w:pPr>
  </w:style>
  <w:style w:type="paragraph" w:styleId="988" w:customStyle="1">
    <w:name w:val="正文文本 21"/>
    <w:basedOn w:val="732"/>
    <w:link w:val="989"/>
    <w:uiPriority w:val="0"/>
    <w:qFormat/>
    <w:pPr>
      <w:jc w:val="center"/>
      <w:widowControl/>
    </w:pPr>
    <w:rPr>
      <w:rFonts w:ascii="楷体_GB2312" w:eastAsia="楷体_GB2312"/>
      <w:sz w:val="28"/>
      <w:szCs w:val="28"/>
    </w:rPr>
  </w:style>
  <w:style w:type="character" w:styleId="989" w:customStyle="1">
    <w:name w:val="正文文本 2 字符"/>
    <w:link w:val="988"/>
    <w:uiPriority w:val="0"/>
    <w:qFormat/>
    <w:rPr>
      <w:rFonts w:ascii="楷体_GB2312" w:hAnsi="Times New Roman" w:eastAsia="楷体_GB2312" w:cs="Times New Roman"/>
      <w:sz w:val="28"/>
      <w:szCs w:val="28"/>
    </w:rPr>
  </w:style>
  <w:style w:type="paragraph" w:styleId="990"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32"/>
    <w:next w:val="732"/>
    <w:uiPriority w:val="0"/>
    <w:semiHidden/>
    <w:qFormat/>
    <w:pPr>
      <w:spacing w:line="240" w:lineRule="atLeast"/>
    </w:pPr>
    <w:rPr>
      <w:b/>
      <w:bCs/>
    </w:rPr>
  </w:style>
  <w:style w:type="paragraph" w:styleId="992" w:customStyle="1">
    <w:name w:val="批注主题1"/>
    <w:basedOn w:val="955"/>
    <w:next w:val="955"/>
    <w:link w:val="993"/>
    <w:uiPriority w:val="0"/>
    <w:semiHidden/>
    <w:qFormat/>
    <w:rPr>
      <w:b/>
      <w:bCs/>
    </w:rPr>
  </w:style>
  <w:style w:type="character" w:styleId="993" w:customStyle="1">
    <w:name w:val="批注主题 字符"/>
    <w:link w:val="992"/>
    <w:uiPriority w:val="0"/>
    <w:semiHidden/>
    <w:qFormat/>
    <w:rPr>
      <w:rFonts w:ascii="Times New Roman" w:hAnsi="Times New Roman" w:eastAsia="宋体" w:cs="Times New Roman"/>
      <w:b/>
      <w:bCs/>
      <w:szCs w:val="21"/>
    </w:rPr>
  </w:style>
  <w:style w:type="paragraph" w:styleId="994" w:customStyle="1">
    <w:name w:val="正文首行缩进1"/>
    <w:basedOn w:val="732"/>
    <w:link w:val="995"/>
    <w:uiPriority w:val="0"/>
    <w:qFormat/>
    <w:pPr>
      <w:ind w:firstLine="200"/>
      <w:spacing w:line="360" w:lineRule="auto"/>
    </w:pPr>
    <w:rPr>
      <w:rFonts w:ascii="仿宋_GB2312" w:eastAsia="仿宋_GB2312"/>
      <w:sz w:val="30"/>
      <w:szCs w:val="30"/>
    </w:rPr>
  </w:style>
  <w:style w:type="character" w:styleId="995" w:customStyle="1">
    <w:name w:val="正文文本首行缩进 字符"/>
    <w:link w:val="994"/>
    <w:uiPriority w:val="0"/>
    <w:qFormat/>
    <w:rPr>
      <w:rFonts w:ascii="仿宋_GB2312" w:hAnsi="Times New Roman" w:eastAsia="仿宋_GB2312" w:cs="Times New Roman"/>
      <w:sz w:val="30"/>
      <w:szCs w:val="30"/>
    </w:rPr>
  </w:style>
  <w:style w:type="paragraph" w:styleId="996" w:customStyle="1">
    <w:name w:val="正文首行缩进 21"/>
    <w:basedOn w:val="961"/>
    <w:link w:val="997"/>
    <w:uiPriority w:val="0"/>
    <w:qFormat/>
    <w:pPr>
      <w:ind w:firstLine="420"/>
      <w:spacing w:line="360" w:lineRule="auto"/>
    </w:pPr>
    <w:rPr>
      <w:rFonts w:ascii="宋体" w:hAnsi="宋体" w:eastAsia="宋体"/>
      <w:sz w:val="21"/>
      <w:szCs w:val="20"/>
    </w:rPr>
  </w:style>
  <w:style w:type="character" w:styleId="997" w:customStyle="1">
    <w:name w:val="正文文本首行缩进 2 字符"/>
    <w:link w:val="996"/>
    <w:uiPriority w:val="0"/>
    <w:qFormat/>
    <w:rPr>
      <w:rFonts w:ascii="宋体" w:hAnsi="宋体" w:eastAsia="宋体" w:cs="Times New Roman"/>
      <w:sz w:val="32"/>
      <w:szCs w:val="20"/>
    </w:rPr>
  </w:style>
  <w:style w:type="table" w:styleId="998" w:customStyle="1">
    <w:name w:val="网格型1"/>
    <w:basedOn w:val="950"/>
    <w:uiPriority w:val="0"/>
    <w:qFormat/>
    <w:pPr>
      <w:jc w:val="both"/>
      <w:widowControl w:val="off"/>
    </w:pPr>
    <w:tblPr/>
  </w:style>
  <w:style w:type="character" w:styleId="999" w:customStyle="1">
    <w:name w:val="要点1"/>
    <w:uiPriority w:val="0"/>
    <w:qFormat/>
    <w:rPr>
      <w:b/>
      <w:bCs/>
    </w:rPr>
  </w:style>
  <w:style w:type="character" w:styleId="1000" w:customStyle="1">
    <w:name w:val="页码1"/>
    <w:uiPriority w:val="0"/>
    <w:qFormat/>
  </w:style>
  <w:style w:type="character" w:styleId="1001" w:customStyle="1">
    <w:name w:val="已访问的超链接1"/>
    <w:uiPriority w:val="0"/>
    <w:qFormat/>
    <w:rPr>
      <w:color w:val="800080"/>
      <w:u w:val="single"/>
    </w:rPr>
  </w:style>
  <w:style w:type="character" w:styleId="1002" w:customStyle="1">
    <w:name w:val="超链接1"/>
    <w:uiPriority w:val="0"/>
    <w:qFormat/>
    <w:rPr>
      <w:color w:val="0000ff"/>
      <w:u w:val="single"/>
    </w:rPr>
  </w:style>
  <w:style w:type="character" w:styleId="1003" w:customStyle="1">
    <w:name w:val="批注引用1"/>
    <w:uiPriority w:val="99"/>
    <w:qFormat/>
    <w:rPr>
      <w:sz w:val="21"/>
      <w:szCs w:val="21"/>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b/>
      <w:sz w:val="30"/>
      <w:szCs w:val="28"/>
    </w:rPr>
  </w:style>
  <w:style w:type="paragraph" w:styleId="1006" w:customStyle="1">
    <w:name w:val="二级目录"/>
    <w:next w:val="732"/>
    <w:link w:val="100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32"/>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32"/>
    <w:next w:val="959"/>
    <w:uiPriority w:val="0"/>
    <w:qFormat/>
    <w:pPr>
      <w:spacing w:after="120"/>
    </w:pPr>
    <w:rPr>
      <w:rFonts w:ascii="宋体" w:hAnsi="Arial"/>
      <w:bCs/>
      <w:iCs/>
      <w:szCs w:val="24"/>
    </w:rPr>
  </w:style>
  <w:style w:type="paragraph" w:styleId="1010"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32"/>
    <w:uiPriority w:val="0"/>
    <w:qFormat/>
    <w:pPr>
      <w:ind w:firstLine="200"/>
      <w:tabs>
        <w:tab w:val="left" w:pos="360" w:leader="none"/>
      </w:tabs>
    </w:pPr>
    <w:rPr>
      <w:sz w:val="28"/>
      <w:szCs w:val="30"/>
    </w:rPr>
  </w:style>
  <w:style w:type="paragraph" w:styleId="1013" w:customStyle="1">
    <w:name w:val="Char1"/>
    <w:basedOn w:val="953"/>
    <w:uiPriority w:val="0"/>
    <w:qFormat/>
    <w:rPr>
      <w:rFonts w:ascii="Tahoma" w:hAnsi="Tahoma"/>
      <w:sz w:val="24"/>
      <w:szCs w:val="24"/>
    </w:rPr>
  </w:style>
  <w:style w:type="paragraph" w:styleId="1014"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32"/>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7"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3"/>
    <w:uiPriority w:val="0"/>
    <w:qFormat/>
    <w:pPr>
      <w:spacing w:line="360" w:lineRule="auto"/>
    </w:pPr>
    <w:rPr>
      <w:rFonts w:ascii="Tahoma" w:hAnsi="Tahoma"/>
      <w:sz w:val="24"/>
      <w:szCs w:val="24"/>
    </w:rPr>
  </w:style>
  <w:style w:type="paragraph" w:styleId="1019" w:customStyle="1">
    <w:name w:val="列表段落1"/>
    <w:basedOn w:val="732"/>
    <w:link w:val="1020"/>
    <w:uiPriority w:val="34"/>
    <w:qFormat/>
    <w:pPr>
      <w:contextualSpacing/>
      <w:ind w:left="720"/>
      <w:jc w:val="left"/>
      <w:widowControl/>
    </w:pPr>
    <w:rPr>
      <w:rFonts w:ascii="Calibri" w:hAnsi="Calibri"/>
      <w:sz w:val="24"/>
      <w:szCs w:val="24"/>
      <w:lang w:eastAsia="en-US" w:bidi="en-US"/>
    </w:rPr>
  </w:style>
  <w:style w:type="character" w:styleId="1020" w:customStyle="1">
    <w:name w:val="列表段落 字符"/>
    <w:link w:val="1019"/>
    <w:uiPriority w:val="34"/>
    <w:qFormat/>
    <w:rPr>
      <w:sz w:val="24"/>
      <w:szCs w:val="24"/>
      <w:lang w:eastAsia="en-US" w:bidi="en-US"/>
    </w:rPr>
  </w:style>
  <w:style w:type="paragraph" w:styleId="1021" w:customStyle="1">
    <w:name w:val="4"/>
    <w:basedOn w:val="732"/>
    <w:next w:val="983"/>
    <w:uiPriority w:val="0"/>
    <w:qFormat/>
    <w:pPr>
      <w:ind w:firstLine="420"/>
      <w:spacing w:line="360" w:lineRule="auto"/>
    </w:pPr>
    <w:rPr>
      <w:color w:val="ff0000"/>
      <w:sz w:val="24"/>
      <w:szCs w:val="24"/>
    </w:rPr>
  </w:style>
  <w:style w:type="paragraph" w:styleId="1022"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32"/>
    <w:uiPriority w:val="0"/>
    <w:qFormat/>
    <w:pPr>
      <w:spacing w:line="360" w:lineRule="auto"/>
    </w:pPr>
    <w:rPr>
      <w:sz w:val="24"/>
      <w:szCs w:val="20"/>
    </w:rPr>
  </w:style>
  <w:style w:type="paragraph" w:styleId="1024" w:customStyle="1">
    <w:name w:val="样式1"/>
    <w:basedOn w:val="732"/>
    <w:uiPriority w:val="0"/>
    <w:qFormat/>
    <w:pPr>
      <w:numPr>
        <w:ilvl w:val="0"/>
        <w:numId w:val="3"/>
      </w:numPr>
    </w:pPr>
    <w:rPr>
      <w:rFonts w:ascii="宋体" w:hAnsi="宋体"/>
    </w:rPr>
  </w:style>
  <w:style w:type="paragraph" w:styleId="1025"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29"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35" w:customStyle="1">
    <w:name w:val="Char Char Char Char1"/>
    <w:basedOn w:val="953"/>
    <w:uiPriority w:val="0"/>
    <w:qFormat/>
    <w:pPr>
      <w:spacing w:line="360" w:lineRule="auto"/>
    </w:pPr>
    <w:rPr>
      <w:rFonts w:ascii="Tahoma" w:hAnsi="Tahoma"/>
      <w:sz w:val="24"/>
      <w:szCs w:val="24"/>
    </w:rPr>
  </w:style>
  <w:style w:type="paragraph" w:styleId="1036" w:customStyle="1">
    <w:name w:val="table_1stline"/>
    <w:basedOn w:val="732"/>
    <w:uiPriority w:val="0"/>
    <w:qFormat/>
    <w:pPr>
      <w:jc w:val="left"/>
      <w:spacing w:before="120"/>
      <w:widowControl/>
    </w:pPr>
    <w:rPr>
      <w:bCs/>
      <w:sz w:val="20"/>
      <w:szCs w:val="20"/>
      <w:lang w:val="de-DE" w:eastAsia="de-DE"/>
    </w:rPr>
  </w:style>
  <w:style w:type="paragraph" w:styleId="1037"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38"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_Style 300"/>
    <w:uiPriority w:val="99"/>
    <w:semiHidden/>
    <w:qFormat/>
    <w:rPr>
      <w:rFonts w:ascii="Times New Roman" w:hAnsi="Times New Roman" w:eastAsia="宋体" w:cs="Times New Roman"/>
      <w:sz w:val="21"/>
      <w:szCs w:val="21"/>
      <w:lang w:val="en-US" w:eastAsia="zh-CN" w:bidi="ar-SA"/>
    </w:rPr>
  </w:style>
  <w:style w:type="paragraph" w:styleId="104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2" w:customStyle="1">
    <w:name w:val="标题 112"/>
    <w:basedOn w:val="732"/>
    <w:next w:val="732"/>
    <w:uiPriority w:val="0"/>
    <w:qFormat/>
    <w:pPr>
      <w:jc w:val="left"/>
      <w:keepNext/>
      <w:outlineLvl w:val="0"/>
    </w:pPr>
    <w:rPr>
      <w:rFonts w:ascii="楷体_GB2312" w:hAnsi="楷体_GB2312"/>
      <w:b/>
      <w:sz w:val="32"/>
      <w:szCs w:val="28"/>
    </w:rPr>
  </w:style>
  <w:style w:type="paragraph" w:styleId="1043" w:customStyle="1">
    <w:name w:val="WPSOffice手动目录 1"/>
    <w:uiPriority w:val="0"/>
    <w:qFormat/>
    <w:rPr>
      <w:rFonts w:ascii="Times New Roman" w:hAnsi="Times New Roman" w:eastAsia="宋体" w:cs="Times New Roman"/>
      <w:lang w:val="en-US" w:eastAsia="zh-CN" w:bidi="ar-SA"/>
    </w:rPr>
  </w:style>
  <w:style w:type="character" w:styleId="1044" w:customStyle="1">
    <w:name w:val="正文文本缩进 字符1"/>
    <w:uiPriority w:val="99"/>
    <w:semiHidden/>
    <w:qFormat/>
    <w:rPr>
      <w:sz w:val="21"/>
      <w:szCs w:val="21"/>
    </w:rPr>
  </w:style>
  <w:style w:type="character" w:styleId="1045" w:customStyle="1">
    <w:name w:val="font41"/>
    <w:basedOn w:val="736"/>
    <w:uiPriority w:val="0"/>
    <w:qFormat/>
    <w:rPr>
      <w:rFonts w:hint="eastAsia" w:ascii="微软雅黑" w:hAnsi="微软雅黑" w:eastAsia="微软雅黑" w:cs="微软雅黑"/>
      <w:color w:val="000000"/>
      <w:sz w:val="18"/>
      <w:szCs w:val="18"/>
      <w:u w:val="none"/>
    </w:rPr>
  </w:style>
  <w:style w:type="character" w:styleId="1046" w:customStyle="1">
    <w:name w:val="font51"/>
    <w:basedOn w:val="736"/>
    <w:uiPriority w:val="0"/>
    <w:qFormat/>
    <w:rPr>
      <w:rFonts w:hint="eastAsia" w:ascii="微软雅黑" w:hAnsi="微软雅黑" w:eastAsia="微软雅黑" w:cs="微软雅黑"/>
      <w:color w:val="ff0000"/>
      <w:sz w:val="18"/>
      <w:szCs w:val="18"/>
      <w:u w:val="none"/>
    </w:rPr>
  </w:style>
  <w:style w:type="paragraph" w:styleId="1047" w:customStyle="1">
    <w:name w:val="成文日期"/>
    <w:basedOn w:val="732"/>
    <w:uiPriority w:val="0"/>
    <w:qFormat/>
    <w:pPr>
      <w:ind w:right="400" w:firstLine="200"/>
      <w:jc w:val="right"/>
      <w:spacing w:line="570" w:lineRule="exact"/>
    </w:pPr>
    <w:rPr>
      <w:rFonts w:ascii="仿宋_GB2312" w:eastAsia="仿宋_GB2312"/>
      <w:sz w:val="32"/>
      <w:szCs w:val="20"/>
    </w:rPr>
  </w:style>
  <w:style w:type="character" w:styleId="1048" w:customStyle="1">
    <w:name w:val="apple-style-span"/>
    <w:uiPriority w:val="0"/>
    <w:qFormat/>
    <w:rPr>
      <w:rFonts w:cs="Times New Roman"/>
    </w:rPr>
  </w:style>
  <w:style w:type="character" w:styleId="1049" w:customStyle="1">
    <w:name w:val="font11"/>
    <w:basedOn w:val="736"/>
    <w:uiPriority w:val="0"/>
    <w:qFormat/>
    <w:rPr>
      <w:rFonts w:hint="eastAsia" w:ascii="宋体" w:hAnsi="宋体" w:eastAsia="宋体" w:cs="宋体"/>
      <w:color w:val="000000"/>
      <w:sz w:val="20"/>
      <w:szCs w:val="20"/>
      <w:u w:val="none"/>
    </w:rPr>
  </w:style>
  <w:style w:type="character" w:styleId="1050" w:customStyle="1">
    <w:name w:val="font21"/>
    <w:basedOn w:val="736"/>
    <w:uiPriority w:val="0"/>
    <w:qFormat/>
    <w:rPr>
      <w:rFonts w:hint="eastAsia" w:ascii="宋体" w:hAnsi="宋体" w:eastAsia="宋体" w:cs="宋体"/>
      <w:color w:val="000000"/>
      <w:sz w:val="20"/>
      <w:szCs w:val="20"/>
      <w:u w:val="none"/>
    </w:rPr>
  </w:style>
  <w:style w:type="paragraph" w:styleId="1051" w:customStyle="1">
    <w:name w:val="题注11"/>
    <w:next w:val="732"/>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052" w:customStyle="1">
    <w:name w:val="批注框文本 字符1"/>
    <w:basedOn w:val="736"/>
    <w:link w:val="747"/>
    <w:uiPriority w:val="99"/>
    <w:semiHidden/>
    <w:qFormat/>
    <w:rPr>
      <w:sz w:val="18"/>
      <w:szCs w:val="18"/>
    </w:rPr>
  </w:style>
  <w:style w:type="character" w:styleId="1053" w:customStyle="1">
    <w:name w:val="font01"/>
    <w:basedOn w:val="736"/>
    <w:uiPriority w:val="0"/>
    <w:qFormat/>
    <w:rPr>
      <w:rFonts w:hint="eastAsia" w:ascii="宋体" w:hAnsi="宋体" w:eastAsia="宋体" w:cs="宋体"/>
      <w:color w:val="000000"/>
      <w:sz w:val="22"/>
      <w:szCs w:val="22"/>
      <w:u w:val="none"/>
    </w:rPr>
  </w:style>
  <w:style w:type="character" w:styleId="1054" w:customStyle="1">
    <w:name w:val="font31"/>
    <w:basedOn w:val="736"/>
    <w:uiPriority w:val="0"/>
    <w:qFormat/>
    <w:rPr>
      <w:rFonts w:hint="eastAsia" w:ascii="宋体" w:hAnsi="宋体" w:eastAsia="宋体" w:cs="宋体"/>
      <w:color w:val="ff0000"/>
      <w:sz w:val="22"/>
      <w:szCs w:val="22"/>
      <w:u w:val="none"/>
    </w:rPr>
  </w:style>
  <w:style w:type="numbering" w:styleId="25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9</cp:revision>
  <dcterms:created xsi:type="dcterms:W3CDTF">2026-05-11T04:44:00Z</dcterms:created>
  <dcterms:modified xsi:type="dcterms:W3CDTF">2026-07-02T02:52:02Z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4EFE992812E64E17B3F33883D174771D_13</vt:lpwstr>
  </property>
  <property fmtid="{D5CDD505-2E9C-101B-9397-08002B2CF9AE}" pid="4" name="KSOTemplateDocerSaveRecord">
    <vt:lpwstr>eyJoZGlkIjoiZGJmNGVmOTkyYmRlYWVmNjNhMWY0NGViOTkzY2NlZDYiLCJ1c2VySWQiOiIxNjcxOTk3NTUzIn0=</vt:lpwstr>
  </property>
</Properties>
</file>