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6"/>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rPr>
          <w:rFonts w:hint="eastAsia" w:ascii="Arial" w:hAnsi="Arial" w:eastAsia="黑体"/>
          <w:b/>
          <w:bCs/>
          <w:color w:val="000000"/>
          <w:sz w:val="84"/>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left="0" w:firstLine="320"/>
        <w:jc w:val="both"/>
        <w:spacing w:line="24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灌云县技工学校技能实训基地二期</w:t>
      </w:r>
      <w:r>
        <w:rPr>
          <w:rFonts w:hint="eastAsia" w:ascii="Arial" w:hAnsi="Arial" w:eastAsia="宋体" w:cs="Times New Roman"/>
          <w:b/>
          <w:bCs/>
          <w:color w:val="000000"/>
          <w:sz w:val="32"/>
          <w:szCs w:val="24"/>
          <w:lang w:eastAsia="zh-CN"/>
        </w:rPr>
      </w:r>
      <w:r/>
    </w:p>
    <w:p>
      <w:pPr>
        <w:pStyle w:val="766"/>
        <w:ind w:left="2876" w:hanging="1600"/>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lang w:eastAsia="zh-CN"/>
        </w:rPr>
        <w:t xml:space="preserve">建设项目</w:t>
      </w:r>
      <w:r>
        <w:rPr>
          <w:rFonts w:hint="eastAsia" w:ascii="Arial" w:hAnsi="Arial" w:eastAsia="宋体" w:cs="Times New Roman"/>
          <w:b/>
          <w:bCs/>
          <w:color w:val="000000"/>
          <w:sz w:val="32"/>
          <w:szCs w:val="24"/>
          <w:lang w:eastAsia="zh-CN"/>
        </w:rPr>
        <w:t xml:space="preserve">(专门面向中小企业)</w:t>
      </w:r>
      <w:r>
        <w:rPr>
          <w:rFonts w:hint="eastAsia" w:ascii="黑体" w:hAnsi="Arial" w:eastAsia="宋体" w:cs="Times New Roman"/>
          <w:b/>
          <w:color w:val="000000"/>
          <w:sz w:val="44"/>
          <w:szCs w:val="21"/>
          <w:lang w:eastAsia="zh-CN"/>
        </w:rPr>
      </w:r>
      <w:r/>
    </w:p>
    <w:p>
      <w:pPr>
        <w:pStyle w:val="766"/>
        <w:ind w:left="0" w:firstLine="0"/>
        <w:jc w:val="center"/>
        <w:spacing w:line="240" w:lineRule="auto"/>
        <w:rPr>
          <w:rFonts w:hint="eastAsia"/>
        </w:rPr>
      </w:pPr>
      <w:r>
        <w:rPr>
          <w:rFonts w:hint="eastAsia"/>
        </w:rPr>
      </w:r>
      <w:r/>
    </w:p>
    <w:p>
      <w:pPr>
        <w:pStyle w:val="766"/>
        <w:ind w:firstLine="320"/>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b/>
          <w:bCs/>
          <w:color w:val="000000"/>
          <w:sz w:val="32"/>
          <w:szCs w:val="24"/>
        </w:rPr>
        <w:t xml:space="preserve">项目编号：</w:t>
      </w:r>
      <w:r>
        <w:rPr>
          <w:rFonts w:hint="eastAsia" w:ascii="Arial" w:hAnsi="Arial" w:eastAsia="宋体" w:cs="Times New Roman"/>
          <w:b/>
          <w:bCs/>
          <w:color w:val="000000"/>
          <w:sz w:val="32"/>
          <w:szCs w:val="24"/>
          <w:lang w:val="en-US" w:eastAsia="zh-CN"/>
        </w:rPr>
        <w:t xml:space="preserve">JSZC-320723-JZCG-G2026-0016</w:t>
      </w:r>
      <w:r>
        <w:rPr>
          <w:rFonts w:hint="eastAsia" w:ascii="Arial" w:hAnsi="Arial" w:eastAsia="宋体" w:cs="Times New Roman"/>
          <w:b/>
          <w:bCs/>
          <w:color w:val="000000"/>
          <w:sz w:val="32"/>
          <w:szCs w:val="24"/>
          <w:lang w:val="en-US" w:eastAsia="zh-CN"/>
        </w:rPr>
      </w:r>
      <w:r/>
    </w:p>
    <w:p>
      <w:pPr>
        <w:pStyle w:val="766"/>
        <w:ind w:firstLine="320"/>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采购人：江苏省</w:t>
      </w:r>
      <w:r>
        <w:rPr>
          <w:rFonts w:hint="eastAsia" w:ascii="Arial" w:hAnsi="Arial" w:eastAsia="宋体" w:cs="Times New Roman"/>
          <w:b/>
          <w:bCs/>
          <w:color w:val="000000"/>
          <w:sz w:val="32"/>
          <w:szCs w:val="24"/>
          <w:lang w:eastAsia="zh-CN"/>
        </w:rPr>
        <w:t xml:space="preserve">灌云中等专业学校</w:t>
      </w:r>
      <w:r>
        <w:rPr>
          <w:rFonts w:hint="eastAsia" w:ascii="Arial" w:hAnsi="Arial" w:eastAsia="宋体" w:cs="Times New Roman"/>
          <w:b/>
          <w:bCs/>
          <w:color w:val="000000"/>
          <w:sz w:val="32"/>
          <w:szCs w:val="24"/>
          <w:lang w:eastAsia="zh-CN"/>
        </w:rPr>
      </w:r>
      <w:r/>
    </w:p>
    <w:p>
      <w:pPr>
        <w:pStyle w:val="766"/>
        <w:ind w:left="0" w:firstLine="320"/>
        <w:jc w:val="both"/>
        <w:spacing w:line="240" w:lineRule="auto"/>
        <w:rPr>
          <w:rFonts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采购代理机构：灌云县政府采购中心</w:t>
      </w:r>
      <w:r>
        <w:rPr>
          <w:rFonts w:ascii="Arial" w:hAnsi="Arial" w:eastAsia="宋体" w:cs="Times New Roman"/>
          <w:b/>
          <w:bCs/>
          <w:color w:val="000000"/>
          <w:sz w:val="32"/>
          <w:szCs w:val="24"/>
          <w:lang w:val="en-US" w:eastAsia="zh-CN"/>
        </w:rPr>
      </w:r>
      <w:r/>
    </w:p>
    <w:p>
      <w:pPr>
        <w:pStyle w:val="766"/>
        <w:ind w:left="2100" w:hanging="3000"/>
        <w:rPr>
          <w:rFonts w:hint="eastAsia" w:ascii="Times New Roman" w:hAnsi="Times New Roman" w:eastAsia="宋体"/>
          <w:b/>
          <w:color w:val="ff0000"/>
          <w:sz w:val="30"/>
          <w:szCs w:val="30"/>
          <w:lang w:eastAsia="zh-CN"/>
        </w:rPr>
      </w:pPr>
      <w:r>
        <w:rPr>
          <w:rFonts w:hint="eastAsia" w:ascii="Times New Roman" w:hAnsi="Times New Roman" w:eastAsia="宋体"/>
          <w:b/>
          <w:color w:val="ff0000"/>
          <w:sz w:val="30"/>
          <w:szCs w:val="30"/>
          <w:lang w:eastAsia="zh-CN"/>
        </w:rPr>
      </w:r>
      <w:r/>
    </w:p>
    <w:p>
      <w:pPr>
        <w:pStyle w:val="76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6"/>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766"/>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76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766"/>
        <w:jc w:val="left"/>
        <w:spacing w:before="120" w:after="120" w:line="360" w:lineRule="auto"/>
        <w:rPr>
          <w:rFonts w:hint="eastAsia" w:ascii="Arial" w:hAnsi="Arial" w:eastAsia="宋体"/>
          <w:color w:val="000000"/>
          <w:sz w:val="24"/>
          <w:szCs w:val="24"/>
          <w:u w:val="single"/>
          <w:lang w:eastAsia="zh-CN"/>
        </w:rPr>
      </w:pPr>
      <w:r>
        <w:rPr>
          <w:rFonts w:hint="eastAsia" w:ascii="Arial" w:hAnsi="Arial" w:eastAsia="宋体"/>
          <w:color w:val="000000"/>
          <w:sz w:val="24"/>
          <w:szCs w:val="24"/>
          <w:u w:val="single"/>
          <w:lang w:eastAsia="zh-CN"/>
        </w:rPr>
      </w:r>
      <w:r/>
    </w:p>
    <w:p>
      <w:pPr>
        <w:pStyle w:val="766"/>
        <w:jc w:val="both"/>
        <w:spacing w:line="480" w:lineRule="auto"/>
        <w:rPr>
          <w:rFonts w:ascii="Times New Roman" w:hAnsi="Times New Roman"/>
          <w:color w:val="000000"/>
          <w:szCs w:val="21"/>
        </w:rPr>
        <w:outlineLvl w:val="0"/>
      </w:pPr>
      <w:r/>
      <w:bookmarkStart w:id="0" w:name="_Toc120614210"/>
      <w:r/>
      <w:bookmarkStart w:id="1" w:name="_Toc513029200"/>
      <w:r/>
      <w:bookmarkStart w:id="2" w:name="_Toc20823272"/>
      <w:r/>
      <w:bookmarkStart w:id="3" w:name="_Toc16938516"/>
      <w:r/>
      <w:bookmarkStart w:id="4" w:name="_Toc523127445"/>
      <w:r/>
      <w:bookmarkStart w:id="5" w:name="_Toc479757206"/>
      <w:r>
        <w:rPr>
          <w:rFonts w:ascii="Times New Roman" w:hAnsi="Times New Roman"/>
          <w:color w:val="000000"/>
          <w:szCs w:val="21"/>
        </w:rPr>
      </w:r>
      <w:r/>
    </w:p>
    <w:p>
      <w:pPr>
        <w:pStyle w:val="766"/>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总目录</w:t>
      </w:r>
      <w:r>
        <w:rPr>
          <w:rFonts w:hint="eastAsia" w:ascii="黑体" w:hAnsi="Arial" w:eastAsia="黑体"/>
          <w:b/>
          <w:color w:val="000000"/>
          <w:sz w:val="44"/>
          <w:szCs w:val="21"/>
        </w:rPr>
      </w:r>
      <w:r/>
    </w:p>
    <w:p>
      <w:pPr>
        <w:pStyle w:val="76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66"/>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766"/>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766"/>
        <w:ind w:firstLine="480"/>
        <w:jc w:val="left"/>
        <w:pageBreakBefore w:val="0"/>
        <w:spacing w:line="500" w:lineRule="exact"/>
        <w:widowControl w:val="off"/>
        <w:rPr>
          <w:rFonts w:hint="eastAsia" w:ascii="Calibri" w:hAnsi="Calibri" w:eastAsia="宋体" w:cs="Times New Roman"/>
          <w:sz w:val="24"/>
          <w:szCs w:val="24"/>
        </w:rPr>
      </w:pPr>
      <w:r/>
      <w:bookmarkStart w:id="6" w:name="_Toc28359085"/>
      <w:r/>
      <w:bookmarkStart w:id="7" w:name="_Toc35393796"/>
      <w:r/>
      <w:bookmarkStart w:id="8" w:name="_Toc35393627"/>
      <w:r/>
      <w:bookmarkStart w:id="9" w:name="_Toc38985269"/>
      <w:r/>
      <w:bookmarkStart w:id="10" w:name="_Toc28359008"/>
      <w:r>
        <w:rPr>
          <w:rFonts w:hint="eastAsia" w:ascii="Calibri" w:hAnsi="Calibri" w:eastAsia="宋体" w:cs="Times New Roman"/>
          <w:sz w:val="24"/>
          <w:szCs w:val="24"/>
        </w:rPr>
        <w:t xml:space="preserve">受</w:t>
      </w:r>
      <w:r>
        <w:rPr>
          <w:rFonts w:hint="eastAsia" w:ascii="Calibri" w:hAnsi="Calibri" w:eastAsia="宋体" w:cs="Times New Roman"/>
          <w:sz w:val="24"/>
          <w:szCs w:val="24"/>
          <w:lang w:val="en-US" w:eastAsia="zh-CN"/>
        </w:rPr>
        <w:t xml:space="preserve">江苏省</w:t>
      </w:r>
      <w:r>
        <w:rPr>
          <w:rFonts w:hint="eastAsia" w:ascii="Calibri" w:hAnsi="Calibri" w:eastAsia="宋体" w:cs="Times New Roman"/>
          <w:sz w:val="24"/>
          <w:szCs w:val="24"/>
          <w:lang w:eastAsia="zh-CN"/>
        </w:rPr>
        <w:t xml:space="preserve">灌云中等专业学校</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w:t>
      </w:r>
      <w:r>
        <w:rPr>
          <w:rFonts w:hint="eastAsia" w:ascii="Calibri" w:hAnsi="Calibri" w:eastAsia="宋体" w:cs="Times New Roman"/>
          <w:sz w:val="24"/>
          <w:szCs w:val="24"/>
        </w:rPr>
        <w:t xml:space="preserve">就</w:t>
      </w:r>
      <w:r>
        <w:rPr>
          <w:rFonts w:hint="eastAsia" w:ascii="Calibri" w:hAnsi="Calibri" w:eastAsia="宋体" w:cs="Times New Roman"/>
          <w:sz w:val="24"/>
          <w:szCs w:val="24"/>
          <w:lang w:eastAsia="zh-CN"/>
        </w:rPr>
        <w:t xml:space="preserve">灌云县技工学校技能实训基地二期建设项目(专门面向中小企业)</w:t>
      </w:r>
      <w:r>
        <w:rPr>
          <w:rFonts w:hint="eastAsia" w:ascii="Calibri" w:hAnsi="Calibri" w:eastAsia="宋体" w:cs="Times New Roman"/>
          <w:sz w:val="24"/>
          <w:szCs w:val="24"/>
        </w:rPr>
        <w:t xml:space="preserve">(项目编号JSZC-320723-JZCG-G2026-0016</w:t>
      </w:r>
      <w:r>
        <w:rPr>
          <w:rFonts w:hint="eastAsia" w:ascii="Calibri" w:hAnsi="Calibri" w:eastAsia="宋体" w:cs="Times New Roman"/>
          <w:sz w:val="24"/>
          <w:szCs w:val="24"/>
          <w:lang w:val="en-US" w:eastAsia="zh-CN"/>
        </w:rPr>
        <w:t xml:space="preserve"> </w:t>
      </w:r>
      <w:r>
        <w:rPr>
          <w:rFonts w:hint="eastAsia" w:ascii="Calibri" w:hAnsi="Calibri" w:eastAsia="宋体" w:cs="Times New Roman"/>
          <w:sz w:val="24"/>
          <w:szCs w:val="24"/>
        </w:rPr>
        <w:t xml:space="preserve">)进</w:t>
      </w:r>
      <w:r>
        <w:rPr>
          <w:rFonts w:hint="eastAsia" w:ascii="Calibri" w:hAnsi="Calibri" w:eastAsia="宋体" w:cs="Times New Roman"/>
          <w:sz w:val="24"/>
          <w:szCs w:val="24"/>
        </w:rPr>
        <w:t xml:space="preserve">行公开招标采购，欢迎符合条件的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rPr>
          <w:rFonts w:hint="eastAsia" w:ascii="Calibri" w:hAnsi="Calibri" w:eastAsia="宋体" w:cs="Times New Roman"/>
          <w:sz w:val="24"/>
          <w:szCs w:val="24"/>
        </w:rPr>
      </w:r>
      <w:r/>
    </w:p>
    <w:p>
      <w:pPr>
        <w:pStyle w:val="766"/>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66"/>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灌云县技工学校技能实训基地二期建设项目(专门面向中小企业）</w:t>
      </w:r>
      <w:r>
        <w:rPr>
          <w:rFonts w:hint="eastAsia" w:ascii="宋体" w:hAnsi="宋体"/>
          <w:color w:val="000000"/>
          <w:sz w:val="24"/>
          <w:szCs w:val="24"/>
          <w:highlight w:val="none"/>
        </w:rPr>
        <w:t xml:space="preserve">招标项目的潜在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07</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7</w:t>
      </w:r>
      <w:r>
        <w:rPr>
          <w:rFonts w:hint="eastAsia" w:ascii="宋体" w:hAnsi="宋体"/>
          <w:bCs/>
          <w:color w:val="000000"/>
          <w:sz w:val="24"/>
          <w:szCs w:val="24"/>
          <w:highlight w:val="none"/>
          <w:u w:val="single"/>
        </w:rPr>
        <w:t xml:space="preserve">日10点00分</w:t>
      </w:r>
      <w:r>
        <w:rPr>
          <w:rFonts w:hint="eastAsia"/>
          <w:sz w:val="24"/>
          <w:szCs w:val="24"/>
        </w:rPr>
        <w:t xml:space="preserve">（北京时间）前递交（上传）投标文件。</w:t>
      </w:r>
      <w:r>
        <w:rPr>
          <w:rFonts w:ascii="宋体" w:hAnsi="宋体"/>
          <w:color w:val="000000"/>
          <w:sz w:val="24"/>
          <w:szCs w:val="24"/>
          <w:highlight w:val="none"/>
        </w:rPr>
      </w:r>
      <w:r/>
    </w:p>
    <w:p>
      <w:pPr>
        <w:pStyle w:val="769"/>
        <w:ind w:firstLine="496"/>
        <w:pageBreakBefore w:val="0"/>
        <w:spacing w:before="145" w:after="145" w:line="500" w:lineRule="exact"/>
        <w:widowControl w:val="off"/>
        <w:rPr>
          <w:color w:val="000000"/>
          <w:highlight w:val="none"/>
        </w:rPr>
      </w:pPr>
      <w:r/>
      <w:bookmarkStart w:id="11" w:name="_Toc28359079"/>
      <w:r/>
      <w:bookmarkStart w:id="12" w:name="_Toc28359002"/>
      <w:r/>
      <w:bookmarkStart w:id="13" w:name="_Toc38985263"/>
      <w:r/>
      <w:bookmarkStart w:id="14" w:name="_Toc35393790"/>
      <w:r/>
      <w:bookmarkStart w:id="15" w:name="_Hlk24379207"/>
      <w:r/>
      <w:bookmarkStart w:id="16" w:name="_Toc35393621"/>
      <w:r>
        <w:rPr>
          <w:rFonts w:hint="eastAsia"/>
          <w:color w:val="000000"/>
          <w:highlight w:val="none"/>
        </w:rPr>
        <w:t xml:space="preserve">一、项目基本情况</w:t>
      </w:r>
      <w:bookmarkEnd w:id="11"/>
      <w:r/>
      <w:bookmarkEnd w:id="12"/>
      <w:r/>
      <w:bookmarkEnd w:id="13"/>
      <w:r/>
      <w:bookmarkEnd w:id="14"/>
      <w:r/>
      <w:bookmarkEnd w:id="16"/>
      <w:r>
        <w:rPr>
          <w:color w:val="000000"/>
          <w:highlight w:val="none"/>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1.项目编号：JSZC-320723-JZCG-G2026-0016</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2.项目名称：灌云县技工学校技能实训基地二期建设项目(专门面向中小企业）</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bookmarkEnd w:id="15"/>
      <w:r>
        <w:rPr>
          <w:rFonts w:hint="eastAsia" w:ascii="宋体" w:hAnsi="宋体" w:eastAsia="宋体" w:cs="Times New Roman"/>
          <w:color w:val="000000"/>
          <w:sz w:val="24"/>
          <w:szCs w:val="24"/>
          <w:highlight w:val="none"/>
          <w:lang w:eastAsia="zh-CN"/>
        </w:rPr>
        <w:t xml:space="preserve">3.预算金额：</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万元，高于此限价的投标文件将作为无效处理。</w:t>
      </w:r>
      <w:r>
        <w:rPr>
          <w:rFonts w:hint="eastAsia" w:ascii="宋体" w:hAnsi="宋体" w:eastAsia="宋体" w:cs="Times New Roman"/>
          <w:color w:val="000000"/>
          <w:sz w:val="24"/>
          <w:szCs w:val="24"/>
          <w:highlight w:val="none"/>
          <w:lang w:eastAsia="zh-CN"/>
        </w:rPr>
      </w:r>
      <w:r/>
    </w:p>
    <w:p>
      <w:pPr>
        <w:pStyle w:val="766"/>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为</w:t>
      </w:r>
      <w:r>
        <w:rPr>
          <w:rFonts w:hint="eastAsia" w:ascii="宋体" w:hAnsi="宋体" w:eastAsia="宋体" w:cs="Times New Roman"/>
          <w:color w:val="000000"/>
          <w:sz w:val="24"/>
          <w:szCs w:val="24"/>
          <w:highlight w:val="none"/>
        </w:rPr>
        <w:t xml:space="preserve">进一步改善提升实训条件，满足学校日常教学与竞赛需求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灌云县技工学校技能实训基地建设项目二期帮扶资金186万元，用来增添工业机器人、氩弧焊机、气保焊机、线切割机、锯床、数控技能综合实训考核平台、全新发动机秃机总成（含翻转架）、前轮制动器总成(含工作台）、无大盘免撬棍轮胎拆装机、380V超薄小剪、机械加工技术技能考点等设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rPr>
      </w:r>
      <w:r/>
    </w:p>
    <w:p>
      <w:pPr>
        <w:pStyle w:val="766"/>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rPr>
          <w:rFonts w:ascii="Calibri" w:hAnsi="Calibri" w:eastAsia="宋体" w:cs="Times New Roman"/>
          <w:b/>
          <w:sz w:val="24"/>
          <w:szCs w:val="24"/>
        </w:rPr>
      </w:r>
      <w:r/>
    </w:p>
    <w:p>
      <w:pPr>
        <w:pStyle w:val="766"/>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50日历天</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6"/>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rPr>
          <w:rFonts w:hint="eastAsia" w:ascii="宋体" w:hAnsi="宋体" w:eastAsia="宋体" w:cs="Times New Roman"/>
          <w:color w:val="000000"/>
          <w:sz w:val="24"/>
          <w:szCs w:val="24"/>
          <w:highlight w:val="none"/>
        </w:rPr>
      </w:r>
      <w:r/>
    </w:p>
    <w:p>
      <w:pPr>
        <w:pStyle w:val="769"/>
        <w:ind w:firstLine="496"/>
        <w:pageBreakBefore w:val="0"/>
        <w:spacing w:before="145" w:after="145" w:line="500" w:lineRule="exact"/>
        <w:widowControl w:val="off"/>
        <w:rPr>
          <w:rFonts w:hint="eastAsia" w:eastAsia="宋体"/>
          <w:color w:val="000000"/>
          <w:highlight w:val="none"/>
          <w:lang w:eastAsia="zh-CN"/>
        </w:rPr>
      </w:pPr>
      <w:r/>
      <w:bookmarkStart w:id="17" w:name="_Toc35393622"/>
      <w:r/>
      <w:bookmarkStart w:id="18" w:name="_Toc38985264"/>
      <w:r/>
      <w:bookmarkStart w:id="19" w:name="_Toc28359003"/>
      <w:r/>
      <w:bookmarkStart w:id="20" w:name="_Toc28359080"/>
      <w:r/>
      <w:bookmarkStart w:id="21" w:name="_Toc35393791"/>
      <w:r>
        <w:rPr>
          <w:rFonts w:hint="eastAsia"/>
          <w:color w:val="000000"/>
          <w:highlight w:val="none"/>
        </w:rPr>
        <w:t xml:space="preserve">二、申请人的资格要求：</w:t>
      </w:r>
      <w:bookmarkEnd w:id="17"/>
      <w:r/>
      <w:bookmarkEnd w:id="18"/>
      <w:r/>
      <w:bookmarkEnd w:id="19"/>
      <w:r/>
      <w:bookmarkEnd w:id="20"/>
      <w:r/>
      <w:bookmarkEnd w:id="21"/>
      <w:r>
        <w:rPr>
          <w:rFonts w:hint="eastAsia" w:eastAsia="宋体"/>
          <w:color w:val="000000"/>
          <w:highlight w:val="none"/>
          <w:lang w:eastAsia="zh-CN"/>
        </w:rPr>
      </w:r>
      <w:r/>
    </w:p>
    <w:p>
      <w:pPr>
        <w:pStyle w:val="766"/>
        <w:ind w:firstLine="480"/>
        <w:jc w:val="left"/>
        <w:spacing w:line="500" w:lineRule="exact"/>
        <w:rPr>
          <w:rFonts w:ascii="Calibri" w:hAnsi="Calibri" w:eastAsia="宋体" w:cs="Times New Roman"/>
          <w:sz w:val="24"/>
          <w:szCs w:val="24"/>
        </w:rPr>
      </w:pPr>
      <w:r/>
      <w:bookmarkStart w:id="22" w:name="_Toc28359004"/>
      <w:r/>
      <w:bookmarkStart w:id="23" w:name="_Toc38985265"/>
      <w:r/>
      <w:bookmarkStart w:id="24" w:name="_Toc35393792"/>
      <w:r/>
      <w:bookmarkStart w:id="25" w:name="_Toc28359081"/>
      <w:r/>
      <w:bookmarkStart w:id="26" w:name="_Toc35393623"/>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rPr>
          <w:rFonts w:ascii="Calibri" w:hAnsi="Calibri"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highlight w:val="none"/>
        </w:rPr>
        <w:t xml:space="preserve">（提供法人或者其他组织的营业执照等证明文件）；</w:t>
      </w:r>
      <w:r>
        <w:rPr>
          <w:rFonts w:hint="eastAsia" w:ascii="宋体" w:hAnsi="宋体" w:eastAsia="宋体" w:cs="Times New Roman"/>
          <w:color w:val="000000"/>
          <w:sz w:val="24"/>
          <w:szCs w:val="24"/>
          <w:highlight w:val="none"/>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)法律、行政法规规定的其他条件。</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w:t>
      </w:r>
      <w:r>
        <w:rPr>
          <w:rFonts w:hint="eastAsia" w:ascii="宋体" w:hAnsi="宋体" w:eastAsia="宋体" w:cs="Times New Roman"/>
          <w:sz w:val="24"/>
          <w:szCs w:val="24"/>
          <w:lang w:eastAsia="zh-CN"/>
        </w:rPr>
        <w:t xml:space="preserve">招标文件</w:t>
      </w:r>
      <w:r>
        <w:rPr>
          <w:rFonts w:hint="eastAsia" w:ascii="宋体" w:hAnsi="宋体" w:eastAsia="宋体" w:cs="Times New Roman"/>
          <w:sz w:val="24"/>
          <w:szCs w:val="24"/>
        </w:rPr>
        <w:t xml:space="preserve">投标文件格式。</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，拒绝其参与政府采购活动（采购人或</w:t>
      </w:r>
      <w:r>
        <w:rPr>
          <w:rFonts w:hint="eastAsia" w:ascii="宋体" w:hAnsi="宋体" w:eastAsia="宋体" w:cs="Times New Roman"/>
          <w:sz w:val="24"/>
          <w:szCs w:val="24"/>
          <w:lang w:eastAsia="zh-CN"/>
        </w:rPr>
        <w:t xml:space="preserve">灌云县政府采购中心将</w:t>
      </w:r>
      <w:r>
        <w:rPr>
          <w:rFonts w:hint="eastAsia" w:ascii="宋体" w:hAnsi="宋体" w:eastAsia="宋体" w:cs="Times New Roman"/>
          <w:sz w:val="24"/>
          <w:szCs w:val="24"/>
        </w:rPr>
        <w:t xml:space="preserve">通过信用中国网站（www.creditchina.gov.cn）、中国政府采购网（www.ccgp.gov.cn），对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rPr>
          <w:rFonts w:hint="eastAsia" w:ascii="宋体" w:hAnsi="宋体" w:eastAsia="宋体" w:cs="Times New Roman"/>
          <w:sz w:val="24"/>
          <w:szCs w:val="24"/>
        </w:rPr>
      </w:r>
      <w:r/>
    </w:p>
    <w:p>
      <w:pPr>
        <w:pStyle w:val="766"/>
        <w:ind w:firstLine="480"/>
        <w:jc w:val="left"/>
        <w:spacing w:line="500" w:lineRule="exact"/>
        <w:rPr>
          <w:rFonts w:hint="eastAsia" w:ascii="Calibri" w:hAnsi="Calibri" w:eastAsia="宋体" w:cs="Times New Roman"/>
          <w:sz w:val="24"/>
          <w:szCs w:val="24"/>
          <w:lang w:eastAsia="zh-CN"/>
        </w:rPr>
      </w:pPr>
      <w:r>
        <w:rPr>
          <w:rFonts w:hint="eastAsia"/>
          <w:sz w:val="24"/>
          <w:szCs w:val="24"/>
        </w:rPr>
        <w:t xml:space="preserve">（二）落实政府采购政策需满足的资格要求：</w:t>
      </w:r>
      <w:r>
        <w:rPr>
          <w:rFonts w:hint="eastAsia" w:ascii="Calibri" w:hAnsi="Calibri" w:eastAsia="宋体" w:cs="Times New Roman"/>
          <w:b/>
          <w:color w:val="000000"/>
          <w:sz w:val="24"/>
          <w:szCs w:val="24"/>
          <w:highlight w:val="none"/>
        </w:rPr>
        <w:t xml:space="preserve">本项目专门面向中型企业、小型企业、微型企业、残疾人福利性单位、监狱企业采购，符合要求的投标人须提供《中小企业声明函》（详见第六章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投标文件格式）或《残疾人福利性单位声明函》（详见第六章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投标文件格式）或属于监狱企业的证明文件，否则投标无效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eastAsia="zh-CN"/>
        </w:rPr>
      </w:r>
      <w:r/>
    </w:p>
    <w:p>
      <w:pPr>
        <w:pStyle w:val="766"/>
        <w:ind w:firstLine="480"/>
        <w:jc w:val="left"/>
        <w:spacing w:line="500" w:lineRule="exact"/>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rPr>
          <w:rFonts w:hint="eastAsia" w:ascii="Times New Roman" w:hAnsi="Times New Roman" w:eastAsia="宋体" w:cs="Times New Roman"/>
          <w:b w:val="0"/>
          <w:bCs w:val="0"/>
          <w:sz w:val="24"/>
          <w:szCs w:val="24"/>
          <w:lang w:val="en-US" w:eastAsia="zh-CN" w:bidi="ar-SA"/>
        </w:rPr>
      </w:r>
      <w:r/>
    </w:p>
    <w:p>
      <w:pPr>
        <w:pStyle w:val="769"/>
        <w:ind w:firstLine="496"/>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rPr>
          <w:rFonts w:hint="eastAsia"/>
          <w:lang w:val="en-US" w:eastAsia="zh-CN"/>
        </w:rPr>
      </w:r>
      <w:r/>
    </w:p>
    <w:p>
      <w:pPr>
        <w:pStyle w:val="766"/>
        <w:ind w:firstLine="540"/>
        <w:keepLines w:val="0"/>
        <w:keepNext w:val="0"/>
        <w:pageBreakBefore w:val="0"/>
        <w:spacing w:line="500" w:lineRule="exact"/>
        <w:widowControl w:val="off"/>
        <w:rPr>
          <w:rFonts w:hint="eastAsia" w:ascii="宋体" w:hAnsi="宋体" w:cs="宋体"/>
          <w:color w:val="000000"/>
          <w:sz w:val="24"/>
          <w:szCs w:val="24"/>
          <w:highlight w:val="red"/>
        </w:rPr>
      </w:pPr>
      <w:r/>
      <w:bookmarkStart w:id="27" w:name="_Toc35393624"/>
      <w:r/>
      <w:bookmarkStart w:id="28" w:name="_Toc35393793"/>
      <w:r/>
      <w:bookmarkStart w:id="29" w:name="_Toc38985266"/>
      <w:r/>
      <w:bookmarkStart w:id="30" w:name="_Toc28359082"/>
      <w:r/>
      <w:bookmarkStart w:id="31" w:name="_Toc28359005"/>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t xml:space="preserve">日至20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red"/>
        </w:rPr>
      </w:r>
      <w:r/>
    </w:p>
    <w:p>
      <w:pPr>
        <w:pStyle w:val="766"/>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rPr>
          <w:rFonts w:hint="eastAsia" w:ascii="宋体" w:hAnsi="宋体" w:cs="宋体"/>
          <w:sz w:val="24"/>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rPr>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rPr>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rPr>
          <w:szCs w:val="24"/>
        </w:rPr>
      </w:r>
      <w:r/>
    </w:p>
    <w:p>
      <w:pPr>
        <w:pStyle w:val="766"/>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rPr>
          <w:rFonts w:hint="eastAsia" w:ascii="宋体" w:hAnsi="宋体" w:cs="宋体"/>
          <w:sz w:val="24"/>
          <w:szCs w:val="24"/>
        </w:rPr>
      </w:r>
      <w:r/>
    </w:p>
    <w:p>
      <w:pPr>
        <w:pStyle w:val="769"/>
        <w:ind w:firstLine="496"/>
        <w:pageBreakBefore w:val="0"/>
        <w:spacing w:before="145" w:after="145" w:line="500" w:lineRule="exact"/>
        <w:widowControl w:val="off"/>
      </w:pPr>
      <w:r>
        <w:rPr>
          <w:rFonts w:hint="eastAsia"/>
        </w:rPr>
        <w:t xml:space="preserve">四、提交投标文</w:t>
      </w:r>
      <w:r>
        <w:rPr>
          <w:rFonts w:hint="eastAsia"/>
          <w:lang w:val="en-US" w:eastAsia="zh-CN"/>
        </w:rPr>
        <w:t xml:space="preserve">5</w:t>
      </w:r>
      <w:r>
        <w:rPr>
          <w:rFonts w:hint="eastAsia"/>
        </w:rPr>
        <w:t xml:space="preserve">件</w:t>
      </w:r>
      <w:bookmarkEnd w:id="30"/>
      <w:r/>
      <w:bookmarkEnd w:id="31"/>
      <w:r>
        <w:rPr>
          <w:rFonts w:hint="eastAsia"/>
        </w:rPr>
        <w:t xml:space="preserve">截止时间、开标时间和地点</w:t>
      </w:r>
      <w:bookmarkEnd w:id="27"/>
      <w:r/>
      <w:bookmarkEnd w:id="28"/>
      <w:r/>
      <w:bookmarkEnd w:id="29"/>
      <w:r/>
      <w:r/>
    </w:p>
    <w:p>
      <w:pPr>
        <w:pStyle w:val="766"/>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35393625"/>
      <w:r/>
      <w:bookmarkStart w:id="33" w:name="_Toc28359084"/>
      <w:r/>
      <w:bookmarkStart w:id="34" w:name="_Toc38985267"/>
      <w:r/>
      <w:bookmarkStart w:id="35" w:name="_Toc35393794"/>
      <w:r/>
      <w:bookmarkStart w:id="36" w:name="_Toc28359007"/>
      <w:r>
        <w:rPr>
          <w:rFonts w:ascii="宋体" w:hAnsi="宋体" w:cs="宋体"/>
          <w:color w:val="000000"/>
          <w:sz w:val="24"/>
          <w:szCs w:val="24"/>
        </w:rPr>
        <w:t xml:space="preserve">时间</w:t>
      </w:r>
      <w:r>
        <w:rPr>
          <w:rFonts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07</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07</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时00分（北京时间）；</w:t>
      </w:r>
      <w:r>
        <w:rPr>
          <w:color w:val="000000"/>
          <w:szCs w:val="24"/>
          <w:highlight w:val="none"/>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rPr>
          <w:rFonts w:ascii="Calibri" w:hAnsi="Calibri" w:eastAsia="宋体" w:cs="Times New Roman"/>
        </w:rPr>
      </w:r>
      <w:r/>
    </w:p>
    <w:p>
      <w:pPr>
        <w:pStyle w:val="769"/>
        <w:ind w:firstLine="496"/>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pStyle w:val="766"/>
        <w:ind w:firstLine="480"/>
        <w:pageBreakBefore w:val="0"/>
        <w:spacing w:line="500" w:lineRule="exact"/>
        <w:widowControl w:val="off"/>
        <w:rPr>
          <w:rFonts w:ascii="宋体" w:hAnsi="宋体" w:cs="宋体"/>
          <w:sz w:val="24"/>
          <w:szCs w:val="24"/>
        </w:rPr>
      </w:pPr>
      <w:r/>
      <w:bookmarkStart w:id="37" w:name="_Toc35393795"/>
      <w:r/>
      <w:bookmarkStart w:id="38" w:name="_Toc38985268"/>
      <w:r/>
      <w:bookmarkStart w:id="39" w:name="_Toc35393626"/>
      <w:r>
        <w:rPr>
          <w:rFonts w:hint="eastAsia" w:ascii="宋体" w:hAnsi="宋体" w:cs="宋体"/>
          <w:sz w:val="24"/>
          <w:szCs w:val="24"/>
        </w:rPr>
        <w:t xml:space="preserve">自本公告发布之日起5个工作日。</w:t>
      </w:r>
      <w:r>
        <w:rPr>
          <w:rFonts w:ascii="宋体" w:hAnsi="宋体" w:cs="宋体"/>
          <w:sz w:val="24"/>
          <w:szCs w:val="24"/>
        </w:rPr>
      </w:r>
      <w:r/>
    </w:p>
    <w:p>
      <w:pPr>
        <w:pStyle w:val="769"/>
        <w:ind w:firstLine="496"/>
        <w:pageBreakBefore w:val="0"/>
        <w:spacing w:before="145" w:after="145" w:line="500" w:lineRule="exact"/>
        <w:widowControl w:val="off"/>
      </w:pPr>
      <w:r>
        <w:rPr>
          <w:rFonts w:hint="eastAsia"/>
        </w:rPr>
        <w:t xml:space="preserve">六、其他补充事宜</w:t>
      </w:r>
      <w:bookmarkEnd w:id="37"/>
      <w:r/>
      <w:bookmarkEnd w:id="38"/>
      <w:r/>
      <w:bookmarkEnd w:id="39"/>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szCs w:val="24"/>
        </w:rPr>
      </w:r>
      <w:r/>
    </w:p>
    <w:p>
      <w:pPr>
        <w:pStyle w:val="766"/>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rPr>
          <w:rFonts w:hint="eastAsia"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val="en-US" w:eastAsia="zh-CN"/>
        </w:rPr>
        <w:t xml:space="preserve">一</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rFonts w:ascii="宋体" w:hAnsi="宋体" w:cs="宋体"/>
          <w:sz w:val="24"/>
          <w:szCs w:val="24"/>
        </w:rPr>
      </w:r>
      <w:r/>
    </w:p>
    <w:p>
      <w:pPr>
        <w:pStyle w:val="766"/>
        <w:ind w:firstLine="640"/>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Pr>
          <w:rFonts w:ascii="Times New Roman" w:hAnsi="Times New Roman"/>
          <w:b/>
          <w:bCs/>
          <w:color w:val="000000"/>
          <w:sz w:val="32"/>
          <w:szCs w:val="32"/>
        </w:rPr>
      </w:r>
      <w:r/>
    </w:p>
    <w:p>
      <w:pPr>
        <w:pStyle w:val="766"/>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66"/>
        <w:ind w:left="1079" w:hanging="300"/>
        <w:jc w:val="left"/>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US" w:eastAsia="zh-CN"/>
        </w:rPr>
        <w:t xml:space="preserve">  </w:t>
      </w:r>
      <w:r>
        <w:rPr>
          <w:rFonts w:hint="eastAsia" w:ascii="宋体" w:hAnsi="宋体" w:cs="宋体"/>
          <w:sz w:val="24"/>
          <w:szCs w:val="24"/>
          <w:u w:val="single"/>
          <w:lang w:eastAsia="zh-CN"/>
        </w:rPr>
        <w:t xml:space="preserve">灌云中等专业学校</w:t>
      </w:r>
      <w:r>
        <w:rPr>
          <w:rFonts w:hint="eastAsia" w:ascii="宋体" w:hAnsi="宋体"/>
          <w:color w:val="000000"/>
          <w:sz w:val="24"/>
          <w:szCs w:val="24"/>
          <w:u w:val="single"/>
        </w:rPr>
        <w:t xml:space="preserve">　</w:t>
      </w:r>
      <w:r>
        <w:rPr>
          <w:rFonts w:ascii="宋体" w:hAnsi="宋体" w:eastAsia="宋体"/>
          <w:color w:val="000000"/>
          <w:sz w:val="24"/>
          <w:szCs w:val="24"/>
          <w:lang w:val="en-US" w:eastAsia="zh-CN"/>
        </w:rPr>
      </w:r>
      <w:r/>
    </w:p>
    <w:p>
      <w:pPr>
        <w:pStyle w:val="766"/>
        <w:ind w:left="1079" w:hanging="300"/>
        <w:jc w:val="left"/>
        <w:keepLines w:val="0"/>
        <w:keepNext w:val="0"/>
        <w:pageBreakBefore w:val="0"/>
        <w:spacing w:line="5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地址：</w:t>
      </w:r>
      <w:r>
        <w:rPr>
          <w:rFonts w:hint="eastAsia" w:ascii="宋体" w:hAnsi="宋体" w:eastAsia="宋体" w:cs="宋体"/>
          <w:sz w:val="24"/>
          <w:szCs w:val="24"/>
          <w:u w:val="single"/>
          <w:lang w:eastAsia="zh-CN"/>
        </w:rPr>
        <w:t xml:space="preserve">　江苏省连云港市灌云县胜利西路599号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highlight w:val="none"/>
          <w:u w:val="single"/>
          <w:lang w:val="en-US" w:eastAsia="zh-CN"/>
        </w:rPr>
        <w:t xml:space="preserve"> </w:t>
      </w:r>
      <w:r>
        <w:rPr>
          <w:rFonts w:ascii="宋体" w:hAnsi="宋体"/>
          <w:color w:val="000000"/>
          <w:sz w:val="24"/>
          <w:szCs w:val="24"/>
          <w:highlight w:val="none"/>
          <w:lang w:val="en-US"/>
        </w:rPr>
      </w:r>
      <w:r/>
    </w:p>
    <w:p>
      <w:pPr>
        <w:pStyle w:val="766"/>
        <w:ind w:left="1079" w:hanging="300"/>
        <w:jc w:val="left"/>
        <w:keepLines w:val="0"/>
        <w:keepNext w:val="0"/>
        <w:pageBreakBefore w:val="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 胡主任</w:t>
      </w:r>
      <w:r>
        <w:rPr>
          <w:rFonts w:ascii="宋体" w:hAnsi="宋体" w:eastAsia="宋体"/>
          <w:color w:val="000000"/>
          <w:sz w:val="24"/>
          <w:szCs w:val="24"/>
          <w:highlight w:val="none"/>
          <w:lang w:val="en-US" w:eastAsia="zh-CN"/>
        </w:rPr>
      </w:r>
      <w:r/>
    </w:p>
    <w:p>
      <w:pPr>
        <w:pStyle w:val="766"/>
        <w:ind w:left="1079" w:hanging="300"/>
        <w:jc w:val="left"/>
        <w:keepLines w:val="0"/>
        <w:keepNext w:val="0"/>
        <w:pageBreakBefore w:val="0"/>
        <w:spacing w:line="5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09"/>
      <w:r/>
      <w:bookmarkStart w:id="41" w:name="_Toc28359086"/>
      <w:r>
        <w:rPr>
          <w:rFonts w:hint="eastAsia" w:ascii="宋体" w:hAnsi="宋体"/>
          <w:color w:val="000000"/>
          <w:sz w:val="24"/>
          <w:szCs w:val="24"/>
          <w:highlight w:val="none"/>
          <w:u w:val="single"/>
          <w:lang w:val="en-US" w:eastAsia="zh-CN"/>
        </w:rPr>
        <w:t xml:space="preserve"> 13605121803 </w:t>
      </w:r>
      <w:r>
        <w:rPr>
          <w:rFonts w:ascii="宋体" w:hAnsi="宋体" w:eastAsia="宋体"/>
          <w:color w:val="000000"/>
          <w:sz w:val="24"/>
          <w:szCs w:val="24"/>
          <w:highlight w:val="none"/>
          <w:u w:val="single"/>
          <w:lang w:val="en-US" w:eastAsia="zh-CN"/>
        </w:rPr>
      </w:r>
      <w:r/>
    </w:p>
    <w:p>
      <w:pPr>
        <w:pStyle w:val="766"/>
        <w:ind w:firstLine="720"/>
        <w:keepLines w:val="0"/>
        <w:keepNext w:val="0"/>
        <w:pageBreakBefore w:val="0"/>
        <w:spacing w:line="500" w:lineRule="exact"/>
        <w:rPr>
          <w:rFonts w:hint="eastAsia" w:ascii="宋体" w:hAnsi="宋体"/>
          <w:color w:val="000000"/>
          <w:sz w:val="24"/>
          <w:szCs w:val="24"/>
        </w:rPr>
      </w:pPr>
      <w:r/>
      <w:bookmarkEnd w:id="40"/>
      <w:r/>
      <w:bookmarkEnd w:id="41"/>
      <w:r>
        <w:rPr>
          <w:rFonts w:hint="eastAsia" w:ascii="宋体" w:hAnsi="宋体"/>
          <w:color w:val="000000"/>
          <w:sz w:val="24"/>
          <w:szCs w:val="24"/>
        </w:rPr>
        <w:t xml:space="preserve">2.采购代理机构信息</w:t>
      </w:r>
      <w:r>
        <w:rPr>
          <w:rFonts w:hint="eastAsia" w:ascii="宋体" w:hAnsi="宋体"/>
          <w:color w:val="000000"/>
          <w:sz w:val="24"/>
          <w:szCs w:val="24"/>
        </w:rPr>
      </w:r>
      <w:r/>
    </w:p>
    <w:p>
      <w:pPr>
        <w:pStyle w:val="766"/>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宋体"/>
          <w:sz w:val="24"/>
          <w:szCs w:val="24"/>
          <w:u w:val="single"/>
          <w:lang w:eastAsia="zh-CN"/>
        </w:rPr>
        <w:t xml:space="preserve">灌云县政府采购中心</w:t>
      </w:r>
      <w:r>
        <w:rPr>
          <w:rFonts w:hint="eastAsia" w:ascii="宋体" w:hAnsi="宋体" w:eastAsia="宋体" w:cs="宋体"/>
          <w:sz w:val="24"/>
          <w:szCs w:val="24"/>
          <w:u w:val="single"/>
          <w:lang w:val="en-US" w:eastAsia="zh-CN"/>
        </w:rPr>
        <w:t xml:space="preserve">     </w:t>
      </w:r>
      <w:r>
        <w:rPr>
          <w:rFonts w:ascii="宋体" w:hAnsi="宋体" w:eastAsia="宋体" w:cs="Times New Roman"/>
          <w:color w:val="000000"/>
          <w:sz w:val="24"/>
          <w:szCs w:val="24"/>
          <w:lang w:val="en-US"/>
        </w:rPr>
      </w:r>
      <w:r/>
    </w:p>
    <w:p>
      <w:pPr>
        <w:pStyle w:val="766"/>
        <w:ind w:firstLine="720"/>
        <w:keepLines w:val="0"/>
        <w:keepNext w:val="0"/>
        <w:pageBreakBefore w:val="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灌云县东城区商务大厦</w:t>
      </w:r>
      <w:r>
        <w:rPr>
          <w:rFonts w:hint="eastAsia" w:ascii="宋体" w:hAnsi="宋体"/>
          <w:color w:val="000000"/>
          <w:sz w:val="24"/>
          <w:szCs w:val="24"/>
          <w:u w:val="single"/>
          <w:lang w:val="en-US" w:eastAsia="zh-CN"/>
        </w:rPr>
        <w:t xml:space="preserve">A座12楼</w:t>
      </w:r>
      <w:r>
        <w:rPr>
          <w:rFonts w:ascii="宋体" w:hAnsi="宋体"/>
          <w:color w:val="000000"/>
          <w:sz w:val="24"/>
          <w:szCs w:val="24"/>
        </w:rPr>
      </w:r>
      <w:r/>
    </w:p>
    <w:p>
      <w:pPr>
        <w:pStyle w:val="766"/>
        <w:ind w:firstLine="720"/>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焦工              </w:t>
      </w:r>
      <w:r>
        <w:rPr>
          <w:rFonts w:ascii="宋体" w:hAnsi="宋体" w:eastAsia="宋体"/>
          <w:color w:val="000000"/>
          <w:sz w:val="24"/>
          <w:szCs w:val="24"/>
          <w:lang w:val="en-US" w:eastAsia="zh-CN"/>
        </w:rPr>
      </w:r>
      <w:r/>
    </w:p>
    <w:p>
      <w:pPr>
        <w:pStyle w:val="766"/>
        <w:ind w:firstLine="720"/>
        <w:keepLines w:val="0"/>
        <w:keepNext w:val="0"/>
        <w:pageBreakBefore w:val="0"/>
        <w:spacing w:line="500" w:lineRule="exact"/>
        <w:rPr>
          <w:rFonts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0518-80275537        </w:t>
      </w:r>
      <w:r>
        <w:rPr>
          <w:rFonts w:ascii="宋体" w:hAnsi="宋体"/>
          <w:color w:val="000000"/>
          <w:sz w:val="24"/>
          <w:szCs w:val="24"/>
          <w:u w:val="single"/>
          <w:lang w:val="en-US" w:eastAsia="zh-CN"/>
        </w:rPr>
      </w:r>
      <w:r/>
    </w:p>
    <w:p>
      <w:pPr>
        <w:pStyle w:val="766"/>
        <w:ind w:firstLine="496"/>
        <w:keepLines/>
        <w:keepNext/>
        <w:pageBreakBefore w:val="0"/>
        <w:spacing w:before="145" w:after="145" w:line="500" w:lineRule="exact"/>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766"/>
        <w:ind w:left="0" w:firstLine="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766"/>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rPr>
          <w:rFonts w:hint="eastAsia" w:ascii="宋体" w:hAnsi="宋体"/>
          <w:sz w:val="24"/>
          <w:szCs w:val="24"/>
        </w:rPr>
      </w:r>
      <w:r/>
    </w:p>
    <w:p>
      <w:pPr>
        <w:pStyle w:val="766"/>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hint="eastAsia" w:ascii="宋体" w:hAnsi="宋体" w:eastAsia="宋体" w:cs="Times New Roman"/>
          <w:bCs/>
          <w:sz w:val="24"/>
          <w:szCs w:val="24"/>
        </w:rPr>
      </w:r>
      <w:r/>
    </w:p>
    <w:p>
      <w:pPr>
        <w:pStyle w:val="766"/>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Pr>
          <w:rFonts w:hint="eastAsia" w:ascii="黑体" w:hAnsi="Arial" w:eastAsia="黑体" w:cs="Arial"/>
          <w:color w:val="000000"/>
          <w:sz w:val="44"/>
          <w:szCs w:val="44"/>
        </w:rPr>
      </w:r>
      <w:r/>
    </w:p>
    <w:p>
      <w:pPr>
        <w:pStyle w:val="766"/>
        <w:ind w:firstLine="496"/>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513029203"/>
      <w:r/>
      <w:bookmarkStart w:id="50" w:name="_Toc120614214"/>
      <w:r/>
      <w:bookmarkStart w:id="51" w:name="_Toc20823275"/>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lang w:eastAsia="zh-CN"/>
        </w:rPr>
      </w:r>
      <w:r/>
    </w:p>
    <w:p>
      <w:pPr>
        <w:pStyle w:val="766"/>
        <w:ind w:firstLine="480"/>
        <w:jc w:val="left"/>
        <w:spacing w:line="500" w:lineRule="exact"/>
        <w:rPr>
          <w:rFonts w:ascii="Calibri" w:hAnsi="Calibri" w:eastAsia="宋体" w:cs="Times New Roman"/>
          <w:sz w:val="24"/>
          <w:szCs w:val="24"/>
        </w:rPr>
      </w:pPr>
      <w:r/>
      <w:bookmarkStart w:id="61" w:name="_Toc20823278"/>
      <w:r/>
      <w:bookmarkStart w:id="62" w:name="_Toc513029206"/>
      <w:r/>
      <w:bookmarkStart w:id="63" w:name="_Toc16938522"/>
      <w:r>
        <w:rPr>
          <w:rFonts w:hint="eastAsia" w:ascii="Calibri" w:hAnsi="Calibri" w:eastAsia="宋体" w:cs="Times New Roman"/>
          <w:sz w:val="24"/>
          <w:szCs w:val="24"/>
        </w:rPr>
        <w:t xml:space="preserve">2.1满足招标公告中申请人的资格要求的规定。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2.3满足本招标文件全部实质性要求和条件的规定。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2.4符合上述条件的投标人应承担投标及履约过程应承担的全部责任与义务。</w:t>
      </w:r>
      <w:r>
        <w:rPr>
          <w:rFonts w:ascii="Calibri" w:hAnsi="Calibri" w:eastAsia="宋体" w:cs="Times New Roman"/>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766"/>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64" w:name="_Toc462564067"/>
      <w:r/>
      <w:bookmarkStart w:id="65" w:name="_Toc20823279"/>
      <w:r/>
      <w:bookmarkStart w:id="66" w:name="_Toc513029207"/>
      <w:r/>
      <w:bookmarkStart w:id="67" w:name="_Toc16938523"/>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rPr>
          <w:rFonts w:hint="eastAsia" w:ascii="宋体" w:hAnsi="宋体"/>
          <w:color w:val="000000"/>
          <w:sz w:val="24"/>
          <w:szCs w:val="21"/>
        </w:rPr>
      </w:r>
      <w:r/>
    </w:p>
    <w:p>
      <w:pPr>
        <w:pStyle w:val="766"/>
        <w:ind w:firstLine="480"/>
        <w:pageBreakBefore w:val="0"/>
        <w:spacing w:line="500" w:lineRule="exact"/>
        <w:rPr>
          <w:rFonts w:hint="eastAsia"/>
          <w:sz w:val="24"/>
          <w:szCs w:val="24"/>
        </w:rPr>
      </w:pPr>
      <w:r>
        <w:rPr>
          <w:rFonts w:hint="eastAsia" w:ascii="宋体" w:hAnsi="宋体"/>
          <w:color w:val="000000"/>
          <w:sz w:val="24"/>
          <w:szCs w:val="21"/>
          <w:highlight w:val="none"/>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其他国有资源（资产）有偿使用费15000元，由中标人支付，投标人在报价时综合考虑</w:t>
      </w:r>
      <w:r>
        <w:rPr>
          <w:rFonts w:hint="eastAsia" w:ascii="Times New Roman" w:hAnsi="Times New Roman" w:eastAsia="宋体" w:cs="Times New Roman"/>
          <w:sz w:val="24"/>
          <w:szCs w:val="24"/>
          <w:highlight w:val="none"/>
        </w:rPr>
        <w:t xml:space="preserve">。</w:t>
      </w:r>
      <w:r>
        <w:rPr>
          <w:rFonts w:hint="eastAsia"/>
          <w:sz w:val="24"/>
          <w:szCs w:val="24"/>
        </w:rPr>
      </w:r>
      <w:r/>
    </w:p>
    <w:p>
      <w:pPr>
        <w:pStyle w:val="766"/>
        <w:ind w:firstLine="600"/>
        <w:pageBreakBefore w:val="0"/>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rPr>
          <w:rFonts w:hint="eastAsia" w:ascii="黑体" w:hAnsi="宋体"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rPr>
          <w:rFonts w:hint="eastAsia" w:ascii="宋体" w:hAnsi="宋体"/>
          <w:color w:val="000000"/>
          <w:sz w:val="24"/>
          <w:szCs w:val="24"/>
        </w:rPr>
      </w:r>
      <w:r/>
    </w:p>
    <w:p>
      <w:pPr>
        <w:pStyle w:val="766"/>
        <w:ind w:firstLine="320"/>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16938525"/>
      <w:r/>
      <w:bookmarkStart w:id="69" w:name="_Toc20823281"/>
      <w:r/>
      <w:bookmarkStart w:id="70" w:name="_Toc513029209"/>
      <w:r/>
      <w:bookmarkStart w:id="71" w:name="_Toc120614215"/>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rPr>
          <w:rFonts w:hint="eastAsia" w:ascii="Times New Roman" w:hAnsi="Times New Roman" w:eastAsia="宋体"/>
          <w:b/>
          <w:bCs/>
          <w:color w:val="000000"/>
          <w:sz w:val="32"/>
          <w:szCs w:val="32"/>
          <w:lang w:eastAsia="zh-CN"/>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72" w:name="_Toc20823282"/>
      <w:r/>
      <w:bookmarkStart w:id="73" w:name="_Toc16938526"/>
      <w:r/>
      <w:bookmarkStart w:id="74"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rPr>
          <w:rFonts w:hint="eastAsia" w:ascii="宋体" w:hAnsi="宋体"/>
          <w:color w:val="000000"/>
          <w:sz w:val="24"/>
          <w:szCs w:val="21"/>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66"/>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rPr>
          <w:rFonts w:hint="eastAsia" w:ascii="宋体" w:hAnsi="宋体"/>
          <w:color w:val="000000"/>
          <w:sz w:val="24"/>
          <w:szCs w:val="21"/>
        </w:rPr>
      </w:r>
      <w:r/>
    </w:p>
    <w:p>
      <w:pPr>
        <w:pStyle w:val="766"/>
        <w:ind w:firstLine="560"/>
        <w:keepLines/>
        <w:keepNext/>
        <w:pageBreakBefore w:val="0"/>
        <w:spacing w:line="500" w:lineRule="exact"/>
        <w:rPr>
          <w:rFonts w:hint="eastAsia" w:ascii="Arial" w:hAnsi="Arial" w:eastAsia="黑体" w:cs="Arial"/>
          <w:color w:val="000000"/>
          <w:sz w:val="28"/>
          <w:szCs w:val="28"/>
        </w:rPr>
        <w:outlineLvl w:val="3"/>
      </w:pPr>
      <w:r/>
      <w:bookmarkStart w:id="75" w:name="_Toc462564070"/>
      <w:r/>
      <w:bookmarkStart w:id="76" w:name="_Toc16938527"/>
      <w:r/>
      <w:bookmarkStart w:id="77" w:name="_Toc20823283"/>
      <w:r/>
      <w:bookmarkStart w:id="78" w:name="_Toc513029211"/>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766"/>
        <w:ind w:firstLine="560"/>
        <w:keepLines/>
        <w:keepNext/>
        <w:pageBreakBefore w:val="0"/>
        <w:spacing w:line="500" w:lineRule="exact"/>
        <w:rPr>
          <w:rFonts w:hint="eastAsia" w:ascii="Arial" w:hAnsi="Arial" w:eastAsia="黑体" w:cs="Arial"/>
          <w:color w:val="000000"/>
          <w:sz w:val="28"/>
          <w:szCs w:val="28"/>
        </w:rPr>
        <w:outlineLvl w:val="3"/>
      </w:pPr>
      <w:r/>
      <w:bookmarkStart w:id="79" w:name="_Toc16938528"/>
      <w:r/>
      <w:bookmarkStart w:id="80" w:name="_Toc513029212"/>
      <w:r/>
      <w:bookmarkStart w:id="81" w:name="_Toc20823284"/>
      <w:r/>
      <w:bookmarkStart w:id="82"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rPr>
          <w:rFonts w:hint="eastAsia" w:ascii="宋体" w:hAnsi="宋体"/>
          <w:color w:val="000000"/>
          <w:sz w:val="24"/>
          <w:szCs w:val="21"/>
        </w:rPr>
      </w:r>
      <w:r/>
    </w:p>
    <w:p>
      <w:pPr>
        <w:pStyle w:val="766"/>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rPr>
          <w:rFonts w:hint="eastAsia" w:ascii="宋体" w:hAnsi="宋体"/>
          <w:color w:val="000000"/>
          <w:sz w:val="24"/>
          <w:szCs w:val="21"/>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462564072"/>
      <w:r/>
      <w:bookmarkStart w:id="84" w:name="_Toc120614216"/>
      <w:r/>
      <w:bookmarkStart w:id="85" w:name="_Toc20823285"/>
      <w:r/>
      <w:bookmarkStart w:id="86" w:name="_Toc16938529"/>
      <w:r/>
      <w:bookmarkStart w:id="87" w:name="_Toc513029213"/>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88" w:name="_Toc513029215"/>
      <w:r/>
      <w:bookmarkStart w:id="89" w:name="_Toc462564074"/>
      <w:r/>
      <w:bookmarkStart w:id="90" w:name="_Toc20823287"/>
      <w:r/>
      <w:bookmarkStart w:id="91" w:name="_Toc16938531"/>
      <w:r>
        <w:rPr>
          <w:rFonts w:hint="eastAsia" w:ascii="Calibri" w:hAnsi="Calibri" w:eastAsia="宋体" w:cs="Times New Roman"/>
          <w:b/>
          <w:bCs/>
          <w:sz w:val="28"/>
          <w:szCs w:val="28"/>
          <w:lang w:val="en-US" w:eastAsia="zh-CN" w:bidi="ar-SA"/>
        </w:rPr>
        <w:t xml:space="preserve">9、投标文件编写注意事项</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w:t>
      </w:r>
      <w:r>
        <w:rPr>
          <w:rFonts w:hint="eastAsia" w:ascii="Calibri" w:hAnsi="Calibri" w:eastAsia="宋体" w:cs="Times New Roman"/>
          <w:sz w:val="24"/>
          <w:szCs w:val="24"/>
          <w:lang w:val="en-US" w:eastAsia="zh-CN"/>
        </w:rPr>
        <w:t xml:space="preserve">实质性</w:t>
      </w:r>
      <w:r>
        <w:rPr>
          <w:rFonts w:hint="eastAsia" w:ascii="Calibri" w:hAnsi="Calibri" w:eastAsia="宋体" w:cs="Times New Roman"/>
          <w:sz w:val="24"/>
          <w:szCs w:val="24"/>
        </w:rPr>
        <w:t xml:space="preserve">要求和条件作出明确响应，并保证所提供的全部资料的真实性，否则作无效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88"/>
      <w:r/>
      <w:bookmarkEnd w:id="89"/>
      <w:r/>
      <w:bookmarkEnd w:id="90"/>
      <w:r/>
      <w:bookmarkEnd w:id="91"/>
      <w:r/>
      <w:bookmarkStart w:id="92" w:name="_Hlt26954838"/>
      <w:r/>
      <w:bookmarkEnd w:id="92"/>
      <w:r/>
      <w:bookmarkStart w:id="93" w:name="_Hlt26668975"/>
      <w:r/>
      <w:bookmarkEnd w:id="93"/>
      <w:r/>
      <w:bookmarkStart w:id="94" w:name="_Hlt26670360"/>
      <w:r/>
      <w:bookmarkEnd w:id="94"/>
      <w:r/>
      <w:bookmarkStart w:id="95" w:name="_Toc513029219"/>
      <w:r/>
      <w:bookmarkStart w:id="96" w:name="_Toc14577357"/>
      <w:r/>
      <w:bookmarkStart w:id="97" w:name="_Toc49090509"/>
      <w:r/>
      <w:bookmarkStart w:id="98" w:name="_Toc49090507"/>
      <w:r/>
      <w:bookmarkStart w:id="99" w:name="_Toc14577354"/>
      <w:r/>
      <w:bookmarkStart w:id="100" w:name="_Toc513029216"/>
      <w:r/>
      <w:bookmarkStart w:id="101" w:name="_Toc49090508"/>
      <w:r/>
      <w:bookmarkStart w:id="102" w:name="_Toc14577355"/>
      <w:r>
        <w:rPr>
          <w:rFonts w:hint="eastAsia" w:ascii="Calibri" w:hAnsi="Calibri" w:eastAsia="宋体" w:cs="Times New Roman"/>
          <w:b/>
          <w:bCs/>
          <w:sz w:val="28"/>
          <w:szCs w:val="28"/>
          <w:lang w:val="en-US" w:eastAsia="zh-CN" w:bidi="ar-SA"/>
        </w:rPr>
        <w:t xml:space="preserve">10、投标文件的语言及度量衡单位</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10.1除专用术语外，投标人提交的投标文件以及投标人与采购人和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10.2除技术性能另有规定外，投标文件所使用的度量衡单位，均须采用国家法定计量单位。</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11、投标文件的构成</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11.2如投标文件制作工具中格式和内容与江苏政府采购网发布的招标文件不一致，请以江苏政府采购网发布的招标文件为准。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11.3特别提醒投标人，混乱的编排导致投标文件被误读或评标委员会（以下简称评委会）查找不到有效文件</w:t>
      </w:r>
      <w:r>
        <w:rPr>
          <w:rFonts w:hint="eastAsia" w:ascii="Calibri" w:hAnsi="Calibri" w:eastAsia="宋体" w:cs="Times New Roman"/>
          <w:sz w:val="24"/>
          <w:szCs w:val="24"/>
          <w:lang w:val="en-US" w:eastAsia="zh-CN"/>
        </w:rPr>
        <w:t xml:space="preserve">导致废标，由</w:t>
      </w:r>
      <w:r>
        <w:rPr>
          <w:rFonts w:hint="eastAsia" w:ascii="Calibri" w:hAnsi="Calibri" w:eastAsia="宋体" w:cs="Times New Roman"/>
          <w:sz w:val="24"/>
          <w:szCs w:val="24"/>
        </w:rPr>
        <w:t xml:space="preserve">投标人</w:t>
      </w:r>
      <w:r>
        <w:rPr>
          <w:rFonts w:hint="eastAsia" w:ascii="Calibri" w:hAnsi="Calibri" w:eastAsia="宋体" w:cs="Times New Roman"/>
          <w:sz w:val="24"/>
          <w:szCs w:val="24"/>
          <w:lang w:val="en-US" w:eastAsia="zh-CN"/>
        </w:rPr>
        <w:t xml:space="preserve">自行承担</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lang w:val="en-US" w:eastAsia="zh-CN"/>
        </w:rPr>
        <w:t xml:space="preserve">2</w:t>
      </w:r>
      <w:r>
        <w:rPr>
          <w:rFonts w:hint="eastAsia" w:ascii="Arial" w:hAnsi="Arial" w:eastAsia="黑体" w:cs="Arial"/>
          <w:color w:val="000000"/>
          <w:sz w:val="28"/>
          <w:szCs w:val="28"/>
        </w:rPr>
        <w:t xml:space="preserve">、证明</w:t>
      </w:r>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rPr>
        <w:t xml:space="preserve">及投标标的符合</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规定的文件</w:t>
      </w:r>
      <w:bookmarkEnd w:id="95"/>
      <w:r/>
      <w:bookmarkEnd w:id="96"/>
      <w:r/>
      <w:bookmarkEnd w:id="9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rPr>
          <w:rFonts w:hint="eastAsia" w:ascii="宋体" w:hAnsi="宋体"/>
          <w:color w:val="000000"/>
          <w:sz w:val="24"/>
          <w:szCs w:val="24"/>
        </w:rPr>
      </w:r>
      <w:r/>
    </w:p>
    <w:p>
      <w:pPr>
        <w:pStyle w:val="766"/>
        <w:ind w:firstLine="480"/>
        <w:jc w:val="left"/>
        <w:spacing w:line="500" w:lineRule="exact"/>
        <w:rPr>
          <w:rFonts w:hint="eastAsia" w:ascii="宋体" w:hAnsi="宋体"/>
          <w:color w:val="000000"/>
          <w:sz w:val="24"/>
          <w:szCs w:val="24"/>
        </w:rPr>
      </w:pPr>
      <w:r>
        <w:rPr>
          <w:rFonts w:hint="eastAsia" w:ascii="Calibri" w:hAnsi="Calibri" w:eastAsia="宋体" w:cs="Times New Roman"/>
          <w:sz w:val="24"/>
          <w:szCs w:val="24"/>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rPr>
      </w:r>
      <w:r/>
    </w:p>
    <w:p>
      <w:pPr>
        <w:pStyle w:val="766"/>
        <w:ind w:firstLine="560"/>
        <w:jc w:val="left"/>
        <w:keepLines/>
        <w:keepNext/>
        <w:spacing w:before="0" w:after="0" w:line="360" w:lineRule="auto"/>
        <w:widowControl w:val="off"/>
        <w:rPr>
          <w:rFonts w:ascii="Calibri" w:hAnsi="Calibri" w:eastAsia="宋体" w:cs="Times New Roman"/>
          <w:b/>
          <w:bCs/>
          <w:sz w:val="32"/>
          <w:szCs w:val="32"/>
          <w:lang w:val="en-US" w:eastAsia="zh-CN" w:bidi="ar-SA"/>
        </w:rPr>
        <w:outlineLvl w:val="2"/>
      </w:pPr>
      <w:r/>
      <w:bookmarkEnd w:id="101"/>
      <w:r/>
      <w:bookmarkEnd w:id="102"/>
      <w:r/>
      <w:bookmarkStart w:id="103" w:name="_Hlt26670486"/>
      <w:r/>
      <w:bookmarkEnd w:id="103"/>
      <w:r/>
      <w:bookmarkStart w:id="104" w:name="_Hlt26954848"/>
      <w:r/>
      <w:bookmarkEnd w:id="104"/>
      <w:r/>
      <w:bookmarkStart w:id="105" w:name="_Hlt26954731"/>
      <w:r/>
      <w:bookmarkEnd w:id="105"/>
      <w:r/>
      <w:bookmarkStart w:id="106" w:name="_Hlt26954846"/>
      <w:r/>
      <w:bookmarkEnd w:id="106"/>
      <w:r/>
      <w:bookmarkStart w:id="107" w:name="_Hlt26670482"/>
      <w:r/>
      <w:bookmarkEnd w:id="107"/>
      <w:r>
        <w:rPr>
          <w:rFonts w:hint="eastAsia" w:ascii="Calibri" w:hAnsi="Calibri" w:eastAsia="宋体" w:cs="Times New Roman"/>
          <w:b/>
          <w:bCs/>
          <w:sz w:val="28"/>
          <w:szCs w:val="28"/>
          <w:lang w:val="en-US" w:eastAsia="zh-CN" w:bidi="ar-SA"/>
        </w:rPr>
        <w:t xml:space="preserve">13、投标分项报价表</w:t>
      </w:r>
      <w:r>
        <w:rPr>
          <w:rFonts w:ascii="Calibri" w:hAnsi="Calibri" w:eastAsia="宋体" w:cs="Times New Roman"/>
          <w:b/>
          <w:bCs/>
          <w:sz w:val="32"/>
          <w:szCs w:val="32"/>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13.2投标人应根据投标报价要求在投标分项报价表中列明各项投标单价、总价等，未全部列示的作无效响应处理。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13.3投标文件中的单价和总价无特殊规定的采用人民币报价，以元为单位标注。招标文件中另有规定的按规定执行。</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14、技术要求响应及偏离表、商务要求响应及偏离表</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14.2投标人可在投标文件中提供认为需要的其他技术文件或说明。</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08" w:name="_Hlt26954852"/>
      <w:r/>
      <w:bookmarkEnd w:id="108"/>
      <w:r/>
      <w:bookmarkStart w:id="109" w:name="_Hlt26954739"/>
      <w:r/>
      <w:bookmarkEnd w:id="109"/>
      <w:r/>
      <w:bookmarkStart w:id="110" w:name="_Toc16938540"/>
      <w:r/>
      <w:bookmarkStart w:id="111" w:name="_Toc120614217"/>
      <w:r/>
      <w:bookmarkStart w:id="112" w:name="_Toc513029224"/>
      <w:r/>
      <w:bookmarkStart w:id="113" w:name="_Toc20823296"/>
      <w:r>
        <w:rPr>
          <w:rFonts w:hint="eastAsia" w:ascii="Calibri" w:hAnsi="Calibri" w:eastAsia="宋体" w:cs="Times New Roman"/>
          <w:b/>
          <w:bCs/>
          <w:sz w:val="28"/>
          <w:szCs w:val="28"/>
          <w:lang w:val="en-US" w:eastAsia="zh-CN" w:bidi="ar-SA"/>
        </w:rPr>
        <w:t xml:space="preserve">15、服务承诺、培训计划、人员安排及其他</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15.1投标人应根据招标文件要求提供有关售后服务的管理制度，售后服务机构的分布情况，售后服务人员的数量、素质、技术水平及售后服务的反应能力等。</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15.2投标人应根据招标文件要求提供培训计划、人员安排等。</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15.3投标人应根据招标文件要求提供所投标的的主要组成部分、功能设计、实现思路及关键技术等。</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16、投标函和开标一览表</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16.1投标人应按照招标文件提供的格式完整、正确填写投标函、开标一览表。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17、投标有效期</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17.1投标有效期为招标文件规定的开标之日后六十（60）天。投标有效期比规定短的将被视为未实质性响应招标文件而予以拒绝。</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17.2在特殊情况下，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 w:val="24"/>
          <w:szCs w:val="24"/>
        </w:rPr>
      </w:r>
      <w:r/>
    </w:p>
    <w:p>
      <w:pPr>
        <w:pStyle w:val="766"/>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黑体" w:hAnsi="Arial" w:eastAsia="黑体" w:cs="Arial"/>
          <w:color w:val="000000"/>
          <w:sz w:val="28"/>
          <w:szCs w:val="28"/>
        </w:rPr>
        <w:outlineLvl w:val="3"/>
      </w:pPr>
      <w:r/>
      <w:bookmarkStart w:id="114" w:name="_Toc462564084"/>
      <w:r/>
      <w:bookmarkStart w:id="115" w:name="_Toc20823297"/>
      <w:r/>
      <w:bookmarkStart w:id="116" w:name="_Toc513029225"/>
      <w:r/>
      <w:bookmarkStart w:id="117"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66"/>
        <w:ind w:left="525"/>
        <w:jc w:val="left"/>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20823298"/>
      <w:r/>
      <w:bookmarkStart w:id="119" w:name="_Toc16938542"/>
      <w:r/>
      <w:bookmarkStart w:id="120" w:name="_Toc513029226"/>
      <w:r>
        <w:rPr>
          <w:rFonts w:ascii="宋体" w:hAnsi="宋体"/>
          <w:bCs/>
          <w:color w:val="000000"/>
          <w:sz w:val="24"/>
          <w:szCs w:val="21"/>
        </w:rPr>
      </w:r>
      <w:r/>
    </w:p>
    <w:p>
      <w:pPr>
        <w:pStyle w:val="766"/>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Pr>
          <w:rFonts w:hint="eastAsia" w:ascii="宋体" w:hAnsi="宋体" w:eastAsia="黑体" w:cs="Arial"/>
          <w:bCs/>
          <w:color w:val="000000"/>
          <w:sz w:val="24"/>
          <w:szCs w:val="28"/>
        </w:rPr>
      </w:r>
      <w:r/>
    </w:p>
    <w:p>
      <w:pPr>
        <w:pStyle w:val="766"/>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rPr>
          <w:rFonts w:hint="eastAsia" w:ascii="宋体" w:hAnsi="宋体"/>
          <w:bCs/>
          <w:i w:val="0"/>
          <w:iCs/>
          <w:color w:val="000000"/>
          <w:sz w:val="24"/>
          <w:szCs w:val="21"/>
          <w:u w:val="single"/>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rPr>
          <w:rFonts w:hint="eastAsia" w:ascii="宋体" w:hAnsi="宋体"/>
          <w:bCs/>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21" w:name="_Toc513029227"/>
      <w:r/>
      <w:bookmarkStart w:id="122" w:name="_Toc16938543"/>
      <w:r/>
      <w:bookmarkStart w:id="123"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rPr>
          <w:rFonts w:hint="eastAsia" w:ascii="宋体" w:hAnsi="宋体"/>
          <w:bCs/>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24" w:name="_Toc20823300"/>
      <w:r/>
      <w:bookmarkStart w:id="125" w:name="_Toc16938544"/>
      <w:r/>
      <w:bookmarkStart w:id="126"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rPr>
          <w:rFonts w:hint="eastAsia" w:ascii="宋体" w:hAnsi="宋体"/>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rPr>
          <w:rFonts w:hint="eastAsia" w:ascii="宋体" w:hAnsi="宋体"/>
          <w:bCs/>
          <w:color w:val="000000"/>
          <w:sz w:val="24"/>
          <w:szCs w:val="21"/>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120614218"/>
      <w:r/>
      <w:bookmarkStart w:id="128" w:name="_Toc16938545"/>
      <w:r/>
      <w:bookmarkStart w:id="129" w:name="_Toc513029229"/>
      <w:r/>
      <w:bookmarkStart w:id="130" w:name="_Toc20823301"/>
      <w:r>
        <w:rPr>
          <w:rFonts w:hint="eastAsia" w:ascii="Times New Roman" w:hAnsi="Times New Roman"/>
          <w:b/>
          <w:bCs/>
          <w:color w:val="000000"/>
          <w:sz w:val="32"/>
          <w:szCs w:val="32"/>
        </w:rPr>
        <w:t xml:space="preserve">五、开标与评标</w:t>
      </w:r>
      <w:bookmarkEnd w:id="127"/>
      <w:r/>
      <w:bookmarkEnd w:id="128"/>
      <w:r/>
      <w:bookmarkEnd w:id="129"/>
      <w:r/>
      <w:bookmarkEnd w:id="130"/>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1" w:name="_Toc513029230"/>
      <w:r/>
      <w:bookmarkStart w:id="132" w:name="_Toc20823302"/>
      <w:r/>
      <w:bookmarkStart w:id="133" w:name="_Toc16938546"/>
      <w:r>
        <w:rPr>
          <w:rFonts w:hint="eastAsia" w:ascii="Arial" w:hAnsi="Arial" w:eastAsia="黑体" w:cs="Arial"/>
          <w:color w:val="000000"/>
          <w:sz w:val="28"/>
          <w:szCs w:val="28"/>
        </w:rPr>
        <w:t xml:space="preserve">22、开标</w:t>
      </w:r>
      <w:bookmarkEnd w:id="131"/>
      <w:r/>
      <w:bookmarkEnd w:id="132"/>
      <w:r/>
      <w:bookmarkEnd w:id="133"/>
      <w:r>
        <w:rPr>
          <w:rFonts w:hint="eastAsia" w:ascii="Arial" w:hAnsi="Arial" w:eastAsia="黑体" w:cs="Arial"/>
          <w:color w:val="000000"/>
          <w:sz w:val="28"/>
          <w:szCs w:val="28"/>
        </w:rPr>
      </w:r>
      <w:r/>
    </w:p>
    <w:p>
      <w:pPr>
        <w:pStyle w:val="766"/>
        <w:ind w:firstLine="360"/>
        <w:keepLines w:val="0"/>
        <w:keepNext w:val="0"/>
        <w:pageBreakBefore w:val="0"/>
        <w:spacing w:line="50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采购中心将在招标公告中规定的时间和地点组织公开开标</w:t>
      </w:r>
      <w:r>
        <w:rPr>
          <w:rFonts w:hint="eastAsia" w:ascii="宋体" w:hAnsi="宋体"/>
          <w:color w:val="000000"/>
          <w:sz w:val="24"/>
          <w:szCs w:val="24"/>
        </w:rPr>
        <w:t xml:space="preserve">。</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766"/>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766"/>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在开标过程中涉及到的投标文件解密、开标结果确认等工作，应按照《操作手册》规定执行。</w:t>
      </w:r>
      <w:r>
        <w:rPr>
          <w:rFonts w:hint="eastAsia" w:ascii="宋体" w:hAnsi="宋体"/>
          <w:color w:val="000000"/>
          <w:sz w:val="24"/>
          <w:szCs w:val="24"/>
        </w:rPr>
      </w:r>
      <w:r/>
    </w:p>
    <w:p>
      <w:pPr>
        <w:pStyle w:val="766"/>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4" w:name="_Toc20823303"/>
      <w:r/>
      <w:bookmarkStart w:id="135" w:name="_Toc16938547"/>
      <w:r/>
      <w:bookmarkStart w:id="136"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766"/>
        <w:ind w:firstLine="24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rPr>
          <w:rFonts w:hint="eastAsia" w:ascii="宋体" w:hAnsi="宋体"/>
          <w:b/>
          <w:color w:val="000000"/>
          <w:sz w:val="24"/>
          <w:szCs w:val="24"/>
        </w:rPr>
      </w:r>
      <w:r/>
    </w:p>
    <w:p>
      <w:pPr>
        <w:pStyle w:val="766"/>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766"/>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66"/>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bookmarkEnd w:id="134"/>
      <w:r/>
      <w:bookmarkEnd w:id="135"/>
      <w:r/>
      <w:bookmarkEnd w:id="13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rPr>
          <w:rFonts w:hint="eastAsia" w:ascii="宋体" w:hAnsi="宋体"/>
          <w:bCs/>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rPr>
          <w:rFonts w:hint="eastAsia" w:ascii="宋体" w:hAnsi="宋体"/>
          <w:color w:val="000000"/>
          <w:sz w:val="24"/>
          <w:szCs w:val="24"/>
        </w:rPr>
      </w:r>
      <w:r/>
    </w:p>
    <w:p>
      <w:pPr>
        <w:pStyle w:val="766"/>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w:t>
      </w:r>
      <w:r>
        <w:rPr>
          <w:rFonts w:hint="eastAsia" w:ascii="宋体" w:hAnsi="宋体"/>
          <w:color w:val="000000"/>
          <w:sz w:val="24"/>
          <w:szCs w:val="24"/>
        </w:rPr>
        <w:t xml:space="preserve">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w:t>
      </w:r>
      <w:r>
        <w:rPr>
          <w:rFonts w:hint="eastAsia" w:ascii="宋体" w:hAnsi="宋体"/>
          <w:color w:val="000000"/>
          <w:sz w:val="24"/>
          <w:szCs w:val="24"/>
        </w:rPr>
        <w:t xml:space="preserve">的评审得分及排序情况。</w:t>
      </w:r>
      <w:r>
        <w:rPr>
          <w:rFonts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7" w:name="_Toc20823304"/>
      <w:r/>
      <w:bookmarkStart w:id="138" w:name="_Toc513029232"/>
      <w:r/>
      <w:bookmarkStart w:id="139"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bookmarkStart w:id="140" w:name="_Toc20823305"/>
      <w:r/>
      <w:bookmarkStart w:id="141" w:name="_Toc513029233"/>
      <w:r/>
      <w:bookmarkStart w:id="142"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66"/>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w:t>
      </w:r>
      <w:r>
        <w:rPr>
          <w:rFonts w:hint="eastAsia" w:ascii="宋体" w:hAnsi="宋体"/>
          <w:color w:val="000000"/>
          <w:sz w:val="24"/>
          <w:szCs w:val="24"/>
        </w:rPr>
        <w:t xml:space="preserve">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w:t>
      </w:r>
      <w:r>
        <w:rPr>
          <w:rFonts w:hint="eastAsia" w:ascii="宋体" w:hAnsi="宋体"/>
          <w:color w:val="000000"/>
          <w:sz w:val="24"/>
          <w:szCs w:val="24"/>
        </w:rPr>
        <w:t xml:space="preserve">标文件的补充部分，具体操作方式见《操作手册》。</w:t>
      </w:r>
      <w:r>
        <w:rPr>
          <w:rFonts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rPr>
          <w:rFonts w:hint="eastAsia"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66"/>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采购人在进行资格审查的同时，将在信用中国网站（www.creditchina.gov.cn）、中国政府采购网（www.ccgp.gov.cn）查询投标人的信用记录，以确定投标人是否具备投标资格，查询结果留存并归档。</w:t>
      </w:r>
      <w:r>
        <w:rPr>
          <w:rFonts w:hint="eastAsia" w:ascii="宋体" w:hAnsi="宋体" w:eastAsia="宋体" w:cs="Times New Roman"/>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766"/>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w:t>
      </w:r>
      <w:r>
        <w:rPr>
          <w:rFonts w:hint="eastAsia" w:ascii="宋体" w:hAnsi="宋体"/>
          <w:color w:val="000000"/>
          <w:sz w:val="24"/>
          <w:szCs w:val="24"/>
        </w:rPr>
        <w:t xml:space="preserve">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rPr>
          <w:rFonts w:hint="eastAsia" w:ascii="宋体" w:hAnsi="宋体" w:eastAsia="宋体"/>
          <w:color w:val="000000"/>
          <w:sz w:val="24"/>
          <w:szCs w:val="24"/>
          <w:lang w:val="en-US" w:eastAsia="zh-CN"/>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单价金额小数点或者百分比有明显错位的，以开标一览表的总价为准，并修改单价。</w:t>
      </w:r>
      <w:r>
        <w:rPr>
          <w:rFonts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w:t>
      </w:r>
      <w:r>
        <w:rPr>
          <w:rFonts w:hint="eastAsia" w:ascii="宋体" w:hAnsi="宋体"/>
          <w:bCs/>
          <w:color w:val="000000"/>
          <w:sz w:val="24"/>
          <w:szCs w:val="21"/>
        </w:rPr>
        <w:t xml:space="preserve">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rPr>
          <w:rFonts w:ascii="宋体" w:hAnsi="宋体"/>
          <w:bCs/>
          <w:color w:val="000000"/>
          <w:sz w:val="24"/>
          <w:szCs w:val="21"/>
        </w:rPr>
      </w:r>
      <w:r/>
    </w:p>
    <w:p>
      <w:pPr>
        <w:pStyle w:val="766"/>
        <w:ind w:firstLine="480"/>
        <w:pageBreakBefore w:val="0"/>
        <w:spacing w:line="500" w:lineRule="exact"/>
        <w:rPr>
          <w:rFonts w:ascii="宋体" w:hAnsi="宋体"/>
          <w:color w:val="000000"/>
          <w:sz w:val="24"/>
          <w:szCs w:val="21"/>
        </w:rPr>
      </w:pPr>
      <w:r/>
      <w:bookmarkStart w:id="143" w:name="_Toc20823306"/>
      <w:r/>
      <w:bookmarkStart w:id="144" w:name="_Toc513029234"/>
      <w:r/>
      <w:bookmarkStart w:id="145"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rPr>
          <w:rFonts w:ascii="宋体" w:hAnsi="宋体"/>
          <w:color w:val="000000"/>
          <w:sz w:val="24"/>
          <w:szCs w:val="21"/>
        </w:rPr>
      </w:r>
      <w:r/>
    </w:p>
    <w:p>
      <w:pPr>
        <w:pStyle w:val="766"/>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rPr>
          <w:rFonts w:hint="eastAsia" w:ascii="宋体" w:hAnsi="宋体"/>
          <w:color w:val="000000"/>
          <w:sz w:val="24"/>
          <w:szCs w:val="21"/>
        </w:rPr>
      </w:r>
      <w:r/>
    </w:p>
    <w:p>
      <w:pPr>
        <w:pStyle w:val="766"/>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766"/>
        <w:ind w:left="478"/>
        <w:pageBreakBefore w:val="0"/>
        <w:spacing w:line="500" w:lineRule="exact"/>
        <w:rPr>
          <w:rFonts w:hint="eastAsia" w:ascii="宋体" w:hAnsi="宋体"/>
          <w:bCs/>
          <w:color w:val="000000"/>
          <w:sz w:val="24"/>
          <w:szCs w:val="21"/>
        </w:rPr>
      </w:pPr>
      <w:r/>
      <w:bookmarkStart w:id="146" w:name="_Toc16938551"/>
      <w:r/>
      <w:bookmarkStart w:id="147" w:name="_Toc20823307"/>
      <w:r/>
      <w:bookmarkStart w:id="148"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766"/>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66"/>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66"/>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rPr>
          <w:rFonts w:hint="eastAsia" w:ascii="宋体" w:hAnsi="宋体"/>
          <w:bCs/>
          <w:i/>
          <w:color w:val="000000"/>
          <w:sz w:val="24"/>
          <w:szCs w:val="21"/>
          <w:u w:val="single"/>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3</w:t>
      </w:r>
      <w:r>
        <w:rPr>
          <w:rFonts w:hint="eastAsia" w:ascii="宋体" w:hAnsi="宋体"/>
          <w:bCs/>
          <w:color w:val="000000"/>
          <w:sz w:val="24"/>
          <w:szCs w:val="21"/>
          <w:lang w:val="en-US" w:eastAsia="zh-CN"/>
        </w:rPr>
        <w:t xml:space="preserve">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w:t>
      </w:r>
      <w:r>
        <w:rPr>
          <w:rFonts w:hint="eastAsia" w:ascii="宋体" w:hAnsi="宋体"/>
          <w:bCs/>
          <w:color w:val="000000"/>
          <w:sz w:val="24"/>
          <w:szCs w:val="21"/>
        </w:rPr>
        <w:t xml:space="preserve">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rPr>
          <w:rFonts w:hint="eastAsia" w:ascii="宋体" w:hAnsi="宋体"/>
          <w:bCs/>
          <w:color w:val="000000"/>
          <w:sz w:val="24"/>
          <w:szCs w:val="21"/>
        </w:rPr>
      </w:r>
      <w:r/>
    </w:p>
    <w:p>
      <w:pPr>
        <w:pStyle w:val="766"/>
        <w:ind w:firstLine="480"/>
        <w:jc w:val="left"/>
        <w:spacing w:line="500" w:lineRule="exact"/>
        <w:rPr>
          <w:rFonts w:ascii="Calibri" w:hAnsi="Calibri" w:eastAsia="宋体" w:cs="Times New Roman"/>
          <w:sz w:val="24"/>
          <w:szCs w:val="24"/>
        </w:rPr>
      </w:pPr>
      <w:r/>
      <w:bookmarkStart w:id="149" w:name="_Toc120614219"/>
      <w:r>
        <w:rPr>
          <w:rFonts w:hint="eastAsia" w:ascii="Calibri" w:hAnsi="Calibri" w:eastAsia="宋体" w:cs="Times New Roman"/>
          <w:sz w:val="24"/>
          <w:szCs w:val="24"/>
        </w:rPr>
        <w:t xml:space="preserve">27.2有下列情形之一的，视为投标人串通投标，投标无效：</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（1）不同投标人的投标文件由同一单位或者个人编制。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（2）不同投标人委托同一单位或者个人办理投标事宜。</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（3）不同投标人的投标文件载明的项目管理成员或者联系人员为同一人。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（4）不同投标人的投标文件异常一致或者投标报价呈规律性差异。</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（5）不同投标人的投标文件相互混装。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27.3废标条款：</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（1）因“苏采云”系统故障原因造成开标不成功的。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（2）评委会认定招标文件存在歧义、重大缺陷导致评标工作无法进行，或者招标文件内容违反国家有关强制性规定的。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（3）符合专业条件的供应商或者对招标文件作实质响应的供应商不足三家的。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（4）出现影响采购公正的违法、违规行为的。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（5）因重大变故，采购任务取消的。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27.4出现投标截止时间结束后参加投标的供应商或者在评标期间对招标文件做出实质响应的供应商不足三家情况的，按照政府采购有关规定执行。</w:t>
      </w:r>
      <w:r>
        <w:rPr>
          <w:rFonts w:ascii="Calibri" w:hAnsi="Calibri" w:eastAsia="宋体" w:cs="Times New Roman"/>
          <w:sz w:val="24"/>
          <w:szCs w:val="24"/>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Pr>
          <w:rFonts w:hint="eastAsia" w:ascii="Times New Roman" w:hAnsi="Times New Roman"/>
          <w:b/>
          <w:bCs/>
          <w:color w:val="000000"/>
          <w:sz w:val="32"/>
          <w:szCs w:val="32"/>
        </w:rPr>
      </w:r>
      <w:r/>
    </w:p>
    <w:p>
      <w:pPr>
        <w:pStyle w:val="766"/>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16938554"/>
      <w:r/>
      <w:bookmarkStart w:id="15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66"/>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rPr>
          <w:rFonts w:hint="eastAsia" w:ascii="宋体" w:hAnsi="宋体" w:eastAsia="宋体"/>
          <w:bCs/>
          <w:color w:val="000000"/>
          <w:sz w:val="24"/>
          <w:szCs w:val="21"/>
          <w:lang w:eastAsia="zh-CN"/>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hint="eastAsia" w:ascii="宋体" w:hAnsi="宋体"/>
          <w:bCs/>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766"/>
        <w:ind w:firstLine="480"/>
        <w:jc w:val="left"/>
        <w:spacing w:line="500" w:lineRule="exact"/>
        <w:rPr>
          <w:rFonts w:ascii="Calibri" w:hAnsi="Calibri" w:eastAsia="宋体" w:cs="Times New Roman"/>
          <w:sz w:val="24"/>
          <w:szCs w:val="24"/>
        </w:rPr>
      </w:pPr>
      <w:r/>
      <w:bookmarkStart w:id="153" w:name="_Toc200451960"/>
      <w:r>
        <w:rPr>
          <w:rFonts w:hint="eastAsia" w:ascii="Calibri" w:hAnsi="Calibri" w:eastAsia="宋体" w:cs="Times New Roman"/>
          <w:sz w:val="24"/>
          <w:szCs w:val="24"/>
        </w:rPr>
        <w:t xml:space="preserve">（1）提供虚假材料谋取中标、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（2）采取不正当手段诋毁、排挤其他供应商的。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（3）与采购人、其他供应商或者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恶意串通的。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行贿或者提供其他不正当利益的。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（5）在招标采购过程中与采购人进行协商谈判的。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（6）属于本招标文件规定的无效情形，但在评标过程中又未被评委会发现的。</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153"/>
      <w:r/>
      <w:bookmarkStart w:id="154" w:name="_Toc479757207"/>
      <w:r/>
      <w:bookmarkStart w:id="155" w:name="_Toc20823314"/>
      <w:r/>
      <w:bookmarkStart w:id="156" w:name="_Toc16938558"/>
      <w:r/>
      <w:bookmarkStart w:id="157" w:name="_Toc120614221"/>
      <w:r/>
      <w:bookmarkStart w:id="158" w:name="_Toc513029242"/>
      <w:r>
        <w:rPr>
          <w:rFonts w:hint="eastAsia" w:ascii="Calibri" w:hAnsi="Calibri" w:eastAsia="宋体" w:cs="Times New Roman"/>
          <w:b/>
          <w:bCs/>
          <w:sz w:val="28"/>
          <w:szCs w:val="28"/>
          <w:lang w:val="en-US" w:eastAsia="zh-CN" w:bidi="ar-SA"/>
        </w:rPr>
        <w:t xml:space="preserve">29、中标通知书</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29.1中标结果确定后，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29.3中标人应在中标后七个工作日内，向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Calibri" w:hAnsi="Calibri" w:eastAsia="宋体" w:cs="Times New Roman"/>
          <w:sz w:val="24"/>
          <w:szCs w:val="24"/>
          <w:lang w:eastAsia="zh-CN"/>
        </w:rPr>
        <w:t xml:space="preserve">三</w:t>
      </w:r>
      <w:r>
        <w:rPr>
          <w:rFonts w:hint="eastAsia" w:ascii="Calibri" w:hAnsi="Calibri" w:eastAsia="宋体" w:cs="Times New Roman"/>
          <w:sz w:val="24"/>
          <w:szCs w:val="24"/>
        </w:rPr>
        <w:t xml:space="preserve">份与电子投标文件一致的纸质打印胶装投标文件</w:t>
      </w:r>
      <w:r>
        <w:rPr>
          <w:rFonts w:hint="eastAsia" w:ascii="Calibri" w:hAnsi="Calibri" w:eastAsia="宋体" w:cs="Times New Roman"/>
          <w:sz w:val="24"/>
          <w:szCs w:val="24"/>
          <w:lang w:eastAsia="zh-CN"/>
        </w:rPr>
        <w:t xml:space="preserve">（带页码）</w:t>
      </w:r>
      <w:r>
        <w:rPr>
          <w:rFonts w:hint="eastAsia" w:ascii="Calibri" w:hAnsi="Calibri" w:eastAsia="宋体" w:cs="Times New Roman"/>
          <w:sz w:val="24"/>
          <w:szCs w:val="24"/>
        </w:rPr>
        <w:t xml:space="preserve">，封面、骑缝需加盖公章。</w:t>
      </w:r>
      <w:r>
        <w:rPr>
          <w:rFonts w:ascii="Calibri" w:hAnsi="Calibri" w:eastAsia="宋体" w:cs="Times New Roman"/>
          <w:sz w:val="24"/>
          <w:szCs w:val="24"/>
        </w:rPr>
      </w:r>
      <w:r/>
    </w:p>
    <w:p>
      <w:pPr>
        <w:pStyle w:val="766"/>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七、授予合同</w:t>
      </w:r>
      <w:r>
        <w:rPr>
          <w:rFonts w:ascii="黑体" w:hAnsi="黑体" w:eastAsia="黑体" w:cs="Times New Roman"/>
          <w:b w:val="0"/>
          <w:bCs/>
          <w:sz w:val="32"/>
          <w:szCs w:val="32"/>
          <w:lang w:val="en-US" w:eastAsia="zh-CN" w:bidi="ar-SA"/>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30、履约保证金</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30.3履约保证金自合同生效之日起至合同约定的中标人主要义务履行完毕止，采购人应当按合同约定及时退还履约保证金。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30.4逾期退还履约保证金的采购人承担违约责任，按照中国人民银行同期贷款基准利率向中标人支付超期资金占用费。</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30.5本项目履约保证金要求详见招标文件第四章采购需求。</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31、签订合同</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31.1中标人应当在中标通知书发出之日起三十日内，按照招标文件和中标人投标文件的规定，与采购人签订政府采购合同。</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31.2招标文件、中标人的投标文件及招标过程中有关澄清、承诺等文件均应作为合同附件。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32、合同标的的追加</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33、政府采购履约资金扶持政策</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33.1中标人可凭政府采购合同办理融资贷款，详情请见江苏政府采购网“政采贷”专栏。</w:t>
      </w:r>
      <w:r>
        <w:rPr>
          <w:rFonts w:ascii="Calibri" w:hAnsi="Calibri" w:eastAsia="宋体" w:cs="Times New Roman"/>
          <w:sz w:val="24"/>
          <w:szCs w:val="24"/>
        </w:rPr>
      </w:r>
      <w:r/>
    </w:p>
    <w:p>
      <w:pPr>
        <w:pStyle w:val="766"/>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八、询问与质疑</w:t>
      </w:r>
      <w:r>
        <w:rPr>
          <w:rFonts w:ascii="黑体" w:hAnsi="黑体" w:eastAsia="黑体" w:cs="Times New Roman"/>
          <w:b w:val="0"/>
          <w:bCs/>
          <w:sz w:val="32"/>
          <w:szCs w:val="32"/>
          <w:lang w:val="en-US" w:eastAsia="zh-CN" w:bidi="ar-SA"/>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34、询问</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34.1供应商对政府采购活动事项有疑问的，可以提出询问，采购人或者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35、质疑提出</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35.1提出质疑的供应商应当是参与所质疑项目采购活动的供应商。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35.4质疑函的接收方式为供应商书面原件提交。联系部门、联系电话和通讯地址详见招标文件第一章。质疑实行实名制，不得进行虚假、恶意质疑。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35.5质疑函应当使用范本，详见招标文件第六章。供应商提出质疑应当提交质疑函和必要的证明材料，应当包括下列内容：</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（1）供应商的姓名或者名称、地址、邮编、联系人及联系电话；</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（2）质疑项目的名称、编号；</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（3）具体、明确的质疑事项和与质疑事项相关的请求；</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（4）事实依据；</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（5）必要的法律依据；</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（6）提出质疑的日期；</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（7）必要的证明材料；</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（8）营业执照复印件及授权委托书原件、法定代表人（单位负责人）身份证复印件、委托代理人身份证复印件。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4"/>
          <w:szCs w:val="24"/>
          <w:lang w:val="en-US" w:eastAsia="zh-CN" w:bidi="ar-SA"/>
        </w:rPr>
        <w:outlineLvl w:val="2"/>
      </w:pPr>
      <w:r>
        <w:rPr>
          <w:rFonts w:hint="eastAsia" w:ascii="Calibri" w:hAnsi="Calibri" w:eastAsia="宋体" w:cs="Times New Roman"/>
          <w:b/>
          <w:bCs/>
          <w:sz w:val="28"/>
          <w:szCs w:val="28"/>
          <w:lang w:val="en-US" w:eastAsia="zh-CN" w:bidi="ar-SA"/>
        </w:rPr>
        <w:t xml:space="preserve">36、质疑函的受理和答复</w:t>
      </w:r>
      <w:r>
        <w:rPr>
          <w:rFonts w:ascii="Calibri" w:hAnsi="Calibri" w:eastAsia="宋体" w:cs="Times New Roman"/>
          <w:b/>
          <w:bCs/>
          <w:sz w:val="24"/>
          <w:szCs w:val="24"/>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36.2对符合法定要求的质疑，采购人、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36.3对不符合质疑要求的，采购人、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36.4以下情形的质疑依法不予受理：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（1）内容不符合《政府采购质疑和投诉办法》第十二条规定的质疑。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（2）超出政府采购法定期限的质疑。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（3）以传真、电子邮件等方式递交的非原件形式的质疑。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（4）未参与采购活动或在采购活动中自身权益未受到损害的供应商提出的质疑。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（5）供应商组成联合体，联合体中任何一方或多方未按要求签字（盖章）、加盖公章的质疑。</w:t>
      </w:r>
      <w:r>
        <w:rPr>
          <w:rFonts w:ascii="Calibri" w:hAnsi="Calibri" w:eastAsia="宋体" w:cs="Times New Roman"/>
          <w:sz w:val="24"/>
          <w:szCs w:val="24"/>
        </w:rPr>
      </w:r>
      <w:r/>
    </w:p>
    <w:p>
      <w:pPr>
        <w:pStyle w:val="766"/>
        <w:ind w:firstLine="480"/>
        <w:jc w:val="left"/>
        <w:pageBreakBefore w:val="0"/>
        <w:spacing w:line="440" w:lineRule="exact"/>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36.5采购人、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rPr>
          <w:rFonts w:hint="eastAsia" w:ascii="Calibri" w:hAnsi="Calibri" w:eastAsia="宋体" w:cs="Times New Roman"/>
          <w:sz w:val="24"/>
          <w:szCs w:val="24"/>
        </w:rPr>
      </w:r>
      <w:r/>
    </w:p>
    <w:p>
      <w:pPr>
        <w:pStyle w:val="766"/>
        <w:ind w:firstLine="480"/>
        <w:jc w:val="left"/>
        <w:pageBreakBefore w:val="0"/>
        <w:spacing w:line="44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36.6 </w:t>
      </w:r>
      <w:r>
        <w:rPr>
          <w:rFonts w:hint="eastAsia" w:ascii="宋体" w:hAnsi="宋体" w:eastAsia="宋体" w:cs="宋体"/>
          <w:sz w:val="24"/>
          <w:szCs w:val="24"/>
        </w:rPr>
        <w:t xml:space="preserve">因质疑供应商所留联系方式无效，或者无故不接收，导致质疑答复结果无法送达的，视为质疑供应商主动放弃知晓质疑答复结果的权利。</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37.7未尽事宜，依照有关法律、法规执行。</w:t>
      </w:r>
      <w:r>
        <w:rPr>
          <w:rFonts w:ascii="Calibri" w:hAnsi="Calibri" w:eastAsia="宋体" w:cs="Times New Roman"/>
          <w:sz w:val="24"/>
          <w:szCs w:val="24"/>
        </w:rPr>
      </w:r>
      <w:r/>
    </w:p>
    <w:p>
      <w:pPr>
        <w:pStyle w:val="766"/>
        <w:keepLines/>
        <w:keepNext/>
        <w:pageBreakBefore w:val="0"/>
        <w:spacing w:before="145" w:after="145" w:line="5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九、</w:t>
      </w:r>
      <w:r>
        <w:rPr>
          <w:rFonts w:hint="eastAsia" w:ascii="Times New Roman" w:hAnsi="Times New Roman" w:eastAsia="宋体" w:cs="Times New Roman"/>
          <w:b/>
          <w:bCs/>
          <w:color w:val="000000"/>
          <w:sz w:val="32"/>
          <w:szCs w:val="32"/>
        </w:rPr>
        <w:t xml:space="preserve">政府采购政策功能</w:t>
      </w:r>
      <w:r>
        <w:rPr>
          <w:rFonts w:hint="eastAsia" w:ascii="Times New Roman" w:hAnsi="Times New Roman" w:eastAsia="宋体" w:cs="Times New Roman"/>
          <w:b/>
          <w:bCs/>
          <w:color w:val="000000"/>
          <w:sz w:val="32"/>
          <w:szCs w:val="32"/>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38、促进中小企业发展</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Calibri" w:hAnsi="Calibri" w:eastAsia="宋体" w:cs="Times New Roman"/>
          <w:sz w:val="24"/>
          <w:szCs w:val="24"/>
        </w:rPr>
        <w:t xml:space="preserve">专门面向中型企业、小型企业、微型企业、残疾人福利性单位、监狱企业采购。</w:t>
      </w:r>
      <w:r>
        <w:rPr>
          <w:rFonts w:ascii="Calibri" w:hAnsi="Calibri" w:eastAsia="宋体" w:cs="Times New Roman"/>
          <w:sz w:val="24"/>
          <w:szCs w:val="24"/>
        </w:rPr>
      </w:r>
      <w:r/>
    </w:p>
    <w:p>
      <w:pPr>
        <w:pStyle w:val="766"/>
        <w:ind w:firstLine="480"/>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38.</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参加本项目政府采购活动的供应商应当提供的材料：</w:t>
      </w:r>
      <w:r>
        <w:rPr>
          <w:rFonts w:hint="eastAsia" w:ascii="Calibri" w:hAnsi="Calibri" w:eastAsia="宋体" w:cs="Times New Roman"/>
          <w:sz w:val="24"/>
          <w:szCs w:val="24"/>
          <w:lang w:eastAsia="zh-CN"/>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投标人提供的货物全部由中型企业、小型企业、微型企业制造的，提供《中小企业声明函》（第六章 投标文件格式）。</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38.4残疾人福利单位、监狱企业属于小型、微型企业的，不重复享受政策。</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769"/>
        <w:ind w:left="0" w:right="0" w:firstLine="562"/>
        <w:jc w:val="left"/>
        <w:pageBreakBefore w:val="0"/>
        <w:spacing w:before="0" w:after="0" w:line="480" w:lineRule="exact"/>
        <w:widowControl w:val="off"/>
        <w:rPr>
          <w:rFonts w:hint="eastAsia" w:ascii="Calibri" w:hAnsi="Calibri" w:eastAsia="宋体" w:cs="Times New Roman"/>
          <w:b w:val="0"/>
          <w:bCs w:val="0"/>
          <w:sz w:val="24"/>
          <w:szCs w:val="24"/>
          <w:lang w:val="en-US" w:eastAsia="zh-CN" w:bidi="ar-SA"/>
        </w:rPr>
      </w:pPr>
      <w:r>
        <w:rPr>
          <w:rFonts w:hint="eastAsia" w:ascii="Calibri" w:hAnsi="Calibri" w:eastAsia="宋体" w:cs="Times New Roman"/>
          <w:b w:val="0"/>
          <w:bCs w:val="0"/>
          <w:sz w:val="24"/>
          <w:szCs w:val="24"/>
          <w:lang w:val="en-US" w:eastAsia="zh-CN" w:bidi="ar-SA"/>
        </w:rPr>
        <w:t xml:space="preserve">40.1本项目执行《绿色数据中心政府采购需求</w:t>
      </w:r>
      <w:r>
        <w:rPr>
          <w:rFonts w:hint="eastAsia" w:ascii="Calibri" w:hAnsi="Calibri" w:eastAsia="宋体" w:cs="Times New Roman"/>
          <w:b w:val="0"/>
          <w:bCs w:val="0"/>
          <w:sz w:val="24"/>
          <w:szCs w:val="24"/>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Calibri" w:hAnsi="Calibri" w:eastAsia="宋体" w:cs="Times New Roman"/>
          <w:b w:val="0"/>
          <w:bCs w:val="0"/>
          <w:sz w:val="24"/>
          <w:szCs w:val="24"/>
          <w:lang w:val="en-US" w:eastAsia="zh-CN" w:bidi="ar-SA"/>
        </w:rPr>
      </w:r>
      <w:r/>
    </w:p>
    <w:p>
      <w:pPr>
        <w:pStyle w:val="769"/>
        <w:ind w:left="0" w:right="0" w:firstLine="562"/>
        <w:jc w:val="left"/>
        <w:pageBreakBefore w:val="0"/>
        <w:spacing w:before="0" w:after="0" w:line="480" w:lineRule="exact"/>
        <w:widowControl w:val="off"/>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 xml:space="preserve">41</w:t>
      </w:r>
      <w:r>
        <w:rPr>
          <w:rFonts w:hint="eastAsia" w:ascii="宋体" w:hAnsi="宋体" w:eastAsia="宋体" w:cs="宋体"/>
          <w:b/>
          <w:bCs/>
          <w:color w:val="000000"/>
          <w:sz w:val="28"/>
          <w:szCs w:val="28"/>
          <w:lang w:val="en-US" w:eastAsia="zh-CN"/>
        </w:rPr>
        <w:t xml:space="preserve">、采购本国产品的支持政策</w:t>
      </w:r>
      <w:r>
        <w:rPr>
          <w:rFonts w:hint="eastAsia" w:ascii="宋体" w:hAnsi="宋体" w:eastAsia="宋体" w:cs="宋体"/>
          <w:b/>
          <w:bCs/>
          <w:color w:val="000000"/>
          <w:sz w:val="28"/>
          <w:szCs w:val="28"/>
          <w:lang w:val="en-US" w:eastAsia="zh-CN"/>
        </w:rPr>
      </w:r>
      <w:r/>
    </w:p>
    <w:p>
      <w:pPr>
        <w:pStyle w:val="766"/>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color w:val="000000"/>
          <w:sz w:val="24"/>
          <w:szCs w:val="24"/>
          <w:highlight w:val="none"/>
          <w:lang w:val="en-US" w:eastAsia="zh-CN" w:bidi="ar-SA"/>
        </w:rPr>
      </w:r>
      <w:r/>
    </w:p>
    <w:p>
      <w:pPr>
        <w:pStyle w:val="766"/>
        <w:ind w:firstLine="480"/>
        <w:jc w:val="left"/>
        <w:spacing w:line="500" w:lineRule="exact"/>
        <w:rPr>
          <w:rFonts w:ascii="Calibri" w:hAnsi="Calibri" w:eastAsia="宋体" w:cs="Times New Roman"/>
          <w:color w:val="c00000"/>
          <w:sz w:val="24"/>
          <w:szCs w:val="24"/>
        </w:rPr>
      </w:pPr>
      <w:r>
        <w:rPr>
          <w:rFonts w:ascii="Calibri" w:hAnsi="Calibri" w:eastAsia="宋体" w:cs="Times New Roman"/>
          <w:color w:val="c00000"/>
          <w:sz w:val="24"/>
          <w:szCs w:val="24"/>
        </w:rPr>
      </w:r>
      <w:r/>
    </w:p>
    <w:p>
      <w:pPr>
        <w:pStyle w:val="766"/>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66"/>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766"/>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766"/>
        <w:ind w:firstLine="482"/>
        <w:jc w:val="left"/>
        <w:spacing w:line="500" w:lineRule="exact"/>
        <w:rPr>
          <w:rFonts w:hint="eastAsia"/>
          <w:b/>
          <w:bCs/>
          <w:sz w:val="24"/>
          <w:szCs w:val="24"/>
          <w:lang w:val="en-US" w:eastAsia="zh-CN"/>
        </w:rPr>
      </w:pPr>
      <w:r>
        <w:rPr>
          <w:rFonts w:hint="eastAsia" w:ascii="Calibri" w:eastAsia="宋体"/>
          <w:b/>
          <w:bCs/>
          <w:sz w:val="24"/>
          <w:szCs w:val="24"/>
          <w:lang w:val="en-US" w:eastAsia="zh-CN"/>
        </w:rPr>
        <w:t xml:space="preserve">特别提醒：</w:t>
      </w:r>
      <w:r>
        <w:rPr>
          <w:rFonts w:hint="eastAsia"/>
          <w:b/>
          <w:bCs/>
          <w:sz w:val="24"/>
          <w:szCs w:val="24"/>
          <w:lang w:val="en-US" w:eastAsia="zh-CN"/>
        </w:rPr>
      </w:r>
      <w:r/>
    </w:p>
    <w:p>
      <w:pPr>
        <w:pStyle w:val="766"/>
        <w:ind w:firstLine="480"/>
        <w:jc w:val="left"/>
        <w:spacing w:line="500" w:lineRule="exact"/>
        <w:rPr>
          <w:rFonts w:hint="eastAsia"/>
          <w:color w:val="000000"/>
          <w:sz w:val="24"/>
          <w:szCs w:val="24"/>
          <w:lang w:val="en-US" w:eastAsia="zh-CN"/>
        </w:rPr>
      </w:pPr>
      <w:r>
        <w:rPr>
          <w:rFonts w:hint="eastAsia" w:ascii="Times New Roman" w:eastAsia="宋体"/>
          <w:sz w:val="24"/>
          <w:szCs w:val="24"/>
          <w:lang w:val="en-US" w:eastAsia="zh-CN"/>
        </w:rPr>
        <w:t xml:space="preserve">根据《关于推动解决政府采购异常低价问题的通知》（财库〔2026〕2号）规定，政府采购</w:t>
      </w:r>
      <w:r>
        <w:rPr>
          <w:rFonts w:hint="eastAsia" w:ascii="Calibri" w:eastAsia="宋体"/>
          <w:sz w:val="24"/>
          <w:szCs w:val="24"/>
          <w:lang w:val="en-US" w:eastAsia="zh-CN"/>
        </w:rPr>
        <w:t xml:space="preserve">评审过程中出现下列情形之一的，</w:t>
      </w:r>
      <w:r>
        <w:rPr>
          <w:rFonts w:hint="eastAsia"/>
          <w:sz w:val="24"/>
          <w:szCs w:val="24"/>
          <w:lang w:val="en-US" w:eastAsia="zh-CN"/>
        </w:rPr>
        <w:t xml:space="preserve">评审委员会</w:t>
      </w:r>
      <w:r>
        <w:rPr>
          <w:rFonts w:hint="eastAsia" w:ascii="Calibri" w:eastAsia="宋体"/>
          <w:sz w:val="24"/>
          <w:szCs w:val="24"/>
          <w:lang w:val="en-US" w:eastAsia="zh-CN"/>
        </w:rPr>
        <w:t xml:space="preserve">应当启动异常低价投标审查程序:</w:t>
      </w:r>
      <w:r>
        <w:rPr>
          <w:rFonts w:hint="eastAsia"/>
          <w:color w:val="000000"/>
          <w:sz w:val="24"/>
          <w:szCs w:val="24"/>
          <w:lang w:val="en-US" w:eastAsia="zh-CN"/>
        </w:rPr>
      </w:r>
      <w:r/>
    </w:p>
    <w:p>
      <w:pPr>
        <w:pStyle w:val="766"/>
        <w:ind w:firstLine="480"/>
        <w:jc w:val="left"/>
        <w:spacing w:line="50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1.投标报价低于全部通过符合性审查供应商投标报价平均值65%的，即投标报价&lt;全部通过符合性审查供应商投标报价平均值×65%；</w:t>
      </w:r>
      <w:r>
        <w:rPr>
          <w:rFonts w:hint="eastAsia"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2.投标报价低于通过符合性审查的次低报价供应商投标报价65%的，即投标报价&lt;通过符合性审查的次低报价供应商投标报价×65%；</w:t>
      </w:r>
      <w:r>
        <w:rPr>
          <w:rFonts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3.投标报价低于采购项目最高限价65%的，即投标报价&lt;采购项目最高限价×65%；</w:t>
      </w:r>
      <w:r>
        <w:rPr>
          <w:rFonts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4.评审委员会基于专业判断，认为供应商报价过低，有可能影响产品质量或者不能诚信履约的其他情形。</w:t>
      </w:r>
      <w:r>
        <w:rPr>
          <w:rFonts w:ascii="Times New Roman" w:hAnsi="Times New Roman" w:eastAsia="宋体" w:cs="Times New Roman"/>
          <w:sz w:val="24"/>
          <w:szCs w:val="24"/>
          <w:lang w:val="en-US" w:eastAsia="zh-CN"/>
        </w:rPr>
      </w:r>
      <w:r/>
    </w:p>
    <w:p>
      <w:pPr>
        <w:pStyle w:val="766"/>
        <w:ind w:firstLine="480"/>
        <w:jc w:val="left"/>
        <w:spacing w:line="500" w:lineRule="exact"/>
        <w:rPr>
          <w:rFonts w:ascii="Calibri" w:hAnsi="Calibri" w:cs="Calibri"/>
          <w:i w:val="0"/>
          <w:iCs w:val="0"/>
          <w:caps w:val="0"/>
          <w:color w:val="383838"/>
          <w:spacing w:val="0"/>
          <w:sz w:val="21"/>
          <w:szCs w:val="21"/>
          <w:highlight w:val="none"/>
        </w:rPr>
      </w:pPr>
      <w:r>
        <w:rPr>
          <w:rFonts w:hint="eastAsia" w:ascii="Times New Roman" w:hAnsi="Times New Roman" w:eastAsia="宋体" w:cs="Times New Roman"/>
          <w:sz w:val="24"/>
          <w:szCs w:val="24"/>
          <w:lang w:val="en-US" w:eastAsia="zh-CN"/>
        </w:rPr>
        <w:t xml:space="preserve">相关法律法规对供应商报价有规</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定的，从其规定。</w:t>
      </w:r>
      <w:r>
        <w:rPr>
          <w:rFonts w:ascii="Calibri" w:hAnsi="Calibri" w:cs="Calibri"/>
          <w:i w:val="0"/>
          <w:iCs w:val="0"/>
          <w:caps w:val="0"/>
          <w:color w:val="383838"/>
          <w:spacing w:val="0"/>
          <w:sz w:val="21"/>
          <w:szCs w:val="21"/>
          <w:highlight w:val="none"/>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rPr>
          <w:rFonts w:ascii="Calibri" w:hAnsi="Calibri" w:cs="Calibri"/>
          <w:i w:val="0"/>
          <w:iCs w:val="0"/>
          <w:caps w:val="0"/>
          <w:color w:val="383838"/>
          <w:spacing w:val="0"/>
          <w:sz w:val="21"/>
          <w:szCs w:val="21"/>
        </w:rPr>
      </w:r>
      <w:r/>
    </w:p>
    <w:p>
      <w:pPr>
        <w:pStyle w:val="766"/>
        <w:pageBreakBefore w:val="0"/>
        <w:spacing w:line="500" w:lineRule="exact"/>
        <w:rPr>
          <w:rFonts w:hint="eastAsia" w:ascii="宋体" w:hAnsi="宋体"/>
          <w:szCs w:val="20"/>
        </w:rPr>
      </w:pPr>
      <w:r>
        <w:rPr>
          <w:rFonts w:hint="eastAsia" w:ascii="宋体" w:hAnsi="宋体"/>
          <w:szCs w:val="20"/>
        </w:rPr>
      </w:r>
      <w:r/>
    </w:p>
    <w:p>
      <w:pPr>
        <w:pStyle w:val="766"/>
        <w:ind w:left="0" w:firstLine="0"/>
        <w:jc w:val="center"/>
        <w:keepNext/>
        <w:pageBreakBefore w:val="0"/>
        <w:spacing w:line="500" w:lineRule="exac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6"/>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766"/>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66"/>
        <w:ind w:firstLine="480"/>
        <w:pageBreakBefore w:val="0"/>
        <w:spacing w:line="500" w:lineRule="exact"/>
        <w:rPr>
          <w:rFonts w:hint="eastAsia" w:ascii="宋体" w:hAnsi="宋体"/>
          <w:bCs/>
          <w:color w:val="000000"/>
          <w:sz w:val="24"/>
          <w:szCs w:val="21"/>
          <w:highlight w:val="none"/>
        </w:rPr>
      </w:pPr>
      <w:r/>
      <w:bookmarkStart w:id="159" w:name="_Toc513029243"/>
      <w:r/>
      <w:bookmarkStart w:id="160" w:name="_Toc16938559"/>
      <w:r/>
      <w:bookmarkStart w:id="161" w:name="_Toc20823315"/>
      <w:r>
        <w:rPr>
          <w:rFonts w:hint="eastAsia" w:ascii="宋体" w:hAnsi="宋体"/>
          <w:bCs/>
          <w:color w:val="000000"/>
          <w:sz w:val="24"/>
          <w:szCs w:val="21"/>
          <w:highlight w:val="none"/>
        </w:rPr>
        <w:t xml:space="preserve">以下为中标后签定本项目合同的通用条款，中标人不得提出实质性的修改。</w:t>
      </w:r>
      <w:r>
        <w:rPr>
          <w:rFonts w:hint="eastAsia" w:ascii="宋体" w:hAnsi="宋体"/>
          <w:bCs/>
          <w:color w:val="000000"/>
          <w:sz w:val="24"/>
          <w:szCs w:val="21"/>
          <w:highlight w:val="none"/>
        </w:rPr>
      </w:r>
      <w:r/>
    </w:p>
    <w:p>
      <w:pPr>
        <w:pStyle w:val="766"/>
        <w:ind w:firstLine="1320"/>
        <w:rPr>
          <w:rFonts w:hint="eastAsia" w:ascii="宋体" w:hAnsi="宋体" w:eastAsia="宋体" w:cs="宋体"/>
          <w:b/>
          <w:bCs/>
          <w:spacing w:val="-20"/>
          <w:sz w:val="48"/>
          <w:szCs w:val="48"/>
          <w:highlight w:val="none"/>
          <w:lang w:eastAsia="zh-CN"/>
        </w:rPr>
      </w:pPr>
      <w:r/>
      <w:bookmarkEnd w:id="159"/>
      <w:r/>
      <w:bookmarkEnd w:id="160"/>
      <w:r/>
      <w:bookmarkEnd w:id="161"/>
      <w:r/>
      <w:bookmarkStart w:id="162" w:name="_Toc16938590"/>
      <w:r/>
      <w:bookmarkStart w:id="163" w:name="_Toc120614244"/>
      <w:r/>
      <w:bookmarkStart w:id="164" w:name="_Toc479757211"/>
      <w:r/>
      <w:bookmarkStart w:id="165" w:name="_Toc462564139"/>
      <w:r/>
      <w:bookmarkStart w:id="166" w:name="_Hlt16619350"/>
      <w:r/>
      <w:bookmarkStart w:id="167" w:name="_Toc20823346"/>
      <w:r>
        <w:rPr>
          <w:rFonts w:hint="eastAsia" w:ascii="宋体" w:hAnsi="宋体" w:eastAsia="宋体" w:cs="宋体"/>
          <w:b/>
          <w:bCs/>
          <w:spacing w:val="-20"/>
          <w:sz w:val="48"/>
          <w:szCs w:val="48"/>
          <w:highlight w:val="none"/>
          <w:lang w:eastAsia="zh-CN"/>
        </w:rPr>
      </w:r>
      <w:r/>
    </w:p>
    <w:p>
      <w:pPr>
        <w:pStyle w:val="766"/>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66"/>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66"/>
        <w:ind w:firstLine="1320"/>
        <w:rPr>
          <w:rFonts w:ascii="宋体" w:hAnsi="宋体" w:eastAsia="Arial" w:cs="宋体"/>
          <w:b/>
          <w:bCs/>
          <w:spacing w:val="-20"/>
          <w:sz w:val="40"/>
          <w:szCs w:val="40"/>
          <w:highlight w:val="none"/>
        </w:rPr>
      </w:pPr>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rPr>
          <w:rFonts w:ascii="宋体" w:hAnsi="宋体" w:eastAsia="Arial" w:cs="宋体"/>
          <w:b/>
          <w:bCs/>
          <w:spacing w:val="-20"/>
          <w:sz w:val="40"/>
          <w:szCs w:val="40"/>
          <w:highlight w:val="none"/>
        </w:rPr>
      </w:r>
      <w:r/>
    </w:p>
    <w:p>
      <w:pPr>
        <w:pStyle w:val="766"/>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66"/>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rPr>
          <w:rFonts w:ascii="Calibri" w:hAnsi="Calibri" w:eastAsia="Arial" w:cs="Times New Roman"/>
          <w:sz w:val="32"/>
          <w:szCs w:val="32"/>
          <w:highlight w:val="none"/>
        </w:rPr>
      </w:r>
      <w:r/>
    </w:p>
    <w:p>
      <w:pPr>
        <w:pStyle w:val="766"/>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rPr>
          <w:rFonts w:ascii="Calibri" w:hAnsi="Calibri" w:eastAsia="Arial" w:cs="Times New Roman"/>
          <w:sz w:val="32"/>
          <w:szCs w:val="32"/>
          <w:highlight w:val="none"/>
          <w:u w:val="single"/>
        </w:rPr>
      </w:r>
      <w:r/>
    </w:p>
    <w:p>
      <w:pPr>
        <w:pStyle w:val="766"/>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rPr>
          <w:rFonts w:ascii="Calibri" w:hAnsi="Calibri" w:eastAsia="Arial" w:cs="Times New Roman"/>
          <w:sz w:val="32"/>
          <w:szCs w:val="32"/>
          <w:highlight w:val="none"/>
        </w:rPr>
      </w:r>
      <w:r/>
    </w:p>
    <w:p>
      <w:pPr>
        <w:pStyle w:val="766"/>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rPr>
          <w:rFonts w:ascii="Calibri" w:hAnsi="Calibri" w:eastAsia="Arial" w:cs="Times New Roman"/>
          <w:sz w:val="32"/>
          <w:szCs w:val="32"/>
          <w:highlight w:val="none"/>
          <w:u w:val="single"/>
        </w:rPr>
      </w:r>
      <w:r/>
    </w:p>
    <w:p>
      <w:pPr>
        <w:pStyle w:val="766"/>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rPr>
          <w:rFonts w:ascii="Calibri" w:hAnsi="Calibri" w:eastAsia="Arial" w:cs="Times New Roman"/>
          <w:sz w:val="32"/>
          <w:szCs w:val="32"/>
          <w:highlight w:val="none"/>
        </w:rPr>
      </w:r>
      <w:r/>
    </w:p>
    <w:p>
      <w:pPr>
        <w:pStyle w:val="766"/>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rPr>
          <w:rFonts w:ascii="Calibri" w:hAnsi="Calibri" w:eastAsia="黑体" w:cs="Times New Roman"/>
          <w:sz w:val="44"/>
          <w:szCs w:val="44"/>
          <w:highlight w:val="none"/>
        </w:rPr>
      </w:r>
      <w:r/>
    </w:p>
    <w:p>
      <w:pPr>
        <w:pStyle w:val="766"/>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rPr>
          <w:rFonts w:ascii="黑体" w:hAnsi="黑体" w:eastAsia="黑体" w:cs="Times New Roman"/>
          <w:sz w:val="44"/>
          <w:szCs w:val="44"/>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rPr>
          <w:rFonts w:ascii="仿宋" w:hAnsi="仿宋" w:eastAsia="仿宋" w:cs="仿宋_GB2312"/>
          <w:sz w:val="32"/>
          <w:szCs w:val="32"/>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rPr>
          <w:rFonts w:ascii="仿宋" w:hAnsi="仿宋" w:eastAsia="仿宋" w:cs="仿宋_GB2312"/>
          <w:sz w:val="32"/>
          <w:szCs w:val="32"/>
          <w:highlight w:val="none"/>
        </w:rPr>
      </w:r>
      <w:r/>
    </w:p>
    <w:p>
      <w:pPr>
        <w:pStyle w:val="766"/>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Pr>
          <w:rFonts w:ascii="黑体" w:hAnsi="华文中宋" w:eastAsia="黑体" w:cs="Times New Roman"/>
          <w:sz w:val="28"/>
          <w:szCs w:val="28"/>
          <w:highlight w:val="none"/>
        </w:rPr>
      </w:r>
      <w:r/>
    </w:p>
    <w:p>
      <w:pPr>
        <w:pStyle w:val="766"/>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rPr>
          <w:rFonts w:hint="eastAsia" w:ascii="宋体" w:hAnsi="宋体" w:eastAsia="宋体" w:cs="Times New Roman"/>
          <w:szCs w:val="21"/>
          <w:highlight w:val="none"/>
        </w:rPr>
      </w:r>
      <w:r/>
    </w:p>
    <w:p>
      <w:pPr>
        <w:pStyle w:val="766"/>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rPr>
          <w:rFonts w:ascii="宋体" w:hAnsi="宋体" w:eastAsia="宋体" w:cs="Times New Roman"/>
          <w:highlight w:val="none"/>
        </w:rPr>
      </w:r>
      <w:r/>
    </w:p>
    <w:p>
      <w:pPr>
        <w:pStyle w:val="766"/>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rPr>
          <w:rFonts w:hint="eastAsia" w:ascii="宋体" w:hAnsi="宋体" w:eastAsia="宋体" w:cs="Times New Roman"/>
          <w:szCs w:val="21"/>
          <w:highlight w:val="none"/>
          <w:lang w:eastAsia="zh-CN"/>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rPr>
          <w:rFonts w:ascii="宋体" w:hAnsi="宋体" w:eastAsia="宋体" w:cs="Times New Roman"/>
          <w:b/>
          <w:szCs w:val="21"/>
          <w:highlight w:val="none"/>
        </w:rPr>
      </w:r>
      <w:r/>
    </w:p>
    <w:p>
      <w:pPr>
        <w:pStyle w:val="766"/>
        <w:ind w:left="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（1）采购项目名称：</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766"/>
        <w:ind w:firstLine="420"/>
        <w:jc w:val="left"/>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766"/>
        <w:ind w:firstLine="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（3）项目内容：</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ascii="宋体" w:hAnsi="宋体" w:eastAsia="宋体" w:cs="Times New Roman"/>
          <w:szCs w:val="21"/>
          <w:highlight w:val="none"/>
        </w:rPr>
      </w:r>
      <w:r/>
    </w:p>
    <w:p>
      <w:pPr>
        <w:pStyle w:val="766"/>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品牌：规格型号</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rPr>
          <w:rFonts w:ascii="宋体" w:hAnsi="宋体" w:eastAsia="宋体" w:cs="Times New Roman"/>
          <w:szCs w:val="21"/>
          <w:highlight w:val="none"/>
          <w:u w:val="single"/>
        </w:rPr>
      </w:r>
      <w:r/>
    </w:p>
    <w:p>
      <w:pPr>
        <w:pStyle w:val="766"/>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rPr>
          <w:rFonts w:ascii="宋体" w:hAnsi="宋体" w:eastAsia="宋体" w:cs="Arial"/>
          <w:szCs w:val="21"/>
          <w:highlight w:val="none"/>
        </w:rPr>
      </w:r>
      <w:r/>
    </w:p>
    <w:p>
      <w:pPr>
        <w:pStyle w:val="766"/>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rPr>
          <w:rFonts w:ascii="宋体" w:hAnsi="宋体" w:eastAsia="宋体" w:cs="Arial"/>
          <w:szCs w:val="21"/>
          <w:highlight w:val="none"/>
        </w:rPr>
      </w:r>
      <w:r/>
    </w:p>
    <w:p>
      <w:pPr>
        <w:pStyle w:val="766"/>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rPr>
          <w:rFonts w:ascii="宋体" w:hAnsi="宋体" w:eastAsia="宋体" w:cs="Times New Roman"/>
          <w:szCs w:val="21"/>
          <w:highlight w:val="none"/>
          <w:u w:val="singl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rPr>
          <w:rFonts w:ascii="宋体" w:hAnsi="宋体" w:eastAsia="宋体" w:cs="Times New Roman"/>
          <w:iCs/>
          <w:szCs w:val="21"/>
          <w:highlight w:val="none"/>
        </w:rPr>
      </w:r>
      <w:r/>
    </w:p>
    <w:p>
      <w:pPr>
        <w:pStyle w:val="766"/>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highlight w:val="none"/>
        </w:rPr>
      </w:r>
      <w:r/>
    </w:p>
    <w:p>
      <w:pPr>
        <w:pStyle w:val="766"/>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rPr>
          <w:rFonts w:ascii="宋体" w:hAnsi="宋体" w:eastAsia="宋体" w:cs="宋体"/>
          <w:iCs/>
          <w:szCs w:val="21"/>
          <w:highlight w:val="none"/>
        </w:rPr>
      </w:r>
      <w:r/>
    </w:p>
    <w:p>
      <w:pPr>
        <w:pStyle w:val="766"/>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rPr>
          <w:rFonts w:ascii="宋体" w:hAnsi="宋体" w:eastAsia="宋体" w:cs="宋体"/>
          <w:szCs w:val="21"/>
          <w:highlight w:val="none"/>
          <w:u w:val="single"/>
        </w:rPr>
      </w:r>
      <w:r/>
    </w:p>
    <w:p>
      <w:pPr>
        <w:pStyle w:val="766"/>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宋体" w:hAnsi="宋体" w:eastAsia="宋体" w:cs="宋体"/>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rPr>
          <w:rFonts w:ascii="宋体" w:hAnsi="宋体" w:eastAsia="宋体" w:cs="Times New Roman"/>
          <w:szCs w:val="21"/>
          <w:highlight w:val="none"/>
        </w:rPr>
      </w:r>
      <w:r/>
    </w:p>
    <w:p>
      <w:pPr>
        <w:pStyle w:val="766"/>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szCs w:val="21"/>
          <w:highlight w:val="none"/>
        </w:rPr>
      </w:r>
      <w:r/>
    </w:p>
    <w:p>
      <w:pPr>
        <w:pStyle w:val="766"/>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rPr>
          <w:rFonts w:ascii="宋体" w:hAnsi="宋体" w:eastAsia="宋体" w:cs="Times New Roman"/>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（3）付款方式：</w:t>
      </w:r>
      <w:r>
        <w:rPr>
          <w:rFonts w:ascii="宋体" w:hAnsi="宋体" w:eastAsia="宋体" w:cs="Times New Roman"/>
          <w:szCs w:val="21"/>
          <w:highlight w:val="none"/>
        </w:rPr>
      </w:r>
      <w:r/>
    </w:p>
    <w:p>
      <w:pPr>
        <w:pStyle w:val="766"/>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付款方式:</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w:t>
      </w:r>
      <w:r>
        <w:rPr>
          <w:rFonts w:hint="eastAsia" w:ascii="宋体" w:hAnsi="宋体" w:eastAsia="宋体" w:cs="Times New Roman"/>
          <w:szCs w:val="21"/>
          <w:highlight w:val="none"/>
          <w:u w:val="single"/>
          <w:lang w:val="en-US" w:eastAsia="zh-CN"/>
        </w:rPr>
        <w:t xml:space="preserve">货款</w:t>
      </w:r>
      <w:r>
        <w:rPr>
          <w:rFonts w:hint="eastAsia" w:ascii="宋体" w:hAnsi="宋体" w:eastAsia="宋体" w:cs="Times New Roman"/>
          <w:szCs w:val="21"/>
          <w:highlight w:val="none"/>
          <w:u w:val="single"/>
        </w:rPr>
        <w:t xml:space="preserve">在免费质保期满后一次性付清。</w:t>
      </w:r>
      <w:r>
        <w:rPr>
          <w:rFonts w:hint="eastAsia" w:ascii="宋体" w:hAnsi="宋体" w:eastAsia="宋体" w:cs="Times New Roman"/>
          <w:szCs w:val="21"/>
          <w:highlight w:val="none"/>
          <w:u w:val="single"/>
        </w:rPr>
      </w:r>
      <w:r/>
    </w:p>
    <w:p>
      <w:pPr>
        <w:pStyle w:val="766"/>
        <w:ind w:firstLine="945"/>
        <w:jc w:val="left"/>
        <w:spacing w:line="400" w:lineRule="exact"/>
        <w:rPr>
          <w:rFonts w:hint="eastAsia" w:ascii="宋体" w:hAnsi="宋体" w:eastAsia="宋体" w:cs="Times New Roman"/>
          <w:szCs w:val="21"/>
          <w:highlight w:val="none"/>
          <w:u w:val="single"/>
          <w:lang w:eastAsia="zh-CN"/>
        </w:rPr>
      </w:pPr>
      <w:r>
        <w:rPr>
          <w:rFonts w:hint="eastAsia" w:ascii="宋体" w:hAnsi="宋体" w:eastAsia="宋体" w:cs="Times New Roman"/>
          <w:szCs w:val="21"/>
          <w:highlight w:val="none"/>
          <w:u w:val="single"/>
          <w:lang w:eastAsia="zh-CN"/>
        </w:rPr>
      </w:r>
      <w:r/>
    </w:p>
    <w:p>
      <w:pPr>
        <w:pStyle w:val="766"/>
        <w:numPr>
          <w:ilvl w:val="0"/>
          <w:numId w:val="7"/>
        </w:numPr>
        <w:ind w:firstLine="422"/>
        <w:jc w:val="left"/>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rPr>
          <w:rFonts w:ascii="宋体" w:hAnsi="宋体" w:eastAsia="宋体" w:cs="Times New Roman"/>
          <w:b/>
          <w:szCs w:val="21"/>
          <w:highlight w:val="none"/>
          <w:u w:val="single"/>
        </w:rPr>
      </w:r>
      <w:r/>
    </w:p>
    <w:p>
      <w:pPr>
        <w:pStyle w:val="766"/>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w:t>
      </w:r>
      <w:r>
        <w:rPr>
          <w:rFonts w:ascii="宋体" w:hAnsi="宋体" w:eastAsia="宋体" w:cs="宋体"/>
          <w:szCs w:val="21"/>
          <w:highlight w:val="none"/>
        </w:rPr>
      </w:r>
      <w:r/>
    </w:p>
    <w:p>
      <w:pPr>
        <w:pStyle w:val="766"/>
        <w:ind w:firstLine="420"/>
        <w:jc w:val="left"/>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江苏省</w:t>
      </w:r>
      <w:r>
        <w:rPr>
          <w:rFonts w:hint="eastAsia" w:ascii="宋体" w:hAnsi="宋体" w:eastAsia="宋体" w:cs="宋体"/>
          <w:bCs/>
          <w:szCs w:val="21"/>
          <w:highlight w:val="none"/>
          <w:lang w:eastAsia="zh-CN"/>
        </w:rPr>
        <w:t xml:space="preserve">灌云中等专业学校</w:t>
      </w:r>
      <w:r>
        <w:rPr>
          <w:rFonts w:ascii="宋体" w:hAnsi="宋体" w:eastAsia="宋体" w:cs="宋体"/>
          <w:szCs w:val="21"/>
          <w:highlight w:val="none"/>
          <w:u w:val="single"/>
        </w:rPr>
      </w:r>
      <w:r/>
    </w:p>
    <w:p>
      <w:pPr>
        <w:pStyle w:val="766"/>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eastAsia="宋体" w:cs="宋体"/>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rFonts w:ascii="宋体" w:hAnsi="宋体" w:eastAsia="宋体" w:cs="宋体"/>
          <w:szCs w:val="21"/>
          <w:highlight w:val="none"/>
        </w:rPr>
      </w:r>
      <w:r/>
    </w:p>
    <w:p>
      <w:pPr>
        <w:pStyle w:val="766"/>
        <w:ind w:firstLine="945"/>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收取履约保证金形式：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支票、汇票、本票或者金融机构、担保机构出具的保函等非现金形式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766"/>
        <w:ind w:firstLine="84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收取履约保证金金额：</w:t>
      </w:r>
      <w:r>
        <w:rPr>
          <w:rFonts w:ascii="宋体" w:hAnsi="宋体" w:eastAsia="宋体" w:cs="宋体"/>
          <w:szCs w:val="21"/>
          <w:highlight w:val="none"/>
        </w:rPr>
      </w:r>
      <w:r/>
    </w:p>
    <w:p>
      <w:pPr>
        <w:pStyle w:val="766"/>
        <w:ind w:firstLine="945"/>
        <w:jc w:val="left"/>
        <w:spacing w:line="400" w:lineRule="exact"/>
        <w:rPr>
          <w:rFonts w:ascii="宋体" w:hAnsi="宋体" w:eastAsia="宋体" w:cs="宋体"/>
          <w:highlight w:val="none"/>
        </w:rPr>
      </w:pPr>
      <w:r>
        <w:rPr>
          <w:rFonts w:hint="eastAsia" w:ascii="宋体" w:hAnsi="宋体" w:eastAsia="宋体" w:cs="宋体"/>
          <w:bCs/>
          <w:szCs w:val="21"/>
          <w:highlight w:val="none"/>
        </w:rPr>
        <w:t xml:space="preserve">履约担保期限：</w:t>
      </w:r>
      <w:r>
        <w:rPr>
          <w:rFonts w:ascii="宋体" w:hAnsi="宋体" w:eastAsia="宋体" w:cs="宋体"/>
          <w:highlight w:val="none"/>
        </w:rPr>
      </w:r>
      <w:r/>
    </w:p>
    <w:p>
      <w:pPr>
        <w:pStyle w:val="766"/>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ascii="宋体" w:hAnsi="宋体" w:eastAsia="宋体" w:cs="宋体"/>
          <w:bCs/>
          <w:szCs w:val="21"/>
          <w:highlight w:val="none"/>
        </w:rPr>
      </w:r>
      <w:r/>
    </w:p>
    <w:p>
      <w:pPr>
        <w:pStyle w:val="766"/>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ascii="宋体" w:hAnsi="宋体" w:eastAsia="宋体" w:cs="宋体"/>
          <w:szCs w:val="21"/>
          <w:highlight w:val="none"/>
          <w:u w:val="singl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ascii="宋体" w:hAnsi="宋体" w:eastAsia="宋体" w:cs="Times New Roman"/>
          <w:bCs/>
          <w:szCs w:val="21"/>
          <w:highlight w:val="none"/>
          <w:u w:val="single"/>
        </w:rPr>
      </w:r>
      <w:r/>
    </w:p>
    <w:p>
      <w:pPr>
        <w:pStyle w:val="766"/>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rPr>
          <w:rFonts w:ascii="宋体" w:hAnsi="宋体" w:eastAsia="宋体" w:cs="Times New Roman"/>
          <w:bCs/>
          <w:szCs w:val="21"/>
          <w:highlight w:val="none"/>
          <w:u w:val="singl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rPr>
          <w:rFonts w:ascii="宋体" w:hAnsi="宋体" w:eastAsia="宋体" w:cs="Times New Roman"/>
          <w:bCs/>
          <w:szCs w:val="21"/>
          <w:highlight w:val="non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ascii="宋体" w:hAnsi="宋体" w:eastAsia="宋体" w:cs="Times New Roman"/>
          <w:bCs/>
          <w:szCs w:val="21"/>
          <w:highlight w:val="none"/>
        </w:rPr>
      </w:r>
      <w:r/>
    </w:p>
    <w:p>
      <w:pPr>
        <w:pStyle w:val="766"/>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rPr>
          <w:rFonts w:ascii="宋体" w:hAnsi="宋体" w:eastAsia="宋体" w:cs="Times New Roman"/>
          <w:bCs/>
          <w:szCs w:val="21"/>
          <w:highlight w:val="none"/>
          <w:u w:val="single"/>
          <w:lang w:val="en-US" w:eastAsia="zh-CN"/>
        </w:rPr>
      </w:r>
      <w:r/>
    </w:p>
    <w:p>
      <w:pPr>
        <w:pStyle w:val="766"/>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ascii="宋体" w:hAnsi="宋体" w:eastAsia="宋体" w:cs="Times New Roman"/>
          <w:bCs/>
          <w:szCs w:val="21"/>
          <w:highlight w:val="none"/>
          <w:u w:val="singl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rPr>
          <w:rFonts w:ascii="宋体" w:hAnsi="宋体" w:eastAsia="宋体" w:cs="宋体"/>
          <w:szCs w:val="21"/>
          <w:highlight w:val="none"/>
        </w:rPr>
      </w:r>
      <w:r/>
    </w:p>
    <w:p>
      <w:pPr>
        <w:pStyle w:val="766"/>
        <w:ind w:firstLine="420"/>
        <w:jc w:val="left"/>
        <w:spacing w:line="400" w:lineRule="exact"/>
        <w:rPr>
          <w:rFonts w:ascii="宋体" w:hAnsi="宋体" w:eastAsia="宋体" w:cs="宋体"/>
          <w:bCs/>
          <w:szCs w:val="21"/>
          <w:highlight w:val="none"/>
          <w:u w:val="single"/>
          <w:lang w:val="en-US"/>
        </w:rPr>
      </w:pPr>
      <w:r>
        <w:rPr>
          <w:rFonts w:hint="eastAsia" w:ascii="宋体" w:hAnsi="宋体" w:eastAsia="宋体" w:cs="宋体"/>
          <w:bCs/>
          <w:szCs w:val="21"/>
          <w:highlight w:val="none"/>
        </w:rPr>
        <w:t xml:space="preserve">（8）履约验收其他事项：</w:t>
      </w:r>
      <w:r>
        <w:rPr>
          <w:rFonts w:ascii="宋体" w:hAnsi="宋体" w:eastAsia="宋体" w:cs="宋体"/>
          <w:bCs/>
          <w:szCs w:val="21"/>
          <w:highlight w:val="none"/>
          <w:u w:val="single"/>
          <w:lang w:val="en-US"/>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rPr>
          <w:rFonts w:ascii="宋体" w:hAnsi="宋体" w:eastAsia="宋体" w:cs="Times New Roman"/>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ascii="宋体" w:hAnsi="宋体" w:eastAsia="宋体" w:cs="宋体"/>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rPr>
          <w:rFonts w:ascii="宋体" w:hAnsi="宋体" w:eastAsia="宋体" w:cs="Times New Roman"/>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伍</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rPr>
          <w:rFonts w:ascii="宋体" w:hAnsi="宋体" w:eastAsia="宋体" w:cs="Times New Roman"/>
          <w:highlight w:val="none"/>
        </w:rPr>
      </w:r>
      <w:r/>
    </w:p>
    <w:tbl>
      <w:tblPr>
        <w:tblW w:w="5154" w:type="pct"/>
        <w:jc w:val="center"/>
        <w:tblInd w:w="-239"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4"/>
        <w:gridCol w:w="1980"/>
        <w:gridCol w:w="2507"/>
      </w:tblGrid>
      <w:tr>
        <w:trPr>
          <w:trHeight w:val="490"/>
        </w:trPr>
        <w:tc>
          <w:tcPr>
            <w:gridSpan w:val="2"/>
            <w:tcW w:w="4304" w:type="dxa"/>
            <w:vAlign w:val="center"/>
            <w:textDirection w:val="lrTb"/>
            <w:noWrap w:val="false"/>
          </w:tcPr>
          <w:p>
            <w:pPr>
              <w:pStyle w:val="766"/>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rPr>
                <w:rFonts w:ascii="Calibri" w:hAnsi="Calibri" w:eastAsia="Arial" w:cs="Times New Roman"/>
                <w:highlight w:val="none"/>
              </w:rPr>
            </w:r>
            <w:r/>
          </w:p>
        </w:tc>
        <w:tc>
          <w:tcPr>
            <w:gridSpan w:val="2"/>
            <w:tcW w:w="4487" w:type="dxa"/>
            <w:vAlign w:val="center"/>
            <w:textDirection w:val="lrTb"/>
            <w:noWrap w:val="false"/>
          </w:tcPr>
          <w:p>
            <w:pPr>
              <w:pStyle w:val="766"/>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rPr>
                <w:rFonts w:ascii="Calibri" w:hAnsi="Calibri" w:eastAsia="Arial" w:cs="Times New Roman"/>
                <w:highlight w:val="none"/>
              </w:rPr>
            </w:r>
            <w:r/>
          </w:p>
        </w:tc>
      </w:tr>
      <w:tr>
        <w:trPr>
          <w:trHeight w:val="657"/>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806"/>
        </w:trPr>
        <w:tc>
          <w:tcPr>
            <w:tcW w:w="1075"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ascii="Calibri" w:hAnsi="Calibri" w:eastAsia="Arial" w:cs="Times New Roman"/>
                <w:szCs w:val="21"/>
                <w:highlight w:val="none"/>
              </w:rPr>
            </w:r>
            <w:r/>
          </w:p>
          <w:p>
            <w:pPr>
              <w:pStyle w:val="766"/>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372"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trHeight w:val="483"/>
        </w:trPr>
        <w:tc>
          <w:tcPr>
            <w:tcW w:w="1075"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586"/>
        </w:trPr>
        <w:tc>
          <w:tcPr>
            <w:gridSpan w:val="4"/>
            <w:tcW w:w="8791" w:type="dxa"/>
            <w:vAlign w:val="center"/>
            <w:textDirection w:val="lrTb"/>
            <w:noWrap w:val="false"/>
          </w:tcPr>
          <w:p>
            <w:pPr>
              <w:pStyle w:val="766"/>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rPr>
                <w:rFonts w:ascii="Times New Roman" w:hAnsi="Times New Roman" w:eastAsia="宋体" w:cs="Times New Roman"/>
                <w:spacing w:val="20"/>
                <w:szCs w:val="21"/>
                <w:highlight w:val="none"/>
              </w:rPr>
            </w:r>
            <w:r/>
          </w:p>
        </w:tc>
      </w:tr>
    </w:tbl>
    <w:p>
      <w:pPr>
        <w:pStyle w:val="766"/>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pStyle w:val="766"/>
        <w:jc w:val="both"/>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Pr>
          <w:rFonts w:ascii="黑体" w:hAnsi="黑体" w:eastAsia="黑体" w:cs="Times New Roman"/>
          <w:b/>
          <w:bCs/>
          <w:sz w:val="28"/>
          <w:szCs w:val="28"/>
          <w:highlight w:val="none"/>
        </w:rPr>
      </w:r>
      <w:r/>
    </w:p>
    <w:p>
      <w:pPr>
        <w:pStyle w:val="766"/>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rPr>
          <w:rFonts w:ascii="宋体" w:hAnsi="宋体" w:eastAsia="Arial" w:cs="Times New Roman"/>
          <w:color w:val="000000"/>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766"/>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rPr>
          <w:rFonts w:ascii="宋体" w:hAnsi="宋体" w:eastAsia="Arial" w:cs="Times New Roman"/>
          <w:b/>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ascii="宋体" w:hAnsi="宋体" w:eastAsia="Arial" w:cs="Times New Roman"/>
          <w:color w:val="000000"/>
          <w:szCs w:val="21"/>
          <w:highlight w:val="none"/>
        </w:rPr>
      </w:r>
      <w:r/>
    </w:p>
    <w:p>
      <w:pPr>
        <w:pStyle w:val="766"/>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rPr>
          <w:rFonts w:ascii="Calibri" w:hAnsi="Calibri" w:eastAsia="华文楷体" w:cs="Times New Roman"/>
          <w:highlight w:val="none"/>
        </w:rPr>
      </w:r>
      <w:r/>
    </w:p>
    <w:p>
      <w:pPr>
        <w:pStyle w:val="766"/>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766"/>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rPr>
          <w:rFonts w:ascii="宋体" w:hAnsi="宋体" w:eastAsia="宋体" w:cs="宋体"/>
          <w:color w:val="000000"/>
          <w:szCs w:val="21"/>
          <w:highlight w:val="none"/>
        </w:rPr>
      </w:r>
      <w:r/>
    </w:p>
    <w:p>
      <w:pPr>
        <w:pStyle w:val="766"/>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rPr>
          <w:rFonts w:ascii="宋体" w:hAnsi="宋体" w:eastAsia="宋体" w:cs="宋体"/>
          <w:color w:val="000000"/>
          <w:szCs w:val="21"/>
          <w:highlight w:val="none"/>
        </w:rPr>
      </w:r>
      <w:r/>
    </w:p>
    <w:p>
      <w:pPr>
        <w:pStyle w:val="766"/>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rFonts w:ascii="Calibri" w:hAnsi="Calibri" w:eastAsia="Arial" w:cs="Times New Roman"/>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rPr>
          <w:rFonts w:ascii="宋体" w:hAnsi="宋体" w:eastAsia="Arial" w:cs="Times New Roman"/>
          <w:color w:val="000000"/>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rPr>
          <w:rFonts w:ascii="华文楷体" w:hAnsi="华文楷体" w:eastAsia="华文楷体" w:cs="华文楷体"/>
          <w:szCs w:val="21"/>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rPr>
          <w:rFonts w:ascii="宋体" w:hAnsi="宋体" w:eastAsia="Arial" w:cs="Times New Roman"/>
          <w:b/>
          <w:sz w:val="24"/>
          <w:highlight w:val="none"/>
        </w:rPr>
      </w:r>
      <w:r/>
    </w:p>
    <w:p>
      <w:pPr>
        <w:pStyle w:val="766"/>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rPr>
          <w:rFonts w:ascii="宋体" w:hAnsi="宋体" w:eastAsia="宋体" w:cs="Courier New"/>
          <w:b/>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Arial" w:cs="Times New Roman"/>
          <w:szCs w:val="21"/>
          <w:highlight w:val="none"/>
        </w:rPr>
      </w:r>
      <w:r/>
    </w:p>
    <w:p>
      <w:pPr>
        <w:pStyle w:val="766"/>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rPr>
          <w:rFonts w:ascii="宋体" w:hAnsi="宋体" w:eastAsia="宋体" w:cs="Courier New"/>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Calibri" w:hAnsi="Calibri" w:eastAsia="Arial" w:cs="Times New Roman"/>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rPr>
          <w:rFonts w:ascii="宋体" w:hAnsi="宋体" w:eastAsia="Arial" w:cs="宋体"/>
          <w:szCs w:val="15"/>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eastAsia="Arial" w:cs="Times New Roman"/>
          <w:szCs w:val="21"/>
          <w:highlight w:val="none"/>
        </w:rPr>
      </w:r>
      <w:r/>
    </w:p>
    <w:p>
      <w:pPr>
        <w:pStyle w:val="766"/>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rPr>
          <w:rFonts w:hint="eastAsia" w:ascii="宋体" w:hAnsi="宋体" w:eastAsia="Arial" w:cs="Times New Roman"/>
          <w:b/>
          <w:bCs/>
          <w:sz w:val="24"/>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rPr>
          <w:rFonts w:hint="eastAsia" w:ascii="宋体" w:hAnsi="宋体" w:eastAsia="Arial" w:cs="Times New Roman"/>
          <w:szCs w:val="21"/>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rPr>
          <w:rFonts w:hint="eastAsia" w:ascii="宋体" w:hAnsi="宋体" w:eastAsia="Arial" w:cs="Times New Roman"/>
          <w:szCs w:val="21"/>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13.3中标人违约，不退还履约保证物，如违约给采购人造成损失超过保证物价值的，应当依法赔偿超过部分的损失。中标人没有违约，履约保证物直接转为供货标的物。</w:t>
      </w:r>
      <w:r>
        <w:rPr>
          <w:rFonts w:hint="eastAsia" w:ascii="宋体" w:hAnsi="宋体" w:eastAsia="Arial" w:cs="Times New Roman"/>
          <w:szCs w:val="21"/>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rPr>
          <w:rFonts w:ascii="宋体" w:hAnsi="宋体" w:eastAsia="Arial" w:cs="Times New Roman"/>
          <w:b/>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rPr>
          <w:rFonts w:ascii="宋体" w:hAnsi="宋体" w:eastAsia="Arial" w:cs="Times New Roman"/>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rPr>
          <w:rFonts w:ascii="宋体" w:hAnsi="宋体" w:eastAsia="宋体" w:cs="宋体"/>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rPr>
          <w:rFonts w:ascii="宋体" w:hAnsi="宋体" w:eastAsia="Arial" w:cs="Times New Roman"/>
          <w:szCs w:val="21"/>
          <w:highlight w:val="none"/>
        </w:rPr>
      </w:r>
      <w:r/>
    </w:p>
    <w:p>
      <w:pPr>
        <w:pStyle w:val="766"/>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rPr>
          <w:rFonts w:ascii="宋体" w:hAnsi="宋体" w:eastAsia="Arial" w:cs="Times New Roman"/>
          <w:b/>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Arial" w:cs="Times New Roman"/>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rPr>
          <w:rFonts w:ascii="Calibri" w:hAnsi="Calibri" w:eastAsia="Arial" w:cs="Times New Roman"/>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rPr>
          <w:rFonts w:ascii="宋体" w:hAnsi="宋体" w:eastAsia="Arial" w:cs="Times New Roman"/>
          <w:szCs w:val="21"/>
          <w:highlight w:val="none"/>
        </w:rPr>
      </w:r>
      <w:r/>
    </w:p>
    <w:p>
      <w:pPr>
        <w:pStyle w:val="766"/>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rPr>
          <w:rFonts w:ascii="宋体" w:hAnsi="宋体" w:eastAsia="Arial" w:cs="宋体"/>
          <w:szCs w:val="21"/>
          <w:highlight w:val="none"/>
        </w:rPr>
      </w:r>
      <w:r/>
    </w:p>
    <w:p>
      <w:pPr>
        <w:pStyle w:val="766"/>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rPr>
          <w:rFonts w:ascii="宋体" w:hAnsi="宋体" w:eastAsia="华文楷体" w:cs="华文楷体"/>
          <w:sz w:val="22"/>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rPr>
          <w:rFonts w:ascii="宋体" w:hAnsi="宋体" w:eastAsia="Arial" w:cs="Times New Roman"/>
          <w:b/>
          <w:bCs/>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rPr>
          <w:rFonts w:ascii="宋体" w:hAnsi="宋体" w:eastAsia="宋体" w:cs="宋体"/>
          <w:szCs w:val="21"/>
          <w:highlight w:val="none"/>
        </w:rPr>
      </w:r>
      <w:r/>
    </w:p>
    <w:p>
      <w:pPr>
        <w:pStyle w:val="766"/>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rPr>
          <w:rFonts w:ascii="宋体" w:hAnsi="宋体" w:eastAsia="Arial" w:cs="Times New Roman"/>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rPr>
          <w:rFonts w:ascii="宋体" w:hAnsi="宋体" w:eastAsia="Arial" w:cs="Times New Roman"/>
          <w:szCs w:val="21"/>
          <w:highlight w:val="none"/>
        </w:rPr>
      </w:r>
      <w:r/>
    </w:p>
    <w:p>
      <w:pPr>
        <w:pStyle w:val="766"/>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rPr>
          <w:rFonts w:ascii="宋体" w:hAnsi="宋体" w:eastAsia="Arial" w:cs="Times New Roman"/>
          <w:b/>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rPr>
          <w:rFonts w:ascii="宋体" w:hAnsi="宋体" w:eastAsia="宋体" w:cs="宋体"/>
          <w:szCs w:val="21"/>
          <w:highlight w:val="none"/>
        </w:rPr>
      </w:r>
      <w:r/>
    </w:p>
    <w:p>
      <w:pPr>
        <w:pStyle w:val="766"/>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rPr>
          <w:rFonts w:ascii="宋体" w:hAnsi="宋体" w:eastAsia="Arial" w:cs="Times New Roman"/>
          <w:b/>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rPr>
          <w:rFonts w:ascii="宋体" w:hAnsi="宋体" w:eastAsia="宋体" w:cs="宋体"/>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rPr>
          <w:rFonts w:ascii="宋体" w:hAnsi="宋体" w:eastAsia="Arial" w:cs="Times New Roman"/>
          <w:szCs w:val="21"/>
          <w:highlight w:val="none"/>
        </w:rPr>
      </w:r>
      <w:r/>
    </w:p>
    <w:p>
      <w:pPr>
        <w:pStyle w:val="766"/>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rPr>
          <w:rFonts w:ascii="宋体" w:hAnsi="宋体" w:eastAsia="Arial" w:cs="Times New Roman"/>
          <w:bCs/>
          <w:szCs w:val="21"/>
          <w:highlight w:val="none"/>
        </w:rPr>
      </w:r>
      <w:r/>
    </w:p>
    <w:p>
      <w:pPr>
        <w:pStyle w:val="766"/>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Pr>
          <w:rFonts w:ascii="黑体" w:hAnsi="华文中宋" w:eastAsia="黑体" w:cs="Times New Roman"/>
          <w:sz w:val="28"/>
          <w:szCs w:val="28"/>
          <w:highlight w:val="none"/>
        </w:rPr>
      </w:r>
      <w:r/>
    </w:p>
    <w:p>
      <w:pPr>
        <w:pStyle w:val="766"/>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第三节政府采购合同专用条款</w:t>
      </w:r>
      <w:bookmarkEnd w:id="171"/>
      <w:r>
        <w:rPr>
          <w:rFonts w:ascii="黑体" w:hAnsi="华文中宋" w:eastAsia="黑体" w:cs="Times New Roman"/>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宋体" w:cs="Times New Roman"/>
                <w:szCs w:val="21"/>
                <w:highlight w:val="none"/>
                <w:lang w:val="en-US" w:eastAsia="zh-CN"/>
              </w:rPr>
            </w:pPr>
            <w:r>
              <w:rPr>
                <w:rFonts w:hint="eastAsia" w:ascii="宋体" w:hAnsi="宋体" w:eastAsia="宋体" w:cs="Times New Roman"/>
                <w:szCs w:val="21"/>
              </w:rPr>
              <w:t xml:space="preserve">不接受联合体</w:t>
            </w:r>
            <w:r>
              <w:rPr>
                <w:rFonts w:ascii="宋体" w:hAnsi="宋体" w:eastAsia="宋体" w:cs="Times New Roman"/>
                <w:szCs w:val="21"/>
                <w:highlight w:val="none"/>
                <w:lang w:val="en-US" w:eastAsia="zh-CN"/>
              </w:rPr>
            </w:r>
            <w:r/>
          </w:p>
        </w:tc>
      </w:tr>
      <w:tr>
        <w:trPr>
          <w:trHeight w:val="60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 xml:space="preserve">5个工作日</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rPr>
                <w:rFonts w:ascii="Calibri" w:hAnsi="Calibri" w:eastAsia="Arial" w:cs="Times New Roman"/>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lang w:val="en-US" w:eastAsia="zh-CN"/>
              </w:rPr>
              <w:t xml:space="preserve">乙方送达安装调试后，申请验收，验收合格后甲方支付合同款项。</w:t>
            </w:r>
            <w:r>
              <w:rPr>
                <w:rFonts w:ascii="宋体" w:hAnsi="宋体" w:eastAsia="Arial" w:cs="Times New Roman"/>
                <w:szCs w:val="21"/>
                <w:highlight w:val="none"/>
              </w:rPr>
            </w:r>
            <w:r/>
          </w:p>
        </w:tc>
      </w:tr>
      <w:tr>
        <w:trPr>
          <w:trHeight w:val="667"/>
        </w:trPr>
        <w:tc>
          <w:tcPr>
            <w:tcW w:w="1607" w:type="dxa"/>
            <w:vAlign w:val="center"/>
            <w:vMerge w:val="restart"/>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ascii="宋体" w:hAnsi="宋体" w:eastAsia="宋体" w:cs="宋体"/>
                <w:sz w:val="21"/>
                <w:szCs w:val="21"/>
                <w:lang w:val="en-US" w:eastAsia="zh-CN"/>
              </w:rPr>
              <w:t xml:space="preserve">绿色环保</w:t>
            </w:r>
            <w:r>
              <w:rPr>
                <w:rFonts w:hint="eastAsia" w:ascii="Calibri" w:hAnsi="Calibri" w:eastAsia="宋体" w:cs="Times New Roman"/>
                <w:highlight w:val="none"/>
                <w:lang w:val="en-US" w:eastAsia="zh-CN"/>
              </w:rPr>
            </w:r>
            <w:r/>
          </w:p>
        </w:tc>
      </w:tr>
      <w:tr>
        <w:trPr>
          <w:trHeight w:val="667"/>
        </w:trPr>
        <w:tc>
          <w:tcPr>
            <w:tcW w:w="1607" w:type="dxa"/>
            <w:vAlign w:val="center"/>
            <w:vMerge w:val="continue"/>
            <w:textDirection w:val="lrTb"/>
            <w:noWrap w:val="false"/>
          </w:tcPr>
          <w:p>
            <w:pPr>
              <w:pStyle w:val="766"/>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rPr>
                <w:rFonts w:ascii="宋体" w:hAnsi="宋体" w:eastAsia="Arial" w:cs="Times New Roman"/>
                <w:szCs w:val="21"/>
                <w:highlight w:val="none"/>
              </w:rPr>
            </w:r>
            <w:r/>
          </w:p>
        </w:tc>
        <w:tc>
          <w:tcPr>
            <w:tcW w:w="5170" w:type="dxa"/>
            <w:vAlign w:val="center"/>
            <w:textDirection w:val="lrTb"/>
            <w:noWrap w:val="false"/>
          </w:tcPr>
          <w:p>
            <w:pPr>
              <w:pStyle w:val="766"/>
              <w:rPr>
                <w:rFonts w:ascii="Calibri" w:hAnsi="Calibri" w:eastAsia="Arial" w:cs="Times New Roman"/>
                <w:highlight w:val="none"/>
              </w:rPr>
            </w:pPr>
            <w:r>
              <w:rPr>
                <w:rFonts w:ascii="Calibri" w:hAnsi="Calibri" w:eastAsia="Arial" w:cs="Times New Roman"/>
                <w:highlight w:val="none"/>
              </w:rPr>
            </w:r>
            <w:r/>
          </w:p>
        </w:tc>
      </w:tr>
      <w:tr>
        <w:trPr>
          <w:trHeight w:val="772"/>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w:t>
            </w:r>
            <w:r>
              <w:rPr>
                <w:rFonts w:hint="eastAsia" w:ascii="Calibri" w:hAnsi="Calibri" w:eastAsia="宋体" w:cs="Times New Roman"/>
                <w:highlight w:val="none"/>
                <w:lang w:val="en-US" w:eastAsia="zh-CN"/>
              </w:rPr>
            </w:r>
            <w:r/>
          </w:p>
        </w:tc>
      </w:tr>
      <w:tr>
        <w:trPr>
          <w:trHeight w:val="66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eastAsia="宋体" w:cs="Times New Roman"/>
              </w:rPr>
              <w:t xml:space="preserve">由乙方自行办理并承担费用。</w:t>
            </w:r>
            <w:r>
              <w:rPr>
                <w:rFonts w:hint="eastAsia" w:ascii="Calibri" w:hAnsi="Calibri" w:eastAsia="宋体" w:cs="Times New Roman"/>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质</w:t>
            </w:r>
            <w:r>
              <w:rPr>
                <w:rFonts w:hint="eastAsia" w:ascii="宋体" w:hAnsi="宋体" w:eastAsia="Arial" w:cs="Times New Roman"/>
                <w:szCs w:val="21"/>
                <w:highlight w:val="none"/>
              </w:rPr>
              <w:t xml:space="preserve">量保证期</w:t>
            </w:r>
            <w:r>
              <w:rPr>
                <w:rFonts w:ascii="宋体" w:hAnsi="宋体" w:eastAsia="Arial" w:cs="Times New Roman"/>
                <w:szCs w:val="21"/>
                <w:highlight w:val="none"/>
              </w:rPr>
            </w:r>
            <w:r/>
          </w:p>
        </w:tc>
        <w:tc>
          <w:tcPr>
            <w:tcW w:w="5170" w:type="dxa"/>
            <w:vAlign w:val="center"/>
            <w:textDirection w:val="lrTb"/>
            <w:noWrap w:val="false"/>
          </w:tcPr>
          <w:p>
            <w:pPr>
              <w:pStyle w:val="766"/>
              <w:ind w:firstLine="420"/>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不少于</w:t>
            </w:r>
            <w:r>
              <w:rPr>
                <w:rFonts w:hint="eastAsia" w:ascii="宋体" w:hAnsi="宋体" w:eastAsia="宋体" w:cs="Times New Roman"/>
                <w:szCs w:val="21"/>
                <w:highlight w:val="none"/>
                <w:lang w:val="en-US" w:eastAsia="zh-CN"/>
              </w:rPr>
              <w:t xml:space="preserve">3年</w:t>
            </w:r>
            <w:r>
              <w:rPr>
                <w:rFonts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rPr>
              <w:t xml:space="preserve">按照成交供应商承诺时间要求执行。</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rPr>
                <w:rFonts w:ascii="宋体" w:hAnsi="宋体" w:eastAsia="Arial" w:cs="宋体"/>
                <w:szCs w:val="21"/>
                <w:highlight w:val="none"/>
              </w:rPr>
            </w:r>
            <w:r/>
          </w:p>
          <w:p>
            <w:pPr>
              <w:pStyle w:val="766"/>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rPr>
                <w:rFonts w:ascii="华文楷体" w:hAnsi="华文楷体" w:eastAsia="华文楷体" w:cs="华文楷体"/>
                <w:sz w:val="22"/>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69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rPr>
              <w:t xml:space="preserve">质保期内；</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87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90"/>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rPr>
                <w:rFonts w:ascii="宋体" w:hAnsi="宋体" w:eastAsia="Arial" w:cs="Times New Roman"/>
                <w:szCs w:val="21"/>
                <w:highlight w:val="none"/>
              </w:rPr>
            </w:r>
            <w:r/>
          </w:p>
        </w:tc>
        <w:tc>
          <w:tcPr>
            <w:tcW w:w="5170" w:type="dxa"/>
            <w:vAlign w:val="center"/>
            <w:textDirection w:val="lrTb"/>
            <w:noWrap w:val="false"/>
          </w:tcPr>
          <w:p>
            <w:pPr>
              <w:pStyle w:val="766"/>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因</w:t>
            </w:r>
            <w:r>
              <w:rPr>
                <w:rFonts w:hint="eastAsia" w:ascii="宋体" w:hAnsi="宋体" w:eastAsia="Arial" w:cs="宋体"/>
                <w:iCs/>
                <w:szCs w:val="21"/>
                <w:highlight w:val="none"/>
              </w:rPr>
              <w:t xml:space="preserve">本合同及合同有关事项发生的争议，按下列第（</w:t>
            </w:r>
            <w:r>
              <w:rPr>
                <w:rFonts w:hint="eastAsia" w:ascii="宋体" w:hAnsi="宋体" w:eastAsia="宋体" w:cs="宋体"/>
                <w:iCs/>
                <w:szCs w:val="21"/>
                <w:highlight w:val="none"/>
                <w:lang w:val="en-US" w:eastAsia="zh-CN"/>
              </w:rPr>
              <w:t xml:space="preserve">2</w:t>
            </w:r>
            <w:r>
              <w:rPr>
                <w:rFonts w:hint="eastAsia" w:ascii="宋体" w:hAnsi="宋体" w:eastAsia="Arial" w:cs="宋体"/>
                <w:iCs/>
                <w:szCs w:val="21"/>
                <w:highlight w:val="none"/>
              </w:rPr>
              <w:t xml:space="preserve">）种方式解决：</w:t>
            </w:r>
            <w:r>
              <w:rPr>
                <w:rFonts w:ascii="宋体" w:hAnsi="宋体" w:eastAsia="Arial" w:cs="宋体"/>
                <w:iCs/>
                <w:szCs w:val="21"/>
                <w:highlight w:val="none"/>
              </w:rPr>
            </w:r>
            <w:r/>
          </w:p>
          <w:p>
            <w:pPr>
              <w:pStyle w:val="766"/>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1）向仲裁委员会申请仲裁，仲裁地点为；</w:t>
            </w:r>
            <w:r>
              <w:rPr>
                <w:rFonts w:ascii="宋体" w:hAnsi="宋体" w:eastAsia="Arial" w:cs="宋体"/>
                <w:iCs/>
                <w:szCs w:val="21"/>
                <w:highlight w:val="none"/>
              </w:rPr>
            </w:r>
            <w:r/>
          </w:p>
          <w:p>
            <w:pPr>
              <w:pStyle w:val="766"/>
              <w:jc w:val="left"/>
              <w:rPr>
                <w:rFonts w:ascii="宋体" w:hAnsi="宋体" w:eastAsia="Arial" w:cs="Times New Roman"/>
                <w:szCs w:val="21"/>
                <w:highlight w:val="none"/>
                <w:u w:val="singl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2）向</w:t>
            </w:r>
            <w:r>
              <w:rPr>
                <w:rFonts w:hint="eastAsia" w:ascii="宋体" w:hAnsi="宋体" w:eastAsia="宋体" w:cs="宋体"/>
                <w:iCs/>
                <w:szCs w:val="21"/>
                <w:highlight w:val="none"/>
                <w:lang w:val="en-US" w:eastAsia="zh-CN"/>
              </w:rPr>
              <w:t xml:space="preserve">灌云县</w:t>
            </w:r>
            <w:r>
              <w:rPr>
                <w:rFonts w:hint="eastAsia" w:ascii="宋体" w:hAnsi="宋体" w:eastAsia="Arial" w:cs="宋体"/>
                <w:iCs/>
                <w:szCs w:val="21"/>
                <w:highlight w:val="none"/>
              </w:rPr>
              <w:t xml:space="preserve">人民法院起诉。</w:t>
            </w:r>
            <w:r>
              <w:rPr>
                <w:rFonts w:ascii="宋体" w:hAnsi="宋体" w:eastAsia="Arial" w:cs="Times New Roman"/>
                <w:szCs w:val="21"/>
                <w:highlight w:val="none"/>
                <w:u w:val="single"/>
              </w:rPr>
            </w:r>
            <w:r/>
          </w:p>
        </w:tc>
      </w:tr>
      <w:tr>
        <w:trPr>
          <w:trHeight w:val="770"/>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bl>
    <w:p>
      <w:pPr>
        <w:pStyle w:val="766"/>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6"/>
      <w:r>
        <w:rPr>
          <w:rFonts w:hint="eastAsia" w:ascii="黑体" w:hAnsi="Courier New" w:eastAsia="黑体" w:cs="Courier New"/>
          <w:bCs/>
          <w:color w:val="000000"/>
          <w:sz w:val="44"/>
          <w:szCs w:val="21"/>
        </w:rPr>
        <w:t xml:space="preserve">四章采购需求</w:t>
      </w:r>
      <w:bookmarkEnd w:id="162"/>
      <w:r/>
      <w:bookmarkEnd w:id="163"/>
      <w:r/>
      <w:bookmarkEnd w:id="167"/>
      <w:r>
        <w:rPr>
          <w:rFonts w:hint="eastAsia" w:ascii="宋体" w:hAnsi="宋体" w:cs="Courier New"/>
          <w:color w:val="000000"/>
          <w:sz w:val="24"/>
          <w:szCs w:val="24"/>
        </w:rPr>
      </w:r>
      <w:r/>
    </w:p>
    <w:p>
      <w:pPr>
        <w:pStyle w:val="766"/>
        <w:pageBreakBefore w:val="0"/>
        <w:spacing w:before="120" w:after="120" w:line="500" w:lineRule="exact"/>
        <w:rPr>
          <w:rFonts w:hint="eastAsia" w:ascii="宋体" w:hAnsi="宋体" w:eastAsia="宋体" w:cs="Courier New"/>
          <w:b/>
          <w:bCs/>
          <w:color w:val="000000"/>
          <w:sz w:val="24"/>
          <w:szCs w:val="24"/>
        </w:rPr>
      </w:pPr>
      <w:r/>
      <w:bookmarkStart w:id="172" w:name="_Toc26554093"/>
      <w:r/>
      <w:bookmarkStart w:id="173" w:name="_Toc49090575"/>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766"/>
        <w:pageBreakBefore w:val="0"/>
        <w:spacing w:before="120" w:after="120" w:line="500" w:lineRule="exact"/>
        <w:rPr>
          <w:rFonts w:hint="eastAsia" w:ascii="宋体" w:hAnsi="宋体" w:eastAsia="宋体" w:cs="Courier New"/>
          <w:b/>
          <w:bCs/>
          <w:color w:val="000000"/>
          <w:sz w:val="24"/>
          <w:szCs w:val="24"/>
          <w:highlight w:val="red"/>
          <w:lang w:val="en-US" w:eastAsia="zh-CN"/>
        </w:rPr>
      </w:pPr>
      <w:r>
        <w:rPr>
          <w:rFonts w:hint="eastAsia" w:ascii="宋体" w:hAnsi="宋体" w:eastAsia="宋体" w:cs="Courier New"/>
          <w:b/>
          <w:bCs/>
          <w:color w:val="000000"/>
          <w:sz w:val="24"/>
          <w:szCs w:val="24"/>
          <w:highlight w:val="none"/>
        </w:rPr>
        <w:t xml:space="preserve">核心产品：工业机器人考核装置</w:t>
      </w:r>
      <w:r>
        <w:rPr>
          <w:rFonts w:hint="eastAsia" w:ascii="宋体" w:hAnsi="宋体" w:eastAsia="宋体" w:cs="Courier New"/>
          <w:b/>
          <w:bCs/>
          <w:color w:val="000000"/>
          <w:sz w:val="24"/>
          <w:szCs w:val="24"/>
          <w:highlight w:val="none"/>
          <w:lang w:val="en-US" w:eastAsia="zh-CN"/>
        </w:rPr>
        <w:t xml:space="preserve"> 、</w:t>
      </w:r>
      <w:r>
        <w:rPr>
          <w:rFonts w:hint="eastAsia" w:ascii="宋体" w:hAnsi="宋体" w:eastAsia="宋体" w:cs="Courier New"/>
          <w:b/>
          <w:bCs/>
          <w:color w:val="000000"/>
          <w:sz w:val="24"/>
          <w:szCs w:val="24"/>
          <w:highlight w:val="none"/>
        </w:rPr>
        <w:t xml:space="preserve">工业机器人装调实训装置</w:t>
      </w:r>
      <w:r>
        <w:rPr>
          <w:rFonts w:hint="eastAsia" w:ascii="宋体" w:hAnsi="宋体" w:eastAsia="宋体" w:cs="Courier New"/>
          <w:b/>
          <w:bCs/>
          <w:color w:val="000000"/>
          <w:sz w:val="24"/>
          <w:szCs w:val="24"/>
          <w:highlight w:val="red"/>
          <w:lang w:val="en-US" w:eastAsia="zh-CN"/>
        </w:rPr>
      </w:r>
      <w:r/>
    </w:p>
    <w:p>
      <w:pPr>
        <w:pStyle w:val="766"/>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技术参数要求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，投标人须逐条明确作出满足实质性要求和条件的响应并按要求提供相关证明，否则将按无效投标处理。</w:t>
      </w:r>
      <w:r>
        <w:rPr>
          <w:rFonts w:hint="eastAsia" w:ascii="Calibri" w:hAnsi="Calibri" w:eastAsia="Arial" w:cs="Times New Roman"/>
          <w:sz w:val="24"/>
          <w:szCs w:val="24"/>
        </w:rPr>
      </w:r>
      <w:r/>
    </w:p>
    <w:p>
      <w:pPr>
        <w:pStyle w:val="766"/>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sz w:val="24"/>
          <w:szCs w:val="24"/>
          <w:highlight w:val="none"/>
        </w:rPr>
      </w:r>
      <w:r/>
    </w:p>
    <w:p>
      <w:pPr>
        <w:pStyle w:val="766"/>
        <w:numPr>
          <w:ilvl w:val="0"/>
          <w:numId w:val="12"/>
        </w:numPr>
        <w:ind w:left="0" w:firstLine="0"/>
        <w:keepLines w:val="0"/>
        <w:keepNext w:val="0"/>
        <w:pageBreakBefore w:val="0"/>
        <w:spacing w:line="560" w:lineRule="exact"/>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采购清单及技术参数要求</w:t>
      </w:r>
      <w:r>
        <w:rPr>
          <w:rFonts w:hint="eastAsia" w:ascii="宋体" w:hAnsi="宋体" w:eastAsia="宋体" w:cs="Times New Roman"/>
          <w:bCs/>
          <w:color w:val="000000"/>
          <w:sz w:val="24"/>
          <w:szCs w:val="24"/>
        </w:rPr>
      </w:r>
      <w:r/>
    </w:p>
    <w:tbl>
      <w:tblPr>
        <w:tblStyle w:val="837"/>
        <w:tblW w:w="88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263"/>
        <w:gridCol w:w="5300"/>
        <w:gridCol w:w="748"/>
        <w:gridCol w:w="923"/>
      </w:tblGrid>
      <w:tr>
        <w:trPr>
          <w:trHeight w:val="566"/>
        </w:trPr>
        <w:tc>
          <w:tcPr>
            <w:tcW w:w="600"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序号</w:t>
            </w:r>
            <w:r>
              <w:rPr>
                <w:rFonts w:ascii="Times New Roman" w:hAnsi="Times New Roman" w:eastAsia="宋体" w:cs="Times New Roman"/>
                <w:b/>
                <w:bCs/>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设备名称</w:t>
            </w:r>
            <w:r>
              <w:rPr>
                <w:rFonts w:ascii="Times New Roman" w:hAnsi="Times New Roman" w:eastAsia="宋体" w:cs="Times New Roman"/>
                <w:b/>
                <w:bCs/>
                <w:sz w:val="24"/>
                <w:szCs w:val="24"/>
              </w:rPr>
            </w:r>
            <w:r/>
          </w:p>
        </w:tc>
        <w:tc>
          <w:tcPr>
            <w:tcW w:w="5300"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型号及参数要求</w:t>
            </w:r>
            <w:r>
              <w:rPr>
                <w:rFonts w:ascii="Times New Roman" w:hAnsi="Times New Roman" w:eastAsia="宋体" w:cs="Times New Roman"/>
                <w:b/>
                <w:bCs/>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数量</w:t>
            </w:r>
            <w:r>
              <w:rPr>
                <w:rFonts w:ascii="Times New Roman" w:hAnsi="Times New Roman" w:eastAsia="宋体" w:cs="Times New Roman"/>
                <w:b/>
                <w:bCs/>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单位</w:t>
            </w:r>
            <w:r>
              <w:rPr>
                <w:rFonts w:ascii="Times New Roman" w:hAnsi="Times New Roman" w:eastAsia="宋体" w:cs="Times New Roman"/>
                <w:b/>
                <w:bCs/>
                <w:sz w:val="24"/>
                <w:szCs w:val="24"/>
              </w:rPr>
            </w:r>
            <w:r/>
          </w:p>
        </w:tc>
      </w:tr>
      <w:tr>
        <w:trPr>
          <w:trHeight w:val="794"/>
        </w:trPr>
        <w:tc>
          <w:tcPr>
            <w:tcW w:w="600" w:type="dxa"/>
            <w:vAlign w:val="center"/>
            <w:textDirection w:val="lrTb"/>
            <w:noWrap w:val="false"/>
          </w:tcPr>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工业机器人考核装置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总体要求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设备满足工业机器人应用编程职业技能等级标准初级、中级训练及考核要求。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产品采用实训平台加功能模块的组合式结构。</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投标文件中需提供三维效果图或产品实际使用场景照片。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台体尺寸不小于1560×900×850（长×宽×高㎜），要求带有水平调节脚轮。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功能模块需包含PLC及驱动模块、快速安装系统模块。模块的安装要求采用便捷安装的要求，能够不借助工具即可完成所有模块的拆卸和更换。投标文件中需以文字或图片方式说明快捷安装的实现方式。</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工业机器人实训系统电气部分采用网孔架单独安装，方便学生操作</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66"/>
              <w:jc w:val="left"/>
              <w:spacing w:after="0" w:line="280" w:lineRule="exact"/>
              <w:rPr>
                <w:rFonts w:ascii="宋体" w:hAnsi="宋体" w:eastAsia="宋体" w:cs="Times New Roman"/>
                <w:sz w:val="24"/>
                <w:szCs w:val="24"/>
                <w:lang w:val="en-US"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工业机器人</w:t>
            </w:r>
            <w:r>
              <w:rPr>
                <w:rFonts w:hint="eastAsia" w:ascii="宋体" w:hAnsi="宋体" w:eastAsia="宋体" w:cs="Times New Roman"/>
                <w:sz w:val="24"/>
                <w:szCs w:val="24"/>
                <w:lang w:val="en-US" w:eastAsia="zh-CN"/>
              </w:rPr>
              <w:t xml:space="preserve">技术指标</w:t>
            </w:r>
            <w:r>
              <w:rPr>
                <w:rFonts w:ascii="宋体" w:hAnsi="宋体" w:eastAsia="宋体" w:cs="Times New Roman"/>
                <w:sz w:val="24"/>
                <w:szCs w:val="24"/>
                <w:lang w:val="en-US" w:eastAsia="zh-CN"/>
              </w:rPr>
            </w:r>
            <w:r/>
          </w:p>
          <w:p>
            <w:pPr>
              <w:pStyle w:val="766"/>
              <w:jc w:val="left"/>
              <w:spacing w:after="0" w:line="280" w:lineRule="exact"/>
              <w:rPr>
                <w:rFonts w:hint="eastAsia"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1.1工作范围: 不少于703mm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1.2有效荷重: 不低于7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1.3手臂荷重: 不低于0.3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1.4集成信号源:手腕设不少于10路信号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1.5集成气源:手腕设不少于4路空气（5 bar）</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1.6重复定位精度:不低于0.02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1.7防护等级:</w:t>
            </w:r>
            <w:r>
              <w:rPr>
                <w:rFonts w:hint="eastAsia" w:ascii="宋体" w:hAnsi="宋体" w:eastAsia="宋体" w:cs="Times New Roman"/>
                <w:sz w:val="24"/>
                <w:szCs w:val="24"/>
                <w:lang w:val="en-US" w:eastAsia="zh-CN"/>
              </w:rPr>
              <w:t xml:space="preserve">不低于</w:t>
            </w:r>
            <w:r>
              <w:rPr>
                <w:rFonts w:hint="eastAsia" w:ascii="宋体" w:hAnsi="宋体" w:eastAsia="宋体" w:cs="Times New Roman"/>
                <w:sz w:val="24"/>
                <w:szCs w:val="24"/>
              </w:rPr>
              <w:t xml:space="preserve">IP40</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1.8噪音水平</w:t>
            </w:r>
            <w:r>
              <w:rPr>
                <w:rFonts w:hint="eastAsia" w:ascii="宋体" w:hAnsi="宋体" w:eastAsia="宋体" w:cs="Times New Roman"/>
                <w:sz w:val="24"/>
                <w:szCs w:val="24"/>
                <w:lang w:val="en-US" w:eastAsia="zh-CN"/>
              </w:rPr>
              <w:t xml:space="preserve">不高于</w:t>
            </w:r>
            <w:r>
              <w:rPr>
                <w:rFonts w:hint="eastAsia" w:ascii="宋体" w:hAnsi="宋体" w:eastAsia="宋体" w:cs="Times New Roman"/>
                <w:sz w:val="24"/>
                <w:szCs w:val="24"/>
              </w:rPr>
              <w:t xml:space="preserve">70 dB (A)</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1.9各轴运动参数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轴运动         工作范围           最大速度</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轴1旋转     +170°~ -170°        288°/s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轴2手臂     +135°~ -100°        240°/s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轴3手臂     +70° ~ -200°        300°/s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轴4手腕     +270°~ -270°        400°/s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轴5弯曲     +130°~ -130°        405°/s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轴6翻转      +360°~ -360°       600°/s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1.10 TCP1 kg拾料性能：TCP最大速度不低于7.3 m/s、最大加速度不低于35 m/s2、加速时间0-1 m/s 不超过0.06 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1.11安全性:安全停、紧急停、2通道安全回路监测、3位启动装置;12）1.12辐射: EMC/EMI屏蔽;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1.13机器人底座尺寸不超过210×210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2.机器人功能要求：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hint="eastAsia" w:ascii="宋体" w:hAnsi="宋体" w:eastAsia="宋体" w:cs="Times New Roman"/>
                <w:sz w:val="24"/>
                <w:szCs w:val="24"/>
              </w:rPr>
              <w:tab/>
            </w:r>
            <w:r>
              <w:rPr>
                <w:rFonts w:hint="eastAsia" w:ascii="宋体" w:hAnsi="宋体" w:eastAsia="宋体" w:cs="Times New Roman"/>
                <w:sz w:val="24"/>
                <w:szCs w:val="24"/>
              </w:rPr>
              <w:t xml:space="preserve">可就机器人使用寿命内，使用机器人离线软件进行实时程序，IO，机器人3D动态动作监控。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2.2.</w:t>
            </w:r>
            <w:r>
              <w:rPr>
                <w:rFonts w:hint="eastAsia" w:ascii="宋体" w:hAnsi="宋体" w:eastAsia="宋体" w:cs="Times New Roman"/>
                <w:sz w:val="24"/>
                <w:szCs w:val="24"/>
              </w:rPr>
              <w:tab/>
            </w:r>
            <w:r>
              <w:rPr>
                <w:rFonts w:hint="eastAsia" w:ascii="宋体" w:hAnsi="宋体" w:eastAsia="宋体" w:cs="Times New Roman"/>
                <w:sz w:val="24"/>
                <w:szCs w:val="24"/>
              </w:rPr>
              <w:t xml:space="preserve">远程机器人系统备份与恢复功能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2.4.</w:t>
            </w:r>
            <w:r>
              <w:rPr>
                <w:rFonts w:hint="eastAsia" w:ascii="宋体" w:hAnsi="宋体" w:eastAsia="宋体" w:cs="Times New Roman"/>
                <w:sz w:val="24"/>
                <w:szCs w:val="24"/>
              </w:rPr>
              <w:tab/>
            </w:r>
            <w:r>
              <w:rPr>
                <w:rFonts w:hint="eastAsia" w:ascii="宋体" w:hAnsi="宋体" w:eastAsia="宋体" w:cs="Times New Roman"/>
                <w:sz w:val="24"/>
                <w:szCs w:val="24"/>
              </w:rPr>
              <w:t xml:space="preserve">提供基于VB的二次开发功能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2.5.</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机器人全寿命保养自动维护检测系统功能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机器人运动轨迹实时微调功能。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2.7.</w:t>
            </w:r>
            <w:r>
              <w:rPr>
                <w:rFonts w:hint="eastAsia" w:ascii="宋体" w:hAnsi="宋体" w:eastAsia="宋体" w:cs="Times New Roman"/>
                <w:sz w:val="24"/>
                <w:szCs w:val="24"/>
              </w:rPr>
              <w:tab/>
            </w:r>
            <w:r>
              <w:rPr>
                <w:rFonts w:hint="eastAsia" w:ascii="宋体" w:hAnsi="宋体" w:eastAsia="宋体" w:cs="Times New Roman"/>
                <w:sz w:val="24"/>
                <w:szCs w:val="24"/>
              </w:rPr>
              <w:t xml:space="preserve">自带I</w:t>
            </w:r>
            <w:r>
              <w:rPr>
                <w:rFonts w:hint="eastAsia" w:ascii="宋体" w:hAnsi="宋体" w:eastAsia="宋体" w:cs="Times New Roman"/>
                <w:sz w:val="24"/>
                <w:szCs w:val="24"/>
                <w:lang w:val="en-US" w:eastAsia="zh-CN"/>
              </w:rPr>
              <w:t xml:space="preserve">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2.8.</w:t>
            </w:r>
            <w:r>
              <w:rPr>
                <w:rFonts w:hint="eastAsia" w:ascii="宋体" w:hAnsi="宋体" w:eastAsia="宋体" w:cs="Times New Roman"/>
                <w:sz w:val="24"/>
                <w:szCs w:val="24"/>
              </w:rPr>
              <w:tab/>
            </w:r>
            <w:r>
              <w:rPr>
                <w:rFonts w:hint="eastAsia" w:ascii="宋体" w:hAnsi="宋体" w:eastAsia="宋体" w:cs="Times New Roman"/>
                <w:sz w:val="24"/>
                <w:szCs w:val="24"/>
              </w:rPr>
              <w:t xml:space="preserve">3D实时舒适摇杆手动操作系统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2.9.</w:t>
            </w:r>
            <w:r>
              <w:rPr>
                <w:rFonts w:hint="eastAsia"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2.10.</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终身机器人系统功能升级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2.11.</w:t>
            </w:r>
            <w:r>
              <w:rPr>
                <w:rFonts w:hint="eastAsia" w:ascii="宋体" w:hAnsi="宋体" w:eastAsia="宋体" w:cs="Times New Roman"/>
                <w:sz w:val="24"/>
                <w:szCs w:val="24"/>
              </w:rPr>
              <w:tab/>
            </w:r>
            <w:r>
              <w:rPr>
                <w:rFonts w:hint="eastAsia" w:ascii="宋体" w:hAnsi="宋体" w:eastAsia="宋体" w:cs="Times New Roman"/>
                <w:sz w:val="24"/>
                <w:szCs w:val="24"/>
              </w:rPr>
              <w:t xml:space="preserve">支持RAPID编程语言规范，并直接解释执行。</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2.12.不少于1G的固态CF硬盘</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2.13.机器人控制系统软件必须基于WINCE平台，以便基于机器人的二次开发。</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2.14.机器人控制系统原配固态存储器容量不得低于1G，并支持USB扩展为副存储器。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highlight w:val="none"/>
              </w:rPr>
              <w:t xml:space="preserve">3.工业机器人需满足以下标准：</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3.3.</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3.4.</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3.5.</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3.6.</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3.7.</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3.8.</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3.9.</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3.10. EN IEC 61000-6-4</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3.12. EN IEC 60974-1iii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3.13. EN IEC 60974-10iii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3.14. EN IEC 60204-1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3.15. IEC 60529</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3.16. EN 614-1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3.17. EN 574</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3.18. EN 953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3.19. ANSI/RIA R15.06</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3.20. ANSI/UL 1740</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3.21. CAN/CSA Z 434-03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搬运单元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本模块由供料单元、托盘、等零部件组成，结构紧凑，布局合理，配合仓储模块及工业机器人可以完成料块的搬运、仓储等实训内容；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装配单元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本模块由伺服电机、电感及转盘等零部件组成，配合涂胶供料模块与工业机器人可模拟完成汽车玻璃的供料、涂胶、装配等实训内容；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码垛单元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本模块由圆柱体、正方体等零部件组成，配合工业机器人完成零件搬运、码垛、示教等机器人基础实训内容；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涂胶单元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本模块由磁耦式无杆气缸、光电及点胶枪等零部件组成，配合涂胶装配模块与工业机器人可模拟完成供料、涂胶、装配等实训内容；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焊接单元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本模块由步进电机、转盘、虚拟焊接板等零部件组成，配合工业机器人完成焊接、仿真等实训内容；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打磨单元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本模块由电动磨头、打磨工件组成，可实现工业机器人打磨抛光应用；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雕刻单元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本模块由机械雕刻及激光雕刻模块组成，可通过离线编程软件完成木板的激光雕刻及机械雕刻；</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视觉单元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本模块由工业相机等零部件组成，配合工业机器人与其他模块，完成视觉等在工业生产中的物料识别、定位等实训内容。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RFID智能仓储单元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由仓库单元、rfid模块组成，仓库主体由铝型材搭建，库位容量不低于9个。配合WMS系统，可实现智能仓储管理。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供料输送单元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本模块由供料桶、气缸、传输线、传感器等组成，能够实现出料、输送等，可配合RFID模块及视觉模块，实现物料的分拣；</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监控单元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由无线网络摄像头及安装支架、监控软件组成，可全程录制工作台工作过程。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快换工具单元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以上单元投标时需提供实物照片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电气控制单元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电气控制单元包含所有驱动及电源、PLC和触摸屏。PLC性能不低于西门子S7-1200/FX3U系列，具体规格按产品应用设计选用，保留至少20%的输入输出点余量。触摸屏采用不小于7寸真彩主流品牌产品，驱动装置采用主流品牌产品，至少要包含伺服和步进驱动。PLC及驱动模块的所有输出和输入通过快速连接插头与外围模块及机器人连接，模块内部采用安全插孔和专用安全导线快速连接，动力插孔和控制插孔需采用特别措施，避免误接。</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投标时提供详细的配置清单。</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通过控制系统，学生能够快速掌握工业机器人外部接口配置，了解如何配置一台工业机器人。同时能够使工业机器人与PLC、继电器、传感器、视觉等模块相连。使学生完全掌握工业机器人外部电气控制连接。</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离线编程及仿真单元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由电脑桌、电脑、离线编程仿真软件组成，离线编程仿真软件需与工业机器人配套，能够实现离线编程仿真；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触摸屏单元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本模块由触摸屏等零部件组成，配合工业机器人与其他模块，完成控制过程的启动、停止、状态显示灯实训内容。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基础平台模块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基础平台为所有控制模块与训练模块的载体。平台基体为工业铝型材结构，带有25mm的槽间隙，配合快换结构-槽板式插拔系统，保证可以在任何地方安装任何控制模块与实训模块。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三色灯模块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w:t>
            </w:r>
            <w:r>
              <w:rPr>
                <w:rFonts w:ascii="宋体" w:hAnsi="宋体" w:eastAsia="宋体" w:cs="Times New Roman"/>
                <w:sz w:val="24"/>
                <w:szCs w:val="24"/>
              </w:rPr>
              <w:t xml:space="preserve">由三色灯组成，</w:t>
            </w:r>
            <w:r>
              <w:rPr>
                <w:rFonts w:hint="eastAsia" w:ascii="宋体" w:hAnsi="宋体" w:eastAsia="宋体" w:cs="Times New Roman"/>
                <w:sz w:val="24"/>
                <w:szCs w:val="24"/>
              </w:rPr>
              <w:t xml:space="preserve">配合控制模块</w:t>
            </w:r>
            <w:r>
              <w:rPr>
                <w:rFonts w:ascii="宋体" w:hAnsi="宋体" w:eastAsia="宋体" w:cs="Times New Roman"/>
                <w:sz w:val="24"/>
                <w:szCs w:val="24"/>
              </w:rPr>
              <w:t xml:space="preserve">完成实验过程中的状态显示</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喷涂模块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  由颜料供应装置、气源、喷嘴及工件组成，可完成工件的喷涂；</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电磁阀模块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本模块由电磁阀、气动二联体等零部件组成，配合其他气动执行部件，完成气动执行部件的控制等实训内容。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工业机器人自动考核系统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提供基于android/win8/win10系统的工业机器人实训系统app，系统可就工业机器人画笔单元展开相应的实训，实训内容包括：</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在线画笔实训：软件自动提供图形，学生根据要求利用机器人电容笔工装在线走轨迹；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在线绘图实训：软件自动提供技术要求，要求学生根据要求在线绘图；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在线码垛实训：软件在线提供码垛工位及工件，要求学生根据需要进行模拟码垛训练；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在线搬运实训：软件提供工件及工位，要求学生根据要求进行模拟搬运训练；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在线焊接训练：软件提供焊接工件，要求学生根据要求进行模拟焊接训练，软件采用三维效果的方式展现学生焊接内容；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系统相应功能界面截图。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1.采用VRML技术加载不同机器人数据的三维模型；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2.可切换不同的视图来以相应的视角进行显示三维模型；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3.可显示运动的轨迹；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4.运行机器人的运动轴测试功能；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5.建立、查看、编辑示教任务；</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6.具有指令编辑功能（如JMOVE、LMOVE、DELAY、HOME1）；</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7.运动方式分为单步运动和连续运动；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8.示教点可在关节坐标或笛卡尔坐标采用操控方式或直接输入位置的形式进行记录；</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9.在编写完示教任务后，可通过轨迹计算，以查看示教是否符合规划要求；</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10.界面包括两大部分，操作界面和显示界面，操作界面与显示界面分开，作为两个独立的对话框；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11.显示界面主界面包括菜单栏、工具栏和3D显示栏；</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12.菜单栏包括文件、视图、显示模式、运动仿真、帮助等；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13.工具栏包括打开文件（后缀为ZHM格式）；</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14.显示模式：包括显示顶点、线段、光滑曲面、平坦曲面、增加线框、光照、平台显示、坐标显示、运动轨迹、参数设置等；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15.视图模式：包括透视投影、正投影、前面、后面、左边、右边、顶部、底部、观察位置、颜色设置；</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16.运动仿真：包括运动、Test；</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17.操作界面包括文件、系统参数、轨迹计算、单步执行、连续运动、HOME1、HOME2；</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18.操作界面能够显示序号、指令、参数、速度；</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19.程序运行速度百分比、示教速度可自由调整；</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20.系统能够收缩数据列表，列表可自由显示六个轴的坐标；</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21.系统可以增加、插入、删除JMOVE、 LMOVE、 DELAY、 JAPPRO、 LAPPRO、 JDEPART、 LDEPART、 HOME1、 HOME2、DRIVE 、DRAW、TDRAW、ALIGN、CIRC、OUT、PAUSE、CONTINUE、END J000 P000；</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22.工业机器人姿态可进行选择，具体包括：FRONT、 BACK、 LEFT 、RIGHT 、UP、 DOWN；</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23.界面可以单独操作工业机器人六个轴；</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软件相应功能界面截图。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24</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工业机器人工作站生产管理系统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结合工业机器人工作站模拟工厂生产要求，提供生产管理系统。主要体现企业的生产流程，可结合看板系统和实际生产线系统，建立涵盖销售、计划、生产、车间管理、采购、库存、质量、财务等八大职能120多个功能模块，各模块之间高度集成，具备可操作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1.基础数据包括系统建立在的公司的基本信息，是系统运行的基础，包括公司信息，工厂信息，仓库信息，物料信息，产品结构，工艺路线信息，企业生产的基础信息，也是系统运行的必备信息。</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销售子系统主要包括从接受到市场信息，发布销售订单开始，到进行销售发货，最后进行结算等一系列功能。销售子系统是整体物流系统的驱动来源，计划子系统，生产子系统，采购子系统，都是以销售为业务驱动进行运作的。</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3.计划子系统主要是把销售需求转为企业内部可执行的命令，并协调企业内部物流各系统的运行；计划子系统主要根据企业的销售订单转为生产、采购执行的命令。主要包括订货点计划，物料需求计划。</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4.生产子系统主要是执行企业的生产指令，安排生产任务，进行生产领料，生产入库处理业务，是企业内部物流的主体。</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5.车间管理子系统是对生产现场的管理，包括车间作业计划，工票反馈，是生产线管理的基本。</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6.采购业务是企业物流的一个重要环节，包括订单，进货，检验，入库等程序。本系统中体现了采购订单，采购收货，采购结算。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7.库存业务是企业物流的核心，包库出入库业务，库存盘点等业务，与采购、生产等业务有较强的关联性。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8.质量子系统是库存业务的检验环节，是对企业物流的把关，是对企业物料的质量保证。</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9.财务子系统是对整体业务的归总核算，体现物流的成本，形成企业的物流价值链。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10.投标企业提供所投ERP管理软件对应的模块框图及相互关系图，以及相应的操作流程图及软件界面。</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25</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PLC三维考核系统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工业机器人3D仿真软件系统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w:t>
            </w:r>
            <w:r>
              <w:rPr>
                <w:rFonts w:ascii="宋体" w:hAnsi="宋体" w:eastAsia="宋体" w:cs="Times New Roman"/>
                <w:sz w:val="24"/>
                <w:szCs w:val="24"/>
              </w:rPr>
              <w:t xml:space="preserve">win10</w:t>
            </w:r>
            <w:r>
              <w:rPr>
                <w:rFonts w:hint="eastAsia" w:ascii="宋体" w:hAnsi="宋体" w:eastAsia="宋体" w:cs="Times New Roman"/>
                <w:sz w:val="24"/>
                <w:szCs w:val="24"/>
              </w:rPr>
              <w:t xml:space="preserve">电脑，投影仪</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766"/>
              <w:ind w:firstLine="240"/>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766"/>
              <w:ind w:firstLine="24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textDirection w:val="lrTb"/>
            <w:noWrap w:val="false"/>
          </w:tcPr>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工业机器人装调实训装置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 .六自由度工业机器人</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highlight w:val="yellow"/>
                <w:lang w:eastAsia="zh-CN"/>
              </w:rPr>
            </w:pP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yellow"/>
                <w:lang w:eastAsia="zh-CN"/>
              </w:rPr>
            </w:r>
            <w:r/>
          </w:p>
          <w:p>
            <w:pPr>
              <w:pStyle w:val="766"/>
              <w:jc w:val="left"/>
              <w:spacing w:after="0" w:line="280" w:lineRule="exact"/>
              <w:rPr>
                <w:rFonts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none"/>
              </w:rPr>
              <w:t xml:space="preserve">1）工业机器人</w:t>
            </w:r>
            <w:r>
              <w:rPr>
                <w:rFonts w:hint="eastAsia" w:ascii="宋体" w:hAnsi="宋体" w:eastAsia="宋体" w:cs="Times New Roman"/>
                <w:sz w:val="24"/>
                <w:szCs w:val="24"/>
                <w:highlight w:val="none"/>
                <w:lang w:val="en-US" w:eastAsia="zh-CN"/>
              </w:rPr>
              <w:t xml:space="preserve">技术指标</w:t>
            </w:r>
            <w:r>
              <w:rPr>
                <w:rFonts w:hint="eastAsia" w:ascii="宋体" w:hAnsi="宋体" w:eastAsia="宋体" w:cs="Times New Roman"/>
                <w:sz w:val="24"/>
                <w:szCs w:val="24"/>
                <w:highlight w:val="none"/>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工作范围</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不少于703</w:t>
            </w:r>
            <w:r>
              <w:rPr>
                <w:rFonts w:ascii="宋体" w:hAnsi="宋体" w:eastAsia="宋体" w:cs="Times New Roman"/>
                <w:sz w:val="24"/>
                <w:szCs w:val="24"/>
              </w:rPr>
              <w:t xml:space="preserve">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有效荷重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不低于7</w:t>
            </w:r>
            <w:r>
              <w:rPr>
                <w:rFonts w:ascii="宋体" w:hAnsi="宋体" w:eastAsia="宋体" w:cs="Times New Roman"/>
                <w:sz w:val="24"/>
                <w:szCs w:val="24"/>
              </w:rPr>
              <w:t xml:space="preserve">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手臂荷重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0.3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集成信号源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10</w:t>
            </w:r>
            <w:r>
              <w:rPr>
                <w:rFonts w:hint="eastAsia" w:ascii="宋体" w:hAnsi="宋体" w:eastAsia="宋体" w:cs="Times New Roman"/>
                <w:sz w:val="24"/>
                <w:szCs w:val="24"/>
              </w:rPr>
              <w:t xml:space="preserve">路信号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集成气源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4</w:t>
            </w:r>
            <w:r>
              <w:rPr>
                <w:rFonts w:hint="eastAsia" w:ascii="宋体" w:hAnsi="宋体" w:eastAsia="宋体" w:cs="Times New Roman"/>
                <w:sz w:val="24"/>
                <w:szCs w:val="24"/>
              </w:rPr>
              <w:t xml:space="preserve">路空气（</w:t>
            </w:r>
            <w:r>
              <w:rPr>
                <w:rFonts w:ascii="宋体" w:hAnsi="宋体" w:eastAsia="宋体" w:cs="Times New Roman"/>
                <w:sz w:val="24"/>
                <w:szCs w:val="24"/>
              </w:rPr>
              <w:t xml:space="preserve">5 bar</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重复定位精度</w:t>
            </w:r>
            <w:r>
              <w:rPr>
                <w:rFonts w:ascii="宋体" w:hAnsi="宋体" w:eastAsia="宋体" w:cs="Times New Roman"/>
                <w:sz w:val="24"/>
                <w:szCs w:val="24"/>
              </w:rPr>
              <w:t xml:space="preserve">:</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0.01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防护等级</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不低于</w:t>
            </w:r>
            <w:r>
              <w:rPr>
                <w:rFonts w:ascii="宋体" w:hAnsi="宋体" w:eastAsia="宋体" w:cs="Times New Roman"/>
                <w:sz w:val="24"/>
                <w:szCs w:val="24"/>
              </w:rPr>
              <w:t xml:space="preserve">IP</w:t>
            </w:r>
            <w:r>
              <w:rPr>
                <w:rFonts w:hint="eastAsia" w:ascii="宋体" w:hAnsi="宋体" w:eastAsia="宋体" w:cs="Times New Roman"/>
                <w:sz w:val="24"/>
                <w:szCs w:val="24"/>
              </w:rPr>
              <w:t xml:space="preserve">4</w:t>
            </w:r>
            <w:r>
              <w:rPr>
                <w:rFonts w:ascii="宋体" w:hAnsi="宋体" w:eastAsia="宋体" w:cs="Times New Roman"/>
                <w:sz w:val="24"/>
                <w:szCs w:val="24"/>
              </w:rPr>
              <w:t xml:space="preserve">0</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TCP1 kg</w:t>
            </w:r>
            <w:r>
              <w:rPr>
                <w:rFonts w:hint="eastAsia" w:ascii="宋体" w:hAnsi="宋体" w:eastAsia="宋体" w:cs="Times New Roman"/>
                <w:sz w:val="24"/>
                <w:szCs w:val="24"/>
              </w:rPr>
              <w:t xml:space="preserve">拾料性能：</w:t>
            </w:r>
            <w:r>
              <w:rPr>
                <w:rFonts w:ascii="宋体" w:hAnsi="宋体" w:eastAsia="宋体" w:cs="Times New Roman"/>
                <w:sz w:val="24"/>
                <w:szCs w:val="24"/>
              </w:rPr>
              <w:t xml:space="preserve">TCP</w:t>
            </w:r>
            <w:r>
              <w:rPr>
                <w:rFonts w:hint="eastAsia" w:ascii="宋体" w:hAnsi="宋体" w:eastAsia="宋体" w:cs="Times New Roman"/>
                <w:sz w:val="24"/>
                <w:szCs w:val="24"/>
              </w:rPr>
              <w:t xml:space="preserve">最大速度不低于7.3</w:t>
            </w:r>
            <w:r>
              <w:rPr>
                <w:rFonts w:ascii="宋体" w:hAnsi="宋体" w:eastAsia="宋体" w:cs="Times New Roman"/>
                <w:sz w:val="24"/>
                <w:szCs w:val="24"/>
              </w:rPr>
              <w:t xml:space="preserve"> m/s</w:t>
            </w:r>
            <w:r>
              <w:rPr>
                <w:rFonts w:hint="eastAsia" w:ascii="宋体" w:hAnsi="宋体" w:eastAsia="宋体" w:cs="Times New Roman"/>
                <w:sz w:val="24"/>
                <w:szCs w:val="24"/>
              </w:rPr>
              <w:t xml:space="preserve">、最大加速度不低于35</w:t>
            </w:r>
            <w:r>
              <w:rPr>
                <w:rFonts w:ascii="宋体" w:hAnsi="宋体" w:eastAsia="宋体" w:cs="Times New Roman"/>
                <w:sz w:val="24"/>
                <w:szCs w:val="24"/>
              </w:rPr>
              <w:t xml:space="preserve"> m/s2</w:t>
            </w:r>
            <w:r>
              <w:rPr>
                <w:rFonts w:hint="eastAsia" w:ascii="宋体" w:hAnsi="宋体" w:eastAsia="宋体" w:cs="Times New Roman"/>
                <w:sz w:val="24"/>
                <w:szCs w:val="24"/>
              </w:rPr>
              <w:t xml:space="preserve">、加速时间</w:t>
            </w:r>
            <w:r>
              <w:rPr>
                <w:rFonts w:ascii="宋体" w:hAnsi="宋体" w:eastAsia="宋体" w:cs="Times New Roman"/>
                <w:sz w:val="24"/>
                <w:szCs w:val="24"/>
              </w:rPr>
              <w:t xml:space="preserve">0-1 m/s </w:t>
            </w:r>
            <w:r>
              <w:rPr>
                <w:rFonts w:hint="eastAsia" w:ascii="宋体" w:hAnsi="宋体" w:eastAsia="宋体" w:cs="Times New Roman"/>
                <w:sz w:val="24"/>
                <w:szCs w:val="24"/>
              </w:rPr>
              <w:t xml:space="preserve">不超过</w:t>
            </w:r>
            <w:r>
              <w:rPr>
                <w:rFonts w:ascii="宋体" w:hAnsi="宋体" w:eastAsia="宋体" w:cs="Times New Roman"/>
                <w:sz w:val="24"/>
                <w:szCs w:val="24"/>
              </w:rPr>
              <w:t xml:space="preserve">0.0</w:t>
            </w:r>
            <w:r>
              <w:rPr>
                <w:rFonts w:hint="eastAsia" w:ascii="宋体" w:hAnsi="宋体" w:eastAsia="宋体" w:cs="Times New Roman"/>
                <w:sz w:val="24"/>
                <w:szCs w:val="24"/>
              </w:rPr>
              <w:t xml:space="preserve">6</w:t>
            </w:r>
            <w:r>
              <w:rPr>
                <w:rFonts w:ascii="宋体" w:hAnsi="宋体" w:eastAsia="宋体" w:cs="Times New Roman"/>
                <w:sz w:val="24"/>
                <w:szCs w:val="24"/>
              </w:rPr>
              <w:t xml:space="preserve"> 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噪音水平</w:t>
            </w:r>
            <w:r>
              <w:rPr>
                <w:rFonts w:hint="eastAsia" w:ascii="宋体" w:hAnsi="宋体" w:eastAsia="宋体" w:cs="Times New Roman"/>
                <w:sz w:val="24"/>
                <w:szCs w:val="24"/>
                <w:lang w:val="en-US" w:eastAsia="zh-CN"/>
              </w:rPr>
              <w:t xml:space="preserve">不高于</w:t>
            </w:r>
            <w:r>
              <w:rPr>
                <w:rFonts w:ascii="宋体" w:hAnsi="宋体" w:eastAsia="宋体" w:cs="Times New Roman"/>
                <w:sz w:val="24"/>
                <w:szCs w:val="24"/>
              </w:rPr>
              <w:t xml:space="preserve">70 dB (A)</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w:t>
            </w:r>
            <w:r>
              <w:rPr>
                <w:rFonts w:ascii="宋体" w:hAnsi="宋体" w:eastAsia="宋体" w:cs="Times New Roman"/>
                <w:sz w:val="24"/>
                <w:szCs w:val="24"/>
              </w:rPr>
              <w:t xml:space="preserve">:</w:t>
            </w:r>
            <w:r>
              <w:rPr>
                <w:rFonts w:hint="eastAsia" w:ascii="宋体" w:hAnsi="宋体" w:eastAsia="宋体" w:cs="Times New Roman"/>
                <w:sz w:val="24"/>
                <w:szCs w:val="24"/>
              </w:rPr>
              <w:t xml:space="preserve">安全停、紧急停、</w:t>
            </w:r>
            <w:r>
              <w:rPr>
                <w:rFonts w:ascii="宋体" w:hAnsi="宋体" w:eastAsia="宋体" w:cs="Times New Roman"/>
                <w:sz w:val="24"/>
                <w:szCs w:val="24"/>
              </w:rPr>
              <w:t xml:space="preserve">2</w:t>
            </w:r>
            <w:r>
              <w:rPr>
                <w:rFonts w:hint="eastAsia" w:ascii="宋体" w:hAnsi="宋体" w:eastAsia="宋体" w:cs="Times New Roman"/>
                <w:sz w:val="24"/>
                <w:szCs w:val="24"/>
              </w:rPr>
              <w:t xml:space="preserve">通道安全回路监测、</w:t>
            </w:r>
            <w:r>
              <w:rPr>
                <w:rFonts w:ascii="宋体" w:hAnsi="宋体" w:eastAsia="宋体" w:cs="Times New Roman"/>
                <w:sz w:val="24"/>
                <w:szCs w:val="24"/>
              </w:rPr>
              <w:t xml:space="preserve">3</w:t>
            </w:r>
            <w:r>
              <w:rPr>
                <w:rFonts w:hint="eastAsia" w:ascii="宋体" w:hAnsi="宋体" w:eastAsia="宋体" w:cs="Times New Roman"/>
                <w:sz w:val="24"/>
                <w:szCs w:val="24"/>
              </w:rPr>
              <w:t xml:space="preserve">位启动装置</w:t>
            </w:r>
            <w:r>
              <w:rPr>
                <w:rFonts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辐射</w:t>
            </w:r>
            <w:r>
              <w:rPr>
                <w:rFonts w:ascii="宋体" w:hAnsi="宋体" w:eastAsia="宋体" w:cs="Times New Roman"/>
                <w:sz w:val="24"/>
                <w:szCs w:val="24"/>
              </w:rPr>
              <w:t xml:space="preserve">:EMC/EMI</w:t>
            </w:r>
            <w:r>
              <w:rPr>
                <w:rFonts w:hint="eastAsia" w:ascii="宋体" w:hAnsi="宋体" w:eastAsia="宋体" w:cs="Times New Roman"/>
                <w:sz w:val="24"/>
                <w:szCs w:val="24"/>
              </w:rPr>
              <w:t xml:space="preserve">屏蔽</w:t>
            </w:r>
            <w:r>
              <w:rPr>
                <w:rFonts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底座尺寸不超过21</w:t>
            </w:r>
            <w:r>
              <w:rPr>
                <w:rFonts w:ascii="宋体" w:hAnsi="宋体" w:eastAsia="宋体" w:cs="Times New Roman"/>
                <w:sz w:val="24"/>
                <w:szCs w:val="24"/>
              </w:rPr>
              <w:t xml:space="preserve">0×</w:t>
            </w:r>
            <w:r>
              <w:rPr>
                <w:rFonts w:hint="eastAsia" w:ascii="宋体" w:hAnsi="宋体" w:eastAsia="宋体" w:cs="Times New Roman"/>
                <w:sz w:val="24"/>
                <w:szCs w:val="24"/>
              </w:rPr>
              <w:t xml:space="preserve">21</w:t>
            </w:r>
            <w:r>
              <w:rPr>
                <w:rFonts w:ascii="宋体" w:hAnsi="宋体" w:eastAsia="宋体" w:cs="Times New Roman"/>
                <w:sz w:val="24"/>
                <w:szCs w:val="24"/>
              </w:rPr>
              <w:t xml:space="preserve">0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高度不超过</w:t>
            </w:r>
            <w:r>
              <w:rPr>
                <w:rFonts w:ascii="宋体" w:hAnsi="宋体" w:eastAsia="宋体" w:cs="Times New Roman"/>
                <w:sz w:val="24"/>
                <w:szCs w:val="24"/>
              </w:rPr>
              <w:t xml:space="preserve">700 mm</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（2）机器人功能要求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能够使用离线软件进行实时程序，</w:t>
            </w:r>
            <w:r>
              <w:rPr>
                <w:rFonts w:ascii="宋体" w:hAnsi="宋体" w:eastAsia="宋体" w:cs="Times New Roman"/>
                <w:sz w:val="24"/>
                <w:szCs w:val="24"/>
              </w:rPr>
              <w:t xml:space="preserve">IO</w:t>
            </w:r>
            <w:r>
              <w:rPr>
                <w:rFonts w:hint="eastAsia" w:ascii="宋体" w:hAnsi="宋体" w:eastAsia="宋体" w:cs="Times New Roman"/>
                <w:sz w:val="24"/>
                <w:szCs w:val="24"/>
              </w:rPr>
              <w:t xml:space="preserve">，</w:t>
            </w:r>
            <w:r>
              <w:rPr>
                <w:rFonts w:ascii="宋体" w:hAnsi="宋体" w:eastAsia="宋体" w:cs="Times New Roman"/>
                <w:sz w:val="24"/>
                <w:szCs w:val="24"/>
              </w:rPr>
              <w:t xml:space="preserve">3D</w:t>
            </w:r>
            <w:r>
              <w:rPr>
                <w:rFonts w:hint="eastAsia" w:ascii="宋体" w:hAnsi="宋体" w:eastAsia="宋体" w:cs="Times New Roman"/>
                <w:sz w:val="24"/>
                <w:szCs w:val="24"/>
              </w:rPr>
              <w:t xml:space="preserve">动态动作监控。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具备远程系统备份与恢复功能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提供基于</w:t>
            </w:r>
            <w:r>
              <w:rPr>
                <w:rFonts w:ascii="宋体" w:hAnsi="宋体" w:eastAsia="宋体" w:cs="Times New Roman"/>
                <w:sz w:val="24"/>
                <w:szCs w:val="24"/>
              </w:rPr>
              <w:t xml:space="preserve">VB</w:t>
            </w:r>
            <w:r>
              <w:rPr>
                <w:rFonts w:hint="eastAsia" w:ascii="宋体" w:hAnsi="宋体" w:eastAsia="宋体" w:cs="Times New Roman"/>
                <w:sz w:val="24"/>
                <w:szCs w:val="24"/>
              </w:rPr>
              <w:t xml:space="preserve">的二次开发功能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全寿命保养自动维护检测系统功能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运动轨迹实时微调功能。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自带</w:t>
            </w:r>
            <w:r>
              <w:rPr>
                <w:rFonts w:ascii="宋体" w:hAnsi="宋体" w:eastAsia="宋体" w:cs="Times New Roman"/>
                <w:sz w:val="24"/>
                <w:szCs w:val="24"/>
              </w:rPr>
              <w:t xml:space="preserve">IO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3D</w:t>
            </w:r>
            <w:r>
              <w:rPr>
                <w:rFonts w:hint="eastAsia" w:ascii="宋体" w:hAnsi="宋体" w:eastAsia="宋体" w:cs="Times New Roman"/>
                <w:sz w:val="24"/>
                <w:szCs w:val="24"/>
              </w:rPr>
              <w:t xml:space="preserve">实时舒适摇杆手动操作系统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终身系统功能升级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支持</w:t>
            </w:r>
            <w:r>
              <w:rPr>
                <w:rFonts w:ascii="宋体" w:hAnsi="宋体" w:eastAsia="宋体" w:cs="Times New Roman"/>
                <w:sz w:val="24"/>
                <w:szCs w:val="24"/>
              </w:rPr>
              <w:t xml:space="preserve">RAPID</w:t>
            </w:r>
            <w:r>
              <w:rPr>
                <w:rFonts w:hint="eastAsia" w:ascii="宋体" w:hAnsi="宋体" w:eastAsia="宋体" w:cs="Times New Roman"/>
                <w:sz w:val="24"/>
                <w:szCs w:val="24"/>
              </w:rPr>
              <w:t xml:space="preserve">编程语言规范，并直接解释执行。</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不少于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的固态</w:t>
            </w:r>
            <w:r>
              <w:rPr>
                <w:rFonts w:ascii="宋体" w:hAnsi="宋体" w:eastAsia="宋体" w:cs="Times New Roman"/>
                <w:sz w:val="24"/>
                <w:szCs w:val="24"/>
              </w:rPr>
              <w:t xml:space="preserve">CF</w:t>
            </w:r>
            <w:r>
              <w:rPr>
                <w:rFonts w:hint="eastAsia" w:ascii="宋体" w:hAnsi="宋体" w:eastAsia="宋体" w:cs="Times New Roman"/>
                <w:sz w:val="24"/>
                <w:szCs w:val="24"/>
              </w:rPr>
              <w:t xml:space="preserve">硬盘</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控制系统软件基于</w:t>
            </w:r>
            <w:r>
              <w:rPr>
                <w:rFonts w:ascii="宋体" w:hAnsi="宋体" w:eastAsia="宋体" w:cs="Times New Roman"/>
                <w:sz w:val="24"/>
                <w:szCs w:val="24"/>
              </w:rPr>
              <w:t xml:space="preserve">WINCE</w:t>
            </w:r>
            <w:r>
              <w:rPr>
                <w:rFonts w:hint="eastAsia" w:ascii="宋体" w:hAnsi="宋体" w:eastAsia="宋体" w:cs="Times New Roman"/>
                <w:sz w:val="24"/>
                <w:szCs w:val="24"/>
              </w:rPr>
              <w:t xml:space="preserve">平台，以便基于机器人的二次开发。</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控制系统原配固态存储器容量不得低于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，并支持</w:t>
            </w:r>
            <w:r>
              <w:rPr>
                <w:rFonts w:ascii="宋体" w:hAnsi="宋体" w:eastAsia="宋体" w:cs="Times New Roman"/>
                <w:sz w:val="24"/>
                <w:szCs w:val="24"/>
              </w:rPr>
              <w:t xml:space="preserve">USB</w:t>
            </w:r>
            <w:r>
              <w:rPr>
                <w:rFonts w:hint="eastAsia" w:ascii="宋体" w:hAnsi="宋体" w:eastAsia="宋体" w:cs="Times New Roman"/>
                <w:sz w:val="24"/>
                <w:szCs w:val="24"/>
              </w:rPr>
              <w:t xml:space="preserve">扩展为副存储器。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highlight w:val="none"/>
              </w:rPr>
              <w:t xml:space="preserve">工业机器人需满足以下</w:t>
            </w:r>
            <w:r>
              <w:rPr>
                <w:rFonts w:hint="eastAsia" w:ascii="宋体" w:hAnsi="宋体" w:eastAsia="宋体" w:cs="Times New Roman"/>
                <w:sz w:val="24"/>
                <w:szCs w:val="24"/>
                <w:highlight w:val="none"/>
                <w:lang w:val="en-US" w:eastAsia="zh-CN"/>
              </w:rPr>
              <w:t xml:space="preserve">技术</w:t>
            </w:r>
            <w:r>
              <w:rPr>
                <w:rFonts w:hint="eastAsia" w:ascii="宋体" w:hAnsi="宋体" w:eastAsia="宋体" w:cs="Times New Roman"/>
                <w:sz w:val="24"/>
                <w:szCs w:val="24"/>
                <w:highlight w:val="none"/>
              </w:rPr>
              <w:t xml:space="preserve">标准：</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61000-6-4</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60974-1iii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60974-10iii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60204-1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IEC 60529</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614-1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574</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953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ANSI/RIA R15.06</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ANSI/UL 1740</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CAN/CSA Z 434-03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2.搬运工作站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w:t>
            </w:r>
            <w:r>
              <w:rPr>
                <w:rFonts w:ascii="宋体" w:hAnsi="宋体" w:eastAsia="宋体" w:cs="Times New Roman"/>
                <w:sz w:val="24"/>
                <w:szCs w:val="24"/>
              </w:rPr>
              <w:t xml:space="preserve">4×4</w:t>
            </w:r>
            <w:r>
              <w:rPr>
                <w:rFonts w:hint="eastAsia" w:ascii="宋体" w:hAnsi="宋体" w:eastAsia="宋体" w:cs="Times New Roman"/>
                <w:sz w:val="24"/>
                <w:szCs w:val="24"/>
              </w:rPr>
              <w:t xml:space="preserve">仓库、皮带机、工件和母体工装和子工装等组成。</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仓库主体由铝型材搭建，库位容量不低于</w:t>
            </w:r>
            <w:r>
              <w:rPr>
                <w:rFonts w:ascii="宋体" w:hAnsi="宋体" w:eastAsia="宋体" w:cs="Times New Roman"/>
                <w:sz w:val="24"/>
                <w:szCs w:val="24"/>
              </w:rPr>
              <w:t xml:space="preserve">16</w:t>
            </w:r>
            <w:r>
              <w:rPr>
                <w:rFonts w:hint="eastAsia" w:ascii="宋体" w:hAnsi="宋体" w:eastAsia="宋体" w:cs="Times New Roman"/>
                <w:sz w:val="24"/>
                <w:szCs w:val="24"/>
              </w:rPr>
              <w:t xml:space="preserve">个。</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3.码垛工作站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能够实现两种不同工件的码垛，要能实现不</w:t>
            </w:r>
            <w:r>
              <w:rPr>
                <w:rFonts w:hint="eastAsia" w:ascii="宋体" w:hAnsi="宋体" w:eastAsia="宋体" w:cs="Times New Roman"/>
                <w:sz w:val="24"/>
                <w:szCs w:val="24"/>
                <w:lang w:val="en-US" w:eastAsia="zh-CN"/>
              </w:rPr>
              <w:t xml:space="preserve">少</w:t>
            </w:r>
            <w:r>
              <w:rPr>
                <w:rFonts w:hint="eastAsia" w:ascii="宋体" w:hAnsi="宋体" w:eastAsia="宋体" w:cs="Times New Roman"/>
                <w:sz w:val="24"/>
                <w:szCs w:val="24"/>
              </w:rPr>
              <w:t xml:space="preserve">于</w:t>
            </w:r>
            <w:r>
              <w:rPr>
                <w:rFonts w:ascii="宋体" w:hAnsi="宋体" w:eastAsia="宋体" w:cs="Times New Roman"/>
                <w:sz w:val="24"/>
                <w:szCs w:val="24"/>
              </w:rPr>
              <w:t xml:space="preserve">5</w:t>
            </w:r>
            <w:r>
              <w:rPr>
                <w:rFonts w:hint="eastAsia" w:ascii="宋体" w:hAnsi="宋体" w:eastAsia="宋体" w:cs="Times New Roman"/>
                <w:sz w:val="24"/>
                <w:szCs w:val="24"/>
              </w:rPr>
              <w:t xml:space="preserve">种码垛方式的案例。</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码垛平台上提供网格，便于码垛参照。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4.轨迹绘制工作站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该单元由画板、画笔工装等组成。能实现手爪在该单元的模拟轨迹绘图。</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5.打磨抛光工作站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该单元由抛光机构、打磨抛光工装等组成。能够实现手爪在该单元的模拟打磨抛光。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该单元抛光工件采用塑料</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打印产品，打印产品可自行创新设计，通过三维制图以及模型转换生成</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打印程序，打印多样化工业零件，用于最基础智慧制造单元实训。固定台主体采用铝型材制作，方便安装多样化工件。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6.模拟焊接工作站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该单元由二极管发生器机构、模拟焊接工装、模拟焊接工作台等组成。实现手爪在该单元的模拟轨迹绘制。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7.自动换装工作站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8.电气控制系统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电气控制系统包括可编程控制器、空开、直流电源、光幕、线槽、电线、接线端子、接近开关、传感器等。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每个实训区的工作站与总控</w:t>
            </w:r>
            <w:r>
              <w:rPr>
                <w:rFonts w:ascii="宋体" w:hAnsi="宋体" w:eastAsia="宋体" w:cs="Times New Roman"/>
                <w:sz w:val="24"/>
                <w:szCs w:val="24"/>
              </w:rPr>
              <w:t xml:space="preserve">PLC</w:t>
            </w:r>
            <w:r>
              <w:rPr>
                <w:rFonts w:hint="eastAsia" w:ascii="宋体" w:hAnsi="宋体" w:eastAsia="宋体" w:cs="Times New Roman"/>
                <w:sz w:val="24"/>
                <w:szCs w:val="24"/>
              </w:rPr>
              <w:t xml:space="preserve">连接。工作站更换时，学生可以自己编写程序和连线。</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具有接地保护、断电保护、漏电保护功能，安全性符合相关的国标标准。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9.气动系统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气动系统包括静音气泵、电磁阀、气抓、气缸、油水分离器、气管、接头、节流阀等。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安全性符合相关的国标标准。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10.工作台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主要由铝型材和贴面板搭建，工作台主体铝型材框架采用工业</w:t>
            </w:r>
            <w:r>
              <w:rPr>
                <w:rFonts w:ascii="宋体" w:hAnsi="宋体" w:eastAsia="宋体" w:cs="Times New Roman"/>
                <w:sz w:val="24"/>
                <w:szCs w:val="24"/>
              </w:rPr>
              <w:t xml:space="preserve">40×40</w:t>
            </w:r>
            <w:r>
              <w:rPr>
                <w:rFonts w:hint="eastAsia" w:ascii="宋体" w:hAnsi="宋体" w:eastAsia="宋体" w:cs="Times New Roman"/>
                <w:sz w:val="24"/>
                <w:szCs w:val="24"/>
              </w:rPr>
              <w:t xml:space="preserve">铝型材，下部安装有脚轮；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单个工作台外形尺寸为：长≥</w:t>
            </w:r>
            <w:r>
              <w:rPr>
                <w:rFonts w:ascii="宋体" w:hAnsi="宋体" w:eastAsia="宋体" w:cs="Times New Roman"/>
                <w:sz w:val="24"/>
                <w:szCs w:val="24"/>
              </w:rPr>
              <w:t xml:space="preserve">1400</w:t>
            </w:r>
            <w:r>
              <w:rPr>
                <w:rFonts w:hint="eastAsia" w:ascii="宋体" w:hAnsi="宋体" w:eastAsia="宋体" w:cs="Times New Roman"/>
                <w:sz w:val="24"/>
                <w:szCs w:val="24"/>
              </w:rPr>
              <w:t xml:space="preserve">、宽≥</w:t>
            </w:r>
            <w:r>
              <w:rPr>
                <w:rFonts w:ascii="宋体" w:hAnsi="宋体" w:eastAsia="宋体" w:cs="Times New Roman"/>
                <w:sz w:val="24"/>
                <w:szCs w:val="24"/>
              </w:rPr>
              <w:t xml:space="preserve">1260</w:t>
            </w:r>
            <w:r>
              <w:rPr>
                <w:rFonts w:hint="eastAsia" w:ascii="宋体" w:hAnsi="宋体" w:eastAsia="宋体" w:cs="Times New Roman"/>
                <w:sz w:val="24"/>
                <w:szCs w:val="24"/>
              </w:rPr>
              <w:t xml:space="preserve">、高≥</w:t>
            </w:r>
            <w:r>
              <w:rPr>
                <w:rFonts w:ascii="宋体" w:hAnsi="宋体" w:eastAsia="宋体" w:cs="Times New Roman"/>
                <w:sz w:val="24"/>
                <w:szCs w:val="24"/>
              </w:rPr>
              <w:t xml:space="preserve">800mm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机器人安装底板采用铝板阳极氧化或者钢板喷塑处理，厚度≥</w:t>
            </w:r>
            <w:r>
              <w:rPr>
                <w:rFonts w:ascii="宋体" w:hAnsi="宋体" w:eastAsia="宋体" w:cs="Times New Roman"/>
                <w:sz w:val="24"/>
                <w:szCs w:val="24"/>
              </w:rPr>
              <w:t xml:space="preserve">5mm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工作台分上下两层，上层用于安放机器人和操作对象；下层一侧带有网孔板抽屉，用于安装电气系统，另一侧安装机器人控制器。工作台前后都亚克力双开门设计，方便机器人控制柜及网孔板等的安装与调试。</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以上投标文件中需提供三维效果图或产品实际使用场景照片。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11.实验项目开发</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企业必须提供相应的课程实验指导书，实验内容至少包含：离线编程实验、自动搬运码垛实验、自动打磨实验、机自动焊接实验、自动绘图实验、双机协作实验等；指导书内容包含各项实验具体内容和操作步骤。</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w:t>
            </w:r>
            <w:r>
              <w:rPr>
                <w:rFonts w:ascii="宋体" w:hAnsi="宋体" w:eastAsia="宋体" w:cs="Times New Roman"/>
                <w:sz w:val="24"/>
                <w:szCs w:val="24"/>
              </w:rPr>
              <w:t xml:space="preserve">课程实验指导书</w:t>
            </w:r>
            <w:r>
              <w:rPr>
                <w:rFonts w:hint="eastAsia" w:ascii="宋体" w:hAnsi="宋体" w:eastAsia="宋体" w:cs="Times New Roman"/>
                <w:sz w:val="24"/>
                <w:szCs w:val="24"/>
              </w:rPr>
              <w:t xml:space="preserve">实物</w:t>
            </w:r>
            <w:r>
              <w:rPr>
                <w:rFonts w:ascii="宋体" w:hAnsi="宋体" w:eastAsia="宋体" w:cs="Times New Roman"/>
                <w:sz w:val="24"/>
                <w:szCs w:val="24"/>
              </w:rPr>
              <w:t xml:space="preserve">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12.数字孪生智慧制造基础工作站虚拟仿真软件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提供数字孪生智慧制造基础工作站虚拟仿真软件，软件能够实现以下功能；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虚拟智慧制造基础工作站与实物一致，包含工作台、多关节机器人执行系统、搬运工作站、码垛工作站、轨迹绘制工作站、模拟焊接工作站、打磨抛光工作站、自动换装工作站等；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机器人可通过界面按钮进行六关节单独运动及气爪运动；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机器人在运动过程中，可实时显示每个轴运动坐标；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虚拟智慧制造基础工作站接机器人示教器可进行示教编程运行（支持固高及KEBA控制器）；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投标时提供相关软件界面截图</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13.虚拟智慧工厂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可根据需求在虚拟场景里自由搭建智慧制造生产线；</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系统提供不少于</w:t>
            </w:r>
            <w:r>
              <w:rPr>
                <w:rFonts w:ascii="宋体" w:hAnsi="宋体" w:eastAsia="宋体" w:cs="Times New Roman"/>
                <w:sz w:val="24"/>
                <w:szCs w:val="24"/>
              </w:rPr>
              <w:t xml:space="preserve">36</w:t>
            </w:r>
            <w:r>
              <w:rPr>
                <w:rFonts w:hint="eastAsia" w:ascii="宋体" w:hAnsi="宋体" w:eastAsia="宋体" w:cs="Times New Roman"/>
                <w:sz w:val="24"/>
                <w:szCs w:val="24"/>
              </w:rPr>
              <w:t xml:space="preserve">种模块，模块包含工业机器人、行走六自由度工业机器人、传感器、数控车床、加工中心、</w:t>
            </w:r>
            <w:r>
              <w:rPr>
                <w:rFonts w:ascii="宋体" w:hAnsi="宋体" w:eastAsia="宋体" w:cs="Times New Roman"/>
                <w:sz w:val="24"/>
                <w:szCs w:val="24"/>
              </w:rPr>
              <w:t xml:space="preserve">4m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皮带线、传输线阻挡机构、摄像头、</w:t>
            </w:r>
            <w:r>
              <w:rPr>
                <w:rFonts w:ascii="宋体" w:hAnsi="宋体" w:eastAsia="宋体" w:cs="Times New Roman"/>
                <w:sz w:val="24"/>
                <w:szCs w:val="24"/>
              </w:rPr>
              <w:t xml:space="preserve">2m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滚筒线、安全围栏、机器人控制柜、</w:t>
            </w:r>
            <w:r>
              <w:rPr>
                <w:rFonts w:ascii="宋体" w:hAnsi="宋体" w:eastAsia="宋体" w:cs="Times New Roman"/>
                <w:sz w:val="24"/>
                <w:szCs w:val="24"/>
              </w:rPr>
              <w:t xml:space="preserve">3kg</w:t>
            </w:r>
            <w:r>
              <w:rPr>
                <w:rFonts w:hint="eastAsia" w:ascii="宋体" w:hAnsi="宋体" w:eastAsia="宋体" w:cs="Times New Roman"/>
                <w:sz w:val="24"/>
                <w:szCs w:val="24"/>
              </w:rPr>
              <w:t xml:space="preserve">六自由度工业机器人、</w:t>
            </w:r>
            <w:r>
              <w:rPr>
                <w:rFonts w:ascii="宋体" w:hAnsi="宋体" w:eastAsia="宋体" w:cs="Times New Roman"/>
                <w:sz w:val="24"/>
                <w:szCs w:val="24"/>
              </w:rPr>
              <w:t xml:space="preserve">4</w:t>
            </w:r>
            <w:r>
              <w:rPr>
                <w:rFonts w:hint="eastAsia" w:ascii="宋体" w:hAnsi="宋体" w:eastAsia="宋体" w:cs="Times New Roman"/>
                <w:sz w:val="24"/>
                <w:szCs w:val="24"/>
              </w:rPr>
              <w:t xml:space="preserve">轴码垛机器人、立体货架、焊接机器人及变位机、</w:t>
            </w:r>
            <w:r>
              <w:rPr>
                <w:rFonts w:ascii="宋体" w:hAnsi="宋体" w:eastAsia="宋体" w:cs="Times New Roman"/>
                <w:sz w:val="24"/>
                <w:szCs w:val="24"/>
              </w:rPr>
              <w:t xml:space="preserve">scara</w:t>
            </w:r>
            <w:r>
              <w:rPr>
                <w:rFonts w:hint="eastAsia" w:ascii="宋体" w:hAnsi="宋体" w:eastAsia="宋体" w:cs="Times New Roman"/>
                <w:sz w:val="24"/>
                <w:szCs w:val="24"/>
              </w:rPr>
              <w:t xml:space="preserve">机器人、变位机、机器人及数控机床上下料单元、下料、出料等；</w:t>
            </w:r>
            <w:r>
              <w:rPr>
                <w:rFonts w:ascii="宋体" w:hAnsi="宋体" w:eastAsia="宋体" w:cs="Times New Roman"/>
                <w:sz w:val="24"/>
                <w:szCs w:val="24"/>
              </w:rPr>
              <w:t xml:space="preserve"> </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系统支持六自由度工业机器人编程，支持</w:t>
            </w:r>
            <w:r>
              <w:rPr>
                <w:rFonts w:ascii="宋体" w:hAnsi="宋体" w:eastAsia="宋体" w:cs="Times New Roman"/>
                <w:sz w:val="24"/>
                <w:szCs w:val="24"/>
              </w:rPr>
              <w:t xml:space="preserve">KEBA</w:t>
            </w:r>
            <w:r>
              <w:rPr>
                <w:rFonts w:hint="eastAsia" w:ascii="宋体" w:hAnsi="宋体" w:eastAsia="宋体" w:cs="Times New Roman"/>
                <w:sz w:val="24"/>
                <w:szCs w:val="24"/>
              </w:rPr>
              <w:t xml:space="preserve">示教器；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系统支持不同型号</w:t>
            </w:r>
            <w:r>
              <w:rPr>
                <w:rFonts w:ascii="宋体" w:hAnsi="宋体" w:eastAsia="宋体" w:cs="Times New Roman"/>
                <w:sz w:val="24"/>
                <w:szCs w:val="24"/>
              </w:rPr>
              <w:t xml:space="preserve">PLC</w:t>
            </w:r>
            <w:r>
              <w:rPr>
                <w:rFonts w:hint="eastAsia" w:ascii="宋体" w:hAnsi="宋体" w:eastAsia="宋体" w:cs="Times New Roman"/>
                <w:sz w:val="24"/>
                <w:szCs w:val="24"/>
              </w:rPr>
              <w:t xml:space="preserve">控制；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投标时提供详细界面及操作</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14.</w:t>
            </w:r>
            <w:r>
              <w:rPr>
                <w:rFonts w:hint="eastAsia" w:ascii="宋体" w:hAnsi="宋体" w:eastAsia="宋体" w:cs="Times New Roman"/>
                <w:sz w:val="24"/>
                <w:szCs w:val="24"/>
              </w:rPr>
              <w:t xml:space="preserve">PLC三维考核系统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15.工业机器人3D仿真软件系统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可投影至电脑，投影仪</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766"/>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配套</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大屏系统</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70寸显示系统和落地支架</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工业除湿机（带水箱）</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日除湿量30升/天以上，水箱容量4.5升以上，适用面积50㎡以上</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空气净化器</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适用</w:t>
            </w:r>
            <w:r>
              <w:rPr>
                <w:rFonts w:hint="eastAsia" w:ascii="Times New Roman" w:hAnsi="Times New Roman" w:eastAsia="宋体" w:cs="Times New Roman"/>
                <w:sz w:val="24"/>
                <w:szCs w:val="24"/>
              </w:rPr>
              <w:t xml:space="preserve">面积</w:t>
            </w: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颗粒物CADR值210m³/h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气体CADR值（甲醛) 50m³/h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颗粒物CCM值P3</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桌椅购置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.两个实训室多媒体讲台</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.实训室课桌</w:t>
            </w:r>
            <w:r>
              <w:rPr>
                <w:rFonts w:hint="eastAsia" w:ascii="Times New Roman" w:hAnsi="Times New Roman" w:eastAsia="宋体" w:cs="Times New Roman"/>
                <w:sz w:val="24"/>
                <w:szCs w:val="24"/>
              </w:rPr>
              <w:t xml:space="preserve">带轮培训桌，可拼接双人桌，桌面尺寸不少于1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0cm*40cm；</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.实训室椅子</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培训椅</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带写字板</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可折叠</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50*57*86</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80</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文化布置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两个实训室：包括实训室门牌、房间内宣传图片、设备注意事项、5S管理、实验室规章制度、环境布置等；（出示方案和效果图）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仿真软件</w:t>
            </w:r>
            <w:r>
              <w:rPr>
                <w:rFonts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及教学资源</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工业机器人配套离线编程软件</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点位</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氩弧焊机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IGBT逆变技术；工作电压范围宽3相 266~456V 50~60Hz；具有多种氩弧操作方式高频引弧；绝缘等级F，外壳保护等级IP23S；数显表显示并具备一元化旋钮精确预设焊接参数；输出电流调节范围5A-410A；引弧时间0.01S-1S；</w:t>
            </w:r>
            <w:r>
              <w:rPr>
                <w:rFonts w:ascii="Times New Roman" w:hAnsi="Times New Roman" w:eastAsia="宋体" w:cs="Times New Roman"/>
                <w:b/>
                <w:bCs/>
                <w:sz w:val="24"/>
                <w:szCs w:val="24"/>
              </w:rPr>
              <w:t xml:space="preserve">上下坡时间0.1S-99.9S（</w:t>
            </w:r>
            <w:r>
              <w:rPr>
                <w:rFonts w:ascii="Times New Roman" w:hAnsi="Times New Roman" w:eastAsia="宋体" w:cs="Times New Roman"/>
                <w:sz w:val="24"/>
                <w:szCs w:val="24"/>
              </w:rPr>
              <w:t xml:space="preserve">可以但不限于网站参数截图，技术参考手册，等相关证明材料）</w:t>
            </w:r>
            <w:r>
              <w:rPr>
                <w:rFonts w:ascii="Times New Roman" w:hAnsi="Times New Roman" w:eastAsia="宋体" w:cs="Times New Roman"/>
                <w:b/>
                <w:bCs/>
                <w:sz w:val="24"/>
                <w:szCs w:val="24"/>
              </w:rPr>
              <w:t xml:space="preserve">；</w:t>
            </w:r>
            <w:r>
              <w:rPr>
                <w:rFonts w:ascii="Times New Roman" w:hAnsi="Times New Roman" w:eastAsia="宋体" w:cs="Times New Roman"/>
                <w:sz w:val="24"/>
                <w:szCs w:val="24"/>
              </w:rPr>
              <w:t xml:space="preserve">提前送气0S-13S，滞后停气0.1S-50S；普通手工焊起弧时，具有长时间短路不烧焊条功能；DSP数字化焊机；具有RS-485通讯接口可与RC-6、RC-7遥控器通讯；具有通讯TWPM V3管理系统与计算机通讯实现远程设定和监理功能；注塑壳体；配置（氩弧焊枪，地线，电焊钳，地线夹，快速插头）。</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气保焊机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widowControl/>
              <w:rPr>
                <w:rFonts w:ascii="Times New Roman" w:hAnsi="Times New Roman" w:eastAsia="宋体" w:cs="Times New Roman"/>
                <w:color w:val="365f91"/>
                <w:sz w:val="24"/>
                <w:szCs w:val="24"/>
                <w:lang w:val="zh-CN" w:bidi="zh-CN"/>
              </w:rPr>
            </w:pPr>
            <w:r>
              <w:rPr>
                <w:rFonts w:ascii="Times New Roman" w:hAnsi="Times New Roman" w:eastAsia="宋体" w:cs="Times New Roman"/>
                <w:color w:val="000000"/>
                <w:sz w:val="24"/>
                <w:szCs w:val="24"/>
                <w:lang w:val="zh-CN" w:bidi="zh-CN"/>
              </w:rPr>
              <w:t xml:space="preserve">IGBT逆变技术；电源电压适应范围宽3相 380V±10% 50~60Hz；焊接操作方式分二步/四步；数字精准显示焊接电压，焊接电流20A-350A；慢送丝启动，提高引弧成功率；送丝机构为双轮驱动，送丝平稳；引弧容易，具有收弧去小球功能；采用单片机控制，采用波形控制</w:t>
            </w:r>
            <w:r>
              <w:rPr>
                <w:rFonts w:ascii="Times New Roman" w:hAnsi="Times New Roman" w:eastAsia="宋体" w:cs="Times New Roman"/>
                <w:color w:val="000000"/>
                <w:sz w:val="24"/>
                <w:szCs w:val="24"/>
                <w:lang w:val="zh-CN" w:bidi="ar"/>
              </w:rPr>
              <w:t xml:space="preserve">（提供</w:t>
            </w:r>
            <w:r>
              <w:rPr>
                <w:rFonts w:ascii="Times New Roman" w:hAnsi="Times New Roman" w:eastAsia="宋体" w:cs="Times New Roman"/>
                <w:color w:val="000000"/>
                <w:sz w:val="24"/>
                <w:szCs w:val="24"/>
                <w:lang w:val="zh-CN" w:bidi="zh-CN"/>
              </w:rPr>
              <w:t xml:space="preserve">产品样本或网站参数截图）；电源动态品质优异，焊接全过程实时波控；具有预设焊接电压、送丝速度及焊丝直径选择等功能；调节范围15V-40V；送丝速度2-25M/min；焊丝直径0.8mm/1.0mm/1.2mm可选；</w:t>
            </w:r>
            <w:r>
              <w:rPr>
                <w:rFonts w:ascii="Times New Roman" w:hAnsi="Times New Roman" w:eastAsia="宋体" w:cs="Times New Roman"/>
                <w:color w:val="000000"/>
                <w:sz w:val="24"/>
                <w:szCs w:val="24"/>
                <w:lang w:val="zh-CN" w:bidi="ar"/>
              </w:rPr>
              <w:t xml:space="preserve">散热设计合理，保护功能完善；绝缘等级F,外壳保护等级IP23</w:t>
            </w:r>
            <w:r>
              <w:rPr>
                <w:rFonts w:ascii="Times New Roman" w:hAnsi="Times New Roman" w:eastAsia="宋体" w:cs="Times New Roman"/>
                <w:color w:val="000000"/>
                <w:sz w:val="24"/>
                <w:szCs w:val="24"/>
                <w:lang w:val="zh-CN" w:bidi="zh-CN"/>
              </w:rPr>
              <w:t xml:space="preserve">；</w:t>
            </w:r>
            <w:r>
              <w:rPr>
                <w:rFonts w:ascii="Times New Roman" w:hAnsi="Times New Roman" w:eastAsia="宋体" w:cs="Times New Roman"/>
                <w:color w:val="000000"/>
                <w:sz w:val="24"/>
                <w:szCs w:val="24"/>
                <w:lang w:val="zh-CN" w:bidi="ar"/>
              </w:rPr>
              <w:t xml:space="preserve">具有通讯TWPM V3管理系统与计算机通讯实现远程设定和监理功能；注塑壳体；配置（气保焊枪，地线，地线夹，快速插头，CO2流量计）。</w:t>
            </w:r>
            <w:r>
              <w:rPr>
                <w:rFonts w:ascii="Times New Roman" w:hAnsi="Times New Roman" w:eastAsia="宋体" w:cs="Times New Roman"/>
                <w:color w:val="365f91"/>
                <w:sz w:val="24"/>
                <w:szCs w:val="24"/>
                <w:lang w:val="zh-CN" w:bidi="zh-CN"/>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75"/>
        </w:trPr>
        <w:tc>
          <w:tcPr>
            <w:tcW w:w="600"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1263"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切割机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输入电压220v/380v 50Hz,电流调节范围20-100A，持续负载率60%，绝缘等级F,防护登记IP215，适合板材：碳钢、不锈钢、镀锌板、铜等。起弧方式:非接触式起弧。重量不低于30kg,外形尺寸不低于529*295*405.</w:t>
            </w:r>
            <w:r>
              <w:rPr>
                <w:rFonts w:ascii="等线" w:hAnsi="等线" w:eastAsia="等线" w:cs="Times New Roman"/>
                <w:color w:val="000000"/>
                <w:sz w:val="22"/>
                <w:szCs w:val="22"/>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金属带锯床：切削范围：0°时300*300MM,45°时280*300m.锯带线速度30、45、69m/MIN.锯条规格：4030*34*1.1MM,工作夹紧方式：液压自动，主电机功率：3KW,油泵电机功率0.5kw，三相水泵：40W.外形尺寸：1900*1500*1300MM,重量950KG.</w:t>
            </w:r>
            <w:r>
              <w:rPr>
                <w:rFonts w:ascii="等线" w:hAnsi="等线" w:eastAsia="等线" w:cs="Times New Roman"/>
                <w:color w:val="000000"/>
                <w:sz w:val="22"/>
                <w:szCs w:val="22"/>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信息化综合实训平台（数控技能综合实训考核平台）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lang w:bidi="zh-CN"/>
              </w:rPr>
              <w:t xml:space="preserve">CPU主频3.7GHz，双核，三级缓存3MB。支持虚拟化技术，可以稳定进行云虚拟化运算，8G以上内存，采用最新DDR4系列高频内存，120G以上固态硬盘SATA3接口，数据传输率达到读出：540MB/s，写入：490MB/s，操作系统盘剩余空间：100G以上，支持分辨率：1366×768，色彩：增强32位色以上的显示器。</w:t>
            </w:r>
            <w:r>
              <w:rPr>
                <w:rFonts w:ascii="Times New Roman" w:hAnsi="Times New Roman" w:eastAsia="宋体" w:cs="Times New Roman"/>
                <w:sz w:val="24"/>
                <w:szCs w:val="24"/>
              </w:rPr>
              <w:t xml:space="preserve">平台具体功能：</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b/>
                <w:bCs/>
                <w:sz w:val="24"/>
                <w:szCs w:val="24"/>
                <w:lang w:val="en-US" w:eastAsia="zh-CN"/>
              </w:rPr>
            </w:pPr>
            <w:r>
              <w:rPr>
                <w:rFonts w:ascii="Times New Roman" w:hAnsi="Times New Roman" w:eastAsia="宋体" w:cs="Times New Roman"/>
                <w:sz w:val="24"/>
                <w:szCs w:val="24"/>
              </w:rPr>
              <w:t xml:space="preserve">1、平台至少可仿真Fanuc 0iMD 和 Fanuc 0iTD 数控系统，</w:t>
            </w:r>
            <w:r>
              <w:rPr>
                <w:rFonts w:hint="eastAsia" w:ascii="Times New Roman" w:hAnsi="Times New Roman" w:eastAsia="宋体" w:cs="Times New Roman"/>
                <w:sz w:val="24"/>
                <w:szCs w:val="24"/>
                <w:lang w:val="en-US" w:eastAsia="zh-CN"/>
              </w:rPr>
              <w:t xml:space="preserve">与现有一期采购平台兼容适配。</w:t>
            </w:r>
            <w:r>
              <w:rPr>
                <w:rFonts w:hint="eastAsia" w:ascii="Times New Roman" w:hAnsi="Times New Roman" w:eastAsia="宋体" w:cs="Times New Roman"/>
                <w:b/>
                <w:bCs/>
                <w:sz w:val="24"/>
                <w:szCs w:val="24"/>
                <w:lang w:val="en-US" w:eastAsia="zh-CN"/>
              </w:rPr>
              <w:t xml:space="preserve">（接受电话咨询或现场勘察）</w:t>
            </w:r>
            <w:r>
              <w:rPr>
                <w:rFonts w:ascii="Times New Roman" w:hAnsi="Times New Roman" w:eastAsia="宋体" w:cs="Times New Roman"/>
                <w:b/>
                <w:bCs/>
                <w:sz w:val="24"/>
                <w:szCs w:val="24"/>
                <w:lang w:val="en-US" w:eastAsia="zh-CN"/>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数控机床类型包括车床（前置刀架车床及后置刀架车床,四工位、八工位、十二工位刀架、十六工位刀架）、铣床、加工中心（包含换刀机械手），刀架可设置为立式刀架、卧式刀架，换刀速度可调。包括多种机床型号（Doosan、WIA、DISCOVERY、HardinGe等）。</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▲3.可设置非单步运行程序的时候有关闭机床门的报警提示信息，保证程序保护开关可调整设置。</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▲4.加工速度方面：可调节加工的步长，加工图形显示加速，模型的显示精度。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▲5.每一把刀具加工刀路轨迹的颜色可进行修改，每把刀具加工后的工件显示颜色可进行修改以区别不同的刀具加工不同的区域，方便用户查看加工效果。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▲6.能够显示模式切换，在加工完工件后突出整体加工的零件，方便用户查看完整的三维零件模型。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▲7.能够快速模拟出加工程序，模拟过程中不需要刀具进行进给，直接显现出工件按照程序切削后的模型。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▲8.可保存工程文件，工程文件信息包括工件信息、NC程序信息、刀具信息、刀补信息、夹具信息等，也可以单独保存各个所需信息。</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▲9.可仿真数控机床操作的整个过程例如：毛坯定义（支持导入CAD模型），工件装夹，百分表校正工装、压板安装，基准对刀，安装刀具，机床手动操作等。</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10.选择毛坯可以选择</w:t>
            </w:r>
            <w:r>
              <w:rPr>
                <w:rFonts w:hint="eastAsia" w:ascii="Times New Roman" w:hAnsi="Times New Roman" w:eastAsia="宋体" w:cs="Times New Roman"/>
                <w:sz w:val="24"/>
                <w:szCs w:val="24"/>
                <w:lang w:val="en-US" w:eastAsia="zh-CN"/>
              </w:rPr>
              <w:t xml:space="preserve">多种</w:t>
            </w:r>
            <w:r>
              <w:rPr>
                <w:rFonts w:ascii="Times New Roman" w:hAnsi="Times New Roman" w:eastAsia="宋体" w:cs="Times New Roman"/>
                <w:sz w:val="24"/>
                <w:szCs w:val="24"/>
              </w:rPr>
              <w:t xml:space="preserve">不同的材料，并且可以定义毛坯的颜色。</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11.可以定义刀具轨迹的颜色，定义每把刀具完成加工后的工件颜色。</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12.车床工件可以进行掉头加工，铣床加工中心工件可以多次翻转多次装夹进行加工。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▲13.支持与实际机床对刀方式一致的手动对刀功能；铣床以及加工中心具有基准芯棒和寻边器对刀功能并支持使用对刀仪对刀;车床对刀为直径测量法；支持定位快速对刀方便程序模拟。</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▲14.加工特点：可实时显示零件加工过程、冷却液、加工声效、铁屑等，并且</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车床具有中心架、尾座辅助加工；车刀可以旋转安装角度进行切削加工；加工中心具有加工过程中碰撞断刀效果；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软件支持ISO-1056准备功能码（G代码）、辅助功能码（M代码）及其它指令代码，同时支持各系统自定义代码以及固定循环。如FANUC的G50.3预置工件坐标系指令，镜像G51，旋转G68\G69，多头螺纹加工G78指令；SINUMRIK的模态指令；软件支持AB类宏程序，如SINUMRIK的R参数编程，FANUC、HNC、GSK、KND等系统大赛类宏程序的嵌套循环编程；支持脉冲编程方式、英制显示界面及英制尺寸编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软件采用数据库统一管理的刀具材料、特性参数库；含数百种不同材料、类型和形状的车刀、铣刀，如梯形螺纹刀、端面槽刀、丝锥、燕尾铣刀、螺纹铣刀、精镗刀、键槽铣刀等；支持用户自定义刀具及相关特性参数。</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可以导入各种CAD/CAM软件生成或自行编辑的数控程序，如PRO-E、UG、CAXA-ME、MASTCAM等；数控程序的编辑、输入(支持键盘输入)、输出；可实现数控程序预检验和运行中的动态检查以及生成刀具轨迹线，同时提供可视化数控代码调试工具，能够对照轨迹线和程序进行检查来修改程序。</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测量：基于剖面图的铣床工件自动测量，可实现对零件模型的三维测量功能。采用游标卡尺和螺旋测微器的车床工件智能测量。可以对加工工件的直径、长度、圆弧半径、距离、螺纹等进行精准测量，车床铣床可精确至0.001mm，基于刀具切削参数零件表面粗糙度的测量。</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手动、自动加工等模式下的实时碰撞检测；包括刀柄、卡盘、刀架、刀具、夹具、工作台等之间的碰撞检查，机床行程越界，主轴不转时刀柄刀具与工件等的碰撞，并且支持设置评分标准并对错误信息进行实时评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▲20.模拟加工后，可以生成包含工件信息、NC程序、加工零件、操作过程以及操作评价情况。</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21.实现工艺分配：加工中心可导入车削仿真后的零件模型进行铣削加工。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22.考试系统：包括题库管理、试卷管理、考试过程的管理、自动保存、灾难恢复以及试卷自动评分；也可以根据事先设定的评分标准对考试的操作过程及工件尺寸进行自动评分。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23.课堂练习需要能够把习题发送给学生机，学生做完习题再回发给教师机，形成课堂的师生互动。</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24.学生在自测的时候可以自行修改评分标准。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25.软件自带AVI文件的录制和回放、Windows系统的宏录制和回放。</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▲26.支持插补过程模拟，支持多语言实时切换，支持双屏显示。</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632"/>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全新发动机秃机总成（含翻转架）</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一、产品组成</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本产品由原厂</w:t>
            </w:r>
            <w:r>
              <w:rPr>
                <w:rFonts w:ascii="Times New Roman" w:hAnsi="Times New Roman" w:eastAsia="宋体" w:cs="Times New Roman"/>
                <w:sz w:val="24"/>
                <w:szCs w:val="24"/>
                <w:highlight w:val="none"/>
              </w:rPr>
              <w:t xml:space="preserve">全新1.6电控汽</w:t>
            </w:r>
            <w:r>
              <w:rPr>
                <w:rFonts w:ascii="Times New Roman" w:hAnsi="Times New Roman" w:eastAsia="宋体" w:cs="Times New Roman"/>
                <w:sz w:val="24"/>
                <w:szCs w:val="24"/>
              </w:rPr>
              <w:t xml:space="preserve">油发动机总成</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b/>
                <w:bCs/>
                <w:sz w:val="24"/>
                <w:szCs w:val="24"/>
                <w:lang w:val="en-US" w:eastAsia="zh-CN"/>
              </w:rPr>
              <w:t xml:space="preserve">接受电话咨询或现场勘察</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sz w:val="24"/>
                <w:szCs w:val="24"/>
              </w:rPr>
              <w:t xml:space="preserve">、传感器、进排气系统、节气门、点火系统、发电机、减速机、翻转架、接油盘、移动脚轮等组成并组装在专用发动机拆装翻转架上。尺寸：长*宽*高）约：1090*713*935（mm）。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二、翻转架</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1.采用减速翻转机构，可使发动机任意角度旋转，并能任意位置锁止，可以从不同的角度进行拆卸和装配，配备旋转手柄，采用机械传动，操作轻便。</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2.底部放置大面积接油盘，便于小零件或螺丝的集中存放，尺寸</w:t>
            </w:r>
            <w:r>
              <w:rPr>
                <w:rFonts w:hint="eastAsia" w:ascii="Times New Roman" w:hAnsi="Times New Roman" w:eastAsia="宋体" w:cs="Times New Roman"/>
                <w:sz w:val="24"/>
                <w:szCs w:val="24"/>
                <w:lang w:val="en-US" w:eastAsia="zh-CN"/>
              </w:rPr>
              <w:t xml:space="preserve">约</w:t>
            </w:r>
            <w:r>
              <w:rPr>
                <w:rFonts w:ascii="Times New Roman" w:hAnsi="Times New Roman" w:eastAsia="宋体" w:cs="Times New Roman"/>
                <w:sz w:val="24"/>
                <w:szCs w:val="24"/>
              </w:rPr>
              <w:t xml:space="preserve">：814*470*36（mm）。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3.拆装翻转架采用高强度钢结构焊接，采用雾面喷涂工艺，底部带有自锁脚轮装置，可移动式。</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415"/>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前轮制动器总成(含工作台）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1.包含移动台架、牛腿、前轮轴承、前轮壳、前刹车盘、前分泵、轮胎螺丝、前刹车片等配件。</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2.双层台面，搁板采用</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1.5MM 不锈钢板（钢板折边，边角及下面固定）、桌面铺设</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 3MM 厚防油胶皮，耐酸、耐碱、耐油橡胶皮。</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3.台架材料为优质4040加厚工业铝合金材料制作。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4.台架四周安装有万向自锁脚轮，方便移动和固定，设有不锈钢工作台面。</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51"/>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无大盘免撬棍轮胎拆装机（380V)</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1.电压≥380V；</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2.电机功率≥0.75Kw/1.1Kw；</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3.大气缸推拉力≥2500 kg；</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4.适用轮辋直径 13-28"；</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5.最大轮胎直径≥1100mm；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6.最大轮胎宽度≥350mm；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7.工作气压8-10 bar；</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8.工作噪音</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70db；</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9.大盘转速≥6-12 rpm；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10.毛/净重≥432Kg/380 Kg；</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11.外箱尺寸138*113*184cm。</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380V超薄小剪</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b/>
                <w:bCs/>
                <w:sz w:val="24"/>
                <w:szCs w:val="24"/>
                <w:lang w:bidi="zh-CN"/>
              </w:rPr>
            </w:pPr>
            <w:r>
              <w:rPr>
                <w:rFonts w:ascii="Times New Roman" w:hAnsi="Times New Roman" w:eastAsia="宋体" w:cs="Times New Roman"/>
                <w:sz w:val="24"/>
                <w:szCs w:val="24"/>
                <w:lang w:bidi="zh-CN"/>
              </w:rPr>
              <w:t xml:space="preserve">1</w:t>
            </w:r>
            <w:r>
              <w:rPr>
                <w:rFonts w:ascii="Times New Roman" w:hAnsi="Times New Roman" w:eastAsia="宋体" w:cs="Times New Roman"/>
                <w:sz w:val="24"/>
                <w:szCs w:val="24"/>
              </w:rPr>
              <w:t xml:space="preserve">.额定举升重量：≥3.6T ；</w:t>
            </w:r>
            <w:r>
              <w:rPr>
                <w:rFonts w:ascii="Times New Roman" w:hAnsi="Times New Roman" w:eastAsia="宋体" w:cs="Times New Roman"/>
                <w:b/>
                <w:bCs/>
                <w:sz w:val="24"/>
                <w:szCs w:val="24"/>
                <w:lang w:bidi="zh-CN"/>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2.举升最低位：≥120 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3.举升最高位：≤1880 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4.平台宽度：≥630mm；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5.平台长度：1480-2090mm；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6.解锁方式：气动机械解锁；</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7.控制系统：微电子／耐高低温／时间控制/万次级/三防 PCB集成电路板控制,下降警报；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8.电机参数：3 KW；</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9.底板采用整体折弯，提高强度；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10.助力臂优化设计，最低位置满载平稳举升；满载下降到200mm高度时，平稳下降；</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11.补油阀，密封性好，不易渗油；</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12.最低高度110mm，爬坡角度小，方便上车；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13.电子检测保险打开状态，避免下降过程中保险未完全打开造成的安全隐患；</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14.机械液压双重保险；</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15.铝合金外壳电机，散热快 ；</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16.3KW大电机，降低电机负荷率；</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17.支撑板上仰设计，确保负载后支撑板水平；</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18.24V安全电压控制</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高清SIP转发管理三合一平台（身份识别系统</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1.▲所投产品符合GB/T 15211-2013安全防范报警设备环境适应性要求和试验方法、符合GB/T 36449-2018电子考场系统通用要求、符合《国家教育考试网上巡查系统视频标准技术规范（2017版）》技术要求； （该条参数需提供第三方检测报告证明）；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2.▲设备支持国产嵌入式CPU、单颗CPU核心数≥8核，支持开源操作系统等；（该条参数需提供第三方检测报告证明）；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3.▲设备具备多张网卡，根据不同的网络环境可选择单线路或多线路的接入方式，支持网络链路聚合功能；（该条参数需提供第三方检测报告证明）；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4.支持标准SIP2.0；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5.支持系统管理员用户分组，可对平台设置多个管理员，对每个管理员赋予不同的管理权限，如添加删除设备、帐号权限，查看权限、设置权限等；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6.支持多转发分布式部署协同工作，满足大路数高清视频流的转发需求，转发吞吐量在600Mbps以上（千兆网络条件下）；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根据组网模式、上下级机构拓扑关系生成可视化3D拓扑结构图，支持以3D形式展示系统实时运行状态，SIP工作状态、转发工作状态、平台间SIP注册状态、数据流状态等（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8.支持根据网络情况和使用需求，动态调整视频分辨率；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9.▲支持管理本地摄像机，可实时查看视频截图、OSD标签、在线状态等信息（该条参数需提供第三方检测报告证明）；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10.支持核心数据库的备份；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11.采用基于B/S架构的管理模式；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12.支持查看系统内设备的在线信息；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13.支持SIP向上级的主动注册与多级注册管理；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14.支持IPV4/IPV6、UDP、TCP、SIP、SSH、RTSP、NTP、RTP、RTCP 等网络协议；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15.支持媒体流分发，支持点播、组播、广播；</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16.视频转发格式需支持MPEG4、H.264、H.265，其中H.264需支持BP、EP、MP、HP画质级别中的至少三种，转发需支持PS、TS流封装；</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17.支持通过web端无需安装任何播放插件的情况下直接播放实时音视频图像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19.支持网络拥塞控制等功能；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20.支持视频路由控制；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21.▲支持手机 APP登录巡查管理平台；支持跨平台(Android/windows)播放本级、下级实时视频图像;（该条参数需提供第三方检测报告证明）；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22.▲支持与北向系统(综合考务平台)提供数据接口，包括提供设备资源数据接口、视频调用接口、SIP资源接口。（该条参数需提供第三方检测报告证明）；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23.支持图形化机构拓扑呈现、设备拓扑呈现；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24.支持生成设备清单报表；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25.支持查看上级实时拉流列表，并支持一键上墙上级拉流列表；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26.支持远程运维功能；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27.支持外接USB设备，支持≥2个 RJ-45 千兆以太网口；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28.产品性能：CPU处理器性能相当于Intel四核主频3.0GHz及以上，内存≥16G DDR4；</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作弊防控管理平台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作弊信号查看：可对考点作弊信号信息进行查看和回放。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作弊信号展示：可统计本次考试作弊信号频点分布情况并进行展示。</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设备状态查看：可对系统设备的运行状态、开关状态、网络情况等信息进行查看。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日志管理：可记录和管理关键日志，提供日志查询、浏览等管理功能。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黑白名单：在专业作弊信号频段内，可任意设置黑白名单频点/频段。在黑名单频点/频段上作弊信号出现时优先发射阻断信号。在白名单频点/频段上不主动发射阻断信号，不干扰其正常通信。</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黑白名单同步：各级管理平台之间和黑白名单能够进行同步。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考试计划：可设置考试计划，在考试计划时间开始时系统自动进入工作状态，考试计划时间结束时系统自动停止工作，提供考前、考中及考后自动工作模式，实现无人值守式管理。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考试计划同步：考试计划能够集中管理，各级管理平台之间考试计划能够进行同步。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系统自检：可检测当前所辖设备的工作状态并输出自检结果信息。</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设备升级：可通过平台对侦测服务器、高科技屏蔽终端和作弊防控管理平台相关软件进行集中升级。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安全加密：作弊信号答案文件存储和传输时均经过加密处理，文件脱离本系统后采用通用播放工具无法正确播放，保证涉密数据安全。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集中控制：支持对系统设备进行集中调试、查看和管理。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远程控制：支持侦测服务器和高科技屏蔽终端进行远程控制。支持集中、分组、单台等多种方式对高科技屏蔽终端进行远程控制。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输出报告：支持考试后自动生成系统工作报告。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▲系统备份：支持对系统关键信息进行备份。（该条参数需提供第三方检测报告证明）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与上级对接：可根据上级管理平台（如省级管理平台）的要求，开发数据接口，自动下载考试计划、黑白名单等，并上传作弊信号信息结果。</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数据接口：RJ-45接口，支持与侦测服务器及高科技屏蔽终端组网。</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网上巡查管理软件</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符合《国家教育考试网上巡查系统视频标准技术规范（2017版）》相关技术规范；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状态展示：实时码流信息、实时通道信息、实时录像状态、实时音频状态、系统时间、资源占用显示等；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常规列表：非考试期间查看所有监控点列表信息，考试期间自动切换到对应考试列表；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订制列表：支持手动自定义列表，可更改已添加通道的OSD标签；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 5.静态列表：可根据历史记录，快速调取巡查列表；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搜索功能：对其展开的节点列表可以进行模糊搜索、精准定位；</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视频预览功能：支持本地多窗口实时预览，支持本地录像抓图；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智能传输：根据前端与后端网络情况，智能选择最佳网络路径进行拉流传输；</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本级中心可根据网络带宽条件，可主动选择调取主辅码流的音视频图像；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根据网络使用环境及解码性能，可自动切换为相应码率的音视频图像。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11.场景预案：支持按分屏模式进行设置场景预案、保存预案，调用预案；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超时锁屏：支持超时屏幕自动锁屏，以增加帐号安全性和隐私性；</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红外高清半球摄像机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采用高性能两百万像素1/3英寸或以上CMOS图像传感器，低照度效果好，图像清晰度高；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支持H.265编码，压缩比高，超低码流；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▲支持通过回访功能中按智能分析行为检索（该条参数需提供第三方检测报告证明）；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6.最大红外监控距离30米；</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▲支持智能红外功能：当开启红外灯光功能后，能根据所射目标距离自动调节红外辐射功率，红外距离≥50米（该条参数需提供第三方检测报告证明）；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▲支持根据热度信息生成热度图，并支持热度图导出（该条参数需提供第三方检测报告证明）；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支持ROI，SMART H.264/H.265，灵活编码，适用不同带宽和存储环境；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支持多类报警：无SD卡、SD卡空间不足、SD卡出错、网络断开、IP冲突、移动检测、视频遮挡、非法访问、安全异常、外部报警等；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13.▲在IE浏览器下,具有感兴趣区域(ROI)设置选项，可设置4块感兴趣区域、6个图像质量等级。（该条参数需提供第三方检测报告证明）；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14.支持插拔128G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15.支持DC12V/POE供电方式，支持DC12V电源返送；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16.支持IP66防护等级；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24</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拾音器</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1.拾音距离5-120平方米，专用电位器，有效距离可手动调节；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2.采用高灵敏度全指向性电容咪头，全面拾音，保真度高，回放的语音清晰、干净、低噪音；咪头经过防潮技术处理，寿命更长；</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3.信号处理电路ALC自动电平控制，DSP数字降噪，AGC自动增益控制，保护电路30KVAircontactESD、雷击保护、电源极性反接保护、ESD静电防护；</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自适应动态降噪处理，内置高速DSP数字信号处理器，有效防止语音信号失真及衰减。内置自动识别噪声模块，最大限度降低环境噪音。自动抑制高强度声音，可靠保护后端音频监控设备。符合RoHS标准，在结构上不含有欧盟禁用的危害性物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5.符合最高检同步录音录像系统建设规范；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6.具有3C认证，通过ISO9001管理体系认证。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7.▲具备环境声场检测软件证书；符合最高检同步录音录像系统建设规范；</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17考点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网络时钟</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18考点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红外枪机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2.采用高性能两百万像素1/2.8英寸CMOS图像传感器，低照度效果好，图像清晰度高；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4.支持H.265编码，压缩比高，超低码流；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5.最大红外监控距离50米；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6.▲当调整焦距使监视画面不清晰时，可通过客户端软件给出报警提示并上传FTP、发送邮件及联动录像、自动聚焦（该条参数需提供第三方检测报告证明）；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8.▲支持PS系统流和TS传输流的封装（该条参数需提供第三方检测报告证明）；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9.支持ROI，SMART H.264/H.265，灵活编码，适用不同带宽和存储环境；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10.无SD卡；SD卡空间不足；SD卡出错；网络断开；IP冲突；移动检测；视频遮挡；区域入侵；绊线入侵；场景变更；音频异常侦测；非法访问；电压检测；安全异常；外部报警；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11.支持报警2进2出，音频1进1出，256G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12.▲支持在DC（12±25%）V的供电条件下正常工作，支持POE供电；（该条参数需提供第三方检测报告证明）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13.支持IP66防护等级；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15.▲在IE浏览器下,具有感兴趣区域(ROI)设置选项，可设置4块感兴趣区域、6个图像质量等级。（该条参数需提供第三方检测报告证明）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19考点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高科技屏蔽终端</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阻断工作频率范围：50MHz-5850MHz；</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侦测引导阻断频率范围：无缝覆盖50MHz-1800MHz（支持扩展）；（该条参数需提供第三方检测报告证明）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手机信号屏蔽：能够屏蔽电信、移动、联通的2G/3G/4G/5G手机信号(视当地环境手机基站＞300米时，可有效屏蔽)；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蓝牙/WIFI信号屏蔽：能够屏蔽2400MHz-2483.5MHz（2.4G）蓝牙信号以及2400MHz-2483.5MHz（2.4G）、5725MHz-5850MHz（5.8G）WIFI信号；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阻断方式：对侦测引导阻断频率范围内的专业作弊信号，采用侦测引导阻断方式，对专业作弊信号实现点对点的精准阻断；对2G/3G/4G各种制式的手机信号和蓝牙/WIFI信号采用直接阻断方式；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智能绿色阻断控制：根据专业作弊信号的带宽、调制方式及功率等特征自动调整阻断信号带宽和功率，确保对作弊信号的有效阻断。根据作弊信号持续时间，自动调整屏蔽时长，减少非必要辐射，符合节能环保要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▲并发阻断：专业作弊信号（手机信号/WIFI/蓝牙信号通道除外）支持不少于22路并发阻断；（该条参数需提供第三方检测报告证明）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点频阻断：支持对专业作弊信号采用瞄准式点频精准阻断方式，阻断信号3dB带宽≤200KHz；（该条参数需提供第三方检测报告证明）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▲预设频点模式：无需侦测引导，可预置22路专业作弊干扰频点（手机信号/WIFI/蓝牙信号除外）进行实时阻断；（该条参数需提供第三方检测报告证明）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专业作弊阻断效果：具备数传作弊设备接收答案的远程清除功能；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批量升级：支持通过考点级管理平台对高科技屏蔽终端软件进行一键式集中批量升级；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考试计划：可根据考点级管理平台的考试计划，在考试计划时间开始时系统自动进入工作状态，考试计划时间结束时系统自动停止工作，提供考前、考中及考后自动工作模式，实现无人值守式管理；也可支持手动操作；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温度监控：支持远程对设备的工作温度进行监控；（需要检测报告佐证）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远程管理：支持通过考点级管理平台实现远程集中控制，可根据需要实现分组、单台设备的远程开关控制；可远程对工作模块进行开关控制；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状态上报：可向考点级管理平台上报设备工作状态、故障状态等信息；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扩展机制：设备具备扩展模块插槽，通过扩展模块可对系统功能和性能进行扩展升级；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▲一体化设计：天线和电源内置，避免触电、烫伤等风险；（该条参数需提供第三方检测报告证明）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 ▲状态显示：前面板有工作指示灯，可直观指示设备上电、模块开关、网络连通等状态；（需要检测报告佐证）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 隐藏式接口设计：设备开关、电源接口、网络接口均采用隐蔽式设计，设备安装完成后可视表面无任何接口、开关，避免学生误动设备对系统造成影响；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 数据接口：RJ-45接口，支持与考点级管理平台及侦测服务器组网；</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 可靠性：MTBF≥3000小时；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 ▲符合国家《电磁环境控制限值(GB8702-2014)》标准；（该条参数需提供第三方检测报告证明）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 ▲符合国家《声环境质量标准（GB3096-2008）》中的零类标准。（该条参数需提供第三方检测报告证明）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2547"/>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千兆8口交换机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交换容量16Gbps，转发能力11.9Mpps，8个10/100/1000M以太网端口</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bl>
    <w:p>
      <w:pPr>
        <w:pStyle w:val="766"/>
        <w:jc w:val="both"/>
        <w:spacing w:after="0" w:line="2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766"/>
        <w:spacing w:line="560" w:lineRule="exact"/>
        <w:rPr>
          <w:rFonts w:hint="eastAsia" w:ascii="宋体" w:hAnsi="宋体" w:eastAsia="宋体"/>
          <w:b/>
          <w:color w:val="000000"/>
          <w:highlight w:val="none"/>
        </w:rPr>
      </w:pPr>
      <w:r>
        <w:rPr>
          <w:rFonts w:hint="eastAsia" w:ascii="宋体" w:hAnsi="宋体" w:eastAsia="宋体"/>
          <w:b/>
          <w:color w:val="000000"/>
          <w:highlight w:val="none"/>
        </w:rPr>
      </w:r>
      <w:r/>
    </w:p>
    <w:p>
      <w:pPr>
        <w:pStyle w:val="766"/>
        <w:spacing w:line="560" w:lineRule="exact"/>
        <w:rPr>
          <w:rFonts w:hint="eastAsia" w:ascii="宋体" w:hAnsi="宋体" w:eastAsia="宋体"/>
          <w:bCs/>
          <w:color w:val="000000"/>
          <w:highlight w:val="none"/>
          <w:lang w:val="en-US" w:eastAsia="zh-CN"/>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b/>
          <w:color w:val="000000"/>
          <w:highlight w:val="none"/>
        </w:rPr>
        <w:t xml:space="preserve">备注：所有设备均需按要求安装并调试到位，综合布线安装符合国家行业规范要求。桥架、电缆等材料规格符合国家现行标准，布线方案建议自行现场勘察确</w:t>
      </w:r>
      <w:r>
        <w:rPr>
          <w:rFonts w:hint="eastAsia" w:ascii="宋体" w:hAnsi="宋体" w:eastAsia="宋体" w:cs="Times New Roman"/>
          <w:b/>
          <w:color w:val="000000"/>
          <w:highlight w:val="none"/>
        </w:rPr>
        <w:t xml:space="preserve">定，并提供布局图</w:t>
      </w:r>
      <w:r>
        <w:rPr>
          <w:rFonts w:hint="eastAsia" w:ascii="宋体" w:hAnsi="宋体" w:eastAsia="宋体" w:cs="Times New Roman"/>
          <w:b/>
          <w:color w:val="000000"/>
          <w:highlight w:val="none"/>
          <w:lang w:eastAsia="zh-CN"/>
        </w:rPr>
        <w:t xml:space="preserve">。</w:t>
      </w:r>
      <w:r>
        <w:rPr>
          <w:rFonts w:hint="eastAsia" w:ascii="宋体" w:hAnsi="宋体" w:eastAsia="宋体"/>
          <w:bCs/>
          <w:color w:val="000000"/>
          <w:highlight w:val="none"/>
          <w:lang w:val="en-US" w:eastAsia="zh-CN"/>
        </w:rPr>
      </w:r>
      <w:r/>
    </w:p>
    <w:p>
      <w:pPr>
        <w:pStyle w:val="766"/>
        <w:numPr>
          <w:ilvl w:val="0"/>
          <w:numId w:val="12"/>
        </w:numPr>
        <w:spacing w:line="560" w:lineRule="exact"/>
        <w:rPr>
          <w:rFonts w:hint="eastAsia" w:ascii="宋体" w:hAnsi="宋体" w:eastAsia="宋体"/>
          <w:bCs/>
          <w:color w:val="000000"/>
          <w:highlight w:val="none"/>
        </w:rPr>
      </w:pPr>
      <w:r>
        <w:rPr>
          <w:rFonts w:hint="eastAsia" w:ascii="宋体" w:hAnsi="宋体" w:eastAsia="宋体"/>
          <w:bCs/>
          <w:color w:val="000000"/>
          <w:highlight w:val="none"/>
        </w:rPr>
        <w:t xml:space="preserve">商务要求：</w:t>
      </w:r>
      <w:r>
        <w:rPr>
          <w:rFonts w:hint="eastAsia" w:ascii="宋体" w:hAnsi="宋体" w:eastAsia="宋体"/>
          <w:bCs/>
          <w:color w:val="000000"/>
          <w:highlight w:val="none"/>
        </w:rPr>
      </w:r>
      <w:r/>
    </w:p>
    <w:p>
      <w:pPr>
        <w:pStyle w:val="766"/>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1、合同履行期限（工期）：</w:t>
      </w:r>
      <w:r>
        <w:rPr>
          <w:rFonts w:hint="eastAsia" w:ascii="宋体" w:hAnsi="宋体" w:eastAsia="宋体" w:cs="Times New Roman"/>
          <w:color w:val="000000"/>
          <w:highlight w:val="none"/>
          <w:lang w:val="en-US" w:eastAsia="zh-CN"/>
        </w:rPr>
        <w:t xml:space="preserve">50</w:t>
      </w:r>
      <w:r>
        <w:rPr>
          <w:rFonts w:hint="eastAsia" w:ascii="宋体" w:hAnsi="宋体" w:eastAsia="宋体" w:cs="Times New Roman"/>
          <w:color w:val="000000"/>
          <w:highlight w:val="none"/>
        </w:rPr>
        <w:t xml:space="preserve">日历天；</w:t>
      </w:r>
      <w:r>
        <w:rPr>
          <w:rFonts w:hint="eastAsia" w:ascii="宋体" w:hAnsi="宋体" w:eastAsia="宋体" w:cs="Times New Roman"/>
          <w:color w:val="000000"/>
          <w:highlight w:val="none"/>
        </w:rPr>
      </w:r>
      <w:r/>
    </w:p>
    <w:p>
      <w:pPr>
        <w:pStyle w:val="766"/>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2、质保期：自验收合格之日起至少</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3、验收：</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3.1验收主体：采购人；</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3.2验收时间：供货完成后接采购人通知；</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3.3验收方式：现场验收；</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3.4验收程序：验收由采购人验收小组、采购中心工作人员、</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及相关人员依国家有关标准、合同及有关附件要求进行。验收完毕由采购人及</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在验收报告上签名。必要时邀请相关的专业人员、其他参与</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的</w:t>
      </w:r>
      <w:r>
        <w:rPr>
          <w:rFonts w:hint="eastAsia" w:ascii="宋体" w:hAnsi="宋体" w:eastAsia="宋体" w:cs="Times New Roman"/>
          <w:color w:val="000000"/>
          <w:highlight w:val="none"/>
          <w:lang w:eastAsia="zh-CN"/>
        </w:rPr>
        <w:t xml:space="preserve">投标人</w:t>
      </w:r>
      <w:r>
        <w:rPr>
          <w:rFonts w:hint="eastAsia" w:ascii="宋体" w:hAnsi="宋体" w:eastAsia="宋体" w:cs="Times New Roman"/>
          <w:color w:val="000000"/>
          <w:highlight w:val="none"/>
        </w:rPr>
        <w:t xml:space="preserve">、第三方机构参与验收。因工程质量问题发生争议时，由本地建设行政主管部门鉴定。</w:t>
      </w:r>
      <w:r>
        <w:rPr>
          <w:rFonts w:hint="eastAsia" w:ascii="宋体" w:hAnsi="宋体" w:eastAsia="宋体" w:cs="Times New Roman"/>
          <w:color w:val="000000"/>
          <w:highlight w:val="none"/>
          <w:lang w:eastAsia="zh-CN"/>
        </w:rPr>
        <w:t xml:space="preserve">项目</w:t>
      </w:r>
      <w:r>
        <w:rPr>
          <w:rFonts w:hint="eastAsia" w:ascii="宋体" w:hAnsi="宋体" w:eastAsia="宋体" w:cs="Times New Roman"/>
          <w:color w:val="000000"/>
          <w:highlight w:val="none"/>
        </w:rPr>
        <w:t xml:space="preserve">符合质量技术标准的，鉴定费由采购人承担；否则鉴定费由</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承担。</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3.5验收内容</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中技术要求表内的全部内容；</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3.6验收标准:符合</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及中标</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文件的全部技术要求，达到合格标准。</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1设备规格:设备应符合所规定的技术规格和功能要求。确保设备的型号、尺寸、容量等与所需的规格相匹配。</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3.6.2</w:t>
      </w:r>
      <w:r>
        <w:rPr>
          <w:rFonts w:hint="eastAsia" w:ascii="宋体" w:hAnsi="宋体" w:eastAsia="宋体" w:cs="Times New Roman"/>
          <w:color w:val="000000"/>
          <w:highlight w:val="none"/>
        </w:rPr>
        <w:t xml:space="preserve">设备质量:设备的制造质量应符合相关的国家标准或行业标准。检查设备的外观是否完好，是否存在任何损坏或缺陷。</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3性能测试:对设备进行性能测试，以确保其满足预期的功能和性能要求。测试应根据设的用途和特性进行，包括但不限于功率、速度、准确性等。</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3.6.4</w:t>
      </w:r>
      <w:r>
        <w:rPr>
          <w:rFonts w:hint="eastAsia" w:ascii="宋体" w:hAnsi="宋体" w:eastAsia="宋体" w:cs="Times New Roman"/>
          <w:color w:val="000000"/>
          <w:highlight w:val="none"/>
        </w:rPr>
        <w:t xml:space="preserve">安全性:设备应符合相关的安全要求和标准</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检查设备是否具备必要的安全措施等。</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3.6.5</w:t>
      </w:r>
      <w:r>
        <w:rPr>
          <w:rFonts w:hint="eastAsia" w:ascii="宋体" w:hAnsi="宋体" w:eastAsia="宋体" w:cs="Times New Roman"/>
          <w:color w:val="000000"/>
          <w:highlight w:val="none"/>
        </w:rPr>
        <w:t xml:space="preserve">校准和校验:对设备进行校准和校验，确保其测量和控制的准确性。校准和校验应按照设备制造商的建议或相关的标准进行。</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3.6.6项目建设完成后连网调试完成、试运行情况良好，方可进行履约验收。</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具体流程和验收方法参照《江苏省政府采购履约验收管理办法》。产生的验收费用由中标人支付</w:t>
      </w:r>
      <w:r>
        <w:rPr>
          <w:rFonts w:hint="eastAsia" w:ascii="宋体" w:hAnsi="宋体" w:eastAsia="宋体" w:cs="Times New Roman"/>
          <w:color w:val="000000"/>
          <w:highlight w:val="none"/>
          <w:lang w:val="en-US" w:eastAsia="zh-CN"/>
        </w:rPr>
      </w:r>
      <w:r/>
    </w:p>
    <w:p>
      <w:pPr>
        <w:pStyle w:val="766"/>
        <w:ind w:firstLine="482"/>
        <w:spacing w:line="520" w:lineRule="exact"/>
        <w:widowControl/>
        <w:rPr>
          <w:rFonts w:hint="eastAsia" w:ascii="宋体" w:hAnsi="宋体" w:eastAsia="宋体" w:cs="Times New Roman"/>
          <w:highlight w:val="none"/>
        </w:rPr>
      </w:pPr>
      <w:r>
        <w:rPr>
          <w:rFonts w:hint="eastAsia" w:ascii="宋体" w:hAnsi="宋体" w:eastAsia="宋体" w:cs="Times New Roman"/>
          <w:color w:val="000000"/>
          <w:highlight w:val="none"/>
        </w:rPr>
        <w:t xml:space="preserve">4、付款方式与履约保证金：</w:t>
      </w:r>
      <w:r>
        <w:rPr>
          <w:rFonts w:hint="eastAsia" w:ascii="宋体" w:hAnsi="宋体" w:eastAsia="宋体" w:cs="Times New Roman"/>
          <w:highlight w:val="none"/>
        </w:rPr>
      </w:r>
      <w:r/>
    </w:p>
    <w:p>
      <w:pPr>
        <w:pStyle w:val="766"/>
        <w:ind w:firstLine="482"/>
        <w:spacing w:line="520" w:lineRule="exact"/>
        <w:widowControl/>
        <w:rPr>
          <w:rFonts w:hint="eastAsia" w:ascii="宋体" w:hAnsi="宋体" w:eastAsia="宋体" w:cs="Times New Roman"/>
          <w:b/>
        </w:rPr>
      </w:pPr>
      <w:r>
        <w:rPr>
          <w:rFonts w:hint="eastAsia" w:ascii="宋体" w:hAnsi="宋体" w:eastAsia="宋体" w:cs="Times New Roman"/>
          <w:b/>
        </w:rPr>
        <w:t xml:space="preserve">4.1合同款项的支付方式及进度安排：</w:t>
      </w:r>
      <w:r>
        <w:rPr>
          <w:rFonts w:hint="eastAsia" w:ascii="宋体" w:hAnsi="宋体" w:eastAsia="宋体" w:cs="Times New Roman"/>
          <w:b/>
        </w:rPr>
      </w:r>
      <w:r/>
    </w:p>
    <w:p>
      <w:pPr>
        <w:pStyle w:val="766"/>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剩余3%货款在免费质保期满后一次性付清。</w:t>
      </w:r>
      <w:r>
        <w:rPr>
          <w:rFonts w:hint="eastAsia" w:ascii="宋体" w:hAnsi="宋体" w:eastAsia="宋体" w:cs="Times New Roman"/>
          <w:szCs w:val="21"/>
          <w:highlight w:val="none"/>
          <w:u w:val="single"/>
        </w:rPr>
      </w:r>
      <w:r/>
    </w:p>
    <w:p>
      <w:pPr>
        <w:pStyle w:val="766"/>
        <w:ind w:right="-4" w:firstLine="420"/>
        <w:jc w:val="left"/>
        <w:spacing w:line="520" w:lineRule="exact"/>
        <w:widowControl/>
        <w:rPr>
          <w:rFonts w:ascii="宋体" w:hAnsi="宋体"/>
          <w:b/>
          <w:color w:val="000000"/>
          <w:highlight w:val="none"/>
          <w:lang w:val="en-US" w:eastAsia="zh-CN"/>
        </w:rPr>
      </w:pPr>
      <w:r>
        <w:rPr>
          <w:rFonts w:hint="eastAsia" w:ascii="Times New Roman" w:hAnsi="Times New Roman" w:cs="Times New Roman"/>
          <w:b/>
          <w:color w:val="000000"/>
          <w:highlight w:val="none"/>
        </w:rPr>
        <w:t xml:space="preserve">4.2</w:t>
      </w:r>
      <w:r>
        <w:rPr>
          <w:rFonts w:hint="eastAsia" w:ascii="宋体" w:hAnsi="宋体"/>
          <w:b/>
          <w:color w:val="000000"/>
          <w:highlight w:val="none"/>
        </w:rPr>
        <w:t xml:space="preserve">本项目收取履约保证金</w:t>
      </w:r>
      <w:r>
        <w:rPr>
          <w:rFonts w:hint="eastAsia" w:ascii="宋体" w:hAnsi="宋体"/>
          <w:b/>
          <w:color w:val="000000"/>
          <w:highlight w:val="none"/>
          <w:lang w:eastAsia="zh-CN"/>
        </w:rPr>
        <w:t xml:space="preserve">：</w:t>
      </w:r>
      <w:r>
        <w:rPr>
          <w:rFonts w:ascii="宋体" w:hAnsi="宋体"/>
          <w:b/>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4.2.3履约保证金自合同生效之日起至合同约定的中标人主要义务履行完毕止，采购人应当按合同约定及时退还履约保证金。</w:t>
      </w:r>
      <w:r>
        <w:rPr>
          <w:rFonts w:hint="eastAsia" w:ascii="宋体" w:hAnsi="宋体" w:eastAsia="宋体" w:cs="Times New Roman"/>
          <w:color w:val="000000"/>
          <w:highlight w:val="none"/>
          <w:lang w:val="en-US" w:eastAsia="zh-CN"/>
        </w:rPr>
      </w:r>
      <w:r/>
    </w:p>
    <w:p>
      <w:pPr>
        <w:pStyle w:val="766"/>
        <w:jc w:val="center"/>
        <w:keepNext/>
        <w:rPr>
          <w:rFonts w:hint="eastAsia" w:ascii="黑体" w:hAnsi="Times New Roman" w:eastAsia="黑体"/>
          <w:bCs/>
          <w:color w:val="000000"/>
          <w:highlight w:val="none"/>
        </w:rPr>
        <w:outlineLvl w:val="0"/>
      </w:pPr>
      <w:r>
        <w:rPr>
          <w:rFonts w:hint="eastAsia" w:ascii="黑体" w:hAnsi="Times New Roman" w:eastAsia="黑体"/>
          <w:bCs/>
          <w:color w:val="000000"/>
          <w:highlight w:val="none"/>
        </w:rPr>
      </w:r>
      <w:r/>
    </w:p>
    <w:p>
      <w:pPr>
        <w:pStyle w:val="766"/>
        <w:rPr>
          <w:color w:val="000000"/>
          <w:highlight w:val="none"/>
        </w:rPr>
      </w:pPr>
      <w:r>
        <w:rPr>
          <w:color w:val="000000"/>
          <w:highlight w:val="none"/>
        </w:rPr>
      </w:r>
      <w:r/>
    </w:p>
    <w:p>
      <w:pPr>
        <w:pStyle w:val="76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66"/>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766"/>
        <w:jc w:val="center"/>
        <w:keepNext/>
        <w:rPr>
          <w:rFonts w:hint="eastAsia" w:ascii="黑体" w:hAnsi="Times New Roman" w:eastAsia="黑体"/>
          <w:bCs/>
          <w:color w:val="000000"/>
          <w:sz w:val="21"/>
          <w:szCs w:val="21"/>
        </w:rPr>
        <w:outlineLvl w:val="0"/>
      </w:pPr>
      <w:r/>
      <w:bookmarkStart w:id="174" w:name="_Toc120614281"/>
      <w:r>
        <w:rPr>
          <w:rFonts w:hint="eastAsia" w:ascii="黑体" w:hAnsi="Times New Roman" w:eastAsia="黑体"/>
          <w:bCs/>
          <w:color w:val="000000"/>
          <w:sz w:val="21"/>
          <w:szCs w:val="21"/>
        </w:rPr>
      </w:r>
      <w:r/>
    </w:p>
    <w:p>
      <w:pPr>
        <w:pStyle w:val="766"/>
        <w:jc w:val="center"/>
        <w:keepNext/>
        <w:rPr>
          <w:rFonts w:hint="eastAsia"/>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w:t>
      </w:r>
      <w:r>
        <w:rPr>
          <w:rFonts w:hint="eastAsia" w:ascii="黑体" w:hAnsi="Times New Roman" w:eastAsia="黑体"/>
          <w:b/>
          <w:bCs/>
          <w:color w:val="000000"/>
          <w:sz w:val="44"/>
          <w:szCs w:val="28"/>
        </w:rPr>
        <w:t xml:space="preserve">评标方法与评标标准</w:t>
      </w:r>
      <w:r>
        <w:rPr>
          <w:rFonts w:hint="eastAsia"/>
        </w:rPr>
      </w:r>
      <w:r/>
    </w:p>
    <w:p>
      <w:pPr>
        <w:pStyle w:val="804"/>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rPr>
          <w:rFonts w:hint="eastAsia" w:ascii="宋体" w:hAnsi="宋体" w:eastAsia="宋体" w:cs="宋体"/>
          <w:color w:val="000000"/>
          <w:sz w:val="24"/>
          <w:szCs w:val="24"/>
          <w:highlight w:val="none"/>
          <w:lang w:val="en-US" w:eastAsia="zh-CN" w:bidi="ar-SA"/>
        </w:rPr>
      </w:r>
      <w:r/>
    </w:p>
    <w:p>
      <w:pPr>
        <w:pStyle w:val="804"/>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lang w:val="en-US" w:eastAsia="zh-CN" w:bidi="ar-SA"/>
        </w:rPr>
      </w:r>
      <w:r/>
    </w:p>
    <w:p>
      <w:pPr>
        <w:pStyle w:val="766"/>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rPr>
          <w:rFonts w:hint="eastAsia" w:ascii="宋体" w:hAnsi="宋体" w:eastAsia="宋体" w:cs="宋体"/>
          <w:color w:val="000000"/>
          <w:sz w:val="24"/>
          <w:szCs w:val="24"/>
          <w:highlight w:val="none"/>
          <w:lang w:val="en-US" w:eastAsia="zh-CN" w:bidi="ar-SA"/>
        </w:rPr>
      </w:r>
      <w:r/>
    </w:p>
    <w:p>
      <w:pPr>
        <w:pStyle w:val="828"/>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lang w:val="en-US" w:eastAsia="zh-CN" w:bidi="ar-SA"/>
        </w:rPr>
      </w:r>
      <w:r/>
    </w:p>
    <w:tbl>
      <w:tblPr>
        <w:tblpPr w:horzAnchor="page" w:tblpX="467" w:vertAnchor="text" w:tblpY="1338" w:leftFromText="180" w:topFromText="0" w:rightFromText="180" w:bottomFromText="0"/>
        <w:tblW w:w="6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795"/>
        <w:gridCol w:w="1005"/>
        <w:gridCol w:w="8517"/>
      </w:tblGrid>
      <w:tr>
        <w:trPr>
          <w:trHeight w:val="401"/>
          <w:tblHeader/>
        </w:trPr>
        <w:tc>
          <w:tcPr>
            <w:tcW w:w="930"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序号</w:t>
            </w:r>
            <w:r>
              <w:rPr>
                <w:rFonts w:ascii="宋体" w:hAnsi="宋体" w:cs="宋体"/>
                <w:b/>
                <w:color w:val="000000"/>
                <w:szCs w:val="21"/>
              </w:rPr>
            </w:r>
            <w:r/>
          </w:p>
        </w:tc>
        <w:tc>
          <w:tcPr>
            <w:gridSpan w:val="2"/>
            <w:tcW w:w="1800"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评审项目</w:t>
            </w:r>
            <w:r>
              <w:rPr>
                <w:rFonts w:ascii="宋体" w:hAnsi="宋体" w:cs="宋体"/>
                <w:b/>
                <w:color w:val="000000"/>
                <w:szCs w:val="21"/>
              </w:rPr>
            </w:r>
            <w:r/>
          </w:p>
        </w:tc>
        <w:tc>
          <w:tcPr>
            <w:tcW w:w="8517"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评分标准</w:t>
            </w:r>
            <w:r>
              <w:rPr>
                <w:rFonts w:ascii="宋体" w:hAnsi="宋体" w:cs="宋体"/>
                <w:b/>
                <w:color w:val="000000"/>
                <w:szCs w:val="21"/>
              </w:rPr>
            </w:r>
            <w:r/>
          </w:p>
        </w:tc>
      </w:tr>
      <w:tr>
        <w:trPr>
          <w:trHeight w:val="1170"/>
        </w:trPr>
        <w:tc>
          <w:tcPr>
            <w:tcW w:w="930" w:type="dxa"/>
            <w:vAlign w:val="center"/>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一</w:t>
            </w:r>
            <w:r>
              <w:rPr>
                <w:rFonts w:ascii="宋体" w:hAnsi="宋体" w:cs="宋体"/>
                <w:color w:val="000000"/>
                <w:szCs w:val="21"/>
              </w:rPr>
            </w:r>
            <w:r/>
          </w:p>
        </w:tc>
        <w:tc>
          <w:tcPr>
            <w:gridSpan w:val="2"/>
            <w:tcW w:w="1800" w:type="dxa"/>
            <w:vAlign w:val="center"/>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价格分</w:t>
            </w: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分）</w:t>
            </w:r>
            <w:r>
              <w:rPr>
                <w:rFonts w:ascii="宋体" w:hAnsi="宋体" w:cs="宋体"/>
                <w:color w:val="000000"/>
                <w:szCs w:val="21"/>
              </w:rPr>
            </w:r>
            <w:r/>
          </w:p>
        </w:tc>
        <w:tc>
          <w:tcPr>
            <w:tcW w:w="8517" w:type="dxa"/>
            <w:vAlign w:val="center"/>
            <w:textDirection w:val="lrTb"/>
            <w:noWrap w:val="false"/>
          </w:tcPr>
          <w:p>
            <w:pPr>
              <w:pStyle w:val="766"/>
              <w:ind w:firstLine="420"/>
              <w:jc w:val="left"/>
              <w:spacing w:line="360" w:lineRule="auto"/>
              <w:widowControl/>
              <w:rPr>
                <w:color w:val="000000"/>
                <w:szCs w:val="21"/>
              </w:rPr>
              <w:framePr w:vAnchor="text" w:hAnchor="page" w:x="467" w:y="1338"/>
            </w:pPr>
            <w:r>
              <w:rPr>
                <w:rFonts w:hint="eastAsia" w:ascii="宋体" w:hAnsi="宋体" w:cs="宋体"/>
                <w:color w:val="000000"/>
                <w:szCs w:val="21"/>
              </w:rPr>
              <w:t xml:space="preserve">采用低价优先法计算，即满足</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要求且投标价格最低的投标报价为评标基准价，其价格分为满分30分。其他</w:t>
            </w:r>
            <w:r>
              <w:rPr>
                <w:rFonts w:hint="eastAsia" w:ascii="宋体" w:hAnsi="宋体" w:cs="宋体"/>
                <w:color w:val="000000"/>
                <w:szCs w:val="21"/>
                <w:lang w:eastAsia="zh-CN"/>
              </w:rPr>
              <w:t xml:space="preserve">投标人</w:t>
            </w:r>
            <w:r>
              <w:rPr>
                <w:rFonts w:hint="eastAsia" w:ascii="宋体" w:hAnsi="宋体" w:cs="宋体"/>
                <w:color w:val="000000"/>
                <w:szCs w:val="21"/>
              </w:rPr>
              <w:t xml:space="preserve">的价格分统一按照下列公式计算：投标报价得分=(评标基准价／投标报价)×30（按四舍五入取至小数点后两位）。</w:t>
            </w:r>
            <w:r>
              <w:rPr>
                <w:color w:val="000000"/>
                <w:szCs w:val="21"/>
              </w:rPr>
            </w:r>
            <w:r/>
          </w:p>
        </w:tc>
      </w:tr>
      <w:tr>
        <w:trPr>
          <w:trHeight w:val="2495"/>
        </w:trPr>
        <w:tc>
          <w:tcPr>
            <w:tcW w:w="930" w:type="dxa"/>
            <w:vAlign w:val="center"/>
            <w:vMerge w:val="restart"/>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二</w:t>
            </w:r>
            <w:r>
              <w:rPr>
                <w:rFonts w:ascii="宋体" w:hAnsi="宋体" w:cs="宋体"/>
                <w:color w:val="000000"/>
                <w:szCs w:val="21"/>
              </w:rPr>
            </w:r>
            <w:r/>
          </w:p>
        </w:tc>
        <w:tc>
          <w:tcPr>
            <w:tcW w:w="795" w:type="dxa"/>
            <w:vAlign w:val="center"/>
            <w:vMerge w:val="restart"/>
            <w:textDirection w:val="lrTb"/>
            <w:noWrap w:val="false"/>
          </w:tcPr>
          <w:p>
            <w:pPr>
              <w:pStyle w:val="766"/>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技术分</w:t>
            </w:r>
            <w:r>
              <w:rPr>
                <w:rFonts w:hint="eastAsia" w:ascii="宋体" w:hAnsi="宋体" w:cs="宋体"/>
                <w:color w:val="000000"/>
                <w:szCs w:val="21"/>
                <w:lang w:val="en-US" w:eastAsia="zh-CN"/>
              </w:rPr>
              <w:t xml:space="preserve">(46分)</w:t>
            </w:r>
            <w:r>
              <w:rPr>
                <w:rFonts w:ascii="宋体" w:hAnsi="宋体" w:cs="宋体"/>
                <w:color w:val="000000"/>
                <w:szCs w:val="21"/>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rPr>
              <w:framePr w:vAnchor="text" w:hAnchor="page" w:x="467" w:y="1338"/>
            </w:pPr>
            <w:r>
              <w:rPr>
                <w:rFonts w:hint="eastAsia" w:ascii="宋体" w:hAnsi="宋体" w:eastAsia="宋体" w:cs="宋体"/>
                <w:highlight w:val="none"/>
              </w:rPr>
              <w:t xml:space="preserve">技术参数（</w:t>
            </w:r>
            <w:r>
              <w:rPr>
                <w:rFonts w:hint="eastAsia" w:ascii="宋体" w:hAnsi="宋体" w:eastAsia="宋体" w:cs="宋体"/>
                <w:highlight w:val="none"/>
                <w:lang w:val="en-US" w:eastAsia="zh-CN"/>
              </w:rPr>
              <w:t xml:space="preserve">33</w:t>
            </w:r>
            <w:r>
              <w:rPr>
                <w:rFonts w:hint="eastAsia" w:ascii="宋体" w:hAnsi="宋体" w:eastAsia="宋体" w:cs="宋体"/>
                <w:highlight w:val="none"/>
              </w:rPr>
              <w:t xml:space="preserve">分）</w:t>
            </w:r>
            <w:r>
              <w:rPr>
                <w:rFonts w:hint="eastAsia" w:ascii="宋体" w:hAnsi="宋体" w:eastAsia="宋体" w:cs="宋体"/>
                <w:highlight w:val="none"/>
              </w:rPr>
            </w:r>
            <w:r/>
          </w:p>
        </w:tc>
        <w:tc>
          <w:tcPr>
            <w:tcW w:w="8517" w:type="dxa"/>
            <w:vAlign w:val="center"/>
            <w:textDirection w:val="lrTb"/>
            <w:noWrap w:val="false"/>
          </w:tcPr>
          <w:p>
            <w:pPr>
              <w:pStyle w:val="766"/>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lang w:val="en-US" w:eastAsia="zh-CN"/>
              </w:rPr>
              <w:framePr w:vAnchor="text" w:hAnchor="page" w:x="467" w:y="1338"/>
            </w:pPr>
            <w:r>
              <w:rPr>
                <w:rFonts w:hint="eastAsia" w:ascii="宋体" w:hAnsi="宋体" w:eastAsia="宋体" w:cs="宋体"/>
                <w:szCs w:val="24"/>
                <w:highlight w:val="none"/>
                <w:lang w:val="en-US" w:eastAsia="zh-CN"/>
              </w:rPr>
              <w:t xml:space="preserve">按招标文件的技术参数要求进行评审；</w:t>
            </w:r>
            <w:r>
              <w:rPr>
                <w:rFonts w:hint="eastAsia" w:ascii="宋体" w:hAnsi="宋体" w:eastAsia="宋体" w:cs="宋体"/>
                <w:szCs w:val="24"/>
                <w:highlight w:val="none"/>
                <w:lang w:val="en-US" w:eastAsia="zh-CN"/>
              </w:rPr>
            </w:r>
            <w:r/>
          </w:p>
          <w:p>
            <w:pPr>
              <w:pStyle w:val="766"/>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rPr>
              <w:framePr w:vAnchor="text" w:hAnchor="page" w:x="467" w:y="1338"/>
            </w:pPr>
            <w:r>
              <w:rPr>
                <w:rFonts w:hint="eastAsia" w:ascii="宋体" w:hAnsi="宋体" w:eastAsia="宋体" w:cs="宋体"/>
                <w:szCs w:val="24"/>
                <w:highlight w:val="none"/>
              </w:rPr>
              <w:t xml:space="preserve">打★号指标为必须满足项，如有负偏离将作为无效投标；</w:t>
            </w:r>
            <w:r>
              <w:rPr>
                <w:rFonts w:hint="eastAsia" w:ascii="宋体" w:hAnsi="宋体" w:eastAsia="宋体" w:cs="宋体"/>
                <w:szCs w:val="24"/>
                <w:highlight w:val="none"/>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szCs w:val="24"/>
                <w:highlight w:val="none"/>
              </w:rPr>
              <w:t xml:space="preserve">打▲号为重要指标，有一项负偏离扣</w:t>
            </w:r>
            <w:r>
              <w:rPr>
                <w:rFonts w:hint="eastAsia" w:ascii="宋体" w:hAnsi="宋体" w:eastAsia="宋体" w:cs="宋体"/>
                <w:szCs w:val="24"/>
                <w:highlight w:val="none"/>
                <w:lang w:val="en-US" w:eastAsia="zh-CN"/>
              </w:rPr>
              <w:t xml:space="preserve">0.5</w:t>
            </w:r>
            <w:r>
              <w:rPr>
                <w:rFonts w:hint="eastAsia" w:ascii="宋体" w:hAnsi="宋体" w:eastAsia="宋体" w:cs="宋体"/>
                <w:szCs w:val="24"/>
                <w:highlight w:val="none"/>
              </w:rPr>
              <w:t xml:space="preserve">分</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其余指标有一项负偏离扣</w:t>
            </w:r>
            <w:r>
              <w:rPr>
                <w:rFonts w:hint="eastAsia" w:ascii="宋体" w:hAnsi="宋体" w:eastAsia="宋体" w:cs="宋体"/>
                <w:szCs w:val="24"/>
                <w:highlight w:val="none"/>
                <w:lang w:val="en-US" w:eastAsia="zh-CN"/>
              </w:rPr>
              <w:t xml:space="preserve">0.2</w:t>
            </w:r>
            <w:r>
              <w:rPr>
                <w:rFonts w:hint="eastAsia" w:ascii="宋体" w:hAnsi="宋体" w:eastAsia="宋体" w:cs="宋体"/>
                <w:szCs w:val="24"/>
                <w:highlight w:val="none"/>
              </w:rPr>
              <w:t xml:space="preserve">分，扣完为止。</w:t>
            </w:r>
            <w:r>
              <w:rPr>
                <w:rFonts w:hint="eastAsia" w:ascii="宋体" w:hAnsi="宋体" w:eastAsia="宋体" w:cs="宋体"/>
                <w:szCs w:val="24"/>
                <w:highlight w:val="none"/>
                <w:lang w:val="en-US" w:eastAsia="zh-CN"/>
              </w:rPr>
              <w:t xml:space="preserve">以第四章采购需求中要求提供的相关证明材料为准；未要求提供证明材料的</w:t>
            </w:r>
            <w:r>
              <w:rPr>
                <w:rFonts w:hint="eastAsia" w:ascii="宋体" w:hAnsi="宋体" w:eastAsia="宋体" w:cs="宋体"/>
                <w:szCs w:val="24"/>
                <w:highlight w:val="none"/>
              </w:rPr>
              <w:t xml:space="preserve">指标</w:t>
            </w:r>
            <w:r>
              <w:rPr>
                <w:rFonts w:hint="eastAsia" w:ascii="宋体" w:hAnsi="宋体" w:eastAsia="宋体" w:cs="宋体"/>
                <w:szCs w:val="24"/>
                <w:highlight w:val="none"/>
                <w:lang w:val="en-US" w:eastAsia="zh-CN"/>
              </w:rPr>
              <w:t xml:space="preserve">，</w:t>
            </w:r>
            <w:r>
              <w:rPr>
                <w:rFonts w:hint="eastAsia" w:ascii="Calibri" w:hAnsi="Calibri" w:eastAsia="宋体" w:cs="Times New Roman"/>
                <w:szCs w:val="24"/>
                <w:lang w:eastAsia="zh-CN"/>
              </w:rPr>
              <w:t xml:space="preserve">投标人需在“技术要求响应及偏离表”中如实逐项填列所投产品的参数并加盖投标人公章，未列出的，按负偏离处理。</w:t>
            </w:r>
            <w:r>
              <w:rPr>
                <w:rFonts w:hint="eastAsia" w:ascii="宋体" w:hAnsi="宋体" w:eastAsia="宋体" w:cs="宋体"/>
                <w:highlight w:val="none"/>
                <w:lang w:val="en-US" w:eastAsia="zh-CN"/>
              </w:rPr>
            </w:r>
            <w:r/>
          </w:p>
        </w:tc>
      </w:tr>
      <w:tr>
        <w:trPr>
          <w:trHeight w:val="2480"/>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安装调试方案（6分）</w:t>
            </w:r>
            <w:r>
              <w:rPr>
                <w:rFonts w:hint="eastAsia" w:ascii="宋体" w:hAnsi="宋体" w:eastAsia="宋体" w:cs="宋体"/>
                <w:highlight w:val="none"/>
                <w:lang w:val="en-US" w:eastAsia="zh-CN"/>
              </w:rPr>
            </w:r>
            <w:r/>
          </w:p>
        </w:tc>
        <w:tc>
          <w:tcPr>
            <w:tcW w:w="8517" w:type="dxa"/>
            <w:vAlign w:val="top"/>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投标人提供《安装调试方案》,包含但不限于项目实施计划、人员安排、时间进度和应急保障计划等相关内容：</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方案内容完整，措施科学合理，可实施性强的得6分；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方案内容较完整，措施较科学合理，实施性较强的，得4分；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方案有缺项，未完全包含相关内容，科学性、合理性一般，可实施性一般的，得2分。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rPr>
              <w:t xml:space="preserve">该项未见阐述不得分。</w:t>
            </w:r>
            <w:r>
              <w:rPr>
                <w:rFonts w:ascii="宋体" w:hAnsi="宋体" w:eastAsia="宋体" w:cs="宋体"/>
                <w:highlight w:val="none"/>
                <w:lang w:val="en-US" w:eastAsia="zh-CN"/>
              </w:rPr>
            </w:r>
            <w:r/>
          </w:p>
        </w:tc>
      </w:tr>
      <w:tr>
        <w:trPr>
          <w:trHeight w:val="2887"/>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售后服务及培训方案（7分）</w:t>
            </w:r>
            <w:r>
              <w:rPr>
                <w:rFonts w:hint="eastAsia" w:ascii="宋体" w:hAnsi="宋体" w:eastAsia="宋体" w:cs="宋体"/>
                <w:highlight w:val="none"/>
                <w:lang w:val="en-US" w:eastAsia="zh-CN"/>
              </w:rPr>
            </w:r>
            <w:r/>
          </w:p>
        </w:tc>
        <w:tc>
          <w:tcPr>
            <w:tcW w:w="8517" w:type="dxa"/>
            <w:vAlign w:val="top"/>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投标人提供售后服务及培训方案：</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售后服务及培训方案完善，技术支持能力强，服务响应快，培训方案科学合理，可实施性强，响应程度高，且优于其他投标人的，得7分；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售后服务及培训方案完善，技术支持能力较强，服务响应较快，培训方案科学合理，可实施性较强，优于招标文件要求的，得5分；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售后服务及培训方案一般，仅符合招标文件要求的，得3分。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eastAsia="zh-CN"/>
              </w:rPr>
              <w:t xml:space="preserve">该项未见阐述不得分。</w:t>
            </w:r>
            <w:r>
              <w:rPr>
                <w:rFonts w:ascii="宋体" w:hAnsi="宋体" w:eastAsia="宋体" w:cs="宋体"/>
                <w:highlight w:val="none"/>
                <w:lang w:val="en-US" w:eastAsia="zh-CN"/>
              </w:rPr>
            </w:r>
            <w:r/>
          </w:p>
        </w:tc>
      </w:tr>
      <w:tr>
        <w:trPr>
          <w:trHeight w:val="3875"/>
        </w:trPr>
        <w:tc>
          <w:tcPr>
            <w:tcW w:w="930" w:type="dxa"/>
            <w:vAlign w:val="center"/>
            <w:vMerge w:val="restart"/>
            <w:textDirection w:val="lrTb"/>
            <w:noWrap w:val="false"/>
          </w:tcPr>
          <w:p>
            <w:pPr>
              <w:pStyle w:val="766"/>
              <w:jc w:val="center"/>
              <w:spacing w:line="360" w:lineRule="auto"/>
              <w:widowControl/>
              <w:rPr>
                <w:rFonts w:ascii="宋体" w:hAnsi="宋体" w:eastAsia="宋体" w:cs="宋体"/>
                <w:color w:val="000000"/>
                <w:szCs w:val="21"/>
                <w:lang w:val="en-US" w:eastAsia="zh-CN"/>
              </w:rPr>
              <w:framePr w:vAnchor="text" w:hAnchor="page" w:x="467" w:y="1338"/>
            </w:pPr>
            <w:r>
              <w:rPr>
                <w:rFonts w:hint="eastAsia" w:ascii="宋体" w:hAnsi="宋体" w:cs="宋体"/>
                <w:color w:val="000000"/>
                <w:szCs w:val="21"/>
                <w:lang w:val="en-US" w:eastAsia="zh-CN"/>
              </w:rPr>
              <w:t xml:space="preserve">三</w:t>
            </w:r>
            <w:r>
              <w:rPr>
                <w:rFonts w:ascii="宋体" w:hAnsi="宋体" w:eastAsia="宋体" w:cs="宋体"/>
                <w:color w:val="000000"/>
                <w:szCs w:val="21"/>
                <w:lang w:val="en-US" w:eastAsia="zh-CN"/>
              </w:rPr>
            </w:r>
            <w:r/>
          </w:p>
        </w:tc>
        <w:tc>
          <w:tcPr>
            <w:tcW w:w="795" w:type="dxa"/>
            <w:vAlign w:val="center"/>
            <w:vMerge w:val="restart"/>
            <w:textDirection w:val="lrTb"/>
            <w:noWrap w:val="false"/>
          </w:tcPr>
          <w:p>
            <w:pPr>
              <w:pStyle w:val="766"/>
              <w:spacing w:line="360" w:lineRule="auto"/>
              <w:widowControl/>
              <w:rPr>
                <w:rFonts w:ascii="宋体" w:hAnsi="宋体" w:cs="宋体"/>
                <w:color w:val="000000"/>
                <w:szCs w:val="21"/>
                <w:highlight w:val="none"/>
              </w:rPr>
              <w:framePr w:vAnchor="text" w:hAnchor="page" w:x="467" w:y="1338"/>
            </w:pPr>
            <w:r>
              <w:rPr>
                <w:rFonts w:hint="eastAsia" w:ascii="宋体" w:hAnsi="宋体" w:cs="宋体"/>
                <w:color w:val="000000"/>
                <w:szCs w:val="21"/>
                <w:highlight w:val="none"/>
                <w:lang w:eastAsia="zh-CN"/>
              </w:rPr>
              <w:t xml:space="preserve">商务分</w:t>
            </w:r>
            <w:r>
              <w:rPr>
                <w:rFonts w:hint="eastAsia" w:ascii="宋体" w:hAnsi="宋体" w:cs="宋体"/>
                <w:color w:val="000000"/>
                <w:szCs w:val="21"/>
                <w:highlight w:val="none"/>
                <w:lang w:val="en-US" w:eastAsia="zh-CN"/>
              </w:rPr>
              <w:t xml:space="preserve">(24分)</w:t>
            </w:r>
            <w:r>
              <w:rPr>
                <w:rFonts w:ascii="宋体" w:hAnsi="宋体" w:cs="宋体"/>
                <w:color w:val="000000"/>
                <w:szCs w:val="21"/>
                <w:highlight w:val="none"/>
              </w:rPr>
            </w:r>
            <w:r/>
          </w:p>
        </w:tc>
        <w:tc>
          <w:tcPr>
            <w:tcW w:w="1005" w:type="dxa"/>
            <w:vAlign w:val="center"/>
            <w:textDirection w:val="lrTb"/>
            <w:noWrap w:val="false"/>
          </w:tcPr>
          <w:p>
            <w:pPr>
              <w:pStyle w:val="766"/>
              <w:jc w:val="center"/>
              <w:spacing w:line="340" w:lineRule="exact"/>
              <w:rPr>
                <w:rStyle w:val="884"/>
                <w:rFonts w:hint="eastAsia" w:ascii="宋体" w:hAnsi="宋体" w:cs="宋体"/>
                <w:szCs w:val="21"/>
              </w:rPr>
              <w:framePr w:vAnchor="text" w:hAnchor="page" w:x="467" w:y="1338"/>
            </w:pPr>
            <w:r>
              <w:rPr>
                <w:rStyle w:val="884"/>
                <w:rFonts w:hint="eastAsia" w:ascii="宋体" w:hAnsi="宋体" w:cs="宋体"/>
                <w:szCs w:val="21"/>
              </w:rPr>
              <w:t xml:space="preserve">项目</w:t>
            </w:r>
            <w:r>
              <w:rPr>
                <w:rStyle w:val="884"/>
                <w:rFonts w:hint="eastAsia" w:ascii="宋体" w:hAnsi="宋体" w:cs="宋体"/>
                <w:szCs w:val="21"/>
              </w:rPr>
            </w:r>
            <w:r/>
          </w:p>
          <w:p>
            <w:pPr>
              <w:pStyle w:val="766"/>
              <w:jc w:val="center"/>
              <w:spacing w:line="340" w:lineRule="exact"/>
              <w:rPr>
                <w:rStyle w:val="884"/>
                <w:rFonts w:hint="eastAsia" w:ascii="宋体" w:hAnsi="宋体" w:cs="宋体"/>
                <w:szCs w:val="21"/>
              </w:rPr>
              <w:framePr w:vAnchor="text" w:hAnchor="page" w:x="467" w:y="1338"/>
            </w:pPr>
            <w:r>
              <w:rPr>
                <w:rStyle w:val="884"/>
                <w:rFonts w:hint="eastAsia" w:ascii="宋体" w:hAnsi="宋体" w:cs="宋体"/>
                <w:szCs w:val="21"/>
              </w:rPr>
              <w:t xml:space="preserve">团队</w:t>
            </w:r>
            <w:r>
              <w:rPr>
                <w:rStyle w:val="884"/>
                <w:rFonts w:hint="eastAsia" w:ascii="宋体" w:hAnsi="宋体" w:cs="宋体"/>
                <w:szCs w:val="21"/>
              </w:rPr>
            </w:r>
            <w:r/>
          </w:p>
          <w:p>
            <w:pPr>
              <w:pStyle w:val="766"/>
              <w:numPr>
                <w:ilvl w:val="0"/>
                <w:numId w:val="0"/>
              </w:numPr>
              <w:ind w:left="0" w:firstLine="0"/>
              <w:jc w:val="center"/>
              <w:keepLines w:val="0"/>
              <w:keepNext w:val="0"/>
              <w:pageBreakBefore w:val="0"/>
              <w:spacing w:line="360" w:lineRule="exact"/>
              <w:widowControl w:val="off"/>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top"/>
            <w:textDirection w:val="lrTb"/>
            <w:noWrap w:val="false"/>
          </w:tcPr>
          <w:p>
            <w:pPr>
              <w:pStyle w:val="766"/>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（1）投标人项目技术负责人具有高级或以上职称的得3分，</w:t>
            </w:r>
            <w:r>
              <w:rPr>
                <w:rFonts w:ascii="Times New Roman" w:hAnsi="Times New Roman" w:eastAsia="宋体" w:cs="Times New Roman"/>
                <w:color w:val="000000"/>
                <w:sz w:val="21"/>
                <w:szCs w:val="21"/>
              </w:rPr>
              <w:t xml:space="preserve">本项最高得3分</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r>
            <w:r/>
          </w:p>
          <w:p>
            <w:pPr>
              <w:pStyle w:val="766"/>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2）项目组成员具有工业机器人系统运维员、工业机器人系统操作员、数控设备维修工、电气设备安装工等相关中高级国家职业技能证书或电气工程师国家职业资格证书、通信专业技术人员国家职业资格证书、计算机技术与软件专业技术国家职业资格证书等，每提供一个得2分（一人同时具有多个证书或者同一个证书多人有的，均只认可其中一个）</w:t>
            </w:r>
            <w:r>
              <w:rPr>
                <w:rFonts w:hint="eastAsia" w:ascii="宋体" w:hAnsi="宋体" w:eastAsia="宋体" w:cs="Times New Roman"/>
                <w:b w:val="0"/>
                <w:color w:val="000000"/>
                <w:spacing w:val="0"/>
                <w:sz w:val="21"/>
                <w:szCs w:val="24"/>
                <w:highlight w:val="none"/>
                <w:lang w:val="en-US" w:eastAsia="zh-CN" w:bidi="ar-SA"/>
              </w:rPr>
              <w:t xml:space="preserve">本项最高得6分</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r>
            <w:r/>
          </w:p>
          <w:p>
            <w:pPr>
              <w:pStyle w:val="766"/>
              <w:spacing w:line="360" w:lineRule="auto"/>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Times New Roman" w:hAnsi="Times New Roman" w:eastAsia="宋体" w:cs="Times New Roman"/>
                <w:lang w:val="en-US" w:eastAsia="zh-CN"/>
              </w:rPr>
              <w:t xml:space="preserve">注：上述人员必须为投标人单位正式职工，提供证书及2026年1月至今任意一个月由供应商为其缴纳的社保证明材料（加盖社保中心章或社保中心参保缴费证明电子专用章）等证明材料，若人员入职时间不足一个月，可提供投标单位出具的在职承诺函（加盖公章），承诺该人员为投标单位正式员工并将依法缴纳社保，否则承担相应责任；如已退休的必须提供退休证明及聘用合同。</w:t>
            </w:r>
            <w:r>
              <w:rPr>
                <w:rFonts w:hint="eastAsia" w:ascii="宋体" w:hAnsi="宋体" w:eastAsia="宋体" w:cs="Times New Roman"/>
                <w:b w:val="0"/>
                <w:color w:val="000000"/>
                <w:spacing w:val="0"/>
                <w:sz w:val="21"/>
                <w:szCs w:val="24"/>
                <w:highlight w:val="none"/>
                <w:lang w:val="en-US" w:eastAsia="zh-CN" w:bidi="ar-SA"/>
              </w:rPr>
            </w:r>
            <w:r/>
          </w:p>
        </w:tc>
      </w:tr>
      <w:tr>
        <w:trPr>
          <w:trHeight w:val="1235"/>
        </w:trPr>
        <w:tc>
          <w:tcPr>
            <w:tcW w:w="930" w:type="dxa"/>
            <w:vAlign w:val="center"/>
            <w:vMerge w:val="continue"/>
            <w:textDirection w:val="lrTb"/>
            <w:noWrap w:val="false"/>
          </w:tcPr>
          <w:p>
            <w:pPr>
              <w:pStyle w:val="766"/>
              <w:jc w:val="center"/>
              <w:spacing w:line="360" w:lineRule="auto"/>
              <w:widowControl/>
              <w:rPr>
                <w:rFonts w:ascii="宋体" w:hAnsi="宋体" w:eastAsia="宋体" w:cs="宋体"/>
                <w:color w:val="000000"/>
                <w:szCs w:val="21"/>
                <w:lang w:val="en-US" w:eastAsia="zh-CN"/>
              </w:rPr>
              <w:framePr w:vAnchor="text" w:hAnchor="page" w:x="467" w:y="1338"/>
            </w:pPr>
            <w:r>
              <w:rPr>
                <w:rFonts w:ascii="宋体" w:hAnsi="宋体" w:eastAsia="宋体" w:cs="宋体"/>
                <w:color w:val="000000"/>
                <w:szCs w:val="21"/>
                <w:lang w:val="en-US" w:eastAsia="zh-CN"/>
              </w:rPr>
            </w:r>
            <w:r/>
          </w:p>
        </w:tc>
        <w:tc>
          <w:tcPr>
            <w:tcW w:w="795" w:type="dxa"/>
            <w:vAlign w:val="center"/>
            <w:vMerge w:val="continue"/>
            <w:textDirection w:val="lrTb"/>
            <w:noWrap w:val="false"/>
          </w:tcPr>
          <w:p>
            <w:pPr>
              <w:pStyle w:val="766"/>
              <w:spacing w:line="360" w:lineRule="auto"/>
              <w:widowControl/>
              <w:rPr>
                <w:rFonts w:ascii="宋体" w:hAnsi="宋体" w:cs="宋体"/>
                <w:color w:val="000000"/>
                <w:szCs w:val="21"/>
                <w:highlight w:val="none"/>
              </w:rPr>
              <w:framePr w:vAnchor="text" w:hAnchor="page" w:x="467" w:y="1338"/>
            </w:pPr>
            <w:r>
              <w:rPr>
                <w:rFonts w:ascii="宋体" w:hAnsi="宋体" w:cs="宋体"/>
                <w:color w:val="000000"/>
                <w:szCs w:val="21"/>
                <w:highlight w:val="none"/>
              </w:rPr>
            </w:r>
            <w:r/>
          </w:p>
        </w:tc>
        <w:tc>
          <w:tcPr>
            <w:tcW w:w="1005" w:type="dxa"/>
            <w:vAlign w:val="center"/>
            <w:textDirection w:val="lrTb"/>
            <w:noWrap w:val="false"/>
          </w:tcPr>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类似</w:t>
            </w:r>
            <w:r>
              <w:rPr>
                <w:rFonts w:hint="eastAsia" w:ascii="宋体" w:hAnsi="宋体" w:eastAsia="宋体" w:cs="Times New Roman"/>
                <w:b w:val="0"/>
                <w:color w:val="000000"/>
                <w:spacing w:val="0"/>
                <w:sz w:val="21"/>
                <w:szCs w:val="24"/>
                <w:highlight w:val="none"/>
                <w:lang w:val="en-US" w:eastAsia="zh-CN" w:bidi="ar-SA"/>
              </w:rPr>
            </w:r>
            <w:r/>
          </w:p>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业绩</w:t>
            </w:r>
            <w:r>
              <w:rPr>
                <w:rFonts w:hint="eastAsia" w:ascii="宋体" w:hAnsi="宋体" w:eastAsia="宋体" w:cs="Times New Roman"/>
                <w:b w:val="0"/>
                <w:color w:val="000000"/>
                <w:spacing w:val="0"/>
                <w:sz w:val="21"/>
                <w:szCs w:val="24"/>
                <w:highlight w:val="none"/>
                <w:lang w:val="en-US" w:eastAsia="zh-CN" w:bidi="ar-SA"/>
              </w:rPr>
            </w:r>
            <w:r/>
          </w:p>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797"/>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自2020年1月1日以来，投标人承接过类似的业绩，每有一个得3分，本项最高得9分。</w:t>
            </w:r>
            <w:r>
              <w:rPr>
                <w:rFonts w:hint="eastAsia" w:ascii="宋体" w:hAnsi="宋体" w:eastAsia="宋体" w:cs="Times New Roman"/>
                <w:b w:val="0"/>
                <w:color w:val="000000"/>
                <w:spacing w:val="0"/>
                <w:sz w:val="21"/>
                <w:szCs w:val="24"/>
                <w:highlight w:val="none"/>
                <w:lang w:val="en-US" w:eastAsia="zh-CN" w:bidi="ar-SA"/>
              </w:rPr>
            </w:r>
            <w:r/>
          </w:p>
          <w:p>
            <w:pPr>
              <w:pStyle w:val="797"/>
              <w:spacing w:line="440" w:lineRule="exact"/>
              <w:rPr>
                <w:rFonts w:hint="eastAsia" w:ascii="宋体" w:hAnsi="宋体" w:eastAsia="宋体" w:cs="Times New Roman"/>
                <w:b w:val="0"/>
                <w:color w:val="000000"/>
                <w:spacing w:val="0"/>
                <w:sz w:val="21"/>
                <w:szCs w:val="24"/>
                <w:highlight w:val="none"/>
                <w:lang w:val="zh-CN"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说明：提供类似合同原件扫描件，时间以合同签订时间为准，提供的业绩材料必须能清晰反映合同价款、时间、项目内容等需要明确的内容，未明确、缺项、含糊不清的不予计分。</w:t>
            </w:r>
            <w:r>
              <w:rPr>
                <w:rFonts w:hint="eastAsia" w:ascii="宋体" w:hAnsi="宋体" w:eastAsia="宋体" w:cs="Times New Roman"/>
                <w:b w:val="0"/>
                <w:color w:val="000000"/>
                <w:spacing w:val="0"/>
                <w:sz w:val="21"/>
                <w:szCs w:val="24"/>
                <w:highlight w:val="none"/>
                <w:lang w:val="zh-CN" w:eastAsia="zh-CN" w:bidi="ar-SA"/>
              </w:rPr>
            </w:r>
            <w:r/>
          </w:p>
        </w:tc>
      </w:tr>
      <w:tr>
        <w:trPr>
          <w:trHeight w:val="1310"/>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lang w:val="en-US" w:eastAsia="zh-CN"/>
              </w:rPr>
              <w:framePr w:vAnchor="text" w:hAnchor="page" w:x="467" w:y="1338"/>
            </w:pPr>
            <w:r>
              <w:rPr>
                <w:rFonts w:hint="eastAsia" w:ascii="宋体" w:hAnsi="宋体" w:cs="宋体"/>
                <w:color w:val="000000"/>
                <w:szCs w:val="21"/>
                <w:lang w:val="en-US" w:eastAsia="zh-CN"/>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服务质量（6分）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797"/>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1、质量保修期：核心产品质量保修期至少3年，投标人承诺质量保修期加一年得2分，此项最高得4分（投标人提供承诺书）</w:t>
            </w:r>
            <w:r>
              <w:rPr>
                <w:rFonts w:hint="eastAsia" w:ascii="宋体" w:hAnsi="宋体" w:eastAsia="宋体" w:cs="Times New Roman"/>
                <w:b w:val="0"/>
                <w:color w:val="000000"/>
                <w:spacing w:val="0"/>
                <w:sz w:val="21"/>
                <w:szCs w:val="24"/>
                <w:highlight w:val="none"/>
                <w:lang w:val="en-US" w:eastAsia="zh-CN" w:bidi="ar-SA"/>
              </w:rPr>
            </w:r>
            <w:r/>
          </w:p>
          <w:p>
            <w:pPr>
              <w:pStyle w:val="797"/>
              <w:spacing w:line="440" w:lineRule="exact"/>
              <w:rPr>
                <w:lang w:val="en-US" w:eastAsia="zh-CN"/>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2、提供核心产品的原厂授权，提供一个得1分，本项最多得2分，提供授权书原件扫描件。</w:t>
            </w:r>
            <w:r>
              <w:rPr>
                <w:lang w:val="en-US" w:eastAsia="zh-CN"/>
              </w:rPr>
            </w:r>
            <w:r/>
          </w:p>
        </w:tc>
      </w:tr>
    </w:tbl>
    <w:p>
      <w:pPr>
        <w:pStyle w:val="766"/>
        <w:ind w:firstLine="420"/>
        <w:spacing w:before="120" w:after="120" w:line="300" w:lineRule="exact"/>
        <w:rPr>
          <w:rFonts w:hint="eastAsia" w:ascii="Times New Roman" w:hAnsi="Times New Roman"/>
          <w:color w:val="000000"/>
          <w:szCs w:val="21"/>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hint="eastAsia" w:ascii="Times New Roman" w:hAnsi="Times New Roman"/>
          <w:color w:val="000000"/>
          <w:szCs w:val="21"/>
        </w:rPr>
      </w:r>
      <w:r/>
    </w:p>
    <w:p>
      <w:pPr>
        <w:pStyle w:val="76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第六章投标</w:t>
      </w:r>
      <w:bookmarkEnd w:id="172"/>
      <w:r/>
      <w:bookmarkEnd w:id="173"/>
      <w:r/>
      <w:bookmarkEnd w:id="174"/>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766"/>
        <w:jc w:val="center"/>
        <w:rPr>
          <w:rFonts w:hint="eastAsia" w:ascii="宋体" w:hAnsi="宋体"/>
          <w:b/>
          <w:color w:val="000000"/>
          <w:sz w:val="72"/>
          <w:szCs w:val="21"/>
        </w:rPr>
      </w:pPr>
      <w:r/>
      <w:bookmarkStart w:id="175" w:name="_Hlt26671244"/>
      <w:r/>
      <w:bookmarkEnd w:id="175"/>
      <w:r/>
      <w:bookmarkStart w:id="176" w:name="_Hlt26955039"/>
      <w:r/>
      <w:bookmarkEnd w:id="176"/>
      <w:r/>
      <w:bookmarkStart w:id="177" w:name="_Toc26554094"/>
      <w:r/>
      <w:bookmarkStart w:id="178" w:name="_Toc49090576"/>
      <w:r/>
      <w:bookmarkStart w:id="179" w:name="_Toc120614282"/>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t xml:space="preserve">投标文件</w:t>
      </w:r>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ind w:firstLine="1084"/>
        <w:rPr>
          <w:rFonts w:hint="eastAsia" w:ascii="宋体" w:hAnsi="宋体" w:eastAsia="宋体"/>
          <w:b/>
          <w:color w:val="000000"/>
          <w:sz w:val="36"/>
          <w:szCs w:val="21"/>
          <w:lang w:eastAsia="zh-CN"/>
        </w:rPr>
      </w:pPr>
      <w:r>
        <w:rPr>
          <w:rFonts w:hint="eastAsia" w:ascii="宋体" w:hAnsi="宋体"/>
          <w:b/>
          <w:color w:val="000000"/>
          <w:sz w:val="36"/>
          <w:szCs w:val="21"/>
        </w:rPr>
        <w:t xml:space="preserve">项目名称：</w:t>
      </w:r>
      <w:r>
        <w:rPr>
          <w:rFonts w:hint="eastAsia" w:ascii="宋体" w:hAnsi="宋体" w:eastAsia="宋体"/>
          <w:b/>
          <w:color w:val="000000"/>
          <w:sz w:val="36"/>
          <w:szCs w:val="21"/>
          <w:lang w:eastAsia="zh-CN"/>
        </w:rPr>
      </w:r>
      <w:r/>
    </w:p>
    <w:p>
      <w:pPr>
        <w:pStyle w:val="766"/>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项目编号：</w:t>
      </w:r>
      <w:r>
        <w:rPr>
          <w:rFonts w:hint="eastAsia" w:ascii="宋体" w:hAnsi="宋体" w:eastAsia="宋体"/>
          <w:b/>
          <w:color w:val="000000"/>
          <w:sz w:val="36"/>
          <w:szCs w:val="21"/>
          <w:u w:val="single"/>
          <w:lang w:eastAsia="zh-CN"/>
        </w:rPr>
      </w:r>
      <w:r/>
    </w:p>
    <w:p>
      <w:pPr>
        <w:pStyle w:val="766"/>
        <w:ind w:firstLine="1084"/>
        <w:rPr>
          <w:rFonts w:hint="eastAsia" w:ascii="宋体" w:hAnsi="宋体"/>
          <w:b/>
          <w:color w:val="000000"/>
          <w:sz w:val="36"/>
          <w:szCs w:val="21"/>
          <w:u w:val="single"/>
        </w:rPr>
      </w:pPr>
      <w:r>
        <w:rPr>
          <w:rFonts w:hint="eastAsia" w:ascii="宋体" w:hAnsi="宋体"/>
          <w:b/>
          <w:color w:val="000000"/>
          <w:sz w:val="36"/>
          <w:szCs w:val="21"/>
          <w:lang w:eastAsia="zh-CN"/>
        </w:rPr>
        <w:t xml:space="preserve">投标人</w:t>
      </w:r>
      <w:r>
        <w:rPr>
          <w:rFonts w:hint="eastAsia" w:ascii="宋体" w:hAnsi="宋体"/>
          <w:b/>
          <w:color w:val="000000"/>
          <w:sz w:val="36"/>
          <w:szCs w:val="21"/>
        </w:rPr>
        <w:t xml:space="preserve">名称：</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66"/>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日</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期：</w:t>
      </w:r>
      <w:r>
        <w:rPr>
          <w:rFonts w:hint="eastAsia" w:ascii="宋体" w:hAnsi="宋体" w:eastAsia="宋体"/>
          <w:b/>
          <w:color w:val="000000"/>
          <w:sz w:val="36"/>
          <w:szCs w:val="21"/>
          <w:u w:val="single"/>
          <w:lang w:eastAsia="zh-CN"/>
        </w:rPr>
      </w:r>
      <w:r/>
    </w:p>
    <w:p>
      <w:pPr>
        <w:pStyle w:val="76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66"/>
        <w:spacing w:line="440" w:lineRule="exact"/>
        <w:rPr>
          <w:rFonts w:ascii="宋体" w:hAnsi="宋体"/>
          <w:color w:val="000000"/>
          <w:szCs w:val="21"/>
        </w:rPr>
      </w:pPr>
      <w:r>
        <w:rPr>
          <w:rFonts w:ascii="宋体" w:hAnsi="宋体"/>
          <w:color w:val="000000"/>
          <w:szCs w:val="21"/>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ascii="宋体" w:hAnsi="宋体"/>
          <w:b/>
          <w:color w:val="000000"/>
          <w:sz w:val="36"/>
          <w:szCs w:val="21"/>
          <w:u w:val="single"/>
        </w:rPr>
        <w:br w:type="page" w:clear="all"/>
      </w:r>
      <w:bookmarkEnd w:id="164"/>
      <w:r/>
      <w:bookmarkEnd w:id="165"/>
      <w:r/>
      <w:bookmarkEnd w:id="177"/>
      <w:r/>
      <w:bookmarkEnd w:id="178"/>
      <w:r/>
      <w:bookmarkEnd w:id="179"/>
      <w:r>
        <w:rPr>
          <w:rFonts w:hint="eastAsia" w:ascii="宋体" w:hAnsi="宋体" w:eastAsia="宋体" w:cs="宋体"/>
          <w:i/>
          <w:sz w:val="28"/>
          <w:szCs w:val="28"/>
          <w:u w:val="single"/>
        </w:rPr>
        <w:t xml:space="preserve">一、法人或者其他组织的营业执照等证明文件，自然人的身份证明</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rPr>
          <w:rFonts w:hint="eastAsia" w:ascii="宋体" w:hAnsi="宋体" w:eastAsia="宋体" w:cs="宋体"/>
          <w:bCs/>
          <w:sz w:val="24"/>
          <w:szCs w:val="24"/>
        </w:rPr>
      </w:r>
      <w:r/>
    </w:p>
    <w:p>
      <w:pPr>
        <w:pStyle w:val="766"/>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rPr>
          <w:rFonts w:hint="eastAsia" w:ascii="宋体" w:hAnsi="宋体" w:eastAsia="宋体" w:cs="宋体"/>
          <w:i/>
          <w:sz w:val="28"/>
          <w:szCs w:val="28"/>
          <w:u w:val="single"/>
        </w:rPr>
      </w:r>
      <w:r/>
    </w:p>
    <w:p>
      <w:pPr>
        <w:pStyle w:val="766"/>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rPr>
          <w:rFonts w:hint="eastAsia" w:ascii="宋体" w:hAnsi="宋体" w:eastAsia="宋体" w:cs="宋体"/>
          <w:sz w:val="28"/>
          <w:szCs w:val="28"/>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rPr>
          <w:rFonts w:hint="eastAsia" w:ascii="宋体" w:hAnsi="宋体" w:eastAsia="宋体" w:cs="宋体"/>
          <w:sz w:val="24"/>
          <w:szCs w:val="24"/>
        </w:rPr>
      </w:r>
      <w:r/>
    </w:p>
    <w:p>
      <w:pPr>
        <w:pStyle w:val="766"/>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rPr>
          <w:rFonts w:hint="eastAsia" w:ascii="宋体" w:hAnsi="宋体" w:eastAsia="宋体" w:cs="宋体"/>
          <w:i/>
          <w:sz w:val="28"/>
          <w:szCs w:val="28"/>
          <w:u w:val="single"/>
        </w:rPr>
      </w:r>
      <w:r/>
    </w:p>
    <w:p>
      <w:pPr>
        <w:pStyle w:val="766"/>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t xml:space="preserve">九、授权委托书与法定代表人（单位负责人）身份证明</w:t>
      </w:r>
      <w:r>
        <w:rPr>
          <w:rFonts w:hint="eastAsia" w:ascii="宋体" w:hAnsi="宋体" w:eastAsia="宋体" w:cs="宋体"/>
          <w:i/>
          <w:iCs/>
          <w:sz w:val="36"/>
          <w:u w:val="single"/>
        </w:rPr>
      </w:r>
      <w:r/>
    </w:p>
    <w:p>
      <w:pPr>
        <w:pStyle w:val="766"/>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rPr>
          <w:rFonts w:hint="eastAsia" w:ascii="宋体" w:hAnsi="宋体" w:eastAsia="宋体" w:cs="宋体"/>
          <w:sz w:val="24"/>
          <w:szCs w:val="24"/>
        </w:rPr>
      </w:r>
      <w:r/>
    </w:p>
    <w:p>
      <w:pPr>
        <w:pStyle w:val="766"/>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766"/>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66"/>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766"/>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766"/>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十、投标函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eastAsia="zh-CN"/>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66"/>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66"/>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766"/>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需填写全部采购需求标的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rPr>
          <w:rFonts w:hint="eastAsia" w:ascii="宋体" w:hAnsi="宋体" w:eastAsia="宋体" w:cs="宋体"/>
          <w:sz w:val="24"/>
          <w:szCs w:val="24"/>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66"/>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766"/>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766"/>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bCs/>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sz w:val="36"/>
        </w:rPr>
      </w:pPr>
      <w:r>
        <w:rPr>
          <w:rFonts w:hint="eastAsia" w:ascii="宋体" w:hAnsi="宋体" w:eastAsia="宋体" w:cs="宋体"/>
          <w:sz w:val="36"/>
        </w:rPr>
        <w:br w:type="page" w:clear="all"/>
      </w:r>
      <w:r>
        <w:rPr>
          <w:rFonts w:hint="eastAsia" w:ascii="宋体" w:hAnsi="宋体" w:eastAsia="宋体" w:cs="宋体"/>
          <w:sz w:val="36"/>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766"/>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990"/>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5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rPr>
                <w:rFonts w:hint="eastAsia" w:ascii="宋体" w:hAnsi="宋体" w:eastAsia="宋体" w:cs="宋体"/>
                <w:bCs/>
                <w:color w:val="000000"/>
                <w:szCs w:val="24"/>
              </w:rPr>
            </w:r>
            <w:r/>
          </w:p>
        </w:tc>
        <w:tc>
          <w:tcPr>
            <w:tcW w:w="70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121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rPr>
                <w:rFonts w:hint="eastAsia" w:ascii="宋体" w:hAnsi="宋体" w:eastAsia="宋体" w:cs="宋体"/>
                <w:bCs/>
                <w:color w:val="000000"/>
                <w:szCs w:val="24"/>
              </w:rPr>
            </w:r>
            <w:r/>
          </w:p>
        </w:tc>
        <w:tc>
          <w:tcPr>
            <w:tcW w:w="82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68"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tcW w:w="927"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8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6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75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793"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5284"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11"/>
            <w:tcW w:w="9299"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rPr>
                <w:rFonts w:hint="eastAsia" w:ascii="宋体" w:hAnsi="宋体" w:eastAsia="宋体" w:cs="宋体"/>
                <w:color w:val="000000"/>
                <w:szCs w:val="24"/>
              </w:rPr>
            </w:r>
            <w:r/>
          </w:p>
        </w:tc>
      </w:tr>
    </w:tbl>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4"/>
        </w:rPr>
      </w:r>
      <w:r/>
    </w:p>
    <w:p>
      <w:pPr>
        <w:pStyle w:val="766"/>
        <w:ind w:left="0" w:right="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pStyle w:val="766"/>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rPr>
          <w:rFonts w:hint="eastAsia" w:ascii="宋体" w:hAnsi="宋体" w:eastAsia="宋体" w:cs="宋体"/>
          <w:i/>
          <w:sz w:val="28"/>
          <w:szCs w:val="28"/>
          <w:u w:val="single"/>
        </w:rPr>
      </w:r>
      <w:r/>
    </w:p>
    <w:p>
      <w:pPr>
        <w:pStyle w:val="766"/>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766"/>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1564005</wp:posOffset>
                </wp:positionH>
                <wp:positionV relativeFrom="paragraph">
                  <wp:posOffset>741045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695960</wp:posOffset>
                </wp:positionH>
                <wp:positionV relativeFrom="paragraph">
                  <wp:posOffset>738505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4843145</wp:posOffset>
                </wp:positionH>
                <wp:positionV relativeFrom="paragraph">
                  <wp:posOffset>115570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4714240</wp:posOffset>
                </wp:positionH>
                <wp:positionV relativeFrom="paragraph">
                  <wp:posOffset>78740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1718945</wp:posOffset>
                </wp:positionH>
                <wp:positionV relativeFrom="paragraph">
                  <wp:posOffset>324485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766"/>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766"/>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766"/>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shd w:val="clear" w:color="auto" w:fill="ffffff"/>
          <w:lang w:val="en-US" w:eastAsia="zh-CN" w:bidi="ar-SA"/>
        </w:rPr>
      </w:r>
      <w:r/>
    </w:p>
    <w:p>
      <w:pPr>
        <w:pStyle w:val="766"/>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766"/>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766"/>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766"/>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766"/>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bookmarkStart w:id="180" w:name="_Hlt26955054"/>
      <w:r/>
      <w:bookmarkEnd w:id="180"/>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766"/>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bookmarkStart w:id="181" w:name="_Hlt24879081"/>
            <w:r/>
            <w:bookmarkEnd w:id="181"/>
            <w:r/>
            <w:bookmarkStart w:id="182" w:name="_Hlt26671372"/>
            <w:r/>
            <w:bookmarkEnd w:id="182"/>
            <w:r/>
            <w:bookmarkStart w:id="183" w:name="_Hlt26609391"/>
            <w:r/>
            <w:bookmarkEnd w:id="183"/>
            <w:r/>
            <w:bookmarkStart w:id="184" w:name="_Hlt26580838"/>
            <w:r/>
            <w:bookmarkEnd w:id="184"/>
            <w:r/>
            <w:bookmarkStart w:id="185" w:name="_Hlt26671343"/>
            <w:r/>
            <w:bookmarkEnd w:id="185"/>
            <w:r/>
            <w:bookmarkStart w:id="186" w:name="_Hlt26955064"/>
            <w:r/>
            <w:bookmarkEnd w:id="186"/>
            <w:r/>
            <w:bookmarkStart w:id="187" w:name="_Hlt26782999"/>
            <w:r/>
            <w:bookmarkEnd w:id="187"/>
            <w:r/>
            <w:bookmarkStart w:id="188" w:name="_Hlt26955056"/>
            <w:r/>
            <w:bookmarkEnd w:id="188"/>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bookmarkStart w:id="189" w:name="_Hlt26955066"/>
      <w:r/>
      <w:bookmarkEnd w:id="189"/>
      <w:r/>
      <w:bookmarkStart w:id="190" w:name="_Hlt26609389"/>
      <w:r/>
      <w:bookmarkEnd w:id="190"/>
      <w:r/>
      <w:bookmarkStart w:id="191" w:name="_Hlt26671374"/>
      <w:r/>
      <w:bookmarkEnd w:id="191"/>
      <w:r/>
      <w:bookmarkStart w:id="192" w:name="_格式2__法定代表人授权书"/>
      <w:r/>
      <w:bookmarkEnd w:id="192"/>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766"/>
        <w:numPr>
          <w:ilvl w:val="0"/>
          <w:numId w:val="0"/>
        </w:num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rPr>
          <w:rFonts w:hint="eastAsia" w:ascii="宋体" w:hAnsi="宋体" w:eastAsia="宋体" w:cs="宋体"/>
          <w:i/>
          <w:sz w:val="28"/>
          <w:szCs w:val="28"/>
          <w:u w:val="single"/>
        </w:rPr>
      </w:r>
      <w:r/>
    </w:p>
    <w:p>
      <w:pPr>
        <w:pStyle w:val="766"/>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766"/>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766"/>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66"/>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bCs/>
          <w:i/>
          <w:color w:val="000000"/>
          <w:sz w:val="36"/>
          <w:szCs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rPr>
      </w:r>
      <w:r/>
    </w:p>
    <w:p>
      <w:pPr>
        <w:pStyle w:val="766"/>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rPr>
          <w:rFonts w:hint="eastAsia" w:ascii="宋体" w:hAnsi="宋体" w:eastAsia="宋体" w:cs="Times New Roman"/>
          <w:color w:val="000000"/>
          <w:sz w:val="24"/>
          <w:szCs w:val="24"/>
        </w:rPr>
      </w:r>
      <w:r/>
    </w:p>
    <w:p>
      <w:pPr>
        <w:pStyle w:val="766"/>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Times New Roman" w:hAnsi="Times New Roman" w:eastAsia="宋体" w:cs="Times New Roman"/>
          <w:color w:val="000000"/>
          <w:sz w:val="24"/>
          <w:szCs w:val="24"/>
        </w:rPr>
      </w:r>
      <w:r/>
    </w:p>
    <w:p>
      <w:pPr>
        <w:pStyle w:val="766"/>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招标编号：</w:t>
      </w:r>
      <w:r>
        <w:rPr>
          <w:rFonts w:hint="eastAsia" w:ascii="宋体" w:hAnsi="宋体" w:eastAsia="宋体" w:cs="Times New Roman"/>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66"/>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rPr>
            </w:r>
            <w:r/>
          </w:p>
        </w:tc>
      </w:tr>
      <w:tr>
        <w:trPr>
          <w:cantSplit/>
          <w:trHeight w:val="612"/>
        </w:trPr>
        <w:tc>
          <w:tcPr>
            <w:gridSpan w:val="2"/>
            <w:tcW w:w="8886" w:type="dxa"/>
            <w:vAlign w:val="center"/>
            <w:textDirection w:val="lrTb"/>
            <w:noWrap w:val="false"/>
          </w:tcPr>
          <w:p>
            <w:pPr>
              <w:pStyle w:val="766"/>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Times New Roman"/>
                <w:color w:val="000000"/>
                <w:sz w:val="24"/>
                <w:szCs w:val="21"/>
                <w:lang w:eastAsia="zh-CN"/>
              </w:rPr>
            </w:r>
            <w:r/>
          </w:p>
        </w:tc>
      </w:tr>
      <w:tr>
        <w:trPr>
          <w:cantSplit/>
          <w:trHeight w:val="612"/>
        </w:trPr>
        <w:tc>
          <w:tcPr>
            <w:tcW w:w="2481" w:type="dxa"/>
            <w:vAlign w:val="center"/>
            <w:textDirection w:val="lrTb"/>
            <w:noWrap w:val="false"/>
          </w:tcPr>
          <w:p>
            <w:pPr>
              <w:pStyle w:val="766"/>
              <w:jc w:val="center"/>
              <w:spacing w:line="30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核心产品</w:t>
            </w:r>
            <w:r>
              <w:rPr>
                <w:rFonts w:ascii="宋体" w:hAnsi="宋体" w:eastAsia="宋体" w:cs="宋体"/>
                <w:color w:val="000000"/>
                <w:sz w:val="24"/>
                <w:szCs w:val="24"/>
                <w:lang w:val="en-US" w:eastAsia="zh-CN"/>
              </w:rPr>
            </w:r>
            <w:r/>
          </w:p>
        </w:tc>
        <w:tc>
          <w:tcPr>
            <w:tcW w:w="6405" w:type="dxa"/>
            <w:vAlign w:val="center"/>
            <w:textDirection w:val="lrTb"/>
            <w:noWrap w:val="false"/>
          </w:tcPr>
          <w:p>
            <w:pPr>
              <w:pStyle w:val="766"/>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66"/>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rPr>
          <w:rFonts w:ascii="宋体" w:hAnsi="宋体" w:eastAsia="宋体" w:cs="Times New Roman"/>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rPr>
          <w:rFonts w:hint="eastAsia" w:ascii="宋体" w:hAnsi="宋体" w:eastAsia="宋体" w:cs="宋体"/>
          <w:color w:val="000000"/>
          <w:sz w:val="24"/>
          <w:szCs w:val="24"/>
        </w:rPr>
      </w:r>
      <w:r/>
    </w:p>
    <w:p>
      <w:pPr>
        <w:pStyle w:val="766"/>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rPr>
          <w:rFonts w:hint="eastAsia" w:ascii="宋体" w:hAnsi="宋体" w:eastAsia="宋体" w:cs="宋体"/>
          <w:bCs/>
          <w:color w:val="000000"/>
          <w:sz w:val="40"/>
          <w:szCs w:val="32"/>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为自然人的，质疑函应附自然人身份证明复印件并由本人签字；质疑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val="0"/>
          <w:bCs/>
          <w:color w:val="000000"/>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tabs>
        <w:tab w:val="center" w:pos="4153" w:leader="none"/>
        <w:tab w:val="right" w:pos="8306" w:leader="none"/>
      </w:tabs>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rPr>
                              <w:rStyle w:val="839"/>
                              <w:rFonts w:ascii="宋体" w:hAnsi="宋体"/>
                            </w:rPr>
                          </w:pPr>
                          <w:r>
                            <w:rPr>
                              <w:rFonts w:ascii="宋体" w:hAnsi="宋体"/>
                            </w:rPr>
                            <w:fldChar w:fldCharType="begin"/>
                          </w:r>
                          <w:r>
                            <w:rPr>
                              <w:rStyle w:val="839"/>
                              <w:rFonts w:ascii="宋体" w:hAnsi="宋体"/>
                            </w:rPr>
                            <w:instrText xml:space="preserve">PAGE  </w:instrText>
                          </w:r>
                          <w:r>
                            <w:rPr>
                              <w:rFonts w:ascii="宋体" w:hAnsi="宋体"/>
                            </w:rPr>
                            <w:fldChar w:fldCharType="separate"/>
                          </w:r>
                          <w:r>
                            <w:rPr>
                              <w:rStyle w:val="839"/>
                              <w:rFonts w:ascii="宋体" w:hAnsi="宋体"/>
                            </w:rPr>
                            <w:t xml:space="preserve">４２</w:t>
                          </w:r>
                          <w:r>
                            <w:rPr>
                              <w:rFonts w:ascii="宋体" w:hAnsi="宋体"/>
                            </w:rPr>
                            <w:fldChar w:fldCharType="end"/>
                          </w:r>
                          <w:r>
                            <w:rPr>
                              <w:rStyle w:val="839"/>
                              <w:rFonts w:ascii="宋体" w:hAnsi="宋体"/>
                            </w:rPr>
                          </w:r>
                          <w:r/>
                        </w:p>
                        <w:p>
                          <w:pPr>
                            <w:pStyle w:val="7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rPr>
                        <w:rStyle w:val="839"/>
                        <w:rFonts w:ascii="宋体" w:hAnsi="宋体"/>
                      </w:rPr>
                    </w:pPr>
                    <w:r>
                      <w:rPr>
                        <w:rFonts w:ascii="宋体" w:hAnsi="宋体"/>
                      </w:rPr>
                      <w:fldChar w:fldCharType="begin"/>
                    </w:r>
                    <w:r>
                      <w:rPr>
                        <w:rStyle w:val="839"/>
                        <w:rFonts w:ascii="宋体" w:hAnsi="宋体"/>
                      </w:rPr>
                      <w:instrText xml:space="preserve">PAGE  </w:instrText>
                    </w:r>
                    <w:r>
                      <w:rPr>
                        <w:rFonts w:ascii="宋体" w:hAnsi="宋体"/>
                      </w:rPr>
                      <w:fldChar w:fldCharType="separate"/>
                    </w:r>
                    <w:r>
                      <w:rPr>
                        <w:rStyle w:val="839"/>
                        <w:rFonts w:ascii="宋体" w:hAnsi="宋体"/>
                      </w:rPr>
                      <w:t xml:space="preserve">４２</w:t>
                    </w:r>
                    <w:r>
                      <w:rPr>
                        <w:rFonts w:ascii="宋体" w:hAnsi="宋体"/>
                      </w:rPr>
                      <w:fldChar w:fldCharType="end"/>
                    </w:r>
                    <w:r>
                      <w:rPr>
                        <w:rStyle w:val="839"/>
                        <w:rFonts w:ascii="宋体" w:hAnsi="宋体"/>
                      </w:rPr>
                    </w:r>
                    <w:r/>
                  </w:p>
                  <w:p>
                    <w:pPr>
                      <w:pStyle w:val="766"/>
                    </w:pPr>
                    <w:r/>
                    <w:r/>
                  </w:p>
                </w:txbxContent>
              </v:textbox>
            </v:shape>
          </w:pict>
        </mc:Fallback>
      </mc:AlternateContent>
    </w:r>
    <w:r>
      <w:rPr>
        <w:rFonts w:hint="eastAsia" w:eastAsia="宋体"/>
        <w:b/>
        <w:i/>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rPr>
        <w:rStyle w:val="839"/>
      </w:rPr>
    </w:r>
    <w:r/>
  </w:p>
  <w:p>
    <w:pPr>
      <w:pStyle w:val="81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1">
    <w:multiLevelType w:val="hybridMultilevel"/>
    <w:lvl w:ilvl="0">
      <w:start w:val="7"/>
      <w:numFmt w:val="decimal"/>
      <w:isLgl w:val="false"/>
      <w:suff w:val="tab"/>
      <w:lvlText w:val="%1."/>
      <w:lvlJc w:val="left"/>
      <w:pPr>
        <w:pStyle w:val="7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45"/>
      <w:isLgl w:val="false"/>
      <w:suff w:val="tab"/>
      <w:lvlText w:val="附录%1."/>
      <w:lvlJc w:val="left"/>
      <w:pPr>
        <w:pStyle w:val="7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5">
    <w:multiLevelType w:val="hybridMultilevel"/>
    <w:lvl w:ilvl="0">
      <w:start w:val="1"/>
      <w:numFmt w:val="decimal"/>
      <w:pStyle w:val="862"/>
      <w:isLgl w:val="false"/>
      <w:suff w:val="tab"/>
      <w:lvlText w:val="%1."/>
      <w:lvlJc w:val="left"/>
      <w:pPr>
        <w:pStyle w:val="766"/>
        <w:ind w:left="709" w:hanging="709"/>
        <w:tabs>
          <w:tab w:val="num" w:pos="709" w:leader="none"/>
        </w:tabs>
      </w:pPr>
      <w:rPr>
        <w:rFonts w:hint="eastAsia"/>
      </w:rPr>
    </w:lvl>
    <w:lvl w:ilvl="1">
      <w:start w:val="1"/>
      <w:numFmt w:val="decimal"/>
      <w:isLgl w:val="false"/>
      <w:suff w:val="tab"/>
      <w:lvlText w:val="%1.%2"/>
      <w:lvlJc w:val="left"/>
      <w:pPr>
        <w:pStyle w:val="766"/>
        <w:ind w:left="709" w:hanging="709"/>
        <w:tabs>
          <w:tab w:val="num" w:pos="709" w:leader="none"/>
        </w:tabs>
      </w:pPr>
      <w:rPr>
        <w:rFonts w:hint="eastAsia"/>
      </w:rPr>
    </w:lvl>
    <w:lvl w:ilvl="2">
      <w:start w:val="1"/>
      <w:numFmt w:val="decimal"/>
      <w:isLgl w:val="false"/>
      <w:suff w:val="tab"/>
      <w:lvlText w:val="%1.%2.%3."/>
      <w:lvlJc w:val="left"/>
      <w:pPr>
        <w:pStyle w:val="766"/>
        <w:ind w:left="425" w:hanging="425"/>
        <w:tabs>
          <w:tab w:val="num" w:pos="425" w:leader="none"/>
        </w:tabs>
      </w:pPr>
      <w:rPr>
        <w:rFonts w:hint="eastAsia"/>
      </w:rPr>
    </w:lvl>
    <w:lvl w:ilvl="3">
      <w:start w:val="1"/>
      <w:numFmt w:val="decimal"/>
      <w:isLgl w:val="false"/>
      <w:suff w:val="tab"/>
      <w:lvlText w:val="%1.%2.%3.%4."/>
      <w:lvlJc w:val="left"/>
      <w:pPr>
        <w:pStyle w:val="766"/>
        <w:ind w:left="851" w:hanging="851"/>
        <w:tabs>
          <w:tab w:val="num" w:pos="851" w:leader="none"/>
        </w:tabs>
      </w:pPr>
      <w:rPr>
        <w:rFonts w:hint="eastAsia"/>
      </w:rPr>
    </w:lvl>
    <w:lvl w:ilvl="4">
      <w:start w:val="1"/>
      <w:numFmt w:val="decimal"/>
      <w:isLgl w:val="false"/>
      <w:suff w:val="tab"/>
      <w:lvlText w:val="%1.%2.%3.%4.%5."/>
      <w:lvlJc w:val="left"/>
      <w:pPr>
        <w:pStyle w:val="766"/>
        <w:ind w:left="992" w:hanging="992"/>
        <w:tabs>
          <w:tab w:val="num" w:pos="992" w:leader="none"/>
        </w:tabs>
      </w:pPr>
      <w:rPr>
        <w:rFonts w:hint="eastAsia"/>
      </w:rPr>
    </w:lvl>
    <w:lvl w:ilvl="5">
      <w:start w:val="1"/>
      <w:numFmt w:val="decimal"/>
      <w:isLgl w:val="false"/>
      <w:suff w:val="tab"/>
      <w:lvlText w:val="%1.%2.%3.%4.%5.%6."/>
      <w:lvlJc w:val="left"/>
      <w:pPr>
        <w:pStyle w:val="766"/>
        <w:ind w:left="1134" w:hanging="1134"/>
        <w:tabs>
          <w:tab w:val="num" w:pos="1134" w:leader="none"/>
        </w:tabs>
      </w:pPr>
      <w:rPr>
        <w:rFonts w:hint="eastAsia"/>
      </w:rPr>
    </w:lvl>
    <w:lvl w:ilvl="6">
      <w:start w:val="1"/>
      <w:numFmt w:val="decimal"/>
      <w:isLgl w:val="false"/>
      <w:suff w:val="tab"/>
      <w:lvlText w:val="%1.%2.%3.%4.%5.%6.%7."/>
      <w:lvlJc w:val="left"/>
      <w:pPr>
        <w:pStyle w:val="766"/>
        <w:ind w:left="1276" w:hanging="1276"/>
        <w:tabs>
          <w:tab w:val="num" w:pos="1276" w:leader="none"/>
        </w:tabs>
      </w:pPr>
      <w:rPr>
        <w:rFonts w:hint="eastAsia"/>
      </w:rPr>
    </w:lvl>
    <w:lvl w:ilvl="7">
      <w:start w:val="1"/>
      <w:numFmt w:val="decimal"/>
      <w:isLgl w:val="false"/>
      <w:suff w:val="tab"/>
      <w:lvlText w:val="%1.%2.%3.%4.%5.%6.%7.%8."/>
      <w:lvlJc w:val="left"/>
      <w:pPr>
        <w:pStyle w:val="766"/>
        <w:ind w:left="1418" w:hanging="1418"/>
        <w:tabs>
          <w:tab w:val="num" w:pos="1418" w:leader="none"/>
        </w:tabs>
      </w:pPr>
      <w:rPr>
        <w:rFonts w:hint="eastAsia"/>
      </w:rPr>
    </w:lvl>
    <w:lvl w:ilvl="8">
      <w:start w:val="1"/>
      <w:numFmt w:val="decimal"/>
      <w:isLgl w:val="false"/>
      <w:suff w:val="tab"/>
      <w:lvlText w:val="%1.%2.%3.%4.%5.%6.%7.%8.%9."/>
      <w:lvlJc w:val="left"/>
      <w:pPr>
        <w:pStyle w:val="766"/>
        <w:ind w:left="1559" w:hanging="1559"/>
        <w:tabs>
          <w:tab w:val="num" w:pos="1559" w:leader="none"/>
        </w:tabs>
      </w:pPr>
      <w:rPr>
        <w:rFonts w:hint="eastAsia"/>
      </w:rPr>
    </w:lvl>
  </w:abstractNum>
  <w:abstractNum w:abstractNumId="6">
    <w:multiLevelType w:val="hybridMultilevel"/>
    <w:lvl w:ilvl="0">
      <w:start w:val="23"/>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766"/>
        <w:ind w:left="0" w:firstLine="0"/>
      </w:pPr>
      <w:rPr>
        <w:rFonts w:hint="eastAsia"/>
      </w:rPr>
    </w:lvl>
    <w:lvl w:ilvl="1">
      <w:start w:val="1"/>
      <w:numFmt w:val="decimal"/>
      <w:isLgl w:val="false"/>
      <w:suff w:val="nothing"/>
      <w:lvlText w:val="%2、"/>
      <w:lvlJc w:val="left"/>
      <w:pPr>
        <w:pStyle w:val="766"/>
        <w:ind w:left="0" w:firstLine="0"/>
      </w:pPr>
      <w:rPr>
        <w:rFonts w:hint="eastAsia"/>
      </w:rPr>
    </w:lvl>
    <w:lvl w:ilvl="2">
      <w:start w:val="1"/>
      <w:numFmt w:val="decimal"/>
      <w:isLgl w:val="false"/>
      <w:suff w:val="nothing"/>
      <w:lvlText w:val="%2.%3 "/>
      <w:lvlJc w:val="left"/>
      <w:pPr>
        <w:pStyle w:val="766"/>
        <w:ind w:left="0" w:firstLine="0"/>
      </w:pPr>
      <w:rPr>
        <w:rFonts w:hint="eastAsia"/>
      </w:rPr>
    </w:lvl>
    <w:lvl w:ilvl="3">
      <w:start w:val="1"/>
      <w:numFmt w:val="decimal"/>
      <w:isLgl w:val="false"/>
      <w:suff w:val="nothing"/>
      <w:lvlText w:val="%2.%3.%4 "/>
      <w:lvlJc w:val="left"/>
      <w:pPr>
        <w:pStyle w:val="766"/>
        <w:ind w:left="0" w:firstLine="0"/>
      </w:pPr>
      <w:rPr>
        <w:rFonts w:hint="eastAsia"/>
      </w:rPr>
    </w:lvl>
    <w:lvl w:ilvl="4">
      <w:start w:val="1"/>
      <w:numFmt w:val="decimal"/>
      <w:isLgl w:val="false"/>
      <w:suff w:val="nothing"/>
      <w:lvlText w:val="%2.%3.%4.%5 "/>
      <w:lvlJc w:val="left"/>
      <w:pPr>
        <w:pStyle w:val="766"/>
        <w:ind w:left="0" w:firstLine="0"/>
      </w:pPr>
      <w:rPr>
        <w:rFonts w:hint="eastAsia"/>
      </w:rPr>
    </w:lvl>
    <w:lvl w:ilvl="5">
      <w:start w:val="1"/>
      <w:numFmt w:val="decimal"/>
      <w:pStyle w:val="772"/>
      <w:isLgl w:val="false"/>
      <w:suff w:val="nothing"/>
      <w:lvlText w:val=""/>
      <w:lvlJc w:val="left"/>
      <w:pPr>
        <w:pStyle w:val="766"/>
        <w:ind w:left="0" w:firstLine="0"/>
      </w:pPr>
      <w:rPr>
        <w:rFonts w:hint="eastAsia"/>
      </w:rPr>
    </w:lvl>
    <w:lvl w:ilvl="6">
      <w:start w:val="1"/>
      <w:numFmt w:val="decimal"/>
      <w:pStyle w:val="773"/>
      <w:isLgl w:val="false"/>
      <w:suff w:val="nothing"/>
      <w:lvlText w:val=""/>
      <w:lvlJc w:val="left"/>
      <w:pPr>
        <w:pStyle w:val="766"/>
        <w:ind w:left="0" w:firstLine="0"/>
      </w:pPr>
      <w:rPr>
        <w:rFonts w:hint="eastAsia"/>
      </w:rPr>
    </w:lvl>
    <w:lvl w:ilvl="7">
      <w:start w:val="1"/>
      <w:numFmt w:val="decimal"/>
      <w:pStyle w:val="774"/>
      <w:isLgl w:val="false"/>
      <w:suff w:val="nothing"/>
      <w:lvlText w:val=""/>
      <w:lvlJc w:val="left"/>
      <w:pPr>
        <w:pStyle w:val="766"/>
        <w:ind w:left="0" w:firstLine="0"/>
      </w:pPr>
      <w:rPr>
        <w:rFonts w:hint="eastAsia"/>
      </w:rPr>
    </w:lvl>
    <w:lvl w:ilvl="8">
      <w:start w:val="1"/>
      <w:numFmt w:val="decimal"/>
      <w:pStyle w:val="775"/>
      <w:isLgl w:val="false"/>
      <w:suff w:val="nothing"/>
      <w:lvlText w:val=""/>
      <w:lvlJc w:val="left"/>
      <w:pPr>
        <w:pStyle w:val="766"/>
        <w:ind w:left="0" w:firstLine="0"/>
      </w:pPr>
      <w:rPr>
        <w:rFonts w:hint="eastAsia"/>
      </w:rPr>
    </w:lvl>
  </w:abstractNum>
  <w:abstractNum w:abstractNumId="9">
    <w:multiLevelType w:val="hybridMultilevel"/>
    <w:lvl w:ilvl="0">
      <w:start w:val="6"/>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66"/>
        <w:ind w:left="0" w:firstLine="0"/>
      </w:pPr>
      <w:rPr>
        <w:rFonts w:hint="eastAsia" w:ascii="宋体" w:hAnsi="宋体" w:eastAsia="宋体"/>
      </w:rPr>
    </w:lvl>
    <w:lvl w:ilvl="1">
      <w:start w:val="1"/>
      <w:numFmt w:val="decimal"/>
      <w:isLgl w:val="false"/>
      <w:suff w:val="tab"/>
      <w:lvlText w:val="%2."/>
      <w:lvlJc w:val="left"/>
      <w:pPr>
        <w:pStyle w:val="766"/>
        <w:ind w:left="1440" w:hanging="360"/>
        <w:tabs>
          <w:tab w:val="num" w:pos="1440" w:leader="none"/>
        </w:tabs>
      </w:pPr>
    </w:lvl>
    <w:lvl w:ilvl="2">
      <w:start w:val="1"/>
      <w:numFmt w:val="decimal"/>
      <w:isLgl w:val="false"/>
      <w:suff w:val="tab"/>
      <w:lvlText w:val="%3."/>
      <w:lvlJc w:val="left"/>
      <w:pPr>
        <w:pStyle w:val="766"/>
        <w:ind w:left="2160" w:hanging="360"/>
        <w:tabs>
          <w:tab w:val="num" w:pos="2160" w:leader="none"/>
        </w:tabs>
      </w:pPr>
    </w:lvl>
    <w:lvl w:ilvl="3">
      <w:start w:val="1"/>
      <w:numFmt w:val="decimal"/>
      <w:isLgl w:val="false"/>
      <w:suff w:val="tab"/>
      <w:lvlText w:val="%4."/>
      <w:lvlJc w:val="left"/>
      <w:pPr>
        <w:pStyle w:val="766"/>
        <w:ind w:left="2880" w:hanging="360"/>
        <w:tabs>
          <w:tab w:val="num" w:pos="2880" w:leader="none"/>
        </w:tabs>
      </w:pPr>
    </w:lvl>
    <w:lvl w:ilvl="4">
      <w:start w:val="1"/>
      <w:numFmt w:val="decimal"/>
      <w:isLgl w:val="false"/>
      <w:suff w:val="tab"/>
      <w:lvlText w:val="%5."/>
      <w:lvlJc w:val="left"/>
      <w:pPr>
        <w:pStyle w:val="766"/>
        <w:ind w:left="3600" w:hanging="360"/>
        <w:tabs>
          <w:tab w:val="num" w:pos="3600" w:leader="none"/>
        </w:tabs>
      </w:pPr>
    </w:lvl>
    <w:lvl w:ilvl="5">
      <w:start w:val="1"/>
      <w:numFmt w:val="decimal"/>
      <w:isLgl w:val="false"/>
      <w:suff w:val="tab"/>
      <w:lvlText w:val="%6."/>
      <w:lvlJc w:val="left"/>
      <w:pPr>
        <w:pStyle w:val="766"/>
        <w:ind w:left="4320" w:hanging="360"/>
        <w:tabs>
          <w:tab w:val="num" w:pos="4320" w:leader="none"/>
        </w:tabs>
      </w:pPr>
    </w:lvl>
    <w:lvl w:ilvl="6">
      <w:start w:val="1"/>
      <w:numFmt w:val="decimal"/>
      <w:isLgl w:val="false"/>
      <w:suff w:val="tab"/>
      <w:lvlText w:val="%7."/>
      <w:lvlJc w:val="left"/>
      <w:pPr>
        <w:pStyle w:val="766"/>
        <w:ind w:left="5040" w:hanging="360"/>
        <w:tabs>
          <w:tab w:val="num" w:pos="5040" w:leader="none"/>
        </w:tabs>
      </w:pPr>
    </w:lvl>
    <w:lvl w:ilvl="7">
      <w:start w:val="1"/>
      <w:numFmt w:val="decimal"/>
      <w:isLgl w:val="false"/>
      <w:suff w:val="tab"/>
      <w:lvlText w:val="%8."/>
      <w:lvlJc w:val="left"/>
      <w:pPr>
        <w:pStyle w:val="766"/>
        <w:ind w:left="5760" w:hanging="360"/>
        <w:tabs>
          <w:tab w:val="num" w:pos="5760" w:leader="none"/>
        </w:tabs>
      </w:pPr>
    </w:lvl>
    <w:lvl w:ilvl="8">
      <w:start w:val="1"/>
      <w:numFmt w:val="decimal"/>
      <w:isLgl w:val="false"/>
      <w:suff w:val="tab"/>
      <w:lvlText w:val="%9."/>
      <w:lvlJc w:val="left"/>
      <w:pPr>
        <w:pStyle w:val="766"/>
        <w:ind w:left="6480" w:hanging="360"/>
        <w:tabs>
          <w:tab w:val="num" w:pos="6480" w:leader="none"/>
        </w:tabs>
      </w:pPr>
    </w:lvl>
  </w:abstractNum>
  <w:abstractNum w:abstractNumId="11">
    <w:multiLevelType w:val="hybridMultilevel"/>
    <w:lvl w:ilvl="0">
      <w:start w:val="1"/>
      <w:numFmt w:val="japaneseCounting"/>
      <w:isLgl w:val="false"/>
      <w:suff w:val="tab"/>
      <w:lvlText w:val="第%1章"/>
      <w:lvlJc w:val="left"/>
      <w:pPr>
        <w:pStyle w:val="76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11"/>
  </w:num>
  <w:num w:numId="5">
    <w:abstractNumId w:val="1"/>
  </w:num>
  <w:num w:numId="6">
    <w:abstractNumId w:val="2"/>
  </w:num>
  <w:num w:numId="7">
    <w:abstractNumId w:val="0"/>
  </w:num>
  <w:num w:numId="8">
    <w:abstractNumId w:val="7"/>
  </w:num>
  <w:num w:numId="9">
    <w:abstractNumId w:val="9"/>
  </w:num>
  <w:num w:numId="10">
    <w:abstractNumId w:val="4"/>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6"/>
    <w:next w:val="7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6"/>
    <w:next w:val="7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6"/>
    <w:next w:val="7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6"/>
    <w:next w:val="7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6"/>
    <w:next w:val="7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6"/>
    <w:next w:val="7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6"/>
    <w:next w:val="7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6"/>
    <w:next w:val="7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6"/>
    <w:next w:val="7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6"/>
    <w:next w:val="7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6"/>
    <w:next w:val="7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6"/>
    <w:next w:val="7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6"/>
    <w:next w:val="766"/>
    <w:uiPriority w:val="39"/>
    <w:unhideWhenUsed/>
    <w:pPr>
      <w:ind w:left="0" w:right="0" w:firstLine="0"/>
      <w:spacing w:after="57"/>
    </w:pPr>
  </w:style>
  <w:style w:type="paragraph" w:styleId="181">
    <w:name w:val="toc 2"/>
    <w:basedOn w:val="766"/>
    <w:next w:val="766"/>
    <w:uiPriority w:val="39"/>
    <w:unhideWhenUsed/>
    <w:pPr>
      <w:ind w:left="283" w:right="0" w:firstLine="0"/>
      <w:spacing w:after="57"/>
    </w:pPr>
  </w:style>
  <w:style w:type="paragraph" w:styleId="182">
    <w:name w:val="toc 3"/>
    <w:basedOn w:val="766"/>
    <w:next w:val="766"/>
    <w:uiPriority w:val="39"/>
    <w:unhideWhenUsed/>
    <w:pPr>
      <w:ind w:left="567" w:right="0" w:firstLine="0"/>
      <w:spacing w:after="57"/>
    </w:pPr>
  </w:style>
  <w:style w:type="paragraph" w:styleId="183">
    <w:name w:val="toc 4"/>
    <w:basedOn w:val="766"/>
    <w:next w:val="766"/>
    <w:uiPriority w:val="39"/>
    <w:unhideWhenUsed/>
    <w:pPr>
      <w:ind w:left="850" w:right="0" w:firstLine="0"/>
      <w:spacing w:after="57"/>
    </w:pPr>
  </w:style>
  <w:style w:type="paragraph" w:styleId="184">
    <w:name w:val="toc 5"/>
    <w:basedOn w:val="766"/>
    <w:next w:val="766"/>
    <w:uiPriority w:val="39"/>
    <w:unhideWhenUsed/>
    <w:pPr>
      <w:ind w:left="1134" w:right="0" w:firstLine="0"/>
      <w:spacing w:after="57"/>
    </w:pPr>
  </w:style>
  <w:style w:type="paragraph" w:styleId="185">
    <w:name w:val="toc 6"/>
    <w:basedOn w:val="766"/>
    <w:next w:val="766"/>
    <w:uiPriority w:val="39"/>
    <w:unhideWhenUsed/>
    <w:pPr>
      <w:ind w:left="1417" w:right="0" w:firstLine="0"/>
      <w:spacing w:after="57"/>
    </w:pPr>
  </w:style>
  <w:style w:type="paragraph" w:styleId="186">
    <w:name w:val="toc 7"/>
    <w:basedOn w:val="766"/>
    <w:next w:val="766"/>
    <w:uiPriority w:val="39"/>
    <w:unhideWhenUsed/>
    <w:pPr>
      <w:ind w:left="1701" w:right="0" w:firstLine="0"/>
      <w:spacing w:after="57"/>
    </w:pPr>
  </w:style>
  <w:style w:type="paragraph" w:styleId="187">
    <w:name w:val="toc 8"/>
    <w:basedOn w:val="766"/>
    <w:next w:val="766"/>
    <w:uiPriority w:val="39"/>
    <w:unhideWhenUsed/>
    <w:pPr>
      <w:ind w:left="1984" w:right="0" w:firstLine="0"/>
      <w:spacing w:after="57"/>
    </w:pPr>
  </w:style>
  <w:style w:type="paragraph" w:styleId="188">
    <w:name w:val="toc 9"/>
    <w:basedOn w:val="766"/>
    <w:next w:val="7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6"/>
    <w:next w:val="766"/>
    <w:uiPriority w:val="99"/>
    <w:unhideWhenUsed/>
    <w:pPr>
      <w:spacing w:after="0" w:afterAutospacing="0"/>
    </w:pPr>
  </w:style>
  <w:style w:type="paragraph" w:styleId="766" w:default="1">
    <w:name w:val="Normal"/>
    <w:next w:val="766"/>
    <w:link w:val="766"/>
    <w:qFormat/>
    <w:pPr>
      <w:jc w:val="both"/>
      <w:widowControl w:val="off"/>
    </w:pPr>
    <w:rPr>
      <w:sz w:val="21"/>
      <w:szCs w:val="22"/>
      <w:lang w:val="en-US" w:eastAsia="zh-CN" w:bidi="ar-SA"/>
    </w:rPr>
  </w:style>
  <w:style w:type="paragraph" w:styleId="767">
    <w:name w:val="标题 1"/>
    <w:basedOn w:val="766"/>
    <w:next w:val="766"/>
    <w:link w:val="778"/>
    <w:qFormat/>
    <w:pPr>
      <w:jc w:val="center"/>
      <w:keepNext/>
      <w:outlineLvl w:val="0"/>
    </w:pPr>
    <w:rPr>
      <w:rFonts w:ascii="楷体_GB2312" w:hAnsi="Times New Roman" w:eastAsia="楷体_GB2312" w:cs="Times New Roman"/>
      <w:sz w:val="28"/>
      <w:szCs w:val="28"/>
    </w:rPr>
  </w:style>
  <w:style w:type="paragraph" w:styleId="768">
    <w:name w:val="标题 2"/>
    <w:basedOn w:val="766"/>
    <w:next w:val="780"/>
    <w:link w:val="779"/>
    <w:qFormat/>
    <w:pPr>
      <w:jc w:val="center"/>
      <w:keepLines/>
      <w:keepNext/>
      <w:spacing w:before="260" w:after="260" w:line="416" w:lineRule="auto"/>
      <w:outlineLvl w:val="1"/>
    </w:pPr>
    <w:rPr>
      <w:rFonts w:ascii="Arial" w:hAnsi="Arial" w:eastAsia="幼圆" w:cs="Arial"/>
      <w:b/>
      <w:bCs/>
      <w:sz w:val="44"/>
      <w:szCs w:val="44"/>
    </w:rPr>
  </w:style>
  <w:style w:type="paragraph" w:styleId="769">
    <w:name w:val="标题 3"/>
    <w:basedOn w:val="766"/>
    <w:next w:val="766"/>
    <w:link w:val="782"/>
    <w:qFormat/>
    <w:pPr>
      <w:keepLines/>
      <w:keepNext/>
      <w:spacing w:before="260" w:after="260" w:line="416" w:lineRule="auto"/>
      <w:outlineLvl w:val="2"/>
    </w:pPr>
    <w:rPr>
      <w:rFonts w:ascii="Times New Roman" w:hAnsi="Times New Roman" w:eastAsia="宋体" w:cs="Times New Roman"/>
      <w:b/>
      <w:bCs/>
      <w:sz w:val="32"/>
      <w:szCs w:val="32"/>
    </w:rPr>
  </w:style>
  <w:style w:type="paragraph" w:styleId="770">
    <w:name w:val="标题 4"/>
    <w:basedOn w:val="766"/>
    <w:next w:val="780"/>
    <w:link w:val="783"/>
    <w:qFormat/>
    <w:pPr>
      <w:keepLines/>
      <w:keepNext/>
      <w:spacing w:before="280" w:after="290" w:line="376" w:lineRule="auto"/>
      <w:outlineLvl w:val="3"/>
    </w:pPr>
    <w:rPr>
      <w:rFonts w:ascii="Arial" w:hAnsi="Arial" w:eastAsia="黑体" w:cs="Arial"/>
      <w:b/>
      <w:bCs/>
      <w:sz w:val="28"/>
      <w:szCs w:val="28"/>
    </w:rPr>
  </w:style>
  <w:style w:type="paragraph" w:styleId="771">
    <w:name w:val="标题 5"/>
    <w:basedOn w:val="766"/>
    <w:next w:val="766"/>
    <w:link w:val="784"/>
    <w:qFormat/>
    <w:pPr>
      <w:keepNext/>
      <w:outlineLvl w:val="4"/>
    </w:pPr>
    <w:rPr>
      <w:rFonts w:ascii="宋体" w:hAnsi="Times New Roman" w:eastAsia="宋体" w:cs="Times New Roman"/>
      <w:color w:val="000000"/>
      <w:sz w:val="28"/>
      <w:szCs w:val="28"/>
    </w:rPr>
  </w:style>
  <w:style w:type="paragraph" w:styleId="772">
    <w:name w:val="标题 6"/>
    <w:basedOn w:val="766"/>
    <w:next w:val="766"/>
    <w:link w:val="7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73">
    <w:name w:val="标题 7"/>
    <w:basedOn w:val="766"/>
    <w:next w:val="766"/>
    <w:link w:val="7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74">
    <w:name w:val="标题 8"/>
    <w:basedOn w:val="766"/>
    <w:next w:val="766"/>
    <w:link w:val="7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75">
    <w:name w:val="标题 9"/>
    <w:basedOn w:val="766"/>
    <w:next w:val="766"/>
    <w:link w:val="788"/>
    <w:qFormat/>
    <w:pPr>
      <w:numPr>
        <w:ilvl w:val="8"/>
        <w:numId w:val="1"/>
      </w:numPr>
      <w:keepLines/>
      <w:keepNext/>
      <w:spacing w:before="240" w:after="64" w:line="320" w:lineRule="auto"/>
      <w:outlineLvl w:val="8"/>
    </w:pPr>
    <w:rPr>
      <w:rFonts w:ascii="Arial" w:hAnsi="Arial" w:eastAsia="黑体" w:cs="Times New Roman"/>
      <w:szCs w:val="21"/>
    </w:rPr>
  </w:style>
  <w:style w:type="character" w:styleId="776">
    <w:name w:val="默认段落字体"/>
    <w:next w:val="776"/>
    <w:link w:val="766"/>
    <w:uiPriority w:val="1"/>
    <w:unhideWhenUsed/>
  </w:style>
  <w:style w:type="table" w:styleId="777">
    <w:name w:val="普通表格"/>
    <w:next w:val="777"/>
    <w:link w:val="766"/>
    <w:uiPriority w:val="99"/>
    <w:unhideWhenUsed/>
    <w:tblPr/>
  </w:style>
  <w:style w:type="character" w:styleId="778">
    <w:name w:val="标题 1 Char"/>
    <w:next w:val="778"/>
    <w:link w:val="767"/>
    <w:rPr>
      <w:rFonts w:ascii="楷体_GB2312" w:hAnsi="Times New Roman" w:eastAsia="楷体_GB2312" w:cs="Times New Roman"/>
      <w:sz w:val="28"/>
      <w:szCs w:val="28"/>
    </w:rPr>
  </w:style>
  <w:style w:type="character" w:styleId="779">
    <w:name w:val="标题 2 Char"/>
    <w:next w:val="779"/>
    <w:link w:val="768"/>
    <w:rPr>
      <w:rFonts w:ascii="Arial" w:hAnsi="Arial" w:eastAsia="幼圆" w:cs="Arial"/>
      <w:b/>
      <w:bCs/>
      <w:sz w:val="44"/>
      <w:szCs w:val="44"/>
    </w:rPr>
  </w:style>
  <w:style w:type="paragraph" w:styleId="780">
    <w:name w:val="正文缩进"/>
    <w:basedOn w:val="766"/>
    <w:next w:val="780"/>
    <w:link w:val="781"/>
    <w:pPr>
      <w:ind w:firstLine="420"/>
    </w:pPr>
    <w:rPr>
      <w:szCs w:val="21"/>
    </w:rPr>
  </w:style>
  <w:style w:type="character" w:styleId="781">
    <w:name w:val="正文缩进 Char"/>
    <w:next w:val="781"/>
    <w:link w:val="780"/>
    <w:rPr>
      <w:szCs w:val="21"/>
    </w:rPr>
  </w:style>
  <w:style w:type="character" w:styleId="782">
    <w:name w:val="标题 3 Char"/>
    <w:next w:val="782"/>
    <w:link w:val="769"/>
    <w:rPr>
      <w:rFonts w:ascii="Times New Roman" w:hAnsi="Times New Roman" w:eastAsia="宋体" w:cs="Times New Roman"/>
      <w:b/>
      <w:bCs/>
      <w:sz w:val="32"/>
      <w:szCs w:val="32"/>
    </w:rPr>
  </w:style>
  <w:style w:type="character" w:styleId="783">
    <w:name w:val="标题 4 Char"/>
    <w:next w:val="783"/>
    <w:link w:val="770"/>
    <w:rPr>
      <w:rFonts w:ascii="Arial" w:hAnsi="Arial" w:eastAsia="黑体" w:cs="Arial"/>
      <w:b/>
      <w:bCs/>
      <w:sz w:val="28"/>
      <w:szCs w:val="28"/>
    </w:rPr>
  </w:style>
  <w:style w:type="character" w:styleId="784">
    <w:name w:val="标题 5 Char"/>
    <w:next w:val="784"/>
    <w:link w:val="771"/>
    <w:rPr>
      <w:rFonts w:ascii="宋体" w:hAnsi="Times New Roman" w:eastAsia="宋体" w:cs="Times New Roman"/>
      <w:color w:val="000000"/>
      <w:sz w:val="28"/>
      <w:szCs w:val="28"/>
    </w:rPr>
  </w:style>
  <w:style w:type="character" w:styleId="785">
    <w:name w:val="标题 6 Char"/>
    <w:next w:val="785"/>
    <w:link w:val="772"/>
    <w:rPr>
      <w:rFonts w:ascii="Arial" w:hAnsi="Arial" w:eastAsia="黑体" w:cs="Times New Roman"/>
      <w:b/>
      <w:bCs/>
      <w:sz w:val="24"/>
      <w:szCs w:val="24"/>
    </w:rPr>
  </w:style>
  <w:style w:type="character" w:styleId="786">
    <w:name w:val="标题 7 Char"/>
    <w:next w:val="786"/>
    <w:link w:val="773"/>
    <w:rPr>
      <w:rFonts w:ascii="Times New Roman" w:hAnsi="Times New Roman" w:eastAsia="宋体" w:cs="Times New Roman"/>
      <w:b/>
      <w:bCs/>
      <w:sz w:val="24"/>
      <w:szCs w:val="24"/>
    </w:rPr>
  </w:style>
  <w:style w:type="character" w:styleId="787">
    <w:name w:val="标题 8 Char"/>
    <w:next w:val="787"/>
    <w:link w:val="774"/>
    <w:rPr>
      <w:rFonts w:ascii="Arial" w:hAnsi="Arial" w:eastAsia="黑体" w:cs="Times New Roman"/>
      <w:sz w:val="24"/>
      <w:szCs w:val="24"/>
    </w:rPr>
  </w:style>
  <w:style w:type="character" w:styleId="788">
    <w:name w:val="标题 9 Char"/>
    <w:next w:val="788"/>
    <w:link w:val="775"/>
    <w:rPr>
      <w:rFonts w:ascii="Arial" w:hAnsi="Arial" w:eastAsia="黑体" w:cs="Times New Roman"/>
      <w:szCs w:val="21"/>
    </w:rPr>
  </w:style>
  <w:style w:type="paragraph" w:styleId="789">
    <w:name w:val="列表 3"/>
    <w:basedOn w:val="766"/>
    <w:next w:val="789"/>
    <w:link w:val="766"/>
    <w:pPr>
      <w:ind w:left="100" w:hanging="200"/>
    </w:pPr>
    <w:rPr>
      <w:rFonts w:ascii="Times New Roman" w:hAnsi="Times New Roman" w:eastAsia="宋体" w:cs="Times New Roman"/>
      <w:szCs w:val="21"/>
    </w:rPr>
  </w:style>
  <w:style w:type="paragraph" w:styleId="790">
    <w:name w:val="目录 7"/>
    <w:basedOn w:val="766"/>
    <w:next w:val="766"/>
    <w:link w:val="766"/>
    <w:semiHidden/>
    <w:pPr>
      <w:ind w:left="1260"/>
      <w:jc w:val="left"/>
    </w:pPr>
    <w:rPr>
      <w:rFonts w:ascii="Times New Roman" w:hAnsi="Times New Roman" w:eastAsia="宋体" w:cs="Times New Roman"/>
      <w:szCs w:val="21"/>
    </w:rPr>
  </w:style>
  <w:style w:type="paragraph" w:styleId="791">
    <w:name w:val="文档结构图"/>
    <w:basedOn w:val="766"/>
    <w:next w:val="791"/>
    <w:link w:val="792"/>
    <w:semiHidden/>
    <w:pPr>
      <w:shd w:val="clear" w:color="auto" w:fill="000080"/>
    </w:pPr>
    <w:rPr>
      <w:rFonts w:ascii="Times New Roman" w:hAnsi="Times New Roman" w:eastAsia="宋体" w:cs="Times New Roman"/>
      <w:szCs w:val="21"/>
    </w:rPr>
  </w:style>
  <w:style w:type="character" w:styleId="792">
    <w:name w:val="文档结构图 Char"/>
    <w:next w:val="792"/>
    <w:link w:val="791"/>
    <w:semiHidden/>
    <w:rPr>
      <w:rFonts w:ascii="Times New Roman" w:hAnsi="Times New Roman" w:eastAsia="宋体" w:cs="Times New Roman"/>
      <w:szCs w:val="21"/>
      <w:shd w:val="clear" w:color="auto" w:fill="000080"/>
    </w:rPr>
  </w:style>
  <w:style w:type="paragraph" w:styleId="793">
    <w:name w:val="批注文字"/>
    <w:basedOn w:val="766"/>
    <w:next w:val="793"/>
    <w:link w:val="794"/>
    <w:unhideWhenUsed/>
    <w:pPr>
      <w:jc w:val="left"/>
    </w:pPr>
  </w:style>
  <w:style w:type="character" w:styleId="794">
    <w:name w:val="批注文字 Char"/>
    <w:basedOn w:val="776"/>
    <w:next w:val="794"/>
    <w:link w:val="793"/>
    <w:uiPriority w:val="99"/>
    <w:semiHidden/>
  </w:style>
  <w:style w:type="paragraph" w:styleId="795">
    <w:name w:val="正文文本 3"/>
    <w:basedOn w:val="766"/>
    <w:next w:val="795"/>
    <w:link w:val="796"/>
    <w:rPr>
      <w:rFonts w:ascii="仿宋_GB2312" w:hAnsi="Arial" w:eastAsia="仿宋_GB2312" w:cs="Times New Roman"/>
      <w:sz w:val="32"/>
      <w:szCs w:val="32"/>
    </w:rPr>
  </w:style>
  <w:style w:type="character" w:styleId="796">
    <w:name w:val="正文文本 3 Char"/>
    <w:next w:val="796"/>
    <w:link w:val="795"/>
    <w:rPr>
      <w:rFonts w:ascii="仿宋_GB2312" w:hAnsi="Arial" w:eastAsia="仿宋_GB2312" w:cs="Times New Roman"/>
      <w:sz w:val="32"/>
      <w:szCs w:val="32"/>
    </w:rPr>
  </w:style>
  <w:style w:type="paragraph" w:styleId="797">
    <w:name w:val="正文文本"/>
    <w:basedOn w:val="766"/>
    <w:next w:val="797"/>
    <w:link w:val="798"/>
    <w:rPr>
      <w:rFonts w:ascii="楷体_GB2312" w:hAnsi="Arial" w:eastAsia="楷体_GB2312" w:cs="Times New Roman"/>
      <w:sz w:val="28"/>
      <w:szCs w:val="28"/>
    </w:rPr>
  </w:style>
  <w:style w:type="character" w:styleId="798">
    <w:name w:val="正文文本 Char"/>
    <w:next w:val="798"/>
    <w:link w:val="797"/>
    <w:rPr>
      <w:rFonts w:ascii="楷体_GB2312" w:hAnsi="Arial" w:eastAsia="楷体_GB2312" w:cs="Times New Roman"/>
      <w:sz w:val="28"/>
      <w:szCs w:val="28"/>
    </w:rPr>
  </w:style>
  <w:style w:type="paragraph" w:styleId="799">
    <w:name w:val="正文文本缩进"/>
    <w:basedOn w:val="766"/>
    <w:next w:val="799"/>
    <w:link w:val="800"/>
    <w:unhideWhenUsed/>
    <w:pPr>
      <w:ind w:left="420"/>
      <w:spacing w:after="120"/>
    </w:pPr>
  </w:style>
  <w:style w:type="character" w:styleId="800">
    <w:name w:val="正文文本缩进 Char"/>
    <w:basedOn w:val="776"/>
    <w:next w:val="800"/>
    <w:link w:val="799"/>
    <w:uiPriority w:val="99"/>
    <w:semiHidden/>
  </w:style>
  <w:style w:type="paragraph" w:styleId="801">
    <w:name w:val="列表 2"/>
    <w:basedOn w:val="766"/>
    <w:next w:val="801"/>
    <w:link w:val="766"/>
    <w:pPr>
      <w:ind w:left="100" w:hanging="200"/>
    </w:pPr>
    <w:rPr>
      <w:rFonts w:ascii="Times New Roman" w:hAnsi="Times New Roman" w:eastAsia="宋体" w:cs="Times New Roman"/>
      <w:szCs w:val="21"/>
    </w:rPr>
  </w:style>
  <w:style w:type="paragraph" w:styleId="802">
    <w:name w:val="目录 5"/>
    <w:basedOn w:val="766"/>
    <w:next w:val="766"/>
    <w:link w:val="766"/>
    <w:semiHidden/>
    <w:pPr>
      <w:ind w:left="840"/>
      <w:jc w:val="left"/>
    </w:pPr>
    <w:rPr>
      <w:rFonts w:ascii="Times New Roman" w:hAnsi="Times New Roman" w:eastAsia="宋体" w:cs="Times New Roman"/>
      <w:szCs w:val="21"/>
    </w:rPr>
  </w:style>
  <w:style w:type="paragraph" w:styleId="803">
    <w:name w:val="目录 3"/>
    <w:basedOn w:val="766"/>
    <w:next w:val="766"/>
    <w:link w:val="766"/>
    <w:semiHidden/>
    <w:pPr>
      <w:ind w:left="420"/>
      <w:jc w:val="left"/>
    </w:pPr>
    <w:rPr>
      <w:rFonts w:ascii="Times New Roman" w:hAnsi="Times New Roman" w:eastAsia="宋体" w:cs="Times New Roman"/>
      <w:i/>
      <w:iCs/>
      <w:szCs w:val="24"/>
    </w:rPr>
  </w:style>
  <w:style w:type="paragraph" w:styleId="804">
    <w:name w:val="纯文本"/>
    <w:basedOn w:val="766"/>
    <w:next w:val="804"/>
    <w:link w:val="805"/>
    <w:rPr>
      <w:rFonts w:ascii="宋体" w:hAnsi="Courier New" w:eastAsia="宋体" w:cs="Courier New"/>
      <w:szCs w:val="21"/>
    </w:rPr>
  </w:style>
  <w:style w:type="character" w:styleId="805">
    <w:name w:val="纯文本 Char"/>
    <w:next w:val="805"/>
    <w:link w:val="804"/>
    <w:rPr>
      <w:rFonts w:ascii="宋体" w:hAnsi="Courier New" w:eastAsia="宋体" w:cs="Courier New"/>
      <w:szCs w:val="21"/>
    </w:rPr>
  </w:style>
  <w:style w:type="paragraph" w:styleId="806">
    <w:name w:val="目录 8"/>
    <w:basedOn w:val="766"/>
    <w:next w:val="766"/>
    <w:link w:val="766"/>
    <w:semiHidden/>
    <w:pPr>
      <w:ind w:left="1470"/>
      <w:jc w:val="left"/>
    </w:pPr>
    <w:rPr>
      <w:rFonts w:ascii="Times New Roman" w:hAnsi="Times New Roman" w:eastAsia="宋体" w:cs="Times New Roman"/>
      <w:szCs w:val="21"/>
    </w:rPr>
  </w:style>
  <w:style w:type="paragraph" w:styleId="807">
    <w:name w:val="日期"/>
    <w:basedOn w:val="766"/>
    <w:next w:val="766"/>
    <w:link w:val="808"/>
    <w:rPr>
      <w:rFonts w:ascii="Times New Roman" w:hAnsi="Times New Roman" w:eastAsia="宋体" w:cs="Times New Roman"/>
      <w:sz w:val="24"/>
      <w:szCs w:val="24"/>
    </w:rPr>
  </w:style>
  <w:style w:type="character" w:styleId="808">
    <w:name w:val="日期 Char"/>
    <w:next w:val="808"/>
    <w:link w:val="807"/>
    <w:rPr>
      <w:rFonts w:ascii="Times New Roman" w:hAnsi="Times New Roman" w:eastAsia="宋体" w:cs="Times New Roman"/>
      <w:sz w:val="24"/>
      <w:szCs w:val="24"/>
    </w:rPr>
  </w:style>
  <w:style w:type="paragraph" w:styleId="809">
    <w:name w:val="正文文本缩进 2"/>
    <w:basedOn w:val="766"/>
    <w:next w:val="809"/>
    <w:link w:val="810"/>
    <w:pPr>
      <w:ind w:left="630" w:firstLine="645"/>
    </w:pPr>
    <w:rPr>
      <w:rFonts w:ascii="Arial" w:hAnsi="Arial" w:eastAsia="仿宋_GB2312" w:cs="Arial"/>
      <w:sz w:val="32"/>
      <w:szCs w:val="32"/>
    </w:rPr>
  </w:style>
  <w:style w:type="character" w:styleId="810">
    <w:name w:val="正文文本缩进 2 Char"/>
    <w:next w:val="810"/>
    <w:link w:val="809"/>
    <w:rPr>
      <w:rFonts w:ascii="Arial" w:hAnsi="Arial" w:eastAsia="仿宋_GB2312" w:cs="Arial"/>
      <w:sz w:val="32"/>
      <w:szCs w:val="32"/>
    </w:rPr>
  </w:style>
  <w:style w:type="paragraph" w:styleId="811">
    <w:name w:val="批注框文本"/>
    <w:basedOn w:val="766"/>
    <w:next w:val="811"/>
    <w:link w:val="812"/>
    <w:semiHidden/>
    <w:rPr>
      <w:rFonts w:ascii="Times New Roman" w:hAnsi="Times New Roman" w:eastAsia="宋体" w:cs="Times New Roman"/>
      <w:sz w:val="18"/>
      <w:szCs w:val="18"/>
    </w:rPr>
  </w:style>
  <w:style w:type="character" w:styleId="812">
    <w:name w:val="批注框文本 Char"/>
    <w:next w:val="812"/>
    <w:link w:val="811"/>
    <w:semiHidden/>
    <w:rPr>
      <w:rFonts w:ascii="Times New Roman" w:hAnsi="Times New Roman" w:eastAsia="宋体" w:cs="Times New Roman"/>
      <w:sz w:val="18"/>
      <w:szCs w:val="18"/>
    </w:rPr>
  </w:style>
  <w:style w:type="paragraph" w:styleId="813">
    <w:name w:val="页脚"/>
    <w:basedOn w:val="766"/>
    <w:next w:val="813"/>
    <w:link w:val="814"/>
    <w:pPr>
      <w:jc w:val="left"/>
      <w:tabs>
        <w:tab w:val="center" w:pos="4153" w:leader="none"/>
        <w:tab w:val="right" w:pos="8306" w:leader="none"/>
      </w:tabs>
    </w:pPr>
    <w:rPr>
      <w:rFonts w:ascii="Times New Roman" w:hAnsi="Times New Roman" w:eastAsia="宋体" w:cs="Times New Roman"/>
      <w:sz w:val="18"/>
      <w:szCs w:val="18"/>
    </w:rPr>
  </w:style>
  <w:style w:type="character" w:styleId="814">
    <w:name w:val="页脚 Char"/>
    <w:next w:val="814"/>
    <w:link w:val="813"/>
    <w:rPr>
      <w:rFonts w:ascii="Times New Roman" w:hAnsi="Times New Roman" w:eastAsia="宋体" w:cs="Times New Roman"/>
      <w:sz w:val="18"/>
      <w:szCs w:val="18"/>
    </w:rPr>
  </w:style>
  <w:style w:type="paragraph" w:styleId="815">
    <w:name w:val="页眉"/>
    <w:basedOn w:val="766"/>
    <w:next w:val="815"/>
    <w:link w:val="81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6">
    <w:name w:val="页眉 Char"/>
    <w:next w:val="816"/>
    <w:link w:val="815"/>
    <w:rPr>
      <w:rFonts w:ascii="Times New Roman" w:hAnsi="Times New Roman" w:eastAsia="宋体" w:cs="Times New Roman"/>
      <w:sz w:val="18"/>
      <w:szCs w:val="18"/>
    </w:rPr>
  </w:style>
  <w:style w:type="paragraph" w:styleId="817">
    <w:name w:val="目录 1"/>
    <w:basedOn w:val="766"/>
    <w:next w:val="766"/>
    <w:link w:val="76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8">
    <w:name w:val="目录 4"/>
    <w:basedOn w:val="766"/>
    <w:next w:val="766"/>
    <w:link w:val="766"/>
    <w:semiHidden/>
    <w:pPr>
      <w:ind w:left="630"/>
      <w:jc w:val="left"/>
    </w:pPr>
    <w:rPr>
      <w:rFonts w:ascii="Times New Roman" w:hAnsi="Times New Roman" w:eastAsia="宋体" w:cs="Times New Roman"/>
      <w:szCs w:val="21"/>
    </w:rPr>
  </w:style>
  <w:style w:type="paragraph" w:styleId="819">
    <w:name w:val="列表"/>
    <w:basedOn w:val="766"/>
    <w:next w:val="819"/>
    <w:link w:val="766"/>
    <w:pPr>
      <w:ind w:left="200" w:hanging="200"/>
    </w:pPr>
    <w:rPr>
      <w:rFonts w:ascii="Times New Roman" w:hAnsi="Times New Roman" w:eastAsia="宋体" w:cs="Times New Roman"/>
      <w:szCs w:val="21"/>
    </w:rPr>
  </w:style>
  <w:style w:type="paragraph" w:styleId="820">
    <w:name w:val="目录 6"/>
    <w:basedOn w:val="766"/>
    <w:next w:val="766"/>
    <w:link w:val="766"/>
    <w:semiHidden/>
    <w:pPr>
      <w:ind w:left="1050"/>
      <w:jc w:val="left"/>
    </w:pPr>
    <w:rPr>
      <w:rFonts w:ascii="Times New Roman" w:hAnsi="Times New Roman" w:eastAsia="宋体" w:cs="Times New Roman"/>
      <w:szCs w:val="21"/>
    </w:rPr>
  </w:style>
  <w:style w:type="paragraph" w:styleId="821">
    <w:name w:val="正文文本缩进 3"/>
    <w:basedOn w:val="766"/>
    <w:next w:val="821"/>
    <w:link w:val="822"/>
    <w:pPr>
      <w:ind w:left="645" w:firstLine="645"/>
    </w:pPr>
    <w:rPr>
      <w:rFonts w:ascii="Arial" w:hAnsi="Arial" w:eastAsia="仿宋_GB2312" w:cs="Arial"/>
      <w:color w:val="ffff00"/>
      <w:sz w:val="32"/>
      <w:szCs w:val="32"/>
    </w:rPr>
  </w:style>
  <w:style w:type="character" w:styleId="822">
    <w:name w:val="正文文本缩进 3 Char"/>
    <w:next w:val="822"/>
    <w:link w:val="821"/>
    <w:rPr>
      <w:rFonts w:ascii="Arial" w:hAnsi="Arial" w:eastAsia="仿宋_GB2312" w:cs="Arial"/>
      <w:color w:val="ffff00"/>
      <w:sz w:val="32"/>
      <w:szCs w:val="32"/>
    </w:rPr>
  </w:style>
  <w:style w:type="paragraph" w:styleId="823">
    <w:name w:val="图表目录"/>
    <w:basedOn w:val="766"/>
    <w:next w:val="766"/>
    <w:link w:val="766"/>
    <w:semiHidden/>
    <w:pPr>
      <w:ind w:left="840" w:hanging="420"/>
    </w:pPr>
    <w:rPr>
      <w:rFonts w:ascii="Times New Roman" w:hAnsi="Times New Roman" w:eastAsia="宋体" w:cs="Times New Roman"/>
      <w:szCs w:val="21"/>
    </w:rPr>
  </w:style>
  <w:style w:type="paragraph" w:styleId="824">
    <w:name w:val="目录 2"/>
    <w:basedOn w:val="766"/>
    <w:next w:val="766"/>
    <w:link w:val="766"/>
    <w:semiHidden/>
    <w:pPr>
      <w:ind w:left="210"/>
      <w:jc w:val="left"/>
    </w:pPr>
    <w:rPr>
      <w:rFonts w:ascii="Times New Roman" w:hAnsi="Times New Roman" w:eastAsia="宋体" w:cs="Times New Roman"/>
      <w:smallCaps/>
      <w:szCs w:val="24"/>
    </w:rPr>
  </w:style>
  <w:style w:type="paragraph" w:styleId="825">
    <w:name w:val="目录 9"/>
    <w:basedOn w:val="766"/>
    <w:next w:val="766"/>
    <w:link w:val="766"/>
    <w:semiHidden/>
    <w:pPr>
      <w:ind w:left="1680"/>
      <w:jc w:val="left"/>
    </w:pPr>
    <w:rPr>
      <w:rFonts w:ascii="Times New Roman" w:hAnsi="Times New Roman" w:eastAsia="宋体" w:cs="Times New Roman"/>
      <w:szCs w:val="21"/>
    </w:rPr>
  </w:style>
  <w:style w:type="paragraph" w:styleId="826">
    <w:name w:val="正文文本 2"/>
    <w:basedOn w:val="766"/>
    <w:next w:val="826"/>
    <w:link w:val="827"/>
    <w:pPr>
      <w:jc w:val="center"/>
      <w:widowControl/>
    </w:pPr>
    <w:rPr>
      <w:rFonts w:ascii="楷体_GB2312" w:hAnsi="Times New Roman" w:eastAsia="楷体_GB2312" w:cs="Times New Roman"/>
      <w:sz w:val="28"/>
      <w:szCs w:val="28"/>
    </w:rPr>
  </w:style>
  <w:style w:type="character" w:styleId="827">
    <w:name w:val="正文文本 2 Char"/>
    <w:next w:val="827"/>
    <w:link w:val="826"/>
    <w:rPr>
      <w:rFonts w:ascii="楷体_GB2312" w:hAnsi="Times New Roman" w:eastAsia="楷体_GB2312" w:cs="Times New Roman"/>
      <w:sz w:val="28"/>
      <w:szCs w:val="28"/>
    </w:rPr>
  </w:style>
  <w:style w:type="paragraph" w:styleId="828">
    <w:name w:val="HTML 预设格式"/>
    <w:basedOn w:val="766"/>
    <w:next w:val="828"/>
    <w:link w:val="7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9">
    <w:name w:val="普通(网站)"/>
    <w:basedOn w:val="766"/>
    <w:next w:val="829"/>
    <w:link w:val="766"/>
    <w:uiPriority w:val="99"/>
    <w:pPr>
      <w:jc w:val="left"/>
      <w:spacing w:before="100" w:beforeAutospacing="1" w:after="100" w:afterAutospacing="1"/>
      <w:widowControl/>
    </w:pPr>
    <w:rPr>
      <w:rFonts w:ascii="宋体" w:hAnsi="宋体" w:eastAsia="宋体" w:cs="宋体"/>
      <w:sz w:val="24"/>
      <w:szCs w:val="24"/>
    </w:rPr>
  </w:style>
  <w:style w:type="paragraph" w:styleId="830">
    <w:name w:val="索引 1"/>
    <w:basedOn w:val="766"/>
    <w:next w:val="766"/>
    <w:link w:val="766"/>
    <w:semiHidden/>
    <w:pPr>
      <w:spacing w:line="240" w:lineRule="atLeast"/>
    </w:pPr>
    <w:rPr>
      <w:rFonts w:ascii="Times New Roman" w:hAnsi="Times New Roman" w:eastAsia="宋体" w:cs="Times New Roman"/>
      <w:b/>
      <w:bCs/>
      <w:szCs w:val="21"/>
    </w:rPr>
  </w:style>
  <w:style w:type="paragraph" w:styleId="831">
    <w:name w:val="批注主题"/>
    <w:basedOn w:val="793"/>
    <w:next w:val="793"/>
    <w:link w:val="832"/>
    <w:semiHidden/>
    <w:rPr>
      <w:rFonts w:ascii="Times New Roman" w:hAnsi="Times New Roman" w:eastAsia="宋体" w:cs="Times New Roman"/>
      <w:b/>
      <w:bCs/>
      <w:szCs w:val="21"/>
    </w:rPr>
  </w:style>
  <w:style w:type="character" w:styleId="832">
    <w:name w:val="批注主题 Char"/>
    <w:next w:val="832"/>
    <w:link w:val="831"/>
    <w:semiHidden/>
    <w:rPr>
      <w:rFonts w:ascii="Times New Roman" w:hAnsi="Times New Roman" w:eastAsia="宋体" w:cs="Times New Roman"/>
      <w:b/>
      <w:bCs/>
      <w:szCs w:val="21"/>
    </w:rPr>
  </w:style>
  <w:style w:type="paragraph" w:styleId="833">
    <w:name w:val="正文首行缩进"/>
    <w:basedOn w:val="766"/>
    <w:next w:val="833"/>
    <w:link w:val="834"/>
    <w:pPr>
      <w:ind w:firstLine="200"/>
      <w:spacing w:line="360" w:lineRule="auto"/>
    </w:pPr>
    <w:rPr>
      <w:rFonts w:ascii="仿宋_GB2312" w:hAnsi="Times New Roman" w:eastAsia="仿宋_GB2312" w:cs="Times New Roman"/>
      <w:sz w:val="30"/>
      <w:szCs w:val="30"/>
    </w:rPr>
  </w:style>
  <w:style w:type="character" w:styleId="834">
    <w:name w:val="正文首行缩进 Char"/>
    <w:next w:val="834"/>
    <w:link w:val="833"/>
    <w:rPr>
      <w:rFonts w:ascii="仿宋_GB2312" w:hAnsi="Times New Roman" w:eastAsia="仿宋_GB2312" w:cs="Times New Roman"/>
      <w:sz w:val="30"/>
      <w:szCs w:val="30"/>
    </w:rPr>
  </w:style>
  <w:style w:type="paragraph" w:styleId="835">
    <w:name w:val="正文首行缩进 2"/>
    <w:basedOn w:val="799"/>
    <w:next w:val="835"/>
    <w:link w:val="836"/>
    <w:pPr>
      <w:ind w:left="0" w:firstLine="420"/>
      <w:spacing w:after="0" w:line="360" w:lineRule="auto"/>
    </w:pPr>
    <w:rPr>
      <w:rFonts w:ascii="宋体" w:hAnsi="宋体" w:eastAsia="宋体" w:cs="Times New Roman"/>
      <w:szCs w:val="20"/>
    </w:rPr>
  </w:style>
  <w:style w:type="character" w:styleId="836">
    <w:name w:val="正文首行缩进 2 Char"/>
    <w:next w:val="836"/>
    <w:link w:val="835"/>
    <w:rPr>
      <w:rFonts w:ascii="宋体" w:hAnsi="宋体" w:eastAsia="宋体" w:cs="Times New Roman"/>
      <w:szCs w:val="20"/>
    </w:rPr>
  </w:style>
  <w:style w:type="table" w:styleId="837">
    <w:name w:val="网格型"/>
    <w:basedOn w:val="777"/>
    <w:next w:val="837"/>
    <w:link w:val="766"/>
    <w:pPr>
      <w:jc w:val="both"/>
      <w:widowControl w:val="off"/>
    </w:pPr>
    <w:rPr>
      <w:rFonts w:ascii="Times New Roman" w:hAnsi="Times New Roman" w:eastAsia="宋体" w:cs="Times New Roman"/>
      <w:sz w:val="20"/>
      <w:szCs w:val="20"/>
    </w:rPr>
    <w:tblPr/>
  </w:style>
  <w:style w:type="character" w:styleId="838">
    <w:name w:val="要点"/>
    <w:next w:val="838"/>
    <w:link w:val="766"/>
    <w:qFormat/>
    <w:rPr>
      <w:b/>
      <w:bCs/>
    </w:rPr>
  </w:style>
  <w:style w:type="character" w:styleId="839">
    <w:name w:val="页码"/>
    <w:next w:val="839"/>
    <w:link w:val="766"/>
  </w:style>
  <w:style w:type="character" w:styleId="840">
    <w:name w:val="已访问的超链接"/>
    <w:next w:val="840"/>
    <w:link w:val="766"/>
    <w:rPr>
      <w:color w:val="800080"/>
      <w:u w:val="single"/>
    </w:rPr>
  </w:style>
  <w:style w:type="character" w:styleId="841">
    <w:name w:val="超链接"/>
    <w:next w:val="841"/>
    <w:link w:val="766"/>
    <w:rPr>
      <w:color w:val="0000ff"/>
      <w:u w:val="single"/>
    </w:rPr>
  </w:style>
  <w:style w:type="character" w:styleId="842">
    <w:name w:val="批注引用"/>
    <w:next w:val="842"/>
    <w:link w:val="766"/>
    <w:semiHidden/>
    <w:rPr>
      <w:sz w:val="21"/>
      <w:szCs w:val="21"/>
    </w:rPr>
  </w:style>
  <w:style w:type="character" w:styleId="843">
    <w:name w:val="font5 Char"/>
    <w:next w:val="843"/>
    <w:link w:val="766"/>
    <w:rPr>
      <w:rFonts w:ascii="宋体" w:hAnsi="宋体" w:eastAsia="宋体"/>
      <w:sz w:val="28"/>
      <w:szCs w:val="28"/>
      <w:lang w:val="en-US" w:eastAsia="zh-CN" w:bidi="ar-SA"/>
    </w:rPr>
  </w:style>
  <w:style w:type="character" w:styleId="844">
    <w:name w:val="二级目录 Char"/>
    <w:next w:val="844"/>
    <w:link w:val="845"/>
    <w:rPr>
      <w:b/>
      <w:sz w:val="30"/>
      <w:szCs w:val="28"/>
    </w:rPr>
  </w:style>
  <w:style w:type="paragraph" w:styleId="845">
    <w:name w:val="二级目录"/>
    <w:next w:val="766"/>
    <w:link w:val="844"/>
    <w:pPr>
      <w:numPr>
        <w:ilvl w:val="0"/>
        <w:numId w:val="2"/>
      </w:numPr>
      <w:tabs>
        <w:tab w:val="left" w:pos="907" w:leader="none"/>
        <w:tab w:val="left" w:pos="1145" w:leader="none"/>
      </w:tabs>
      <w:outlineLvl w:val="1"/>
    </w:pPr>
    <w:rPr>
      <w:b/>
      <w:sz w:val="30"/>
      <w:szCs w:val="28"/>
      <w:lang w:val="en-US" w:eastAsia="zh-CN" w:bidi="ar-SA"/>
    </w:rPr>
  </w:style>
  <w:style w:type="character" w:styleId="846">
    <w:name w:val="列出段落 Char,Bullet List Char,numbered Char,FooterText Char,List Paragraph1 Char,Paragraphe de liste1 Char"/>
    <w:next w:val="846"/>
    <w:link w:val="847"/>
    <w:rPr>
      <w:rFonts w:ascii="Calibri" w:hAnsi="Calibri"/>
      <w:sz w:val="24"/>
      <w:szCs w:val="24"/>
      <w:lang w:eastAsia="en-US" w:bidi="en-US"/>
    </w:rPr>
  </w:style>
  <w:style w:type="paragraph" w:styleId="847">
    <w:name w:val="列出段落1"/>
    <w:basedOn w:val="766"/>
    <w:next w:val="847"/>
    <w:link w:val="846"/>
    <w:qFormat/>
    <w:pPr>
      <w:contextualSpacing/>
      <w:ind w:left="720"/>
      <w:jc w:val="left"/>
      <w:widowControl/>
    </w:pPr>
    <w:rPr>
      <w:rFonts w:ascii="Calibri" w:hAnsi="Calibri"/>
      <w:sz w:val="24"/>
      <w:szCs w:val="24"/>
      <w:lang w:eastAsia="en-US" w:bidi="en-US"/>
    </w:rPr>
  </w:style>
  <w:style w:type="paragraph" w:styleId="848">
    <w:name w:val="Body Text(ch)"/>
    <w:basedOn w:val="766"/>
    <w:next w:val="797"/>
    <w:link w:val="766"/>
    <w:pPr>
      <w:spacing w:after="120"/>
    </w:pPr>
    <w:rPr>
      <w:rFonts w:ascii="宋体" w:hAnsi="Arial" w:eastAsia="宋体" w:cs="Times New Roman"/>
      <w:bCs/>
      <w:iCs/>
      <w:szCs w:val="24"/>
    </w:rPr>
  </w:style>
  <w:style w:type="paragraph" w:styleId="849">
    <w:name w:val="xl27"/>
    <w:basedOn w:val="766"/>
    <w:next w:val="849"/>
    <w:link w:val="7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0">
    <w:name w:val="xl26"/>
    <w:basedOn w:val="766"/>
    <w:next w:val="850"/>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1">
    <w:name w:val="Char"/>
    <w:basedOn w:val="766"/>
    <w:next w:val="851"/>
    <w:link w:val="766"/>
    <w:pPr>
      <w:ind w:firstLine="200"/>
      <w:tabs>
        <w:tab w:val="left" w:pos="360" w:leader="none"/>
      </w:tabs>
    </w:pPr>
    <w:rPr>
      <w:rFonts w:ascii="Times New Roman" w:hAnsi="Times New Roman" w:eastAsia="宋体" w:cs="Times New Roman"/>
      <w:sz w:val="28"/>
      <w:szCs w:val="30"/>
    </w:rPr>
  </w:style>
  <w:style w:type="paragraph" w:styleId="852">
    <w:name w:val=" Char"/>
    <w:basedOn w:val="791"/>
    <w:next w:val="852"/>
    <w:link w:val="766"/>
    <w:rPr>
      <w:rFonts w:ascii="Tahoma" w:hAnsi="Tahoma"/>
      <w:sz w:val="24"/>
      <w:szCs w:val="24"/>
    </w:rPr>
  </w:style>
  <w:style w:type="paragraph" w:styleId="853">
    <w:name w:val="普通正文"/>
    <w:basedOn w:val="766"/>
    <w:next w:val="853"/>
    <w:link w:val="766"/>
    <w:pPr>
      <w:ind w:firstLine="480"/>
      <w:jc w:val="left"/>
      <w:spacing w:before="120" w:after="120" w:line="360" w:lineRule="auto"/>
    </w:pPr>
    <w:rPr>
      <w:rFonts w:ascii="Arial" w:hAnsi="Arial" w:eastAsia="宋体" w:cs="Times New Roman"/>
      <w:sz w:val="24"/>
      <w:szCs w:val="24"/>
    </w:rPr>
  </w:style>
  <w:style w:type="paragraph" w:styleId="854">
    <w:name w:val="table_lines"/>
    <w:basedOn w:val="766"/>
    <w:next w:val="854"/>
    <w:link w:val="766"/>
    <w:pPr>
      <w:jc w:val="left"/>
      <w:widowControl/>
    </w:pPr>
    <w:rPr>
      <w:rFonts w:ascii="Times New Roman" w:hAnsi="Times New Roman" w:eastAsia="宋体" w:cs="Times New Roman"/>
      <w:sz w:val="20"/>
      <w:szCs w:val="20"/>
      <w:lang w:val="de-DE" w:eastAsia="de-DE"/>
    </w:rPr>
  </w:style>
  <w:style w:type="paragraph" w:styleId="855">
    <w:name w:val="附录1"/>
    <w:next w:val="855"/>
    <w:link w:val="76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6">
    <w:name w:val="font7"/>
    <w:basedOn w:val="766"/>
    <w:next w:val="856"/>
    <w:link w:val="766"/>
    <w:pPr>
      <w:jc w:val="left"/>
      <w:spacing w:before="100" w:beforeAutospacing="1" w:after="100" w:afterAutospacing="1"/>
      <w:widowControl/>
    </w:pPr>
    <w:rPr>
      <w:rFonts w:hint="eastAsia" w:ascii="宋体" w:hAnsi="宋体" w:eastAsia="宋体" w:cs="Times New Roman"/>
      <w:sz w:val="18"/>
      <w:szCs w:val="18"/>
    </w:rPr>
  </w:style>
  <w:style w:type="paragraph" w:styleId="857">
    <w:name w:val=" Char Char Char Char"/>
    <w:basedOn w:val="791"/>
    <w:next w:val="857"/>
    <w:link w:val="766"/>
    <w:pPr>
      <w:spacing w:line="360" w:lineRule="auto"/>
    </w:pPr>
    <w:rPr>
      <w:rFonts w:ascii="Tahoma" w:hAnsi="Tahoma"/>
      <w:sz w:val="24"/>
      <w:szCs w:val="24"/>
    </w:rPr>
  </w:style>
  <w:style w:type="paragraph" w:styleId="858">
    <w:name w:val="列出段落"/>
    <w:basedOn w:val="766"/>
    <w:next w:val="858"/>
    <w:link w:val="766"/>
    <w:qFormat/>
    <w:pPr>
      <w:contextualSpacing/>
      <w:ind w:left="720"/>
      <w:jc w:val="left"/>
      <w:widowControl/>
    </w:pPr>
    <w:rPr>
      <w:rFonts w:ascii="Calibri" w:hAnsi="Calibri" w:eastAsia="宋体" w:cs="Times New Roman"/>
      <w:sz w:val="24"/>
      <w:szCs w:val="24"/>
      <w:lang w:eastAsia="en-US" w:bidi="en-US"/>
    </w:rPr>
  </w:style>
  <w:style w:type="paragraph" w:styleId="859">
    <w:name w:val="4"/>
    <w:basedOn w:val="766"/>
    <w:next w:val="821"/>
    <w:link w:val="766"/>
    <w:pPr>
      <w:ind w:firstLine="420"/>
      <w:spacing w:line="360" w:lineRule="auto"/>
    </w:pPr>
    <w:rPr>
      <w:rFonts w:ascii="Times New Roman" w:hAnsi="Times New Roman" w:eastAsia="宋体" w:cs="Times New Roman"/>
      <w:color w:val="ff0000"/>
      <w:sz w:val="24"/>
      <w:szCs w:val="24"/>
    </w:rPr>
  </w:style>
  <w:style w:type="paragraph" w:styleId="860">
    <w:name w:val="普通 (Web)"/>
    <w:basedOn w:val="766"/>
    <w:next w:val="860"/>
    <w:link w:val="766"/>
    <w:pPr>
      <w:jc w:val="left"/>
      <w:spacing w:before="100" w:beforeAutospacing="1" w:after="100" w:afterAutospacing="1"/>
      <w:widowControl/>
    </w:pPr>
    <w:rPr>
      <w:rFonts w:ascii="宋体" w:hAnsi="宋体" w:eastAsia="宋体" w:cs="Times New Roman"/>
      <w:sz w:val="24"/>
      <w:szCs w:val="24"/>
    </w:rPr>
  </w:style>
  <w:style w:type="paragraph" w:styleId="861">
    <w:name w:val=" Char Char Char Char Char Char Char Char Char Char"/>
    <w:basedOn w:val="766"/>
    <w:next w:val="861"/>
    <w:link w:val="766"/>
    <w:pPr>
      <w:spacing w:line="360" w:lineRule="auto"/>
    </w:pPr>
    <w:rPr>
      <w:rFonts w:ascii="Times New Roman" w:hAnsi="Times New Roman" w:eastAsia="宋体" w:cs="Times New Roman"/>
      <w:sz w:val="24"/>
      <w:szCs w:val="20"/>
    </w:rPr>
  </w:style>
  <w:style w:type="paragraph" w:styleId="862">
    <w:name w:val="样式1"/>
    <w:basedOn w:val="766"/>
    <w:next w:val="862"/>
    <w:link w:val="766"/>
    <w:pPr>
      <w:numPr>
        <w:ilvl w:val="0"/>
        <w:numId w:val="3"/>
      </w:numPr>
      <w:tabs>
        <w:tab w:val="left" w:pos="709" w:leader="none"/>
      </w:tabs>
    </w:pPr>
    <w:rPr>
      <w:rFonts w:ascii="宋体" w:hAnsi="宋体" w:eastAsia="宋体" w:cs="Times New Roman"/>
      <w:szCs w:val="21"/>
    </w:rPr>
  </w:style>
  <w:style w:type="paragraph" w:styleId="863">
    <w:name w:val="font6"/>
    <w:basedOn w:val="766"/>
    <w:next w:val="863"/>
    <w:link w:val="766"/>
    <w:pPr>
      <w:jc w:val="left"/>
      <w:spacing w:before="100" w:beforeAutospacing="1" w:after="100" w:afterAutospacing="1"/>
      <w:widowControl/>
    </w:pPr>
    <w:rPr>
      <w:rFonts w:hint="eastAsia" w:ascii="宋体" w:hAnsi="宋体" w:eastAsia="宋体" w:cs="Times New Roman"/>
      <w:sz w:val="28"/>
      <w:szCs w:val="28"/>
      <w:u w:val="single"/>
    </w:rPr>
  </w:style>
  <w:style w:type="paragraph" w:styleId="864">
    <w:name w:val="xl25"/>
    <w:basedOn w:val="766"/>
    <w:next w:val="864"/>
    <w:link w:val="7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5">
    <w:name w:val="图标"/>
    <w:basedOn w:val="766"/>
    <w:next w:val="766"/>
    <w:link w:val="76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6">
    <w:name w:val="标题3"/>
    <w:basedOn w:val="766"/>
    <w:next w:val="766"/>
    <w:link w:val="766"/>
    <w:pPr>
      <w:ind w:firstLine="624"/>
      <w:spacing w:line="590" w:lineRule="atLeast"/>
    </w:pPr>
    <w:rPr>
      <w:rFonts w:ascii="方正黑体_GBK" w:hAnsi="Times New Roman" w:eastAsia="方正黑体_GBK" w:cs="Times New Roman"/>
      <w:sz w:val="32"/>
      <w:szCs w:val="32"/>
    </w:rPr>
  </w:style>
  <w:style w:type="paragraph" w:styleId="867">
    <w:name w:val="xl24"/>
    <w:basedOn w:val="766"/>
    <w:next w:val="867"/>
    <w:link w:val="7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8">
    <w:name w:val="xl29"/>
    <w:basedOn w:val="766"/>
    <w:next w:val="868"/>
    <w:link w:val="76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9">
    <w:name w:val="Char Char Char Char Char Char Char Char"/>
    <w:basedOn w:val="766"/>
    <w:next w:val="869"/>
    <w:link w:val="766"/>
    <w:pPr>
      <w:jc w:val="left"/>
      <w:spacing w:after="160" w:line="240" w:lineRule="exact"/>
      <w:widowControl/>
    </w:pPr>
    <w:rPr>
      <w:rFonts w:ascii="Verdana" w:hAnsi="Verdana" w:eastAsia="宋体" w:cs="Times New Roman"/>
      <w:sz w:val="20"/>
      <w:szCs w:val="20"/>
      <w:lang w:eastAsia="en-US"/>
    </w:rPr>
  </w:style>
  <w:style w:type="paragraph" w:styleId="870">
    <w:name w:val="xl28"/>
    <w:basedOn w:val="766"/>
    <w:next w:val="870"/>
    <w:link w:val="7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1">
    <w:name w:val=" Char Char Char Char Char Char Char Char"/>
    <w:basedOn w:val="766"/>
    <w:next w:val="871"/>
    <w:link w:val="766"/>
    <w:pPr>
      <w:jc w:val="left"/>
      <w:spacing w:after="160" w:line="240" w:lineRule="exact"/>
      <w:widowControl/>
    </w:pPr>
    <w:rPr>
      <w:rFonts w:ascii="Verdana" w:hAnsi="Verdana" w:eastAsia="宋体" w:cs="Times New Roman"/>
      <w:sz w:val="20"/>
      <w:szCs w:val="20"/>
      <w:lang w:eastAsia="en-US"/>
    </w:rPr>
  </w:style>
  <w:style w:type="paragraph" w:styleId="872">
    <w:name w:val="xl30"/>
    <w:basedOn w:val="766"/>
    <w:next w:val="872"/>
    <w:link w:val="766"/>
    <w:pPr>
      <w:jc w:val="center"/>
      <w:spacing w:before="100" w:beforeAutospacing="1" w:after="100" w:afterAutospacing="1"/>
      <w:widowControl/>
    </w:pPr>
    <w:rPr>
      <w:rFonts w:ascii="宋体" w:hAnsi="宋体" w:eastAsia="宋体" w:cs="Times New Roman"/>
      <w:b/>
      <w:bCs/>
      <w:sz w:val="36"/>
      <w:szCs w:val="36"/>
    </w:rPr>
  </w:style>
  <w:style w:type="paragraph" w:styleId="873">
    <w:name w:val="Char Char Char Char"/>
    <w:basedOn w:val="791"/>
    <w:next w:val="873"/>
    <w:link w:val="766"/>
    <w:pPr>
      <w:spacing w:line="360" w:lineRule="auto"/>
    </w:pPr>
    <w:rPr>
      <w:rFonts w:ascii="Tahoma" w:hAnsi="Tahoma"/>
      <w:sz w:val="24"/>
      <w:szCs w:val="24"/>
    </w:rPr>
  </w:style>
  <w:style w:type="paragraph" w:styleId="874">
    <w:name w:val="table_1stline"/>
    <w:basedOn w:val="766"/>
    <w:next w:val="874"/>
    <w:link w:val="766"/>
    <w:pPr>
      <w:jc w:val="left"/>
      <w:spacing w:before="120"/>
      <w:widowControl/>
    </w:pPr>
    <w:rPr>
      <w:rFonts w:ascii="Times New Roman" w:hAnsi="Times New Roman" w:eastAsia="宋体" w:cs="Times New Roman"/>
      <w:bCs/>
      <w:sz w:val="20"/>
      <w:szCs w:val="20"/>
      <w:lang w:val="de-DE" w:eastAsia="de-DE"/>
    </w:rPr>
  </w:style>
  <w:style w:type="paragraph" w:styleId="875">
    <w:name w:val="font5"/>
    <w:basedOn w:val="766"/>
    <w:next w:val="875"/>
    <w:link w:val="766"/>
    <w:pPr>
      <w:jc w:val="left"/>
      <w:spacing w:before="100" w:beforeAutospacing="1" w:after="100" w:afterAutospacing="1"/>
      <w:widowControl/>
    </w:pPr>
    <w:rPr>
      <w:rFonts w:hint="eastAsia" w:ascii="宋体" w:hAnsi="宋体" w:eastAsia="宋体" w:cs="Times New Roman"/>
      <w:sz w:val="28"/>
      <w:szCs w:val="28"/>
    </w:rPr>
  </w:style>
  <w:style w:type="paragraph" w:styleId="876">
    <w:name w:val="标题1"/>
    <w:basedOn w:val="766"/>
    <w:next w:val="766"/>
    <w:link w:val="76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7">
    <w:name w:val="修订"/>
    <w:next w:val="877"/>
    <w:link w:val="766"/>
    <w:uiPriority w:val="99"/>
    <w:semiHidden/>
    <w:rPr>
      <w:rFonts w:ascii="Times New Roman" w:hAnsi="Times New Roman"/>
      <w:sz w:val="21"/>
      <w:szCs w:val="21"/>
      <w:lang w:val="en-US" w:eastAsia="zh-CN" w:bidi="ar-SA"/>
    </w:rPr>
  </w:style>
  <w:style w:type="paragraph" w:styleId="878">
    <w:name w:val="无间隔"/>
    <w:next w:val="878"/>
    <w:link w:val="766"/>
    <w:uiPriority w:val="99"/>
    <w:qFormat/>
    <w:pPr>
      <w:jc w:val="both"/>
      <w:widowControl w:val="off"/>
    </w:pPr>
    <w:rPr>
      <w:rFonts w:ascii="Times New Roman" w:hAnsi="Times New Roman"/>
      <w:sz w:val="21"/>
      <w:szCs w:val="21"/>
      <w:lang w:val="en-US" w:eastAsia="zh-CN" w:bidi="ar-SA"/>
    </w:rPr>
  </w:style>
  <w:style w:type="paragraph" w:styleId="879">
    <w:name w:val="Table Paragraph"/>
    <w:basedOn w:val="766"/>
    <w:next w:val="879"/>
    <w:link w:val="766"/>
    <w:uiPriority w:val="1"/>
    <w:qFormat/>
    <w:rPr>
      <w:rFonts w:ascii="宋体" w:hAnsi="宋体" w:eastAsia="宋体" w:cs="宋体"/>
      <w:lang w:val="zh-CN" w:bidi="zh-CN"/>
    </w:rPr>
  </w:style>
  <w:style w:type="paragraph" w:styleId="880">
    <w:name w:val="List Paragraph"/>
    <w:basedOn w:val="766"/>
    <w:next w:val="880"/>
    <w:link w:val="766"/>
    <w:uiPriority w:val="34"/>
    <w:qFormat/>
    <w:pPr>
      <w:ind w:firstLine="420"/>
    </w:pPr>
  </w:style>
  <w:style w:type="character" w:styleId="881">
    <w:name w:val="font71"/>
    <w:next w:val="881"/>
    <w:link w:val="766"/>
    <w:qFormat/>
    <w:rPr>
      <w:rFonts w:hint="eastAsia" w:ascii="宋体" w:hAnsi="宋体" w:eastAsia="宋体" w:cs="宋体"/>
      <w:color w:val="ff0000"/>
      <w:sz w:val="21"/>
      <w:szCs w:val="21"/>
      <w:u w:val="none"/>
    </w:rPr>
  </w:style>
  <w:style w:type="character" w:styleId="882">
    <w:name w:val="font21"/>
    <w:next w:val="882"/>
    <w:link w:val="766"/>
    <w:qFormat/>
    <w:rPr>
      <w:rFonts w:hint="eastAsia" w:ascii="宋体" w:hAnsi="宋体" w:eastAsia="宋体" w:cs="宋体"/>
      <w:color w:val="000000"/>
      <w:sz w:val="22"/>
      <w:szCs w:val="22"/>
      <w:u w:val="none"/>
    </w:rPr>
  </w:style>
  <w:style w:type="character" w:styleId="883">
    <w:name w:val="font31"/>
    <w:next w:val="883"/>
    <w:link w:val="766"/>
    <w:qFormat/>
    <w:rPr>
      <w:rFonts w:hint="eastAsia" w:ascii="宋体" w:hAnsi="宋体" w:eastAsia="宋体" w:cs="宋体"/>
      <w:color w:val="000000"/>
      <w:sz w:val="21"/>
      <w:szCs w:val="21"/>
      <w:u w:val="none"/>
    </w:rPr>
  </w:style>
  <w:style w:type="character" w:styleId="884">
    <w:name w:val="NormalCharacter1"/>
    <w:next w:val="884"/>
    <w:link w:val="766"/>
    <w:semiHidden/>
    <w:qFormat/>
    <w:rPr>
      <w:rFonts w:ascii="Arial" w:hAnsi="Arial" w:eastAsia="Arial" w:cs="Arial"/>
      <w:color w:val="000000"/>
      <w:sz w:val="21"/>
      <w:szCs w:val="21"/>
    </w:rPr>
  </w:style>
  <w:style w:type="character" w:styleId="16282" w:default="1">
    <w:name w:val="Default Paragraph Font"/>
    <w:uiPriority w:val="1"/>
    <w:semiHidden/>
    <w:unhideWhenUsed/>
  </w:style>
  <w:style w:type="numbering" w:styleId="16283" w:default="1">
    <w:name w:val="No List"/>
    <w:uiPriority w:val="99"/>
    <w:semiHidden/>
    <w:unhideWhenUsed/>
  </w:style>
  <w:style w:type="table" w:styleId="16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焦东东</cp:lastModifiedBy>
  <cp:revision>3</cp:revision>
  <dcterms:created xsi:type="dcterms:W3CDTF">2023-03-16T02:13:00Z</dcterms:created>
  <dcterms:modified xsi:type="dcterms:W3CDTF">2026-06-16T01:22:38Z</dcterms:modified>
</cp:coreProperties>
</file>