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hint="eastAsia" w:eastAsia="黑体"/>
          <w:b/>
          <w:bCs/>
          <w:sz w:val="84"/>
          <w:shd w:val="clear" w:color="ffffff" w:fill="d9d9d9"/>
        </w:rPr>
      </w:pPr>
      <w:r>
        <w:rPr>
          <w:rFonts w:hint="eastAsia" w:eastAsia="黑体"/>
          <w:b/>
          <w:bCs/>
          <w:sz w:val="84"/>
          <w:shd w:val="clear" w:color="ffffff" w:fill="d9d9d9"/>
        </w:rPr>
      </w:r>
      <w:r/>
    </w:p>
    <w:p>
      <w:pPr>
        <w:pStyle w:val="94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7"/>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94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4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JSZC-320214-JZCG-G2026-0057</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无锡市一中太湖新城分校一体机及配套黑板采购项目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江苏无锡经济开发区教育局（本级）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47"/>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4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94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24</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49</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sz w:val="30"/>
          <w:szCs w:val="30"/>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江苏无锡经济开发区教育局（本级）</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无锡市一中太湖新城分校一体机及配套黑板采购项目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JSZC-320214-JZCG-G2026-0057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无锡市一中太湖新城分校一体机及配套黑板采购项目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2"/>
        <w:ind w:firstLine="452"/>
        <w:keepLines w:val="0"/>
        <w:keepNext w:val="0"/>
        <w:spacing w:before="0" w:after="0" w:line="500" w:lineRule="exact"/>
        <w:rPr>
          <w:color w:val="auto"/>
          <w:sz w:val="30"/>
          <w:szCs w:val="30"/>
          <w:highlight w:val="none"/>
        </w:rPr>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JSZC-320214-JZCG-G2026-0057</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无锡市一中太湖新城分校一体机及配套黑板采购项目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3.项目预算金额：360万元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4.项目最高限价：360万元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2"/>
        <w:ind w:firstLine="452"/>
        <w:keepLines w:val="0"/>
        <w:keepNext w:val="0"/>
        <w:spacing w:before="0" w:after="0" w:line="500" w:lineRule="exact"/>
        <w:rPr>
          <w:color w:val="auto"/>
          <w:sz w:val="30"/>
          <w:szCs w:val="30"/>
          <w:highlight w:val="none"/>
        </w:rPr>
      </w:pPr>
      <w:r/>
      <w:bookmarkStart w:id="12" w:name="_Toc35393622"/>
      <w:r/>
      <w:bookmarkStart w:id="13" w:name="_Toc38985264"/>
      <w:r/>
      <w:bookmarkStart w:id="14" w:name="_Toc35393791"/>
      <w:r/>
      <w:bookmarkStart w:id="15" w:name="_Toc28359003"/>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09"/>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62"/>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38985267"/>
      <w:r/>
      <w:bookmarkStart w:id="30" w:name="_Toc28359084"/>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62"/>
        <w:ind w:firstLine="452"/>
        <w:keepLines w:val="0"/>
        <w:keepNext w:val="0"/>
        <w:spacing w:before="0" w:after="0" w:line="500" w:lineRule="exact"/>
        <w:rPr>
          <w:color w:val="auto"/>
          <w:sz w:val="30"/>
          <w:szCs w:val="30"/>
          <w:highlight w:val="none"/>
        </w:rPr>
      </w:pPr>
      <w:r/>
      <w:bookmarkStart w:id="35" w:name="_Toc38985269"/>
      <w:r/>
      <w:bookmarkStart w:id="36" w:name="_Toc35393627"/>
      <w:r/>
      <w:bookmarkStart w:id="37" w:name="_Toc35393796"/>
      <w:r/>
      <w:bookmarkStart w:id="38" w:name="_Toc28359008"/>
      <w:r/>
      <w:bookmarkStart w:id="39" w:name="_Toc28359085"/>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江苏无锡经济开发区教育局（本级）</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址：江苏省无锡市经济开发区观山路339号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采购人项目咨询联系人：江威；电话</w:t>
      </w:r>
      <w:r>
        <w:rPr>
          <w:rFonts w:hint="eastAsia" w:ascii="宋体" w:hAnsi="宋体" w:cs="宋体"/>
          <w:color w:val="auto"/>
          <w:sz w:val="24"/>
          <w:szCs w:val="24"/>
          <w:highlight w:val="none"/>
        </w:rPr>
        <w:t xml:space="preserve">：0510-81891184</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采购人质疑受理联系人：江威；电话：</w:t>
      </w:r>
      <w:r>
        <w:rPr>
          <w:rFonts w:hint="eastAsia" w:ascii="宋体" w:hAnsi="宋体" w:cs="宋体"/>
          <w:color w:val="auto"/>
          <w:sz w:val="24"/>
          <w:szCs w:val="24"/>
          <w:highlight w:val="none"/>
        </w:rPr>
        <w:t xml:space="preserve">0510-81891184</w:t>
      </w:r>
      <w:r/>
      <w:r>
        <w:rPr>
          <w:rFonts w:hint="eastAsia" w:ascii="宋体" w:hAnsi="宋体" w:cs="宋体"/>
          <w:color w:val="auto"/>
          <w:sz w:val="24"/>
          <w:szCs w:val="24"/>
          <w:highlight w:val="none"/>
        </w:rPr>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805959852</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无锡市公共资源交易中心新吴分中心</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862"/>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86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3"/>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3"/>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3"/>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2"/>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
    </w:p>
    <w:p>
      <w:pPr>
        <w:pStyle w:val="863"/>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3"/>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513029212"/>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2"/>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63"/>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3"/>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863"/>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3"/>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8"/>
      <w:r/>
      <w:bookmarkEnd w:id="109"/>
      <w:r/>
      <w:bookmarkStart w:id="110" w:name="_Hlt26670486"/>
      <w:r/>
      <w:bookmarkEnd w:id="110"/>
      <w:r/>
      <w:bookmarkStart w:id="111" w:name="_Hlt26954842"/>
      <w:r/>
      <w:bookmarkEnd w:id="111"/>
      <w:r/>
      <w:bookmarkStart w:id="112" w:name="_Hlt26954731"/>
      <w:r/>
      <w:bookmarkEnd w:id="112"/>
      <w:r/>
      <w:bookmarkStart w:id="113" w:name="_Hlt26954846"/>
      <w:r/>
      <w:bookmarkEnd w:id="113"/>
      <w:r/>
      <w:bookmarkStart w:id="114" w:name="_Hlt26668983"/>
      <w:r/>
      <w:bookmarkEnd w:id="114"/>
      <w:r/>
      <w:bookmarkStart w:id="115" w:name="_Hlt26954844"/>
      <w:r/>
      <w:bookmarkEnd w:id="115"/>
      <w:r/>
      <w:bookmarkStart w:id="116" w:name="_Hlt26670482"/>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3"/>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
    </w:p>
    <w:p>
      <w:pPr>
        <w:pStyle w:val="863"/>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3"/>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3"/>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2"/>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
    </w:p>
    <w:p>
      <w:pPr>
        <w:pStyle w:val="863"/>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3"/>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3"/>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0"/>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3"/>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w:t>
      </w:r>
      <w:r>
        <w:rPr>
          <w:rFonts w:hint="eastAsia" w:ascii="宋体" w:hAnsi="宋体"/>
          <w:bCs/>
          <w:sz w:val="24"/>
          <w:szCs w:val="24"/>
        </w:rPr>
        <w:t xml:space="preserve">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3"/>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2"/>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bookmarkEnd w:id="170"/>
      <w:r/>
      <w:bookmarkEnd w:id="171"/>
      <w:r/>
      <w:bookmarkEnd w:id="172"/>
      <w:r/>
      <w:r/>
    </w:p>
    <w:p>
      <w:pPr>
        <w:pStyle w:val="863"/>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Pr>
          <w:rFonts w:hint="eastAsia" w:ascii="宋体" w:hAnsi="宋体"/>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第三章  合同</w:t>
      </w:r>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rPr>
      </w:pPr>
      <w:r/>
      <w:bookmarkStart w:id="191" w:name="_Toc49090575"/>
      <w:r/>
      <w:bookmarkStart w:id="192" w:name="_Toc26554093"/>
      <w:r/>
      <w:r/>
    </w:p>
    <w:p>
      <w:pPr>
        <w:ind w:firstLine="600"/>
        <w:jc w:val="left"/>
        <w:spacing w:line="360" w:lineRule="auto"/>
        <w:rPr>
          <w:rFonts w:hint="eastAsia" w:ascii="黑体" w:hAnsi="黑体" w:eastAsia="黑体"/>
          <w:color w:val="auto"/>
          <w:sz w:val="30"/>
          <w:szCs w:val="30"/>
        </w:rPr>
      </w:pPr>
      <w:r>
        <w:rPr>
          <w:rFonts w:hint="eastAsia" w:ascii="黑体" w:hAnsi="黑体" w:eastAsia="黑体"/>
          <w:sz w:val="30"/>
          <w:szCs w:val="30"/>
        </w:rPr>
        <w:t xml:space="preserve">本项目属性：</w:t>
      </w:r>
      <w:r>
        <w:rPr>
          <w:rFonts w:hint="eastAsia" w:ascii="黑体" w:hAnsi="黑体" w:eastAsia="黑体"/>
          <w:color w:val="auto"/>
          <w:sz w:val="30"/>
          <w:szCs w:val="30"/>
        </w:rPr>
        <w:t xml:space="preserve">货物类项目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本项目标的物所属行业：详见项目技术要求</w:t>
      </w:r>
      <w:r/>
    </w:p>
    <w:p>
      <w:pPr>
        <w:ind w:firstLine="482"/>
        <w:spacing w:line="360" w:lineRule="auto"/>
        <w:rPr>
          <w:rFonts w:hint="eastAsia" w:ascii="宋体" w:hAnsi="宋体"/>
          <w:i/>
          <w:color w:val="00b050"/>
          <w:sz w:val="24"/>
          <w:szCs w:val="24"/>
        </w:rPr>
      </w:pPr>
      <w:r>
        <w:rPr>
          <w:rFonts w:hint="eastAsia" w:ascii="宋体" w:hAnsi="宋体"/>
          <w:b/>
          <w:bCs/>
          <w:color w:val="ff0000"/>
          <w:sz w:val="24"/>
          <w:szCs w:val="24"/>
        </w:rPr>
        <w:t xml:space="preserve">本项目中的86寸触控一体机为核心产品。</w:t>
      </w:r>
      <w:r/>
    </w:p>
    <w:p>
      <w:pPr>
        <w:ind w:firstLine="602"/>
        <w:spacing w:line="360" w:lineRule="auto"/>
        <w:rPr>
          <w:rFonts w:hint="eastAsia" w:ascii="宋体" w:hAnsi="宋体"/>
          <w:bCs/>
          <w:sz w:val="24"/>
          <w:szCs w:val="24"/>
        </w:rPr>
      </w:pPr>
      <w:r>
        <w:rPr>
          <w:rFonts w:hint="eastAsia" w:ascii="宋体" w:hAnsi="宋体"/>
          <w:b/>
          <w:color w:val="000000"/>
          <w:sz w:val="30"/>
          <w:szCs w:val="30"/>
          <w:u w:val="none"/>
        </w:rPr>
        <w:t xml:space="preserve">第一部分  项目技术要求</w:t>
      </w:r>
      <w:r/>
    </w:p>
    <w:p>
      <w:pPr>
        <w:ind w:firstLine="482"/>
        <w:spacing w:after="5" w:line="360" w:lineRule="auto"/>
        <w:rPr>
          <w:rFonts w:hint="eastAsia" w:ascii="宋体" w:hAnsi="宋体"/>
          <w:b/>
          <w:color w:val="auto"/>
          <w:sz w:val="24"/>
          <w:szCs w:val="24"/>
        </w:rPr>
      </w:pPr>
      <w:r/>
      <w:bookmarkStart w:id="193" w:name="_Hlk96426266"/>
      <w:r>
        <w:rPr>
          <w:rFonts w:hint="eastAsia" w:ascii="宋体" w:hAnsi="宋体"/>
          <w:b/>
          <w:color w:val="auto"/>
          <w:sz w:val="24"/>
          <w:szCs w:val="24"/>
        </w:rPr>
        <w:t xml:space="preserve">1.采购清单</w:t>
      </w:r>
      <w:r/>
    </w:p>
    <w:tbl>
      <w:tblPr>
        <w:tblStyle w:val="870"/>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23"/>
        <w:gridCol w:w="2574"/>
        <w:gridCol w:w="806"/>
        <w:gridCol w:w="1016"/>
        <w:gridCol w:w="1613"/>
      </w:tblGrid>
      <w:tr>
        <w:trPr>
          <w:jc w:val="center"/>
          <w:trHeight w:val="362"/>
        </w:trPr>
        <w:tc>
          <w:tcPr>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序号</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名称</w:t>
            </w:r>
            <w:r/>
          </w:p>
        </w:tc>
        <w:tc>
          <w:tcPr>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技术要求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单位</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数量</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所属行业</w:t>
            </w:r>
            <w:r/>
          </w:p>
        </w:tc>
      </w:tr>
      <w:tr>
        <w:trPr>
          <w:jc w:val="center"/>
          <w:trHeight w:val="82"/>
        </w:trPr>
        <w:tc>
          <w:tcPr>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6</w:t>
            </w:r>
            <w:r>
              <w:rPr>
                <w:rFonts w:ascii="宋体" w:hAnsi="宋体" w:cs="宋体"/>
                <w:color w:val="auto"/>
                <w:sz w:val="24"/>
              </w:rPr>
              <w:t xml:space="preserve">5</w:t>
            </w:r>
            <w:r>
              <w:rPr>
                <w:rFonts w:hint="eastAsia" w:ascii="宋体" w:hAnsi="宋体" w:cs="宋体"/>
                <w:color w:val="auto"/>
                <w:sz w:val="24"/>
              </w:rPr>
              <w:t xml:space="preserve">寸触控一体机</w:t>
            </w:r>
            <w:r/>
          </w:p>
        </w:tc>
        <w:tc>
          <w:tcPr>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台</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0</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2</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8</w:t>
            </w:r>
            <w:r>
              <w:rPr>
                <w:rFonts w:ascii="宋体" w:hAnsi="宋体" w:cs="宋体"/>
                <w:color w:val="auto"/>
                <w:sz w:val="24"/>
              </w:rPr>
              <w:t xml:space="preserve">6</w:t>
            </w:r>
            <w:r>
              <w:rPr>
                <w:rFonts w:hint="eastAsia" w:ascii="宋体" w:hAnsi="宋体" w:cs="宋体"/>
                <w:color w:val="auto"/>
                <w:sz w:val="24"/>
              </w:rPr>
              <w:t xml:space="preserve">寸触控一体机</w:t>
            </w:r>
            <w:r/>
          </w:p>
        </w:tc>
        <w:tc>
          <w:tcPr>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台</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45</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3</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集中控制教学系统</w:t>
            </w:r>
            <w:r/>
          </w:p>
        </w:tc>
        <w:tc>
          <w:tcPr>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43</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软件和信息技术服务业</w:t>
            </w:r>
            <w:r/>
          </w:p>
        </w:tc>
      </w:tr>
      <w:tr>
        <w:trPr>
          <w:jc w:val="center"/>
          <w:trHeight w:val="82"/>
        </w:trPr>
        <w:tc>
          <w:tcPr>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4</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高清视频展台</w:t>
            </w:r>
            <w:r/>
          </w:p>
        </w:tc>
        <w:tc>
          <w:tcPr>
            <w:tcW w:w="1432" w:type="pct"/>
            <w:vAlign w:val="top"/>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个</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131</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5</w:t>
            </w:r>
            <w:r/>
          </w:p>
        </w:tc>
        <w:tc>
          <w:tcPr>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推拉黑板</w:t>
            </w:r>
            <w:r/>
          </w:p>
        </w:tc>
        <w:tc>
          <w:tcPr>
            <w:tcW w:w="1432" w:type="pct"/>
            <w:vAlign w:val="top"/>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台</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131</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6</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86</w:t>
            </w:r>
            <w:r>
              <w:rPr>
                <w:rFonts w:hint="eastAsia" w:ascii="宋体" w:hAnsi="宋体" w:cs="宋体"/>
                <w:color w:val="auto"/>
                <w:sz w:val="24"/>
              </w:rPr>
              <w:t xml:space="preserve">寸一体机移动支架</w:t>
            </w:r>
            <w:r/>
          </w:p>
        </w:tc>
        <w:tc>
          <w:tcPr>
            <w:shd w:val="clear" w:color="auto" w:fill="auto"/>
            <w:tcW w:w="1432" w:type="pct"/>
            <w:vAlign w:val="top"/>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台</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12</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7</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98寸触控一体机</w:t>
            </w:r>
            <w:r/>
          </w:p>
        </w:tc>
        <w:tc>
          <w:tcPr>
            <w:shd w:val="clear" w:color="auto" w:fill="auto"/>
            <w:tcW w:w="1432" w:type="pct"/>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台</w:t>
            </w:r>
            <w:r/>
          </w:p>
        </w:tc>
        <w:tc>
          <w:tcPr>
            <w:tcW w:w="565" w:type="pct"/>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7</w:t>
            </w:r>
            <w:r/>
          </w:p>
        </w:tc>
        <w:tc>
          <w:tcPr>
            <w:tcW w:w="897" w:type="pct"/>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8</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98</w:t>
            </w:r>
            <w:r>
              <w:rPr>
                <w:rFonts w:hint="eastAsia" w:ascii="宋体" w:hAnsi="宋体" w:cs="宋体"/>
                <w:color w:val="auto"/>
                <w:sz w:val="24"/>
              </w:rPr>
              <w:t xml:space="preserve">寸触控一体机移动支架</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5</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9</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55</w:t>
            </w:r>
            <w:r>
              <w:rPr>
                <w:rFonts w:hint="eastAsia" w:ascii="宋体" w:hAnsi="宋体" w:cs="宋体"/>
                <w:color w:val="auto"/>
                <w:sz w:val="24"/>
              </w:rPr>
              <w:t xml:space="preserve">寸超窄高清拼接大屏</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12</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10</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拼接控制器</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1</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00</w:t>
            </w:r>
            <w:r>
              <w:rPr>
                <w:rFonts w:hint="eastAsia" w:ascii="宋体" w:hAnsi="宋体" w:cs="宋体"/>
                <w:color w:val="auto"/>
                <w:sz w:val="24"/>
              </w:rPr>
              <w:t xml:space="preserve">寸液晶显示器</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2</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lang w:val="en-US" w:eastAsia="zh-CN"/>
              </w:rPr>
              <w:t xml:space="preserve">壁</w:t>
            </w:r>
            <w:r>
              <w:rPr>
                <w:rFonts w:hint="eastAsia" w:ascii="宋体" w:hAnsi="宋体" w:cs="宋体"/>
                <w:color w:val="auto"/>
                <w:sz w:val="24"/>
              </w:rPr>
              <w:t xml:space="preserve">挂支架</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1</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r>
        <w:trPr>
          <w:jc w:val="center"/>
          <w:trHeight w:val="82"/>
        </w:trPr>
        <w:tc>
          <w:tcPr>
            <w:shd w:val="clear" w:color="auto" w:fill="auto"/>
            <w:tcW w:w="41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13</w:t>
            </w:r>
            <w:r/>
          </w:p>
        </w:tc>
        <w:tc>
          <w:tcPr>
            <w:shd w:val="clear" w:color="auto" w:fill="auto"/>
            <w:tcW w:w="123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投影机+系统</w:t>
            </w:r>
            <w:r/>
          </w:p>
        </w:tc>
        <w:tc>
          <w:tcPr>
            <w:shd w:val="clear" w:color="auto" w:fill="auto"/>
            <w:tcW w:w="1432"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详见技术参数要求</w:t>
            </w:r>
            <w:r/>
          </w:p>
        </w:tc>
        <w:tc>
          <w:tcPr>
            <w:shd w:val="clear" w:color="000000" w:fill="ffffff"/>
            <w:tcW w:w="448"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套</w:t>
            </w:r>
            <w:r/>
          </w:p>
        </w:tc>
        <w:tc>
          <w:tcPr>
            <w:tcW w:w="565" w:type="pct"/>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t xml:space="preserve">1</w:t>
            </w:r>
            <w:r/>
          </w:p>
        </w:tc>
        <w:tc>
          <w:tcPr>
            <w:tcW w:w="897" w:type="pct"/>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工业</w:t>
            </w:r>
            <w:r/>
          </w:p>
        </w:tc>
      </w:tr>
    </w:tbl>
    <w:p>
      <w:pPr>
        <w:ind w:firstLine="482"/>
        <w:spacing w:after="5" w:line="360" w:lineRule="auto"/>
        <w:rPr>
          <w:rFonts w:ascii="宋体" w:hAnsi="宋体"/>
          <w:b/>
          <w:color w:val="auto"/>
          <w:sz w:val="24"/>
          <w:szCs w:val="24"/>
        </w:rPr>
      </w:pPr>
      <w:r>
        <w:rPr>
          <w:rFonts w:hint="eastAsia" w:ascii="宋体" w:hAnsi="宋体"/>
          <w:b/>
          <w:color w:val="auto"/>
          <w:sz w:val="24"/>
          <w:szCs w:val="24"/>
        </w:rPr>
        <w:t xml:space="preserve">2. 详细配置参数</w:t>
      </w:r>
      <w:r/>
    </w:p>
    <w:p>
      <w:pPr>
        <w:rPr>
          <w:rFonts w:ascii="Calibri" w:hAnsi="Calibri" w:cs="Calibri"/>
          <w:color w:val="auto"/>
        </w:rPr>
      </w:pPr>
      <w:r>
        <w:rPr>
          <w:rFonts w:hint="eastAsia" w:ascii="宋体" w:hAnsi="宋体" w:cs="宋体"/>
          <w:b/>
          <w:bCs/>
          <w:color w:val="auto"/>
          <w:sz w:val="28"/>
          <w:szCs w:val="28"/>
        </w:rPr>
        <w:t xml:space="preserve">（二）主要功能及技术指标</w:t>
      </w:r>
      <w:r/>
    </w:p>
    <w:p>
      <w:pPr>
        <w:rPr>
          <w:rFonts w:ascii="Calibri" w:hAnsi="Calibri"/>
          <w:color w:val="auto"/>
          <w:szCs w:val="24"/>
        </w:rPr>
      </w:pPr>
      <w:r>
        <w:rPr>
          <w:rFonts w:ascii="Calibri" w:hAnsi="Calibri"/>
          <w:color w:val="auto"/>
          <w:szCs w:val="24"/>
        </w:rPr>
      </w:r>
      <w:r/>
    </w:p>
    <w:tbl>
      <w:tblPr>
        <w:tblStyle w:val="903"/>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31"/>
        <w:gridCol w:w="6302"/>
      </w:tblGrid>
      <w:tr>
        <w:trPr>
          <w:jc w:val="center"/>
          <w:trHeight w:val="640"/>
        </w:trPr>
        <w:tc>
          <w:tcPr>
            <w:tcW w:w="762" w:type="dxa"/>
            <w:vAlign w:val="center"/>
            <w:textDirection w:val="lrTb"/>
            <w:noWrap w:val="false"/>
          </w:tcPr>
          <w:p>
            <w:pPr>
              <w:jc w:val="center"/>
              <w:rPr>
                <w:rFonts w:ascii="宋体" w:hAnsi="宋体" w:eastAsia="宋体" w:cs="Times New Roman"/>
                <w:color w:val="auto"/>
                <w:szCs w:val="21"/>
              </w:rPr>
            </w:pPr>
            <w:r>
              <w:rPr>
                <w:rFonts w:ascii="宋体" w:hAnsi="宋体" w:eastAsia="宋体" w:cs="Times New Roman"/>
                <w:color w:val="auto"/>
                <w:szCs w:val="21"/>
              </w:rPr>
              <w:t xml:space="preserve">1</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rPr>
              <w:t xml:space="preserve">6</w:t>
            </w:r>
            <w:r>
              <w:rPr>
                <w:rFonts w:eastAsia="宋体" w:cs="Times New Roman"/>
                <w:color w:val="auto"/>
              </w:rPr>
              <w:t xml:space="preserve">5</w:t>
            </w:r>
            <w:r>
              <w:rPr>
                <w:rFonts w:hint="eastAsia" w:eastAsia="宋体" w:cs="Times New Roman"/>
                <w:color w:val="auto"/>
              </w:rPr>
              <w:t xml:space="preserve">寸触控一体机</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一、整体设计</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1.整机采用边框与背板一体化冲压成型结构，上左右三边边框与背板非拼接组装结构，连接处无拼缝。整机左、右、下三边框皆具备磁吸功能，边框任意位置可吸附具备磁吸功能的书写笔。</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2.屏幕采用≥65英寸液晶显示器，</w:t>
            </w:r>
            <w:r>
              <w:rPr>
                <w:rFonts w:hint="eastAsia" w:ascii="Times New Roman" w:hAnsi="Times New Roman" w:eastAsia="宋体" w:cs="Times New Roman"/>
                <w:color w:val="auto"/>
                <w:spacing w:val="-2"/>
                <w:sz w:val="22"/>
                <w:szCs w:val="22"/>
                <w:lang w:val="en-US" w:eastAsia="zh-CN"/>
              </w:rPr>
              <w:t xml:space="preserve">采用</w:t>
            </w:r>
            <w:r>
              <w:rPr>
                <w:rFonts w:hint="eastAsia" w:ascii="Times New Roman" w:hAnsi="Times New Roman" w:eastAsia="宋体" w:cs="Times New Roman"/>
                <w:color w:val="auto"/>
                <w:spacing w:val="-2"/>
                <w:sz w:val="22"/>
                <w:szCs w:val="22"/>
              </w:rPr>
              <w:t xml:space="preserve">LED液晶A规屏，显示</w:t>
            </w:r>
            <w:r>
              <w:rPr>
                <w:rFonts w:hint="eastAsia" w:ascii="Times New Roman" w:hAnsi="Times New Roman" w:eastAsia="宋体" w:cs="Times New Roman"/>
                <w:color w:val="auto"/>
                <w:spacing w:val="-2"/>
                <w:sz w:val="22"/>
                <w:szCs w:val="22"/>
                <w:lang w:val="en-US" w:eastAsia="zh-CN"/>
              </w:rPr>
              <w:t xml:space="preserve">比例</w:t>
            </w:r>
            <w:r>
              <w:rPr>
                <w:rFonts w:hint="eastAsia" w:ascii="Times New Roman" w:hAnsi="Times New Roman" w:eastAsia="宋体" w:cs="Times New Roman"/>
                <w:color w:val="auto"/>
                <w:spacing w:val="-2"/>
                <w:sz w:val="22"/>
                <w:szCs w:val="22"/>
              </w:rPr>
              <w:t xml:space="preserve">16:9。显示分辨率3840*2160，可视</w:t>
            </w:r>
            <w:r>
              <w:rPr>
                <w:rFonts w:hint="eastAsia" w:ascii="Times New Roman" w:hAnsi="Times New Roman" w:eastAsia="宋体" w:cs="Times New Roman"/>
                <w:color w:val="auto"/>
                <w:spacing w:val="-2"/>
                <w:sz w:val="22"/>
                <w:szCs w:val="22"/>
                <w:lang w:val="en-US" w:eastAsia="zh-CN"/>
              </w:rPr>
              <w:t xml:space="preserve">角度</w:t>
            </w:r>
            <w:r>
              <w:rPr>
                <w:rFonts w:hint="eastAsia" w:ascii="Times New Roman" w:hAnsi="Times New Roman" w:eastAsia="宋体" w:cs="Times New Roman"/>
                <w:color w:val="auto"/>
                <w:spacing w:val="-2"/>
                <w:sz w:val="22"/>
                <w:szCs w:val="22"/>
              </w:rPr>
              <w:t xml:space="preserve">≥178°。</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3.侧置输入接口具备≥2路HDMI、1路RS232（RJ45形态）、1路USB接口，1路音频输出、1路触控USB输出；前置输入接口≥3路USB接口（包含1路Type-C、2路USB）。</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4.整机采用红外触控技术，支持≥50点触控及书写划线。</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5.整机嵌入式系统版本≥Android 15，主频≥1.6GHz。</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6.整机设备内置2.2声道扬声器，前朝向发声，12W高音扬声器2个，上朝向30W中低音扬声器2个，最大功率≥84W，全部扬声器无需打开背板即可单独拆卸。</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7.整机内置非独立外扩展的4阵列麦克风，可用于对教室环境音频进行采集，麦克风拾音距离≥12米。</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8.整机听力模式下具备AI人声语言增强功能，支持三挡强弱调节。扩声系统语言传输指数（STIPA）≥0.75。</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10.整机上边框内置非独立摄像头，采用一体化集成设计，</w:t>
            </w:r>
            <w:r>
              <w:rPr>
                <w:rFonts w:hint="eastAsia" w:ascii="Times New Roman" w:hAnsi="Times New Roman" w:eastAsia="宋体" w:cs="Times New Roman"/>
                <w:color w:val="auto"/>
                <w:spacing w:val="-2"/>
                <w:sz w:val="22"/>
                <w:szCs w:val="22"/>
                <w:lang w:val="en-US" w:eastAsia="zh-CN"/>
              </w:rPr>
              <w:t xml:space="preserve">支持</w:t>
            </w:r>
            <w:r>
              <w:rPr>
                <w:rFonts w:hint="eastAsia" w:ascii="Times New Roman" w:hAnsi="Times New Roman" w:eastAsia="宋体" w:cs="Times New Roman"/>
                <w:color w:val="auto"/>
                <w:spacing w:val="-2"/>
                <w:sz w:val="22"/>
                <w:szCs w:val="22"/>
              </w:rPr>
              <w:t xml:space="preserve">输出4:3、16:9</w:t>
            </w:r>
            <w:r>
              <w:rPr>
                <w:rFonts w:hint="eastAsia" w:ascii="Times New Roman" w:hAnsi="Times New Roman" w:eastAsia="宋体" w:cs="Times New Roman"/>
                <w:color w:val="auto"/>
                <w:spacing w:val="-2"/>
                <w:sz w:val="22"/>
                <w:szCs w:val="22"/>
                <w:lang w:val="en-US" w:eastAsia="zh-CN"/>
              </w:rPr>
              <w:t xml:space="preserve">比例</w:t>
            </w:r>
            <w:r>
              <w:rPr>
                <w:rFonts w:hint="eastAsia" w:ascii="Times New Roman" w:hAnsi="Times New Roman" w:eastAsia="宋体" w:cs="Times New Roman"/>
                <w:color w:val="auto"/>
                <w:spacing w:val="-2"/>
                <w:sz w:val="22"/>
                <w:szCs w:val="22"/>
              </w:rPr>
              <w:t xml:space="preserve">的</w:t>
            </w:r>
            <w:r>
              <w:rPr>
                <w:rFonts w:hint="eastAsia" w:ascii="Times New Roman" w:hAnsi="Times New Roman" w:eastAsia="宋体" w:cs="Times New Roman"/>
                <w:color w:val="auto"/>
                <w:spacing w:val="-2"/>
                <w:sz w:val="22"/>
                <w:szCs w:val="22"/>
                <w:lang w:val="en-US" w:eastAsia="zh-CN"/>
              </w:rPr>
              <w:t xml:space="preserve">图片</w:t>
            </w:r>
            <w:r>
              <w:rPr>
                <w:rFonts w:hint="eastAsia" w:ascii="Times New Roman" w:hAnsi="Times New Roman" w:eastAsia="宋体" w:cs="Times New Roman"/>
                <w:color w:val="auto"/>
                <w:spacing w:val="-2"/>
                <w:sz w:val="22"/>
                <w:szCs w:val="22"/>
              </w:rPr>
              <w:t xml:space="preserve">和视频，支持拍摄＞1600 万像素数的照片和视频，支持输出</w:t>
            </w:r>
            <w:r>
              <w:rPr>
                <w:rFonts w:hint="eastAsia" w:ascii="Times New Roman" w:hAnsi="Times New Roman" w:eastAsia="宋体" w:cs="Times New Roman"/>
                <w:color w:val="auto"/>
                <w:spacing w:val="-2"/>
                <w:sz w:val="22"/>
                <w:szCs w:val="22"/>
                <w:lang w:eastAsia="zh-CN"/>
              </w:rPr>
              <w:t xml:space="preserve">4K</w:t>
            </w:r>
            <w:r>
              <w:rPr>
                <w:rFonts w:hint="eastAsia" w:ascii="Times New Roman" w:hAnsi="Times New Roman" w:eastAsia="宋体" w:cs="Times New Roman"/>
                <w:color w:val="auto"/>
                <w:spacing w:val="-2"/>
                <w:sz w:val="22"/>
                <w:szCs w:val="22"/>
              </w:rPr>
              <w:t xml:space="preserve">分辨率的视频。</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11.整机内置双WiFi6无线网卡（不接受外接），可实现Wi-Fi无线上网连接、AP无线热点发射。Wi-Fi制式支持IEEE 802.11 a/b/g/n/ac/ax；支持版本Wi-Fi6。</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12.整机支持发出频率为18kHz-22kHz超声波信号，智能手机和笔记本电脑接收超声波信号后可以自动识别附近投屏设备，点击对应设备即可完成投屏操作。</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13.整机配套教学应用APP可通过wifi直连技术，近场发现附近教学大屏设备，无需扫码、账号密码输入步骤，即可直接连接并登录教学大屏设备，基于统一身份认证机制可实现其他教学软件免登录操作。</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14.支持文件传输应用，支持通过扫码、超声、wifi直连三种方式与手机进行握手连接，实现文件传输功能。</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15.整机内置AR授课工具，支持对视频展台所采集的画面中叠加动态的3D 模型。3D模型包括：动物、微生物、人体骨骼、乐器、星球、地形。</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tc>
      </w:tr>
      <w:tr>
        <w:trPr>
          <w:jc w:val="center"/>
          <w:trHeight w:val="640"/>
        </w:trPr>
        <w:tc>
          <w:tcPr>
            <w:tcW w:w="762" w:type="dxa"/>
            <w:vAlign w:val="center"/>
            <w:textDirection w:val="lrTb"/>
            <w:noWrap w:val="false"/>
          </w:tcPr>
          <w:p>
            <w:pPr>
              <w:jc w:val="center"/>
              <w:rPr>
                <w:rFonts w:ascii="宋体" w:hAnsi="宋体" w:eastAsia="宋体" w:cs="Times New Roman"/>
                <w:color w:val="auto"/>
                <w:szCs w:val="21"/>
              </w:rPr>
            </w:pPr>
            <w:r>
              <w:rPr>
                <w:rFonts w:ascii="宋体" w:hAnsi="宋体" w:eastAsia="宋体" w:cs="Times New Roman"/>
                <w:color w:val="auto"/>
                <w:szCs w:val="21"/>
              </w:rPr>
              <w:t xml:space="preserve">2</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8</w:t>
            </w:r>
            <w:r>
              <w:rPr>
                <w:rFonts w:eastAsia="宋体" w:cs="Times New Roman"/>
                <w:color w:val="auto"/>
                <w:spacing w:val="-2"/>
                <w:sz w:val="22"/>
                <w:szCs w:val="22"/>
              </w:rPr>
              <w:t xml:space="preserve">6</w:t>
            </w:r>
            <w:r>
              <w:rPr>
                <w:rFonts w:hint="eastAsia" w:eastAsia="宋体" w:cs="Times New Roman"/>
                <w:color w:val="auto"/>
                <w:spacing w:val="-2"/>
                <w:sz w:val="22"/>
                <w:szCs w:val="22"/>
              </w:rPr>
              <w:t xml:space="preserve">寸触控一体机</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一、整体设计</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1.整机采用边框与背板一体化冲压成型结构，上左右三边边框与背板非拼接组装结构，连接处无拼缝。整机左、右、下三边框皆具备磁吸功能，边框任意位置可吸附具备磁吸功能的书写笔。</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2.屏幕采用≥86英寸液晶显示器，</w:t>
            </w:r>
            <w:r>
              <w:rPr>
                <w:rFonts w:hint="eastAsia" w:ascii="Times New Roman" w:hAnsi="Times New Roman" w:eastAsia="宋体" w:cs="Times New Roman"/>
                <w:color w:val="auto"/>
                <w:spacing w:val="-2"/>
                <w:sz w:val="22"/>
                <w:szCs w:val="22"/>
                <w:lang w:val="en-US" w:eastAsia="zh-CN"/>
              </w:rPr>
              <w:t xml:space="preserve">采用</w:t>
            </w:r>
            <w:r>
              <w:rPr>
                <w:rFonts w:hint="eastAsia" w:ascii="Times New Roman" w:hAnsi="Times New Roman" w:eastAsia="宋体" w:cs="Times New Roman"/>
                <w:color w:val="auto"/>
                <w:spacing w:val="-2"/>
                <w:sz w:val="22"/>
                <w:szCs w:val="22"/>
              </w:rPr>
              <w:t xml:space="preserve">LED液晶A规屏，显示</w:t>
            </w:r>
            <w:r>
              <w:rPr>
                <w:rFonts w:hint="eastAsia" w:ascii="Times New Roman" w:hAnsi="Times New Roman" w:eastAsia="宋体" w:cs="Times New Roman"/>
                <w:color w:val="auto"/>
                <w:spacing w:val="-2"/>
                <w:sz w:val="22"/>
                <w:szCs w:val="22"/>
                <w:lang w:val="en-US" w:eastAsia="zh-CN"/>
              </w:rPr>
              <w:t xml:space="preserve">比例</w:t>
            </w:r>
            <w:r>
              <w:rPr>
                <w:rFonts w:hint="eastAsia" w:ascii="Times New Roman" w:hAnsi="Times New Roman" w:eastAsia="宋体" w:cs="Times New Roman"/>
                <w:color w:val="auto"/>
                <w:spacing w:val="-2"/>
                <w:sz w:val="22"/>
                <w:szCs w:val="22"/>
              </w:rPr>
              <w:t xml:space="preserve">16:9。显示分辨率3840*2160，可视</w:t>
            </w:r>
            <w:r>
              <w:rPr>
                <w:rFonts w:hint="eastAsia" w:ascii="Times New Roman" w:hAnsi="Times New Roman" w:eastAsia="宋体" w:cs="Times New Roman"/>
                <w:color w:val="auto"/>
                <w:spacing w:val="-2"/>
                <w:sz w:val="22"/>
                <w:szCs w:val="22"/>
                <w:lang w:val="en-US" w:eastAsia="zh-CN"/>
              </w:rPr>
              <w:t xml:space="preserve">角度</w:t>
            </w:r>
            <w:r>
              <w:rPr>
                <w:rFonts w:hint="eastAsia" w:ascii="Times New Roman" w:hAnsi="Times New Roman" w:eastAsia="宋体" w:cs="Times New Roman"/>
                <w:color w:val="auto"/>
                <w:spacing w:val="-2"/>
                <w:sz w:val="22"/>
                <w:szCs w:val="22"/>
              </w:rPr>
              <w:t xml:space="preserve">≥178°。</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3.侧置输入接口具备≥2路HDMI、1路RS232（RJ45形态）、1路USB接口，1路音频输出、1路触控USB输出；前置输入接口≥3路USB接口（包含1路Type-C、2路USB）。</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4.整机上边框内置非独立摄像头，采用一体化集成设计，</w:t>
            </w:r>
            <w:r>
              <w:rPr>
                <w:rFonts w:hint="eastAsia" w:ascii="Times New Roman" w:hAnsi="Times New Roman" w:eastAsia="宋体" w:cs="Times New Roman"/>
                <w:color w:val="auto"/>
                <w:spacing w:val="-2"/>
                <w:sz w:val="22"/>
                <w:szCs w:val="22"/>
                <w:lang w:val="en-US" w:eastAsia="zh-CN"/>
              </w:rPr>
              <w:t xml:space="preserve">支持</w:t>
            </w:r>
            <w:r>
              <w:rPr>
                <w:rFonts w:hint="eastAsia" w:ascii="Times New Roman" w:hAnsi="Times New Roman" w:eastAsia="宋体" w:cs="Times New Roman"/>
                <w:color w:val="auto"/>
                <w:spacing w:val="-2"/>
                <w:sz w:val="22"/>
                <w:szCs w:val="22"/>
              </w:rPr>
              <w:t xml:space="preserve">输出4:3、16:9</w:t>
            </w:r>
            <w:r>
              <w:rPr>
                <w:rFonts w:hint="eastAsia" w:ascii="Times New Roman" w:hAnsi="Times New Roman" w:eastAsia="宋体" w:cs="Times New Roman"/>
                <w:color w:val="auto"/>
                <w:spacing w:val="-2"/>
                <w:sz w:val="22"/>
                <w:szCs w:val="22"/>
                <w:lang w:val="en-US" w:eastAsia="zh-CN"/>
              </w:rPr>
              <w:t xml:space="preserve">比例</w:t>
            </w:r>
            <w:r>
              <w:rPr>
                <w:rFonts w:hint="eastAsia" w:ascii="Times New Roman" w:hAnsi="Times New Roman" w:eastAsia="宋体" w:cs="Times New Roman"/>
                <w:color w:val="auto"/>
                <w:spacing w:val="-2"/>
                <w:sz w:val="22"/>
                <w:szCs w:val="22"/>
              </w:rPr>
              <w:t xml:space="preserve">的</w:t>
            </w:r>
            <w:r>
              <w:rPr>
                <w:rFonts w:hint="eastAsia" w:ascii="Times New Roman" w:hAnsi="Times New Roman" w:eastAsia="宋体" w:cs="Times New Roman"/>
                <w:color w:val="auto"/>
                <w:spacing w:val="-2"/>
                <w:sz w:val="22"/>
                <w:szCs w:val="22"/>
                <w:lang w:val="en-US" w:eastAsia="zh-CN"/>
              </w:rPr>
              <w:t xml:space="preserve">图片</w:t>
            </w:r>
            <w:r>
              <w:rPr>
                <w:rFonts w:hint="eastAsia" w:ascii="Times New Roman" w:hAnsi="Times New Roman" w:eastAsia="宋体" w:cs="Times New Roman"/>
                <w:color w:val="auto"/>
                <w:spacing w:val="-2"/>
                <w:sz w:val="22"/>
                <w:szCs w:val="22"/>
              </w:rPr>
              <w:t xml:space="preserve">和视频，支持拍摄＞1600 万像素数的照片和视频，支持输出 4k 分辨率的视频。</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5.整机内置双WiFi6无线网卡（不接受外接），可实现Wi-Fi无线上网连接、AP无线热点发射。Wi-Fi制式支持IEEE 802.11 a/b/g/n/ac/ax；支持版本Wi-Fi6。</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二、插拔式电脑模块：</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1、采用按压式卡扣，无需工具即可快速拆卸电脑模块。</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2、PC模块和整机的连接采用万兆级接口，传输速率≥10Gbps。</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w:t>
            </w:r>
            <w:r>
              <w:rPr>
                <w:rFonts w:hint="eastAsia" w:ascii="Times New Roman" w:hAnsi="Times New Roman" w:eastAsia="宋体" w:cs="Times New Roman"/>
                <w:color w:val="auto"/>
                <w:spacing w:val="-2"/>
                <w:sz w:val="22"/>
                <w:szCs w:val="22"/>
                <w:lang w:val="en-US" w:eastAsia="zh-CN"/>
              </w:rPr>
              <w:t xml:space="preserve">硬件要求</w:t>
            </w:r>
            <w:r>
              <w:rPr>
                <w:rFonts w:hint="eastAsia" w:ascii="Times New Roman" w:hAnsi="Times New Roman" w:eastAsia="宋体" w:cs="Times New Roman"/>
                <w:color w:val="auto"/>
                <w:spacing w:val="-2"/>
                <w:sz w:val="22"/>
                <w:szCs w:val="22"/>
              </w:rPr>
              <w:t xml:space="preserve">：主频≥2.0GHz，8核心十二线程；配置要求：不低于 DDR4 8GB内存，256GB SSD硬盘；接口要求：≥1路HDMI，≥3路USB。</w:t>
            </w:r>
            <w:r/>
          </w:p>
        </w:tc>
      </w:tr>
      <w:tr>
        <w:trPr>
          <w:jc w:val="center"/>
          <w:trHeight w:val="640"/>
        </w:trPr>
        <w:tc>
          <w:tcPr>
            <w:tcW w:w="762" w:type="dxa"/>
            <w:vAlign w:val="center"/>
            <w:textDirection w:val="lrTb"/>
            <w:noWrap w:val="false"/>
          </w:tcPr>
          <w:p>
            <w:pPr>
              <w:jc w:val="center"/>
              <w:rPr>
                <w:rFonts w:eastAsia="宋体" w:cs="Times New Roman"/>
                <w:color w:val="auto"/>
                <w:spacing w:val="-2"/>
                <w:sz w:val="22"/>
                <w:szCs w:val="22"/>
              </w:rPr>
            </w:pPr>
            <w:r>
              <w:rPr>
                <w:rFonts w:hint="eastAsia" w:eastAsia="宋体" w:cs="Times New Roman"/>
                <w:color w:val="auto"/>
                <w:spacing w:val="-2"/>
                <w:sz w:val="22"/>
                <w:szCs w:val="22"/>
              </w:rPr>
              <w:t xml:space="preserve">3</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集中控制教学系统</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一、备授课功能：</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1.为教师提供</w:t>
            </w:r>
            <w:r>
              <w:rPr>
                <w:rFonts w:hint="eastAsia" w:ascii="Times New Roman" w:hAnsi="Times New Roman" w:eastAsia="宋体" w:cs="Times New Roman"/>
                <w:color w:val="auto"/>
                <w:spacing w:val="-2"/>
                <w:sz w:val="22"/>
                <w:szCs w:val="22"/>
                <w:lang w:val="en-US" w:eastAsia="zh-CN"/>
              </w:rPr>
              <w:t xml:space="preserve">≥</w:t>
            </w:r>
            <w:r>
              <w:rPr>
                <w:rFonts w:hint="eastAsia" w:ascii="Times New Roman" w:hAnsi="Times New Roman" w:eastAsia="宋体" w:cs="Times New Roman"/>
                <w:color w:val="auto"/>
                <w:spacing w:val="-2"/>
                <w:sz w:val="22"/>
                <w:szCs w:val="22"/>
              </w:rPr>
              <w:t xml:space="preserve">100T云存储空间。</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2.支持分组管理云课件，用户可自定义分组名称，并根据需要将课件分类管理。</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3.支持点对点分享云课件，用户可在软件中直接将课件发送给其它用户，同时也可以在软件中直接接收并打开其它用户分享的课件。</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4.支持多人在选择书写工具的状态下同时书写和擦除，互不影响，方便不同学生在屏幕上同时书写。</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5.支持创建互动分类游戏，系统需提供不少于10种游戏模板，直接选择并输入相应内容即可轻松生成互动分类游戏，提升课堂趣味性。</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7.支持任意对象自定义路径动画设置，可绘制任意的移动轨迹并让对象沿着轨迹路径进行移动，可单独设置该动画通过翻页或单击对象本身进行触发。</w:t>
            </w:r>
            <w:r/>
          </w:p>
          <w:p>
            <w:pPr>
              <w:jc w:val="left"/>
              <w:spacing w:line="400" w:lineRule="exact"/>
              <w:widowControl/>
              <w:rPr>
                <w:rFonts w:hint="eastAsia" w:ascii="Times New Roman" w:hAnsi="Times New Roman" w:eastAsia="宋体" w:cs="Times New Roman"/>
                <w:color w:val="auto"/>
                <w:spacing w:val="-2"/>
                <w:sz w:val="22"/>
                <w:szCs w:val="22"/>
              </w:rPr>
            </w:pPr>
            <w:r/>
            <w:bookmarkStart w:id="194" w:name="_Hlk229212128"/>
            <w:r>
              <w:rPr>
                <w:rFonts w:hint="eastAsia" w:ascii="Times New Roman" w:hAnsi="Times New Roman" w:eastAsia="宋体" w:cs="Times New Roman"/>
                <w:color w:val="auto"/>
                <w:spacing w:val="-2"/>
                <w:sz w:val="22"/>
                <w:szCs w:val="22"/>
              </w:rPr>
              <w:t xml:space="preserve">教学教研平台</w:t>
            </w:r>
            <w:bookmarkEnd w:id="194"/>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8.将信息化教学数据分五个维度进行评估，分别为资源建设、校本研修、校影响力、学情分析及班级氛围，并与全省均值对比。</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9.展示本校部分师资力量，及本校教师产生的资源在全国范围的影响。</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10.呈现[集体备课次数]、[评论研讨次数]、[授课次数]和[听课次数]的数据情况，环比上周数据。榜单更新热门集备主题，直观反映学校教研进展。</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11.展示本校最新教研动态，包括集体备课、听课评课、校本资源建设动态，了解学校的教研最新进展。</w:t>
            </w:r>
            <w:r/>
          </w:p>
        </w:tc>
      </w:tr>
      <w:tr>
        <w:trPr>
          <w:jc w:val="center"/>
          <w:trHeight w:val="640"/>
        </w:trPr>
        <w:tc>
          <w:tcPr>
            <w:tcW w:w="762" w:type="dxa"/>
            <w:vAlign w:val="center"/>
            <w:textDirection w:val="lrTb"/>
            <w:noWrap w:val="false"/>
          </w:tcPr>
          <w:p>
            <w:pPr>
              <w:jc w:val="center"/>
              <w:rPr>
                <w:rFonts w:eastAsia="宋体" w:cs="Times New Roman"/>
                <w:color w:val="auto"/>
                <w:spacing w:val="-2"/>
                <w:sz w:val="22"/>
                <w:szCs w:val="22"/>
              </w:rPr>
            </w:pPr>
            <w:r>
              <w:rPr>
                <w:rFonts w:hint="eastAsia" w:eastAsia="宋体" w:cs="Times New Roman"/>
                <w:color w:val="auto"/>
                <w:spacing w:val="-2"/>
                <w:sz w:val="22"/>
                <w:szCs w:val="22"/>
              </w:rPr>
              <w:t xml:space="preserve">4</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高清视频展台</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1.采用≥800万像素摄像头；采用 USB五伏电源直接供电，无需额外配置电源适配器，环保无辐射；箱内USB连线采用隐藏式设计，箱内无可见连线且USB口下出，有效防止积尘，且方便布线和返修。</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2.A4大小拍摄幅面，1080P动态视频预览达到30帧/秒；托板及挂墙部分采用金属加强，托板可承重3kg，整机壁挂式安装。</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3.支持展台成像画面实时批注，预设多种笔划粗细及颜色供选择，且支持对展台成像画面联同批注内容进行同步缩放、移动。</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4.整机采用圆弧式设计，无锐角；同时托板采用磁吸吸附式机构，防止托板打落，方便打开及固定，避免机械式锁具故障率高的问题。</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5.展示托板正上方具备LED补光灯，保证展示区域的亮度及展示效果，补光灯开关采用触摸按键设计，同时可通过交互智能平板中的软件直接控制开关；</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6.带自动对焦摄像头；外壳在摄像头部分带保护镜片密封，防止灰尘沾染摄像头，防护等级达到IP4X级别。</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7.具有故障自动检测功能：在调用展台却无法出现镜头采集画面信号时，可自动出现检测链接，并给出导致性原因（如硬件连接、摄像头占用、配套软件版本等问题）。</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8.软件：（1）支持对展台画面进行放大、缩小、旋转、自适应、冻结画面等操作。</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（2）支持展台画面实时批注，预设多种笔划粗细及颜色供选择，且支持对展台画面联同批注内容进行同步缩放、移动。</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（3）支持展台画面拍照截图并进行多图预览，可对任一图片进行全屏显示。</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（4）老师可在一体机或电脑上选择延时拍照功能，支持5秒或10秒延时模式，预留充足时间以便调整拍摄内容。</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（5）具备图像增强功能，可自动裁剪背景并增强文字显示，使文档画面更清晰。</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（6）可选择图像、文本或动态等多种情景模式，适应不同展示内容。</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（7）支持故障自动检测，在软件无法出现展台拍摄画面时，自动出现检测链接，帮助用户检测“无画面”的原因，并给出引导性解决方案。可判断硬件连接、显卡驱动、摄像头占用、软件版本等问题。</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（8）支持二维码扫码功能：打开扫一扫功能后，将书本上的二维码放入扫描框内即可自动扫描，并进入系统浏览器获取二维码的链接内容，帮助老师快速获取电子教学资源。</w:t>
            </w:r>
            <w:r/>
          </w:p>
        </w:tc>
      </w:tr>
      <w:tr>
        <w:trPr>
          <w:jc w:val="center"/>
          <w:trHeight w:val="640"/>
        </w:trPr>
        <w:tc>
          <w:tcPr>
            <w:tcW w:w="762" w:type="dxa"/>
            <w:vAlign w:val="center"/>
            <w:textDirection w:val="lrTb"/>
            <w:noWrap w:val="false"/>
          </w:tcPr>
          <w:p>
            <w:pPr>
              <w:jc w:val="center"/>
              <w:rPr>
                <w:rFonts w:eastAsia="宋体" w:cs="Times New Roman"/>
                <w:color w:val="auto"/>
                <w:spacing w:val="-2"/>
                <w:sz w:val="22"/>
                <w:szCs w:val="22"/>
              </w:rPr>
            </w:pPr>
            <w:r>
              <w:rPr>
                <w:rFonts w:hint="eastAsia" w:eastAsia="宋体" w:cs="Times New Roman"/>
                <w:color w:val="auto"/>
                <w:spacing w:val="-2"/>
                <w:sz w:val="22"/>
                <w:szCs w:val="22"/>
              </w:rPr>
              <w:t xml:space="preserve">5</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推拉黑板</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1、规格：外形尺寸≥4000mm×1265mm，可根据所配电子产品尺寸适当调整，确保与电子产品的有效配套。</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2、结构：由四块折边板、上下滑轨及滑动组件构成。分前后两层，后层为两块固定书写板，外层为两块滑动书写板。滑动板闭合后可组成一个平面，整板无边框障碍，可实现连续书写。</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3、内板：书写板正面无竖边框，竖边两侧均采用双90°折弯工艺，避免单折边钢板外漏。上下边框正面尺寸≤12mm，增大有效书写面积。</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面板：采用优质金属烤漆板，涂层采用丙烯酸树脂漆，面板厚度0.3mm，表面附有透明保护膜；涂层硬度≥6H；亚光、墨绿色，光泽度＜12%，无明显眩光，不反光，有效保护学生视力；使用粉笔书写流畅，笔迹均匀，字迹清晰，易写易擦；可吸附磁钉、磁片，便于教学。</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5、夹芯：采用防潮、阻燃、吸音、环保的聚苯乙烯板，厚度≥14mm，面层平整，挺度好，整张无拼缝。</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6、背板：采用优质亚光黑色彩涂板，厚度≥0.21mm。</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7、覆板：采用书写板专用环保型双组份聚氨酯胶水粘合，经自动复合流水线一次压制成型，淋胶均匀，胶合牢固，不起泡，确保书写板面平整。</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边框：采用高强度银白色工业铝合金型材，表面经氧化、磨砂涂层处理，表面无划伤，抗腐蚀，模具一次成型；书写板上下小边框采用11.5mm窄边框设计，左右无竖边框；横滑轨规格≥31×37mmmm，壁厚1.2mm，采用双层加强结构，以确保黑板整体强度和滑动效果；固定板外侧加装侧挡板，确保与一体机厚度匹配。</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9、包角：采用防老化、抗疲劳ABS工程塑料，模具注塑一次成型。</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10、滑轮组：每块滑动板上下各安装2组，采用高精度轴承滑轮。每个滑动组件由3个滑轮组成，滑动顺畅无噪音。</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11、缓冲块：上下框两端及中间安装4个缓冲块，有效降低噪音，防止直接碰撞。</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12、拉手：采用磨砂哑银金属拉手，推拉时握感舒适，结实耐用。</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6</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86</w:t>
            </w:r>
            <w:r>
              <w:rPr>
                <w:rFonts w:hint="eastAsia" w:eastAsia="宋体" w:cs="Times New Roman"/>
                <w:color w:val="auto"/>
                <w:spacing w:val="-2"/>
                <w:sz w:val="22"/>
                <w:szCs w:val="22"/>
              </w:rPr>
              <w:t xml:space="preserve">寸触控一体机移动支架</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1.移动支架通过防倾斜实验，正负10度倾斜角度下不能翻倒；</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2.承挂≥80kg，壁挂高度可调；整体高度≥1597mm；</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3.托盘承重20KG</w:t>
            </w:r>
            <w:r>
              <w:rPr>
                <w:rFonts w:hint="eastAsia" w:ascii="Times New Roman" w:hAnsi="Times New Roman" w:eastAsia="宋体" w:cs="Times New Roman"/>
                <w:color w:val="auto"/>
                <w:spacing w:val="-2"/>
                <w:sz w:val="22"/>
                <w:szCs w:val="22"/>
                <w:lang w:eastAsia="zh-CN"/>
              </w:rPr>
              <w:t xml:space="preserve">，</w:t>
            </w:r>
            <w:r>
              <w:rPr>
                <w:rFonts w:hint="eastAsia" w:ascii="Times New Roman" w:hAnsi="Times New Roman" w:eastAsia="宋体" w:cs="Times New Roman"/>
                <w:color w:val="auto"/>
                <w:spacing w:val="-2"/>
                <w:sz w:val="22"/>
                <w:szCs w:val="22"/>
              </w:rPr>
              <w:t xml:space="preserve">模具设置U型置物槽，方便触摸笔、遥控器等物品放置；</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4.支撑立杆采用壁厚≥1.8mm方通冷轧钢材质，表面黑色喷涂；</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5.脚轮为万向轮，聚氨酯（PU）材质，均带脚刹，直径不小于∮75mm；</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脚轮中心距横向≥1115mm，纵向≥627mm</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7</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98</w:t>
            </w:r>
            <w:r>
              <w:rPr>
                <w:rFonts w:hint="eastAsia" w:eastAsia="宋体" w:cs="Times New Roman"/>
                <w:color w:val="auto"/>
                <w:spacing w:val="-2"/>
                <w:sz w:val="22"/>
                <w:szCs w:val="22"/>
              </w:rPr>
              <w:t xml:space="preserve">寸触控一体机</w:t>
            </w:r>
            <w:r/>
          </w:p>
        </w:tc>
        <w:tc>
          <w:tcPr>
            <w:tcW w:w="6302" w:type="dxa"/>
            <w:vAlign w:val="center"/>
            <w:textDirection w:val="lrTb"/>
            <w:noWrap w:val="false"/>
          </w:tcPr>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一、整机设计：</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1.整机屏幕采用98英寸液晶显示器。整机采用超高清LED液晶显示屏，显示比例16:9，分辨率3840×2160。</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2.侧置输入接口至少具备2路HDMI、1路RS232、1路USB接口，1路3.5mm Audio in音频输入接口；侧置输出接口至少具备1路3.5mm Audio out音频输出、1路触控USB输出；侧置输出接口至少具备1路HDMI out接口，支持最大4K60Hz分辨率输出；前置输入接口至少具备3路USB接口（包含1路Type-C、2路USB）</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3.设备自带地震预警软件，支持在地震预警页面中获取位置，可以手动进行位置校准；支持在地震预警页面中选择提醒阈值；支持在地震预警界面中开启和关闭地震预警服务。</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4</w:t>
            </w:r>
            <w:r>
              <w:rPr>
                <w:rFonts w:hint="eastAsia" w:ascii="Times New Roman" w:hAnsi="Times New Roman" w:eastAsia="宋体" w:cs="Times New Roman"/>
                <w:strike w:val="0"/>
                <w:color w:val="auto"/>
                <w:spacing w:val="-2"/>
                <w:sz w:val="22"/>
                <w:szCs w:val="22"/>
              </w:rPr>
              <w:t xml:space="preserve">.</w:t>
            </w:r>
            <w:r>
              <w:rPr>
                <w:rFonts w:hint="eastAsia" w:ascii="Times New Roman" w:hAnsi="Times New Roman" w:eastAsia="宋体" w:cs="Times New Roman"/>
                <w:color w:val="auto"/>
                <w:spacing w:val="-2"/>
                <w:sz w:val="22"/>
                <w:szCs w:val="22"/>
              </w:rPr>
              <w:t xml:space="preserve">内存≥4GB，存储空间≥32GB。</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5.整机支持蓝牙Bluetooth 5.4标准，固件版本HCI13.0/LMP13.0。</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6.整机内置2.2声道扬声器，位于设备上边框，顶置朝前发声，前朝向10W高音扬声器2个，上朝向20W中低音扬声器2个，额定总功率60W。整机内置扬声器采用缝隙发声技术，喇叭采用槽式开口设计，不大于5.8mm</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7.整机内置独立音频CPU处理器，支持麦克风3A算法（自动增益控制（AGC）、自动抑制噪声（ANC）、自动回声消除（AEC）），提升麦克风拾音效果。内置专属的4核音频CPU处理器，最多支持8路麦克风数据处理，采样率支持192K，同时不占用整机系统的CPU能力。</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8.整机支持色彩空间可选，包含标准模式和sRGB模式，在sRGB模式下可做到高色准△E≤1.0</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9.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10.整机上边框内置非独立式摄像头，采用一体化集成设计，摄像头数量≥4个；</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w:t>
            </w:r>
            <w:r>
              <w:rPr>
                <w:rFonts w:hint="eastAsia" w:ascii="Times New Roman" w:hAnsi="Times New Roman" w:eastAsia="宋体" w:cs="Times New Roman"/>
                <w:color w:val="auto"/>
                <w:spacing w:val="-2"/>
                <w:sz w:val="22"/>
                <w:szCs w:val="22"/>
                <w:lang w:val="en-US" w:eastAsia="zh-CN"/>
              </w:rPr>
              <w:t xml:space="preserve">1</w:t>
            </w:r>
            <w:r>
              <w:rPr>
                <w:rFonts w:hint="eastAsia" w:ascii="Times New Roman" w:hAnsi="Times New Roman" w:eastAsia="宋体" w:cs="Times New Roman"/>
                <w:color w:val="auto"/>
                <w:spacing w:val="-2"/>
                <w:sz w:val="22"/>
                <w:szCs w:val="22"/>
              </w:rPr>
              <w:t xml:space="preserve">.整机上边框内置非独立式摄像头，视场角≥141度且水平视场角≥139度，可拍摄≥1600万像素的照片，支持输出8192×2048分辨率的照片和视频，支持画面畸变矫正功能 </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w:t>
            </w:r>
            <w:r>
              <w:rPr>
                <w:rFonts w:hint="eastAsia" w:ascii="Times New Roman" w:hAnsi="Times New Roman" w:eastAsia="宋体" w:cs="Times New Roman"/>
                <w:color w:val="auto"/>
                <w:spacing w:val="-2"/>
                <w:sz w:val="22"/>
                <w:szCs w:val="22"/>
                <w:lang w:val="en-US" w:eastAsia="zh-CN"/>
              </w:rPr>
              <w:t xml:space="preserve">2</w:t>
            </w:r>
            <w:r>
              <w:rPr>
                <w:rFonts w:hint="eastAsia" w:ascii="Times New Roman" w:hAnsi="Times New Roman" w:eastAsia="宋体" w:cs="Times New Roman"/>
                <w:color w:val="auto"/>
                <w:spacing w:val="-2"/>
                <w:sz w:val="22"/>
                <w:szCs w:val="22"/>
              </w:rPr>
              <w:t xml:space="preserve">.整机内置双Wi-Fi6无线网卡（不接受外接），可实现Wi-Fi无线上网连接、AP无线热点发射。</w:t>
            </w:r>
            <w:r/>
          </w:p>
          <w:p>
            <w:pPr>
              <w:jc w:val="left"/>
              <w:spacing w:line="400" w:lineRule="exact"/>
              <w:widowControl/>
              <w:rPr>
                <w:rFonts w:hint="eastAsia" w:ascii="Times New Roman" w:hAnsi="Times New Roman" w:eastAsia="宋体" w:cs="Times New Roman"/>
                <w:color w:val="auto"/>
                <w:spacing w:val="-2"/>
                <w:sz w:val="22"/>
                <w:szCs w:val="22"/>
                <w:lang w:val="en-US" w:eastAsia="zh-CN"/>
              </w:rPr>
            </w:pPr>
            <w:r>
              <w:rPr>
                <w:rFonts w:hint="eastAsia" w:ascii="Times New Roman" w:hAnsi="Times New Roman" w:eastAsia="宋体" w:cs="Times New Roman"/>
                <w:color w:val="auto"/>
                <w:spacing w:val="-2"/>
                <w:sz w:val="22"/>
                <w:szCs w:val="22"/>
                <w:lang w:val="en-US" w:eastAsia="zh-CN"/>
              </w:rPr>
              <w:t xml:space="preserve">硬件要求：</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1、PC模块可抽拉式插入整机，可实现无单独接线的插拔，采用按压式卡扣，无需工具就可快速拆卸电脑模块。</w:t>
            </w:r>
            <w:r/>
          </w:p>
          <w:p>
            <w:pPr>
              <w:jc w:val="left"/>
              <w:spacing w:line="400" w:lineRule="exact"/>
              <w:widowControl/>
              <w:rPr>
                <w:rFonts w:hint="eastAsia" w:ascii="Times New Roman" w:hAnsi="Times New Roman"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2、PC模块和整机的连接采用万兆级接口，传输速率≥10Gbps。</w:t>
            </w:r>
            <w:r/>
          </w:p>
          <w:p>
            <w:pPr>
              <w:jc w:val="left"/>
              <w:spacing w:line="400" w:lineRule="exact"/>
              <w:widowControl/>
              <w:rPr>
                <w:rFonts w:eastAsia="宋体" w:cs="Times New Roman"/>
                <w:color w:val="auto"/>
                <w:spacing w:val="-2"/>
                <w:sz w:val="22"/>
                <w:szCs w:val="22"/>
              </w:rPr>
            </w:pPr>
            <w:r>
              <w:rPr>
                <w:rFonts w:hint="eastAsia" w:ascii="Times New Roman" w:hAnsi="Times New Roman" w:eastAsia="宋体" w:cs="Times New Roman"/>
                <w:color w:val="auto"/>
                <w:spacing w:val="-2"/>
                <w:sz w:val="22"/>
                <w:szCs w:val="22"/>
              </w:rPr>
              <w:t xml:space="preserve">3、CPU要求：主频≥2.0GHz，8核心十二线程；配置要求：不低于 DDR4 8GB内存，256GB SSD硬盘；接口要求：≥1路HDMI，≥3路USB。</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8</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98</w:t>
            </w:r>
            <w:r>
              <w:rPr>
                <w:rFonts w:hint="eastAsia" w:eastAsia="宋体" w:cs="Times New Roman"/>
                <w:color w:val="auto"/>
                <w:spacing w:val="-2"/>
                <w:sz w:val="22"/>
                <w:szCs w:val="22"/>
              </w:rPr>
              <w:t xml:space="preserve">寸触控一体机移动支架</w:t>
            </w:r>
            <w:r/>
          </w:p>
        </w:tc>
        <w:tc>
          <w:tcPr>
            <w:tcW w:w="6302" w:type="dxa"/>
            <w:vAlign w:val="center"/>
            <w:textDirection w:val="lrTb"/>
            <w:noWrap w:val="false"/>
          </w:tcPr>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1.移动支架通过防倾斜实验，正负10度倾斜角度下不能翻倒；</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2.承挂≥100kg，壁挂高度可调；整体高度≥1610mm；</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3.隔板承重30KG</w:t>
            </w:r>
            <w:r>
              <w:rPr>
                <w:rFonts w:hint="eastAsia" w:eastAsia="宋体" w:cs="Times New Roman"/>
                <w:color w:val="auto"/>
                <w:spacing w:val="-2"/>
                <w:sz w:val="22"/>
                <w:szCs w:val="22"/>
                <w:lang w:eastAsia="zh-CN"/>
              </w:rPr>
              <w:t xml:space="preserve">，</w:t>
            </w:r>
            <w:r>
              <w:rPr>
                <w:rFonts w:hint="eastAsia" w:eastAsia="宋体" w:cs="Times New Roman"/>
                <w:color w:val="auto"/>
                <w:spacing w:val="-2"/>
                <w:sz w:val="22"/>
                <w:szCs w:val="22"/>
              </w:rPr>
              <w:t xml:space="preserve">模具设置U型置物槽，方便触摸笔、遥控器等物品放置；</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4.支撑立杆采用壁厚≥2mm方通冷轧钢材质，表面酸洗工艺静电黑色喷涂；</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5.提供上下双层搁板，均需采用厚度≥1.2mm冷轧钢材质，承重 ≥30kg，表面酸洗工艺静电黑色喷涂；</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6.承重底板四角须采用圆滑处理，防止碰伤；</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7.脚轮为万向轮，聚氨酯（PU）材质，均带脚刹，直径不小于∮75mm；</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8.脚轮横向间距≥1100mm，纵向间距≥530mm</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9</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5</w:t>
            </w:r>
            <w:r>
              <w:rPr>
                <w:rFonts w:eastAsia="宋体" w:cs="Times New Roman"/>
                <w:color w:val="auto"/>
                <w:spacing w:val="-2"/>
                <w:sz w:val="22"/>
                <w:szCs w:val="22"/>
              </w:rPr>
              <w:t xml:space="preserve">5</w:t>
            </w:r>
            <w:r>
              <w:rPr>
                <w:rFonts w:hint="eastAsia" w:eastAsia="宋体" w:cs="Times New Roman"/>
                <w:color w:val="auto"/>
                <w:spacing w:val="-2"/>
                <w:sz w:val="22"/>
                <w:szCs w:val="22"/>
              </w:rPr>
              <w:t xml:space="preserve">寸超窄边高清拼接大屏</w:t>
            </w:r>
            <w:r/>
          </w:p>
        </w:tc>
        <w:tc>
          <w:tcPr>
            <w:tcW w:w="6302" w:type="dxa"/>
            <w:vAlign w:val="center"/>
            <w:textDirection w:val="lrTb"/>
            <w:noWrap w:val="false"/>
          </w:tcPr>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1、产品尺寸：55吋，双边拼缝：3.5mm；</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2、分辨率：1920*1080，亮度：500cd/m2，对比度：4000:1，色彩范围：8bit，刷新率：60Hz，功耗：155W，视角：178°(水平)/ 178°</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3、供电方式：100–240VAC，50/60Hz，工作温度：0℃～+50℃，工作湿度：20%～90%RH（无凝结），储存温度：–20℃～+55℃，储存湿度：5%～95%RH（无凝结）</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4、输入接口：VGA*1、CVBS*1、DVI-D*1、HDMI*1、RS232(RJ45)*1、USB（升级和多媒体）、IR*1，输出接口：RS232(RJ45)*1</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LCD 显示单元具备阔屏技术，在图 像亮度调节过程中，通过 Gamma 变 化不丢失灰阶保证图像细节；液晶拼接产生均匀稳定知觉的闪烁频率，符合GB/T40230.2-2021视疲劳测试要求</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10</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拼接控制器</w:t>
            </w:r>
            <w:r/>
          </w:p>
        </w:tc>
        <w:tc>
          <w:tcPr>
            <w:tcW w:w="6302" w:type="dxa"/>
            <w:vAlign w:val="center"/>
            <w:textDirection w:val="lrTb"/>
            <w:noWrap w:val="false"/>
          </w:tcPr>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1、</w:t>
            </w:r>
            <w:r>
              <w:rPr>
                <w:rFonts w:hint="eastAsia" w:eastAsia="宋体" w:cs="Times New Roman"/>
                <w:color w:val="auto"/>
                <w:spacing w:val="-2"/>
                <w:sz w:val="22"/>
                <w:szCs w:val="22"/>
              </w:rPr>
              <w:t xml:space="preserve">支持12路HDMI信号输出</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2、</w:t>
            </w:r>
            <w:r>
              <w:rPr>
                <w:rFonts w:hint="eastAsia" w:eastAsia="宋体" w:cs="Times New Roman"/>
                <w:color w:val="auto"/>
                <w:spacing w:val="-2"/>
                <w:sz w:val="22"/>
                <w:szCs w:val="22"/>
              </w:rPr>
              <w:t xml:space="preserve">输出接口最大支持3840×2160@60及以下常规分辨率和</w:t>
            </w:r>
            <w:r>
              <w:rPr>
                <w:rFonts w:hint="eastAsia" w:eastAsia="宋体" w:cs="Times New Roman"/>
                <w:color w:val="auto"/>
                <w:spacing w:val="-2"/>
                <w:sz w:val="22"/>
                <w:szCs w:val="22"/>
                <w:lang w:val="en-US" w:eastAsia="zh-CN"/>
              </w:rPr>
              <w:t xml:space="preserve">3、</w:t>
            </w:r>
            <w:r>
              <w:rPr>
                <w:rFonts w:hint="eastAsia" w:eastAsia="宋体" w:cs="Times New Roman"/>
                <w:color w:val="auto"/>
                <w:spacing w:val="-2"/>
                <w:sz w:val="22"/>
                <w:szCs w:val="22"/>
              </w:rPr>
              <w:t xml:space="preserve">自定义分辨率输出</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4、</w:t>
            </w:r>
            <w:r>
              <w:rPr>
                <w:rFonts w:hint="eastAsia" w:eastAsia="宋体" w:cs="Times New Roman"/>
                <w:color w:val="auto"/>
                <w:spacing w:val="-2"/>
                <w:sz w:val="22"/>
                <w:szCs w:val="22"/>
              </w:rPr>
              <w:t xml:space="preserve">支持1路HDMI和1路DP信号输入</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5、</w:t>
            </w:r>
            <w:r>
              <w:rPr>
                <w:rFonts w:hint="eastAsia" w:eastAsia="宋体" w:cs="Times New Roman"/>
                <w:color w:val="auto"/>
                <w:spacing w:val="-2"/>
                <w:sz w:val="22"/>
                <w:szCs w:val="22"/>
              </w:rPr>
              <w:t xml:space="preserve">输入接口最大支持1920×1080@60及以下常规分辨率采集编码</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6、</w:t>
            </w:r>
            <w:r>
              <w:rPr>
                <w:rFonts w:hint="eastAsia" w:eastAsia="宋体" w:cs="Times New Roman"/>
                <w:color w:val="auto"/>
                <w:spacing w:val="-2"/>
                <w:sz w:val="22"/>
                <w:szCs w:val="22"/>
              </w:rPr>
              <w:t xml:space="preserve">具备1对语音对讲接口：1个3.5mm音频输入接口和1个3.5mm音频输出接口</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7、</w:t>
            </w:r>
            <w:r>
              <w:rPr>
                <w:rFonts w:hint="eastAsia" w:eastAsia="宋体" w:cs="Times New Roman"/>
                <w:color w:val="auto"/>
                <w:spacing w:val="-2"/>
                <w:sz w:val="22"/>
                <w:szCs w:val="22"/>
              </w:rPr>
              <w:t xml:space="preserve">支持每屏1/4/6/8/9/16/25/36分割，支持M×N自由分割</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8、</w:t>
            </w:r>
            <w:r>
              <w:rPr>
                <w:rFonts w:hint="eastAsia" w:eastAsia="宋体" w:cs="Times New Roman"/>
                <w:color w:val="auto"/>
                <w:spacing w:val="-2"/>
                <w:sz w:val="22"/>
                <w:szCs w:val="22"/>
              </w:rPr>
              <w:t xml:space="preserve">支持任意开窗、漫游，每屏最大支持36路开窗</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9、</w:t>
            </w:r>
            <w:r>
              <w:rPr>
                <w:rFonts w:hint="eastAsia" w:eastAsia="宋体" w:cs="Times New Roman"/>
                <w:color w:val="auto"/>
                <w:spacing w:val="-2"/>
                <w:sz w:val="22"/>
                <w:szCs w:val="22"/>
              </w:rPr>
              <w:t xml:space="preserve">支持电视墙默认底色设置，支持高清底图显示</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10、</w:t>
            </w:r>
            <w:r>
              <w:rPr>
                <w:rFonts w:hint="eastAsia" w:eastAsia="宋体" w:cs="Times New Roman"/>
                <w:color w:val="auto"/>
                <w:spacing w:val="-2"/>
                <w:sz w:val="22"/>
                <w:szCs w:val="22"/>
              </w:rPr>
              <w:t xml:space="preserve">支持预案轮巡</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11、</w:t>
            </w:r>
            <w:r>
              <w:rPr>
                <w:rFonts w:hint="eastAsia" w:eastAsia="宋体" w:cs="Times New Roman"/>
                <w:color w:val="auto"/>
                <w:spacing w:val="-2"/>
                <w:sz w:val="22"/>
                <w:szCs w:val="22"/>
              </w:rPr>
              <w:t xml:space="preserve">支持多屏融合拼接，跨屏画面毫秒级完美同步</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12、</w:t>
            </w:r>
            <w:r>
              <w:rPr>
                <w:rFonts w:hint="eastAsia" w:eastAsia="宋体" w:cs="Times New Roman"/>
                <w:color w:val="auto"/>
                <w:spacing w:val="-2"/>
                <w:sz w:val="22"/>
                <w:szCs w:val="22"/>
              </w:rPr>
              <w:t xml:space="preserve">支持设置指定电脑允许的接管范围和窗口，除此之外的电脑内容不予以显示。</w:t>
            </w:r>
            <w:r/>
          </w:p>
          <w:p>
            <w:pPr>
              <w:jc w:val="left"/>
              <w:spacing w:line="400" w:lineRule="exact"/>
              <w:widowControl/>
              <w:rPr>
                <w:rFonts w:hint="eastAsia" w:eastAsia="宋体" w:cs="Times New Roman"/>
                <w:color w:val="auto"/>
                <w:spacing w:val="-2"/>
                <w:sz w:val="22"/>
                <w:szCs w:val="22"/>
              </w:rPr>
            </w:pPr>
            <w:r>
              <w:rPr>
                <w:rFonts w:hint="eastAsia" w:eastAsia="宋体" w:cs="Times New Roman"/>
                <w:color w:val="auto"/>
                <w:spacing w:val="-2"/>
                <w:sz w:val="22"/>
                <w:szCs w:val="22"/>
                <w:lang w:val="en-US" w:eastAsia="zh-CN"/>
              </w:rPr>
              <w:t xml:space="preserve">13、</w:t>
            </w:r>
            <w:r>
              <w:rPr>
                <w:rFonts w:hint="eastAsia" w:eastAsia="宋体" w:cs="Times New Roman"/>
                <w:color w:val="auto"/>
                <w:spacing w:val="-2"/>
                <w:sz w:val="22"/>
                <w:szCs w:val="22"/>
              </w:rPr>
              <w:t xml:space="preserve">支持1路HDMI接入和1路DP接入，可同时支持2路分辨率为3840×2160、60HZ的视频图像采集并输出显示；最大可支持12个输出口同时输出分辨率为3840×2160，刷新率为60Hz的视频图像。</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lang w:val="en-US" w:eastAsia="zh-CN"/>
              </w:rPr>
              <w:t xml:space="preserve">14、</w:t>
            </w:r>
            <w:r>
              <w:rPr>
                <w:rFonts w:hint="eastAsia" w:eastAsia="宋体" w:cs="Times New Roman"/>
                <w:color w:val="auto"/>
                <w:spacing w:val="-2"/>
                <w:sz w:val="22"/>
                <w:szCs w:val="22"/>
              </w:rPr>
              <w:t xml:space="preserve">前面板集成旋钮，支持旋钮调节音量大小、设置IP，设置快捷控制电视墙等；前面板集成LCD液晶屏，显示设备状态，如IP、设备型号、版本号等；</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11</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1</w:t>
            </w:r>
            <w:r>
              <w:rPr>
                <w:rFonts w:eastAsia="宋体" w:cs="Times New Roman"/>
                <w:color w:val="auto"/>
                <w:spacing w:val="-2"/>
                <w:sz w:val="22"/>
                <w:szCs w:val="22"/>
              </w:rPr>
              <w:t xml:space="preserve">00</w:t>
            </w:r>
            <w:r>
              <w:rPr>
                <w:rFonts w:hint="eastAsia" w:eastAsia="宋体" w:cs="Times New Roman"/>
                <w:color w:val="auto"/>
                <w:spacing w:val="-2"/>
                <w:sz w:val="22"/>
                <w:szCs w:val="22"/>
              </w:rPr>
              <w:t xml:space="preserve">寸液晶显示器</w:t>
            </w:r>
            <w:r/>
          </w:p>
        </w:tc>
        <w:tc>
          <w:tcPr>
            <w:tcW w:w="6302" w:type="dxa"/>
            <w:vAlign w:val="center"/>
            <w:textDirection w:val="lrTb"/>
            <w:noWrap w:val="false"/>
          </w:tcPr>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为保证显示效果，要求整机屏幕采用100寸液晶屏，显示比例16:9，屏幕分辨率≥3840*2160，屏亮度≥300cd/㎡2.</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为保证显示色彩的丰富程度，色域≥90%DCI-P3(Typ)</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3.</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整机采用不低于安卓13.0系统，内置CPU性能≥四核A55，内置GPU性能≥双核，RAM≥4G，ROM≥64G</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4.</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I/O接口：≥2路HDMI IN，≥2路 USB接口，≥1路TYPE C，≥1路LINE OUT，≥1路RJ45 IN，≥1路RS232</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5.</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采用2.0声道，内置扬声器功率≥20W</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6.</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支持应用窗口投屏时，电脑屏幕仍能打开别的应用处理其他事情，实现个人端隐私保护，能避免如微信弹窗；</w:t>
            </w:r>
            <w:r/>
          </w:p>
          <w:p>
            <w:pPr>
              <w:jc w:val="left"/>
              <w:spacing w:line="400" w:lineRule="exact"/>
              <w:widowControl/>
              <w:rPr>
                <w:rFonts w:eastAsia="宋体" w:cs="Times New Roman"/>
                <w:color w:val="auto"/>
                <w:spacing w:val="-2"/>
                <w:sz w:val="22"/>
                <w:szCs w:val="22"/>
              </w:rPr>
            </w:pPr>
            <w:r>
              <w:rPr>
                <w:rFonts w:eastAsia="宋体" w:cs="Times New Roman"/>
                <w:color w:val="auto"/>
                <w:spacing w:val="-2"/>
                <w:sz w:val="22"/>
                <w:szCs w:val="22"/>
              </w:rPr>
              <w:t xml:space="preserve">7</w:t>
            </w:r>
            <w:r>
              <w:rPr>
                <w:rFonts w:hint="eastAsia" w:eastAsia="宋体" w:cs="Times New Roman"/>
                <w:color w:val="auto"/>
                <w:spacing w:val="-2"/>
                <w:sz w:val="22"/>
                <w:szCs w:val="22"/>
              </w:rPr>
              <w:t xml:space="preserve">.</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支持桌面自定义，客户可根据需求设置桌面样式，在桌面底部显示≥4个常用应用的图标</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9.</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支持电脑通过无线方式调用整机外接摄像头、麦克风等</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10.</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支持通过系统设置开机自启动系统预装的应用</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11.</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支持通过系统设置滚动字幕，作为设备常驻上方的文字通知内容，设置的内容包含文字内容、显示方式（静态显示、向左滚动）、文字大小、文字颜色</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12.</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支持个性化设置开机logo及开机动画</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13.</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支持对接集控管理平台，设定定时任务并推送至相关设备，定时向设备推送文字消息、壁纸等，并支持循环执行</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14.</w:t>
            </w:r>
            <w:r>
              <w:rPr>
                <w:rFonts w:hint="eastAsia" w:eastAsia="宋体" w:cs="Times New Roman"/>
                <w:color w:val="auto"/>
                <w:spacing w:val="-2"/>
                <w:sz w:val="22"/>
                <w:szCs w:val="22"/>
              </w:rPr>
              <w:tab/>
            </w:r>
            <w:r>
              <w:rPr>
                <w:rFonts w:hint="eastAsia" w:eastAsia="宋体" w:cs="Times New Roman"/>
                <w:color w:val="auto"/>
                <w:spacing w:val="-2"/>
                <w:sz w:val="22"/>
                <w:szCs w:val="22"/>
              </w:rPr>
              <w:t xml:space="preserve">支持对接集控管理平台，实现一键巡检所有设备，实时查看设备运行状态，必要时可通过远程桌面操控对应设备</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12</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壁挂支架</w:t>
            </w:r>
            <w:r/>
          </w:p>
        </w:tc>
        <w:tc>
          <w:tcPr>
            <w:tcW w:w="6302" w:type="dxa"/>
            <w:vAlign w:val="center"/>
            <w:textDirection w:val="lrTb"/>
            <w:noWrap w:val="false"/>
          </w:tcPr>
          <w:p>
            <w:pPr>
              <w:jc w:val="left"/>
              <w:widowControl/>
              <w:rPr>
                <w:rFonts w:hint="default" w:eastAsia="宋体" w:cs="Times New Roman"/>
                <w:color w:val="auto"/>
                <w:spacing w:val="-2"/>
                <w:sz w:val="22"/>
                <w:szCs w:val="22"/>
                <w:lang w:val="en-US" w:eastAsia="zh-CN"/>
              </w:rPr>
            </w:pPr>
            <w:r>
              <w:rPr>
                <w:rFonts w:hint="eastAsia" w:eastAsia="宋体" w:cs="Times New Roman"/>
                <w:color w:val="auto"/>
                <w:spacing w:val="-2"/>
                <w:sz w:val="22"/>
                <w:szCs w:val="22"/>
              </w:rPr>
              <w:t xml:space="preserve">维护液压支架</w:t>
            </w:r>
            <w:r>
              <w:rPr>
                <w:rFonts w:hint="eastAsia" w:eastAsia="宋体" w:cs="Times New Roman"/>
                <w:color w:val="auto"/>
                <w:spacing w:val="-2"/>
                <w:sz w:val="22"/>
                <w:szCs w:val="22"/>
                <w:lang w:val="en-US" w:eastAsia="zh-CN"/>
              </w:rPr>
              <w:t xml:space="preserve">安装（12块拼接大屏用）</w:t>
            </w:r>
            <w:r/>
          </w:p>
        </w:tc>
      </w:tr>
      <w:tr>
        <w:trPr>
          <w:jc w:val="center"/>
          <w:trHeight w:val="640"/>
        </w:trPr>
        <w:tc>
          <w:tcPr>
            <w:tcW w:w="762" w:type="dxa"/>
            <w:vAlign w:val="center"/>
            <w:textDirection w:val="lrTb"/>
            <w:noWrap w:val="false"/>
          </w:tcPr>
          <w:p>
            <w:pPr>
              <w:jc w:val="center"/>
              <w:widowControl/>
              <w:rPr>
                <w:rFonts w:eastAsia="宋体" w:cs="Times New Roman"/>
                <w:color w:val="auto"/>
                <w:spacing w:val="-2"/>
                <w:sz w:val="22"/>
                <w:szCs w:val="22"/>
              </w:rPr>
            </w:pPr>
            <w:r>
              <w:rPr>
                <w:rFonts w:eastAsia="宋体" w:cs="Times New Roman"/>
                <w:color w:val="auto"/>
                <w:spacing w:val="-2"/>
                <w:sz w:val="22"/>
                <w:szCs w:val="22"/>
              </w:rPr>
              <w:t xml:space="preserve">13</w:t>
            </w:r>
            <w:r/>
          </w:p>
        </w:tc>
        <w:tc>
          <w:tcPr>
            <w:tcW w:w="1831" w:type="dxa"/>
            <w:vAlign w:val="center"/>
            <w:textDirection w:val="lrTb"/>
            <w:noWrap w:val="false"/>
          </w:tcPr>
          <w:p>
            <w:pPr>
              <w:jc w:val="center"/>
              <w:widowControl/>
              <w:rPr>
                <w:rFonts w:eastAsia="宋体" w:cs="Times New Roman"/>
                <w:color w:val="auto"/>
                <w:spacing w:val="-2"/>
                <w:sz w:val="22"/>
                <w:szCs w:val="22"/>
              </w:rPr>
            </w:pPr>
            <w:r>
              <w:rPr>
                <w:rFonts w:hint="eastAsia" w:eastAsia="宋体" w:cs="Times New Roman"/>
                <w:color w:val="auto"/>
                <w:spacing w:val="-2"/>
                <w:sz w:val="22"/>
                <w:szCs w:val="22"/>
              </w:rPr>
              <w:t xml:space="preserve">投影机+系统</w:t>
            </w:r>
            <w:r/>
          </w:p>
        </w:tc>
        <w:tc>
          <w:tcPr>
            <w:tcW w:w="6302" w:type="dxa"/>
            <w:vAlign w:val="center"/>
            <w:textDirection w:val="lrTb"/>
            <w:noWrap w:val="false"/>
          </w:tcPr>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1.投影机：投影技术：投影系统，芯片尺寸：≥0.65"DMD/S600；亮度：≥4200lm；分辨率：≥1920×1080，兼容4K信号输入；光源类型：MCL激光二极管模组；光源寿命：≥20,000 小时（标准模式），≥30,000小时（节能模式）；对比度：≥6,000,000:1；镜头：投射比1.12-1.47:1，手动/变焦/聚焦；遥控：遥控器按键具有全背光，机身前后2组红外遥控接收窗口；</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输入端口：HDMI2.0≥2（兼容4K支持HDCP），VGA≥1，Audio≥1；输出端口：Audio≥1，USB-A≥1；控制端口：RS232≥1，RJ45≥1，Mini USB≥1；</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扬声器数量：1只、功率：≥16W×1；重量：≥3.2kg</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2.定制服务器： 8G DDR4 运行内存、高性能独立图形显示卡、120G固态硬盘，1通道主机。</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3.融合系统：向下兼容,并且可以自定义融合边, 可实现一字型、田字形等融合画面自由组合；支持几何校正，适用于弧幕、360°环幕、异型幕、折幕等。支持针对每个信号进行融合,比如可以融主屏信号，融扩展屏信号；简单友好的操作界面，支持鼠标和快捷键快速校正，并提供简单模式和复杂模式；支持调投影仪的偏色；支持投影画面的遮罩。</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4.内容：定制魔法墙-时光按钮</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5.感应器：时光按钮感应器</w:t>
            </w:r>
            <w:r/>
          </w:p>
          <w:p>
            <w:pPr>
              <w:jc w:val="left"/>
              <w:spacing w:line="400" w:lineRule="exact"/>
              <w:widowControl/>
              <w:rPr>
                <w:rFonts w:eastAsia="宋体" w:cs="Times New Roman"/>
                <w:color w:val="auto"/>
                <w:spacing w:val="-2"/>
                <w:sz w:val="22"/>
                <w:szCs w:val="22"/>
              </w:rPr>
            </w:pPr>
            <w:r>
              <w:rPr>
                <w:rFonts w:hint="eastAsia" w:eastAsia="宋体" w:cs="Times New Roman"/>
                <w:color w:val="auto"/>
                <w:spacing w:val="-2"/>
                <w:sz w:val="22"/>
                <w:szCs w:val="22"/>
              </w:rPr>
              <w:t xml:space="preserve">6.线材及其他配件：包含高清视频线；高清音频线；无线键鼠等；音响设备等；吊架</w:t>
            </w:r>
            <w:bookmarkEnd w:id="193"/>
            <w:r/>
            <w:r/>
          </w:p>
        </w:tc>
      </w:tr>
    </w:tbl>
    <w:p>
      <w:pPr>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说明：</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1、投标人所投产品必须满足以上技术参数要求，不得有负偏离。投标人在中标后，招标人有权要求中标人提供核心产品原厂商针对此项目的售后服务承诺函且加盖原厂公章，有权要求中标人对全部功能进行演示，如不能满足，招标人有权终止合同，并依法追究其责任。</w:t>
      </w:r>
      <w:r/>
    </w:p>
    <w:p>
      <w:pPr>
        <w:ind w:firstLine="480"/>
        <w:keepLines w:val="0"/>
        <w:keepNext w:val="0"/>
        <w:pageBreakBefore w:val="0"/>
        <w:spacing w:line="360" w:lineRule="auto"/>
        <w:widowControl w:val="off"/>
        <w:rPr>
          <w:rFonts w:hint="eastAsia" w:ascii="宋体" w:hAnsi="宋体"/>
          <w:b/>
          <w:bCs/>
          <w:color w:val="auto"/>
          <w:sz w:val="24"/>
          <w:szCs w:val="24"/>
        </w:rPr>
      </w:pPr>
      <w:r>
        <w:rPr>
          <w:rFonts w:hint="eastAsia" w:ascii="宋体" w:hAnsi="宋体"/>
          <w:color w:val="auto"/>
          <w:sz w:val="24"/>
          <w:szCs w:val="24"/>
        </w:rPr>
        <w:t xml:space="preserve">2、此项目为交钥匙工程，报价包含但不限于：根据采购方的要求，完成此项目所需的所有配件（包含但不限于接插件、支架、线缆、电源线等）、安装、调试、培训及售后服务等完成此项目所需的一切配件、辅材、人工及服务。</w:t>
      </w:r>
      <w:r/>
    </w:p>
    <w:p>
      <w:pPr>
        <w:ind w:firstLine="480"/>
        <w:keepLines w:val="0"/>
        <w:keepNext w:val="0"/>
        <w:pageBreakBefore w:val="0"/>
        <w:spacing w:line="360" w:lineRule="auto"/>
        <w:widowControl w:val="off"/>
        <w:rPr>
          <w:rFonts w:hint="eastAsia" w:ascii="宋体" w:hAnsi="宋体"/>
          <w:b w:val="0"/>
          <w:bCs w:val="0"/>
          <w:color w:val="auto"/>
          <w:sz w:val="24"/>
          <w:szCs w:val="24"/>
        </w:rPr>
      </w:pPr>
      <w:r>
        <w:rPr>
          <w:rFonts w:hint="eastAsia" w:ascii="宋体" w:hAnsi="宋体"/>
          <w:b w:val="0"/>
          <w:bCs w:val="0"/>
          <w:color w:val="auto"/>
          <w:sz w:val="24"/>
          <w:szCs w:val="24"/>
        </w:rPr>
        <w:t xml:space="preserve">3.履约验收方案要明确履约验收的主体、时间、方式、程序、内容和验收标准等事项</w:t>
      </w:r>
      <w:r/>
    </w:p>
    <w:p>
      <w:pPr>
        <w:ind w:firstLine="480"/>
        <w:keepLines w:val="0"/>
        <w:keepNext w:val="0"/>
        <w:pageBreakBefore w:val="0"/>
        <w:spacing w:line="360" w:lineRule="auto"/>
        <w:widowControl w:val="off"/>
        <w:rPr>
          <w:rFonts w:hint="eastAsia" w:ascii="宋体" w:hAnsi="宋体"/>
          <w:color w:val="auto"/>
          <w:sz w:val="24"/>
          <w:szCs w:val="24"/>
          <w:highlight w:val="yellow"/>
        </w:rPr>
      </w:pPr>
      <w:r>
        <w:rPr>
          <w:rFonts w:hint="eastAsia" w:ascii="宋体" w:hAnsi="宋体"/>
          <w:color w:val="auto"/>
          <w:sz w:val="24"/>
          <w:szCs w:val="24"/>
          <w:highlight w:val="none"/>
        </w:rPr>
        <w:t xml:space="preserve">履约验收主体：</w:t>
      </w:r>
      <w:r>
        <w:rPr>
          <w:rFonts w:hint="eastAsia" w:ascii="宋体" w:hAnsi="宋体"/>
          <w:color w:val="auto"/>
          <w:sz w:val="24"/>
          <w:szCs w:val="24"/>
          <w:highlight w:val="none"/>
          <w:lang w:eastAsia="zh-CN"/>
        </w:rPr>
        <w:t xml:space="preserve">江苏无锡经济开发区发展中心</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江苏无锡经济开发区教育局</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履约验收时间：合同签订生效后30个日历天内安装调试完毕</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履约验收方式：按照采购人要求将本项目中货物送到指定地点（包括可能的分布范围），并分布实施安装</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履约验收程序：货物安装调试结束后</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履约验收内容：满足招标文件</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履约验收标准：满足招标文件</w:t>
      </w:r>
      <w:r/>
    </w:p>
    <w:p>
      <w:pPr>
        <w:ind w:firstLine="480"/>
        <w:keepLines w:val="0"/>
        <w:keepNext w:val="0"/>
        <w:pageBreakBefore w:val="0"/>
        <w:spacing w:line="360" w:lineRule="auto"/>
        <w:widowControl w:val="off"/>
        <w:rPr>
          <w:rFonts w:hint="eastAsia" w:ascii="宋体" w:hAnsi="宋体"/>
          <w:bCs/>
          <w:color w:val="auto"/>
          <w:sz w:val="24"/>
          <w:szCs w:val="24"/>
          <w:highlight w:val="yellow"/>
        </w:rPr>
      </w:pPr>
      <w:r>
        <w:rPr>
          <w:rFonts w:hint="eastAsia" w:ascii="宋体" w:hAnsi="宋体"/>
          <w:color w:val="auto"/>
          <w:sz w:val="24"/>
          <w:szCs w:val="24"/>
        </w:rPr>
        <w:t xml:space="preserve">履约验收其他事项：货物保修期满经项目使用单位确认保修质量和保修效果</w:t>
      </w:r>
      <w:r/>
    </w:p>
    <w:p>
      <w:pPr>
        <w:ind w:firstLine="480"/>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完工期：合同签订生效后30个日历天内安装调试完毕。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项目整体质保期：三年。</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付款方式：合同签订生效后30日内，支付合同价款的30%；货到验收合格后办理移交手续，支付至合同价款的80%，项目审计结束支付至审定价的95%，余款于审计结束一年后付清。</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本项目合同履行地点：无锡市一中太湖新城分校，具体地点以合同书约定为准。中标方必须按采购人要求将本项目中货物送到指定地点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highlight w:val="none"/>
        </w:rPr>
        <w:t xml:space="preserve">中标供应商为残疾</w:t>
      </w:r>
      <w:r>
        <w:rPr>
          <w:rFonts w:hint="eastAsia" w:ascii="宋体" w:hAnsi="宋体"/>
          <w:bCs/>
          <w:sz w:val="24"/>
        </w:rPr>
        <w:t xml:space="preserve">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rPr>
        <w:br w:type="page" w:clear="all"/>
      </w:r>
      <w:r/>
    </w:p>
    <w:p>
      <w:pPr>
        <w:ind w:firstLine="301"/>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5" w:name="OLE_LINK2"/>
      <w:r/>
      <w:bookmarkStart w:id="196" w:name="OLE_LINK1"/>
      <w:r>
        <w:rPr>
          <w:rFonts w:hint="eastAsia" w:ascii="宋体"/>
          <w:bCs/>
          <w:sz w:val="24"/>
          <w:szCs w:val="24"/>
        </w:rPr>
        <w:t xml:space="preserve">《保障中小企业款项支付条例》（中华人民共和国国务院令第802号）</w:t>
      </w:r>
      <w:bookmarkEnd w:id="195"/>
      <w:r/>
      <w:bookmarkEnd w:id="19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w:t>
      </w:r>
      <w:r>
        <w:rPr>
          <w:rFonts w:hint="eastAsia" w:ascii="宋体"/>
          <w:bCs/>
          <w:sz w:val="24"/>
          <w:szCs w:val="24"/>
          <w:highlight w:val="none"/>
          <w:lang w:val="en"/>
        </w:rPr>
        <w:t xml:space="preserve">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7" w:name="_Toc120614281"/>
      <w:r>
        <w:rPr>
          <w:rFonts w:hint="eastAsia" w:ascii="黑体" w:hAnsi="黑体" w:eastAsia="黑体"/>
          <w:sz w:val="36"/>
          <w:szCs w:val="36"/>
        </w:rPr>
        <w:t xml:space="preserve">第五章  评标方法与评标标准</w:t>
      </w:r>
      <w:r/>
    </w:p>
    <w:p>
      <w:pPr>
        <w:pStyle w:val="94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7"/>
        <w:spacing w:before="0" w:after="0" w:line="500" w:lineRule="exact"/>
        <w:rPr>
          <w:rFonts w:hint="eastAsia" w:cs="Arial"/>
        </w:rPr>
      </w:pPr>
      <w:r>
        <w:rPr>
          <w:rFonts w:hint="eastAsia" w:cs="Arial"/>
        </w:rPr>
        <w:t xml:space="preserve">投标人通过初审的，方可进入比较与评价程序。</w:t>
      </w:r>
      <w:r/>
    </w:p>
    <w:p>
      <w:pPr>
        <w:pStyle w:val="947"/>
        <w:spacing w:before="0" w:after="0" w:line="500" w:lineRule="exact"/>
        <w:rPr>
          <w:rFonts w:hint="eastAsia" w:cs="Arial"/>
        </w:rPr>
      </w:pPr>
      <w:r>
        <w:rPr>
          <w:rFonts w:hint="eastAsia" w:cs="Arial"/>
        </w:rPr>
        <w:t xml:space="preserve">比较与评价采用综合评分法。</w:t>
      </w:r>
      <w:r/>
    </w:p>
    <w:p>
      <w:pPr>
        <w:pStyle w:val="947"/>
        <w:spacing w:before="0" w:after="0" w:line="500" w:lineRule="exact"/>
        <w:rPr>
          <w:rStyle w:val="90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r>
      <w:r/>
    </w:p>
    <w:p>
      <w:pPr>
        <w:pStyle w:val="947"/>
        <w:spacing w:before="0" w:after="0" w:line="500" w:lineRule="exact"/>
        <w:rPr>
          <w:rFonts w:hint="eastAsia" w:cs="Arial"/>
          <w:b/>
          <w:sz w:val="30"/>
          <w:szCs w:val="30"/>
        </w:rPr>
      </w:pPr>
      <w:r>
        <w:rPr>
          <w:rFonts w:hint="eastAsia" w:cs="Arial"/>
          <w:b/>
          <w:sz w:val="30"/>
          <w:szCs w:val="30"/>
        </w:rPr>
        <w:t xml:space="preserve">第二部分  评标标准</w:t>
      </w:r>
      <w:r/>
    </w:p>
    <w:p>
      <w:pPr>
        <w:pStyle w:val="94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947"/>
        <w:ind w:firstLine="360"/>
        <w:spacing w:before="0" w:after="0" w:line="500" w:lineRule="exact"/>
        <w:rPr>
          <w:rFonts w:ascii="宋体" w:hAnsi="宋体"/>
          <w:highlight w:val="none"/>
          <w:shd w:val="clear" w:color="ffffff" w:fill="d9d9d9"/>
        </w:rPr>
      </w:pPr>
      <w:r>
        <w:rPr>
          <w:rFonts w:ascii="宋体" w:hAnsi="宋体"/>
          <w:highlight w:val="none"/>
          <w:shd w:val="clear" w:color="ffffff" w:fill="d9d9d9"/>
        </w:rPr>
      </w:r>
      <w:r/>
    </w:p>
    <w:p>
      <w:pPr>
        <w:pStyle w:val="947"/>
        <w:numPr>
          <w:ilvl w:val="0"/>
          <w:numId w:val="8"/>
        </w:numPr>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评分标准</w:t>
      </w:r>
      <w:r/>
    </w:p>
    <w:p>
      <w:pPr>
        <w:pStyle w:val="947"/>
        <w:numPr>
          <w:ilvl w:val="0"/>
          <w:numId w:val="0"/>
        </w:numPr>
        <w:ind w:firstLine="843"/>
        <w:spacing w:before="0" w:after="0" w:line="500" w:lineRule="exact"/>
        <w:rPr>
          <w:rFonts w:hint="eastAsia" w:ascii="宋体" w:hAnsi="宋体"/>
          <w:b/>
          <w:color w:val="ff0000"/>
          <w:sz w:val="28"/>
          <w:szCs w:val="28"/>
          <w:highlight w:val="none"/>
          <w:u w:val="single"/>
        </w:rPr>
      </w:pPr>
      <w:r>
        <w:rPr>
          <w:rFonts w:hint="eastAsia" w:ascii="宋体" w:hAnsi="宋体"/>
          <w:b/>
          <w:color w:val="ff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47"/>
        <w:ind w:firstLine="42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（一）商务部分（</w:t>
      </w:r>
      <w:r>
        <w:rPr>
          <w:rFonts w:hint="eastAsia" w:ascii="宋体" w:hAnsi="宋体"/>
          <w:b/>
          <w:color w:val="auto"/>
          <w:sz w:val="28"/>
          <w:szCs w:val="28"/>
          <w:highlight w:val="none"/>
          <w:lang w:val="en-US" w:eastAsia="zh-CN"/>
        </w:rPr>
        <w:t xml:space="preserve">50</w:t>
      </w:r>
      <w:r>
        <w:rPr>
          <w:rFonts w:hint="eastAsia" w:ascii="宋体" w:hAnsi="宋体"/>
          <w:b/>
          <w:color w:val="auto"/>
          <w:sz w:val="28"/>
          <w:szCs w:val="28"/>
          <w:highlight w:val="none"/>
        </w:rPr>
        <w:t xml:space="preserve">分）</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ascii="宋体" w:hAnsi="宋体"/>
          <w:color w:val="auto"/>
          <w:sz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产品与技术</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24</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en-US" w:eastAsia="zh-CN"/>
        </w:rPr>
        <w:t xml:space="preserve">86寸</w:t>
      </w:r>
      <w:r>
        <w:rPr>
          <w:rFonts w:hint="eastAsia" w:ascii="宋体" w:hAnsi="宋体"/>
          <w:bCs/>
          <w:color w:val="auto"/>
          <w:sz w:val="24"/>
          <w:szCs w:val="24"/>
          <w:highlight w:val="none"/>
        </w:rPr>
        <w:t xml:space="preserve">触控一体机（</w:t>
      </w:r>
      <w:r>
        <w:rPr>
          <w:rFonts w:hint="eastAsia" w:ascii="宋体" w:hAnsi="宋体"/>
          <w:bCs/>
          <w:color w:val="auto"/>
          <w:sz w:val="24"/>
          <w:szCs w:val="24"/>
          <w:highlight w:val="none"/>
          <w:lang w:val="en-US" w:eastAsia="zh-CN"/>
        </w:rPr>
        <w:t xml:space="preserve">16</w:t>
      </w:r>
      <w:r>
        <w:rPr>
          <w:rFonts w:hint="eastAsia" w:ascii="宋体" w:hAnsi="宋体"/>
          <w:bCs/>
          <w:color w:val="auto"/>
          <w:sz w:val="24"/>
          <w:szCs w:val="24"/>
          <w:highlight w:val="none"/>
        </w:rPr>
        <w:t xml:space="preserve">分）</w:t>
      </w:r>
      <w:r/>
    </w:p>
    <w:p>
      <w:pPr>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1）整机设备内置2.2声道扬声器，前朝向发声，12W高音扬声器2个，上朝向30W中低音扬声器2个，最大功率≥84W，全部扬声器无需打开背板即可单独拆卸。（提供相关证明材料并加盖投标人公章，得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分，未提供不得分）</w:t>
      </w:r>
      <w:r/>
    </w:p>
    <w:p>
      <w:pPr>
        <w:ind w:firstLine="480"/>
        <w:spacing w:line="48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2）整机听力模式下具备AI人声语言增强功能，支持三挡强弱调节。扩声系统语言传输指数（STIPA）≥0.75。</w:t>
      </w:r>
      <w:r>
        <w:rPr>
          <w:rFonts w:hint="eastAsia" w:ascii="宋体" w:hAnsi="宋体"/>
          <w:bCs/>
          <w:color w:val="auto"/>
          <w:sz w:val="24"/>
          <w:szCs w:val="24"/>
          <w:highlight w:val="none"/>
          <w:lang w:eastAsia="zh-CN"/>
        </w:rPr>
        <w:t xml:space="preserve">（提供相关证明材料并加盖投标人公章，得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bCs/>
          <w:color w:val="auto"/>
          <w:sz w:val="24"/>
          <w:szCs w:val="24"/>
          <w:highlight w:val="none"/>
          <w:lang w:eastAsia="zh-CN"/>
        </w:rPr>
        <w:t xml:space="preserve">（提供相关证明材料并加盖投标人公章，得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4）整机支持发出频率为18kHz-22kHz超声波信号，智能手机和笔记本电脑接收超声波信号后可以自动识别附近投屏设备，点击对应设备即可完成投屏操作。</w:t>
      </w:r>
      <w:r>
        <w:rPr>
          <w:rFonts w:hint="eastAsia" w:ascii="宋体" w:hAnsi="宋体"/>
          <w:bCs/>
          <w:color w:val="auto"/>
          <w:sz w:val="24"/>
          <w:szCs w:val="24"/>
          <w:highlight w:val="none"/>
          <w:lang w:eastAsia="zh-CN"/>
        </w:rPr>
        <w:t xml:space="preserve">（提供相关证明材料并加盖投标人公章，得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highlight w:val="none"/>
        </w:rPr>
        <w:t xml:space="preserve">5）</w:t>
      </w:r>
      <w:r>
        <w:rPr>
          <w:rFonts w:hint="eastAsia" w:ascii="宋体" w:hAnsi="宋体"/>
          <w:bCs/>
          <w:color w:val="auto"/>
          <w:sz w:val="24"/>
          <w:szCs w:val="24"/>
        </w:rPr>
        <w:t xml:space="preserve">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bCs/>
          <w:color w:val="auto"/>
          <w:sz w:val="24"/>
          <w:szCs w:val="24"/>
          <w:lang w:eastAsia="zh-CN"/>
        </w:rPr>
        <w:t xml:space="preserve">（提供相关证明材料并加盖投标人公章，得1分，未提供不得分）</w:t>
      </w:r>
      <w:r/>
    </w:p>
    <w:p>
      <w:pPr>
        <w:ind w:firstLine="480"/>
        <w:spacing w:line="500" w:lineRule="exact"/>
        <w:tabs>
          <w:tab w:val="left" w:pos="945" w:leader="none"/>
          <w:tab w:val="left" w:pos="1155" w:leader="none"/>
        </w:tabs>
        <w:rPr>
          <w:rFonts w:hint="eastAsia" w:ascii="宋体" w:hAnsi="宋体" w:eastAsia="宋体"/>
          <w:bCs/>
          <w:color w:val="auto"/>
          <w:sz w:val="24"/>
          <w:szCs w:val="24"/>
          <w:lang w:eastAsia="zh-CN"/>
        </w:rPr>
      </w:pPr>
      <w:r>
        <w:rPr>
          <w:rFonts w:hint="eastAsia" w:ascii="宋体" w:hAnsi="宋体"/>
          <w:bCs/>
          <w:color w:val="auto"/>
          <w:sz w:val="24"/>
          <w:szCs w:val="24"/>
        </w:rPr>
        <w:t xml:space="preserve">6）整机内置AR授课工具，支持对视频展台所采集的画面中叠加动态的3D 模型。3D模型包括：动物、微生物、人体骨骼、乐器、星球。</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7</w:t>
      </w:r>
      <w:r>
        <w:rPr>
          <w:rFonts w:hint="eastAsia" w:ascii="宋体" w:hAnsi="宋体"/>
          <w:bCs/>
          <w:color w:val="auto"/>
          <w:sz w:val="24"/>
          <w:szCs w:val="24"/>
        </w:rPr>
        <w:t xml:space="preserve">）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0"/>
        <w:spacing w:line="500" w:lineRule="exact"/>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8）整机交互式白板软件支持手写笔迹的智能编辑，支持通过手绘置换符快速置换前后文字语序，支持手动涂抹笔迹对象进行快速删除，支持圈选笔迹对象进行手写笔迹缩放，支持文字间手绘竖线进行文字间距的快速调整。</w:t>
      </w:r>
      <w:r>
        <w:rPr>
          <w:rFonts w:hint="eastAsia" w:ascii="宋体" w:hAnsi="宋体" w:eastAsia="宋体" w:cs="Times New Roman"/>
          <w:bCs/>
          <w:color w:val="auto"/>
          <w:sz w:val="24"/>
          <w:szCs w:val="24"/>
          <w:highlight w:val="none"/>
          <w:lang w:eastAsia="zh-CN"/>
        </w:rPr>
        <w:t xml:space="preserve">（提供相关证明材料并加盖投标人公章，得</w:t>
      </w:r>
      <w:r>
        <w:rPr>
          <w:rFonts w:hint="eastAsia" w:ascii="宋体" w:hAnsi="宋体"/>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en-US" w:eastAsia="zh-CN"/>
        </w:rPr>
        <w:t xml:space="preserve">集中控教学系统（8</w:t>
      </w:r>
      <w:r>
        <w:rPr>
          <w:rFonts w:hint="eastAsia" w:ascii="宋体" w:hAnsi="宋体"/>
          <w:bCs/>
          <w:color w:val="auto"/>
          <w:sz w:val="24"/>
          <w:szCs w:val="24"/>
          <w:highlight w:val="none"/>
        </w:rPr>
        <w:t xml:space="preserve">分）</w:t>
      </w:r>
      <w:r/>
    </w:p>
    <w:p>
      <w:pPr>
        <w:ind w:firstLine="480"/>
        <w:spacing w:line="500" w:lineRule="exact"/>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9</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 集体备课：支持选择教案、课件、胶囊资源上传发起集备研讨，支持设置多重访问权限，通过手机号搜索即可邀请外校老师，可用于跨校教研场景。稿件编辑：完成本次研讨后，主备人可直接进入编辑页面编辑课件/教案，发布新稿件后，备课组进入下一轮打磨更新稿件后会给参备老师实时同步教研动态。生成集备报告：支持生成集备报告，报告生成后，参备人可查看具体报告内容和下载集备报告。报告内包含集备信息、数据统计、研讨记录的具体内容。</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10</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 管理者通过学校数据可视化看板，查看学校云课件教案数、累计校本研修次数等情况，掌握学校教研关键数据（云课件和教案数量，校本课件、校本教案的数据），了解关键数据环比上周</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具体情况。教学检查：管理者在教学检查中可以掌握以教研组、备课组为单位的教学资源和集体备数据，支持查看各年级和学科的教研组的教学资源覆盖情况和集体备课数据。支持以时间、教材进行数据筛选，推动老师的备课进度。</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11</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 通过多维度分析学校的信息化教学应用情况，综合评估出信息化指数，并与全省均值进行对比，管理者可了解信息化教学进展。展示教师在线研修情况，包括教师备课时长和在线学习时长，支持与分别按工作日和周末统计的全省均值进行对比，掌握教师日常的备课和学习情况。</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0"/>
        <w:spacing w:line="500" w:lineRule="exact"/>
        <w:tabs>
          <w:tab w:val="left" w:pos="945" w:leader="none"/>
          <w:tab w:val="left" w:pos="1155" w:leader="none"/>
        </w:tabs>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12）</w:t>
      </w:r>
      <w:r>
        <w:rPr>
          <w:rFonts w:hint="eastAsia" w:ascii="宋体" w:hAnsi="宋体"/>
          <w:bCs/>
          <w:color w:val="auto"/>
          <w:sz w:val="24"/>
          <w:szCs w:val="24"/>
        </w:rPr>
        <w:t xml:space="preserve"> </w:t>
      </w:r>
      <w:r>
        <w:rPr>
          <w:rFonts w:hint="eastAsia" w:ascii="宋体" w:hAnsi="宋体"/>
          <w:bCs/>
          <w:color w:val="auto"/>
          <w:sz w:val="24"/>
          <w:szCs w:val="24"/>
          <w:lang w:val="en-US" w:eastAsia="zh-CN"/>
        </w:rPr>
        <w:t xml:space="preserve">为教师提供≥100T云存储空间</w:t>
      </w:r>
      <w:r>
        <w:rPr>
          <w:rFonts w:hint="eastAsia" w:ascii="宋体" w:hAnsi="宋体"/>
          <w:bCs/>
          <w:color w:val="auto"/>
          <w:sz w:val="24"/>
          <w:szCs w:val="24"/>
          <w:lang w:eastAsia="zh-CN"/>
        </w:rPr>
        <w:t xml:space="preserve">（提供相关证明材料并加盖投标人公章，得</w:t>
      </w: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分，未提供不得分）</w:t>
      </w:r>
      <w:r/>
    </w:p>
    <w:p>
      <w:pPr>
        <w:ind w:firstLine="482"/>
        <w:spacing w:line="500" w:lineRule="exact"/>
        <w:tabs>
          <w:tab w:val="left" w:pos="945" w:leader="none"/>
          <w:tab w:val="left" w:pos="1155" w:leader="none"/>
        </w:tabs>
        <w:rPr>
          <w:rFonts w:hint="eastAsia" w:ascii="宋体" w:hAnsi="宋体"/>
          <w:color w:val="auto"/>
          <w:sz w:val="24"/>
        </w:rPr>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rPr>
        <w:t xml:space="preserve">节能、</w:t>
      </w:r>
      <w:r>
        <w:rPr>
          <w:rFonts w:hint="eastAsia" w:ascii="宋体" w:hAnsi="宋体"/>
          <w:b/>
          <w:bCs/>
          <w:color w:val="auto"/>
          <w:sz w:val="24"/>
          <w:szCs w:val="24"/>
        </w:rPr>
        <w:t xml:space="preserve">环保产品</w:t>
      </w:r>
      <w:r>
        <w:rPr>
          <w:rFonts w:ascii="宋体" w:hAnsi="宋体"/>
          <w:b/>
          <w:bCs/>
          <w:color w:val="auto"/>
          <w:sz w:val="24"/>
          <w:szCs w:val="24"/>
        </w:rPr>
        <w:t xml:space="preserve">（</w:t>
      </w:r>
      <w:r>
        <w:rPr>
          <w:rFonts w:hint="eastAsia" w:ascii="宋体" w:hAnsi="宋体"/>
          <w:b/>
          <w:bCs/>
          <w:color w:val="auto"/>
          <w:sz w:val="24"/>
          <w:szCs w:val="24"/>
        </w:rPr>
        <w:t xml:space="preserve">2</w:t>
      </w:r>
      <w:r>
        <w:rPr>
          <w:rFonts w:ascii="宋体" w:hAnsi="宋体"/>
          <w:b/>
          <w:bCs/>
          <w:color w:val="auto"/>
          <w:sz w:val="24"/>
          <w:szCs w:val="24"/>
        </w:rPr>
        <w:t xml:space="preserve">分）</w:t>
      </w:r>
      <w:r>
        <w:rPr>
          <w:rFonts w:hint="eastAsia" w:ascii="宋体" w:hAnsi="宋体"/>
          <w:b/>
          <w:bCs/>
          <w:color w:val="auto"/>
          <w:sz w:val="24"/>
          <w:szCs w:val="24"/>
        </w:rPr>
        <w:t xml:space="preserve">：</w:t>
      </w:r>
      <w:r>
        <w:rPr>
          <w:rFonts w:hint="eastAsia" w:ascii="宋体" w:hAnsi="宋体"/>
          <w:color w:val="auto"/>
          <w:sz w:val="24"/>
        </w:rPr>
        <w:t xml:space="preserve">依据财政部、发展改革委发布的《节能产品政府采购品目清单》和财政部、生态环境部发布的《</w:t>
      </w:r>
      <w:r>
        <w:rPr>
          <w:rFonts w:ascii="宋体" w:hAnsi="宋体"/>
          <w:color w:val="auto"/>
          <w:sz w:val="24"/>
        </w:rPr>
        <w:t xml:space="preserve">环境标志产品政府采购品目清单</w:t>
      </w:r>
      <w:r>
        <w:rPr>
          <w:rFonts w:hint="eastAsia" w:ascii="宋体" w:hAnsi="宋体"/>
          <w:color w:val="auto"/>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olor w:val="auto"/>
          <w:sz w:val="24"/>
          <w:lang w:val="en-US" w:eastAsia="zh-CN"/>
        </w:rPr>
        <w:t xml:space="preserve">扫描</w:t>
      </w:r>
      <w:r>
        <w:rPr>
          <w:rFonts w:hint="eastAsia" w:ascii="宋体" w:hAnsi="宋体"/>
          <w:color w:val="auto"/>
          <w:sz w:val="24"/>
        </w:rPr>
        <w:t xml:space="preserve">件、环境标志产品认证证书</w:t>
      </w:r>
      <w:r>
        <w:rPr>
          <w:rFonts w:hint="eastAsia" w:ascii="宋体" w:hAnsi="宋体"/>
          <w:color w:val="auto"/>
          <w:sz w:val="24"/>
          <w:lang w:val="en-US" w:eastAsia="zh-CN"/>
        </w:rPr>
        <w:t xml:space="preserve">扫描</w:t>
      </w:r>
      <w:r>
        <w:rPr>
          <w:rFonts w:hint="eastAsia" w:ascii="宋体" w:hAnsi="宋体"/>
          <w:color w:val="auto"/>
          <w:sz w:val="24"/>
        </w:rPr>
        <w:t xml:space="preserve">件，否则不得分</w:t>
      </w:r>
      <w:r>
        <w:rPr>
          <w:rFonts w:ascii="宋体" w:hAnsi="宋体"/>
          <w:color w:val="auto"/>
          <w:sz w:val="24"/>
        </w:rPr>
        <w:t xml:space="preserve">）</w:t>
      </w:r>
      <w:r>
        <w:rPr>
          <w:rFonts w:hint="eastAsia" w:ascii="宋体" w:hAnsi="宋体"/>
          <w:color w:val="auto"/>
          <w:sz w:val="24"/>
        </w:rPr>
        <w:t xml:space="preserve">。</w:t>
      </w:r>
      <w:r/>
    </w:p>
    <w:p>
      <w:pPr>
        <w:pStyle w:val="947"/>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24</w:t>
      </w:r>
      <w:r>
        <w:rPr>
          <w:rFonts w:hint="eastAsia" w:ascii="宋体" w:hAnsi="宋体"/>
          <w:b/>
          <w:color w:val="auto"/>
          <w:sz w:val="28"/>
          <w:szCs w:val="28"/>
        </w:rPr>
        <w:t xml:space="preserve">分）</w:t>
      </w:r>
      <w:r/>
    </w:p>
    <w:p>
      <w:pPr>
        <w:pStyle w:val="947"/>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b/>
          <w:bCs/>
          <w:color w:val="auto"/>
          <w:sz w:val="24"/>
          <w:szCs w:val="24"/>
        </w:rPr>
      </w:pPr>
      <w:r>
        <w:rPr>
          <w:rFonts w:hint="eastAsia" w:ascii="宋体" w:hAnsi="宋体"/>
          <w:b/>
          <w:bCs/>
          <w:color w:val="auto"/>
          <w:sz w:val="24"/>
          <w:szCs w:val="24"/>
          <w:lang w:val="en-US" w:eastAsia="zh-CN"/>
        </w:rPr>
        <w:t xml:space="preserve">4.</w:t>
      </w:r>
      <w:r>
        <w:rPr>
          <w:rFonts w:hint="eastAsia" w:ascii="宋体" w:hAnsi="宋体"/>
          <w:b/>
          <w:bCs/>
          <w:color w:val="auto"/>
          <w:sz w:val="24"/>
          <w:szCs w:val="24"/>
        </w:rPr>
        <w:t xml:space="preserve">项目方案（</w:t>
      </w:r>
      <w:r>
        <w:rPr>
          <w:rFonts w:hint="eastAsia" w:ascii="宋体" w:hAnsi="宋体"/>
          <w:b/>
          <w:bCs/>
          <w:color w:val="auto"/>
          <w:sz w:val="24"/>
          <w:szCs w:val="24"/>
          <w:lang w:val="en-US" w:eastAsia="zh-CN"/>
        </w:rPr>
        <w:t xml:space="preserve">24</w:t>
      </w:r>
      <w:r>
        <w:rPr>
          <w:rFonts w:hint="eastAsia" w:ascii="宋体" w:hAnsi="宋体"/>
          <w:b/>
          <w:bCs/>
          <w:color w:val="auto"/>
          <w:sz w:val="24"/>
          <w:szCs w:val="24"/>
        </w:rPr>
        <w:t xml:space="preserve">分）：</w:t>
      </w:r>
      <w:r>
        <w:rPr>
          <w:rFonts w:hint="eastAsia" w:ascii="宋体" w:hAnsi="宋体"/>
          <w:bCs/>
          <w:color w:val="auto"/>
          <w:sz w:val="24"/>
          <w:szCs w:val="24"/>
        </w:rPr>
        <w:t xml:space="preserve">考察投标人项目技术方案，在响应采购文件需求的基础上针对下列各部分进行评价，要求体现科学合理性、条理性、可行性、完善性、针对性，无方案不得分。</w:t>
      </w:r>
      <w:bookmarkStart w:id="209" w:name="_GoBack"/>
      <w:r/>
      <w:bookmarkEnd w:id="209"/>
      <w:r/>
      <w:r/>
    </w:p>
    <w:p>
      <w:pPr>
        <w:ind w:firstLine="480"/>
        <w:jc w:val="left"/>
        <w:keepLines w:val="0"/>
        <w:keepNext w:val="0"/>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.1  整体设计方案（5分）：</w:t>
      </w:r>
      <w:r/>
    </w:p>
    <w:p>
      <w:pPr>
        <w:ind w:firstLine="480"/>
        <w:jc w:val="left"/>
        <w:keepLines w:val="0"/>
        <w:keepNext w:val="0"/>
        <w:pageBreakBefore w:val="0"/>
        <w:spacing w:line="360" w:lineRule="auto"/>
        <w:widowControl/>
        <w:rPr>
          <w:rFonts w:hint="eastAsia" w:ascii="宋体" w:hAnsi="宋体" w:eastAsia="宋体"/>
          <w:color w:val="auto"/>
          <w:sz w:val="24"/>
          <w:lang w:eastAsia="zh-CN"/>
        </w:rPr>
      </w:pPr>
      <w:r>
        <w:rPr>
          <w:rFonts w:ascii="宋体" w:hAnsi="宋体" w:cs="宋体"/>
          <w:color w:val="auto"/>
          <w:sz w:val="24"/>
          <w:szCs w:val="24"/>
          <w:lang w:bidi="ar"/>
        </w:rPr>
        <w:t xml:space="preserve">①系统架构设计合理性；②功能模块覆盖系统架构设计合理性；③功能模块覆盖全面性；</w:t>
      </w:r>
      <w:r>
        <w:rPr>
          <w:rFonts w:hint="eastAsia" w:ascii="宋体" w:hAnsi="宋体" w:cs="宋体"/>
          <w:color w:val="auto"/>
          <w:sz w:val="24"/>
          <w:szCs w:val="24"/>
          <w:lang w:bidi="ar"/>
        </w:rPr>
        <w:t xml:space="preserve">④</w:t>
      </w:r>
      <w:r>
        <w:rPr>
          <w:rFonts w:ascii="宋体" w:hAnsi="宋体" w:cs="宋体"/>
          <w:color w:val="auto"/>
          <w:sz w:val="24"/>
          <w:szCs w:val="24"/>
          <w:lang w:bidi="ar"/>
        </w:rPr>
        <w:t xml:space="preserve">软硬件可升级扩展性</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⑤施工部署可实施性</w:t>
      </w:r>
      <w:r>
        <w:rPr>
          <w:rFonts w:hint="eastAsia" w:ascii="宋体" w:hAnsi="宋体" w:cs="宋体"/>
          <w:color w:val="auto"/>
          <w:sz w:val="24"/>
          <w:szCs w:val="24"/>
          <w:lang w:eastAsia="zh-CN" w:bidi="ar"/>
        </w:rPr>
        <w:t xml:space="preserve">。</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方案较完整，科学合理性较强，设计较清晰详细，能够符合本项目需求，能够提供上述</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方案完整性一般，科学合理性一般，设计清晰详细程度一般，能够符合本项目需求，能够提供上述3-</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方案完整性、科学合理性、设计的清晰详细程度等只能基本满足要求，能够提供上述2-</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keepLines w:val="0"/>
        <w:keepNext w:val="0"/>
        <w:pageBreakBefore w:val="0"/>
        <w:spacing w:line="360" w:lineRule="auto"/>
        <w:rPr>
          <w:rFonts w:hint="eastAsia" w:ascii="宋体" w:hAnsi="宋体"/>
          <w:color w:val="auto"/>
          <w:sz w:val="24"/>
        </w:rPr>
      </w:pPr>
      <w:r>
        <w:rPr>
          <w:rFonts w:hint="eastAsia" w:ascii="宋体" w:hAnsi="宋体"/>
          <w:bCs/>
          <w:color w:val="auto"/>
          <w:sz w:val="24"/>
        </w:rPr>
        <w:t xml:space="preserve">提供方案不足2项或无方案的，不得分</w:t>
      </w:r>
      <w:r>
        <w:rPr>
          <w:rFonts w:hint="eastAsia" w:ascii="宋体" w:hAnsi="宋体"/>
          <w:color w:val="auto"/>
          <w:sz w:val="24"/>
        </w:rPr>
        <w:t xml:space="preserve">。</w:t>
      </w:r>
      <w:r/>
    </w:p>
    <w:p>
      <w:pPr>
        <w:numPr>
          <w:ilvl w:val="4"/>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.2  项目实施进度计划及质量保证措施（5分）：</w:t>
      </w:r>
      <w:r/>
    </w:p>
    <w:p>
      <w:pPr>
        <w:numPr>
          <w:ilvl w:val="4"/>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olor w:val="auto"/>
          <w:sz w:val="24"/>
        </w:rPr>
      </w:pPr>
      <w:r>
        <w:rPr>
          <w:rFonts w:hint="eastAsia" w:ascii="宋体" w:hAnsi="宋体"/>
          <w:color w:val="auto"/>
          <w:sz w:val="24"/>
        </w:rPr>
        <w:t xml:space="preserve">①各供应商</w:t>
      </w:r>
      <w:r>
        <w:rPr>
          <w:rFonts w:hint="eastAsia" w:ascii="宋体" w:hAnsi="宋体"/>
          <w:color w:val="auto"/>
          <w:sz w:val="24"/>
          <w:lang w:eastAsia="zh-CN"/>
        </w:rPr>
        <w:t xml:space="preserve">对</w:t>
      </w:r>
      <w:r>
        <w:rPr>
          <w:rFonts w:hint="eastAsia" w:ascii="宋体" w:hAnsi="宋体"/>
          <w:color w:val="auto"/>
          <w:sz w:val="24"/>
        </w:rPr>
        <w:t xml:space="preserve">项目实施过程的描述是否清晰；②项目实施计划是否合理；③描述项目总体的时间；④阶段性进度安排；⑤项目实施质量保证措施。</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方案较完整，科学合理性较强，设计较清晰详细，能够符合本项目需求，能够提供上述</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方案完整性一般，科学合理性一般，设计清晰详细程度一般，能够符合本项目需求，能够提供上述3-</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方案完整性、科学合理性、设计的清晰详细程度等只能基本满足要求，能够提供上述2-</w:t>
      </w:r>
      <w:r>
        <w:rPr>
          <w:rFonts w:hint="eastAsia" w:ascii="宋体" w:hAnsi="宋体"/>
          <w:bCs/>
          <w:color w:val="auto"/>
          <w:sz w:val="24"/>
          <w:lang w:val="en-US" w:eastAsia="zh-CN"/>
        </w:rPr>
        <w:t xml:space="preserve">5</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keepLines w:val="0"/>
        <w:keepNext w:val="0"/>
        <w:pageBreakBefore w:val="0"/>
        <w:spacing w:line="360" w:lineRule="auto"/>
        <w:widowControl/>
        <w:rPr>
          <w:rFonts w:ascii="宋体" w:hAnsi="宋体" w:cs="宋体"/>
          <w:color w:val="auto"/>
          <w:sz w:val="24"/>
          <w:szCs w:val="24"/>
        </w:rPr>
      </w:pPr>
      <w:r>
        <w:rPr>
          <w:rFonts w:hint="eastAsia" w:ascii="宋体" w:hAnsi="宋体"/>
          <w:bCs/>
          <w:color w:val="auto"/>
          <w:sz w:val="24"/>
        </w:rPr>
        <w:t xml:space="preserve">提供方案不足2项或无方案的，不得分</w:t>
      </w:r>
      <w:r>
        <w:rPr>
          <w:rFonts w:hint="eastAsia" w:ascii="宋体" w:hAnsi="宋体" w:cs="宋体"/>
          <w:color w:val="auto"/>
          <w:sz w:val="24"/>
          <w:szCs w:val="24"/>
        </w:rPr>
        <w:t xml:space="preserve">。</w:t>
      </w:r>
      <w:r/>
    </w:p>
    <w:p>
      <w:pPr>
        <w:ind w:firstLine="480"/>
        <w:jc w:val="left"/>
        <w:keepLines w:val="0"/>
        <w:keepNext w:val="0"/>
        <w:pageBreakBefore w:val="0"/>
        <w:spacing w:line="360" w:lineRule="auto"/>
        <w:widowControl/>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.3安装调试方案：（</w:t>
      </w:r>
      <w:r>
        <w:rPr>
          <w:rFonts w:hint="eastAsia" w:ascii="宋体" w:hAnsi="宋体"/>
          <w:color w:val="auto"/>
          <w:sz w:val="24"/>
          <w:lang w:val="en-US" w:eastAsia="zh-CN"/>
        </w:rPr>
        <w:t xml:space="preserve">4</w:t>
      </w:r>
      <w:r>
        <w:rPr>
          <w:rFonts w:hint="eastAsia" w:ascii="宋体" w:hAnsi="宋体"/>
          <w:color w:val="auto"/>
          <w:sz w:val="24"/>
        </w:rPr>
        <w:t xml:space="preserve">分）</w:t>
      </w:r>
      <w:r/>
    </w:p>
    <w:p>
      <w:pPr>
        <w:ind w:firstLine="480"/>
        <w:jc w:val="left"/>
        <w:keepLines w:val="0"/>
        <w:keepNext w:val="0"/>
        <w:pageBreakBefore w:val="0"/>
        <w:spacing w:line="360" w:lineRule="auto"/>
        <w:widowControl/>
        <w:rPr>
          <w:rFonts w:hint="eastAsia" w:ascii="宋体" w:hAnsi="宋体"/>
          <w:color w:val="auto"/>
          <w:sz w:val="24"/>
        </w:rPr>
      </w:pPr>
      <w:r>
        <w:rPr>
          <w:rFonts w:hint="eastAsia" w:ascii="宋体" w:hAnsi="宋体"/>
          <w:color w:val="auto"/>
          <w:sz w:val="24"/>
        </w:rPr>
        <w:t xml:space="preserve">①各供应商本项目一体机设备安装调试内容概述；②安装调试详细实施计划安排；③安装调试全过程质量管控与保障措施；④安装调试</w:t>
      </w:r>
      <w:r>
        <w:rPr>
          <w:rFonts w:ascii="宋体" w:hAnsi="宋体" w:cs="宋体"/>
          <w:color w:val="auto"/>
          <w:sz w:val="24"/>
          <w:szCs w:val="24"/>
          <w:lang w:bidi="ar"/>
        </w:rPr>
        <w:t xml:space="preserve">过程中的安全防护及应急处置</w:t>
      </w:r>
      <w:r>
        <w:rPr>
          <w:rFonts w:hint="eastAsia" w:ascii="宋体" w:hAnsi="宋体" w:cs="宋体"/>
          <w:color w:val="auto"/>
          <w:sz w:val="24"/>
          <w:szCs w:val="24"/>
          <w:lang w:bidi="ar"/>
        </w:rPr>
        <w:t xml:space="preserve">措施</w:t>
      </w:r>
      <w:r>
        <w:rPr>
          <w:rFonts w:hint="eastAsia" w:ascii="宋体" w:hAnsi="宋体"/>
          <w:color w:val="auto"/>
          <w:sz w:val="24"/>
        </w:rPr>
        <w:t xml:space="preserve">。</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方案较完整，科学合理性较强，设计较清晰详细，能够符合本项目需求，能够提供上述</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4</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方案完整性一般，科学合理性一般，设计清晰详细程度一般，能够符合本项目需求，能够提供上述3-</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2</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方案完整性、科学合理性、设计的清晰详细程度等只能基本满足要求，能够提供上述2-</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jc w:val="left"/>
        <w:keepLines w:val="0"/>
        <w:keepNext w:val="0"/>
        <w:pageBreakBefore w:val="0"/>
        <w:spacing w:line="360" w:lineRule="auto"/>
        <w:widowControl/>
        <w:rPr>
          <w:rFonts w:hint="eastAsia" w:ascii="宋体" w:hAnsi="宋体" w:eastAsia="宋体"/>
          <w:color w:val="auto"/>
          <w:sz w:val="24"/>
          <w:lang w:eastAsia="zh-CN"/>
        </w:rPr>
      </w:pPr>
      <w:r>
        <w:rPr>
          <w:rFonts w:hint="eastAsia" w:ascii="宋体" w:hAnsi="宋体"/>
          <w:bCs/>
          <w:color w:val="auto"/>
          <w:sz w:val="24"/>
        </w:rPr>
        <w:t xml:space="preserve">提供方案不足2项或无方案的，不得分</w:t>
      </w:r>
      <w:r>
        <w:rPr>
          <w:rFonts w:hint="eastAsia" w:ascii="宋体" w:hAnsi="宋体"/>
          <w:bCs/>
          <w:color w:val="auto"/>
          <w:sz w:val="24"/>
          <w:lang w:eastAsia="zh-CN"/>
        </w:rPr>
        <w:t xml:space="preserve">。</w:t>
      </w:r>
      <w:r/>
    </w:p>
    <w:p>
      <w:pPr>
        <w:numPr>
          <w:ilvl w:val="4"/>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olor w:val="auto"/>
          <w:sz w:val="24"/>
        </w:rPr>
      </w:pPr>
      <w:r>
        <w:rPr>
          <w:rFonts w:hint="eastAsia" w:ascii="宋体" w:hAnsi="宋体"/>
          <w:color w:val="auto"/>
          <w:sz w:val="24"/>
          <w:lang w:val="en-US" w:eastAsia="zh-CN"/>
        </w:rPr>
        <w:t xml:space="preserve">4</w:t>
      </w:r>
      <w:r>
        <w:rPr>
          <w:rFonts w:hint="eastAsia" w:ascii="宋体" w:hAnsi="宋体"/>
          <w:color w:val="auto"/>
          <w:sz w:val="24"/>
        </w:rPr>
        <w:t xml:space="preserve">.4 培训方案（</w:t>
      </w:r>
      <w:r>
        <w:rPr>
          <w:rFonts w:hint="eastAsia" w:ascii="宋体" w:hAnsi="宋体"/>
          <w:color w:val="auto"/>
          <w:sz w:val="24"/>
          <w:lang w:val="en-US" w:eastAsia="zh-CN"/>
        </w:rPr>
        <w:t xml:space="preserve">5</w:t>
      </w:r>
      <w:r>
        <w:rPr>
          <w:rFonts w:hint="eastAsia" w:ascii="宋体" w:hAnsi="宋体"/>
          <w:color w:val="auto"/>
          <w:sz w:val="24"/>
        </w:rPr>
        <w:t xml:space="preserve">分）：</w:t>
      </w:r>
      <w:r/>
    </w:p>
    <w:p>
      <w:pPr>
        <w:numPr>
          <w:ilvl w:val="4"/>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olor w:val="auto"/>
          <w:sz w:val="24"/>
        </w:rPr>
      </w:pPr>
      <w:r>
        <w:rPr>
          <w:rFonts w:hint="eastAsia" w:ascii="宋体" w:hAnsi="宋体"/>
          <w:color w:val="auto"/>
          <w:sz w:val="24"/>
        </w:rPr>
        <w:t xml:space="preserve">①各供应商针对项目日常使用人员的培训内容概述；②使用人员的详细培训计划安排；③培训流程质量保障详述；④培训人员的资质。</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方案较完整，科学合理性较强，设计较清晰详细，能够符合本项目需求，能够提供上述</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方案完整性一般，科学合理性一般，设计清晰详细程度一般，能够符合本项目需求，能够提供上述3-</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方案完整性、科学合理性、设计的清晰详细程度等只能基本满足要求，能够提供上述2-</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jc w:val="left"/>
        <w:keepLines w:val="0"/>
        <w:keepNext w:val="0"/>
        <w:pageBreakBefore w:val="0"/>
        <w:spacing w:line="360" w:lineRule="auto"/>
        <w:widowControl/>
        <w:rPr>
          <w:rFonts w:hint="eastAsia" w:ascii="宋体" w:hAnsi="宋体" w:eastAsia="宋体"/>
          <w:color w:val="auto"/>
          <w:sz w:val="24"/>
          <w:lang w:eastAsia="zh-CN"/>
        </w:rPr>
      </w:pPr>
      <w:r>
        <w:rPr>
          <w:rFonts w:hint="eastAsia" w:ascii="宋体" w:hAnsi="宋体"/>
          <w:bCs/>
          <w:color w:val="auto"/>
          <w:sz w:val="24"/>
        </w:rPr>
        <w:t xml:space="preserve">提供方案不足2项或无方案的，不得分</w:t>
      </w:r>
      <w:r>
        <w:rPr>
          <w:rFonts w:hint="eastAsia" w:ascii="宋体" w:hAnsi="宋体"/>
          <w:bCs/>
          <w:color w:val="auto"/>
          <w:sz w:val="24"/>
          <w:lang w:eastAsia="zh-CN"/>
        </w:rPr>
        <w:t xml:space="preserve">。</w:t>
      </w:r>
      <w:r/>
    </w:p>
    <w:p>
      <w:pPr>
        <w:numPr>
          <w:ilvl w:val="4"/>
          <w:numId w:val="0"/>
        </w:numPr>
        <w:ind w:firstLine="480"/>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color w:val="auto"/>
          <w:sz w:val="24"/>
        </w:rPr>
      </w:pPr>
      <w:r>
        <w:rPr>
          <w:rFonts w:hint="eastAsia" w:ascii="宋体" w:hAnsi="宋体"/>
          <w:color w:val="auto"/>
          <w:sz w:val="24"/>
        </w:rPr>
        <w:t xml:space="preserve">5.5  </w:t>
      </w:r>
      <w:r>
        <w:rPr>
          <w:rFonts w:hint="eastAsia" w:ascii="宋体" w:hAnsi="宋体"/>
          <w:color w:val="auto"/>
          <w:sz w:val="24"/>
          <w:lang w:val="en-US" w:eastAsia="zh-CN"/>
        </w:rPr>
        <w:tab/>
      </w:r>
      <w:r>
        <w:rPr>
          <w:rFonts w:hint="eastAsia" w:ascii="宋体" w:hAnsi="宋体"/>
          <w:color w:val="auto"/>
          <w:sz w:val="24"/>
        </w:rPr>
        <w:t xml:space="preserve">：①技术运维人员配置；②售后服务组织架构体系；③详细的售后服务方案内容；④服务响应速度。</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方案较完整，科学合理性较强，设计较清晰详细，能够符合本项目需求，能够提供上述</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方案完整性一般，科学合理性一般，设计清晰详细程度一般，能够符合本项目需求，能够提供上述3-</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keepLines w:val="0"/>
        <w:keepNext w:val="0"/>
        <w:pageBreakBefore w:val="0"/>
        <w:spacing w:line="360" w:lineRule="auto"/>
        <w:rPr>
          <w:rFonts w:ascii="宋体" w:hAnsi="宋体"/>
          <w:bCs/>
          <w:color w:val="auto"/>
          <w:sz w:val="24"/>
        </w:rPr>
      </w:pPr>
      <w:r>
        <w:rPr>
          <w:rFonts w:hint="eastAsia" w:ascii="宋体" w:hAnsi="宋体"/>
          <w:bCs/>
          <w:color w:val="auto"/>
          <w:sz w:val="24"/>
        </w:rPr>
        <w:t xml:space="preserve">方案完整性、科学合理性、设计的清晰详细程度等只能基本满足要求，能够提供上述2-</w:t>
      </w:r>
      <w:r>
        <w:rPr>
          <w:rFonts w:hint="eastAsia" w:ascii="宋体" w:hAnsi="宋体"/>
          <w:bCs/>
          <w:color w:val="auto"/>
          <w:sz w:val="24"/>
          <w:lang w:val="en-US" w:eastAsia="zh-CN"/>
        </w:rPr>
        <w:t xml:space="preserve">4</w:t>
      </w:r>
      <w:r>
        <w:rPr>
          <w:rFonts w:hint="eastAsia" w:ascii="宋体" w:hAnsi="宋体"/>
          <w:bCs/>
          <w:color w:val="auto"/>
          <w:sz w:val="24"/>
        </w:rPr>
        <w:t xml:space="preserve">项方案的，得</w:t>
      </w:r>
      <w:r>
        <w:rPr>
          <w:rFonts w:hint="eastAsia" w:ascii="宋体" w:hAnsi="宋体"/>
          <w:bCs/>
          <w:color w:val="auto"/>
          <w:sz w:val="24"/>
          <w:lang w:val="en-US" w:eastAsia="zh-CN"/>
        </w:rPr>
        <w:t xml:space="preserve">1</w:t>
      </w:r>
      <w:r>
        <w:rPr>
          <w:rFonts w:hint="eastAsia" w:ascii="宋体" w:hAnsi="宋体"/>
          <w:bCs/>
          <w:color w:val="auto"/>
          <w:sz w:val="24"/>
        </w:rPr>
        <w:t xml:space="preserve">分；</w:t>
      </w:r>
      <w:r/>
    </w:p>
    <w:p>
      <w:pPr>
        <w:ind w:firstLine="480"/>
        <w:jc w:val="left"/>
        <w:keepLines w:val="0"/>
        <w:keepNext w:val="0"/>
        <w:pageBreakBefore w:val="0"/>
        <w:spacing w:line="360" w:lineRule="auto"/>
        <w:widowControl/>
        <w:rPr>
          <w:rFonts w:hint="eastAsia" w:ascii="宋体" w:hAnsi="宋体" w:eastAsia="宋体"/>
          <w:color w:val="auto"/>
          <w:sz w:val="24"/>
          <w:lang w:eastAsia="zh-CN"/>
        </w:rPr>
      </w:pPr>
      <w:r>
        <w:rPr>
          <w:rFonts w:hint="eastAsia" w:ascii="宋体" w:hAnsi="宋体"/>
          <w:bCs/>
          <w:color w:val="auto"/>
          <w:sz w:val="24"/>
        </w:rPr>
        <w:t xml:space="preserve">提供方案不足2项或无方案的，不得分</w:t>
      </w:r>
      <w:r>
        <w:rPr>
          <w:rFonts w:hint="eastAsia" w:ascii="宋体" w:hAnsi="宋体"/>
          <w:bCs/>
          <w:color w:val="auto"/>
          <w:sz w:val="24"/>
          <w:lang w:eastAsia="zh-CN"/>
        </w:rPr>
        <w:t xml:space="preserve">。</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lang w:val="en"/>
        </w:rPr>
      </w:pPr>
      <w:r>
        <w:rPr>
          <w:rFonts w:hint="eastAsia" w:ascii="宋体"/>
          <w:bCs/>
          <w:color w:val="auto"/>
          <w:sz w:val="24"/>
          <w:szCs w:val="24"/>
          <w:lang w:val="en"/>
        </w:rPr>
      </w:r>
      <w:r/>
    </w:p>
    <w:p>
      <w:pPr>
        <w:pStyle w:val="947"/>
        <w:spacing w:before="0" w:after="0" w:line="500" w:lineRule="exact"/>
        <w:rPr>
          <w:rFonts w:hint="eastAsia" w:ascii="宋体" w:hAnsi="宋体"/>
          <w:color w:val="000000"/>
        </w:rPr>
      </w:pPr>
      <w:r>
        <w:rPr>
          <w:rFonts w:hint="eastAsia" w:ascii="宋体" w:hAnsi="宋体"/>
          <w:color w:val="000000"/>
        </w:rPr>
      </w:r>
      <w:r/>
    </w:p>
    <w:p>
      <w:pPr>
        <w:ind w:firstLine="420"/>
        <w:spacing w:line="500" w:lineRule="exact"/>
        <w:tabs>
          <w:tab w:val="left" w:pos="945" w:leader="none"/>
          <w:tab w:val="left" w:pos="1155" w:leader="none"/>
          <w:tab w:val="left" w:pos="3823" w:leader="none"/>
        </w:tabs>
        <w:rPr>
          <w:rFonts w:ascii="宋体" w:hAnsi="宋体"/>
          <w:bCs/>
          <w:color w:val="0000ff"/>
          <w:sz w:val="24"/>
          <w:szCs w:val="24"/>
        </w:rPr>
      </w:pPr>
      <w:r>
        <w:rPr>
          <w:rFonts w:ascii="宋体" w:hAnsi="宋体"/>
          <w:color w:val="000000"/>
        </w:rPr>
        <w:br w:type="page" w:clear="all"/>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7"/>
      <w:r>
        <w:rPr>
          <w:rFonts w:hint="eastAsia" w:ascii="黑体" w:hAnsi="黑体" w:eastAsia="黑体"/>
          <w:sz w:val="36"/>
          <w:szCs w:val="36"/>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pStyle w:val="947"/>
        <w:ind w:left="0" w:firstLine="0"/>
        <w:spacing w:before="0" w:after="0" w:line="500" w:lineRule="exact"/>
        <w:rPr>
          <w:rFonts w:hint="eastAsia" w:cs="Arial"/>
          <w:b/>
          <w:sz w:val="30"/>
          <w:szCs w:val="30"/>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cs="Arial"/>
          <w:b/>
          <w:sz w:val="30"/>
          <w:szCs w:val="30"/>
        </w:rPr>
        <w:t xml:space="preserve">第一部分  投标文件内容</w:t>
      </w:r>
      <w:r/>
    </w:p>
    <w:p>
      <w:pPr>
        <w:pStyle w:val="94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70"/>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9"/>
                <w:rFonts w:hint="eastAsia" w:ascii="宋体" w:hAnsi="宋体" w:cs="宋体"/>
                <w:sz w:val="24"/>
                <w:szCs w:val="24"/>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47"/>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7"/>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7"/>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7"/>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7"/>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7"/>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color w:val="auto"/>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47"/>
        <w:ind w:firstLine="0"/>
        <w:spacing w:before="0" w:after="0"/>
        <w:rPr>
          <w:rFonts w:cs="Arial"/>
          <w:b/>
          <w:color w:val="auto"/>
          <w:sz w:val="28"/>
          <w:szCs w:val="28"/>
        </w:rPr>
      </w:pPr>
      <w:r>
        <w:rPr>
          <w:rFonts w:hint="eastAsia" w:cs="Arial"/>
          <w:b/>
          <w:color w:val="auto"/>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JSZC-320214-JZCG-G2026-0057</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无锡市一中太湖新城分校一体机及配套黑板采购项目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5"/>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JSZC-320214-JZCG-G2026-0057</w:t>
      </w:r>
      <w:r>
        <w:rPr>
          <w:rFonts w:hint="eastAsia" w:ascii="宋体" w:hAnsi="宋体"/>
          <w:bCs/>
          <w:color w:val="auto"/>
          <w:sz w:val="24"/>
          <w:szCs w:val="24"/>
        </w:rPr>
        <w:t xml:space="preserve">项目，兹授权：</w:t>
      </w:r>
      <w:r/>
    </w:p>
    <w:p>
      <w:pPr>
        <w:pStyle w:val="945"/>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5"/>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5"/>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5"/>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5"/>
        <w:ind w:firstLine="480"/>
        <w:rPr>
          <w:rFonts w:hint="eastAsia"/>
          <w:color w:val="auto"/>
          <w:sz w:val="24"/>
          <w:szCs w:val="24"/>
        </w:rPr>
      </w:pPr>
      <w:r>
        <w:rPr>
          <w:rFonts w:hint="eastAsia"/>
          <w:color w:val="auto"/>
          <w:sz w:val="24"/>
          <w:szCs w:val="24"/>
        </w:rPr>
        <w:t xml:space="preserve">特此授权委托。</w:t>
      </w:r>
      <w:r/>
    </w:p>
    <w:p>
      <w:pPr>
        <w:pStyle w:val="945"/>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5"/>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45"/>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45"/>
        <w:ind w:firstLine="0"/>
        <w:spacing w:line="360" w:lineRule="auto"/>
        <w:rPr>
          <w:rFonts w:hint="eastAsia"/>
          <w:sz w:val="21"/>
          <w:szCs w:val="21"/>
        </w:rPr>
      </w:pPr>
      <w:r>
        <w:rPr>
          <w:rFonts w:hint="eastAsia"/>
          <w:sz w:val="21"/>
          <w:szCs w:val="21"/>
        </w:rPr>
      </w:r>
      <w:r/>
    </w:p>
    <w:p>
      <w:pPr>
        <w:pStyle w:val="945"/>
        <w:ind w:firstLine="0"/>
        <w:spacing w:line="360" w:lineRule="auto"/>
        <w:rPr>
          <w:rFonts w:hint="eastAsia"/>
          <w:sz w:val="21"/>
          <w:szCs w:val="21"/>
        </w:rPr>
      </w:pPr>
      <w:r>
        <w:rPr>
          <w:rFonts w:hint="eastAsia"/>
          <w:sz w:val="21"/>
          <w:szCs w:val="21"/>
        </w:rPr>
        <w:t xml:space="preserve">说明：</w:t>
      </w:r>
      <w:r/>
    </w:p>
    <w:p>
      <w:pPr>
        <w:pStyle w:val="945"/>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203" w:name="报价方关于资格的声明函（格式）"/>
      <w:r/>
      <w:bookmarkEnd w:id="203"/>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JSZC-320214-JZCG-G2026-0057</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numPr>
          <w:ilvl w:val="0"/>
          <w:numId w:val="0"/>
        </w:numPr>
        <w:jc w:val="both"/>
        <w:spacing w:line="360" w:lineRule="auto"/>
        <w:rPr>
          <w:rFonts w:hint="eastAsia" w:ascii="宋体" w:hAnsi="宋体" w:cs="宋体"/>
          <w:b/>
          <w:color w:val="auto"/>
          <w:sz w:val="28"/>
          <w:szCs w:val="28"/>
        </w:rPr>
      </w:pPr>
      <w:r>
        <w:rPr>
          <w:rFonts w:ascii="宋体"/>
          <w:bCs/>
          <w:color w:val="auto"/>
          <w:sz w:val="24"/>
          <w:szCs w:val="24"/>
        </w:rPr>
        <w:br w:type="page" w:clear="all"/>
      </w:r>
      <w:r>
        <w:rPr>
          <w:rFonts w:hint="eastAsia" w:ascii="宋体"/>
          <w:b/>
          <w:bCs w:val="0"/>
          <w:color w:val="auto"/>
          <w:sz w:val="28"/>
          <w:szCs w:val="28"/>
          <w:lang w:val="en-US" w:eastAsia="zh-CN"/>
        </w:rPr>
        <w:t xml:space="preserve">四、</w:t>
      </w:r>
      <w:r>
        <w:rPr>
          <w:rFonts w:hint="eastAsia" w:ascii="宋体" w:hAnsi="宋体" w:cs="宋体"/>
          <w:b/>
          <w:color w:val="auto"/>
          <w:sz w:val="28"/>
          <w:szCs w:val="28"/>
        </w:rPr>
        <w:t xml:space="preserve">中小企业声明函（给定格式）：</w:t>
      </w:r>
      <w:r/>
    </w:p>
    <w:p>
      <w:pPr>
        <w:numPr>
          <w:ilvl w:val="0"/>
          <w:numId w:val="0"/>
        </w:numPr>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（联合体）参加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color w:val="auto"/>
          <w:sz w:val="24"/>
          <w:szCs w:val="24"/>
        </w:rPr>
        <w:t xml:space="preserve">1. </w:t>
      </w:r>
      <w:r>
        <w:rPr>
          <w:rFonts w:ascii="宋体" w:hAnsi="宋体"/>
          <w:bCs/>
          <w:color w:val="auto"/>
          <w:sz w:val="24"/>
          <w:szCs w:val="24"/>
          <w:u w:val="single"/>
        </w:rPr>
        <w:t xml:space="preserve">（标的名称）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jc w:val="both"/>
        <w:spacing w:line="360" w:lineRule="auto"/>
        <w:rPr>
          <w:rFonts w:hint="eastAsia" w:ascii="黑体" w:eastAsia="宋体"/>
          <w:bCs/>
          <w:color w:val="000000"/>
          <w:sz w:val="28"/>
          <w:szCs w:val="28"/>
          <w:highlight w:val="none"/>
          <w:lang w:eastAsia="zh-CN"/>
        </w:rPr>
      </w:pPr>
      <w:r>
        <w:br w:type="page" w:clear="all"/>
      </w:r>
      <w:r>
        <w:rPr>
          <w:rFonts w:hint="eastAsia" w:asciiTheme="minorEastAsia" w:hAnsiTheme="minorEastAsia" w:eastAsiaTheme="minorEastAsia" w:cstheme="minorEastAsia"/>
          <w:b/>
          <w:bCs/>
          <w:color w:val="000000"/>
          <w:sz w:val="28"/>
          <w:szCs w:val="28"/>
          <w:highlight w:val="none"/>
          <w:lang w:val="en-US" w:eastAsia="zh-CN"/>
        </w:rPr>
        <w:t xml:space="preserve">五、</w:t>
      </w:r>
      <w:r>
        <w:rPr>
          <w:rFonts w:hint="eastAsia" w:asciiTheme="minorEastAsia" w:hAnsiTheme="minorEastAsia" w:eastAsiaTheme="minorEastAsia" w:cstheme="minorEastAsia"/>
          <w:b/>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六</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eastAsia="宋体" w:cs="Times New Roman"/>
          <w:b/>
          <w:sz w:val="28"/>
          <w:szCs w:val="28"/>
          <w:lang w:val="en-US" w:eastAsia="zh-CN"/>
        </w:rPr>
        <w:t xml:space="preserve">七</w:t>
      </w:r>
      <w:r>
        <w:rPr>
          <w:rFonts w:eastAsia="宋体" w:cs="Times New Roman"/>
          <w:b/>
          <w:sz w:val="28"/>
          <w:szCs w:val="28"/>
        </w:rPr>
        <w:t xml:space="preserve">、</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JSZC-320214-JZCG-G2026-0057</w:t>
      </w:r>
      <w:r>
        <w:rPr>
          <w:rFonts w:hint="eastAsia" w:ascii="宋体" w:hAnsi="宋体"/>
          <w:bCs/>
          <w:color w:val="auto"/>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eastAsia="宋体" w:cs="Times New Roman"/>
          <w:b/>
          <w:sz w:val="28"/>
          <w:szCs w:val="28"/>
          <w:lang w:val="en-US" w:eastAsia="zh-CN"/>
        </w:rPr>
        <w:t xml:space="preserve">八</w:t>
      </w:r>
      <w:r>
        <w:rPr>
          <w:rFonts w:hint="eastAsia" w:eastAsia="宋体" w:cs="Times New Roman"/>
          <w:b/>
          <w:sz w:val="28"/>
          <w:szCs w:val="28"/>
        </w:rPr>
        <w:t xml:space="preserve">、</w:t>
      </w:r>
      <w:r>
        <w:rPr>
          <w:rFonts w:hint="eastAsia"/>
          <w:b/>
          <w:sz w:val="28"/>
          <w:szCs w:val="28"/>
        </w:rPr>
        <w:t xml:space="preserve">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auto"/>
          <w:sz w:val="24"/>
          <w:szCs w:val="24"/>
          <w:lang w:eastAsia="zh-CN"/>
        </w:rPr>
        <w:t xml:space="preserve">JSZC-320214-JZCG-G2026-0057</w:t>
      </w:r>
      <w:r>
        <w:rPr>
          <w:rFonts w:hint="eastAsia" w:ascii="宋体" w:hAnsi="宋体"/>
          <w:color w:val="auto"/>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eastAsia="宋体" w:cs="Times New Roman"/>
          <w:b/>
          <w:sz w:val="28"/>
          <w:szCs w:val="28"/>
          <w:lang w:val="en-US" w:eastAsia="zh-CN"/>
        </w:rPr>
        <w:t xml:space="preserve">九</w:t>
      </w:r>
      <w:r>
        <w:rPr>
          <w:rFonts w:hint="eastAsia" w:eastAsia="宋体" w:cs="Times New Roman"/>
          <w:b/>
          <w:sz w:val="28"/>
          <w:szCs w:val="28"/>
        </w:rPr>
        <w:t xml:space="preserve">、</w:t>
      </w:r>
      <w:r>
        <w:rPr>
          <w:rFonts w:hint="eastAsia"/>
          <w:b/>
          <w:sz w:val="28"/>
          <w:szCs w:val="28"/>
        </w:rPr>
        <w:t xml:space="preserve">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JSZC-320214-JZCG-G2026-0057</w:t>
      </w:r>
      <w:r/>
    </w:p>
    <w:tbl>
      <w:tblPr>
        <w:tblStyle w:val="870"/>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trHeight w:val="1630"/>
        </w:trPr>
        <w:tc>
          <w:tcPr>
            <w:tcW w:w="5697" w:type="dxa"/>
            <w:vAlign w:val="center"/>
            <w:textDirection w:val="lrTb"/>
            <w:noWrap w:val="false"/>
          </w:tcPr>
          <w:p>
            <w:pPr>
              <w:pStyle w:val="973"/>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无锡市一中太湖新城分校一体机及配套黑板采购项目</w:t>
            </w:r>
            <w:r/>
          </w:p>
        </w:tc>
        <w:tc>
          <w:tcPr>
            <w:tcW w:w="3188" w:type="dxa"/>
            <w:vAlign w:val="center"/>
            <w:textDirection w:val="lrTb"/>
            <w:noWrap w:val="false"/>
          </w:tcPr>
          <w:p>
            <w:pPr>
              <w:pStyle w:val="973"/>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eastAsia="宋体" w:cs="Times New Roman"/>
          <w:b/>
          <w:sz w:val="28"/>
          <w:szCs w:val="28"/>
          <w:lang w:val="en-US" w:eastAsia="zh-CN"/>
        </w:rPr>
        <w:t xml:space="preserve">十</w:t>
      </w:r>
      <w:r>
        <w:rPr>
          <w:rFonts w:hint="eastAsia" w:eastAsia="宋体" w:cs="Times New Roman"/>
          <w:b/>
          <w:sz w:val="28"/>
          <w:szCs w:val="28"/>
        </w:rPr>
        <w:t xml:space="preserve">、</w:t>
      </w:r>
      <w:r>
        <w:rPr>
          <w:rFonts w:hint="eastAsia"/>
          <w:b/>
          <w:sz w:val="28"/>
          <w:szCs w:val="28"/>
        </w:rPr>
        <w:t xml:space="preserve">分项</w:t>
      </w:r>
      <w:r>
        <w:rPr>
          <w:b/>
          <w:sz w:val="28"/>
          <w:szCs w:val="28"/>
        </w:rPr>
        <w:t xml:space="preserve">报价表</w:t>
      </w:r>
      <w:r>
        <w:rPr>
          <w:rFonts w:hint="eastAsia"/>
          <w:b/>
          <w:sz w:val="28"/>
          <w:szCs w:val="28"/>
        </w:rPr>
        <w:t xml:space="preserve">（给定格式）：</w:t>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JSZC-320214-JZCG-G2026-0057</w:t>
      </w:r>
      <w:r/>
    </w:p>
    <w:tbl>
      <w:tblPr>
        <w:tblStyle w:val="870"/>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u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u w:val="none"/>
              </w:rPr>
            </w:pPr>
            <w:r>
              <w:rPr>
                <w:rFonts w:hint="eastAsia"/>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8"/>
              <w:spacing w:before="5"/>
              <w:tabs>
                <w:tab w:val="clear" w:pos="4153" w:leader="none"/>
                <w:tab w:val="clear" w:pos="8306" w:leader="none"/>
              </w:tabs>
              <w:rPr>
                <w:rFonts w:ascii="宋体"/>
                <w:color w:val="auto"/>
                <w:highlight w:val="none"/>
                <w:lang w:val="en-US" w:eastAsia="zh-CN"/>
              </w:rPr>
              <w:pBdr>
                <w:bottom w:val="none" w:color="auto"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888"/>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888"/>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rPr>
                <w:rFonts w:ascii="黑体" w:hAnsi="宋体" w:eastAsia="黑体"/>
                <w:b/>
                <w:bCs/>
                <w:color w:val="auto"/>
                <w:sz w:val="24"/>
                <w:szCs w:val="24"/>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rFonts w:hint="eastAsia" w:ascii="宋体" w:hAnsi="宋体"/>
          <w:b/>
          <w:color w:val="auto"/>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无锡市公共资源交易中心新吴分中心</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200"/>
      <w:r/>
      <w:bookmarkEnd w:id="201"/>
      <w:r/>
      <w:bookmarkEnd w:id="202"/>
      <w:r/>
      <w:bookmarkStart w:id="204" w:name="_Toc120614284"/>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rPr>
          <w:rFonts w:ascii="宋体" w:hAnsi="宋体" w:cs="宋体"/>
          <w:color w:val="000000"/>
          <w:lang w:val="zh-CN"/>
        </w:rPr>
      </w:pPr>
      <w:r>
        <w:rPr>
          <w:rFonts w:hint="eastAsia" w:ascii="宋体" w:hAnsi="宋体"/>
          <w:bCs/>
          <w:color w:val="000000"/>
        </w:rPr>
        <w:br w:type="page" w:clear="all"/>
      </w:r>
      <w:r/>
    </w:p>
    <w:p>
      <w:pPr>
        <w:spacing w:line="360" w:lineRule="auto"/>
        <w:rPr>
          <w:rFonts w:hint="eastAsia"/>
          <w:b/>
          <w:sz w:val="28"/>
          <w:szCs w:val="28"/>
        </w:rPr>
      </w:pPr>
      <w:r>
        <w:rPr>
          <w:rFonts w:hint="eastAsia"/>
          <w:b/>
          <w:sz w:val="28"/>
          <w:szCs w:val="28"/>
        </w:rPr>
        <w:t xml:space="preserve">十</w:t>
      </w:r>
      <w:r>
        <w:rPr>
          <w:rFonts w:hint="eastAsia"/>
          <w:b/>
          <w:sz w:val="28"/>
          <w:szCs w:val="28"/>
          <w:lang w:val="en-US" w:eastAsia="zh-CN"/>
        </w:rPr>
        <w:t xml:space="preserve">一</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JSZC-320214-JZCG-G2026-0057</w:t>
      </w:r>
      <w:r/>
    </w:p>
    <w:tbl>
      <w:tblPr>
        <w:tblStyle w:val="87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4"/>
      <w:r/>
      <w:bookmarkStart w:id="205" w:name="_Hlt26609389"/>
      <w:r/>
      <w:bookmarkEnd w:id="205"/>
      <w:r/>
      <w:bookmarkStart w:id="206" w:name="_格式2__法定代表人授权书"/>
      <w:r/>
      <w:bookmarkEnd w:id="206"/>
      <w:r/>
      <w:bookmarkStart w:id="207" w:name="_Hlt26955066"/>
      <w:r/>
      <w:bookmarkEnd w:id="207"/>
      <w:r/>
      <w:bookmarkStart w:id="208" w:name="_Hlt26671374"/>
      <w:r/>
      <w:bookmarkEnd w:id="208"/>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１５</w:t>
    </w:r>
    <w:r>
      <w:rPr>
        <w:rFonts w:ascii="宋体" w:hAnsi="宋体"/>
      </w:rPr>
      <w:fldChar w:fldCharType="end"/>
    </w:r>
    <w:r/>
  </w:p>
  <w:p>
    <w:pPr>
      <w:pStyle w:val="88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6"/>
  </w:num>
  <w:num w:numId="4">
    <w:abstractNumId w:val="12"/>
  </w:num>
  <w:num w:numId="5">
    <w:abstractNumId w:val="5"/>
  </w:num>
  <w:num w:numId="6">
    <w:abstractNumId w:val="7"/>
  </w:num>
  <w:num w:numId="7">
    <w:abstractNumId w:val="2"/>
  </w:num>
  <w:num w:numId="8">
    <w:abstractNumId w:val="1"/>
  </w:num>
  <w:num w:numId="9">
    <w:abstractNumId w:val="9"/>
  </w:num>
  <w:num w:numId="10">
    <w:abstractNumId w:val="3"/>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11"/>
    <w:uiPriority w:val="0"/>
    <w:qFormat/>
    <w:pPr>
      <w:jc w:val="center"/>
      <w:keepNext/>
      <w:outlineLvl w:val="0"/>
    </w:pPr>
    <w:rPr>
      <w:rFonts w:ascii="楷体_GB2312" w:eastAsia="楷体_GB2312"/>
      <w:sz w:val="28"/>
      <w:szCs w:val="28"/>
    </w:rPr>
  </w:style>
  <w:style w:type="paragraph" w:styleId="861">
    <w:name w:val="Heading 2"/>
    <w:basedOn w:val="859"/>
    <w:next w:val="871"/>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62">
    <w:name w:val="Heading 3"/>
    <w:basedOn w:val="859"/>
    <w:next w:val="871"/>
    <w:link w:val="914"/>
    <w:uiPriority w:val="0"/>
    <w:qFormat/>
    <w:pPr>
      <w:keepLines/>
      <w:keepNext/>
      <w:spacing w:before="260" w:after="260" w:line="416" w:lineRule="auto"/>
      <w:outlineLvl w:val="2"/>
    </w:pPr>
    <w:rPr>
      <w:b/>
      <w:bCs/>
      <w:sz w:val="32"/>
      <w:szCs w:val="32"/>
    </w:rPr>
  </w:style>
  <w:style w:type="paragraph" w:styleId="863">
    <w:name w:val="Heading 4"/>
    <w:basedOn w:val="859"/>
    <w:next w:val="871"/>
    <w:link w:val="915"/>
    <w:uiPriority w:val="0"/>
    <w:qFormat/>
    <w:pPr>
      <w:keepLines/>
      <w:keepNext/>
      <w:spacing w:before="280" w:after="290" w:line="376" w:lineRule="auto"/>
      <w:outlineLvl w:val="3"/>
    </w:pPr>
    <w:rPr>
      <w:rFonts w:ascii="Arial" w:hAnsi="Arial" w:eastAsia="黑体"/>
      <w:b/>
      <w:bCs/>
      <w:sz w:val="28"/>
      <w:szCs w:val="28"/>
    </w:rPr>
  </w:style>
  <w:style w:type="paragraph" w:styleId="864">
    <w:name w:val="Heading 5"/>
    <w:basedOn w:val="859"/>
    <w:next w:val="871"/>
    <w:link w:val="916"/>
    <w:uiPriority w:val="0"/>
    <w:qFormat/>
    <w:pPr>
      <w:keepNext/>
      <w:outlineLvl w:val="4"/>
    </w:pPr>
    <w:rPr>
      <w:rFonts w:ascii="宋体"/>
      <w:color w:val="000000"/>
      <w:sz w:val="28"/>
      <w:szCs w:val="28"/>
    </w:rPr>
  </w:style>
  <w:style w:type="paragraph" w:styleId="865">
    <w:name w:val="Heading 6"/>
    <w:basedOn w:val="859"/>
    <w:next w:val="859"/>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8"/>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20"/>
    <w:uiPriority w:val="0"/>
    <w:qFormat/>
    <w:pPr>
      <w:numPr>
        <w:ilvl w:val="8"/>
        <w:numId w:val="1"/>
      </w:numPr>
      <w:keepLines/>
      <w:keepNext/>
      <w:spacing w:before="240" w:after="64" w:line="320" w:lineRule="auto"/>
      <w:outlineLvl w:val="8"/>
    </w:pPr>
    <w:rPr>
      <w:rFonts w:ascii="Arial" w:hAnsi="Arial" w:eastAsia="黑体"/>
      <w:sz w:val="20"/>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59"/>
    <w:link w:val="913"/>
    <w:uiPriority w:val="0"/>
    <w:qFormat/>
    <w:pPr>
      <w:ind w:firstLine="420"/>
    </w:pPr>
    <w:rPr>
      <w:sz w:val="20"/>
    </w:rPr>
  </w:style>
  <w:style w:type="paragraph" w:styleId="872">
    <w:name w:val="List 3"/>
    <w:basedOn w:val="859"/>
    <w:uiPriority w:val="0"/>
    <w:qFormat/>
    <w:pPr>
      <w:ind w:left="100" w:hanging="200"/>
    </w:pPr>
  </w:style>
  <w:style w:type="paragraph" w:styleId="873">
    <w:name w:val="toc 7"/>
    <w:basedOn w:val="859"/>
    <w:next w:val="859"/>
    <w:uiPriority w:val="0"/>
    <w:semiHidden/>
    <w:qFormat/>
    <w:pPr>
      <w:ind w:left="1260"/>
      <w:jc w:val="left"/>
    </w:pPr>
  </w:style>
  <w:style w:type="paragraph" w:styleId="874">
    <w:name w:val="Document Map"/>
    <w:basedOn w:val="859"/>
    <w:link w:val="921"/>
    <w:uiPriority w:val="0"/>
    <w:semiHidden/>
    <w:qFormat/>
    <w:pPr>
      <w:shd w:val="clear" w:color="auto" w:fill="000080"/>
    </w:pPr>
    <w:rPr>
      <w:sz w:val="20"/>
    </w:rPr>
  </w:style>
  <w:style w:type="paragraph" w:styleId="875">
    <w:name w:val="annotation text"/>
    <w:basedOn w:val="859"/>
    <w:link w:val="922"/>
    <w:uiPriority w:val="0"/>
    <w:semiHidden/>
    <w:qFormat/>
    <w:pPr>
      <w:jc w:val="left"/>
    </w:pPr>
    <w:rPr>
      <w:sz w:val="20"/>
    </w:rPr>
  </w:style>
  <w:style w:type="paragraph" w:styleId="876">
    <w:name w:val="Body Text 3"/>
    <w:basedOn w:val="859"/>
    <w:link w:val="923"/>
    <w:uiPriority w:val="0"/>
    <w:qFormat/>
    <w:rPr>
      <w:rFonts w:ascii="仿宋_GB2312" w:hAnsi="Arial" w:eastAsia="仿宋_GB2312"/>
      <w:sz w:val="32"/>
      <w:szCs w:val="32"/>
    </w:rPr>
  </w:style>
  <w:style w:type="paragraph" w:styleId="877">
    <w:name w:val="Body Text"/>
    <w:basedOn w:val="859"/>
    <w:link w:val="924"/>
    <w:uiPriority w:val="0"/>
    <w:qFormat/>
    <w:rPr>
      <w:rFonts w:ascii="楷体_GB2312" w:hAnsi="Arial" w:eastAsia="楷体_GB2312"/>
      <w:sz w:val="28"/>
      <w:szCs w:val="28"/>
    </w:rPr>
  </w:style>
  <w:style w:type="paragraph" w:styleId="878">
    <w:name w:val="Body Text Indent"/>
    <w:basedOn w:val="859"/>
    <w:link w:val="925"/>
    <w:uiPriority w:val="0"/>
    <w:qFormat/>
    <w:pPr>
      <w:ind w:firstLine="645"/>
    </w:pPr>
    <w:rPr>
      <w:rFonts w:ascii="楷体_GB2312" w:eastAsia="楷体_GB2312"/>
      <w:sz w:val="32"/>
      <w:szCs w:val="32"/>
    </w:rPr>
  </w:style>
  <w:style w:type="paragraph" w:styleId="879">
    <w:name w:val="List 2"/>
    <w:basedOn w:val="859"/>
    <w:uiPriority w:val="0"/>
    <w:qFormat/>
    <w:pPr>
      <w:ind w:left="100" w:hanging="200"/>
    </w:pPr>
  </w:style>
  <w:style w:type="paragraph" w:styleId="880">
    <w:name w:val="toc 5"/>
    <w:basedOn w:val="859"/>
    <w:next w:val="859"/>
    <w:uiPriority w:val="0"/>
    <w:semiHidden/>
    <w:qFormat/>
    <w:pPr>
      <w:ind w:left="840"/>
      <w:jc w:val="left"/>
    </w:pPr>
  </w:style>
  <w:style w:type="paragraph" w:styleId="881">
    <w:name w:val="toc 3"/>
    <w:basedOn w:val="859"/>
    <w:next w:val="859"/>
    <w:uiPriority w:val="0"/>
    <w:semiHidden/>
    <w:qFormat/>
    <w:pPr>
      <w:ind w:left="420"/>
      <w:jc w:val="left"/>
    </w:pPr>
    <w:rPr>
      <w:i/>
      <w:iCs/>
      <w:szCs w:val="24"/>
    </w:rPr>
  </w:style>
  <w:style w:type="paragraph" w:styleId="882">
    <w:name w:val="Plain Text"/>
    <w:basedOn w:val="859"/>
    <w:link w:val="926"/>
    <w:uiPriority w:val="0"/>
    <w:qFormat/>
    <w:rPr>
      <w:rFonts w:ascii="宋体" w:hAnsi="Courier New"/>
      <w:sz w:val="20"/>
    </w:rPr>
  </w:style>
  <w:style w:type="paragraph" w:styleId="883">
    <w:name w:val="toc 8"/>
    <w:basedOn w:val="859"/>
    <w:next w:val="859"/>
    <w:uiPriority w:val="0"/>
    <w:semiHidden/>
    <w:qFormat/>
    <w:pPr>
      <w:ind w:left="1470"/>
      <w:jc w:val="left"/>
    </w:pPr>
  </w:style>
  <w:style w:type="paragraph" w:styleId="884">
    <w:name w:val="Date"/>
    <w:basedOn w:val="859"/>
    <w:next w:val="859"/>
    <w:link w:val="927"/>
    <w:uiPriority w:val="0"/>
    <w:qFormat/>
    <w:rPr>
      <w:sz w:val="24"/>
      <w:szCs w:val="24"/>
    </w:rPr>
  </w:style>
  <w:style w:type="paragraph" w:styleId="885">
    <w:name w:val="Body Text Indent 2"/>
    <w:basedOn w:val="859"/>
    <w:link w:val="928"/>
    <w:uiPriority w:val="0"/>
    <w:qFormat/>
    <w:pPr>
      <w:ind w:left="630" w:firstLine="645"/>
    </w:pPr>
    <w:rPr>
      <w:rFonts w:ascii="Arial" w:hAnsi="Arial" w:eastAsia="仿宋_GB2312"/>
      <w:sz w:val="32"/>
      <w:szCs w:val="32"/>
    </w:rPr>
  </w:style>
  <w:style w:type="paragraph" w:styleId="886">
    <w:name w:val="Balloon Text"/>
    <w:basedOn w:val="859"/>
    <w:link w:val="929"/>
    <w:uiPriority w:val="0"/>
    <w:semiHidden/>
    <w:qFormat/>
    <w:rPr>
      <w:sz w:val="18"/>
      <w:szCs w:val="18"/>
    </w:rPr>
  </w:style>
  <w:style w:type="paragraph" w:styleId="887">
    <w:name w:val="Footer"/>
    <w:basedOn w:val="859"/>
    <w:link w:val="930"/>
    <w:uiPriority w:val="0"/>
    <w:qFormat/>
    <w:pPr>
      <w:jc w:val="left"/>
      <w:tabs>
        <w:tab w:val="center" w:pos="4153" w:leader="none"/>
        <w:tab w:val="right" w:pos="8306" w:leader="none"/>
      </w:tabs>
    </w:pPr>
    <w:rPr>
      <w:sz w:val="18"/>
      <w:szCs w:val="18"/>
    </w:rPr>
  </w:style>
  <w:style w:type="paragraph" w:styleId="888">
    <w:name w:val="Header"/>
    <w:basedOn w:val="859"/>
    <w:link w:val="931"/>
    <w:uiPriority w:val="99"/>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qFormat/>
    <w:pPr>
      <w:ind w:left="630"/>
      <w:jc w:val="left"/>
    </w:pPr>
  </w:style>
  <w:style w:type="paragraph" w:styleId="891">
    <w:name w:val="List"/>
    <w:basedOn w:val="859"/>
    <w:uiPriority w:val="0"/>
    <w:qFormat/>
    <w:pPr>
      <w:ind w:left="200" w:hanging="200"/>
    </w:pPr>
  </w:style>
  <w:style w:type="paragraph" w:styleId="892">
    <w:name w:val="toc 6"/>
    <w:basedOn w:val="859"/>
    <w:next w:val="859"/>
    <w:uiPriority w:val="0"/>
    <w:semiHidden/>
    <w:qFormat/>
    <w:pPr>
      <w:ind w:left="1050"/>
      <w:jc w:val="left"/>
    </w:pPr>
  </w:style>
  <w:style w:type="paragraph" w:styleId="893">
    <w:name w:val="Body Text Indent 3"/>
    <w:basedOn w:val="859"/>
    <w:link w:val="932"/>
    <w:uiPriority w:val="0"/>
    <w:qFormat/>
    <w:pPr>
      <w:ind w:left="645" w:firstLine="645"/>
    </w:pPr>
    <w:rPr>
      <w:rFonts w:ascii="Arial" w:hAnsi="Arial" w:eastAsia="仿宋_GB2312"/>
      <w:color w:val="ffff00"/>
      <w:sz w:val="32"/>
      <w:szCs w:val="32"/>
    </w:rPr>
  </w:style>
  <w:style w:type="paragraph" w:styleId="894">
    <w:name w:val="table of figures"/>
    <w:basedOn w:val="859"/>
    <w:next w:val="859"/>
    <w:uiPriority w:val="0"/>
    <w:semiHidden/>
    <w:qFormat/>
    <w:pPr>
      <w:ind w:left="840" w:hanging="420"/>
    </w:pPr>
  </w:style>
  <w:style w:type="paragraph" w:styleId="895">
    <w:name w:val="toc 2"/>
    <w:basedOn w:val="859"/>
    <w:next w:val="859"/>
    <w:uiPriority w:val="0"/>
    <w:semiHidden/>
    <w:qFormat/>
    <w:pPr>
      <w:ind w:left="210"/>
      <w:jc w:val="left"/>
    </w:pPr>
    <w:rPr>
      <w:smallCaps/>
      <w:szCs w:val="24"/>
    </w:rPr>
  </w:style>
  <w:style w:type="paragraph" w:styleId="896">
    <w:name w:val="toc 9"/>
    <w:basedOn w:val="859"/>
    <w:next w:val="859"/>
    <w:uiPriority w:val="0"/>
    <w:semiHidden/>
    <w:qFormat/>
    <w:pPr>
      <w:ind w:left="1680"/>
      <w:jc w:val="left"/>
    </w:pPr>
  </w:style>
  <w:style w:type="paragraph" w:styleId="897">
    <w:name w:val="Body Text 2"/>
    <w:basedOn w:val="859"/>
    <w:link w:val="933"/>
    <w:uiPriority w:val="0"/>
    <w:qFormat/>
    <w:pPr>
      <w:jc w:val="center"/>
      <w:widowControl/>
    </w:pPr>
    <w:rPr>
      <w:rFonts w:ascii="楷体_GB2312" w:eastAsia="楷体_GB2312"/>
      <w:sz w:val="28"/>
      <w:szCs w:val="28"/>
    </w:rPr>
  </w:style>
  <w:style w:type="paragraph" w:styleId="898">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qFormat/>
    <w:pPr>
      <w:spacing w:line="240" w:lineRule="atLeast"/>
    </w:pPr>
    <w:rPr>
      <w:b/>
      <w:bCs/>
    </w:rPr>
  </w:style>
  <w:style w:type="paragraph" w:styleId="900">
    <w:name w:val="annotation subject"/>
    <w:basedOn w:val="875"/>
    <w:next w:val="875"/>
    <w:link w:val="934"/>
    <w:uiPriority w:val="0"/>
    <w:semiHidden/>
    <w:qFormat/>
    <w:rPr>
      <w:b/>
      <w:bCs/>
    </w:rPr>
  </w:style>
  <w:style w:type="paragraph" w:styleId="901">
    <w:name w:val="Body Text First Indent"/>
    <w:basedOn w:val="859"/>
    <w:link w:val="935"/>
    <w:uiPriority w:val="0"/>
    <w:qFormat/>
    <w:pPr>
      <w:ind w:firstLine="200"/>
      <w:spacing w:line="360" w:lineRule="auto"/>
    </w:pPr>
    <w:rPr>
      <w:rFonts w:ascii="仿宋_GB2312" w:eastAsia="仿宋_GB2312"/>
      <w:sz w:val="30"/>
      <w:szCs w:val="30"/>
    </w:rPr>
  </w:style>
  <w:style w:type="paragraph" w:styleId="902">
    <w:name w:val="Body Text First Indent 2"/>
    <w:basedOn w:val="878"/>
    <w:link w:val="936"/>
    <w:uiPriority w:val="0"/>
    <w:qFormat/>
    <w:pPr>
      <w:ind w:firstLine="420"/>
      <w:spacing w:line="360" w:lineRule="auto"/>
    </w:pPr>
    <w:rPr>
      <w:rFonts w:ascii="宋体" w:hAnsi="宋体" w:eastAsia="宋体"/>
      <w:szCs w:val="20"/>
    </w:rPr>
  </w:style>
  <w:style w:type="table" w:styleId="903">
    <w:name w:val="Table Grid"/>
    <w:basedOn w:val="87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qFormat/>
  </w:style>
  <w:style w:type="character" w:styleId="906">
    <w:name w:val="FollowedHyperlink"/>
    <w:uiPriority w:val="0"/>
    <w:qFormat/>
    <w:rPr>
      <w:color w:val="800080"/>
      <w:u w:val="single"/>
    </w:rPr>
  </w:style>
  <w:style w:type="character" w:styleId="907">
    <w:name w:val="HTML Typewriter"/>
    <w:uiPriority w:val="99"/>
    <w:qFormat/>
    <w:rPr>
      <w:rFonts w:ascii="宋体" w:hAnsi="宋体" w:eastAsia="宋体" w:cs="宋体"/>
      <w:sz w:val="24"/>
      <w:szCs w:val="24"/>
    </w:rPr>
  </w:style>
  <w:style w:type="character" w:styleId="908">
    <w:name w:val="Hyperlink"/>
    <w:uiPriority w:val="0"/>
    <w:qFormat/>
    <w:rPr>
      <w:color w:val="0000ff"/>
      <w:u w:val="single"/>
    </w:rPr>
  </w:style>
  <w:style w:type="character" w:styleId="909">
    <w:name w:val="annotation reference"/>
    <w:uiPriority w:val="0"/>
    <w:semiHidden/>
    <w:qFormat/>
    <w:rPr>
      <w:sz w:val="21"/>
      <w:szCs w:val="21"/>
    </w:rPr>
  </w:style>
  <w:style w:type="paragraph" w:styleId="910" w:customStyle="1">
    <w:name w:val="正文文本1"/>
    <w:basedOn w:val="859"/>
    <w:uiPriority w:val="0"/>
    <w:qFormat/>
    <w:rPr>
      <w:rFonts w:ascii="楷体_GB2312" w:hAnsi="Arial" w:eastAsia="楷体_GB2312"/>
      <w:sz w:val="28"/>
      <w:szCs w:val="28"/>
    </w:rPr>
  </w:style>
  <w:style w:type="character" w:styleId="911" w:customStyle="1">
    <w:name w:val="标题 1 Char"/>
    <w:link w:val="860"/>
    <w:uiPriority w:val="0"/>
    <w:qFormat/>
    <w:rPr>
      <w:rFonts w:ascii="楷体_GB2312" w:hAnsi="Times New Roman" w:eastAsia="楷体_GB2312" w:cs="Times New Roman"/>
      <w:sz w:val="28"/>
      <w:szCs w:val="28"/>
    </w:rPr>
  </w:style>
  <w:style w:type="character" w:styleId="912" w:customStyle="1">
    <w:name w:val="标题 2 Char"/>
    <w:link w:val="861"/>
    <w:uiPriority w:val="0"/>
    <w:qFormat/>
    <w:rPr>
      <w:rFonts w:ascii="Arial" w:hAnsi="Arial" w:eastAsia="幼圆" w:cs="Arial"/>
      <w:b/>
      <w:bCs/>
      <w:sz w:val="44"/>
      <w:szCs w:val="44"/>
    </w:rPr>
  </w:style>
  <w:style w:type="character" w:styleId="913" w:customStyle="1">
    <w:name w:val="正文缩进 Char"/>
    <w:link w:val="871"/>
    <w:uiPriority w:val="0"/>
    <w:qFormat/>
    <w:rPr>
      <w:rFonts w:ascii="Times New Roman" w:hAnsi="Times New Roman" w:eastAsia="宋体" w:cs="Times New Roman"/>
      <w:szCs w:val="21"/>
    </w:rPr>
  </w:style>
  <w:style w:type="character" w:styleId="914" w:customStyle="1">
    <w:name w:val="标题 3 Char"/>
    <w:link w:val="862"/>
    <w:uiPriority w:val="0"/>
    <w:qFormat/>
    <w:rPr>
      <w:rFonts w:ascii="Times New Roman" w:hAnsi="Times New Roman" w:eastAsia="宋体" w:cs="Times New Roman"/>
      <w:b/>
      <w:bCs/>
      <w:sz w:val="32"/>
      <w:szCs w:val="32"/>
    </w:rPr>
  </w:style>
  <w:style w:type="character" w:styleId="915" w:customStyle="1">
    <w:name w:val="标题 4 Char"/>
    <w:link w:val="863"/>
    <w:uiPriority w:val="0"/>
    <w:qFormat/>
    <w:rPr>
      <w:rFonts w:ascii="Arial" w:hAnsi="Arial" w:eastAsia="黑体" w:cs="Arial"/>
      <w:b/>
      <w:bCs/>
      <w:sz w:val="28"/>
      <w:szCs w:val="28"/>
    </w:rPr>
  </w:style>
  <w:style w:type="character" w:styleId="916" w:customStyle="1">
    <w:name w:val="标题 5 Char"/>
    <w:link w:val="864"/>
    <w:uiPriority w:val="0"/>
    <w:qFormat/>
    <w:rPr>
      <w:rFonts w:ascii="宋体" w:hAnsi="Times New Roman" w:eastAsia="宋体" w:cs="Times New Roman"/>
      <w:color w:val="000000"/>
      <w:sz w:val="28"/>
      <w:szCs w:val="28"/>
    </w:rPr>
  </w:style>
  <w:style w:type="character" w:styleId="917" w:customStyle="1">
    <w:name w:val="标题 6 Char"/>
    <w:link w:val="865"/>
    <w:uiPriority w:val="0"/>
    <w:qFormat/>
    <w:rPr>
      <w:rFonts w:ascii="Arial" w:hAnsi="Arial" w:eastAsia="黑体" w:cs="Times New Roman"/>
      <w:b/>
      <w:bCs/>
      <w:sz w:val="24"/>
      <w:szCs w:val="24"/>
    </w:rPr>
  </w:style>
  <w:style w:type="character" w:styleId="918" w:customStyle="1">
    <w:name w:val="标题 7 Char"/>
    <w:link w:val="866"/>
    <w:uiPriority w:val="0"/>
    <w:qFormat/>
    <w:rPr>
      <w:rFonts w:ascii="Times New Roman" w:hAnsi="Times New Roman" w:eastAsia="宋体" w:cs="Times New Roman"/>
      <w:b/>
      <w:bCs/>
      <w:sz w:val="24"/>
      <w:szCs w:val="24"/>
    </w:rPr>
  </w:style>
  <w:style w:type="character" w:styleId="919" w:customStyle="1">
    <w:name w:val="标题 8 Char"/>
    <w:link w:val="867"/>
    <w:uiPriority w:val="0"/>
    <w:qFormat/>
    <w:rPr>
      <w:rFonts w:ascii="Arial" w:hAnsi="Arial" w:eastAsia="黑体" w:cs="Times New Roman"/>
      <w:sz w:val="24"/>
      <w:szCs w:val="24"/>
    </w:rPr>
  </w:style>
  <w:style w:type="character" w:styleId="920" w:customStyle="1">
    <w:name w:val="标题 9 Char"/>
    <w:link w:val="868"/>
    <w:uiPriority w:val="0"/>
    <w:qFormat/>
    <w:rPr>
      <w:rFonts w:ascii="Arial" w:hAnsi="Arial" w:eastAsia="黑体" w:cs="Times New Roman"/>
      <w:szCs w:val="21"/>
    </w:rPr>
  </w:style>
  <w:style w:type="character" w:styleId="921" w:customStyle="1">
    <w:name w:val="文档结构图 Char"/>
    <w:link w:val="874"/>
    <w:uiPriority w:val="0"/>
    <w:semiHidden/>
    <w:qFormat/>
    <w:rPr>
      <w:rFonts w:ascii="Times New Roman" w:hAnsi="Times New Roman" w:eastAsia="宋体" w:cs="Times New Roman"/>
      <w:szCs w:val="21"/>
      <w:shd w:val="clear" w:color="auto" w:fill="000080"/>
    </w:rPr>
  </w:style>
  <w:style w:type="character" w:styleId="922" w:customStyle="1">
    <w:name w:val="批注文字 Char"/>
    <w:link w:val="875"/>
    <w:uiPriority w:val="0"/>
    <w:semiHidden/>
    <w:qFormat/>
    <w:rPr>
      <w:rFonts w:ascii="Times New Roman" w:hAnsi="Times New Roman" w:eastAsia="宋体" w:cs="Times New Roman"/>
      <w:szCs w:val="21"/>
    </w:rPr>
  </w:style>
  <w:style w:type="character" w:styleId="923" w:customStyle="1">
    <w:name w:val="正文文本 3 Char"/>
    <w:link w:val="876"/>
    <w:uiPriority w:val="0"/>
    <w:qFormat/>
    <w:rPr>
      <w:rFonts w:ascii="仿宋_GB2312" w:hAnsi="Arial" w:eastAsia="仿宋_GB2312" w:cs="Times New Roman"/>
      <w:sz w:val="32"/>
      <w:szCs w:val="32"/>
    </w:rPr>
  </w:style>
  <w:style w:type="character" w:styleId="924" w:customStyle="1">
    <w:name w:val="正文文本 Char"/>
    <w:link w:val="877"/>
    <w:uiPriority w:val="0"/>
    <w:qFormat/>
    <w:rPr>
      <w:rFonts w:ascii="楷体_GB2312" w:hAnsi="Arial" w:eastAsia="楷体_GB2312" w:cs="Times New Roman"/>
      <w:sz w:val="28"/>
      <w:szCs w:val="28"/>
    </w:rPr>
  </w:style>
  <w:style w:type="character" w:styleId="925" w:customStyle="1">
    <w:name w:val="正文文本缩进 Char"/>
    <w:link w:val="878"/>
    <w:uiPriority w:val="0"/>
    <w:qFormat/>
    <w:rPr>
      <w:rFonts w:ascii="楷体_GB2312" w:hAnsi="Times New Roman" w:eastAsia="楷体_GB2312" w:cs="Times New Roman"/>
      <w:sz w:val="32"/>
      <w:szCs w:val="32"/>
    </w:rPr>
  </w:style>
  <w:style w:type="character" w:styleId="926" w:customStyle="1">
    <w:name w:val="纯文本 Char"/>
    <w:link w:val="882"/>
    <w:uiPriority w:val="0"/>
    <w:qFormat/>
    <w:rPr>
      <w:rFonts w:ascii="宋体" w:hAnsi="Courier New" w:eastAsia="宋体" w:cs="Courier New"/>
      <w:szCs w:val="21"/>
    </w:rPr>
  </w:style>
  <w:style w:type="character" w:styleId="927" w:customStyle="1">
    <w:name w:val="日期 Char"/>
    <w:link w:val="884"/>
    <w:uiPriority w:val="0"/>
    <w:qFormat/>
    <w:rPr>
      <w:rFonts w:ascii="Times New Roman" w:hAnsi="Times New Roman" w:eastAsia="宋体" w:cs="Times New Roman"/>
      <w:sz w:val="24"/>
      <w:szCs w:val="24"/>
    </w:rPr>
  </w:style>
  <w:style w:type="character" w:styleId="928" w:customStyle="1">
    <w:name w:val="正文文本缩进 2 Char"/>
    <w:link w:val="885"/>
    <w:uiPriority w:val="0"/>
    <w:qFormat/>
    <w:rPr>
      <w:rFonts w:ascii="Arial" w:hAnsi="Arial" w:eastAsia="仿宋_GB2312" w:cs="Arial"/>
      <w:sz w:val="32"/>
      <w:szCs w:val="32"/>
    </w:rPr>
  </w:style>
  <w:style w:type="character" w:styleId="929" w:customStyle="1">
    <w:name w:val="批注框文本 Char"/>
    <w:link w:val="886"/>
    <w:uiPriority w:val="0"/>
    <w:semiHidden/>
    <w:qFormat/>
    <w:rPr>
      <w:rFonts w:ascii="Times New Roman" w:hAnsi="Times New Roman" w:eastAsia="宋体" w:cs="Times New Roman"/>
      <w:sz w:val="18"/>
      <w:szCs w:val="18"/>
    </w:rPr>
  </w:style>
  <w:style w:type="character" w:styleId="930" w:customStyle="1">
    <w:name w:val="页脚 Char"/>
    <w:link w:val="887"/>
    <w:uiPriority w:val="0"/>
    <w:qFormat/>
    <w:rPr>
      <w:rFonts w:ascii="Times New Roman" w:hAnsi="Times New Roman" w:eastAsia="宋体" w:cs="Times New Roman"/>
      <w:sz w:val="18"/>
      <w:szCs w:val="18"/>
    </w:rPr>
  </w:style>
  <w:style w:type="character" w:styleId="931" w:customStyle="1">
    <w:name w:val="页眉 Char"/>
    <w:link w:val="888"/>
    <w:uiPriority w:val="99"/>
    <w:qFormat/>
    <w:rPr>
      <w:rFonts w:ascii="Times New Roman" w:hAnsi="Times New Roman" w:eastAsia="宋体" w:cs="Times New Roman"/>
      <w:sz w:val="18"/>
      <w:szCs w:val="18"/>
    </w:rPr>
  </w:style>
  <w:style w:type="character" w:styleId="932" w:customStyle="1">
    <w:name w:val="正文文本缩进 3 Char"/>
    <w:link w:val="893"/>
    <w:uiPriority w:val="0"/>
    <w:qFormat/>
    <w:rPr>
      <w:rFonts w:ascii="Arial" w:hAnsi="Arial" w:eastAsia="仿宋_GB2312" w:cs="Arial"/>
      <w:color w:val="ffff00"/>
      <w:sz w:val="32"/>
      <w:szCs w:val="32"/>
    </w:rPr>
  </w:style>
  <w:style w:type="character" w:styleId="933" w:customStyle="1">
    <w:name w:val="正文文本 2 Char"/>
    <w:link w:val="897"/>
    <w:uiPriority w:val="0"/>
    <w:qFormat/>
    <w:rPr>
      <w:rFonts w:ascii="楷体_GB2312" w:hAnsi="Times New Roman" w:eastAsia="楷体_GB2312" w:cs="Times New Roman"/>
      <w:sz w:val="28"/>
      <w:szCs w:val="28"/>
    </w:rPr>
  </w:style>
  <w:style w:type="character" w:styleId="934" w:customStyle="1">
    <w:name w:val="批注主题 Char"/>
    <w:link w:val="900"/>
    <w:uiPriority w:val="0"/>
    <w:semiHidden/>
    <w:qFormat/>
    <w:rPr>
      <w:rFonts w:ascii="Times New Roman" w:hAnsi="Times New Roman" w:eastAsia="宋体" w:cs="Times New Roman"/>
      <w:b/>
      <w:bCs/>
      <w:szCs w:val="21"/>
    </w:rPr>
  </w:style>
  <w:style w:type="character" w:styleId="935" w:customStyle="1">
    <w:name w:val="正文首行缩进 Char"/>
    <w:link w:val="901"/>
    <w:uiPriority w:val="0"/>
    <w:qFormat/>
    <w:rPr>
      <w:rFonts w:ascii="仿宋_GB2312" w:hAnsi="Times New Roman" w:eastAsia="仿宋_GB2312" w:cs="Times New Roman"/>
      <w:sz w:val="30"/>
      <w:szCs w:val="30"/>
    </w:rPr>
  </w:style>
  <w:style w:type="character" w:styleId="936" w:customStyle="1">
    <w:name w:val="正文首行缩进 2 Char"/>
    <w:link w:val="902"/>
    <w:uiPriority w:val="0"/>
    <w:qFormat/>
    <w:rPr>
      <w:rFonts w:ascii="宋体" w:hAnsi="宋体" w:eastAsia="宋体" w:cs="Times New Roman"/>
      <w:sz w:val="32"/>
      <w:szCs w:val="20"/>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859"/>
    <w:link w:val="938"/>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859"/>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859"/>
    <w:next w:val="877"/>
    <w:uiPriority w:val="0"/>
    <w:qFormat/>
    <w:pPr>
      <w:spacing w:after="120"/>
    </w:pPr>
    <w:rPr>
      <w:rFonts w:ascii="宋体" w:hAnsi="Arial"/>
      <w:bCs/>
      <w:iCs/>
      <w:szCs w:val="24"/>
    </w:rPr>
  </w:style>
  <w:style w:type="paragraph" w:styleId="943"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4"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5" w:customStyle="1">
    <w:name w:val="Char"/>
    <w:basedOn w:val="859"/>
    <w:uiPriority w:val="0"/>
    <w:qFormat/>
    <w:pPr>
      <w:ind w:firstLine="200"/>
      <w:tabs>
        <w:tab w:val="left" w:pos="360" w:leader="none"/>
      </w:tabs>
    </w:pPr>
    <w:rPr>
      <w:sz w:val="28"/>
      <w:szCs w:val="30"/>
    </w:rPr>
  </w:style>
  <w:style w:type="paragraph" w:styleId="946" w:customStyle="1">
    <w:name w:val=" Char"/>
    <w:basedOn w:val="874"/>
    <w:uiPriority w:val="0"/>
    <w:qFormat/>
    <w:rPr>
      <w:rFonts w:ascii="Tahoma" w:hAnsi="Tahoma"/>
      <w:sz w:val="24"/>
      <w:szCs w:val="24"/>
    </w:rPr>
  </w:style>
  <w:style w:type="paragraph" w:styleId="947"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8" w:customStyle="1">
    <w:name w:val="table_lines"/>
    <w:basedOn w:val="859"/>
    <w:uiPriority w:val="0"/>
    <w:qFormat/>
    <w:pPr>
      <w:jc w:val="left"/>
      <w:widowControl/>
    </w:pPr>
    <w:rPr>
      <w:sz w:val="20"/>
      <w:szCs w:val="20"/>
      <w:lang w:val="de-DE" w:eastAsia="de-DE"/>
    </w:rPr>
  </w:style>
  <w:style w:type="paragraph" w:styleId="9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0" w:customStyle="1">
    <w:name w:val="font7"/>
    <w:basedOn w:val="859"/>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 Char Char Char Char"/>
    <w:basedOn w:val="874"/>
    <w:uiPriority w:val="0"/>
    <w:qFormat/>
    <w:pPr>
      <w:spacing w:line="360" w:lineRule="auto"/>
    </w:pPr>
    <w:rPr>
      <w:rFonts w:ascii="Tahoma" w:hAnsi="Tahoma"/>
      <w:sz w:val="24"/>
      <w:szCs w:val="24"/>
    </w:rPr>
  </w:style>
  <w:style w:type="paragraph" w:styleId="952">
    <w:name w:val="List Paragraph"/>
    <w:basedOn w:val="859"/>
    <w:uiPriority w:val="99"/>
    <w:qFormat/>
    <w:pPr>
      <w:contextualSpacing/>
      <w:ind w:left="720"/>
      <w:jc w:val="left"/>
      <w:widowControl/>
    </w:pPr>
    <w:rPr>
      <w:rFonts w:ascii="Calibri" w:hAnsi="Calibri"/>
      <w:sz w:val="24"/>
      <w:szCs w:val="24"/>
      <w:lang w:eastAsia="en-US" w:bidi="en-US"/>
    </w:rPr>
  </w:style>
  <w:style w:type="paragraph" w:styleId="953" w:customStyle="1">
    <w:name w:val="4"/>
    <w:basedOn w:val="859"/>
    <w:next w:val="893"/>
    <w:uiPriority w:val="0"/>
    <w:qFormat/>
    <w:pPr>
      <w:ind w:firstLine="420"/>
      <w:spacing w:line="360" w:lineRule="auto"/>
    </w:pPr>
    <w:rPr>
      <w:color w:val="ff0000"/>
      <w:sz w:val="24"/>
      <w:szCs w:val="24"/>
    </w:rPr>
  </w:style>
  <w:style w:type="paragraph" w:styleId="954" w:customStyle="1">
    <w:name w:val="普通 (Web)"/>
    <w:basedOn w:val="859"/>
    <w:uiPriority w:val="0"/>
    <w:qFormat/>
    <w:pPr>
      <w:jc w:val="left"/>
      <w:spacing w:before="100" w:beforeAutospacing="1" w:after="100" w:afterAutospacing="1"/>
      <w:widowControl/>
    </w:pPr>
    <w:rPr>
      <w:rFonts w:ascii="宋体" w:hAnsi="宋体"/>
      <w:sz w:val="24"/>
      <w:szCs w:val="24"/>
    </w:rPr>
  </w:style>
  <w:style w:type="paragraph" w:styleId="955" w:customStyle="1">
    <w:name w:val=" Char Char Char Char Char Char Char Char Char Char"/>
    <w:basedOn w:val="859"/>
    <w:uiPriority w:val="0"/>
    <w:qFormat/>
    <w:pPr>
      <w:spacing w:line="360" w:lineRule="auto"/>
    </w:pPr>
    <w:rPr>
      <w:sz w:val="24"/>
      <w:szCs w:val="20"/>
    </w:rPr>
  </w:style>
  <w:style w:type="paragraph" w:styleId="956" w:customStyle="1">
    <w:name w:val="样式1"/>
    <w:basedOn w:val="859"/>
    <w:uiPriority w:val="0"/>
    <w:qFormat/>
    <w:pPr>
      <w:numPr>
        <w:ilvl w:val="0"/>
        <w:numId w:val="3"/>
      </w:numPr>
    </w:pPr>
    <w:rPr>
      <w:rFonts w:ascii="宋体" w:hAnsi="宋体"/>
    </w:rPr>
  </w:style>
  <w:style w:type="paragraph" w:styleId="957" w:customStyle="1">
    <w:name w:val="font6"/>
    <w:basedOn w:val="859"/>
    <w:uiPriority w:val="0"/>
    <w:qFormat/>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859"/>
    <w:next w:val="8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859"/>
    <w:next w:val="859"/>
    <w:uiPriority w:val="0"/>
    <w:qFormat/>
    <w:pPr>
      <w:ind w:firstLine="624"/>
      <w:spacing w:line="590" w:lineRule="atLeast"/>
    </w:pPr>
    <w:rPr>
      <w:rFonts w:ascii="方正黑体_GBK" w:eastAsia="方正黑体_GBK"/>
      <w:sz w:val="32"/>
      <w:szCs w:val="32"/>
    </w:rPr>
  </w:style>
  <w:style w:type="paragraph" w:styleId="961" w:customStyle="1">
    <w:name w:val="xl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9"/>
    <w:basedOn w:val="85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3" w:customStyle="1">
    <w:name w:val="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4" w:customStyle="1">
    <w:name w:val="xl28"/>
    <w:basedOn w:val="8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5" w:customStyle="1">
    <w:name w:val=" 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966" w:customStyle="1">
    <w:name w:val="xl30"/>
    <w:basedOn w:val="859"/>
    <w:uiPriority w:val="0"/>
    <w:qFormat/>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74"/>
    <w:uiPriority w:val="0"/>
    <w:qFormat/>
    <w:pPr>
      <w:spacing w:line="360" w:lineRule="auto"/>
    </w:pPr>
    <w:rPr>
      <w:rFonts w:ascii="Tahoma" w:hAnsi="Tahoma"/>
      <w:sz w:val="24"/>
      <w:szCs w:val="24"/>
    </w:rPr>
  </w:style>
  <w:style w:type="paragraph" w:styleId="968" w:customStyle="1">
    <w:name w:val="table_1stline"/>
    <w:basedOn w:val="859"/>
    <w:uiPriority w:val="0"/>
    <w:qFormat/>
    <w:pPr>
      <w:jc w:val="left"/>
      <w:spacing w:before="120"/>
      <w:widowControl/>
    </w:pPr>
    <w:rPr>
      <w:bCs/>
      <w:sz w:val="20"/>
      <w:szCs w:val="20"/>
      <w:lang w:val="de-DE" w:eastAsia="de-DE"/>
    </w:rPr>
  </w:style>
  <w:style w:type="paragraph" w:styleId="969" w:customStyle="1">
    <w:name w:val="font5"/>
    <w:basedOn w:val="859"/>
    <w:uiPriority w:val="0"/>
    <w:qFormat/>
    <w:pPr>
      <w:jc w:val="left"/>
      <w:spacing w:before="100" w:beforeAutospacing="1" w:after="100" w:afterAutospacing="1"/>
      <w:widowControl/>
    </w:pPr>
    <w:rPr>
      <w:rFonts w:hint="eastAsia" w:ascii="宋体" w:hAnsi="宋体"/>
      <w:sz w:val="28"/>
      <w:szCs w:val="28"/>
    </w:rPr>
  </w:style>
  <w:style w:type="paragraph" w:styleId="970"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_Style 112"/>
    <w:uiPriority w:val="99"/>
    <w:semiHidden/>
    <w:qFormat/>
    <w:rPr>
      <w:rFonts w:ascii="Times New Roman" w:hAnsi="Times New Roman" w:eastAsia="宋体" w:cs="Times New Roman"/>
      <w:sz w:val="21"/>
      <w:szCs w:val="21"/>
      <w:lang w:val="en-US" w:eastAsia="zh-CN" w:bidi="ar-SA"/>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普通文字"/>
    <w:basedOn w:val="859"/>
    <w:next w:val="859"/>
    <w:uiPriority w:val="99"/>
    <w:qFormat/>
    <w:rPr>
      <w:rFonts w:ascii="宋体" w:hAnsi="Times New Roman" w:eastAsia="宋体" w:cs="Times New Roman"/>
      <w:sz w:val="24"/>
      <w:szCs w:val="20"/>
      <w:u w:val="none"/>
    </w:rPr>
  </w:style>
  <w:style w:type="paragraph" w:styleId="974" w:customStyle="1">
    <w:name w:val="目录 111"/>
    <w:basedOn w:val="859"/>
    <w:next w:val="859"/>
    <w:uiPriority w:val="39"/>
    <w:unhideWhenUsed/>
    <w:qFormat/>
    <w:pPr>
      <w:jc w:val="left"/>
      <w:spacing w:after="100" w:line="259" w:lineRule="auto"/>
      <w:widowControl/>
    </w:pPr>
    <w:rPr>
      <w:rFonts w:ascii="Calibri" w:hAnsi="Calibri" w:eastAsia="宋体"/>
      <w:sz w:val="22"/>
      <w:szCs w:val="22"/>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521</cp:revision>
  <dcterms:created xsi:type="dcterms:W3CDTF">2023-03-16T02:16:00Z</dcterms:created>
  <dcterms:modified xsi:type="dcterms:W3CDTF">2026-06-26T07:54:33Z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412B8C8E5D134743B9396EA68AB9B806_13</vt:lpwstr>
  </property>
  <property fmtid="{D5CDD505-2E9C-101B-9397-08002B2CF9AE}" pid="4" name="KSOTemplateDocerSaveRecord">
    <vt:lpwstr>eyJoZGlkIjoiMDJlMjMzYjhlNjQ5M2U1ZWIxZTAwZmE1OGYxZmNlNzQiLCJ1c2VySWQiOiI2NDEzMTczMjkifQ==</vt:lpwstr>
  </property>
</Properties>
</file>