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outlineLvl w:val="0"/>
      </w:pPr>
      <w:r/>
      <w:bookmarkStart w:id="0" w:name="_Toc10112"/>
      <w:r/>
      <w:bookmarkStart w:id="1" w:name="_Toc15109"/>
      <w:r/>
      <w:bookmarkStart w:id="2" w:name="_Toc28998"/>
      <w:r>
        <w:rPr>
          <w:rFonts w:hint="eastAsia" w:ascii="仿宋" w:hAnsi="仿宋" w:eastAsia="仿宋" w:cs="仿宋"/>
          <w:b/>
          <w:bCs/>
          <w:color w:val="auto"/>
          <w:sz w:val="84"/>
          <w:szCs w:val="24"/>
          <w:highlight w:val="none"/>
        </w:rPr>
        <w:t xml:space="preserve">竞争性磋商文件</w:t>
      </w:r>
      <w:bookmarkEnd w:id="0"/>
      <w:r/>
      <w:bookmarkEnd w:id="1"/>
      <w:r/>
      <w:bookmarkEnd w:id="2"/>
      <w:r/>
      <w:r/>
    </w:p>
    <w:p>
      <w:pPr>
        <w:ind w:left="0" w:firstLine="218"/>
        <w:jc w:val="left"/>
        <w:spacing w:before="120" w:after="120" w:line="360" w:lineRule="auto"/>
        <w:rPr>
          <w:rFonts w:hint="eastAsia" w:ascii="仿宋" w:hAnsi="仿宋" w:eastAsia="仿宋" w:cs="仿宋"/>
          <w:b/>
          <w:bCs/>
          <w:color w:val="auto"/>
          <w:sz w:val="32"/>
          <w:szCs w:val="24"/>
          <w:highlight w:val="none"/>
          <w:u w:val="single"/>
        </w:rPr>
      </w:pPr>
      <w:r>
        <w:rPr>
          <w:rFonts w:hint="eastAsia"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u w:val="single"/>
        </w:rPr>
        <w:t xml:space="preserve">如东县教育体育局城域网网络安全提升工程采购项目</w:t>
      </w:r>
      <w:r/>
    </w:p>
    <w:p>
      <w:pPr>
        <w:ind w:left="0" w:firstLine="218"/>
        <w:jc w:val="left"/>
        <w:spacing w:before="120" w:after="120" w:line="360" w:lineRule="auto"/>
        <w:rPr>
          <w:rFonts w:hint="eastAsia" w:ascii="仿宋" w:hAnsi="仿宋" w:eastAsia="仿宋" w:cs="仿宋"/>
          <w:b/>
          <w:bCs/>
          <w:color w:val="auto"/>
          <w:sz w:val="32"/>
          <w:szCs w:val="24"/>
          <w:highlight w:val="none"/>
        </w:rPr>
        <w:outlineLvl w:val="0"/>
      </w:pPr>
      <w:r/>
      <w:bookmarkStart w:id="3" w:name="_Toc11109"/>
      <w:r/>
      <w:bookmarkStart w:id="4" w:name="_Toc15853"/>
      <w:r/>
      <w:bookmarkStart w:id="5" w:name="_Toc9771"/>
      <w:r>
        <w:rPr>
          <w:rFonts w:hint="eastAsia" w:ascii="仿宋" w:hAnsi="仿宋" w:eastAsia="仿宋" w:cs="仿宋"/>
          <w:b/>
          <w:bCs/>
          <w:color w:val="auto"/>
          <w:sz w:val="32"/>
          <w:szCs w:val="24"/>
          <w:highlight w:val="none"/>
        </w:rPr>
        <w:t xml:space="preserve">项目编号：</w:t>
      </w:r>
      <w:bookmarkEnd w:id="3"/>
      <w:r/>
      <w:bookmarkEnd w:id="4"/>
      <w:r/>
      <w:bookmarkEnd w:id="5"/>
      <w:r>
        <w:rPr>
          <w:rFonts w:hint="eastAsia" w:ascii="仿宋" w:hAnsi="仿宋" w:eastAsia="仿宋" w:cs="仿宋"/>
          <w:b/>
          <w:bCs/>
          <w:color w:val="auto"/>
          <w:sz w:val="32"/>
          <w:szCs w:val="24"/>
          <w:highlight w:val="none"/>
          <w:u w:val="single"/>
          <w:lang w:val="en-US" w:eastAsia="zh-CN"/>
        </w:rPr>
        <w:t xml:space="preserve">         </w:t>
      </w:r>
      <w:r>
        <w:rPr>
          <w:rFonts w:hint="eastAsia" w:ascii="仿宋" w:hAnsi="仿宋" w:eastAsia="仿宋" w:cs="仿宋"/>
          <w:b/>
          <w:bCs/>
          <w:color w:val="auto"/>
          <w:sz w:val="32"/>
          <w:szCs w:val="24"/>
          <w:highlight w:val="none"/>
          <w:u w:val="single"/>
        </w:rPr>
        <w:t xml:space="preserve">JSZC-320623-JSDZ-C2026-0053</w:t>
      </w:r>
      <w:r>
        <w:rPr>
          <w:rFonts w:hint="eastAsia" w:ascii="仿宋" w:hAnsi="仿宋" w:eastAsia="仿宋" w:cs="仿宋"/>
          <w:b/>
          <w:bCs/>
          <w:color w:val="auto"/>
          <w:sz w:val="32"/>
          <w:szCs w:val="24"/>
          <w:highlight w:val="none"/>
          <w:u w:val="single"/>
          <w:lang w:val="en-US" w:eastAsia="zh-CN"/>
        </w:rPr>
        <w:t xml:space="preserve">          </w:t>
      </w:r>
      <w:r/>
    </w:p>
    <w:p>
      <w:pPr>
        <w:ind w:left="2811" w:hanging="2811"/>
        <w:jc w:val="center"/>
        <w:rPr>
          <w:rFonts w:hint="eastAsia" w:ascii="仿宋" w:hAnsi="仿宋" w:eastAsia="仿宋" w:cs="仿宋"/>
          <w:b/>
          <w:color w:val="auto"/>
          <w:sz w:val="28"/>
          <w:szCs w:val="28"/>
          <w:highlight w:val="none"/>
        </w:rPr>
        <w:outlineLvl w:val="0"/>
      </w:pPr>
      <w:r/>
      <w:bookmarkStart w:id="6" w:name="_Toc2726"/>
      <w:r/>
      <w:bookmarkStart w:id="7" w:name="_Toc24406"/>
      <w:r/>
      <w:bookmarkStart w:id="8" w:name="_Toc31007"/>
      <w:r>
        <w:rPr>
          <w:rFonts w:hint="eastAsia" w:ascii="仿宋" w:hAnsi="仿宋" w:eastAsia="仿宋" w:cs="仿宋"/>
          <w:b/>
          <w:color w:val="auto"/>
          <w:sz w:val="28"/>
          <w:szCs w:val="28"/>
          <w:highlight w:val="none"/>
        </w:rPr>
        <w:t xml:space="preserve">（全流程电子化，适用苏采云系统）</w:t>
      </w:r>
      <w:bookmarkEnd w:id="6"/>
      <w:r/>
      <w:bookmarkEnd w:id="7"/>
      <w:r/>
      <w:bookmarkEnd w:id="8"/>
      <w:r/>
      <w:r/>
    </w:p>
    <w:p>
      <w:pPr>
        <w:ind w:firstLine="1470"/>
        <w:jc w:val="left"/>
        <w:spacing w:before="120" w:after="120" w:line="360" w:lineRule="auto"/>
        <w:rPr>
          <w:rFonts w:hint="eastAsia" w:ascii="仿宋" w:hAnsi="仿宋" w:eastAsia="仿宋" w:cs="仿宋"/>
          <w:b/>
          <w:color w:val="auto"/>
          <w:sz w:val="30"/>
          <w:szCs w:val="30"/>
          <w:highlight w:val="none"/>
        </w:rPr>
      </w:pPr>
      <w:r>
        <w:rPr>
          <w:rFonts w:hint="eastAsia" w:ascii="仿宋" w:hAnsi="仿宋" w:eastAsia="仿宋" w:cs="仿宋"/>
          <w:color w:val="auto"/>
          <w:szCs w:val="21"/>
          <w:highlight w:val="none"/>
        </w:rPr>
        <w:t xml:space="preserve">        </w:t>
      </w:r>
      <w:r>
        <w:rPr>
          <w:rFonts w:hint="eastAsia" w:ascii="仿宋" w:hAnsi="仿宋" w:eastAsia="仿宋" w:cs="仿宋"/>
          <w:b/>
          <w:color w:val="auto"/>
          <w:sz w:val="30"/>
          <w:szCs w:val="30"/>
          <w:highlight w:val="none"/>
        </w:rPr>
        <w:t xml:space="preserve">     </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before="120" w:after="120" w:line="360" w:lineRule="auto"/>
        <w:rPr>
          <w:rFonts w:hint="eastAsia" w:ascii="仿宋" w:hAnsi="仿宋" w:eastAsia="仿宋" w:cs="仿宋"/>
          <w:b/>
          <w:bCs/>
          <w:color w:val="auto"/>
          <w:sz w:val="32"/>
          <w:szCs w:val="24"/>
          <w:highlight w:val="none"/>
        </w:rPr>
        <w:outlineLvl w:val="0"/>
      </w:pPr>
      <w:r/>
      <w:bookmarkStart w:id="9" w:name="_Toc29464"/>
      <w:r/>
      <w:bookmarkStart w:id="10" w:name="_Toc17627"/>
      <w:r/>
      <w:bookmarkStart w:id="11" w:name="_Toc1606"/>
      <w:r>
        <w:rPr>
          <w:rFonts w:hint="eastAsia" w:ascii="仿宋" w:hAnsi="仿宋" w:eastAsia="仿宋" w:cs="仿宋"/>
          <w:b/>
          <w:bCs/>
          <w:color w:val="auto"/>
          <w:sz w:val="32"/>
          <w:szCs w:val="24"/>
          <w:highlight w:val="none"/>
        </w:rPr>
        <w:t xml:space="preserve">如东县</w:t>
      </w:r>
      <w:bookmarkEnd w:id="9"/>
      <w:r/>
      <w:bookmarkEnd w:id="10"/>
      <w:r/>
      <w:bookmarkEnd w:id="11"/>
      <w:r>
        <w:rPr>
          <w:rFonts w:hint="eastAsia" w:ascii="仿宋" w:hAnsi="仿宋" w:eastAsia="仿宋" w:cs="仿宋"/>
          <w:b/>
          <w:bCs/>
          <w:color w:val="auto"/>
          <w:sz w:val="32"/>
          <w:szCs w:val="24"/>
          <w:highlight w:val="none"/>
        </w:rPr>
        <w:t xml:space="preserve">教育体育局</w:t>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2026年7月</w:t>
      </w:r>
      <w:r/>
    </w:p>
    <w:p>
      <w:pPr>
        <w:jc w:val="left"/>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p>
    <w:p>
      <w:pPr>
        <w:jc w:val="cente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1"/>
        </w:numPr>
        <w:spacing w:line="480" w:lineRule="auto"/>
        <w:rPr>
          <w:rFonts w:hint="eastAsia" w:ascii="仿宋" w:hAnsi="仿宋" w:eastAsia="仿宋" w:cs="仿宋"/>
          <w:color w:val="auto"/>
          <w:sz w:val="36"/>
          <w:szCs w:val="21"/>
          <w:highlight w:val="none"/>
        </w:rPr>
        <w:outlineLvl w:val="0"/>
      </w:pPr>
      <w:r>
        <w:rPr>
          <w:rFonts w:hint="eastAsia" w:ascii="仿宋" w:hAnsi="仿宋" w:eastAsia="仿宋" w:cs="仿宋"/>
          <w:color w:val="auto"/>
          <w:szCs w:val="21"/>
          <w:highlight w:val="none"/>
        </w:rPr>
        <w:br w:type="page" w:clear="all"/>
      </w:r>
      <w:bookmarkStart w:id="12" w:name="_Toc120614210"/>
      <w:r/>
      <w:bookmarkStart w:id="13" w:name="_Toc20823272"/>
      <w:r/>
      <w:bookmarkStart w:id="14" w:name="_Toc523127445"/>
      <w:r/>
      <w:bookmarkStart w:id="15" w:name="_Toc513029200"/>
      <w:r/>
      <w:bookmarkStart w:id="16" w:name="_Toc479757206"/>
      <w:r/>
      <w:bookmarkStart w:id="17" w:name="_Toc16938516"/>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sdt>
      <w:sdtPr>
        <w15:appearance w15:val="boundingBox"/>
        <w15:color w:val="dbdbdb"/>
        <w:id w:val="147461818"/>
        <w:docPartObj>
          <w:docPartGallery w:val="Table of Contents"/>
          <w:docPartUnique w:val="true"/>
        </w:docPartObj>
        <w:rPr>
          <w:rFonts w:hint="eastAsia" w:ascii="仿宋" w:hAnsi="仿宋" w:eastAsia="仿宋" w:cs="仿宋"/>
          <w:color w:val="auto"/>
          <w:sz w:val="44"/>
          <w:szCs w:val="44"/>
          <w:highlight w:val="none"/>
        </w:rPr>
      </w:sdtPr>
      <w:sdtContent>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44"/>
              <w:szCs w:val="44"/>
              <w:highlight w:val="none"/>
            </w:rPr>
            <w:t xml:space="preserve">总 目 录</w:t>
          </w:r>
          <w:r>
            <w:rPr>
              <w:rFonts w:hint="eastAsia" w:ascii="仿宋" w:hAnsi="仿宋" w:eastAsia="仿宋" w:cs="仿宋"/>
              <w:b/>
              <w:bCs/>
              <w:color w:val="auto"/>
              <w:sz w:val="36"/>
              <w:szCs w:val="36"/>
              <w:highlight w:val="none"/>
            </w:rPr>
            <w:fldChar w:fldCharType="begin"/>
          </w:r>
          <w:r>
            <w:rPr>
              <w:rFonts w:hint="eastAsia" w:ascii="仿宋" w:hAnsi="仿宋" w:eastAsia="仿宋" w:cs="仿宋"/>
              <w:b/>
              <w:bCs/>
              <w:color w:val="auto"/>
              <w:sz w:val="36"/>
              <w:szCs w:val="36"/>
              <w:highlight w:val="none"/>
            </w:rPr>
            <w:instrText xml:space="preserve">TOC \o "1-1" \h \u </w:instrText>
          </w:r>
          <w:r>
            <w:rPr>
              <w:rFonts w:hint="eastAsia" w:ascii="仿宋" w:hAnsi="仿宋" w:eastAsia="仿宋" w:cs="仿宋"/>
              <w:b/>
              <w:bCs/>
              <w:color w:val="auto"/>
              <w:sz w:val="36"/>
              <w:szCs w:val="36"/>
              <w:highlight w:val="none"/>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color w:val="auto"/>
              <w:sz w:val="36"/>
              <w:szCs w:val="36"/>
              <w:highlight w:val="none"/>
            </w:rPr>
          </w:sdtPr>
          <w:sdtContent>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fldChar w:fldCharType="begin"/>
              </w:r>
              <w:r>
                <w:rPr>
                  <w:rFonts w:hint="eastAsia" w:ascii="仿宋" w:hAnsi="仿宋" w:eastAsia="仿宋" w:cs="仿宋"/>
                  <w:b/>
                  <w:bCs/>
                  <w:color w:val="auto"/>
                  <w:sz w:val="36"/>
                  <w:szCs w:val="36"/>
                  <w:highlight w:val="none"/>
                </w:rPr>
                <w:instrText xml:space="preserve">TOC \o "1-1" \h \u </w:instrText>
              </w:r>
              <w:r>
                <w:rPr>
                  <w:rFonts w:hint="eastAsia" w:ascii="仿宋" w:hAnsi="仿宋" w:eastAsia="仿宋" w:cs="仿宋"/>
                  <w:b/>
                  <w:bCs/>
                  <w:color w:val="auto"/>
                  <w:sz w:val="36"/>
                  <w:szCs w:val="36"/>
                  <w:highlight w:val="none"/>
                </w:rPr>
                <w:fldChar w:fldCharType="separate"/>
              </w:r>
              <w:r/>
            </w:p>
            <w:p>
              <w:pPr>
                <w:pStyle w:val="744"/>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"_Toc31671" </w:instrText>
              </w:r>
              <w:r>
                <w:rPr>
                  <w:color w:val="auto"/>
                  <w:highlight w:val="none"/>
                </w:rPr>
                <w:fldChar w:fldCharType="separate"/>
              </w:r>
              <w:r>
                <w:rPr>
                  <w:rFonts w:ascii="Times New Roman" w:hAnsi="Times New Roman" w:eastAsia="黑体"/>
                  <w:b/>
                  <w:bCs/>
                  <w:color w:val="auto"/>
                  <w:sz w:val="36"/>
                  <w:szCs w:val="36"/>
                  <w:highlight w:val="none"/>
                </w:rPr>
                <w:t xml:space="preserve">第一章</w:t>
              </w:r>
              <w:r>
                <w:rPr>
                  <w:rFonts w:ascii="Times New Roman" w:hAnsi="Times New Roman" w:eastAsia="仿宋"/>
                  <w:b/>
                  <w:bCs/>
                  <w:color w:val="auto"/>
                  <w:sz w:val="36"/>
                  <w:szCs w:val="36"/>
                  <w:highlight w:val="none"/>
                </w:rPr>
                <w:t xml:space="preserve">  磋商邀请</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_Toc31671 \h </w:instrText>
              </w:r>
              <w:r>
                <w:rPr>
                  <w:rFonts w:ascii="Times New Roman" w:hAnsi="Times New Roman" w:eastAsia="仿宋"/>
                  <w:b/>
                  <w:bCs/>
                  <w:color w:val="auto"/>
                  <w:sz w:val="36"/>
                  <w:szCs w:val="36"/>
                  <w:highlight w:val="none"/>
                </w:rPr>
                <w:fldChar w:fldCharType="separate"/>
              </w:r>
              <w:r>
                <w:rPr>
                  <w:rFonts w:ascii="Times New Roman" w:hAnsi="Times New Roman" w:eastAsia="仿宋"/>
                  <w:b/>
                  <w:bCs/>
                  <w:color w:val="auto"/>
                  <w:sz w:val="36"/>
                  <w:szCs w:val="36"/>
                  <w:highlight w:val="none"/>
                </w:rPr>
                <w:t xml:space="preserve">2</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744"/>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"_Toc16207" </w:instrText>
              </w:r>
              <w:r>
                <w:rPr>
                  <w:color w:val="auto"/>
                  <w:highlight w:val="none"/>
                </w:rPr>
                <w:fldChar w:fldCharType="separate"/>
              </w:r>
              <w:r>
                <w:rPr>
                  <w:rFonts w:ascii="Times New Roman" w:hAnsi="Times New Roman" w:eastAsia="黑体"/>
                  <w:b/>
                  <w:bCs/>
                  <w:color w:val="auto"/>
                  <w:sz w:val="36"/>
                  <w:szCs w:val="36"/>
                  <w:highlight w:val="none"/>
                </w:rPr>
                <w:t xml:space="preserve">第二章</w:t>
              </w:r>
              <w:r>
                <w:rPr>
                  <w:rFonts w:ascii="Times New Roman" w:hAnsi="Times New Roman" w:eastAsia="仿宋"/>
                  <w:b/>
                  <w:bCs/>
                  <w:color w:val="auto"/>
                  <w:sz w:val="36"/>
                  <w:szCs w:val="36"/>
                  <w:highlight w:val="none"/>
                </w:rPr>
                <w:t xml:space="preserve">  供应商须知</w:t>
              </w:r>
              <w:r>
                <w:rPr>
                  <w:rFonts w:ascii="Times New Roman" w:hAnsi="Times New Roman" w:eastAsia="仿宋"/>
                  <w:b/>
                  <w:bCs/>
                  <w:color w:val="auto"/>
                  <w:sz w:val="36"/>
                  <w:szCs w:val="36"/>
                  <w:highlight w:val="none"/>
                </w:rPr>
                <w:tab/>
              </w:r>
              <w:r>
                <w:rPr>
                  <w:rFonts w:hint="eastAsia" w:ascii="Times New Roman" w:hAnsi="Times New Roman" w:eastAsia="仿宋"/>
                  <w:b/>
                  <w:bCs/>
                  <w:color w:val="auto"/>
                  <w:sz w:val="36"/>
                  <w:szCs w:val="36"/>
                  <w:highlight w:val="none"/>
                </w:rPr>
                <w:t xml:space="preserve">5</w:t>
              </w:r>
              <w:r>
                <w:rPr>
                  <w:rFonts w:hint="eastAsia" w:ascii="Times New Roman" w:hAnsi="Times New Roman" w:eastAsia="仿宋"/>
                  <w:b/>
                  <w:bCs/>
                  <w:color w:val="auto"/>
                  <w:sz w:val="36"/>
                  <w:szCs w:val="36"/>
                  <w:highlight w:val="none"/>
                </w:rPr>
                <w:fldChar w:fldCharType="end"/>
              </w:r>
              <w:r/>
            </w:p>
            <w:p>
              <w:pPr>
                <w:pStyle w:val="744"/>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"_Toc20527" </w:instrText>
              </w:r>
              <w:r>
                <w:rPr>
                  <w:color w:val="auto"/>
                  <w:highlight w:val="none"/>
                </w:rPr>
                <w:fldChar w:fldCharType="separate"/>
              </w:r>
              <w:r>
                <w:rPr>
                  <w:rFonts w:ascii="Times New Roman" w:hAnsi="Times New Roman" w:eastAsia="黑体"/>
                  <w:b/>
                  <w:bCs/>
                  <w:color w:val="auto"/>
                  <w:sz w:val="36"/>
                  <w:szCs w:val="36"/>
                  <w:highlight w:val="none"/>
                </w:rPr>
                <w:t xml:space="preserve">第三章</w:t>
              </w:r>
              <w:r>
                <w:rPr>
                  <w:rFonts w:ascii="Times New Roman" w:hAnsi="Times New Roman" w:eastAsia="仿宋"/>
                  <w:b/>
                  <w:bCs/>
                  <w:color w:val="auto"/>
                  <w:sz w:val="36"/>
                  <w:szCs w:val="36"/>
                  <w:highlight w:val="none"/>
                </w:rPr>
                <w:t xml:space="preserve">  合同文本</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_Toc20527 \h </w:instrText>
              </w:r>
              <w:r>
                <w:rPr>
                  <w:rFonts w:ascii="Times New Roman" w:hAnsi="Times New Roman" w:eastAsia="仿宋"/>
                  <w:b/>
                  <w:bCs/>
                  <w:color w:val="auto"/>
                  <w:sz w:val="36"/>
                  <w:szCs w:val="36"/>
                  <w:highlight w:val="none"/>
                </w:rPr>
                <w:fldChar w:fldCharType="separate"/>
              </w:r>
              <w:r>
                <w:rPr>
                  <w:rFonts w:ascii="Times New Roman" w:hAnsi="Times New Roman" w:eastAsia="仿宋"/>
                  <w:b/>
                  <w:bCs/>
                  <w:color w:val="auto"/>
                  <w:sz w:val="36"/>
                  <w:szCs w:val="36"/>
                  <w:highlight w:val="none"/>
                </w:rPr>
                <w:t xml:space="preserve">1</w:t>
              </w:r>
              <w:r>
                <w:rPr>
                  <w:rFonts w:hint="eastAsia" w:ascii="Times New Roman" w:hAnsi="Times New Roman" w:eastAsia="仿宋"/>
                  <w:b/>
                  <w:bCs/>
                  <w:color w:val="auto"/>
                  <w:sz w:val="36"/>
                  <w:szCs w:val="36"/>
                  <w:highlight w:val="none"/>
                </w:rPr>
                <w:t xml:space="preserve">6</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744"/>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"_Toc20693" </w:instrText>
              </w:r>
              <w:r>
                <w:rPr>
                  <w:color w:val="auto"/>
                  <w:highlight w:val="none"/>
                </w:rPr>
                <w:fldChar w:fldCharType="separate"/>
              </w:r>
              <w:r>
                <w:rPr>
                  <w:rFonts w:ascii="Times New Roman" w:hAnsi="Times New Roman" w:eastAsia="黑体"/>
                  <w:b/>
                  <w:bCs/>
                  <w:color w:val="auto"/>
                  <w:sz w:val="36"/>
                  <w:szCs w:val="36"/>
                  <w:highlight w:val="none"/>
                </w:rPr>
                <w:t xml:space="preserve">第四章</w:t>
              </w:r>
              <w:r>
                <w:rPr>
                  <w:rFonts w:ascii="Times New Roman" w:hAnsi="Times New Roman" w:eastAsia="仿宋"/>
                  <w:b/>
                  <w:bCs/>
                  <w:color w:val="auto"/>
                  <w:sz w:val="36"/>
                  <w:szCs w:val="36"/>
                  <w:highlight w:val="none"/>
                </w:rPr>
                <w:t xml:space="preserve"> </w:t>
              </w:r>
              <w:r>
                <w:rPr>
                  <w:rFonts w:hint="eastAsia" w:ascii="Times New Roman" w:hAnsi="Times New Roman" w:eastAsia="仿宋"/>
                  <w:b/>
                  <w:bCs/>
                  <w:color w:val="auto"/>
                  <w:sz w:val="36"/>
                  <w:szCs w:val="36"/>
                  <w:highlight w:val="none"/>
                </w:rPr>
                <w:t xml:space="preserve"> </w:t>
              </w:r>
              <w:r>
                <w:rPr>
                  <w:rFonts w:ascii="Times New Roman" w:hAnsi="Times New Roman" w:eastAsia="仿宋"/>
                  <w:b/>
                  <w:bCs/>
                  <w:color w:val="auto"/>
                  <w:sz w:val="36"/>
                  <w:szCs w:val="36"/>
                  <w:highlight w:val="none"/>
                </w:rPr>
                <w:t xml:space="preserve">采购需求</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_Toc20693 \h </w:instrText>
              </w:r>
              <w:r>
                <w:rPr>
                  <w:rFonts w:ascii="Times New Roman" w:hAnsi="Times New Roman" w:eastAsia="仿宋"/>
                  <w:b/>
                  <w:bCs/>
                  <w:color w:val="auto"/>
                  <w:sz w:val="36"/>
                  <w:szCs w:val="36"/>
                  <w:highlight w:val="none"/>
                </w:rPr>
                <w:fldChar w:fldCharType="separate"/>
              </w:r>
              <w:r>
                <w:rPr>
                  <w:rFonts w:ascii="Times New Roman" w:hAnsi="Times New Roman" w:eastAsia="仿宋"/>
                  <w:b/>
                  <w:bCs/>
                  <w:color w:val="auto"/>
                  <w:sz w:val="36"/>
                  <w:szCs w:val="36"/>
                  <w:highlight w:val="none"/>
                </w:rPr>
                <w:t xml:space="preserve">2</w:t>
              </w:r>
              <w:r>
                <w:rPr>
                  <w:rFonts w:hint="eastAsia" w:ascii="Times New Roman" w:hAnsi="Times New Roman" w:eastAsia="仿宋"/>
                  <w:b/>
                  <w:bCs/>
                  <w:color w:val="auto"/>
                  <w:sz w:val="36"/>
                  <w:szCs w:val="36"/>
                  <w:highlight w:val="none"/>
                </w:rPr>
                <w:t xml:space="preserve">0</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744"/>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"_Toc88" </w:instrText>
              </w:r>
              <w:r>
                <w:rPr>
                  <w:color w:val="auto"/>
                  <w:highlight w:val="none"/>
                </w:rPr>
                <w:fldChar w:fldCharType="separate"/>
              </w:r>
              <w:r>
                <w:rPr>
                  <w:rFonts w:ascii="Times New Roman" w:hAnsi="Times New Roman" w:eastAsia="黑体"/>
                  <w:b/>
                  <w:bCs/>
                  <w:color w:val="auto"/>
                  <w:sz w:val="36"/>
                  <w:szCs w:val="36"/>
                  <w:highlight w:val="none"/>
                </w:rPr>
                <w:t xml:space="preserve">第五章</w:t>
              </w:r>
              <w:r>
                <w:rPr>
                  <w:rFonts w:ascii="Times New Roman" w:hAnsi="Times New Roman" w:eastAsia="仿宋"/>
                  <w:b/>
                  <w:bCs/>
                  <w:color w:val="auto"/>
                  <w:sz w:val="36"/>
                  <w:szCs w:val="36"/>
                  <w:highlight w:val="none"/>
                </w:rPr>
                <w:t xml:space="preserve">  评审方法与评审标准</w:t>
              </w:r>
              <w:r>
                <w:rPr>
                  <w:rFonts w:ascii="Times New Roman" w:hAnsi="Times New Roman" w:eastAsia="仿宋"/>
                  <w:b/>
                  <w:bCs/>
                  <w:color w:val="auto"/>
                  <w:sz w:val="36"/>
                  <w:szCs w:val="36"/>
                  <w:highlight w:val="none"/>
                </w:rPr>
                <w:tab/>
              </w:r>
              <w:r>
                <w:rPr>
                  <w:rFonts w:hint="eastAsia" w:ascii="Times New Roman" w:hAnsi="Times New Roman" w:eastAsia="仿宋"/>
                  <w:b/>
                  <w:bCs/>
                  <w:color w:val="auto"/>
                  <w:sz w:val="36"/>
                  <w:szCs w:val="36"/>
                  <w:highlight w:val="none"/>
                </w:rPr>
                <w:t xml:space="preserve">3</w:t>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_Toc88 \h </w:instrText>
              </w:r>
              <w:r>
                <w:rPr>
                  <w:rFonts w:ascii="Times New Roman" w:hAnsi="Times New Roman" w:eastAsia="仿宋"/>
                  <w:b/>
                  <w:bCs/>
                  <w:color w:val="auto"/>
                  <w:sz w:val="36"/>
                  <w:szCs w:val="36"/>
                  <w:highlight w:val="none"/>
                </w:rPr>
                <w:fldChar w:fldCharType="separate"/>
              </w:r>
              <w:r>
                <w:rPr>
                  <w:rFonts w:ascii="Times New Roman" w:hAnsi="Times New Roman" w:eastAsia="仿宋"/>
                  <w:b/>
                  <w:bCs/>
                  <w:color w:val="auto"/>
                  <w:sz w:val="36"/>
                  <w:szCs w:val="36"/>
                  <w:highlight w:val="none"/>
                </w:rPr>
                <w:t xml:space="preserve">4</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744"/>
                <w:tabs>
                  <w:tab w:val="right" w:pos="8953" w:leader="dot"/>
                </w:tabs>
                <w:rPr>
                  <w:rFonts w:hint="eastAsia" w:ascii="仿宋" w:hAnsi="仿宋" w:eastAsia="仿宋" w:cs="仿宋"/>
                  <w:b/>
                  <w:bCs/>
                  <w:color w:val="auto"/>
                  <w:sz w:val="36"/>
                  <w:szCs w:val="36"/>
                  <w:highlight w:val="none"/>
                </w:rPr>
              </w:pPr>
              <w:r>
                <w:rPr>
                  <w:color w:val="auto"/>
                  <w:highlight w:val="none"/>
                </w:rPr>
                <w:fldChar w:fldCharType="begin"/>
              </w:r>
              <w:r>
                <w:rPr>
                  <w:color w:val="auto"/>
                  <w:highlight w:val="none"/>
                </w:rPr>
                <w:instrText xml:space="preserve"> HYPERLINK \l "_Toc806" </w:instrText>
              </w:r>
              <w:r>
                <w:rPr>
                  <w:color w:val="auto"/>
                  <w:highlight w:val="none"/>
                </w:rPr>
                <w:fldChar w:fldCharType="separate"/>
              </w:r>
              <w:r>
                <w:rPr>
                  <w:rFonts w:ascii="Times New Roman" w:hAnsi="Times New Roman" w:eastAsia="黑体"/>
                  <w:b/>
                  <w:bCs/>
                  <w:color w:val="auto"/>
                  <w:sz w:val="36"/>
                  <w:szCs w:val="36"/>
                  <w:highlight w:val="none"/>
                </w:rPr>
                <w:t xml:space="preserve">第六章</w:t>
              </w:r>
              <w:r>
                <w:rPr>
                  <w:rFonts w:ascii="Times New Roman" w:hAnsi="Times New Roman" w:eastAsia="仿宋"/>
                  <w:b/>
                  <w:bCs/>
                  <w:color w:val="auto"/>
                  <w:sz w:val="36"/>
                  <w:szCs w:val="36"/>
                  <w:highlight w:val="none"/>
                </w:rPr>
                <w:t xml:space="preserve">  响应文件格式</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_Toc806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38</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744"/>
                <w:tabs>
                  <w:tab w:val="right" w:pos="8953" w:leader="dot"/>
                </w:tabs>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44"/>
                <w:tabs>
                  <w:tab w:val="right" w:pos="8953" w:leader="dot"/>
                </w:tabs>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fldChar w:fldCharType="end"/>
              </w:r>
              <w:r/>
            </w:p>
          </w:sdtContent>
        </w:sdt>
        <w:p>
          <w:pPr>
            <w:pStyle w:val="744"/>
            <w:tabs>
              <w:tab w:val="right" w:pos="8953" w:leader="dot"/>
            </w:tabs>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rPr>
              <w:rFonts w:hint="eastAsia" w:ascii="仿宋" w:hAnsi="仿宋" w:eastAsia="仿宋" w:cs="仿宋"/>
              <w:color w:val="auto"/>
              <w:szCs w:val="21"/>
              <w:highlight w:val="none"/>
            </w:rPr>
          </w:pPr>
          <w:r>
            <w:rPr>
              <w:rFonts w:hint="eastAsia" w:ascii="仿宋" w:hAnsi="仿宋" w:eastAsia="仿宋" w:cs="仿宋"/>
              <w:b/>
              <w:bCs/>
              <w:color w:val="auto"/>
              <w:sz w:val="36"/>
              <w:szCs w:val="36"/>
              <w:highlight w:val="none"/>
            </w:rPr>
            <w:fldChar w:fldCharType="end"/>
          </w:r>
          <w:r/>
        </w:p>
      </w:sdtContent>
    </w:sdt>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keepNext/>
        <w:rPr>
          <w:rFonts w:hint="eastAsia" w:ascii="仿宋" w:hAnsi="仿宋" w:eastAsia="仿宋" w:cs="仿宋"/>
          <w:color w:val="auto"/>
          <w:sz w:val="44"/>
          <w:szCs w:val="44"/>
          <w:highlight w:val="none"/>
        </w:rPr>
        <w:outlineLvl w:val="0"/>
      </w:pPr>
      <w:r/>
      <w:bookmarkStart w:id="18" w:name="_Toc28664"/>
      <w:r/>
      <w:bookmarkStart w:id="19" w:name="_Toc31671"/>
      <w:r/>
      <w:bookmarkStart w:id="20" w:name="_Toc5588"/>
      <w:r/>
      <w:r/>
    </w:p>
    <w:p>
      <w:pP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clear="all"/>
      </w:r>
      <w:r/>
    </w:p>
    <w:p>
      <w:pPr>
        <w:jc w:val="center"/>
        <w:keepNext/>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t xml:space="preserve">第一章  </w:t>
      </w:r>
      <w:bookmarkEnd w:id="12"/>
      <w:r>
        <w:rPr>
          <w:rFonts w:hint="eastAsia" w:ascii="仿宋" w:hAnsi="仿宋" w:eastAsia="仿宋" w:cs="仿宋"/>
          <w:b/>
          <w:bCs/>
          <w:color w:val="auto"/>
          <w:sz w:val="44"/>
          <w:szCs w:val="44"/>
          <w:highlight w:val="none"/>
        </w:rPr>
        <w:t xml:space="preserve">磋商邀请</w:t>
      </w:r>
      <w:bookmarkEnd w:id="18"/>
      <w:r/>
      <w:bookmarkEnd w:id="19"/>
      <w:r/>
      <w:bookmarkEnd w:id="20"/>
      <w:r/>
      <w:r/>
    </w:p>
    <w:p>
      <w:pPr>
        <w:ind w:firstLine="480"/>
        <w:jc w:val="left"/>
        <w:spacing w:before="120"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受[如东县教育体育局]的委托，大洲设计咨询集团有限公司就[如东县教育体育局城域网网络安全提升工程采购项目](JSZC-320623-JSDZ-C2026-0053)进行竞争性磋商采购，欢迎符合条件的供应商参加磋商。</w:t>
      </w:r>
      <w:r/>
    </w:p>
    <w:p>
      <w:pPr>
        <w:ind w:firstLine="480"/>
        <w:spacing w:line="40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firstLine="480"/>
        <w:spacing w:line="40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u w:val="single"/>
        </w:rPr>
        <w:t xml:space="preserve"> (如东县教育体育局城域网网络安全提升工程采购项目)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“江苏政府采购网”自行免费下载</w:t>
      </w:r>
      <w:r>
        <w:rPr>
          <w:rFonts w:hint="eastAsia" w:ascii="仿宋" w:hAnsi="仿宋" w:eastAsia="仿宋" w:cs="仿宋"/>
          <w:color w:val="auto"/>
          <w:sz w:val="24"/>
          <w:szCs w:val="24"/>
          <w:highlight w:val="none"/>
        </w:rPr>
        <w:t xml:space="preserve">磋商文件，并于</w:t>
      </w:r>
      <w:r>
        <w:rPr>
          <w:rFonts w:hint="eastAsia" w:ascii="仿宋" w:hAnsi="仿宋" w:eastAsia="仿宋" w:cs="仿宋"/>
          <w:color w:val="auto"/>
          <w:sz w:val="24"/>
          <w:szCs w:val="24"/>
          <w:highlight w:val="none"/>
          <w:u w:val="single"/>
        </w:rPr>
        <w:t xml:space="preserve">2026年</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27</w:t>
      </w:r>
      <w:r>
        <w:rPr>
          <w:rFonts w:hint="eastAsia" w:ascii="仿宋" w:hAnsi="仿宋" w:eastAsia="仿宋" w:cs="仿宋"/>
          <w:color w:val="auto"/>
          <w:sz w:val="24"/>
          <w:szCs w:val="24"/>
          <w:highlight w:val="none"/>
          <w:u w:val="single"/>
        </w:rPr>
        <w:t xml:space="preserve">日9点00分</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spacing w:line="400" w:lineRule="exact"/>
        <w:rPr>
          <w:rFonts w:hint="eastAsia" w:ascii="仿宋" w:hAnsi="仿宋" w:eastAsia="仿宋" w:cs="仿宋"/>
          <w:b/>
          <w:bCs/>
          <w:color w:val="auto"/>
          <w:sz w:val="32"/>
          <w:szCs w:val="32"/>
          <w:highlight w:val="none"/>
        </w:rPr>
      </w:pPr>
      <w:r/>
      <w:bookmarkStart w:id="21" w:name="_Toc28359079"/>
      <w:r/>
      <w:bookmarkStart w:id="22" w:name="_Toc28359002"/>
      <w:r/>
      <w:bookmarkStart w:id="23" w:name="_Toc35393621"/>
      <w:r/>
      <w:bookmarkStart w:id="24" w:name="_Toc38985263"/>
      <w:r/>
      <w:bookmarkStart w:id="25" w:name="_Toc35393790"/>
      <w:r/>
      <w:bookmarkStart w:id="26" w:name="_Hlk24379207"/>
      <w:r>
        <w:rPr>
          <w:rFonts w:hint="eastAsia" w:ascii="仿宋" w:hAnsi="仿宋" w:eastAsia="仿宋" w:cs="仿宋"/>
          <w:b/>
          <w:bCs/>
          <w:color w:val="auto"/>
          <w:sz w:val="32"/>
          <w:szCs w:val="32"/>
          <w:highlight w:val="none"/>
        </w:rPr>
        <w:t xml:space="preserve">一、项目基本情况</w:t>
      </w:r>
      <w:bookmarkEnd w:id="21"/>
      <w:r/>
      <w:bookmarkEnd w:id="22"/>
      <w:r/>
      <w:bookmarkEnd w:id="23"/>
      <w:r/>
      <w:bookmarkEnd w:id="24"/>
      <w:r/>
      <w:bookmarkEnd w:id="25"/>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1.项目编号：JSZC-320623-JSDZ-C2026-0053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2.项目名称：如东县教育体育局城域网网络安全提升工程采购项目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3.采购方式：竞争性磋商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4.项目类型：货物类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5.所属行业：</w:t>
      </w:r>
      <w:bookmarkEnd w:id="26"/>
      <w:r>
        <w:rPr>
          <w:rFonts w:hint="eastAsia" w:ascii="仿宋" w:hAnsi="仿宋" w:eastAsia="仿宋" w:cs="仿宋"/>
          <w:color w:val="auto"/>
          <w:sz w:val="24"/>
          <w:szCs w:val="24"/>
          <w:highlight w:val="none"/>
        </w:rPr>
        <w:t xml:space="preserve">信息传输业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6.预算金额：160</w:t>
      </w:r>
      <w:r>
        <w:rPr>
          <w:rFonts w:hint="eastAsia" w:ascii="仿宋" w:hAnsi="仿宋" w:eastAsia="仿宋" w:cs="仿宋"/>
          <w:color w:val="auto"/>
          <w:sz w:val="24"/>
          <w:szCs w:val="24"/>
          <w:highlight w:val="none"/>
          <w:lang w:val="zh-CN"/>
        </w:rPr>
        <w:t xml:space="preserve">万元（其中预算金额</w:t>
      </w:r>
      <w:r>
        <w:rPr>
          <w:rFonts w:hint="eastAsia" w:ascii="仿宋" w:hAnsi="仿宋" w:eastAsia="仿宋" w:cs="仿宋"/>
          <w:color w:val="auto"/>
          <w:sz w:val="24"/>
          <w:szCs w:val="24"/>
          <w:highlight w:val="none"/>
        </w:rPr>
        <w:t xml:space="preserve">采购包1</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63</w:t>
      </w:r>
      <w:r>
        <w:rPr>
          <w:rFonts w:hint="eastAsia" w:ascii="仿宋" w:hAnsi="仿宋" w:eastAsia="仿宋" w:cs="仿宋"/>
          <w:color w:val="auto"/>
          <w:sz w:val="24"/>
          <w:szCs w:val="24"/>
          <w:highlight w:val="none"/>
          <w:lang w:val="zh-CN"/>
        </w:rPr>
        <w:t xml:space="preserve">万元；</w:t>
      </w:r>
      <w:r>
        <w:rPr>
          <w:rFonts w:hint="eastAsia" w:ascii="仿宋" w:hAnsi="仿宋" w:eastAsia="仿宋" w:cs="仿宋"/>
          <w:color w:val="auto"/>
          <w:sz w:val="24"/>
          <w:szCs w:val="24"/>
          <w:highlight w:val="none"/>
        </w:rPr>
        <w:t xml:space="preserve">采购包2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60</w:t>
      </w:r>
      <w:r>
        <w:rPr>
          <w:rFonts w:hint="eastAsia" w:ascii="仿宋" w:hAnsi="仿宋" w:eastAsia="仿宋" w:cs="仿宋"/>
          <w:color w:val="auto"/>
          <w:sz w:val="24"/>
          <w:szCs w:val="24"/>
          <w:highlight w:val="none"/>
          <w:lang w:val="zh-CN"/>
        </w:rPr>
        <w:t xml:space="preserve">万元；</w:t>
      </w:r>
      <w:r>
        <w:rPr>
          <w:rFonts w:hint="eastAsia" w:ascii="仿宋" w:hAnsi="仿宋" w:eastAsia="仿宋" w:cs="仿宋"/>
          <w:color w:val="auto"/>
          <w:sz w:val="24"/>
          <w:szCs w:val="24"/>
          <w:highlight w:val="none"/>
        </w:rPr>
        <w:t xml:space="preserve">采购包3</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37</w:t>
      </w:r>
      <w:r>
        <w:rPr>
          <w:rFonts w:hint="eastAsia" w:ascii="仿宋" w:hAnsi="仿宋" w:eastAsia="仿宋" w:cs="仿宋"/>
          <w:color w:val="auto"/>
          <w:sz w:val="24"/>
          <w:szCs w:val="24"/>
          <w:highlight w:val="none"/>
          <w:lang w:val="zh-CN"/>
        </w:rPr>
        <w:t xml:space="preserve">万元）</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最高限价（如有）：160</w:t>
      </w:r>
      <w:r>
        <w:rPr>
          <w:rFonts w:hint="eastAsia" w:ascii="仿宋" w:hAnsi="仿宋" w:eastAsia="仿宋" w:cs="仿宋"/>
          <w:color w:val="auto"/>
          <w:sz w:val="24"/>
          <w:szCs w:val="24"/>
          <w:highlight w:val="none"/>
          <w:lang w:val="zh-CN"/>
        </w:rPr>
        <w:t xml:space="preserve">万元（其</w:t>
      </w:r>
      <w:r>
        <w:rPr>
          <w:rFonts w:hint="eastAsia" w:ascii="仿宋" w:hAnsi="仿宋" w:eastAsia="仿宋" w:cs="仿宋"/>
          <w:color w:val="auto"/>
          <w:sz w:val="24"/>
          <w:szCs w:val="24"/>
          <w:highlight w:val="none"/>
        </w:rPr>
        <w:t xml:space="preserve">中最高限价采购包1</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63</w:t>
      </w:r>
      <w:r>
        <w:rPr>
          <w:rFonts w:hint="eastAsia" w:ascii="仿宋" w:hAnsi="仿宋" w:eastAsia="仿宋" w:cs="仿宋"/>
          <w:color w:val="auto"/>
          <w:sz w:val="24"/>
          <w:szCs w:val="24"/>
          <w:highlight w:val="none"/>
          <w:lang w:val="zh-CN"/>
        </w:rPr>
        <w:t xml:space="preserve">万元；</w:t>
      </w:r>
      <w:r>
        <w:rPr>
          <w:rFonts w:hint="eastAsia" w:ascii="仿宋" w:hAnsi="仿宋" w:eastAsia="仿宋" w:cs="仿宋"/>
          <w:color w:val="auto"/>
          <w:sz w:val="24"/>
          <w:szCs w:val="24"/>
          <w:highlight w:val="none"/>
        </w:rPr>
        <w:t xml:space="preserve">采购包2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60</w:t>
      </w:r>
      <w:r>
        <w:rPr>
          <w:rFonts w:hint="eastAsia" w:ascii="仿宋" w:hAnsi="仿宋" w:eastAsia="仿宋" w:cs="仿宋"/>
          <w:color w:val="auto"/>
          <w:sz w:val="24"/>
          <w:szCs w:val="24"/>
          <w:highlight w:val="none"/>
          <w:lang w:val="zh-CN"/>
        </w:rPr>
        <w:t xml:space="preserve">万元；</w:t>
      </w:r>
      <w:r>
        <w:rPr>
          <w:rFonts w:hint="eastAsia" w:ascii="仿宋" w:hAnsi="仿宋" w:eastAsia="仿宋" w:cs="仿宋"/>
          <w:color w:val="auto"/>
          <w:sz w:val="24"/>
          <w:szCs w:val="24"/>
          <w:highlight w:val="none"/>
        </w:rPr>
        <w:t xml:space="preserve">采购包3</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37</w:t>
      </w:r>
      <w:r>
        <w:rPr>
          <w:rFonts w:hint="eastAsia" w:ascii="仿宋" w:hAnsi="仿宋" w:eastAsia="仿宋" w:cs="仿宋"/>
          <w:color w:val="auto"/>
          <w:sz w:val="24"/>
          <w:szCs w:val="24"/>
          <w:highlight w:val="none"/>
          <w:lang w:val="zh-CN"/>
        </w:rPr>
        <w:t xml:space="preserve">万元</w:t>
      </w:r>
      <w:r>
        <w:rPr>
          <w:rFonts w:hint="eastAsia" w:ascii="仿宋" w:hAnsi="仿宋" w:eastAsia="仿宋" w:cs="仿宋"/>
          <w:color w:val="auto"/>
          <w:sz w:val="24"/>
          <w:szCs w:val="24"/>
          <w:highlight w:val="none"/>
        </w:rPr>
        <w:t xml:space="preserve">），最终报价超过最高限价的为无效投标。</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7.采购需求（简介）：详细内容见本磋商文件第四章。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8.合同履行期限：详细内容见本磋商文件第四章。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 w:name="_Toc38985264"/>
      <w:r/>
      <w:bookmarkStart w:id="28" w:name="_Toc35393791"/>
      <w:r/>
      <w:bookmarkStart w:id="29" w:name="_Toc35393622"/>
      <w:r/>
      <w:bookmarkStart w:id="30" w:name="_Toc28359003"/>
      <w:r/>
      <w:bookmarkStart w:id="31" w:name="_Toc28359080"/>
      <w:r>
        <w:rPr>
          <w:rFonts w:hint="eastAsia" w:ascii="仿宋" w:hAnsi="仿宋" w:eastAsia="仿宋" w:cs="仿宋"/>
          <w:color w:val="auto"/>
          <w:sz w:val="24"/>
          <w:szCs w:val="24"/>
          <w:highlight w:val="none"/>
        </w:rPr>
        <w:t xml:space="preserve">本项目是否接受联合体投标：否。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10.本项目是否接受分包：否。</w:t>
      </w:r>
      <w:r/>
    </w:p>
    <w:p>
      <w:pP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二、申请人的资格要求</w:t>
      </w:r>
      <w:bookmarkEnd w:id="27"/>
      <w:r/>
      <w:bookmarkEnd w:id="28"/>
      <w:r/>
      <w:bookmarkEnd w:id="29"/>
      <w:r/>
      <w:bookmarkEnd w:id="30"/>
      <w:r/>
      <w:bookmarkEnd w:id="31"/>
      <w:r/>
      <w:r/>
    </w:p>
    <w:p>
      <w:pPr>
        <w:ind w:firstLine="480"/>
        <w:spacing w:line="400" w:lineRule="exact"/>
        <w:rPr>
          <w:rFonts w:hint="eastAsia" w:ascii="仿宋" w:hAnsi="仿宋" w:eastAsia="仿宋" w:cs="仿宋"/>
          <w:color w:val="auto"/>
          <w:sz w:val="24"/>
          <w:szCs w:val="24"/>
          <w:highlight w:val="none"/>
        </w:rPr>
      </w:pPr>
      <w:r/>
      <w:bookmarkStart w:id="32" w:name="_Toc28359081"/>
      <w:r/>
      <w:bookmarkStart w:id="33" w:name="_Toc35393623"/>
      <w:r/>
      <w:bookmarkStart w:id="34" w:name="_Toc38985265"/>
      <w:r/>
      <w:bookmarkStart w:id="35" w:name="_Toc35393792"/>
      <w:r/>
      <w:bookmarkStart w:id="36" w:name="_Toc28359004"/>
      <w:r>
        <w:rPr>
          <w:rFonts w:hint="eastAsia" w:ascii="仿宋" w:hAnsi="仿宋" w:eastAsia="仿宋" w:cs="仿宋"/>
          <w:color w:val="auto"/>
          <w:sz w:val="24"/>
          <w:szCs w:val="24"/>
          <w:highlight w:val="none"/>
        </w:rPr>
        <w:t xml:space="preserve">（一）通用资格要求</w:t>
      </w:r>
      <w:r/>
    </w:p>
    <w:p>
      <w:pPr>
        <w:ind w:firstLine="480"/>
        <w:spacing w:line="4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w:t>
      </w:r>
      <w:r>
        <w:rPr>
          <w:rFonts w:hint="eastAsia" w:ascii="仿宋" w:hAnsi="仿宋" w:eastAsia="仿宋" w:cs="仿宋"/>
          <w:b/>
          <w:bCs/>
          <w:color w:val="auto"/>
          <w:sz w:val="24"/>
          <w:szCs w:val="24"/>
          <w:highlight w:val="none"/>
        </w:rPr>
        <w:t xml:space="preserve">（按附件2格式进行声明，响应文件中无需提供其他证明材料）；</w:t>
      </w:r>
      <w:r/>
    </w:p>
    <w:p>
      <w:pPr>
        <w:ind w:firstLine="480"/>
        <w:spacing w:line="400" w:lineRule="exact"/>
        <w:rPr>
          <w:rFonts w:hint="eastAsia" w:ascii="仿宋" w:hAnsi="仿宋" w:eastAsia="仿宋" w:cs="仿宋"/>
          <w:b/>
          <w:bCs/>
          <w:color w:val="auto"/>
          <w:sz w:val="36"/>
          <w:szCs w:val="36"/>
          <w:highlight w:val="none"/>
        </w:rPr>
      </w:pPr>
      <w:r>
        <w:rPr>
          <w:rFonts w:hint="eastAsia" w:ascii="仿宋" w:hAnsi="仿宋" w:eastAsia="仿宋" w:cs="仿宋"/>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color w:val="auto"/>
          <w:sz w:val="24"/>
          <w:szCs w:val="24"/>
          <w:highlight w:val="none"/>
        </w:rPr>
        <w:t xml:space="preserve">（响应文件中无需提供证明材料）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 ：无。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（二）本项目的特定资格要求：无。</w:t>
      </w:r>
      <w:r/>
    </w:p>
    <w:p>
      <w:pP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三、获取</w:t>
      </w:r>
      <w:bookmarkEnd w:id="32"/>
      <w:r/>
      <w:bookmarkEnd w:id="33"/>
      <w:r/>
      <w:bookmarkEnd w:id="34"/>
      <w:r/>
      <w:bookmarkEnd w:id="35"/>
      <w:r/>
      <w:bookmarkEnd w:id="36"/>
      <w:r>
        <w:rPr>
          <w:rFonts w:hint="eastAsia" w:ascii="仿宋" w:hAnsi="仿宋" w:eastAsia="仿宋" w:cs="仿宋"/>
          <w:b/>
          <w:bCs/>
          <w:color w:val="auto"/>
          <w:sz w:val="32"/>
          <w:szCs w:val="32"/>
          <w:highlight w:val="none"/>
        </w:rPr>
        <w:t xml:space="preserve">磋商文件</w:t>
      </w:r>
      <w:r/>
    </w:p>
    <w:p>
      <w:pPr>
        <w:ind w:firstLine="540"/>
        <w:spacing w:line="400" w:lineRule="exact"/>
        <w:rPr>
          <w:rFonts w:hint="eastAsia" w:ascii="仿宋" w:hAnsi="仿宋" w:eastAsia="仿宋" w:cs="仿宋"/>
          <w:color w:val="auto"/>
          <w:sz w:val="24"/>
          <w:szCs w:val="24"/>
          <w:highlight w:val="none"/>
        </w:rPr>
      </w:pPr>
      <w:r/>
      <w:bookmarkStart w:id="37" w:name="_Toc35393793"/>
      <w:r/>
      <w:bookmarkStart w:id="38" w:name="_Toc38985266"/>
      <w:r/>
      <w:bookmarkStart w:id="39" w:name="_Toc28359005"/>
      <w:r/>
      <w:bookmarkStart w:id="40" w:name="_Toc28359082"/>
      <w:r/>
      <w:bookmarkStart w:id="41" w:name="_Toc35393624"/>
      <w:r>
        <w:rPr>
          <w:rFonts w:hint="eastAsia" w:ascii="仿宋" w:hAnsi="仿宋" w:eastAsia="仿宋" w:cs="仿宋"/>
          <w:color w:val="auto"/>
          <w:sz w:val="24"/>
          <w:szCs w:val="24"/>
          <w:highlight w:val="none"/>
        </w:rPr>
        <w:t xml:space="preserve">1.时间：自本公告发布之日起5个工作日。</w:t>
      </w:r>
      <w:r/>
    </w:p>
    <w:p>
      <w:pPr>
        <w:ind w:firstLine="5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2.地点：“江苏政府采购网”</w:t>
      </w:r>
      <w:r/>
    </w:p>
    <w:p>
      <w:pPr>
        <w:ind w:firstLine="5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3.方式：凡有意参与投标的供应商须登录江苏政府采购网首页点击“苏采云”→通过CA锁进行响应确认，并自行在磋商文件有效获取期内及时下载获取。</w:t>
      </w:r>
      <w:r/>
    </w:p>
    <w:p>
      <w:pPr>
        <w:ind w:firstLine="5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4.售价：免费</w:t>
      </w:r>
      <w:r/>
    </w:p>
    <w:p>
      <w:pP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w:t>
      </w:r>
      <w:bookmarkEnd w:id="37"/>
      <w:r/>
      <w:bookmarkEnd w:id="38"/>
      <w:r/>
      <w:bookmarkEnd w:id="39"/>
      <w:r/>
      <w:bookmarkEnd w:id="40"/>
      <w:r/>
      <w:bookmarkEnd w:id="41"/>
      <w:r>
        <w:rPr>
          <w:rFonts w:hint="eastAsia" w:ascii="仿宋" w:hAnsi="仿宋" w:eastAsia="仿宋" w:cs="仿宋"/>
          <w:b/>
          <w:bCs/>
          <w:color w:val="auto"/>
          <w:sz w:val="32"/>
          <w:szCs w:val="32"/>
          <w:highlight w:val="none"/>
        </w:rPr>
        <w:t xml:space="preserve">响应文件提交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1.截止时间：2026年</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eastAsia="zh-CN"/>
        </w:rPr>
        <w:t xml:space="preserve">27</w:t>
      </w:r>
      <w:r>
        <w:rPr>
          <w:rFonts w:hint="eastAsia" w:ascii="仿宋" w:hAnsi="仿宋" w:eastAsia="仿宋" w:cs="仿宋"/>
          <w:bCs/>
          <w:color w:val="auto"/>
          <w:sz w:val="24"/>
          <w:szCs w:val="24"/>
          <w:highlight w:val="none"/>
        </w:rPr>
        <w:t xml:space="preserve">日</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点</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rPr>
        <w:t xml:space="preserve">分（北京时间）。逾时，系统将拒绝接受上传响应文件电子文档。</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2.地点：“苏采云”政府采购一体化平台。</w:t>
      </w:r>
      <w:r/>
    </w:p>
    <w:p>
      <w:pPr>
        <w:spacing w:line="400" w:lineRule="exact"/>
        <w:rPr>
          <w:rFonts w:hint="eastAsia" w:ascii="仿宋" w:hAnsi="仿宋" w:eastAsia="仿宋" w:cs="仿宋"/>
          <w:b/>
          <w:bCs/>
          <w:color w:val="auto"/>
          <w:sz w:val="32"/>
          <w:szCs w:val="32"/>
          <w:highlight w:val="none"/>
        </w:rPr>
      </w:pPr>
      <w:r/>
      <w:bookmarkStart w:id="42" w:name="_Toc28359007"/>
      <w:r/>
      <w:bookmarkStart w:id="43" w:name="_Toc35393794"/>
      <w:r/>
      <w:bookmarkStart w:id="44" w:name="_Toc35393625"/>
      <w:r/>
      <w:bookmarkStart w:id="45" w:name="_Toc28359084"/>
      <w:r/>
      <w:bookmarkStart w:id="46" w:name="_Toc38985267"/>
      <w:r>
        <w:rPr>
          <w:rFonts w:hint="eastAsia" w:ascii="仿宋" w:hAnsi="仿宋" w:eastAsia="仿宋" w:cs="仿宋"/>
          <w:b/>
          <w:bCs/>
          <w:color w:val="auto"/>
          <w:sz w:val="32"/>
          <w:szCs w:val="32"/>
          <w:highlight w:val="none"/>
        </w:rPr>
        <w:t xml:space="preserve">五、公告期限</w:t>
      </w:r>
      <w:bookmarkEnd w:id="42"/>
      <w:r/>
      <w:bookmarkEnd w:id="43"/>
      <w:r/>
      <w:bookmarkEnd w:id="44"/>
      <w:r/>
      <w:bookmarkEnd w:id="45"/>
      <w:r/>
      <w:bookmarkEnd w:id="46"/>
      <w:r/>
      <w:r/>
    </w:p>
    <w:p>
      <w:pPr>
        <w:ind w:firstLine="480"/>
        <w:spacing w:line="400" w:lineRule="exact"/>
        <w:rPr>
          <w:rFonts w:hint="eastAsia" w:ascii="仿宋" w:hAnsi="仿宋" w:eastAsia="仿宋" w:cs="仿宋"/>
          <w:color w:val="auto"/>
          <w:sz w:val="24"/>
          <w:szCs w:val="24"/>
          <w:highlight w:val="none"/>
        </w:rPr>
      </w:pPr>
      <w:r/>
      <w:bookmarkStart w:id="47" w:name="_Toc35393795"/>
      <w:r/>
      <w:bookmarkStart w:id="48" w:name="_Toc35393626"/>
      <w:r/>
      <w:bookmarkStart w:id="49" w:name="_Toc38985268"/>
      <w:r>
        <w:rPr>
          <w:rFonts w:hint="eastAsia" w:ascii="仿宋" w:hAnsi="仿宋" w:eastAsia="仿宋" w:cs="仿宋"/>
          <w:color w:val="auto"/>
          <w:sz w:val="24"/>
          <w:szCs w:val="24"/>
          <w:highlight w:val="none"/>
        </w:rPr>
        <w:t xml:space="preserve">自本公告发布之日起3个工作日。</w:t>
      </w:r>
      <w:r/>
    </w:p>
    <w:p>
      <w:pP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六、其他补充事宜</w:t>
      </w:r>
      <w:bookmarkEnd w:id="47"/>
      <w:r/>
      <w:bookmarkEnd w:id="48"/>
      <w:r/>
      <w:bookmarkEnd w:id="49"/>
      <w:r/>
      <w:r/>
    </w:p>
    <w:p>
      <w:pPr>
        <w:ind w:firstLine="540"/>
        <w:spacing w:line="400" w:lineRule="exact"/>
        <w:rPr>
          <w:rFonts w:hint="eastAsia" w:ascii="仿宋" w:hAnsi="仿宋" w:eastAsia="仿宋" w:cs="仿宋"/>
          <w:color w:val="auto"/>
          <w:sz w:val="24"/>
          <w:szCs w:val="24"/>
          <w:highlight w:val="none"/>
        </w:rPr>
      </w:pPr>
      <w:r/>
      <w:bookmarkStart w:id="50" w:name="_Toc28359008"/>
      <w:r/>
      <w:bookmarkStart w:id="51" w:name="_Toc35393796"/>
      <w:r/>
      <w:bookmarkStart w:id="52" w:name="_Toc28359085"/>
      <w:r/>
      <w:bookmarkStart w:id="53" w:name="_Toc38985269"/>
      <w:r/>
      <w:bookmarkStart w:id="54" w:name="_Toc35393627"/>
      <w:r>
        <w:rPr>
          <w:rFonts w:hint="eastAsia" w:ascii="仿宋" w:hAnsi="仿宋" w:eastAsia="仿宋" w:cs="仿宋"/>
          <w:color w:val="auto"/>
          <w:sz w:val="24"/>
          <w:szCs w:val="24"/>
          <w:highlight w:val="none"/>
        </w:rPr>
        <w:t xml:space="preserve">1.项目磋商活动模式：不见面远程磋商模式。</w:t>
      </w:r>
      <w:r/>
    </w:p>
    <w:p>
      <w:pPr>
        <w:ind w:firstLine="5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对在“苏采云”系统操作阶段的询问请向交易系统软件维护人员提出。</w:t>
      </w:r>
      <w:r/>
    </w:p>
    <w:p>
      <w:pPr>
        <w:ind w:firstLine="5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4.开标当天响应供应商应及时登录“苏采云”政府采</w:t>
      </w:r>
      <w:r>
        <w:rPr>
          <w:rFonts w:hint="eastAsia" w:ascii="仿宋" w:hAnsi="仿宋" w:eastAsia="仿宋" w:cs="仿宋"/>
          <w:color w:val="auto"/>
          <w:sz w:val="24"/>
          <w:szCs w:val="24"/>
          <w:highlight w:val="none"/>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0"/>
      <w:r/>
      <w:bookmarkEnd w:id="51"/>
      <w:r/>
      <w:bookmarkEnd w:id="52"/>
      <w:r/>
      <w:bookmarkEnd w:id="53"/>
      <w:r/>
      <w:bookmarkEnd w:id="54"/>
      <w:r/>
      <w:r/>
    </w:p>
    <w:p>
      <w:pPr>
        <w:spacing w:line="400" w:lineRule="exact"/>
        <w:rPr>
          <w:rFonts w:hint="eastAsia" w:ascii="仿宋" w:hAnsi="仿宋" w:eastAsia="仿宋" w:cs="仿宋"/>
          <w:b/>
          <w:bCs/>
          <w:color w:val="auto"/>
          <w:sz w:val="32"/>
          <w:szCs w:val="32"/>
          <w:highlight w:val="none"/>
        </w:rPr>
      </w:pPr>
      <w:r/>
      <w:bookmarkStart w:id="55" w:name="_Toc28359010"/>
      <w:r/>
      <w:bookmarkStart w:id="56" w:name="_Toc28359087"/>
      <w:r>
        <w:rPr>
          <w:rFonts w:hint="eastAsia" w:ascii="仿宋" w:hAnsi="仿宋" w:eastAsia="仿宋" w:cs="仿宋"/>
          <w:b/>
          <w:bCs/>
          <w:color w:val="auto"/>
          <w:sz w:val="32"/>
          <w:szCs w:val="32"/>
          <w:highlight w:val="none"/>
        </w:rPr>
        <w:t xml:space="preserve">七、凡对本次采购提出询问，请按以下方式联系</w:t>
      </w:r>
      <w:r/>
    </w:p>
    <w:p>
      <w:pPr>
        <w:ind w:firstLine="547"/>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547"/>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称：如东县教育体育局</w:t>
      </w:r>
      <w:r/>
    </w:p>
    <w:p>
      <w:pPr>
        <w:ind w:firstLine="547"/>
        <w:jc w:val="left"/>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地址：如东县掘港镇黄海西路88号</w:t>
      </w:r>
      <w:r/>
    </w:p>
    <w:p>
      <w:pPr>
        <w:ind w:firstLine="547"/>
        <w:jc w:val="left"/>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联系人：樊旭峰</w:t>
      </w:r>
      <w:r/>
    </w:p>
    <w:p>
      <w:pPr>
        <w:ind w:firstLine="547"/>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联系方式：13861932886</w:t>
      </w:r>
      <w:r/>
    </w:p>
    <w:p>
      <w:pPr>
        <w:ind w:firstLine="547"/>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ind w:firstLine="547"/>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称：大洲设计咨询集团有限公司</w:t>
      </w:r>
      <w:r/>
    </w:p>
    <w:p>
      <w:pPr>
        <w:ind w:firstLine="547"/>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地址：如东县掘港镇长江路399号</w:t>
      </w:r>
      <w:r/>
    </w:p>
    <w:p>
      <w:pPr>
        <w:ind w:firstLine="547"/>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联系方式：18806270807</w:t>
      </w:r>
      <w:r/>
    </w:p>
    <w:p>
      <w:pPr>
        <w:ind w:firstLine="54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547"/>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项目联系人：樊旭峰  </w:t>
      </w:r>
      <w:r/>
    </w:p>
    <w:p>
      <w:pPr>
        <w:ind w:firstLine="547"/>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电话：13861932886      </w:t>
      </w:r>
      <w:r/>
    </w:p>
    <w:p>
      <w:pPr>
        <w:ind w:firstLine="54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4.软件维护人员</w:t>
      </w:r>
      <w:r/>
    </w:p>
    <w:p>
      <w:pPr>
        <w:ind w:firstLine="547"/>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联系方式：0519-86722801、0519-86722806  </w:t>
      </w:r>
      <w:bookmarkEnd w:id="55"/>
      <w:r/>
      <w:bookmarkEnd w:id="56"/>
      <w:r/>
      <w:r/>
    </w:p>
    <w:p>
      <w:pP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八、其他</w:t>
      </w:r>
      <w:r/>
    </w:p>
    <w:p>
      <w:pPr>
        <w:ind w:firstLine="480"/>
        <w:jc w:val="left"/>
        <w:spacing w:line="400" w:lineRule="exact"/>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bCs/>
          <w:color w:val="auto"/>
          <w:sz w:val="24"/>
          <w:szCs w:val="24"/>
          <w:highlight w:val="none"/>
        </w:rPr>
        <w:t xml:space="preserve">根据省财政厅《关于更换全省政府采购交易系统C A数字证书和电子签章的通知》（苏财购〔2023〕101号），</w:t>
      </w:r>
      <w:r>
        <w:rPr>
          <w:rFonts w:hint="eastAsia" w:ascii="仿宋" w:hAnsi="仿宋" w:eastAsia="仿宋" w:cs="仿宋"/>
          <w:color w:val="auto"/>
          <w:sz w:val="24"/>
          <w:szCs w:val="24"/>
          <w:highlight w:val="none"/>
        </w:rPr>
        <w:t xml:space="preserve">“苏采云”政府采购交易系统（以下简称苏采云系统）</w:t>
      </w:r>
      <w:r>
        <w:rPr>
          <w:rFonts w:hint="eastAsia" w:ascii="仿宋" w:hAnsi="仿宋" w:eastAsia="仿宋" w:cs="仿宋"/>
          <w:bCs/>
          <w:color w:val="auto"/>
          <w:sz w:val="24"/>
          <w:szCs w:val="24"/>
          <w:highlight w:val="none"/>
        </w:rPr>
        <w:t xml:space="preserve">的CA数字证书、电子签章已更换为江苏省电子政务证书认证中心C A和方正国际软件（北京）有限公司电子签章。 如果供应商通过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400" w:lineRule="exact"/>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400" w:lineRule="exact"/>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2.有关本次磋商的事项若存在变动或修改，敬请及时关注在“江苏政府采购网”发布的更正公告。</w:t>
      </w:r>
      <w:r/>
    </w:p>
    <w:p>
      <w:pPr>
        <w:ind w:firstLine="480"/>
        <w:spacing w:line="400" w:lineRule="exact"/>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3.本次磋商不收取磋商保证金。</w:t>
      </w:r>
      <w:r/>
    </w:p>
    <w:p>
      <w:pPr>
        <w:ind w:firstLine="480"/>
        <w:spacing w:line="400" w:lineRule="exact"/>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4.供应商可自行选择其中任意一个或多个包响应，但按采购包开评标顺序（包1→包2→包3）确定成交人，供应商只能限成交一个采购包。如已成交包1的成交人参与包2的评标如仍为第一成交候选人，则包2成交人由第二成交候选人替补，以此类推。</w:t>
      </w:r>
      <w:r/>
    </w:p>
    <w:p>
      <w:pPr>
        <w:spacing w:before="120" w:after="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44"/>
          <w:szCs w:val="44"/>
          <w:highlight w:val="none"/>
        </w:rPr>
      </w:pPr>
      <w:r/>
      <w:bookmarkStart w:id="57" w:name="_Toc120614211"/>
      <w:r/>
      <w:bookmarkStart w:id="58" w:name="_Toc5468"/>
      <w:r/>
      <w:bookmarkStart w:id="59" w:name="_Toc5341"/>
      <w:r/>
      <w:bookmarkStart w:id="60" w:name="_Toc16207"/>
      <w:r>
        <w:rPr>
          <w:rFonts w:hint="eastAsia" w:ascii="仿宋" w:hAnsi="仿宋" w:eastAsia="仿宋" w:cs="仿宋"/>
          <w:b/>
          <w:bCs/>
          <w:color w:val="auto"/>
          <w:sz w:val="44"/>
          <w:szCs w:val="44"/>
          <w:highlight w:val="none"/>
        </w:rPr>
        <w:br w:type="page" w:clear="all"/>
      </w:r>
      <w:bookmarkEnd w:id="13"/>
      <w:r/>
      <w:bookmarkEnd w:id="14"/>
      <w:r/>
      <w:bookmarkEnd w:id="15"/>
      <w:r/>
      <w:bookmarkEnd w:id="16"/>
      <w:r/>
      <w:bookmarkEnd w:id="17"/>
      <w:r/>
      <w:bookmarkEnd w:id="57"/>
      <w:r/>
      <w:bookmarkEnd w:id="58"/>
      <w:r/>
      <w:bookmarkEnd w:id="59"/>
      <w:r/>
      <w:bookmarkEnd w:id="60"/>
      <w:r/>
      <w:r/>
    </w:p>
    <w:p>
      <w:pPr>
        <w:jc w:val="center"/>
        <w:keepNext/>
        <w:rPr>
          <w:rFonts w:hint="eastAsia" w:ascii="仿宋" w:hAnsi="仿宋" w:eastAsia="仿宋" w:cs="仿宋"/>
          <w:b/>
          <w:bCs/>
          <w:color w:val="auto"/>
          <w:sz w:val="44"/>
          <w:szCs w:val="44"/>
          <w:highlight w:val="none"/>
        </w:rPr>
        <w:outlineLvl w:val="0"/>
      </w:pPr>
      <w:r/>
      <w:bookmarkStart w:id="61" w:name="_Toc513029242"/>
      <w:r/>
      <w:bookmarkStart w:id="62" w:name="_Toc20823314"/>
      <w:r/>
      <w:bookmarkStart w:id="63" w:name="_Toc479757207"/>
      <w:r/>
      <w:bookmarkStart w:id="64" w:name="_Toc16938558"/>
      <w:r/>
      <w:bookmarkStart w:id="65" w:name="_Toc120614221"/>
      <w:r>
        <w:rPr>
          <w:rFonts w:hint="eastAsia" w:ascii="仿宋" w:hAnsi="仿宋" w:eastAsia="仿宋" w:cs="仿宋"/>
          <w:b/>
          <w:bCs/>
          <w:color w:val="auto"/>
          <w:sz w:val="44"/>
          <w:szCs w:val="44"/>
          <w:highlight w:val="none"/>
        </w:rPr>
        <w:t xml:space="preserve">第二章  供应商须知</w:t>
      </w:r>
      <w:r/>
    </w:p>
    <w:p>
      <w:pPr>
        <w:spacing w:line="400" w:lineRule="exact"/>
        <w:rPr>
          <w:rFonts w:hint="eastAsia" w:ascii="仿宋" w:hAnsi="仿宋" w:eastAsia="仿宋" w:cs="仿宋"/>
          <w:b/>
          <w:bCs/>
          <w:color w:val="auto"/>
          <w:sz w:val="32"/>
          <w:szCs w:val="32"/>
          <w:highlight w:val="none"/>
        </w:rPr>
      </w:pPr>
      <w:r/>
      <w:bookmarkStart w:id="66" w:name="_Toc20823275"/>
      <w:r/>
      <w:bookmarkStart w:id="67" w:name="_Toc513029203"/>
      <w:r/>
      <w:bookmarkStart w:id="68" w:name="_Toc16938519"/>
      <w:r/>
      <w:bookmarkStart w:id="69" w:name="_Toc120614214"/>
      <w:r>
        <w:rPr>
          <w:rFonts w:hint="eastAsia" w:ascii="仿宋" w:hAnsi="仿宋" w:eastAsia="仿宋" w:cs="仿宋"/>
          <w:b/>
          <w:bCs/>
          <w:color w:val="auto"/>
          <w:sz w:val="32"/>
          <w:szCs w:val="32"/>
          <w:highlight w:val="none"/>
        </w:rPr>
        <w:t xml:space="preserve">一、总则</w:t>
      </w:r>
      <w:bookmarkEnd w:id="66"/>
      <w:r/>
      <w:bookmarkEnd w:id="67"/>
      <w:r/>
      <w:bookmarkEnd w:id="68"/>
      <w:r/>
      <w:bookmarkEnd w:id="69"/>
      <w:r/>
      <w:r/>
    </w:p>
    <w:p>
      <w:pPr>
        <w:ind w:firstLine="368"/>
        <w:spacing w:line="400" w:lineRule="exact"/>
        <w:rPr>
          <w:rFonts w:hint="eastAsia" w:ascii="仿宋" w:hAnsi="仿宋" w:eastAsia="仿宋" w:cs="仿宋"/>
          <w:b/>
          <w:bCs/>
          <w:color w:val="auto"/>
          <w:sz w:val="28"/>
          <w:szCs w:val="28"/>
          <w:highlight w:val="none"/>
        </w:rPr>
      </w:pPr>
      <w:r/>
      <w:bookmarkStart w:id="70" w:name="_Hlt16619475"/>
      <w:r/>
      <w:bookmarkEnd w:id="70"/>
      <w:r/>
      <w:bookmarkStart w:id="71" w:name="_Toc458694821"/>
      <w:r/>
      <w:bookmarkStart w:id="72" w:name="_Toc16938520"/>
      <w:r/>
      <w:bookmarkStart w:id="73" w:name="_Toc513029204"/>
      <w:r/>
      <w:bookmarkStart w:id="74" w:name="_Toc20823276"/>
      <w:r>
        <w:rPr>
          <w:rFonts w:hint="eastAsia" w:ascii="仿宋" w:hAnsi="仿宋" w:eastAsia="仿宋" w:cs="仿宋"/>
          <w:b/>
          <w:bCs/>
          <w:color w:val="auto"/>
          <w:sz w:val="28"/>
          <w:szCs w:val="28"/>
          <w:highlight w:val="none"/>
        </w:rPr>
        <w:t xml:space="preserve">1</w:t>
      </w:r>
      <w:bookmarkEnd w:id="71"/>
      <w:r>
        <w:rPr>
          <w:rFonts w:hint="eastAsia" w:ascii="仿宋" w:hAnsi="仿宋" w:eastAsia="仿宋" w:cs="仿宋"/>
          <w:b/>
          <w:bCs/>
          <w:color w:val="auto"/>
          <w:sz w:val="28"/>
          <w:szCs w:val="28"/>
          <w:highlight w:val="none"/>
        </w:rPr>
        <w:t xml:space="preserve">、采购方式</w:t>
      </w:r>
      <w:bookmarkEnd w:id="72"/>
      <w:r/>
      <w:bookmarkEnd w:id="73"/>
      <w:r/>
      <w:bookmarkEnd w:id="74"/>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1.1本次政府采购活动采取竞争性磋商(以下简称磋商)方式，本磋商文件仅适用于磋商公告中所述项目。</w:t>
      </w:r>
      <w:r/>
    </w:p>
    <w:p>
      <w:pPr>
        <w:ind w:firstLine="368"/>
        <w:spacing w:line="400" w:lineRule="exact"/>
        <w:rPr>
          <w:rFonts w:hint="eastAsia" w:ascii="仿宋" w:hAnsi="仿宋" w:eastAsia="仿宋" w:cs="仿宋"/>
          <w:b/>
          <w:bCs/>
          <w:color w:val="auto"/>
          <w:sz w:val="28"/>
          <w:szCs w:val="28"/>
          <w:highlight w:val="none"/>
        </w:rPr>
      </w:pPr>
      <w:r/>
      <w:bookmarkStart w:id="75" w:name="_Toc513029205"/>
      <w:r/>
      <w:bookmarkStart w:id="76" w:name="_Toc20823277"/>
      <w:r/>
      <w:bookmarkStart w:id="77" w:name="_Toc16938521"/>
      <w:r>
        <w:rPr>
          <w:rFonts w:hint="eastAsia" w:ascii="仿宋" w:hAnsi="仿宋" w:eastAsia="仿宋" w:cs="仿宋"/>
          <w:b/>
          <w:bCs/>
          <w:color w:val="auto"/>
          <w:sz w:val="28"/>
          <w:szCs w:val="28"/>
          <w:highlight w:val="none"/>
        </w:rPr>
        <w:t xml:space="preserve">2、合格的</w:t>
      </w:r>
      <w:bookmarkEnd w:id="75"/>
      <w:r/>
      <w:bookmarkEnd w:id="76"/>
      <w:r/>
      <w:bookmarkEnd w:id="77"/>
      <w:r>
        <w:rPr>
          <w:rFonts w:hint="eastAsia" w:ascii="仿宋" w:hAnsi="仿宋" w:eastAsia="仿宋" w:cs="仿宋"/>
          <w:b/>
          <w:bCs/>
          <w:color w:val="auto"/>
          <w:sz w:val="28"/>
          <w:szCs w:val="28"/>
          <w:highlight w:val="none"/>
        </w:rPr>
        <w:t xml:space="preserve">供应商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2.1满足磋商公告中供应商资格要求的规定。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2.2满足本磋商文件实质性要求的规定。</w:t>
      </w:r>
      <w:r/>
    </w:p>
    <w:p>
      <w:pPr>
        <w:ind w:firstLine="368"/>
        <w:spacing w:line="400" w:lineRule="exact"/>
        <w:rPr>
          <w:rFonts w:hint="eastAsia" w:ascii="仿宋" w:hAnsi="仿宋" w:eastAsia="仿宋" w:cs="仿宋"/>
          <w:b/>
          <w:bCs/>
          <w:color w:val="auto"/>
          <w:sz w:val="28"/>
          <w:szCs w:val="28"/>
          <w:highlight w:val="none"/>
        </w:rPr>
      </w:pPr>
      <w:r/>
      <w:bookmarkStart w:id="78" w:name="_Toc20823278"/>
      <w:r/>
      <w:bookmarkStart w:id="79" w:name="_Toc513029206"/>
      <w:r/>
      <w:bookmarkStart w:id="80" w:name="_Toc16938522"/>
      <w:r>
        <w:rPr>
          <w:rFonts w:hint="eastAsia" w:ascii="仿宋" w:hAnsi="仿宋" w:eastAsia="仿宋" w:cs="仿宋"/>
          <w:b/>
          <w:bCs/>
          <w:color w:val="auto"/>
          <w:sz w:val="28"/>
          <w:szCs w:val="28"/>
          <w:highlight w:val="none"/>
        </w:rPr>
        <w:t xml:space="preserve">3、适用法律</w:t>
      </w:r>
      <w:bookmarkEnd w:id="78"/>
      <w:r/>
      <w:bookmarkEnd w:id="79"/>
      <w:r/>
      <w:bookmarkEnd w:id="80"/>
      <w:r>
        <w:rPr>
          <w:rFonts w:hint="eastAsia" w:ascii="仿宋" w:hAnsi="仿宋" w:eastAsia="仿宋" w:cs="仿宋"/>
          <w:b/>
          <w:bCs/>
          <w:color w:val="auto"/>
          <w:sz w:val="28"/>
          <w:szCs w:val="28"/>
          <w:highlight w:val="none"/>
        </w:rPr>
        <w:t xml:space="preserve">和标准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3.1本次磋商及由此产生的合同受中华人民共和国有关的法律法规制约和保护。</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3.2在本项目政府采购活动过程中，如果所执行的标准有更新的，按照最新标准执行。</w:t>
      </w:r>
      <w:r/>
    </w:p>
    <w:p>
      <w:pPr>
        <w:ind w:firstLine="368"/>
        <w:spacing w:line="400" w:lineRule="exact"/>
        <w:rPr>
          <w:rFonts w:hint="eastAsia" w:ascii="仿宋" w:hAnsi="仿宋" w:eastAsia="仿宋" w:cs="仿宋"/>
          <w:b/>
          <w:bCs/>
          <w:color w:val="auto"/>
          <w:sz w:val="28"/>
          <w:szCs w:val="28"/>
          <w:highlight w:val="none"/>
        </w:rPr>
      </w:pPr>
      <w:r/>
      <w:bookmarkStart w:id="81" w:name="_Toc513029207"/>
      <w:r/>
      <w:bookmarkStart w:id="82" w:name="_Toc20823279"/>
      <w:r/>
      <w:bookmarkStart w:id="83" w:name="_Toc462564067"/>
      <w:r/>
      <w:bookmarkStart w:id="84" w:name="_Toc16938523"/>
      <w:r>
        <w:rPr>
          <w:rFonts w:hint="eastAsia" w:ascii="仿宋" w:hAnsi="仿宋" w:eastAsia="仿宋" w:cs="仿宋"/>
          <w:b/>
          <w:bCs/>
          <w:color w:val="auto"/>
          <w:sz w:val="28"/>
          <w:szCs w:val="28"/>
          <w:highlight w:val="none"/>
        </w:rPr>
        <w:t xml:space="preserve">4、磋商费用</w:t>
      </w:r>
      <w:bookmarkEnd w:id="81"/>
      <w:r/>
      <w:bookmarkEnd w:id="82"/>
      <w:r/>
      <w:bookmarkEnd w:id="83"/>
      <w:r/>
      <w:bookmarkEnd w:id="84"/>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4.1供应商应自行承担所有与参加本次磋商有关的费用，无论磋商过程中的做法和结果如何，代理机构在任何情况下均无义务和责任承担这些费用。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4.2本次磋商代理机构和采购人不收取标书工本费。</w:t>
      </w:r>
      <w:r/>
    </w:p>
    <w:p>
      <w:pPr>
        <w:ind w:firstLine="48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4.3根据财政部关于《政府采购代理机构管理暂行办法》的通知精神，本项目招标代理费由中标人支付，按照【江苏省《招标代理服务收费管理暂行办法》】收费标准×60%收取，请各投标人将此费用一并计入投标报价中。</w:t>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5、磋商文件的约束力</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5.1供应商一旦参加本项目采购活动，即被认为接受了本磋商文件的规定和约束。</w:t>
      </w:r>
      <w:r/>
    </w:p>
    <w:p>
      <w:pPr>
        <w:spacing w:line="400" w:lineRule="exact"/>
        <w:rPr>
          <w:rFonts w:hint="eastAsia" w:ascii="仿宋" w:hAnsi="仿宋" w:eastAsia="仿宋" w:cs="仿宋"/>
          <w:b/>
          <w:bCs/>
          <w:color w:val="auto"/>
          <w:sz w:val="32"/>
          <w:szCs w:val="32"/>
          <w:highlight w:val="none"/>
        </w:rPr>
      </w:pPr>
      <w:r/>
      <w:bookmarkStart w:id="85" w:name="_Toc120614215"/>
      <w:r/>
      <w:bookmarkStart w:id="86" w:name="_Toc20823281"/>
      <w:r/>
      <w:bookmarkStart w:id="87" w:name="_Toc16938525"/>
      <w:r/>
      <w:bookmarkStart w:id="88" w:name="_Toc513029209"/>
      <w:r>
        <w:rPr>
          <w:rFonts w:hint="eastAsia" w:ascii="仿宋" w:hAnsi="仿宋" w:eastAsia="仿宋" w:cs="仿宋"/>
          <w:b/>
          <w:bCs/>
          <w:color w:val="auto"/>
          <w:sz w:val="32"/>
          <w:szCs w:val="32"/>
          <w:highlight w:val="none"/>
        </w:rPr>
        <w:t xml:space="preserve">二、</w:t>
      </w:r>
      <w:bookmarkEnd w:id="85"/>
      <w:r/>
      <w:bookmarkEnd w:id="86"/>
      <w:r/>
      <w:bookmarkEnd w:id="87"/>
      <w:r/>
      <w:bookmarkEnd w:id="88"/>
      <w:r>
        <w:rPr>
          <w:rFonts w:hint="eastAsia" w:ascii="仿宋" w:hAnsi="仿宋" w:eastAsia="仿宋" w:cs="仿宋"/>
          <w:b/>
          <w:bCs/>
          <w:color w:val="auto"/>
          <w:sz w:val="32"/>
          <w:szCs w:val="32"/>
          <w:highlight w:val="none"/>
        </w:rPr>
        <w:t xml:space="preserve">磋商文件</w:t>
      </w:r>
      <w:r/>
    </w:p>
    <w:p>
      <w:pPr>
        <w:ind w:firstLine="368"/>
        <w:spacing w:line="400" w:lineRule="exact"/>
        <w:rPr>
          <w:rFonts w:hint="eastAsia" w:ascii="仿宋" w:hAnsi="仿宋" w:eastAsia="仿宋" w:cs="仿宋"/>
          <w:b/>
          <w:bCs/>
          <w:color w:val="auto"/>
          <w:sz w:val="28"/>
          <w:szCs w:val="28"/>
          <w:highlight w:val="none"/>
        </w:rPr>
      </w:pPr>
      <w:r/>
      <w:bookmarkStart w:id="89" w:name="_Toc513029210"/>
      <w:r/>
      <w:bookmarkStart w:id="90" w:name="_Toc16938526"/>
      <w:r/>
      <w:bookmarkStart w:id="91" w:name="_Toc20823282"/>
      <w:r>
        <w:rPr>
          <w:rFonts w:hint="eastAsia" w:ascii="仿宋" w:hAnsi="仿宋" w:eastAsia="仿宋" w:cs="仿宋"/>
          <w:b/>
          <w:bCs/>
          <w:color w:val="auto"/>
          <w:sz w:val="28"/>
          <w:szCs w:val="28"/>
          <w:highlight w:val="none"/>
        </w:rPr>
        <w:t xml:space="preserve">6、磋商文件构成</w:t>
      </w:r>
      <w:bookmarkEnd w:id="89"/>
      <w:r/>
      <w:bookmarkEnd w:id="90"/>
      <w:r/>
      <w:bookmarkEnd w:id="91"/>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6.1磋商文件由以下部分组成：</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（1）磋商邀请</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（2）供应商须知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（5）评审方法与评审标准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（6）响应文件格式</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请仔细检查磋商文件是否齐全，如有缺漏请立即与代理机构联系解决。</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68"/>
        <w:spacing w:line="400" w:lineRule="exact"/>
        <w:rPr>
          <w:rFonts w:hint="eastAsia" w:ascii="仿宋" w:hAnsi="仿宋" w:eastAsia="仿宋" w:cs="仿宋"/>
          <w:b/>
          <w:bCs/>
          <w:color w:val="auto"/>
          <w:sz w:val="28"/>
          <w:szCs w:val="28"/>
          <w:highlight w:val="none"/>
        </w:rPr>
      </w:pPr>
      <w:r/>
      <w:bookmarkStart w:id="92" w:name="_Toc513029211"/>
      <w:r/>
      <w:bookmarkStart w:id="93" w:name="_Toc16938527"/>
      <w:r/>
      <w:bookmarkStart w:id="94" w:name="_Toc20823283"/>
      <w:r/>
      <w:bookmarkStart w:id="95" w:name="_Toc462564070"/>
      <w:r>
        <w:rPr>
          <w:rFonts w:hint="eastAsia" w:ascii="仿宋" w:hAnsi="仿宋" w:eastAsia="仿宋" w:cs="仿宋"/>
          <w:b/>
          <w:bCs/>
          <w:color w:val="auto"/>
          <w:sz w:val="28"/>
          <w:szCs w:val="28"/>
          <w:highlight w:val="none"/>
        </w:rPr>
        <w:t xml:space="preserve">7、磋商文件的澄清</w:t>
      </w:r>
      <w:bookmarkEnd w:id="92"/>
      <w:r/>
      <w:bookmarkEnd w:id="93"/>
      <w:r/>
      <w:bookmarkEnd w:id="94"/>
      <w:r/>
      <w:bookmarkEnd w:id="95"/>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7.1 任何要求对磋商文件进行澄清的供应商，应在磋商截止期5日前按磋商公告中的通讯地址，以书面形式通知采购人。采购人有权对发出的磋商文件进行必要的澄清或修改。</w:t>
      </w:r>
      <w:r/>
    </w:p>
    <w:p>
      <w:pPr>
        <w:ind w:firstLine="368"/>
        <w:spacing w:line="400" w:lineRule="exact"/>
        <w:rPr>
          <w:rFonts w:hint="eastAsia" w:ascii="仿宋" w:hAnsi="仿宋" w:eastAsia="仿宋" w:cs="仿宋"/>
          <w:b/>
          <w:bCs/>
          <w:color w:val="auto"/>
          <w:sz w:val="28"/>
          <w:szCs w:val="28"/>
          <w:highlight w:val="none"/>
        </w:rPr>
      </w:pPr>
      <w:r/>
      <w:bookmarkStart w:id="96" w:name="_Toc20823284"/>
      <w:r/>
      <w:bookmarkStart w:id="97" w:name="_Toc16938528"/>
      <w:r/>
      <w:bookmarkStart w:id="98" w:name="_Toc462564071"/>
      <w:r/>
      <w:bookmarkStart w:id="99" w:name="_Toc513029212"/>
      <w:r>
        <w:rPr>
          <w:rFonts w:hint="eastAsia" w:ascii="仿宋" w:hAnsi="仿宋" w:eastAsia="仿宋" w:cs="仿宋"/>
          <w:b/>
          <w:bCs/>
          <w:color w:val="auto"/>
          <w:sz w:val="28"/>
          <w:szCs w:val="28"/>
          <w:highlight w:val="none"/>
        </w:rPr>
        <w:t xml:space="preserve">8、磋商文件的澄清和修改</w:t>
      </w:r>
      <w:bookmarkEnd w:id="96"/>
      <w:r/>
      <w:bookmarkEnd w:id="97"/>
      <w:r/>
      <w:bookmarkEnd w:id="98"/>
      <w:r/>
      <w:bookmarkEnd w:id="99"/>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上以发布书面更正公告形式通知所有获取磋商文件的供应商, 更正公告内容将作为磋商文件的组成部分，并对供应商具有约束力。不足5日的，采购人将顺延提交首次响应文件截止时间。</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8.2采购人可以视采购项目的具体情况，组织供应商进行现场考察或召开磋商前答疑会，但不单独或分别组织只有一个供应商参加的现场考察和答疑会。</w:t>
      </w:r>
      <w:r/>
    </w:p>
    <w:p>
      <w:pPr>
        <w:spacing w:line="400" w:lineRule="exact"/>
        <w:rPr>
          <w:rFonts w:hint="eastAsia" w:ascii="仿宋" w:hAnsi="仿宋" w:eastAsia="仿宋" w:cs="仿宋"/>
          <w:b/>
          <w:bCs/>
          <w:color w:val="auto"/>
          <w:sz w:val="32"/>
          <w:szCs w:val="32"/>
          <w:highlight w:val="none"/>
        </w:rPr>
      </w:pPr>
      <w:r/>
      <w:bookmarkStart w:id="100" w:name="_Toc513029213"/>
      <w:r/>
      <w:bookmarkStart w:id="101" w:name="_Toc16938529"/>
      <w:r/>
      <w:bookmarkStart w:id="102" w:name="_Toc120614216"/>
      <w:r/>
      <w:bookmarkStart w:id="103" w:name="_Toc462564072"/>
      <w:r/>
      <w:bookmarkStart w:id="104" w:name="_Toc20823285"/>
      <w:r>
        <w:rPr>
          <w:rFonts w:hint="eastAsia" w:ascii="仿宋" w:hAnsi="仿宋" w:eastAsia="仿宋" w:cs="仿宋"/>
          <w:b/>
          <w:bCs/>
          <w:color w:val="auto"/>
          <w:sz w:val="32"/>
          <w:szCs w:val="32"/>
          <w:highlight w:val="none"/>
        </w:rPr>
        <w:t xml:space="preserve">三、响应文件的编制</w:t>
      </w:r>
      <w:bookmarkEnd w:id="100"/>
      <w:r/>
      <w:bookmarkEnd w:id="101"/>
      <w:r/>
      <w:bookmarkEnd w:id="102"/>
      <w:r/>
      <w:bookmarkEnd w:id="103"/>
      <w:r/>
      <w:bookmarkEnd w:id="104"/>
      <w:r/>
      <w:r/>
    </w:p>
    <w:p>
      <w:pPr>
        <w:ind w:firstLine="368"/>
        <w:spacing w:line="400" w:lineRule="exact"/>
        <w:rPr>
          <w:rFonts w:hint="eastAsia" w:ascii="仿宋" w:hAnsi="仿宋" w:eastAsia="仿宋" w:cs="仿宋"/>
          <w:b/>
          <w:bCs/>
          <w:color w:val="auto"/>
          <w:sz w:val="28"/>
          <w:szCs w:val="28"/>
          <w:highlight w:val="none"/>
        </w:rPr>
      </w:pPr>
      <w:r/>
      <w:bookmarkStart w:id="105" w:name="_Toc20823286"/>
      <w:r/>
      <w:bookmarkStart w:id="106" w:name="_Toc16938530"/>
      <w:r/>
      <w:bookmarkStart w:id="107" w:name="_Toc513029214"/>
      <w:r/>
      <w:bookmarkStart w:id="108" w:name="_Toc462564073"/>
      <w:r>
        <w:rPr>
          <w:rFonts w:hint="eastAsia" w:ascii="仿宋" w:hAnsi="仿宋" w:eastAsia="仿宋" w:cs="仿宋"/>
          <w:b/>
          <w:bCs/>
          <w:color w:val="auto"/>
          <w:sz w:val="28"/>
          <w:szCs w:val="28"/>
          <w:highlight w:val="none"/>
        </w:rPr>
        <w:t xml:space="preserve">9、响应文件的语言及度量衡单位</w:t>
      </w:r>
      <w:bookmarkEnd w:id="105"/>
      <w:r/>
      <w:bookmarkEnd w:id="106"/>
      <w:r/>
      <w:bookmarkEnd w:id="107"/>
      <w:r/>
      <w:bookmarkEnd w:id="108"/>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9.1供应商提交的响应文件以及供应商与代理机构及采购人就有关磋商的所有来往通知、函件和文件均应使用</w:t>
      </w:r>
      <w:r>
        <w:rPr>
          <w:rFonts w:hint="eastAsia" w:ascii="仿宋" w:hAnsi="仿宋" w:eastAsia="仿宋" w:cs="仿宋"/>
          <w:b/>
          <w:bCs/>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 除技术性能另有规定外，响应文件所使用的度量衡单位，均须采用国家法定计量单位。</w:t>
      </w:r>
      <w:r/>
    </w:p>
    <w:p>
      <w:pPr>
        <w:ind w:firstLine="368"/>
        <w:spacing w:line="400" w:lineRule="exact"/>
        <w:rPr>
          <w:rFonts w:hint="eastAsia" w:ascii="仿宋" w:hAnsi="仿宋" w:eastAsia="仿宋" w:cs="仿宋"/>
          <w:b/>
          <w:bCs/>
          <w:color w:val="auto"/>
          <w:sz w:val="28"/>
          <w:szCs w:val="28"/>
          <w:highlight w:val="none"/>
        </w:rPr>
      </w:pPr>
      <w:r/>
      <w:bookmarkStart w:id="109" w:name="_Toc20823287"/>
      <w:r/>
      <w:bookmarkStart w:id="110" w:name="_Toc16938531"/>
      <w:r/>
      <w:bookmarkStart w:id="111" w:name="_Toc462564074"/>
      <w:r/>
      <w:bookmarkStart w:id="112" w:name="_Toc513029215"/>
      <w:r>
        <w:rPr>
          <w:rFonts w:hint="eastAsia" w:ascii="仿宋" w:hAnsi="仿宋" w:eastAsia="仿宋" w:cs="仿宋"/>
          <w:b/>
          <w:bCs/>
          <w:color w:val="auto"/>
          <w:sz w:val="28"/>
          <w:szCs w:val="28"/>
          <w:highlight w:val="none"/>
        </w:rPr>
        <w:t xml:space="preserve">10、响应文件构成</w:t>
      </w:r>
      <w:bookmarkEnd w:id="109"/>
      <w:r/>
      <w:bookmarkEnd w:id="110"/>
      <w:r/>
      <w:bookmarkEnd w:id="111"/>
      <w:r/>
      <w:bookmarkEnd w:id="112"/>
      <w:r/>
      <w:r/>
    </w:p>
    <w:p>
      <w:pPr>
        <w:pStyle w:val="734"/>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w:t>
      </w:r>
      <w:r>
        <w:rPr>
          <w:rFonts w:hint="eastAsia" w:ascii="仿宋" w:hAnsi="仿宋" w:eastAsia="仿宋" w:cs="仿宋"/>
          <w:bCs/>
          <w:color w:val="auto"/>
          <w:sz w:val="24"/>
          <w:szCs w:val="21"/>
          <w:highlight w:val="none"/>
        </w:rPr>
        <w:t xml:space="preserve">供应商编写的响应文件应包括资格证明文件、实质性要求响应及偏离表、分项报价表、技术要</w:t>
      </w:r>
      <w:r>
        <w:rPr>
          <w:rFonts w:hint="eastAsia" w:ascii="仿宋" w:hAnsi="仿宋" w:eastAsia="仿宋" w:cs="仿宋"/>
          <w:color w:val="auto"/>
          <w:sz w:val="24"/>
          <w:szCs w:val="21"/>
          <w:highlight w:val="none"/>
        </w:rPr>
        <w:t xml:space="preserve">求响应及偏离表、商务要求响应及偏离表、其他证明文件、磋商响应函等部分。供应商按“第六章  响应文件格式”要求编写响应文件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如标书制作工具中格式和内容与“江苏政府采购网”发布的磋商文件不一致，请以“江苏政府采购网”发布的磋商文件为准。</w:t>
      </w:r>
      <w:r/>
    </w:p>
    <w:p>
      <w:pPr>
        <w:ind w:firstLine="368"/>
        <w:spacing w:line="400" w:lineRule="exact"/>
        <w:rPr>
          <w:rFonts w:hint="eastAsia" w:ascii="仿宋" w:hAnsi="仿宋" w:eastAsia="仿宋" w:cs="仿宋"/>
          <w:b/>
          <w:bCs/>
          <w:color w:val="auto"/>
          <w:sz w:val="28"/>
          <w:szCs w:val="28"/>
          <w:highlight w:val="none"/>
        </w:rPr>
      </w:pPr>
      <w:r/>
      <w:bookmarkStart w:id="113" w:name="_Hlt26670360"/>
      <w:r/>
      <w:bookmarkEnd w:id="113"/>
      <w:r/>
      <w:bookmarkStart w:id="114" w:name="_Hlt26954838"/>
      <w:r/>
      <w:bookmarkEnd w:id="114"/>
      <w:r/>
      <w:bookmarkStart w:id="115" w:name="_Hlt26668975"/>
      <w:r/>
      <w:bookmarkEnd w:id="115"/>
      <w:r/>
      <w:bookmarkStart w:id="116" w:name="_Toc14577354"/>
      <w:r/>
      <w:bookmarkStart w:id="117" w:name="_Toc513029216"/>
      <w:r/>
      <w:bookmarkStart w:id="118" w:name="_Toc513029219"/>
      <w:r/>
      <w:bookmarkStart w:id="119" w:name="_Toc14577357"/>
      <w:r/>
      <w:bookmarkStart w:id="120" w:name="_Toc49090509"/>
      <w:r/>
      <w:bookmarkStart w:id="121" w:name="_Toc49090507"/>
      <w:r/>
      <w:bookmarkStart w:id="122" w:name="_Toc49090508"/>
      <w:r/>
      <w:bookmarkStart w:id="123" w:name="_Toc14577355"/>
      <w:r>
        <w:rPr>
          <w:rFonts w:hint="eastAsia" w:ascii="仿宋" w:hAnsi="仿宋" w:eastAsia="仿宋" w:cs="仿宋"/>
          <w:b/>
          <w:bCs/>
          <w:color w:val="auto"/>
          <w:sz w:val="28"/>
          <w:szCs w:val="28"/>
          <w:highlight w:val="none"/>
        </w:rPr>
        <w:t xml:space="preserve">11、证明磋商响应标的符合磋商文件规定的文件</w:t>
      </w:r>
      <w:bookmarkEnd w:id="116"/>
      <w:r/>
      <w:bookmarkEnd w:id="117"/>
      <w:r/>
      <w:bookmarkEnd w:id="118"/>
      <w:r/>
      <w:bookmarkEnd w:id="119"/>
      <w:r/>
      <w:bookmarkEnd w:id="120"/>
      <w:r/>
      <w:bookmarkEnd w:id="121"/>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11.1供应商应按照磋商文件要求提交证明文件，证明其及磋商响应标的符合磋商文件规定。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11.2磋商文件对证明文件无明确形式要求的，证明文件可以以文字资料、图纸和数据等形式提交。</w:t>
      </w:r>
      <w:bookmarkEnd w:id="122"/>
      <w:r/>
      <w:bookmarkEnd w:id="123"/>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12、分项报价表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12.1供应商应按照磋商文件规定格式填报分项报价表。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12.2磋商货币。响应文件中的单价和总价无特殊规定的采用人民币报价，以元为单位标注。磋商文件中另有规定的按规定执行。</w:t>
      </w:r>
      <w:r/>
    </w:p>
    <w:p>
      <w:pPr>
        <w:ind w:firstLine="368"/>
        <w:spacing w:line="400" w:lineRule="exact"/>
        <w:rPr>
          <w:rFonts w:hint="eastAsia" w:ascii="仿宋" w:hAnsi="仿宋" w:eastAsia="仿宋" w:cs="仿宋"/>
          <w:b/>
          <w:bCs/>
          <w:color w:val="auto"/>
          <w:sz w:val="28"/>
          <w:szCs w:val="28"/>
          <w:highlight w:val="none"/>
        </w:rPr>
      </w:pPr>
      <w:r/>
      <w:bookmarkStart w:id="124" w:name="_Hlt26954846"/>
      <w:r/>
      <w:bookmarkEnd w:id="124"/>
      <w:r/>
      <w:bookmarkStart w:id="125" w:name="_Hlt26954731"/>
      <w:r/>
      <w:bookmarkEnd w:id="125"/>
      <w:r/>
      <w:bookmarkStart w:id="126" w:name="_Hlt26670486"/>
      <w:r/>
      <w:bookmarkEnd w:id="126"/>
      <w:r/>
      <w:bookmarkStart w:id="127" w:name="_Hlt26954848"/>
      <w:r/>
      <w:bookmarkEnd w:id="127"/>
      <w:r/>
      <w:bookmarkStart w:id="128" w:name="_Hlt26670482"/>
      <w:r/>
      <w:bookmarkEnd w:id="128"/>
      <w:r>
        <w:rPr>
          <w:rFonts w:hint="eastAsia" w:ascii="仿宋" w:hAnsi="仿宋" w:eastAsia="仿宋" w:cs="仿宋"/>
          <w:b/>
          <w:bCs/>
          <w:color w:val="auto"/>
          <w:sz w:val="28"/>
          <w:szCs w:val="28"/>
          <w:highlight w:val="none"/>
        </w:rPr>
        <w:t xml:space="preserve">13、技术要求响应及偏离表、商务要求响应及偏离表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13.1</w:t>
      </w:r>
      <w:r>
        <w:rPr>
          <w:rFonts w:hint="eastAsia" w:ascii="仿宋" w:hAnsi="仿宋" w:eastAsia="仿宋" w:cs="仿宋"/>
          <w:color w:val="auto"/>
          <w:sz w:val="24"/>
          <w:szCs w:val="24"/>
          <w:highlight w:val="none"/>
        </w:rPr>
        <w:t xml:space="preserve">供应商须</w:t>
      </w:r>
      <w:r>
        <w:rPr>
          <w:rFonts w:hint="eastAsia" w:ascii="仿宋" w:hAnsi="仿宋" w:eastAsia="仿宋" w:cs="仿宋"/>
          <w:color w:val="auto"/>
          <w:sz w:val="24"/>
          <w:szCs w:val="24"/>
          <w:highlight w:val="none"/>
          <w:lang w:val="zh-CN"/>
        </w:rPr>
        <w:t xml:space="preserve">对磋商文件中的技术要求与商务要求作出响应，</w:t>
      </w:r>
      <w:r>
        <w:rPr>
          <w:rFonts w:hint="eastAsia" w:ascii="仿宋" w:hAnsi="仿宋" w:eastAsia="仿宋" w:cs="仿宋"/>
          <w:color w:val="auto"/>
          <w:sz w:val="24"/>
          <w:szCs w:val="24"/>
          <w:highlight w:val="none"/>
        </w:rPr>
        <w:t xml:space="preserve">如有偏离的，应逐条填列在偏离表中，并说明偏离情况。</w:t>
      </w:r>
      <w:r/>
    </w:p>
    <w:p>
      <w:pPr>
        <w:ind w:firstLine="480"/>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13.2供应商</w:t>
      </w:r>
      <w:r>
        <w:rPr>
          <w:rFonts w:hint="eastAsia" w:ascii="仿宋" w:hAnsi="仿宋" w:eastAsia="仿宋" w:cs="仿宋"/>
          <w:color w:val="auto"/>
          <w:sz w:val="24"/>
          <w:szCs w:val="24"/>
          <w:highlight w:val="none"/>
        </w:rPr>
        <w:t xml:space="preserve">须</w:t>
      </w:r>
      <w:r>
        <w:rPr>
          <w:rFonts w:hint="eastAsia" w:ascii="仿宋" w:hAnsi="仿宋" w:eastAsia="仿宋" w:cs="仿宋"/>
          <w:color w:val="auto"/>
          <w:sz w:val="24"/>
          <w:szCs w:val="24"/>
          <w:highlight w:val="none"/>
          <w:lang w:val="zh-CN"/>
        </w:rPr>
        <w:t xml:space="preserve">按照磋商文件要求，在响应文件中提供与技术要求和商务要求相关的证明材料。</w:t>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14、服务承诺、培训计划、人员安排及其他</w:t>
      </w:r>
      <w:r/>
    </w:p>
    <w:p>
      <w:pPr>
        <w:ind w:firstLine="480"/>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14.1供应商</w:t>
      </w:r>
      <w:r>
        <w:rPr>
          <w:rFonts w:hint="eastAsia" w:ascii="仿宋" w:hAnsi="仿宋" w:eastAsia="仿宋" w:cs="仿宋"/>
          <w:color w:val="auto"/>
          <w:sz w:val="24"/>
          <w:szCs w:val="24"/>
          <w:highlight w:val="none"/>
        </w:rPr>
        <w:t xml:space="preserve">须</w:t>
      </w:r>
      <w:r>
        <w:rPr>
          <w:rFonts w:hint="eastAsia" w:ascii="仿宋" w:hAnsi="仿宋" w:eastAsia="仿宋" w:cs="仿宋"/>
          <w:color w:val="auto"/>
          <w:sz w:val="24"/>
          <w:szCs w:val="24"/>
          <w:highlight w:val="none"/>
          <w:lang w:val="zh-CN"/>
        </w:rPr>
        <w:t xml:space="preserve">根据磋商文件要求提供有关售后服务的管理制度，售后服务机构的分布情况，售后服务人员的数量、素质、技术水平及售后服务的反应能力等。</w:t>
      </w:r>
      <w:r/>
    </w:p>
    <w:p>
      <w:pPr>
        <w:ind w:firstLine="480"/>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14.2供应商</w:t>
      </w:r>
      <w:r>
        <w:rPr>
          <w:rFonts w:hint="eastAsia" w:ascii="仿宋" w:hAnsi="仿宋" w:eastAsia="仿宋" w:cs="仿宋"/>
          <w:color w:val="auto"/>
          <w:sz w:val="24"/>
          <w:szCs w:val="24"/>
          <w:highlight w:val="none"/>
        </w:rPr>
        <w:t xml:space="preserve">须</w:t>
      </w:r>
      <w:r>
        <w:rPr>
          <w:rFonts w:hint="eastAsia" w:ascii="仿宋" w:hAnsi="仿宋" w:eastAsia="仿宋" w:cs="仿宋"/>
          <w:color w:val="auto"/>
          <w:sz w:val="24"/>
          <w:szCs w:val="24"/>
          <w:highlight w:val="none"/>
          <w:lang w:val="zh-CN"/>
        </w:rPr>
        <w:t xml:space="preserve">根据磋商文件要求提供培训计划。</w:t>
      </w:r>
      <w:r/>
    </w:p>
    <w:p>
      <w:pPr>
        <w:ind w:firstLine="480"/>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14.3供应商</w:t>
      </w:r>
      <w:r>
        <w:rPr>
          <w:rFonts w:hint="eastAsia" w:ascii="仿宋" w:hAnsi="仿宋" w:eastAsia="仿宋" w:cs="仿宋"/>
          <w:color w:val="auto"/>
          <w:sz w:val="24"/>
          <w:szCs w:val="24"/>
          <w:highlight w:val="none"/>
        </w:rPr>
        <w:t xml:space="preserve">须</w:t>
      </w:r>
      <w:r>
        <w:rPr>
          <w:rFonts w:hint="eastAsia" w:ascii="仿宋" w:hAnsi="仿宋" w:eastAsia="仿宋" w:cs="仿宋"/>
          <w:color w:val="auto"/>
          <w:sz w:val="24"/>
          <w:szCs w:val="24"/>
          <w:highlight w:val="none"/>
          <w:lang w:val="zh-CN"/>
        </w:rPr>
        <w:t xml:space="preserve">根据磋商文件要求提供磋商响应标的的主要组成部分、功能设计、实现思路及关键技术等。</w:t>
      </w:r>
      <w:r/>
    </w:p>
    <w:p>
      <w:pPr>
        <w:ind w:firstLine="368"/>
        <w:spacing w:line="400" w:lineRule="exact"/>
        <w:rPr>
          <w:rFonts w:hint="eastAsia" w:ascii="仿宋" w:hAnsi="仿宋" w:eastAsia="仿宋" w:cs="仿宋"/>
          <w:b/>
          <w:bCs/>
          <w:color w:val="auto"/>
          <w:sz w:val="28"/>
          <w:szCs w:val="28"/>
          <w:highlight w:val="none"/>
        </w:rPr>
      </w:pPr>
      <w:r/>
      <w:bookmarkStart w:id="129" w:name="_Toc14577359"/>
      <w:r/>
      <w:bookmarkStart w:id="130" w:name="_Toc49090510"/>
      <w:r>
        <w:rPr>
          <w:rFonts w:hint="eastAsia" w:ascii="仿宋" w:hAnsi="仿宋" w:eastAsia="仿宋" w:cs="仿宋"/>
          <w:b/>
          <w:bCs/>
          <w:color w:val="auto"/>
          <w:sz w:val="28"/>
          <w:szCs w:val="28"/>
          <w:highlight w:val="none"/>
        </w:rPr>
        <w:t xml:space="preserve">15、磋商响应函</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val="zh-CN"/>
        </w:rPr>
        <w:t xml:space="preserve">15.1供应商应按照磋商文件中提供的格式完整、正确填写磋商响应函。</w:t>
      </w:r>
      <w:bookmarkEnd w:id="129"/>
      <w:r/>
      <w:bookmarkEnd w:id="130"/>
      <w:r/>
      <w:r/>
    </w:p>
    <w:p>
      <w:pPr>
        <w:ind w:firstLine="368"/>
        <w:spacing w:line="400" w:lineRule="exact"/>
        <w:rPr>
          <w:rFonts w:hint="eastAsia" w:ascii="仿宋" w:hAnsi="仿宋" w:eastAsia="仿宋" w:cs="仿宋"/>
          <w:b/>
          <w:bCs/>
          <w:color w:val="auto"/>
          <w:sz w:val="28"/>
          <w:szCs w:val="28"/>
          <w:highlight w:val="none"/>
        </w:rPr>
      </w:pPr>
      <w:r/>
      <w:bookmarkStart w:id="131" w:name="_Toc14577360"/>
      <w:r/>
      <w:bookmarkStart w:id="132" w:name="_Toc49090511"/>
      <w:r>
        <w:rPr>
          <w:rFonts w:hint="eastAsia" w:ascii="仿宋" w:hAnsi="仿宋" w:eastAsia="仿宋" w:cs="仿宋"/>
          <w:b/>
          <w:bCs/>
          <w:color w:val="auto"/>
          <w:sz w:val="28"/>
          <w:szCs w:val="28"/>
          <w:highlight w:val="none"/>
        </w:rPr>
        <w:t xml:space="preserve">16、磋商有效期</w:t>
      </w:r>
      <w:bookmarkEnd w:id="131"/>
      <w:r/>
      <w:bookmarkEnd w:id="132"/>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16.1磋商有效期为采购人规定的提交响应文件截止之日后</w:t>
      </w:r>
      <w:r>
        <w:rPr>
          <w:rFonts w:hint="eastAsia" w:ascii="仿宋" w:hAnsi="仿宋" w:eastAsia="仿宋" w:cs="仿宋"/>
          <w:b/>
          <w:color w:val="auto"/>
          <w:sz w:val="24"/>
          <w:szCs w:val="21"/>
          <w:highlight w:val="none"/>
          <w:u w:val="single"/>
        </w:rPr>
        <w:t xml:space="preserve">六十（60）天</w:t>
      </w:r>
      <w:r>
        <w:rPr>
          <w:rFonts w:hint="eastAsia" w:ascii="仿宋" w:hAnsi="仿宋" w:eastAsia="仿宋" w:cs="仿宋"/>
          <w:bCs/>
          <w:color w:val="auto"/>
          <w:sz w:val="24"/>
          <w:szCs w:val="21"/>
          <w:highlight w:val="none"/>
        </w:rPr>
        <w:t xml:space="preserve">。磋商有效期比规定短的将被视为非实质性响应磋商文件而予以拒绝。</w:t>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17、磋商有效期的延长</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1"/>
          <w:highlight w:val="none"/>
        </w:rPr>
        <w:t xml:space="preserve">。</w:t>
      </w:r>
      <w:r/>
    </w:p>
    <w:p>
      <w:pPr>
        <w:spacing w:line="400" w:lineRule="exact"/>
        <w:rPr>
          <w:rFonts w:hint="eastAsia" w:ascii="仿宋" w:hAnsi="仿宋" w:eastAsia="仿宋" w:cs="仿宋"/>
          <w:b/>
          <w:bCs/>
          <w:color w:val="auto"/>
          <w:sz w:val="32"/>
          <w:szCs w:val="32"/>
          <w:highlight w:val="none"/>
        </w:rPr>
      </w:pPr>
      <w:r/>
      <w:bookmarkStart w:id="133" w:name="_Hlt26954852"/>
      <w:r/>
      <w:bookmarkEnd w:id="133"/>
      <w:r/>
      <w:bookmarkStart w:id="134" w:name="_Hlt26954739"/>
      <w:r/>
      <w:bookmarkEnd w:id="134"/>
      <w:r/>
      <w:bookmarkStart w:id="135" w:name="_Toc16938540"/>
      <w:r/>
      <w:bookmarkStart w:id="136" w:name="_Toc513029224"/>
      <w:r/>
      <w:bookmarkStart w:id="137" w:name="_Toc120614217"/>
      <w:r/>
      <w:bookmarkStart w:id="138" w:name="_Toc20823296"/>
      <w:r>
        <w:rPr>
          <w:rFonts w:hint="eastAsia" w:ascii="仿宋" w:hAnsi="仿宋" w:eastAsia="仿宋" w:cs="仿宋"/>
          <w:b/>
          <w:bCs/>
          <w:color w:val="auto"/>
          <w:sz w:val="32"/>
          <w:szCs w:val="32"/>
          <w:highlight w:val="none"/>
        </w:rPr>
        <w:t xml:space="preserve">四、响应文件的递交</w:t>
      </w:r>
      <w:bookmarkEnd w:id="135"/>
      <w:r/>
      <w:bookmarkEnd w:id="136"/>
      <w:r/>
      <w:bookmarkEnd w:id="137"/>
      <w:r/>
      <w:bookmarkEnd w:id="138"/>
      <w:r/>
      <w:r/>
    </w:p>
    <w:p>
      <w:pPr>
        <w:ind w:firstLine="368"/>
        <w:spacing w:line="400" w:lineRule="exact"/>
        <w:rPr>
          <w:rFonts w:hint="eastAsia" w:ascii="仿宋" w:hAnsi="仿宋" w:eastAsia="仿宋" w:cs="仿宋"/>
          <w:b/>
          <w:bCs/>
          <w:color w:val="auto"/>
          <w:sz w:val="28"/>
          <w:szCs w:val="28"/>
          <w:highlight w:val="none"/>
        </w:rPr>
      </w:pPr>
      <w:r/>
      <w:bookmarkStart w:id="139" w:name="_Toc513029225"/>
      <w:r/>
      <w:bookmarkStart w:id="140" w:name="_Toc16938541"/>
      <w:r/>
      <w:bookmarkStart w:id="141" w:name="_Toc462564084"/>
      <w:r/>
      <w:bookmarkStart w:id="142" w:name="_Toc20823297"/>
      <w:r>
        <w:rPr>
          <w:rFonts w:hint="eastAsia" w:ascii="仿宋" w:hAnsi="仿宋" w:eastAsia="仿宋" w:cs="仿宋"/>
          <w:b/>
          <w:bCs/>
          <w:color w:val="auto"/>
          <w:sz w:val="28"/>
          <w:szCs w:val="28"/>
          <w:highlight w:val="none"/>
        </w:rPr>
        <w:t xml:space="preserve">18、电子磋商</w:t>
      </w:r>
      <w:bookmarkEnd w:id="139"/>
      <w:r/>
      <w:bookmarkEnd w:id="140"/>
      <w:r/>
      <w:bookmarkEnd w:id="141"/>
      <w:r/>
      <w:bookmarkEnd w:id="142"/>
      <w:r>
        <w:rPr>
          <w:rFonts w:hint="eastAsia" w:ascii="仿宋" w:hAnsi="仿宋" w:eastAsia="仿宋" w:cs="仿宋"/>
          <w:b/>
          <w:bCs/>
          <w:color w:val="auto"/>
          <w:sz w:val="28"/>
          <w:szCs w:val="28"/>
          <w:highlight w:val="none"/>
        </w:rPr>
        <w:t xml:space="preserve">响应文件的递交</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18.1供应商应当按照《操作指南》规定，在提交响应文件截止时间前制作并上传电子响应文件。</w:t>
      </w:r>
      <w:bookmarkStart w:id="143" w:name="_Toc513029226"/>
      <w:r/>
      <w:bookmarkStart w:id="144" w:name="_Toc16938542"/>
      <w:r/>
      <w:bookmarkStart w:id="145" w:name="_Toc20823298"/>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19、提交响应文件截止时间</w:t>
      </w:r>
      <w:bookmarkEnd w:id="143"/>
      <w:r/>
      <w:bookmarkEnd w:id="144"/>
      <w:r/>
      <w:bookmarkEnd w:id="145"/>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19.1</w:t>
      </w:r>
      <w:r>
        <w:rPr>
          <w:rFonts w:hint="eastAsia" w:ascii="仿宋" w:hAnsi="仿宋" w:eastAsia="仿宋" w:cs="仿宋"/>
          <w:bCs/>
          <w:color w:val="auto"/>
          <w:sz w:val="24"/>
          <w:szCs w:val="21"/>
          <w:highlight w:val="none"/>
        </w:rPr>
        <w:t xml:space="preserve">供应商上传电子响应文件的时间不得迟于磋商公告中规定的提交响应文件截止时间。</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供应商应充分考虑到网络环境、网络带宽等风险因素，如因供应商自身原因造成的电子响应文件上传不成功的按照本磋商文件第二章第26.8.2条规定做无效响应处理。</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19.2</w:t>
      </w:r>
      <w:r>
        <w:rPr>
          <w:rFonts w:hint="eastAsia" w:ascii="仿宋" w:hAnsi="仿宋" w:eastAsia="仿宋" w:cs="仿宋"/>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368"/>
        <w:spacing w:line="400" w:lineRule="exact"/>
        <w:rPr>
          <w:rFonts w:hint="eastAsia" w:ascii="仿宋" w:hAnsi="仿宋" w:eastAsia="仿宋" w:cs="仿宋"/>
          <w:b/>
          <w:bCs/>
          <w:color w:val="auto"/>
          <w:sz w:val="28"/>
          <w:szCs w:val="28"/>
          <w:highlight w:val="none"/>
        </w:rPr>
      </w:pPr>
      <w:r/>
      <w:bookmarkStart w:id="146" w:name="_Toc16938543"/>
      <w:r/>
      <w:bookmarkStart w:id="147" w:name="_Toc513029227"/>
      <w:r/>
      <w:bookmarkStart w:id="148" w:name="_Toc20823299"/>
      <w:r>
        <w:rPr>
          <w:rFonts w:hint="eastAsia" w:ascii="仿宋" w:hAnsi="仿宋" w:eastAsia="仿宋" w:cs="仿宋"/>
          <w:b/>
          <w:bCs/>
          <w:color w:val="auto"/>
          <w:sz w:val="28"/>
          <w:szCs w:val="28"/>
          <w:highlight w:val="none"/>
        </w:rPr>
        <w:t xml:space="preserve">20、响应文件</w:t>
      </w:r>
      <w:bookmarkEnd w:id="146"/>
      <w:r/>
      <w:bookmarkEnd w:id="147"/>
      <w:r/>
      <w:bookmarkEnd w:id="148"/>
      <w:r>
        <w:rPr>
          <w:rFonts w:hint="eastAsia" w:ascii="仿宋" w:hAnsi="仿宋" w:eastAsia="仿宋" w:cs="仿宋"/>
          <w:b/>
          <w:bCs/>
          <w:color w:val="auto"/>
          <w:sz w:val="28"/>
          <w:szCs w:val="28"/>
          <w:highlight w:val="none"/>
        </w:rPr>
        <w:t xml:space="preserve">的拒收</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20.1 采购人拒绝接收在其规定的提交响应文件截止时间后上传的任何电子响应文件。</w:t>
      </w:r>
      <w:r/>
    </w:p>
    <w:p>
      <w:pPr>
        <w:ind w:firstLine="368"/>
        <w:spacing w:line="400" w:lineRule="exact"/>
        <w:rPr>
          <w:rFonts w:hint="eastAsia" w:ascii="仿宋" w:hAnsi="仿宋" w:eastAsia="仿宋" w:cs="仿宋"/>
          <w:b/>
          <w:bCs/>
          <w:color w:val="auto"/>
          <w:sz w:val="28"/>
          <w:szCs w:val="28"/>
          <w:highlight w:val="none"/>
        </w:rPr>
      </w:pPr>
      <w:r/>
      <w:bookmarkStart w:id="149" w:name="_Toc513029228"/>
      <w:r/>
      <w:bookmarkStart w:id="150" w:name="_Toc16938544"/>
      <w:r/>
      <w:bookmarkStart w:id="151" w:name="_Toc20823300"/>
      <w:r>
        <w:rPr>
          <w:rFonts w:hint="eastAsia" w:ascii="仿宋" w:hAnsi="仿宋" w:eastAsia="仿宋" w:cs="仿宋"/>
          <w:b/>
          <w:bCs/>
          <w:color w:val="auto"/>
          <w:sz w:val="28"/>
          <w:szCs w:val="28"/>
          <w:highlight w:val="none"/>
        </w:rPr>
        <w:t xml:space="preserve">21、响应文件的撤回和修改</w:t>
      </w:r>
      <w:bookmarkEnd w:id="149"/>
      <w:r/>
      <w:bookmarkEnd w:id="150"/>
      <w:r/>
      <w:bookmarkEnd w:id="151"/>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21.1响应文件的撤回</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21.1.1 电子响应文件的撤回</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截止时间前，撤回其电子响应文件，具体操作方法见《操作指南》。</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21.1.2供应商撤回电子响应文件，则认为其不再参与本项目磋商活动。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21.2响应文件的修改</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截止时间前，对其电子响应文件进行修改，具体操作方法见《操作指南》。</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21.3</w:t>
      </w:r>
      <w:r>
        <w:rPr>
          <w:rFonts w:hint="eastAsia" w:ascii="仿宋" w:hAnsi="仿宋" w:eastAsia="仿宋" w:cs="仿宋"/>
          <w:bCs/>
          <w:color w:val="auto"/>
          <w:sz w:val="24"/>
          <w:szCs w:val="21"/>
          <w:highlight w:val="none"/>
        </w:rPr>
        <w:t xml:space="preserve"> 在提交响应文件截止时间之后，供应商不得对其电子响应文件作任何修改。</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21.4</w:t>
      </w:r>
      <w:r>
        <w:rPr>
          <w:rFonts w:hint="eastAsia" w:ascii="仿宋" w:hAnsi="仿宋" w:eastAsia="仿宋" w:cs="仿宋"/>
          <w:bCs/>
          <w:color w:val="auto"/>
          <w:sz w:val="24"/>
          <w:szCs w:val="21"/>
          <w:highlight w:val="none"/>
        </w:rPr>
        <w:t xml:space="preserve"> 在提交响应文件截止时间至磋商文件中规定的磋商有效期满之间的这段时间内，供应商不得撤回其响应文件。</w:t>
      </w:r>
      <w:r/>
    </w:p>
    <w:p>
      <w:pPr>
        <w:spacing w:line="400" w:lineRule="exact"/>
        <w:rPr>
          <w:rFonts w:hint="eastAsia" w:ascii="仿宋" w:hAnsi="仿宋" w:eastAsia="仿宋" w:cs="仿宋"/>
          <w:b/>
          <w:bCs/>
          <w:color w:val="auto"/>
          <w:sz w:val="32"/>
          <w:szCs w:val="32"/>
          <w:highlight w:val="none"/>
        </w:rPr>
      </w:pPr>
      <w:r/>
      <w:bookmarkStart w:id="152" w:name="_Toc20823301"/>
      <w:r/>
      <w:bookmarkStart w:id="153" w:name="_Toc513029229"/>
      <w:r/>
      <w:bookmarkStart w:id="154" w:name="_Toc16938545"/>
      <w:r/>
      <w:bookmarkStart w:id="155" w:name="_Toc120614218"/>
      <w:r>
        <w:rPr>
          <w:rFonts w:hint="eastAsia" w:ascii="仿宋" w:hAnsi="仿宋" w:eastAsia="仿宋" w:cs="仿宋"/>
          <w:b/>
          <w:bCs/>
          <w:color w:val="auto"/>
          <w:sz w:val="32"/>
          <w:szCs w:val="32"/>
          <w:highlight w:val="none"/>
        </w:rPr>
        <w:t xml:space="preserve">五、响应文件的解密与评审</w:t>
      </w:r>
      <w:bookmarkEnd w:id="152"/>
      <w:r/>
      <w:bookmarkEnd w:id="153"/>
      <w:r/>
      <w:bookmarkEnd w:id="154"/>
      <w:r/>
      <w:bookmarkEnd w:id="155"/>
      <w:r/>
      <w:r/>
    </w:p>
    <w:p>
      <w:pPr>
        <w:ind w:firstLine="368"/>
        <w:spacing w:line="400" w:lineRule="exact"/>
        <w:rPr>
          <w:rFonts w:hint="eastAsia" w:ascii="仿宋" w:hAnsi="仿宋" w:eastAsia="仿宋" w:cs="仿宋"/>
          <w:b/>
          <w:bCs/>
          <w:color w:val="auto"/>
          <w:sz w:val="28"/>
          <w:szCs w:val="28"/>
          <w:highlight w:val="none"/>
        </w:rPr>
      </w:pPr>
      <w:r/>
      <w:bookmarkStart w:id="156" w:name="_Toc513029230"/>
      <w:r/>
      <w:bookmarkStart w:id="157" w:name="_Toc16938546"/>
      <w:r/>
      <w:bookmarkStart w:id="158" w:name="_Toc20823302"/>
      <w:r>
        <w:rPr>
          <w:rFonts w:hint="eastAsia" w:ascii="仿宋" w:hAnsi="仿宋" w:eastAsia="仿宋" w:cs="仿宋"/>
          <w:b/>
          <w:bCs/>
          <w:color w:val="auto"/>
          <w:sz w:val="28"/>
          <w:szCs w:val="28"/>
          <w:highlight w:val="none"/>
        </w:rPr>
        <w:t xml:space="preserve">22、</w:t>
      </w:r>
      <w:bookmarkEnd w:id="156"/>
      <w:r/>
      <w:bookmarkEnd w:id="157"/>
      <w:r/>
      <w:bookmarkEnd w:id="158"/>
      <w:r>
        <w:rPr>
          <w:rFonts w:hint="eastAsia" w:ascii="仿宋" w:hAnsi="仿宋" w:eastAsia="仿宋" w:cs="仿宋"/>
          <w:b/>
          <w:bCs/>
          <w:color w:val="auto"/>
          <w:sz w:val="28"/>
          <w:szCs w:val="28"/>
          <w:highlight w:val="none"/>
        </w:rPr>
        <w:t xml:space="preserve">响应文件解密</w:t>
      </w:r>
      <w:r/>
    </w:p>
    <w:p>
      <w:pPr>
        <w:ind w:firstLine="360"/>
        <w:spacing w:line="400" w:lineRule="exact"/>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rPr>
        <w:t xml:space="preserve">22.1</w:t>
      </w:r>
      <w:r>
        <w:rPr>
          <w:rFonts w:hint="eastAsia" w:ascii="仿宋" w:hAnsi="仿宋" w:eastAsia="仿宋" w:cs="仿宋"/>
          <w:color w:val="auto"/>
          <w:sz w:val="24"/>
          <w:szCs w:val="24"/>
          <w:highlight w:val="none"/>
        </w:rPr>
        <w:t xml:space="preserve">供应商应当按照《操作指南》规定，在苏采云系统规定的时间内对磋商响应文件进行解密。</w:t>
      </w:r>
      <w:r/>
    </w:p>
    <w:p>
      <w:pPr>
        <w:ind w:firstLine="368"/>
        <w:spacing w:line="400" w:lineRule="exact"/>
        <w:rPr>
          <w:rFonts w:hint="eastAsia" w:ascii="仿宋" w:hAnsi="仿宋" w:eastAsia="仿宋" w:cs="仿宋"/>
          <w:b/>
          <w:bCs/>
          <w:color w:val="auto"/>
          <w:sz w:val="28"/>
          <w:szCs w:val="28"/>
          <w:highlight w:val="none"/>
        </w:rPr>
      </w:pPr>
      <w:r/>
      <w:bookmarkStart w:id="159" w:name="_Toc513029231"/>
      <w:r/>
      <w:bookmarkStart w:id="160" w:name="_Toc16938547"/>
      <w:r/>
      <w:bookmarkStart w:id="161" w:name="_Toc20823303"/>
      <w:r>
        <w:rPr>
          <w:rFonts w:hint="eastAsia" w:ascii="仿宋" w:hAnsi="仿宋" w:eastAsia="仿宋" w:cs="仿宋"/>
          <w:b/>
          <w:bCs/>
          <w:color w:val="auto"/>
          <w:sz w:val="28"/>
          <w:szCs w:val="28"/>
          <w:highlight w:val="none"/>
        </w:rPr>
        <w:t xml:space="preserve">23、磋商小组</w:t>
      </w:r>
      <w:r/>
    </w:p>
    <w:p>
      <w:pPr>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 23.1代理机构将组织磋商小组对响应文件进行评审。磋商小组由采购人代表和有关技术、经济等方面的专家组成，且人员构成符合政府采购有关规定。</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 23.2磋商小组独立工作，负责评审所有响应文件并确定成交候选人。</w:t>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24、评审过程的保密与公正</w:t>
      </w:r>
      <w:bookmarkEnd w:id="159"/>
      <w:r/>
      <w:bookmarkEnd w:id="160"/>
      <w:r/>
      <w:bookmarkEnd w:id="161"/>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24.1</w:t>
      </w:r>
      <w:r>
        <w:rPr>
          <w:rFonts w:hint="eastAsia" w:ascii="仿宋" w:hAnsi="仿宋" w:eastAsia="仿宋" w:cs="仿宋"/>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24.2</w:t>
      </w:r>
      <w:r>
        <w:rPr>
          <w:rFonts w:hint="eastAsia" w:ascii="仿宋" w:hAnsi="仿宋" w:eastAsia="仿宋" w:cs="仿宋"/>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24.3</w:t>
      </w:r>
      <w:r>
        <w:rPr>
          <w:rFonts w:hint="eastAsia" w:ascii="仿宋" w:hAnsi="仿宋" w:eastAsia="仿宋" w:cs="仿宋"/>
          <w:color w:val="auto"/>
          <w:sz w:val="24"/>
          <w:szCs w:val="24"/>
          <w:highlight w:val="none"/>
        </w:rPr>
        <w:t xml:space="preserve">在项目评审期间，代理机构将设专门人员与供应商联系。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 代理机构和磋商小组不向未成交的供应商解释未成交原因，也不公布评审过程中的相关细节。</w:t>
      </w:r>
      <w:r/>
    </w:p>
    <w:p>
      <w:pPr>
        <w:ind w:firstLine="368"/>
        <w:spacing w:line="400" w:lineRule="exact"/>
        <w:rPr>
          <w:rFonts w:hint="eastAsia" w:ascii="仿宋" w:hAnsi="仿宋" w:eastAsia="仿宋" w:cs="仿宋"/>
          <w:b/>
          <w:bCs/>
          <w:color w:val="auto"/>
          <w:sz w:val="28"/>
          <w:szCs w:val="28"/>
          <w:highlight w:val="none"/>
        </w:rPr>
      </w:pPr>
      <w:r/>
      <w:bookmarkStart w:id="162" w:name="_Toc20823304"/>
      <w:r/>
      <w:bookmarkStart w:id="163" w:name="_Toc513029232"/>
      <w:r/>
      <w:bookmarkStart w:id="164" w:name="_Toc16938548"/>
      <w:r>
        <w:rPr>
          <w:rFonts w:hint="eastAsia" w:ascii="仿宋" w:hAnsi="仿宋" w:eastAsia="仿宋" w:cs="仿宋"/>
          <w:b/>
          <w:bCs/>
          <w:color w:val="auto"/>
          <w:sz w:val="28"/>
          <w:szCs w:val="28"/>
          <w:highlight w:val="none"/>
        </w:rPr>
        <w:t xml:space="preserve">25、评审过程中的澄清</w:t>
      </w:r>
      <w:bookmarkEnd w:id="162"/>
      <w:r/>
      <w:bookmarkEnd w:id="163"/>
      <w:r/>
      <w:bookmarkEnd w:id="164"/>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磋商小组并非对每个供应商都作澄清要求。</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25.3 接到磋商小组澄清、说明和更正要求的供应商如未按规定做出澄清、说明和更正，其风险由供应商自行承担。</w:t>
      </w:r>
      <w:r/>
    </w:p>
    <w:p>
      <w:pPr>
        <w:ind w:firstLine="368"/>
        <w:spacing w:line="400" w:lineRule="exact"/>
        <w:rPr>
          <w:rFonts w:hint="eastAsia" w:ascii="仿宋" w:hAnsi="仿宋" w:eastAsia="仿宋" w:cs="仿宋"/>
          <w:b/>
          <w:bCs/>
          <w:color w:val="auto"/>
          <w:sz w:val="28"/>
          <w:szCs w:val="28"/>
          <w:highlight w:val="none"/>
        </w:rPr>
      </w:pPr>
      <w:r/>
      <w:bookmarkStart w:id="165" w:name="_Toc20823305"/>
      <w:r/>
      <w:bookmarkStart w:id="166" w:name="_Toc16938549"/>
      <w:r/>
      <w:bookmarkStart w:id="167" w:name="_Toc513029233"/>
      <w:r>
        <w:rPr>
          <w:rFonts w:hint="eastAsia" w:ascii="仿宋" w:hAnsi="仿宋" w:eastAsia="仿宋" w:cs="仿宋"/>
          <w:b/>
          <w:bCs/>
          <w:color w:val="auto"/>
          <w:sz w:val="28"/>
          <w:szCs w:val="28"/>
          <w:highlight w:val="none"/>
        </w:rPr>
        <w:t xml:space="preserve">26、对响应文件的审</w:t>
      </w:r>
      <w:bookmarkEnd w:id="165"/>
      <w:r/>
      <w:bookmarkEnd w:id="166"/>
      <w:r/>
      <w:bookmarkEnd w:id="167"/>
      <w:r>
        <w:rPr>
          <w:rFonts w:hint="eastAsia" w:ascii="仿宋" w:hAnsi="仿宋" w:eastAsia="仿宋" w:cs="仿宋"/>
          <w:b/>
          <w:bCs/>
          <w:color w:val="auto"/>
          <w:sz w:val="28"/>
          <w:szCs w:val="28"/>
          <w:highlight w:val="none"/>
        </w:rPr>
        <w:t xml:space="preserve">查</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26.1</w:t>
      </w:r>
      <w:r>
        <w:rPr>
          <w:rFonts w:hint="eastAsia" w:ascii="仿宋" w:hAnsi="仿宋" w:eastAsia="仿宋" w:cs="仿宋"/>
          <w:bCs/>
          <w:color w:val="auto"/>
          <w:sz w:val="24"/>
          <w:szCs w:val="21"/>
          <w:highlight w:val="none"/>
        </w:rPr>
        <w:t xml:space="preserve">响应文件审查分为资格审查和符合性审查。</w:t>
      </w:r>
      <w:r/>
    </w:p>
    <w:p>
      <w:pPr>
        <w:ind w:firstLine="480"/>
        <w:jc w:val="left"/>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jc w:val="left"/>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26.2</w:t>
      </w:r>
      <w:r>
        <w:rPr>
          <w:rFonts w:hint="eastAsia" w:ascii="仿宋" w:hAnsi="仿宋" w:eastAsia="仿宋" w:cs="仿宋"/>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26.4磋商小组将对确定为实质性响应的文件进行进一步审核，看其是否有计算上或累加上的算术错误，修正错误的原则如下：</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（1）响应文件中磋商报价表内容与响应文件中相应内容不一致的，以磋商报价表为准。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（2）大写金额和小写金额不一致的，以大写金额为准。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（3）单价金额小数点或者百分比有明显错位的，以磋商报价表的总价为准，并修改单价。</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（4）总价金额与按单价汇总金额不一致的，以单价金额计算结果为准。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26.6磋商小组将允许修正响应文件中不构成重大偏离的、微小的、非正规的、不一致的或不规则的地方，但这些修改不能影响任何供应商相应的名次排列。</w:t>
      </w:r>
      <w:r/>
    </w:p>
    <w:p>
      <w:pPr>
        <w:ind w:firstLine="420"/>
        <w:spacing w:line="40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26.7.异常低价审查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26.7.1评标过程中出现下列情形之一的，磋商小组应当启动异常低价投标审查程序：</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（3）投标（响应）报价低于采购项目最高限价45%的，即投标（响应）报价&lt;采购项目最高限价×45%；</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（4）磋商小组基于专业判断，认为供应商报价过低，有可能影响产品质量或者不能诚信履约的其他情形。</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26.8出现下列情形之一的，作无效响应处理。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26.8.1供应商在“苏采云系统”规定的时间内未成功解密电子响应文件的。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26.8.2供应商未按照磋商文件要求上传电子响应文件的,或上传的文件打不开的。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26.8.3</w:t>
      </w:r>
      <w:r>
        <w:rPr>
          <w:rFonts w:hint="eastAsia" w:ascii="仿宋" w:hAnsi="仿宋" w:eastAsia="仿宋" w:cs="仿宋"/>
          <w:bCs/>
          <w:color w:val="auto"/>
          <w:sz w:val="24"/>
          <w:szCs w:val="21"/>
          <w:highlight w:val="none"/>
        </w:rPr>
        <w:t xml:space="preserve">供应商同一分包提交两个（含两个）以上不同的响应文件或者响应报价的。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26.8.4供应商不具备磋商文件中规定的资格要求的。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26.8.5供应商的响应报价超过了采购预算或最高限价的。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26.8.6未通过符合性审查的。</w:t>
      </w:r>
      <w:r/>
    </w:p>
    <w:p>
      <w:pPr>
        <w:ind w:firstLine="480"/>
        <w:spacing w:line="500" w:lineRule="exact"/>
        <w:rPr>
          <w:rFonts w:hint="eastAsia" w:ascii="仿宋" w:hAnsi="仿宋" w:eastAsia="仿宋" w:cs="仿宋"/>
          <w:i/>
          <w:iCs/>
          <w:color w:val="auto"/>
          <w:sz w:val="24"/>
          <w:szCs w:val="24"/>
          <w:highlight w:val="none"/>
          <w:u w:val="single"/>
        </w:rPr>
      </w:pPr>
      <w:r>
        <w:rPr>
          <w:rFonts w:hint="eastAsia" w:ascii="仿宋" w:hAnsi="仿宋" w:eastAsia="仿宋" w:cs="仿宋"/>
          <w:color w:val="auto"/>
          <w:sz w:val="24"/>
          <w:szCs w:val="24"/>
          <w:highlight w:val="none"/>
        </w:rPr>
        <w:t xml:space="preserve">26.8.7不符合法律、法规和磋商文件中规定的实质性要求的</w:t>
      </w:r>
      <w:r>
        <w:rPr>
          <w:rFonts w:hint="eastAsia" w:ascii="仿宋" w:hAnsi="仿宋" w:eastAsia="仿宋" w:cs="仿宋"/>
          <w:i/>
          <w:iCs/>
          <w:color w:val="auto"/>
          <w:sz w:val="24"/>
          <w:szCs w:val="24"/>
          <w:highlight w:val="none"/>
          <w:u w:val="single"/>
        </w:rPr>
        <w:t xml:space="preserve">（本磋商文件中斜体且有下划线部分为实质性要求）。</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26.8.9响应文件含有采购人不能接受的附加条件的。</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26.8.11如本项目采购产品被财政部、国家发改委列入“节能产品品目清单”强制采购范围，而供应商所投标产品不在强制采购范围内的。（响应产品如属于政府强制采购节能产品品目清单范围内，采购文件中必须提供国家确定的认证机构出具的、处于有效期之内的该节能产品认证证书图片）</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26.8.12 采购文件未按照采购文件要求加盖CA电子公章的。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26.8.13 供应商所投标产品不符合采购文件中所列国家强制性标准的。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26.8.14未在规定时间内提交最后报价的，视作无效响应处理。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26.8.15不同供应商的响应文件经系统查询Mac地址或标书制作工具客户端标识码一致的（并移送政府采购监管部门进行处理）。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26.8.16其他法律、法规及本采购文件规定的属无效响应的情形。</w:t>
      </w:r>
      <w:r/>
    </w:p>
    <w:p>
      <w:pPr>
        <w:ind w:firstLine="480"/>
        <w:spacing w:line="400" w:lineRule="exact"/>
        <w:rPr>
          <w:rFonts w:hint="eastAsia" w:ascii="仿宋" w:hAnsi="仿宋" w:eastAsia="仿宋" w:cs="仿宋"/>
          <w:color w:val="auto"/>
          <w:sz w:val="24"/>
          <w:szCs w:val="24"/>
          <w:highlight w:val="none"/>
        </w:rPr>
      </w:pPr>
      <w:r/>
      <w:bookmarkStart w:id="168" w:name="_Toc16938550"/>
      <w:r/>
      <w:bookmarkStart w:id="169" w:name="_Toc20823306"/>
      <w:r/>
      <w:bookmarkStart w:id="170" w:name="_Toc513029234"/>
      <w:r>
        <w:rPr>
          <w:rFonts w:hint="eastAsia" w:ascii="仿宋" w:hAnsi="仿宋" w:eastAsia="仿宋" w:cs="仿宋"/>
          <w:color w:val="auto"/>
          <w:sz w:val="24"/>
          <w:szCs w:val="24"/>
          <w:highlight w:val="none"/>
        </w:rPr>
        <w:t xml:space="preserve">26.9供应商在项目评审全过程中应保持通讯畅通，并安排专人与代理机构及磋商小组联系。</w:t>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27、</w:t>
      </w:r>
      <w:bookmarkEnd w:id="168"/>
      <w:r/>
      <w:bookmarkEnd w:id="169"/>
      <w:r/>
      <w:bookmarkEnd w:id="170"/>
      <w:r>
        <w:rPr>
          <w:rFonts w:hint="eastAsia" w:ascii="仿宋" w:hAnsi="仿宋" w:eastAsia="仿宋" w:cs="仿宋"/>
          <w:b/>
          <w:bCs/>
          <w:color w:val="auto"/>
          <w:sz w:val="28"/>
          <w:szCs w:val="28"/>
          <w:highlight w:val="none"/>
        </w:rPr>
        <w:t xml:space="preserve">磋商程序及评审方法和评审标准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27.1磋商程序</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 评审方法和评审标准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27.2.2评审标准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见本磋商文件第五章规定。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27.3采购活动终止的情况</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出现下列情形之一的，本次竞争性磋商采购活动将被终止：</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27.3.1因情况变化，不再符合规定的竞争性磋商采购方式适用情形的。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27.3.2出现影响采购公正的违法、违规行为的。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27.3.4在苏采云系统规定时间内成功解密电子响应文件的供应商不足3家的。</w:t>
      </w:r>
      <w:bookmarkStart w:id="171" w:name="_Toc120614219"/>
      <w:r/>
      <w:bookmarkStart w:id="172" w:name="_Toc20823307"/>
      <w:r/>
      <w:bookmarkStart w:id="173" w:name="_Toc16938551"/>
      <w:r/>
      <w:bookmarkStart w:id="174" w:name="_Toc513029235"/>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27.3.5因重大变故，采购任务取消的。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27.3.6磋商小组认定磋商文件存在歧义、重大缺陷导致评审工作无法进行。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27.3.7因系统故障原因造成磋商无法继续进行的。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27.4响应文件提交截止时间结束后参加磋商的供应商不足三家的处理：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w:t>
      </w:r>
      <w:bookmarkEnd w:id="171"/>
      <w:r/>
      <w:bookmarkEnd w:id="172"/>
      <w:r/>
      <w:bookmarkEnd w:id="173"/>
      <w:r/>
      <w:bookmarkEnd w:id="174"/>
      <w:r>
        <w:rPr>
          <w:rFonts w:hint="eastAsia" w:ascii="仿宋" w:hAnsi="仿宋" w:eastAsia="仿宋" w:cs="仿宋"/>
          <w:b/>
          <w:bCs/>
          <w:color w:val="auto"/>
          <w:sz w:val="32"/>
          <w:szCs w:val="32"/>
          <w:highlight w:val="none"/>
        </w:rPr>
        <w:t xml:space="preserve">成交</w:t>
      </w:r>
      <w:r/>
    </w:p>
    <w:p>
      <w:pPr>
        <w:ind w:firstLine="368"/>
        <w:spacing w:line="400" w:lineRule="exact"/>
        <w:rPr>
          <w:rFonts w:hint="eastAsia" w:ascii="仿宋" w:hAnsi="仿宋" w:eastAsia="仿宋" w:cs="仿宋"/>
          <w:b/>
          <w:bCs/>
          <w:color w:val="auto"/>
          <w:sz w:val="28"/>
          <w:szCs w:val="28"/>
          <w:highlight w:val="none"/>
        </w:rPr>
      </w:pPr>
      <w:r/>
      <w:bookmarkStart w:id="175" w:name="_Toc513029238"/>
      <w:r/>
      <w:bookmarkStart w:id="176" w:name="_Toc16938554"/>
      <w:r/>
      <w:bookmarkStart w:id="177" w:name="_Toc20823310"/>
      <w:r>
        <w:rPr>
          <w:rFonts w:hint="eastAsia" w:ascii="仿宋" w:hAnsi="仿宋" w:eastAsia="仿宋" w:cs="仿宋"/>
          <w:b/>
          <w:bCs/>
          <w:color w:val="auto"/>
          <w:sz w:val="28"/>
          <w:szCs w:val="28"/>
          <w:highlight w:val="none"/>
        </w:rPr>
        <w:t xml:space="preserve">28、</w:t>
      </w:r>
      <w:bookmarkEnd w:id="175"/>
      <w:r>
        <w:rPr>
          <w:rFonts w:hint="eastAsia" w:ascii="仿宋" w:hAnsi="仿宋" w:eastAsia="仿宋" w:cs="仿宋"/>
          <w:b/>
          <w:bCs/>
          <w:color w:val="auto"/>
          <w:sz w:val="28"/>
          <w:szCs w:val="28"/>
          <w:highlight w:val="none"/>
        </w:rPr>
        <w:t xml:space="preserve">确定</w:t>
      </w:r>
      <w:bookmarkEnd w:id="176"/>
      <w:r/>
      <w:bookmarkEnd w:id="177"/>
      <w:r>
        <w:rPr>
          <w:rFonts w:hint="eastAsia" w:ascii="仿宋" w:hAnsi="仿宋" w:eastAsia="仿宋" w:cs="仿宋"/>
          <w:b/>
          <w:bCs/>
          <w:color w:val="auto"/>
          <w:sz w:val="28"/>
          <w:szCs w:val="28"/>
          <w:highlight w:val="none"/>
        </w:rPr>
        <w:t xml:space="preserve">成交单位</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28.2采购人在评标报告确定的成交候选人名单中按顺序确定成交供应商。确定成交供应商之日起2个工作日内，代理机构将在“江苏政府采购网”发布成交结果公告，公告期限为1个工作日。</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28.3若有充分证据证明，成交供应商出现下列情况之一的，一经查实，将被取消成交资格：</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28.3.1提供虚假材料谋取成交的。</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28.3.2与评审专家、采购人、其他供应商或者</w:t>
      </w:r>
      <w:bookmarkStart w:id="178" w:name="OLE_LINK2"/>
      <w:r>
        <w:rPr>
          <w:rFonts w:hint="eastAsia" w:ascii="仿宋" w:hAnsi="仿宋" w:eastAsia="仿宋" w:cs="仿宋"/>
          <w:bCs/>
          <w:color w:val="auto"/>
          <w:sz w:val="24"/>
          <w:szCs w:val="21"/>
          <w:highlight w:val="none"/>
        </w:rPr>
        <w:t xml:space="preserve">代理机构</w:t>
      </w:r>
      <w:bookmarkEnd w:id="178"/>
      <w:r>
        <w:rPr>
          <w:rFonts w:hint="eastAsia" w:ascii="仿宋" w:hAnsi="仿宋" w:eastAsia="仿宋" w:cs="仿宋"/>
          <w:bCs/>
          <w:color w:val="auto"/>
          <w:sz w:val="24"/>
          <w:szCs w:val="21"/>
          <w:highlight w:val="none"/>
        </w:rPr>
        <w:t xml:space="preserve">工作人员恶意串通的。</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28.3.3向评审专家、采购人或代理机构工作人员行贿或者提供其他不正当利益的。</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28.3.4不满足本磋商文件规定的实质性要求，但在评审过程中又未被磋商小组发现的。</w:t>
      </w:r>
      <w:r/>
    </w:p>
    <w:p>
      <w:pPr>
        <w:ind w:firstLine="480"/>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28.3.5成交后无正当理由拒不与采购人签订政府采购合同或者未按照磋商文件确定的事项签订政府采购合同的。</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28.3.6将政府采购合同转包的。</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28.4有下列情形之一的，视为供应商串通参与磋商，响应无效：</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28.4.1不同供应商的响应文件由同一单位或者个人编制；</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28.4.2不同供应商委托同一单位或者个人办理磋商事宜；</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28.4.3不同供应商的响应文件载明的项目管理成员或者联系人员为同一人；</w:t>
      </w:r>
      <w:r/>
    </w:p>
    <w:p>
      <w:pPr>
        <w:ind w:firstLine="480"/>
        <w:jc w:val="left"/>
        <w:spacing w:line="40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4"/>
          <w:highlight w:val="none"/>
        </w:rPr>
        <w:t xml:space="preserve">28.4.4不同供应商的响应文件异常一</w:t>
      </w:r>
      <w:r>
        <w:rPr>
          <w:rFonts w:hint="eastAsia" w:ascii="仿宋" w:hAnsi="仿宋" w:eastAsia="仿宋" w:cs="仿宋"/>
          <w:bCs/>
          <w:color w:val="auto"/>
          <w:sz w:val="24"/>
          <w:szCs w:val="21"/>
          <w:highlight w:val="none"/>
        </w:rPr>
        <w:t xml:space="preserve">致或者响应报价呈规律性差异。</w:t>
      </w:r>
      <w:r/>
    </w:p>
    <w:p>
      <w:pPr>
        <w:ind w:firstLine="368"/>
        <w:spacing w:line="400" w:lineRule="exact"/>
        <w:rPr>
          <w:rFonts w:hint="eastAsia" w:ascii="仿宋" w:hAnsi="仿宋" w:eastAsia="仿宋" w:cs="仿宋"/>
          <w:b/>
          <w:bCs/>
          <w:color w:val="auto"/>
          <w:sz w:val="28"/>
          <w:szCs w:val="28"/>
          <w:highlight w:val="none"/>
        </w:rPr>
      </w:pPr>
      <w:r/>
      <w:bookmarkStart w:id="179" w:name="_Toc200451960"/>
      <w:r>
        <w:rPr>
          <w:rFonts w:hint="eastAsia" w:ascii="仿宋" w:hAnsi="仿宋" w:eastAsia="仿宋" w:cs="仿宋"/>
          <w:b/>
          <w:bCs/>
          <w:color w:val="auto"/>
          <w:sz w:val="28"/>
          <w:szCs w:val="28"/>
          <w:highlight w:val="none"/>
        </w:rPr>
        <w:t xml:space="preserve">29、质疑处理</w:t>
      </w:r>
      <w:bookmarkEnd w:id="179"/>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29.2.1对可以质疑的采购文件提出质疑的，为收到采购文件之日或者采购文件公告期限届满之日。</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29.2.2对采购过程提出质疑的，为各采购程序环节结束之日。</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29.2.3对成交结果提出质疑的，为成交结果公告期限届满之日。</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29.3质疑函必须按照本磋商文件中《质疑函范本》（附件13）要求的格式和内容进行填写。供应商如组成联合体参加磋商，则《质疑函范本》中要求签字、盖章、加盖公章之处，联合体各方均须按要求签字、盖章、加盖公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 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w:t>
      </w:r>
      <w:r/>
    </w:p>
    <w:p>
      <w:pPr>
        <w:ind w:firstLine="48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采购人及代理机构只接收以纸质原件形式送达的质疑,建议供应商尽量通过邮寄方式提交质疑（采购人和代理机构不接受无快递运单号的快递）。</w:t>
      </w:r>
      <w:r/>
    </w:p>
    <w:p>
      <w:pPr>
        <w:ind w:firstLine="480"/>
        <w:spacing w:line="400" w:lineRule="exact"/>
        <w:rPr>
          <w:color w:val="auto"/>
          <w:highlight w:val="none"/>
        </w:rPr>
      </w:pPr>
      <w:r>
        <w:rPr>
          <w:rFonts w:hint="eastAsia" w:ascii="仿宋" w:hAnsi="仿宋" w:eastAsia="仿宋" w:cs="仿宋"/>
          <w:color w:val="auto"/>
          <w:sz w:val="24"/>
          <w:szCs w:val="24"/>
          <w:highlight w:val="none"/>
        </w:rPr>
        <w:t xml:space="preserve">采购人质疑接收人及联系方式，见本磋商文件第一章。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代理机构质疑受理部门及联系方式，见本磋商文件第一章。</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 以下情形的质疑不予受理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29.5.1 内容不符合《政府采购质疑和投诉办法》第十二条规定的质疑。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29.5.2 超出政府采购法定期限的质疑。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29.5.3 以传真、电子邮件等方式递交的非原件形式的质疑。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29.5.4 未参加磋商活动的供应商或在磋商活动中自身权益未受到损害的供应商所提出的质疑。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29.5.5供应商组成联合体参加磋商，联合体中任何一方或多方未按要求签字、盖章、加盖公章的质疑。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29.6供应商提出书面质疑必须有理、有据，不得捏造事实、提供虚假材料进行恶意质疑。否则，一经查实，代理机构及采购人有权依据政府采购的有关规定，报请政府采购监管部门对该供应商进行相应的行政处罚和记录该供应商的失信信息。</w:t>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30、成交通知书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400" w:lineRule="exact"/>
        <w:rPr>
          <w:rFonts w:hint="eastAsia" w:ascii="仿宋" w:hAnsi="仿宋" w:eastAsia="仿宋" w:cs="仿宋"/>
          <w:b/>
          <w:bCs/>
          <w:color w:val="auto"/>
          <w:sz w:val="32"/>
          <w:szCs w:val="32"/>
          <w:highlight w:val="none"/>
        </w:rPr>
      </w:pPr>
      <w:r/>
      <w:bookmarkStart w:id="180" w:name="_Toc20823308"/>
      <w:r/>
      <w:bookmarkStart w:id="181" w:name="_Toc120614220"/>
      <w:r/>
      <w:bookmarkStart w:id="182" w:name="_Toc16938552"/>
      <w:r/>
      <w:bookmarkStart w:id="183" w:name="_Toc513029236"/>
      <w:r>
        <w:rPr>
          <w:rFonts w:hint="eastAsia" w:ascii="仿宋" w:hAnsi="仿宋" w:eastAsia="仿宋" w:cs="仿宋"/>
          <w:b/>
          <w:bCs/>
          <w:color w:val="auto"/>
          <w:sz w:val="32"/>
          <w:szCs w:val="32"/>
          <w:highlight w:val="none"/>
        </w:rPr>
        <w:t xml:space="preserve">七、授予合同</w:t>
      </w:r>
      <w:bookmarkEnd w:id="180"/>
      <w:r/>
      <w:bookmarkEnd w:id="181"/>
      <w:r/>
      <w:bookmarkEnd w:id="182"/>
      <w:r/>
      <w:bookmarkEnd w:id="183"/>
      <w:r/>
      <w:r/>
    </w:p>
    <w:p>
      <w:pPr>
        <w:ind w:firstLine="368"/>
        <w:spacing w:line="400" w:lineRule="exact"/>
        <w:rPr>
          <w:rFonts w:hint="eastAsia" w:ascii="仿宋" w:hAnsi="仿宋" w:eastAsia="仿宋" w:cs="仿宋"/>
          <w:b/>
          <w:bCs/>
          <w:color w:val="auto"/>
          <w:sz w:val="28"/>
          <w:szCs w:val="28"/>
          <w:highlight w:val="none"/>
        </w:rPr>
      </w:pPr>
      <w:r/>
      <w:bookmarkStart w:id="184" w:name="_Toc513029237"/>
      <w:r/>
      <w:bookmarkStart w:id="185" w:name="_Toc16938553"/>
      <w:r/>
      <w:bookmarkStart w:id="186" w:name="_Toc20823309"/>
      <w:r>
        <w:rPr>
          <w:rFonts w:hint="eastAsia" w:ascii="仿宋" w:hAnsi="仿宋" w:eastAsia="仿宋" w:cs="仿宋"/>
          <w:b/>
          <w:bCs/>
          <w:color w:val="auto"/>
          <w:sz w:val="28"/>
          <w:szCs w:val="28"/>
          <w:highlight w:val="none"/>
        </w:rPr>
        <w:t xml:space="preserve">31. 签订合同</w:t>
      </w:r>
      <w:r/>
    </w:p>
    <w:p>
      <w:pPr>
        <w:ind w:firstLine="480"/>
        <w:spacing w:line="4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31.l成交供应商应当在成交通知书发出之日起三十日内，按照磋商文件确定的事项与采购人签订政府采购合同。</w:t>
      </w:r>
      <w:r>
        <w:rPr>
          <w:rFonts w:hint="eastAsia" w:ascii="仿宋" w:hAnsi="仿宋" w:eastAsia="仿宋" w:cs="仿宋"/>
          <w:b/>
          <w:bCs/>
          <w:color w:val="auto"/>
          <w:sz w:val="24"/>
          <w:szCs w:val="24"/>
          <w:highlight w:val="none"/>
          <w:lang w:val="zh-CN"/>
        </w:rPr>
        <w:t xml:space="preserve">成交供应商应在成交结果公告之日起五个工作日内向</w:t>
      </w:r>
      <w:r>
        <w:rPr>
          <w:rFonts w:hint="eastAsia" w:ascii="仿宋" w:hAnsi="仿宋" w:eastAsia="仿宋" w:cs="仿宋"/>
          <w:b/>
          <w:bCs/>
          <w:color w:val="auto"/>
          <w:sz w:val="24"/>
          <w:szCs w:val="24"/>
          <w:highlight w:val="none"/>
        </w:rPr>
        <w:t xml:space="preserve">代理机构提供两份纸质版响应文件</w:t>
      </w:r>
      <w:r>
        <w:rPr>
          <w:rFonts w:hint="eastAsia" w:ascii="仿宋" w:hAnsi="仿宋" w:eastAsia="仿宋" w:cs="仿宋"/>
          <w:b/>
          <w:bCs/>
          <w:color w:val="auto"/>
          <w:sz w:val="24"/>
          <w:szCs w:val="24"/>
          <w:highlight w:val="none"/>
          <w:lang w:val="zh-CN"/>
        </w:rPr>
        <w:t xml:space="preserve">（须与上传电子档内容一致）</w:t>
      </w:r>
      <w:r>
        <w:rPr>
          <w:rFonts w:hint="eastAsia" w:ascii="仿宋" w:hAnsi="仿宋" w:eastAsia="仿宋" w:cs="仿宋"/>
          <w:b/>
          <w:bCs/>
          <w:color w:val="auto"/>
          <w:sz w:val="24"/>
          <w:szCs w:val="24"/>
          <w:highlight w:val="none"/>
        </w:rPr>
        <w:t xml:space="preserve">，否则不予签订合同。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31.2磋商文件、成交供应商的响应文件及磋商过程中有关澄清、承诺文件均应作为合同附件。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32、货物和服务的追加、减少和添购</w:t>
      </w:r>
      <w:bookmarkEnd w:id="184"/>
      <w:r/>
      <w:bookmarkEnd w:id="185"/>
      <w:r/>
      <w:bookmarkEnd w:id="186"/>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368"/>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33、政府采购履约资金扶持政策</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640"/>
        <w:keepNext/>
        <w:spacing w:line="440" w:lineRule="exact"/>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br w:type="page" w:clear="all"/>
      </w:r>
      <w:bookmarkStart w:id="187" w:name="_Toc23575"/>
      <w:r/>
      <w:bookmarkStart w:id="188" w:name="_Toc20527"/>
      <w:r/>
      <w:bookmarkStart w:id="189" w:name="_Toc9490"/>
      <w:r>
        <w:rPr>
          <w:rFonts w:hint="eastAsia" w:ascii="仿宋" w:hAnsi="仿宋" w:eastAsia="仿宋" w:cs="仿宋"/>
          <w:b/>
          <w:color w:val="auto"/>
          <w:sz w:val="44"/>
          <w:szCs w:val="28"/>
          <w:highlight w:val="none"/>
        </w:rPr>
        <w:t xml:space="preserve">第三章  合同</w:t>
      </w:r>
      <w:bookmarkEnd w:id="61"/>
      <w:r/>
      <w:bookmarkEnd w:id="62"/>
      <w:r/>
      <w:bookmarkEnd w:id="63"/>
      <w:r/>
      <w:bookmarkEnd w:id="64"/>
      <w:r/>
      <w:bookmarkEnd w:id="65"/>
      <w:r>
        <w:rPr>
          <w:rFonts w:hint="eastAsia" w:ascii="仿宋" w:hAnsi="仿宋" w:eastAsia="仿宋" w:cs="仿宋"/>
          <w:b/>
          <w:color w:val="auto"/>
          <w:sz w:val="44"/>
          <w:szCs w:val="28"/>
          <w:highlight w:val="none"/>
        </w:rPr>
        <w:t xml:space="preserve">文本</w:t>
      </w:r>
      <w:bookmarkEnd w:id="187"/>
      <w:r/>
      <w:bookmarkEnd w:id="188"/>
      <w:r/>
      <w:bookmarkEnd w:id="189"/>
      <w:r/>
      <w:r/>
    </w:p>
    <w:p>
      <w:pPr>
        <w:ind w:firstLine="480"/>
        <w:spacing w:line="440" w:lineRule="exact"/>
        <w:rPr>
          <w:rFonts w:hint="eastAsia" w:ascii="仿宋" w:hAnsi="仿宋" w:eastAsia="仿宋" w:cs="仿宋"/>
          <w:b/>
          <w:color w:val="auto"/>
          <w:sz w:val="24"/>
          <w:szCs w:val="21"/>
          <w:highlight w:val="none"/>
        </w:rPr>
      </w:pPr>
      <w:r/>
      <w:bookmarkStart w:id="190" w:name="_Toc513029243"/>
      <w:r/>
      <w:bookmarkStart w:id="191" w:name="_Toc16938559"/>
      <w:r/>
      <w:bookmarkStart w:id="192" w:name="_Toc20823315"/>
      <w:r>
        <w:rPr>
          <w:rFonts w:hint="eastAsia" w:ascii="仿宋" w:hAnsi="仿宋" w:eastAsia="仿宋" w:cs="仿宋"/>
          <w:bCs/>
          <w:color w:val="auto"/>
          <w:sz w:val="24"/>
          <w:szCs w:val="21"/>
          <w:highlight w:val="none"/>
        </w:rPr>
        <w:t xml:space="preserve">以下为成交后签定本项目合同的通用条款，成交供应商不得提出实质性的修改。</w:t>
      </w:r>
      <w:r/>
    </w:p>
    <w:p>
      <w:pPr>
        <w:ind w:firstLine="480"/>
        <w:spacing w:line="44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jc w:val="center"/>
        <w:spacing w:before="145" w:after="145" w:line="440" w:lineRule="exact"/>
        <w:rPr>
          <w:rFonts w:hint="eastAsia" w:ascii="黑体" w:hAnsi="黑体" w:eastAsia="黑体" w:cs="黑体"/>
          <w:b/>
          <w:bCs/>
          <w:color w:val="auto"/>
          <w:sz w:val="32"/>
          <w:szCs w:val="32"/>
          <w:highlight w:val="none"/>
        </w:rPr>
        <w:outlineLvl w:val="0"/>
      </w:pPr>
      <w:r/>
      <w:bookmarkStart w:id="193" w:name="_Toc6917"/>
      <w:r/>
      <w:bookmarkStart w:id="194" w:name="_Toc22069"/>
      <w:r/>
      <w:bookmarkStart w:id="195" w:name="_Toc23391"/>
      <w:r>
        <w:rPr>
          <w:rFonts w:hint="eastAsia" w:ascii="仿宋" w:hAnsi="仿宋" w:eastAsia="仿宋" w:cs="仿宋"/>
          <w:b/>
          <w:bCs/>
          <w:color w:val="auto"/>
          <w:sz w:val="32"/>
          <w:szCs w:val="32"/>
          <w:highlight w:val="none"/>
        </w:rPr>
        <w:t xml:space="preserve">江苏省政府采购合同（合同编号）</w:t>
      </w:r>
      <w:bookmarkEnd w:id="193"/>
      <w:r/>
      <w:bookmarkEnd w:id="194"/>
      <w:r/>
      <w:bookmarkEnd w:id="195"/>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u w:val="single"/>
        </w:rPr>
        <w:t xml:space="preserve">如东县教育体育局城域网网络安全提升工程采购项目</w:t>
      </w:r>
      <w:r>
        <w:rPr>
          <w:rFonts w:hint="eastAsia" w:ascii="仿宋" w:hAnsi="仿宋" w:eastAsia="仿宋" w:cs="仿宋"/>
          <w:color w:val="auto"/>
          <w:sz w:val="24"/>
          <w:szCs w:val="24"/>
          <w:highlight w:val="none"/>
        </w:rPr>
        <w:t xml:space="preserve">  </w:t>
      </w:r>
      <w:r/>
    </w:p>
    <w:p>
      <w:pPr>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u w:val="single"/>
        </w:rPr>
        <w:t xml:space="preserve">如东县教育体育局</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乙方：（卖方）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依据《中华人民共和国民法典》、《中华人民共和国政府采购法》等有关的法律法规，以及本采购项目的磋商文件、乙方的《响应文件》及《成交通知书》，甲乙双方同意签订本合同。具体情况及要求如下： </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一、合同内容</w:t>
      </w:r>
      <w:r/>
    </w:p>
    <w:p>
      <w:pPr>
        <w:ind w:firstLine="42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u w:val="single"/>
        </w:rPr>
        <w:t xml:space="preserve">如东县教育体育局城域网网络安全提升工程采购项目</w:t>
      </w:r>
      <w:r/>
    </w:p>
    <w:p>
      <w:pPr>
        <w:ind w:firstLine="42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标的质量：</w:t>
      </w:r>
      <w:r>
        <w:rPr>
          <w:rFonts w:hint="eastAsia" w:ascii="仿宋" w:hAnsi="仿宋" w:eastAsia="仿宋" w:cs="仿宋"/>
          <w:color w:val="auto"/>
          <w:sz w:val="24"/>
          <w:szCs w:val="24"/>
          <w:highlight w:val="none"/>
          <w:u w:val="single"/>
        </w:rPr>
        <w:t xml:space="preserve">达到采购文件要求</w:t>
      </w:r>
      <w:r/>
    </w:p>
    <w:p>
      <w:pPr>
        <w:ind w:firstLine="42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标的数量（规模）：</w:t>
      </w:r>
      <w:r>
        <w:rPr>
          <w:rFonts w:hint="eastAsia" w:ascii="仿宋" w:hAnsi="仿宋" w:eastAsia="仿宋" w:cs="仿宋"/>
          <w:color w:val="auto"/>
          <w:sz w:val="24"/>
          <w:szCs w:val="24"/>
          <w:highlight w:val="none"/>
          <w:u w:val="single"/>
        </w:rPr>
        <w:t xml:space="preserve">详见采购文件需求清单</w:t>
      </w:r>
      <w:r/>
    </w:p>
    <w:p>
      <w:pPr>
        <w:ind w:firstLine="42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履行时间（期限）：</w:t>
      </w:r>
      <w:r>
        <w:rPr>
          <w:rFonts w:hint="eastAsia" w:ascii="仿宋" w:hAnsi="仿宋" w:eastAsia="仿宋" w:cs="仿宋"/>
          <w:color w:val="auto"/>
          <w:sz w:val="24"/>
          <w:szCs w:val="24"/>
          <w:highlight w:val="none"/>
          <w:u w:val="single"/>
        </w:rPr>
        <w:t xml:space="preserve">                 </w:t>
      </w:r>
      <w:r/>
    </w:p>
    <w:p>
      <w:pPr>
        <w:ind w:firstLine="42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1.5 履行地点：</w:t>
      </w:r>
      <w:r>
        <w:rPr>
          <w:rFonts w:hint="eastAsia" w:ascii="仿宋" w:hAnsi="仿宋" w:eastAsia="仿宋" w:cs="仿宋"/>
          <w:color w:val="auto"/>
          <w:sz w:val="24"/>
          <w:szCs w:val="24"/>
          <w:highlight w:val="none"/>
          <w:u w:val="single"/>
        </w:rPr>
        <w:t xml:space="preserve">                 </w:t>
      </w:r>
      <w:r/>
    </w:p>
    <w:p>
      <w:pPr>
        <w:ind w:firstLine="42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履行方式：</w:t>
      </w:r>
      <w:bookmarkStart w:id="196" w:name="OLE_LINK3"/>
      <w:r>
        <w:rPr>
          <w:rFonts w:hint="eastAsia" w:ascii="仿宋" w:hAnsi="仿宋" w:eastAsia="仿宋" w:cs="仿宋"/>
          <w:color w:val="auto"/>
          <w:sz w:val="24"/>
          <w:szCs w:val="24"/>
          <w:highlight w:val="none"/>
          <w:u w:val="single"/>
        </w:rPr>
        <w:t xml:space="preserve">按采购文件执行</w:t>
      </w:r>
      <w:bookmarkEnd w:id="196"/>
      <w:r/>
      <w:r/>
    </w:p>
    <w:p>
      <w:pPr>
        <w:ind w:firstLine="42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包装方式：</w:t>
      </w:r>
      <w:r>
        <w:rPr>
          <w:rFonts w:hint="eastAsia" w:ascii="仿宋" w:hAnsi="仿宋" w:eastAsia="仿宋" w:cs="仿宋"/>
          <w:color w:val="auto"/>
          <w:sz w:val="24"/>
          <w:szCs w:val="24"/>
          <w:highlight w:val="none"/>
          <w:u w:val="single"/>
        </w:rPr>
        <w:t xml:space="preserve">按采购文件执行</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二、合同金额</w:t>
      </w:r>
      <w:r/>
    </w:p>
    <w:p>
      <w:pPr>
        <w:ind w:firstLine="42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本合同金额为（大写）：</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元）人民币。</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三、技术资料</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3.1乙方应按磋商文件规定的时间向甲方提供与合同标的有关的技术资料。</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四、知识产权</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五、产权担保</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乙方保证所交付的合同标的的所有权完全属于乙方且无任何抵押、查封等产权瑕疵。</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六、履约保证金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乙方交纳人民币</w:t>
      </w:r>
      <w:r>
        <w:rPr>
          <w:rFonts w:hint="eastAsia" w:ascii="仿宋" w:hAnsi="仿宋" w:eastAsia="仿宋" w:cs="仿宋"/>
          <w:color w:val="auto"/>
          <w:sz w:val="24"/>
          <w:szCs w:val="24"/>
          <w:highlight w:val="none"/>
          <w:u w:val="single"/>
        </w:rPr>
        <w:t xml:space="preserve">项目成交价的5%</w:t>
      </w:r>
      <w:r>
        <w:rPr>
          <w:rFonts w:hint="eastAsia" w:ascii="仿宋" w:hAnsi="仿宋" w:eastAsia="仿宋" w:cs="仿宋"/>
          <w:color w:val="auto"/>
          <w:sz w:val="24"/>
          <w:szCs w:val="24"/>
          <w:highlight w:val="none"/>
        </w:rPr>
        <w:t xml:space="preserve">元作为本合同的履约保证金。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6.2合同履行结束后，甲方应及时退还交纳的履约保证金。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6.2.1履约保证金退还方式：</w:t>
      </w:r>
      <w:r>
        <w:rPr>
          <w:rFonts w:hint="eastAsia" w:ascii="仿宋" w:hAnsi="仿宋" w:eastAsia="仿宋" w:cs="仿宋"/>
          <w:color w:val="auto"/>
          <w:sz w:val="24"/>
          <w:szCs w:val="24"/>
          <w:highlight w:val="none"/>
          <w:u w:val="single"/>
        </w:rPr>
        <w:t xml:space="preserve">按缴纳方式退还</w:t>
      </w:r>
      <w:r>
        <w:rPr>
          <w:rFonts w:hint="eastAsia" w:ascii="仿宋" w:hAnsi="仿宋" w:eastAsia="仿宋" w:cs="仿宋"/>
          <w:color w:val="auto"/>
          <w:sz w:val="24"/>
          <w:szCs w:val="24"/>
          <w:highlight w:val="none"/>
        </w:rPr>
        <w:t xml:space="preserve">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6.2.2履约保证金退还时间：</w:t>
      </w:r>
      <w:r>
        <w:rPr>
          <w:rFonts w:hint="eastAsia" w:ascii="仿宋" w:hAnsi="仿宋" w:eastAsia="仿宋" w:cs="仿宋"/>
          <w:color w:val="auto"/>
          <w:sz w:val="24"/>
          <w:szCs w:val="24"/>
          <w:highlight w:val="none"/>
          <w:u w:val="single"/>
        </w:rPr>
        <w:t xml:space="preserve">安装调试验收结束后一个月内 </w:t>
      </w:r>
      <w:r>
        <w:rPr>
          <w:rFonts w:hint="eastAsia" w:ascii="仿宋" w:hAnsi="仿宋" w:eastAsia="仿宋" w:cs="仿宋"/>
          <w:color w:val="auto"/>
          <w:sz w:val="24"/>
          <w:szCs w:val="24"/>
          <w:highlight w:val="none"/>
        </w:rPr>
        <w:t xml:space="preserve">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6.2.3履约保证金退还条件：乙方全部履约合同义务，经甲方验收合格无质量、进度等问题的，甲方在验收合格后一次性退还履约保证金，甲方若逾期退还履约保证金的，按照逾期部分的每日0.05%支付违约金。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6.2.4发生以下情况的，履约保证金不予退还或部分退还：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6.2.4.1 签订合同后，乙方不履行合同义务的，甲方有权全额扣除履约保证金，全额不予退还，同时甲方亦有权终止合同，乙方还须承担相应的法律赔偿责任。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6.2.4.2 乙方在履约过程中发生违约行为，给甲方造成损失的，甲方有权在乙方缴纳的履约保证金中予以扣款，以弥补甲方经济损失，不足的部分乙方另外补齐。</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七、合同转包或分包</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7.1乙方不得将合同标的转包给他人履行。</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7.2乙方不得将合同标的分包给他人履行。</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7.3乙方如有转包或未经甲方同意的分包行为，甲方有权解除合同。</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八、合同款项支付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8.1合同款项的支付方式及进度安排</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8.1.1验收合格后一次性付清合同价款。</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九、税费</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9.1本合同执行中相关的一切税费均由乙方负担。</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十、项目验收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甲方依法组织履约验收工作。</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对于实际使用人和甲方分离的项目，甲方邀请实际使用人参与验收。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如有必要，甲方邀请参加本项目的其他供应商或第三方专业机构及专家参与验收，相关意见将作为验收书的参考资料。</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十一、货物的包装、发运及运输</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使用说明书、质量检验证明书、随配附件和工具以及清单一并附于货物内。</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乙方在货物发运手续办理完毕后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小时内或货到甲方</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小时前通知甲方，以准备接货。</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货物在交付甲方前发生的风险均由乙方负责。</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 货物在规定的交付期限内由乙方送达甲方指定的地点视为交付，乙方同时需通知甲方货物已送达。</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十二、违约责任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12.1甲方无正当理由拒绝接受乙方提供的合同标的的，甲方向乙方偿付拒绝接受合同价款总值</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的违约金。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甲方无故逾期验收和办理合同款项支付手续的,甲方应按逾期付款总额</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每日向乙方支付违约金。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乙方逾期交付合同标的的，乙方应按逾期交付合同总额每日3‰向甲方支付违约金，由甲方从待付合同款项中扣除。逾期超过约定日期</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的违约金，如造成甲方损失超过违约金的，超出部分由乙方继续承担赔偿责任。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乙方交付合同标的的标准不符合合同规定及磋商文件规定标准的，甲方有权拒绝接受合同标的，并可单方面解除合同。</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十三、不可抗力事件处理</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在合同有效期内，任何一方因不可抗力事件导致不能履行合同，则合同履行期可延长，其延长期与不可抗力影响期相同。</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不可抗力事件发生后，应立即通知对方，并寄送有关权威机构出具的证明。</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不可抗力事件延续</w:t>
      </w:r>
      <w:r>
        <w:rPr>
          <w:rFonts w:hint="eastAsia" w:ascii="仿宋" w:hAnsi="仿宋" w:eastAsia="仿宋" w:cs="仿宋"/>
          <w:color w:val="auto"/>
          <w:sz w:val="24"/>
          <w:szCs w:val="24"/>
          <w:highlight w:val="none"/>
          <w:u w:val="single"/>
        </w:rPr>
        <w:t xml:space="preserve">120</w:t>
      </w:r>
      <w:r>
        <w:rPr>
          <w:rFonts w:hint="eastAsia" w:ascii="仿宋" w:hAnsi="仿宋" w:eastAsia="仿宋" w:cs="仿宋"/>
          <w:color w:val="auto"/>
          <w:sz w:val="24"/>
          <w:szCs w:val="24"/>
          <w:highlight w:val="none"/>
        </w:rPr>
        <w:t xml:space="preserve">天以上，双方应通过友好协商，确定是否继续履行合同。</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十四、解决争议的方法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14.1双方在签订、履行合同中所发生的一切争议，应通过友好协商解决。如协商不成，由甲方住所地人民法院管辖。</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十五、合同生效及其它</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 合同经双方法定代表人或授权委托代表人签字并加盖单位公章后生效。</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15.2本合同未尽事宜，遵照中华人民共和国现行法律法规有关条文执行。</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 本合同正本一式六份，具有同等法律效力。</w:t>
      </w:r>
      <w:r/>
    </w:p>
    <w:p>
      <w:pPr>
        <w:ind w:left="480" w:hanging="480"/>
        <w:spacing w:before="120" w:after="120"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spacing w:before="120" w:after="120"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479" w:hanging="240"/>
        <w:spacing w:before="120" w:after="120"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甲方：                        乙方： </w:t>
      </w:r>
      <w:r/>
    </w:p>
    <w:p>
      <w:pPr>
        <w:spacing w:before="120" w:after="120"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地址：                        地址： </w:t>
      </w:r>
      <w:r/>
    </w:p>
    <w:p>
      <w:pPr>
        <w:spacing w:before="120" w:after="120"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法定代表人或授权代表：        法定代表人或授权代表：</w:t>
      </w:r>
      <w:r/>
    </w:p>
    <w:p>
      <w:pPr>
        <w:ind w:firstLine="240"/>
        <w:spacing w:before="120" w:after="120" w:line="0" w:lineRule="atLeast"/>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rPr>
        <w:t xml:space="preserve">联系电话：                    联系电话：          </w:t>
      </w:r>
      <w:r/>
    </w:p>
    <w:p>
      <w:pPr>
        <w:ind w:firstLine="420"/>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 w:val="24"/>
          <w:szCs w:val="24"/>
          <w:highlight w:val="none"/>
        </w:rPr>
        <w:t xml:space="preserve">  签订日期：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日</w:t>
      </w:r>
      <w:bookmarkEnd w:id="190"/>
      <w:r/>
      <w:bookmarkEnd w:id="191"/>
      <w:r/>
      <w:bookmarkEnd w:id="192"/>
      <w:r/>
      <w:r/>
    </w:p>
    <w:p>
      <w:pPr>
        <w:jc w:val="center"/>
        <w:spacing w:before="120" w:after="120" w:line="0" w:lineRule="atLeast"/>
        <w:rPr>
          <w:rFonts w:hint="eastAsia" w:ascii="仿宋" w:hAnsi="仿宋" w:eastAsia="仿宋" w:cs="仿宋"/>
          <w:b/>
          <w:color w:val="auto"/>
          <w:sz w:val="44"/>
          <w:szCs w:val="21"/>
          <w:highlight w:val="none"/>
        </w:rPr>
        <w:outlineLvl w:val="0"/>
      </w:pPr>
      <w:r/>
      <w:bookmarkStart w:id="197" w:name="_Hlt16619369"/>
      <w:r/>
      <w:bookmarkEnd w:id="197"/>
      <w:r/>
      <w:bookmarkStart w:id="198" w:name="_Hlt16619350"/>
      <w:r/>
      <w:bookmarkStart w:id="199" w:name="_Toc20823346"/>
      <w:r/>
      <w:bookmarkStart w:id="200" w:name="_Toc16938590"/>
      <w:r/>
      <w:bookmarkStart w:id="201" w:name="_Toc120614244"/>
      <w:r/>
      <w:bookmarkStart w:id="202" w:name="_Toc479757211"/>
      <w:r/>
      <w:bookmarkStart w:id="203" w:name="_Toc462564139"/>
      <w:r>
        <w:rPr>
          <w:rFonts w:hint="eastAsia" w:ascii="仿宋" w:hAnsi="仿宋" w:eastAsia="仿宋" w:cs="仿宋"/>
          <w:bCs/>
          <w:color w:val="auto"/>
          <w:sz w:val="24"/>
          <w:szCs w:val="24"/>
          <w:highlight w:val="none"/>
        </w:rPr>
        <w:br w:type="page" w:clear="all"/>
      </w:r>
      <w:bookmarkStart w:id="204" w:name="_Toc14539"/>
      <w:r/>
      <w:bookmarkStart w:id="205" w:name="_Toc20693"/>
      <w:r/>
      <w:bookmarkStart w:id="206" w:name="_Toc16952"/>
      <w:r>
        <w:rPr>
          <w:rFonts w:hint="eastAsia" w:ascii="仿宋" w:hAnsi="仿宋" w:eastAsia="仿宋" w:cs="仿宋"/>
          <w:b/>
          <w:color w:val="auto"/>
          <w:sz w:val="44"/>
          <w:szCs w:val="21"/>
          <w:highlight w:val="none"/>
        </w:rPr>
        <w:t xml:space="preserve">第</w:t>
      </w:r>
      <w:bookmarkEnd w:id="198"/>
      <w:r>
        <w:rPr>
          <w:rFonts w:hint="eastAsia" w:ascii="仿宋" w:hAnsi="仿宋" w:eastAsia="仿宋" w:cs="仿宋"/>
          <w:b/>
          <w:color w:val="auto"/>
          <w:sz w:val="44"/>
          <w:szCs w:val="21"/>
          <w:highlight w:val="none"/>
        </w:rPr>
        <w:t xml:space="preserve">四章 采购需求</w:t>
      </w:r>
      <w:bookmarkEnd w:id="199"/>
      <w:r/>
      <w:bookmarkEnd w:id="200"/>
      <w:r/>
      <w:bookmarkEnd w:id="201"/>
      <w:r/>
      <w:bookmarkEnd w:id="204"/>
      <w:r/>
      <w:bookmarkEnd w:id="205"/>
      <w:r/>
      <w:bookmarkEnd w:id="206"/>
      <w:r/>
      <w:bookmarkStart w:id="207" w:name="_Toc49090575"/>
      <w:r/>
      <w:bookmarkStart w:id="208" w:name="_Toc26554093"/>
      <w:r/>
      <w:r/>
    </w:p>
    <w:p>
      <w:pPr>
        <w:ind w:firstLine="561"/>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供应商在制作响应文件时仔细研究项目需求说明。项目需求包括技术要求和商务要求:</w:t>
      </w:r>
      <w:r/>
    </w:p>
    <w:p>
      <w:pPr>
        <w:ind w:firstLine="561"/>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技术要求是指对采购标的功能和质量要求，包括性能、材料、结构、外观、安全，或者服务内容和标准等,</w:t>
      </w:r>
      <w:r>
        <w:rPr>
          <w:rFonts w:hint="eastAsia" w:ascii="仿宋" w:hAnsi="仿宋" w:eastAsia="仿宋" w:cs="仿宋"/>
          <w:b/>
          <w:i/>
          <w:iCs/>
          <w:color w:val="auto"/>
          <w:sz w:val="28"/>
          <w:szCs w:val="28"/>
          <w:highlight w:val="none"/>
          <w:u w:val="single"/>
        </w:rPr>
        <w:t xml:space="preserve">其中必须满足的实质性要求加斜体下划线</w:t>
      </w:r>
      <w:r>
        <w:rPr>
          <w:rFonts w:hint="eastAsia" w:ascii="仿宋" w:hAnsi="仿宋" w:eastAsia="仿宋" w:cs="仿宋"/>
          <w:bCs/>
          <w:color w:val="auto"/>
          <w:sz w:val="28"/>
          <w:szCs w:val="28"/>
          <w:highlight w:val="none"/>
        </w:rPr>
        <w:t xml:space="preserve">。</w:t>
      </w:r>
      <w:r/>
    </w:p>
    <w:p>
      <w:pPr>
        <w:ind w:firstLine="561"/>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color w:val="auto"/>
          <w:sz w:val="28"/>
          <w:szCs w:val="28"/>
          <w:highlight w:val="none"/>
          <w:u w:val="single"/>
        </w:rPr>
        <w:t xml:space="preserve">其中必须满足的实质性要求加斜体下划线</w:t>
      </w:r>
      <w:r>
        <w:rPr>
          <w:rFonts w:hint="eastAsia" w:ascii="仿宋" w:hAnsi="仿宋" w:eastAsia="仿宋" w:cs="仿宋"/>
          <w:bCs/>
          <w:color w:val="auto"/>
          <w:sz w:val="28"/>
          <w:szCs w:val="28"/>
          <w:highlight w:val="none"/>
        </w:rPr>
        <w:t xml:space="preserve">。</w:t>
      </w:r>
      <w:r/>
    </w:p>
    <w:p>
      <w:pPr>
        <w:numPr>
          <w:ilvl w:val="0"/>
          <w:numId w:val="2"/>
        </w:numP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其内容包含：</w:t>
      </w:r>
      <w:r/>
    </w:p>
    <w:p>
      <w:pPr>
        <w:pStyle w:val="771"/>
        <w:ind w:left="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（一）采购标的需实现的功能或者目标，以及为落实政府采购政策需满足的要求；</w:t>
      </w:r>
      <w:r/>
    </w:p>
    <w:p>
      <w:pPr>
        <w:ind w:firstLine="561"/>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随着如东县智慧教育建设持续纵深推进，数字化教学、线上教研、远程会议、无纸化办公、成人职业线上培训等业务已全面常态化落地。目前如东县下属幼儿园、县区教办、成人校现有网络基础设施普遍建设年限较长，整体存在设备硬件老化、核心性能不足、网络架构陈旧、有线链路衰减、布线系统混乱、弱电机柜不规范、无线覆盖缺失或老旧、网络安全策略空白、多终端并发承载能力弱等系统性问题。现需要对以上问题进行整体解决与改造以推动全区教育数字化、信息化、智能化高质量发展。</w:t>
      </w:r>
      <w:r/>
    </w:p>
    <w:p>
      <w:pPr>
        <w:pStyle w:val="771"/>
        <w:ind w:left="0"/>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（二）采购标的需执行的国家相关标准、行业标准、地方标准或者其他标准、规范；</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国家标准：</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GB/T 15629.11-2022《无线局域网物理层及MAC层规范》</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GB 8702-2014《电磁环境控制限值》</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GB 18038-2019《无线电发射设备技术要求》</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GB/T 35273-2020《无线局域网产品安全技术要求》</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GB/T 22239-2019《网络安全等级保护基本要求》</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GB 50312-2016《综合布线系统工程验收规范》</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GB 50057-2010（2021版）《建筑物防雷设计规范》。</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通信行业标准：</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YD/T 2165-2010《WLAN接入点设备技术要求》</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YD/T 2166-2010《WLAN接入控制器设备技术要求》</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YD/T 1032-2014《通信局站防雷与接地规范》。</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安全行业标准：</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GA/T 1089-2013《无线局域网安全产品检验评价方法》</w:t>
      </w:r>
      <w:r/>
    </w:p>
    <w:p>
      <w:pPr>
        <w:ind w:firstLine="561"/>
        <w:spacing w:line="400" w:lineRule="exact"/>
        <w:rPr>
          <w:rFonts w:hint="eastAsia"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项目中所采购的产品应具备很好的使用安全可靠性，避免发生安全隐患。</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（三）采购标的需满足的数量、质量、安全、技术规格、物理特性等要求；</w:t>
      </w:r>
      <w:r/>
    </w:p>
    <w:p>
      <w:pPr>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采购包1：</w:t>
      </w:r>
      <w:r/>
    </w:p>
    <w:p>
      <w:pPr>
        <w:ind w:firstLine="42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1、采购需求清单</w:t>
      </w:r>
      <w:r/>
    </w:p>
    <w:tbl>
      <w:tblPr>
        <w:tblStyle w:val="731"/>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17"/>
        <w:gridCol w:w="2346"/>
        <w:gridCol w:w="5550"/>
        <w:gridCol w:w="790"/>
        <w:gridCol w:w="628"/>
      </w:tblGrid>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序号</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设备名称</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规格</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数量</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单位</w:t>
            </w:r>
            <w:r/>
          </w:p>
        </w:tc>
      </w:tr>
      <w:tr>
        <w:trPr>
          <w:cantSplit/>
          <w:jc w:val="center"/>
          <w:trHeight w:val="399"/>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出口路由器</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防火墙</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核心交换机</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24口接入交换机</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cantSplit/>
          <w:jc w:val="center"/>
          <w:trHeight w:val="90"/>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24口POE接入交换机</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无线AP</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7</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本地供电模块</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单端口POE注入器</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17</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千兆单模光模块</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光模块-SFP-GE-单模模块-(1310nm,10km,LC)</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26</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块</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无线授权</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提供无线网络配套授权</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机柜</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国优9U</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18</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11</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配线架</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国优24口6类</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网络跳线</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国优6类</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210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根</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13</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网络理线架</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国优1U</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14</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网线</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国优6类</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15040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电源线</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国标RVV 3*1.5</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560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16</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PDU</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国标6位</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18</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17</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PVC管</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国优&amp;20</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9350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18</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PVC线槽</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国优5*10</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1010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19</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面板模块</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国优6类</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188</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cantSplit/>
          <w:jc w:val="center"/>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辅助材料</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施工过程中涉及的辅助材料</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cantSplit/>
          <w:jc w:val="center"/>
          <w:trHeight w:val="963"/>
        </w:trPr>
        <w:tc>
          <w:tcPr>
            <w:tcMar>
              <w:left w:w="8" w:type="dxa"/>
              <w:top w:w="8" w:type="dxa"/>
              <w:right w:w="8" w:type="dxa"/>
              <w:bottom w:w="-1" w:type="dxa"/>
            </w:tcMar>
            <w:tcW w:w="61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21</w:t>
            </w:r>
            <w:r/>
          </w:p>
        </w:tc>
        <w:tc>
          <w:tcPr>
            <w:tcMar>
              <w:left w:w="8" w:type="dxa"/>
              <w:top w:w="8" w:type="dxa"/>
              <w:right w:w="8" w:type="dxa"/>
              <w:bottom w:w="-1" w:type="dxa"/>
            </w:tcMar>
            <w:tcW w:w="234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系统集成</w:t>
            </w:r>
            <w:r/>
          </w:p>
        </w:tc>
        <w:tc>
          <w:tcPr>
            <w:tcMar>
              <w:left w:w="8" w:type="dxa"/>
              <w:top w:w="8" w:type="dxa"/>
              <w:right w:w="8" w:type="dxa"/>
              <w:bottom w:w="-1" w:type="dxa"/>
            </w:tcMar>
            <w:tcW w:w="555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提供现网工勘、点位设计、设备上架、设备安装、设备调试、系统对接、网络线缆管线铺设、有线无线网络调优、系统集成等。</w:t>
            </w:r>
            <w:r/>
          </w:p>
        </w:tc>
        <w:tc>
          <w:tcPr>
            <w:tcMar>
              <w:left w:w="8" w:type="dxa"/>
              <w:top w:w="8" w:type="dxa"/>
              <w:right w:w="8" w:type="dxa"/>
              <w:bottom w:w="-1" w:type="dxa"/>
            </w:tcMar>
            <w:tcW w:w="7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bl>
    <w:p>
      <w:pPr>
        <w:numPr>
          <w:ilvl w:val="0"/>
          <w:numId w:val="3"/>
        </w:numPr>
        <w:ind w:firstLine="42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幼儿园设备清单</w:t>
      </w:r>
      <w:r/>
    </w:p>
    <w:tbl>
      <w:tblPr>
        <w:tblStyle w:val="756"/>
        <w:tblW w:w="0" w:type="auto"/>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428"/>
        <w:gridCol w:w="756"/>
        <w:gridCol w:w="532"/>
        <w:gridCol w:w="771"/>
        <w:gridCol w:w="770"/>
        <w:gridCol w:w="921"/>
        <w:gridCol w:w="900"/>
        <w:gridCol w:w="545"/>
        <w:gridCol w:w="723"/>
        <w:gridCol w:w="720"/>
      </w:tblGrid>
      <w:tr>
        <w:trPr/>
        <w:tc>
          <w:tcPr>
            <w:tcW w:w="968"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W w:w="2428"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幼儿园</w:t>
            </w:r>
            <w:r/>
          </w:p>
        </w:tc>
        <w:tc>
          <w:tcPr>
            <w:tcW w:w="75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出口路由器</w:t>
            </w:r>
            <w:r/>
          </w:p>
        </w:tc>
        <w:tc>
          <w:tcPr>
            <w:tcW w:w="532"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防火墙</w:t>
            </w:r>
            <w:r/>
          </w:p>
        </w:tc>
        <w:tc>
          <w:tcPr>
            <w:tcW w:w="771"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核心交换机</w:t>
            </w:r>
            <w:r/>
          </w:p>
        </w:tc>
        <w:tc>
          <w:tcPr>
            <w:tcW w:w="770"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24口接入交换机</w:t>
            </w:r>
            <w:r/>
          </w:p>
        </w:tc>
        <w:tc>
          <w:tcPr>
            <w:tcW w:w="921"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24口POE接入交换机</w:t>
            </w:r>
            <w:r/>
          </w:p>
        </w:tc>
        <w:tc>
          <w:tcPr>
            <w:tcW w:w="900"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48口POE接入交换机</w:t>
            </w:r>
            <w:r/>
          </w:p>
        </w:tc>
        <w:tc>
          <w:tcPr>
            <w:tcW w:w="545"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放装AP</w:t>
            </w:r>
            <w:r/>
          </w:p>
        </w:tc>
        <w:tc>
          <w:tcPr>
            <w:tcW w:w="723"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本地供电模块</w:t>
            </w:r>
            <w:r/>
          </w:p>
        </w:tc>
        <w:tc>
          <w:tcPr>
            <w:tcW w:w="720"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千兆单模光模块</w:t>
            </w:r>
            <w:r/>
          </w:p>
        </w:tc>
      </w:tr>
      <w:tr>
        <w:trPr/>
        <w:tc>
          <w:tcPr>
            <w:tcW w:w="968" w:type="dxa"/>
            <w:vAlign w:val="center"/>
            <w:vMerge w:val="restart"/>
            <w:textDirection w:val="lrTb"/>
            <w:noWrap w:val="false"/>
          </w:tcPr>
          <w:p>
            <w:pPr>
              <w:pStyle w:val="754"/>
              <w:ind w:firstLine="0"/>
              <w:jc w:val="center"/>
              <w:spacing w:line="360" w:lineRule="auto"/>
              <w:rPr>
                <w:color w:val="auto"/>
                <w:highlight w:val="none"/>
              </w:rPr>
            </w:pPr>
            <w:r>
              <w:rPr>
                <w:rFonts w:hint="eastAsia" w:ascii="仿宋" w:hAnsi="仿宋" w:eastAsia="仿宋" w:cs="仿宋"/>
                <w:color w:val="auto"/>
                <w:sz w:val="24"/>
                <w:highlight w:val="none"/>
                <w:lang w:bidi="ar"/>
              </w:rPr>
              <w:t xml:space="preserve">掘港、城中街道</w:t>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城中街道新苗幼儿园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17</w:t>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w:t>
            </w:r>
            <w:r/>
          </w:p>
        </w:tc>
      </w:tr>
      <w:tr>
        <w:trPr/>
        <w:tc>
          <w:tcPr>
            <w:tcW w:w="968" w:type="dxa"/>
            <w:vMerge w:val="continue"/>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城中街道九总幼儿园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Merge w:val="continue"/>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掘港街道掘港幼儿园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Merge w:val="continue"/>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掘港街道群力幼儿园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90"/>
        </w:trPr>
        <w:tc>
          <w:tcPr>
            <w:tcW w:w="968" w:type="dxa"/>
            <w:vMerge w:val="continue"/>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掘港街道环北幼儿园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Merge w:val="continue"/>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掘港街道环镇幼儿园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Merge w:val="continue"/>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掘港街道童店幼儿园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W w:w="723"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W w:w="720"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tc>
          <w:tcPr>
            <w:tcW w:w="968" w:type="dxa"/>
            <w:vMerge w:val="continue"/>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掘港街道华丰幼儿园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restart"/>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大豫镇</w:t>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大豫镇海滨幼儿园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大豫镇丁店幼儿园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W w:w="723"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W w:w="720"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大豫镇新星幼儿园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textDirection w:val="lrTb"/>
            <w:noWrap w:val="false"/>
          </w:tcPr>
          <w:p>
            <w:pPr>
              <w:pStyle w:val="754"/>
              <w:ind w:firstLine="0"/>
              <w:jc w:val="center"/>
              <w:spacing w:line="360" w:lineRule="auto"/>
              <w:rPr>
                <w:rFonts w:hint="eastAsia" w:ascii="仿宋" w:hAnsi="仿宋" w:eastAsia="仿宋" w:cs="仿宋"/>
                <w:color w:val="auto"/>
                <w:sz w:val="24"/>
                <w:highlight w:val="none"/>
                <w:lang w:val="en-US" w:bidi="ar"/>
              </w:rPr>
            </w:pPr>
            <w:r>
              <w:rPr>
                <w:rFonts w:hint="eastAsia" w:ascii="仿宋" w:hAnsi="仿宋" w:eastAsia="仿宋" w:cs="仿宋"/>
                <w:color w:val="auto"/>
                <w:sz w:val="24"/>
                <w:highlight w:val="none"/>
                <w:lang w:bidi="ar"/>
              </w:rPr>
              <w:t xml:space="preserve">洋口港</w:t>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洋口港港城幼儿园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restart"/>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洋口镇</w:t>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洋口镇洋口幼儿园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洋口镇新林幼儿园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洋口镇光荣幼儿园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洋口镇新洋幼儿园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restart"/>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岔河镇</w:t>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岔河镇岔河幼儿园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岔河镇岔北幼儿园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岔河镇岔东幼儿园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岔河镇岔南幼儿园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岔河镇古坝幼儿园</w:t>
            </w:r>
            <w:r/>
          </w:p>
        </w:tc>
        <w:tc>
          <w:tcPr>
            <w:tcW w:w="756"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w:t>
            </w:r>
            <w:r/>
          </w:p>
        </w:tc>
        <w:tc>
          <w:tcPr>
            <w:tcW w:w="723"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w:t>
            </w:r>
            <w:r/>
          </w:p>
        </w:tc>
        <w:tc>
          <w:tcPr>
            <w:tcW w:w="720"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tc>
          <w:tcPr>
            <w:tcW w:w="968" w:type="dxa"/>
            <w:vAlign w:val="center"/>
            <w:vMerge w:val="restart"/>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马塘镇</w:t>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马塘镇潮桥幼儿园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continue"/>
            <w:textDirection w:val="lrTb"/>
            <w:noWrap w:val="false"/>
          </w:tcPr>
          <w:p>
            <w:pPr>
              <w:pStyle w:val="754"/>
              <w:ind w:firstLine="0"/>
              <w:jc w:val="center"/>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马塘镇凌民幼儿园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Align w:val="center"/>
            <w:vMerge w:val="restart"/>
            <w:textDirection w:val="lrTb"/>
            <w:noWrap w:val="false"/>
          </w:tcPr>
          <w:p>
            <w:pPr>
              <w:pStyle w:val="754"/>
              <w:ind w:firstLine="0"/>
              <w:jc w:val="center"/>
              <w:spacing w:line="360" w:lineRule="auto"/>
              <w:rPr>
                <w:rFonts w:hint="eastAsia" w:ascii="仿宋" w:hAnsi="仿宋" w:eastAsia="仿宋" w:cs="仿宋"/>
                <w:color w:val="auto"/>
                <w:sz w:val="24"/>
                <w:highlight w:val="none"/>
                <w:lang w:val="en-US" w:bidi="ar"/>
              </w:rPr>
            </w:pPr>
            <w:r>
              <w:rPr>
                <w:rFonts w:hint="eastAsia" w:ascii="仿宋" w:hAnsi="仿宋" w:eastAsia="仿宋" w:cs="仿宋"/>
                <w:color w:val="auto"/>
                <w:sz w:val="24"/>
                <w:highlight w:val="none"/>
                <w:lang w:bidi="ar"/>
              </w:rPr>
              <w:t xml:space="preserve">曹埠镇</w:t>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曹埠镇饮泉幼儿园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Merge w:val="continue"/>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曹埠镇惕安幼儿园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vMerge w:val="continue"/>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曹埠镇孙窑幼儿园</w:t>
            </w:r>
            <w:r/>
          </w:p>
        </w:tc>
        <w:tc>
          <w:tcPr>
            <w:tcW w:w="756"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32"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1" w:type="dxa"/>
            <w:vAlign w:val="center"/>
            <w:textDirection w:val="lrTb"/>
            <w:noWrap w:val="false"/>
          </w:tcPr>
          <w:p>
            <w:pPr>
              <w:jc w:val="center"/>
              <w:keepNex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W w:w="77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45"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3"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0" w:type="dxa"/>
            <w:vAlign w:val="center"/>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968" w:type="dxa"/>
            <w:textDirection w:val="lrTb"/>
            <w:noWrap w:val="false"/>
          </w:tcPr>
          <w:p>
            <w:pPr>
              <w:pStyle w:val="754"/>
              <w:spacing w:line="360" w:lineRule="auto"/>
              <w:rPr>
                <w:color w:val="auto"/>
                <w:highlight w:val="none"/>
              </w:rPr>
            </w:pPr>
            <w:r>
              <w:rPr>
                <w:color w:val="auto"/>
                <w:highlight w:val="none"/>
              </w:rPr>
            </w:r>
            <w:r/>
          </w:p>
        </w:tc>
        <w:tc>
          <w:tcPr>
            <w:tcW w:w="2428"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bidi="ar"/>
              </w:rPr>
              <w:t xml:space="preserve">合计</w:t>
            </w:r>
            <w:r/>
          </w:p>
        </w:tc>
        <w:tc>
          <w:tcPr>
            <w:tcW w:w="75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w:t>
            </w:r>
            <w:r/>
          </w:p>
        </w:tc>
        <w:tc>
          <w:tcPr>
            <w:tcW w:w="532"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w:t>
            </w:r>
            <w:r/>
          </w:p>
        </w:tc>
        <w:tc>
          <w:tcPr>
            <w:tcW w:w="771"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bidi="ar"/>
              </w:rPr>
              <w:t xml:space="preserve">15</w:t>
            </w:r>
            <w:r/>
          </w:p>
        </w:tc>
        <w:tc>
          <w:tcPr>
            <w:tcW w:w="770"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3</w:t>
            </w:r>
            <w:r/>
          </w:p>
        </w:tc>
        <w:tc>
          <w:tcPr>
            <w:tcW w:w="921"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4</w:t>
            </w:r>
            <w:r/>
          </w:p>
        </w:tc>
        <w:tc>
          <w:tcPr>
            <w:tcW w:w="900"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0</w:t>
            </w:r>
            <w:r/>
          </w:p>
        </w:tc>
        <w:tc>
          <w:tcPr>
            <w:tcW w:w="545"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40</w:t>
            </w:r>
            <w:r/>
          </w:p>
        </w:tc>
        <w:tc>
          <w:tcPr>
            <w:tcW w:w="723"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17</w:t>
            </w:r>
            <w:r/>
          </w:p>
        </w:tc>
        <w:tc>
          <w:tcPr>
            <w:tcW w:w="720"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14</w:t>
            </w:r>
            <w:r/>
          </w:p>
        </w:tc>
      </w:tr>
    </w:tbl>
    <w:p>
      <w:pPr>
        <w:ind w:firstLine="42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3、幼儿园施工清单</w:t>
      </w:r>
      <w:r/>
    </w:p>
    <w:tbl>
      <w:tblPr>
        <w:tblStyle w:val="731"/>
        <w:tblW w:w="10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2456"/>
        <w:gridCol w:w="524"/>
        <w:gridCol w:w="600"/>
        <w:gridCol w:w="677"/>
        <w:gridCol w:w="751"/>
        <w:gridCol w:w="821"/>
        <w:gridCol w:w="677"/>
        <w:gridCol w:w="648"/>
        <w:gridCol w:w="808"/>
        <w:gridCol w:w="690"/>
        <w:gridCol w:w="677"/>
      </w:tblGrid>
      <w:tr>
        <w:trPr>
          <w:jc w:val="center"/>
          <w:tblHeader/>
        </w:trPr>
        <w:tc>
          <w:tcPr>
            <w:tcMar>
              <w:left w:w="-1" w:type="dxa"/>
              <w:top w:w="-1" w:type="dxa"/>
              <w:right w:w="-1" w:type="dxa"/>
              <w:bottom w:w="-1" w:type="dxa"/>
            </w:tcMar>
            <w:tcW w:w="93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机柜</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配线架</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网络跳线</w:t>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网络理线架</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网线</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电源线</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PDU</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PVC管</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PVC线槽</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面板模块</w:t>
            </w:r>
            <w:r/>
          </w:p>
        </w:tc>
      </w:tr>
      <w:tr>
        <w:trPr>
          <w:jc w:val="center"/>
        </w:trPr>
        <w:tc>
          <w:tcPr>
            <w:tcMar>
              <w:left w:w="-1" w:type="dxa"/>
              <w:top w:w="-1" w:type="dxa"/>
              <w:right w:w="-1" w:type="dxa"/>
              <w:bottom w:w="-1" w:type="dxa"/>
            </w:tcMar>
            <w:tcW w:w="93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掘港、城中街道</w:t>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城中街道新苗幼儿园</w:t>
            </w:r>
            <w:r/>
          </w:p>
        </w:tc>
        <w:tc>
          <w:tcPr>
            <w:tcMar>
              <w:left w:w="-1" w:type="dxa"/>
              <w:top w:w="-1" w:type="dxa"/>
              <w:right w:w="-1" w:type="dxa"/>
              <w:bottom w:w="-1" w:type="dxa"/>
            </w:tcMar>
            <w:tcW w:w="52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Mar>
              <w:left w:w="-1" w:type="dxa"/>
              <w:top w:w="-1" w:type="dxa"/>
              <w:right w:w="-1" w:type="dxa"/>
              <w:bottom w:w="-1" w:type="dxa"/>
            </w:tcMar>
            <w:tcW w:w="60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25</w:t>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1200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w:t>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城中街道九总幼儿园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掘港街道掘港幼儿园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掘港街道群力幼儿园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掘港街道环北幼儿园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掘港街道环镇幼儿园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掘港街道童店幼儿园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w:t>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400</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350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掘港街道华丰幼儿园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w:t>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大豫镇海滨幼儿园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大豫镇丁店幼儿园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24</w:t>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1200</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w:t>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大豫镇新星幼儿园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洋口港</w:t>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洋口港港城幼儿园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w:t>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洋口镇洋口幼儿园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w:t>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800</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洋口镇新林幼儿园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洋口镇光荣幼儿园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w:t>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640</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w:t>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洋口镇新洋幼儿园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w:t>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岔河镇岔河幼儿园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岔河镇岔北幼儿园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700</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岔河镇岔东幼儿园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1200</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14</w:t>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岔河镇岔南幼儿园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1400</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18</w:t>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岔河镇古坝幼儿园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30</w:t>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1500</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Mar>
              <w:left w:w="-1" w:type="dxa"/>
              <w:top w:w="-1" w:type="dxa"/>
              <w:right w:w="-1" w:type="dxa"/>
              <w:bottom w:w="-1" w:type="dxa"/>
            </w:tcMar>
            <w:tcW w:w="93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w:t>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马塘镇潮桥幼儿园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马塘镇凌民幼儿园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w:t>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曹埠镇饮泉幼儿园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9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曹埠镇惕安幼儿园</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300</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w:t>
            </w:r>
            <w:r/>
          </w:p>
        </w:tc>
      </w:tr>
      <w:tr>
        <w:trPr>
          <w:jc w:val="center"/>
        </w:trPr>
        <w:tc>
          <w:tcPr>
            <w:tcMar>
              <w:left w:w="-1" w:type="dxa"/>
              <w:top w:w="-1" w:type="dxa"/>
              <w:right w:w="-1" w:type="dxa"/>
              <w:bottom w:w="-1" w:type="dxa"/>
            </w:tcMar>
            <w:tcW w:w="937"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曹埠镇孙窑幼儿园</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800</w:t>
            </w:r>
            <w:r/>
          </w:p>
        </w:tc>
        <w:tc>
          <w:tcPr>
            <w:tcMar>
              <w:left w:w="-1" w:type="dxa"/>
              <w:top w:w="-1" w:type="dxa"/>
              <w:right w:w="-1" w:type="dxa"/>
              <w:bottom w:w="-1" w:type="dxa"/>
            </w:tcMar>
            <w:tcW w:w="0" w:type="auto"/>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4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Mar>
              <w:left w:w="-1" w:type="dxa"/>
              <w:top w:w="-1" w:type="dxa"/>
              <w:right w:w="-1" w:type="dxa"/>
              <w:bottom w:w="-1" w:type="dxa"/>
            </w:tcMar>
            <w:tcW w:w="937" w:type="dxa"/>
            <w:vAlign w:val="center"/>
            <w:textDirection w:val="lrTb"/>
            <w:noWrap w:val="false"/>
          </w:tcPr>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Mar>
              <w:left w:w="-1" w:type="dxa"/>
              <w:top w:w="-1" w:type="dxa"/>
              <w:right w:w="-1" w:type="dxa"/>
              <w:bottom w:w="-1" w:type="dxa"/>
            </w:tcMar>
            <w:tcW w:w="245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合计</w:t>
            </w:r>
            <w:r/>
          </w:p>
        </w:tc>
        <w:tc>
          <w:tcPr>
            <w:tcMar>
              <w:left w:w="-1" w:type="dxa"/>
              <w:top w:w="-1" w:type="dxa"/>
              <w:right w:w="-1" w:type="dxa"/>
              <w:bottom w:w="-1" w:type="dxa"/>
            </w:tcMar>
            <w:tcW w:w="52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12</w:t>
            </w:r>
            <w:r/>
          </w:p>
        </w:tc>
        <w:tc>
          <w:tcPr>
            <w:tcMar>
              <w:left w:w="-1" w:type="dxa"/>
              <w:top w:w="-1" w:type="dxa"/>
              <w:right w:w="-1" w:type="dxa"/>
              <w:bottom w:w="-1" w:type="dxa"/>
            </w:tcMar>
            <w:tcW w:w="6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6</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115</w:t>
            </w:r>
            <w:r/>
          </w:p>
        </w:tc>
        <w:tc>
          <w:tcPr>
            <w:tcMar>
              <w:left w:w="-1" w:type="dxa"/>
              <w:top w:w="-1" w:type="dxa"/>
              <w:right w:w="-1" w:type="dxa"/>
              <w:bottom w:w="-1" w:type="dxa"/>
            </w:tcMar>
            <w:tcW w:w="75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w:t>
            </w:r>
            <w:r/>
          </w:p>
        </w:tc>
        <w:tc>
          <w:tcPr>
            <w:tcMar>
              <w:left w:w="-1" w:type="dxa"/>
              <w:top w:w="-1" w:type="dxa"/>
              <w:right w:w="-1" w:type="dxa"/>
              <w:bottom w:w="-1" w:type="dxa"/>
            </w:tcMar>
            <w:tcW w:w="82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10140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430</w:t>
            </w:r>
            <w:r/>
          </w:p>
        </w:tc>
        <w:tc>
          <w:tcPr>
            <w:tcMar>
              <w:left w:w="-1" w:type="dxa"/>
              <w:top w:w="-1" w:type="dxa"/>
              <w:right w:w="-1" w:type="dxa"/>
              <w:bottom w:w="-1" w:type="dxa"/>
            </w:tcMar>
            <w:tcW w:w="64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12</w:t>
            </w:r>
            <w:r/>
          </w:p>
        </w:tc>
        <w:tc>
          <w:tcPr>
            <w:tcMar>
              <w:left w:w="-1" w:type="dxa"/>
              <w:top w:w="-1" w:type="dxa"/>
              <w:right w:w="-1" w:type="dxa"/>
              <w:bottom w:w="-1" w:type="dxa"/>
            </w:tcMar>
            <w:tcW w:w="80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6350</w:t>
            </w:r>
            <w:r/>
          </w:p>
        </w:tc>
        <w:tc>
          <w:tcPr>
            <w:tcMar>
              <w:left w:w="-1" w:type="dxa"/>
              <w:top w:w="-1" w:type="dxa"/>
              <w:right w:w="-1" w:type="dxa"/>
              <w:bottom w:w="-1" w:type="dxa"/>
            </w:tcMar>
            <w:tcW w:w="69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710</w:t>
            </w:r>
            <w:r/>
          </w:p>
        </w:tc>
        <w:tc>
          <w:tcPr>
            <w:tcMar>
              <w:left w:w="-1" w:type="dxa"/>
              <w:top w:w="-1" w:type="dxa"/>
              <w:right w:w="-1" w:type="dxa"/>
              <w:bottom w:w="-1" w:type="dxa"/>
            </w:tcMar>
            <w:tcW w:w="67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118</w:t>
            </w:r>
            <w:r/>
          </w:p>
        </w:tc>
      </w:tr>
    </w:tbl>
    <w:p>
      <w:pPr>
        <w:ind w:firstLine="42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4、教办与成人校设备清单</w:t>
      </w:r>
      <w:r/>
    </w:p>
    <w:tbl>
      <w:tblPr>
        <w:tblStyle w:val="731"/>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7"/>
        <w:gridCol w:w="2387"/>
        <w:gridCol w:w="1431"/>
        <w:gridCol w:w="2053"/>
        <w:gridCol w:w="1939"/>
      </w:tblGrid>
      <w:tr>
        <w:trPr>
          <w:jc w:val="center"/>
          <w:tblHeader/>
        </w:trPr>
        <w:tc>
          <w:tcPr>
            <w:tcMar>
              <w:left w:w="-1" w:type="dxa"/>
              <w:top w:w="-1" w:type="dxa"/>
              <w:right w:w="-1" w:type="dxa"/>
              <w:bottom w:w="-1" w:type="dxa"/>
            </w:tcMar>
            <w:tcW w:w="2077"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教办与成人校</w:t>
            </w:r>
            <w:r/>
          </w:p>
        </w:tc>
        <w:tc>
          <w:tcPr>
            <w:tcMar>
              <w:left w:w="-1" w:type="dxa"/>
              <w:top w:w="-1" w:type="dxa"/>
              <w:right w:w="-1" w:type="dxa"/>
              <w:bottom w:w="-1" w:type="dxa"/>
            </w:tcMar>
            <w:tcW w:w="1431"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出口路由器</w:t>
            </w:r>
            <w:r/>
          </w:p>
        </w:tc>
        <w:tc>
          <w:tcPr>
            <w:tcMar>
              <w:left w:w="-1" w:type="dxa"/>
              <w:top w:w="-1" w:type="dxa"/>
              <w:right w:w="-1" w:type="dxa"/>
              <w:bottom w:w="-1" w:type="dxa"/>
            </w:tcMar>
            <w:tcW w:w="2053"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24口接入交换机</w:t>
            </w:r>
            <w:r/>
          </w:p>
        </w:tc>
        <w:tc>
          <w:tcPr>
            <w:tcMar>
              <w:left w:w="-1" w:type="dxa"/>
              <w:top w:w="-1" w:type="dxa"/>
              <w:right w:w="-1" w:type="dxa"/>
              <w:bottom w:w="-1" w:type="dxa"/>
            </w:tcMar>
            <w:tcW w:w="1939"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千兆单模光模块</w:t>
            </w:r>
            <w:r/>
          </w:p>
        </w:tc>
      </w:tr>
      <w:tr>
        <w:trPr>
          <w:jc w:val="center"/>
        </w:trPr>
        <w:tc>
          <w:tcPr>
            <w:tcMar>
              <w:left w:w="-1" w:type="dxa"/>
              <w:top w:w="-1" w:type="dxa"/>
              <w:right w:w="-1" w:type="dxa"/>
              <w:bottom w:w="-1" w:type="dxa"/>
            </w:tcMar>
            <w:tcW w:w="2077"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掘港、城中街道</w:t>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掘港街道成人校</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1939"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2077"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掘港街道教育联络组</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1939"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2077"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w:t>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大豫镇成人校</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1939"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2077"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大豫镇教育联络组</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1939"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2077"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洋口港</w:t>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洋口港成人校</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1939"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2077"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洋口港教育联络组</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1939"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2077"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w:t>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洋口成人校</w:t>
            </w:r>
            <w:r/>
          </w:p>
        </w:tc>
        <w:tc>
          <w:tcPr>
            <w:tcMar>
              <w:left w:w="-1" w:type="dxa"/>
              <w:top w:w="-1" w:type="dxa"/>
              <w:right w:w="-1" w:type="dxa"/>
              <w:bottom w:w="-1" w:type="dxa"/>
            </w:tcMar>
            <w:tcW w:w="1431"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205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1939"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2077"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洋口教育联络组</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1939"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2077"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w:t>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岔河镇成人校</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1939"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2077"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岔河镇教育联络组</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1939"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2077"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w:t>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马塘镇成人校</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1939"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2077"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马塘镇教育联络组</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1939"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2077"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w:t>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曹埠镇成人校</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1939"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2077"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387"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曹埠镇教育联络组</w:t>
            </w:r>
            <w:r/>
          </w:p>
        </w:tc>
        <w:tc>
          <w:tcPr>
            <w:tcMar>
              <w:left w:w="-1" w:type="dxa"/>
              <w:top w:w="-1" w:type="dxa"/>
              <w:right w:w="-1" w:type="dxa"/>
              <w:bottom w:w="-1" w:type="dxa"/>
            </w:tcMar>
            <w:tcW w:w="1431"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53"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1939"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2077" w:type="dxa"/>
            <w:vAlign w:val="center"/>
            <w:textDirection w:val="lrTb"/>
            <w:noWrap w:val="false"/>
          </w:tcPr>
          <w:p>
            <w:pPr>
              <w:jc w:val="left"/>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Mar>
              <w:left w:w="-1" w:type="dxa"/>
              <w:top w:w="-1" w:type="dxa"/>
              <w:right w:w="-1" w:type="dxa"/>
              <w:bottom w:w="-1" w:type="dxa"/>
            </w:tcMar>
            <w:tcW w:w="2387" w:type="dxa"/>
            <w:vAlign w:val="center"/>
            <w:textDirection w:val="lrTb"/>
            <w:noWrap w:val="false"/>
          </w:tcPr>
          <w:p>
            <w:pPr>
              <w:jc w:val="left"/>
              <w:spacing w:line="276" w:lineRule="auto"/>
              <w:widowControl/>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bidi="ar"/>
              </w:rPr>
              <w:t xml:space="preserve">合计</w:t>
            </w:r>
            <w:r/>
          </w:p>
        </w:tc>
        <w:tc>
          <w:tcPr>
            <w:tcMar>
              <w:left w:w="-1" w:type="dxa"/>
              <w:top w:w="-1" w:type="dxa"/>
              <w:right w:w="-1" w:type="dxa"/>
              <w:bottom w:w="-1" w:type="dxa"/>
            </w:tcMar>
            <w:tcW w:w="1431"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w:t>
            </w:r>
            <w:r/>
          </w:p>
        </w:tc>
        <w:tc>
          <w:tcPr>
            <w:tcMar>
              <w:left w:w="-1" w:type="dxa"/>
              <w:top w:w="-1" w:type="dxa"/>
              <w:right w:w="-1" w:type="dxa"/>
              <w:bottom w:w="-1" w:type="dxa"/>
            </w:tcMar>
            <w:tcW w:w="2053"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6</w:t>
            </w:r>
            <w:r/>
          </w:p>
        </w:tc>
        <w:tc>
          <w:tcPr>
            <w:tcMar>
              <w:left w:w="-1" w:type="dxa"/>
              <w:top w:w="-1" w:type="dxa"/>
              <w:right w:w="-1" w:type="dxa"/>
              <w:bottom w:w="-1" w:type="dxa"/>
            </w:tcMar>
            <w:tcW w:w="1939"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12</w:t>
            </w:r>
            <w:r/>
          </w:p>
        </w:tc>
      </w:tr>
    </w:tbl>
    <w:p>
      <w:pPr>
        <w:ind w:firstLine="42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5、教办与成人校施工清单</w:t>
      </w:r>
      <w:r/>
    </w:p>
    <w:tbl>
      <w:tblPr>
        <w:tblStyle w:val="731"/>
        <w:tblW w:w="10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2414"/>
        <w:gridCol w:w="525"/>
        <w:gridCol w:w="601"/>
        <w:gridCol w:w="678"/>
        <w:gridCol w:w="755"/>
        <w:gridCol w:w="779"/>
        <w:gridCol w:w="679"/>
        <w:gridCol w:w="579"/>
        <w:gridCol w:w="786"/>
        <w:gridCol w:w="785"/>
        <w:gridCol w:w="678"/>
      </w:tblGrid>
      <w:tr>
        <w:trPr>
          <w:jc w:val="center"/>
          <w:trHeight w:val="1397"/>
          <w:tblHeader/>
        </w:trPr>
        <w:tc>
          <w:tcPr>
            <w:tcMar>
              <w:left w:w="-1" w:type="dxa"/>
              <w:top w:w="-1" w:type="dxa"/>
              <w:right w:w="-1" w:type="dxa"/>
              <w:bottom w:w="-1" w:type="dxa"/>
            </w:tcMar>
            <w:tcW w:w="100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教办与成人校</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机柜</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配线架</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网络跳线</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网络理线架</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网线</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电源线</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PDU</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PVC管</w:t>
            </w:r>
            <w:r/>
          </w:p>
        </w:tc>
        <w:tc>
          <w:tcPr>
            <w:tcMar>
              <w:left w:w="-1" w:type="dxa"/>
              <w:top w:w="-1" w:type="dxa"/>
              <w:right w:w="-1" w:type="dxa"/>
              <w:bottom w:w="-1" w:type="dxa"/>
            </w:tcMar>
            <w:tcW w:w="0" w:type="auto"/>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PVC线槽</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面板模块</w:t>
            </w:r>
            <w:r/>
          </w:p>
        </w:tc>
      </w:tr>
      <w:tr>
        <w:trPr>
          <w:jc w:val="center"/>
        </w:trPr>
        <w:tc>
          <w:tcPr>
            <w:tcMar>
              <w:left w:w="-1" w:type="dxa"/>
              <w:top w:w="-1" w:type="dxa"/>
              <w:right w:w="-1" w:type="dxa"/>
              <w:bottom w:w="-1" w:type="dxa"/>
            </w:tcMar>
            <w:tcW w:w="100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掘港、城中街道</w:t>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掘港街道成人校</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1007" w:type="dxa"/>
            <w:vAlign w:val="center"/>
            <w:vMerge w:val="continue"/>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掘港街道教育联络组</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100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w:t>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大豫镇成人校</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1007" w:type="dxa"/>
            <w:vAlign w:val="center"/>
            <w:vMerge w:val="continue"/>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大豫镇教育联络组</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100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洋口港</w:t>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洋口港成人校</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900</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600</w:t>
            </w:r>
            <w:r/>
          </w:p>
        </w:tc>
        <w:tc>
          <w:tcPr>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14</w:t>
            </w:r>
            <w:r/>
          </w:p>
        </w:tc>
      </w:tr>
      <w:tr>
        <w:trPr>
          <w:jc w:val="center"/>
        </w:trPr>
        <w:tc>
          <w:tcPr>
            <w:tcMar>
              <w:left w:w="-1" w:type="dxa"/>
              <w:top w:w="-1" w:type="dxa"/>
              <w:right w:w="-1" w:type="dxa"/>
              <w:bottom w:w="-1" w:type="dxa"/>
            </w:tcMar>
            <w:tcW w:w="1007" w:type="dxa"/>
            <w:vAlign w:val="center"/>
            <w:vMerge w:val="continue"/>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洋口港教育联络组</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800</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500</w:t>
            </w:r>
            <w:r/>
          </w:p>
        </w:tc>
        <w:tc>
          <w:tcPr>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w:t>
            </w:r>
            <w:r/>
          </w:p>
        </w:tc>
      </w:tr>
      <w:tr>
        <w:trPr>
          <w:jc w:val="center"/>
        </w:trPr>
        <w:tc>
          <w:tcPr>
            <w:tcMar>
              <w:left w:w="-1" w:type="dxa"/>
              <w:top w:w="-1" w:type="dxa"/>
              <w:right w:w="-1" w:type="dxa"/>
              <w:bottom w:w="-1" w:type="dxa"/>
            </w:tcMar>
            <w:tcW w:w="100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洋口镇</w:t>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洋口成人校</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1000</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1000</w:t>
            </w:r>
            <w:r/>
          </w:p>
        </w:tc>
        <w:tc>
          <w:tcPr>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100</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14</w:t>
            </w:r>
            <w:r/>
          </w:p>
        </w:tc>
      </w:tr>
      <w:tr>
        <w:trPr>
          <w:jc w:val="center"/>
        </w:trPr>
        <w:tc>
          <w:tcPr>
            <w:tcMar>
              <w:left w:w="-1" w:type="dxa"/>
              <w:top w:w="-1" w:type="dxa"/>
              <w:right w:w="-1" w:type="dxa"/>
              <w:bottom w:w="-1" w:type="dxa"/>
            </w:tcMar>
            <w:tcW w:w="1007" w:type="dxa"/>
            <w:vAlign w:val="center"/>
            <w:vMerge w:val="continue"/>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洋口教育联络组</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100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w:t>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岔河镇成人校</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700</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450</w:t>
            </w:r>
            <w:r/>
          </w:p>
        </w:tc>
        <w:tc>
          <w:tcPr>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Mar>
              <w:left w:w="-1" w:type="dxa"/>
              <w:top w:w="-1" w:type="dxa"/>
              <w:right w:w="-1" w:type="dxa"/>
              <w:bottom w:w="-1" w:type="dxa"/>
            </w:tcMar>
            <w:tcW w:w="1007" w:type="dxa"/>
            <w:vAlign w:val="center"/>
            <w:vMerge w:val="continue"/>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岔河镇教育联络组</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100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w:t>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马塘镇成人校</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700</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450</w:t>
            </w:r>
            <w:r/>
          </w:p>
        </w:tc>
        <w:tc>
          <w:tcPr>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Mar>
              <w:left w:w="-1" w:type="dxa"/>
              <w:top w:w="-1" w:type="dxa"/>
              <w:right w:w="-1" w:type="dxa"/>
              <w:bottom w:w="-1" w:type="dxa"/>
            </w:tcMar>
            <w:tcW w:w="1007" w:type="dxa"/>
            <w:vAlign w:val="center"/>
            <w:vMerge w:val="continue"/>
            <w:textDirection w:val="lrTb"/>
            <w:noWrap w:val="false"/>
          </w:tcPr>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马塘镇教育联络组</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1007"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w:t>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曹埠镇成人校</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800</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Mar>
              <w:left w:w="-1" w:type="dxa"/>
              <w:top w:w="-1" w:type="dxa"/>
              <w:right w:w="-1" w:type="dxa"/>
              <w:bottom w:w="-1" w:type="dxa"/>
            </w:tcMar>
            <w:tcW w:w="1007" w:type="dxa"/>
            <w:vAlign w:val="center"/>
            <w:vMerge w:val="continue"/>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曹埠镇教育联络组</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1007" w:type="dxa"/>
            <w:vAlign w:val="center"/>
            <w:textDirection w:val="lrTb"/>
            <w:noWrap w:val="false"/>
          </w:tcPr>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Mar>
              <w:left w:w="-1" w:type="dxa"/>
              <w:top w:w="-1" w:type="dxa"/>
              <w:right w:w="-1" w:type="dxa"/>
              <w:bottom w:w="-1" w:type="dxa"/>
            </w:tcMar>
            <w:tcW w:w="241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合计</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6</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6</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95</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16</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4900</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130</w:t>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6</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3000</w:t>
            </w:r>
            <w:r/>
          </w:p>
        </w:tc>
        <w:tc>
          <w:tcPr>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300</w:t>
            </w:r>
            <w:r/>
          </w:p>
        </w:tc>
        <w:tc>
          <w:tcPr>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70</w:t>
            </w:r>
            <w:r/>
          </w:p>
        </w:tc>
      </w:tr>
    </w:tbl>
    <w:p>
      <w:pPr>
        <w:pStyle w:val="754"/>
        <w:ind w:firstLine="0"/>
        <w:rPr>
          <w:color w:val="auto"/>
          <w:highlight w:val="none"/>
          <w:lang w:val="en-US"/>
        </w:rPr>
      </w:pPr>
      <w:r>
        <w:rPr>
          <w:color w:val="auto"/>
          <w:highlight w:val="none"/>
          <w:lang w:val="en-US"/>
        </w:rPr>
      </w:r>
      <w:r/>
    </w:p>
    <w:p>
      <w:pPr>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采购包2：</w:t>
      </w:r>
      <w:r/>
    </w:p>
    <w:p>
      <w:pPr>
        <w:ind w:left="36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1、采购需求清单</w:t>
      </w:r>
      <w:r/>
    </w:p>
    <w:tbl>
      <w:tblPr>
        <w:tblStyle w:val="731"/>
        <w:tblW w:w="9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2"/>
        <w:gridCol w:w="2377"/>
        <w:gridCol w:w="4681"/>
        <w:gridCol w:w="855"/>
        <w:gridCol w:w="628"/>
      </w:tblGrid>
      <w:tr>
        <w:trPr>
          <w:jc w:val="center"/>
          <w:tblHead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序号</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设备名称</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规格</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数量</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单位</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出口路由器</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防火墙</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核心交换机</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24口接入交换机</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24口POE接入交换机</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48口POE接入交换机</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7</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无线AP</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45</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本地供电模块</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单端口POE注入器</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26</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千兆单模光模块</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光模块-SFP-GE-单模模块-(1310nm,10km,LC)</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28</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块</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无线授权</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提供无线网络配套授权</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11</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网管软件</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机柜</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国优9U</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13</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配线架</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国优24口6类</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14</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网络跳线</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国优6类</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231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根</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网络理线架</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国优1U</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16</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网线</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国优6类</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13750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17</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电源线</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国标RVV 3*1.5</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360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18</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PDU</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国标6位</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17</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19</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PVC管</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国优&amp;20</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8400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PVC线槽</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国优5*10</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950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21</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面板模块</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国优6类</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136</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22</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辅助材料</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施工过程中涉及的辅助材料</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jc w:val="center"/>
        </w:trPr>
        <w:tc>
          <w:tcPr>
            <w:tcMar>
              <w:left w:w="8" w:type="dxa"/>
              <w:top w:w="8" w:type="dxa"/>
              <w:right w:w="8" w:type="dxa"/>
              <w:bottom w:w="-1" w:type="dxa"/>
            </w:tcMar>
            <w:tcW w:w="6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23</w:t>
            </w:r>
            <w:r/>
          </w:p>
        </w:tc>
        <w:tc>
          <w:tcPr>
            <w:tcMar>
              <w:left w:w="8" w:type="dxa"/>
              <w:top w:w="8" w:type="dxa"/>
              <w:right w:w="8" w:type="dxa"/>
              <w:bottom w:w="-1" w:type="dxa"/>
            </w:tcMar>
            <w:tcW w:w="237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系统集成</w:t>
            </w:r>
            <w:r/>
          </w:p>
        </w:tc>
        <w:tc>
          <w:tcPr>
            <w:tcMar>
              <w:left w:w="8" w:type="dxa"/>
              <w:top w:w="8" w:type="dxa"/>
              <w:right w:w="8" w:type="dxa"/>
              <w:bottom w:w="-1" w:type="dxa"/>
            </w:tcMar>
            <w:tcW w:w="4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提供现网工勘、点位设计、设备上架、设备安装、设备调试、系统对接、网络线缆管线铺设、有线无线网络调优、系统集成等。</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bl>
    <w:p>
      <w:pPr>
        <w:ind w:left="36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2、幼儿园设备清单</w:t>
      </w:r>
      <w:r/>
    </w:p>
    <w:tbl>
      <w:tblPr>
        <w:tblStyle w:val="731"/>
        <w:tblW w:w="10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425"/>
        <w:gridCol w:w="681"/>
        <w:gridCol w:w="563"/>
        <w:gridCol w:w="681"/>
        <w:gridCol w:w="810"/>
        <w:gridCol w:w="896"/>
        <w:gridCol w:w="896"/>
        <w:gridCol w:w="579"/>
        <w:gridCol w:w="736"/>
        <w:gridCol w:w="796"/>
      </w:tblGrid>
      <w:tr>
        <w:trPr>
          <w:jc w:val="center"/>
          <w:tblHeader/>
        </w:trPr>
        <w:tc>
          <w:tcPr>
            <w:tcMar>
              <w:left w:w="-1" w:type="dxa"/>
              <w:top w:w="-1" w:type="dxa"/>
              <w:right w:w="-1" w:type="dxa"/>
              <w:bottom w:w="-1" w:type="dxa"/>
            </w:tcMar>
            <w:tcW w:w="94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Mar>
              <w:left w:w="-1" w:type="dxa"/>
              <w:top w:w="-1" w:type="dxa"/>
              <w:right w:w="-1" w:type="dxa"/>
              <w:bottom w:w="-1" w:type="dxa"/>
            </w:tcMar>
            <w:tcW w:w="2425"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幼儿园</w:t>
            </w:r>
            <w:r/>
          </w:p>
        </w:tc>
        <w:tc>
          <w:tcPr>
            <w:tcMar>
              <w:left w:w="-1" w:type="dxa"/>
              <w:top w:w="-1" w:type="dxa"/>
              <w:right w:w="-1" w:type="dxa"/>
              <w:bottom w:w="-1" w:type="dxa"/>
            </w:tcMar>
            <w:tcW w:w="681"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出口路由器</w:t>
            </w:r>
            <w:r/>
          </w:p>
        </w:tc>
        <w:tc>
          <w:tcPr>
            <w:tcMar>
              <w:left w:w="-1" w:type="dxa"/>
              <w:top w:w="-1" w:type="dxa"/>
              <w:right w:w="-1" w:type="dxa"/>
              <w:bottom w:w="-1" w:type="dxa"/>
            </w:tcMar>
            <w:tcW w:w="563"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防火墙</w:t>
            </w:r>
            <w:r/>
          </w:p>
        </w:tc>
        <w:tc>
          <w:tcPr>
            <w:tcMar>
              <w:left w:w="-1" w:type="dxa"/>
              <w:top w:w="-1" w:type="dxa"/>
              <w:right w:w="-1" w:type="dxa"/>
              <w:bottom w:w="-1" w:type="dxa"/>
            </w:tcMar>
            <w:tcW w:w="681"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核心交换机</w:t>
            </w:r>
            <w:r/>
          </w:p>
        </w:tc>
        <w:tc>
          <w:tcPr>
            <w:tcMar>
              <w:left w:w="-1" w:type="dxa"/>
              <w:top w:w="-1" w:type="dxa"/>
              <w:right w:w="-1" w:type="dxa"/>
              <w:bottom w:w="-1" w:type="dxa"/>
            </w:tcMar>
            <w:tcW w:w="810"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24口接入交换机</w:t>
            </w:r>
            <w:r/>
          </w:p>
        </w:tc>
        <w:tc>
          <w:tcPr>
            <w:tcMar>
              <w:left w:w="-1" w:type="dxa"/>
              <w:top w:w="-1" w:type="dxa"/>
              <w:right w:w="-1" w:type="dxa"/>
              <w:bottom w:w="-1" w:type="dxa"/>
            </w:tcMar>
            <w:tcW w:w="89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24口POE接入交换机</w:t>
            </w:r>
            <w:r/>
          </w:p>
        </w:tc>
        <w:tc>
          <w:tcPr>
            <w:tcMar>
              <w:left w:w="-1" w:type="dxa"/>
              <w:top w:w="-1" w:type="dxa"/>
              <w:right w:w="-1" w:type="dxa"/>
              <w:bottom w:w="-1" w:type="dxa"/>
            </w:tcMar>
            <w:tcW w:w="89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48口POE接入交换机</w:t>
            </w:r>
            <w:r/>
          </w:p>
        </w:tc>
        <w:tc>
          <w:tcPr>
            <w:tcMar>
              <w:left w:w="-1" w:type="dxa"/>
              <w:top w:w="-1" w:type="dxa"/>
              <w:right w:w="-1" w:type="dxa"/>
              <w:bottom w:w="-1" w:type="dxa"/>
            </w:tcMar>
            <w:tcW w:w="579"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放装AP</w:t>
            </w:r>
            <w:r/>
          </w:p>
        </w:tc>
        <w:tc>
          <w:tcPr>
            <w:tcMar>
              <w:left w:w="-1" w:type="dxa"/>
              <w:top w:w="-1" w:type="dxa"/>
              <w:right w:w="-1" w:type="dxa"/>
              <w:bottom w:w="-1" w:type="dxa"/>
            </w:tcMar>
            <w:tcW w:w="73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本地供电模块</w:t>
            </w:r>
            <w:r/>
          </w:p>
        </w:tc>
        <w:tc>
          <w:tcPr>
            <w:tcMar>
              <w:left w:w="-1" w:type="dxa"/>
              <w:top w:w="-1" w:type="dxa"/>
              <w:right w:w="-1" w:type="dxa"/>
              <w:bottom w:w="-1" w:type="dxa"/>
            </w:tcMar>
            <w:tcW w:w="79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千兆单模光模块</w:t>
            </w:r>
            <w:r/>
          </w:p>
        </w:tc>
      </w:tr>
      <w:tr>
        <w:trPr>
          <w:jc w:val="center"/>
        </w:trPr>
        <w:tc>
          <w:tcPr>
            <w:tcMar>
              <w:left w:w="-1" w:type="dxa"/>
              <w:top w:w="-1" w:type="dxa"/>
              <w:right w:w="-1" w:type="dxa"/>
              <w:bottom w:w="-1" w:type="dxa"/>
            </w:tcMar>
            <w:tcW w:w="946"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w:t>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苴镇街道中心幼儿园</w:t>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46" w:type="dxa"/>
            <w:vAlign w:val="center"/>
            <w:vMerge w:val="continue"/>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苴镇街道新光幼儿园</w:t>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46"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w:t>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丰利镇中心幼儿园</w:t>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46" w:type="dxa"/>
            <w:vAlign w:val="center"/>
            <w:vMerge w:val="continue"/>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丰利镇石屏幼儿园</w:t>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1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w:t>
            </w:r>
            <w:r/>
          </w:p>
        </w:tc>
        <w:tc>
          <w:tcPr>
            <w:tcMar>
              <w:left w:w="-1" w:type="dxa"/>
              <w:top w:w="-1" w:type="dxa"/>
              <w:right w:w="-1" w:type="dxa"/>
              <w:bottom w:w="-1" w:type="dxa"/>
            </w:tcMar>
            <w:tcW w:w="79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946" w:type="dxa"/>
            <w:vAlign w:val="center"/>
            <w:vMerge w:val="continue"/>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丰利镇凌河幼儿园</w:t>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1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w:t>
            </w:r>
            <w:r/>
          </w:p>
        </w:tc>
        <w:tc>
          <w:tcPr>
            <w:tcMar>
              <w:left w:w="-1" w:type="dxa"/>
              <w:top w:w="-1" w:type="dxa"/>
              <w:right w:w="-1" w:type="dxa"/>
              <w:bottom w:w="-1" w:type="dxa"/>
            </w:tcMar>
            <w:tcW w:w="79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946"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w:t>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双甸镇双南幼儿园</w:t>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46" w:type="dxa"/>
            <w:vAlign w:val="center"/>
            <w:vMerge w:val="continue"/>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双甸镇中心幼儿园</w:t>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6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9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w:t>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9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w:t>
            </w:r>
            <w:r/>
          </w:p>
        </w:tc>
      </w:tr>
      <w:tr>
        <w:trPr>
          <w:jc w:val="center"/>
        </w:trPr>
        <w:tc>
          <w:tcPr>
            <w:tcMar>
              <w:left w:w="-1" w:type="dxa"/>
              <w:top w:w="-1" w:type="dxa"/>
              <w:right w:w="-1" w:type="dxa"/>
              <w:bottom w:w="-1" w:type="dxa"/>
            </w:tcMar>
            <w:tcW w:w="946" w:type="dxa"/>
            <w:vAlign w:val="center"/>
            <w:vMerge w:val="continue"/>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双甸镇石甸幼儿园</w:t>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w:t>
            </w:r>
            <w:r/>
          </w:p>
        </w:tc>
        <w:tc>
          <w:tcPr>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46"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新店镇</w:t>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新店镇幼儿园</w:t>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6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11</w:t>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79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w:t>
            </w:r>
            <w:r/>
          </w:p>
        </w:tc>
      </w:tr>
      <w:tr>
        <w:trPr>
          <w:jc w:val="center"/>
        </w:trPr>
        <w:tc>
          <w:tcPr>
            <w:tcMar>
              <w:left w:w="-1" w:type="dxa"/>
              <w:top w:w="-1" w:type="dxa"/>
              <w:right w:w="-1" w:type="dxa"/>
              <w:bottom w:w="-1" w:type="dxa"/>
            </w:tcMar>
            <w:tcW w:w="946" w:type="dxa"/>
            <w:vAlign w:val="center"/>
            <w:vMerge w:val="continue"/>
            <w:textDirection w:val="lrTb"/>
            <w:noWrap w:val="false"/>
          </w:tcPr>
          <w:p>
            <w:pPr>
              <w:jc w:val="center"/>
              <w:keepNex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4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新店镇汤圆幼儿园</w:t>
            </w:r>
            <w:r/>
          </w:p>
        </w:tc>
        <w:tc>
          <w:tcPr>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1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w:t>
            </w:r>
            <w:r/>
          </w:p>
        </w:tc>
        <w:tc>
          <w:tcPr>
            <w:tcMar>
              <w:left w:w="-1" w:type="dxa"/>
              <w:top w:w="-1" w:type="dxa"/>
              <w:right w:w="-1" w:type="dxa"/>
              <w:bottom w:w="-1" w:type="dxa"/>
            </w:tcMar>
            <w:tcW w:w="79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946" w:type="dxa"/>
            <w:vAlign w:val="center"/>
            <w:textDirection w:val="lrTb"/>
            <w:noWrap w:val="false"/>
          </w:tcPr>
          <w:p>
            <w:pPr>
              <w:jc w:val="left"/>
              <w:keepNex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Mar>
              <w:left w:w="-1" w:type="dxa"/>
              <w:top w:w="-1" w:type="dxa"/>
              <w:right w:w="-1" w:type="dxa"/>
              <w:bottom w:w="-1" w:type="dxa"/>
            </w:tcMar>
            <w:tcW w:w="2425"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bidi="ar"/>
              </w:rPr>
              <w:t xml:space="preserve">合计</w:t>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w:t>
            </w:r>
            <w:r/>
          </w:p>
        </w:tc>
        <w:tc>
          <w:tcPr>
            <w:tcMar>
              <w:left w:w="-1" w:type="dxa"/>
              <w:top w:w="-1" w:type="dxa"/>
              <w:right w:w="-1" w:type="dxa"/>
              <w:bottom w:w="-1" w:type="dxa"/>
            </w:tcMar>
            <w:tcW w:w="563"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2</w:t>
            </w:r>
            <w:r/>
          </w:p>
        </w:tc>
        <w:tc>
          <w:tcPr>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8</w:t>
            </w:r>
            <w:r/>
          </w:p>
        </w:tc>
        <w:tc>
          <w:tcPr>
            <w:tcMar>
              <w:left w:w="-1" w:type="dxa"/>
              <w:top w:w="-1" w:type="dxa"/>
              <w:right w:w="-1" w:type="dxa"/>
              <w:bottom w:w="-1" w:type="dxa"/>
            </w:tcMar>
            <w:tcW w:w="810"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3</w:t>
            </w:r>
            <w:r/>
          </w:p>
        </w:tc>
        <w:tc>
          <w:tcPr>
            <w:tcMar>
              <w:left w:w="-1" w:type="dxa"/>
              <w:top w:w="-1" w:type="dxa"/>
              <w:right w:w="-1" w:type="dxa"/>
              <w:bottom w:w="-1" w:type="dxa"/>
            </w:tcMar>
            <w:tcW w:w="89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3</w:t>
            </w:r>
            <w:r/>
          </w:p>
        </w:tc>
        <w:tc>
          <w:tcPr>
            <w:tcMar>
              <w:left w:w="-1" w:type="dxa"/>
              <w:top w:w="-1" w:type="dxa"/>
              <w:right w:w="-1" w:type="dxa"/>
              <w:bottom w:w="-1" w:type="dxa"/>
            </w:tcMar>
            <w:tcW w:w="89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w:t>
            </w:r>
            <w:r/>
          </w:p>
        </w:tc>
        <w:tc>
          <w:tcPr>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45</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26</w:t>
            </w:r>
            <w:r/>
          </w:p>
        </w:tc>
        <w:tc>
          <w:tcPr>
            <w:tcMar>
              <w:left w:w="-1" w:type="dxa"/>
              <w:top w:w="-1" w:type="dxa"/>
              <w:right w:w="-1" w:type="dxa"/>
              <w:bottom w:w="-1" w:type="dxa"/>
            </w:tcMar>
            <w:tcW w:w="79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14</w:t>
            </w:r>
            <w:r/>
          </w:p>
        </w:tc>
      </w:tr>
    </w:tbl>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3、幼儿园施工清单</w:t>
      </w:r>
      <w:r/>
    </w:p>
    <w:tbl>
      <w:tblPr>
        <w:tblStyle w:val="731"/>
        <w:tblW w:w="10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460"/>
        <w:gridCol w:w="525"/>
        <w:gridCol w:w="601"/>
        <w:gridCol w:w="679"/>
        <w:gridCol w:w="755"/>
        <w:gridCol w:w="779"/>
        <w:gridCol w:w="675"/>
        <w:gridCol w:w="583"/>
        <w:gridCol w:w="786"/>
        <w:gridCol w:w="707"/>
        <w:gridCol w:w="736"/>
      </w:tblGrid>
      <w:tr>
        <w:trPr>
          <w:jc w:val="center"/>
          <w:tblHeader/>
        </w:trPr>
        <w:tc>
          <w:tcPr>
            <w:tcMar>
              <w:left w:w="-1" w:type="dxa"/>
              <w:top w:w="-1" w:type="dxa"/>
              <w:right w:w="-1" w:type="dxa"/>
              <w:bottom w:w="-1" w:type="dxa"/>
            </w:tcMar>
            <w:tcW w:w="96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幼儿园</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机柜</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配线架</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网络跳线</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网络理线架</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网线</w:t>
            </w:r>
            <w:r/>
          </w:p>
        </w:tc>
        <w:tc>
          <w:tcPr>
            <w:tcMar>
              <w:left w:w="-1" w:type="dxa"/>
              <w:top w:w="-1" w:type="dxa"/>
              <w:right w:w="-1" w:type="dxa"/>
              <w:bottom w:w="-1" w:type="dxa"/>
            </w:tcMar>
            <w:tcW w:w="67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电源线</w:t>
            </w:r>
            <w:r/>
          </w:p>
        </w:tc>
        <w:tc>
          <w:tcPr>
            <w:tcMar>
              <w:left w:w="-1" w:type="dxa"/>
              <w:top w:w="-1" w:type="dxa"/>
              <w:right w:w="-1" w:type="dxa"/>
              <w:bottom w:w="-1" w:type="dxa"/>
            </w:tcMar>
            <w:tcW w:w="583"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PDU</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PVC管</w:t>
            </w:r>
            <w:r/>
          </w:p>
        </w:tc>
        <w:tc>
          <w:tcPr>
            <w:tcMar>
              <w:left w:w="-1" w:type="dxa"/>
              <w:top w:w="-1" w:type="dxa"/>
              <w:right w:w="-1" w:type="dxa"/>
              <w:bottom w:w="-1" w:type="dxa"/>
            </w:tcMar>
            <w:tcW w:w="70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PVC线槽</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面板模块</w:t>
            </w:r>
            <w:r/>
          </w:p>
        </w:tc>
      </w:tr>
      <w:tr>
        <w:trPr>
          <w:jc w:val="center"/>
        </w:trPr>
        <w:tc>
          <w:tcPr>
            <w:tcMar>
              <w:left w:w="-1" w:type="dxa"/>
              <w:top w:w="-1" w:type="dxa"/>
              <w:right w:w="-1" w:type="dxa"/>
              <w:bottom w:w="-1" w:type="dxa"/>
            </w:tcMar>
            <w:tcW w:w="960"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w:t>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苴镇街道中心幼儿园</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67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58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07"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60"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苴镇街道新光幼儿园</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67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58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07"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60"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w:t>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丰利镇中心幼儿园</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67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58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07"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60"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丰利镇石屏幼儿园</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500</w:t>
            </w:r>
            <w:r/>
          </w:p>
        </w:tc>
        <w:tc>
          <w:tcPr>
            <w:tcMar>
              <w:left w:w="-1" w:type="dxa"/>
              <w:top w:w="-1" w:type="dxa"/>
              <w:right w:w="-1" w:type="dxa"/>
              <w:bottom w:w="-1" w:type="dxa"/>
            </w:tcMar>
            <w:tcW w:w="67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w:t>
            </w:r>
            <w:r/>
          </w:p>
        </w:tc>
        <w:tc>
          <w:tcPr>
            <w:tcMar>
              <w:left w:w="-1" w:type="dxa"/>
              <w:top w:w="-1" w:type="dxa"/>
              <w:right w:w="-1" w:type="dxa"/>
              <w:bottom w:w="-1" w:type="dxa"/>
            </w:tcMar>
            <w:tcW w:w="58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300</w:t>
            </w:r>
            <w:r/>
          </w:p>
        </w:tc>
        <w:tc>
          <w:tcPr>
            <w:tcMar>
              <w:left w:w="-1" w:type="dxa"/>
              <w:top w:w="-1" w:type="dxa"/>
              <w:right w:w="-1" w:type="dxa"/>
              <w:bottom w:w="-1" w:type="dxa"/>
            </w:tcMar>
            <w:tcW w:w="70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60"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丰利镇凌河幼儿园</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350</w:t>
            </w:r>
            <w:r/>
          </w:p>
        </w:tc>
        <w:tc>
          <w:tcPr>
            <w:tcMar>
              <w:left w:w="-1" w:type="dxa"/>
              <w:top w:w="-1" w:type="dxa"/>
              <w:right w:w="-1" w:type="dxa"/>
              <w:bottom w:w="-1" w:type="dxa"/>
            </w:tcMar>
            <w:tcW w:w="67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58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300</w:t>
            </w:r>
            <w:r/>
          </w:p>
        </w:tc>
        <w:tc>
          <w:tcPr>
            <w:tcMar>
              <w:left w:w="-1" w:type="dxa"/>
              <w:top w:w="-1" w:type="dxa"/>
              <w:right w:w="-1" w:type="dxa"/>
              <w:bottom w:w="-1" w:type="dxa"/>
            </w:tcMar>
            <w:tcW w:w="70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60"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w:t>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双甸镇双南幼儿园</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67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58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07"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60"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双甸镇中心幼儿园</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40</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2800</w:t>
            </w:r>
            <w:r/>
          </w:p>
        </w:tc>
        <w:tc>
          <w:tcPr>
            <w:tcMar>
              <w:left w:w="-1" w:type="dxa"/>
              <w:top w:w="-1" w:type="dxa"/>
              <w:right w:w="-1" w:type="dxa"/>
              <w:bottom w:w="-1" w:type="dxa"/>
            </w:tcMar>
            <w:tcW w:w="67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58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1800</w:t>
            </w:r>
            <w:r/>
          </w:p>
        </w:tc>
        <w:tc>
          <w:tcPr>
            <w:tcMar>
              <w:left w:w="-1" w:type="dxa"/>
              <w:top w:w="-1" w:type="dxa"/>
              <w:right w:w="-1" w:type="dxa"/>
              <w:bottom w:w="-1" w:type="dxa"/>
            </w:tcMar>
            <w:tcW w:w="70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200</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28</w:t>
            </w:r>
            <w:r/>
          </w:p>
        </w:tc>
      </w:tr>
      <w:tr>
        <w:trPr>
          <w:jc w:val="center"/>
        </w:trPr>
        <w:tc>
          <w:tcPr>
            <w:tcMar>
              <w:left w:w="-1" w:type="dxa"/>
              <w:top w:w="-1" w:type="dxa"/>
              <w:right w:w="-1" w:type="dxa"/>
              <w:bottom w:w="-1" w:type="dxa"/>
            </w:tcMar>
            <w:tcW w:w="960"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双甸镇石甸幼儿园</w:t>
            </w:r>
            <w:r/>
          </w:p>
        </w:tc>
        <w:tc>
          <w:tcPr>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600</w:t>
            </w:r>
            <w:r/>
          </w:p>
        </w:tc>
        <w:tc>
          <w:tcPr>
            <w:tcMar>
              <w:left w:w="-1" w:type="dxa"/>
              <w:top w:w="-1" w:type="dxa"/>
              <w:right w:w="-1" w:type="dxa"/>
              <w:bottom w:w="-1" w:type="dxa"/>
            </w:tcMar>
            <w:tcW w:w="67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58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350</w:t>
            </w:r>
            <w:r/>
          </w:p>
        </w:tc>
        <w:tc>
          <w:tcPr>
            <w:tcMar>
              <w:left w:w="-1" w:type="dxa"/>
              <w:top w:w="-1" w:type="dxa"/>
              <w:right w:w="-1" w:type="dxa"/>
              <w:bottom w:w="-1" w:type="dxa"/>
            </w:tcMar>
            <w:tcW w:w="70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960"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新店镇</w:t>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新店镇幼儿园</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40</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3000</w:t>
            </w:r>
            <w:r/>
          </w:p>
        </w:tc>
        <w:tc>
          <w:tcPr>
            <w:tcMar>
              <w:left w:w="-1" w:type="dxa"/>
              <w:top w:w="-1" w:type="dxa"/>
              <w:right w:w="-1" w:type="dxa"/>
              <w:bottom w:w="-1" w:type="dxa"/>
            </w:tcMar>
            <w:tcW w:w="67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58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1900</w:t>
            </w:r>
            <w:r/>
          </w:p>
        </w:tc>
        <w:tc>
          <w:tcPr>
            <w:tcMar>
              <w:left w:w="-1" w:type="dxa"/>
              <w:top w:w="-1" w:type="dxa"/>
              <w:right w:w="-1" w:type="dxa"/>
              <w:bottom w:w="-1" w:type="dxa"/>
            </w:tcMar>
            <w:tcW w:w="70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200</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r>
      <w:tr>
        <w:trPr>
          <w:jc w:val="center"/>
        </w:trPr>
        <w:tc>
          <w:tcPr>
            <w:tcMar>
              <w:left w:w="-1" w:type="dxa"/>
              <w:top w:w="-1" w:type="dxa"/>
              <w:right w:w="-1" w:type="dxa"/>
              <w:bottom w:w="-1" w:type="dxa"/>
            </w:tcMar>
            <w:tcW w:w="960"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新店镇汤圆幼儿园</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30</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1500</w:t>
            </w:r>
            <w:r/>
          </w:p>
        </w:tc>
        <w:tc>
          <w:tcPr>
            <w:tcMar>
              <w:left w:w="-1" w:type="dxa"/>
              <w:top w:w="-1" w:type="dxa"/>
              <w:right w:w="-1" w:type="dxa"/>
              <w:bottom w:w="-1" w:type="dxa"/>
            </w:tcMar>
            <w:tcW w:w="67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Mar>
              <w:left w:w="-1" w:type="dxa"/>
              <w:top w:w="-1" w:type="dxa"/>
              <w:right w:w="-1" w:type="dxa"/>
              <w:bottom w:w="-1" w:type="dxa"/>
            </w:tcMar>
            <w:tcW w:w="58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900</w:t>
            </w:r>
            <w:r/>
          </w:p>
        </w:tc>
        <w:tc>
          <w:tcPr>
            <w:tcMar>
              <w:left w:w="-1" w:type="dxa"/>
              <w:top w:w="-1" w:type="dxa"/>
              <w:right w:w="-1" w:type="dxa"/>
              <w:bottom w:w="-1" w:type="dxa"/>
            </w:tcMar>
            <w:tcW w:w="70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16</w:t>
            </w:r>
            <w:r/>
          </w:p>
        </w:tc>
      </w:tr>
      <w:tr>
        <w:trPr>
          <w:jc w:val="center"/>
        </w:trPr>
        <w:tc>
          <w:tcPr>
            <w:tcMar>
              <w:left w:w="-1" w:type="dxa"/>
              <w:top w:w="-1" w:type="dxa"/>
              <w:right w:w="-1" w:type="dxa"/>
              <w:bottom w:w="-1" w:type="dxa"/>
            </w:tcMar>
            <w:tcW w:w="960" w:type="dxa"/>
            <w:vAlign w:val="center"/>
            <w:textDirection w:val="lrTb"/>
            <w:noWrap w:val="false"/>
          </w:tcPr>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Mar>
              <w:left w:w="-1" w:type="dxa"/>
              <w:top w:w="-1" w:type="dxa"/>
              <w:right w:w="-1" w:type="dxa"/>
              <w:bottom w:w="-1" w:type="dxa"/>
            </w:tcMar>
            <w:tcW w:w="246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合计</w:t>
            </w:r>
            <w:r/>
          </w:p>
        </w:tc>
        <w:tc>
          <w:tcPr>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5</w:t>
            </w:r>
            <w:r/>
          </w:p>
        </w:tc>
        <w:tc>
          <w:tcPr>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8</w:t>
            </w:r>
            <w:r/>
          </w:p>
        </w:tc>
        <w:tc>
          <w:tcPr>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146</w:t>
            </w:r>
            <w:r/>
          </w:p>
        </w:tc>
        <w:tc>
          <w:tcPr>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26</w:t>
            </w:r>
            <w:r/>
          </w:p>
        </w:tc>
        <w:tc>
          <w:tcPr>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8750</w:t>
            </w:r>
            <w:r/>
          </w:p>
        </w:tc>
        <w:tc>
          <w:tcPr>
            <w:tcMar>
              <w:left w:w="-1" w:type="dxa"/>
              <w:top w:w="-1" w:type="dxa"/>
              <w:right w:w="-1" w:type="dxa"/>
              <w:bottom w:w="-1" w:type="dxa"/>
            </w:tcMar>
            <w:tcW w:w="67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270</w:t>
            </w:r>
            <w:r/>
          </w:p>
        </w:tc>
        <w:tc>
          <w:tcPr>
            <w:tcMar>
              <w:left w:w="-1" w:type="dxa"/>
              <w:top w:w="-1" w:type="dxa"/>
              <w:right w:w="-1" w:type="dxa"/>
              <w:bottom w:w="-1" w:type="dxa"/>
            </w:tcMar>
            <w:tcW w:w="583"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11</w:t>
            </w:r>
            <w:r/>
          </w:p>
        </w:tc>
        <w:tc>
          <w:tcPr>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5550</w:t>
            </w:r>
            <w:r/>
          </w:p>
        </w:tc>
        <w:tc>
          <w:tcPr>
            <w:tcMar>
              <w:left w:w="-1" w:type="dxa"/>
              <w:top w:w="-1" w:type="dxa"/>
              <w:right w:w="-1" w:type="dxa"/>
              <w:bottom w:w="-1" w:type="dxa"/>
            </w:tcMar>
            <w:tcW w:w="70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650</w:t>
            </w:r>
            <w:r/>
          </w:p>
        </w:tc>
        <w:tc>
          <w:tcPr>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64</w:t>
            </w:r>
            <w:r/>
          </w:p>
        </w:tc>
      </w:tr>
    </w:tbl>
    <w:p>
      <w:pPr>
        <w:ind w:left="36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4、教办与成人校设备清单</w:t>
      </w:r>
      <w:r/>
    </w:p>
    <w:tbl>
      <w:tblPr>
        <w:tblStyle w:val="731"/>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2583"/>
        <w:gridCol w:w="1535"/>
        <w:gridCol w:w="2008"/>
        <w:gridCol w:w="2100"/>
      </w:tblGrid>
      <w:tr>
        <w:trPr>
          <w:jc w:val="center"/>
          <w:tblHeader/>
        </w:trPr>
        <w:tc>
          <w:tcPr>
            <w:tcMar>
              <w:left w:w="-1" w:type="dxa"/>
              <w:top w:w="-1" w:type="dxa"/>
              <w:right w:w="-1" w:type="dxa"/>
              <w:bottom w:w="-1" w:type="dxa"/>
            </w:tcMar>
            <w:tcW w:w="1243"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教办与成人校</w:t>
            </w:r>
            <w:r/>
          </w:p>
        </w:tc>
        <w:tc>
          <w:tcPr>
            <w:tcMar>
              <w:left w:w="-1" w:type="dxa"/>
              <w:top w:w="-1" w:type="dxa"/>
              <w:right w:w="-1" w:type="dxa"/>
              <w:bottom w:w="-1" w:type="dxa"/>
            </w:tcMar>
            <w:tcW w:w="1535"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出口路由器</w:t>
            </w:r>
            <w:r/>
          </w:p>
        </w:tc>
        <w:tc>
          <w:tcPr>
            <w:tcMar>
              <w:left w:w="-1" w:type="dxa"/>
              <w:top w:w="-1" w:type="dxa"/>
              <w:right w:w="-1" w:type="dxa"/>
              <w:bottom w:w="-1" w:type="dxa"/>
            </w:tcMar>
            <w:tcW w:w="2008"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24口接入交换机</w:t>
            </w:r>
            <w:r/>
          </w:p>
        </w:tc>
        <w:tc>
          <w:tcPr>
            <w:tcMar>
              <w:left w:w="-1" w:type="dxa"/>
              <w:top w:w="-1" w:type="dxa"/>
              <w:right w:w="-1" w:type="dxa"/>
              <w:bottom w:w="-1" w:type="dxa"/>
            </w:tcMar>
            <w:tcW w:w="2100"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千兆单模光模块</w:t>
            </w:r>
            <w:r/>
          </w:p>
        </w:tc>
      </w:tr>
      <w:tr>
        <w:trPr>
          <w:jc w:val="center"/>
        </w:trPr>
        <w:tc>
          <w:tcPr>
            <w:tcMar>
              <w:left w:w="-1" w:type="dxa"/>
              <w:top w:w="-1" w:type="dxa"/>
              <w:right w:w="-1" w:type="dxa"/>
              <w:bottom w:w="-1" w:type="dxa"/>
            </w:tcMar>
            <w:tcW w:w="1243"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w:t>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苴镇成人校</w:t>
            </w:r>
            <w:r/>
          </w:p>
        </w:tc>
        <w:tc>
          <w:tcPr>
            <w:tcMar>
              <w:left w:w="-1" w:type="dxa"/>
              <w:top w:w="-1" w:type="dxa"/>
              <w:right w:w="-1" w:type="dxa"/>
              <w:bottom w:w="-1" w:type="dxa"/>
            </w:tcMar>
            <w:tcW w:w="1535"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08"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2100"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1243"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苴镇教育联络组</w:t>
            </w:r>
            <w:r/>
          </w:p>
        </w:tc>
        <w:tc>
          <w:tcPr>
            <w:tcMar>
              <w:left w:w="-1" w:type="dxa"/>
              <w:top w:w="-1" w:type="dxa"/>
              <w:right w:w="-1" w:type="dxa"/>
              <w:bottom w:w="-1" w:type="dxa"/>
            </w:tcMar>
            <w:tcW w:w="1535"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08"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2100"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1243"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w:t>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丰利镇成人校</w:t>
            </w:r>
            <w:r/>
          </w:p>
        </w:tc>
        <w:tc>
          <w:tcPr>
            <w:tcMar>
              <w:left w:w="-1" w:type="dxa"/>
              <w:top w:w="-1" w:type="dxa"/>
              <w:right w:w="-1" w:type="dxa"/>
              <w:bottom w:w="-1" w:type="dxa"/>
            </w:tcMar>
            <w:tcW w:w="1535"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2008"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2100"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1243"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丰利镇教育联络组</w:t>
            </w:r>
            <w:r/>
          </w:p>
        </w:tc>
        <w:tc>
          <w:tcPr>
            <w:tcMar>
              <w:left w:w="-1" w:type="dxa"/>
              <w:top w:w="-1" w:type="dxa"/>
              <w:right w:w="-1" w:type="dxa"/>
              <w:bottom w:w="-1" w:type="dxa"/>
            </w:tcMar>
            <w:tcW w:w="1535"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08"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2100"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1243"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w:t>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双甸成人校</w:t>
            </w:r>
            <w:r/>
          </w:p>
        </w:tc>
        <w:tc>
          <w:tcPr>
            <w:tcMar>
              <w:left w:w="-1" w:type="dxa"/>
              <w:top w:w="-1" w:type="dxa"/>
              <w:right w:w="-1" w:type="dxa"/>
              <w:bottom w:w="-1" w:type="dxa"/>
            </w:tcMar>
            <w:tcW w:w="1535"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08"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2100"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1243"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双甸教育联络组</w:t>
            </w:r>
            <w:r/>
          </w:p>
        </w:tc>
        <w:tc>
          <w:tcPr>
            <w:tcMar>
              <w:left w:w="-1" w:type="dxa"/>
              <w:top w:w="-1" w:type="dxa"/>
              <w:right w:w="-1" w:type="dxa"/>
              <w:bottom w:w="-1" w:type="dxa"/>
            </w:tcMar>
            <w:tcW w:w="1535"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08"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2100"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1243" w:type="dxa"/>
            <w:vAlign w:val="center"/>
            <w:vMerge w:val="restart"/>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新店镇</w:t>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新店成人校</w:t>
            </w:r>
            <w:r/>
          </w:p>
        </w:tc>
        <w:tc>
          <w:tcPr>
            <w:tcMar>
              <w:left w:w="-1" w:type="dxa"/>
              <w:top w:w="-1" w:type="dxa"/>
              <w:right w:w="-1" w:type="dxa"/>
              <w:bottom w:w="-1" w:type="dxa"/>
            </w:tcMar>
            <w:tcW w:w="1535"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08"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Mar>
              <w:left w:w="-1" w:type="dxa"/>
              <w:top w:w="-1" w:type="dxa"/>
              <w:right w:w="-1" w:type="dxa"/>
              <w:bottom w:w="-1" w:type="dxa"/>
            </w:tcMar>
            <w:tcW w:w="2100"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Mar>
              <w:left w:w="-1" w:type="dxa"/>
              <w:top w:w="-1" w:type="dxa"/>
              <w:right w:w="-1" w:type="dxa"/>
              <w:bottom w:w="-1" w:type="dxa"/>
            </w:tcMar>
            <w:tcW w:w="1243" w:type="dxa"/>
            <w:vAlign w:val="center"/>
            <w:vMerge w:val="continue"/>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新店教育联络组</w:t>
            </w:r>
            <w:r/>
          </w:p>
        </w:tc>
        <w:tc>
          <w:tcPr>
            <w:tcMar>
              <w:left w:w="-1" w:type="dxa"/>
              <w:top w:w="-1" w:type="dxa"/>
              <w:right w:w="-1" w:type="dxa"/>
              <w:bottom w:w="-1" w:type="dxa"/>
            </w:tcMar>
            <w:tcW w:w="1535"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008"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 w:type="dxa"/>
              <w:top w:w="-1" w:type="dxa"/>
              <w:right w:w="-1" w:type="dxa"/>
              <w:bottom w:w="-1" w:type="dxa"/>
            </w:tcMar>
            <w:tcW w:w="2100" w:type="dxa"/>
            <w:vAlign w:val="center"/>
            <w:textDirection w:val="lrTb"/>
            <w:noWrap w:val="false"/>
          </w:tcPr>
          <w:p>
            <w:pPr>
              <w:jc w:val="cente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Mar>
              <w:left w:w="-1" w:type="dxa"/>
              <w:top w:w="-1" w:type="dxa"/>
              <w:right w:w="-1" w:type="dxa"/>
              <w:bottom w:w="-1" w:type="dxa"/>
            </w:tcMar>
            <w:tcW w:w="1243" w:type="dxa"/>
            <w:vAlign w:val="center"/>
            <w:textDirection w:val="lrTb"/>
            <w:noWrap w:val="false"/>
          </w:tcPr>
          <w:p>
            <w:pPr>
              <w:jc w:val="left"/>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Mar>
              <w:left w:w="-1" w:type="dxa"/>
              <w:top w:w="-1" w:type="dxa"/>
              <w:right w:w="-1" w:type="dxa"/>
              <w:bottom w:w="-1" w:type="dxa"/>
            </w:tcMar>
            <w:tcW w:w="2583" w:type="dxa"/>
            <w:vAlign w:val="center"/>
            <w:textDirection w:val="lrTb"/>
            <w:noWrap w:val="false"/>
          </w:tcPr>
          <w:p>
            <w:pPr>
              <w:jc w:val="center"/>
              <w:spacing w:line="276" w:lineRule="auto"/>
              <w:widowControl/>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bidi="ar"/>
              </w:rPr>
              <w:t xml:space="preserve">合计</w:t>
            </w:r>
            <w:r/>
          </w:p>
        </w:tc>
        <w:tc>
          <w:tcPr>
            <w:tcMar>
              <w:left w:w="-1" w:type="dxa"/>
              <w:top w:w="-1" w:type="dxa"/>
              <w:right w:w="-1" w:type="dxa"/>
              <w:bottom w:w="-1" w:type="dxa"/>
            </w:tcMar>
            <w:tcW w:w="1535" w:type="dxa"/>
            <w:vAlign w:val="center"/>
            <w:textDirection w:val="lrTb"/>
            <w:noWrap w:val="false"/>
          </w:tcPr>
          <w:p>
            <w:pPr>
              <w:jc w:val="center"/>
              <w:spacing w:line="276"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w:t>
            </w:r>
            <w:r/>
          </w:p>
        </w:tc>
        <w:tc>
          <w:tcPr>
            <w:tcMar>
              <w:left w:w="-1" w:type="dxa"/>
              <w:top w:w="-1" w:type="dxa"/>
              <w:right w:w="-1" w:type="dxa"/>
              <w:bottom w:w="-1" w:type="dxa"/>
            </w:tcMar>
            <w:tcW w:w="2008" w:type="dxa"/>
            <w:vAlign w:val="center"/>
            <w:textDirection w:val="lrTb"/>
            <w:noWrap w:val="false"/>
          </w:tcPr>
          <w:p>
            <w:pPr>
              <w:jc w:val="center"/>
              <w:spacing w:line="276"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7</w:t>
            </w:r>
            <w:r/>
          </w:p>
        </w:tc>
        <w:tc>
          <w:tcPr>
            <w:tcMar>
              <w:left w:w="-1" w:type="dxa"/>
              <w:top w:w="-1" w:type="dxa"/>
              <w:right w:w="-1" w:type="dxa"/>
              <w:bottom w:w="-1" w:type="dxa"/>
            </w:tcMar>
            <w:tcW w:w="2100" w:type="dxa"/>
            <w:vAlign w:val="center"/>
            <w:textDirection w:val="lrTb"/>
            <w:noWrap w:val="false"/>
          </w:tcPr>
          <w:p>
            <w:pPr>
              <w:jc w:val="center"/>
              <w:spacing w:line="276"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14</w:t>
            </w:r>
            <w:r/>
          </w:p>
        </w:tc>
      </w:tr>
    </w:tbl>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5、教办与成人校施工清单</w:t>
      </w:r>
      <w:r/>
    </w:p>
    <w:tbl>
      <w:tblPr>
        <w:tblStyle w:val="731"/>
        <w:tblW w:w="10044" w:type="dxa"/>
        <w:jc w:val="center"/>
        <w:tblLayout w:type="autofit"/>
        <w:tblCellMar>
          <w:left w:w="108" w:type="dxa"/>
          <w:top w:w="0" w:type="dxa"/>
          <w:right w:w="108" w:type="dxa"/>
          <w:bottom w:w="0" w:type="dxa"/>
        </w:tblCellMar>
        <w:tblLook w:val="04A0" w:firstRow="1" w:lastRow="0" w:firstColumn="1" w:lastColumn="0" w:noHBand="0" w:noVBand="1"/>
      </w:tblPr>
      <w:tblGrid>
        <w:gridCol w:w="992"/>
        <w:gridCol w:w="2208"/>
        <w:gridCol w:w="525"/>
        <w:gridCol w:w="601"/>
        <w:gridCol w:w="678"/>
        <w:gridCol w:w="755"/>
        <w:gridCol w:w="779"/>
        <w:gridCol w:w="678"/>
        <w:gridCol w:w="579"/>
        <w:gridCol w:w="786"/>
        <w:gridCol w:w="785"/>
        <w:gridCol w:w="678"/>
      </w:tblGrid>
      <w:tr>
        <w:trPr>
          <w:jc w:val="center"/>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2"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教办与成人校</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机柜</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配线架</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网络跳线</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网络理线架</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网线</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电源线</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PDU</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PVC管</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PVC线槽</w:t>
            </w:r>
            <w:r/>
          </w:p>
        </w:tc>
        <w:tc>
          <w:tcPr>
            <w:tcBorders>
              <w:top w:val="single" w:color="auto"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面板模块</w:t>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92"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Borders>
              <w:left w:val="single" w:color="auto" w:sz="4" w:space="0"/>
              <w:bottom w:val="none" w:color="000000" w:sz="4" w:space="0"/>
              <w:right w:val="none" w:color="000000" w:sz="4" w:space="0"/>
            </w:tcBorders>
            <w:tcMar>
              <w:left w:w="-1" w:type="dxa"/>
              <w:top w:w="-1" w:type="dxa"/>
              <w:right w:w="-1" w:type="dxa"/>
              <w:bottom w:w="-1" w:type="dxa"/>
            </w:tcMar>
            <w:tcW w:w="9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苴镇教育联络组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w:t>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92"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Borders>
              <w:left w:val="single" w:color="auto" w:sz="4" w:space="0"/>
              <w:bottom w:val="none" w:color="000000" w:sz="4" w:space="0"/>
              <w:right w:val="none" w:color="000000" w:sz="4" w:space="0"/>
            </w:tcBorders>
            <w:tcMar>
              <w:left w:w="-1" w:type="dxa"/>
              <w:top w:w="-1" w:type="dxa"/>
              <w:right w:w="-1" w:type="dxa"/>
              <w:bottom w:w="-1" w:type="dxa"/>
            </w:tcMar>
            <w:tcW w:w="9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丰利镇教育联络组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92"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450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Borders>
              <w:left w:val="single" w:color="auto" w:sz="4" w:space="0"/>
              <w:bottom w:val="none" w:color="000000" w:sz="4" w:space="0"/>
              <w:right w:val="none" w:color="000000" w:sz="4" w:space="0"/>
            </w:tcBorders>
            <w:tcMar>
              <w:left w:w="-1" w:type="dxa"/>
              <w:top w:w="-1" w:type="dxa"/>
              <w:right w:w="-1" w:type="dxa"/>
              <w:bottom w:w="-1" w:type="dxa"/>
            </w:tcMar>
            <w:tcW w:w="9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双甸教育联络组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450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92"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450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Borders>
              <w:left w:val="single" w:color="auto" w:sz="4" w:space="0"/>
              <w:bottom w:val="none" w:color="000000" w:sz="4" w:space="0"/>
              <w:right w:val="none" w:color="000000" w:sz="4" w:space="0"/>
            </w:tcBorders>
            <w:tcMar>
              <w:left w:w="-1" w:type="dxa"/>
              <w:top w:w="-1" w:type="dxa"/>
              <w:right w:w="-1" w:type="dxa"/>
              <w:bottom w:w="-1" w:type="dxa"/>
            </w:tcMar>
            <w:tcW w:w="9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新店教育联络组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992" w:type="dxa"/>
            <w:vAlign w:val="center"/>
            <w:textDirection w:val="lrTb"/>
            <w:noWrap w:val="false"/>
          </w:tcPr>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Borders>
              <w:top w:val="single" w:color="auto" w:sz="4" w:space="0"/>
              <w:left w:val="single" w:color="000000" w:sz="4" w:space="0"/>
              <w:bottom w:val="single" w:color="auto" w:sz="4" w:space="0"/>
              <w:right w:val="none" w:color="000000" w:sz="4" w:space="0"/>
            </w:tcBorders>
            <w:tcMar>
              <w:left w:w="-1" w:type="dxa"/>
              <w:top w:w="-1" w:type="dxa"/>
              <w:right w:w="-1" w:type="dxa"/>
              <w:bottom w:w="-1" w:type="dxa"/>
            </w:tcMar>
            <w:tcW w:w="220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合计</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6</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7</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85</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15</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5000</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90</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6</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2850</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300</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72</w:t>
            </w:r>
            <w:r/>
          </w:p>
        </w:tc>
      </w:tr>
    </w:tbl>
    <w:p>
      <w:pPr>
        <w:pStyle w:val="754"/>
        <w:ind w:firstLine="0"/>
        <w:rPr>
          <w:b/>
          <w:bCs/>
          <w:color w:val="auto"/>
          <w:highlight w:val="none"/>
          <w:lang w:val="en-US"/>
        </w:rPr>
      </w:pPr>
      <w:r>
        <w:rPr>
          <w:b/>
          <w:bCs/>
          <w:color w:val="auto"/>
          <w:highlight w:val="none"/>
          <w:lang w:val="en-US"/>
        </w:rPr>
      </w:r>
      <w:r/>
    </w:p>
    <w:p>
      <w:pPr>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采购包3：</w:t>
      </w:r>
      <w:r/>
    </w:p>
    <w:p>
      <w:pPr>
        <w:ind w:left="36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1、采购需求清单</w:t>
      </w:r>
      <w:r/>
    </w:p>
    <w:tbl>
      <w:tblPr>
        <w:tblStyle w:val="731"/>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9"/>
        <w:gridCol w:w="2393"/>
        <w:gridCol w:w="4606"/>
        <w:gridCol w:w="855"/>
        <w:gridCol w:w="628"/>
      </w:tblGrid>
      <w:tr>
        <w:trPr>
          <w:jc w:val="center"/>
          <w:trHeight w:val="436"/>
          <w:tblHead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序号</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设备名称</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规格</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数量</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单位</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出口路由器</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防火墙</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核心交换机</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24口接入交换机</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4</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无线AP</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无线授权</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提供无线网络配套授权</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7</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本地供电模块</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单端口POE注入器</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千兆单模光模块</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光模块-SFP-GE-单模模块-(1310nm,10km,LC)</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块</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无线控制器</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详见技术参数要求</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机柜</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国优9U</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台</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11</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配线架</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国优24口6类</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网络跳线</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国优6类</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64</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根</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13</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网络理线架</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国优1U</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17</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14</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网线</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国优6类</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5000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电源线</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国标RVV 3*1.5</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220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16</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PDU</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国标6位</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个</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17</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PVC管</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国优&amp;20</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3200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18</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PVC线槽</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国优5*10</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320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米</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19</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面板模块</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国优6类</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60</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辅助材料</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施工过程中涉及的辅助材料</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r>
        <w:trPr>
          <w:jc w:val="center"/>
        </w:trPr>
        <w:tc>
          <w:tcPr>
            <w:tcMar>
              <w:left w:w="8" w:type="dxa"/>
              <w:top w:w="8" w:type="dxa"/>
              <w:right w:w="8" w:type="dxa"/>
              <w:bottom w:w="-1" w:type="dxa"/>
            </w:tcMar>
            <w:tcW w:w="69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21</w:t>
            </w:r>
            <w:r/>
          </w:p>
        </w:tc>
        <w:tc>
          <w:tcPr>
            <w:tcMar>
              <w:left w:w="8" w:type="dxa"/>
              <w:top w:w="8" w:type="dxa"/>
              <w:right w:w="8" w:type="dxa"/>
              <w:bottom w:w="-1" w:type="dxa"/>
            </w:tcMar>
            <w:tcW w:w="239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系统集成</w:t>
            </w:r>
            <w:r/>
          </w:p>
        </w:tc>
        <w:tc>
          <w:tcPr>
            <w:tcMar>
              <w:left w:w="8" w:type="dxa"/>
              <w:top w:w="8" w:type="dxa"/>
              <w:right w:w="8" w:type="dxa"/>
              <w:bottom w:w="-1" w:type="dxa"/>
            </w:tcMar>
            <w:tcW w:w="460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提供现网工勘、点位设计、设备上架、设备安装、设备调试、系统对接、网络线缆管线铺设、有线无线网络调优、系统集成等。</w:t>
            </w:r>
            <w:r/>
          </w:p>
        </w:tc>
        <w:tc>
          <w:tcPr>
            <w:tcMar>
              <w:left w:w="8" w:type="dxa"/>
              <w:top w:w="8" w:type="dxa"/>
              <w:right w:w="8" w:type="dxa"/>
              <w:bottom w:w="-1" w:type="dxa"/>
            </w:tcMar>
            <w:tcW w:w="8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Mar>
              <w:left w:w="8" w:type="dxa"/>
              <w:top w:w="8" w:type="dxa"/>
              <w:right w:w="8" w:type="dxa"/>
              <w:bottom w:w="-1" w:type="dxa"/>
            </w:tcMar>
            <w:tcW w:w="62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套</w:t>
            </w:r>
            <w:r/>
          </w:p>
        </w:tc>
      </w:tr>
    </w:tbl>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2、幼儿园设备清单</w:t>
      </w:r>
      <w:r/>
    </w:p>
    <w:tbl>
      <w:tblPr>
        <w:tblStyle w:val="731"/>
        <w:tblW w:w="9924" w:type="dxa"/>
        <w:jc w:val="center"/>
        <w:tblLayout w:type="autofit"/>
        <w:tblCellMar>
          <w:left w:w="108" w:type="dxa"/>
          <w:top w:w="0" w:type="dxa"/>
          <w:right w:w="108" w:type="dxa"/>
          <w:bottom w:w="0" w:type="dxa"/>
        </w:tblCellMar>
        <w:tblLook w:val="04A0" w:firstRow="1" w:lastRow="0" w:firstColumn="1" w:lastColumn="0" w:noHBand="0" w:noVBand="1"/>
      </w:tblPr>
      <w:tblGrid>
        <w:gridCol w:w="1039"/>
        <w:gridCol w:w="2247"/>
        <w:gridCol w:w="681"/>
        <w:gridCol w:w="563"/>
        <w:gridCol w:w="681"/>
        <w:gridCol w:w="810"/>
        <w:gridCol w:w="896"/>
        <w:gridCol w:w="896"/>
        <w:gridCol w:w="579"/>
        <w:gridCol w:w="736"/>
        <w:gridCol w:w="796"/>
      </w:tblGrid>
      <w:tr>
        <w:trPr>
          <w:jc w:val="center"/>
          <w:tblHeader/>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039"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2247"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幼儿园</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出口路由器</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防火墙</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核心交换机</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24口接入交换机</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24口POE接入交换机</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48口POE接入交换机</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放装AP</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3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本地供电模块</w:t>
            </w:r>
            <w:r/>
          </w:p>
        </w:tc>
        <w:tc>
          <w:tcPr>
            <w:tcBorders>
              <w:top w:val="single" w:color="auto" w:sz="4" w:space="0"/>
              <w:left w:val="single" w:color="000000" w:sz="4" w:space="0"/>
              <w:bottom w:val="none" w:color="000000" w:sz="4" w:space="0"/>
              <w:right w:val="single" w:color="auto" w:sz="4" w:space="0"/>
            </w:tcBorders>
            <w:tcMar>
              <w:left w:w="-1" w:type="dxa"/>
              <w:top w:w="-1" w:type="dxa"/>
              <w:right w:w="-1" w:type="dxa"/>
              <w:bottom w:w="-1" w:type="dxa"/>
            </w:tcMar>
            <w:tcW w:w="796" w:type="dxa"/>
            <w:vAlign w:val="center"/>
            <w:textDirection w:val="lrTb"/>
            <w:noWrap w:val="false"/>
          </w:tcPr>
          <w:p>
            <w:pPr>
              <w:jc w:val="center"/>
              <w:keepNex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千兆单模光模块</w:t>
            </w:r>
            <w:r/>
          </w:p>
        </w:tc>
      </w:tr>
      <w:tr>
        <w:trPr>
          <w:jc w:val="center"/>
          <w:trHeight w:val="312"/>
        </w:trPr>
        <w:tc>
          <w:tcPr>
            <w:tcBorders>
              <w:top w:val="single" w:color="auto" w:sz="4" w:space="0"/>
              <w:left w:val="single" w:color="auto" w:sz="4" w:space="0"/>
              <w:right w:val="single" w:color="auto" w:sz="4" w:space="0"/>
            </w:tcBorders>
            <w:tcMar>
              <w:left w:w="-1" w:type="dxa"/>
              <w:top w:w="-1" w:type="dxa"/>
              <w:right w:w="-1" w:type="dxa"/>
              <w:bottom w:w="-1" w:type="dxa"/>
            </w:tcMar>
            <w:tcW w:w="1039"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w:t>
            </w:r>
            <w:r/>
          </w:p>
        </w:tc>
        <w:tc>
          <w:tcPr>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4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栟茶镇栟茶幼儿园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2"/>
        </w:trPr>
        <w:tc>
          <w:tcPr>
            <w:tcBorders>
              <w:left w:val="single" w:color="auto" w:sz="4" w:space="0"/>
              <w:right w:val="single" w:color="auto" w:sz="4" w:space="0"/>
            </w:tcBorders>
            <w:tcMar>
              <w:left w:w="-1" w:type="dxa"/>
              <w:top w:w="-1" w:type="dxa"/>
              <w:right w:w="-1" w:type="dxa"/>
              <w:bottom w:w="-1" w:type="dxa"/>
            </w:tcMar>
            <w:tcW w:w="103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4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栟茶镇靖海幼儿园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2"/>
        </w:trPr>
        <w:tc>
          <w:tcPr>
            <w:tcBorders>
              <w:left w:val="single" w:color="auto" w:sz="4" w:space="0"/>
              <w:right w:val="single" w:color="auto" w:sz="4" w:space="0"/>
            </w:tcBorders>
            <w:tcMar>
              <w:left w:w="-1" w:type="dxa"/>
              <w:top w:w="-1" w:type="dxa"/>
              <w:right w:w="-1" w:type="dxa"/>
              <w:bottom w:w="-1" w:type="dxa"/>
            </w:tcMar>
            <w:tcW w:w="103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4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栟茶镇浒澪幼儿园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2"/>
        </w:trPr>
        <w:tc>
          <w:tcPr>
            <w:tcBorders>
              <w:top w:val="single" w:color="auto" w:sz="4" w:space="0"/>
              <w:left w:val="single" w:color="auto" w:sz="4" w:space="0"/>
              <w:right w:val="single" w:color="auto" w:sz="4" w:space="0"/>
            </w:tcBorders>
            <w:tcMar>
              <w:left w:w="-1" w:type="dxa"/>
              <w:top w:w="-1" w:type="dxa"/>
              <w:right w:w="-1" w:type="dxa"/>
              <w:bottom w:w="-1" w:type="dxa"/>
            </w:tcMar>
            <w:tcW w:w="1039" w:type="dxa"/>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w:t>
            </w:r>
            <w:r/>
          </w:p>
        </w:tc>
        <w:tc>
          <w:tcPr>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4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河口镇中心幼儿园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2"/>
        </w:trPr>
        <w:tc>
          <w:tcPr>
            <w:tcBorders>
              <w:left w:val="single" w:color="auto" w:sz="4" w:space="0"/>
              <w:right w:val="single" w:color="auto" w:sz="4" w:space="0"/>
            </w:tcBorders>
            <w:tcMar>
              <w:left w:w="-1" w:type="dxa"/>
              <w:top w:w="-1" w:type="dxa"/>
              <w:right w:w="-1" w:type="dxa"/>
              <w:bottom w:w="-1" w:type="dxa"/>
            </w:tcMar>
            <w:tcW w:w="103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4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河口镇于港幼儿园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2"/>
        </w:trPr>
        <w:tc>
          <w:tcPr>
            <w:tcBorders>
              <w:left w:val="single" w:color="auto" w:sz="4" w:space="0"/>
              <w:right w:val="single" w:color="auto" w:sz="4" w:space="0"/>
            </w:tcBorders>
            <w:tcMar>
              <w:left w:w="-1" w:type="dxa"/>
              <w:top w:w="-1" w:type="dxa"/>
              <w:right w:w="-1" w:type="dxa"/>
              <w:bottom w:w="-1" w:type="dxa"/>
            </w:tcMar>
            <w:tcW w:w="103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4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河口镇景安幼儿园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79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w:t>
            </w:r>
            <w:r/>
          </w:p>
        </w:tc>
      </w:tr>
      <w:tr>
        <w:trPr>
          <w:jc w:val="center"/>
          <w:trHeight w:val="312"/>
        </w:trPr>
        <w:tc>
          <w:tcPr>
            <w:tcBorders>
              <w:top w:val="single" w:color="auto" w:sz="4" w:space="0"/>
              <w:left w:val="single" w:color="auto" w:sz="4" w:space="0"/>
              <w:right w:val="single" w:color="auto" w:sz="4" w:space="0"/>
            </w:tcBorders>
            <w:tcMar>
              <w:left w:w="-1" w:type="dxa"/>
              <w:top w:w="-1" w:type="dxa"/>
              <w:right w:w="-1" w:type="dxa"/>
              <w:bottom w:w="-1" w:type="dxa"/>
            </w:tcMar>
            <w:tcW w:w="1039" w:type="dxa"/>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袁庄镇</w:t>
            </w:r>
            <w:r/>
          </w:p>
        </w:tc>
        <w:tc>
          <w:tcPr>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4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袁庄镇沿南幼儿园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2"/>
        </w:trPr>
        <w:tc>
          <w:tcPr>
            <w:tcBorders>
              <w:left w:val="single" w:color="auto" w:sz="4" w:space="0"/>
              <w:right w:val="single" w:color="auto" w:sz="4" w:space="0"/>
            </w:tcBorders>
            <w:tcMar>
              <w:left w:w="-1" w:type="dxa"/>
              <w:top w:w="-1" w:type="dxa"/>
              <w:right w:w="-1" w:type="dxa"/>
              <w:bottom w:w="-1" w:type="dxa"/>
            </w:tcMar>
            <w:tcW w:w="103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47"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袁庄镇袁庄幼儿园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3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79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12"/>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039"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auto" w:sz="4" w:space="0"/>
              <w:bottom w:val="single" w:color="auto" w:sz="4" w:space="0"/>
              <w:right w:val="none" w:color="000000" w:sz="4" w:space="0"/>
            </w:tcBorders>
            <w:tcMar>
              <w:left w:w="-1" w:type="dxa"/>
              <w:top w:w="-1" w:type="dxa"/>
              <w:right w:w="-1" w:type="dxa"/>
              <w:bottom w:w="-1" w:type="dxa"/>
            </w:tcMar>
            <w:tcW w:w="2247"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合计</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563"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68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4</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810"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2</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0</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89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0</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9</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73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9</w:t>
            </w:r>
            <w:r/>
          </w:p>
        </w:tc>
        <w:tc>
          <w:tcPr>
            <w:tcBorders>
              <w:top w:val="single" w:color="000000" w:sz="4" w:space="0"/>
              <w:left w:val="single" w:color="000000" w:sz="4" w:space="0"/>
              <w:bottom w:val="single" w:color="auto" w:sz="4" w:space="0"/>
              <w:right w:val="single" w:color="auto" w:sz="4" w:space="0"/>
            </w:tcBorders>
            <w:tcMar>
              <w:left w:w="-1" w:type="dxa"/>
              <w:top w:w="-1" w:type="dxa"/>
              <w:right w:w="-1" w:type="dxa"/>
              <w:bottom w:w="-1" w:type="dxa"/>
            </w:tcMar>
            <w:tcW w:w="79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4</w:t>
            </w:r>
            <w:r/>
          </w:p>
        </w:tc>
      </w:tr>
    </w:tbl>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3、幼儿园施工清单</w:t>
      </w:r>
      <w:r/>
    </w:p>
    <w:tbl>
      <w:tblPr>
        <w:tblStyle w:val="731"/>
        <w:tblW w:w="10122" w:type="dxa"/>
        <w:jc w:val="center"/>
        <w:tblLayout w:type="autofit"/>
        <w:tblCellMar>
          <w:left w:w="108" w:type="dxa"/>
          <w:top w:w="0" w:type="dxa"/>
          <w:right w:w="108" w:type="dxa"/>
          <w:bottom w:w="0" w:type="dxa"/>
        </w:tblCellMar>
        <w:tblLook w:val="04A0" w:firstRow="1" w:lastRow="0" w:firstColumn="1" w:lastColumn="0" w:noHBand="0" w:noVBand="1"/>
      </w:tblPr>
      <w:tblGrid>
        <w:gridCol w:w="969"/>
        <w:gridCol w:w="2308"/>
        <w:gridCol w:w="525"/>
        <w:gridCol w:w="601"/>
        <w:gridCol w:w="678"/>
        <w:gridCol w:w="755"/>
        <w:gridCol w:w="779"/>
        <w:gridCol w:w="679"/>
        <w:gridCol w:w="579"/>
        <w:gridCol w:w="786"/>
        <w:gridCol w:w="785"/>
        <w:gridCol w:w="678"/>
      </w:tblGrid>
      <w:tr>
        <w:trPr>
          <w:jc w:val="center"/>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6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幼儿园</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机柜</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配线架</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网络跳线</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网络理线架</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网线</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电源线</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PDU</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PVC管</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PVC线槽</w:t>
            </w:r>
            <w:r/>
          </w:p>
        </w:tc>
        <w:tc>
          <w:tcPr>
            <w:tcBorders>
              <w:top w:val="single" w:color="auto"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面板模块</w:t>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69"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栟茶镇栟茶幼儿园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left w:val="single" w:color="auto" w:sz="4" w:space="0"/>
              <w:right w:val="none" w:color="000000" w:sz="4" w:space="0"/>
            </w:tcBorders>
            <w:tcMar>
              <w:left w:w="-1" w:type="dxa"/>
              <w:top w:w="-1" w:type="dxa"/>
              <w:right w:w="-1" w:type="dxa"/>
              <w:bottom w:w="-1" w:type="dxa"/>
            </w:tcMar>
            <w:tcW w:w="96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栟茶镇靖海幼儿园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700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w:t>
            </w:r>
            <w:r/>
          </w:p>
        </w:tc>
      </w:tr>
      <w:tr>
        <w:trPr>
          <w:jc w:val="center"/>
        </w:trPr>
        <w:tc>
          <w:tcPr>
            <w:tcBorders>
              <w:left w:val="single" w:color="auto" w:sz="4" w:space="0"/>
              <w:right w:val="none" w:color="000000" w:sz="4" w:space="0"/>
            </w:tcBorders>
            <w:tcMar>
              <w:left w:w="-1" w:type="dxa"/>
              <w:top w:w="-1" w:type="dxa"/>
              <w:right w:w="-1" w:type="dxa"/>
              <w:bottom w:w="-1" w:type="dxa"/>
            </w:tcMar>
            <w:tcW w:w="96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栟茶镇浒澪幼儿园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69" w:type="dxa"/>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河口镇中心幼儿园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left w:val="single" w:color="auto" w:sz="4" w:space="0"/>
              <w:right w:val="none" w:color="000000" w:sz="4" w:space="0"/>
            </w:tcBorders>
            <w:tcMar>
              <w:left w:w="-1" w:type="dxa"/>
              <w:top w:w="-1" w:type="dxa"/>
              <w:right w:w="-1" w:type="dxa"/>
              <w:bottom w:w="-1" w:type="dxa"/>
            </w:tcMar>
            <w:tcW w:w="96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河口镇于港幼儿园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w:t>
            </w:r>
            <w:r/>
          </w:p>
        </w:tc>
      </w:tr>
      <w:tr>
        <w:trPr>
          <w:jc w:val="center"/>
        </w:trPr>
        <w:tc>
          <w:tcPr>
            <w:tcBorders>
              <w:left w:val="single" w:color="auto" w:sz="4" w:space="0"/>
              <w:right w:val="none" w:color="000000" w:sz="4" w:space="0"/>
            </w:tcBorders>
            <w:tcMar>
              <w:left w:w="-1" w:type="dxa"/>
              <w:top w:w="-1" w:type="dxa"/>
              <w:right w:w="-1" w:type="dxa"/>
              <w:bottom w:w="-1" w:type="dxa"/>
            </w:tcMar>
            <w:tcW w:w="96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河口镇景安幼儿园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1200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18</w:t>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69" w:type="dxa"/>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袁庄镇沿南幼儿园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left w:val="single" w:color="auto" w:sz="4" w:space="0"/>
              <w:right w:val="none" w:color="000000" w:sz="4" w:space="0"/>
            </w:tcBorders>
            <w:tcMar>
              <w:left w:w="-1" w:type="dxa"/>
              <w:top w:w="-1" w:type="dxa"/>
              <w:right w:w="-1" w:type="dxa"/>
              <w:bottom w:w="-1" w:type="dxa"/>
            </w:tcMar>
            <w:tcW w:w="96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袁庄镇袁庄幼儿园</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auto" w:sz="4" w:space="0"/>
              <w:bottom w:val="single" w:color="auto" w:sz="4" w:space="0"/>
              <w:right w:val="none" w:color="000000" w:sz="4" w:space="0"/>
            </w:tcBorders>
            <w:tcMar>
              <w:left w:w="-1" w:type="dxa"/>
              <w:top w:w="-1" w:type="dxa"/>
              <w:right w:w="-1" w:type="dxa"/>
              <w:bottom w:w="-1" w:type="dxa"/>
            </w:tcMar>
            <w:tcW w:w="96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230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b/>
                <w:color w:val="auto"/>
                <w:sz w:val="24"/>
                <w:szCs w:val="24"/>
                <w:highlight w:val="none"/>
                <w:lang w:bidi="ar"/>
              </w:rPr>
              <w:t xml:space="preserve">合计</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52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4</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60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4</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36</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75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11</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7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3300</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6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150</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57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4</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78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2400</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78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250</w:t>
            </w:r>
            <w:r/>
          </w:p>
        </w:tc>
        <w:tc>
          <w:tcPr>
            <w:tcBorders>
              <w:top w:val="single" w:color="000000" w:sz="4" w:space="0"/>
              <w:left w:val="single" w:color="000000" w:sz="4" w:space="0"/>
              <w:bottom w:val="single" w:color="auto" w:sz="4" w:space="0"/>
              <w:right w:val="single" w:color="auto" w:sz="4" w:space="0"/>
            </w:tcBorders>
            <w:tcMar>
              <w:left w:w="-1" w:type="dxa"/>
              <w:top w:w="-1" w:type="dxa"/>
              <w:right w:w="-1" w:type="dxa"/>
              <w:bottom w:w="-1" w:type="dxa"/>
            </w:tcMar>
            <w:tcW w:w="67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40</w:t>
            </w:r>
            <w:r/>
          </w:p>
        </w:tc>
      </w:tr>
    </w:tbl>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4、教办与成人校设备清单</w:t>
      </w:r>
      <w:r/>
    </w:p>
    <w:tbl>
      <w:tblPr>
        <w:tblStyle w:val="731"/>
        <w:tblW w:w="9112" w:type="dxa"/>
        <w:jc w:val="center"/>
        <w:tblLayout w:type="autofit"/>
        <w:tblCellMar>
          <w:left w:w="108" w:type="dxa"/>
          <w:top w:w="0" w:type="dxa"/>
          <w:right w:w="108" w:type="dxa"/>
          <w:bottom w:w="0" w:type="dxa"/>
        </w:tblCellMar>
        <w:tblLook w:val="04A0" w:firstRow="1" w:lastRow="0" w:firstColumn="1" w:lastColumn="0" w:noHBand="0" w:noVBand="1"/>
      </w:tblPr>
      <w:tblGrid>
        <w:gridCol w:w="1139"/>
        <w:gridCol w:w="2511"/>
        <w:gridCol w:w="1440"/>
        <w:gridCol w:w="2022"/>
        <w:gridCol w:w="2000"/>
      </w:tblGrid>
      <w:tr>
        <w:trPr>
          <w:jc w:val="center"/>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3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251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教办与成人校</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144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出口路由器</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2022"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24口接入交换机</w:t>
            </w:r>
            <w:r/>
          </w:p>
        </w:tc>
        <w:tc>
          <w:tcPr>
            <w:tcBorders>
              <w:top w:val="single" w:color="auto" w:sz="4" w:space="0"/>
              <w:left w:val="single" w:color="000000" w:sz="4" w:space="0"/>
              <w:bottom w:val="none" w:color="000000" w:sz="4" w:space="0"/>
              <w:right w:val="single" w:color="auto" w:sz="4" w:space="0"/>
            </w:tcBorders>
            <w:tcMar>
              <w:left w:w="-1" w:type="dxa"/>
              <w:top w:w="-1" w:type="dxa"/>
              <w:right w:w="-1" w:type="dxa"/>
              <w:bottom w:w="-1" w:type="dxa"/>
            </w:tcMar>
            <w:tcW w:w="20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千兆单模光模块</w:t>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1139"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51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44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200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Borders>
              <w:left w:val="single" w:color="auto" w:sz="4" w:space="0"/>
              <w:bottom w:val="none" w:color="000000" w:sz="4" w:space="0"/>
              <w:right w:val="none" w:color="000000" w:sz="4" w:space="0"/>
            </w:tcBorders>
            <w:tcMar>
              <w:left w:w="-1" w:type="dxa"/>
              <w:top w:w="-1" w:type="dxa"/>
              <w:right w:w="-1" w:type="dxa"/>
              <w:bottom w:w="-1" w:type="dxa"/>
            </w:tcMar>
            <w:tcW w:w="113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51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44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200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1139"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51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44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200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p>
        </w:tc>
      </w:tr>
      <w:tr>
        <w:trPr>
          <w:jc w:val="center"/>
        </w:trPr>
        <w:tc>
          <w:tcPr>
            <w:tcBorders>
              <w:left w:val="single" w:color="auto" w:sz="4" w:space="0"/>
              <w:bottom w:val="none" w:color="000000" w:sz="4" w:space="0"/>
              <w:right w:val="none" w:color="000000" w:sz="4" w:space="0"/>
            </w:tcBorders>
            <w:tcMar>
              <w:left w:w="-1" w:type="dxa"/>
              <w:top w:w="-1" w:type="dxa"/>
              <w:right w:w="-1" w:type="dxa"/>
              <w:bottom w:w="-1" w:type="dxa"/>
            </w:tcMar>
            <w:tcW w:w="113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51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44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200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1139"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51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44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200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left w:val="single" w:color="auto" w:sz="4" w:space="0"/>
              <w:bottom w:val="none" w:color="000000" w:sz="4" w:space="0"/>
              <w:right w:val="none" w:color="000000" w:sz="4" w:space="0"/>
            </w:tcBorders>
            <w:tcMar>
              <w:left w:w="-1" w:type="dxa"/>
              <w:top w:w="-1" w:type="dxa"/>
              <w:right w:w="-1" w:type="dxa"/>
              <w:bottom w:w="-1" w:type="dxa"/>
            </w:tcMar>
            <w:tcW w:w="113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51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44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200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auto" w:sz="4" w:space="0"/>
              <w:bottom w:val="single" w:color="auto" w:sz="4" w:space="0"/>
              <w:right w:val="none" w:color="000000" w:sz="4" w:space="0"/>
            </w:tcBorders>
            <w:tcMar>
              <w:left w:w="-1" w:type="dxa"/>
              <w:top w:w="-1" w:type="dxa"/>
              <w:right w:w="-1" w:type="dxa"/>
              <w:bottom w:w="-1" w:type="dxa"/>
            </w:tcMar>
            <w:tcW w:w="1139"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251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合计</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440"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w:t>
            </w:r>
            <w:r/>
          </w:p>
        </w:tc>
        <w:tc>
          <w:tcPr>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202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2</w:t>
            </w:r>
            <w:r/>
          </w:p>
        </w:tc>
        <w:tc>
          <w:tcPr>
            <w:tcBorders>
              <w:top w:val="single" w:color="000000" w:sz="4" w:space="0"/>
              <w:left w:val="single" w:color="000000" w:sz="4" w:space="0"/>
              <w:bottom w:val="single" w:color="auto" w:sz="4" w:space="0"/>
              <w:right w:val="single" w:color="auto" w:sz="4" w:space="0"/>
            </w:tcBorders>
            <w:tcMar>
              <w:left w:w="-1" w:type="dxa"/>
              <w:top w:w="-1" w:type="dxa"/>
              <w:right w:w="-1" w:type="dxa"/>
              <w:bottom w:w="-1" w:type="dxa"/>
            </w:tcMar>
            <w:tcW w:w="2000"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4</w:t>
            </w:r>
            <w:r/>
          </w:p>
        </w:tc>
      </w:tr>
    </w:tbl>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5、教办与成人校施工清单</w:t>
      </w:r>
      <w:r/>
    </w:p>
    <w:tbl>
      <w:tblPr>
        <w:tblStyle w:val="731"/>
        <w:tblW w:w="10266" w:type="dxa"/>
        <w:jc w:val="center"/>
        <w:tblLayout w:type="fixed"/>
        <w:tblCellMar>
          <w:left w:w="108" w:type="dxa"/>
          <w:top w:w="0" w:type="dxa"/>
          <w:right w:w="108" w:type="dxa"/>
          <w:bottom w:w="0" w:type="dxa"/>
        </w:tblCellMar>
        <w:tblLook w:val="04A0" w:firstRow="1" w:lastRow="0" w:firstColumn="1" w:lastColumn="0" w:noHBand="0" w:noVBand="1"/>
      </w:tblPr>
      <w:tblGrid>
        <w:gridCol w:w="961"/>
        <w:gridCol w:w="2148"/>
        <w:gridCol w:w="661"/>
        <w:gridCol w:w="532"/>
        <w:gridCol w:w="703"/>
        <w:gridCol w:w="976"/>
        <w:gridCol w:w="674"/>
        <w:gridCol w:w="661"/>
        <w:gridCol w:w="586"/>
        <w:gridCol w:w="812"/>
        <w:gridCol w:w="729"/>
        <w:gridCol w:w="823"/>
      </w:tblGrid>
      <w:tr>
        <w:trPr>
          <w:jc w:val="center"/>
          <w:trHeight w:val="1383"/>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乡镇</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214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教办与成人校</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机柜</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532"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配线架</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03"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网络跳线</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网络理线架</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7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网线</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电源线</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586"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PDU</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812"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PVC管</w:t>
            </w:r>
            <w:r/>
          </w:p>
        </w:tc>
        <w:tc>
          <w:tcPr>
            <w:tcBorders>
              <w:top w:val="single" w:color="auto" w:sz="4" w:space="0"/>
              <w:left w:val="single" w:color="000000" w:sz="4" w:space="0"/>
              <w:bottom w:val="none" w:color="000000" w:sz="4" w:space="0"/>
              <w:right w:val="none" w:color="000000" w:sz="4" w:space="0"/>
            </w:tcBorders>
            <w:tcMar>
              <w:left w:w="-1" w:type="dxa"/>
              <w:top w:w="-1" w:type="dxa"/>
              <w:right w:w="-1" w:type="dxa"/>
              <w:bottom w:w="-1" w:type="dxa"/>
            </w:tcMar>
            <w:tcW w:w="729"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PVC线槽</w:t>
            </w:r>
            <w:r/>
          </w:p>
        </w:tc>
        <w:tc>
          <w:tcPr>
            <w:tcBorders>
              <w:top w:val="single" w:color="auto" w:sz="4" w:space="0"/>
              <w:left w:val="single" w:color="000000" w:sz="4" w:space="0"/>
              <w:bottom w:val="none" w:color="000000" w:sz="4" w:space="0"/>
              <w:right w:val="single" w:color="auto" w:sz="4" w:space="0"/>
            </w:tcBorders>
            <w:tcMar>
              <w:left w:w="-1" w:type="dxa"/>
              <w:top w:w="-1" w:type="dxa"/>
              <w:right w:w="-1" w:type="dxa"/>
              <w:bottom w:w="-1" w:type="dxa"/>
            </w:tcMar>
            <w:tcW w:w="823"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面板模块</w:t>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61"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3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0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800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150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2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82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w:t>
            </w:r>
            <w:r/>
          </w:p>
        </w:tc>
      </w:tr>
      <w:tr>
        <w:trPr>
          <w:jc w:val="center"/>
        </w:trPr>
        <w:tc>
          <w:tcPr>
            <w:tcBorders>
              <w:left w:val="single" w:color="auto" w:sz="4" w:space="0"/>
              <w:right w:val="none" w:color="000000" w:sz="4" w:space="0"/>
            </w:tcBorders>
            <w:tcMar>
              <w:left w:w="-1" w:type="dxa"/>
              <w:top w:w="-1" w:type="dxa"/>
              <w:right w:w="-1" w:type="dxa"/>
              <w:bottom w:w="-1" w:type="dxa"/>
            </w:tcMar>
            <w:tcW w:w="961"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栟茶镇教育联络组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32"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4"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2"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2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82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61"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3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0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20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900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86"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650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2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82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10</w:t>
            </w:r>
            <w:r/>
          </w:p>
        </w:tc>
      </w:tr>
      <w:tr>
        <w:trPr>
          <w:jc w:val="center"/>
        </w:trPr>
        <w:tc>
          <w:tcPr>
            <w:tcBorders>
              <w:left w:val="single" w:color="auto" w:sz="4" w:space="0"/>
              <w:right w:val="none" w:color="000000" w:sz="4" w:space="0"/>
            </w:tcBorders>
            <w:tcMar>
              <w:left w:w="-1" w:type="dxa"/>
              <w:top w:w="-1" w:type="dxa"/>
              <w:right w:w="-1" w:type="dxa"/>
              <w:bottom w:w="-1" w:type="dxa"/>
            </w:tcMar>
            <w:tcW w:w="961"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河口教育联络组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32"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4"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2"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2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82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r>
      <w:tr>
        <w:trPr>
          <w:jc w:val="center"/>
        </w:trPr>
        <w:tc>
          <w:tcPr>
            <w:tcBorders>
              <w:top w:val="single" w:color="000000" w:sz="4" w:space="0"/>
              <w:left w:val="single" w:color="auto" w:sz="4" w:space="0"/>
              <w:right w:val="none" w:color="000000" w:sz="4" w:space="0"/>
            </w:tcBorders>
            <w:tcMar>
              <w:left w:w="-1" w:type="dxa"/>
              <w:top w:w="-1" w:type="dxa"/>
              <w:right w:w="-1" w:type="dxa"/>
              <w:bottom w:w="-1" w:type="dxa"/>
            </w:tcMar>
            <w:tcW w:w="961"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袁庄成人校</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32"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4"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2"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2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82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r>
      <w:tr>
        <w:trPr>
          <w:jc w:val="center"/>
        </w:trPr>
        <w:tc>
          <w:tcPr>
            <w:tcBorders>
              <w:left w:val="single" w:color="auto" w:sz="4" w:space="0"/>
              <w:right w:val="none" w:color="000000" w:sz="4" w:space="0"/>
            </w:tcBorders>
            <w:tcMar>
              <w:left w:w="-1" w:type="dxa"/>
              <w:top w:w="-1" w:type="dxa"/>
              <w:right w:w="-1" w:type="dxa"/>
              <w:bottom w:w="-1" w:type="dxa"/>
            </w:tcMar>
            <w:tcW w:w="961"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14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袁庄教育联络组</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32"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97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74"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586"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812"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29"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top w:val="single" w:color="000000" w:sz="4" w:space="0"/>
              <w:left w:val="single" w:color="000000" w:sz="4" w:space="0"/>
              <w:bottom w:val="none" w:color="000000" w:sz="4" w:space="0"/>
              <w:right w:val="single" w:color="auto" w:sz="4" w:space="0"/>
            </w:tcBorders>
            <w:tcMar>
              <w:left w:w="-1" w:type="dxa"/>
              <w:top w:w="-1" w:type="dxa"/>
              <w:right w:w="-1" w:type="dxa"/>
              <w:bottom w:w="-1" w:type="dxa"/>
            </w:tcMar>
            <w:tcW w:w="823" w:type="dxa"/>
            <w:vAlign w:val="center"/>
            <w:textDirection w:val="lrTb"/>
            <w:noWrap w:val="false"/>
          </w:tcPr>
          <w:p>
            <w:pPr>
              <w:jc w:val="cente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r>
      <w:tr>
        <w:trPr>
          <w:jc w:val="center"/>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961" w:type="dxa"/>
            <w:vAlign w:val="center"/>
            <w:textDirection w:val="lrTb"/>
            <w:noWrap w:val="false"/>
          </w:tcPr>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Borders>
              <w:top w:val="single" w:color="auto" w:sz="4" w:space="0"/>
              <w:left w:val="single" w:color="000000" w:sz="4" w:space="0"/>
              <w:bottom w:val="single" w:color="auto" w:sz="4" w:space="0"/>
              <w:right w:val="none" w:color="000000" w:sz="4" w:space="0"/>
            </w:tcBorders>
            <w:tcMar>
              <w:left w:w="-1" w:type="dxa"/>
              <w:top w:w="-1" w:type="dxa"/>
              <w:right w:w="-1" w:type="dxa"/>
              <w:bottom w:w="-1" w:type="dxa"/>
            </w:tcMar>
            <w:tcW w:w="2148"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合计</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3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2</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03"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28</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97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6</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74"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1700</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61"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70</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86"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2</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81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800</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29"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70</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823"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20</w:t>
            </w:r>
            <w:r/>
          </w:p>
        </w:tc>
      </w:tr>
    </w:tbl>
    <w:p>
      <w:pPr>
        <w:contextualSpacing/>
        <w:spacing w:line="276" w:lineRule="auto"/>
        <w:tabs>
          <w:tab w:val="left" w:pos="5325" w:leader="none"/>
        </w:tabs>
        <w:rPr>
          <w:b/>
          <w:bCs/>
          <w:color w:val="auto"/>
          <w:highlight w:val="none"/>
        </w:rPr>
      </w:pPr>
      <w:r>
        <w:rPr>
          <w:b/>
          <w:bCs/>
          <w:color w:val="auto"/>
          <w:highlight w:val="none"/>
        </w:rPr>
      </w:r>
      <w:r/>
    </w:p>
    <w:p>
      <w:pPr>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设备详细技术参数要求</w:t>
      </w:r>
      <w:r/>
    </w:p>
    <w:p>
      <w:pP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1.出口路由器</w:t>
      </w:r>
      <w:r/>
    </w:p>
    <w:tbl>
      <w:tblPr>
        <w:tblStyle w:val="731"/>
        <w:tblW w:w="9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2"/>
        <w:gridCol w:w="7553"/>
      </w:tblGrid>
      <w:tr>
        <w:trPr>
          <w:cantSplit/>
          <w:jc w:val="center"/>
          <w:trHeight w:val="482"/>
        </w:trPr>
        <w:tc>
          <w:tcPr>
            <w:tcW w:w="1952" w:type="dxa"/>
            <w:vAlign w:val="center"/>
            <w:textDirection w:val="lrTb"/>
            <w:noWrap w:val="false"/>
          </w:tcPr>
          <w:p>
            <w:pPr>
              <w:jc w:val="center"/>
              <w:spacing w:line="32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指标项</w:t>
            </w:r>
            <w:r/>
          </w:p>
        </w:tc>
        <w:tc>
          <w:tcPr>
            <w:tcW w:w="7553" w:type="dxa"/>
            <w:vAlign w:val="center"/>
            <w:textDirection w:val="lrTb"/>
            <w:noWrap w:val="false"/>
          </w:tcPr>
          <w:p>
            <w:pPr>
              <w:jc w:val="center"/>
              <w:spacing w:line="32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技术参数要求</w:t>
            </w:r>
            <w:r/>
          </w:p>
        </w:tc>
      </w:tr>
      <w:tr>
        <w:trPr>
          <w:cantSplit/>
          <w:jc w:val="center"/>
          <w:trHeight w:val="454"/>
        </w:trPr>
        <w:tc>
          <w:tcPr>
            <w:tcW w:w="1952" w:type="dxa"/>
            <w:vAlign w:val="center"/>
            <w:vMerge w:val="restart"/>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基本要求</w:t>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交换容量≥100Gbps，包转发≥20Mpps； </w:t>
            </w:r>
            <w:r/>
          </w:p>
        </w:tc>
      </w:tr>
      <w:tr>
        <w:trPr>
          <w:cantSplit/>
          <w:jc w:val="center"/>
          <w:trHeight w:val="454"/>
        </w:trPr>
        <w:tc>
          <w:tcPr>
            <w:tcW w:w="1952" w:type="dxa"/>
            <w:vAlign w:val="center"/>
            <w:vMerge w:val="continue"/>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提供万兆以太网光口≥3个，千兆以太网电口≥8个</w:t>
            </w:r>
            <w:r/>
          </w:p>
        </w:tc>
      </w:tr>
      <w:tr>
        <w:trPr>
          <w:cantSplit/>
          <w:jc w:val="center"/>
          <w:trHeight w:val="454"/>
        </w:trPr>
        <w:tc>
          <w:tcPr>
            <w:tcW w:w="195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路由性能</w:t>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支持静态路由、RIPv1/v2、OSPFv2、BGP、IS-IS；</w:t>
            </w:r>
            <w:r/>
          </w:p>
        </w:tc>
      </w:tr>
      <w:tr>
        <w:trPr>
          <w:cantSplit/>
          <w:jc w:val="center"/>
          <w:trHeight w:val="454"/>
        </w:trPr>
        <w:tc>
          <w:tcPr>
            <w:tcW w:w="195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MPLS VPN</w:t>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支持MPLS VPN，跨域MPLS VPN（Option1/2/3）、分层PE、CE双归属等；</w:t>
            </w:r>
            <w:r/>
          </w:p>
        </w:tc>
      </w:tr>
      <w:tr>
        <w:trPr>
          <w:cantSplit/>
          <w:jc w:val="center"/>
          <w:trHeight w:val="454"/>
        </w:trPr>
        <w:tc>
          <w:tcPr>
            <w:tcW w:w="195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虚拟化</w:t>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支持虚拟化特性，将物理上两台设备虚拟化成一台逻辑设备，从而保证设备级高可靠；</w:t>
            </w:r>
            <w:r/>
          </w:p>
        </w:tc>
      </w:tr>
      <w:tr>
        <w:trPr>
          <w:cantSplit/>
          <w:jc w:val="center"/>
          <w:trHeight w:val="454"/>
        </w:trPr>
        <w:tc>
          <w:tcPr>
            <w:tcW w:w="195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URL过滤黑名单功能</w:t>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支持URL过滤黑名单功能，从而对终端用户域名访问进行控制；</w:t>
            </w:r>
            <w:r/>
          </w:p>
        </w:tc>
      </w:tr>
      <w:tr>
        <w:trPr>
          <w:cantSplit/>
          <w:jc w:val="center"/>
          <w:trHeight w:val="454"/>
        </w:trPr>
        <w:tc>
          <w:tcPr>
            <w:tcW w:w="195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基于域的防火墙</w:t>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支持基于域的防火墙功能，从而可划分安全域，保证系统安全；</w:t>
            </w:r>
            <w:r/>
          </w:p>
        </w:tc>
      </w:tr>
      <w:tr>
        <w:trPr>
          <w:cantSplit/>
          <w:jc w:val="center"/>
          <w:trHeight w:val="454"/>
        </w:trPr>
        <w:tc>
          <w:tcPr>
            <w:tcW w:w="195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NATPV6</w:t>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支持NPTv6，从而实现IPv6-IPv6报文前缀转换；</w:t>
            </w:r>
            <w:r/>
          </w:p>
        </w:tc>
      </w:tr>
      <w:tr>
        <w:trPr>
          <w:cantSplit/>
          <w:jc w:val="center"/>
          <w:trHeight w:val="454"/>
        </w:trPr>
        <w:tc>
          <w:tcPr>
            <w:tcW w:w="195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GDVPN功能</w:t>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支持密钥和IPSEC安全策略集中管理，从而实现点到多点无隧道连接VPN解决方案；</w:t>
            </w:r>
            <w:r/>
          </w:p>
        </w:tc>
      </w:tr>
      <w:tr>
        <w:trPr>
          <w:cantSplit/>
          <w:jc w:val="center"/>
          <w:trHeight w:val="454"/>
        </w:trPr>
        <w:tc>
          <w:tcPr>
            <w:tcW w:w="1952"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广域网优化</w:t>
            </w:r>
            <w:r/>
          </w:p>
        </w:tc>
        <w:tc>
          <w:tcPr>
            <w:tcW w:w="7553"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支持TCP传输优化，数据压缩解压，冗余数据消除等技术对广域网流量传输优化，提高广域网带宽利用率，减少链路抖路和延时；</w:t>
            </w:r>
            <w:r/>
          </w:p>
        </w:tc>
      </w:tr>
    </w:tbl>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2.防火墙</w:t>
      </w:r>
      <w:r/>
    </w:p>
    <w:tbl>
      <w:tblPr>
        <w:tblStyle w:val="731"/>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8383"/>
      </w:tblGrid>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指标项</w:t>
            </w:r>
            <w:r/>
          </w:p>
        </w:tc>
        <w:tc>
          <w:tcPr>
            <w:tcW w:w="4259"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技术参数要求</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cs="Arial" w:asciiTheme="minorEastAsia" w:hAnsiTheme="minorEastAsia" w:eastAsiaTheme="minorEastAsia"/>
                <w:color w:val="auto"/>
                <w:szCs w:val="21"/>
                <w:highlight w:val="none"/>
                <w:shd w:val="clear" w:color="auto" w:fill="ffffff"/>
              </w:rPr>
              <w:t xml:space="preserve">▲</w:t>
            </w:r>
            <w:r>
              <w:rPr>
                <w:rFonts w:hint="eastAsia" w:ascii="仿宋" w:hAnsi="仿宋" w:eastAsia="仿宋" w:cs="仿宋"/>
                <w:color w:val="auto"/>
                <w:sz w:val="24"/>
                <w:szCs w:val="24"/>
                <w:highlight w:val="none"/>
              </w:rPr>
              <w:t xml:space="preserve">性能要求</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吞吐量≥3Gbps，最大并发连接数≥250万，新建连接数（HTTP）≥3万</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cs="Arial" w:asciiTheme="minorEastAsia" w:hAnsiTheme="minorEastAsia" w:eastAsiaTheme="minorEastAsia"/>
                <w:color w:val="auto"/>
                <w:szCs w:val="21"/>
                <w:highlight w:val="none"/>
                <w:shd w:val="clear" w:color="auto" w:fill="ffffff"/>
              </w:rPr>
              <w:t xml:space="preserve">▲</w:t>
            </w:r>
            <w:r>
              <w:rPr>
                <w:rFonts w:hint="eastAsia" w:ascii="仿宋" w:hAnsi="仿宋" w:eastAsia="仿宋" w:cs="仿宋"/>
                <w:color w:val="auto"/>
                <w:sz w:val="24"/>
                <w:szCs w:val="24"/>
                <w:highlight w:val="none"/>
              </w:rPr>
              <w:t xml:space="preserve">接口要求</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配置千兆以太网电口≥16个，千兆以太网光口≥8个，万兆以太网光口≥4个</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配置要求</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提供IPS授权≥3年，提供AV防病毒授权≥3年</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部署模式</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实现路由模式、透明（网桥）模式、混合模式。</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VPN</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实现高性能IPSec、L2TP、GRE VPN、SSL VPN等功能。</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cs="Arial" w:asciiTheme="minorEastAsia" w:hAnsiTheme="minorEastAsia" w:eastAsiaTheme="minorEastAsia"/>
                <w:color w:val="auto"/>
                <w:szCs w:val="21"/>
                <w:highlight w:val="none"/>
                <w:shd w:val="clear" w:color="auto" w:fill="ffffff"/>
              </w:rPr>
              <w:t xml:space="preserve">▲</w:t>
            </w:r>
            <w:r>
              <w:rPr>
                <w:rFonts w:hint="eastAsia" w:ascii="仿宋" w:hAnsi="仿宋" w:eastAsia="仿宋" w:cs="仿宋"/>
                <w:color w:val="auto"/>
                <w:sz w:val="24"/>
                <w:szCs w:val="24"/>
                <w:highlight w:val="none"/>
              </w:rPr>
              <w:t xml:space="preserve">入侵防御</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在开启入侵防御配置情况下的IPS攻击拦截率不低于99%，提供CNAS或CMA认证权威第三方检测机构测试报告</w:t>
            </w:r>
            <w:r>
              <w:rPr>
                <w:rFonts w:hint="eastAsia" w:ascii="仿宋" w:hAnsi="仿宋" w:eastAsia="仿宋" w:cs="仿宋"/>
                <w:color w:val="auto"/>
                <w:sz w:val="24"/>
                <w:szCs w:val="24"/>
                <w:highlight w:val="none"/>
                <w:lang w:val="en-US" w:eastAsia="zh-CN"/>
              </w:rPr>
              <w:t xml:space="preserve">扫描件</w:t>
            </w:r>
            <w:r>
              <w:rPr>
                <w:rFonts w:hint="eastAsia" w:ascii="仿宋" w:hAnsi="仿宋" w:eastAsia="仿宋" w:cs="仿宋"/>
                <w:color w:val="auto"/>
                <w:sz w:val="24"/>
                <w:szCs w:val="24"/>
                <w:highlight w:val="none"/>
              </w:rPr>
              <w:t xml:space="preserve">并加盖投标人公章</w:t>
            </w:r>
            <w:r>
              <w:rPr>
                <w:rFonts w:hint="eastAsia" w:ascii="仿宋" w:hAnsi="仿宋" w:eastAsia="仿宋" w:cs="仿宋"/>
                <w:color w:val="auto"/>
                <w:sz w:val="24"/>
                <w:szCs w:val="24"/>
                <w:highlight w:val="none"/>
                <w:lang w:eastAsia="zh-CN"/>
              </w:rPr>
              <w:t xml:space="preserve">。</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cs="Arial" w:asciiTheme="minorEastAsia" w:hAnsiTheme="minorEastAsia" w:eastAsiaTheme="minorEastAsia"/>
                <w:color w:val="auto"/>
                <w:szCs w:val="21"/>
                <w:highlight w:val="none"/>
                <w:shd w:val="clear" w:color="auto" w:fill="ffffff"/>
              </w:rPr>
              <w:t xml:space="preserve">▲</w:t>
            </w:r>
            <w:r>
              <w:rPr>
                <w:rFonts w:hint="eastAsia" w:ascii="仿宋" w:hAnsi="仿宋" w:eastAsia="仿宋" w:cs="仿宋"/>
                <w:color w:val="auto"/>
                <w:sz w:val="24"/>
                <w:szCs w:val="24"/>
                <w:highlight w:val="none"/>
              </w:rPr>
              <w:t xml:space="preserve">防病毒</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在开启防病毒配置情况下对病毒拦截率不低于99%，提供CNAS或CMA认证权威第三方检测机构测试报告</w:t>
            </w:r>
            <w:r>
              <w:rPr>
                <w:rFonts w:hint="eastAsia" w:ascii="仿宋" w:hAnsi="仿宋" w:eastAsia="仿宋" w:cs="仿宋"/>
                <w:color w:val="auto"/>
                <w:sz w:val="24"/>
                <w:szCs w:val="24"/>
                <w:highlight w:val="none"/>
                <w:lang w:val="en-US" w:eastAsia="zh-CN"/>
              </w:rPr>
              <w:t xml:space="preserve">扫描件</w:t>
            </w:r>
            <w:r>
              <w:rPr>
                <w:rFonts w:hint="eastAsia" w:ascii="仿宋" w:hAnsi="仿宋" w:eastAsia="仿宋" w:cs="仿宋"/>
                <w:color w:val="auto"/>
                <w:sz w:val="24"/>
                <w:szCs w:val="24"/>
                <w:highlight w:val="none"/>
              </w:rPr>
              <w:t xml:space="preserve">并加盖投标人公章</w:t>
            </w:r>
            <w:r>
              <w:rPr>
                <w:rFonts w:hint="eastAsia" w:ascii="仿宋" w:hAnsi="仿宋" w:eastAsia="仿宋" w:cs="仿宋"/>
                <w:color w:val="auto"/>
                <w:sz w:val="24"/>
                <w:szCs w:val="24"/>
                <w:highlight w:val="none"/>
                <w:lang w:eastAsia="zh-CN"/>
              </w:rPr>
              <w:t xml:space="preserve">。</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攻击防护</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实现安全区域划分，访问控制列表，配置对象及策略，动态包过滤，黑名单，MAC和IP绑定功能，基于MAC的访问控制列表，802.1q VLAN 透传等功能。</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安全策略</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支持策略风险调优，支持安全策略优化分析，支持策略数冗余及命中分析，支持基于应用风险的策略调优，可根据流量、应用、风险类型等细粒度展示，并给出总体安全评分，便于用户更好的管理安全策略</w:t>
            </w:r>
            <w:r/>
          </w:p>
        </w:tc>
      </w:tr>
      <w:tr>
        <w:trPr>
          <w:jc w:val="center"/>
          <w:trHeight w:val="20"/>
        </w:trPr>
        <w:tc>
          <w:tcPr>
            <w:tcW w:w="740"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DDoS防护</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支持DDoS 泛洪攻击流量自学习功能，可设置自学习时间，可以设置学习周期，并自动生成DDoS攻击防范策略；</w:t>
            </w:r>
            <w:r/>
          </w:p>
        </w:tc>
      </w:tr>
      <w:tr>
        <w:trPr>
          <w:jc w:val="center"/>
          <w:trHeight w:val="20"/>
        </w:trPr>
        <w:tc>
          <w:tcPr>
            <w:tcW w:w="740" w:type="pct"/>
            <w:vAlign w:val="center"/>
            <w:vMerge w:val="restart"/>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IPv6</w:t>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实现IPV6动态路由协议、IPV6对象及策略、IPV6状态防火墙、IPV6攻击防范、IPV6 GRE/IPSEC VPN、IPV6日志审计、IPV6会话热备等功能。</w:t>
            </w:r>
            <w:r/>
          </w:p>
        </w:tc>
      </w:tr>
      <w:tr>
        <w:trPr>
          <w:jc w:val="center"/>
          <w:trHeight w:val="20"/>
        </w:trPr>
        <w:tc>
          <w:tcPr>
            <w:tcW w:w="740" w:type="pct"/>
            <w:vAlign w:val="center"/>
            <w:vMerge w:val="continue"/>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9"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支持IPV6下的访问控制、IPSec VPN、DDoS防护等安全功能。</w:t>
            </w:r>
            <w:r/>
          </w:p>
        </w:tc>
      </w:tr>
    </w:tbl>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3.核心交换机</w:t>
      </w:r>
      <w:r/>
    </w:p>
    <w:tbl>
      <w:tblPr>
        <w:tblStyle w:val="731"/>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5"/>
        <w:gridCol w:w="8326"/>
      </w:tblGrid>
      <w:tr>
        <w:trPr>
          <w:jc w:val="center"/>
          <w:trHeight w:val="280"/>
        </w:trPr>
        <w:tc>
          <w:tcPr>
            <w:tcW w:w="735" w:type="pct"/>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指标项</w:t>
            </w:r>
            <w:r/>
          </w:p>
        </w:tc>
        <w:tc>
          <w:tcPr>
            <w:tcW w:w="4264" w:type="pct"/>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技术参数要求</w:t>
            </w:r>
            <w:r/>
          </w:p>
        </w:tc>
      </w:tr>
      <w:tr>
        <w:trPr>
          <w:jc w:val="center"/>
          <w:trHeight w:val="540"/>
        </w:trPr>
        <w:tc>
          <w:tcPr>
            <w:shd w:val="clear" w:color="000000" w:fill="ffffff"/>
            <w:tcW w:w="735" w:type="pct"/>
            <w:vAlign w:val="center"/>
            <w:textDirection w:val="lrTb"/>
            <w:noWrap w:val="false"/>
          </w:tcPr>
          <w:p>
            <w:pPr>
              <w:jc w:val="center"/>
              <w:widowControl/>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★基础硬件</w:t>
            </w:r>
            <w:r/>
          </w:p>
        </w:tc>
        <w:tc>
          <w:tcPr>
            <w:shd w:val="clear" w:color="000000" w:fill="ffffff"/>
            <w:tcW w:w="4264" w:type="pct"/>
            <w:vAlign w:val="center"/>
            <w:textDirection w:val="lrTb"/>
            <w:noWrap w:val="false"/>
          </w:tcPr>
          <w:p>
            <w:pPr>
              <w:jc w:val="left"/>
              <w:widowControl/>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交换容量≥2.4Tbps，包转发率≥672Mpps，以官网最小值为准，千兆以太网电口≥28个，千兆光电复用口≥4个，万兆以太网光口≥8个，扩展插槽（非电源、风扇插槽）≥1个，需采用原生接口，不允许采用光转电模块或光电收发器进行接口形态转换。</w:t>
            </w:r>
            <w:r/>
          </w:p>
        </w:tc>
      </w:tr>
      <w:tr>
        <w:trPr>
          <w:jc w:val="center"/>
          <w:trHeight w:val="280"/>
        </w:trPr>
        <w:tc>
          <w:tcPr>
            <w:tcW w:w="735" w:type="pct"/>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路由性能</w:t>
            </w:r>
            <w:r/>
          </w:p>
        </w:tc>
        <w:tc>
          <w:tcPr>
            <w:tcW w:w="4264"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支持IPv4/IPv6静态路由、RIP、OSPF、IS-IS、BGP、等价路由、策略路由；</w:t>
            </w:r>
            <w:r/>
          </w:p>
        </w:tc>
      </w:tr>
      <w:tr>
        <w:trPr>
          <w:jc w:val="center"/>
          <w:trHeight w:val="280"/>
        </w:trPr>
        <w:tc>
          <w:tcPr>
            <w:tcW w:w="735" w:type="pct"/>
            <w:vAlign w:val="center"/>
            <w:textDirection w:val="lrTb"/>
            <w:noWrap w:val="false"/>
          </w:tcPr>
          <w:p>
            <w:pPr>
              <w:jc w:val="center"/>
              <w:widowControl/>
              <w:rPr>
                <w:rFonts w:hint="eastAsia" w:ascii="仿宋" w:hAnsi="仿宋" w:eastAsia="仿宋" w:cs="仿宋"/>
                <w:color w:val="auto"/>
                <w:sz w:val="24"/>
                <w:szCs w:val="24"/>
                <w:highlight w:val="none"/>
              </w:rPr>
            </w:pPr>
            <w:r>
              <w:rPr>
                <w:rFonts w:cs="Arial" w:asciiTheme="minorEastAsia" w:hAnsiTheme="minorEastAsia" w:eastAsiaTheme="minorEastAsia"/>
                <w:color w:val="auto"/>
                <w:szCs w:val="21"/>
                <w:highlight w:val="none"/>
                <w:shd w:val="clear" w:color="auto" w:fill="ffffff"/>
              </w:rPr>
              <w:t xml:space="preserve">▲</w:t>
            </w:r>
            <w:r>
              <w:rPr>
                <w:rFonts w:hint="eastAsia" w:ascii="仿宋" w:hAnsi="仿宋" w:eastAsia="仿宋" w:cs="仿宋"/>
                <w:color w:val="auto"/>
                <w:sz w:val="24"/>
                <w:szCs w:val="24"/>
                <w:highlight w:val="none"/>
              </w:rPr>
              <w:t xml:space="preserve">光功率检测</w:t>
            </w:r>
            <w:r/>
          </w:p>
        </w:tc>
        <w:tc>
          <w:tcPr>
            <w:tcW w:w="4264"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支持端口光功率异常检测，在光功率异常时能记录异常信息，提供CNAS或CMA认证权威第三方检测机构测试报告</w:t>
            </w:r>
            <w:r>
              <w:rPr>
                <w:rFonts w:hint="eastAsia" w:ascii="仿宋" w:hAnsi="仿宋" w:eastAsia="仿宋" w:cs="仿宋"/>
                <w:color w:val="auto"/>
                <w:sz w:val="24"/>
                <w:szCs w:val="24"/>
                <w:highlight w:val="none"/>
                <w:lang w:val="en-US" w:eastAsia="zh-CN"/>
              </w:rPr>
              <w:t xml:space="preserve">扫描件</w:t>
            </w:r>
            <w:r>
              <w:rPr>
                <w:rFonts w:hint="eastAsia" w:ascii="仿宋" w:hAnsi="仿宋" w:eastAsia="仿宋" w:cs="仿宋"/>
                <w:color w:val="auto"/>
                <w:sz w:val="24"/>
                <w:szCs w:val="24"/>
                <w:highlight w:val="none"/>
              </w:rPr>
              <w:t xml:space="preserve">并加盖投标人公章；</w:t>
            </w:r>
            <w:r/>
          </w:p>
        </w:tc>
      </w:tr>
      <w:tr>
        <w:trPr>
          <w:jc w:val="center"/>
          <w:trHeight w:val="280"/>
        </w:trPr>
        <w:tc>
          <w:tcPr>
            <w:tcW w:w="735" w:type="pct"/>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虚拟化</w:t>
            </w:r>
            <w:r/>
          </w:p>
        </w:tc>
        <w:tc>
          <w:tcPr>
            <w:tcW w:w="4264"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支持多虚一技术(N:1)，可将多台物理设备虚拟化为1台逻辑设备</w:t>
            </w:r>
            <w:r/>
          </w:p>
        </w:tc>
      </w:tr>
      <w:tr>
        <w:trPr>
          <w:jc w:val="center"/>
          <w:trHeight w:val="280"/>
        </w:trPr>
        <w:tc>
          <w:tcPr>
            <w:tcW w:w="735" w:type="pct"/>
            <w:vAlign w:val="center"/>
            <w:textDirection w:val="lrTb"/>
            <w:noWrap w:val="false"/>
          </w:tcPr>
          <w:p>
            <w:pPr>
              <w:jc w:val="center"/>
              <w:widowControl/>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★安全</w:t>
            </w:r>
            <w:r/>
          </w:p>
        </w:tc>
        <w:tc>
          <w:tcPr>
            <w:tcW w:w="4264" w:type="pct"/>
            <w:vAlign w:val="center"/>
            <w:textDirection w:val="lrTb"/>
            <w:noWrap w:val="false"/>
          </w:tcPr>
          <w:p>
            <w:pPr>
              <w:jc w:val="left"/>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支持防火墙独立插卡，从而实现区域安全访问控制，提供官网截图证明；</w:t>
            </w:r>
            <w:r/>
          </w:p>
        </w:tc>
      </w:tr>
      <w:tr>
        <w:trPr>
          <w:jc w:val="center"/>
          <w:trHeight w:val="280"/>
        </w:trPr>
        <w:tc>
          <w:tcPr>
            <w:tcW w:w="735" w:type="pct"/>
            <w:vAlign w:val="center"/>
            <w:vMerge w:val="restart"/>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镜像功能</w:t>
            </w:r>
            <w:r/>
          </w:p>
        </w:tc>
        <w:tc>
          <w:tcPr>
            <w:tcW w:w="4264"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支持本地端口镜像和远程端口镜像RSPAN；</w:t>
            </w:r>
            <w:r/>
          </w:p>
        </w:tc>
      </w:tr>
      <w:tr>
        <w:trPr>
          <w:jc w:val="center"/>
          <w:trHeight w:val="280"/>
        </w:trPr>
        <w:tc>
          <w:tcPr>
            <w:tcW w:w="735" w:type="pct"/>
            <w:vAlign w:val="center"/>
            <w:vMerge w:val="continue"/>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64"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支持流镜像</w:t>
            </w:r>
            <w:r/>
          </w:p>
        </w:tc>
      </w:tr>
      <w:tr>
        <w:trPr>
          <w:jc w:val="center"/>
          <w:trHeight w:val="280"/>
        </w:trPr>
        <w:tc>
          <w:tcPr>
            <w:tcW w:w="735" w:type="pct"/>
            <w:vAlign w:val="center"/>
            <w:vMerge w:val="continue"/>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64"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支持N：M的端口镜像（M大于1）</w:t>
            </w:r>
            <w:r/>
          </w:p>
        </w:tc>
      </w:tr>
      <w:tr>
        <w:trPr>
          <w:jc w:val="center"/>
          <w:trHeight w:val="280"/>
        </w:trPr>
        <w:tc>
          <w:tcPr>
            <w:tcW w:w="735" w:type="pct"/>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环网协议</w:t>
            </w:r>
            <w:r/>
          </w:p>
        </w:tc>
        <w:tc>
          <w:tcPr>
            <w:tcW w:w="4264"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支持ERPS功能，能够快速阻断环路；支持STP、RSTP、MSTP，环网故障恢复时间短；</w:t>
            </w:r>
            <w:r/>
          </w:p>
        </w:tc>
      </w:tr>
      <w:tr>
        <w:trPr>
          <w:jc w:val="center"/>
          <w:trHeight w:val="280"/>
        </w:trPr>
        <w:tc>
          <w:tcPr>
            <w:tcW w:w="735" w:type="pct"/>
            <w:vAlign w:val="center"/>
            <w:vMerge w:val="restart"/>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访问控制策略</w:t>
            </w:r>
            <w:r/>
          </w:p>
        </w:tc>
        <w:tc>
          <w:tcPr>
            <w:tcW w:w="4264"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支持基于第二层、第三层和第四层的ACL；</w:t>
            </w:r>
            <w:r/>
          </w:p>
        </w:tc>
      </w:tr>
      <w:tr>
        <w:trPr>
          <w:jc w:val="center"/>
          <w:trHeight w:val="280"/>
        </w:trPr>
        <w:tc>
          <w:tcPr>
            <w:tcW w:w="735" w:type="pct"/>
            <w:vAlign w:val="center"/>
            <w:vMerge w:val="continue"/>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64"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支持MAC认证、802.1x认证、portal认证；</w:t>
            </w:r>
            <w:r/>
          </w:p>
        </w:tc>
      </w:tr>
      <w:tr>
        <w:trPr>
          <w:jc w:val="center"/>
          <w:trHeight w:val="280"/>
        </w:trPr>
        <w:tc>
          <w:tcPr>
            <w:tcW w:w="735" w:type="pct"/>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配置</w:t>
            </w:r>
            <w:r/>
          </w:p>
        </w:tc>
        <w:tc>
          <w:tcPr>
            <w:tcW w:w="4264"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配置双电源，双风扇</w:t>
            </w:r>
            <w:r/>
          </w:p>
        </w:tc>
      </w:tr>
    </w:tbl>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4.24口接入交换机</w:t>
      </w:r>
      <w:r/>
    </w:p>
    <w:tbl>
      <w:tblPr>
        <w:tblStyle w:val="731"/>
        <w:tblW w:w="4793"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7816"/>
      </w:tblGrid>
      <w:tr>
        <w:trPr>
          <w:trHeight w:val="280"/>
        </w:trPr>
        <w:tc>
          <w:tcPr>
            <w:tcW w:w="869" w:type="pct"/>
            <w:vAlign w:val="center"/>
            <w:textDirection w:val="lrTb"/>
            <w:noWrap w:val="false"/>
          </w:tcPr>
          <w:p>
            <w:pPr>
              <w:jc w:val="center"/>
              <w:spacing w:line="32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指标项</w:t>
            </w:r>
            <w:r/>
          </w:p>
        </w:tc>
        <w:tc>
          <w:tcPr>
            <w:tcW w:w="4130" w:type="pct"/>
            <w:vAlign w:val="center"/>
            <w:textDirection w:val="lrTb"/>
            <w:noWrap w:val="false"/>
          </w:tcPr>
          <w:p>
            <w:pPr>
              <w:jc w:val="center"/>
              <w:spacing w:line="32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技术参数要求</w:t>
            </w:r>
            <w:r/>
          </w:p>
        </w:tc>
      </w:tr>
      <w:tr>
        <w:trPr>
          <w:trHeight w:val="540"/>
        </w:trPr>
        <w:tc>
          <w:tcPr>
            <w:shd w:val="clear" w:color="000000" w:fill="ffffff"/>
            <w:tcW w:w="869"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bookmarkStart w:id="209" w:name="OLE_LINK4"/>
            <w:r>
              <w:rPr>
                <w:rFonts w:cs="Arial" w:asciiTheme="minorEastAsia" w:hAnsiTheme="minorEastAsia" w:eastAsiaTheme="minorEastAsia"/>
                <w:color w:val="auto"/>
                <w:szCs w:val="21"/>
                <w:highlight w:val="none"/>
                <w:shd w:val="clear" w:color="auto" w:fill="ffffff"/>
              </w:rPr>
              <w:t xml:space="preserve">▲</w:t>
            </w:r>
            <w:bookmarkEnd w:id="209"/>
            <w:r>
              <w:rPr>
                <w:rFonts w:hint="eastAsia" w:ascii="仿宋" w:hAnsi="仿宋" w:eastAsia="仿宋" w:cs="仿宋"/>
                <w:color w:val="auto"/>
                <w:sz w:val="24"/>
                <w:szCs w:val="24"/>
                <w:highlight w:val="none"/>
              </w:rPr>
              <w:t xml:space="preserve">基础硬件</w:t>
            </w:r>
            <w:r/>
          </w:p>
        </w:tc>
        <w:tc>
          <w:tcPr>
            <w:shd w:val="clear" w:color="000000" w:fill="ffffff"/>
            <w:tcW w:w="4130"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交换容量≥672Gbps，包转发率≥171Mpps，</w:t>
            </w:r>
            <w:r>
              <w:rPr>
                <w:rFonts w:hint="eastAsia" w:ascii="仿宋" w:hAnsi="仿宋" w:eastAsia="仿宋" w:cs="仿宋"/>
                <w:bCs/>
                <w:color w:val="auto"/>
                <w:sz w:val="24"/>
                <w:szCs w:val="24"/>
                <w:highlight w:val="none"/>
              </w:rPr>
              <w:t xml:space="preserve">整机提供≥24个千兆以太网电口，提供≥4个万兆以太网光口；</w:t>
            </w:r>
            <w:r/>
          </w:p>
        </w:tc>
      </w:tr>
      <w:tr>
        <w:trPr>
          <w:trHeight w:val="280"/>
        </w:trPr>
        <w:tc>
          <w:tcPr>
            <w:tcW w:w="869"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路由性能</w:t>
            </w:r>
            <w:r/>
          </w:p>
        </w:tc>
        <w:tc>
          <w:tcPr>
            <w:tcW w:w="4130"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支持IPv4/IPv6静态路由，支持RIP/RIPng，OSPF</w:t>
            </w:r>
            <w:r/>
          </w:p>
        </w:tc>
      </w:tr>
      <w:tr>
        <w:trPr>
          <w:trHeight w:val="280"/>
        </w:trPr>
        <w:tc>
          <w:tcPr>
            <w:tcW w:w="869"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虚拟化</w:t>
            </w:r>
            <w:r/>
          </w:p>
        </w:tc>
        <w:tc>
          <w:tcPr>
            <w:tcW w:w="4130" w:type="pct"/>
            <w:vAlign w:val="center"/>
            <w:textDirection w:val="lrTb"/>
            <w:noWrap w:val="false"/>
          </w:tcPr>
          <w:p>
            <w:pPr>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支持多虚一技术(N:1)，可将多台物理设备虚拟化为1台逻辑设备</w:t>
            </w:r>
            <w:r/>
          </w:p>
        </w:tc>
      </w:tr>
      <w:tr>
        <w:trPr>
          <w:trHeight w:val="280"/>
        </w:trPr>
        <w:tc>
          <w:tcPr>
            <w:tcW w:w="869" w:type="pct"/>
            <w:vAlign w:val="center"/>
            <w:vMerge w:val="restart"/>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镜像功能</w:t>
            </w:r>
            <w:r/>
          </w:p>
        </w:tc>
        <w:tc>
          <w:tcPr>
            <w:tcW w:w="4130"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支持本地端口镜像和远程端口镜像RSPAN；</w:t>
            </w:r>
            <w:r/>
          </w:p>
        </w:tc>
      </w:tr>
      <w:tr>
        <w:trPr>
          <w:trHeight w:val="280"/>
        </w:trPr>
        <w:tc>
          <w:tcPr>
            <w:tcW w:w="869" w:type="pct"/>
            <w:vAlign w:val="center"/>
            <w:vMerge w:val="continue"/>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130"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支持流镜像</w:t>
            </w:r>
            <w:r/>
          </w:p>
        </w:tc>
      </w:tr>
      <w:tr>
        <w:trPr>
          <w:trHeight w:val="280"/>
        </w:trPr>
        <w:tc>
          <w:tcPr>
            <w:tcW w:w="869" w:type="pct"/>
            <w:vAlign w:val="center"/>
            <w:vMerge w:val="continue"/>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130"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支持N：M的端口镜像（M大于1）</w:t>
            </w:r>
            <w:r/>
          </w:p>
        </w:tc>
      </w:tr>
      <w:tr>
        <w:trPr>
          <w:trHeight w:val="280"/>
        </w:trPr>
        <w:tc>
          <w:tcPr>
            <w:tcW w:w="869"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环网协议</w:t>
            </w:r>
            <w:r/>
          </w:p>
        </w:tc>
        <w:tc>
          <w:tcPr>
            <w:tcW w:w="4130"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支持ERPS功能，能够快速阻断环路；支持STP、RSTP、MSTP，环网故障恢复时间短；</w:t>
            </w:r>
            <w:r/>
          </w:p>
        </w:tc>
      </w:tr>
      <w:tr>
        <w:trPr>
          <w:trHeight w:val="280"/>
        </w:trPr>
        <w:tc>
          <w:tcPr>
            <w:tcW w:w="869"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访问控制策略</w:t>
            </w:r>
            <w:r/>
          </w:p>
        </w:tc>
        <w:tc>
          <w:tcPr>
            <w:tcW w:w="4130"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支持基于第二层、第三层和第四层的ACL；</w:t>
            </w:r>
            <w:r/>
          </w:p>
        </w:tc>
      </w:tr>
    </w:tbl>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5.24口POE接入交换机</w:t>
      </w:r>
      <w:r/>
    </w:p>
    <w:tbl>
      <w:tblPr>
        <w:tblStyle w:val="731"/>
        <w:tblW w:w="49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6"/>
        <w:gridCol w:w="8074"/>
      </w:tblGrid>
      <w:tr>
        <w:trPr>
          <w:jc w:val="center"/>
          <w:trHeight w:val="280"/>
        </w:trPr>
        <w:tc>
          <w:tcPr>
            <w:tcW w:w="855" w:type="pct"/>
            <w:vAlign w:val="center"/>
            <w:textDirection w:val="lrTb"/>
            <w:noWrap w:val="false"/>
          </w:tcPr>
          <w:p>
            <w:pPr>
              <w:jc w:val="center"/>
              <w:spacing w:line="32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指标项</w:t>
            </w:r>
            <w:r/>
          </w:p>
        </w:tc>
        <w:tc>
          <w:tcPr>
            <w:tcW w:w="4144" w:type="pct"/>
            <w:vAlign w:val="center"/>
            <w:textDirection w:val="lrTb"/>
            <w:noWrap w:val="false"/>
          </w:tcPr>
          <w:p>
            <w:pPr>
              <w:jc w:val="center"/>
              <w:spacing w:line="32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技术参数要求</w:t>
            </w:r>
            <w:r/>
          </w:p>
        </w:tc>
      </w:tr>
      <w:tr>
        <w:trPr>
          <w:jc w:val="center"/>
          <w:trHeight w:val="540"/>
        </w:trPr>
        <w:tc>
          <w:tcPr>
            <w:shd w:val="clear" w:color="000000" w:fill="ffffff"/>
            <w:tcW w:w="85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cs="Arial" w:asciiTheme="minorEastAsia" w:hAnsiTheme="minorEastAsia" w:eastAsiaTheme="minorEastAsia"/>
                <w:color w:val="auto"/>
                <w:szCs w:val="21"/>
                <w:highlight w:val="none"/>
                <w:shd w:val="clear" w:color="auto" w:fill="ffffff"/>
              </w:rPr>
              <w:t xml:space="preserve">▲</w:t>
            </w:r>
            <w:r>
              <w:rPr>
                <w:rFonts w:hint="eastAsia" w:ascii="仿宋" w:hAnsi="仿宋" w:eastAsia="仿宋" w:cs="仿宋"/>
                <w:color w:val="auto"/>
                <w:sz w:val="24"/>
                <w:szCs w:val="24"/>
                <w:highlight w:val="none"/>
              </w:rPr>
              <w:t xml:space="preserve">基础硬件</w:t>
            </w:r>
            <w:r/>
          </w:p>
        </w:tc>
        <w:tc>
          <w:tcPr>
            <w:shd w:val="clear" w:color="000000" w:fill="ffffff"/>
            <w:tcW w:w="414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交换容量≥672Gbps，包转发率≥171Mpps，</w:t>
            </w:r>
            <w:r>
              <w:rPr>
                <w:rFonts w:hint="eastAsia" w:ascii="仿宋" w:hAnsi="仿宋" w:eastAsia="仿宋" w:cs="仿宋"/>
                <w:bCs/>
                <w:color w:val="auto"/>
                <w:sz w:val="24"/>
                <w:szCs w:val="24"/>
                <w:highlight w:val="none"/>
              </w:rPr>
              <w:t xml:space="preserve">整机提供≥24个千兆以太网电口，提供≥4个千兆光电复用口，提供≥4个万兆光口，整机POE输出功率≥405W；</w:t>
            </w:r>
            <w:r/>
          </w:p>
        </w:tc>
      </w:tr>
      <w:tr>
        <w:trPr>
          <w:jc w:val="center"/>
          <w:trHeight w:val="280"/>
        </w:trPr>
        <w:tc>
          <w:tcPr>
            <w:tcW w:w="85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路由性能</w:t>
            </w:r>
            <w:r/>
          </w:p>
        </w:tc>
        <w:tc>
          <w:tcPr>
            <w:tcW w:w="414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支持IPv4/IPv6静态路由，支持RIP/RIPng，OSPF</w:t>
            </w:r>
            <w:r/>
          </w:p>
        </w:tc>
      </w:tr>
      <w:tr>
        <w:trPr>
          <w:jc w:val="center"/>
          <w:trHeight w:val="280"/>
        </w:trPr>
        <w:tc>
          <w:tcPr>
            <w:tcW w:w="85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虚拟化</w:t>
            </w:r>
            <w:r/>
          </w:p>
        </w:tc>
        <w:tc>
          <w:tcPr>
            <w:tcW w:w="4144" w:type="pct"/>
            <w:vAlign w:val="center"/>
            <w:textDirection w:val="lrTb"/>
            <w:noWrap w:val="false"/>
          </w:tcPr>
          <w:p>
            <w:pPr>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支持多虚一技术(N:1)，可将多台物理设备虚拟化为1台逻辑设备</w:t>
            </w:r>
            <w:r/>
          </w:p>
        </w:tc>
      </w:tr>
      <w:tr>
        <w:trPr>
          <w:jc w:val="center"/>
          <w:trHeight w:val="280"/>
        </w:trPr>
        <w:tc>
          <w:tcPr>
            <w:tcW w:w="855" w:type="pct"/>
            <w:vAlign w:val="center"/>
            <w:vMerge w:val="restart"/>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镜像功能</w:t>
            </w:r>
            <w:r/>
          </w:p>
        </w:tc>
        <w:tc>
          <w:tcPr>
            <w:tcW w:w="414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支持本地端口镜像和远程端口镜像RSPAN；</w:t>
            </w:r>
            <w:r/>
          </w:p>
        </w:tc>
      </w:tr>
      <w:tr>
        <w:trPr>
          <w:jc w:val="center"/>
          <w:trHeight w:val="280"/>
        </w:trPr>
        <w:tc>
          <w:tcPr>
            <w:tcW w:w="855" w:type="pct"/>
            <w:vAlign w:val="center"/>
            <w:vMerge w:val="continue"/>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14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支持流镜像</w:t>
            </w:r>
            <w:r/>
          </w:p>
        </w:tc>
      </w:tr>
      <w:tr>
        <w:trPr>
          <w:jc w:val="center"/>
          <w:trHeight w:val="280"/>
        </w:trPr>
        <w:tc>
          <w:tcPr>
            <w:tcW w:w="855" w:type="pct"/>
            <w:vAlign w:val="center"/>
            <w:vMerge w:val="continue"/>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14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支持N：M的端口镜像（M大于1）</w:t>
            </w:r>
            <w:r/>
          </w:p>
        </w:tc>
      </w:tr>
      <w:tr>
        <w:trPr>
          <w:jc w:val="center"/>
          <w:trHeight w:val="280"/>
        </w:trPr>
        <w:tc>
          <w:tcPr>
            <w:tcW w:w="85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环网协议</w:t>
            </w:r>
            <w:r/>
          </w:p>
        </w:tc>
        <w:tc>
          <w:tcPr>
            <w:tcW w:w="414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支持ERPS功能，能够快速阻断环路；支持STP、RSTP、MSTP，环网故障恢复时间短；</w:t>
            </w:r>
            <w:r/>
          </w:p>
        </w:tc>
      </w:tr>
      <w:tr>
        <w:trPr>
          <w:jc w:val="center"/>
          <w:trHeight w:val="280"/>
        </w:trPr>
        <w:tc>
          <w:tcPr>
            <w:tcW w:w="85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访问控制策略</w:t>
            </w:r>
            <w:r/>
          </w:p>
        </w:tc>
        <w:tc>
          <w:tcPr>
            <w:tcW w:w="414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支持基于第二层、第三层和第四层的ACL；</w:t>
            </w:r>
            <w:r/>
          </w:p>
        </w:tc>
      </w:tr>
    </w:tbl>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6.48口POE接入交换机</w:t>
      </w:r>
      <w:r/>
    </w:p>
    <w:tbl>
      <w:tblPr>
        <w:tblStyle w:val="731"/>
        <w:tblW w:w="47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6"/>
        <w:gridCol w:w="7821"/>
      </w:tblGrid>
      <w:tr>
        <w:trPr>
          <w:jc w:val="center"/>
          <w:trHeight w:val="280"/>
        </w:trPr>
        <w:tc>
          <w:tcPr>
            <w:tcW w:w="865" w:type="pct"/>
            <w:vAlign w:val="center"/>
            <w:textDirection w:val="lrTb"/>
            <w:noWrap w:val="false"/>
          </w:tcPr>
          <w:p>
            <w:pPr>
              <w:jc w:val="center"/>
              <w:spacing w:line="32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指标项</w:t>
            </w:r>
            <w:r/>
          </w:p>
        </w:tc>
        <w:tc>
          <w:tcPr>
            <w:tcW w:w="4134" w:type="pct"/>
            <w:vAlign w:val="center"/>
            <w:textDirection w:val="lrTb"/>
            <w:noWrap w:val="false"/>
          </w:tcPr>
          <w:p>
            <w:pPr>
              <w:jc w:val="center"/>
              <w:spacing w:line="32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技术参数要求</w:t>
            </w:r>
            <w:r/>
          </w:p>
        </w:tc>
      </w:tr>
      <w:tr>
        <w:trPr>
          <w:jc w:val="center"/>
          <w:trHeight w:val="540"/>
        </w:trPr>
        <w:tc>
          <w:tcPr>
            <w:shd w:val="clear" w:color="000000" w:fill="ffffff"/>
            <w:tcW w:w="86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cs="Arial" w:asciiTheme="minorEastAsia" w:hAnsiTheme="minorEastAsia" w:eastAsiaTheme="minorEastAsia"/>
                <w:color w:val="auto"/>
                <w:szCs w:val="21"/>
                <w:highlight w:val="none"/>
                <w:shd w:val="clear" w:color="auto" w:fill="ffffff"/>
              </w:rPr>
              <w:t xml:space="preserve">▲</w:t>
            </w:r>
            <w:r>
              <w:rPr>
                <w:rFonts w:hint="eastAsia" w:ascii="仿宋" w:hAnsi="仿宋" w:eastAsia="仿宋" w:cs="仿宋"/>
                <w:color w:val="auto"/>
                <w:sz w:val="24"/>
                <w:szCs w:val="24"/>
                <w:highlight w:val="none"/>
              </w:rPr>
              <w:t xml:space="preserve">基础硬件</w:t>
            </w:r>
            <w:r/>
          </w:p>
        </w:tc>
        <w:tc>
          <w:tcPr>
            <w:shd w:val="clear" w:color="000000" w:fill="ffffff"/>
            <w:tcW w:w="413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交换容量≥672Gbps，包转发率≥207Mpps，</w:t>
            </w:r>
            <w:r>
              <w:rPr>
                <w:rFonts w:hint="eastAsia" w:ascii="仿宋" w:hAnsi="仿宋" w:eastAsia="仿宋" w:cs="仿宋"/>
                <w:bCs/>
                <w:color w:val="auto"/>
                <w:sz w:val="24"/>
                <w:szCs w:val="24"/>
                <w:highlight w:val="none"/>
              </w:rPr>
              <w:t xml:space="preserve">整机提供≥48个千兆以太网电口，提供≥4个万兆光口，整机POE输出功率≥770W；</w:t>
            </w:r>
            <w:r/>
          </w:p>
        </w:tc>
      </w:tr>
      <w:tr>
        <w:trPr>
          <w:jc w:val="center"/>
          <w:trHeight w:val="280"/>
        </w:trPr>
        <w:tc>
          <w:tcPr>
            <w:tcW w:w="86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路由性能</w:t>
            </w:r>
            <w:r/>
          </w:p>
        </w:tc>
        <w:tc>
          <w:tcPr>
            <w:tcW w:w="413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支持IPv4/IPv6静态路由，支持RIP/RIPng，OSPF</w:t>
            </w:r>
            <w:r/>
          </w:p>
        </w:tc>
      </w:tr>
      <w:tr>
        <w:trPr>
          <w:jc w:val="center"/>
          <w:trHeight w:val="280"/>
        </w:trPr>
        <w:tc>
          <w:tcPr>
            <w:tcW w:w="86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虚拟化</w:t>
            </w:r>
            <w:r/>
          </w:p>
        </w:tc>
        <w:tc>
          <w:tcPr>
            <w:tcW w:w="4134" w:type="pct"/>
            <w:vAlign w:val="center"/>
            <w:textDirection w:val="lrTb"/>
            <w:noWrap w:val="false"/>
          </w:tcPr>
          <w:p>
            <w:pPr>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支持多虚一技术(N:1)，可将多台物理设备虚拟化为1台逻辑设备</w:t>
            </w:r>
            <w:r/>
          </w:p>
        </w:tc>
      </w:tr>
      <w:tr>
        <w:trPr>
          <w:jc w:val="center"/>
          <w:trHeight w:val="280"/>
        </w:trPr>
        <w:tc>
          <w:tcPr>
            <w:tcW w:w="865" w:type="pct"/>
            <w:vAlign w:val="center"/>
            <w:vMerge w:val="restart"/>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镜像功能</w:t>
            </w:r>
            <w:r/>
          </w:p>
        </w:tc>
        <w:tc>
          <w:tcPr>
            <w:tcW w:w="413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支持本地端口镜像和远程端口镜像RSPAN；</w:t>
            </w:r>
            <w:r/>
          </w:p>
        </w:tc>
      </w:tr>
      <w:tr>
        <w:trPr>
          <w:jc w:val="center"/>
          <w:trHeight w:val="280"/>
        </w:trPr>
        <w:tc>
          <w:tcPr>
            <w:tcW w:w="865" w:type="pct"/>
            <w:vAlign w:val="center"/>
            <w:vMerge w:val="continue"/>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13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支持流镜像</w:t>
            </w:r>
            <w:r/>
          </w:p>
        </w:tc>
      </w:tr>
      <w:tr>
        <w:trPr>
          <w:jc w:val="center"/>
          <w:trHeight w:val="280"/>
        </w:trPr>
        <w:tc>
          <w:tcPr>
            <w:tcW w:w="865" w:type="pct"/>
            <w:vAlign w:val="center"/>
            <w:vMerge w:val="continue"/>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13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支持N：M的端口镜像（M大于1）</w:t>
            </w:r>
            <w:r/>
          </w:p>
        </w:tc>
      </w:tr>
      <w:tr>
        <w:trPr>
          <w:jc w:val="center"/>
          <w:trHeight w:val="280"/>
        </w:trPr>
        <w:tc>
          <w:tcPr>
            <w:tcW w:w="86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环网协议</w:t>
            </w:r>
            <w:r/>
          </w:p>
        </w:tc>
        <w:tc>
          <w:tcPr>
            <w:tcW w:w="413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支持ERPS功能，能够快速阻断环路；支持STP、RSTP、MSTP，环网故障恢复时间短；</w:t>
            </w:r>
            <w:r/>
          </w:p>
        </w:tc>
      </w:tr>
      <w:tr>
        <w:trPr>
          <w:jc w:val="center"/>
          <w:trHeight w:val="280"/>
        </w:trPr>
        <w:tc>
          <w:tcPr>
            <w:tcW w:w="865"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访问控制策略</w:t>
            </w:r>
            <w:r/>
          </w:p>
        </w:tc>
        <w:tc>
          <w:tcPr>
            <w:tcW w:w="4134"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支持基于第二层、第三层和第四层的ACL；</w:t>
            </w:r>
            <w:r/>
          </w:p>
        </w:tc>
      </w:tr>
    </w:tbl>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7.无线AP</w:t>
      </w:r>
      <w:r/>
    </w:p>
    <w:tbl>
      <w:tblPr>
        <w:tblStyle w:val="731"/>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17"/>
        <w:gridCol w:w="7697"/>
      </w:tblGrid>
      <w:tr>
        <w:trPr>
          <w:jc w:val="center"/>
        </w:trPr>
        <w:tc>
          <w:tcPr>
            <w:tcW w:w="1038"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指标项</w:t>
            </w:r>
            <w:r/>
          </w:p>
        </w:tc>
        <w:tc>
          <w:tcPr>
            <w:tcW w:w="3962"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技术参数要求</w:t>
            </w:r>
            <w:r/>
          </w:p>
        </w:tc>
      </w:tr>
      <w:tr>
        <w:trPr>
          <w:jc w:val="center"/>
        </w:trPr>
        <w:tc>
          <w:tcPr>
            <w:tcW w:w="1038" w:type="pct"/>
            <w:vAlign w:val="center"/>
            <w:textDirection w:val="lrTb"/>
            <w:noWrap w:val="false"/>
          </w:tcPr>
          <w:p>
            <w:pPr>
              <w:jc w:val="center"/>
              <w:spacing w:line="320" w:lineRule="exact"/>
              <w:widowControl/>
              <w:rPr>
                <w:rFonts w:hint="eastAsia" w:ascii="仿宋" w:hAnsi="仿宋" w:eastAsia="仿宋" w:cs="仿宋"/>
                <w:bCs/>
                <w:color w:val="auto"/>
                <w:sz w:val="24"/>
                <w:szCs w:val="24"/>
                <w:highlight w:val="none"/>
              </w:rPr>
            </w:pPr>
            <w:r>
              <w:rPr>
                <w:rFonts w:cs="Arial" w:asciiTheme="minorEastAsia" w:hAnsiTheme="minorEastAsia" w:eastAsiaTheme="minorEastAsia"/>
                <w:color w:val="auto"/>
                <w:szCs w:val="21"/>
                <w:highlight w:val="none"/>
                <w:shd w:val="clear" w:color="auto" w:fill="ffffff"/>
              </w:rPr>
              <w:t xml:space="preserve">▲</w:t>
            </w:r>
            <w:r>
              <w:rPr>
                <w:rFonts w:hint="eastAsia" w:ascii="仿宋" w:hAnsi="仿宋" w:eastAsia="仿宋" w:cs="仿宋"/>
                <w:color w:val="auto"/>
                <w:sz w:val="24"/>
                <w:szCs w:val="24"/>
                <w:highlight w:val="none"/>
              </w:rPr>
              <w:t xml:space="preserve">基础性能</w:t>
            </w:r>
            <w:r/>
          </w:p>
        </w:tc>
        <w:tc>
          <w:tcPr>
            <w:tcW w:w="3962"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采用双频四流设计，可工作在802.11a/b/g/n/ac/ac wave2/ax/be模式，整机协商速率≥3.57Gbps，支持2.4GHz、5GHz工作频段</w:t>
            </w:r>
            <w:r/>
          </w:p>
        </w:tc>
      </w:tr>
      <w:tr>
        <w:trPr>
          <w:jc w:val="center"/>
        </w:trPr>
        <w:tc>
          <w:tcPr>
            <w:tcW w:w="1038" w:type="pct"/>
            <w:vAlign w:val="center"/>
            <w:textDirection w:val="lrTb"/>
            <w:noWrap w:val="false"/>
          </w:tcPr>
          <w:p>
            <w:pPr>
              <w:jc w:val="center"/>
              <w:spacing w:line="32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接口</w:t>
            </w:r>
            <w:r/>
          </w:p>
        </w:tc>
        <w:tc>
          <w:tcPr>
            <w:tcW w:w="3962"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提供固化2.5G以太网电接口≥1个 </w:t>
            </w:r>
            <w:r/>
          </w:p>
        </w:tc>
      </w:tr>
      <w:tr>
        <w:trPr>
          <w:jc w:val="center"/>
        </w:trPr>
        <w:tc>
          <w:tcPr>
            <w:tcW w:w="1038" w:type="pct"/>
            <w:vAlign w:val="center"/>
            <w:textDirection w:val="lrTb"/>
            <w:noWrap w:val="false"/>
          </w:tcPr>
          <w:p>
            <w:pPr>
              <w:jc w:val="center"/>
              <w:spacing w:line="32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天线设计</w:t>
            </w:r>
            <w:r/>
          </w:p>
        </w:tc>
        <w:tc>
          <w:tcPr>
            <w:tcW w:w="3962"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内置智能天线系统</w:t>
            </w:r>
            <w:r/>
          </w:p>
        </w:tc>
      </w:tr>
      <w:tr>
        <w:trPr>
          <w:jc w:val="center"/>
        </w:trPr>
        <w:tc>
          <w:tcPr>
            <w:tcW w:w="1038" w:type="pct"/>
            <w:vAlign w:val="center"/>
            <w:textDirection w:val="lrTb"/>
            <w:noWrap w:val="false"/>
          </w:tcPr>
          <w:p>
            <w:pPr>
              <w:jc w:val="center"/>
              <w:spacing w:line="320" w:lineRule="exact"/>
              <w:widowControl/>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智能带宽限速</w:t>
            </w:r>
            <w:r/>
          </w:p>
        </w:tc>
        <w:tc>
          <w:tcPr>
            <w:tcW w:w="3962"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支持智能带宽限速，在流量未拥塞时，确保不同优先级SSID下的报文都可以自由通过，在流量拥塞时，确保每个SSID可以保持各自约定的最小带宽；</w:t>
            </w:r>
            <w:r/>
          </w:p>
        </w:tc>
      </w:tr>
      <w:tr>
        <w:trPr>
          <w:jc w:val="center"/>
        </w:trPr>
        <w:tc>
          <w:tcPr>
            <w:tcW w:w="1038" w:type="pct"/>
            <w:vAlign w:val="center"/>
            <w:textDirection w:val="lrTb"/>
            <w:noWrap w:val="false"/>
          </w:tcPr>
          <w:p>
            <w:pPr>
              <w:jc w:val="center"/>
              <w:spacing w:line="320" w:lineRule="exact"/>
              <w:widowControl/>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加密</w:t>
            </w:r>
            <w:r/>
          </w:p>
        </w:tc>
        <w:tc>
          <w:tcPr>
            <w:tcW w:w="3962"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支持64、128位WEP加密，WPA，802.11i和WAPI；</w:t>
            </w:r>
            <w:r/>
          </w:p>
        </w:tc>
      </w:tr>
      <w:tr>
        <w:trPr>
          <w:jc w:val="center"/>
        </w:trPr>
        <w:tc>
          <w:tcPr>
            <w:tcW w:w="1038" w:type="pct"/>
            <w:vAlign w:val="center"/>
            <w:textDirection w:val="lrTb"/>
            <w:noWrap w:val="false"/>
          </w:tcPr>
          <w:p>
            <w:pPr>
              <w:jc w:val="center"/>
              <w:spacing w:line="320" w:lineRule="exact"/>
              <w:widowControl/>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用户隔离</w:t>
            </w:r>
            <w:r/>
          </w:p>
        </w:tc>
        <w:tc>
          <w:tcPr>
            <w:tcW w:w="3962" w:type="pct"/>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支持虚拟AP(多SSID)之间的隔离，支持AP上二层转发抑制；</w:t>
            </w:r>
            <w:r/>
          </w:p>
        </w:tc>
      </w:tr>
      <w:tr>
        <w:trPr>
          <w:jc w:val="center"/>
        </w:trPr>
        <w:tc>
          <w:tcPr>
            <w:tcW w:w="1038" w:type="pct"/>
            <w:vAlign w:val="center"/>
            <w:textDirection w:val="lrTb"/>
            <w:noWrap w:val="false"/>
          </w:tcPr>
          <w:p>
            <w:pPr>
              <w:jc w:val="center"/>
              <w:spacing w:line="320" w:lineRule="exact"/>
              <w:widowControl/>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★兼容性</w:t>
            </w:r>
            <w:r/>
          </w:p>
        </w:tc>
        <w:tc>
          <w:tcPr>
            <w:tcW w:w="3962" w:type="pct"/>
            <w:vAlign w:val="center"/>
            <w:textDirection w:val="lrTb"/>
            <w:noWrap w:val="false"/>
          </w:tcPr>
          <w:p>
            <w:pPr>
              <w:jc w:val="left"/>
              <w:spacing w:line="320" w:lineRule="exact"/>
              <w:widowControl/>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要求被现网无线控制器纳管，从而实现全网无线AP硬件统一管理、软件统一升级、配置统一下发、策略统一调整等，提供承诺函并加盖投标人公章证明。如果不满足，要求定制化开发，提供定制化开发承诺函并加盖投标人公章证明，定制化费用由投标人自行承担；</w:t>
            </w:r>
            <w:r/>
          </w:p>
        </w:tc>
      </w:tr>
    </w:tbl>
    <w:p>
      <w:pP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8.无线控制器</w:t>
      </w:r>
      <w:r/>
    </w:p>
    <w:tbl>
      <w:tblPr>
        <w:tblStyle w:val="731"/>
        <w:tblW w:w="4788" w:type="pct"/>
        <w:tblInd w:w="113" w:type="dxa"/>
        <w:tblLayout w:type="autofit"/>
        <w:tblCellMar>
          <w:left w:w="108" w:type="dxa"/>
          <w:top w:w="0" w:type="dxa"/>
          <w:right w:w="108" w:type="dxa"/>
          <w:bottom w:w="0" w:type="dxa"/>
        </w:tblCellMar>
        <w:tblLook w:val="04A0" w:firstRow="1" w:lastRow="0" w:firstColumn="1" w:lastColumn="0" w:noHBand="0" w:noVBand="1"/>
      </w:tblPr>
      <w:tblGrid>
        <w:gridCol w:w="1749"/>
        <w:gridCol w:w="7712"/>
      </w:tblGrid>
      <w:tr>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指标项</w:t>
            </w:r>
            <w:r/>
          </w:p>
        </w:tc>
        <w:tc>
          <w:tcPr>
            <w:tcBorders>
              <w:top w:val="single" w:color="auto" w:sz="4" w:space="0"/>
              <w:left w:val="none" w:color="000000" w:sz="4" w:space="0"/>
              <w:bottom w:val="single" w:color="auto" w:sz="4" w:space="0"/>
              <w:right w:val="single" w:color="auto" w:sz="4" w:space="0"/>
            </w:tcBorders>
            <w:tcW w:w="7705"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技术参数要求</w:t>
            </w:r>
            <w:r/>
          </w:p>
        </w:tc>
      </w:tr>
      <w:tr>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cs="Arial" w:asciiTheme="minorEastAsia" w:hAnsiTheme="minorEastAsia" w:eastAsiaTheme="minorEastAsia"/>
                <w:color w:val="auto"/>
                <w:szCs w:val="21"/>
                <w:highlight w:val="none"/>
                <w:shd w:val="clear" w:color="auto" w:fill="ffffff"/>
              </w:rPr>
              <w:t xml:space="preserve">▲</w:t>
            </w:r>
            <w:r>
              <w:rPr>
                <w:rFonts w:hint="eastAsia" w:ascii="仿宋" w:hAnsi="仿宋" w:eastAsia="仿宋" w:cs="仿宋"/>
                <w:color w:val="auto"/>
                <w:sz w:val="24"/>
                <w:szCs w:val="24"/>
                <w:highlight w:val="none"/>
              </w:rPr>
              <w:t xml:space="preserve">基础性能</w:t>
            </w:r>
            <w:r/>
          </w:p>
        </w:tc>
        <w:tc>
          <w:tcPr>
            <w:tcBorders>
              <w:top w:val="single" w:color="auto" w:sz="4" w:space="0"/>
              <w:left w:val="none" w:color="000000" w:sz="4" w:space="0"/>
              <w:bottom w:val="single" w:color="auto" w:sz="4" w:space="0"/>
              <w:right w:val="single" w:color="auto" w:sz="4" w:space="0"/>
            </w:tcBorders>
            <w:tcW w:w="7705"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设备吞吐量≥120G，可支持管理AP数≥3500个，配置10G以太网光口≥8个，千兆光电复用口≥8个</w:t>
            </w:r>
            <w:r/>
          </w:p>
        </w:tc>
      </w:tr>
      <w:tr>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多维度安全访问控制</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支持多维度的安全访问控制功能，支持对某些指定的应用或服务进行深度防控，可以做到基于应用、SSID、AP、源IP、服务、时间段等多维度的报文控制</w:t>
            </w:r>
            <w:r/>
          </w:p>
        </w:tc>
      </w:tr>
      <w:tr>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智能漫游</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满足基于802.11k/802.11v/802.11r协议的智能漫游；</w:t>
            </w:r>
            <w:r/>
          </w:p>
        </w:tc>
      </w:tr>
      <w:tr>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批量管理</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支持AP-Group，可对大量AP进行批量配置操作；</w:t>
            </w:r>
            <w:r/>
          </w:p>
        </w:tc>
      </w:tr>
      <w:tr>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BYOD支持</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能够识别不同终端类型，控制器可对不同终端类型下预设不同授权，实现权限控制；</w:t>
            </w:r>
            <w:r/>
          </w:p>
        </w:tc>
      </w:tr>
      <w:tr>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无线探针</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可通过无线AP探测范围内的客户端，并将客户端信息上报审计或运维管理平台；</w:t>
            </w:r>
            <w:r/>
          </w:p>
        </w:tc>
      </w:tr>
      <w:tr>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20" w:lineRule="exact"/>
              <w:widowControl/>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★可靠性</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jc w:val="left"/>
              <w:spacing w:line="320" w:lineRule="exact"/>
              <w:widowControl/>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要求与现网无线控制器堆叠组网，从而实现全网无线AP硬件统一管理、软件统一升级、配置统一下发、策略统一调整等，单台设备故障业务不中断，提供承诺函并加盖投标人公章证明。如果不满足，要求定制化开发，提供定制化开发承诺函并加盖投标人公章证明，定制化费用由投标人自行承担；</w:t>
            </w:r>
            <w:r/>
          </w:p>
        </w:tc>
      </w:tr>
    </w:tbl>
    <w:p>
      <w:pP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9.网管软件</w:t>
      </w:r>
      <w:r/>
    </w:p>
    <w:tbl>
      <w:tblPr>
        <w:tblStyle w:val="731"/>
        <w:tblW w:w="4768" w:type="pct"/>
        <w:jc w:val="center"/>
        <w:tblLayout w:type="autofit"/>
        <w:tblCellMar>
          <w:left w:w="108" w:type="dxa"/>
          <w:top w:w="0" w:type="dxa"/>
          <w:right w:w="108" w:type="dxa"/>
          <w:bottom w:w="0" w:type="dxa"/>
        </w:tblCellMar>
        <w:tblLook w:val="04A0" w:firstRow="1" w:lastRow="0" w:firstColumn="1" w:lastColumn="0" w:noHBand="0" w:noVBand="1"/>
      </w:tblPr>
      <w:tblGrid>
        <w:gridCol w:w="1646"/>
        <w:gridCol w:w="7776"/>
      </w:tblGrid>
      <w:tr>
        <w:trPr>
          <w:jc w:val="center"/>
        </w:trPr>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指标项</w:t>
            </w:r>
            <w:r/>
          </w:p>
        </w:tc>
        <w:tc>
          <w:tcPr>
            <w:tcBorders>
              <w:top w:val="single" w:color="auto" w:sz="4" w:space="0"/>
              <w:left w:val="none" w:color="000000" w:sz="4" w:space="0"/>
              <w:bottom w:val="single" w:color="auto" w:sz="4" w:space="0"/>
              <w:right w:val="single" w:color="auto" w:sz="4" w:space="0"/>
            </w:tcBorders>
            <w:tcW w:w="7777"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技术参数要求</w:t>
            </w:r>
            <w:r/>
          </w:p>
        </w:tc>
      </w:tr>
      <w:tr>
        <w:trPr>
          <w:jc w:val="center"/>
        </w:trPr>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统一管理</w:t>
            </w:r>
            <w:r/>
          </w:p>
        </w:tc>
        <w:tc>
          <w:tcPr>
            <w:tcBorders>
              <w:top w:val="single" w:color="auto" w:sz="4" w:space="0"/>
              <w:left w:val="none" w:color="000000" w:sz="4" w:space="0"/>
              <w:bottom w:val="single" w:color="auto" w:sz="4" w:space="0"/>
              <w:right w:val="single" w:color="auto" w:sz="4" w:space="0"/>
            </w:tcBorders>
            <w:tcW w:w="7777"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有线无线一体化管理：支持交换机、无线；</w:t>
            </w:r>
            <w:r/>
          </w:p>
        </w:tc>
      </w:tr>
      <w:tr>
        <w:trPr>
          <w:jc w:val="center"/>
        </w:trPr>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邻居信息</w:t>
            </w:r>
            <w:r/>
          </w:p>
        </w:tc>
        <w:tc>
          <w:tcPr>
            <w:tcBorders>
              <w:top w:val="single" w:color="auto" w:sz="4" w:space="0"/>
              <w:left w:val="single" w:color="auto" w:sz="4" w:space="0"/>
              <w:bottom w:val="single" w:color="auto" w:sz="4" w:space="0"/>
              <w:right w:val="single" w:color="auto" w:sz="4" w:space="0"/>
            </w:tcBorders>
            <w:tcW w:w="7777"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支持显示被管理设备的LLDP邻居信息，包括但不限于以下信息，本端接口名称、对端标识、对端接口标识、对端系统名称、对端系统描述</w:t>
            </w:r>
            <w:r/>
          </w:p>
        </w:tc>
      </w:tr>
      <w:tr>
        <w:trPr>
          <w:jc w:val="center"/>
        </w:trPr>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告警管理</w:t>
            </w:r>
            <w:r/>
          </w:p>
        </w:tc>
        <w:tc>
          <w:tcPr>
            <w:tcBorders>
              <w:top w:val="single" w:color="auto" w:sz="4" w:space="0"/>
              <w:left w:val="single" w:color="auto" w:sz="4" w:space="0"/>
              <w:bottom w:val="single" w:color="auto" w:sz="4" w:space="0"/>
              <w:right w:val="single" w:color="auto" w:sz="4" w:space="0"/>
            </w:tcBorders>
            <w:tcW w:w="7777"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支持告警集中管理，纳管设备的所有告警可集中在告警中心查看和处理，告警中心支持查看告警源、告警级别、告警内容、告警状态、告警开始时间和最新时间等信息</w:t>
            </w:r>
            <w:r/>
          </w:p>
        </w:tc>
      </w:tr>
      <w:tr>
        <w:trPr>
          <w:jc w:val="center"/>
        </w:trPr>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拓扑展示</w:t>
            </w:r>
            <w:r/>
          </w:p>
        </w:tc>
        <w:tc>
          <w:tcPr>
            <w:tcBorders>
              <w:top w:val="single" w:color="auto" w:sz="4" w:space="0"/>
              <w:left w:val="single" w:color="auto" w:sz="4" w:space="0"/>
              <w:bottom w:val="single" w:color="auto" w:sz="4" w:space="0"/>
              <w:right w:val="single" w:color="auto" w:sz="4" w:space="0"/>
            </w:tcBorders>
            <w:tcW w:w="7777" w:type="dxa"/>
            <w:vAlign w:val="center"/>
            <w:textDirection w:val="lrTb"/>
            <w:noWrap w:val="false"/>
          </w:tcPr>
          <w:p>
            <w:pPr>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支持拓扑功能，拓扑功能模块提供了查看设备之间物理连线关系、包括设备状态、设备之间链路状态等信息，通过拓扑图中的设备可快速查看设备的详情信息；</w:t>
            </w:r>
            <w:r/>
          </w:p>
        </w:tc>
      </w:tr>
      <w:tr>
        <w:trPr>
          <w:jc w:val="center"/>
        </w:trPr>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spacing w:line="320" w:lineRule="exact"/>
              <w:widowControl/>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★配置</w:t>
            </w:r>
            <w:r/>
          </w:p>
        </w:tc>
        <w:tc>
          <w:tcPr>
            <w:tcBorders>
              <w:top w:val="single" w:color="auto" w:sz="4" w:space="0"/>
              <w:left w:val="single" w:color="auto" w:sz="4" w:space="0"/>
              <w:bottom w:val="single" w:color="auto" w:sz="4" w:space="0"/>
              <w:right w:val="single" w:color="auto" w:sz="4" w:space="0"/>
            </w:tcBorders>
            <w:tcW w:w="7777" w:type="dxa"/>
            <w:vAlign w:val="center"/>
            <w:textDirection w:val="lrTb"/>
            <w:noWrap w:val="false"/>
          </w:tcPr>
          <w:p>
            <w:pPr>
              <w:jc w:val="left"/>
              <w:spacing w:line="320" w:lineRule="exact"/>
              <w:widowControl/>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提供无限制点位管理授权或≥50000点管理授权</w:t>
            </w:r>
            <w:r/>
          </w:p>
        </w:tc>
      </w:tr>
    </w:tbl>
    <w:p>
      <w:pPr>
        <w:ind w:firstLine="420"/>
        <w:jc w:val="left"/>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本次项目产品参数中所涉及的功能截图、参数证明材料等在投标时需提供具体的证明材料。中标后签订合同前，中标供应商须提供以下材料：①投标设备生产厂家针对本项目的三年原厂质保售后服务承诺函原件（须加盖厂家红色公章）；以供采购核查。</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（四）采购项目交付或者实施的时间和地点；</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.交货期（服务时间）：</w:t>
      </w:r>
      <w:r>
        <w:rPr>
          <w:rFonts w:hint="eastAsia" w:ascii="仿宋" w:hAnsi="仿宋" w:eastAsia="仿宋" w:cs="仿宋"/>
          <w:b/>
          <w:bCs/>
          <w:i/>
          <w:iCs/>
          <w:color w:val="auto"/>
          <w:sz w:val="24"/>
          <w:szCs w:val="24"/>
          <w:highlight w:val="none"/>
          <w:u w:val="single"/>
        </w:rPr>
        <w:t xml:space="preserve">签订合同</w:t>
      </w:r>
      <w:r>
        <w:rPr>
          <w:rFonts w:hint="eastAsia" w:ascii="仿宋" w:hAnsi="仿宋" w:eastAsia="仿宋" w:cs="仿宋"/>
          <w:b/>
          <w:bCs/>
          <w:i/>
          <w:iCs/>
          <w:color w:val="auto"/>
          <w:sz w:val="24"/>
          <w:szCs w:val="24"/>
          <w:highlight w:val="none"/>
          <w:u w:val="single"/>
          <w:lang w:val="zh-CN"/>
        </w:rPr>
        <w:t xml:space="preserve">后10个工作日内</w:t>
      </w:r>
      <w:r>
        <w:rPr>
          <w:rFonts w:hint="eastAsia" w:ascii="仿宋" w:hAnsi="仿宋" w:eastAsia="仿宋" w:cs="仿宋"/>
          <w:b/>
          <w:bCs/>
          <w:i/>
          <w:iCs/>
          <w:color w:val="auto"/>
          <w:sz w:val="24"/>
          <w:szCs w:val="24"/>
          <w:highlight w:val="none"/>
          <w:u w:val="single"/>
        </w:rPr>
        <w:t xml:space="preserve">完成供货，签定合同后2</w:t>
      </w:r>
      <w:r>
        <w:rPr>
          <w:rFonts w:hint="eastAsia" w:ascii="仿宋" w:hAnsi="仿宋" w:eastAsia="仿宋" w:cs="仿宋"/>
          <w:b/>
          <w:bCs/>
          <w:i/>
          <w:iCs/>
          <w:color w:val="auto"/>
          <w:sz w:val="24"/>
          <w:szCs w:val="24"/>
          <w:highlight w:val="none"/>
          <w:u w:val="single"/>
          <w:lang w:val="zh-CN"/>
        </w:rPr>
        <w:t xml:space="preserve">0个工作日内</w:t>
      </w:r>
      <w:r>
        <w:rPr>
          <w:rFonts w:hint="eastAsia" w:ascii="仿宋" w:hAnsi="仿宋" w:eastAsia="仿宋" w:cs="仿宋"/>
          <w:b/>
          <w:bCs/>
          <w:i/>
          <w:iCs/>
          <w:color w:val="auto"/>
          <w:sz w:val="24"/>
          <w:szCs w:val="24"/>
          <w:highlight w:val="none"/>
          <w:u w:val="single"/>
        </w:rPr>
        <w:t xml:space="preserve">安装调试。</w:t>
      </w:r>
      <w:r/>
    </w:p>
    <w:p>
      <w:pPr>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.交货（服务）地点：如东县碧桂园幼儿园。</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（五）采购标的需满足的服务标准、期限、效率等要求；</w:t>
      </w:r>
      <w:r/>
    </w:p>
    <w:p>
      <w:pPr>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1.提供三年软硬件原厂质保服务和技术支持服务。</w:t>
      </w:r>
      <w:r/>
    </w:p>
    <w:p>
      <w:pPr>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2.在出现故障时，要求3</w:t>
      </w:r>
      <w:r>
        <w:rPr>
          <w:rFonts w:ascii="仿宋" w:hAnsi="仿宋" w:eastAsia="仿宋" w:cs="仿宋"/>
          <w:color w:val="auto"/>
          <w:sz w:val="24"/>
          <w:szCs w:val="24"/>
          <w:highlight w:val="none"/>
          <w:lang w:val="zh-CN"/>
        </w:rPr>
        <w:t xml:space="preserve">0</w:t>
      </w:r>
      <w:r>
        <w:rPr>
          <w:rFonts w:hint="eastAsia" w:ascii="仿宋" w:hAnsi="仿宋" w:eastAsia="仿宋" w:cs="仿宋"/>
          <w:color w:val="auto"/>
          <w:sz w:val="24"/>
          <w:szCs w:val="24"/>
          <w:highlight w:val="none"/>
          <w:lang w:val="zh-CN"/>
        </w:rPr>
        <w:t xml:space="preserve">分钟内响应，1小时内解决问题。</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（六）采购标的的验收标准、方法、时间；（收到验收申请后7个工作日内采购人组织验收）</w:t>
      </w:r>
      <w:r/>
    </w:p>
    <w:p>
      <w:pPr>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产品质量及项目</w:t>
      </w:r>
      <w:r>
        <w:rPr>
          <w:rFonts w:hint="eastAsia" w:ascii="仿宋" w:hAnsi="仿宋" w:eastAsia="仿宋" w:cs="仿宋"/>
          <w:color w:val="auto"/>
          <w:sz w:val="24"/>
          <w:szCs w:val="24"/>
          <w:highlight w:val="none"/>
        </w:rPr>
        <w:t xml:space="preserve">安装集成</w:t>
      </w:r>
      <w:r>
        <w:rPr>
          <w:rFonts w:hint="eastAsia" w:ascii="仿宋" w:hAnsi="仿宋" w:eastAsia="仿宋" w:cs="仿宋"/>
          <w:color w:val="auto"/>
          <w:sz w:val="24"/>
          <w:szCs w:val="24"/>
          <w:highlight w:val="none"/>
          <w:lang w:val="zh-CN"/>
        </w:rPr>
        <w:t xml:space="preserve">的验收依据国家或行业相关规定及标准及采购文件要求。成交供应商最终提供的产品应与采购文件要求相一致，如因产品质量问题发生争议时，采购人将请质量技术监督部门给予鉴定。货物鉴定费用由成交供应商承担，同时按合同违约处理。</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（七）采购标的的其他技术、服务等要求（增加商品包装、快递包装的相关要求）；</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1、商品包装环保要求：应当按《关于印发〈商品包装政府采购需求标准(试行）〉、〈快递包装政府采购需求标准(试行)〉的通知》 (财办库〔2020〕123号)文件执行。</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（1）商品包装层数不得超过 3 层，空隙率不大于 40%；</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 6 色；</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2、快递包装环保要求：</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（10）快递应使用电子面单；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（11）直接使用商品包装作为快递包装的商品，其商品包装满足《商品包装政府采购需求标准（试行）》即可；</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（12）快递包装产品质量和封装方式应符合相关国家或行业标准技术指标要求。</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3、绿色数据中心</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4、低挥发性有机化合物产品：</w:t>
      </w:r>
      <w:r>
        <w:rPr>
          <w:rFonts w:hint="eastAsia" w:ascii="仿宋" w:hAnsi="仿宋" w:eastAsia="仿宋" w:cs="仿宋"/>
          <w:color w:val="auto"/>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zh-CN"/>
        </w:rPr>
        <w:t xml:space="preserve">优先使用低挥发性原辅材料</w:t>
      </w:r>
      <w:r>
        <w:rPr>
          <w:rFonts w:hint="eastAsia" w:ascii="仿宋" w:hAnsi="仿宋" w:eastAsia="仿宋" w:cs="仿宋"/>
          <w:color w:val="auto"/>
          <w:sz w:val="24"/>
          <w:szCs w:val="24"/>
          <w:highlight w:val="none"/>
        </w:rPr>
        <w:t xml:space="preserve">，将使用低</w:t>
      </w:r>
      <w:r>
        <w:rPr>
          <w:rFonts w:hint="eastAsia" w:ascii="仿宋" w:hAnsi="仿宋" w:eastAsia="仿宋" w:cs="仿宋"/>
          <w:color w:val="auto"/>
          <w:sz w:val="24"/>
          <w:szCs w:val="24"/>
          <w:highlight w:val="none"/>
          <w:lang w:val="zh-CN"/>
        </w:rPr>
        <w:t xml:space="preserve">VOCs含量的</w:t>
      </w:r>
      <w:r>
        <w:rPr>
          <w:rFonts w:hint="eastAsia" w:ascii="仿宋" w:hAnsi="仿宋" w:eastAsia="仿宋" w:cs="仿宋"/>
          <w:color w:val="auto"/>
          <w:sz w:val="24"/>
          <w:szCs w:val="24"/>
          <w:highlight w:val="none"/>
        </w:rPr>
        <w:t xml:space="preserve">涂料、</w:t>
      </w:r>
      <w:r>
        <w:rPr>
          <w:rFonts w:hint="eastAsia" w:ascii="仿宋" w:hAnsi="仿宋" w:eastAsia="仿宋" w:cs="仿宋"/>
          <w:color w:val="auto"/>
          <w:sz w:val="24"/>
          <w:szCs w:val="24"/>
          <w:highlight w:val="none"/>
          <w:lang w:val="zh-CN"/>
        </w:rPr>
        <w:t xml:space="preserve">胶黏剂</w:t>
      </w:r>
      <w:r>
        <w:rPr>
          <w:rFonts w:hint="eastAsia" w:ascii="仿宋" w:hAnsi="仿宋" w:eastAsia="仿宋" w:cs="仿宋"/>
          <w:color w:val="auto"/>
          <w:sz w:val="24"/>
          <w:szCs w:val="24"/>
          <w:highlight w:val="none"/>
        </w:rPr>
        <w:t xml:space="preserve">等纳入合同条款。</w:t>
      </w:r>
      <w:r/>
    </w:p>
    <w:p>
      <w:pPr>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5、节能环保产品：</w:t>
      </w:r>
      <w:r>
        <w:rPr>
          <w:rFonts w:hint="eastAsia" w:ascii="仿宋" w:hAnsi="仿宋" w:eastAsia="仿宋" w:cs="仿宋"/>
          <w:color w:val="auto"/>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6、绿色低碳管理目标和服务要求：在物业、合同能源管理等服务类采购项目需求中，要强化绿色低碳管理目标和服务要求，促进绿色产品和服务推广应用。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7、采购的货物或者服务属信创产品目录内容内的，须遵照信创产品要求提供货物或服务；</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（八）非单一产品采购项目，采购标的中的核心产品；</w:t>
      </w:r>
      <w:r/>
    </w:p>
    <w:p>
      <w:pPr>
        <w:pStyle w:val="754"/>
        <w:spacing w:line="440" w:lineRule="exact"/>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rPr>
        <w:t xml:space="preserve">核心交换机</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（九）付款方式：</w:t>
      </w:r>
      <w:r>
        <w:rPr>
          <w:rFonts w:hint="eastAsia" w:ascii="仿宋" w:hAnsi="仿宋" w:eastAsia="仿宋" w:cs="仿宋"/>
          <w:color w:val="auto"/>
          <w:sz w:val="24"/>
          <w:szCs w:val="24"/>
          <w:highlight w:val="none"/>
        </w:rPr>
        <w:t xml:space="preserve">验收合格后一次性付清合同价款</w:t>
      </w:r>
      <w:r>
        <w:rPr>
          <w:rFonts w:hint="eastAsia" w:ascii="仿宋" w:hAnsi="仿宋" w:eastAsia="仿宋" w:cs="仿宋"/>
          <w:b/>
          <w:bCs/>
          <w:color w:val="auto"/>
          <w:sz w:val="24"/>
          <w:szCs w:val="24"/>
          <w:highlight w:val="none"/>
        </w:rPr>
        <w:t xml:space="preserve">。</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（十）履约保证金：</w:t>
      </w:r>
      <w:r/>
    </w:p>
    <w:p>
      <w:pPr>
        <w:ind w:firstLine="480"/>
        <w:spacing w:after="120"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本项目成交后的履约保证金为项目成交价的</w:t>
      </w:r>
      <w:r>
        <w:rPr>
          <w:rFonts w:hint="eastAsia" w:ascii="仿宋" w:hAnsi="仿宋" w:eastAsia="仿宋" w:cs="仿宋"/>
          <w:color w:val="auto"/>
          <w:sz w:val="24"/>
          <w:szCs w:val="24"/>
          <w:highlight w:val="none"/>
          <w:u w:val="none"/>
        </w:rPr>
        <w:t xml:space="preserve">5</w:t>
      </w:r>
      <w:r>
        <w:rPr>
          <w:rFonts w:hint="eastAsia" w:ascii="仿宋" w:hAnsi="仿宋" w:eastAsia="仿宋" w:cs="仿宋"/>
          <w:color w:val="auto"/>
          <w:sz w:val="24"/>
          <w:szCs w:val="24"/>
          <w:highlight w:val="none"/>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（十一）本项目不接受进口产品参与</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（十二）安全责任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jc w:val="center"/>
        <w:keepNext/>
        <w:spacing w:line="500" w:lineRule="exact"/>
        <w:rPr>
          <w:rFonts w:hint="eastAsia" w:ascii="仿宋" w:hAnsi="仿宋" w:eastAsia="仿宋" w:cs="仿宋"/>
          <w:b/>
          <w:color w:val="auto"/>
          <w:sz w:val="44"/>
          <w:szCs w:val="28"/>
          <w:highlight w:val="none"/>
        </w:rPr>
        <w:outlineLvl w:val="0"/>
      </w:pPr>
      <w:r/>
      <w:bookmarkStart w:id="210" w:name="_Toc120614281"/>
      <w:r>
        <w:rPr>
          <w:rFonts w:hint="eastAsia" w:ascii="仿宋" w:hAnsi="仿宋" w:eastAsia="仿宋" w:cs="仿宋"/>
          <w:bCs/>
          <w:color w:val="auto"/>
          <w:sz w:val="44"/>
          <w:szCs w:val="28"/>
          <w:highlight w:val="none"/>
        </w:rPr>
        <w:br w:type="page" w:clear="all"/>
      </w:r>
      <w:bookmarkStart w:id="211" w:name="_Toc20957"/>
      <w:r/>
      <w:bookmarkStart w:id="212" w:name="_Toc19886"/>
      <w:r/>
      <w:bookmarkStart w:id="213" w:name="_Toc88"/>
      <w:r>
        <w:rPr>
          <w:rFonts w:hint="eastAsia" w:ascii="仿宋" w:hAnsi="仿宋" w:eastAsia="仿宋" w:cs="仿宋"/>
          <w:b/>
          <w:color w:val="auto"/>
          <w:sz w:val="44"/>
          <w:szCs w:val="28"/>
          <w:highlight w:val="none"/>
        </w:rPr>
        <w:t xml:space="preserve">第五章  评审方法与评审标准</w:t>
      </w:r>
      <w:bookmarkEnd w:id="211"/>
      <w:r/>
      <w:bookmarkEnd w:id="212"/>
      <w:r/>
      <w:bookmarkEnd w:id="213"/>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一、评审方法：</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二、政府采购政策功能落实</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1、小微型企业价格扣除</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（1）本项目对小型和微型企业产品给予10%的扣除价格，用扣除后的价格参与评审。。</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（2）供应商需按照《政府采购促进中小企业发展管理办法》（财库〔2020〕46 号）的规定提供相应的《中小企业声明函》。</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w:t>
      </w:r>
      <w:bookmarkStart w:id="214" w:name="OLE_LINK1"/>
      <w:r>
        <w:rPr>
          <w:rFonts w:hint="eastAsia" w:ascii="仿宋" w:hAnsi="仿宋" w:eastAsia="仿宋" w:cs="仿宋"/>
          <w:color w:val="auto"/>
          <w:sz w:val="24"/>
          <w:szCs w:val="24"/>
          <w:highlight w:val="none"/>
        </w:rPr>
        <w:t xml:space="preserve">工信部联企业〔2011〕300号）</w:t>
      </w:r>
      <w:bookmarkEnd w:id="214"/>
      <w:r>
        <w:rPr>
          <w:rFonts w:hint="eastAsia" w:ascii="仿宋" w:hAnsi="仿宋" w:eastAsia="仿宋" w:cs="仿宋"/>
          <w:color w:val="auto"/>
          <w:sz w:val="24"/>
          <w:szCs w:val="24"/>
          <w:highlight w:val="none"/>
        </w:rPr>
        <w:t xml:space="preserve">文件规定自行填写。</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2、残疾人福利单位价格扣除</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（1）本项目对残疾人福利性单位视同小型、微型企业，给予10%的价格扣除，用扣除后的价格参与评审。</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（2）残疾人福利单位需按照磋商文件的要求提供《残疾人福利性单位声明函》。</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3、监狱和戒毒企业价格扣除</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（1）本项目对监狱和戒毒企业（简称监狱企业）视同小型、微型企业，给予10%的价格扣除，用扣除后的价格参与评审。</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（3）监狱企业标准请参照《关于政府采购支持监狱企业发展有关问题的通知》（财库〔2014〕68号）。</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6、联合体各方均为小型、微型企业（残疾人福利单位、监狱企业）的，联合体享受10%价格扣除，用扣除后的价格参与评审。</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7、专门面向中小企业采购的项目或者采购包，不再执行价格评审优惠的扶持政策。</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8、根据《江苏省政府采购信用管理暂行办法》的规定，供应商信用评价结果为三星的扣2分，评价结果为二星的扣3分，评价结果为一星的扣4分。</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9、采购本国产品的支持政策</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本项目政府采购活动中既有本国产品又有非本国产品参与竞争的，依法对本国产品给予价格评审优惠，对本国产品的报价给予 20%的价格扣除，用扣除后的价格参与评审。</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 供应商需按照招标文件的要求提供《关于符合本国产品标准的声明函》（以下简称《声明函》），如不提供将不享受本国产品价格评审优惠。</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1"/>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三、评审方法与评审标准</w:t>
      </w:r>
      <w:r/>
    </w:p>
    <w:p>
      <w:pPr>
        <w:pStyle w:val="755"/>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本项目采用综合评分法，磋商小组将按下列评审方法与评审标准进行评分，总分值为100分。</w:t>
      </w:r>
      <w:r/>
    </w:p>
    <w:p>
      <w:pPr>
        <w:ind w:firstLine="219"/>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（一）商务技术分：</w:t>
      </w:r>
      <w:r>
        <w:rPr>
          <w:rFonts w:hint="eastAsia" w:asciiTheme="minorEastAsia" w:hAnsiTheme="minorEastAsia" w:eastAsiaTheme="minorEastAsia" w:cstheme="minorEastAsia"/>
          <w:b/>
          <w:color w:val="auto"/>
          <w:sz w:val="24"/>
          <w:szCs w:val="24"/>
          <w:highlight w:val="none"/>
        </w:rPr>
        <w:t xml:space="preserve">70</w:t>
      </w:r>
      <w:r>
        <w:rPr>
          <w:rFonts w:hint="eastAsia" w:asciiTheme="minorEastAsia" w:hAnsiTheme="minorEastAsia" w:eastAsiaTheme="minorEastAsia" w:cstheme="minorEastAsia"/>
          <w:b/>
          <w:color w:val="auto"/>
          <w:sz w:val="24"/>
          <w:szCs w:val="24"/>
          <w:highlight w:val="none"/>
          <w:lang w:val="zh-CN"/>
        </w:rPr>
        <w:t xml:space="preserve">分</w:t>
      </w:r>
      <w:r/>
    </w:p>
    <w:p>
      <w:pPr>
        <w:rPr>
          <w:color w:val="auto"/>
          <w:highlight w:val="none"/>
        </w:rPr>
      </w:pPr>
      <w:r>
        <w:rPr>
          <w:color w:val="auto"/>
          <w:highlight w:val="none"/>
        </w:rPr>
      </w:r>
      <w:r/>
    </w:p>
    <w:tbl>
      <w:tblPr>
        <w:tblStyle w:val="731"/>
        <w:tblW w:w="983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30" w:type="dxa"/>
          <w:top w:w="0" w:type="dxa"/>
          <w:right w:w="30" w:type="dxa"/>
          <w:bottom w:w="0" w:type="dxa"/>
        </w:tblCellMar>
        <w:tblLook w:val="04A0" w:firstRow="1" w:lastRow="0" w:firstColumn="1" w:lastColumn="0" w:noHBand="0" w:noVBand="1"/>
      </w:tblPr>
      <w:tblGrid>
        <w:gridCol w:w="651"/>
        <w:gridCol w:w="1329"/>
        <w:gridCol w:w="737"/>
        <w:gridCol w:w="7115"/>
      </w:tblGrid>
      <w:tr>
        <w:trPr>
          <w:jc w:val="center"/>
          <w:trHeight w:val="346"/>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评分点名称</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分值</w:t>
            </w:r>
            <w:r/>
          </w:p>
        </w:tc>
        <w:tc>
          <w:tcPr>
            <w:tcW w:w="711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jc w:val="center"/>
          <w:trHeight w:val="334"/>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技术参数</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W w:w="7115" w:type="dxa"/>
            <w:vAlign w:val="center"/>
            <w:textDirection w:val="lrTb"/>
            <w:noWrap w:val="false"/>
          </w:tcPr>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以设备采购清单及参数要求中描述的参数指标为依据，完全响应或者高出采购文件的技术要求的得满分；加★项为关键业务指标，不得负偏离，否则为无效投标。加</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项为重要业务指标，低于采购文件要求的或未响应的，每出现一条扣2分，扣完为止。采购文件中要求提供相关证书、检测报告、截图等证明材料的必须提供，否则视作负偏离。如发现证书、检测报告和截图造假的，依照相关法律法规规定处理。投标时提供《技术要求响应及偏离表》及项目需求中相关佐证材料。</w:t>
            </w:r>
            <w:r/>
          </w:p>
        </w:tc>
      </w:tr>
      <w:tr>
        <w:trPr>
          <w:jc w:val="center"/>
          <w:trHeight w:val="411"/>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所投产品制造商实力</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7115" w:type="dxa"/>
            <w:vAlign w:val="center"/>
            <w:textDirection w:val="lrTb"/>
            <w:noWrap w:val="false"/>
          </w:tcPr>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（1）所投路由器产品设备制造商须进入国家信息安全漏洞共享平台(CNVD)，技术组得3分，用户组得1分，其它不得分，提供证书或官网截图证明,不提供不得分。</w:t>
            </w:r>
            <w:r/>
          </w:p>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（2）所投无线AP产品设备制造商须进入国家信息安全漏洞库平台(CNNVD)技术支撑单位，一级得3分，二级得1分，其它不得分，提供证书或官网截图证明,不提供不得分。</w:t>
            </w:r>
            <w:r/>
          </w:p>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（3）所投交换机产品设备制造商须通过QC 080000有害物质过程管理体系认证，提供证书或国家认监委官网截图证明，满足者得3分,不提供不得分。</w:t>
            </w:r>
            <w:r/>
          </w:p>
        </w:tc>
      </w:tr>
      <w:tr>
        <w:trPr>
          <w:jc w:val="center"/>
          <w:trHeight w:val="979"/>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供应商资质</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7115" w:type="dxa"/>
            <w:vAlign w:val="center"/>
            <w:textDirection w:val="lrTb"/>
            <w:noWrap w:val="false"/>
          </w:tcPr>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ascii="仿宋" w:hAnsi="仿宋" w:eastAsia="仿宋" w:cs="仿宋"/>
                <w:color w:val="auto"/>
                <w:sz w:val="24"/>
                <w:szCs w:val="24"/>
                <w:highlight w:val="none"/>
              </w:rPr>
              <w:t xml:space="preserve">投标人具有信息系统建设及服务能力等级（CS）证书CS5及以上得</w:t>
            </w:r>
            <w:r>
              <w:rPr>
                <w:rFonts w:hint="eastAsia" w:ascii="仿宋" w:hAnsi="仿宋" w:eastAsia="仿宋" w:cs="仿宋"/>
                <w:color w:val="auto"/>
                <w:sz w:val="24"/>
                <w:szCs w:val="24"/>
                <w:highlight w:val="none"/>
              </w:rPr>
              <w:t xml:space="preserve">2</w:t>
            </w:r>
            <w:r>
              <w:rPr>
                <w:rFonts w:ascii="仿宋" w:hAnsi="仿宋" w:eastAsia="仿宋" w:cs="仿宋"/>
                <w:color w:val="auto"/>
                <w:sz w:val="24"/>
                <w:szCs w:val="24"/>
                <w:highlight w:val="none"/>
              </w:rPr>
              <w:t xml:space="preserve">分，CS4及以下得1分，</w:t>
            </w:r>
            <w:r>
              <w:rPr>
                <w:rFonts w:hint="eastAsia" w:ascii="仿宋" w:hAnsi="仿宋" w:eastAsia="仿宋" w:cs="仿宋"/>
                <w:color w:val="auto"/>
                <w:sz w:val="24"/>
                <w:szCs w:val="24"/>
                <w:highlight w:val="none"/>
              </w:rPr>
              <w:t xml:space="preserve">提供有效期内的证书证明，</w:t>
            </w:r>
            <w:r>
              <w:rPr>
                <w:rFonts w:ascii="仿宋" w:hAnsi="仿宋" w:eastAsia="仿宋" w:cs="仿宋"/>
                <w:color w:val="auto"/>
                <w:sz w:val="24"/>
                <w:szCs w:val="24"/>
                <w:highlight w:val="none"/>
              </w:rPr>
              <w:t xml:space="preserve">不提供不得分。</w:t>
            </w:r>
            <w:r/>
          </w:p>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ascii="仿宋" w:hAnsi="仿宋" w:eastAsia="仿宋" w:cs="仿宋"/>
                <w:color w:val="auto"/>
                <w:sz w:val="24"/>
                <w:szCs w:val="24"/>
                <w:highlight w:val="none"/>
              </w:rPr>
              <w:t xml:space="preserve">投标人具有CTEAS售后服务体系完善程度认证证书得</w:t>
            </w:r>
            <w:r>
              <w:rPr>
                <w:rFonts w:hint="eastAsia" w:ascii="仿宋" w:hAnsi="仿宋" w:eastAsia="仿宋" w:cs="仿宋"/>
                <w:color w:val="auto"/>
                <w:sz w:val="24"/>
                <w:szCs w:val="24"/>
                <w:highlight w:val="none"/>
              </w:rPr>
              <w:t xml:space="preserve">1</w:t>
            </w:r>
            <w:r>
              <w:rPr>
                <w:rFonts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rPr>
              <w:t xml:space="preserve">提供有效期内的证书证明，</w:t>
            </w:r>
            <w:r>
              <w:rPr>
                <w:rFonts w:ascii="仿宋" w:hAnsi="仿宋" w:eastAsia="仿宋" w:cs="仿宋"/>
                <w:color w:val="auto"/>
                <w:sz w:val="24"/>
                <w:szCs w:val="24"/>
                <w:highlight w:val="none"/>
              </w:rPr>
              <w:t xml:space="preserve">未提供不得分。</w:t>
            </w:r>
            <w:r>
              <w:rPr>
                <w:rFonts w:hint="eastAsia" w:ascii="仿宋" w:hAnsi="仿宋" w:eastAsia="仿宋" w:cs="仿宋"/>
                <w:color w:val="auto"/>
                <w:sz w:val="24"/>
                <w:szCs w:val="24"/>
                <w:highlight w:val="none"/>
              </w:rPr>
              <w:t xml:space="preserve">。</w:t>
            </w:r>
            <w:r/>
          </w:p>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（3）投标人具有信息技术服务标准运行维护（ITSS）一级及以上证书，得2分；</w:t>
            </w:r>
            <w:r>
              <w:rPr>
                <w:rFonts w:ascii="仿宋" w:hAnsi="仿宋" w:eastAsia="仿宋" w:cs="仿宋"/>
                <w:color w:val="auto"/>
                <w:sz w:val="24"/>
                <w:szCs w:val="24"/>
                <w:highlight w:val="none"/>
              </w:rPr>
              <w:t xml:space="preserve">二级及以下得1分</w:t>
            </w:r>
            <w:r>
              <w:rPr>
                <w:rFonts w:hint="eastAsia" w:ascii="仿宋" w:hAnsi="仿宋" w:eastAsia="仿宋" w:cs="仿宋"/>
                <w:color w:val="auto"/>
                <w:sz w:val="24"/>
                <w:szCs w:val="24"/>
                <w:highlight w:val="none"/>
              </w:rPr>
              <w:t xml:space="preserve">，提供有效期内的证书证明，未提供不得分。</w:t>
            </w:r>
            <w:r/>
          </w:p>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注：供应商可使用本公司体系中的母公司、或母公司全资子公司的企业资质、人员证书作为该供应商得分的依据。供应商在响应文件中出具相应关联说明等证明材料。</w:t>
            </w:r>
            <w:r/>
          </w:p>
        </w:tc>
      </w:tr>
      <w:tr>
        <w:trPr>
          <w:jc w:val="center"/>
          <w:trHeight w:val="1248"/>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投标人人员资质</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7115" w:type="dxa"/>
            <w:vAlign w:val="center"/>
            <w:textDirection w:val="lrTb"/>
            <w:noWrap w:val="false"/>
          </w:tcPr>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（1）拟投入本项目的项目团队具备高级信息系统项目管理师、CCIA数据安全职业能力证书数据安全评估师、PMP项目管理师，每</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一项得1分，共计不得超过3分。</w:t>
            </w:r>
            <w:r/>
          </w:p>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（2）拟投入本项目的项目团队成员具有高级通信工程师、高级网络工程师、ITSS-IT服务项目经理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一项得1分，共计不得超过3分。</w:t>
            </w:r>
            <w:r/>
          </w:p>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注：1、投标时需提供以上人员相关证书及供应商为其缴纳的2026年</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月-2026年</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月三个月中至少一个月的的养老保险证明材料。不提供或提供不全的对应项不得分。</w:t>
            </w:r>
            <w:r/>
          </w:p>
          <w:p>
            <w:pPr>
              <w:ind w:left="0" w:firstLine="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2、供应商可使用本公司体系中的母公司、或母公司全资子公司的企业资质、人员证书作为该供应商得分的依据。供应商在响应文件中出具相应关联说明等证明材料。</w:t>
            </w:r>
            <w:r/>
          </w:p>
        </w:tc>
      </w:tr>
      <w:tr>
        <w:trPr>
          <w:jc w:val="center"/>
          <w:trHeight w:val="1248"/>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稳定性</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7115" w:type="dxa"/>
            <w:vAlign w:val="center"/>
            <w:textDirection w:val="lrTb"/>
            <w:noWrap w:val="false"/>
          </w:tcPr>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保证方案的兼容性以及后续服务的连续性，避免出现厂商之间的推诿情况，所投标包涉及的出口路由器、核心交换机、24口接入交换机、24口POE接入交换机、48口POE接入交换机、无线AP、无线控制器为同品牌的，得4分，需提供供货同品牌承诺函（格式自拟），否则不得分。</w:t>
            </w:r>
            <w:r/>
          </w:p>
        </w:tc>
      </w:tr>
      <w:tr>
        <w:trPr>
          <w:jc w:val="center"/>
          <w:trHeight w:val="552"/>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7115" w:type="dxa"/>
            <w:vAlign w:val="center"/>
            <w:textDirection w:val="lrTb"/>
            <w:noWrap w:val="false"/>
          </w:tcPr>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供应商自2023年1月1日以来（以合同签订日期为准）承担过网络</w:t>
            </w:r>
            <w:r>
              <w:rPr>
                <w:rFonts w:ascii="仿宋" w:hAnsi="仿宋" w:eastAsia="仿宋" w:cs="仿宋"/>
                <w:color w:val="auto"/>
                <w:sz w:val="24"/>
                <w:szCs w:val="24"/>
                <w:highlight w:val="none"/>
              </w:rPr>
              <w:t xml:space="preserve">施工类</w:t>
            </w:r>
            <w:r>
              <w:rPr>
                <w:rFonts w:hint="eastAsia" w:ascii="仿宋" w:hAnsi="仿宋" w:eastAsia="仿宋" w:cs="仿宋"/>
                <w:color w:val="auto"/>
                <w:sz w:val="24"/>
                <w:szCs w:val="24"/>
                <w:highlight w:val="none"/>
              </w:rPr>
              <w:t xml:space="preserve">项目业绩的，每提供一个项目得2分，本项最多得8分。投标时需提供合同证明材料，否则不得分。</w:t>
            </w:r>
            <w:r/>
          </w:p>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注：供应商可使用本公司体系中的母公司、或母公司全资子公司的业绩案例作为该供应商得分的依据。供应商在响应文件中出具相应关联说明等证明材料。</w:t>
            </w:r>
            <w:r/>
          </w:p>
        </w:tc>
      </w:tr>
      <w:tr>
        <w:trPr>
          <w:jc w:val="center"/>
          <w:trHeight w:val="674"/>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W w:w="7115" w:type="dxa"/>
            <w:vAlign w:val="center"/>
            <w:textDirection w:val="lrTb"/>
            <w:noWrap w:val="false"/>
          </w:tcPr>
          <w:p>
            <w:pPr>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评委根据供应商提供的方案进行评分，实施方案应包含如下内容：（1）现网调研情况（2）改造方案（3）委派的技术人员的资质和技术水平（4）完整的项目人员组织管理（5）合理的实施进度计划和工期保证措施（6）实施方案及质量保证措施：</w:t>
            </w:r>
            <w:r/>
          </w:p>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注：上述6个方面每一项内容得分2分，每有一项内容存在缺陷或不足的内容不得分。本项最高得12分；照抄磋商文件或未提供的不得分。</w:t>
            </w:r>
            <w:r/>
          </w:p>
        </w:tc>
      </w:tr>
      <w:tr>
        <w:trPr>
          <w:jc w:val="center"/>
          <w:trHeight w:val="411"/>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7115" w:type="dxa"/>
            <w:vAlign w:val="center"/>
            <w:textDirection w:val="lrTb"/>
            <w:noWrap w:val="false"/>
          </w:tcPr>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由评委根据投标单位提供的售后服务方案进行评分，售后服务方案应包含如下内容：（1）应急处理方案（2）具体的保障措施（3）专业维护队伍的完备和管理情况：</w:t>
            </w:r>
            <w:r/>
          </w:p>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注：上述3个方面每一项内容得分1分，每有一项内容存在缺陷或不足的内容不得分。本项最高得3分；照抄磋商文件或未提供的不得分。</w:t>
            </w:r>
            <w:r/>
          </w:p>
        </w:tc>
      </w:tr>
      <w:tr>
        <w:trPr>
          <w:jc w:val="center"/>
          <w:trHeight w:val="553"/>
        </w:trPr>
        <w:tc>
          <w:tcPr>
            <w:tcW w:w="65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329"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w:t>
            </w:r>
            <w:r/>
          </w:p>
        </w:tc>
        <w:tc>
          <w:tcPr>
            <w:tcW w:w="737" w:type="dxa"/>
            <w:vAlign w:val="center"/>
            <w:textDirection w:val="lrTb"/>
            <w:noWrap w:val="false"/>
          </w:tcPr>
          <w:p>
            <w:pPr>
              <w:jc w:val="center"/>
              <w:spacing w:line="3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W w:w="7115" w:type="dxa"/>
            <w:vAlign w:val="center"/>
            <w:textDirection w:val="lrTb"/>
            <w:noWrap w:val="false"/>
          </w:tcPr>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由评委根据投标单位提供的的人员培训方案进行打分, 培训方案应包含如下内容：（1）详细的培训课程（2）完善的资深专业讲师团队（3）健全的培训考核体系</w:t>
            </w:r>
            <w:r/>
          </w:p>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注：上述3个方面每一项内容得分1分，每有一项内容存在缺陷或不足的内容不得分。本项最高得3分；照抄磋商文件或未提供的不得分。</w:t>
            </w:r>
            <w:r/>
          </w:p>
        </w:tc>
      </w:tr>
      <w:tr>
        <w:trPr>
          <w:jc w:val="center"/>
          <w:trHeight w:val="978"/>
        </w:trPr>
        <w:tc>
          <w:tcPr>
            <w:gridSpan w:val="4"/>
            <w:tcW w:w="9832" w:type="dxa"/>
            <w:vAlign w:val="center"/>
            <w:textDirection w:val="lrTb"/>
            <w:noWrap w:val="false"/>
          </w:tcPr>
          <w:p>
            <w:pPr>
              <w:ind w:firstLine="218"/>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以上评审方法与评审标准中所体现的“内容存在缺陷或不足”是指：非专门针对本项目或内容不全面不切合实际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rPr>
          <w:color w:val="auto"/>
          <w:highlight w:val="none"/>
        </w:rPr>
      </w:pPr>
      <w:r>
        <w:rPr>
          <w:color w:val="auto"/>
          <w:highlight w:val="none"/>
        </w:rPr>
      </w:r>
      <w:r/>
    </w:p>
    <w:p>
      <w:pPr>
        <w:ind w:firstLine="219"/>
        <w:rPr>
          <w:rFonts w:hint="eastAsia" w:asciiTheme="minorEastAsia" w:hAnsiTheme="minorEastAsia" w:eastAsiaTheme="minorEastAsia" w:cstheme="minorEastAsia"/>
          <w:b/>
          <w:color w:val="auto"/>
          <w:sz w:val="24"/>
          <w:szCs w:val="24"/>
          <w:highlight w:val="none"/>
          <w:lang w:val="zh-CN"/>
        </w:rPr>
      </w:pPr>
      <w:r/>
      <w:bookmarkStart w:id="215" w:name="_Toc806"/>
      <w:r/>
      <w:bookmarkStart w:id="216" w:name="_Toc2753"/>
      <w:r/>
      <w:bookmarkStart w:id="217" w:name="_Toc29207"/>
      <w:r>
        <w:rPr>
          <w:rFonts w:hint="eastAsia" w:asciiTheme="minorEastAsia" w:hAnsiTheme="minorEastAsia" w:eastAsiaTheme="minorEastAsia" w:cstheme="minorEastAsia"/>
          <w:b/>
          <w:color w:val="auto"/>
          <w:sz w:val="24"/>
          <w:szCs w:val="24"/>
          <w:highlight w:val="none"/>
          <w:lang w:val="zh-CN"/>
        </w:rPr>
        <w:t xml:space="preserve">（二）价格分：30分</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磋商报价得分=（磋商基准价/最后磋商报价）×价格权值×100</w:t>
      </w:r>
      <w:r/>
    </w:p>
    <w:p>
      <w:pPr>
        <w:jc w:val="center"/>
        <w:keepNext/>
        <w:rPr>
          <w:rFonts w:hint="eastAsia" w:ascii="仿宋" w:hAnsi="仿宋" w:eastAsia="仿宋" w:cs="仿宋"/>
          <w:b/>
          <w:color w:val="auto"/>
          <w:sz w:val="44"/>
          <w:szCs w:val="28"/>
          <w:highlight w:val="none"/>
        </w:rPr>
        <w:outlineLvl w:val="0"/>
      </w:pPr>
      <w:r>
        <w:rPr>
          <w:rFonts w:hint="eastAsia" w:ascii="仿宋" w:hAnsi="仿宋" w:eastAsia="仿宋" w:cs="仿宋"/>
          <w:b/>
          <w:color w:val="auto"/>
          <w:sz w:val="44"/>
          <w:szCs w:val="28"/>
          <w:highlight w:val="none"/>
        </w:rPr>
      </w:r>
      <w:r/>
    </w:p>
    <w:p>
      <w:pPr>
        <w:rPr>
          <w:rFonts w:hint="eastAsia" w:ascii="仿宋" w:hAnsi="仿宋" w:eastAsia="仿宋" w:cs="仿宋"/>
          <w:b/>
          <w:color w:val="auto"/>
          <w:sz w:val="44"/>
          <w:szCs w:val="28"/>
          <w:highlight w:val="none"/>
        </w:rPr>
      </w:pPr>
      <w:r>
        <w:rPr>
          <w:rFonts w:hint="eastAsia" w:ascii="仿宋" w:hAnsi="仿宋" w:eastAsia="仿宋" w:cs="仿宋"/>
          <w:b/>
          <w:color w:val="auto"/>
          <w:sz w:val="44"/>
          <w:szCs w:val="28"/>
          <w:highlight w:val="none"/>
        </w:rPr>
        <w:br w:type="page" w:clear="all"/>
      </w:r>
      <w:r/>
    </w:p>
    <w:p>
      <w:pPr>
        <w:jc w:val="center"/>
        <w:keepNext/>
        <w:rPr>
          <w:rFonts w:hint="eastAsia" w:ascii="仿宋" w:hAnsi="仿宋" w:eastAsia="仿宋" w:cs="仿宋"/>
          <w:b/>
          <w:color w:val="auto"/>
          <w:sz w:val="44"/>
          <w:szCs w:val="28"/>
          <w:highlight w:val="none"/>
        </w:rPr>
        <w:outlineLvl w:val="0"/>
      </w:pPr>
      <w:r>
        <w:rPr>
          <w:rFonts w:hint="eastAsia" w:ascii="仿宋" w:hAnsi="仿宋" w:eastAsia="仿宋" w:cs="仿宋"/>
          <w:b/>
          <w:color w:val="auto"/>
          <w:sz w:val="44"/>
          <w:szCs w:val="28"/>
          <w:highlight w:val="none"/>
        </w:rPr>
        <w:t xml:space="preserve">第六章  </w:t>
      </w:r>
      <w:bookmarkEnd w:id="207"/>
      <w:r/>
      <w:bookmarkEnd w:id="208"/>
      <w:r/>
      <w:bookmarkEnd w:id="210"/>
      <w:r>
        <w:rPr>
          <w:rFonts w:hint="eastAsia" w:ascii="仿宋" w:hAnsi="仿宋" w:eastAsia="仿宋" w:cs="仿宋"/>
          <w:b/>
          <w:color w:val="auto"/>
          <w:sz w:val="44"/>
          <w:szCs w:val="28"/>
          <w:highlight w:val="none"/>
        </w:rPr>
        <w:t xml:space="preserve">响应文件格式</w:t>
      </w:r>
      <w:bookmarkEnd w:id="215"/>
      <w:r/>
      <w:bookmarkEnd w:id="216"/>
      <w:r/>
      <w:bookmarkEnd w:id="217"/>
      <w:r/>
      <w:r/>
    </w:p>
    <w:p>
      <w:pPr>
        <w:jc w:val="center"/>
        <w:rPr>
          <w:rFonts w:hint="eastAsia" w:ascii="仿宋" w:hAnsi="仿宋" w:eastAsia="仿宋" w:cs="仿宋"/>
          <w:b/>
          <w:color w:val="auto"/>
          <w:sz w:val="72"/>
          <w:szCs w:val="21"/>
          <w:highlight w:val="none"/>
        </w:rPr>
      </w:pPr>
      <w:r/>
      <w:bookmarkStart w:id="218" w:name="_Hlt26671244"/>
      <w:r/>
      <w:bookmarkEnd w:id="218"/>
      <w:r/>
      <w:bookmarkStart w:id="219" w:name="_Hlt26955039"/>
      <w:r/>
      <w:bookmarkEnd w:id="219"/>
      <w:r/>
      <w:bookmarkStart w:id="220" w:name="_Toc26554094"/>
      <w:r/>
      <w:bookmarkStart w:id="221" w:name="_Toc120614282"/>
      <w:r/>
      <w:bookmarkStart w:id="222" w:name="_Toc49090576"/>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w:t>
      </w:r>
      <w:bookmarkStart w:id="230" w:name="_GoBack"/>
      <w:r/>
      <w:bookmarkEnd w:id="230"/>
      <w:r>
        <w:rPr>
          <w:rFonts w:hint="eastAsia" w:ascii="仿宋" w:hAnsi="仿宋" w:eastAsia="仿宋" w:cs="仿宋"/>
          <w:b/>
          <w:color w:val="auto"/>
          <w:sz w:val="72"/>
          <w:szCs w:val="21"/>
          <w:highlight w:val="none"/>
        </w:rPr>
        <w:t xml:space="preserve">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项 目 名 称：</w:t>
      </w:r>
      <w:r>
        <w:rPr>
          <w:rFonts w:hint="eastAsia" w:ascii="仿宋" w:hAnsi="仿宋" w:eastAsia="仿宋" w:cs="仿宋"/>
          <w:b/>
          <w:color w:val="auto"/>
          <w:sz w:val="36"/>
          <w:szCs w:val="21"/>
          <w:highlight w:val="none"/>
          <w:u w:val="single"/>
        </w:rPr>
        <w:t xml:space="preserve">               </w:t>
      </w:r>
      <w:r/>
    </w:p>
    <w:p>
      <w:pPr>
        <w:ind w:firstLine="1084"/>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项 目 编 号：</w:t>
      </w:r>
      <w:r>
        <w:rPr>
          <w:rFonts w:hint="eastAsia" w:ascii="仿宋" w:hAnsi="仿宋" w:eastAsia="仿宋" w:cs="仿宋"/>
          <w:b/>
          <w:color w:val="auto"/>
          <w:sz w:val="36"/>
          <w:szCs w:val="21"/>
          <w:highlight w:val="none"/>
          <w:u w:val="single"/>
        </w:rPr>
        <w:t xml:space="preserve">               </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供应商名称 ：</w:t>
      </w:r>
      <w:r>
        <w:rPr>
          <w:rFonts w:hint="eastAsia" w:ascii="仿宋" w:hAnsi="仿宋" w:eastAsia="仿宋" w:cs="仿宋"/>
          <w:b/>
          <w:color w:val="auto"/>
          <w:sz w:val="36"/>
          <w:szCs w:val="21"/>
          <w:highlight w:val="none"/>
          <w:u w:val="single"/>
        </w:rPr>
        <w:t xml:space="preserve">（加盖CA电子公章）</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日      期 ：</w:t>
      </w:r>
      <w:r>
        <w:rPr>
          <w:rFonts w:hint="eastAsia" w:ascii="仿宋" w:hAnsi="仿宋" w:eastAsia="仿宋" w:cs="仿宋"/>
          <w:b/>
          <w:color w:val="auto"/>
          <w:sz w:val="36"/>
          <w:szCs w:val="21"/>
          <w:highlight w:val="none"/>
          <w:u w:val="single"/>
        </w:rPr>
        <w:t xml:space="preserve">               </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1084"/>
        <w:rPr>
          <w:color w:val="auto"/>
          <w:highlight w:val="none"/>
        </w:rPr>
      </w:pPr>
      <w:r>
        <w:rPr>
          <w:rFonts w:hint="eastAsia" w:ascii="仿宋" w:hAnsi="仿宋" w:eastAsia="仿宋" w:cs="仿宋"/>
          <w:b/>
          <w:color w:val="auto"/>
          <w:sz w:val="36"/>
          <w:szCs w:val="21"/>
          <w:highlight w:val="none"/>
          <w:u w:val="single"/>
        </w:rPr>
        <w:br w:type="page" w:clear="all"/>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响应文件的组成</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218"/>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一、基本目录</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1.磋商报价表</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2.分项报价表（格式见附件1）</w:t>
      </w:r>
      <w:r/>
    </w:p>
    <w:p>
      <w:pPr>
        <w:ind w:firstLine="218"/>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二、资格审查内容</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1.投标人符合《中华人民共和国政府采购法》第二十二条规定条件的声明函（</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rPr>
        <w:t xml:space="preserve">2）</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2法定代表人身份证明（格式见附件3）、</w:t>
      </w:r>
      <w:r>
        <w:rPr>
          <w:rFonts w:hint="eastAsia" w:ascii="仿宋" w:hAnsi="仿宋" w:eastAsia="仿宋" w:cs="仿宋"/>
          <w:color w:val="auto"/>
          <w:sz w:val="24"/>
          <w:szCs w:val="24"/>
          <w:highlight w:val="none"/>
          <w:lang w:val="zh-CN"/>
        </w:rPr>
        <w:t xml:space="preserve">法定代表人的身份证</w:t>
      </w:r>
      <w:r>
        <w:rPr>
          <w:rFonts w:hint="eastAsia" w:ascii="仿宋" w:hAnsi="仿宋" w:eastAsia="仿宋" w:cs="仿宋"/>
          <w:color w:val="auto"/>
          <w:sz w:val="24"/>
          <w:szCs w:val="24"/>
          <w:highlight w:val="none"/>
        </w:rPr>
        <w:t xml:space="preserve">扫描件</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3.法人授权书（格式见附件4）、被授权</w:t>
      </w:r>
      <w:r>
        <w:rPr>
          <w:rFonts w:hint="eastAsia" w:ascii="仿宋" w:hAnsi="仿宋" w:eastAsia="仿宋" w:cs="仿宋"/>
          <w:color w:val="auto"/>
          <w:sz w:val="24"/>
          <w:szCs w:val="24"/>
          <w:highlight w:val="none"/>
          <w:lang w:val="zh-CN"/>
        </w:rPr>
        <w:t xml:space="preserve">人身份证</w:t>
      </w:r>
      <w:r>
        <w:rPr>
          <w:rFonts w:hint="eastAsia" w:ascii="仿宋" w:hAnsi="仿宋" w:eastAsia="仿宋" w:cs="仿宋"/>
          <w:color w:val="auto"/>
          <w:sz w:val="24"/>
          <w:szCs w:val="24"/>
          <w:highlight w:val="none"/>
        </w:rPr>
        <w:t xml:space="preserve">扫描件</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4.磋商响应函（格式见附件5）</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其它需要提交的资格审查证明材料。</w:t>
      </w:r>
      <w:r/>
    </w:p>
    <w:p>
      <w:pPr>
        <w:ind w:firstLine="218"/>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三、符合性审查内容</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1.技术要求响应及偏离表（格式见附件9）</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2.商务要求响应及偏离表（格式见附件10）</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3.实质性要求响应及偏离表（格式见附件11），供应商必须对技术要求和商务要求中加斜体下划线的实质性要求做出响应，并按照磋商文件要求提供证明材料，否则做无效响应处理。</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4.“教育体育系统公共资源交易” 扫描二维码并填写完成后的截图。</w:t>
      </w:r>
      <w:r/>
    </w:p>
    <w:p>
      <w:pPr>
        <w:ind w:firstLine="142"/>
        <w:jc w:val="center"/>
        <w:rPr>
          <w:rFonts w:hint="eastAsia" w:ascii="仿宋" w:hAnsi="仿宋" w:eastAsia="仿宋" w:cs="仿宋"/>
          <w:color w:val="auto"/>
          <w:sz w:val="24"/>
          <w:szCs w:val="24"/>
          <w:highlight w:val="none"/>
        </w:rPr>
      </w:pPr>
      <w:r>
        <w:rPr>
          <w:rFonts w:hint="eastAsia"/>
          <w:color w:val="auto"/>
          <w:highlight w:val="none"/>
        </w:rPr>
        <mc:AlternateContent>
          <mc:Choice Requires="wpg">
            <w:drawing>
              <wp:inline xmlns:wp="http://schemas.openxmlformats.org/drawingml/2006/wordprocessingDrawing" distT="0" distB="0" distL="0" distR="0">
                <wp:extent cx="860425" cy="929005"/>
                <wp:effectExtent l="0" t="0" r="6350" b="4445"/>
                <wp:docPr id="1" name="_x0000_i1026"/>
                <wp:cNvGraphicFramePr/>
                <a:graphic xmlns:a="http://schemas.openxmlformats.org/drawingml/2006/main">
                  <a:graphicData uri="http://schemas.openxmlformats.org/drawingml/2006/picture">
                    <pic:pic xmlns:pic="http://schemas.openxmlformats.org/drawingml/2006/picture">
                      <pic:nvPicPr>
                        <pic:cNvPr id="4" name="_x0000_i1026"/>
                        <pic:cNvPicPr/>
                        <pic:nvPr/>
                      </pic:nvPicPr>
                      <pic:blipFill>
                        <a:blip r:embed="rId12"/>
                        <a:stretch/>
                      </pic:blipFill>
                      <pic:spPr bwMode="auto">
                        <a:xfrm>
                          <a:off x="0" y="0"/>
                          <a:ext cx="860425" cy="929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7.8pt;height:73.1pt;mso-wrap-distance-left:0.0pt;mso-wrap-distance-top:0.0pt;mso-wrap-distance-right:0.0pt;mso-wrap-distance-bottom:0.0pt;" stroked="false">
                <v:path textboxrect="0,0,0,0"/>
                <v:imagedata r:id="rId12" o:title=""/>
              </v:shape>
            </w:pict>
          </mc:Fallback>
        </mc:AlternateContent>
      </w:r>
      <w:r/>
    </w:p>
    <w:p>
      <w:pPr>
        <w:ind w:firstLine="218"/>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w:t>
      </w:r>
      <w:r>
        <w:rPr>
          <w:rFonts w:hint="eastAsia" w:ascii="仿宋" w:hAnsi="仿宋" w:eastAsia="仿宋" w:cs="仿宋"/>
          <w:b/>
          <w:bCs/>
          <w:color w:val="auto"/>
          <w:sz w:val="32"/>
          <w:szCs w:val="32"/>
          <w:highlight w:val="none"/>
          <w:lang w:val="zh-CN"/>
        </w:rPr>
        <w:t xml:space="preserve">商务技术</w:t>
      </w:r>
      <w:r>
        <w:rPr>
          <w:rFonts w:hint="eastAsia" w:ascii="仿宋" w:hAnsi="仿宋" w:eastAsia="仿宋" w:cs="仿宋"/>
          <w:b/>
          <w:bCs/>
          <w:color w:val="auto"/>
          <w:sz w:val="32"/>
          <w:szCs w:val="32"/>
          <w:highlight w:val="none"/>
        </w:rPr>
        <w:t xml:space="preserve">分</w:t>
      </w:r>
      <w:r>
        <w:rPr>
          <w:rFonts w:hint="eastAsia" w:ascii="仿宋" w:hAnsi="仿宋" w:eastAsia="仿宋" w:cs="仿宋"/>
          <w:b/>
          <w:bCs/>
          <w:color w:val="auto"/>
          <w:sz w:val="32"/>
          <w:szCs w:val="32"/>
          <w:highlight w:val="none"/>
          <w:lang w:val="zh-CN"/>
        </w:rPr>
        <w:t xml:space="preserve">内</w:t>
      </w:r>
      <w:r>
        <w:rPr>
          <w:rFonts w:hint="eastAsia" w:ascii="仿宋" w:hAnsi="仿宋" w:eastAsia="仿宋" w:cs="仿宋"/>
          <w:b/>
          <w:bCs/>
          <w:color w:val="auto"/>
          <w:sz w:val="32"/>
          <w:szCs w:val="32"/>
          <w:highlight w:val="none"/>
        </w:rPr>
        <w:t xml:space="preserve">容 </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商务技术评分标准中须提供的相关得分佐证材料</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供应商认为需要提交的其他商务技术材料。</w:t>
      </w:r>
      <w:r/>
    </w:p>
    <w:p>
      <w:pPr>
        <w:ind w:firstLine="218"/>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五、价格扣除证明文件</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1.中小企业声明函（格式见附件6）</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2.残疾人福利性单位声明函（格式见附件7）</w:t>
      </w:r>
      <w:r/>
    </w:p>
    <w:p>
      <w:pPr>
        <w:ind w:firstLine="163"/>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3.监狱和戒毒企业证明材料</w:t>
      </w:r>
      <w:r>
        <w:rPr>
          <w:rFonts w:hint="eastAsia" w:ascii="仿宋" w:hAnsi="仿宋" w:eastAsia="仿宋" w:cs="仿宋"/>
          <w:color w:val="auto"/>
          <w:sz w:val="24"/>
          <w:szCs w:val="24"/>
          <w:highlight w:val="none"/>
          <w:lang w:val="zh-CN"/>
        </w:rPr>
        <w:t xml:space="preserve">（格式见附件</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w:t>
      </w:r>
      <w:r/>
    </w:p>
    <w:p>
      <w:pPr>
        <w:ind w:firstLine="163"/>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4.关于符合本国产品标准的声明函（格式见附件12）</w:t>
      </w:r>
      <w:r/>
    </w:p>
    <w:p>
      <w:pPr>
        <w:spacing w:line="500" w:lineRule="exact"/>
        <w:rPr>
          <w:rFonts w:hint="eastAsia" w:ascii="仿宋" w:hAnsi="仿宋" w:eastAsia="仿宋" w:cs="仿宋"/>
          <w:b/>
          <w:color w:val="auto"/>
          <w:sz w:val="24"/>
          <w:szCs w:val="21"/>
          <w:highlight w:val="none"/>
        </w:rPr>
      </w:pPr>
      <w:r>
        <w:rPr>
          <w:rFonts w:hint="eastAsia" w:ascii="仿宋" w:hAnsi="仿宋" w:eastAsia="仿宋" w:cs="仿宋"/>
          <w:b/>
          <w:color w:val="auto"/>
          <w:sz w:val="28"/>
          <w:szCs w:val="28"/>
          <w:highlight w:val="none"/>
        </w:rPr>
        <w:br w:type="page" w:clear="all"/>
      </w:r>
      <w:r>
        <w:rPr>
          <w:rFonts w:hint="eastAsia" w:ascii="仿宋" w:hAnsi="仿宋" w:eastAsia="仿宋" w:cs="仿宋"/>
          <w:b/>
          <w:color w:val="auto"/>
          <w:sz w:val="28"/>
          <w:szCs w:val="28"/>
          <w:highlight w:val="none"/>
        </w:rPr>
        <w:t xml:space="preserve">附件1 </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分项报价表（分包号：***）</w:t>
      </w:r>
      <w:r/>
    </w:p>
    <w:p>
      <w:pPr>
        <w:pStyle w:val="755"/>
        <w:rPr>
          <w:rFonts w:hint="eastAsia"/>
          <w:color w:val="auto"/>
          <w:highlight w:val="none"/>
        </w:rPr>
      </w:pPr>
      <w:r>
        <w:rPr>
          <w:rFonts w:hint="eastAsia"/>
          <w:color w:val="auto"/>
          <w:highlight w:val="none"/>
        </w:rPr>
      </w:r>
      <w:r/>
    </w:p>
    <w:tbl>
      <w:tblPr>
        <w:tblStyle w:val="731"/>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w:t>
            </w:r>
            <w:r/>
          </w:p>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w:t>
            </w:r>
            <w:r/>
          </w:p>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06" w:type="dxa"/>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06" w:type="dxa"/>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06" w:type="dxa"/>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06" w:type="dxa"/>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249"/>
        </w:trPr>
        <w:tc>
          <w:tcPr>
            <w:tcW w:w="500"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总报价（人民币：元）</w:t>
            </w:r>
            <w:r/>
          </w:p>
        </w:tc>
        <w:tc>
          <w:tcPr>
            <w:tcW w:w="96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249"/>
        </w:trPr>
        <w:tc>
          <w:tcPr>
            <w:gridSpan w:val="10"/>
            <w:tcW w:w="9263"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tc>
      </w:tr>
    </w:tbl>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2.供应商需认真填写本报价表，尤其注意规格型号的准确填写，否则视为无效响应。</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pStyle w:val="755"/>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pStyle w:val="755"/>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bookmarkEnd w:id="220"/>
      <w:r/>
      <w:bookmarkEnd w:id="221"/>
      <w:r/>
      <w:bookmarkEnd w:id="222"/>
      <w:r/>
      <w:r/>
    </w:p>
    <w:p>
      <w:pPr>
        <w:spacing w:line="400" w:lineRule="exact"/>
        <w:rPr>
          <w:color w:val="auto"/>
          <w:highlight w:val="none"/>
        </w:rPr>
      </w:pPr>
      <w:r>
        <w:rPr>
          <w:color w:val="auto"/>
          <w:highlight w:val="none"/>
        </w:rPr>
      </w:r>
      <w:r/>
    </w:p>
    <w:p>
      <w:pPr>
        <w:contextualSpacing/>
        <w:spacing w:line="400" w:lineRule="exact"/>
        <w:rPr>
          <w:rFonts w:hint="eastAsia" w:ascii="仿宋" w:hAnsi="仿宋" w:eastAsia="仿宋" w:cs="仿宋"/>
          <w:b/>
          <w:color w:val="auto"/>
          <w:sz w:val="28"/>
          <w:szCs w:val="28"/>
          <w:highlight w:val="none"/>
          <w:lang w:val="zh-CN"/>
        </w:rPr>
      </w:pPr>
      <w:r/>
      <w:bookmarkStart w:id="223" w:name="_Toc120614284"/>
      <w:r>
        <w:rPr>
          <w:rFonts w:hint="eastAsia" w:ascii="仿宋" w:hAnsi="仿宋" w:eastAsia="仿宋" w:cs="仿宋"/>
          <w:b/>
          <w:color w:val="auto"/>
          <w:sz w:val="28"/>
          <w:szCs w:val="28"/>
          <w:highlight w:val="none"/>
          <w:lang w:val="zh-CN"/>
        </w:rPr>
        <w:t xml:space="preserve">附件</w:t>
      </w:r>
      <w:r>
        <w:rPr>
          <w:rFonts w:hint="eastAsia" w:ascii="仿宋" w:hAnsi="仿宋" w:eastAsia="仿宋" w:cs="仿宋"/>
          <w:b/>
          <w:color w:val="auto"/>
          <w:sz w:val="28"/>
          <w:szCs w:val="28"/>
          <w:highlight w:val="none"/>
        </w:rPr>
        <w:t xml:space="preserve">2</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投标人符合《中华人民共和国政府采购法》第二十二条规定条件的声明函</w:t>
      </w:r>
      <w:r/>
    </w:p>
    <w:p>
      <w:pPr>
        <w:ind w:firstLine="480"/>
        <w:spacing w:line="52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 xml:space="preserve">我单位参加</w:t>
      </w:r>
      <w:r>
        <w:rPr>
          <w:rFonts w:hint="eastAsia" w:ascii="仿宋" w:hAnsi="仿宋" w:eastAsia="仿宋" w:cs="仿宋"/>
          <w:bCs/>
          <w:color w:val="auto"/>
          <w:sz w:val="24"/>
          <w:szCs w:val="21"/>
          <w:highlight w:val="none"/>
        </w:rPr>
        <w:t xml:space="preserve">________________ （项目名称），_________（项目编号）投标活动。针对《中华人民共和国政府采购法》第二十二条规定做出如下声明：</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1.我单位具有独立承担民事责任的能力；</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6.我单位满足法律、行政法规规定的其他条件。</w:t>
      </w:r>
      <w:r/>
    </w:p>
    <w:p>
      <w:pPr>
        <w:ind w:firstLine="482"/>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jc w:val="cente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承诺人名称（加盖CA电子公章）：</w:t>
      </w:r>
      <w:r/>
    </w:p>
    <w:p>
      <w:pPr>
        <w:jc w:val="right"/>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w:t>
      </w:r>
      <w:r/>
    </w:p>
    <w:p>
      <w:pPr>
        <w:jc w:val="right"/>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日期：</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年</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月</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日</w:t>
      </w:r>
      <w:r/>
    </w:p>
    <w:p>
      <w:pPr>
        <w:spacing w:line="560" w:lineRule="exact"/>
        <w:rPr>
          <w:rFonts w:hint="eastAsia" w:ascii="仿宋" w:hAnsi="仿宋" w:eastAsia="仿宋" w:cs="仿宋"/>
          <w:b/>
          <w:color w:val="auto"/>
          <w:sz w:val="28"/>
          <w:szCs w:val="28"/>
          <w:highlight w:val="none"/>
        </w:rPr>
      </w:pPr>
      <w:r>
        <w:rPr>
          <w:rFonts w:hint="eastAsia" w:ascii="仿宋" w:hAnsi="仿宋" w:eastAsia="仿宋" w:cs="仿宋"/>
          <w:i/>
          <w:color w:val="auto"/>
          <w:sz w:val="32"/>
          <w:szCs w:val="32"/>
          <w:highlight w:val="none"/>
          <w:u w:val="single"/>
        </w:rPr>
        <w:br w:type="page" w:clear="all"/>
      </w:r>
      <w:r>
        <w:rPr>
          <w:rFonts w:hint="eastAsia" w:ascii="仿宋" w:hAnsi="仿宋" w:eastAsia="仿宋" w:cs="仿宋"/>
          <w:b/>
          <w:color w:val="auto"/>
          <w:sz w:val="28"/>
          <w:szCs w:val="28"/>
          <w:highlight w:val="none"/>
        </w:rPr>
        <w:t xml:space="preserve">附件3            </w:t>
      </w:r>
      <w:r/>
    </w:p>
    <w:p>
      <w:pPr>
        <w:jc w:val="center"/>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法定代表人身份证明</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先生/女士： 现任我单位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职务，为法定代表人，特此证明。</w:t>
      </w:r>
      <w:r/>
    </w:p>
    <w:p>
      <w:pPr>
        <w:ind w:firstLine="48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身份证号码：</w:t>
      </w:r>
      <w:r>
        <w:rPr>
          <w:rFonts w:hint="eastAsia" w:ascii="仿宋" w:hAnsi="仿宋" w:eastAsia="仿宋" w:cs="仿宋"/>
          <w:color w:val="auto"/>
          <w:sz w:val="24"/>
          <w:szCs w:val="24"/>
          <w:highlight w:val="none"/>
          <w:u w:val="single"/>
        </w:rPr>
        <w:t xml:space="preserve">                                               </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6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注：提供法定代表人的身份证扫描件</w:t>
      </w:r>
      <w:r>
        <w:rPr>
          <w:rFonts w:hint="eastAsia" w:ascii="仿宋" w:hAnsi="仿宋" w:eastAsia="仿宋" w:cs="仿宋"/>
          <w:bCs/>
          <w:color w:val="auto"/>
          <w:sz w:val="24"/>
          <w:szCs w:val="21"/>
          <w:highlight w:val="none"/>
        </w:rPr>
        <w:t xml:space="preserve">（加盖CA电子公章）</w:t>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jc w:val="left"/>
        <w:rPr>
          <w:rFonts w:hint="eastAsia" w:ascii="仿宋" w:hAnsi="仿宋" w:eastAsia="仿宋" w:cs="仿宋"/>
          <w:b/>
          <w:color w:val="auto"/>
          <w:sz w:val="28"/>
          <w:szCs w:val="28"/>
          <w:highlight w:val="none"/>
        </w:rPr>
      </w:pPr>
      <w:r>
        <w:rPr>
          <w:rFonts w:hint="eastAsia" w:ascii="仿宋" w:hAnsi="仿宋" w:eastAsia="仿宋" w:cs="仿宋"/>
          <w:i/>
          <w:color w:val="auto"/>
          <w:sz w:val="32"/>
          <w:szCs w:val="32"/>
          <w:highlight w:val="none"/>
          <w:u w:val="single"/>
        </w:rPr>
        <w:br w:type="page" w:clear="all"/>
      </w:r>
      <w:r>
        <w:rPr>
          <w:rFonts w:hint="eastAsia" w:ascii="仿宋" w:hAnsi="仿宋" w:eastAsia="仿宋" w:cs="仿宋"/>
          <w:b/>
          <w:color w:val="auto"/>
          <w:sz w:val="28"/>
          <w:szCs w:val="28"/>
          <w:highlight w:val="none"/>
        </w:rPr>
        <w:t xml:space="preserve">附件4  </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法人授权书</w:t>
      </w:r>
      <w:r/>
    </w:p>
    <w:p>
      <w:pPr>
        <w:pStyle w:val="755"/>
        <w:rPr>
          <w:rFonts w:hint="eastAsia"/>
          <w:color w:val="auto"/>
          <w:highlight w:val="none"/>
        </w:rPr>
      </w:pPr>
      <w:r>
        <w:rPr>
          <w:rFonts w:hint="eastAsia"/>
          <w:color w:val="auto"/>
          <w:highlight w:val="none"/>
        </w:rPr>
      </w:r>
      <w:r/>
    </w:p>
    <w:p>
      <w:pPr>
        <w:ind w:firstLine="48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本授权书声明：____________（供应商名称）授权________________（被授权人的姓名）为我方就 </w:t>
      </w:r>
      <w:r>
        <w:rPr>
          <w:rFonts w:hint="eastAsia" w:ascii="仿宋" w:hAnsi="仿宋" w:eastAsia="仿宋" w:cs="仿宋"/>
          <w:color w:val="auto"/>
          <w:sz w:val="24"/>
          <w:szCs w:val="24"/>
          <w:highlight w:val="none"/>
          <w:u w:val="single"/>
        </w:rPr>
        <w:t xml:space="preserve">****（项目编</w:t>
      </w:r>
      <w:r>
        <w:rPr>
          <w:rFonts w:hint="eastAsia" w:ascii="仿宋" w:hAnsi="仿宋" w:eastAsia="仿宋" w:cs="仿宋"/>
          <w:color w:val="auto"/>
          <w:sz w:val="24"/>
          <w:szCs w:val="24"/>
          <w:highlight w:val="none"/>
        </w:rPr>
        <w:t xml:space="preserve">号</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本授权书于______年____月____日起生效，特此声明。</w:t>
      </w:r>
      <w:r/>
    </w:p>
    <w:p>
      <w:pPr>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被授权人联系电话：（手机）</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bookmarkStart w:id="224" w:name="_Hlt26955070"/>
      <w:r/>
      <w:bookmarkEnd w:id="224"/>
      <w:r/>
      <w:bookmarkStart w:id="225" w:name="_Hlt26671380"/>
      <w:r/>
      <w:bookmarkEnd w:id="225"/>
      <w:r/>
      <w:bookmarkStart w:id="226" w:name="_格式3__银行出具的资信证明"/>
      <w:r/>
      <w:bookmarkEnd w:id="226"/>
      <w:r>
        <w:rPr>
          <w:rFonts w:hint="eastAsia" w:ascii="仿宋" w:hAnsi="仿宋" w:eastAsia="仿宋" w:cs="仿宋"/>
          <w:color w:val="auto"/>
          <w:sz w:val="24"/>
          <w:szCs w:val="24"/>
          <w:highlight w:val="none"/>
          <w:u w:val="single"/>
        </w:rPr>
        <w:t xml:space="preserve">                                         </w:t>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80"/>
        <w:spacing w:line="0" w:lineRule="atLeast"/>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注：提供被授权人身份证扫描件</w:t>
      </w:r>
      <w:r>
        <w:rPr>
          <w:rFonts w:hint="eastAsia" w:ascii="仿宋" w:hAnsi="仿宋" w:eastAsia="仿宋" w:cs="仿宋"/>
          <w:bCs/>
          <w:color w:val="auto"/>
          <w:sz w:val="24"/>
          <w:szCs w:val="21"/>
          <w:highlight w:val="none"/>
        </w:rPr>
        <w:t xml:space="preserve">（加盖CA电子公章）</w:t>
      </w:r>
      <w:r/>
    </w:p>
    <w:p>
      <w:pPr>
        <w:spacing w:line="0" w:lineRule="atLeast"/>
        <w:tabs>
          <w:tab w:val="left" w:pos="360" w:leader="none"/>
        </w:tabs>
        <w:rPr>
          <w:color w:val="auto"/>
          <w:sz w:val="28"/>
          <w:szCs w:val="28"/>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b/>
          <w:color w:val="auto"/>
          <w:sz w:val="28"/>
          <w:szCs w:val="28"/>
          <w:highlight w:val="none"/>
        </w:rPr>
        <w:t xml:space="preserve">附件5   </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磋商响应函</w:t>
      </w:r>
      <w:r/>
    </w:p>
    <w:p>
      <w:pPr>
        <w:pStyle w:val="755"/>
        <w:rPr>
          <w:rFonts w:hint="eastAsia"/>
          <w:color w:val="auto"/>
          <w:highlight w:val="none"/>
        </w:rPr>
      </w:pPr>
      <w:r>
        <w:rPr>
          <w:rFonts w:hint="eastAsia"/>
          <w:color w:val="auto"/>
          <w:highlight w:val="none"/>
        </w:rPr>
      </w:r>
      <w:r/>
    </w:p>
    <w:p>
      <w:pPr>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致：如东县教育体育局</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根据贵方的</w:t>
      </w:r>
      <w:r>
        <w:rPr>
          <w:rFonts w:hint="eastAsia" w:ascii="仿宋" w:hAnsi="仿宋" w:eastAsia="仿宋" w:cs="仿宋"/>
          <w:color w:val="auto"/>
          <w:sz w:val="24"/>
          <w:szCs w:val="21"/>
          <w:highlight w:val="none"/>
          <w:u w:val="single"/>
        </w:rPr>
        <w:t xml:space="preserve">********</w:t>
      </w:r>
      <w:r>
        <w:rPr>
          <w:rFonts w:hint="eastAsia" w:ascii="仿宋" w:hAnsi="仿宋" w:eastAsia="仿宋" w:cs="仿宋"/>
          <w:color w:val="auto"/>
          <w:sz w:val="24"/>
          <w:szCs w:val="21"/>
          <w:highlight w:val="none"/>
        </w:rPr>
        <w:t xml:space="preserve">（项目编号）磋商文件，正式授权下述被授权人______(姓名)代表我方______________（供应商的名称），全权处理本次项目磋商的有关事宜。</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据此函，被授权人__________（姓名）兹宣布同意如下：</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2.我们完全理解贵方不一定将合同授予最低报价的供应商。</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7.我方与本磋商有关的正式通讯地址为：</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          址：</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邮          编：</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电          话：</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传          真：</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供应商开户行：</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账          号： </w:t>
      </w:r>
      <w:r/>
    </w:p>
    <w:p>
      <w:pPr>
        <w:ind w:left="420" w:firstLine="480"/>
        <w:jc w:val="left"/>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           期：________年____月____日</w:t>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附件6 </w:t>
      </w:r>
      <w:r/>
    </w:p>
    <w:p>
      <w:pPr>
        <w:jc w:val="center"/>
        <w:rPr>
          <w:rFonts w:hint="eastAsia"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中小企业声明函（货物）</w:t>
      </w:r>
      <w:r>
        <w:rPr>
          <w:rFonts w:hint="eastAsia" w:ascii="仿宋" w:hAnsi="仿宋" w:eastAsia="仿宋" w:cs="仿宋"/>
          <w:b/>
          <w:color w:val="auto"/>
          <w:sz w:val="24"/>
          <w:szCs w:val="21"/>
          <w:highlight w:val="none"/>
        </w:rPr>
        <w:t xml:space="preserve">（分包号：**）</w:t>
      </w:r>
      <w:r/>
    </w:p>
    <w:p>
      <w:pPr>
        <w:ind w:firstLine="36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本公司（联合体）郑重声明，根据《政府采购促进中小企业发展管理办法》（财库〔2020〕46 号）的规定，本公司（联合体）参加</w:t>
      </w:r>
      <w:r>
        <w:rPr>
          <w:rFonts w:ascii="仿宋" w:hAnsi="仿宋" w:eastAsia="仿宋" w:cs="仿宋"/>
          <w:color w:val="auto"/>
          <w:sz w:val="24"/>
          <w:szCs w:val="24"/>
          <w:highlight w:val="none"/>
          <w:u w:val="single"/>
        </w:rPr>
        <w:t xml:space="preserve">（单位名称）</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（项目名称）</w:t>
      </w:r>
      <w:r>
        <w:rPr>
          <w:rFonts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（采购文件中明确的所属行业） </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□小型企业 □微型企业）；</w:t>
      </w:r>
      <w:r/>
    </w:p>
    <w:p>
      <w:pPr>
        <w:ind w:firstLine="360"/>
        <w:spacing w:line="400" w:lineRule="exact"/>
        <w:rPr>
          <w:rFonts w:hint="eastAsia"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（采购文件中明确的所属行业）</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□小型企业 □微型企业）；</w:t>
      </w:r>
      <w:r/>
    </w:p>
    <w:p>
      <w:pPr>
        <w:ind w:firstLine="36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ind w:firstLine="36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本企业对上述声明内容的真实性负责。如有虚假，将依法承担相应责任。</w:t>
      </w:r>
      <w:r/>
    </w:p>
    <w:p>
      <w:pPr>
        <w:ind w:right="7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80" w:firstLine="360"/>
        <w:jc w:val="right"/>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供应商全称（加盖CA电子公章）：</w:t>
      </w:r>
      <w:r/>
    </w:p>
    <w:p>
      <w:pPr>
        <w:ind w:right="480" w:firstLine="564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日  期：</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ind w:firstLine="48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1、如项目类型为“货物”，请按照此格式填写。</w:t>
      </w:r>
      <w:r/>
    </w:p>
    <w:p>
      <w:pPr>
        <w:ind w:firstLine="48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6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4、投标人</w:t>
      </w:r>
      <w:r>
        <w:rPr>
          <w:rFonts w:ascii="仿宋" w:hAnsi="仿宋" w:eastAsia="仿宋" w:cs="仿宋"/>
          <w:b/>
          <w:bCs/>
          <w:color w:val="auto"/>
          <w:sz w:val="24"/>
          <w:szCs w:val="24"/>
          <w:highlight w:val="none"/>
        </w:rPr>
        <w:t xml:space="preserve">自行勾选</w:t>
      </w:r>
      <w:r>
        <w:rPr>
          <w:rFonts w:ascii="仿宋" w:hAnsi="仿宋" w:eastAsia="仿宋" w:cs="仿宋"/>
          <w:color w:val="auto"/>
          <w:sz w:val="24"/>
          <w:szCs w:val="24"/>
          <w:highlight w:val="none"/>
        </w:rPr>
        <w:t xml:space="preserve">制造商的企业规模类型。</w:t>
      </w:r>
      <w:r/>
    </w:p>
    <w:p>
      <w:pPr>
        <w:ind w:firstLine="48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5"/>
        <w:rPr>
          <w:rFonts w:hint="eastAsia"/>
          <w:color w:val="auto"/>
          <w:highlight w:val="none"/>
        </w:rPr>
      </w:pPr>
      <w:r>
        <w:rPr>
          <w:rFonts w:hint="eastAsia"/>
          <w:color w:val="auto"/>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附件7 </w:t>
      </w:r>
      <w:r/>
    </w:p>
    <w:p>
      <w:pPr>
        <w:ind w:left="540" w:hanging="120"/>
        <w:jc w:val="center"/>
        <w:spacing w:line="400" w:lineRule="exact"/>
        <w:rPr>
          <w:rFonts w:hint="eastAsia" w:ascii="仿宋" w:hAnsi="仿宋" w:eastAsia="仿宋" w:cs="仿宋"/>
          <w:color w:val="auto"/>
          <w:sz w:val="24"/>
          <w:szCs w:val="21"/>
          <w:highlight w:val="none"/>
        </w:rPr>
      </w:pPr>
      <w:r>
        <w:rPr>
          <w:rFonts w:ascii="仿宋" w:hAnsi="仿宋" w:eastAsia="仿宋" w:cs="仿宋"/>
          <w:b/>
          <w:color w:val="auto"/>
          <w:sz w:val="24"/>
          <w:szCs w:val="24"/>
          <w:highlight w:val="none"/>
        </w:rPr>
        <w:t xml:space="preserve">残疾人福利性单位声明函（货物）</w:t>
      </w:r>
      <w:r>
        <w:rPr>
          <w:rFonts w:hint="eastAsia" w:ascii="仿宋" w:hAnsi="仿宋" w:eastAsia="仿宋" w:cs="仿宋"/>
          <w:b/>
          <w:color w:val="auto"/>
          <w:sz w:val="24"/>
          <w:szCs w:val="21"/>
          <w:highlight w:val="none"/>
        </w:rPr>
        <w:t xml:space="preserve">（分包号：**）</w:t>
      </w:r>
      <w:r/>
    </w:p>
    <w:p>
      <w:pPr>
        <w:ind w:firstLine="36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 项目采购活动提供本单位制造的货物，或者提供其他残疾人福利性单位制造的货物（不包括使用非残疾人福利性单位注册商标的货物）。</w:t>
      </w:r>
      <w:r/>
    </w:p>
    <w:p>
      <w:pPr>
        <w:ind w:firstLine="360"/>
        <w:spacing w:line="400" w:lineRule="exac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本单位对上述声明的真实性负责。如有虚假，将依法承担相应责任。</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0" w:lineRule="atLeast"/>
        <w:rPr>
          <w:rFonts w:hint="eastAsia"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1"/>
          <w:highlight w:val="none"/>
        </w:rPr>
      </w:pPr>
      <w:r>
        <w:rPr>
          <w:rFonts w:ascii="仿宋" w:hAnsi="仿宋" w:eastAsia="仿宋" w:cs="仿宋"/>
          <w:color w:val="auto"/>
          <w:sz w:val="24"/>
          <w:szCs w:val="24"/>
          <w:highlight w:val="none"/>
        </w:rPr>
        <w:t xml:space="preserve">1、如项目类型为“货物”，请按照此格式填写。</w:t>
      </w:r>
      <w:r/>
    </w:p>
    <w:p>
      <w:pPr>
        <w:ind w:firstLine="480"/>
        <w:spacing w:line="0" w:lineRule="atLeast"/>
        <w:rPr>
          <w:rFonts w:hint="eastAsia" w:ascii="仿宋" w:hAnsi="仿宋" w:eastAsia="仿宋" w:cs="仿宋"/>
          <w:color w:val="auto"/>
          <w:sz w:val="24"/>
          <w:szCs w:val="21"/>
          <w:highlight w:val="none"/>
        </w:rPr>
      </w:pPr>
      <w:r>
        <w:rPr>
          <w:rFonts w:ascii="仿宋" w:hAnsi="仿宋" w:eastAsia="仿宋" w:cs="仿宋"/>
          <w:color w:val="auto"/>
          <w:sz w:val="24"/>
          <w:szCs w:val="24"/>
          <w:highlight w:val="none"/>
        </w:rPr>
        <w:t xml:space="preserve">2、</w:t>
      </w:r>
      <w:r>
        <w:rPr>
          <w:rFonts w:ascii="仿宋" w:hAnsi="仿宋" w:eastAsia="仿宋" w:cs="仿宋"/>
          <w:color w:val="auto"/>
          <w:sz w:val="24"/>
          <w:szCs w:val="21"/>
          <w:highlight w:val="none"/>
        </w:rPr>
        <w:t xml:space="preserve">专门面向中小微型企业采购的项目，投标人为残疾人福利性单位并提供本单位制造的货物，或者提供其他残疾人福利性单位制造的货物，必须提供此声明函，否则将不能通过资格审查。</w:t>
      </w:r>
      <w:r/>
    </w:p>
    <w:p>
      <w:pPr>
        <w:ind w:firstLine="480"/>
        <w:spacing w:line="0" w:lineRule="atLeast"/>
        <w:rPr>
          <w:rFonts w:hint="eastAsia" w:ascii="仿宋" w:hAnsi="仿宋" w:eastAsia="仿宋" w:cs="仿宋"/>
          <w:color w:val="auto"/>
          <w:sz w:val="24"/>
          <w:szCs w:val="21"/>
          <w:highlight w:val="none"/>
        </w:rPr>
      </w:pPr>
      <w:r>
        <w:rPr>
          <w:rFonts w:ascii="仿宋" w:hAnsi="仿宋" w:eastAsia="仿宋" w:cs="仿宋"/>
          <w:color w:val="auto"/>
          <w:sz w:val="24"/>
          <w:szCs w:val="24"/>
          <w:highlight w:val="none"/>
        </w:rPr>
        <w:t xml:space="preserve">3、</w:t>
      </w:r>
      <w:r>
        <w:rPr>
          <w:rFonts w:ascii="仿宋" w:hAnsi="仿宋" w:eastAsia="仿宋" w:cs="仿宋"/>
          <w:color w:val="auto"/>
          <w:sz w:val="24"/>
          <w:szCs w:val="21"/>
          <w:highlight w:val="none"/>
        </w:rPr>
        <w:t xml:space="preserve">非专门面向中小微型企业采购的项目，投标人如不提供此声明函，价格将不做相应扣除。</w:t>
      </w:r>
      <w:r/>
    </w:p>
    <w:p>
      <w:pPr>
        <w:ind w:firstLine="480"/>
        <w:spacing w:line="0" w:lineRule="atLeast"/>
        <w:rPr>
          <w:rFonts w:hint="eastAsia" w:ascii="仿宋" w:hAnsi="仿宋" w:eastAsia="仿宋" w:cs="仿宋"/>
          <w:color w:val="auto"/>
          <w:sz w:val="24"/>
          <w:szCs w:val="21"/>
          <w:highlight w:val="none"/>
        </w:rPr>
      </w:pPr>
      <w:r>
        <w:rPr>
          <w:rFonts w:ascii="仿宋" w:hAnsi="仿宋" w:eastAsia="仿宋" w:cs="仿宋"/>
          <w:color w:val="auto"/>
          <w:sz w:val="24"/>
          <w:szCs w:val="24"/>
          <w:highlight w:val="none"/>
        </w:rPr>
        <w:t xml:space="preserve">4、</w:t>
      </w:r>
      <w:r>
        <w:rPr>
          <w:rFonts w:ascii="仿宋" w:hAnsi="仿宋" w:eastAsia="仿宋" w:cs="仿宋"/>
          <w:color w:val="auto"/>
          <w:sz w:val="24"/>
          <w:highlight w:val="none"/>
        </w:rPr>
        <w:t xml:space="preserve">中标人</w:t>
      </w:r>
      <w:r>
        <w:rPr>
          <w:rFonts w:ascii="仿宋" w:hAnsi="仿宋" w:eastAsia="仿宋" w:cs="仿宋"/>
          <w:color w:val="auto"/>
          <w:sz w:val="24"/>
          <w:szCs w:val="21"/>
          <w:highlight w:val="none"/>
        </w:rPr>
        <w:t xml:space="preserve">为残疾人福利性单位的，此声明函将随</w:t>
      </w:r>
      <w:r>
        <w:rPr>
          <w:rFonts w:ascii="仿宋" w:hAnsi="仿宋" w:eastAsia="仿宋" w:cs="仿宋"/>
          <w:color w:val="auto"/>
          <w:sz w:val="24"/>
          <w:highlight w:val="none"/>
        </w:rPr>
        <w:t xml:space="preserve">中标</w:t>
      </w:r>
      <w:r>
        <w:rPr>
          <w:rFonts w:ascii="仿宋" w:hAnsi="仿宋" w:eastAsia="仿宋" w:cs="仿宋"/>
          <w:color w:val="auto"/>
          <w:sz w:val="24"/>
          <w:szCs w:val="21"/>
          <w:highlight w:val="none"/>
        </w:rPr>
        <w:t xml:space="preserve">结果同时公告，接受社会监督。</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59" w:firstLine="624"/>
        <w:jc w:val="center"/>
        <w:spacing w:line="400" w:lineRule="exact"/>
        <w:tabs>
          <w:tab w:val="left" w:pos="4860" w:leader="none"/>
        </w:tabs>
        <w:rPr>
          <w:rFonts w:hint="eastAsia" w:ascii="仿宋" w:hAnsi="仿宋" w:eastAsia="仿宋" w:cs="仿宋"/>
          <w:color w:val="auto"/>
          <w:sz w:val="24"/>
          <w:szCs w:val="21"/>
          <w:highlight w:val="none"/>
        </w:rPr>
      </w:pPr>
      <w:r>
        <w:rPr>
          <w:rFonts w:ascii="仿宋" w:hAnsi="仿宋" w:eastAsia="仿宋" w:cs="仿宋"/>
          <w:color w:val="auto"/>
          <w:spacing w:val="6"/>
          <w:sz w:val="30"/>
          <w:szCs w:val="30"/>
          <w:highlight w:val="none"/>
        </w:rPr>
        <w:t xml:space="preserve">             </w:t>
      </w:r>
      <w:r>
        <w:rPr>
          <w:rFonts w:ascii="仿宋" w:hAnsi="仿宋" w:eastAsia="仿宋" w:cs="仿宋"/>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仿宋" w:hAnsi="仿宋" w:eastAsia="仿宋" w:cs="仿宋"/>
          <w:b/>
          <w:color w:val="auto"/>
          <w:sz w:val="24"/>
          <w:szCs w:val="24"/>
          <w:highlight w:val="none"/>
        </w:rPr>
      </w:pPr>
      <w:r>
        <w:rPr>
          <w:rFonts w:ascii="仿宋" w:hAnsi="仿宋" w:eastAsia="仿宋" w:cs="仿宋"/>
          <w:color w:val="auto"/>
          <w:sz w:val="24"/>
          <w:szCs w:val="21"/>
          <w:highlight w:val="none"/>
        </w:rPr>
        <w:t xml:space="preserve">        日  期：</w:t>
      </w:r>
      <w:r>
        <w:rPr>
          <w:color w:val="auto"/>
          <w:highlight w:val="none"/>
        </w:rPr>
        <w:br w:type="page" w:clear="all"/>
      </w:r>
      <w:r/>
    </w:p>
    <w:p>
      <w:pPr>
        <w:spacing w:line="420" w:lineRule="exact"/>
        <w:rPr>
          <w:rFonts w:hint="eastAsia" w:ascii="仿宋" w:hAnsi="仿宋" w:eastAsia="仿宋" w:cs="仿宋"/>
          <w:b/>
          <w:color w:val="auto"/>
          <w:sz w:val="28"/>
          <w:szCs w:val="28"/>
          <w:highlight w:val="none"/>
        </w:rPr>
        <w:outlineLvl w:val="3"/>
      </w:pPr>
      <w:r>
        <w:rPr>
          <w:rFonts w:hint="eastAsia" w:ascii="仿宋" w:hAnsi="仿宋" w:eastAsia="仿宋" w:cs="仿宋"/>
          <w:b/>
          <w:color w:val="auto"/>
          <w:sz w:val="28"/>
          <w:szCs w:val="28"/>
          <w:highlight w:val="none"/>
        </w:rPr>
        <w:t xml:space="preserve">附件8</w:t>
      </w:r>
      <w:r/>
    </w:p>
    <w:p>
      <w:pPr>
        <w:jc w:val="center"/>
        <w:spacing w:line="420" w:lineRule="exact"/>
        <w:rPr>
          <w:rFonts w:hint="eastAsia"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监狱和戒毒企业证明材料</w:t>
      </w:r>
      <w:r/>
    </w:p>
    <w:p>
      <w:pPr>
        <w:ind w:firstLine="495"/>
        <w:spacing w:line="4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20" w:lineRule="exact"/>
        <w:rPr>
          <w:rFonts w:hint="eastAsia"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（格式自拟）</w:t>
      </w:r>
      <w:r/>
    </w:p>
    <w:p>
      <w:pPr>
        <w:ind w:firstLine="495"/>
        <w:spacing w:line="4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80"/>
        <w:spacing w:line="0" w:lineRule="atLeast"/>
        <w:rPr>
          <w:rFonts w:hint="eastAsia"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0" w:lineRule="atLeast"/>
        <w:rPr>
          <w:rFonts w:hint="eastAsia"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firstLine="480"/>
        <w:spacing w:line="0" w:lineRule="atLeast"/>
        <w:rPr>
          <w:rFonts w:hint="eastAsia" w:ascii="仿宋" w:hAnsi="仿宋" w:eastAsia="仿宋" w:cs="仿宋"/>
          <w:color w:val="auto"/>
          <w:sz w:val="24"/>
          <w:szCs w:val="21"/>
          <w:highlight w:val="none"/>
        </w:rPr>
      </w:pPr>
      <w:r>
        <w:rPr>
          <w:rFonts w:ascii="仿宋" w:hAnsi="仿宋" w:eastAsia="仿宋" w:cs="仿宋"/>
          <w:color w:val="auto"/>
          <w:sz w:val="24"/>
          <w:szCs w:val="21"/>
          <w:highlight w:val="none"/>
        </w:rPr>
        <w:t xml:space="preserve">1、专门面向中小微型企业采购的项目，投标人如不提供此证明材料，则不能通过资格审查；非专门面向中小微型企业采购的项目，投标人如不提供此证明材料，价格将不做相应扣除。</w:t>
      </w:r>
      <w:r/>
    </w:p>
    <w:p>
      <w:pPr>
        <w:ind w:firstLine="480"/>
        <w:spacing w:line="0" w:lineRule="atLeast"/>
        <w:rPr>
          <w:rFonts w:hint="eastAsia" w:ascii="仿宋" w:hAnsi="仿宋" w:eastAsia="仿宋" w:cs="仿宋"/>
          <w:color w:val="auto"/>
          <w:sz w:val="24"/>
          <w:szCs w:val="21"/>
          <w:highlight w:val="none"/>
        </w:rPr>
      </w:pPr>
      <w:r>
        <w:rPr>
          <w:rFonts w:ascii="仿宋" w:hAnsi="仿宋" w:eastAsia="仿宋" w:cs="仿宋"/>
          <w:color w:val="auto"/>
          <w:sz w:val="24"/>
          <w:szCs w:val="21"/>
          <w:highlight w:val="none"/>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clear="all"/>
      </w:r>
      <w:r/>
    </w:p>
    <w:p>
      <w:pPr>
        <w:contextualSpacing/>
        <w:jc w:val="left"/>
        <w:spacing w:line="30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附件9</w:t>
      </w:r>
      <w:r/>
    </w:p>
    <w:p>
      <w:pPr>
        <w:contextualSpacing/>
        <w:jc w:val="center"/>
        <w:spacing w:line="30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技术要求响应及偏离表（分包号：**）</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73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5"/>
        <w:gridCol w:w="2472"/>
        <w:gridCol w:w="2156"/>
        <w:gridCol w:w="2783"/>
        <w:gridCol w:w="1534"/>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附件9-1  证明材料1，证明材料2，……</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contextualSpacing/>
        <w:spacing w:line="30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 供应商提交的响应文件中与磋商文件第四章“采购需求”中的技术要求（</w:t>
      </w:r>
      <w:r>
        <w:rPr>
          <w:rFonts w:hint="eastAsia" w:ascii="仿宋" w:hAnsi="仿宋" w:eastAsia="仿宋" w:cs="仿宋"/>
          <w:b/>
          <w:bCs/>
          <w:color w:val="auto"/>
          <w:sz w:val="24"/>
          <w:highlight w:val="none"/>
        </w:rPr>
        <w:t xml:space="preserve">未加斜体下划线的非实质性内容</w:t>
      </w:r>
      <w:r>
        <w:rPr>
          <w:rFonts w:hint="eastAsia" w:ascii="仿宋" w:hAnsi="仿宋" w:eastAsia="仿宋" w:cs="仿宋"/>
          <w:color w:val="auto"/>
          <w:sz w:val="24"/>
          <w:highlight w:val="none"/>
        </w:rPr>
        <w:t xml:space="preserve">）如有偏离的，应逐条填列在偏离表中。</w:t>
      </w:r>
      <w:r>
        <w:rPr>
          <w:rFonts w:hint="eastAsia" w:ascii="仿宋" w:hAnsi="仿宋" w:eastAsia="仿宋" w:cs="仿宋"/>
          <w:b/>
          <w:bCs/>
          <w:color w:val="auto"/>
          <w:sz w:val="24"/>
          <w:szCs w:val="24"/>
          <w:highlight w:val="none"/>
        </w:rPr>
        <w:t xml:space="preserve">如果磋商文件要求提供证明材料，供应商需将证明材料列于该表之下。</w:t>
      </w:r>
      <w:r>
        <w:rPr>
          <w:rFonts w:hint="eastAsia" w:ascii="仿宋" w:hAnsi="仿宋" w:eastAsia="仿宋" w:cs="仿宋"/>
          <w:b/>
          <w:bCs/>
          <w:color w:val="auto"/>
          <w:sz w:val="24"/>
          <w:highlight w:val="none"/>
        </w:rPr>
        <w:t xml:space="preserve">(采购文件中另有规定的</w:t>
      </w:r>
      <w:r>
        <w:rPr>
          <w:rFonts w:hint="eastAsia" w:ascii="仿宋" w:hAnsi="仿宋" w:eastAsia="仿宋" w:cs="仿宋"/>
          <w:b/>
          <w:color w:val="auto"/>
          <w:sz w:val="24"/>
          <w:szCs w:val="24"/>
          <w:highlight w:val="none"/>
        </w:rPr>
        <w:t xml:space="preserve">除外</w:t>
      </w:r>
      <w:r>
        <w:rPr>
          <w:rFonts w:hint="eastAsia" w:ascii="仿宋" w:hAnsi="仿宋" w:eastAsia="仿宋" w:cs="仿宋"/>
          <w:b/>
          <w:bCs/>
          <w:color w:val="auto"/>
          <w:sz w:val="24"/>
          <w:highlight w:val="none"/>
        </w:rPr>
        <w:t xml:space="preserve">)</w:t>
      </w:r>
      <w:r/>
    </w:p>
    <w:p>
      <w:pPr>
        <w:contextualSpacing/>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2.“偏离说明”一栏选择“正偏离”、“无偏离”、“负偏离”进行填写。未填写的内容视为完全响应本磋商文件要求。正偏离、无偏离的确认和负偏离是否响应磋商文件，由磋商小组认定。</w:t>
      </w:r>
      <w:r/>
    </w:p>
    <w:p>
      <w:pPr>
        <w:pStyle w:val="755"/>
        <w:rPr>
          <w:rFonts w:hint="eastAsia" w:ascii="仿宋" w:hAnsi="仿宋" w:eastAsia="仿宋" w:cs="仿宋"/>
          <w:color w:val="auto"/>
          <w:highlight w:val="none"/>
        </w:rPr>
      </w:pPr>
      <w:r>
        <w:rPr>
          <w:rFonts w:hint="eastAsia" w:ascii="仿宋" w:hAnsi="仿宋" w:eastAsia="仿宋" w:cs="仿宋"/>
          <w:color w:val="auto"/>
          <w:highlight w:val="none"/>
        </w:rPr>
      </w:r>
      <w:r/>
    </w:p>
    <w:p>
      <w:pPr>
        <w:ind w:left="480"/>
        <w:rPr>
          <w:rFonts w:hint="eastAsia" w:ascii="仿宋" w:hAnsi="仿宋" w:eastAsia="仿宋" w:cs="仿宋"/>
          <w:b/>
          <w:i/>
          <w:color w:val="auto"/>
          <w:sz w:val="24"/>
          <w:szCs w:val="21"/>
          <w:highlight w:val="none"/>
          <w:u w:val="single"/>
        </w:rPr>
      </w:pPr>
      <w:r>
        <w:rPr>
          <w:rFonts w:hint="eastAsia" w:ascii="仿宋" w:hAnsi="仿宋" w:eastAsia="仿宋" w:cs="仿宋"/>
          <w:b/>
          <w:i/>
          <w:color w:val="auto"/>
          <w:sz w:val="24"/>
          <w:szCs w:val="21"/>
          <w:highlight w:val="none"/>
          <w:u w:val="singl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8"/>
          <w:szCs w:val="28"/>
          <w:highlight w:val="none"/>
        </w:rPr>
        <w:t xml:space="preserve">附件10</w:t>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商务要求响应及偏离表（分包号：**）</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73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70"/>
        <w:gridCol w:w="2157"/>
        <w:gridCol w:w="2784"/>
        <w:gridCol w:w="153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附件10-1  证明材料1，证明材料2，……</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供应商提交的响应文件中与磋商文件第四章“采购需求”中的商务要求</w:t>
      </w:r>
      <w:r>
        <w:rPr>
          <w:rFonts w:hint="eastAsia" w:ascii="仿宋" w:hAnsi="仿宋" w:eastAsia="仿宋" w:cs="仿宋"/>
          <w:b/>
          <w:bCs/>
          <w:color w:val="auto"/>
          <w:sz w:val="24"/>
          <w:highlight w:val="none"/>
        </w:rPr>
        <w:t xml:space="preserve">（未加斜体下划线的非实质性内容）</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2.“偏离说明”一栏选择“正偏离”、“无偏离”、“负偏离”进行填写。未填写的内容视为完全响应本磋商文件要求。正偏离、无偏离的确认和负偏离是否响应磋商文件，由磋商小组认定。</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附件11</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实质性要求响应及偏离表（分包号：**）</w:t>
      </w:r>
      <w:r/>
    </w:p>
    <w:p>
      <w:pPr>
        <w:pStyle w:val="755"/>
        <w:rPr>
          <w:rFonts w:hint="eastAsia"/>
          <w:color w:val="auto"/>
          <w:highlight w:val="none"/>
        </w:rPr>
      </w:pPr>
      <w:r>
        <w:rPr>
          <w:rFonts w:hint="eastAsia"/>
          <w:color w:val="auto"/>
          <w:highlight w:val="none"/>
        </w:rPr>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873"/>
        <w:gridCol w:w="3053"/>
        <w:gridCol w:w="170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873"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磋商文件技术要求和商务要求中的实质性要求</w:t>
            </w:r>
            <w:r>
              <w:rPr>
                <w:rFonts w:hint="eastAsia" w:ascii="仿宋" w:hAnsi="仿宋" w:eastAsia="仿宋" w:cs="仿宋"/>
                <w:i/>
                <w:color w:val="auto"/>
                <w:sz w:val="24"/>
                <w:szCs w:val="24"/>
                <w:highlight w:val="none"/>
                <w:u w:val="single"/>
              </w:rPr>
              <w:t xml:space="preserve">（加斜体下划线内容）</w:t>
            </w:r>
            <w:r/>
          </w:p>
        </w:tc>
        <w:tc>
          <w:tcPr>
            <w:tcW w:w="3053"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70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正偏离、无偏离、负偏离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3873"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053"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6"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3873"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053"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6"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3873" w:type="dxa"/>
            <w:vAlign w:val="center"/>
            <w:textDirection w:val="lrTb"/>
            <w:noWrap w:val="false"/>
          </w:tcPr>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3053"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6" w:type="dxa"/>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附件11-1 证明材料1，证明材料2，……</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spacing w:line="4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2.如果采购文件要求提供证明材料，供应商必须将证明材料列于该表之下，否则作无效响应处理。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rPr>
          <w:rFonts w:hint="eastAsia" w:ascii="仿宋" w:hAnsi="仿宋" w:eastAsia="仿宋" w:cs="仿宋"/>
          <w:b/>
          <w:i/>
          <w:color w:val="auto"/>
          <w:sz w:val="24"/>
          <w:szCs w:val="21"/>
          <w:highlight w:val="none"/>
          <w:u w:val="single"/>
        </w:rPr>
      </w:pPr>
      <w:r>
        <w:rPr>
          <w:rFonts w:hint="eastAsia" w:ascii="仿宋" w:hAnsi="仿宋" w:eastAsia="仿宋" w:cs="仿宋"/>
          <w:b/>
          <w:i/>
          <w:color w:val="auto"/>
          <w:sz w:val="24"/>
          <w:szCs w:val="21"/>
          <w:highlight w:val="none"/>
          <w:u w:val="single"/>
        </w:rPr>
      </w:r>
      <w:r/>
    </w:p>
    <w:p>
      <w:pPr>
        <w:jc w:val="left"/>
        <w:rPr>
          <w:rFonts w:hint="eastAsia"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clear="all"/>
      </w:r>
      <w:bookmarkEnd w:id="202"/>
      <w:r/>
      <w:bookmarkEnd w:id="203"/>
      <w:r/>
      <w:bookmarkEnd w:id="223"/>
      <w:r>
        <w:rPr>
          <w:rFonts w:hint="eastAsia" w:ascii="仿宋" w:hAnsi="仿宋" w:eastAsia="仿宋" w:cs="仿宋"/>
          <w:b/>
          <w:color w:val="auto"/>
          <w:sz w:val="28"/>
          <w:szCs w:val="28"/>
          <w:highlight w:val="none"/>
        </w:rPr>
        <w:t xml:space="preserve">附件12              </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关于符合本国产品标准的声明函（采购包号：**）</w:t>
      </w:r>
      <w:r/>
    </w:p>
    <w:p>
      <w:pPr>
        <w:pStyle w:val="925"/>
        <w:ind w:firstLine="420"/>
        <w:spacing w:before="0" w:after="0" w:line="0"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firstLine="420"/>
        <w:spacing w:before="30" w:after="3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1.</w:t>
      </w:r>
      <w:r>
        <w:rPr>
          <w:rStyle w:val="926"/>
          <w:rFonts w:hint="eastAsia" w:ascii="仿宋" w:hAnsi="仿宋" w:eastAsia="仿宋" w:cs="仿宋"/>
          <w:color w:val="auto"/>
          <w:highlight w:val="none"/>
          <w:u w:val="single"/>
          <w:shd w:val="clear" w:color="auto" w:fill="ffffff"/>
        </w:rPr>
        <w:t xml:space="preserve">（产品名称1）</w:t>
      </w:r>
      <w:r>
        <w:rPr>
          <w:rStyle w:val="926"/>
          <w:rFonts w:hint="eastAsia" w:ascii="仿宋" w:hAnsi="仿宋" w:eastAsia="仿宋" w:cs="仿宋"/>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926"/>
          <w:rFonts w:hint="eastAsia" w:ascii="仿宋" w:hAnsi="仿宋" w:eastAsia="仿宋" w:cs="仿宋"/>
          <w:color w:val="auto"/>
          <w:highlight w:val="none"/>
          <w:u w:val="single"/>
          <w:shd w:val="clear" w:color="auto" w:fill="ffffff"/>
        </w:rPr>
        <w:t xml:space="preserve">（厂名）</w:t>
      </w:r>
      <w:r>
        <w:rPr>
          <w:rStyle w:val="926"/>
          <w:rFonts w:hint="eastAsia" w:ascii="仿宋" w:hAnsi="仿宋" w:eastAsia="仿宋" w:cs="仿宋"/>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926"/>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926"/>
          <w:rFonts w:hint="eastAsia" w:ascii="仿宋" w:hAnsi="仿宋" w:eastAsia="仿宋" w:cs="仿宋"/>
          <w:color w:val="auto"/>
          <w:highlight w:val="none"/>
          <w:u w:val="single"/>
          <w:shd w:val="clear" w:color="auto" w:fill="ffffff"/>
        </w:rPr>
        <w:t xml:space="preserve">（产品名称1） </w:t>
      </w:r>
      <w:r>
        <w:rPr>
          <w:rFonts w:hint="eastAsia" w:ascii="仿宋" w:hAnsi="仿宋" w:eastAsia="仿宋" w:cs="仿宋"/>
          <w:color w:val="auto"/>
          <w:highlight w:val="none"/>
          <w:shd w:val="clear" w:color="auto" w:fill="ffffff"/>
        </w:rPr>
        <w:t xml:space="preserve">的中国境内生产的组件成本占比≥</w:t>
      </w:r>
      <w:r>
        <w:rPr>
          <w:rStyle w:val="926"/>
          <w:rFonts w:hint="eastAsia" w:ascii="仿宋" w:hAnsi="仿宋" w:eastAsia="仿宋" w:cs="仿宋"/>
          <w:color w:val="auto"/>
          <w:highlight w:val="none"/>
          <w:u w:val="single"/>
          <w:shd w:val="clear" w:color="auto" w:fill="ffffff"/>
        </w:rPr>
        <w:t xml:space="preserve">（规定比例）</w:t>
      </w:r>
      <w:r>
        <w:rPr>
          <w:rStyle w:val="926"/>
          <w:rFonts w:hint="eastAsia" w:ascii="仿宋" w:hAnsi="仿宋" w:eastAsia="仿宋" w:cs="仿宋"/>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926"/>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926"/>
          <w:rFonts w:hint="eastAsia" w:ascii="仿宋" w:hAnsi="仿宋" w:eastAsia="仿宋" w:cs="仿宋"/>
          <w:color w:val="auto"/>
          <w:highlight w:val="none"/>
          <w:u w:val="single"/>
          <w:shd w:val="clear" w:color="auto" w:fill="ffffff"/>
        </w:rPr>
        <w:t xml:space="preserve">（关键组件）</w:t>
      </w:r>
      <w:r>
        <w:rPr>
          <w:rStyle w:val="926"/>
          <w:rFonts w:hint="eastAsia" w:ascii="仿宋" w:hAnsi="仿宋" w:eastAsia="仿宋" w:cs="仿宋"/>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926"/>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926"/>
          <w:rFonts w:hint="eastAsia" w:ascii="仿宋" w:hAnsi="仿宋" w:eastAsia="仿宋" w:cs="仿宋"/>
          <w:color w:val="auto"/>
          <w:highlight w:val="none"/>
          <w:u w:val="single"/>
          <w:shd w:val="clear" w:color="auto" w:fill="ffffff"/>
        </w:rPr>
        <w:t xml:space="preserve">（关键工序）</w:t>
      </w:r>
      <w:r>
        <w:rPr>
          <w:rStyle w:val="926"/>
          <w:rFonts w:hint="eastAsia" w:ascii="仿宋" w:hAnsi="仿宋" w:eastAsia="仿宋" w:cs="仿宋"/>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925"/>
        <w:ind w:firstLine="420"/>
        <w:spacing w:before="30" w:after="3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926"/>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926"/>
          <w:rFonts w:hint="eastAsia" w:ascii="仿宋" w:hAnsi="仿宋" w:eastAsia="仿宋" w:cs="仿宋"/>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926"/>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926"/>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的中国境内生产的组件成本占比≥</w:t>
      </w:r>
      <w:r>
        <w:rPr>
          <w:rStyle w:val="926"/>
          <w:rFonts w:hint="eastAsia" w:ascii="仿宋" w:hAnsi="仿宋" w:eastAsia="仿宋" w:cs="仿宋"/>
          <w:color w:val="auto"/>
          <w:highlight w:val="none"/>
          <w:u w:val="single"/>
          <w:shd w:val="clear" w:color="auto" w:fill="ffffff"/>
        </w:rPr>
        <w:t xml:space="preserve">（规定比例）</w:t>
      </w:r>
      <w:r>
        <w:rPr>
          <w:rFonts w:hint="eastAsia" w:ascii="仿宋" w:hAnsi="仿宋" w:eastAsia="仿宋" w:cs="仿宋"/>
          <w:color w:val="auto"/>
          <w:highlight w:val="none"/>
          <w:shd w:val="clear" w:color="auto" w:fill="ffffff"/>
        </w:rPr>
        <w:t xml:space="preserve">。</w:t>
      </w:r>
      <w:r>
        <w:rPr>
          <w:rStyle w:val="926"/>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w:t>
      </w:r>
      <w:r>
        <w:rPr>
          <w:rStyle w:val="926"/>
          <w:rFonts w:hint="eastAsia" w:ascii="仿宋" w:hAnsi="仿宋" w:eastAsia="仿宋" w:cs="仿宋"/>
          <w:color w:val="auto"/>
          <w:highlight w:val="none"/>
          <w:u w:val="single"/>
          <w:shd w:val="clear" w:color="auto" w:fill="ffffff"/>
        </w:rPr>
        <w:t xml:space="preserve">（关键组件）</w:t>
      </w:r>
      <w:r>
        <w:rPr>
          <w:rFonts w:hint="eastAsia" w:ascii="仿宋" w:hAnsi="仿宋" w:eastAsia="仿宋" w:cs="仿宋"/>
          <w:color w:val="auto"/>
          <w:highlight w:val="none"/>
          <w:shd w:val="clear" w:color="auto" w:fill="ffffff"/>
        </w:rPr>
        <w:t xml:space="preserve">在中国境内生产。</w:t>
      </w:r>
      <w:r>
        <w:rPr>
          <w:rStyle w:val="926"/>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926"/>
          <w:rFonts w:hint="eastAsia" w:ascii="仿宋" w:hAnsi="仿宋" w:eastAsia="仿宋" w:cs="仿宋"/>
          <w:color w:val="auto"/>
          <w:highlight w:val="none"/>
          <w:u w:val="single"/>
          <w:shd w:val="clear" w:color="auto" w:fill="ffffff"/>
        </w:rPr>
        <w:t xml:space="preserve">（关键工序）</w:t>
      </w:r>
      <w:r>
        <w:rPr>
          <w:rFonts w:hint="eastAsia" w:ascii="仿宋" w:hAnsi="仿宋" w:eastAsia="仿宋" w:cs="仿宋"/>
          <w:color w:val="auto"/>
          <w:highlight w:val="none"/>
          <w:shd w:val="clear" w:color="auto" w:fill="ffffff"/>
        </w:rPr>
        <w:t xml:space="preserve">在中国境内完成。</w:t>
      </w:r>
      <w:r/>
    </w:p>
    <w:p>
      <w:pPr>
        <w:pStyle w:val="925"/>
        <w:ind w:firstLine="420"/>
        <w:spacing w:before="30" w:after="3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925"/>
        <w:ind w:firstLine="420"/>
        <w:spacing w:before="30" w:after="3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925"/>
        <w:spacing w:before="30" w:after="30" w:line="0" w:lineRule="atLeas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25"/>
        <w:ind w:right="480" w:firstLine="3720"/>
        <w:spacing w:before="30" w:after="3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公司（单位）名称（盖章）：　        </w:t>
      </w:r>
      <w:r/>
    </w:p>
    <w:p>
      <w:pPr>
        <w:pStyle w:val="925"/>
        <w:jc w:val="center"/>
        <w:spacing w:before="30" w:after="3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925"/>
        <w:spacing w:before="30" w:after="3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925"/>
        <w:spacing w:before="30" w:after="3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925"/>
        <w:spacing w:before="30" w:after="3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925"/>
        <w:spacing w:before="30" w:after="3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925"/>
        <w:spacing w:before="30" w:after="3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925"/>
        <w:spacing w:before="30" w:after="3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925"/>
        <w:spacing w:before="30" w:after="3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6.用斜线划除的地方无需填写。</w:t>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附件13</w:t>
      </w:r>
      <w:r/>
    </w:p>
    <w:p>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 </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700" w:lineRule="exact"/>
        <w:widowControl/>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r>
      <w:r/>
    </w:p>
    <w:p>
      <w:pPr>
        <w:jc w:val="left"/>
        <w:widowControl/>
        <w:rPr>
          <w:rFonts w:hint="eastAsia" w:ascii="仿宋" w:hAnsi="仿宋" w:eastAsia="仿宋" w:cs="仿宋"/>
          <w:b/>
          <w:bCs/>
          <w:color w:val="auto"/>
          <w:sz w:val="28"/>
          <w:szCs w:val="28"/>
          <w:highlight w:val="none"/>
          <w:lang w:bidi="ar"/>
        </w:rPr>
        <w:outlineLvl w:val="0"/>
      </w:pPr>
      <w:r/>
      <w:bookmarkStart w:id="227" w:name="_Toc5831"/>
      <w:r/>
      <w:bookmarkStart w:id="228" w:name="_Toc31274"/>
      <w:r/>
      <w:bookmarkStart w:id="229" w:name="_Toc1372"/>
      <w:r/>
      <w:r/>
    </w:p>
    <w:p>
      <w:pPr>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br w:type="page" w:clear="all"/>
      </w:r>
      <w:r/>
    </w:p>
    <w:p>
      <w:pPr>
        <w:jc w:val="left"/>
        <w:widowControl/>
        <w:rPr>
          <w:rFonts w:hint="eastAsia" w:ascii="仿宋" w:hAnsi="仿宋" w:eastAsia="仿宋" w:cs="仿宋"/>
          <w:b/>
          <w:bCs/>
          <w:color w:val="auto"/>
          <w:sz w:val="28"/>
          <w:szCs w:val="28"/>
          <w:highlight w:val="none"/>
          <w:lang w:bidi="ar"/>
        </w:rPr>
        <w:outlineLvl w:val="0"/>
      </w:pPr>
      <w:r>
        <w:rPr>
          <w:rFonts w:hint="eastAsia" w:ascii="仿宋" w:hAnsi="仿宋" w:eastAsia="仿宋" w:cs="仿宋"/>
          <w:b/>
          <w:bCs/>
          <w:color w:val="auto"/>
          <w:sz w:val="28"/>
          <w:szCs w:val="28"/>
          <w:highlight w:val="none"/>
          <w:lang w:bidi="ar"/>
        </w:rPr>
        <w:t xml:space="preserve">附件1</w:t>
      </w:r>
      <w:bookmarkEnd w:id="227"/>
      <w:r/>
      <w:bookmarkEnd w:id="228"/>
      <w:r/>
      <w:bookmarkEnd w:id="229"/>
      <w:r>
        <w:rPr>
          <w:rFonts w:hint="eastAsia" w:ascii="仿宋" w:hAnsi="仿宋" w:eastAsia="仿宋" w:cs="仿宋"/>
          <w:b/>
          <w:bCs/>
          <w:color w:val="auto"/>
          <w:sz w:val="28"/>
          <w:szCs w:val="28"/>
          <w:highlight w:val="none"/>
          <w:lang w:bidi="ar"/>
        </w:rPr>
        <w:t xml:space="preserve">4</w:t>
      </w:r>
      <w:r/>
    </w:p>
    <w:p>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办理政采贷和履约保函（保险）告知函</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各政府采购供应商：</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欢迎贵公司参与南通市政府采购活动！</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r>
      <w:r/>
    </w:p>
    <w:p>
      <w:pPr>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sectPr>
      <w:headerReference w:type="default" r:id="rId9"/>
      <w:footerReference w:type="default" r:id="rId10"/>
      <w:footerReference w:type="even" r:id="rId11"/>
      <w:footnotePr/>
      <w:endnotePr/>
      <w:type w:val="nextPage"/>
      <w:pgSz w:w="11906" w:h="16838" w:orient="portrait"/>
      <w:pgMar w:top="1218" w:right="861" w:bottom="1120" w:left="11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58"/>
        <w:rFonts w:hint="eastAsia" w:ascii="宋体" w:hAnsi="宋体"/>
      </w:rPr>
      <w:framePr w:wrap="around" w:vAnchor="text" w:hAnchor="margin" w:xAlign="center" w:y="1"/>
    </w:pPr>
    <w:r>
      <w:rPr>
        <w:rFonts w:ascii="宋体" w:hAnsi="宋体"/>
      </w:rPr>
      <w:fldChar w:fldCharType="begin"/>
    </w:r>
    <w:r>
      <w:rPr>
        <w:rStyle w:val="758"/>
        <w:rFonts w:ascii="宋体" w:hAnsi="宋体"/>
      </w:rPr>
      <w:instrText xml:space="preserve">PAGE  </w:instrText>
    </w:r>
    <w:r>
      <w:rPr>
        <w:rFonts w:ascii="宋体" w:hAnsi="宋体"/>
      </w:rPr>
      <w:fldChar w:fldCharType="separate"/>
    </w:r>
    <w:r>
      <w:rPr>
        <w:rStyle w:val="758"/>
        <w:rFonts w:ascii="宋体" w:hAnsi="宋体"/>
      </w:rPr>
      <w:t xml:space="preserve">３７</w:t>
    </w:r>
    <w:r>
      <w:rPr>
        <w:rFonts w:ascii="宋体" w:hAnsi="宋体"/>
      </w:rPr>
      <w:fldChar w:fldCharType="end"/>
    </w:r>
    <w:r/>
  </w:p>
  <w:p>
    <w:pPr>
      <w:pStyle w:val="74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1</w:t>
    </w:r>
    <w:r>
      <w:fldChar w:fldCharType="end"/>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730"/>
    <w:link w:val="721"/>
    <w:uiPriority w:val="9"/>
    <w:rPr>
      <w:rFonts w:ascii="Arial" w:hAnsi="Arial" w:eastAsia="Arial" w:cs="Arial"/>
      <w:sz w:val="40"/>
      <w:szCs w:val="40"/>
    </w:rPr>
  </w:style>
  <w:style w:type="character" w:styleId="687">
    <w:name w:val="Heading 3 Char"/>
    <w:basedOn w:val="730"/>
    <w:link w:val="723"/>
    <w:uiPriority w:val="9"/>
    <w:rPr>
      <w:rFonts w:ascii="Arial" w:hAnsi="Arial" w:eastAsia="Arial" w:cs="Arial"/>
      <w:sz w:val="30"/>
      <w:szCs w:val="30"/>
    </w:rPr>
  </w:style>
  <w:style w:type="character" w:styleId="688">
    <w:name w:val="Heading 4 Char"/>
    <w:basedOn w:val="730"/>
    <w:link w:val="724"/>
    <w:uiPriority w:val="9"/>
    <w:rPr>
      <w:rFonts w:ascii="Arial" w:hAnsi="Arial" w:eastAsia="Arial" w:cs="Arial"/>
      <w:b/>
      <w:bCs/>
      <w:sz w:val="26"/>
      <w:szCs w:val="26"/>
    </w:rPr>
  </w:style>
  <w:style w:type="character" w:styleId="689">
    <w:name w:val="Heading 5 Char"/>
    <w:basedOn w:val="730"/>
    <w:link w:val="725"/>
    <w:uiPriority w:val="9"/>
    <w:rPr>
      <w:rFonts w:ascii="Arial" w:hAnsi="Arial" w:eastAsia="Arial" w:cs="Arial"/>
      <w:b/>
      <w:bCs/>
      <w:sz w:val="24"/>
      <w:szCs w:val="24"/>
    </w:rPr>
  </w:style>
  <w:style w:type="character" w:styleId="690">
    <w:name w:val="Heading 6 Char"/>
    <w:basedOn w:val="730"/>
    <w:link w:val="726"/>
    <w:uiPriority w:val="9"/>
    <w:rPr>
      <w:rFonts w:ascii="Arial" w:hAnsi="Arial" w:eastAsia="Arial" w:cs="Arial"/>
      <w:b/>
      <w:bCs/>
      <w:sz w:val="22"/>
      <w:szCs w:val="22"/>
    </w:rPr>
  </w:style>
  <w:style w:type="character" w:styleId="691">
    <w:name w:val="Heading 7 Char"/>
    <w:basedOn w:val="730"/>
    <w:link w:val="727"/>
    <w:uiPriority w:val="9"/>
    <w:rPr>
      <w:rFonts w:ascii="Arial" w:hAnsi="Arial" w:eastAsia="Arial" w:cs="Arial"/>
      <w:b/>
      <w:bCs/>
      <w:i/>
      <w:iCs/>
      <w:sz w:val="22"/>
      <w:szCs w:val="22"/>
    </w:rPr>
  </w:style>
  <w:style w:type="character" w:styleId="692">
    <w:name w:val="Heading 8 Char"/>
    <w:basedOn w:val="730"/>
    <w:link w:val="728"/>
    <w:uiPriority w:val="9"/>
    <w:rPr>
      <w:rFonts w:ascii="Arial" w:hAnsi="Arial" w:eastAsia="Arial" w:cs="Arial"/>
      <w:i/>
      <w:iCs/>
      <w:sz w:val="22"/>
      <w:szCs w:val="22"/>
    </w:rPr>
  </w:style>
  <w:style w:type="character" w:styleId="693">
    <w:name w:val="Heading 9 Char"/>
    <w:basedOn w:val="730"/>
    <w:link w:val="729"/>
    <w:uiPriority w:val="9"/>
    <w:rPr>
      <w:rFonts w:ascii="Arial" w:hAnsi="Arial" w:eastAsia="Arial" w:cs="Arial"/>
      <w:i/>
      <w:iCs/>
      <w:sz w:val="21"/>
      <w:szCs w:val="21"/>
    </w:rPr>
  </w:style>
  <w:style w:type="character" w:styleId="694">
    <w:name w:val="Title Char"/>
    <w:basedOn w:val="730"/>
    <w:link w:val="753"/>
    <w:uiPriority w:val="10"/>
    <w:rPr>
      <w:sz w:val="48"/>
      <w:szCs w:val="48"/>
    </w:rPr>
  </w:style>
  <w:style w:type="character" w:styleId="695">
    <w:name w:val="Subtitle Char"/>
    <w:basedOn w:val="730"/>
    <w:link w:val="746"/>
    <w:uiPriority w:val="11"/>
    <w:rPr>
      <w:sz w:val="24"/>
      <w:szCs w:val="24"/>
    </w:rPr>
  </w:style>
  <w:style w:type="character" w:styleId="696">
    <w:name w:val="Quote Char"/>
    <w:link w:val="775"/>
    <w:uiPriority w:val="29"/>
    <w:rPr>
      <w:i/>
    </w:rPr>
  </w:style>
  <w:style w:type="character" w:styleId="697">
    <w:name w:val="Intense Quote Char"/>
    <w:link w:val="777"/>
    <w:uiPriority w:val="30"/>
    <w:rPr>
      <w:i/>
    </w:rPr>
  </w:style>
  <w:style w:type="table" w:styleId="698">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7">
    <w:name w:val="Footnote Text Char"/>
    <w:link w:val="747"/>
    <w:uiPriority w:val="99"/>
    <w:rPr>
      <w:sz w:val="18"/>
    </w:rPr>
  </w:style>
  <w:style w:type="character" w:styleId="718">
    <w:name w:val="Endnote Text Char"/>
    <w:link w:val="741"/>
    <w:uiPriority w:val="99"/>
    <w:rPr>
      <w:sz w:val="20"/>
    </w:rPr>
  </w:style>
  <w:style w:type="paragraph" w:styleId="719">
    <w:name w:val="TOC Heading"/>
    <w:uiPriority w:val="39"/>
    <w:unhideWhenUsed/>
  </w:style>
  <w:style w:type="paragraph" w:styleId="72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1">
    <w:name w:val="Heading 1"/>
    <w:basedOn w:val="720"/>
    <w:next w:val="720"/>
    <w:link w:val="76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uiPriority w:val="0"/>
    <w:semiHidden/>
    <w:unhideWhenUsed/>
    <w:qFormat/>
    <w:pPr>
      <w:jc w:val="left"/>
      <w:spacing w:beforeAutospacing="1" w:afterAutospacing="1"/>
      <w:outlineLvl w:val="1"/>
    </w:pPr>
    <w:rPr>
      <w:rFonts w:hint="eastAsia" w:ascii="宋体" w:hAnsi="宋体"/>
      <w:b/>
      <w:bCs/>
      <w:sz w:val="36"/>
      <w:szCs w:val="36"/>
    </w:rPr>
  </w:style>
  <w:style w:type="paragraph" w:styleId="723">
    <w:name w:val="Heading 3"/>
    <w:basedOn w:val="720"/>
    <w:next w:val="720"/>
    <w:link w:val="76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5"/>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7"/>
    <w:uiPriority w:val="9"/>
    <w:unhideWhenUsed/>
    <w:qFormat/>
    <w:pPr>
      <w:keepLines/>
      <w:keepNext/>
      <w:spacing w:before="320" w:after="200"/>
      <w:outlineLvl w:val="5"/>
    </w:pPr>
    <w:rPr>
      <w:rFonts w:ascii="Arial" w:hAnsi="Arial" w:eastAsia="Arial" w:cs="Arial"/>
      <w:b/>
      <w:bCs/>
      <w:sz w:val="22"/>
    </w:rPr>
  </w:style>
  <w:style w:type="paragraph" w:styleId="727">
    <w:name w:val="Heading 7"/>
    <w:basedOn w:val="720"/>
    <w:next w:val="720"/>
    <w:link w:val="768"/>
    <w:uiPriority w:val="9"/>
    <w:unhideWhenUsed/>
    <w:qFormat/>
    <w:pPr>
      <w:keepLines/>
      <w:keepNext/>
      <w:spacing w:before="320" w:after="200"/>
      <w:outlineLvl w:val="6"/>
    </w:pPr>
    <w:rPr>
      <w:rFonts w:ascii="Arial" w:hAnsi="Arial" w:eastAsia="Arial" w:cs="Arial"/>
      <w:b/>
      <w:bCs/>
      <w:i/>
      <w:iCs/>
      <w:sz w:val="22"/>
    </w:rPr>
  </w:style>
  <w:style w:type="paragraph" w:styleId="728">
    <w:name w:val="Heading 8"/>
    <w:basedOn w:val="720"/>
    <w:next w:val="720"/>
    <w:link w:val="769"/>
    <w:uiPriority w:val="9"/>
    <w:unhideWhenUsed/>
    <w:qFormat/>
    <w:pPr>
      <w:keepLines/>
      <w:keepNext/>
      <w:spacing w:before="320" w:after="200"/>
      <w:outlineLvl w:val="7"/>
    </w:pPr>
    <w:rPr>
      <w:rFonts w:ascii="Arial" w:hAnsi="Arial" w:eastAsia="Arial" w:cs="Arial"/>
      <w:i/>
      <w:iCs/>
      <w:sz w:val="22"/>
    </w:rPr>
  </w:style>
  <w:style w:type="paragraph" w:styleId="729">
    <w:name w:val="Heading 9"/>
    <w:basedOn w:val="720"/>
    <w:next w:val="720"/>
    <w:link w:val="770"/>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4">
    <w:name w:val="annotation text"/>
    <w:basedOn w:val="720"/>
    <w:uiPriority w:val="0"/>
    <w:unhideWhenUsed/>
    <w:qFormat/>
    <w:pPr>
      <w:jc w:val="left"/>
    </w:pPr>
  </w:style>
  <w:style w:type="paragraph" w:styleId="735">
    <w:name w:val="Body Text"/>
    <w:basedOn w:val="720"/>
    <w:next w:val="720"/>
    <w:uiPriority w:val="0"/>
    <w:qFormat/>
    <w:rPr>
      <w:rFonts w:ascii="楷体_GB2312" w:hAnsi="Arial" w:eastAsia="楷体_GB2312"/>
      <w:sz w:val="28"/>
      <w:szCs w:val="28"/>
    </w:rPr>
  </w:style>
  <w:style w:type="paragraph" w:styleId="736">
    <w:name w:val="Body Text Indent"/>
    <w:basedOn w:val="720"/>
    <w:next w:val="737"/>
    <w:uiPriority w:val="0"/>
    <w:unhideWhenUsed/>
    <w:qFormat/>
    <w:pPr>
      <w:ind w:left="420"/>
      <w:spacing w:after="120"/>
    </w:pPr>
  </w:style>
  <w:style w:type="paragraph" w:styleId="737">
    <w:name w:val="envelope return"/>
    <w:basedOn w:val="720"/>
    <w:uiPriority w:val="99"/>
    <w:unhideWhenUsed/>
    <w:qFormat/>
    <w:rPr>
      <w:rFonts w:ascii="Arial" w:hAnsi="Arial" w:eastAsia="楷体_GB2312"/>
      <w:sz w:val="26"/>
      <w:szCs w:val="20"/>
    </w:r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toc 8"/>
    <w:basedOn w:val="720"/>
    <w:next w:val="720"/>
    <w:uiPriority w:val="39"/>
    <w:unhideWhenUsed/>
    <w:qFormat/>
    <w:pPr>
      <w:ind w:left="1984"/>
      <w:spacing w:after="57"/>
    </w:pPr>
  </w:style>
  <w:style w:type="paragraph" w:styleId="741">
    <w:name w:val="endnote text"/>
    <w:basedOn w:val="720"/>
    <w:link w:val="908"/>
    <w:uiPriority w:val="99"/>
    <w:semiHidden/>
    <w:unhideWhenUsed/>
    <w:qFormat/>
    <w:rPr>
      <w:sz w:val="20"/>
    </w:rPr>
  </w:style>
  <w:style w:type="paragraph" w:styleId="742">
    <w:name w:val="Footer"/>
    <w:basedOn w:val="720"/>
    <w:uiPriority w:val="0"/>
    <w:qFormat/>
    <w:pPr>
      <w:jc w:val="left"/>
      <w:tabs>
        <w:tab w:val="center" w:pos="4153" w:leader="none"/>
        <w:tab w:val="right" w:pos="8306" w:leader="none"/>
      </w:tabs>
    </w:pPr>
    <w:rPr>
      <w:rFonts w:ascii="Times New Roman" w:hAnsi="Times New Roman"/>
      <w:sz w:val="18"/>
      <w:szCs w:val="18"/>
    </w:rPr>
  </w:style>
  <w:style w:type="paragraph" w:styleId="743">
    <w:name w:val="Header"/>
    <w:basedOn w:val="720"/>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44">
    <w:name w:val="toc 1"/>
    <w:basedOn w:val="720"/>
    <w:next w:val="720"/>
    <w:uiPriority w:val="0"/>
    <w:qFormat/>
  </w:style>
  <w:style w:type="paragraph" w:styleId="745">
    <w:name w:val="toc 4"/>
    <w:basedOn w:val="720"/>
    <w:next w:val="720"/>
    <w:uiPriority w:val="39"/>
    <w:unhideWhenUsed/>
    <w:qFormat/>
    <w:pPr>
      <w:ind w:left="850"/>
      <w:spacing w:after="57"/>
    </w:pPr>
  </w:style>
  <w:style w:type="paragraph" w:styleId="746">
    <w:name w:val="Subtitle"/>
    <w:basedOn w:val="720"/>
    <w:next w:val="720"/>
    <w:link w:val="774"/>
    <w:uiPriority w:val="11"/>
    <w:qFormat/>
    <w:pPr>
      <w:spacing w:before="200" w:after="200"/>
    </w:pPr>
    <w:rPr>
      <w:sz w:val="24"/>
      <w:szCs w:val="24"/>
    </w:rPr>
  </w:style>
  <w:style w:type="paragraph" w:styleId="747">
    <w:name w:val="footnote text"/>
    <w:basedOn w:val="720"/>
    <w:link w:val="907"/>
    <w:uiPriority w:val="99"/>
    <w:semiHidden/>
    <w:unhideWhenUsed/>
    <w:qFormat/>
    <w:pPr>
      <w:spacing w:after="40"/>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Normal (Web)"/>
    <w:basedOn w:val="720"/>
    <w:uiPriority w:val="99"/>
    <w:unhideWhenUsed/>
    <w:qFormat/>
    <w:rPr>
      <w:sz w:val="24"/>
    </w:rPr>
  </w:style>
  <w:style w:type="paragraph" w:styleId="753">
    <w:name w:val="Title"/>
    <w:basedOn w:val="720"/>
    <w:next w:val="720"/>
    <w:link w:val="773"/>
    <w:uiPriority w:val="10"/>
    <w:qFormat/>
    <w:pPr>
      <w:contextualSpacing/>
      <w:spacing w:before="300" w:after="200"/>
    </w:pPr>
    <w:rPr>
      <w:sz w:val="48"/>
      <w:szCs w:val="48"/>
    </w:rPr>
  </w:style>
  <w:style w:type="paragraph" w:styleId="754">
    <w:name w:val="Body Text First Indent"/>
    <w:basedOn w:val="735"/>
    <w:uiPriority w:val="0"/>
    <w:qFormat/>
    <w:pPr>
      <w:ind w:firstLine="420"/>
      <w:spacing w:after="120"/>
    </w:pPr>
    <w:rPr>
      <w:sz w:val="21"/>
      <w:szCs w:val="24"/>
      <w:lang w:val="zh-CN"/>
    </w:rPr>
  </w:style>
  <w:style w:type="paragraph" w:styleId="755">
    <w:name w:val="Body Text First Indent 2"/>
    <w:basedOn w:val="736"/>
    <w:next w:val="720"/>
    <w:uiPriority w:val="0"/>
    <w:qFormat/>
    <w:pPr>
      <w:ind w:left="0" w:firstLine="420"/>
      <w:spacing w:after="0" w:line="360" w:lineRule="auto"/>
    </w:pPr>
    <w:rPr>
      <w:rFonts w:ascii="宋体" w:hAnsi="宋体"/>
      <w:szCs w:val="20"/>
    </w:rPr>
  </w:style>
  <w:style w:type="table" w:styleId="756">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endnote reference"/>
    <w:basedOn w:val="730"/>
    <w:uiPriority w:val="99"/>
    <w:semiHidden/>
    <w:unhideWhenUsed/>
    <w:qFormat/>
    <w:rPr>
      <w:vertAlign w:val="superscript"/>
    </w:rPr>
  </w:style>
  <w:style w:type="character" w:styleId="758">
    <w:name w:val="page number"/>
    <w:uiPriority w:val="0"/>
    <w:qFormat/>
  </w:style>
  <w:style w:type="character" w:styleId="759">
    <w:name w:val="Emphasis"/>
    <w:uiPriority w:val="0"/>
    <w:qFormat/>
    <w:rPr>
      <w:i/>
    </w:rPr>
  </w:style>
  <w:style w:type="character" w:styleId="760">
    <w:name w:val="Hyperlink"/>
    <w:uiPriority w:val="99"/>
    <w:unhideWhenUsed/>
    <w:qFormat/>
    <w:rPr>
      <w:color w:val="0026e5" w:themeColor="hyperlink"/>
      <w:u w:val="single"/>
      <w14:textFill>
        <w14:solidFill>
          <w14:schemeClr w14:val="hlink"/>
        </w14:solidFill>
      </w14:textFill>
    </w:rPr>
  </w:style>
  <w:style w:type="character" w:styleId="761">
    <w:name w:val="footnote reference"/>
    <w:basedOn w:val="730"/>
    <w:uiPriority w:val="99"/>
    <w:unhideWhenUsed/>
    <w:qFormat/>
    <w:rPr>
      <w:vertAlign w:val="superscript"/>
    </w:rPr>
  </w:style>
  <w:style w:type="character" w:styleId="762" w:customStyle="1">
    <w:name w:val="标题 1 字符"/>
    <w:basedOn w:val="730"/>
    <w:link w:val="721"/>
    <w:uiPriority w:val="9"/>
    <w:qFormat/>
    <w:rPr>
      <w:rFonts w:ascii="Arial" w:hAnsi="Arial" w:eastAsia="Arial" w:cs="Arial"/>
      <w:sz w:val="40"/>
      <w:szCs w:val="40"/>
    </w:rPr>
  </w:style>
  <w:style w:type="character" w:styleId="763" w:customStyle="1">
    <w:name w:val="Heading 2 Char"/>
    <w:basedOn w:val="730"/>
    <w:uiPriority w:val="9"/>
    <w:qFormat/>
    <w:rPr>
      <w:rFonts w:ascii="Arial" w:hAnsi="Arial" w:eastAsia="Arial" w:cs="Arial"/>
      <w:sz w:val="34"/>
    </w:rPr>
  </w:style>
  <w:style w:type="character" w:styleId="764" w:customStyle="1">
    <w:name w:val="标题 3 字符"/>
    <w:basedOn w:val="730"/>
    <w:link w:val="723"/>
    <w:uiPriority w:val="9"/>
    <w:qFormat/>
    <w:rPr>
      <w:rFonts w:ascii="Arial" w:hAnsi="Arial" w:eastAsia="Arial" w:cs="Arial"/>
      <w:sz w:val="30"/>
      <w:szCs w:val="30"/>
    </w:rPr>
  </w:style>
  <w:style w:type="character" w:styleId="765" w:customStyle="1">
    <w:name w:val="标题 4 字符"/>
    <w:basedOn w:val="730"/>
    <w:link w:val="724"/>
    <w:uiPriority w:val="9"/>
    <w:qFormat/>
    <w:rPr>
      <w:rFonts w:ascii="Arial" w:hAnsi="Arial" w:eastAsia="Arial" w:cs="Arial"/>
      <w:b/>
      <w:bCs/>
      <w:sz w:val="26"/>
      <w:szCs w:val="26"/>
    </w:rPr>
  </w:style>
  <w:style w:type="character" w:styleId="766" w:customStyle="1">
    <w:name w:val="标题 5 字符"/>
    <w:basedOn w:val="730"/>
    <w:link w:val="725"/>
    <w:uiPriority w:val="9"/>
    <w:qFormat/>
    <w:rPr>
      <w:rFonts w:ascii="Arial" w:hAnsi="Arial" w:eastAsia="Arial" w:cs="Arial"/>
      <w:b/>
      <w:bCs/>
      <w:sz w:val="24"/>
      <w:szCs w:val="24"/>
    </w:rPr>
  </w:style>
  <w:style w:type="character" w:styleId="767" w:customStyle="1">
    <w:name w:val="标题 6 字符"/>
    <w:basedOn w:val="730"/>
    <w:link w:val="726"/>
    <w:uiPriority w:val="9"/>
    <w:qFormat/>
    <w:rPr>
      <w:rFonts w:ascii="Arial" w:hAnsi="Arial" w:eastAsia="Arial" w:cs="Arial"/>
      <w:b/>
      <w:bCs/>
      <w:sz w:val="22"/>
      <w:szCs w:val="22"/>
    </w:rPr>
  </w:style>
  <w:style w:type="character" w:styleId="768" w:customStyle="1">
    <w:name w:val="标题 7 字符"/>
    <w:basedOn w:val="730"/>
    <w:link w:val="727"/>
    <w:uiPriority w:val="9"/>
    <w:qFormat/>
    <w:rPr>
      <w:rFonts w:ascii="Arial" w:hAnsi="Arial" w:eastAsia="Arial" w:cs="Arial"/>
      <w:b/>
      <w:bCs/>
      <w:i/>
      <w:iCs/>
      <w:sz w:val="22"/>
      <w:szCs w:val="22"/>
    </w:rPr>
  </w:style>
  <w:style w:type="character" w:styleId="769" w:customStyle="1">
    <w:name w:val="标题 8 字符"/>
    <w:basedOn w:val="730"/>
    <w:link w:val="728"/>
    <w:uiPriority w:val="9"/>
    <w:qFormat/>
    <w:rPr>
      <w:rFonts w:ascii="Arial" w:hAnsi="Arial" w:eastAsia="Arial" w:cs="Arial"/>
      <w:i/>
      <w:iCs/>
      <w:sz w:val="22"/>
      <w:szCs w:val="22"/>
    </w:rPr>
  </w:style>
  <w:style w:type="character" w:styleId="770" w:customStyle="1">
    <w:name w:val="标题 9 字符"/>
    <w:basedOn w:val="730"/>
    <w:link w:val="729"/>
    <w:uiPriority w:val="9"/>
    <w:qFormat/>
    <w:rPr>
      <w:rFonts w:ascii="Arial" w:hAnsi="Arial" w:eastAsia="Arial" w:cs="Arial"/>
      <w:i/>
      <w:iCs/>
      <w:sz w:val="21"/>
      <w:szCs w:val="21"/>
    </w:rPr>
  </w:style>
  <w:style w:type="paragraph" w:styleId="771">
    <w:name w:val="List Paragraph"/>
    <w:basedOn w:val="720"/>
    <w:uiPriority w:val="34"/>
    <w:qFormat/>
    <w:pPr>
      <w:contextualSpacing/>
      <w:ind w:left="720"/>
    </w:pPr>
  </w:style>
  <w:style w:type="paragraph" w:styleId="772">
    <w:name w:val="No Spacing"/>
    <w:uiPriority w:val="1"/>
    <w:qFormat/>
    <w:rPr>
      <w:rFonts w:ascii="Times New Roman" w:hAnsi="Times New Roman" w:eastAsia="宋体" w:cs="Times New Roman"/>
      <w:lang w:val="en-US" w:eastAsia="zh-CN" w:bidi="ar-SA"/>
    </w:rPr>
  </w:style>
  <w:style w:type="character" w:styleId="773" w:customStyle="1">
    <w:name w:val="标题 字符"/>
    <w:basedOn w:val="730"/>
    <w:link w:val="753"/>
    <w:uiPriority w:val="10"/>
    <w:qFormat/>
    <w:rPr>
      <w:sz w:val="48"/>
      <w:szCs w:val="48"/>
    </w:rPr>
  </w:style>
  <w:style w:type="character" w:styleId="774" w:customStyle="1">
    <w:name w:val="副标题 字符"/>
    <w:basedOn w:val="730"/>
    <w:link w:val="746"/>
    <w:uiPriority w:val="11"/>
    <w:qFormat/>
    <w:rPr>
      <w:sz w:val="24"/>
      <w:szCs w:val="24"/>
    </w:rPr>
  </w:style>
  <w:style w:type="paragraph" w:styleId="775">
    <w:name w:val="Quote"/>
    <w:basedOn w:val="720"/>
    <w:next w:val="720"/>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720"/>
    <w:next w:val="720"/>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basedOn w:val="730"/>
    <w:uiPriority w:val="99"/>
    <w:qFormat/>
  </w:style>
  <w:style w:type="character" w:styleId="780" w:customStyle="1">
    <w:name w:val="Footer Char"/>
    <w:basedOn w:val="730"/>
    <w:uiPriority w:val="99"/>
    <w:qFormat/>
  </w:style>
  <w:style w:type="character" w:styleId="781" w:customStyle="1">
    <w:name w:val="Caption Char"/>
    <w:uiPriority w:val="99"/>
    <w:qFormat/>
  </w:style>
  <w:style w:type="table" w:styleId="782"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3"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3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3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3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3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3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3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3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3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3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3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3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3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2"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3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3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3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3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3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3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3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1" w:customStyle="1">
    <w:name w:val="Grid Table 4 - Accent 2"/>
    <w:basedOn w:val="73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2" w:customStyle="1">
    <w:name w:val="Grid Table 4 - Accent 3"/>
    <w:basedOn w:val="73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3" w:customStyle="1">
    <w:name w:val="Grid Table 4 - Accent 4"/>
    <w:basedOn w:val="73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4" w:customStyle="1">
    <w:name w:val="Grid Table 4 - Accent 5"/>
    <w:basedOn w:val="73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5" w:customStyle="1">
    <w:name w:val="Grid Table 4 - Accent 6"/>
    <w:basedOn w:val="73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6"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8"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9"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0"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1"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2"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3"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73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73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73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7" w:customStyle="1">
    <w:name w:val="Grid Table 6 Colorful - Accent 4"/>
    <w:basedOn w:val="73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73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9" w:customStyle="1">
    <w:name w:val="Grid Table 6 Colorful - Accent 6"/>
    <w:basedOn w:val="73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3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3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3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3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3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3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3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3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3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3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3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3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4"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73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6" w:customStyle="1">
    <w:name w:val="List Table 2 - Accent 2"/>
    <w:basedOn w:val="73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7" w:customStyle="1">
    <w:name w:val="List Table 2 - Accent 3"/>
    <w:basedOn w:val="73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8" w:customStyle="1">
    <w:name w:val="List Table 2 - Accent 4"/>
    <w:basedOn w:val="73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9" w:customStyle="1">
    <w:name w:val="List Table 2 - Accent 5"/>
    <w:basedOn w:val="73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0" w:customStyle="1">
    <w:name w:val="List Table 2 - Accent 6"/>
    <w:basedOn w:val="73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1"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3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3" w:customStyle="1">
    <w:name w:val="List Table 3 - Accent 2"/>
    <w:basedOn w:val="73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3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3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3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3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8"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3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0" w:customStyle="1">
    <w:name w:val="List Table 4 - Accent 2"/>
    <w:basedOn w:val="73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1" w:customStyle="1">
    <w:name w:val="List Table 4 - Accent 3"/>
    <w:basedOn w:val="73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2" w:customStyle="1">
    <w:name w:val="List Table 4 - Accent 4"/>
    <w:basedOn w:val="73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3" w:customStyle="1">
    <w:name w:val="List Table 4 - Accent 5"/>
    <w:basedOn w:val="73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4" w:customStyle="1">
    <w:name w:val="List Table 4 - Accent 6"/>
    <w:basedOn w:val="73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5"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73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73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73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73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73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73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73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4" w:customStyle="1">
    <w:name w:val="List Table 6 Colorful - Accent 2"/>
    <w:basedOn w:val="73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5" w:customStyle="1">
    <w:name w:val="List Table 6 Colorful - Accent 3"/>
    <w:basedOn w:val="73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6" w:customStyle="1">
    <w:name w:val="List Table 6 Colorful - Accent 4"/>
    <w:basedOn w:val="73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7" w:customStyle="1">
    <w:name w:val="List Table 6 Colorful - Accent 5"/>
    <w:basedOn w:val="73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8" w:customStyle="1">
    <w:name w:val="List Table 6 Colorful - Accent 6"/>
    <w:basedOn w:val="73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9"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3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3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3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3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3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3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8"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9"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0"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1"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2"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3"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3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5" w:customStyle="1">
    <w:name w:val="Bordered &amp; Lined - Accent 2"/>
    <w:basedOn w:val="73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6" w:customStyle="1">
    <w:name w:val="Bordered &amp; Lined - Accent 3"/>
    <w:basedOn w:val="73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7" w:customStyle="1">
    <w:name w:val="Bordered &amp; Lined - Accent 4"/>
    <w:basedOn w:val="73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8" w:customStyle="1">
    <w:name w:val="Bordered &amp; Lined - Accent 5"/>
    <w:basedOn w:val="73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9" w:customStyle="1">
    <w:name w:val="Bordered &amp; Lined - Accent 6"/>
    <w:basedOn w:val="73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0"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3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2" w:customStyle="1">
    <w:name w:val="Bordered - Accent 2"/>
    <w:basedOn w:val="73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3" w:customStyle="1">
    <w:name w:val="Bordered - Accent 3"/>
    <w:basedOn w:val="73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4" w:customStyle="1">
    <w:name w:val="Bordered - Accent 4"/>
    <w:basedOn w:val="73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5" w:customStyle="1">
    <w:name w:val="Bordered - Accent 5"/>
    <w:basedOn w:val="73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6" w:customStyle="1">
    <w:name w:val="Bordered - Accent 6"/>
    <w:basedOn w:val="73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7" w:customStyle="1">
    <w:name w:val="脚注文本 字符"/>
    <w:link w:val="747"/>
    <w:uiPriority w:val="99"/>
    <w:qFormat/>
    <w:rPr>
      <w:sz w:val="18"/>
    </w:rPr>
  </w:style>
  <w:style w:type="character" w:styleId="908" w:customStyle="1">
    <w:name w:val="尾注文本 字符"/>
    <w:link w:val="741"/>
    <w:uiPriority w:val="99"/>
    <w:qFormat/>
    <w:rPr>
      <w:sz w:val="20"/>
    </w:rPr>
  </w:style>
  <w:style w:type="paragraph" w:styleId="909" w:customStyle="1">
    <w:name w:val="TOC 标题1"/>
    <w:uiPriority w:val="39"/>
    <w:unhideWhenUsed/>
    <w:qFormat/>
    <w:rPr>
      <w:rFonts w:ascii="Times New Roman" w:hAnsi="Times New Roman" w:eastAsia="宋体" w:cs="Times New Roman"/>
      <w:lang w:val="en-US" w:eastAsia="zh-CN" w:bidi="ar-SA"/>
    </w:rPr>
  </w:style>
  <w:style w:type="paragraph" w:styleId="91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911" w:customStyle="1">
    <w:name w:val="目录 82"/>
    <w:next w:val="720"/>
    <w:uiPriority w:val="0"/>
    <w:qFormat/>
    <w:pPr>
      <w:ind w:left="2550"/>
      <w:jc w:val="both"/>
    </w:pPr>
    <w:rPr>
      <w:rFonts w:ascii="Calibri" w:hAnsi="Calibri" w:eastAsia="宋体" w:cs="Times New Roman"/>
      <w:sz w:val="21"/>
      <w:lang w:val="en-US" w:eastAsia="zh-CN" w:bidi="ar-SA"/>
    </w:rPr>
  </w:style>
  <w:style w:type="paragraph" w:styleId="912" w:customStyle="1">
    <w:name w:val="WPSOffice手动目录 1"/>
    <w:uiPriority w:val="0"/>
    <w:qFormat/>
    <w:rPr>
      <w:rFonts w:ascii="Times New Roman" w:hAnsi="Times New Roman" w:eastAsia="宋体" w:cs="Times New Roman"/>
      <w:lang w:val="en-US" w:eastAsia="zh-CN" w:bidi="ar-SA"/>
    </w:rPr>
  </w:style>
  <w:style w:type="paragraph" w:styleId="913" w:customStyle="1">
    <w:name w:val="正文首行缩进11"/>
    <w:basedOn w:val="914"/>
    <w:uiPriority w:val="0"/>
    <w:qFormat/>
    <w:pPr>
      <w:ind w:firstLine="200"/>
      <w:spacing w:line="360" w:lineRule="auto"/>
    </w:pPr>
    <w:rPr>
      <w:rFonts w:ascii="仿宋_GB2312" w:eastAsia="仿宋_GB2312"/>
      <w:sz w:val="30"/>
      <w:szCs w:val="30"/>
    </w:rPr>
  </w:style>
  <w:style w:type="paragraph" w:styleId="914" w:customStyle="1">
    <w:name w:val="正文文本1"/>
    <w:basedOn w:val="720"/>
    <w:next w:val="720"/>
    <w:uiPriority w:val="0"/>
    <w:qFormat/>
    <w:rPr>
      <w:rFonts w:ascii="楷体_GB2312" w:hAnsi="Arial" w:eastAsia="楷体_GB2312"/>
      <w:sz w:val="28"/>
      <w:szCs w:val="28"/>
    </w:rPr>
  </w:style>
  <w:style w:type="paragraph" w:styleId="915" w:customStyle="1">
    <w:name w:val="正文首行缩进1"/>
    <w:basedOn w:val="916"/>
    <w:uiPriority w:val="0"/>
    <w:qFormat/>
    <w:pPr>
      <w:ind w:firstLine="420"/>
      <w:spacing w:after="120"/>
    </w:pPr>
    <w:rPr>
      <w:rFonts w:ascii="Times New Roman" w:eastAsia="宋体"/>
      <w:szCs w:val="24"/>
    </w:rPr>
  </w:style>
  <w:style w:type="paragraph" w:styleId="916" w:customStyle="1">
    <w:name w:val="正文文本11"/>
    <w:basedOn w:val="720"/>
    <w:next w:val="720"/>
    <w:uiPriority w:val="0"/>
    <w:qFormat/>
    <w:rPr>
      <w:rFonts w:ascii="楷体_GB2312" w:hAnsi="Arial" w:eastAsia="楷体_GB2312"/>
      <w:sz w:val="28"/>
      <w:szCs w:val="28"/>
    </w:rPr>
  </w:style>
  <w:style w:type="paragraph" w:styleId="917" w:customStyle="1">
    <w:name w:val="首行缩进"/>
    <w:basedOn w:val="720"/>
    <w:uiPriority w:val="0"/>
    <w:qFormat/>
    <w:pPr>
      <w:ind w:firstLine="480"/>
      <w:spacing w:line="360" w:lineRule="auto"/>
    </w:pPr>
  </w:style>
  <w:style w:type="paragraph" w:styleId="918" w:customStyle="1">
    <w:name w:val="正文首行缩进 21"/>
    <w:basedOn w:val="919"/>
    <w:next w:val="720"/>
    <w:uiPriority w:val="0"/>
    <w:qFormat/>
    <w:pPr>
      <w:ind w:left="0" w:firstLine="420"/>
      <w:spacing w:after="0" w:line="360" w:lineRule="auto"/>
    </w:pPr>
    <w:rPr>
      <w:rFonts w:ascii="宋体" w:hAnsi="宋体"/>
      <w:szCs w:val="20"/>
    </w:rPr>
  </w:style>
  <w:style w:type="paragraph" w:styleId="919" w:customStyle="1">
    <w:name w:val="正文文本缩进1"/>
    <w:basedOn w:val="720"/>
    <w:next w:val="920"/>
    <w:uiPriority w:val="0"/>
    <w:unhideWhenUsed/>
    <w:qFormat/>
    <w:pPr>
      <w:ind w:left="420"/>
      <w:spacing w:after="120"/>
    </w:pPr>
  </w:style>
  <w:style w:type="paragraph" w:styleId="920" w:customStyle="1">
    <w:name w:val="寄信人地址1"/>
    <w:basedOn w:val="720"/>
    <w:uiPriority w:val="99"/>
    <w:unhideWhenUsed/>
    <w:qFormat/>
    <w:rPr>
      <w:rFonts w:ascii="Arial" w:hAnsi="Arial"/>
    </w:rPr>
  </w:style>
  <w:style w:type="character" w:styleId="921" w:customStyle="1">
    <w:name w:val="font81"/>
    <w:basedOn w:val="730"/>
    <w:uiPriority w:val="0"/>
    <w:qFormat/>
    <w:rPr>
      <w:rFonts w:hint="eastAsia" w:ascii="宋体" w:hAnsi="宋体" w:eastAsia="宋体" w:cs="宋体"/>
      <w:color w:val="000000"/>
      <w:sz w:val="22"/>
      <w:szCs w:val="22"/>
      <w:u w:val="none"/>
    </w:rPr>
  </w:style>
  <w:style w:type="character" w:styleId="922" w:customStyle="1">
    <w:name w:val="font101"/>
    <w:basedOn w:val="730"/>
    <w:uiPriority w:val="0"/>
    <w:qFormat/>
    <w:rPr>
      <w:rFonts w:hint="default" w:ascii="Times New Roman" w:hAnsi="Times New Roman" w:cs="Times New Roman"/>
      <w:color w:val="000000"/>
      <w:sz w:val="22"/>
      <w:szCs w:val="22"/>
      <w:u w:val="none"/>
    </w:rPr>
  </w:style>
  <w:style w:type="character" w:styleId="923" w:customStyle="1">
    <w:name w:val="font71"/>
    <w:basedOn w:val="730"/>
    <w:uiPriority w:val="0"/>
    <w:qFormat/>
    <w:rPr>
      <w:rFonts w:hint="eastAsia" w:ascii="宋体" w:hAnsi="宋体" w:eastAsia="宋体" w:cs="宋体"/>
      <w:color w:val="000000"/>
      <w:sz w:val="22"/>
      <w:szCs w:val="22"/>
      <w:u w:val="none"/>
    </w:rPr>
  </w:style>
  <w:style w:type="character" w:styleId="924" w:customStyle="1">
    <w:name w:val="font112"/>
    <w:basedOn w:val="730"/>
    <w:uiPriority w:val="0"/>
    <w:qFormat/>
    <w:rPr>
      <w:rFonts w:hint="eastAsia" w:ascii="宋体" w:hAnsi="宋体" w:eastAsia="宋体" w:cs="宋体"/>
      <w:color w:val="ff0000"/>
      <w:sz w:val="22"/>
      <w:szCs w:val="22"/>
      <w:u w:val="none"/>
    </w:rPr>
  </w:style>
  <w:style w:type="paragraph" w:styleId="925" w:customStyle="1">
    <w:name w:val="普通(网站)1"/>
    <w:basedOn w:val="720"/>
    <w:uiPriority w:val="0"/>
    <w:qFormat/>
    <w:pPr>
      <w:jc w:val="left"/>
      <w:spacing w:before="100" w:after="100"/>
      <w:widowControl/>
    </w:pPr>
    <w:rPr>
      <w:rFonts w:ascii="宋体" w:hAnsi="宋体" w:cs="宋体"/>
      <w:sz w:val="24"/>
      <w:szCs w:val="24"/>
    </w:rPr>
  </w:style>
  <w:style w:type="character" w:styleId="926" w:customStyle="1">
    <w:name w:val="强调1"/>
    <w:basedOn w:val="927"/>
    <w:uiPriority w:val="0"/>
    <w:qFormat/>
    <w:rPr>
      <w:rFonts w:ascii="Calibri" w:hAnsi="Calibri" w:eastAsia="宋体" w:cs="Times New Roman"/>
      <w:sz w:val="21"/>
      <w:szCs w:val="22"/>
      <w:lang w:val="en-US" w:eastAsia="zh-CN" w:bidi="ar-SA"/>
    </w:rPr>
  </w:style>
  <w:style w:type="character" w:styleId="927" w:customStyle="1">
    <w:name w:val="默认段落字体1"/>
    <w:uiPriority w:val="0"/>
    <w:qFormat/>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如东分公司</cp:lastModifiedBy>
  <cp:revision>10</cp:revision>
  <dcterms:created xsi:type="dcterms:W3CDTF">2026-07-09T10:08:00Z</dcterms:created>
  <dcterms:modified xsi:type="dcterms:W3CDTF">2026-07-15T09:16:35Z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237CF9C9215441CBBCE112679C34FBBF_13</vt:lpwstr>
  </property>
  <property fmtid="{D5CDD505-2E9C-101B-9397-08002B2CF9AE}" pid="4" name="KSOTemplateDocerSaveRecord">
    <vt:lpwstr>eyJoZGlkIjoiYzE5NGY3ZDZlOWUzZDFiNjIxYjNhZjlkZGQ0MzVlOTAiLCJ1c2VySWQiOiIxMDU5NjI1NTIzIn0=</vt:lpwstr>
  </property>
</Properties>
</file>