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52"/>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苏州市相城区政府采购</w:t>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 </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52"/>
        <w:ind w:firstLine="0"/>
        <w:rPr>
          <w:rFonts w:hint="eastAsia" w:hAnsi="宋体" w:cs="宋体"/>
          <w:color w:val="auto"/>
          <w:highlight w:val="none"/>
        </w:rPr>
      </w:pPr>
      <w:r>
        <w:rPr>
          <w:rFonts w:hint="eastAsia" w:hAnsi="宋体" w:cs="宋体"/>
          <w:color w:val="auto"/>
          <w:highlight w:val="none"/>
        </w:rPr>
        <w:t xml:space="preserve"> </w:t>
      </w:r>
      <w:r/>
    </w:p>
    <w:p>
      <w:pPr>
        <w:ind w:left="2225" w:right="-506" w:hanging="623"/>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JSZC-320507-SZHJ-C2026-0010</w:t>
      </w:r>
      <w:r/>
    </w:p>
    <w:p>
      <w:pPr>
        <w:ind w:left="2225" w:right="-506" w:hanging="623"/>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bookmarkStart w:id="0" w:name="OLE_LINK1"/>
      <w:r>
        <w:rPr>
          <w:rFonts w:hint="eastAsia" w:ascii="宋体" w:hAnsi="宋体" w:cs="宋体"/>
          <w:b/>
          <w:bCs/>
          <w:color w:val="auto"/>
          <w:sz w:val="32"/>
          <w:szCs w:val="32"/>
          <w:highlight w:val="none"/>
          <w:lang w:eastAsia="zh-CN"/>
        </w:rPr>
        <w:t xml:space="preserve">2026-2029年绿化养护监理服务</w:t>
      </w:r>
      <w:bookmarkEnd w:id="0"/>
      <w:r/>
      <w:r/>
    </w:p>
    <w:p>
      <w:pPr>
        <w:ind w:left="2225" w:right="-506" w:hanging="623"/>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2"/>
          <w:szCs w:val="32"/>
          <w:highlight w:val="none"/>
        </w:rPr>
        <w:t xml:space="preserve">采购单位：</w:t>
      </w:r>
      <w:r>
        <w:rPr>
          <w:rFonts w:hint="eastAsia" w:ascii="宋体" w:hAnsi="宋体" w:cs="宋体"/>
          <w:b/>
          <w:bCs/>
          <w:color w:val="auto"/>
          <w:sz w:val="32"/>
          <w:szCs w:val="32"/>
          <w:highlight w:val="none"/>
          <w:lang w:eastAsia="zh-CN"/>
        </w:rPr>
        <w:t xml:space="preserve">苏州市相城区园林绿化建设管理中心</w:t>
      </w:r>
      <w:r/>
    </w:p>
    <w:p>
      <w:pPr>
        <w:ind w:right="-506" w:firstLine="1606"/>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项目类别：服务类</w:t>
      </w:r>
      <w:r/>
    </w:p>
    <w:p>
      <w:pPr>
        <w:ind w:right="-506" w:firstLine="1606"/>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right="-506" w:firstLine="2731"/>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right="-506" w:firstLine="2731"/>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52"/>
        <w:ind w:firstLine="0"/>
        <w:rPr>
          <w:rFonts w:hint="eastAsia" w:hAnsi="宋体" w:cs="宋体"/>
          <w:color w:val="auto"/>
          <w:highlight w:val="none"/>
        </w:rPr>
      </w:pPr>
      <w:r>
        <w:rPr>
          <w:rFonts w:hint="eastAsia" w:hAnsi="宋体" w:cs="宋体"/>
          <w:color w:val="auto"/>
          <w:highlight w:val="none"/>
        </w:rPr>
      </w:r>
      <w:r/>
    </w:p>
    <w:p>
      <w:pPr>
        <w:ind w:right="-506"/>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right="-506"/>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right="-506"/>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right="-506"/>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江苏鸿渐投资咨询管理有限公司</w:t>
      </w:r>
      <w:r/>
    </w:p>
    <w:p>
      <w:pPr>
        <w:ind w:right="-506" w:firstLine="1"/>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二○二</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月</w:t>
      </w:r>
      <w:r/>
    </w:p>
    <w:p>
      <w:pPr>
        <w:ind w:right="-506" w:firstLine="1"/>
        <w:jc w:val="center"/>
        <w:spacing w:line="360" w:lineRule="auto"/>
        <w:rPr>
          <w:rFonts w:hint="eastAsia" w:ascii="宋体" w:hAnsi="宋体" w:cs="宋体"/>
          <w:color w:val="auto"/>
          <w:highlight w:val="none"/>
        </w:rPr>
      </w:pPr>
      <w:r/>
      <w:bookmarkStart w:id="43" w:name="_GoBack"/>
      <w:r/>
      <w:bookmarkEnd w:id="43"/>
      <w:r>
        <w:rPr>
          <w:rFonts w:hint="eastAsia" w:ascii="宋体" w:hAnsi="宋体" w:cs="宋体"/>
          <w:b/>
          <w:color w:val="auto"/>
          <w:sz w:val="32"/>
          <w:szCs w:val="32"/>
          <w:highlight w:val="none"/>
        </w:rPr>
        <w:br w:type="page" w:clear="all"/>
      </w:r>
      <w:r/>
    </w:p>
    <w:p>
      <w:pPr>
        <w:pStyle w:val="1020"/>
        <w:tabs>
          <w:tab w:val="right" w:pos="9412" w:leader="dot"/>
        </w:tabs>
        <w:rPr>
          <w:rFonts w:hint="eastAsia" w:ascii="宋体" w:hAnsi="宋体" w:eastAsia="宋体" w:cs="宋体"/>
          <w:b/>
          <w:bCs/>
          <w:color w:val="auto"/>
          <w:sz w:val="56"/>
          <w:szCs w:val="56"/>
          <w:highlight w:val="none"/>
        </w:rPr>
      </w:pPr>
      <w:r>
        <w:rPr>
          <w:rFonts w:hint="eastAsia" w:ascii="宋体" w:hAnsi="宋体" w:cs="宋体"/>
          <w:b/>
          <w:bCs/>
          <w:color w:val="auto"/>
          <w:sz w:val="48"/>
          <w:szCs w:val="48"/>
          <w:highlight w:val="none"/>
        </w:rPr>
        <w:fldChar w:fldCharType="begin"/>
      </w:r>
      <w:r>
        <w:rPr>
          <w:rFonts w:hint="eastAsia" w:ascii="宋体" w:hAnsi="宋体" w:cs="宋体"/>
          <w:b/>
          <w:bCs/>
          <w:color w:val="auto"/>
          <w:sz w:val="48"/>
          <w:szCs w:val="48"/>
          <w:highlight w:val="none"/>
        </w:rPr>
        <w:instrText xml:space="preserve">TOC \o "1-3" \h \u </w:instrText>
      </w:r>
      <w:r>
        <w:rPr>
          <w:rFonts w:hint="eastAsia" w:ascii="宋体" w:hAnsi="宋体" w:cs="宋体"/>
          <w:b/>
          <w:bCs/>
          <w:color w:val="auto"/>
          <w:sz w:val="48"/>
          <w:szCs w:val="48"/>
          <w:highlight w:val="none"/>
        </w:rPr>
        <w:fldChar w:fldCharType="separate"/>
      </w:r>
      <w:r/>
    </w:p>
    <w:sdt>
      <w:sdtPr>
        <w15:appearance w15:val="boundingBox"/>
        <w15:color w:val="dbdbdb"/>
        <w:id w:val="147470430"/>
        <w:docPartObj>
          <w:docPartGallery w:val="Table of Contents"/>
          <w:docPartUnique w:val="true"/>
        </w:docPartObj>
        <w:rPr>
          <w:rFonts w:hint="eastAsia" w:ascii="宋体" w:hAnsi="宋体" w:eastAsia="宋体" w:cs="宋体"/>
          <w:sz w:val="24"/>
          <w:szCs w:val="22"/>
          <w:lang w:val="en-US" w:eastAsia="zh-CN" w:bidi="ar-SA"/>
        </w:rPr>
      </w:sdtPr>
      <w:sdtContent>
        <w:p>
          <w:pPr>
            <w:ind w:left="0" w:right="0" w:firstLine="0"/>
            <w:jc w:val="center"/>
            <w:spacing w:before="0" w:after="0" w:line="240" w:lineRule="auto"/>
            <w:rPr>
              <w:rFonts w:hint="eastAsia" w:ascii="宋体" w:hAnsi="宋体" w:eastAsia="宋体" w:cs="宋体"/>
              <w:b/>
              <w:bCs/>
              <w:sz w:val="48"/>
              <w:szCs w:val="44"/>
            </w:rPr>
          </w:pPr>
          <w:r>
            <w:rPr>
              <w:rFonts w:hint="eastAsia" w:ascii="宋体" w:hAnsi="宋体" w:eastAsia="宋体" w:cs="宋体"/>
              <w:b/>
              <w:bCs/>
              <w:sz w:val="48"/>
              <w:szCs w:val="44"/>
            </w:rPr>
            <w:t xml:space="preserve">目录</w:t>
          </w:r>
          <w:r/>
        </w:p>
        <w:p>
          <w:pPr>
            <w:pStyle w:val="1017"/>
            <w:tabs>
              <w:tab w:val="right" w:pos="9412" w:leader="dot"/>
            </w:tabs>
            <w:rPr>
              <w:rFonts w:hint="eastAsia" w:ascii="宋体" w:hAnsi="宋体" w:eastAsia="宋体" w:cs="宋体"/>
              <w:sz w:val="32"/>
              <w:szCs w:val="22"/>
            </w:rPr>
          </w:pPr>
          <w:r>
            <w:rPr>
              <w:rFonts w:hint="eastAsia" w:ascii="宋体" w:hAnsi="宋体" w:eastAsia="宋体" w:cs="宋体"/>
              <w:sz w:val="32"/>
              <w:szCs w:val="22"/>
            </w:rPr>
            <w:fldChar w:fldCharType="begin"/>
          </w:r>
          <w:r>
            <w:rPr>
              <w:rFonts w:hint="eastAsia" w:ascii="宋体" w:hAnsi="宋体" w:eastAsia="宋体" w:cs="宋体"/>
              <w:sz w:val="32"/>
              <w:szCs w:val="22"/>
            </w:rPr>
            <w:instrText xml:space="preserve">TOC \o "1-1" \h \u </w:instrText>
          </w:r>
          <w:r>
            <w:rPr>
              <w:rFonts w:hint="eastAsia" w:ascii="宋体" w:hAnsi="宋体" w:eastAsia="宋体" w:cs="宋体"/>
              <w:sz w:val="32"/>
              <w:szCs w:val="22"/>
            </w:rPr>
            <w:fldChar w:fldCharType="separate"/>
          </w:r>
          <w:r>
            <w:rPr>
              <w:rFonts w:hint="eastAsia" w:ascii="宋体" w:hAnsi="宋体" w:eastAsia="宋体" w:cs="宋体"/>
              <w:sz w:val="32"/>
              <w:szCs w:val="22"/>
            </w:rPr>
            <w:fldChar w:fldCharType="begin"/>
          </w:r>
          <w:r>
            <w:rPr>
              <w:rFonts w:hint="eastAsia" w:ascii="宋体" w:hAnsi="宋体" w:eastAsia="宋体" w:cs="宋体"/>
              <w:sz w:val="32"/>
              <w:szCs w:val="22"/>
            </w:rPr>
            <w:instrText xml:space="preserve"> HYPERLINK \l _Toc10504 </w:instrText>
          </w:r>
          <w:r>
            <w:rPr>
              <w:rFonts w:hint="eastAsia" w:ascii="宋体" w:hAnsi="宋体" w:eastAsia="宋体" w:cs="宋体"/>
              <w:sz w:val="32"/>
              <w:szCs w:val="22"/>
            </w:rPr>
            <w:fldChar w:fldCharType="separate"/>
          </w:r>
          <w:r>
            <w:rPr>
              <w:rFonts w:hint="eastAsia" w:ascii="宋体" w:hAnsi="宋体" w:eastAsia="宋体" w:cs="宋体"/>
              <w:sz w:val="32"/>
              <w:szCs w:val="22"/>
              <w:highlight w:val="none"/>
            </w:rPr>
            <w:t xml:space="preserve">第一章 磋商邀请函</w:t>
          </w:r>
          <w:r>
            <w:rPr>
              <w:rFonts w:hint="eastAsia" w:ascii="宋体" w:hAnsi="宋体" w:eastAsia="宋体" w:cs="宋体"/>
              <w:sz w:val="32"/>
              <w:szCs w:val="22"/>
            </w:rPr>
            <w:tab/>
          </w:r>
          <w:r>
            <w:rPr>
              <w:rFonts w:hint="eastAsia" w:ascii="宋体" w:hAnsi="宋体" w:eastAsia="宋体" w:cs="宋体"/>
              <w:sz w:val="32"/>
              <w:szCs w:val="22"/>
            </w:rPr>
            <w:fldChar w:fldCharType="begin"/>
          </w:r>
          <w:r>
            <w:rPr>
              <w:rFonts w:hint="eastAsia" w:ascii="宋体" w:hAnsi="宋体" w:eastAsia="宋体" w:cs="宋体"/>
              <w:sz w:val="32"/>
              <w:szCs w:val="22"/>
            </w:rPr>
            <w:instrText xml:space="preserve"> PAGEREF _Toc10504 \h </w:instrText>
          </w:r>
          <w:r>
            <w:rPr>
              <w:rFonts w:hint="eastAsia" w:ascii="宋体" w:hAnsi="宋体" w:eastAsia="宋体" w:cs="宋体"/>
              <w:sz w:val="32"/>
              <w:szCs w:val="22"/>
            </w:rPr>
            <w:fldChar w:fldCharType="separate"/>
          </w:r>
          <w:r>
            <w:rPr>
              <w:rFonts w:hint="eastAsia" w:ascii="宋体" w:hAnsi="宋体" w:eastAsia="宋体" w:cs="宋体"/>
              <w:sz w:val="32"/>
              <w:szCs w:val="22"/>
            </w:rPr>
            <w:t xml:space="preserve">5</w:t>
          </w:r>
          <w:r>
            <w:rPr>
              <w:rFonts w:hint="eastAsia" w:ascii="宋体" w:hAnsi="宋体" w:eastAsia="宋体" w:cs="宋体"/>
              <w:sz w:val="32"/>
              <w:szCs w:val="22"/>
            </w:rPr>
            <w:fldChar w:fldCharType="end"/>
          </w:r>
          <w:r>
            <w:rPr>
              <w:rFonts w:hint="eastAsia" w:ascii="宋体" w:hAnsi="宋体" w:eastAsia="宋体" w:cs="宋体"/>
              <w:sz w:val="32"/>
              <w:szCs w:val="22"/>
            </w:rPr>
            <w:fldChar w:fldCharType="end"/>
          </w:r>
          <w:r/>
        </w:p>
        <w:p>
          <w:pPr>
            <w:pStyle w:val="1017"/>
            <w:tabs>
              <w:tab w:val="right" w:pos="9412" w:leader="dot"/>
            </w:tabs>
            <w:rPr>
              <w:rFonts w:hint="eastAsia" w:ascii="宋体" w:hAnsi="宋体" w:eastAsia="宋体" w:cs="宋体"/>
              <w:sz w:val="32"/>
              <w:szCs w:val="22"/>
            </w:rPr>
          </w:pPr>
          <w:r>
            <w:rPr>
              <w:rFonts w:hint="eastAsia" w:ascii="宋体" w:hAnsi="宋体" w:eastAsia="宋体" w:cs="宋体"/>
              <w:sz w:val="32"/>
              <w:szCs w:val="22"/>
            </w:rPr>
            <w:fldChar w:fldCharType="begin"/>
          </w:r>
          <w:r>
            <w:rPr>
              <w:rFonts w:hint="eastAsia" w:ascii="宋体" w:hAnsi="宋体" w:eastAsia="宋体" w:cs="宋体"/>
              <w:sz w:val="32"/>
              <w:szCs w:val="22"/>
            </w:rPr>
            <w:instrText xml:space="preserve"> HYPERLINK \l _Toc3621 </w:instrText>
          </w:r>
          <w:r>
            <w:rPr>
              <w:rFonts w:hint="eastAsia" w:ascii="宋体" w:hAnsi="宋体" w:eastAsia="宋体" w:cs="宋体"/>
              <w:sz w:val="32"/>
              <w:szCs w:val="22"/>
            </w:rPr>
            <w:fldChar w:fldCharType="separate"/>
          </w:r>
          <w:r>
            <w:rPr>
              <w:rFonts w:hint="eastAsia" w:ascii="宋体" w:hAnsi="宋体" w:eastAsia="宋体" w:cs="宋体"/>
              <w:sz w:val="32"/>
              <w:szCs w:val="22"/>
              <w:highlight w:val="none"/>
            </w:rPr>
            <w:t xml:space="preserve">第二章 磋商须知</w:t>
          </w:r>
          <w:r>
            <w:rPr>
              <w:rFonts w:hint="eastAsia" w:ascii="宋体" w:hAnsi="宋体" w:eastAsia="宋体" w:cs="宋体"/>
              <w:sz w:val="32"/>
              <w:szCs w:val="22"/>
            </w:rPr>
            <w:tab/>
          </w:r>
          <w:r>
            <w:rPr>
              <w:rFonts w:hint="eastAsia" w:ascii="宋体" w:hAnsi="宋体" w:eastAsia="宋体" w:cs="宋体"/>
              <w:sz w:val="32"/>
              <w:szCs w:val="22"/>
            </w:rPr>
            <w:fldChar w:fldCharType="begin"/>
          </w:r>
          <w:r>
            <w:rPr>
              <w:rFonts w:hint="eastAsia" w:ascii="宋体" w:hAnsi="宋体" w:eastAsia="宋体" w:cs="宋体"/>
              <w:sz w:val="32"/>
              <w:szCs w:val="22"/>
            </w:rPr>
            <w:instrText xml:space="preserve"> PAGEREF _Toc3621 \h </w:instrText>
          </w:r>
          <w:r>
            <w:rPr>
              <w:rFonts w:hint="eastAsia" w:ascii="宋体" w:hAnsi="宋体" w:eastAsia="宋体" w:cs="宋体"/>
              <w:sz w:val="32"/>
              <w:szCs w:val="22"/>
            </w:rPr>
            <w:fldChar w:fldCharType="separate"/>
          </w:r>
          <w:r>
            <w:rPr>
              <w:rFonts w:hint="eastAsia" w:ascii="宋体" w:hAnsi="宋体" w:eastAsia="宋体" w:cs="宋体"/>
              <w:sz w:val="32"/>
              <w:szCs w:val="22"/>
            </w:rPr>
            <w:t xml:space="preserve">8</w:t>
          </w:r>
          <w:r>
            <w:rPr>
              <w:rFonts w:hint="eastAsia" w:ascii="宋体" w:hAnsi="宋体" w:eastAsia="宋体" w:cs="宋体"/>
              <w:sz w:val="32"/>
              <w:szCs w:val="22"/>
            </w:rPr>
            <w:fldChar w:fldCharType="end"/>
          </w:r>
          <w:r>
            <w:rPr>
              <w:rFonts w:hint="eastAsia" w:ascii="宋体" w:hAnsi="宋体" w:eastAsia="宋体" w:cs="宋体"/>
              <w:sz w:val="32"/>
              <w:szCs w:val="22"/>
            </w:rPr>
            <w:fldChar w:fldCharType="end"/>
          </w:r>
          <w:r/>
        </w:p>
        <w:p>
          <w:pPr>
            <w:pStyle w:val="1017"/>
            <w:tabs>
              <w:tab w:val="right" w:pos="9412" w:leader="dot"/>
            </w:tabs>
            <w:rPr>
              <w:rFonts w:hint="eastAsia" w:ascii="宋体" w:hAnsi="宋体" w:eastAsia="宋体" w:cs="宋体"/>
              <w:sz w:val="32"/>
              <w:szCs w:val="22"/>
            </w:rPr>
          </w:pPr>
          <w:r>
            <w:rPr>
              <w:rFonts w:hint="eastAsia" w:ascii="宋体" w:hAnsi="宋体" w:eastAsia="宋体" w:cs="宋体"/>
              <w:sz w:val="32"/>
              <w:szCs w:val="22"/>
            </w:rPr>
            <w:fldChar w:fldCharType="begin"/>
          </w:r>
          <w:r>
            <w:rPr>
              <w:rFonts w:hint="eastAsia" w:ascii="宋体" w:hAnsi="宋体" w:eastAsia="宋体" w:cs="宋体"/>
              <w:sz w:val="32"/>
              <w:szCs w:val="22"/>
            </w:rPr>
            <w:instrText xml:space="preserve"> HYPERLINK \l _Toc24595 </w:instrText>
          </w:r>
          <w:r>
            <w:rPr>
              <w:rFonts w:hint="eastAsia" w:ascii="宋体" w:hAnsi="宋体" w:eastAsia="宋体" w:cs="宋体"/>
              <w:sz w:val="32"/>
              <w:szCs w:val="22"/>
            </w:rPr>
            <w:fldChar w:fldCharType="separate"/>
          </w:r>
          <w:r>
            <w:rPr>
              <w:rFonts w:hint="eastAsia" w:ascii="宋体" w:hAnsi="宋体" w:eastAsia="宋体" w:cs="宋体"/>
              <w:sz w:val="32"/>
              <w:szCs w:val="22"/>
              <w:highlight w:val="none"/>
            </w:rPr>
            <w:t xml:space="preserve">第三章 竞争性磋商文件</w:t>
          </w:r>
          <w:r>
            <w:rPr>
              <w:rFonts w:hint="eastAsia" w:ascii="宋体" w:hAnsi="宋体" w:eastAsia="宋体" w:cs="宋体"/>
              <w:sz w:val="32"/>
              <w:szCs w:val="22"/>
            </w:rPr>
            <w:tab/>
          </w:r>
          <w:r>
            <w:rPr>
              <w:rFonts w:hint="eastAsia" w:ascii="宋体" w:hAnsi="宋体" w:eastAsia="宋体" w:cs="宋体"/>
              <w:sz w:val="32"/>
              <w:szCs w:val="22"/>
            </w:rPr>
            <w:fldChar w:fldCharType="begin"/>
          </w:r>
          <w:r>
            <w:rPr>
              <w:rFonts w:hint="eastAsia" w:ascii="宋体" w:hAnsi="宋体" w:eastAsia="宋体" w:cs="宋体"/>
              <w:sz w:val="32"/>
              <w:szCs w:val="22"/>
            </w:rPr>
            <w:instrText xml:space="preserve"> PAGEREF _Toc24595 \h </w:instrText>
          </w:r>
          <w:r>
            <w:rPr>
              <w:rFonts w:hint="eastAsia" w:ascii="宋体" w:hAnsi="宋体" w:eastAsia="宋体" w:cs="宋体"/>
              <w:sz w:val="32"/>
              <w:szCs w:val="22"/>
            </w:rPr>
            <w:fldChar w:fldCharType="separate"/>
          </w:r>
          <w:r>
            <w:rPr>
              <w:rFonts w:hint="eastAsia" w:ascii="宋体" w:hAnsi="宋体" w:eastAsia="宋体" w:cs="宋体"/>
              <w:sz w:val="32"/>
              <w:szCs w:val="22"/>
            </w:rPr>
            <w:t xml:space="preserve">17</w:t>
          </w:r>
          <w:r>
            <w:rPr>
              <w:rFonts w:hint="eastAsia" w:ascii="宋体" w:hAnsi="宋体" w:eastAsia="宋体" w:cs="宋体"/>
              <w:sz w:val="32"/>
              <w:szCs w:val="22"/>
            </w:rPr>
            <w:fldChar w:fldCharType="end"/>
          </w:r>
          <w:r>
            <w:rPr>
              <w:rFonts w:hint="eastAsia" w:ascii="宋体" w:hAnsi="宋体" w:eastAsia="宋体" w:cs="宋体"/>
              <w:sz w:val="32"/>
              <w:szCs w:val="22"/>
            </w:rPr>
            <w:fldChar w:fldCharType="end"/>
          </w:r>
          <w:r/>
        </w:p>
        <w:p>
          <w:pPr>
            <w:pStyle w:val="1017"/>
            <w:tabs>
              <w:tab w:val="right" w:pos="9412" w:leader="dot"/>
            </w:tabs>
            <w:rPr>
              <w:rFonts w:hint="eastAsia" w:ascii="宋体" w:hAnsi="宋体" w:eastAsia="宋体" w:cs="宋体"/>
              <w:sz w:val="32"/>
              <w:szCs w:val="22"/>
            </w:rPr>
          </w:pPr>
          <w:r>
            <w:rPr>
              <w:rFonts w:hint="eastAsia" w:ascii="宋体" w:hAnsi="宋体" w:eastAsia="宋体" w:cs="宋体"/>
              <w:sz w:val="32"/>
              <w:szCs w:val="22"/>
            </w:rPr>
            <w:fldChar w:fldCharType="begin"/>
          </w:r>
          <w:r>
            <w:rPr>
              <w:rFonts w:hint="eastAsia" w:ascii="宋体" w:hAnsi="宋体" w:eastAsia="宋体" w:cs="宋体"/>
              <w:sz w:val="32"/>
              <w:szCs w:val="22"/>
            </w:rPr>
            <w:instrText xml:space="preserve"> HYPERLINK \l _Toc29675 </w:instrText>
          </w:r>
          <w:r>
            <w:rPr>
              <w:rFonts w:hint="eastAsia" w:ascii="宋体" w:hAnsi="宋体" w:eastAsia="宋体" w:cs="宋体"/>
              <w:sz w:val="32"/>
              <w:szCs w:val="22"/>
            </w:rPr>
            <w:fldChar w:fldCharType="separate"/>
          </w:r>
          <w:r>
            <w:rPr>
              <w:rFonts w:hint="eastAsia" w:ascii="宋体" w:hAnsi="宋体" w:eastAsia="宋体" w:cs="宋体"/>
              <w:sz w:val="32"/>
              <w:szCs w:val="22"/>
              <w:highlight w:val="none"/>
            </w:rPr>
            <w:t xml:space="preserve">第四章 评审方法及评分标准</w:t>
          </w:r>
          <w:r>
            <w:rPr>
              <w:rFonts w:hint="eastAsia" w:ascii="宋体" w:hAnsi="宋体" w:eastAsia="宋体" w:cs="宋体"/>
              <w:sz w:val="32"/>
              <w:szCs w:val="22"/>
            </w:rPr>
            <w:tab/>
          </w:r>
          <w:r>
            <w:rPr>
              <w:rFonts w:hint="eastAsia" w:ascii="宋体" w:hAnsi="宋体" w:eastAsia="宋体" w:cs="宋体"/>
              <w:sz w:val="32"/>
              <w:szCs w:val="22"/>
            </w:rPr>
            <w:fldChar w:fldCharType="begin"/>
          </w:r>
          <w:r>
            <w:rPr>
              <w:rFonts w:hint="eastAsia" w:ascii="宋体" w:hAnsi="宋体" w:eastAsia="宋体" w:cs="宋体"/>
              <w:sz w:val="32"/>
              <w:szCs w:val="22"/>
            </w:rPr>
            <w:instrText xml:space="preserve"> PAGEREF _Toc29675 \h </w:instrText>
          </w:r>
          <w:r>
            <w:rPr>
              <w:rFonts w:hint="eastAsia" w:ascii="宋体" w:hAnsi="宋体" w:eastAsia="宋体" w:cs="宋体"/>
              <w:sz w:val="32"/>
              <w:szCs w:val="22"/>
            </w:rPr>
            <w:fldChar w:fldCharType="separate"/>
          </w:r>
          <w:r>
            <w:rPr>
              <w:rFonts w:hint="eastAsia" w:ascii="宋体" w:hAnsi="宋体" w:eastAsia="宋体" w:cs="宋体"/>
              <w:sz w:val="32"/>
              <w:szCs w:val="22"/>
            </w:rPr>
            <w:t xml:space="preserve">22</w:t>
          </w:r>
          <w:r>
            <w:rPr>
              <w:rFonts w:hint="eastAsia" w:ascii="宋体" w:hAnsi="宋体" w:eastAsia="宋体" w:cs="宋体"/>
              <w:sz w:val="32"/>
              <w:szCs w:val="22"/>
            </w:rPr>
            <w:fldChar w:fldCharType="end"/>
          </w:r>
          <w:r>
            <w:rPr>
              <w:rFonts w:hint="eastAsia" w:ascii="宋体" w:hAnsi="宋体" w:eastAsia="宋体" w:cs="宋体"/>
              <w:sz w:val="32"/>
              <w:szCs w:val="22"/>
            </w:rPr>
            <w:fldChar w:fldCharType="end"/>
          </w:r>
          <w:r/>
        </w:p>
        <w:p>
          <w:pPr>
            <w:pStyle w:val="1017"/>
            <w:tabs>
              <w:tab w:val="right" w:pos="9412" w:leader="dot"/>
            </w:tabs>
            <w:rPr>
              <w:rFonts w:hint="eastAsia" w:ascii="宋体" w:hAnsi="宋体" w:eastAsia="宋体" w:cs="宋体"/>
              <w:sz w:val="32"/>
              <w:szCs w:val="22"/>
            </w:rPr>
          </w:pPr>
          <w:r>
            <w:rPr>
              <w:rFonts w:hint="eastAsia" w:ascii="宋体" w:hAnsi="宋体" w:eastAsia="宋体" w:cs="宋体"/>
              <w:sz w:val="32"/>
              <w:szCs w:val="22"/>
            </w:rPr>
            <w:fldChar w:fldCharType="begin"/>
          </w:r>
          <w:r>
            <w:rPr>
              <w:rFonts w:hint="eastAsia" w:ascii="宋体" w:hAnsi="宋体" w:eastAsia="宋体" w:cs="宋体"/>
              <w:sz w:val="32"/>
              <w:szCs w:val="22"/>
            </w:rPr>
            <w:instrText xml:space="preserve"> HYPERLINK \l _Toc13099 </w:instrText>
          </w:r>
          <w:r>
            <w:rPr>
              <w:rFonts w:hint="eastAsia" w:ascii="宋体" w:hAnsi="宋体" w:eastAsia="宋体" w:cs="宋体"/>
              <w:sz w:val="32"/>
              <w:szCs w:val="22"/>
            </w:rPr>
            <w:fldChar w:fldCharType="separate"/>
          </w:r>
          <w:r>
            <w:rPr>
              <w:rFonts w:hint="eastAsia" w:ascii="宋体" w:hAnsi="宋体" w:eastAsia="宋体" w:cs="宋体"/>
              <w:sz w:val="32"/>
              <w:szCs w:val="22"/>
              <w:highlight w:val="none"/>
            </w:rPr>
            <w:t xml:space="preserve">第五章 合同主要条款</w:t>
          </w:r>
          <w:r>
            <w:rPr>
              <w:rFonts w:hint="eastAsia" w:ascii="宋体" w:hAnsi="宋体" w:eastAsia="宋体" w:cs="宋体"/>
              <w:sz w:val="32"/>
              <w:szCs w:val="22"/>
            </w:rPr>
            <w:tab/>
          </w:r>
          <w:r>
            <w:rPr>
              <w:rFonts w:hint="eastAsia" w:ascii="宋体" w:hAnsi="宋体" w:eastAsia="宋体" w:cs="宋体"/>
              <w:sz w:val="32"/>
              <w:szCs w:val="22"/>
            </w:rPr>
            <w:fldChar w:fldCharType="begin"/>
          </w:r>
          <w:r>
            <w:rPr>
              <w:rFonts w:hint="eastAsia" w:ascii="宋体" w:hAnsi="宋体" w:eastAsia="宋体" w:cs="宋体"/>
              <w:sz w:val="32"/>
              <w:szCs w:val="22"/>
            </w:rPr>
            <w:instrText xml:space="preserve"> PAGEREF _Toc13099 \h </w:instrText>
          </w:r>
          <w:r>
            <w:rPr>
              <w:rFonts w:hint="eastAsia" w:ascii="宋体" w:hAnsi="宋体" w:eastAsia="宋体" w:cs="宋体"/>
              <w:sz w:val="32"/>
              <w:szCs w:val="22"/>
            </w:rPr>
            <w:fldChar w:fldCharType="separate"/>
          </w:r>
          <w:r>
            <w:rPr>
              <w:rFonts w:hint="eastAsia" w:ascii="宋体" w:hAnsi="宋体" w:eastAsia="宋体" w:cs="宋体"/>
              <w:sz w:val="32"/>
              <w:szCs w:val="22"/>
            </w:rPr>
            <w:t xml:space="preserve">26</w:t>
          </w:r>
          <w:r>
            <w:rPr>
              <w:rFonts w:hint="eastAsia" w:ascii="宋体" w:hAnsi="宋体" w:eastAsia="宋体" w:cs="宋体"/>
              <w:sz w:val="32"/>
              <w:szCs w:val="22"/>
            </w:rPr>
            <w:fldChar w:fldCharType="end"/>
          </w:r>
          <w:r>
            <w:rPr>
              <w:rFonts w:hint="eastAsia" w:ascii="宋体" w:hAnsi="宋体" w:eastAsia="宋体" w:cs="宋体"/>
              <w:sz w:val="32"/>
              <w:szCs w:val="22"/>
            </w:rPr>
            <w:fldChar w:fldCharType="end"/>
          </w:r>
          <w:r/>
        </w:p>
        <w:p>
          <w:pPr>
            <w:pStyle w:val="1017"/>
            <w:tabs>
              <w:tab w:val="right" w:pos="9412" w:leader="dot"/>
            </w:tabs>
            <w:rPr>
              <w:rFonts w:hint="eastAsia" w:ascii="宋体" w:hAnsi="宋体" w:eastAsia="宋体" w:cs="宋体"/>
              <w:sz w:val="32"/>
              <w:szCs w:val="22"/>
            </w:rPr>
          </w:pPr>
          <w:r>
            <w:rPr>
              <w:rFonts w:hint="eastAsia" w:ascii="宋体" w:hAnsi="宋体" w:eastAsia="宋体" w:cs="宋体"/>
              <w:sz w:val="32"/>
              <w:szCs w:val="22"/>
            </w:rPr>
            <w:fldChar w:fldCharType="begin"/>
          </w:r>
          <w:r>
            <w:rPr>
              <w:rFonts w:hint="eastAsia" w:ascii="宋体" w:hAnsi="宋体" w:eastAsia="宋体" w:cs="宋体"/>
              <w:sz w:val="32"/>
              <w:szCs w:val="22"/>
            </w:rPr>
            <w:instrText xml:space="preserve"> HYPERLINK \l _Toc32257 </w:instrText>
          </w:r>
          <w:r>
            <w:rPr>
              <w:rFonts w:hint="eastAsia" w:ascii="宋体" w:hAnsi="宋体" w:eastAsia="宋体" w:cs="宋体"/>
              <w:sz w:val="32"/>
              <w:szCs w:val="22"/>
            </w:rPr>
            <w:fldChar w:fldCharType="separate"/>
          </w:r>
          <w:r>
            <w:rPr>
              <w:rFonts w:hint="eastAsia" w:ascii="宋体" w:hAnsi="宋体" w:eastAsia="宋体" w:cs="宋体"/>
              <w:sz w:val="32"/>
              <w:szCs w:val="22"/>
              <w:highlight w:val="none"/>
            </w:rPr>
            <w:t xml:space="preserve">第六章</w:t>
          </w:r>
          <w:r>
            <w:rPr>
              <w:rFonts w:hint="eastAsia" w:ascii="宋体" w:hAnsi="宋体" w:eastAsia="宋体" w:cs="宋体"/>
              <w:sz w:val="32"/>
              <w:szCs w:val="22"/>
              <w:highlight w:val="none"/>
              <w:lang w:val="en-US"/>
            </w:rPr>
            <w:t xml:space="preserve"> </w:t>
          </w:r>
          <w:r>
            <w:rPr>
              <w:rFonts w:hint="eastAsia" w:ascii="宋体" w:hAnsi="宋体" w:eastAsia="宋体" w:cs="宋体"/>
              <w:sz w:val="32"/>
              <w:szCs w:val="22"/>
              <w:highlight w:val="none"/>
            </w:rPr>
            <w:t xml:space="preserve">附件</w:t>
          </w:r>
          <w:r>
            <w:rPr>
              <w:rFonts w:hint="eastAsia" w:ascii="宋体" w:hAnsi="宋体" w:eastAsia="宋体" w:cs="宋体"/>
              <w:sz w:val="32"/>
              <w:szCs w:val="22"/>
            </w:rPr>
            <w:tab/>
          </w:r>
          <w:r>
            <w:rPr>
              <w:rFonts w:hint="eastAsia" w:ascii="宋体" w:hAnsi="宋体" w:eastAsia="宋体" w:cs="宋体"/>
              <w:sz w:val="32"/>
              <w:szCs w:val="22"/>
            </w:rPr>
            <w:fldChar w:fldCharType="begin"/>
          </w:r>
          <w:r>
            <w:rPr>
              <w:rFonts w:hint="eastAsia" w:ascii="宋体" w:hAnsi="宋体" w:eastAsia="宋体" w:cs="宋体"/>
              <w:sz w:val="32"/>
              <w:szCs w:val="22"/>
            </w:rPr>
            <w:instrText xml:space="preserve"> PAGEREF _Toc32257 \h </w:instrText>
          </w:r>
          <w:r>
            <w:rPr>
              <w:rFonts w:hint="eastAsia" w:ascii="宋体" w:hAnsi="宋体" w:eastAsia="宋体" w:cs="宋体"/>
              <w:sz w:val="32"/>
              <w:szCs w:val="22"/>
            </w:rPr>
            <w:fldChar w:fldCharType="separate"/>
          </w:r>
          <w:r>
            <w:rPr>
              <w:rFonts w:hint="eastAsia" w:ascii="宋体" w:hAnsi="宋体" w:eastAsia="宋体" w:cs="宋体"/>
              <w:sz w:val="32"/>
              <w:szCs w:val="22"/>
            </w:rPr>
            <w:t xml:space="preserve">31</w:t>
          </w:r>
          <w:r>
            <w:rPr>
              <w:rFonts w:hint="eastAsia" w:ascii="宋体" w:hAnsi="宋体" w:eastAsia="宋体" w:cs="宋体"/>
              <w:sz w:val="32"/>
              <w:szCs w:val="22"/>
            </w:rPr>
            <w:fldChar w:fldCharType="end"/>
          </w:r>
          <w:r>
            <w:rPr>
              <w:rFonts w:hint="eastAsia" w:ascii="宋体" w:hAnsi="宋体" w:eastAsia="宋体" w:cs="宋体"/>
              <w:sz w:val="32"/>
              <w:szCs w:val="22"/>
            </w:rPr>
            <w:fldChar w:fldCharType="end"/>
          </w:r>
          <w:r/>
        </w:p>
        <w:p>
          <w:pPr>
            <w:rPr>
              <w:rFonts w:ascii="Times New Roman" w:hAnsi="Times New Roman" w:eastAsia="宋体" w:cs="Times New Roman"/>
              <w:sz w:val="21"/>
              <w:lang w:val="en-US" w:eastAsia="zh-CN" w:bidi="ar-SA"/>
            </w:rPr>
          </w:pPr>
          <w:r>
            <w:rPr>
              <w:rFonts w:hint="eastAsia" w:ascii="宋体" w:hAnsi="宋体" w:eastAsia="宋体" w:cs="宋体"/>
              <w:sz w:val="24"/>
              <w:szCs w:val="22"/>
            </w:rPr>
            <w:fldChar w:fldCharType="end"/>
          </w:r>
          <w:r/>
        </w:p>
      </w:sdtContent>
    </w:sdt>
    <w:p>
      <w:pPr>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1052"/>
        <w:spacing w:line="480" w:lineRule="auto"/>
        <w:rPr>
          <w:rFonts w:hint="eastAsia" w:hAnsi="宋体" w:cs="宋体"/>
          <w:color w:val="auto"/>
          <w:sz w:val="48"/>
          <w:szCs w:val="48"/>
          <w:highlight w:val="none"/>
        </w:rPr>
      </w:pPr>
      <w:r>
        <w:rPr>
          <w:rFonts w:hint="eastAsia" w:hAnsi="宋体" w:cs="宋体"/>
          <w:bCs/>
          <w:color w:val="auto"/>
          <w:sz w:val="32"/>
          <w:szCs w:val="48"/>
          <w:highlight w:val="none"/>
        </w:rPr>
        <w:fldChar w:fldCharType="end"/>
      </w:r>
      <w:r/>
    </w:p>
    <w:p>
      <w:pPr>
        <w:ind w:right="-506"/>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left="899" w:right="-506" w:firstLine="2891"/>
        <w:spacing w:line="360" w:lineRule="auto"/>
        <w:rPr>
          <w:rFonts w:hint="eastAsia" w:ascii="宋体" w:hAnsi="宋体" w:cs="宋体"/>
          <w:b/>
          <w:color w:val="auto"/>
          <w:sz w:val="32"/>
          <w:szCs w:val="32"/>
          <w:highlight w:val="none"/>
        </w:rPr>
        <w:sectPr>
          <w:headerReference w:type="default" r:id="rId9"/>
          <w:footerReference w:type="default" r:id="rId11"/>
          <w:footerReference w:type="first" r:id="rId12"/>
          <w:footnotePr/>
          <w:endnotePr/>
          <w:type w:val="nextPage"/>
          <w:pgSz w:w="11906" w:h="16838" w:orient="portrait"/>
          <w:pgMar w:top="680" w:right="1247" w:bottom="680" w:left="1247" w:header="851" w:footer="794" w:gutter="0"/>
          <w:pgNumType w:start="1"/>
          <w:cols w:num="1" w:sep="0" w:space="720" w:equalWidth="1"/>
          <w:docGrid w:linePitch="360"/>
        </w:sectPr>
      </w:pPr>
      <w:r>
        <w:rPr>
          <w:rFonts w:hint="eastAsia" w:ascii="宋体" w:hAnsi="宋体" w:cs="宋体"/>
          <w:b/>
          <w:color w:val="auto"/>
          <w:sz w:val="32"/>
          <w:szCs w:val="32"/>
          <w:highlight w:val="none"/>
        </w:rPr>
      </w:r>
      <w:r/>
    </w:p>
    <w:p>
      <w:pPr>
        <w:jc w:val="center"/>
        <w:rPr>
          <w:rFonts w:hint="eastAsia" w:ascii="宋体" w:hAnsi="宋体" w:cs="宋体"/>
          <w:color w:val="auto"/>
          <w:highlight w:val="none"/>
        </w:rPr>
      </w:pPr>
      <w:r/>
      <w:bookmarkStart w:id="1" w:name="_Toc15681"/>
      <w:r/>
      <w:bookmarkStart w:id="2" w:name="_Toc12642"/>
      <w:r/>
      <w:bookmarkStart w:id="3" w:name="_Toc16121"/>
      <w:r/>
      <w:bookmarkStart w:id="4" w:name="_Toc17003"/>
      <w:r>
        <w:rPr>
          <w:rFonts w:hint="eastAsia" w:ascii="宋体" w:hAnsi="宋体" w:cs="宋体"/>
          <w:b/>
          <w:color w:val="auto"/>
          <w:spacing w:val="20"/>
          <w:sz w:val="30"/>
          <w:highlight w:val="none"/>
        </w:rPr>
        <w:t xml:space="preserve">前 附 表</w:t>
      </w:r>
      <w:bookmarkEnd w:id="1"/>
      <w:r/>
      <w:bookmarkEnd w:id="2"/>
      <w:r/>
      <w:bookmarkEnd w:id="3"/>
      <w:r/>
      <w:bookmarkEnd w:id="4"/>
      <w:r/>
      <w:r/>
    </w:p>
    <w:tbl>
      <w:tblPr>
        <w:tblStyle w:val="999"/>
        <w:tblW w:w="4927" w:type="pct"/>
        <w:tblInd w:w="0" w:type="dxa"/>
        <w:tblLayout w:type="autofit"/>
        <w:tblCellMar>
          <w:left w:w="0" w:type="dxa"/>
          <w:top w:w="0" w:type="dxa"/>
          <w:right w:w="0" w:type="dxa"/>
          <w:bottom w:w="0" w:type="dxa"/>
        </w:tblCellMar>
        <w:tblLook w:val="04A0" w:firstRow="1" w:lastRow="0" w:firstColumn="1" w:lastColumn="0" w:noHBand="0" w:noVBand="1"/>
      </w:tblPr>
      <w:tblGrid>
        <w:gridCol w:w="829"/>
        <w:gridCol w:w="1958"/>
        <w:gridCol w:w="6923"/>
      </w:tblGrid>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内               容</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12"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JSZC-320507-SZHJ-C2026-0010</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12"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2026-2029年绿化养护监理服务</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tabs>
                <w:tab w:val="left" w:pos="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采购代理机构</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名称：江苏鸿渐投资咨询管理有限公司</w:t>
            </w:r>
            <w:r/>
          </w:p>
          <w:p>
            <w:pPr>
              <w:spacing w:line="3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地址：苏州市</w:t>
            </w:r>
            <w:r>
              <w:rPr>
                <w:rFonts w:hint="eastAsia" w:ascii="宋体" w:hAnsi="宋体" w:cs="宋体"/>
                <w:color w:val="auto"/>
                <w:szCs w:val="21"/>
                <w:highlight w:val="none"/>
                <w:lang w:val="en-US" w:eastAsia="zh-CN"/>
              </w:rPr>
              <w:t xml:space="preserve">相城区</w:t>
            </w:r>
            <w:r>
              <w:rPr>
                <w:rFonts w:hint="eastAsia" w:ascii="宋体" w:hAnsi="宋体" w:cs="宋体"/>
                <w:color w:val="auto"/>
                <w:szCs w:val="21"/>
                <w:highlight w:val="none"/>
                <w:lang w:val="zh-CN"/>
              </w:rPr>
              <w:t xml:space="preserve">相城大道666号中翔大厦25楼 </w:t>
            </w:r>
            <w:r/>
          </w:p>
          <w:p>
            <w:pPr>
              <w:spacing w:line="360" w:lineRule="exact"/>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lang w:eastAsia="zh-CN"/>
              </w:rPr>
              <w:t xml:space="preserve">葛思陇、魏瑜伽</w:t>
            </w:r>
            <w:r/>
          </w:p>
          <w:p>
            <w:pPr>
              <w:spacing w:line="360" w:lineRule="exact"/>
              <w:rPr>
                <w:rFonts w:hint="eastAsia" w:ascii="宋体" w:hAnsi="宋体" w:cs="宋体"/>
                <w:color w:val="auto"/>
                <w:highlight w:val="none"/>
              </w:rPr>
            </w:pPr>
            <w:r>
              <w:rPr>
                <w:rFonts w:hint="eastAsia" w:ascii="宋体" w:hAnsi="宋体" w:cs="宋体"/>
                <w:color w:val="auto"/>
                <w:szCs w:val="21"/>
                <w:highlight w:val="none"/>
                <w:lang w:val="zh-CN"/>
              </w:rPr>
              <w:t xml:space="preserve">联系电话：0512-87770870</w:t>
            </w:r>
            <w:r/>
          </w:p>
        </w:tc>
      </w:tr>
      <w:tr>
        <w:trPr>
          <w:trHeight w:val="5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zh-CN"/>
              </w:rPr>
              <w:t xml:space="preserve">名称：</w:t>
            </w:r>
            <w:r>
              <w:rPr>
                <w:rFonts w:hint="eastAsia" w:ascii="宋体" w:hAnsi="宋体" w:cs="宋体"/>
                <w:color w:val="auto"/>
                <w:szCs w:val="21"/>
                <w:highlight w:val="none"/>
                <w:lang w:eastAsia="zh-CN"/>
              </w:rPr>
              <w:t xml:space="preserve">苏州市相城区园林绿化建设管理中心</w:t>
            </w:r>
            <w:r/>
          </w:p>
          <w:p>
            <w:pP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lang w:eastAsia="zh-CN"/>
              </w:rPr>
              <w:t xml:space="preserve">苏州市相城区阳澄湖东路 8 号</w:t>
            </w:r>
            <w:r/>
          </w:p>
          <w:p>
            <w:pP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胡延东</w:t>
            </w:r>
            <w:r/>
          </w:p>
          <w:p>
            <w:pP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lang w:val="en-US" w:eastAsia="zh-CN"/>
              </w:rPr>
              <w:t xml:space="preserve">0512-85181343</w:t>
            </w:r>
            <w:r/>
          </w:p>
        </w:tc>
      </w:tr>
      <w:tr>
        <w:trPr>
          <w:trHeight w:val="5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领取成交通知书时</w:t>
            </w:r>
            <w:r>
              <w:rPr>
                <w:rFonts w:hint="eastAsia" w:ascii="宋体" w:hAnsi="宋体" w:cs="宋体"/>
                <w:color w:val="auto"/>
                <w:szCs w:val="21"/>
                <w:highlight w:val="none"/>
                <w:lang w:val="en-US" w:eastAsia="zh-CN"/>
              </w:rPr>
              <w:t xml:space="preserve">成交供应商</w:t>
            </w:r>
            <w:r>
              <w:rPr>
                <w:rFonts w:hint="eastAsia" w:ascii="宋体" w:hAnsi="宋体" w:cs="宋体"/>
                <w:color w:val="auto"/>
                <w:szCs w:val="21"/>
                <w:highlight w:val="none"/>
              </w:rPr>
              <w:t xml:space="preserve">向招标代理机构一次性付清。本项目代理费金额为</w:t>
            </w:r>
            <w:r>
              <w:rPr>
                <w:rFonts w:hint="eastAsia" w:ascii="宋体" w:hAnsi="宋体" w:cs="宋体"/>
                <w:color w:val="auto"/>
                <w:szCs w:val="21"/>
                <w:highlight w:val="none"/>
                <w:lang w:val="en-US" w:eastAsia="zh-CN"/>
              </w:rPr>
              <w:t xml:space="preserve">20280</w:t>
            </w:r>
            <w:r>
              <w:rPr>
                <w:rFonts w:hint="eastAsia" w:ascii="宋体" w:hAnsi="宋体" w:cs="宋体"/>
                <w:color w:val="auto"/>
                <w:szCs w:val="21"/>
                <w:highlight w:val="none"/>
              </w:rPr>
              <w:t xml:space="preserve">.00元，</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所投报价应当包含该项目代理服务费。</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服务费的收取按差额定率累进法计算。 </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收费标准：预算金额100万以下费率为预算金额的1.5%；</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预算金额100－500万费率为预算金额的1.1%。</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交纳账户名：江苏鸿渐投资咨询管理有限公司</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开户银行：苏州银行扬东支行</w:t>
            </w:r>
            <w:r/>
          </w:p>
          <w:p>
            <w:pPr>
              <w:ind w:right="360"/>
              <w:spacing w:line="360" w:lineRule="auto"/>
              <w:rPr>
                <w:rFonts w:hint="eastAsia" w:ascii="宋体" w:hAnsi="宋体" w:cs="宋体"/>
                <w:color w:val="auto"/>
                <w:szCs w:val="21"/>
                <w:highlight w:val="none"/>
                <w:lang w:val="zh-CN"/>
              </w:rPr>
            </w:pPr>
            <w:r>
              <w:rPr>
                <w:rFonts w:hint="eastAsia" w:ascii="宋体" w:hAnsi="宋体" w:cs="宋体"/>
                <w:color w:val="auto"/>
                <w:sz w:val="21"/>
                <w:szCs w:val="21"/>
                <w:highlight w:val="none"/>
              </w:rPr>
              <w:t xml:space="preserve">账   号：7066100141120102000580</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详见采购文件第二章</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本项目不收取磋商保证金，</w:t>
            </w:r>
            <w:r>
              <w:rPr>
                <w:rFonts w:hint="eastAsia" w:ascii="宋体" w:hAnsi="宋体" w:cs="宋体"/>
                <w:color w:val="auto"/>
                <w:szCs w:val="21"/>
                <w:highlight w:val="none"/>
              </w:rPr>
              <w:t xml:space="preserve">投标（响应）人应在投标（响应）文件中提交《投标（响应）保证承诺书》，否则为无效投标。</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响应文件提交截止之日起六十天（日历日）</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响应文件网上</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numPr>
                <w:ilvl w:val="0"/>
                <w:numId w:val="0"/>
              </w:numPr>
              <w:jc w:val="left"/>
              <w:spacing w:line="312" w:lineRule="auto"/>
              <w:rPr>
                <w:rFonts w:hint="eastAsia" w:ascii="宋体" w:hAnsi="宋体" w:cs="宋体"/>
                <w:color w:val="auto"/>
                <w:szCs w:val="21"/>
                <w:highlight w:val="none"/>
              </w:rPr>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2026-7-6  </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13:30</w:t>
            </w:r>
            <w:r>
              <w:rPr>
                <w:rFonts w:hint="eastAsia" w:ascii="宋体" w:hAnsi="宋体" w:cs="宋体"/>
                <w:color w:val="auto"/>
                <w:szCs w:val="21"/>
                <w:highlight w:val="none"/>
              </w:rPr>
              <w:t xml:space="preserve">（北京时间）</w:t>
            </w:r>
            <w:r/>
          </w:p>
          <w:p>
            <w:pPr>
              <w:jc w:val="left"/>
              <w:spacing w:line="312"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响应文件必须在截止时间前完成提交（上传），逾期提交（上传）的响应文件恕不接受。</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numPr>
                <w:ilvl w:val="0"/>
                <w:numId w:val="0"/>
              </w:numPr>
              <w:jc w:val="left"/>
              <w:spacing w:line="312" w:lineRule="auto"/>
              <w:rPr>
                <w:rFonts w:hint="eastAsia" w:ascii="宋体" w:hAnsi="宋体" w:cs="宋体"/>
                <w:color w:val="auto"/>
                <w:szCs w:val="21"/>
                <w:highlight w:val="none"/>
              </w:rPr>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2026-7-6  </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13:30</w:t>
            </w:r>
            <w:r>
              <w:rPr>
                <w:rFonts w:hint="eastAsia" w:ascii="宋体" w:hAnsi="宋体" w:cs="宋体"/>
                <w:color w:val="auto"/>
                <w:szCs w:val="21"/>
                <w:highlight w:val="none"/>
              </w:rPr>
              <w:t xml:space="preserve">（北京时间）</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r>
            <w:r/>
          </w:p>
          <w:p>
            <w:pPr>
              <w:jc w:val="left"/>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left"/>
              <w:spacing w:line="312"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本项目为不见面磋商项目，开启阶段供应商在【供应商解密】环节必须使用CA证书解密电子响应文件，如在系统规定的解密时间内未能完成解密的视为放弃参与本项目。</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numPr>
                <w:ilvl w:val="0"/>
                <w:numId w:val="0"/>
              </w:numPr>
              <w:jc w:val="left"/>
              <w:spacing w:line="312" w:lineRule="auto"/>
              <w:rPr>
                <w:rFonts w:hint="eastAsia" w:ascii="宋体" w:hAnsi="宋体" w:cs="宋体"/>
                <w:color w:val="auto"/>
                <w:szCs w:val="21"/>
                <w:highlight w:val="none"/>
              </w:rPr>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2026-7-6  </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13:30</w:t>
            </w:r>
            <w:r>
              <w:rPr>
                <w:rFonts w:hint="eastAsia" w:ascii="宋体" w:hAnsi="宋体" w:cs="宋体"/>
                <w:color w:val="auto"/>
                <w:szCs w:val="21"/>
                <w:highlight w:val="none"/>
              </w:rPr>
              <w:t xml:space="preserve">（北京时间）</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r>
            <w:r/>
          </w:p>
          <w:p>
            <w:pPr>
              <w:jc w:val="left"/>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本项目采用电子响应文件，供应商按照采购文件要求制作上传电子响应文件，供应商无需提供纸质响应文件。</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pStyle w:val="1050"/>
              <w:ind w:firstLine="0"/>
              <w:keepLines w:val="0"/>
              <w:keepNext w:val="0"/>
              <w:pageBreakBefore w:val="0"/>
              <w:spacing w:line="312"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确定出成交单位后，采购代理机构在法定时间内向成交单位发出成交通知书。成交通知书将成为合同的组成部分。</w:t>
            </w:r>
            <w:r/>
          </w:p>
          <w:p>
            <w:pPr>
              <w:pStyle w:val="1050"/>
              <w:ind w:firstLine="0"/>
              <w:keepLines w:val="0"/>
              <w:keepNext w:val="0"/>
              <w:pageBreakBefore w:val="0"/>
              <w:spacing w:line="312"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请成交单位在成交结果公告届满之日起30日内,使用CA证书登录“苏采云”系统及时下载成交通知书。</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pct"/>
            <w:vAlign w:val="center"/>
            <w:textDirection w:val="lrTb"/>
            <w:noWrap w:val="false"/>
          </w:tcPr>
          <w:p>
            <w:pPr>
              <w:jc w:val="center"/>
              <w:spacing w:line="85" w:lineRule="atLeast"/>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导致废标</w:t>
            </w:r>
            <w:r/>
          </w:p>
          <w:p>
            <w:pPr>
              <w:jc w:val="center"/>
              <w:spacing w:line="85" w:lineRule="atLeast"/>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4" w:type="pct"/>
            <w:vAlign w:val="center"/>
            <w:textDirection w:val="lrTb"/>
            <w:noWrap w:val="false"/>
          </w:tcPr>
          <w:p>
            <w:pPr>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出现下列情形之一的，为废标： </w:t>
            </w:r>
            <w:r/>
          </w:p>
          <w:p>
            <w:pPr>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（一）符合专业条件的</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val="zh-CN"/>
              </w:rPr>
              <w:t xml:space="preserve">或者对采购文件作实质响应的</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val="zh-CN"/>
              </w:rPr>
              <w:t xml:space="preserve">不足三家的； </w:t>
            </w:r>
            <w:r/>
          </w:p>
          <w:p>
            <w:pPr>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（二）出现影响采购公正的违法、违规行为的； </w:t>
            </w:r>
            <w:r/>
          </w:p>
          <w:p>
            <w:pPr>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（三）</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val="zh-CN"/>
              </w:rPr>
              <w:t xml:space="preserve">的报价均超过了采购预算，采购人不能支付的； </w:t>
            </w:r>
            <w:r/>
          </w:p>
          <w:p>
            <w:pPr>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（四）因重大变故，采购任务取消的。</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pct"/>
            <w:vAlign w:val="center"/>
            <w:textDirection w:val="lrTb"/>
            <w:noWrap w:val="false"/>
          </w:tcPr>
          <w:p>
            <w:pPr>
              <w:jc w:val="center"/>
              <w:spacing w:line="85" w:lineRule="atLeast"/>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投标无效因素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4" w:type="pct"/>
            <w:vAlign w:val="center"/>
            <w:textDirection w:val="lrTb"/>
            <w:noWrap w:val="false"/>
          </w:tcPr>
          <w:p>
            <w:pPr>
              <w:jc w:val="both"/>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（一）有下列情形之一的，视为</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val="zh-CN"/>
              </w:rPr>
              <w:t xml:space="preserve">串通投标，其</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无效：</w:t>
            </w:r>
            <w:r/>
          </w:p>
          <w:p>
            <w:pPr>
              <w:jc w:val="both"/>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val="zh-CN"/>
              </w:rPr>
              <w:t xml:space="preserve">的响应文件由同一单位或者个人编制；</w:t>
            </w:r>
            <w:r/>
          </w:p>
          <w:p>
            <w:pPr>
              <w:jc w:val="both"/>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val="zh-CN"/>
              </w:rPr>
              <w:t xml:space="preserve">委托同一单位或者个人办理磋商事宜；</w:t>
            </w:r>
            <w:r/>
          </w:p>
          <w:p>
            <w:pPr>
              <w:jc w:val="both"/>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val="zh-CN"/>
              </w:rPr>
              <w:t xml:space="preserve">的响应文件载明的项目管理成员或者联系人员为同一人；</w:t>
            </w:r>
            <w:r/>
          </w:p>
          <w:p>
            <w:pPr>
              <w:jc w:val="both"/>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val="zh-CN"/>
              </w:rPr>
              <w:t xml:space="preserve">的响应文件异常一致或者报价呈规律性差异；</w:t>
            </w:r>
            <w:r/>
          </w:p>
          <w:p>
            <w:pPr>
              <w:jc w:val="both"/>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（二）</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val="zh-CN"/>
              </w:rPr>
              <w:t xml:space="preserve">存在下列情况之一的，</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无效:</w:t>
            </w:r>
            <w:r/>
          </w:p>
          <w:p>
            <w:pPr>
              <w:jc w:val="both"/>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未按照采购文件的规定提交投标（响应）保证承诺书的；</w:t>
            </w:r>
            <w:r/>
          </w:p>
          <w:p>
            <w:pPr>
              <w:jc w:val="both"/>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未按照采购文件规定要求签署、盖章</w:t>
            </w:r>
            <w:r>
              <w:rPr>
                <w:rFonts w:hint="eastAsia" w:ascii="宋体" w:hAnsi="宋体" w:cs="宋体"/>
                <w:color w:val="auto"/>
                <w:szCs w:val="21"/>
                <w:highlight w:val="none"/>
                <w:lang w:val="en-US" w:eastAsia="zh-CN"/>
              </w:rPr>
              <w:t xml:space="preserve">或签章的</w:t>
            </w:r>
            <w:r>
              <w:rPr>
                <w:rFonts w:hint="eastAsia" w:ascii="宋体" w:hAnsi="宋体" w:cs="宋体"/>
                <w:color w:val="auto"/>
                <w:szCs w:val="21"/>
                <w:highlight w:val="none"/>
                <w:lang w:val="zh-CN"/>
              </w:rPr>
              <w:t xml:space="preserve">；</w:t>
            </w:r>
            <w:r/>
          </w:p>
          <w:p>
            <w:pPr>
              <w:jc w:val="both"/>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不具备采购文件中规定资格要求；</w:t>
            </w:r>
            <w:r/>
          </w:p>
          <w:p>
            <w:pPr>
              <w:jc w:val="both"/>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响应文件含有采购人不能接受的附加条件的；</w:t>
            </w:r>
            <w:r/>
          </w:p>
          <w:p>
            <w:pPr>
              <w:jc w:val="both"/>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w:t>
            </w:r>
            <w:r>
              <w:rPr>
                <w:rFonts w:ascii="宋体" w:hAnsi="宋体" w:cs="宋体"/>
                <w:color w:val="auto"/>
                <w:szCs w:val="21"/>
                <w:highlight w:val="none"/>
                <w:lang w:val="zh-CN"/>
              </w:rPr>
              <w:t xml:space="preserve">不同</w:t>
            </w:r>
            <w:r>
              <w:rPr>
                <w:rFonts w:hint="eastAsia" w:ascii="宋体" w:hAnsi="宋体" w:cs="宋体"/>
                <w:color w:val="auto"/>
                <w:szCs w:val="21"/>
                <w:highlight w:val="none"/>
                <w:lang w:val="en-US" w:eastAsia="zh-CN"/>
              </w:rPr>
              <w:t xml:space="preserve">供应商</w:t>
            </w:r>
            <w:r>
              <w:rPr>
                <w:rFonts w:ascii="宋体" w:hAnsi="宋体" w:cs="宋体"/>
                <w:color w:val="auto"/>
                <w:szCs w:val="21"/>
                <w:highlight w:val="none"/>
                <w:lang w:val="zh-CN"/>
              </w:rPr>
              <w:t xml:space="preserve">的电子</w:t>
            </w:r>
            <w:r>
              <w:rPr>
                <w:rFonts w:hint="eastAsia" w:ascii="宋体" w:hAnsi="宋体" w:cs="宋体"/>
                <w:color w:val="auto"/>
                <w:szCs w:val="21"/>
                <w:highlight w:val="none"/>
              </w:rPr>
              <w:t xml:space="preserve">响应</w:t>
            </w:r>
            <w:r>
              <w:rPr>
                <w:rFonts w:ascii="宋体" w:hAnsi="宋体" w:cs="宋体"/>
                <w:color w:val="auto"/>
                <w:szCs w:val="21"/>
                <w:highlight w:val="none"/>
                <w:lang w:val="zh-CN"/>
              </w:rPr>
              <w:t xml:space="preserve">文件制作机器码一致</w:t>
            </w:r>
            <w:r>
              <w:rPr>
                <w:rFonts w:hint="eastAsia" w:ascii="宋体" w:hAnsi="宋体" w:cs="宋体"/>
                <w:color w:val="auto"/>
                <w:szCs w:val="21"/>
                <w:highlight w:val="none"/>
                <w:lang w:val="zh-CN"/>
              </w:rPr>
              <w:t xml:space="preserve">；</w:t>
            </w:r>
            <w:r/>
          </w:p>
          <w:p>
            <w:pPr>
              <w:jc w:val="both"/>
              <w:keepLines w:val="0"/>
              <w:keepNext w:val="0"/>
              <w:pageBreakBefore w:val="0"/>
              <w:spacing w:line="312" w:lineRule="auto"/>
              <w:widowControl w:val="off"/>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法律、法规和采购文件规定的其他无效情形。</w:t>
            </w:r>
            <w:r/>
          </w:p>
        </w:tc>
      </w:tr>
    </w:tbl>
    <w:p>
      <w:pPr>
        <w:rPr>
          <w:rFonts w:hint="eastAsia" w:ascii="宋体" w:hAnsi="宋体" w:cs="宋体"/>
          <w:color w:val="auto"/>
          <w:highlight w:val="none"/>
        </w:rPr>
      </w:pPr>
      <w:r/>
      <w:bookmarkStart w:id="5" w:name="_Toc16848"/>
      <w:r>
        <w:rPr>
          <w:rFonts w:hint="eastAsia" w:ascii="宋体" w:hAnsi="宋体" w:cs="宋体"/>
          <w:color w:val="auto"/>
          <w:highlight w:val="none"/>
        </w:rPr>
        <w:br w:type="page" w:clear="all"/>
      </w:r>
      <w:r/>
    </w:p>
    <w:p>
      <w:pPr>
        <w:pStyle w:val="989"/>
        <w:jc w:val="center"/>
        <w:spacing w:line="416" w:lineRule="auto"/>
        <w:rPr>
          <w:rFonts w:hint="eastAsia" w:ascii="宋体" w:hAnsi="宋体" w:cs="宋体"/>
          <w:color w:val="auto"/>
          <w:highlight w:val="none"/>
        </w:rPr>
      </w:pPr>
      <w:r/>
      <w:bookmarkStart w:id="6" w:name="_Toc10504"/>
      <w:r>
        <w:rPr>
          <w:rFonts w:hint="eastAsia" w:ascii="宋体" w:hAnsi="宋体" w:cs="宋体"/>
          <w:color w:val="auto"/>
          <w:highlight w:val="none"/>
        </w:rPr>
        <w:t xml:space="preserve">第一章 磋商邀请函</w:t>
      </w:r>
      <w:bookmarkEnd w:id="5"/>
      <w:r/>
      <w:bookmarkEnd w:id="6"/>
      <w:r/>
      <w:r/>
    </w:p>
    <w:tbl>
      <w:tblPr>
        <w:tblStyle w:val="999"/>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668"/>
      </w:tblGrid>
      <w:tr>
        <w:trPr/>
        <w:tc>
          <w:tcPr>
            <w:shd w:val="clear" w:color="auto" w:fill="ffffff"/>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1023"/>
              <w:jc w:val="both"/>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rPr>
              <w:pBdr>
                <w:left w:val="none" w:color="auto" w:sz="0" w:space="0"/>
              </w:pBdr>
              <w:outlineLvl w:val="9"/>
              <w:suppressLineNumbers w:val="0"/>
            </w:pPr>
            <w:r/>
            <w:bookmarkStart w:id="7" w:name="_Toc120614213"/>
            <w:r/>
            <w:bookmarkStart w:id="8" w:name="_Toc16938518"/>
            <w:r/>
            <w:bookmarkStart w:id="9" w:name="_Toc20823274"/>
            <w:r/>
            <w:bookmarkStart w:id="10" w:name="_Toc403987204"/>
            <w:r/>
            <w:bookmarkStart w:id="11" w:name="_Toc513029202"/>
            <w:r>
              <w:rPr>
                <w:rFonts w:hint="eastAsia" w:ascii="宋体" w:hAnsi="宋体" w:eastAsia="宋体" w:cs="宋体"/>
                <w:color w:val="auto"/>
                <w:sz w:val="21"/>
                <w:szCs w:val="21"/>
                <w:highlight w:val="none"/>
              </w:rPr>
              <w:t xml:space="preserve">项目概况</w:t>
            </w:r>
            <w:r/>
          </w:p>
          <w:p>
            <w:pPr>
              <w:pStyle w:val="1023"/>
              <w:jc w:val="both"/>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rPr>
              <w:pBdr>
                <w:left w:val="none" w:color="auto" w:sz="0" w:space="0"/>
              </w:pBdr>
              <w:outlineLvl w:val="9"/>
              <w:suppressLineNumbers w:val="0"/>
            </w:pPr>
            <w:r>
              <w:rPr>
                <w:rFonts w:hint="eastAsia" w:ascii="宋体" w:hAnsi="宋体" w:eastAsia="宋体" w:cs="宋体"/>
                <w:color w:val="auto"/>
                <w:sz w:val="21"/>
                <w:szCs w:val="21"/>
                <w:highlight w:val="none"/>
              </w:rPr>
              <w:t xml:space="preserve">2026-2029年绿化养护监理服务 </w:t>
            </w:r>
            <w:r>
              <w:rPr>
                <w:rFonts w:hint="eastAsia" w:cs="宋体"/>
                <w:color w:val="auto"/>
                <w:sz w:val="21"/>
                <w:szCs w:val="21"/>
                <w:highlight w:val="none"/>
                <w:lang w:eastAsia="zh-CN"/>
              </w:rPr>
              <w:t xml:space="preserve">JSZC-320507-SZHJ-C2026-0010</w:t>
            </w:r>
            <w:r>
              <w:rPr>
                <w:rFonts w:hint="eastAsia" w:ascii="宋体" w:hAnsi="宋体" w:eastAsia="宋体" w:cs="宋体"/>
                <w:color w:val="auto"/>
                <w:sz w:val="21"/>
                <w:szCs w:val="21"/>
                <w:highlight w:val="none"/>
              </w:rPr>
              <w:t xml:space="preserve"> 采购项目的潜在供应商应在“苏采云”系统 获取采购文件，并于</w:t>
            </w:r>
            <w:r>
              <w:rPr>
                <w:rFonts w:hint="eastAsia" w:cs="宋体"/>
                <w:color w:val="auto"/>
                <w:sz w:val="21"/>
                <w:szCs w:val="21"/>
                <w:highlight w:val="none"/>
                <w:lang w:eastAsia="zh-CN"/>
              </w:rPr>
              <w:t xml:space="preserve">2026-7-6</w:t>
            </w:r>
            <w:r>
              <w:rPr>
                <w:rFonts w:hint="eastAsia" w:ascii="宋体" w:hAnsi="宋体" w:eastAsia="宋体" w:cs="宋体"/>
                <w:color w:val="auto"/>
                <w:sz w:val="21"/>
                <w:szCs w:val="21"/>
                <w:highlight w:val="none"/>
              </w:rPr>
              <w:t xml:space="preserve"> 13:30（北京时间）前提交响应文件。</w:t>
            </w:r>
            <w:r/>
          </w:p>
        </w:tc>
      </w:tr>
    </w:tbl>
    <w:p>
      <w:pPr>
        <w:pStyle w:val="990"/>
        <w:ind w:left="0" w:firstLine="422"/>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suppressLineNumbers w:val="0"/>
      </w:pPr>
      <w:r>
        <w:rPr>
          <w:rStyle w:val="1036"/>
          <w:rFonts w:hint="eastAsia" w:ascii="宋体" w:hAnsi="宋体" w:eastAsia="宋体" w:cs="宋体"/>
          <w:b/>
          <w:bCs/>
          <w:i w:val="0"/>
          <w:iCs w:val="0"/>
          <w:caps w:val="0"/>
          <w:color w:val="auto"/>
          <w:spacing w:val="0"/>
          <w:sz w:val="21"/>
          <w:szCs w:val="21"/>
          <w:u w:val="none"/>
          <w:shd w:val="clear" w:color="auto" w:fill="ffffff"/>
        </w:rPr>
        <w:t xml:space="preserve">一、项目基本情况</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项目编号：</w:t>
      </w:r>
      <w:r>
        <w:rPr>
          <w:rFonts w:hint="eastAsia" w:cs="宋体"/>
          <w:i w:val="0"/>
          <w:iCs w:val="0"/>
          <w:caps w:val="0"/>
          <w:color w:val="auto"/>
          <w:spacing w:val="0"/>
          <w:sz w:val="21"/>
          <w:szCs w:val="21"/>
          <w:u w:val="none"/>
          <w:shd w:val="clear" w:color="auto" w:fill="ffffff"/>
          <w:lang w:eastAsia="zh-CN"/>
        </w:rPr>
        <w:t xml:space="preserve">JSZC-320507-SZHJ-C2026-0010</w:t>
      </w:r>
      <w:r>
        <w:rPr>
          <w:rFonts w:hint="eastAsia" w:ascii="宋体" w:hAnsi="宋体" w:eastAsia="宋体" w:cs="宋体"/>
          <w:i w:val="0"/>
          <w:iCs w:val="0"/>
          <w:caps w:val="0"/>
          <w:color w:val="auto"/>
          <w:spacing w:val="0"/>
          <w:sz w:val="21"/>
          <w:szCs w:val="21"/>
          <w:u w:val="none"/>
          <w:shd w:val="clear" w:color="auto" w:fill="ffffff"/>
        </w:rPr>
        <w:t xml:space="preserve"> </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项目名称：2026-2029年绿化养护监理服务 </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采购方式：竞争性磋商 </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预算金额：148.000000万元 </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最高限价（如有）：148.000000万元  </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color w:val="auto"/>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采购需求：</w:t>
      </w: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2026-2029年绿化养护监理服务，具体详见采购文件。</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合同履行期限：自签订合同之日起3年。 </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本项目（是/否）接受联合体：否 </w:t>
      </w:r>
      <w:r/>
    </w:p>
    <w:p>
      <w:pPr>
        <w:pStyle w:val="990"/>
        <w:ind w:left="0" w:firstLine="422"/>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suppressLineNumbers w:val="0"/>
      </w:pPr>
      <w:r>
        <w:rPr>
          <w:rStyle w:val="1036"/>
          <w:rFonts w:hint="eastAsia" w:ascii="宋体" w:hAnsi="宋体" w:eastAsia="宋体" w:cs="宋体"/>
          <w:b/>
          <w:bCs/>
          <w:i w:val="0"/>
          <w:iCs w:val="0"/>
          <w:caps w:val="0"/>
          <w:color w:val="auto"/>
          <w:spacing w:val="0"/>
          <w:sz w:val="21"/>
          <w:szCs w:val="21"/>
          <w:u w:val="none"/>
          <w:shd w:val="clear" w:color="auto" w:fill="ffffff"/>
        </w:rPr>
        <w:t xml:space="preserve">二、申请人的资格要求：</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（一）满足《中华人民共和国政府采购法》第二十二条规定：</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1.具有独立承担民事责任的能力证明；</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2.具有良好的商业信誉和健全的财务会计制度；</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3.具有履行合同所必需的设备和专业技术能力；</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4.有依法缴纳税收和社会保障资金的良好记录；</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5.参加政府采购活动前3年内，在经营活动中没有重大违法记录；</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6.法律、行政法规规定的其他条件。</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（二）落实政府采购政策需满足的资格要求：</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1.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（三）本项目的特定资格要求：</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1.响应单位具有市政公用工程监理乙级工程监理资质或工程监理综合资质。</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2.未被“信用中国”网站（www.creditchina.gov.cn）列入失信被执行人、重大税收违法案件当事人名单、政府采购严重失信行为记录名单。</w:t>
      </w:r>
      <w:r/>
    </w:p>
    <w:p>
      <w:pPr>
        <w:pStyle w:val="990"/>
        <w:ind w:left="0" w:firstLine="422"/>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suppressLineNumbers w:val="0"/>
      </w:pPr>
      <w:r>
        <w:rPr>
          <w:rStyle w:val="1036"/>
          <w:rFonts w:hint="eastAsia" w:ascii="宋体" w:hAnsi="宋体" w:eastAsia="宋体" w:cs="宋体"/>
          <w:b/>
          <w:bCs/>
          <w:i w:val="0"/>
          <w:iCs w:val="0"/>
          <w:caps w:val="0"/>
          <w:color w:val="auto"/>
          <w:spacing w:val="0"/>
          <w:sz w:val="21"/>
          <w:szCs w:val="21"/>
          <w:u w:val="none"/>
          <w:shd w:val="clear" w:color="auto" w:fill="ffffff"/>
        </w:rPr>
        <w:t xml:space="preserve">三、获取采购文件</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时间：自磋商文件公告发布之日起5个工作日 </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地点：“苏采云”系统 </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方式：自行下载 </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售价：0.00元 </w:t>
      </w:r>
      <w:r/>
    </w:p>
    <w:p>
      <w:pPr>
        <w:pStyle w:val="990"/>
        <w:ind w:left="0" w:firstLine="422"/>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suppressLineNumbers w:val="0"/>
      </w:pPr>
      <w:r>
        <w:rPr>
          <w:rStyle w:val="1036"/>
          <w:rFonts w:hint="eastAsia" w:ascii="宋体" w:hAnsi="宋体" w:eastAsia="宋体" w:cs="宋体"/>
          <w:b/>
          <w:bCs/>
          <w:i w:val="0"/>
          <w:iCs w:val="0"/>
          <w:caps w:val="0"/>
          <w:color w:val="auto"/>
          <w:spacing w:val="0"/>
          <w:sz w:val="21"/>
          <w:szCs w:val="21"/>
          <w:u w:val="none"/>
          <w:shd w:val="clear" w:color="auto" w:fill="ffffff"/>
        </w:rPr>
        <w:t xml:space="preserve">四、响应文件提交</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截止时间：</w:t>
      </w:r>
      <w:r>
        <w:rPr>
          <w:rFonts w:hint="eastAsia" w:cs="宋体"/>
          <w:color w:val="auto"/>
          <w:sz w:val="21"/>
          <w:szCs w:val="21"/>
          <w:highlight w:val="none"/>
          <w:lang w:eastAsia="zh-CN"/>
        </w:rPr>
        <w:t xml:space="preserve">2026-7-6</w:t>
      </w:r>
      <w:r>
        <w:rPr>
          <w:rFonts w:hint="eastAsia" w:ascii="宋体" w:hAnsi="宋体" w:eastAsia="宋体" w:cs="宋体"/>
          <w:color w:val="auto"/>
          <w:sz w:val="21"/>
          <w:szCs w:val="21"/>
          <w:highlight w:val="none"/>
        </w:rPr>
        <w:t xml:space="preserve"> 13:30</w:t>
      </w:r>
      <w:r>
        <w:rPr>
          <w:rFonts w:hint="eastAsia" w:ascii="宋体" w:hAnsi="宋体" w:eastAsia="宋体" w:cs="宋体"/>
          <w:i w:val="0"/>
          <w:iCs w:val="0"/>
          <w:caps w:val="0"/>
          <w:color w:val="auto"/>
          <w:spacing w:val="0"/>
          <w:sz w:val="21"/>
          <w:szCs w:val="21"/>
          <w:u w:val="none"/>
          <w:shd w:val="clear" w:color="auto" w:fill="ffffff"/>
        </w:rPr>
        <w:t xml:space="preserve">（北京时间）</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地点：“苏采云”系统 </w:t>
      </w:r>
      <w:r/>
    </w:p>
    <w:p>
      <w:pPr>
        <w:pStyle w:val="990"/>
        <w:ind w:left="0" w:firstLine="422"/>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suppressLineNumbers w:val="0"/>
      </w:pPr>
      <w:r>
        <w:rPr>
          <w:rStyle w:val="1036"/>
          <w:rFonts w:hint="eastAsia" w:ascii="宋体" w:hAnsi="宋体" w:eastAsia="宋体" w:cs="宋体"/>
          <w:b/>
          <w:bCs/>
          <w:i w:val="0"/>
          <w:iCs w:val="0"/>
          <w:caps w:val="0"/>
          <w:color w:val="auto"/>
          <w:spacing w:val="0"/>
          <w:sz w:val="21"/>
          <w:szCs w:val="21"/>
          <w:u w:val="none"/>
          <w:shd w:val="clear" w:color="auto" w:fill="ffffff"/>
        </w:rPr>
        <w:t xml:space="preserve">五、开启</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时间：</w:t>
      </w:r>
      <w:r>
        <w:rPr>
          <w:rFonts w:hint="eastAsia" w:cs="宋体"/>
          <w:color w:val="auto"/>
          <w:sz w:val="21"/>
          <w:szCs w:val="21"/>
          <w:highlight w:val="none"/>
          <w:lang w:eastAsia="zh-CN"/>
        </w:rPr>
        <w:t xml:space="preserve">2026-7-6</w:t>
      </w:r>
      <w:r>
        <w:rPr>
          <w:rFonts w:hint="eastAsia" w:ascii="宋体" w:hAnsi="宋体" w:eastAsia="宋体" w:cs="宋体"/>
          <w:color w:val="auto"/>
          <w:sz w:val="21"/>
          <w:szCs w:val="21"/>
          <w:highlight w:val="none"/>
        </w:rPr>
        <w:t xml:space="preserve"> 13:30</w:t>
      </w:r>
      <w:r>
        <w:rPr>
          <w:rFonts w:hint="eastAsia" w:ascii="宋体" w:hAnsi="宋体" w:eastAsia="宋体" w:cs="宋体"/>
          <w:i w:val="0"/>
          <w:iCs w:val="0"/>
          <w:caps w:val="0"/>
          <w:color w:val="auto"/>
          <w:spacing w:val="0"/>
          <w:sz w:val="21"/>
          <w:szCs w:val="21"/>
          <w:u w:val="none"/>
          <w:shd w:val="clear" w:color="auto" w:fill="ffffff"/>
        </w:rPr>
        <w:t xml:space="preserve">（北京时间）</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地点：苏州市市辖区政府采购不见面虚拟开标室 </w:t>
      </w:r>
      <w:r/>
    </w:p>
    <w:p>
      <w:pPr>
        <w:pStyle w:val="990"/>
        <w:ind w:left="0" w:firstLine="422"/>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suppressLineNumbers w:val="0"/>
      </w:pPr>
      <w:r>
        <w:rPr>
          <w:rStyle w:val="1036"/>
          <w:rFonts w:hint="eastAsia" w:ascii="宋体" w:hAnsi="宋体" w:eastAsia="宋体" w:cs="宋体"/>
          <w:b/>
          <w:bCs/>
          <w:i w:val="0"/>
          <w:iCs w:val="0"/>
          <w:caps w:val="0"/>
          <w:color w:val="auto"/>
          <w:spacing w:val="0"/>
          <w:sz w:val="21"/>
          <w:szCs w:val="21"/>
          <w:u w:val="none"/>
          <w:shd w:val="clear" w:color="auto" w:fill="ffffff"/>
        </w:rPr>
        <w:t xml:space="preserve">六、公告期限</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自本公告发布之日起3个工作日。</w:t>
      </w:r>
      <w:r/>
    </w:p>
    <w:p>
      <w:pPr>
        <w:pStyle w:val="990"/>
        <w:ind w:left="0" w:firstLine="422"/>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suppressLineNumbers w:val="0"/>
      </w:pPr>
      <w:r>
        <w:rPr>
          <w:rStyle w:val="1036"/>
          <w:rFonts w:hint="eastAsia" w:ascii="宋体" w:hAnsi="宋体" w:eastAsia="宋体" w:cs="宋体"/>
          <w:b/>
          <w:bCs/>
          <w:i w:val="0"/>
          <w:iCs w:val="0"/>
          <w:caps w:val="0"/>
          <w:color w:val="auto"/>
          <w:spacing w:val="0"/>
          <w:sz w:val="21"/>
          <w:szCs w:val="21"/>
          <w:u w:val="none"/>
          <w:shd w:val="clear" w:color="auto" w:fill="ffffff"/>
        </w:rPr>
        <w:t xml:space="preserve">七、其他补充事宜</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1.政府采购监督管理部门监督电话：0512-67591005、0512-67591006。</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2.本次采购的有关信息将在中国政府采购网、江苏政府采购网、苏州市政府采购网上发布，敬请留意。</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3.采购文件的获取方式：</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（1）CA证书办理</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（2）参与采购活动</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（3）电子投标准备</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在系统操作过程中如有疑问，请按以下方式联系：</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注册咨询：13914088964；</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CA技术咨询电话：400-608-6099；</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签章使用问题：025-83633811、025-83633812、15380932027、15371015030；</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系统使用指导与咨询：联系电话：13914088964；智能客服：登录苏采云系统后，联系系统右下方智能客服图标进行咨询。本项目获取采购文件截止日期之后仍可以下载采购文件，但截止日期之后下载的采购文件，视为非有效方式且不作为供应商权益受到损害的证明材料和依据。</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Style w:val="1103"/>
          <w:rFonts w:hint="eastAsia" w:ascii="宋体" w:hAnsi="宋体" w:eastAsia="宋体" w:cs="宋体"/>
          <w:b/>
          <w:bCs/>
          <w:i w:val="0"/>
          <w:iCs w:val="0"/>
          <w:caps w:val="0"/>
          <w:color w:val="auto"/>
          <w:spacing w:val="0"/>
          <w:sz w:val="21"/>
          <w:szCs w:val="21"/>
          <w:u w:val="none"/>
          <w:shd w:val="clear" w:color="auto" w:fill="ffffff"/>
          <w:lang w:val="en-US" w:eastAsia="zh-CN" w:bidi="ar"/>
        </w:rPr>
        <w:t xml:space="preserve">供应商应充分考虑到网络环境、网络带宽等风险因素，如因供应商自身原因造成的电子响应文件上传不成功由供应商自行承担全部责任。</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w:t>
      </w:r>
      <w:r>
        <w:rPr>
          <w:rStyle w:val="1103"/>
          <w:rFonts w:hint="eastAsia" w:ascii="宋体" w:hAnsi="宋体" w:eastAsia="宋体" w:cs="宋体"/>
          <w:b/>
          <w:bCs/>
          <w:i w:val="0"/>
          <w:iCs w:val="0"/>
          <w:caps w:val="0"/>
          <w:color w:val="auto"/>
          <w:spacing w:val="0"/>
          <w:sz w:val="21"/>
          <w:szCs w:val="21"/>
          <w:u w:val="none"/>
          <w:shd w:val="clear" w:color="auto" w:fill="ffffff"/>
          <w:lang w:val="en-US" w:eastAsia="zh-CN" w:bidi="ar"/>
        </w:rPr>
        <w:t xml:space="preserve">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6.本项目获取采购文件截止日期之后仍可以下载采购文件，但截止日期之后下载的采购文件，视为非有效方式且不作为供应商权益受到损害的证明材料和依据。</w:t>
      </w:r>
      <w:r/>
    </w:p>
    <w:p>
      <w:pPr>
        <w:pStyle w:val="1023"/>
        <w:ind w:left="0" w:right="0" w:firstLine="420"/>
        <w:jc w:val="both"/>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lang w:val="en-US" w:eastAsia="zh-CN" w:bidi="ar"/>
        </w:rPr>
        <w:t xml:space="preserve">7.根据苏州市财政局《关于深入开展苏州市政府采购合同信用融资业务的通知》相关要求，本项目支持政府采购合同信用融资。</w:t>
      </w:r>
      <w:r/>
    </w:p>
    <w:p>
      <w:pPr>
        <w:pStyle w:val="990"/>
        <w:ind w:left="0" w:firstLine="422"/>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suppressLineNumbers w:val="0"/>
      </w:pPr>
      <w:r>
        <w:rPr>
          <w:rStyle w:val="1036"/>
          <w:rFonts w:hint="eastAsia" w:ascii="宋体" w:hAnsi="宋体" w:eastAsia="宋体" w:cs="宋体"/>
          <w:b/>
          <w:bCs/>
          <w:i w:val="0"/>
          <w:iCs w:val="0"/>
          <w:caps w:val="0"/>
          <w:color w:val="auto"/>
          <w:spacing w:val="0"/>
          <w:sz w:val="21"/>
          <w:szCs w:val="21"/>
          <w:u w:val="none"/>
          <w:shd w:val="clear" w:color="auto" w:fill="ffffff"/>
        </w:rPr>
        <w:t xml:space="preserve">八、凡对本次采购提出询问，请按以下方式联系。</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1.采购人信息</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单位名称：苏州市相城区园林绿化建设管理中心</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单位地址：苏州市相城区阳澄湖东路 8 号</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联系人：胡延东</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联系电话：0512-85181343</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2.采购代理机构信息（如有）</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单位名称：江苏鸿渐投资咨询管理有限公司</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单位地址：苏州市相城区中翔大厦25楼</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联系人：葛思陇、魏瑜伽</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联系电话：0512-87770870</w:t>
      </w:r>
      <w:r/>
    </w:p>
    <w:p>
      <w:pPr>
        <w:pStyle w:val="1023"/>
        <w:ind w:left="0" w:firstLine="420"/>
        <w:keepLines w:val="0"/>
        <w:keepNext w:val="0"/>
        <w:pageBreakBefore w:val="0"/>
        <w:spacing w:before="0" w:beforeAutospacing="0" w:afterAutospacing="0" w:line="400" w:lineRule="exact"/>
        <w:shd w:val="clear" w:color="auto" w:fill="ffffff"/>
        <w:widowControl/>
        <w:rPr>
          <w:rFonts w:hint="eastAsia" w:ascii="宋体" w:hAnsi="宋体" w:eastAsia="宋体" w:cs="宋体"/>
          <w:i w:val="0"/>
          <w:iCs w:val="0"/>
          <w:caps w:val="0"/>
          <w:color w:val="auto"/>
          <w:spacing w:val="0"/>
          <w:sz w:val="21"/>
          <w:szCs w:val="21"/>
          <w:u w:val="none"/>
        </w:rPr>
        <w:pBdr>
          <w:left w:val="none" w:color="auto" w:sz="0" w:space="0"/>
        </w:pBdr>
        <w:suppressLineNumbers w:val="0"/>
      </w:pPr>
      <w:r>
        <w:rPr>
          <w:rFonts w:hint="eastAsia" w:ascii="宋体" w:hAnsi="宋体" w:eastAsia="宋体" w:cs="宋体"/>
          <w:i w:val="0"/>
          <w:iCs w:val="0"/>
          <w:caps w:val="0"/>
          <w:color w:val="auto"/>
          <w:spacing w:val="0"/>
          <w:sz w:val="21"/>
          <w:szCs w:val="21"/>
          <w:u w:val="none"/>
          <w:shd w:val="clear" w:color="auto" w:fill="ffffff"/>
        </w:rPr>
        <w:t xml:space="preserve">3.项目联系方式</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项目联系人：葛思陇、魏瑜伽</w:t>
      </w:r>
      <w:r/>
    </w:p>
    <w:p>
      <w:pPr>
        <w:pStyle w:val="1023"/>
        <w:ind w:firstLine="420"/>
        <w:keepLines w:val="0"/>
        <w:keepNext w:val="0"/>
        <w:pageBreakBefore w:val="0"/>
        <w:spacing w:before="0" w:beforeAutospacing="0" w:afterAutospacing="0" w:line="400" w:lineRule="exact"/>
        <w:widowControl/>
        <w:rPr>
          <w:rFonts w:hint="eastAsia" w:ascii="宋体" w:hAnsi="宋体" w:eastAsia="宋体" w:cs="宋体"/>
          <w:color w:val="auto"/>
          <w:sz w:val="21"/>
          <w:szCs w:val="21"/>
          <w:u w:val="none"/>
        </w:rPr>
        <w:suppressLineNumbers w:val="0"/>
      </w:pPr>
      <w:r>
        <w:rPr>
          <w:rFonts w:hint="eastAsia" w:ascii="宋体" w:hAnsi="宋体" w:eastAsia="宋体" w:cs="宋体"/>
          <w:i w:val="0"/>
          <w:iCs w:val="0"/>
          <w:caps w:val="0"/>
          <w:color w:val="auto"/>
          <w:spacing w:val="0"/>
          <w:sz w:val="21"/>
          <w:szCs w:val="21"/>
          <w:u w:val="none"/>
          <w:shd w:val="clear" w:color="auto" w:fill="ffffff"/>
        </w:rPr>
        <w:t xml:space="preserve">电话：0512-87770870</w:t>
      </w:r>
      <w:r/>
    </w:p>
    <w:p>
      <w:pPr>
        <w:pStyle w:val="1023"/>
        <w:ind w:firstLine="420"/>
        <w:jc w:val="both"/>
        <w:keepLines w:val="0"/>
        <w:keepNext w:val="0"/>
        <w:pageBreakBefore w:val="0"/>
        <w:spacing w:before="0" w:beforeAutospacing="0" w:afterAutospacing="0" w:line="360" w:lineRule="auto"/>
        <w:widowControl/>
        <w:rPr>
          <w:rFonts w:hint="eastAsia" w:ascii="宋体" w:hAnsi="宋体" w:eastAsia="宋体" w:cs="宋体"/>
          <w:i w:val="0"/>
          <w:iCs w:val="0"/>
          <w:caps w:val="0"/>
          <w:color w:val="auto"/>
          <w:spacing w:val="0"/>
          <w:sz w:val="21"/>
          <w:szCs w:val="21"/>
          <w:highlight w:val="none"/>
          <w:u w:val="none"/>
          <w:shd w:val="clear" w:color="auto" w:fill="ffffff"/>
          <w:lang w:val="zh-CN"/>
        </w:rPr>
        <w:outlineLvl w:val="9"/>
        <w:suppressLineNumbers w:val="0"/>
      </w:pPr>
      <w:r>
        <w:rPr>
          <w:rFonts w:hint="eastAsia" w:ascii="宋体" w:hAnsi="宋体" w:eastAsia="宋体" w:cs="宋体"/>
          <w:i w:val="0"/>
          <w:iCs w:val="0"/>
          <w:caps w:val="0"/>
          <w:color w:val="auto"/>
          <w:spacing w:val="0"/>
          <w:sz w:val="21"/>
          <w:szCs w:val="21"/>
          <w:highlight w:val="none"/>
          <w:u w:val="none"/>
          <w:shd w:val="clear" w:color="auto" w:fill="ffffff"/>
          <w:lang w:val="zh-CN"/>
        </w:rPr>
      </w:r>
      <w:bookmarkEnd w:id="7"/>
      <w:r/>
      <w:bookmarkEnd w:id="8"/>
      <w:r/>
      <w:bookmarkEnd w:id="9"/>
      <w:r/>
      <w:bookmarkEnd w:id="10"/>
      <w:r/>
      <w:bookmarkEnd w:id="11"/>
      <w:r/>
      <w:r/>
    </w:p>
    <w:p>
      <w:pPr>
        <w:pStyle w:val="1023"/>
        <w:ind w:firstLine="420"/>
        <w:jc w:val="both"/>
        <w:keepLines w:val="0"/>
        <w:keepNext w:val="0"/>
        <w:pageBreakBefore w:val="0"/>
        <w:spacing w:before="0" w:beforeAutospacing="0" w:afterAutospacing="0" w:line="360" w:lineRule="auto"/>
        <w:widowControl/>
        <w:rPr>
          <w:rFonts w:hint="eastAsia" w:ascii="宋体" w:hAnsi="宋体" w:eastAsia="宋体" w:cs="宋体"/>
          <w:i w:val="0"/>
          <w:iCs w:val="0"/>
          <w:caps w:val="0"/>
          <w:color w:val="auto"/>
          <w:spacing w:val="0"/>
          <w:sz w:val="21"/>
          <w:szCs w:val="21"/>
          <w:highlight w:val="none"/>
          <w:u w:val="none"/>
          <w:shd w:val="clear" w:color="auto" w:fill="ffffff"/>
        </w:rPr>
        <w:sectPr>
          <w:headerReference w:type="default" r:id="rId10"/>
          <w:footerReference w:type="default" r:id="rId13"/>
          <w:footnotePr/>
          <w:endnotePr/>
          <w:type w:val="nextPage"/>
          <w:pgSz w:w="11906" w:h="16838" w:orient="portrait"/>
          <w:pgMar w:top="1134" w:right="1134" w:bottom="1134" w:left="1134" w:header="454" w:footer="794" w:gutter="0"/>
          <w:cols w:num="1" w:sep="0" w:space="720" w:equalWidth="1"/>
          <w:docGrid w:linePitch="360"/>
        </w:sectPr>
        <w:outlineLvl w:val="9"/>
        <w:suppressLineNumbers w:val="0"/>
      </w:pPr>
      <w:r/>
      <w:bookmarkStart w:id="12" w:name="_Toc11400"/>
      <w:r/>
      <w:bookmarkStart w:id="13" w:name="_Toc73000674"/>
      <w:r/>
      <w:bookmarkStart w:id="14" w:name="_Toc68611035"/>
      <w:r/>
      <w:bookmarkEnd w:id="12"/>
      <w:r/>
      <w:bookmarkEnd w:id="13"/>
      <w:r/>
      <w:bookmarkEnd w:id="14"/>
      <w:r/>
      <w:r/>
    </w:p>
    <w:p>
      <w:pPr>
        <w:pStyle w:val="989"/>
        <w:jc w:val="center"/>
        <w:spacing w:line="416" w:lineRule="auto"/>
        <w:rPr>
          <w:rFonts w:hint="eastAsia" w:ascii="宋体" w:hAnsi="宋体" w:cs="宋体"/>
          <w:color w:val="auto"/>
          <w:highlight w:val="none"/>
        </w:rPr>
      </w:pPr>
      <w:r/>
      <w:bookmarkStart w:id="15" w:name="_Toc9380"/>
      <w:r/>
      <w:bookmarkStart w:id="16" w:name="_Toc3621"/>
      <w:r/>
      <w:bookmarkStart w:id="17" w:name="_Toc9664"/>
      <w:r>
        <w:rPr>
          <w:rFonts w:hint="eastAsia" w:ascii="宋体" w:hAnsi="宋体" w:cs="宋体"/>
          <w:color w:val="auto"/>
          <w:highlight w:val="none"/>
        </w:rPr>
        <w:t xml:space="preserve">第二章 磋商须知</w:t>
      </w:r>
      <w:bookmarkEnd w:id="15"/>
      <w:r/>
      <w:bookmarkEnd w:id="16"/>
      <w:r/>
      <w:r/>
    </w:p>
    <w:p>
      <w:pPr>
        <w:ind w:firstLine="422"/>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一、响应文件的组成及要求（具体按照“苏采云”系统填报）</w:t>
      </w:r>
      <w:r/>
    </w:p>
    <w:p>
      <w:pPr>
        <w:ind w:firstLine="422"/>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zh-CN"/>
        </w:rPr>
        <w:t xml:space="preserve">封面</w:t>
      </w:r>
      <w:r/>
    </w:p>
    <w:p>
      <w:pPr>
        <w:ind w:firstLine="422"/>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zh-CN"/>
        </w:rPr>
        <w:t xml:space="preserve">开标一览表</w:t>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3.响应报价明细表</w:t>
      </w:r>
      <w:r/>
    </w:p>
    <w:p>
      <w:pPr>
        <w:ind w:firstLine="422"/>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lang w:val="zh-CN"/>
        </w:rPr>
        <w:t xml:space="preserve">资格审查响应文件</w:t>
      </w:r>
      <w:r/>
    </w:p>
    <w:p>
      <w:pPr>
        <w:ind w:firstLine="420"/>
        <w:spacing w:line="360" w:lineRule="auto"/>
        <w:widowControl/>
        <w:rPr>
          <w:rFonts w:hint="eastAsia" w:ascii="宋体" w:hAnsi="宋体" w:cs="宋体"/>
          <w:bCs/>
          <w:color w:val="auto"/>
          <w:szCs w:val="21"/>
          <w:highlight w:val="none"/>
          <w:lang w:val="zh-CN"/>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lang w:val="zh-CN"/>
        </w:rPr>
        <w:t xml:space="preserve">.1具有独立承担民事责任的能力证明。包括法人或者其他组织的营业执照等证明文件，自然人的身份证明；</w:t>
      </w:r>
      <w:r/>
    </w:p>
    <w:p>
      <w:pPr>
        <w:ind w:firstLine="420"/>
        <w:spacing w:line="360" w:lineRule="auto"/>
        <w:widowControl/>
        <w:rPr>
          <w:rFonts w:hint="eastAsia" w:ascii="宋体" w:hAnsi="宋体" w:cs="宋体"/>
          <w:b/>
          <w:color w:val="auto"/>
          <w:szCs w:val="21"/>
          <w:highlight w:val="none"/>
          <w:lang w:val="zh-CN"/>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lang w:val="zh-CN"/>
        </w:rPr>
        <w:t xml:space="preserve">.2具有良好的商业信誉和健全的财务会计制度证明</w:t>
      </w:r>
      <w:r>
        <w:rPr>
          <w:rFonts w:hint="eastAsia" w:ascii="宋体" w:hAnsi="宋体" w:cs="宋体"/>
          <w:b/>
          <w:color w:val="auto"/>
          <w:szCs w:val="21"/>
          <w:highlight w:val="none"/>
          <w:lang w:val="zh-CN"/>
        </w:rPr>
        <w:t xml:space="preserve">（</w:t>
      </w:r>
      <w:r>
        <w:rPr>
          <w:rFonts w:hint="eastAsia" w:ascii="宋体" w:hAnsi="宋体" w:cs="宋体"/>
          <w:b/>
          <w:bCs/>
          <w:color w:val="auto"/>
          <w:szCs w:val="21"/>
          <w:highlight w:val="none"/>
          <w:lang w:val="zh-CN"/>
        </w:rPr>
        <w:t xml:space="preserve">法人应提供</w:t>
      </w:r>
      <w:r>
        <w:rPr>
          <w:rFonts w:hint="eastAsia" w:ascii="宋体" w:hAnsi="宋体" w:eastAsia="宋体" w:cs="宋体"/>
          <w:b/>
          <w:color w:val="auto"/>
          <w:szCs w:val="21"/>
          <w:highlight w:val="none"/>
          <w:lang w:val="zh-CN"/>
        </w:rPr>
        <w:t xml:space="preserve">最近一期经审计的财务报告，其他组织、自然人及成立未满一年的法人应提供银行出具的资信证明）</w:t>
      </w:r>
      <w:r>
        <w:rPr>
          <w:rFonts w:hint="eastAsia" w:ascii="宋体" w:hAnsi="宋体" w:cs="宋体"/>
          <w:color w:val="auto"/>
          <w:szCs w:val="21"/>
          <w:highlight w:val="none"/>
          <w:lang w:val="zh-CN"/>
        </w:rPr>
        <w:t xml:space="preserve">；</w:t>
      </w:r>
      <w:r/>
    </w:p>
    <w:p>
      <w:pPr>
        <w:ind w:firstLine="420"/>
        <w:spacing w:line="360" w:lineRule="auto"/>
        <w:widowControl/>
        <w:rPr>
          <w:rFonts w:hint="eastAsia" w:ascii="宋体" w:hAnsi="宋体" w:cs="宋体"/>
          <w:bCs/>
          <w:color w:val="auto"/>
          <w:szCs w:val="21"/>
          <w:highlight w:val="none"/>
          <w:lang w:val="zh-CN"/>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lang w:val="zh-CN"/>
        </w:rPr>
        <w:t xml:space="preserve">.3</w:t>
      </w:r>
      <w:r>
        <w:rPr>
          <w:rFonts w:hint="eastAsia" w:ascii="宋体" w:hAnsi="宋体" w:cs="宋体"/>
          <w:bCs/>
          <w:color w:val="auto"/>
          <w:szCs w:val="21"/>
          <w:highlight w:val="none"/>
          <w:lang w:val="en-US" w:eastAsia="zh-CN"/>
        </w:rPr>
        <w:t xml:space="preserve">具有</w:t>
      </w:r>
      <w:r>
        <w:rPr>
          <w:rFonts w:hint="eastAsia" w:ascii="宋体" w:hAnsi="宋体" w:cs="宋体"/>
          <w:bCs/>
          <w:color w:val="auto"/>
          <w:szCs w:val="21"/>
          <w:highlight w:val="none"/>
          <w:lang w:val="zh-CN"/>
        </w:rPr>
        <w:t xml:space="preserve">履行合同所必需的设备和专业技术能力的证明材料；</w:t>
      </w:r>
      <w:r/>
    </w:p>
    <w:p>
      <w:pPr>
        <w:ind w:firstLine="420"/>
        <w:spacing w:line="360" w:lineRule="auto"/>
        <w:widowControl/>
        <w:rPr>
          <w:rFonts w:hint="eastAsia" w:ascii="宋体" w:hAnsi="宋体" w:cs="宋体"/>
          <w:b/>
          <w:color w:val="auto"/>
          <w:szCs w:val="21"/>
          <w:highlight w:val="none"/>
          <w:lang w:val="zh-CN"/>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lang w:val="zh-CN"/>
        </w:rPr>
        <w:t xml:space="preserve">.4有依法缴纳税收和社会保障资金的良好记录</w:t>
      </w:r>
      <w:r>
        <w:rPr>
          <w:rFonts w:hint="eastAsia" w:ascii="宋体" w:hAnsi="宋体" w:cs="宋体"/>
          <w:b/>
          <w:color w:val="auto"/>
          <w:szCs w:val="21"/>
          <w:highlight w:val="none"/>
          <w:lang w:val="zh-CN"/>
        </w:rPr>
        <w:t xml:space="preserve">（响应单位</w:t>
      </w:r>
      <w:r>
        <w:rPr>
          <w:rFonts w:hint="eastAsia" w:ascii="宋体" w:hAnsi="宋体" w:cs="宋体"/>
          <w:b/>
          <w:bCs/>
          <w:color w:val="auto"/>
          <w:szCs w:val="21"/>
          <w:highlight w:val="none"/>
          <w:lang w:val="zh-CN"/>
        </w:rPr>
        <w:t xml:space="preserve">应提供提交投标文件截止时间前最</w:t>
      </w:r>
      <w:r>
        <w:rPr>
          <w:rFonts w:hint="eastAsia" w:ascii="宋体" w:hAnsi="宋体" w:cs="宋体"/>
          <w:b/>
          <w:bCs/>
          <w:color w:val="auto"/>
          <w:szCs w:val="21"/>
          <w:highlight w:val="none"/>
        </w:rPr>
        <w:t xml:space="preserve">近</w:t>
      </w:r>
      <w:r>
        <w:rPr>
          <w:rFonts w:hint="eastAsia" w:ascii="宋体" w:hAnsi="宋体" w:cs="宋体"/>
          <w:b/>
          <w:bCs/>
          <w:color w:val="auto"/>
          <w:szCs w:val="21"/>
          <w:highlight w:val="none"/>
          <w:lang w:val="en-US" w:eastAsia="zh-CN"/>
        </w:rPr>
        <w:t xml:space="preserve">任意</w:t>
      </w:r>
      <w:r>
        <w:rPr>
          <w:rFonts w:hint="eastAsia" w:ascii="宋体" w:hAnsi="宋体" w:cs="宋体"/>
          <w:b/>
          <w:bCs/>
          <w:color w:val="auto"/>
          <w:szCs w:val="21"/>
          <w:highlight w:val="none"/>
          <w:lang w:val="zh-CN"/>
        </w:rPr>
        <w:t xml:space="preserve">一期依法缴纳税收及缴纳社会保障资金的证明材料，如相关主管部门证明或银行代扣证明。投标人如依法享受缓缴、免缴税收、社会保障资金的应提供相关主管部门出具的证明材料）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s="宋体"/>
          <w:color w:val="auto"/>
          <w:szCs w:val="21"/>
          <w:highlight w:val="none"/>
          <w:lang w:val="zh-CN"/>
        </w:rPr>
        <w:t xml:space="preserve">；</w:t>
      </w:r>
      <w:r/>
    </w:p>
    <w:p>
      <w:pPr>
        <w:ind w:firstLine="420"/>
        <w:spacing w:line="360" w:lineRule="auto"/>
        <w:widowControl/>
        <w:rPr>
          <w:rFonts w:hint="eastAsia" w:ascii="宋体" w:hAnsi="宋体" w:cs="宋体"/>
          <w:bCs/>
          <w:color w:val="auto"/>
          <w:szCs w:val="21"/>
          <w:highlight w:val="none"/>
          <w:lang w:val="zh-CN" w:eastAsia="zh-CN"/>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lang w:val="zh-CN" w:eastAsia="zh-CN"/>
        </w:rPr>
        <w:t xml:space="preserve">.5参加政府采购活动前三年内，在经营活动中没有重大违法记录的书面声明函；</w:t>
      </w:r>
      <w:r/>
    </w:p>
    <w:p>
      <w:pPr>
        <w:ind w:firstLine="420"/>
        <w:spacing w:line="360" w:lineRule="auto"/>
        <w:widowControl/>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4.6</w:t>
      </w:r>
      <w:r>
        <w:rPr>
          <w:rFonts w:hint="eastAsia" w:ascii="宋体" w:hAnsi="宋体" w:cs="宋体"/>
          <w:bCs/>
          <w:color w:val="auto"/>
          <w:szCs w:val="21"/>
          <w:highlight w:val="none"/>
          <w:lang w:val="zh-CN" w:eastAsia="zh-CN"/>
        </w:rPr>
        <w:t xml:space="preserve">《中小企业声明函》或《残疾人福利性单位声明函》或由省级以上监狱管理局、戒毒管理局（含新疆生产建设兵团）出具的属于监狱企业的证明文件；</w:t>
      </w:r>
      <w:r/>
    </w:p>
    <w:p>
      <w:pPr>
        <w:ind w:firstLine="420"/>
        <w:spacing w:line="360" w:lineRule="auto"/>
        <w:widowControl/>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4.7响应单位具有市政公用工程监理</w:t>
      </w:r>
      <w:r>
        <w:rPr>
          <w:rFonts w:hint="eastAsia" w:ascii="宋体" w:hAnsi="宋体" w:cs="宋体"/>
          <w:bCs/>
          <w:color w:val="auto"/>
          <w:szCs w:val="21"/>
          <w:highlight w:val="none"/>
          <w:u w:val="none"/>
          <w:lang w:val="en-US" w:eastAsia="zh-CN"/>
        </w:rPr>
        <w:t xml:space="preserve">乙</w:t>
      </w:r>
      <w:r>
        <w:rPr>
          <w:rFonts w:hint="eastAsia" w:ascii="宋体" w:hAnsi="宋体" w:cs="宋体"/>
          <w:bCs/>
          <w:color w:val="auto"/>
          <w:szCs w:val="21"/>
          <w:highlight w:val="none"/>
          <w:lang w:val="en-US" w:eastAsia="zh-CN"/>
        </w:rPr>
        <w:t xml:space="preserve">级工程监理资质或工程监理综合资质；</w:t>
      </w:r>
      <w:r/>
    </w:p>
    <w:p>
      <w:pPr>
        <w:ind w:firstLine="420"/>
        <w:spacing w:line="360" w:lineRule="auto"/>
        <w:widowControl/>
        <w:rPr>
          <w:rFonts w:hint="eastAsia" w:ascii="宋体" w:hAnsi="宋体" w:cs="宋体"/>
          <w:bCs/>
          <w:color w:val="auto"/>
          <w:szCs w:val="21"/>
          <w:highlight w:val="none"/>
          <w:lang w:eastAsia="zh-CN"/>
        </w:rPr>
      </w:pPr>
      <w:r>
        <w:rPr>
          <w:rFonts w:hint="eastAsia" w:ascii="宋体" w:hAnsi="宋体" w:cs="宋体"/>
          <w:bCs/>
          <w:color w:val="auto"/>
          <w:szCs w:val="21"/>
          <w:highlight w:val="none"/>
          <w:lang w:val="en-US" w:eastAsia="zh-CN"/>
        </w:rPr>
        <w:t xml:space="preserve">4.8未被“信用中国”网站（www.creditchina.gov.cn）列入失信被执行人、重大税收违法案件当事人名单、政府采购严重失信行为记录名单；</w:t>
      </w:r>
      <w:r/>
    </w:p>
    <w:p>
      <w:pPr>
        <w:ind w:firstLine="420"/>
        <w:spacing w:line="360" w:lineRule="auto"/>
        <w:widowControl/>
        <w:rPr>
          <w:rFonts w:hint="eastAsia" w:ascii="宋体" w:hAnsi="宋体" w:cs="宋体"/>
          <w:bCs/>
          <w:color w:val="auto"/>
          <w:szCs w:val="21"/>
          <w:highlight w:val="none"/>
          <w:lang w:val="zh-CN" w:eastAsia="zh-CN"/>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lang w:val="zh-CN"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法律、行政法规规定的其他条件：</w:t>
      </w:r>
      <w:r/>
    </w:p>
    <w:p>
      <w:pPr>
        <w:ind w:firstLine="420"/>
        <w:spacing w:line="360" w:lineRule="auto"/>
        <w:widowControl/>
        <w:rPr>
          <w:rFonts w:hint="eastAsia" w:ascii="宋体" w:hAnsi="宋体" w:cs="宋体"/>
          <w:bCs/>
          <w:color w:val="auto"/>
          <w:szCs w:val="21"/>
          <w:highlight w:val="none"/>
          <w:lang w:val="zh-CN" w:eastAsia="zh-CN"/>
        </w:rPr>
      </w:pPr>
      <w:r>
        <w:rPr>
          <w:rFonts w:hint="eastAsia" w:ascii="宋体" w:hAnsi="宋体" w:cs="宋体"/>
          <w:bCs/>
          <w:color w:val="auto"/>
          <w:szCs w:val="21"/>
          <w:highlight w:val="none"/>
          <w:lang w:eastAsia="zh-CN"/>
        </w:rPr>
        <w:t xml:space="preserve">4.9</w:t>
      </w:r>
      <w:r>
        <w:rPr>
          <w:rFonts w:hint="eastAsia" w:ascii="宋体" w:hAnsi="宋体" w:cs="宋体"/>
          <w:bCs/>
          <w:color w:val="auto"/>
          <w:szCs w:val="21"/>
          <w:highlight w:val="none"/>
          <w:lang w:val="zh-CN" w:eastAsia="zh-CN"/>
        </w:rPr>
        <w:t xml:space="preserve">.1</w:t>
      </w:r>
      <w:r>
        <w:rPr>
          <w:rFonts w:hint="eastAsia" w:ascii="宋体" w:hAnsi="宋体" w:cs="宋体"/>
          <w:bCs/>
          <w:color w:val="auto"/>
          <w:szCs w:val="21"/>
          <w:highlight w:val="none"/>
          <w:lang w:val="en-US" w:eastAsia="zh-CN"/>
        </w:rPr>
        <w:t xml:space="preserve">关于</w:t>
      </w:r>
      <w:r>
        <w:rPr>
          <w:rFonts w:hint="eastAsia" w:ascii="宋体" w:hAnsi="宋体" w:cs="宋体"/>
          <w:bCs/>
          <w:color w:val="auto"/>
          <w:szCs w:val="21"/>
          <w:highlight w:val="none"/>
          <w:lang w:val="zh-CN" w:eastAsia="zh-CN"/>
        </w:rPr>
        <w:t xml:space="preserve">资格文件声明函；</w:t>
      </w:r>
      <w:r/>
    </w:p>
    <w:p>
      <w:pPr>
        <w:ind w:firstLine="420"/>
        <w:spacing w:line="360" w:lineRule="auto"/>
        <w:widowControl/>
        <w:rPr>
          <w:rFonts w:hint="eastAsia" w:ascii="宋体" w:hAnsi="宋体" w:cs="宋体"/>
          <w:bCs/>
          <w:color w:val="auto"/>
          <w:szCs w:val="21"/>
          <w:highlight w:val="none"/>
          <w:lang w:val="zh-CN" w:eastAsia="zh-CN"/>
        </w:rPr>
      </w:pPr>
      <w:r>
        <w:rPr>
          <w:rFonts w:hint="eastAsia" w:ascii="宋体" w:hAnsi="宋体" w:cs="宋体"/>
          <w:bCs/>
          <w:color w:val="auto"/>
          <w:szCs w:val="21"/>
          <w:highlight w:val="none"/>
          <w:lang w:eastAsia="zh-CN"/>
        </w:rPr>
        <w:t xml:space="preserve">4.9</w:t>
      </w:r>
      <w:r>
        <w:rPr>
          <w:rFonts w:hint="eastAsia" w:ascii="宋体" w:hAnsi="宋体" w:cs="宋体"/>
          <w:bCs/>
          <w:color w:val="auto"/>
          <w:szCs w:val="21"/>
          <w:highlight w:val="none"/>
          <w:lang w:val="zh-CN" w:eastAsia="zh-CN"/>
        </w:rPr>
        <w:t xml:space="preserve">.2响应单位情况表；</w:t>
      </w:r>
      <w:r/>
    </w:p>
    <w:p>
      <w:pPr>
        <w:ind w:firstLine="420"/>
        <w:spacing w:line="360" w:lineRule="auto"/>
        <w:widowControl/>
        <w:rPr>
          <w:rFonts w:hint="eastAsia" w:ascii="宋体" w:hAnsi="宋体" w:cs="宋体"/>
          <w:bCs/>
          <w:color w:val="auto"/>
          <w:szCs w:val="21"/>
          <w:highlight w:val="none"/>
          <w:lang w:val="zh-CN" w:eastAsia="zh-CN"/>
        </w:rPr>
      </w:pPr>
      <w:r>
        <w:rPr>
          <w:rFonts w:hint="eastAsia" w:ascii="宋体" w:hAnsi="宋体" w:cs="宋体"/>
          <w:bCs/>
          <w:color w:val="auto"/>
          <w:szCs w:val="21"/>
          <w:highlight w:val="none"/>
          <w:lang w:eastAsia="zh-CN"/>
        </w:rPr>
        <w:t xml:space="preserve">4.9</w:t>
      </w:r>
      <w:r>
        <w:rPr>
          <w:rFonts w:hint="eastAsia" w:ascii="宋体" w:hAnsi="宋体" w:cs="宋体"/>
          <w:bCs/>
          <w:color w:val="auto"/>
          <w:szCs w:val="21"/>
          <w:highlight w:val="none"/>
          <w:lang w:val="zh-CN" w:eastAsia="zh-CN"/>
        </w:rPr>
        <w:t xml:space="preserve">.3响应单位法定代表人身份证复印件；</w:t>
      </w:r>
      <w:r/>
    </w:p>
    <w:p>
      <w:pPr>
        <w:ind w:firstLine="420"/>
        <w:spacing w:line="360" w:lineRule="auto"/>
        <w:widowControl/>
        <w:rPr>
          <w:rFonts w:hint="eastAsia" w:ascii="宋体" w:hAnsi="宋体" w:cs="宋体"/>
          <w:bCs/>
          <w:color w:val="auto"/>
          <w:szCs w:val="21"/>
          <w:highlight w:val="none"/>
          <w:lang w:val="zh-CN" w:eastAsia="zh-CN"/>
        </w:rPr>
      </w:pPr>
      <w:r>
        <w:rPr>
          <w:rFonts w:hint="eastAsia" w:ascii="宋体" w:hAnsi="宋体" w:cs="宋体"/>
          <w:bCs/>
          <w:color w:val="auto"/>
          <w:szCs w:val="21"/>
          <w:highlight w:val="none"/>
          <w:lang w:eastAsia="zh-CN"/>
        </w:rPr>
        <w:t xml:space="preserve">4.9</w:t>
      </w:r>
      <w:r>
        <w:rPr>
          <w:rFonts w:hint="eastAsia" w:ascii="宋体" w:hAnsi="宋体" w:cs="宋体"/>
          <w:bCs/>
          <w:color w:val="auto"/>
          <w:szCs w:val="21"/>
          <w:highlight w:val="none"/>
          <w:lang w:val="zh-CN" w:eastAsia="zh-CN"/>
        </w:rPr>
        <w:t xml:space="preserve">.4法定代表人授权委托书（如有授权）；</w:t>
      </w:r>
      <w:r/>
    </w:p>
    <w:p>
      <w:pPr>
        <w:ind w:firstLine="420"/>
        <w:spacing w:line="360" w:lineRule="auto"/>
        <w:widowControl/>
        <w:rPr>
          <w:rFonts w:hint="eastAsia" w:ascii="宋体" w:hAnsi="宋体" w:cs="宋体"/>
          <w:bCs/>
          <w:color w:val="auto"/>
          <w:szCs w:val="21"/>
          <w:highlight w:val="none"/>
          <w:lang w:val="zh-CN" w:eastAsia="zh-CN"/>
        </w:rPr>
      </w:pPr>
      <w:r>
        <w:rPr>
          <w:rFonts w:hint="eastAsia" w:ascii="宋体" w:hAnsi="宋体" w:cs="宋体"/>
          <w:bCs/>
          <w:color w:val="auto"/>
          <w:szCs w:val="21"/>
          <w:highlight w:val="none"/>
          <w:lang w:eastAsia="zh-CN"/>
        </w:rPr>
        <w:t xml:space="preserve">4.9</w:t>
      </w:r>
      <w:r>
        <w:rPr>
          <w:rFonts w:hint="eastAsia" w:ascii="宋体" w:hAnsi="宋体" w:cs="宋体"/>
          <w:bCs/>
          <w:color w:val="auto"/>
          <w:szCs w:val="21"/>
          <w:highlight w:val="none"/>
          <w:lang w:val="zh-CN" w:eastAsia="zh-CN"/>
        </w:rPr>
        <w:t xml:space="preserve">.5响应单位授权代理人身份证复印件（如有授权）；</w:t>
      </w:r>
      <w:r/>
    </w:p>
    <w:p>
      <w:pPr>
        <w:ind w:firstLine="420"/>
        <w:spacing w:line="360" w:lineRule="auto"/>
        <w:widowControl/>
        <w:rPr>
          <w:rFonts w:hint="eastAsia" w:ascii="宋体" w:hAnsi="宋体" w:cs="宋体"/>
          <w:bCs/>
          <w:color w:val="auto"/>
          <w:szCs w:val="21"/>
          <w:highlight w:val="none"/>
          <w:lang w:val="zh-CN" w:eastAsia="zh-CN"/>
        </w:rPr>
      </w:pPr>
      <w:r>
        <w:rPr>
          <w:rFonts w:hint="eastAsia" w:ascii="宋体" w:hAnsi="宋体" w:cs="宋体"/>
          <w:bCs/>
          <w:color w:val="auto"/>
          <w:szCs w:val="21"/>
          <w:highlight w:val="none"/>
          <w:lang w:eastAsia="zh-CN"/>
        </w:rPr>
        <w:t xml:space="preserve">4.9</w:t>
      </w:r>
      <w:r>
        <w:rPr>
          <w:rFonts w:hint="eastAsia" w:ascii="宋体" w:hAnsi="宋体" w:cs="宋体"/>
          <w:bCs/>
          <w:color w:val="auto"/>
          <w:szCs w:val="21"/>
          <w:highlight w:val="none"/>
          <w:lang w:val="zh-CN" w:eastAsia="zh-CN"/>
        </w:rPr>
        <w:t xml:space="preserve">.</w:t>
      </w:r>
      <w:r>
        <w:rPr>
          <w:rFonts w:hint="eastAsia" w:ascii="宋体" w:hAnsi="宋体" w:cs="宋体"/>
          <w:bCs/>
          <w:color w:val="auto"/>
          <w:szCs w:val="21"/>
          <w:highlight w:val="none"/>
          <w:lang w:eastAsia="zh-CN"/>
        </w:rPr>
        <w:t xml:space="preserve">6</w:t>
      </w:r>
      <w:r>
        <w:rPr>
          <w:rFonts w:hint="eastAsia" w:ascii="宋体" w:hAnsi="宋体" w:cs="宋体"/>
          <w:bCs/>
          <w:color w:val="auto"/>
          <w:szCs w:val="21"/>
          <w:highlight w:val="none"/>
          <w:lang w:val="zh-CN" w:eastAsia="zh-CN"/>
        </w:rPr>
        <w:t xml:space="preserve">其它有关资格证明的文件（</w:t>
      </w:r>
      <w:r>
        <w:rPr>
          <w:rFonts w:hint="eastAsia" w:ascii="宋体" w:hAnsi="宋体" w:cs="宋体"/>
          <w:bCs/>
          <w:color w:val="auto"/>
          <w:szCs w:val="21"/>
          <w:highlight w:val="none"/>
          <w:lang w:eastAsia="zh-CN"/>
        </w:rPr>
        <w:t xml:space="preserve">如有</w:t>
      </w:r>
      <w:r>
        <w:rPr>
          <w:rFonts w:hint="eastAsia" w:ascii="宋体" w:hAnsi="宋体" w:cs="宋体"/>
          <w:bCs/>
          <w:color w:val="auto"/>
          <w:szCs w:val="21"/>
          <w:highlight w:val="none"/>
          <w:lang w:val="zh-CN" w:eastAsia="zh-CN"/>
        </w:rPr>
        <w:t xml:space="preserve">）；</w:t>
      </w:r>
      <w:r/>
    </w:p>
    <w:p>
      <w:pPr>
        <w:ind w:firstLine="422"/>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zh-CN"/>
        </w:rPr>
        <w:t xml:space="preserve">符合性审查响应文件</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lang w:val="zh-CN"/>
        </w:rPr>
        <w:t xml:space="preserve">.1磋商响应函；</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投标（响应）保证承诺书；</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《商务条款偏离表》；</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《服务要求偏离表》；</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其他有关符合性证明的文件（</w:t>
      </w:r>
      <w:r>
        <w:rPr>
          <w:rFonts w:hint="eastAsia" w:ascii="宋体" w:hAnsi="宋体" w:cs="宋体"/>
          <w:color w:val="auto"/>
          <w:szCs w:val="21"/>
          <w:highlight w:val="none"/>
        </w:rPr>
        <w:t xml:space="preserve">如有</w:t>
      </w:r>
      <w:r>
        <w:rPr>
          <w:rFonts w:hint="eastAsia" w:ascii="宋体" w:hAnsi="宋体" w:cs="宋体"/>
          <w:color w:val="auto"/>
          <w:szCs w:val="21"/>
          <w:highlight w:val="none"/>
          <w:lang w:val="zh-CN"/>
        </w:rPr>
        <w:t xml:space="preserve">）；</w:t>
      </w:r>
      <w:r/>
    </w:p>
    <w:p>
      <w:pPr>
        <w:ind w:firstLine="422"/>
        <w:spacing w:line="360" w:lineRule="auto"/>
        <w:widowControl/>
        <w:rPr>
          <w:rFonts w:hint="eastAsia" w:ascii="宋体" w:hAnsi="宋体" w:cs="宋体"/>
          <w:color w:val="auto"/>
          <w:szCs w:val="21"/>
          <w:highlight w:val="none"/>
          <w:lang w:val="zh-CN"/>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zh-CN"/>
        </w:rPr>
        <w:t xml:space="preserve">综合评审响应文件</w:t>
      </w:r>
      <w:r/>
    </w:p>
    <w:p>
      <w:pPr>
        <w:ind w:firstLine="420"/>
        <w:spacing w:line="360" w:lineRule="auto"/>
        <w:widowControl/>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6</w:t>
      </w:r>
      <w:r>
        <w:rPr>
          <w:rFonts w:hint="eastAsia" w:ascii="宋体" w:hAnsi="宋体" w:eastAsia="宋体" w:cs="宋体"/>
          <w:color w:val="auto"/>
          <w:szCs w:val="21"/>
          <w:highlight w:val="none"/>
          <w:lang w:val="zh-CN"/>
        </w:rPr>
        <w:t xml:space="preserve">.1针对本项目的服务方案；</w:t>
      </w:r>
      <w:r/>
    </w:p>
    <w:p>
      <w:pPr>
        <w:ind w:firstLine="420"/>
        <w:spacing w:line="360" w:lineRule="auto"/>
        <w:widowControl/>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6</w:t>
      </w: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拟投入</w:t>
      </w:r>
      <w:r>
        <w:rPr>
          <w:rFonts w:hint="eastAsia" w:ascii="宋体" w:hAnsi="宋体" w:eastAsia="宋体" w:cs="宋体"/>
          <w:color w:val="auto"/>
          <w:szCs w:val="21"/>
          <w:highlight w:val="none"/>
          <w:lang w:val="zh-CN"/>
        </w:rPr>
        <w:t xml:space="preserve">项目人员配置表；</w:t>
      </w:r>
      <w:r/>
    </w:p>
    <w:p>
      <w:pPr>
        <w:ind w:firstLine="420"/>
        <w:spacing w:line="360" w:lineRule="auto"/>
        <w:widowControl/>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6</w:t>
      </w:r>
      <w:r>
        <w:rPr>
          <w:rFonts w:hint="eastAsia" w:ascii="宋体" w:hAnsi="宋体" w:eastAsia="宋体" w:cs="宋体"/>
          <w:color w:val="auto"/>
          <w:szCs w:val="21"/>
          <w:highlight w:val="none"/>
          <w:lang w:val="zh-CN"/>
        </w:rPr>
        <w:t xml:space="preserve">.3类似项目业绩表；</w:t>
      </w:r>
      <w:r/>
    </w:p>
    <w:p>
      <w:pPr>
        <w:ind w:firstLine="420"/>
        <w:spacing w:line="360" w:lineRule="auto"/>
        <w:widowControl/>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6</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采购需求及评分标准中所涉及到的其他材料等（如有）；</w:t>
      </w:r>
      <w:r/>
    </w:p>
    <w:p>
      <w:pPr>
        <w:ind w:firstLine="422"/>
        <w:spacing w:line="360" w:lineRule="auto"/>
        <w:widowControl/>
        <w:rPr>
          <w:rFonts w:hint="eastAsia" w:ascii="宋体" w:hAnsi="宋体" w:cs="宋体"/>
          <w:b/>
          <w:bCs/>
          <w:color w:val="auto"/>
          <w:szCs w:val="21"/>
          <w:highlight w:val="none"/>
          <w:lang w:val="zh-CN"/>
        </w:rPr>
      </w:pPr>
      <w:r>
        <w:rPr>
          <w:rFonts w:hint="eastAsia" w:ascii="宋体" w:hAnsi="宋体" w:cs="宋体"/>
          <w:b/>
          <w:color w:val="auto"/>
          <w:szCs w:val="21"/>
          <w:highlight w:val="none"/>
          <w:lang w:val="zh-CN"/>
        </w:rPr>
        <w:t xml:space="preserve">注：</w:t>
      </w:r>
      <w:r>
        <w:rPr>
          <w:rFonts w:hint="eastAsia" w:ascii="宋体" w:hAnsi="宋体" w:cs="宋体"/>
          <w:b/>
          <w:bCs/>
          <w:color w:val="auto"/>
          <w:szCs w:val="21"/>
          <w:highlight w:val="none"/>
          <w:lang w:val="zh-CN"/>
        </w:rPr>
        <w:t xml:space="preserve">（1）以上</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lang w:val="zh-CN"/>
        </w:rPr>
        <w:t xml:space="preserve">.1-</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（2）以上</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CN"/>
        </w:rPr>
        <w:t xml:space="preserve">.1-</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CN"/>
        </w:rPr>
        <w:t xml:space="preserve">为符合性审查须提供的资料，响应供应商必须提供并加盖电子公章。否则，磋商响应文件将被认定为未实质性响应。</w:t>
      </w:r>
      <w:r/>
    </w:p>
    <w:p>
      <w:pPr>
        <w:ind w:firstLine="843"/>
        <w:spacing w:line="360" w:lineRule="auto"/>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（3）制作电子响应文件时必须与</w:t>
      </w:r>
      <w:r>
        <w:rPr>
          <w:rFonts w:hint="eastAsia" w:ascii="宋体" w:hAnsi="宋体" w:cs="宋体"/>
          <w:b/>
          <w:bCs/>
          <w:color w:val="auto"/>
          <w:szCs w:val="21"/>
          <w:highlight w:val="none"/>
        </w:rPr>
        <w:t xml:space="preserve">响应</w:t>
      </w:r>
      <w:r>
        <w:rPr>
          <w:rFonts w:hint="eastAsia" w:ascii="宋体" w:hAnsi="宋体" w:cs="宋体"/>
          <w:b/>
          <w:bCs/>
          <w:color w:val="auto"/>
          <w:szCs w:val="21"/>
          <w:highlight w:val="none"/>
          <w:lang w:val="zh-CN"/>
        </w:rPr>
        <w:t xml:space="preserve">文件制作软件目录一一对应，将相关资料上传至相应模块。</w:t>
      </w:r>
      <w:r/>
    </w:p>
    <w:p>
      <w:pPr>
        <w:ind w:firstLine="843"/>
        <w:spacing w:line="360" w:lineRule="auto"/>
        <w:widowControl/>
        <w:rPr>
          <w:rFonts w:hint="eastAsia" w:ascii="宋体" w:hAnsi="宋体" w:cs="宋体"/>
          <w:color w:val="auto"/>
          <w:szCs w:val="21"/>
          <w:highlight w:val="none"/>
          <w:lang w:val="zh-CN"/>
        </w:rPr>
      </w:pP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磋商响应文件编制要求：</w:t>
      </w:r>
      <w:r>
        <w:rPr>
          <w:rFonts w:hint="eastAsia" w:ascii="宋体" w:hAnsi="宋体" w:cs="宋体"/>
          <w:bCs/>
          <w:color w:val="auto"/>
          <w:szCs w:val="21"/>
          <w:highlight w:val="none"/>
          <w:lang w:val="zh-CN"/>
        </w:rPr>
        <w:t xml:space="preserve">本项目采用电子招投标形式，请供应商按照《苏采云系统供应商操作手册》进行制作、上传电子响应文件。</w:t>
      </w:r>
      <w:r>
        <w:rPr>
          <w:rFonts w:hint="eastAsia" w:ascii="宋体" w:hAnsi="宋体" w:cs="宋体"/>
          <w:b/>
          <w:bCs/>
          <w:color w:val="auto"/>
          <w:szCs w:val="21"/>
          <w:highlight w:val="none"/>
          <w:lang w:val="zh-CN"/>
        </w:rPr>
        <w:t xml:space="preserve">电子响应文件制作完成后请于响应文件递交截止时间前成功上传至“苏采云”系统，否则视为放弃参加该采购项目。</w:t>
      </w:r>
      <w:r>
        <w:rPr>
          <w:rFonts w:hint="eastAsia" w:ascii="宋体" w:hAnsi="宋体" w:cs="宋体"/>
          <w:bCs/>
          <w:color w:val="auto"/>
          <w:szCs w:val="21"/>
          <w:highlight w:val="none"/>
          <w:lang w:val="zh-CN"/>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（5）磋商过程中如有问题采购代理机构工作人员会及时通</w:t>
      </w:r>
      <w:r>
        <w:rPr>
          <w:rFonts w:hint="eastAsia" w:ascii="宋体" w:hAnsi="宋体" w:cs="宋体"/>
          <w:b/>
          <w:color w:val="auto"/>
          <w:szCs w:val="21"/>
          <w:highlight w:val="none"/>
        </w:rPr>
        <w:t xml:space="preserve">过</w:t>
      </w:r>
      <w:r>
        <w:rPr>
          <w:rFonts w:hint="eastAsia" w:ascii="宋体" w:hAnsi="宋体" w:cs="宋体"/>
          <w:b/>
          <w:color w:val="auto"/>
          <w:szCs w:val="21"/>
          <w:highlight w:val="none"/>
          <w:lang w:val="zh-CN"/>
        </w:rPr>
        <w:t xml:space="preserve">《投标供应商确认函》留存的手机号与供应商联系。请供应商确保该手机号磋商当日通讯畅通，否则导致的对供应商不利的后果由供应商自行承担。</w:t>
      </w:r>
      <w:r/>
    </w:p>
    <w:p>
      <w:pPr>
        <w:ind w:firstLine="422"/>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二、磋商程序</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采购代理机构按本须知规定的时间、地点主持磋商采购活动。</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供应商通过“苏采云”系统在线参与磋商活动。供应商应当按照《苏采云系统供应商操作手册》规定在 “苏采云”系统规定的时间内对响应文件进行解密。</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在磋商响应文件网上递交截止时间止成功解密的磋商供应商少于三家，则本次采购失败。</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由磋商小组审查供应商解密的响应文件。</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磋商小组要求供应商澄清、说明或者更正响应文件应当以书面形式做出。供应商的澄清、说明或者更正应当由其单位加盖电子公章。</w:t>
      </w:r>
      <w:r/>
    </w:p>
    <w:p>
      <w:pPr>
        <w:ind w:firstLine="422"/>
        <w:spacing w:line="360" w:lineRule="auto"/>
        <w:widowControl/>
        <w:rPr>
          <w:rFonts w:hint="eastAsia" w:ascii="宋体" w:hAnsi="宋体" w:cs="宋体"/>
          <w:b/>
          <w:bCs/>
          <w:color w:val="auto"/>
          <w:szCs w:val="21"/>
          <w:highlight w:val="none"/>
          <w:lang w:val="zh-CN"/>
        </w:rPr>
      </w:pP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auto"/>
          <w:szCs w:val="21"/>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Cs w:val="21"/>
          <w:highlight w:val="none"/>
          <w:lang w:val="zh-CN"/>
        </w:rPr>
        <w:t xml:space="preserve">磋商小组通过“苏采云”系统向供应商发布“磋商响应函”，供应商应当按照要求在</w:t>
      </w:r>
      <w:r>
        <w:rPr>
          <w:rFonts w:hint="eastAsia" w:ascii="宋体" w:hAnsi="宋体" w:cs="宋体"/>
          <w:b/>
          <w:color w:val="auto"/>
          <w:szCs w:val="21"/>
          <w:highlight w:val="none"/>
        </w:rPr>
        <w:t xml:space="preserve">“苏采云”系统</w:t>
      </w:r>
      <w:r>
        <w:rPr>
          <w:rFonts w:hint="eastAsia" w:ascii="宋体" w:hAnsi="宋体" w:cs="宋体"/>
          <w:b/>
          <w:color w:val="auto"/>
          <w:szCs w:val="21"/>
          <w:highlight w:val="none"/>
          <w:lang w:val="zh-CN"/>
        </w:rPr>
        <w:t xml:space="preserve">提交“磋商响应函”并加盖CA电子公章。</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spacing w:line="360" w:lineRule="auto"/>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9</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10.供应商未在磋商小组规定的时间内在“苏采云”系统中提交最后报价的视为放弃磋商，其响应文件按无效响应处理，最后报价格式表须加盖公章,否则视为未提交最后报价。</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已提交响应文件的供应商，在提交最后报价之前，可以根据磋商情况退出磋商，并在“苏采云”系统中提交“退出磋商函”并加盖公章。</w:t>
      </w:r>
      <w:r/>
    </w:p>
    <w:p>
      <w:pPr>
        <w:ind w:firstLine="422"/>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*进入项目评审流程后，建议各响应单位法定代表人或代理人始终保持通讯顺畅，时刻关注不见面开标大厅，不离开不见面开标大厅。</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磋商小组根据磋商成交原则确定成交供应商，并将结果通知所有参加磋商的供应商。</w:t>
      </w:r>
      <w:r/>
    </w:p>
    <w:p>
      <w:pPr>
        <w:ind w:firstLine="420"/>
        <w:spacing w:line="360" w:lineRule="auto"/>
        <w:widowControl/>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如磋商过程中出现本采购文件未尽事宜，由磋商小组根据政府采购有关法律、法规讨论决定。</w:t>
      </w:r>
      <w:r/>
    </w:p>
    <w:p>
      <w:pPr>
        <w:ind w:firstLine="422"/>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三、质疑处理</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0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本次采购文件要求供应商在法定质疑期内一次性提出针对同一采购程序环节的质疑</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否则不予受理。</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供应商提出质疑应当提交质疑函和必要的证明材料，质疑函应当包括下列内容：</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（1）供应商的姓名或者名称（以提供的营业执照副本复印件为准）、地址、邮编、联系人及联系电话；</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（2）质疑项目的名称、编号；</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（3）具体、明确的质疑事项和与质疑事项相关的请求；</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（4）事实依据；</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（5）必要的法律依据；</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（6）提出质疑的日期。</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auto"/>
          <w:szCs w:val="21"/>
          <w:highlight w:val="none"/>
          <w:lang w:val="zh-CN"/>
        </w:rPr>
        <w:t xml:space="preserve">授权委托书</w:t>
      </w:r>
      <w:r>
        <w:rPr>
          <w:rFonts w:hint="eastAsia" w:ascii="宋体" w:hAnsi="宋体" w:cs="宋体"/>
          <w:color w:val="auto"/>
          <w:szCs w:val="21"/>
          <w:highlight w:val="none"/>
          <w:lang w:val="zh-CN"/>
        </w:rPr>
        <w:t xml:space="preserve">上应当载明代理人的姓名或者名称、代理事项、具体权限、期限和相关事项。</w:t>
      </w:r>
      <w:r/>
    </w:p>
    <w:p>
      <w:pPr>
        <w:ind w:firstLine="422"/>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auto"/>
          <w:szCs w:val="21"/>
          <w:highlight w:val="none"/>
          <w:lang w:val="zh-CN"/>
        </w:rPr>
        <w:t xml:space="preserve">。</w:t>
      </w:r>
      <w:r/>
    </w:p>
    <w:p>
      <w:pPr>
        <w:ind w:firstLine="420"/>
        <w:spacing w:line="360" w:lineRule="auto"/>
        <w:widowControl/>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auto"/>
          <w:szCs w:val="21"/>
          <w:highlight w:val="none"/>
          <w:lang w:val="zh-CN"/>
        </w:rPr>
        <w:t xml:space="preserve">《投标供应商确认函》</w:t>
      </w:r>
      <w:r>
        <w:rPr>
          <w:rFonts w:hint="eastAsia" w:ascii="宋体" w:hAnsi="宋体" w:cs="宋体"/>
          <w:color w:val="auto"/>
          <w:szCs w:val="21"/>
          <w:highlight w:val="none"/>
          <w:lang w:val="zh-CN"/>
        </w:rPr>
        <w:t xml:space="preserve">）与质疑函一起递交，否则不予受理。</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接收质疑函的方式：书面形式（当场送达或邮寄方式）</w:t>
      </w:r>
      <w:r/>
    </w:p>
    <w:p>
      <w:pPr>
        <w:ind w:firstLine="420"/>
        <w:spacing w:line="360" w:lineRule="auto"/>
        <w:widowControl/>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zh-CN"/>
        </w:rPr>
        <w:t xml:space="preserve">质疑联系人：</w:t>
      </w:r>
      <w:r>
        <w:rPr>
          <w:rFonts w:hint="eastAsia" w:ascii="宋体" w:hAnsi="宋体" w:cs="宋体"/>
          <w:color w:val="auto"/>
          <w:szCs w:val="21"/>
          <w:highlight w:val="none"/>
          <w:lang w:eastAsia="zh-CN"/>
        </w:rPr>
        <w:t xml:space="preserve">葛思陇、魏瑜伽</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联系电话：</w:t>
      </w:r>
      <w:r>
        <w:rPr>
          <w:rFonts w:hint="eastAsia" w:ascii="宋体" w:hAnsi="宋体" w:cs="宋体"/>
          <w:bCs/>
          <w:color w:val="auto"/>
          <w:szCs w:val="21"/>
          <w:highlight w:val="none"/>
          <w:lang w:val="zh-CN"/>
        </w:rPr>
        <w:t xml:space="preserve">0512-87770870</w:t>
      </w:r>
      <w:r/>
    </w:p>
    <w:p>
      <w:pPr>
        <w:ind w:firstLine="420"/>
        <w:spacing w:line="360" w:lineRule="auto"/>
        <w:widowControl/>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zh-CN"/>
        </w:rPr>
        <w:t xml:space="preserve">现场递交地址:</w:t>
      </w:r>
      <w:r>
        <w:rPr>
          <w:rFonts w:hint="eastAsia" w:ascii="宋体" w:hAnsi="宋体" w:cs="宋体"/>
          <w:color w:val="auto"/>
          <w:szCs w:val="21"/>
          <w:highlight w:val="none"/>
          <w:lang w:eastAsia="zh-CN"/>
        </w:rPr>
        <w:t xml:space="preserve">苏州市相城大道666号中翔大厦25楼 </w:t>
      </w:r>
      <w:r/>
    </w:p>
    <w:p>
      <w:pPr>
        <w:ind w:firstLine="420"/>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zh-CN"/>
        </w:rPr>
        <w:t xml:space="preserve">邮寄收取地址:</w:t>
      </w:r>
      <w:r>
        <w:rPr>
          <w:rFonts w:hint="eastAsia" w:ascii="宋体" w:hAnsi="宋体" w:cs="宋体"/>
          <w:color w:val="auto"/>
          <w:szCs w:val="21"/>
          <w:highlight w:val="none"/>
          <w:lang w:eastAsia="zh-CN"/>
        </w:rPr>
        <w:t xml:space="preserve">苏州市相城大道666号中翔大厦25楼 </w:t>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四、响应无效条款</w:t>
      </w:r>
      <w:r/>
    </w:p>
    <w:p>
      <w:pPr>
        <w:pStyle w:val="1173"/>
        <w:ind w:firstLine="420"/>
        <w:spacing w:before="0" w:beforeAutospacing="0" w:after="0" w:afterAutospacing="0" w:line="360" w:lineRule="auto"/>
        <w:widowControl w:val="off"/>
        <w:rPr>
          <w:rFonts w:hint="eastAsia"/>
          <w:color w:val="auto"/>
          <w:sz w:val="21"/>
          <w:szCs w:val="21"/>
          <w:highlight w:val="none"/>
        </w:rPr>
      </w:pPr>
      <w:r>
        <w:rPr>
          <w:rFonts w:hint="eastAsia"/>
          <w:color w:val="auto"/>
          <w:sz w:val="21"/>
          <w:szCs w:val="21"/>
          <w:highlight w:val="none"/>
          <w:lang w:bidi="ar"/>
        </w:rPr>
        <w:t xml:space="preserve">1.</w:t>
      </w:r>
      <w:r>
        <w:rPr>
          <w:rFonts w:hint="eastAsia"/>
          <w:color w:val="auto"/>
          <w:sz w:val="21"/>
          <w:szCs w:val="21"/>
          <w:highlight w:val="none"/>
          <w:lang w:val="en-US" w:eastAsia="zh-CN" w:bidi="ar"/>
        </w:rPr>
        <w:t xml:space="preserve">供应商</w:t>
      </w:r>
      <w:r>
        <w:rPr>
          <w:rFonts w:hint="eastAsia"/>
          <w:color w:val="auto"/>
          <w:sz w:val="21"/>
          <w:szCs w:val="21"/>
          <w:highlight w:val="none"/>
          <w:lang w:bidi="ar"/>
        </w:rPr>
        <w:t xml:space="preserve">存在下列情况之一的，响应无效:</w:t>
      </w:r>
      <w:r/>
    </w:p>
    <w:p>
      <w:pPr>
        <w:pStyle w:val="1173"/>
        <w:ind w:firstLine="420"/>
        <w:spacing w:before="0" w:beforeAutospacing="0" w:after="0" w:afterAutospacing="0" w:line="360" w:lineRule="auto"/>
        <w:widowControl w:val="off"/>
        <w:rPr>
          <w:rFonts w:hint="eastAsia"/>
          <w:color w:val="auto"/>
          <w:sz w:val="21"/>
          <w:szCs w:val="21"/>
          <w:highlight w:val="none"/>
          <w:lang w:val="zh-CN" w:bidi="ar"/>
        </w:rPr>
      </w:pPr>
      <w:r>
        <w:rPr>
          <w:rFonts w:hint="eastAsia"/>
          <w:color w:val="auto"/>
          <w:sz w:val="21"/>
          <w:szCs w:val="21"/>
          <w:highlight w:val="none"/>
          <w:lang w:val="zh-CN" w:bidi="ar"/>
        </w:rPr>
        <w:t xml:space="preserve">（</w:t>
      </w:r>
      <w:r>
        <w:rPr>
          <w:rFonts w:hint="eastAsia"/>
          <w:color w:val="auto"/>
          <w:sz w:val="21"/>
          <w:szCs w:val="21"/>
          <w:highlight w:val="none"/>
          <w:lang w:bidi="ar"/>
        </w:rPr>
        <w:t xml:space="preserve">1</w:t>
      </w:r>
      <w:r>
        <w:rPr>
          <w:rFonts w:hint="eastAsia"/>
          <w:color w:val="auto"/>
          <w:sz w:val="21"/>
          <w:szCs w:val="21"/>
          <w:highlight w:val="none"/>
          <w:lang w:val="zh-CN" w:bidi="ar"/>
        </w:rPr>
        <w:t xml:space="preserve">）未按照采购文件的规定提交投标（响应）保证承诺书的；</w:t>
      </w:r>
      <w:r/>
    </w:p>
    <w:p>
      <w:pPr>
        <w:pStyle w:val="1173"/>
        <w:ind w:firstLine="420"/>
        <w:spacing w:before="0" w:beforeAutospacing="0" w:after="0" w:afterAutospacing="0" w:line="360" w:lineRule="auto"/>
        <w:widowControl w:val="off"/>
        <w:rPr>
          <w:rFonts w:hint="eastAsia"/>
          <w:color w:val="auto"/>
          <w:sz w:val="21"/>
          <w:szCs w:val="21"/>
          <w:highlight w:val="none"/>
          <w:lang w:val="zh-CN" w:bidi="ar"/>
        </w:rPr>
      </w:pPr>
      <w:r>
        <w:rPr>
          <w:rFonts w:hint="eastAsia"/>
          <w:color w:val="auto"/>
          <w:sz w:val="21"/>
          <w:szCs w:val="21"/>
          <w:highlight w:val="none"/>
          <w:lang w:val="zh-CN" w:bidi="ar"/>
        </w:rPr>
        <w:t xml:space="preserve">（</w:t>
      </w:r>
      <w:r>
        <w:rPr>
          <w:rFonts w:hint="eastAsia"/>
          <w:color w:val="auto"/>
          <w:sz w:val="21"/>
          <w:szCs w:val="21"/>
          <w:highlight w:val="none"/>
          <w:lang w:bidi="ar"/>
        </w:rPr>
        <w:t xml:space="preserve">2</w:t>
      </w:r>
      <w:r>
        <w:rPr>
          <w:rFonts w:hint="eastAsia"/>
          <w:color w:val="auto"/>
          <w:sz w:val="21"/>
          <w:szCs w:val="21"/>
          <w:highlight w:val="none"/>
          <w:lang w:val="zh-CN" w:bidi="ar"/>
        </w:rPr>
        <w:t xml:space="preserve">）未按照采购文件规定要求签署、盖章</w:t>
      </w:r>
      <w:r>
        <w:rPr>
          <w:rFonts w:hint="eastAsia"/>
          <w:color w:val="auto"/>
          <w:sz w:val="21"/>
          <w:szCs w:val="21"/>
          <w:highlight w:val="none"/>
          <w:lang w:val="en-US" w:eastAsia="zh-CN" w:bidi="ar"/>
        </w:rPr>
        <w:t xml:space="preserve">或签章的</w:t>
      </w:r>
      <w:r>
        <w:rPr>
          <w:rFonts w:hint="eastAsia"/>
          <w:color w:val="auto"/>
          <w:sz w:val="21"/>
          <w:szCs w:val="21"/>
          <w:highlight w:val="none"/>
          <w:lang w:val="zh-CN" w:bidi="ar"/>
        </w:rPr>
        <w:t xml:space="preserve">；</w:t>
      </w:r>
      <w:r/>
    </w:p>
    <w:p>
      <w:pPr>
        <w:pStyle w:val="1173"/>
        <w:ind w:firstLine="420"/>
        <w:spacing w:before="0" w:beforeAutospacing="0" w:after="0" w:afterAutospacing="0" w:line="360" w:lineRule="auto"/>
        <w:widowControl w:val="off"/>
        <w:rPr>
          <w:rFonts w:hint="eastAsia"/>
          <w:color w:val="auto"/>
          <w:sz w:val="21"/>
          <w:szCs w:val="21"/>
          <w:highlight w:val="none"/>
          <w:lang w:val="zh-CN" w:bidi="ar"/>
        </w:rPr>
      </w:pPr>
      <w:r>
        <w:rPr>
          <w:rFonts w:hint="eastAsia"/>
          <w:color w:val="auto"/>
          <w:sz w:val="21"/>
          <w:szCs w:val="21"/>
          <w:highlight w:val="none"/>
          <w:lang w:val="zh-CN" w:bidi="ar"/>
        </w:rPr>
        <w:t xml:space="preserve">（</w:t>
      </w:r>
      <w:r>
        <w:rPr>
          <w:rFonts w:hint="eastAsia"/>
          <w:color w:val="auto"/>
          <w:sz w:val="21"/>
          <w:szCs w:val="21"/>
          <w:highlight w:val="none"/>
          <w:lang w:bidi="ar"/>
        </w:rPr>
        <w:t xml:space="preserve">3</w:t>
      </w:r>
      <w:r>
        <w:rPr>
          <w:rFonts w:hint="eastAsia"/>
          <w:color w:val="auto"/>
          <w:sz w:val="21"/>
          <w:szCs w:val="21"/>
          <w:highlight w:val="none"/>
          <w:lang w:val="zh-CN" w:bidi="ar"/>
        </w:rPr>
        <w:t xml:space="preserve">）不具备采购文件中规定资格要求；</w:t>
      </w:r>
      <w:r/>
    </w:p>
    <w:p>
      <w:pPr>
        <w:pStyle w:val="1173"/>
        <w:ind w:firstLine="420"/>
        <w:spacing w:before="0" w:beforeAutospacing="0" w:after="0" w:afterAutospacing="0" w:line="360" w:lineRule="auto"/>
        <w:widowControl w:val="off"/>
        <w:rPr>
          <w:rFonts w:hint="eastAsia"/>
          <w:color w:val="auto"/>
          <w:sz w:val="21"/>
          <w:szCs w:val="21"/>
          <w:highlight w:val="none"/>
          <w:lang w:val="zh-CN" w:bidi="ar"/>
        </w:rPr>
      </w:pPr>
      <w:r>
        <w:rPr>
          <w:rFonts w:hint="eastAsia"/>
          <w:color w:val="auto"/>
          <w:sz w:val="21"/>
          <w:szCs w:val="21"/>
          <w:highlight w:val="none"/>
          <w:lang w:val="zh-CN" w:bidi="ar"/>
        </w:rPr>
        <w:t xml:space="preserve">（</w:t>
      </w:r>
      <w:r>
        <w:rPr>
          <w:rFonts w:hint="eastAsia"/>
          <w:color w:val="auto"/>
          <w:sz w:val="21"/>
          <w:szCs w:val="21"/>
          <w:highlight w:val="none"/>
          <w:lang w:bidi="ar"/>
        </w:rPr>
        <w:t xml:space="preserve">4</w:t>
      </w:r>
      <w:r>
        <w:rPr>
          <w:rFonts w:hint="eastAsia"/>
          <w:color w:val="auto"/>
          <w:sz w:val="21"/>
          <w:szCs w:val="21"/>
          <w:highlight w:val="none"/>
          <w:lang w:val="zh-CN" w:bidi="ar"/>
        </w:rPr>
        <w:t xml:space="preserve">）响应文件含有采购人不能接受的附加条件的；</w:t>
      </w:r>
      <w:r/>
    </w:p>
    <w:p>
      <w:pPr>
        <w:pStyle w:val="1173"/>
        <w:ind w:firstLine="420"/>
        <w:spacing w:before="0" w:beforeAutospacing="0" w:after="0" w:afterAutospacing="0" w:line="360" w:lineRule="auto"/>
        <w:widowControl w:val="off"/>
        <w:rPr>
          <w:rFonts w:hint="eastAsia"/>
          <w:color w:val="auto"/>
          <w:sz w:val="21"/>
          <w:szCs w:val="21"/>
          <w:highlight w:val="none"/>
          <w:lang w:val="zh-CN" w:bidi="ar"/>
        </w:rPr>
      </w:pPr>
      <w:r>
        <w:rPr>
          <w:rFonts w:hint="eastAsia"/>
          <w:color w:val="auto"/>
          <w:sz w:val="21"/>
          <w:szCs w:val="21"/>
          <w:highlight w:val="none"/>
          <w:lang w:val="zh-CN" w:bidi="ar"/>
        </w:rPr>
        <w:t xml:space="preserve">（</w:t>
      </w:r>
      <w:r>
        <w:rPr>
          <w:rFonts w:hint="eastAsia"/>
          <w:color w:val="auto"/>
          <w:sz w:val="21"/>
          <w:szCs w:val="21"/>
          <w:highlight w:val="none"/>
          <w:lang w:bidi="ar"/>
        </w:rPr>
        <w:t xml:space="preserve">5</w:t>
      </w:r>
      <w:r>
        <w:rPr>
          <w:rFonts w:hint="eastAsia"/>
          <w:color w:val="auto"/>
          <w:sz w:val="21"/>
          <w:szCs w:val="21"/>
          <w:highlight w:val="none"/>
          <w:lang w:val="zh-CN" w:bidi="ar"/>
        </w:rPr>
        <w:t xml:space="preserve">）不同</w:t>
      </w:r>
      <w:r>
        <w:rPr>
          <w:rFonts w:hint="eastAsia"/>
          <w:color w:val="auto"/>
          <w:sz w:val="21"/>
          <w:szCs w:val="21"/>
          <w:highlight w:val="none"/>
          <w:lang w:val="en-US" w:eastAsia="zh-CN" w:bidi="ar"/>
        </w:rPr>
        <w:t xml:space="preserve">供应商</w:t>
      </w:r>
      <w:r>
        <w:rPr>
          <w:rFonts w:hint="eastAsia"/>
          <w:color w:val="auto"/>
          <w:sz w:val="21"/>
          <w:szCs w:val="21"/>
          <w:highlight w:val="none"/>
          <w:lang w:val="zh-CN" w:bidi="ar"/>
        </w:rPr>
        <w:t xml:space="preserve">的电子投标文件制作机器码一致；</w:t>
      </w:r>
      <w:r/>
    </w:p>
    <w:p>
      <w:pPr>
        <w:pStyle w:val="1173"/>
        <w:ind w:firstLine="420"/>
        <w:spacing w:before="0" w:beforeAutospacing="0" w:after="0" w:afterAutospacing="0" w:line="360" w:lineRule="auto"/>
        <w:widowControl w:val="off"/>
        <w:rPr>
          <w:rFonts w:hint="eastAsia"/>
          <w:color w:val="auto"/>
          <w:sz w:val="21"/>
          <w:szCs w:val="21"/>
          <w:highlight w:val="none"/>
          <w:lang w:val="zh-CN" w:bidi="ar"/>
        </w:rPr>
      </w:pPr>
      <w:r>
        <w:rPr>
          <w:rFonts w:hint="eastAsia"/>
          <w:color w:val="auto"/>
          <w:sz w:val="21"/>
          <w:szCs w:val="21"/>
          <w:highlight w:val="none"/>
          <w:lang w:val="zh-CN" w:bidi="ar"/>
        </w:rPr>
        <w:t xml:space="preserve">（</w:t>
      </w:r>
      <w:r>
        <w:rPr>
          <w:rFonts w:hint="eastAsia"/>
          <w:color w:val="auto"/>
          <w:sz w:val="21"/>
          <w:szCs w:val="21"/>
          <w:highlight w:val="none"/>
          <w:lang w:bidi="ar"/>
        </w:rPr>
        <w:t xml:space="preserve">6</w:t>
      </w:r>
      <w:r>
        <w:rPr>
          <w:rFonts w:hint="eastAsia"/>
          <w:color w:val="auto"/>
          <w:sz w:val="21"/>
          <w:szCs w:val="21"/>
          <w:highlight w:val="none"/>
          <w:lang w:val="zh-CN" w:bidi="ar"/>
        </w:rPr>
        <w:t xml:space="preserve">）法律、法规和采购文件规定的其他无效情形；</w:t>
      </w:r>
      <w:r/>
    </w:p>
    <w:p>
      <w:pPr>
        <w:pStyle w:val="1173"/>
        <w:ind w:firstLine="420"/>
        <w:spacing w:before="0" w:beforeAutospacing="0" w:after="0" w:afterAutospacing="0" w:line="360" w:lineRule="auto"/>
        <w:widowControl w:val="off"/>
        <w:rPr>
          <w:rFonts w:hint="eastAsia"/>
          <w:color w:val="auto"/>
          <w:sz w:val="21"/>
          <w:szCs w:val="21"/>
          <w:highlight w:val="none"/>
        </w:rPr>
      </w:pPr>
      <w:r>
        <w:rPr>
          <w:rFonts w:hint="eastAsia"/>
          <w:color w:val="auto"/>
          <w:sz w:val="21"/>
          <w:szCs w:val="21"/>
          <w:highlight w:val="none"/>
          <w:lang w:bidi="ar"/>
        </w:rPr>
        <w:t xml:space="preserve">2.</w:t>
      </w:r>
      <w:r>
        <w:rPr>
          <w:rFonts w:hint="eastAsia"/>
          <w:color w:val="auto"/>
          <w:sz w:val="21"/>
          <w:szCs w:val="21"/>
          <w:highlight w:val="none"/>
          <w:lang w:val="en-US" w:eastAsia="zh-CN" w:bidi="ar"/>
        </w:rPr>
        <w:t xml:space="preserve">供应商</w:t>
      </w:r>
      <w:r>
        <w:rPr>
          <w:rFonts w:hint="eastAsia"/>
          <w:color w:val="auto"/>
          <w:sz w:val="21"/>
          <w:szCs w:val="21"/>
          <w:highlight w:val="none"/>
          <w:lang w:bidi="ar"/>
        </w:rPr>
        <w:t xml:space="preserve">应当遵循公平竞争的原则，不得恶意串通，不得妨碍其他</w:t>
      </w:r>
      <w:r>
        <w:rPr>
          <w:rFonts w:hint="eastAsia"/>
          <w:color w:val="auto"/>
          <w:sz w:val="21"/>
          <w:szCs w:val="21"/>
          <w:highlight w:val="none"/>
          <w:lang w:val="en-US" w:eastAsia="zh-CN" w:bidi="ar"/>
        </w:rPr>
        <w:t xml:space="preserve">供应商</w:t>
      </w:r>
      <w:r>
        <w:rPr>
          <w:rFonts w:hint="eastAsia"/>
          <w:color w:val="auto"/>
          <w:sz w:val="21"/>
          <w:szCs w:val="21"/>
          <w:highlight w:val="none"/>
          <w:lang w:bidi="ar"/>
        </w:rPr>
        <w:t xml:space="preserve">的竞争行为，不得损害采购人或者其他</w:t>
      </w:r>
      <w:r>
        <w:rPr>
          <w:rFonts w:hint="eastAsia"/>
          <w:color w:val="auto"/>
          <w:sz w:val="21"/>
          <w:szCs w:val="21"/>
          <w:highlight w:val="none"/>
          <w:lang w:val="en-US" w:eastAsia="zh-CN" w:bidi="ar"/>
        </w:rPr>
        <w:t xml:space="preserve">供应商</w:t>
      </w:r>
      <w:r>
        <w:rPr>
          <w:rFonts w:hint="eastAsia"/>
          <w:color w:val="auto"/>
          <w:sz w:val="21"/>
          <w:szCs w:val="21"/>
          <w:highlight w:val="none"/>
          <w:lang w:bidi="ar"/>
        </w:rPr>
        <w:t xml:space="preserve">的合法权益。</w:t>
      </w:r>
      <w:r/>
    </w:p>
    <w:p>
      <w:pPr>
        <w:pStyle w:val="1173"/>
        <w:ind w:firstLine="420"/>
        <w:spacing w:before="0" w:beforeAutospacing="0" w:after="0" w:afterAutospacing="0" w:line="360" w:lineRule="auto"/>
        <w:widowControl w:val="off"/>
        <w:rPr>
          <w:rFonts w:hint="eastAsia"/>
          <w:color w:val="auto"/>
          <w:sz w:val="21"/>
          <w:szCs w:val="21"/>
          <w:highlight w:val="none"/>
        </w:rPr>
      </w:pPr>
      <w:r>
        <w:rPr>
          <w:rFonts w:hint="eastAsia"/>
          <w:color w:val="auto"/>
          <w:sz w:val="21"/>
          <w:szCs w:val="21"/>
          <w:highlight w:val="none"/>
          <w:lang w:bidi="ar"/>
        </w:rPr>
        <w:t xml:space="preserve">磋商在过程中发现</w:t>
      </w:r>
      <w:r>
        <w:rPr>
          <w:rFonts w:hint="eastAsia"/>
          <w:color w:val="auto"/>
          <w:sz w:val="21"/>
          <w:szCs w:val="21"/>
          <w:highlight w:val="none"/>
          <w:lang w:val="en-US" w:eastAsia="zh-CN" w:bidi="ar"/>
        </w:rPr>
        <w:t xml:space="preserve">供应商</w:t>
      </w:r>
      <w:r>
        <w:rPr>
          <w:rFonts w:hint="eastAsia"/>
          <w:color w:val="auto"/>
          <w:sz w:val="21"/>
          <w:szCs w:val="21"/>
          <w:highlight w:val="none"/>
          <w:lang w:bidi="ar"/>
        </w:rPr>
        <w:t xml:space="preserve">有上述情形的，磋商小组应当认定其响应无效，并书面报告本级财政部门。</w:t>
      </w:r>
      <w:r/>
    </w:p>
    <w:p>
      <w:pPr>
        <w:pStyle w:val="1173"/>
        <w:ind w:firstLine="420"/>
        <w:spacing w:before="0" w:beforeAutospacing="0" w:after="0" w:afterAutospacing="0" w:line="360" w:lineRule="auto"/>
        <w:widowControl w:val="off"/>
        <w:rPr>
          <w:rFonts w:hint="eastAsia"/>
          <w:color w:val="auto"/>
          <w:sz w:val="21"/>
          <w:szCs w:val="21"/>
          <w:highlight w:val="none"/>
        </w:rPr>
      </w:pPr>
      <w:r>
        <w:rPr>
          <w:rFonts w:hint="eastAsia"/>
          <w:color w:val="auto"/>
          <w:sz w:val="21"/>
          <w:szCs w:val="21"/>
          <w:highlight w:val="none"/>
          <w:lang w:bidi="ar"/>
        </w:rPr>
        <w:t xml:space="preserve">3.有下列情形之一的，视为</w:t>
      </w:r>
      <w:r>
        <w:rPr>
          <w:rFonts w:hint="eastAsia"/>
          <w:color w:val="auto"/>
          <w:sz w:val="21"/>
          <w:szCs w:val="21"/>
          <w:highlight w:val="none"/>
          <w:lang w:eastAsia="zh-CN" w:bidi="ar"/>
        </w:rPr>
        <w:t xml:space="preserve">供应商</w:t>
      </w:r>
      <w:r>
        <w:rPr>
          <w:rFonts w:hint="eastAsia"/>
          <w:color w:val="auto"/>
          <w:sz w:val="21"/>
          <w:szCs w:val="21"/>
          <w:highlight w:val="none"/>
          <w:lang w:bidi="ar"/>
        </w:rPr>
        <w:t xml:space="preserve">恶意串通，其响应无效：</w:t>
      </w:r>
      <w:r/>
    </w:p>
    <w:p>
      <w:pPr>
        <w:pStyle w:val="1173"/>
        <w:ind w:firstLine="420"/>
        <w:spacing w:before="0" w:beforeAutospacing="0" w:after="0" w:afterAutospacing="0" w:line="360" w:lineRule="auto"/>
        <w:widowControl w:val="off"/>
        <w:rPr>
          <w:rFonts w:hint="eastAsia"/>
          <w:color w:val="auto"/>
          <w:sz w:val="21"/>
          <w:szCs w:val="21"/>
          <w:highlight w:val="none"/>
        </w:rPr>
      </w:pPr>
      <w:r>
        <w:rPr>
          <w:rFonts w:hint="eastAsia"/>
          <w:color w:val="auto"/>
          <w:sz w:val="21"/>
          <w:szCs w:val="21"/>
          <w:highlight w:val="none"/>
          <w:lang w:bidi="ar"/>
        </w:rPr>
        <w:t xml:space="preserve">（1）不同</w:t>
      </w:r>
      <w:r>
        <w:rPr>
          <w:rFonts w:hint="eastAsia"/>
          <w:color w:val="auto"/>
          <w:sz w:val="21"/>
          <w:szCs w:val="21"/>
          <w:highlight w:val="none"/>
          <w:lang w:eastAsia="zh-CN" w:bidi="ar"/>
        </w:rPr>
        <w:t xml:space="preserve">供应商</w:t>
      </w:r>
      <w:r>
        <w:rPr>
          <w:rFonts w:hint="eastAsia"/>
          <w:color w:val="auto"/>
          <w:sz w:val="21"/>
          <w:szCs w:val="21"/>
          <w:highlight w:val="none"/>
          <w:lang w:bidi="ar"/>
        </w:rPr>
        <w:t xml:space="preserve">的响应文件由同一单位或者个人编制；</w:t>
      </w:r>
      <w:r/>
    </w:p>
    <w:p>
      <w:pPr>
        <w:pStyle w:val="1173"/>
        <w:ind w:firstLine="420"/>
        <w:spacing w:before="0" w:beforeAutospacing="0" w:after="0" w:afterAutospacing="0" w:line="360" w:lineRule="auto"/>
        <w:widowControl w:val="off"/>
        <w:rPr>
          <w:rFonts w:hint="eastAsia"/>
          <w:color w:val="auto"/>
          <w:sz w:val="21"/>
          <w:szCs w:val="21"/>
          <w:highlight w:val="none"/>
        </w:rPr>
      </w:pPr>
      <w:r>
        <w:rPr>
          <w:rFonts w:hint="eastAsia"/>
          <w:color w:val="auto"/>
          <w:sz w:val="21"/>
          <w:szCs w:val="21"/>
          <w:highlight w:val="none"/>
          <w:lang w:bidi="ar"/>
        </w:rPr>
        <w:t xml:space="preserve">（2）不同</w:t>
      </w:r>
      <w:r>
        <w:rPr>
          <w:rFonts w:hint="eastAsia"/>
          <w:color w:val="auto"/>
          <w:sz w:val="21"/>
          <w:szCs w:val="21"/>
          <w:highlight w:val="none"/>
          <w:lang w:eastAsia="zh-CN" w:bidi="ar"/>
        </w:rPr>
        <w:t xml:space="preserve">供应商</w:t>
      </w:r>
      <w:r>
        <w:rPr>
          <w:rFonts w:hint="eastAsia"/>
          <w:color w:val="auto"/>
          <w:sz w:val="21"/>
          <w:szCs w:val="21"/>
          <w:highlight w:val="none"/>
          <w:lang w:bidi="ar"/>
        </w:rPr>
        <w:t xml:space="preserve">委托同一单位或者个人办理磋商事宜；</w:t>
      </w:r>
      <w:r/>
    </w:p>
    <w:p>
      <w:pPr>
        <w:pStyle w:val="1173"/>
        <w:ind w:firstLine="420"/>
        <w:spacing w:before="0" w:beforeAutospacing="0" w:after="0" w:afterAutospacing="0" w:line="360" w:lineRule="auto"/>
        <w:widowControl w:val="off"/>
        <w:rPr>
          <w:rFonts w:hint="eastAsia"/>
          <w:color w:val="auto"/>
          <w:sz w:val="21"/>
          <w:szCs w:val="21"/>
          <w:highlight w:val="none"/>
        </w:rPr>
      </w:pPr>
      <w:r>
        <w:rPr>
          <w:rFonts w:hint="eastAsia"/>
          <w:color w:val="auto"/>
          <w:sz w:val="21"/>
          <w:szCs w:val="21"/>
          <w:highlight w:val="none"/>
          <w:lang w:bidi="ar"/>
        </w:rPr>
        <w:t xml:space="preserve">（3）不同</w:t>
      </w:r>
      <w:r>
        <w:rPr>
          <w:rFonts w:hint="eastAsia"/>
          <w:color w:val="auto"/>
          <w:sz w:val="21"/>
          <w:szCs w:val="21"/>
          <w:highlight w:val="none"/>
          <w:lang w:eastAsia="zh-CN" w:bidi="ar"/>
        </w:rPr>
        <w:t xml:space="preserve">供应商</w:t>
      </w:r>
      <w:r>
        <w:rPr>
          <w:rFonts w:hint="eastAsia"/>
          <w:color w:val="auto"/>
          <w:sz w:val="21"/>
          <w:szCs w:val="21"/>
          <w:highlight w:val="none"/>
          <w:lang w:bidi="ar"/>
        </w:rPr>
        <w:t xml:space="preserve">的响应文件载明的项目管理成员或者联系人员为同一人；</w:t>
      </w:r>
      <w:r/>
    </w:p>
    <w:p>
      <w:pPr>
        <w:pStyle w:val="1173"/>
        <w:ind w:firstLine="420"/>
        <w:spacing w:before="0" w:beforeAutospacing="0" w:after="0" w:afterAutospacing="0" w:line="360" w:lineRule="auto"/>
        <w:widowControl w:val="off"/>
        <w:rPr>
          <w:rFonts w:hint="eastAsia"/>
          <w:b/>
          <w:color w:val="auto"/>
          <w:sz w:val="21"/>
          <w:szCs w:val="21"/>
          <w:highlight w:val="none"/>
          <w:lang w:val="zh-CN"/>
        </w:rPr>
      </w:pPr>
      <w:r>
        <w:rPr>
          <w:rFonts w:hint="eastAsia"/>
          <w:color w:val="auto"/>
          <w:sz w:val="21"/>
          <w:szCs w:val="21"/>
          <w:highlight w:val="none"/>
          <w:lang w:bidi="ar"/>
        </w:rPr>
        <w:t xml:space="preserve">（4）不同</w:t>
      </w:r>
      <w:r>
        <w:rPr>
          <w:rFonts w:hint="eastAsia"/>
          <w:color w:val="auto"/>
          <w:sz w:val="21"/>
          <w:szCs w:val="21"/>
          <w:highlight w:val="none"/>
          <w:lang w:eastAsia="zh-CN" w:bidi="ar"/>
        </w:rPr>
        <w:t xml:space="preserve">供应商</w:t>
      </w:r>
      <w:r>
        <w:rPr>
          <w:rFonts w:hint="eastAsia"/>
          <w:color w:val="auto"/>
          <w:sz w:val="21"/>
          <w:szCs w:val="21"/>
          <w:highlight w:val="none"/>
          <w:lang w:bidi="ar"/>
        </w:rPr>
        <w:t xml:space="preserve">的响应文件异常一致或者报价呈规律性差异；</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五、磋商文件的澄清和修改</w:t>
      </w:r>
      <w:r/>
    </w:p>
    <w:p>
      <w:pPr>
        <w:pStyle w:val="1173"/>
        <w:ind w:firstLine="420"/>
        <w:jc w:val="both"/>
        <w:spacing w:before="0" w:beforeAutospacing="0" w:after="0" w:afterAutospacing="0" w:line="360" w:lineRule="auto"/>
        <w:widowControl w:val="off"/>
        <w:rPr>
          <w:rFonts w:hint="eastAsia"/>
          <w:color w:val="auto"/>
          <w:sz w:val="21"/>
          <w:szCs w:val="21"/>
          <w:highlight w:val="none"/>
        </w:rPr>
      </w:pPr>
      <w:r>
        <w:rPr>
          <w:rFonts w:hint="eastAsia"/>
          <w:color w:val="auto"/>
          <w:sz w:val="21"/>
          <w:szCs w:val="21"/>
          <w:highlight w:val="none"/>
          <w:lang w:bidi="ar"/>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公告形式通知所有获取磋商文件的供应商；不足5日的，采购人、采购代理机构应当顺延提交首次响应文件截止时间。</w:t>
      </w:r>
      <w:r/>
    </w:p>
    <w:p>
      <w:pPr>
        <w:pStyle w:val="1173"/>
        <w:ind w:firstLine="420"/>
        <w:jc w:val="both"/>
        <w:spacing w:before="0" w:beforeAutospacing="0" w:after="0" w:afterAutospacing="0" w:line="360" w:lineRule="auto"/>
        <w:widowControl w:val="off"/>
        <w:rPr>
          <w:rFonts w:hint="eastAsia"/>
          <w:color w:val="auto"/>
          <w:sz w:val="21"/>
          <w:szCs w:val="21"/>
          <w:highlight w:val="none"/>
        </w:rPr>
      </w:pPr>
      <w:r>
        <w:rPr>
          <w:rFonts w:hint="eastAsia"/>
          <w:color w:val="auto"/>
          <w:sz w:val="21"/>
          <w:szCs w:val="21"/>
          <w:highlight w:val="none"/>
          <w:lang w:bidi="ar"/>
        </w:rPr>
        <w:t xml:space="preserve">2.磋商文件的澄清、修改等内容与竞争性磋商文件在同一内容的表述上不一致时，以发出日期最接近磋商时间的公告为准。</w:t>
      </w:r>
      <w:r/>
    </w:p>
    <w:p>
      <w:pPr>
        <w:pStyle w:val="1173"/>
        <w:ind w:firstLine="420"/>
        <w:jc w:val="both"/>
        <w:spacing w:before="0" w:beforeAutospacing="0" w:after="0" w:afterAutospacing="0" w:line="360" w:lineRule="auto"/>
        <w:widowControl w:val="off"/>
        <w:rPr>
          <w:rFonts w:hint="eastAsia"/>
          <w:b/>
          <w:color w:val="auto"/>
          <w:sz w:val="21"/>
          <w:szCs w:val="21"/>
          <w:highlight w:val="none"/>
          <w:lang w:bidi="ar"/>
        </w:rPr>
      </w:pPr>
      <w:r>
        <w:rPr>
          <w:rFonts w:hint="eastAsia"/>
          <w:color w:val="auto"/>
          <w:sz w:val="21"/>
          <w:szCs w:val="21"/>
          <w:highlight w:val="none"/>
          <w:lang w:bidi="ar"/>
        </w:rPr>
        <w:t xml:space="preserve">3.磋商文件的澄清、修改等内容均将在财政部门指定的政府采购信息发布媒体上发布，作为磋商文件的组成部分，对供应商起约束作用。</w:t>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六、</w:t>
      </w:r>
      <w:r>
        <w:rPr>
          <w:rFonts w:hint="eastAsia" w:ascii="宋体" w:hAnsi="宋体" w:cs="宋体"/>
          <w:b/>
          <w:color w:val="auto"/>
          <w:szCs w:val="21"/>
          <w:highlight w:val="none"/>
        </w:rPr>
        <w:t xml:space="preserve">异常低价响应审查：</w:t>
      </w:r>
      <w:r/>
    </w:p>
    <w:p>
      <w:pPr>
        <w:ind w:firstLine="420"/>
        <w:keepLines w:val="0"/>
        <w:keepNext w:val="0"/>
        <w:pageBreakBefore w:val="0"/>
        <w:spacing w:line="360" w:lineRule="auto"/>
        <w:widowControl/>
        <w:rPr>
          <w:rFonts w:ascii="宋体" w:hAnsi="宋体" w:cs="宋体"/>
          <w:b w:val="0"/>
          <w:bCs w:val="0"/>
          <w:color w:val="auto"/>
          <w:sz w:val="24"/>
          <w:szCs w:val="24"/>
          <w:highlight w:val="none"/>
        </w:rPr>
      </w:pPr>
      <w:r>
        <w:rPr>
          <w:rFonts w:ascii="宋体" w:hAnsi="宋体" w:cs="宋体"/>
          <w:b w:val="0"/>
          <w:bCs w:val="0"/>
          <w:color w:val="auto"/>
          <w:szCs w:val="21"/>
          <w:highlight w:val="none"/>
        </w:rPr>
        <w:t xml:space="preserve">1</w:t>
      </w:r>
      <w:r>
        <w:rPr>
          <w:rFonts w:hint="eastAsia" w:ascii="宋体" w:hAnsi="宋体" w:cs="宋体"/>
          <w:b w:val="0"/>
          <w:bCs w:val="0"/>
          <w:color w:val="auto"/>
          <w:szCs w:val="21"/>
          <w:highlight w:val="none"/>
          <w:lang w:val="en-US" w:eastAsia="zh-CN"/>
        </w:rPr>
        <w:t xml:space="preserve">.</w:t>
      </w:r>
      <w:r>
        <w:rPr>
          <w:rFonts w:hint="eastAsia" w:ascii="宋体" w:hAnsi="宋体" w:cs="宋体"/>
          <w:b w:val="0"/>
          <w:bCs w:val="0"/>
          <w:color w:val="auto"/>
          <w:szCs w:val="21"/>
          <w:highlight w:val="none"/>
        </w:rPr>
        <w:t xml:space="preserve">评审过程中出现下列情形之一的，磋商小组应当启动异常低价响应审查程序：</w:t>
      </w:r>
      <w:r/>
    </w:p>
    <w:p>
      <w:pPr>
        <w:ind w:firstLine="420"/>
        <w:keepLines w:val="0"/>
        <w:keepNext w:val="0"/>
        <w:pageBreakBefore w:val="0"/>
        <w:spacing w:line="360" w:lineRule="auto"/>
        <w:widowControl/>
        <w:rPr>
          <w:rFonts w:ascii="宋体" w:hAnsi="宋体" w:cs="宋体"/>
          <w:b w:val="0"/>
          <w:bCs w:val="0"/>
          <w:color w:val="auto"/>
          <w:sz w:val="24"/>
          <w:szCs w:val="24"/>
          <w:highlight w:val="none"/>
        </w:rPr>
      </w:pPr>
      <w:r>
        <w:rPr>
          <w:rFonts w:hint="eastAsia" w:ascii="宋体" w:hAnsi="宋体" w:cs="宋体"/>
          <w:b w:val="0"/>
          <w:bCs w:val="0"/>
          <w:color w:val="auto"/>
          <w:szCs w:val="21"/>
          <w:highlight w:val="none"/>
        </w:rPr>
        <w:t xml:space="preserve">（1）响应报价低于全部通过符合性审查供应商响应报价平均值50%的，即响应报价&lt;全部通过符合性审查供应商响应报价平均值×50%；</w:t>
      </w:r>
      <w:r/>
    </w:p>
    <w:p>
      <w:pPr>
        <w:ind w:firstLine="420"/>
        <w:keepLines w:val="0"/>
        <w:keepNext w:val="0"/>
        <w:pageBreakBefore w:val="0"/>
        <w:spacing w:line="360" w:lineRule="auto"/>
        <w:widowControl/>
        <w:rPr>
          <w:rFonts w:ascii="宋体" w:hAnsi="宋体" w:cs="宋体"/>
          <w:b w:val="0"/>
          <w:bCs w:val="0"/>
          <w:color w:val="auto"/>
          <w:sz w:val="24"/>
          <w:szCs w:val="24"/>
          <w:highlight w:val="none"/>
        </w:rPr>
      </w:pPr>
      <w:r>
        <w:rPr>
          <w:rFonts w:hint="eastAsia" w:ascii="宋体" w:hAnsi="宋体" w:cs="宋体"/>
          <w:b w:val="0"/>
          <w:bCs w:val="0"/>
          <w:color w:val="auto"/>
          <w:szCs w:val="21"/>
          <w:highlight w:val="none"/>
        </w:rPr>
        <w:t xml:space="preserve">（2）响应报价低于通过符合性审查的次低报价供应商响应报价50%的，即响应报价&lt;通过符合性审查的次低报价供应商响应报价×50%；</w:t>
      </w:r>
      <w:r/>
    </w:p>
    <w:p>
      <w:pPr>
        <w:ind w:firstLine="420"/>
        <w:keepLines w:val="0"/>
        <w:keepNext w:val="0"/>
        <w:pageBreakBefore w:val="0"/>
        <w:spacing w:line="360" w:lineRule="auto"/>
        <w:widowControl/>
        <w:rPr>
          <w:rFonts w:ascii="宋体" w:hAnsi="宋体" w:cs="宋体"/>
          <w:b w:val="0"/>
          <w:bCs w:val="0"/>
          <w:color w:val="auto"/>
          <w:sz w:val="24"/>
          <w:szCs w:val="24"/>
          <w:highlight w:val="none"/>
        </w:rPr>
      </w:pPr>
      <w:r>
        <w:rPr>
          <w:rFonts w:hint="eastAsia" w:ascii="宋体" w:hAnsi="宋体" w:cs="宋体"/>
          <w:b w:val="0"/>
          <w:bCs w:val="0"/>
          <w:color w:val="auto"/>
          <w:szCs w:val="21"/>
          <w:highlight w:val="none"/>
        </w:rPr>
        <w:t xml:space="preserve">（3）响应报价低于采购项目最高限价45%的，即响应报价&lt;采购项目最高限价×45%；</w:t>
      </w:r>
      <w:r/>
    </w:p>
    <w:p>
      <w:pPr>
        <w:ind w:firstLine="420"/>
        <w:keepLines w:val="0"/>
        <w:keepNext w:val="0"/>
        <w:pageBreakBefore w:val="0"/>
        <w:spacing w:line="360" w:lineRule="auto"/>
        <w:widowControl/>
        <w:rPr>
          <w:rFonts w:ascii="宋体" w:hAnsi="宋体" w:cs="宋体"/>
          <w:b w:val="0"/>
          <w:bCs w:val="0"/>
          <w:color w:val="auto"/>
          <w:sz w:val="24"/>
          <w:szCs w:val="24"/>
          <w:highlight w:val="none"/>
        </w:rPr>
      </w:pPr>
      <w:r>
        <w:rPr>
          <w:rFonts w:hint="eastAsia" w:ascii="宋体" w:hAnsi="宋体" w:cs="宋体"/>
          <w:b w:val="0"/>
          <w:bCs w:val="0"/>
          <w:color w:val="auto"/>
          <w:szCs w:val="21"/>
          <w:highlight w:val="none"/>
        </w:rPr>
        <w:t xml:space="preserve">（4）磋商小组基于专业判断，认为供应商报价过低，有可能影响产品质量或者不能诚信履约的其他情形。</w:t>
      </w:r>
      <w:r/>
    </w:p>
    <w:p>
      <w:pPr>
        <w:ind w:firstLine="420"/>
        <w:keepLines w:val="0"/>
        <w:keepNext w:val="0"/>
        <w:pageBreakBefore w:val="0"/>
        <w:spacing w:line="360" w:lineRule="auto"/>
        <w:widowControl/>
        <w:rPr>
          <w:rFonts w:ascii="宋体" w:hAnsi="宋体" w:cs="宋体"/>
          <w:b w:val="0"/>
          <w:bCs w:val="0"/>
          <w:color w:val="auto"/>
          <w:sz w:val="24"/>
          <w:szCs w:val="24"/>
          <w:highlight w:val="none"/>
        </w:rPr>
      </w:pPr>
      <w:r>
        <w:rPr>
          <w:rFonts w:hint="eastAsia" w:ascii="宋体" w:hAnsi="宋体" w:cs="宋体"/>
          <w:b w:val="0"/>
          <w:bCs w:val="0"/>
          <w:color w:val="auto"/>
          <w:szCs w:val="21"/>
          <w:highlight w:val="none"/>
        </w:rPr>
        <w:t xml:space="preserve">2</w:t>
      </w:r>
      <w:r>
        <w:rPr>
          <w:rFonts w:hint="eastAsia" w:ascii="宋体" w:hAnsi="宋体" w:cs="宋体"/>
          <w:b w:val="0"/>
          <w:bCs w:val="0"/>
          <w:color w:val="auto"/>
          <w:szCs w:val="21"/>
          <w:highlight w:val="none"/>
          <w:lang w:val="en-US" w:eastAsia="zh-CN"/>
        </w:rPr>
        <w:t xml:space="preserve">.</w:t>
      </w:r>
      <w:r>
        <w:rPr>
          <w:rFonts w:hint="eastAsia" w:ascii="宋体" w:hAnsi="宋体" w:cs="宋体"/>
          <w:b w:val="0"/>
          <w:bCs w:val="0"/>
          <w:color w:val="auto"/>
          <w:szCs w:val="21"/>
          <w:highlight w:val="none"/>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keepLines w:val="0"/>
        <w:keepNext w:val="0"/>
        <w:pageBreakBefore w:val="0"/>
        <w:spacing w:line="360" w:lineRule="auto"/>
        <w:widowControl/>
        <w:rPr>
          <w:rFonts w:ascii="宋体" w:hAnsi="宋体" w:cs="宋体"/>
          <w:b w:val="0"/>
          <w:bCs w:val="0"/>
          <w:color w:val="auto"/>
          <w:sz w:val="24"/>
          <w:szCs w:val="24"/>
          <w:highlight w:val="none"/>
        </w:rPr>
      </w:pPr>
      <w:r>
        <w:rPr>
          <w:rFonts w:hint="eastAsia" w:ascii="宋体" w:hAnsi="宋体" w:cs="宋体"/>
          <w:b w:val="0"/>
          <w:bCs w:val="0"/>
          <w:color w:val="auto"/>
          <w:szCs w:val="21"/>
          <w:highlight w:val="none"/>
        </w:rPr>
        <w:t xml:space="preserve">3</w:t>
      </w:r>
      <w:r>
        <w:rPr>
          <w:rFonts w:hint="eastAsia" w:ascii="宋体" w:hAnsi="宋体" w:cs="宋体"/>
          <w:b w:val="0"/>
          <w:bCs w:val="0"/>
          <w:color w:val="auto"/>
          <w:szCs w:val="21"/>
          <w:highlight w:val="none"/>
          <w:lang w:val="en-US" w:eastAsia="zh-CN"/>
        </w:rPr>
        <w:t xml:space="preserve">.</w:t>
      </w:r>
      <w:r>
        <w:rPr>
          <w:rFonts w:hint="eastAsia" w:ascii="宋体" w:hAnsi="宋体" w:cs="宋体"/>
          <w:b w:val="0"/>
          <w:bCs w:val="0"/>
          <w:color w:val="auto"/>
          <w:szCs w:val="21"/>
          <w:highlight w:val="none"/>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keepLines w:val="0"/>
        <w:keepNext w:val="0"/>
        <w:pageBreakBefore w:val="0"/>
        <w:spacing w:line="360" w:lineRule="auto"/>
        <w:widowControl/>
        <w:rPr>
          <w:rFonts w:ascii="宋体" w:hAnsi="宋体" w:cs="宋体"/>
          <w:b w:val="0"/>
          <w:bCs w:val="0"/>
          <w:color w:val="auto"/>
          <w:sz w:val="24"/>
          <w:szCs w:val="24"/>
          <w:highlight w:val="none"/>
        </w:rPr>
      </w:pPr>
      <w:r>
        <w:rPr>
          <w:rFonts w:hint="eastAsia" w:ascii="宋体" w:hAnsi="宋体" w:cs="宋体"/>
          <w:b w:val="0"/>
          <w:bCs w:val="0"/>
          <w:color w:val="auto"/>
          <w:szCs w:val="21"/>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ind w:firstLine="420"/>
        <w:keepLines w:val="0"/>
        <w:keepNext w:val="0"/>
        <w:pageBreakBefore w:val="0"/>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注：异常低价审查有关要求，均以财政部发布的《关于推动解决政府采购异常低价问题的通知》（ 财库〔2026〕2号）为准。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bidi="ar"/>
        </w:rPr>
        <w:t xml:space="preserve">七</w:t>
      </w:r>
      <w:r>
        <w:rPr>
          <w:rFonts w:hint="eastAsia" w:ascii="宋体" w:hAnsi="宋体" w:cs="宋体"/>
          <w:b/>
          <w:color w:val="auto"/>
          <w:szCs w:val="21"/>
          <w:highlight w:val="none"/>
          <w:lang w:bidi="ar"/>
        </w:rPr>
        <w:t xml:space="preserve">、响应文件计量单位和使用文字</w:t>
      </w:r>
      <w:r/>
    </w:p>
    <w:p>
      <w:pPr>
        <w:pStyle w:val="1173"/>
        <w:ind w:firstLine="420"/>
        <w:jc w:val="both"/>
        <w:spacing w:before="0" w:beforeAutospacing="0" w:after="0" w:afterAutospacing="0" w:line="360" w:lineRule="auto"/>
        <w:widowControl w:val="off"/>
        <w:rPr>
          <w:rFonts w:hint="eastAsia"/>
          <w:color w:val="auto"/>
          <w:sz w:val="21"/>
          <w:szCs w:val="21"/>
          <w:highlight w:val="none"/>
        </w:rPr>
      </w:pPr>
      <w:r>
        <w:rPr>
          <w:rFonts w:hint="eastAsia"/>
          <w:color w:val="auto"/>
          <w:sz w:val="21"/>
          <w:szCs w:val="21"/>
          <w:highlight w:val="none"/>
          <w:lang w:bidi="ar"/>
        </w:rPr>
        <w:t xml:space="preserve">1.响应文件中所使用的计量单位，除竞争性磋商文件中有特殊要求外，均应使用中华人民共和国法定计量单位。</w:t>
      </w:r>
      <w:r/>
    </w:p>
    <w:p>
      <w:pPr>
        <w:pStyle w:val="1173"/>
        <w:ind w:firstLine="420"/>
        <w:jc w:val="both"/>
        <w:spacing w:before="0" w:beforeAutospacing="0" w:after="0" w:afterAutospacing="0" w:line="360" w:lineRule="auto"/>
        <w:widowControl w:val="off"/>
        <w:rPr>
          <w:rFonts w:hint="eastAsia"/>
          <w:b/>
          <w:color w:val="auto"/>
          <w:sz w:val="21"/>
          <w:szCs w:val="21"/>
          <w:highlight w:val="none"/>
          <w:lang w:val="zh-CN"/>
        </w:rPr>
      </w:pPr>
      <w:r>
        <w:rPr>
          <w:rFonts w:hint="eastAsia"/>
          <w:color w:val="auto"/>
          <w:sz w:val="21"/>
          <w:szCs w:val="21"/>
          <w:highlight w:val="none"/>
          <w:lang w:bidi="ar"/>
        </w:rPr>
        <w:t xml:space="preserve">2.响应文件应使用中文编制，响应文件中使用其他文字的，必须附有中文译本，且以中文译本为准。对于未附有中文译本和中文译本不准确的响应文件可能引起的对供应商不利的后果，采购人概不负责。</w:t>
      </w:r>
      <w:r/>
    </w:p>
    <w:p>
      <w:pPr>
        <w:ind w:firstLine="422"/>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en-US" w:eastAsia="zh-CN"/>
        </w:rPr>
        <w:t xml:space="preserve">八</w:t>
      </w:r>
      <w:r>
        <w:rPr>
          <w:rFonts w:hint="eastAsia" w:ascii="宋体" w:hAnsi="宋体" w:cs="宋体"/>
          <w:b/>
          <w:color w:val="auto"/>
          <w:szCs w:val="21"/>
          <w:highlight w:val="none"/>
          <w:lang w:val="zh-CN"/>
        </w:rPr>
        <w:t xml:space="preserve">、项目的终止</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出现下列情形之一的，将终止竞争性磋商采购活动：</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因情况变化，不再符合规定的竞争性磋商采购方式适用情形的；</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出现影响采购公正的违法、违规行为的；</w:t>
      </w:r>
      <w:r/>
    </w:p>
    <w:p>
      <w:pPr>
        <w:ind w:firstLine="420"/>
        <w:spacing w:line="360" w:lineRule="auto"/>
        <w:widowControl/>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在采购活动中因重大变故，采购任务取消的。</w:t>
      </w:r>
      <w:r/>
    </w:p>
    <w:p>
      <w:pPr>
        <w:ind w:firstLine="422"/>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en-US" w:eastAsia="zh-CN"/>
        </w:rPr>
        <w:t xml:space="preserve">九</w:t>
      </w:r>
      <w:r>
        <w:rPr>
          <w:rFonts w:hint="eastAsia" w:ascii="宋体" w:hAnsi="宋体" w:cs="宋体"/>
          <w:b/>
          <w:color w:val="auto"/>
          <w:szCs w:val="21"/>
          <w:highlight w:val="none"/>
          <w:lang w:val="zh-CN"/>
        </w:rPr>
        <w:t xml:space="preserve">、评审内容的保密</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磋商开始后，直到宣布授予成交</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合同为止，凡属于审查、澄清、评价和比较磋商响应文件的所有资料，有关授予合同的信息都不应向磋商供应商或与评审无关的其他人泄露。</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在磋商响应文件的审查、澄清、评价和比较以及授予合同的过程中，磋商供应商对采购</w:t>
      </w:r>
      <w:r>
        <w:rPr>
          <w:rFonts w:hint="eastAsia" w:ascii="宋体" w:hAnsi="宋体" w:cs="宋体"/>
          <w:color w:val="auto"/>
          <w:szCs w:val="21"/>
          <w:highlight w:val="none"/>
        </w:rPr>
        <w:t xml:space="preserve">人</w:t>
      </w:r>
      <w:r>
        <w:rPr>
          <w:rFonts w:hint="eastAsia" w:ascii="宋体" w:hAnsi="宋体" w:cs="宋体"/>
          <w:color w:val="auto"/>
          <w:szCs w:val="21"/>
          <w:highlight w:val="none"/>
          <w:lang w:val="zh-CN"/>
        </w:rPr>
        <w:t xml:space="preserve">和磋商小组施加影响的任何行为，都将取消其成交资格。</w:t>
      </w:r>
      <w:r/>
    </w:p>
    <w:p>
      <w:pPr>
        <w:ind w:firstLine="420"/>
        <w:spacing w:line="360" w:lineRule="auto"/>
        <w:widowControl/>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在评审期间，采购</w:t>
      </w:r>
      <w:r>
        <w:rPr>
          <w:rFonts w:hint="eastAsia" w:ascii="宋体" w:hAnsi="宋体" w:cs="宋体"/>
          <w:color w:val="auto"/>
          <w:szCs w:val="21"/>
          <w:highlight w:val="none"/>
        </w:rPr>
        <w:t xml:space="preserve">人</w:t>
      </w:r>
      <w:r>
        <w:rPr>
          <w:rFonts w:hint="eastAsia" w:ascii="宋体" w:hAnsi="宋体" w:cs="宋体"/>
          <w:color w:val="auto"/>
          <w:szCs w:val="21"/>
          <w:highlight w:val="none"/>
          <w:lang w:val="zh-CN"/>
        </w:rPr>
        <w:t xml:space="preserve">将通过指定联络人与磋商供应商进行联系。</w:t>
      </w:r>
      <w:r/>
    </w:p>
    <w:p>
      <w:pPr>
        <w:ind w:left="0" w:firstLine="422"/>
        <w:jc w:val="both"/>
        <w:keepLines w:val="0"/>
        <w:keepNext w:val="0"/>
        <w:pageBreakBefore w:val="0"/>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en-US" w:eastAsia="zh-CN"/>
        </w:rPr>
        <w:t xml:space="preserve">十</w:t>
      </w:r>
      <w:r>
        <w:rPr>
          <w:rFonts w:hint="eastAsia" w:ascii="宋体" w:hAnsi="宋体" w:cs="宋体"/>
          <w:b/>
          <w:color w:val="auto"/>
          <w:szCs w:val="21"/>
          <w:highlight w:val="none"/>
          <w:lang w:val="zh-CN"/>
        </w:rPr>
        <w:t xml:space="preserve">、成交单位的确认</w:t>
      </w:r>
      <w:r/>
    </w:p>
    <w:p>
      <w:pPr>
        <w:ind w:left="0" w:firstLine="420"/>
        <w:jc w:val="both"/>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磋商小组根据磋商供应商资格审查情况，对其响应文件进行评价和比较，按照评审办法和标准进行评审，由采购人授权评审委员会在候选供应商名单中直接确定成交供应商。</w:t>
      </w:r>
      <w:r/>
    </w:p>
    <w:p>
      <w:pPr>
        <w:ind w:left="0" w:firstLine="420"/>
        <w:jc w:val="both"/>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left="0" w:firstLine="422"/>
        <w:jc w:val="both"/>
        <w:keepLines w:val="0"/>
        <w:keepNext w:val="0"/>
        <w:pageBreakBefore w:val="0"/>
        <w:spacing w:line="360" w:lineRule="auto"/>
        <w:widowControl/>
        <w:rPr>
          <w:rFonts w:hint="eastAsia" w:ascii="宋体" w:hAnsi="宋体" w:eastAsia="宋体" w:cs="宋体"/>
          <w:b/>
          <w:color w:val="auto"/>
          <w:szCs w:val="21"/>
          <w:highlight w:val="none"/>
          <w:lang w:val="zh-CN" w:eastAsia="zh-CN"/>
        </w:rPr>
      </w:pPr>
      <w:r>
        <w:rPr>
          <w:rFonts w:hint="eastAsia" w:ascii="宋体" w:hAnsi="宋体" w:eastAsia="宋体" w:cs="宋体"/>
          <w:b/>
          <w:color w:val="auto"/>
          <w:szCs w:val="21"/>
          <w:highlight w:val="none"/>
          <w:lang w:val="zh-CN" w:eastAsia="zh-CN"/>
        </w:rPr>
        <w:t xml:space="preserve">十一、成交通知书</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确定出成交单位后，采购代理机构在法定时间内向成交单位发出成交通知书。成交通知书将成为合同的组成部分。</w:t>
      </w:r>
      <w:r/>
    </w:p>
    <w:p>
      <w:pPr>
        <w:ind w:left="0" w:firstLine="422"/>
        <w:jc w:val="both"/>
        <w:keepLines w:val="0"/>
        <w:keepNext w:val="0"/>
        <w:pageBreakBefore w:val="0"/>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请成交单位在成交结果公告届满之日起30日内,使用CA证书登录“苏采云”系统及时下载成交通知书。</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采购单位对未成交单位不承担解释未成交原因的义务。</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成交单位应按成交通知书中规定的时间和地点，由法定代表人或代理人与甲方代表签订合同。否则按放弃处理。</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签订合同及合同条款应以采购文件和成交单位的磋商响应文件及其澄清文件为依据。</w:t>
      </w:r>
      <w:r/>
    </w:p>
    <w:p>
      <w:pPr>
        <w:ind w:left="0" w:firstLine="422"/>
        <w:jc w:val="both"/>
        <w:keepLines w:val="0"/>
        <w:keepNext w:val="0"/>
        <w:pageBreakBefore w:val="0"/>
        <w:spacing w:line="360" w:lineRule="auto"/>
        <w:widowControl/>
        <w:rPr>
          <w:rFonts w:hint="eastAsia" w:ascii="宋体" w:hAnsi="宋体" w:eastAsia="宋体" w:cs="宋体"/>
          <w:b/>
          <w:color w:val="auto"/>
          <w:szCs w:val="21"/>
          <w:highlight w:val="none"/>
          <w:lang w:val="zh-CN" w:eastAsia="zh-CN"/>
        </w:rPr>
      </w:pPr>
      <w:r/>
      <w:bookmarkStart w:id="18" w:name="_Hlk159490732"/>
      <w:r>
        <w:rPr>
          <w:rFonts w:hint="eastAsia" w:ascii="宋体" w:hAnsi="宋体" w:eastAsia="宋体" w:cs="宋体"/>
          <w:b/>
          <w:color w:val="auto"/>
          <w:szCs w:val="21"/>
          <w:highlight w:val="none"/>
          <w:lang w:val="zh-CN" w:eastAsia="zh-CN"/>
        </w:rPr>
        <w:t xml:space="preserve">十二、合同授予标准</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采购单位将把合同授予其磋商响应文件在实质上响应采购文件要求和按本须知规定评选出的供应商。确定为成交的供应商必须具有实施本合同的能力和资源。</w:t>
      </w:r>
      <w:bookmarkEnd w:id="18"/>
      <w:r/>
      <w:r/>
    </w:p>
    <w:p>
      <w:pPr>
        <w:ind w:left="0" w:firstLine="422"/>
        <w:jc w:val="both"/>
        <w:keepLines w:val="0"/>
        <w:keepNext w:val="0"/>
        <w:pageBreakBefore w:val="0"/>
        <w:spacing w:line="360" w:lineRule="auto"/>
        <w:widowControl/>
        <w:rPr>
          <w:rFonts w:hint="eastAsia" w:ascii="宋体" w:hAnsi="宋体" w:eastAsia="宋体" w:cs="宋体"/>
          <w:b/>
          <w:color w:val="auto"/>
          <w:szCs w:val="21"/>
          <w:highlight w:val="none"/>
          <w:lang w:val="zh-CN" w:eastAsia="zh-CN"/>
        </w:rPr>
      </w:pPr>
      <w:r>
        <w:rPr>
          <w:rFonts w:hint="eastAsia" w:ascii="宋体" w:hAnsi="宋体" w:eastAsia="宋体" w:cs="宋体"/>
          <w:b/>
          <w:color w:val="auto"/>
          <w:szCs w:val="21"/>
          <w:highlight w:val="none"/>
          <w:lang w:val="zh-CN" w:eastAsia="zh-CN"/>
        </w:rPr>
        <w:t xml:space="preserve">十三、综合说明及其它要求：</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磋商供应商需明确详细的服务方案。</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磋商供应商必须承诺文件中提出的全部要求，如果其中某些条款不响应时，应在文件中逐条列出，未列出的视同响应。</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3.磋商说明：</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（1）不符合供应商资格要求的响应文件将被认定为无效响应；</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（2）最终报价超过采购预算或最高限价的不能成交；</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（3）响应文件签署不符合要求的，响应文件将被拒绝；</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bookmarkStart w:id="19" w:name="_Hlk159488097"/>
      <w:r>
        <w:rPr>
          <w:rFonts w:hint="eastAsia" w:ascii="宋体" w:hAnsi="宋体" w:eastAsia="宋体" w:cs="宋体"/>
          <w:color w:val="auto"/>
          <w:szCs w:val="21"/>
          <w:highlight w:val="none"/>
          <w:lang w:val="zh-CN"/>
        </w:rPr>
        <w:t xml:space="preserve">（4）实质性响应磋商文件不满三家或进入二次报价的不满三家或二次报价在采购预算内不满三家的，磋商采购失败。</w:t>
      </w:r>
      <w:bookmarkEnd w:id="19"/>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（5）不实质性响应采购文件的不能成交。</w:t>
      </w:r>
      <w:r/>
    </w:p>
    <w:p>
      <w:pPr>
        <w:ind w:left="0" w:firstLine="422"/>
        <w:jc w:val="both"/>
        <w:keepLines w:val="0"/>
        <w:keepNext w:val="0"/>
        <w:pageBreakBefore w:val="0"/>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十四、政府采购政策</w:t>
      </w:r>
      <w:r>
        <w:rPr>
          <w:rFonts w:hint="eastAsia" w:ascii="宋体" w:hAnsi="宋体" w:cs="宋体"/>
          <w:color w:val="auto"/>
          <w:szCs w:val="21"/>
          <w:highlight w:val="none"/>
        </w:rPr>
        <w:t xml:space="preserve">（如不涉及此项可忽略）</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1.小、微企业</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Cs w:val="21"/>
          <w:highlight w:val="none"/>
          <w:lang w:val="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jc w:val="both"/>
        <w:keepLines w:val="0"/>
        <w:keepNext w:val="0"/>
        <w:pageBreakBefore w:val="0"/>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lang w:val="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Cs w:val="21"/>
          <w:highlight w:val="none"/>
          <w:lang w:val="zh-CN"/>
        </w:rPr>
        <w:t xml:space="preserve">服务类项目中供应商若使用退休人员，将不享受相关扶持政策。</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Cs w:val="21"/>
          <w:highlight w:val="none"/>
        </w:rPr>
        <w:t xml:space="preserve">其他未列明行业。</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2.残疾人福利性单位</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3.监狱企业</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4.绿色采购</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color w:val="auto"/>
          <w:sz w:val="21"/>
          <w:szCs w:val="21"/>
        </w:rPr>
      </w:pPr>
      <w:r/>
      <w:bookmarkStart w:id="20" w:name="OLE_LINK31"/>
      <w:r/>
      <w:bookmarkStart w:id="21" w:name="OLE_LINK34"/>
      <w:r>
        <w:rPr>
          <w:rFonts w:hint="eastAsia" w:ascii="宋体" w:hAnsi="宋体"/>
          <w:color w:val="auto"/>
          <w:sz w:val="21"/>
          <w:szCs w:val="21"/>
          <w:lang w:val="en-US" w:eastAsia="zh-CN"/>
        </w:rPr>
        <w:t xml:space="preserve">5</w:t>
      </w:r>
      <w:r>
        <w:rPr>
          <w:rFonts w:ascii="宋体" w:hAnsi="宋体"/>
          <w:color w:val="auto"/>
          <w:sz w:val="21"/>
          <w:szCs w:val="21"/>
        </w:rPr>
        <w:t xml:space="preserve">.</w:t>
      </w:r>
      <w:r>
        <w:rPr>
          <w:rFonts w:hint="eastAsia" w:ascii="宋体" w:hAnsi="宋体"/>
          <w:color w:val="auto"/>
          <w:sz w:val="21"/>
          <w:szCs w:val="21"/>
        </w:rPr>
        <w:t xml:space="preserve">对本国产品的支持政策</w:t>
      </w:r>
      <w:r/>
    </w:p>
    <w:p>
      <w:pPr>
        <w:ind w:left="0" w:firstLine="420"/>
        <w:spacing w:line="360" w:lineRule="auto"/>
        <w:tabs>
          <w:tab w:val="left" w:pos="567" w:leader="none"/>
        </w:tabs>
        <w:rPr>
          <w:rFonts w:ascii="宋体" w:hAnsi="宋体"/>
          <w:color w:val="auto"/>
          <w:sz w:val="21"/>
          <w:szCs w:val="21"/>
        </w:rPr>
      </w:pPr>
      <w:r>
        <w:rPr>
          <w:rFonts w:hint="eastAsia" w:ascii="宋体" w:hAnsi="宋体"/>
          <w:color w:val="auto"/>
          <w:sz w:val="21"/>
          <w:szCs w:val="21"/>
        </w:rPr>
        <w:t xml:space="preserve">根据《国务院办公厅关于在</w:t>
      </w:r>
      <w:r>
        <w:rPr>
          <w:rFonts w:hint="eastAsia" w:ascii="宋体" w:hAnsi="宋体"/>
          <w:color w:val="auto"/>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color w:val="auto"/>
          <w:sz w:val="21"/>
          <w:szCs w:val="21"/>
        </w:rPr>
      </w:pPr>
      <w:r>
        <w:rPr>
          <w:rFonts w:hint="eastAsia"/>
          <w:b/>
          <w:color w:val="auto"/>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color w:val="auto"/>
          <w:sz w:val="21"/>
          <w:szCs w:val="21"/>
        </w:rPr>
      </w:pPr>
      <w:r>
        <w:rPr>
          <w:rFonts w:hint="eastAsia" w:ascii="宋体" w:hAnsi="宋体"/>
          <w:color w:val="auto"/>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color w:val="auto"/>
          <w:sz w:val="21"/>
          <w:szCs w:val="21"/>
        </w:rPr>
      </w:pPr>
      <w:r>
        <w:rPr>
          <w:rFonts w:hint="eastAsia" w:ascii="宋体" w:hAnsi="宋体"/>
          <w:color w:val="auto"/>
          <w:sz w:val="21"/>
          <w:szCs w:val="21"/>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20"/>
      <w:r/>
      <w:bookmarkEnd w:id="21"/>
      <w:r/>
      <w:r/>
    </w:p>
    <w:p>
      <w:pPr>
        <w:ind w:left="0" w:firstLine="420"/>
        <w:spacing w:line="360" w:lineRule="auto"/>
        <w:tabs>
          <w:tab w:val="left" w:pos="567" w:leader="none"/>
        </w:tabs>
        <w:rPr>
          <w:rFonts w:hint="eastAsia" w:ascii="宋体" w:hAnsi="宋体"/>
          <w:color w:val="auto"/>
          <w:sz w:val="21"/>
          <w:szCs w:val="21"/>
          <w:lang w:val="zh-CN"/>
        </w:rPr>
      </w:pPr>
      <w:r>
        <w:rPr>
          <w:rFonts w:hint="eastAsia" w:ascii="宋体" w:hAnsi="宋体"/>
          <w:color w:val="auto"/>
          <w:sz w:val="21"/>
          <w:szCs w:val="21"/>
          <w:lang w:val="en-US" w:eastAsia="zh-CN"/>
        </w:rPr>
        <w:t xml:space="preserve">6.</w:t>
      </w:r>
      <w:r>
        <w:rPr>
          <w:rFonts w:hint="eastAsia" w:ascii="宋体" w:hAnsi="宋体"/>
          <w:color w:val="auto"/>
          <w:sz w:val="21"/>
          <w:szCs w:val="21"/>
          <w:lang w:val="zh-CN"/>
        </w:rPr>
        <w:t xml:space="preserve">关于深入开展苏州市政府采购合同信用融资业务的通知</w:t>
      </w:r>
      <w:r/>
    </w:p>
    <w:p>
      <w:pPr>
        <w:ind w:left="0" w:firstLine="420"/>
        <w:spacing w:line="360" w:lineRule="auto"/>
        <w:tabs>
          <w:tab w:val="left" w:pos="567" w:leader="none"/>
        </w:tabs>
        <w:rPr>
          <w:rFonts w:hint="eastAsia" w:ascii="宋体" w:hAnsi="宋体"/>
          <w:color w:val="auto"/>
          <w:sz w:val="21"/>
          <w:szCs w:val="21"/>
          <w:lang w:val="zh-CN"/>
        </w:rPr>
      </w:pPr>
      <w:r>
        <w:rPr>
          <w:rFonts w:hint="eastAsia" w:ascii="宋体" w:hAnsi="宋体"/>
          <w:color w:val="auto"/>
          <w:sz w:val="21"/>
          <w:szCs w:val="21"/>
          <w:lang w:val="zh-CN"/>
        </w:rPr>
        <w:t xml:space="preserve">根据苏州市财政局《关于深入开展苏州市政府采购合同信用融资业务的通知》相关要求，本项目支持政府采购合同信用融资。</w:t>
      </w:r>
      <w:r/>
    </w:p>
    <w:tbl>
      <w:tblPr>
        <w:tblStyle w:val="99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政府采购合同信用融资政策告知函</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各政府采购供应商:</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欢迎贵公司参加苏州市政府采购活动！</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left="0" w:firstLine="422"/>
        <w:jc w:val="both"/>
        <w:keepLines w:val="0"/>
        <w:keepNext w:val="0"/>
        <w:pageBreakBefore w:val="0"/>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十五、关于对参与供应商信用记录的政府采购要求</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采购代理机构会在接收响应文件截止时间后，登录信用中国网站（www.creditchina.gov.cn/）、中国政府采购网（</w:t>
      </w:r>
      <w:bookmarkStart w:id="22" w:name="OLE_LINK27"/>
      <w:r/>
      <w:bookmarkStart w:id="23" w:name="OLE_LINK4"/>
      <w:r>
        <w:rPr>
          <w:rFonts w:hint="eastAsia" w:ascii="宋体" w:hAnsi="宋体" w:eastAsia="宋体" w:cs="宋体"/>
          <w:color w:val="auto"/>
          <w:szCs w:val="21"/>
          <w:highlight w:val="none"/>
          <w:lang w:val="zh-CN"/>
        </w:rPr>
        <w:t xml:space="preserve">www.ccgp.gov.cn/</w:t>
      </w:r>
      <w:bookmarkEnd w:id="22"/>
      <w:r/>
      <w:bookmarkEnd w:id="23"/>
      <w:r>
        <w:rPr>
          <w:rFonts w:hint="eastAsia" w:ascii="宋体" w:hAnsi="宋体" w:eastAsia="宋体" w:cs="宋体"/>
          <w:color w:val="auto"/>
          <w:szCs w:val="21"/>
          <w:highlight w:val="none"/>
          <w:lang w:val="zh-CN"/>
        </w:rPr>
        <w:t xml:space="preserve">）查询供应商的信用记录，并将查询结果递交评审小组。</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供应商若在经营活动中受到罚款的，请携带相关地方、部门对</w:t>
      </w:r>
      <w:bookmarkStart w:id="24" w:name="OLE_LINK48"/>
      <w:r/>
      <w:bookmarkStart w:id="25" w:name="OLE_LINK49"/>
      <w:r>
        <w:rPr>
          <w:rFonts w:hint="eastAsia" w:ascii="宋体" w:hAnsi="宋体" w:eastAsia="宋体" w:cs="宋体"/>
          <w:color w:val="auto"/>
          <w:szCs w:val="21"/>
          <w:highlight w:val="none"/>
          <w:lang w:val="zh-CN"/>
        </w:rPr>
        <w:t xml:space="preserve">较大数额</w:t>
      </w:r>
      <w:bookmarkEnd w:id="24"/>
      <w:r/>
      <w:bookmarkEnd w:id="25"/>
      <w:r>
        <w:rPr>
          <w:rFonts w:hint="eastAsia" w:ascii="宋体" w:hAnsi="宋体" w:eastAsia="宋体" w:cs="宋体"/>
          <w:color w:val="auto"/>
          <w:szCs w:val="21"/>
          <w:highlight w:val="none"/>
          <w:lang w:val="zh-CN"/>
        </w:rPr>
        <w:t xml:space="preserve">认定标准的证明材料，与响应文件一并提交。若无法提供，则可能承担响应无效等相应不利后果。</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对存在失信信息的供应商，由失信供应商进行确认。同时，采购代理机构工作人员应根据评审小组确认的失信信息，登陆到相关来源网站页面进行复核并打印，作为证据留存。</w:t>
      </w:r>
      <w:r/>
    </w:p>
    <w:p>
      <w:pPr>
        <w:ind w:left="0" w:firstLine="422"/>
        <w:jc w:val="both"/>
        <w:keepLines w:val="0"/>
        <w:keepNext w:val="0"/>
        <w:pageBreakBefore w:val="0"/>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十六、凡涉及采购文件的补充说明和修改，均以网上发布的通知为准。</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89"/>
        <w:jc w:val="center"/>
        <w:keepLines/>
        <w:keepNext/>
        <w:pageBreakBefore w:val="0"/>
        <w:spacing w:line="416" w:lineRule="auto"/>
        <w:widowControl w:val="off"/>
        <w:rPr>
          <w:rFonts w:hint="eastAsia" w:ascii="宋体" w:hAnsi="宋体" w:cs="宋体"/>
          <w:b w:val="0"/>
          <w:color w:val="auto"/>
          <w:highlight w:val="none"/>
        </w:rPr>
        <w:outlineLvl w:val="0"/>
      </w:pPr>
      <w:r/>
      <w:bookmarkStart w:id="26" w:name="_Toc24595"/>
      <w:r>
        <w:rPr>
          <w:rFonts w:hint="eastAsia" w:ascii="宋体" w:hAnsi="宋体" w:cs="宋体"/>
          <w:color w:val="auto"/>
          <w:highlight w:val="none"/>
        </w:rPr>
        <w:t xml:space="preserve">第三章 竞争性磋商文件</w:t>
      </w:r>
      <w:bookmarkEnd w:id="17"/>
      <w:r/>
      <w:bookmarkEnd w:id="26"/>
      <w:r/>
      <w:r/>
    </w:p>
    <w:p>
      <w:pPr>
        <w:ind w:left="0" w:right="0"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苏州市相城区园林绿化建设管理中心</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委托，</w:t>
      </w:r>
      <w:r>
        <w:rPr>
          <w:rFonts w:hint="eastAsia" w:ascii="宋体" w:hAnsi="宋体" w:cs="宋体"/>
          <w:color w:val="auto"/>
          <w:szCs w:val="21"/>
          <w:highlight w:val="none"/>
          <w:lang w:eastAsia="zh-CN"/>
        </w:rPr>
        <w:t xml:space="preserve">江苏鸿渐投资咨询管理有限公司</w:t>
      </w:r>
      <w:r>
        <w:rPr>
          <w:rFonts w:hint="eastAsia" w:ascii="宋体" w:hAnsi="宋体" w:cs="宋体"/>
          <w:color w:val="auto"/>
          <w:szCs w:val="21"/>
          <w:highlight w:val="none"/>
        </w:rPr>
        <w:t xml:space="preserve">对其要求采购的</w:t>
      </w:r>
      <w:r>
        <w:rPr>
          <w:rFonts w:hint="eastAsia" w:ascii="宋体" w:hAnsi="宋体" w:cs="宋体"/>
          <w:color w:val="auto"/>
          <w:szCs w:val="21"/>
          <w:highlight w:val="none"/>
          <w:lang w:eastAsia="zh-CN"/>
        </w:rPr>
        <w:t xml:space="preserve">2026-2029年绿化养护监理服务</w:t>
      </w:r>
      <w:r>
        <w:rPr>
          <w:rFonts w:hint="eastAsia" w:ascii="宋体" w:hAnsi="宋体" w:cs="宋体"/>
          <w:color w:val="auto"/>
          <w:szCs w:val="21"/>
          <w:highlight w:val="none"/>
        </w:rPr>
        <w:t xml:space="preserve">项目进行竞争性磋商采购，欢迎符合磋商采购文件资格条件的供应商前来参加磋商。</w:t>
      </w:r>
      <w:r/>
    </w:p>
    <w:p>
      <w:pPr>
        <w:ind w:left="0" w:right="0" w:firstLine="422"/>
        <w:jc w:val="both"/>
        <w:keepLines w:val="0"/>
        <w:keepNext w:val="0"/>
        <w:pageBreakBefore w:val="0"/>
        <w:spacing w:line="360" w:lineRule="auto"/>
        <w:widowControl w:val="off"/>
        <w:rPr>
          <w:rFonts w:hint="eastAsia" w:ascii="宋体" w:hAnsi="宋体" w:eastAsia="宋体" w:cs="宋体"/>
          <w:b w:val="0"/>
          <w:bCs w:val="0"/>
          <w:color w:val="auto"/>
          <w:szCs w:val="22"/>
          <w:highlight w:val="none"/>
          <w:lang w:eastAsia="zh-CN"/>
        </w:rPr>
      </w:pPr>
      <w:r/>
      <w:bookmarkStart w:id="27" w:name="_Toc28181"/>
      <w:r/>
      <w:bookmarkStart w:id="28" w:name="_Toc9317"/>
      <w:r>
        <w:rPr>
          <w:rFonts w:hint="eastAsia" w:ascii="宋体" w:hAnsi="宋体" w:cs="宋体"/>
          <w:b/>
          <w:bCs/>
          <w:color w:val="auto"/>
          <w:szCs w:val="22"/>
          <w:highlight w:val="none"/>
        </w:rPr>
        <w:t xml:space="preserve">一、采购编号：</w:t>
      </w:r>
      <w:bookmarkEnd w:id="27"/>
      <w:r/>
      <w:bookmarkEnd w:id="28"/>
      <w:r>
        <w:rPr>
          <w:rFonts w:hint="eastAsia" w:ascii="宋体" w:hAnsi="宋体" w:cs="宋体"/>
          <w:b w:val="0"/>
          <w:bCs w:val="0"/>
          <w:color w:val="auto"/>
          <w:szCs w:val="22"/>
          <w:highlight w:val="none"/>
          <w:lang w:eastAsia="zh-CN"/>
        </w:rPr>
        <w:t xml:space="preserve">JSZC-320507-SZHJ-C2026-0010</w:t>
      </w:r>
      <w:r/>
    </w:p>
    <w:p>
      <w:pPr>
        <w:ind w:left="0" w:right="0" w:firstLine="422"/>
        <w:jc w:val="both"/>
        <w:keepLines w:val="0"/>
        <w:keepNext w:val="0"/>
        <w:pageBreakBefore w:val="0"/>
        <w:spacing w:line="360" w:lineRule="auto"/>
        <w:widowControl w:val="off"/>
        <w:rPr>
          <w:rFonts w:hint="eastAsia" w:ascii="宋体" w:hAnsi="宋体" w:cs="宋体"/>
          <w:color w:val="auto"/>
          <w:highlight w:val="none"/>
        </w:rPr>
      </w:pPr>
      <w:r/>
      <w:bookmarkStart w:id="29" w:name="_Toc30844"/>
      <w:r/>
      <w:bookmarkStart w:id="30" w:name="_Toc15135"/>
      <w:r>
        <w:rPr>
          <w:rFonts w:hint="eastAsia" w:ascii="宋体" w:hAnsi="宋体" w:cs="宋体"/>
          <w:b/>
          <w:bCs/>
          <w:color w:val="auto"/>
          <w:szCs w:val="22"/>
          <w:highlight w:val="none"/>
        </w:rPr>
        <w:t xml:space="preserve">二、采购内容：</w:t>
      </w:r>
      <w:bookmarkEnd w:id="29"/>
      <w:r/>
      <w:bookmarkEnd w:id="30"/>
      <w:r>
        <w:rPr>
          <w:rFonts w:hint="eastAsia" w:ascii="宋体" w:hAnsi="宋体" w:cs="宋体"/>
          <w:color w:val="auto"/>
          <w:szCs w:val="22"/>
          <w:highlight w:val="none"/>
          <w:lang w:eastAsia="zh-CN"/>
        </w:rPr>
        <w:t xml:space="preserve">2026-2029年绿化养护监理服务</w:t>
      </w:r>
      <w:r/>
    </w:p>
    <w:p>
      <w:pPr>
        <w:ind w:left="0" w:right="0" w:firstLine="422"/>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b/>
          <w:bCs/>
          <w:color w:val="auto"/>
          <w:szCs w:val="22"/>
          <w:highlight w:val="none"/>
        </w:rPr>
        <w:t xml:space="preserve">三、采购预算：</w:t>
      </w:r>
      <w:r>
        <w:rPr>
          <w:rFonts w:hint="eastAsia" w:ascii="宋体" w:hAnsi="宋体"/>
          <w:color w:val="auto"/>
          <w:szCs w:val="21"/>
          <w:highlight w:val="none"/>
        </w:rPr>
        <w:t xml:space="preserve">人民币</w:t>
      </w:r>
      <w:r>
        <w:rPr>
          <w:rFonts w:hint="eastAsia" w:ascii="宋体" w:hAnsi="宋体"/>
          <w:color w:val="auto"/>
          <w:szCs w:val="21"/>
          <w:highlight w:val="none"/>
          <w:lang w:val="en-US" w:eastAsia="zh-CN"/>
        </w:rPr>
        <w:t xml:space="preserve">壹佰肆拾捌</w:t>
      </w:r>
      <w:r>
        <w:rPr>
          <w:rFonts w:hint="eastAsia" w:ascii="宋体" w:hAnsi="宋体"/>
          <w:color w:val="auto"/>
          <w:szCs w:val="21"/>
          <w:highlight w:val="none"/>
        </w:rPr>
        <w:t xml:space="preserve">万元整</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48</w:t>
      </w:r>
      <w:r>
        <w:rPr>
          <w:rFonts w:hint="eastAsia" w:ascii="宋体" w:hAnsi="宋体" w:cs="宋体"/>
          <w:color w:val="auto"/>
          <w:szCs w:val="21"/>
          <w:highlight w:val="none"/>
        </w:rPr>
        <w:t xml:space="preserve">0000.00）</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Cs w:val="22"/>
          <w:highlight w:val="none"/>
          <w:lang w:val="en-US" w:eastAsia="zh-CN"/>
        </w:rPr>
      </w:pPr>
      <w:r>
        <w:rPr>
          <w:rFonts w:hint="eastAsia" w:ascii="宋体" w:hAnsi="宋体" w:cs="宋体"/>
          <w:b/>
          <w:bCs/>
          <w:color w:val="auto"/>
          <w:szCs w:val="22"/>
          <w:highlight w:val="none"/>
        </w:rPr>
        <w:t xml:space="preserve">四、</w:t>
      </w:r>
      <w:r>
        <w:rPr>
          <w:rFonts w:hint="eastAsia" w:ascii="宋体" w:hAnsi="宋体" w:cs="宋体"/>
          <w:b/>
          <w:bCs/>
          <w:color w:val="auto"/>
          <w:szCs w:val="22"/>
          <w:highlight w:val="none"/>
          <w:lang w:val="en-US" w:eastAsia="zh-CN"/>
        </w:rPr>
        <w:t xml:space="preserve">最高限价：</w:t>
      </w:r>
      <w:r>
        <w:rPr>
          <w:rFonts w:hint="eastAsia" w:ascii="宋体" w:hAnsi="宋体"/>
          <w:color w:val="auto"/>
          <w:szCs w:val="21"/>
          <w:highlight w:val="none"/>
        </w:rPr>
        <w:t xml:space="preserve">人民币</w:t>
      </w:r>
      <w:r>
        <w:rPr>
          <w:rFonts w:hint="eastAsia" w:ascii="宋体" w:hAnsi="宋体"/>
          <w:color w:val="auto"/>
          <w:szCs w:val="21"/>
          <w:highlight w:val="none"/>
          <w:lang w:val="en-US" w:eastAsia="zh-CN"/>
        </w:rPr>
        <w:t xml:space="preserve">壹佰肆拾捌</w:t>
      </w:r>
      <w:r>
        <w:rPr>
          <w:rFonts w:hint="eastAsia" w:ascii="宋体" w:hAnsi="宋体"/>
          <w:color w:val="auto"/>
          <w:szCs w:val="21"/>
          <w:highlight w:val="none"/>
        </w:rPr>
        <w:t xml:space="preserve">万元整</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48</w:t>
      </w:r>
      <w:r>
        <w:rPr>
          <w:rFonts w:hint="eastAsia" w:ascii="宋体" w:hAnsi="宋体" w:cs="宋体"/>
          <w:color w:val="auto"/>
          <w:szCs w:val="21"/>
          <w:highlight w:val="none"/>
        </w:rPr>
        <w:t xml:space="preserve">0000.00）</w:t>
      </w:r>
      <w:r/>
    </w:p>
    <w:p>
      <w:pPr>
        <w:ind w:left="0" w:right="0" w:firstLine="422"/>
        <w:jc w:val="both"/>
        <w:keepLines w:val="0"/>
        <w:keepNext w:val="0"/>
        <w:pageBreakBefore w:val="0"/>
        <w:spacing w:line="360" w:lineRule="auto"/>
        <w:widowControl w:val="off"/>
        <w:rPr>
          <w:rFonts w:hint="eastAsia" w:ascii="宋体" w:hAnsi="宋体" w:cs="宋体"/>
          <w:b w:val="0"/>
          <w:bCs w:val="0"/>
          <w:color w:val="auto"/>
          <w:szCs w:val="21"/>
          <w:highlight w:val="yellow"/>
          <w:lang w:eastAsia="zh-CN"/>
        </w:rPr>
      </w:pPr>
      <w:r>
        <w:rPr>
          <w:rFonts w:hint="eastAsia" w:ascii="宋体" w:hAnsi="宋体" w:cs="宋体"/>
          <w:b/>
          <w:bCs/>
          <w:color w:val="auto"/>
          <w:szCs w:val="22"/>
          <w:highlight w:val="none"/>
        </w:rPr>
        <w:t xml:space="preserve">五、服务期限：</w:t>
      </w:r>
      <w:r>
        <w:rPr>
          <w:rFonts w:hint="eastAsia" w:ascii="宋体" w:hAnsi="宋体" w:cs="宋体"/>
          <w:b w:val="0"/>
          <w:bCs w:val="0"/>
          <w:color w:val="auto"/>
          <w:szCs w:val="22"/>
          <w:highlight w:val="none"/>
        </w:rPr>
        <w:t xml:space="preserve">自签订合同之日起3年。</w:t>
      </w:r>
      <w:r/>
    </w:p>
    <w:p>
      <w:pPr>
        <w:numPr>
          <w:ilvl w:val="0"/>
          <w:numId w:val="2"/>
        </w:numPr>
        <w:ind w:left="0" w:right="0" w:firstLine="422"/>
        <w:jc w:val="both"/>
        <w:keepLines w:val="0"/>
        <w:keepNext w:val="0"/>
        <w:pageBreakBefore w:val="0"/>
        <w:spacing w:line="360" w:lineRule="auto"/>
        <w:widowControl w:val="off"/>
        <w:rPr>
          <w:rStyle w:val="1090"/>
          <w:rFonts w:hint="eastAsia" w:asciiTheme="minorEastAsia" w:hAnsiTheme="minorEastAsia" w:eastAsiaTheme="minorEastAsia" w:cstheme="minorEastAsia"/>
          <w:b/>
          <w:bCs/>
          <w:color w:val="auto"/>
          <w:sz w:val="21"/>
          <w:szCs w:val="21"/>
          <w:highlight w:val="none"/>
        </w:rPr>
      </w:pPr>
      <w:r>
        <w:rPr>
          <w:rStyle w:val="1090"/>
          <w:rFonts w:hint="eastAsia" w:asciiTheme="minorEastAsia" w:hAnsiTheme="minorEastAsia" w:eastAsiaTheme="minorEastAsia" w:cstheme="minorEastAsia"/>
          <w:b/>
          <w:bCs/>
          <w:color w:val="auto"/>
          <w:sz w:val="21"/>
          <w:szCs w:val="21"/>
          <w:highlight w:val="none"/>
          <w:lang w:val="en-US" w:eastAsia="zh-CN"/>
        </w:rPr>
        <w:t xml:space="preserve">服务要求</w:t>
      </w:r>
      <w:r>
        <w:rPr>
          <w:rStyle w:val="1090"/>
          <w:rFonts w:hint="eastAsia" w:asciiTheme="minorEastAsia" w:hAnsiTheme="minorEastAsia" w:eastAsiaTheme="minorEastAsia" w:cstheme="minorEastAsia"/>
          <w:b/>
          <w:bCs/>
          <w:color w:val="auto"/>
          <w:sz w:val="21"/>
          <w:szCs w:val="21"/>
          <w:highlight w:val="none"/>
        </w:rPr>
        <w:t xml:space="preserve">：</w:t>
      </w:r>
      <w:r/>
    </w:p>
    <w:p>
      <w:pPr>
        <w:numPr>
          <w:ilvl w:val="0"/>
          <w:numId w:val="0"/>
        </w:numPr>
        <w:ind w:right="0" w:firstLine="420"/>
        <w:jc w:val="both"/>
        <w:keepLines w:val="0"/>
        <w:keepNext w:val="0"/>
        <w:pageBreakBefore w:val="0"/>
        <w:spacing w:line="360" w:lineRule="auto"/>
        <w:widowControl w:val="off"/>
        <w:rPr>
          <w:rFonts w:hint="default"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1.养护巡查与考核：</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 xml:space="preserve">（1）</w:t>
      </w:r>
      <w:r>
        <w:rPr>
          <w:rFonts w:hint="eastAsia" w:asciiTheme="minorEastAsia" w:hAnsiTheme="minorEastAsia" w:eastAsiaTheme="minorEastAsia" w:cstheme="minorEastAsia"/>
          <w:color w:val="auto"/>
          <w:sz w:val="21"/>
          <w:szCs w:val="21"/>
          <w:lang w:val="en-US" w:eastAsia="zh-CN"/>
        </w:rPr>
        <w:t xml:space="preserve">监理单位依据</w:t>
      </w:r>
      <w:r>
        <w:rPr>
          <w:rFonts w:hint="eastAsia" w:ascii="宋体" w:hAnsi="宋体" w:cs="宋体"/>
          <w:color w:val="auto"/>
          <w:szCs w:val="21"/>
        </w:rPr>
        <w:t xml:space="preserve">《相城区园林绿化养护管理考核办法》</w:t>
      </w:r>
      <w:r>
        <w:rPr>
          <w:rFonts w:hint="eastAsia" w:ascii="宋体" w:hAnsi="宋体" w:cs="宋体"/>
          <w:color w:val="auto"/>
          <w:szCs w:val="21"/>
          <w:lang w:eastAsia="zh-CN"/>
        </w:rPr>
        <w:t xml:space="preserve">、</w:t>
      </w:r>
      <w:r>
        <w:rPr>
          <w:rFonts w:hint="eastAsia" w:ascii="宋体" w:hAnsi="宋体" w:cs="宋体"/>
          <w:color w:val="auto"/>
          <w:szCs w:val="21"/>
        </w:rPr>
        <w:t xml:space="preserve">《相城区园林绿化养护管理考核评分细则》</w:t>
      </w:r>
      <w:r>
        <w:rPr>
          <w:rFonts w:hint="eastAsia" w:asciiTheme="minorEastAsia" w:hAnsiTheme="minorEastAsia" w:eastAsiaTheme="minorEastAsia" w:cstheme="minorEastAsia"/>
          <w:color w:val="auto"/>
          <w:sz w:val="21"/>
          <w:szCs w:val="21"/>
        </w:rPr>
        <w:t xml:space="preserve">对养护单位进行日常巡视、检查，针对巡查过程中发现的问题发布整改单，要求养护单位限期整改，并对整改结果进行核实、结案。每周完成一次全覆盖巡查及整改情况反馈、制作相关报告资料等。其中一体化养护的公园、景观带除查看绿化养护问题外，还须巡查市政设施维修情况、景观灯亮灯率、保洁、公厕保洁维护和安保情况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 xml:space="preserve">（2）要求成交单位配合采购人考核，参与采购人组织的考核、安全检查及养护相关会议。</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 xml:space="preserve">（3）主动解决力所能及的养护问题。</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 xml:space="preserve">（4）</w:t>
      </w:r>
      <w:r>
        <w:rPr>
          <w:rFonts w:hint="eastAsia" w:asciiTheme="minorEastAsia" w:hAnsiTheme="minorEastAsia" w:eastAsiaTheme="minorEastAsia" w:cstheme="minorEastAsia"/>
          <w:color w:val="auto"/>
          <w:sz w:val="21"/>
          <w:szCs w:val="21"/>
          <w:lang w:val="en-US" w:eastAsia="zh-CN"/>
        </w:rPr>
        <w:t xml:space="preserve">配合</w:t>
      </w:r>
      <w:r>
        <w:rPr>
          <w:rFonts w:hint="eastAsia" w:asciiTheme="minorEastAsia" w:hAnsiTheme="minorEastAsia" w:eastAsiaTheme="minorEastAsia" w:cstheme="minorEastAsia"/>
          <w:color w:val="auto"/>
          <w:sz w:val="21"/>
          <w:szCs w:val="21"/>
        </w:rPr>
        <w:t xml:space="preserve">采购人处理其他园林绿化方面的工作，完成采购人工作安排。</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2.工程质量监管：</w:t>
      </w:r>
      <w:r/>
    </w:p>
    <w:p>
      <w:pPr>
        <w:pStyle w:val="1006"/>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对养护工程、维修提升、应急项目等进行质量监督，包括材料验收、工序检查、隐蔽工程验收、竣工验收等。</w:t>
      </w:r>
      <w:r/>
    </w:p>
    <w:p>
      <w:pPr>
        <w:pStyle w:val="1006"/>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3.安全生产监管</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1006"/>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检查养护作业中的安全措施（反光服、警示牌、登高车操作等）、应急预案执行、防汛防台应急响应、110联动抢险到位情况。</w:t>
      </w:r>
      <w:r/>
    </w:p>
    <w:p>
      <w:pPr>
        <w:pStyle w:val="1006"/>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4.投资控制</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1006"/>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审核养护、搬迁、应急工程等涉及的工程量变更、费用变更、现场签证；对比合同与结算，防止财政资金浪费；配合采购人进行预算执行分析。</w:t>
      </w:r>
      <w:r/>
    </w:p>
    <w:p>
      <w:pPr>
        <w:pStyle w:val="1006"/>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5.平台信息管理</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1006"/>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配合采购人使用养护管理系统、工单系统、考核平台等；录入巡查数据、整改闭环信息；维护养护单位、监理单位的轨迹数据；生成各类统计报表。</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6.绿化搬迁全流程监管</w:t>
      </w:r>
      <w:r>
        <w:rPr>
          <w:rFonts w:hint="eastAsia" w:asciiTheme="minorEastAsia" w:hAnsiTheme="minorEastAsia" w:eastAsiaTheme="minorEastAsia" w:cstheme="minorEastAsia"/>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从搬迁前现场勘察、苗木清点、编号登记，到搬迁过程旁站监督、台账管理，再到搬迁后苗木种植地点核对、成活率跟踪等全过程监管。</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7.应急工程监管</w:t>
      </w:r>
      <w:r>
        <w:rPr>
          <w:rFonts w:hint="eastAsia" w:asciiTheme="minorEastAsia" w:hAnsiTheme="minorEastAsia" w:eastAsiaTheme="minorEastAsia" w:cstheme="minorEastAsia"/>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对年度应急工程（如突发毁绿恢复、应急维修等）进行工程量认定、进度督促、质量管控、现场验收。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8.台账与报告管理</w:t>
      </w:r>
      <w:r>
        <w:rPr>
          <w:rFonts w:hint="eastAsia" w:asciiTheme="minorEastAsia" w:hAnsiTheme="minorEastAsia" w:eastAsiaTheme="minorEastAsia" w:cstheme="minorEastAsia"/>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每日巡查日志（含照片、整改单）；每周汇总；每月5日前提交考核月报、下月计划。</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9.专家技术服务</w:t>
      </w:r>
      <w:r>
        <w:rPr>
          <w:rFonts w:hint="eastAsia" w:asciiTheme="minorEastAsia" w:hAnsiTheme="minorEastAsia" w:eastAsiaTheme="minorEastAsia" w:cstheme="minorEastAsia"/>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由成交单位外聘或依托自身专家资源</w:t>
      </w:r>
      <w:r>
        <w:rPr>
          <w:rFonts w:hint="eastAsia" w:asciiTheme="minorEastAsia" w:hAnsiTheme="minorEastAsia" w:eastAsiaTheme="minorEastAsia" w:cstheme="minorEastAsia"/>
          <w:color w:val="auto"/>
          <w:sz w:val="21"/>
          <w:szCs w:val="21"/>
          <w:lang w:eastAsia="zh-CN"/>
        </w:rPr>
        <w:t xml:space="preserve">，针对养护难点（古树复壮、草坪更新、高架下植物复壮、特殊病虫害等）提供技术咨询；为采购人、养护单位提供专业技术指导。每年</w:t>
      </w:r>
      <w:r>
        <w:rPr>
          <w:rFonts w:hint="eastAsia" w:asciiTheme="minorEastAsia" w:hAnsiTheme="minorEastAsia" w:eastAsiaTheme="minorEastAsia" w:cstheme="minorEastAsia"/>
          <w:color w:val="auto"/>
          <w:sz w:val="21"/>
          <w:szCs w:val="21"/>
          <w:lang w:val="en-US" w:eastAsia="zh-CN"/>
        </w:rPr>
        <w:t xml:space="preserve">需提供</w:t>
      </w:r>
      <w:r>
        <w:rPr>
          <w:rFonts w:hint="eastAsia" w:asciiTheme="minorEastAsia" w:hAnsiTheme="minorEastAsia" w:eastAsiaTheme="minorEastAsia" w:cstheme="minorEastAsia"/>
          <w:color w:val="auto"/>
          <w:sz w:val="21"/>
          <w:szCs w:val="21"/>
          <w:lang w:eastAsia="zh-CN"/>
        </w:rPr>
        <w:t xml:space="preserve">不少于2次专业培训</w:t>
      </w:r>
      <w:r>
        <w:rPr>
          <w:rFonts w:hint="eastAsia" w:asciiTheme="minorEastAsia" w:hAnsiTheme="minorEastAsia" w:eastAsiaTheme="minorEastAsia" w:cstheme="minorEastAsia"/>
          <w:color w:val="auto"/>
          <w:sz w:val="21"/>
          <w:szCs w:val="21"/>
          <w:lang w:val="en-US" w:eastAsia="zh-CN"/>
        </w:rPr>
        <w:t xml:space="preserve">和</w:t>
      </w:r>
      <w:r>
        <w:rPr>
          <w:rFonts w:hint="eastAsia" w:asciiTheme="minorEastAsia" w:hAnsiTheme="minorEastAsia" w:eastAsiaTheme="minorEastAsia" w:cstheme="minorEastAsia"/>
          <w:color w:val="auto"/>
          <w:sz w:val="21"/>
          <w:szCs w:val="21"/>
          <w:lang w:eastAsia="zh-CN"/>
        </w:rPr>
        <w:t xml:space="preserve">不少于4次技术指导等专家服务；</w:t>
      </w:r>
      <w:r>
        <w:rPr>
          <w:rFonts w:hint="eastAsia" w:asciiTheme="minorEastAsia" w:hAnsiTheme="minorEastAsia" w:eastAsiaTheme="minorEastAsia" w:cstheme="minorEastAsia"/>
          <w:color w:val="auto"/>
          <w:sz w:val="21"/>
          <w:szCs w:val="21"/>
          <w:lang w:val="en-US" w:eastAsia="zh-CN"/>
        </w:rPr>
        <w:t xml:space="preserve">内容涵盖绿化养护技术、病虫害绿色防控、古树名木保护、草坪及地被复壮、高架下植物特殊养护、水质与水生植物管理、土壤改良与施肥。</w:t>
      </w:r>
      <w:r/>
    </w:p>
    <w:p>
      <w:pPr>
        <w:ind w:firstLine="422"/>
        <w:keepLines w:val="0"/>
        <w:keepNext w:val="0"/>
        <w:pageBreakBefore w:val="0"/>
        <w:spacing w:line="360" w:lineRule="auto"/>
        <w:widowControl w:val="off"/>
        <w:rPr>
          <w:rFonts w:hint="default"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rPr>
        <w:t xml:space="preserve">（四）</w:t>
      </w:r>
      <w:r>
        <w:rPr>
          <w:rFonts w:hint="eastAsia" w:asciiTheme="minorEastAsia" w:hAnsiTheme="minorEastAsia" w:eastAsiaTheme="minorEastAsia" w:cstheme="minorEastAsia"/>
          <w:b/>
          <w:color w:val="auto"/>
          <w:sz w:val="21"/>
          <w:szCs w:val="21"/>
          <w:lang w:val="en-US" w:eastAsia="zh-CN"/>
        </w:rPr>
        <w:t xml:space="preserve">监理范围：</w:t>
      </w:r>
      <w:r/>
    </w:p>
    <w:tbl>
      <w:tblPr>
        <w:tblStyle w:val="999"/>
        <w:tblW w:w="4976" w:type="pct"/>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4120"/>
        <w:gridCol w:w="5091"/>
      </w:tblGrid>
      <w:tr>
        <w:trPr>
          <w:trHeight w:val="312"/>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序号</w:t>
            </w:r>
            <w:r/>
          </w:p>
        </w:tc>
        <w:tc>
          <w:tcPr>
            <w:gridSpan w:val="2"/>
            <w:tcBorders>
              <w:top w:val="single" w:color="000000" w:sz="8" w:space="0"/>
              <w:left w:val="single" w:color="000000" w:sz="8" w:space="0"/>
              <w:bottom w:val="single" w:color="000000" w:sz="8" w:space="0"/>
              <w:right w:val="single" w:color="000000" w:sz="8" w:space="0"/>
            </w:tcBorders>
            <w:tcW w:w="4677" w:type="pct"/>
            <w:vAlign w:val="center"/>
            <w:textDirection w:val="lrTb"/>
            <w:noWrap/>
          </w:tcPr>
          <w:p>
            <w:pPr>
              <w:jc w:val="center"/>
              <w:keepLines w:val="0"/>
              <w:keepNext w:val="0"/>
              <w:pageBreakBefore w:val="0"/>
              <w:spacing w:line="240" w:lineRule="exact"/>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监理范围（暂估）</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W w:w="209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相城大道</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润元路-阳澄湖路</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09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春申湖路-太东路</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人民路（润元路-阳澄湖路）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润元路-阳澄湖路</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采莲路（太阳路-润元路）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太阳路-润元路</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8" w:space="0"/>
              <w:left w:val="single" w:color="000000" w:sz="8" w:space="0"/>
              <w:bottom w:val="single" w:color="000000" w:sz="8" w:space="0"/>
              <w:right w:val="single" w:color="000000" w:sz="8" w:space="0"/>
            </w:tcBorders>
            <w:tcW w:w="209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太阳路（阳澄湖隧道-望虞河）</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御窑路-望虞河中侧分带</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09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广济路至生田村</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 xml:space="preserve"> </w:t>
            </w:r>
            <w:r>
              <w:rPr>
                <w:rFonts w:hint="eastAsia" w:ascii="宋体" w:hAnsi="宋体"/>
                <w:color w:val="auto"/>
                <w:szCs w:val="21"/>
                <w:highlight w:val="none"/>
                <w:lang w:val="en-US" w:eastAsia="zh-CN"/>
              </w:rPr>
              <w:t xml:space="preserve"> </w:t>
            </w:r>
            <w:r/>
          </w:p>
        </w:tc>
        <w:tc>
          <w:tcPr>
            <w:tcBorders>
              <w:top w:val="single" w:color="000000" w:sz="8" w:space="0"/>
              <w:left w:val="single" w:color="000000" w:sz="8" w:space="0"/>
              <w:bottom w:val="single" w:color="000000" w:sz="8" w:space="0"/>
              <w:right w:val="single" w:color="000000" w:sz="8" w:space="0"/>
            </w:tcBorders>
            <w:tcW w:w="209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阳澄湖隧道西侧出口、相城大道至S227</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09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御窑路-阳澄湖隧道</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09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永方路-望虞河两侧</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09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G312沿线修复零星工程（太阳路荷塘月色节点、东挺河路节点）</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8" w:space="0"/>
              <w:left w:val="single" w:color="000000" w:sz="8" w:space="0"/>
              <w:bottom w:val="single" w:color="000000" w:sz="8" w:space="0"/>
              <w:right w:val="single" w:color="000000" w:sz="8" w:space="0"/>
            </w:tcBorders>
            <w:tcW w:w="2092" w:type="pct"/>
            <w:vAlign w:val="center"/>
            <w:vMerge w:val="restart"/>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G524（太阳路-</w:t>
            </w:r>
            <w:r>
              <w:rPr>
                <w:rFonts w:hint="eastAsia" w:ascii="宋体" w:hAnsi="宋体"/>
                <w:color w:val="auto"/>
                <w:szCs w:val="21"/>
                <w:highlight w:val="none"/>
              </w:rPr>
              <w:br/>
            </w:r>
            <w:r>
              <w:rPr>
                <w:rFonts w:hint="eastAsia" w:ascii="宋体" w:hAnsi="宋体"/>
                <w:color w:val="auto"/>
                <w:szCs w:val="21"/>
                <w:highlight w:val="none"/>
              </w:rPr>
              <w:t xml:space="preserve">G524与园区交界处曹庄片区）</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阳澄湖东路-太阳路</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092" w:type="pct"/>
            <w:vAlign w:val="center"/>
            <w:vMerge w:val="continue"/>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G524与园区交界处（曹庄片区）</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6</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S228（太阳路-凤北荡路）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太阳路-凤北荡路</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7</w:t>
            </w:r>
            <w:r/>
          </w:p>
        </w:tc>
        <w:tc>
          <w:tcPr>
            <w:tcBorders>
              <w:top w:val="single" w:color="000000" w:sz="8" w:space="0"/>
              <w:left w:val="single" w:color="000000" w:sz="8" w:space="0"/>
              <w:bottom w:val="single" w:color="000000" w:sz="8" w:space="0"/>
              <w:right w:val="single" w:color="000000" w:sz="8" w:space="0"/>
            </w:tcBorders>
            <w:tcW w:w="209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广济北路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观塘路-凤北荡路、御窑路凤北荡路-北桥收费站</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09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高铁节点、广济路、下堡节点</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8</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御窑路（太阳路-凤北荡路）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太阳路-凤北荡路</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9</w:t>
            </w:r>
            <w:r/>
          </w:p>
        </w:tc>
        <w:tc>
          <w:tcPr>
            <w:tcBorders>
              <w:top w:val="single" w:color="000000" w:sz="8" w:space="0"/>
              <w:left w:val="single" w:color="000000" w:sz="8" w:space="0"/>
              <w:bottom w:val="single" w:color="000000" w:sz="8" w:space="0"/>
              <w:right w:val="single" w:color="000000" w:sz="8" w:space="0"/>
            </w:tcBorders>
            <w:tcW w:w="209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永方路（阳澄湖路-春秋路）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永方路北延绿化工程（春秋路-黄蠡路）</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09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阳澄湖路-黄蠡路</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10</w:t>
            </w:r>
            <w:r/>
          </w:p>
        </w:tc>
        <w:tc>
          <w:tcPr>
            <w:tcBorders>
              <w:top w:val="single" w:color="000000" w:sz="8" w:space="0"/>
              <w:left w:val="single" w:color="000000" w:sz="8" w:space="0"/>
              <w:bottom w:val="single" w:color="000000" w:sz="8" w:space="0"/>
              <w:right w:val="single" w:color="000000" w:sz="8" w:space="0"/>
            </w:tcBorders>
            <w:tcW w:w="209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黄蠡路（广济北路-御窑路）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黄蠡路绿化工程一标（广济北路-御窑路中、侧分带）</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09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黄蠡路绿化工程二标（广济北路-御窑路两侧绿地）</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11</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济学路（华元路-太阳路）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华元路-太阳路</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12</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太东路（元和塘-汤浜路）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元和塘-汤浜路、烈士纪念馆及元和之春2期</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13</w:t>
            </w:r>
            <w:r/>
          </w:p>
        </w:tc>
        <w:tc>
          <w:tcPr>
            <w:tcBorders>
              <w:top w:val="single" w:color="000000" w:sz="8" w:space="0"/>
              <w:left w:val="single" w:color="000000" w:sz="8" w:space="0"/>
              <w:bottom w:val="single" w:color="000000" w:sz="8" w:space="0"/>
              <w:right w:val="single" w:color="000000" w:sz="8" w:space="0"/>
            </w:tcBorders>
            <w:tcW w:w="2092" w:type="pct"/>
            <w:vAlign w:val="center"/>
            <w:vMerge w:val="restart"/>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中环快速路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中环快速路春申湖路互通绿化工程</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092" w:type="pct"/>
            <w:vAlign w:val="center"/>
            <w:vMerge w:val="continue"/>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中环快速路(新苏虞张黄埭路-春申湖路互通及中环北线春申湖路互通至新区交界处)</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14</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望虞河（无锡交界-方桥路、方桥路-冶长泾闸口）</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望虞河</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15</w:t>
            </w:r>
            <w:r/>
          </w:p>
        </w:tc>
        <w:tc>
          <w:tcPr>
            <w:tcBorders>
              <w:top w:val="single" w:color="000000" w:sz="8" w:space="0"/>
              <w:left w:val="single" w:color="000000" w:sz="8" w:space="0"/>
              <w:bottom w:val="single" w:color="000000" w:sz="8" w:space="0"/>
              <w:right w:val="single" w:color="000000" w:sz="8" w:space="0"/>
            </w:tcBorders>
            <w:tcW w:w="209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京沪高铁</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望虞河-广济路</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09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开泰路-沈桥，元和塘-广济路</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16</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康元一号（新福路苏州市</w:t>
            </w:r>
            <w:r>
              <w:rPr>
                <w:rFonts w:hint="eastAsia" w:ascii="宋体" w:hAnsi="宋体"/>
                <w:color w:val="auto"/>
                <w:szCs w:val="21"/>
                <w:highlight w:val="none"/>
              </w:rPr>
              <w:br/>
            </w:r>
            <w:r>
              <w:rPr>
                <w:rFonts w:hint="eastAsia" w:ascii="宋体" w:hAnsi="宋体"/>
                <w:color w:val="auto"/>
                <w:szCs w:val="21"/>
                <w:highlight w:val="none"/>
              </w:rPr>
              <w:t xml:space="preserve">社会福利总院）</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新福路苏州市社会福利总院</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17</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春申湖路（东挺河路-G524 ）</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春申湖路景观绿化</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18</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G524（太阳路-凤阳路）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G524太阳路以北</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19</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南天成路（广济北路-御窑路）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南天成路绿化景观工程</w:t>
            </w:r>
            <w:r/>
          </w:p>
        </w:tc>
      </w:tr>
      <w:tr>
        <w:trPr>
          <w:trHeight w:val="283"/>
        </w:trPr>
        <w:tc>
          <w:tcPr>
            <w:tcBorders>
              <w:top w:val="single" w:color="000000" w:sz="8" w:space="0"/>
              <w:left w:val="single" w:color="000000" w:sz="8" w:space="0"/>
              <w:right w:val="single" w:color="000000" w:sz="8" w:space="0"/>
            </w:tcBorders>
            <w:tcW w:w="32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20</w:t>
            </w:r>
            <w:r/>
          </w:p>
        </w:tc>
        <w:tc>
          <w:tcPr>
            <w:tcBorders>
              <w:top w:val="single" w:color="000000" w:sz="8" w:space="0"/>
              <w:left w:val="single" w:color="000000" w:sz="8" w:space="0"/>
              <w:right w:val="single" w:color="000000" w:sz="8" w:space="0"/>
            </w:tcBorders>
            <w:tcW w:w="209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漕湖大道（御窑路-G524）</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漕湖大道景观绿化项目一标</w:t>
            </w:r>
            <w:r/>
          </w:p>
        </w:tc>
      </w:tr>
      <w:tr>
        <w:trPr>
          <w:trHeight w:val="312"/>
        </w:trPr>
        <w:tc>
          <w:tcPr>
            <w:tcBorders>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8" w:space="0"/>
              <w:bottom w:val="single" w:color="000000" w:sz="8" w:space="0"/>
              <w:right w:val="single" w:color="000000" w:sz="8" w:space="0"/>
            </w:tcBorders>
            <w:tcW w:w="209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漕湖大道景观绿化项目二标</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21</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太阳路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G312沿线互通绿化工程</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22</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城北路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23</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上高路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24</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相城大道</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相城大道沿线及周边绿化修复工程</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25</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广济北路</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广济北路沿线及周边绿化修复工程</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26</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绿色银行基地</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绿色银行基地养护（一号公园西侧）</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27</w:t>
            </w:r>
            <w:r/>
          </w:p>
        </w:tc>
        <w:tc>
          <w:tcPr>
            <w:tcBorders>
              <w:top w:val="single" w:color="000000" w:sz="8" w:space="0"/>
              <w:left w:val="single" w:color="000000" w:sz="8" w:space="0"/>
              <w:bottom w:val="single" w:color="000000" w:sz="8" w:space="0"/>
              <w:right w:val="single" w:color="000000" w:sz="8" w:space="0"/>
            </w:tcBorders>
            <w:tcW w:w="209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书香公园</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书香公园一期</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09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书香公园二期</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ascii="宋体" w:hAnsi="宋体"/>
                <w:color w:val="auto"/>
                <w:szCs w:val="21"/>
                <w:highlight w:val="none"/>
              </w:rPr>
            </w:pPr>
            <w:r>
              <w:rPr>
                <w:rFonts w:hint="eastAsia" w:ascii="宋体" w:hAnsi="宋体"/>
                <w:color w:val="auto"/>
                <w:szCs w:val="21"/>
                <w:highlight w:val="none"/>
              </w:rPr>
              <w:t xml:space="preserve">28</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教堂西侧公园</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阳澄湖西路与永方路交叉口西北角</w:t>
            </w:r>
            <w:r/>
          </w:p>
        </w:tc>
      </w:tr>
      <w:tr>
        <w:trPr>
          <w:trHeight w:val="312"/>
        </w:trPr>
        <w:tc>
          <w:tcPr>
            <w:tcBorders>
              <w:top w:val="single" w:color="000000" w:sz="8" w:space="0"/>
              <w:left w:val="single" w:color="000000" w:sz="8" w:space="0"/>
              <w:bottom w:val="single" w:color="000000" w:sz="8" w:space="0"/>
              <w:right w:val="single" w:color="000000" w:sz="8" w:space="0"/>
            </w:tcBorders>
            <w:tcW w:w="322" w:type="pct"/>
            <w:vAlign w:val="center"/>
            <w:vMerge w:val="restart"/>
            <w:textDirection w:val="lrTb"/>
            <w:noWrap/>
          </w:tcPr>
          <w:p>
            <w:pPr>
              <w:jc w:val="center"/>
              <w:keepLines w:val="0"/>
              <w:keepNext w:val="0"/>
              <w:pageBreakBefore w:val="0"/>
              <w:spacing w:line="240" w:lineRule="exact"/>
              <w:widowControl w:val="off"/>
              <w:rPr>
                <w:rFonts w:ascii="宋体" w:hAnsi="宋体"/>
                <w:color w:val="auto"/>
                <w:szCs w:val="21"/>
                <w:highlight w:val="none"/>
              </w:rPr>
            </w:pPr>
            <w:r>
              <w:rPr>
                <w:rFonts w:hint="eastAsia" w:ascii="宋体" w:hAnsi="宋体"/>
                <w:color w:val="auto"/>
                <w:szCs w:val="21"/>
                <w:highlight w:val="none"/>
              </w:rPr>
              <w:t xml:space="preserve">29</w:t>
            </w:r>
            <w:r/>
          </w:p>
        </w:tc>
        <w:tc>
          <w:tcPr>
            <w:tcBorders>
              <w:top w:val="single" w:color="000000" w:sz="8" w:space="0"/>
              <w:left w:val="single" w:color="000000" w:sz="8" w:space="0"/>
              <w:bottom w:val="single" w:color="000000" w:sz="8" w:space="0"/>
              <w:right w:val="single" w:color="000000" w:sz="8" w:space="0"/>
            </w:tcBorders>
            <w:tcW w:w="2092" w:type="pct"/>
            <w:vAlign w:val="center"/>
            <w:vMerge w:val="restart"/>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朝阳河、平门塘公园</w:t>
            </w:r>
            <w:r/>
          </w:p>
        </w:tc>
        <w:tc>
          <w:tcPr>
            <w:tcBorders>
              <w:top w:val="single" w:color="000000" w:sz="8" w:space="0"/>
              <w:left w:val="single" w:color="000000" w:sz="8" w:space="0"/>
              <w:bottom w:val="single" w:color="000000" w:sz="8" w:space="0"/>
              <w:right w:val="single" w:color="000000" w:sz="8" w:space="0"/>
            </w:tcBorders>
            <w:tcW w:w="2585" w:type="pct"/>
            <w:vAlign w:val="center"/>
            <w:vMerge w:val="restart"/>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朝阳河（袁富庄路）、平门塘（外国语学校西侧）</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092" w:type="pct"/>
            <w:vAlign w:val="center"/>
            <w:vMerge w:val="continue"/>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外国语学校外围修复工程</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ascii="宋体" w:hAnsi="宋体"/>
                <w:color w:val="auto"/>
                <w:szCs w:val="21"/>
                <w:highlight w:val="none"/>
              </w:rPr>
            </w:pPr>
            <w:r>
              <w:rPr>
                <w:rFonts w:hint="eastAsia" w:ascii="宋体" w:hAnsi="宋体"/>
                <w:color w:val="auto"/>
                <w:szCs w:val="21"/>
                <w:highlight w:val="none"/>
              </w:rPr>
              <w:t xml:space="preserve">30</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乾唐墅公园</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r>
      <w:tr>
        <w:trPr>
          <w:trHeight w:val="312"/>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auto"/>
              <w:widowControl w:val="off"/>
              <w:rPr>
                <w:rFonts w:ascii="宋体" w:hAnsi="宋体"/>
                <w:color w:val="auto"/>
                <w:szCs w:val="21"/>
                <w:highlight w:val="none"/>
              </w:rPr>
            </w:pPr>
            <w:r>
              <w:rPr>
                <w:rFonts w:hint="eastAsia" w:ascii="宋体" w:hAnsi="宋体"/>
                <w:color w:val="auto"/>
                <w:szCs w:val="21"/>
                <w:highlight w:val="none"/>
              </w:rPr>
              <w:t xml:space="preserve">31</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val="false"/>
          </w:tcPr>
          <w:p>
            <w:pPr>
              <w:jc w:val="cente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嘉元路相城大道小游园</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嘉元路与相城大道交叉口东北角</w:t>
            </w:r>
            <w:r/>
          </w:p>
        </w:tc>
      </w:tr>
      <w:tr>
        <w:trPr>
          <w:trHeight w:val="283"/>
        </w:trPr>
        <w:tc>
          <w:tcPr>
            <w:tcBorders>
              <w:top w:val="single" w:color="000000" w:sz="8" w:space="0"/>
              <w:left w:val="single" w:color="000000" w:sz="8" w:space="0"/>
              <w:right w:val="single" w:color="000000" w:sz="8" w:space="0"/>
            </w:tcBorders>
            <w:tcW w:w="322" w:type="pct"/>
            <w:vAlign w:val="center"/>
            <w:vMerge w:val="restart"/>
            <w:textDirection w:val="lrTb"/>
            <w:noWrap/>
          </w:tcPr>
          <w:p>
            <w:pPr>
              <w:jc w:val="center"/>
              <w:keepLines w:val="0"/>
              <w:keepNext w:val="0"/>
              <w:pageBreakBefore w:val="0"/>
              <w:spacing w:line="240" w:lineRule="exact"/>
              <w:widowControl w:val="off"/>
              <w:rPr>
                <w:rFonts w:ascii="宋体" w:hAnsi="宋体"/>
                <w:color w:val="auto"/>
                <w:szCs w:val="21"/>
                <w:highlight w:val="none"/>
              </w:rPr>
            </w:pPr>
            <w:r>
              <w:rPr>
                <w:rFonts w:hint="eastAsia" w:ascii="宋体" w:hAnsi="宋体"/>
                <w:color w:val="auto"/>
                <w:szCs w:val="21"/>
                <w:highlight w:val="none"/>
              </w:rPr>
              <w:t xml:space="preserve">32</w:t>
            </w:r>
            <w:r/>
          </w:p>
        </w:tc>
        <w:tc>
          <w:tcPr>
            <w:tcBorders>
              <w:top w:val="single" w:color="000000" w:sz="8" w:space="0"/>
              <w:left w:val="single" w:color="000000" w:sz="8" w:space="0"/>
              <w:right w:val="single" w:color="000000" w:sz="8" w:space="0"/>
            </w:tcBorders>
            <w:tcW w:w="2092" w:type="pct"/>
            <w:vAlign w:val="center"/>
            <w:vMerge w:val="restart"/>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一号公园</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一</w:t>
            </w:r>
            <w:r>
              <w:rPr>
                <w:rFonts w:hint="eastAsia" w:ascii="宋体" w:hAnsi="宋体"/>
                <w:color w:val="auto"/>
                <w:szCs w:val="21"/>
                <w:highlight w:val="none"/>
              </w:rPr>
              <w:t xml:space="preserve">号公园</w:t>
            </w:r>
            <w:r/>
          </w:p>
        </w:tc>
      </w:tr>
      <w:tr>
        <w:trPr>
          <w:trHeight w:val="283"/>
        </w:trPr>
        <w:tc>
          <w:tcPr>
            <w:tcBorders>
              <w:left w:val="single" w:color="000000" w:sz="8" w:space="0"/>
              <w:bottom w:val="single" w:color="000000" w:sz="8" w:space="0"/>
              <w:right w:val="single" w:color="000000" w:sz="8" w:space="0"/>
            </w:tcBorders>
            <w:tcW w:w="32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8" w:space="0"/>
              <w:bottom w:val="single" w:color="000000" w:sz="8" w:space="0"/>
              <w:right w:val="single" w:color="000000" w:sz="8" w:space="0"/>
            </w:tcBorders>
            <w:tcW w:w="2092" w:type="pct"/>
            <w:vAlign w:val="center"/>
            <w:vMerge w:val="continue"/>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一号公园周边绿化修复工程</w:t>
            </w:r>
            <w:r/>
          </w:p>
        </w:tc>
      </w:tr>
      <w:tr>
        <w:trPr>
          <w:trHeight w:val="312"/>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ascii="宋体" w:hAnsi="宋体"/>
                <w:color w:val="auto"/>
                <w:szCs w:val="21"/>
                <w:highlight w:val="none"/>
              </w:rPr>
            </w:pPr>
            <w:r>
              <w:rPr>
                <w:rFonts w:hint="eastAsia" w:ascii="宋体" w:hAnsi="宋体"/>
                <w:color w:val="auto"/>
                <w:szCs w:val="21"/>
                <w:highlight w:val="none"/>
              </w:rPr>
              <w:t xml:space="preserve">33</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澄帆儿童友好公园</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澄帆儿童友好公园</w:t>
            </w:r>
            <w:r/>
          </w:p>
        </w:tc>
      </w:tr>
      <w:tr>
        <w:trPr>
          <w:trHeight w:val="312"/>
        </w:trPr>
        <w:tc>
          <w:tcPr>
            <w:shd w:val="clear" w:color="auto" w:fill="auto"/>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209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风塔公园建设项目</w:t>
            </w:r>
            <w:r/>
          </w:p>
        </w:tc>
        <w:tc>
          <w:tcPr>
            <w:shd w:val="clear" w:color="auto" w:fill="auto"/>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风塔公园建设项目（阳澄西湖南隧道附近）</w:t>
            </w:r>
            <w:r/>
          </w:p>
        </w:tc>
      </w:tr>
      <w:tr>
        <w:trPr>
          <w:trHeight w:val="283"/>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35</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元和塘公园</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元和塘公园</w:t>
            </w:r>
            <w:r/>
          </w:p>
        </w:tc>
      </w:tr>
      <w:tr>
        <w:trPr>
          <w:trHeight w:val="283"/>
        </w:trPr>
        <w:tc>
          <w:tcPr>
            <w:shd w:val="clear" w:color="auto" w:fill="auto"/>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36</w:t>
            </w:r>
            <w:r/>
          </w:p>
        </w:tc>
        <w:tc>
          <w:tcPr>
            <w:shd w:val="clear" w:color="auto" w:fill="auto"/>
            <w:tcBorders>
              <w:top w:val="single" w:color="000000" w:sz="8" w:space="0"/>
              <w:left w:val="single" w:color="000000" w:sz="8" w:space="0"/>
              <w:bottom w:val="single" w:color="000000" w:sz="8" w:space="0"/>
              <w:right w:val="single" w:color="000000" w:sz="8" w:space="0"/>
            </w:tcBorders>
            <w:tcW w:w="209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文征明实验小学北侧公园</w:t>
            </w:r>
            <w:r/>
          </w:p>
        </w:tc>
        <w:tc>
          <w:tcPr>
            <w:shd w:val="clear" w:color="auto" w:fill="auto"/>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文征明实验小学北侧公园</w:t>
            </w:r>
            <w:r/>
          </w:p>
        </w:tc>
      </w:tr>
      <w:tr>
        <w:trPr>
          <w:trHeight w:val="283"/>
        </w:trPr>
        <w:tc>
          <w:tcPr>
            <w:shd w:val="clear" w:color="auto" w:fill="auto"/>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37</w:t>
            </w:r>
            <w:r/>
          </w:p>
        </w:tc>
        <w:tc>
          <w:tcPr>
            <w:shd w:val="clear" w:color="auto" w:fill="auto"/>
            <w:tcBorders>
              <w:top w:val="single" w:color="000000" w:sz="8" w:space="0"/>
              <w:left w:val="single" w:color="000000" w:sz="8" w:space="0"/>
              <w:bottom w:val="single" w:color="000000" w:sz="8" w:space="0"/>
              <w:right w:val="single" w:color="000000" w:sz="8" w:space="0"/>
            </w:tcBorders>
            <w:tcW w:w="2092"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相城大道与春申湖路交叉口东北角处公园</w:t>
            </w:r>
            <w:r/>
          </w:p>
        </w:tc>
        <w:tc>
          <w:tcPr>
            <w:shd w:val="clear" w:color="auto" w:fill="auto"/>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相城大道与春申湖路交叉口东北角处公园</w:t>
            </w:r>
            <w:r/>
          </w:p>
        </w:tc>
      </w:tr>
      <w:tr>
        <w:trPr>
          <w:trHeight w:val="312"/>
        </w:trPr>
        <w:tc>
          <w:tcPr>
            <w:shd w:val="clear" w:color="auto" w:fill="auto"/>
            <w:tcBorders>
              <w:top w:val="single" w:color="000000" w:sz="8" w:space="0"/>
              <w:left w:val="single" w:color="000000" w:sz="8" w:space="0"/>
              <w:bottom w:val="single" w:color="000000" w:sz="8" w:space="0"/>
              <w:right w:val="single" w:color="000000" w:sz="8" w:space="0"/>
            </w:tcBorders>
            <w:tcW w:w="322" w:type="pct"/>
            <w:vAlign w:val="center"/>
            <w:textDirection w:val="lrTb"/>
            <w:noWrap/>
          </w:tcPr>
          <w:p>
            <w:pPr>
              <w:jc w:val="center"/>
              <w:keepLines w:val="0"/>
              <w:keepNext w:val="0"/>
              <w:pageBreakBefore w:val="0"/>
              <w:spacing w:line="24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38</w:t>
            </w:r>
            <w:r/>
          </w:p>
        </w:tc>
        <w:tc>
          <w:tcPr>
            <w:tcBorders>
              <w:top w:val="single" w:color="000000" w:sz="8" w:space="0"/>
              <w:left w:val="single" w:color="000000" w:sz="8" w:space="0"/>
              <w:bottom w:val="single" w:color="000000" w:sz="8" w:space="0"/>
              <w:right w:val="single" w:color="000000" w:sz="8" w:space="0"/>
            </w:tcBorders>
            <w:tcW w:w="2092"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城区高架</w:t>
            </w:r>
            <w:r/>
          </w:p>
        </w:tc>
        <w:tc>
          <w:tcPr>
            <w:tcBorders>
              <w:top w:val="single" w:color="000000" w:sz="8" w:space="0"/>
              <w:left w:val="single" w:color="000000" w:sz="8" w:space="0"/>
              <w:bottom w:val="single" w:color="000000" w:sz="8" w:space="0"/>
              <w:right w:val="single" w:color="000000" w:sz="8" w:space="0"/>
            </w:tcBorders>
            <w:tcW w:w="2585" w:type="pct"/>
            <w:vAlign w:val="center"/>
            <w:textDirection w:val="lrTb"/>
            <w:noWrap w:val="false"/>
          </w:tcPr>
          <w:p>
            <w:pPr>
              <w:jc w:val="center"/>
              <w:keepLines w:val="0"/>
              <w:keepNext w:val="0"/>
              <w:pageBreakBefore w:val="0"/>
              <w:spacing w:line="240" w:lineRule="exact"/>
              <w:widowControl w:val="off"/>
              <w:rPr>
                <w:rFonts w:hint="eastAsia" w:ascii="宋体" w:hAnsi="宋体"/>
                <w:color w:val="auto"/>
                <w:szCs w:val="21"/>
                <w:highlight w:val="none"/>
              </w:rPr>
            </w:pPr>
            <w:r>
              <w:rPr>
                <w:rFonts w:hint="eastAsia" w:ascii="宋体" w:hAnsi="宋体"/>
                <w:color w:val="auto"/>
                <w:szCs w:val="21"/>
                <w:highlight w:val="none"/>
              </w:rPr>
            </w:r>
            <w:r/>
          </w:p>
        </w:tc>
      </w:tr>
    </w:tbl>
    <w:p>
      <w:pPr>
        <w:ind w:firstLine="422"/>
        <w:spacing w:line="360" w:lineRule="auto"/>
        <w:rPr>
          <w:rFonts w:hint="eastAsia" w:ascii="宋体" w:hAnsi="宋体"/>
          <w:b/>
          <w:color w:val="auto"/>
          <w:szCs w:val="21"/>
        </w:rPr>
        <w:outlineLvl w:val="1"/>
      </w:pPr>
      <w:r>
        <w:rPr>
          <w:rFonts w:hint="eastAsia" w:ascii="宋体" w:hAnsi="宋体"/>
          <w:b/>
          <w:color w:val="auto"/>
          <w:szCs w:val="21"/>
        </w:rPr>
        <w:t xml:space="preserve">注</w:t>
      </w:r>
      <w:r>
        <w:rPr>
          <w:rFonts w:hint="eastAsia" w:ascii="宋体" w:hAnsi="宋体"/>
          <w:b/>
          <w:color w:val="auto"/>
          <w:szCs w:val="21"/>
          <w:lang w:eastAsia="zh-CN"/>
        </w:rPr>
        <w:t xml:space="preserve">：（</w:t>
      </w:r>
      <w:r>
        <w:rPr>
          <w:rFonts w:hint="eastAsia" w:ascii="宋体" w:hAnsi="宋体"/>
          <w:b/>
          <w:color w:val="auto"/>
          <w:szCs w:val="21"/>
          <w:lang w:val="en-US" w:eastAsia="zh-CN"/>
        </w:rPr>
        <w:t xml:space="preserve">1</w:t>
      </w:r>
      <w:r>
        <w:rPr>
          <w:rFonts w:hint="eastAsia" w:ascii="宋体" w:hAnsi="宋体"/>
          <w:b/>
          <w:color w:val="auto"/>
          <w:szCs w:val="21"/>
          <w:lang w:eastAsia="zh-CN"/>
        </w:rPr>
        <w:t xml:space="preserve">）</w:t>
      </w:r>
      <w:r>
        <w:rPr>
          <w:rFonts w:hint="eastAsia" w:ascii="宋体" w:hAnsi="宋体"/>
          <w:b/>
          <w:color w:val="auto"/>
          <w:szCs w:val="21"/>
        </w:rPr>
        <w:t xml:space="preserve">负责上述管护区域绿化养护的单位不得成为本项目成交单位。</w:t>
      </w:r>
      <w:r/>
    </w:p>
    <w:p>
      <w:pPr>
        <w:pStyle w:val="1006"/>
        <w:ind w:left="0" w:firstLine="843"/>
        <w:rPr>
          <w:rFonts w:hint="default" w:ascii="宋体" w:hAnsi="宋体" w:eastAsia="宋体" w:cs="Times New Roman"/>
          <w:b/>
          <w:color w:val="auto"/>
          <w:sz w:val="21"/>
          <w:szCs w:val="21"/>
          <w:lang w:val="en-US" w:eastAsia="zh-CN" w:bidi="ar-SA"/>
        </w:rPr>
      </w:pPr>
      <w:r>
        <w:rPr>
          <w:rFonts w:hint="eastAsia" w:ascii="宋体" w:hAnsi="宋体" w:eastAsia="宋体" w:cs="Times New Roman"/>
          <w:b/>
          <w:color w:val="auto"/>
          <w:sz w:val="21"/>
          <w:szCs w:val="21"/>
          <w:lang w:val="en-US" w:eastAsia="zh-CN" w:bidi="ar-SA"/>
        </w:rPr>
        <w:t xml:space="preserve">（2）</w:t>
      </w:r>
      <w:r>
        <w:rPr>
          <w:rFonts w:hint="eastAsia" w:cs="Times New Roman"/>
          <w:b/>
          <w:color w:val="auto"/>
          <w:sz w:val="21"/>
          <w:szCs w:val="21"/>
          <w:lang w:val="en-US" w:eastAsia="zh-CN" w:bidi="ar-SA"/>
        </w:rPr>
        <w:t xml:space="preserve">本项目预计监理范围为10,000,000平方米，包括但不限于上述</w:t>
      </w:r>
      <w:r>
        <w:rPr>
          <w:rFonts w:hint="eastAsia" w:ascii="宋体" w:hAnsi="宋体" w:eastAsia="宋体" w:cs="Times New Roman"/>
          <w:b/>
          <w:color w:val="auto"/>
          <w:sz w:val="21"/>
          <w:szCs w:val="21"/>
          <w:lang w:val="en-US" w:eastAsia="zh-CN" w:bidi="ar-SA"/>
        </w:rPr>
        <w:t xml:space="preserve">监理范围，具体以采购人要求为</w:t>
      </w:r>
      <w:r>
        <w:rPr>
          <w:rFonts w:hint="eastAsia" w:cs="Times New Roman"/>
          <w:b/>
          <w:color w:val="auto"/>
          <w:sz w:val="21"/>
          <w:szCs w:val="21"/>
          <w:lang w:val="en-US" w:eastAsia="zh-CN" w:bidi="ar-SA"/>
        </w:rPr>
        <w:t xml:space="preserve">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eastAsia="zh-CN"/>
        </w:rPr>
        <w:t xml:space="preserve">（</w:t>
      </w:r>
      <w:r>
        <w:rPr>
          <w:rFonts w:hint="eastAsia" w:asciiTheme="minorEastAsia" w:hAnsiTheme="minorEastAsia" w:eastAsiaTheme="minorEastAsia" w:cstheme="minorEastAsia"/>
          <w:b/>
          <w:color w:val="auto"/>
          <w:sz w:val="21"/>
          <w:szCs w:val="21"/>
          <w:lang w:val="en-US" w:eastAsia="zh-CN"/>
        </w:rPr>
        <w:t xml:space="preserve">五</w:t>
      </w:r>
      <w:r>
        <w:rPr>
          <w:rFonts w:hint="eastAsia" w:asciiTheme="minorEastAsia" w:hAnsiTheme="minorEastAsia" w:eastAsiaTheme="minorEastAsia" w:cstheme="minorEastAsia"/>
          <w:b/>
          <w:color w:val="auto"/>
          <w:sz w:val="21"/>
          <w:szCs w:val="21"/>
          <w:lang w:eastAsia="zh-CN"/>
        </w:rPr>
        <w:t xml:space="preserve">）</w:t>
      </w:r>
      <w:r>
        <w:rPr>
          <w:rFonts w:hint="eastAsia" w:asciiTheme="minorEastAsia" w:hAnsiTheme="minorEastAsia" w:eastAsiaTheme="minorEastAsia" w:cstheme="minorEastAsia"/>
          <w:b/>
          <w:color w:val="auto"/>
          <w:sz w:val="21"/>
          <w:szCs w:val="21"/>
        </w:rPr>
        <w:t xml:space="preserve">监理人员要求：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响应单位须为本项目配备</w:t>
      </w:r>
      <w:r>
        <w:rPr>
          <w:rFonts w:hint="eastAsia" w:asciiTheme="minorEastAsia" w:hAnsiTheme="minorEastAsia" w:eastAsiaTheme="minorEastAsia" w:cstheme="minorEastAsia"/>
          <w:b w:val="0"/>
          <w:bCs w:val="0"/>
          <w:color w:val="auto"/>
          <w:sz w:val="21"/>
          <w:szCs w:val="21"/>
        </w:rPr>
        <w:t xml:space="preserve">不</w:t>
      </w:r>
      <w:r>
        <w:rPr>
          <w:rFonts w:hint="eastAsia" w:asciiTheme="minorEastAsia" w:hAnsiTheme="minorEastAsia" w:eastAsiaTheme="minorEastAsia" w:cstheme="minorEastAsia"/>
          <w:b w:val="0"/>
          <w:bCs w:val="0"/>
          <w:color w:val="auto"/>
          <w:sz w:val="21"/>
          <w:szCs w:val="21"/>
          <w:lang w:val="en-US" w:eastAsia="zh-CN"/>
        </w:rPr>
        <w:t xml:space="preserve">少于4人（可兼任）的服务团队：包括总监理工程师（项目负责人）</w:t>
      </w:r>
      <w:r>
        <w:rPr>
          <w:rFonts w:hint="eastAsia" w:asciiTheme="minorEastAsia" w:hAnsiTheme="minorEastAsia" w:eastAsiaTheme="minorEastAsia" w:cstheme="minorEastAsia"/>
          <w:b w:val="0"/>
          <w:bCs w:val="0"/>
          <w:color w:val="auto"/>
          <w:sz w:val="21"/>
          <w:szCs w:val="21"/>
        </w:rPr>
        <w:t xml:space="preserve">、</w:t>
      </w:r>
      <w:r>
        <w:rPr>
          <w:rFonts w:hint="eastAsia" w:asciiTheme="minorEastAsia" w:hAnsiTheme="minorEastAsia" w:eastAsiaTheme="minorEastAsia" w:cstheme="minorEastAsia"/>
          <w:b w:val="0"/>
          <w:bCs w:val="0"/>
          <w:color w:val="auto"/>
          <w:sz w:val="21"/>
          <w:szCs w:val="21"/>
          <w:lang w:val="en-US" w:eastAsia="zh-CN"/>
        </w:rPr>
        <w:t xml:space="preserve">专业监理工程师（绿化养护巡查员）</w:t>
      </w:r>
      <w:r>
        <w:rPr>
          <w:rFonts w:hint="eastAsia" w:asciiTheme="minorEastAsia" w:hAnsiTheme="minorEastAsia" w:eastAsiaTheme="minorEastAsia" w:cstheme="minorEastAsia"/>
          <w:b w:val="0"/>
          <w:bCs w:val="0"/>
          <w:color w:val="auto"/>
          <w:sz w:val="21"/>
          <w:szCs w:val="21"/>
          <w:lang w:eastAsia="zh-CN"/>
        </w:rPr>
        <w:t xml:space="preserve">、</w:t>
      </w:r>
      <w:r>
        <w:rPr>
          <w:rFonts w:hint="eastAsia" w:asciiTheme="minorEastAsia" w:hAnsiTheme="minorEastAsia" w:eastAsiaTheme="minorEastAsia" w:cstheme="minorEastAsia"/>
          <w:b w:val="0"/>
          <w:bCs w:val="0"/>
          <w:color w:val="auto"/>
          <w:sz w:val="21"/>
          <w:szCs w:val="21"/>
          <w:lang w:val="en-US" w:eastAsia="zh-CN"/>
        </w:rPr>
        <w:t xml:space="preserve">监理员（资料员）、投资控制专员、信息管理专员。</w:t>
      </w:r>
      <w:r/>
    </w:p>
    <w:p>
      <w:pPr>
        <w:ind w:firstLine="420"/>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1.总监理工程师（项目负责人）：1名，需驻点，55周岁及以下，本科及以上。且具有国家注册监理工程师证书。</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sz w:val="21"/>
          <w:szCs w:val="21"/>
          <w:lang w:val="en-US" w:eastAsia="zh-CN"/>
        </w:rPr>
        <w:t xml:space="preserve">2.专业监理工程师（绿化养护巡查员）：不少于2人，45周岁以下，3年以上经验。</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yellow"/>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3.监理员（资料员）：不少于1人，大专及以上学历，按要求完成资料收集、汇总、上报等工作。要求能熟练使用ppt、word、Excel等办公室软件，熟悉绿化施工养护相关规范。</w:t>
      </w:r>
      <w:r/>
    </w:p>
    <w:p>
      <w:pPr>
        <w:pStyle w:val="1006"/>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4.投资控制专员：不少于1人（可兼任），需具备造价或工程管理能力。</w:t>
      </w:r>
      <w:r/>
    </w:p>
    <w:p>
      <w:pPr>
        <w:pStyle w:val="1006"/>
        <w:ind w:firstLine="420"/>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5.信息管理专员：不少于1人（可兼任），需熟悉各类办公及平台软件。</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eastAsia="zh-CN"/>
        </w:rPr>
        <w:t xml:space="preserve">（</w:t>
      </w:r>
      <w:r>
        <w:rPr>
          <w:rFonts w:hint="eastAsia" w:asciiTheme="minorEastAsia" w:hAnsiTheme="minorEastAsia" w:eastAsiaTheme="minorEastAsia" w:cstheme="minorEastAsia"/>
          <w:b/>
          <w:color w:val="auto"/>
          <w:sz w:val="21"/>
          <w:szCs w:val="21"/>
          <w:lang w:val="en-US" w:eastAsia="zh-CN"/>
        </w:rPr>
        <w:t xml:space="preserve">六</w:t>
      </w:r>
      <w:r>
        <w:rPr>
          <w:rFonts w:hint="eastAsia" w:asciiTheme="minorEastAsia" w:hAnsiTheme="minorEastAsia" w:eastAsiaTheme="minorEastAsia" w:cstheme="minorEastAsia"/>
          <w:b/>
          <w:color w:val="auto"/>
          <w:sz w:val="21"/>
          <w:szCs w:val="21"/>
          <w:lang w:eastAsia="zh-CN"/>
        </w:rPr>
        <w:t xml:space="preserve">）</w:t>
      </w:r>
      <w:r>
        <w:rPr>
          <w:rFonts w:hint="eastAsia" w:asciiTheme="minorEastAsia" w:hAnsiTheme="minorEastAsia" w:eastAsiaTheme="minorEastAsia" w:cstheme="minorEastAsia"/>
          <w:b/>
          <w:color w:val="auto"/>
          <w:sz w:val="21"/>
          <w:szCs w:val="21"/>
          <w:lang w:val="en-US" w:eastAsia="zh-CN"/>
        </w:rPr>
        <w:t xml:space="preserve">设备要求：</w:t>
      </w:r>
      <w:r/>
    </w:p>
    <w:p>
      <w:pPr>
        <w:pStyle w:val="1006"/>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1.供应商</w:t>
      </w:r>
      <w:r>
        <w:rPr>
          <w:rFonts w:hint="eastAsia" w:asciiTheme="minorEastAsia" w:hAnsiTheme="minorEastAsia" w:eastAsiaTheme="minorEastAsia" w:cstheme="minorEastAsia"/>
          <w:b w:val="0"/>
          <w:bCs/>
          <w:color w:val="auto"/>
          <w:sz w:val="21"/>
          <w:szCs w:val="21"/>
          <w:highlight w:val="none"/>
        </w:rPr>
        <w:t xml:space="preserve">投入</w:t>
      </w:r>
      <w:r>
        <w:rPr>
          <w:rFonts w:hint="eastAsia" w:asciiTheme="minorEastAsia" w:hAnsiTheme="minorEastAsia" w:eastAsiaTheme="minorEastAsia" w:cstheme="minorEastAsia"/>
          <w:b w:val="0"/>
          <w:bCs/>
          <w:color w:val="auto"/>
          <w:sz w:val="21"/>
          <w:szCs w:val="21"/>
          <w:highlight w:val="none"/>
          <w:lang w:val="en-US" w:eastAsia="zh-CN"/>
        </w:rPr>
        <w:t xml:space="preserve">不少于2辆</w:t>
      </w:r>
      <w:r>
        <w:rPr>
          <w:rFonts w:hint="eastAsia" w:asciiTheme="minorEastAsia" w:hAnsiTheme="minorEastAsia" w:eastAsiaTheme="minorEastAsia" w:cstheme="minorEastAsia"/>
          <w:b w:val="0"/>
          <w:bCs/>
          <w:color w:val="auto"/>
          <w:sz w:val="21"/>
          <w:szCs w:val="21"/>
          <w:highlight w:val="none"/>
        </w:rPr>
        <w:t xml:space="preserve">小型</w:t>
      </w:r>
      <w:r>
        <w:rPr>
          <w:rFonts w:hint="eastAsia" w:asciiTheme="minorEastAsia" w:hAnsiTheme="minorEastAsia" w:eastAsiaTheme="minorEastAsia" w:cstheme="minorEastAsia"/>
          <w:color w:val="auto"/>
          <w:sz w:val="21"/>
          <w:szCs w:val="21"/>
          <w:highlight w:val="none"/>
        </w:rPr>
        <w:t xml:space="preserve">轿车用于绿化养护巡查</w:t>
      </w:r>
      <w:r>
        <w:rPr>
          <w:rFonts w:hint="eastAsia" w:asciiTheme="minorEastAsia" w:hAnsiTheme="minorEastAsia" w:eastAsiaTheme="minorEastAsia" w:cstheme="minorEastAsia"/>
          <w:color w:val="auto"/>
          <w:sz w:val="21"/>
          <w:szCs w:val="21"/>
          <w:highlight w:val="none"/>
          <w:lang w:eastAsia="zh-CN"/>
        </w:rPr>
        <w:t xml:space="preserve">。</w:t>
      </w:r>
      <w:r/>
    </w:p>
    <w:p>
      <w:pPr>
        <w:pStyle w:val="1006"/>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2.供应商</w:t>
      </w:r>
      <w:r>
        <w:rPr>
          <w:rFonts w:hint="eastAsia" w:asciiTheme="minorEastAsia" w:hAnsiTheme="minorEastAsia" w:eastAsiaTheme="minorEastAsia" w:cstheme="minorEastAsia"/>
          <w:color w:val="auto"/>
          <w:sz w:val="21"/>
          <w:szCs w:val="21"/>
          <w:highlight w:val="none"/>
        </w:rPr>
        <w:t xml:space="preserve">配备带水印拍照手机、GPS轨迹设备</w:t>
      </w:r>
      <w:r>
        <w:rPr>
          <w:rFonts w:hint="eastAsia" w:asciiTheme="minorEastAsia" w:hAnsiTheme="minorEastAsia" w:eastAsiaTheme="minorEastAsia" w:cstheme="minorEastAsia"/>
          <w:color w:val="auto"/>
          <w:sz w:val="21"/>
          <w:szCs w:val="21"/>
          <w:highlight w:val="none"/>
          <w:lang w:val="en-US" w:eastAsia="zh-CN"/>
        </w:rPr>
        <w:t xml:space="preserve">和无人机（根据采购人需要提供）</w:t>
      </w:r>
      <w:r>
        <w:rPr>
          <w:rFonts w:hint="eastAsia" w:asciiTheme="minorEastAsia" w:hAnsiTheme="minorEastAsia" w:eastAsiaTheme="minorEastAsia" w:cstheme="minorEastAsia"/>
          <w:color w:val="auto"/>
          <w:sz w:val="21"/>
          <w:szCs w:val="21"/>
          <w:highlight w:val="none"/>
        </w:rPr>
        <w:t xml:space="preserve">进行工作轨迹考核，工作日每天要上传轨迹图，轨迹图显示工作时长，每日工作时长不少于6小时，工作时间在6：00-22:00区间内，早中晚合理分配。所有拍摄照片需带水印，显示编号、时间、地点、巡查人员姓名、养护问题等。驻点工作人员作息按照科室规定，特殊情况须加班</w:t>
      </w:r>
      <w:r>
        <w:rPr>
          <w:rFonts w:hint="eastAsia" w:asciiTheme="minorEastAsia" w:hAnsiTheme="minorEastAsia" w:eastAsiaTheme="minorEastAsia" w:cstheme="minorEastAsia"/>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eastAsia="zh-CN"/>
        </w:rPr>
        <w:t xml:space="preserve">（</w:t>
      </w:r>
      <w:r>
        <w:rPr>
          <w:rFonts w:hint="eastAsia" w:asciiTheme="minorEastAsia" w:hAnsiTheme="minorEastAsia" w:eastAsiaTheme="minorEastAsia" w:cstheme="minorEastAsia"/>
          <w:b/>
          <w:color w:val="auto"/>
          <w:sz w:val="21"/>
          <w:szCs w:val="21"/>
          <w:lang w:val="en-US" w:eastAsia="zh-CN"/>
        </w:rPr>
        <w:t xml:space="preserve">七</w:t>
      </w:r>
      <w:r>
        <w:rPr>
          <w:rFonts w:hint="eastAsia" w:asciiTheme="minorEastAsia" w:hAnsiTheme="minorEastAsia" w:eastAsiaTheme="minorEastAsia" w:cstheme="minorEastAsia"/>
          <w:b/>
          <w:color w:val="auto"/>
          <w:sz w:val="21"/>
          <w:szCs w:val="21"/>
          <w:lang w:eastAsia="zh-CN"/>
        </w:rPr>
        <w:t xml:space="preserve">）</w:t>
      </w:r>
      <w:r>
        <w:rPr>
          <w:rFonts w:hint="eastAsia" w:asciiTheme="minorEastAsia" w:hAnsiTheme="minorEastAsia" w:eastAsiaTheme="minorEastAsia" w:cstheme="minorEastAsia"/>
          <w:b/>
          <w:color w:val="auto"/>
          <w:sz w:val="21"/>
          <w:szCs w:val="21"/>
        </w:rPr>
        <w:t xml:space="preserve">其他要求: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绿化养护单位如存在养护人员不到位、养护质量差或养护出现重大失误等问题，成交单位应直接向绿化养护单位发出书面整改通知。</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所有人员的更换必须提前一周通知甲方，在得到采购人的书面认可后方可更换，并且成交单位调换的人员资格不得低于被调换人员的资格。未经甲方同意调换本合同组成人员的，视为乙方的违约行为。甲方可视乙方的违约状况，有权决定是否解除本合同，并要求乙方赔偿甲方所有的直接或间接损失。人员数量少于招标要求，累计发现三次，甲方有权解除本合同。</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成交单位须公开、公平、公正的做好日常绿化监管工作，如发生徇私舞弊及违反廉政规定的行为，一律清退出场，并由乙方承担相应的经济责任，甲方有权解除本合同。</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成交单位工作人员确保工作时间内通讯畅通，如遇突发情况如防台、防洪、抗旱、迎检、110联动等应急时现场巡查、处置。</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5.</w:t>
      </w:r>
      <w:r>
        <w:rPr>
          <w:rFonts w:hint="eastAsia" w:asciiTheme="minorEastAsia" w:hAnsiTheme="minorEastAsia" w:eastAsiaTheme="minorEastAsia" w:cstheme="minorEastAsia"/>
          <w:color w:val="auto"/>
          <w:sz w:val="21"/>
          <w:szCs w:val="21"/>
        </w:rPr>
        <w:t xml:space="preserve">配合采购人完成采购人布置的临时性任务及指令性工作。</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6.成交单位需配合采购人</w:t>
      </w:r>
      <w:r>
        <w:rPr>
          <w:rFonts w:hint="eastAsia" w:asciiTheme="minorEastAsia" w:hAnsiTheme="minorEastAsia" w:eastAsiaTheme="minorEastAsia" w:cstheme="minorEastAsia"/>
          <w:color w:val="auto"/>
          <w:sz w:val="21"/>
          <w:szCs w:val="21"/>
        </w:rPr>
        <w:t xml:space="preserve">完成《相城区养护管理考核办法》、《相城区绿地养护管理标准及要求》的修订完善工作；配合</w:t>
      </w:r>
      <w:r>
        <w:rPr>
          <w:rFonts w:hint="eastAsia" w:asciiTheme="minorEastAsia" w:hAnsiTheme="minorEastAsia" w:eastAsiaTheme="minorEastAsia" w:cstheme="minorEastAsia"/>
          <w:color w:val="auto"/>
          <w:sz w:val="21"/>
          <w:szCs w:val="21"/>
          <w:lang w:val="en-US" w:eastAsia="zh-CN"/>
        </w:rPr>
        <w:t xml:space="preserve">采购人</w:t>
      </w:r>
      <w:r>
        <w:rPr>
          <w:rFonts w:hint="eastAsia" w:asciiTheme="minorEastAsia" w:hAnsiTheme="minorEastAsia" w:eastAsiaTheme="minorEastAsia" w:cstheme="minorEastAsia"/>
          <w:color w:val="auto"/>
          <w:sz w:val="21"/>
          <w:szCs w:val="21"/>
        </w:rPr>
        <w:t xml:space="preserve">处理其他与园林绿化有关的工作，服从</w:t>
      </w:r>
      <w:r>
        <w:rPr>
          <w:rFonts w:hint="eastAsia" w:asciiTheme="minorEastAsia" w:hAnsiTheme="minorEastAsia" w:eastAsiaTheme="minorEastAsia" w:cstheme="minorEastAsia"/>
          <w:color w:val="auto"/>
          <w:sz w:val="21"/>
          <w:szCs w:val="21"/>
          <w:lang w:val="en-US" w:eastAsia="zh-CN"/>
        </w:rPr>
        <w:t xml:space="preserve">采购人</w:t>
      </w:r>
      <w:r>
        <w:rPr>
          <w:rFonts w:hint="eastAsia" w:asciiTheme="minorEastAsia" w:hAnsiTheme="minorEastAsia" w:eastAsiaTheme="minorEastAsia" w:cstheme="minorEastAsia"/>
          <w:color w:val="auto"/>
          <w:sz w:val="21"/>
          <w:szCs w:val="21"/>
        </w:rPr>
        <w:t xml:space="preserve">安排。</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eastAsia="zh-CN"/>
        </w:rPr>
        <w:t xml:space="preserve">（</w:t>
      </w:r>
      <w:r>
        <w:rPr>
          <w:rFonts w:hint="eastAsia" w:asciiTheme="minorEastAsia" w:hAnsiTheme="minorEastAsia" w:eastAsiaTheme="minorEastAsia" w:cstheme="minorEastAsia"/>
          <w:b/>
          <w:color w:val="auto"/>
          <w:sz w:val="21"/>
          <w:szCs w:val="21"/>
          <w:lang w:val="en-US" w:eastAsia="zh-CN"/>
        </w:rPr>
        <w:t xml:space="preserve">八</w:t>
      </w:r>
      <w:r>
        <w:rPr>
          <w:rFonts w:hint="eastAsia" w:asciiTheme="minorEastAsia" w:hAnsiTheme="minorEastAsia" w:eastAsiaTheme="minorEastAsia" w:cstheme="minorEastAsia"/>
          <w:b/>
          <w:color w:val="auto"/>
          <w:sz w:val="21"/>
          <w:szCs w:val="21"/>
          <w:lang w:eastAsia="zh-CN"/>
        </w:rPr>
        <w:t xml:space="preserve">）</w:t>
      </w:r>
      <w:r>
        <w:rPr>
          <w:rFonts w:hint="eastAsia" w:asciiTheme="minorEastAsia" w:hAnsiTheme="minorEastAsia" w:eastAsiaTheme="minorEastAsia" w:cstheme="minorEastAsia"/>
          <w:b/>
          <w:color w:val="auto"/>
          <w:sz w:val="21"/>
          <w:szCs w:val="21"/>
        </w:rPr>
        <w:t xml:space="preserve">监理成果：</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在监理工作结束以后，按资料归档要求编写监理报告，并需提交以下成果资料：</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监理实施细则；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会议纪要；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监理日志；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监理月报；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5.</w:t>
      </w:r>
      <w:r>
        <w:rPr>
          <w:rFonts w:hint="eastAsia" w:asciiTheme="minorEastAsia" w:hAnsiTheme="minorEastAsia" w:eastAsiaTheme="minorEastAsia" w:cstheme="minorEastAsia"/>
          <w:color w:val="auto"/>
          <w:sz w:val="21"/>
          <w:szCs w:val="21"/>
        </w:rPr>
        <w:t xml:space="preserve">监理工作总结；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rPr>
        <w:t xml:space="preserve">其它监理资料。</w:t>
      </w:r>
      <w:r/>
    </w:p>
    <w:p>
      <w:pPr>
        <w:ind w:left="0" w:right="0" w:firstLine="422"/>
        <w:jc w:val="both"/>
        <w:keepLines w:val="0"/>
        <w:keepNext w:val="0"/>
        <w:pageBreakBefore w:val="0"/>
        <w:spacing w:line="360" w:lineRule="auto"/>
        <w:widowControl w:val="off"/>
        <w:rPr>
          <w:b/>
          <w:color w:val="auto"/>
          <w:szCs w:val="21"/>
          <w:highlight w:val="none"/>
        </w:rPr>
      </w:pPr>
      <w:r>
        <w:rPr>
          <w:rFonts w:hint="eastAsia"/>
          <w:b/>
          <w:color w:val="auto"/>
          <w:szCs w:val="21"/>
          <w:highlight w:val="none"/>
          <w:lang w:val="en-US" w:eastAsia="zh-CN"/>
        </w:rPr>
        <w:t xml:space="preserve">七、</w:t>
      </w:r>
      <w:r>
        <w:rPr>
          <w:rFonts w:hint="eastAsia"/>
          <w:b/>
          <w:color w:val="auto"/>
          <w:szCs w:val="21"/>
          <w:highlight w:val="none"/>
        </w:rPr>
        <w:t xml:space="preserve">其他要求及综合说明：</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供应商提供的服务能够至少达到以上要求，同时明确具体的服务方案。</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供应商必须承诺磋商文件中提出的全部要求，如果其中某些条款不响应时，应在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服务要求偏离表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中逐条列出，未列出的视同响应。</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供应商应对所投项目的全部内容进行报价，只投其中部分内容者，其响应文件将被拒绝。成交供应商对服务缺陷不予更正，采购方有权另请其他单位更正，所发生的费用由成交供应商承担。</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本合同为固定总价合同，投标报价包括但不限于人工费（包括人员工资、社会保险费用、福利费、加班费、人身意外伤害险等）、设备工具费、差旅费、交通费、成果编制费（含印刷费）、驻场服务费、</w:t>
      </w:r>
      <w:r>
        <w:rPr>
          <w:rFonts w:hint="eastAsia" w:ascii="宋体" w:hAnsi="宋体" w:cs="宋体"/>
          <w:color w:val="auto"/>
          <w:szCs w:val="21"/>
          <w:highlight w:val="none"/>
          <w:lang w:val="en-US" w:eastAsia="zh-CN"/>
        </w:rPr>
        <w:t xml:space="preserve">代理服务费</w:t>
      </w:r>
      <w:r>
        <w:rPr>
          <w:rFonts w:hint="eastAsia" w:ascii="宋体" w:hAnsi="宋体" w:cs="宋体"/>
          <w:color w:val="auto"/>
          <w:szCs w:val="21"/>
          <w:highlight w:val="none"/>
          <w:lang w:val="zh-CN"/>
        </w:rPr>
        <w:t xml:space="preserve">、项目利润、风险费、税费及政策性文件规定和合同所包含的所有风险、责任等各项应有费用。</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zh-CN"/>
        </w:rPr>
        <w:t xml:space="preserve">如遇服务范围内有大的调整情况，采购单位将提前告知成交单位，合同内容经双方协商调整。</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单位应经常对员工进行岗位职责和安全教育，加强岗位责任考核。因成交单位管理不善，造成工作范围内的设施、设备等损坏的，由直接负责人赔偿，若直接负责人因故无法赔偿的，采购单位有权要求成交单位负责赔偿损失，情节严重的可终止合同甚至诉诸法律。</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成交单位工作人员在岗履行职责期间（包括上下班途中），发生自身的人身伤害、伤亡，均由成交单位负责处理并承担经济和道义上的责任，采购单位不承担任何责任。</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成交供应商对服务缺陷不予更正，甲方有权另请其他单位更正，所发生的费用由成交供应商承担。</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若成交供应商在服务期间，违反下列规定将被解除服务合同，并扣除剩余待支付费用：</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.1 严禁将服务转包他人。</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0.2</w:t>
      </w:r>
      <w:r>
        <w:rPr>
          <w:rFonts w:hint="eastAsia" w:ascii="宋体" w:hAnsi="宋体" w:cs="宋体"/>
          <w:color w:val="auto"/>
          <w:szCs w:val="21"/>
          <w:highlight w:val="none"/>
        </w:rPr>
        <w:t xml:space="preserve"> 出现重大责任事故。</w:t>
      </w:r>
      <w:r/>
    </w:p>
    <w:p>
      <w:pPr>
        <w:ind w:left="0" w:righ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.3 泄露相关保密信息。</w:t>
      </w:r>
      <w:r/>
    </w:p>
    <w:p>
      <w:pPr>
        <w:pStyle w:val="989"/>
        <w:jc w:val="center"/>
        <w:spacing w:line="416" w:lineRule="auto"/>
        <w:rPr>
          <w:rStyle w:val="1084"/>
          <w:rFonts w:hint="eastAsia" w:ascii="宋体" w:hAnsi="宋体" w:cs="宋体"/>
          <w:b/>
          <w:bCs/>
          <w:color w:val="auto"/>
          <w:sz w:val="21"/>
          <w:szCs w:val="21"/>
          <w:highlight w:val="none"/>
        </w:rPr>
      </w:pPr>
      <w:r>
        <w:rPr>
          <w:rFonts w:hint="eastAsia" w:ascii="宋体" w:hAnsi="宋体" w:cs="宋体"/>
          <w:color w:val="auto"/>
          <w:highlight w:val="none"/>
        </w:rPr>
        <w:br w:type="page" w:clear="all"/>
      </w:r>
      <w:bookmarkStart w:id="31" w:name="_Toc17491"/>
      <w:r/>
      <w:bookmarkStart w:id="32" w:name="_Toc29675"/>
      <w:r/>
      <w:bookmarkStart w:id="33" w:name="_Toc9974"/>
      <w:r>
        <w:rPr>
          <w:rFonts w:hint="eastAsia" w:ascii="宋体" w:hAnsi="宋体" w:cs="宋体"/>
          <w:color w:val="auto"/>
          <w:highlight w:val="none"/>
        </w:rPr>
        <w:t xml:space="preserve">第四章 评审方法及评分标准</w:t>
      </w:r>
      <w:bookmarkEnd w:id="31"/>
      <w:r/>
      <w:bookmarkEnd w:id="32"/>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一、评审办法</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2.评审小组各成员独立对每个进入打分程序的有效磋商供应商的响应文件技术和资质部分以打分的形式进行评审和评价。 </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3.对评委的评分进行统计汇总，直接算术平均计算得分，计算出每个磋商供应商的得分，加上价格得分即为每个磋商供应商的综合得分。 </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4.如出现评审总得分最高的磋商供应商有两个或两个以上的，以磋商报价较低者优先作为成交人，如果磋商报价也相同的，则由采购人</w:t>
      </w:r>
      <w:r>
        <w:rPr>
          <w:rFonts w:hint="eastAsia" w:asciiTheme="minorEastAsia" w:hAnsiTheme="minorEastAsia" w:eastAsiaTheme="minorEastAsia" w:cstheme="minorEastAsia"/>
          <w:bCs/>
          <w:color w:val="auto"/>
          <w:sz w:val="21"/>
          <w:szCs w:val="21"/>
          <w:highlight w:val="none"/>
          <w:lang w:val="en-US" w:eastAsia="zh-CN"/>
        </w:rPr>
        <w:t xml:space="preserve">或评审小组</w:t>
      </w:r>
      <w:r>
        <w:rPr>
          <w:rFonts w:hint="eastAsia" w:asciiTheme="minorEastAsia" w:hAnsiTheme="minorEastAsia" w:eastAsiaTheme="minorEastAsia" w:cstheme="minorEastAsia"/>
          <w:bCs/>
          <w:color w:val="auto"/>
          <w:sz w:val="21"/>
          <w:szCs w:val="21"/>
          <w:highlight w:val="none"/>
        </w:rPr>
        <w:t xml:space="preserve">组织以抽签方式确定成交人。</w:t>
      </w:r>
      <w:r>
        <w:rPr>
          <w:rFonts w:hint="eastAsia" w:asciiTheme="minorEastAsia" w:hAnsiTheme="minorEastAsia" w:eastAsiaTheme="minorEastAsia" w:cstheme="minorEastAsia"/>
          <w:color w:val="auto"/>
          <w:sz w:val="21"/>
          <w:szCs w:val="21"/>
          <w:highlight w:val="none"/>
        </w:rPr>
        <w:t xml:space="preserve"> </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5.针对中小型企业、残疾人福利企业和监狱企业的评审：</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本项目</w:t>
      </w:r>
      <w:r>
        <w:rPr>
          <w:rFonts w:hint="eastAsia" w:asciiTheme="minorEastAsia" w:hAnsiTheme="minorEastAsia" w:eastAsiaTheme="minorEastAsia" w:cstheme="minorEastAsia"/>
          <w:b/>
          <w:bCs/>
          <w:color w:val="auto"/>
          <w:sz w:val="21"/>
          <w:szCs w:val="21"/>
          <w:highlight w:val="none"/>
          <w:lang w:val="en-US" w:eastAsia="zh-CN"/>
        </w:rPr>
        <w:t xml:space="preserve">专门</w:t>
      </w:r>
      <w:r>
        <w:rPr>
          <w:rFonts w:hint="eastAsia" w:asciiTheme="minorEastAsia" w:hAnsiTheme="minorEastAsia" w:eastAsiaTheme="minorEastAsia" w:cstheme="minorEastAsia"/>
          <w:b/>
          <w:bCs/>
          <w:color w:val="auto"/>
          <w:sz w:val="21"/>
          <w:szCs w:val="21"/>
          <w:highlight w:val="none"/>
        </w:rPr>
        <w:t xml:space="preserve">面向中小企业采购。</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根据《政府采购促进中小企业发展管理办法》（财库〔2020〕46号）、《关于促进残疾人就业政府采购政策的通知》（财</w:t>
      </w:r>
      <w:r>
        <w:rPr>
          <w:rFonts w:hint="eastAsia" w:asciiTheme="minorEastAsia" w:hAnsiTheme="minorEastAsia" w:eastAsiaTheme="minorEastAsia" w:cstheme="minorEastAsia"/>
          <w:color w:val="auto"/>
          <w:sz w:val="21"/>
          <w:szCs w:val="21"/>
          <w:highlight w:val="none"/>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rPr>
          <w:rFonts w:hint="eastAsia" w:asciiTheme="minorEastAsia" w:hAnsiTheme="minorEastAsia" w:eastAsiaTheme="minorEastAsia" w:cstheme="minorEastAsia"/>
          <w:b/>
          <w:bCs/>
          <w:color w:val="auto"/>
          <w:sz w:val="21"/>
          <w:szCs w:val="21"/>
          <w:highlight w:val="none"/>
        </w:rPr>
        <w:t xml:space="preserve">服务类项目中供应商若使用退休人员，将不享受中小企业扶持政策。</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①填报“中小企业声明函”需严格按“工信部联企业〔2011〕300号通知中的《中小企业划型标准规定》进行。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②若供应商提供的声明函或认定证明为虚假材料，按“政府采购法”相关规定处理并报请政府监管部门给予行政处罚。</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val="0"/>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 xml:space="preserve">③若为专门面向中小企业采购的项目或者采购包，不再执行价格评审优惠的扶持政策</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val="0"/>
          <w:color w:val="auto"/>
          <w:sz w:val="21"/>
          <w:szCs w:val="21"/>
          <w:highlight w:val="none"/>
          <w:lang w:val="en-US" w:eastAsia="zh-CN" w:bidi="ar-SA"/>
        </w:rPr>
        <w:t xml:space="preserve">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二、评分标准</w:t>
      </w:r>
      <w:bookmarkEnd w:id="33"/>
      <w:r/>
      <w:r/>
    </w:p>
    <w:p>
      <w:pPr>
        <w:ind w:firstLine="422"/>
        <w:jc w:val="both"/>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（一）投标报价</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lang w:val="en-US" w:eastAsia="zh-CN"/>
        </w:rPr>
        <w:t xml:space="preserve">10</w:t>
      </w:r>
      <w:r>
        <w:rPr>
          <w:rFonts w:hint="eastAsia" w:asciiTheme="minorEastAsia" w:hAnsiTheme="minorEastAsia" w:eastAsiaTheme="minorEastAsia" w:cstheme="minorEastAsia"/>
          <w:b/>
          <w:color w:val="auto"/>
          <w:sz w:val="21"/>
          <w:szCs w:val="21"/>
          <w:highlight w:val="none"/>
        </w:rPr>
        <w:t xml:space="preserve">分</w:t>
      </w:r>
      <w:r>
        <w:rPr>
          <w:rFonts w:hint="eastAsia" w:asciiTheme="minorEastAsia" w:hAnsiTheme="minorEastAsia" w:eastAsiaTheme="minorEastAsia" w:cstheme="minorEastAsia"/>
          <w:b/>
          <w:color w:val="auto"/>
          <w:sz w:val="21"/>
          <w:szCs w:val="21"/>
          <w:highlight w:val="none"/>
          <w:lang w:eastAsia="zh-CN"/>
        </w:rPr>
        <w:t xml:space="preserve">）</w:t>
      </w:r>
      <w:r/>
    </w:p>
    <w:p>
      <w:pPr>
        <w:pStyle w:val="1049"/>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第一步：磋商报价低于或等于采购预算价格的，为有效磋商报价。超采购预算的磋商报价文件为未实质性响应文件，不参与评审。</w:t>
      </w:r>
      <w:r/>
    </w:p>
    <w:p>
      <w:pPr>
        <w:pStyle w:val="1049"/>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第二步：在所有有效磋商报价中满足采购文件要求，且磋商价格最低的磋商报价为评审基准价，其价格分为10分，其他磋商供应商的价格分按照下列公式计算（计算结果四舍五入保留两位小数）</w:t>
      </w:r>
      <w:r/>
    </w:p>
    <w:p>
      <w:pPr>
        <w:pStyle w:val="1049"/>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磋商报价得分＝（评审基准价/磋商报价）×10%×100</w:t>
      </w:r>
      <w:r/>
    </w:p>
    <w:p>
      <w:pPr>
        <w:ind w:firstLine="422"/>
        <w:jc w:val="both"/>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rPr>
        <w:t xml:space="preserve">（二）技术部分</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lang w:val="en-US" w:eastAsia="zh-CN"/>
        </w:rPr>
        <w:t xml:space="preserve">63</w:t>
      </w:r>
      <w:r>
        <w:rPr>
          <w:rFonts w:hint="eastAsia" w:asciiTheme="minorEastAsia" w:hAnsiTheme="minorEastAsia" w:eastAsiaTheme="minorEastAsia" w:cstheme="minorEastAsia"/>
          <w:b/>
          <w:color w:val="auto"/>
          <w:sz w:val="21"/>
          <w:szCs w:val="21"/>
          <w:highlight w:val="none"/>
        </w:rPr>
        <w:t xml:space="preserve">分</w:t>
      </w:r>
      <w:r>
        <w:rPr>
          <w:rFonts w:hint="eastAsia" w:asciiTheme="minorEastAsia" w:hAnsiTheme="minorEastAsia" w:eastAsiaTheme="minorEastAsia" w:cstheme="minorEastAsia"/>
          <w:b/>
          <w:color w:val="auto"/>
          <w:sz w:val="21"/>
          <w:szCs w:val="21"/>
          <w:highlight w:val="none"/>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总体服务方案比较</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42分</w:t>
      </w:r>
      <w:r>
        <w:rPr>
          <w:rFonts w:hint="eastAsia" w:asciiTheme="minorEastAsia" w:hAnsiTheme="minorEastAsia" w:eastAsiaTheme="minorEastAsia" w:cstheme="minorEastAsia"/>
          <w:color w:val="auto"/>
          <w:sz w:val="21"/>
          <w:szCs w:val="21"/>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lang w:eastAsia="zh-CN"/>
        </w:rPr>
        <w:t xml:space="preserve">）养护巡查与考核</w:t>
      </w:r>
      <w:r>
        <w:rPr>
          <w:rFonts w:hint="eastAsia" w:asciiTheme="minorEastAsia" w:hAnsiTheme="minorEastAsia" w:eastAsiaTheme="minorEastAsia" w:cstheme="minorEastAsia"/>
          <w:color w:val="auto"/>
          <w:sz w:val="21"/>
          <w:szCs w:val="21"/>
          <w:lang w:val="en-US" w:eastAsia="zh-CN"/>
        </w:rPr>
        <w:t xml:space="preserve">方案（6分）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总体</w:t>
      </w:r>
      <w:r>
        <w:rPr>
          <w:rFonts w:hint="eastAsia" w:asciiTheme="minorEastAsia" w:hAnsiTheme="minorEastAsia" w:eastAsiaTheme="minorEastAsia" w:cstheme="minorEastAsia"/>
          <w:color w:val="auto"/>
          <w:sz w:val="21"/>
          <w:szCs w:val="21"/>
          <w:lang w:val="en-US" w:eastAsia="zh-CN"/>
        </w:rPr>
        <w:t xml:space="preserve">方案</w:t>
      </w:r>
      <w:r>
        <w:rPr>
          <w:rFonts w:hint="eastAsia" w:asciiTheme="minorEastAsia" w:hAnsiTheme="minorEastAsia" w:eastAsiaTheme="minorEastAsia" w:cstheme="minorEastAsia"/>
          <w:color w:val="auto"/>
          <w:sz w:val="21"/>
          <w:szCs w:val="21"/>
        </w:rPr>
        <w:t xml:space="preserve">说明清晰、详细、具有可操作性的得</w:t>
      </w: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rPr>
        <w:t xml:space="preserve">分；总体</w:t>
      </w:r>
      <w:r>
        <w:rPr>
          <w:rFonts w:hint="eastAsia" w:asciiTheme="minorEastAsia" w:hAnsiTheme="minorEastAsia" w:eastAsiaTheme="minorEastAsia" w:cstheme="minorEastAsia"/>
          <w:color w:val="auto"/>
          <w:sz w:val="21"/>
          <w:szCs w:val="21"/>
          <w:lang w:val="en-US" w:eastAsia="zh-CN"/>
        </w:rPr>
        <w:t xml:space="preserve">方案</w:t>
      </w:r>
      <w:r>
        <w:rPr>
          <w:rFonts w:hint="eastAsia" w:asciiTheme="minorEastAsia" w:hAnsiTheme="minorEastAsia" w:eastAsiaTheme="minorEastAsia" w:cstheme="minorEastAsia"/>
          <w:color w:val="auto"/>
          <w:sz w:val="21"/>
          <w:szCs w:val="21"/>
        </w:rPr>
        <w:t xml:space="preserve">说明较清晰、较详细、较具有可操作性的得</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分；总体</w:t>
      </w:r>
      <w:r>
        <w:rPr>
          <w:rFonts w:hint="eastAsia" w:asciiTheme="minorEastAsia" w:hAnsiTheme="minorEastAsia" w:eastAsiaTheme="minorEastAsia" w:cstheme="minorEastAsia"/>
          <w:color w:val="auto"/>
          <w:sz w:val="21"/>
          <w:szCs w:val="21"/>
          <w:lang w:val="en-US" w:eastAsia="zh-CN"/>
        </w:rPr>
        <w:t xml:space="preserve">方案</w:t>
      </w:r>
      <w:r>
        <w:rPr>
          <w:rFonts w:hint="eastAsia" w:asciiTheme="minorEastAsia" w:hAnsiTheme="minorEastAsia" w:eastAsiaTheme="minorEastAsia" w:cstheme="minorEastAsia"/>
          <w:color w:val="auto"/>
          <w:sz w:val="21"/>
          <w:szCs w:val="21"/>
        </w:rPr>
        <w:t xml:space="preserve">说明不清晰、不详细、可操作性较差的得1分；</w:t>
      </w:r>
      <w:r>
        <w:rPr>
          <w:rFonts w:hint="eastAsia" w:asciiTheme="minorEastAsia" w:hAnsiTheme="minorEastAsia" w:eastAsiaTheme="minorEastAsia" w:cstheme="minorEastAsia"/>
          <w:color w:val="auto"/>
          <w:sz w:val="21"/>
          <w:szCs w:val="21"/>
          <w:lang w:val="en-US" w:eastAsia="zh-CN"/>
        </w:rPr>
        <w:t xml:space="preserve">未提供不得分</w:t>
      </w:r>
      <w:r>
        <w:rPr>
          <w:rFonts w:hint="eastAsia" w:asciiTheme="minorEastAsia" w:hAnsiTheme="minorEastAsia" w:eastAsiaTheme="minorEastAsia" w:cstheme="minorEastAsia"/>
          <w:color w:val="auto"/>
          <w:sz w:val="21"/>
          <w:szCs w:val="21"/>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lang w:eastAsia="zh-CN"/>
        </w:rPr>
        <w:t xml:space="preserve">项目质量控制方案及措施</w:t>
      </w:r>
      <w:r>
        <w:rPr>
          <w:rFonts w:hint="eastAsia" w:asciiTheme="minorEastAsia" w:hAnsiTheme="minorEastAsia" w:eastAsiaTheme="minorEastAsia" w:cstheme="minorEastAsia"/>
          <w:color w:val="auto"/>
          <w:sz w:val="21"/>
          <w:szCs w:val="21"/>
          <w:lang w:val="en-US" w:eastAsia="zh-CN"/>
        </w:rPr>
        <w:t xml:space="preserve">（6分）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质量控制方案及措施有针对性，方案和措施科学、完整、可行性强得6分；方案和措施较科学、较完整、较可行的得3分；方案和措施科学性、完整性、可行性</w:t>
      </w:r>
      <w:r>
        <w:rPr>
          <w:rFonts w:hint="eastAsia" w:asciiTheme="minorEastAsia" w:hAnsiTheme="minorEastAsia" w:eastAsiaTheme="minorEastAsia" w:cstheme="minorEastAsia"/>
          <w:color w:val="auto"/>
          <w:sz w:val="21"/>
          <w:szCs w:val="21"/>
          <w:lang w:val="en-US" w:eastAsia="zh-CN"/>
        </w:rPr>
        <w:t xml:space="preserve">较差</w:t>
      </w:r>
      <w:r>
        <w:rPr>
          <w:rFonts w:hint="eastAsia" w:asciiTheme="minorEastAsia" w:hAnsiTheme="minorEastAsia" w:eastAsiaTheme="minorEastAsia" w:cstheme="minorEastAsia"/>
          <w:color w:val="auto"/>
          <w:sz w:val="21"/>
          <w:szCs w:val="21"/>
          <w:lang w:eastAsia="zh-CN"/>
        </w:rPr>
        <w:t xml:space="preserve">得1分；</w:t>
      </w:r>
      <w:r>
        <w:rPr>
          <w:rFonts w:hint="eastAsia" w:asciiTheme="minorEastAsia" w:hAnsiTheme="minorEastAsia" w:eastAsiaTheme="minorEastAsia" w:cstheme="minorEastAsia"/>
          <w:color w:val="auto"/>
          <w:sz w:val="21"/>
          <w:szCs w:val="21"/>
          <w:lang w:val="en-US" w:eastAsia="zh-CN"/>
        </w:rPr>
        <w:t xml:space="preserve">未提供不得分</w:t>
      </w:r>
      <w:r>
        <w:rPr>
          <w:rFonts w:hint="eastAsia" w:asciiTheme="minorEastAsia" w:hAnsiTheme="minorEastAsia" w:eastAsiaTheme="minorEastAsia" w:cstheme="minorEastAsia"/>
          <w:color w:val="auto"/>
          <w:sz w:val="21"/>
          <w:szCs w:val="21"/>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lang w:eastAsia="zh-CN"/>
        </w:rPr>
        <w:t xml:space="preserve">）安全生产和文明施工措施</w:t>
      </w:r>
      <w:r>
        <w:rPr>
          <w:rFonts w:hint="eastAsia" w:asciiTheme="minorEastAsia" w:hAnsiTheme="minorEastAsia" w:eastAsiaTheme="minorEastAsia" w:cstheme="minorEastAsia"/>
          <w:color w:val="auto"/>
          <w:sz w:val="21"/>
          <w:szCs w:val="21"/>
          <w:lang w:val="en-US" w:eastAsia="zh-CN"/>
        </w:rPr>
        <w:t xml:space="preserve">（6分）</w:t>
      </w:r>
      <w:r/>
    </w:p>
    <w:p>
      <w:pPr>
        <w:ind w:firstLine="420"/>
        <w:spacing w:line="360" w:lineRule="auto"/>
        <w:tabs>
          <w:tab w:val="left" w:pos="2870" w:leader="none"/>
        </w:tabs>
        <w:rPr>
          <w:rStyle w:val="1178"/>
          <w:rFonts w:hint="eastAsia" w:ascii="宋体" w:hAnsi="宋体" w:eastAsia="宋体" w:cs="宋体"/>
          <w:color w:val="auto"/>
          <w:sz w:val="21"/>
          <w:szCs w:val="21"/>
          <w:lang w:val="en-US" w:eastAsia="zh-CN"/>
        </w:rPr>
      </w:pPr>
      <w:r>
        <w:rPr>
          <w:rFonts w:hint="eastAsia" w:asciiTheme="minorEastAsia" w:hAnsiTheme="minorEastAsia" w:eastAsiaTheme="minorEastAsia" w:cstheme="minorEastAsia"/>
          <w:color w:val="auto"/>
          <w:sz w:val="21"/>
          <w:szCs w:val="21"/>
          <w:lang w:eastAsia="zh-CN"/>
        </w:rPr>
        <w:t xml:space="preserve">安全生产和文明施工措施</w:t>
      </w:r>
      <w:r>
        <w:rPr>
          <w:rFonts w:hint="eastAsia" w:ascii="宋体" w:hAnsi="宋体" w:eastAsia="宋体" w:cs="宋体"/>
          <w:color w:val="auto"/>
          <w:szCs w:val="21"/>
          <w:highlight w:val="none"/>
          <w:lang w:val="en-US" w:eastAsia="zh-CN"/>
        </w:rPr>
        <w:t xml:space="preserve">阐述详实、明确、具体、可实施性强的得6分；</w:t>
      </w:r>
      <w:r>
        <w:rPr>
          <w:rFonts w:hint="eastAsia" w:asciiTheme="minorEastAsia" w:hAnsiTheme="minorEastAsia" w:eastAsiaTheme="minorEastAsia" w:cstheme="minorEastAsia"/>
          <w:color w:val="auto"/>
          <w:sz w:val="21"/>
          <w:szCs w:val="21"/>
          <w:lang w:eastAsia="zh-CN"/>
        </w:rPr>
        <w:t xml:space="preserve">安全生产和文明施工措施</w:t>
      </w:r>
      <w:r>
        <w:rPr>
          <w:rFonts w:hint="eastAsia" w:ascii="宋体" w:hAnsi="宋体" w:eastAsia="宋体" w:cs="宋体"/>
          <w:color w:val="auto"/>
          <w:szCs w:val="21"/>
          <w:highlight w:val="none"/>
          <w:lang w:val="en-US" w:eastAsia="zh-CN"/>
        </w:rPr>
        <w:t xml:space="preserve">阐述较为详细具有可实施性的得3分；</w:t>
      </w:r>
      <w:r>
        <w:rPr>
          <w:rFonts w:hint="eastAsia" w:asciiTheme="minorEastAsia" w:hAnsiTheme="minorEastAsia" w:eastAsiaTheme="minorEastAsia" w:cstheme="minorEastAsia"/>
          <w:color w:val="auto"/>
          <w:sz w:val="21"/>
          <w:szCs w:val="21"/>
          <w:lang w:eastAsia="zh-CN"/>
        </w:rPr>
        <w:t xml:space="preserve">安全生产和文明施工措施</w:t>
      </w:r>
      <w:r>
        <w:rPr>
          <w:rFonts w:hint="eastAsia" w:ascii="宋体" w:hAnsi="宋体" w:eastAsia="宋体" w:cs="宋体"/>
          <w:color w:val="auto"/>
          <w:szCs w:val="21"/>
          <w:highlight w:val="none"/>
          <w:lang w:val="en-US" w:eastAsia="zh-CN"/>
        </w:rPr>
        <w:t xml:space="preserve">阐述、可实施性差得1分；未提供的不得分</w:t>
      </w:r>
      <w:r>
        <w:rPr>
          <w:rStyle w:val="1178"/>
          <w:rFonts w:hint="eastAsia" w:ascii="宋体" w:hAnsi="宋体" w:eastAsia="宋体" w:cs="宋体"/>
          <w:color w:val="auto"/>
          <w:sz w:val="21"/>
          <w:szCs w:val="21"/>
          <w:lang w:val="en-US"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lang w:eastAsia="zh-CN"/>
        </w:rPr>
        <w:t xml:space="preserve">）投资控制措施</w:t>
      </w:r>
      <w:r>
        <w:rPr>
          <w:rFonts w:hint="eastAsia" w:asciiTheme="minorEastAsia" w:hAnsiTheme="minorEastAsia" w:eastAsiaTheme="minorEastAsia" w:cstheme="minorEastAsia"/>
          <w:color w:val="auto"/>
          <w:sz w:val="21"/>
          <w:szCs w:val="21"/>
          <w:lang w:val="en-US" w:eastAsia="zh-CN"/>
        </w:rPr>
        <w:t xml:space="preserve">（6分）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项目投资控制措施有针对性，方案和措施科学、完整、可行性强得6分；项目投资控制措施较科学、较完整、较可行的得3分；项目投资控制措施科学性、完整性、可行性一般得1分；</w:t>
      </w:r>
      <w:r>
        <w:rPr>
          <w:rFonts w:hint="eastAsia" w:asciiTheme="minorEastAsia" w:hAnsiTheme="minorEastAsia" w:eastAsiaTheme="minorEastAsia" w:cstheme="minorEastAsia"/>
          <w:color w:val="auto"/>
          <w:sz w:val="21"/>
          <w:szCs w:val="21"/>
          <w:lang w:val="en-US" w:eastAsia="zh-CN"/>
        </w:rPr>
        <w:t xml:space="preserve">未提供不得分</w:t>
      </w:r>
      <w:r>
        <w:rPr>
          <w:rFonts w:hint="eastAsia" w:asciiTheme="minorEastAsia" w:hAnsiTheme="minorEastAsia" w:eastAsiaTheme="minorEastAsia" w:cstheme="minorEastAsia"/>
          <w:color w:val="auto"/>
          <w:sz w:val="21"/>
          <w:szCs w:val="21"/>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5</w:t>
      </w:r>
      <w:r>
        <w:rPr>
          <w:rFonts w:hint="eastAsia" w:asciiTheme="minorEastAsia" w:hAnsiTheme="minorEastAsia" w:eastAsiaTheme="minorEastAsia" w:cstheme="minorEastAsia"/>
          <w:color w:val="auto"/>
          <w:sz w:val="21"/>
          <w:szCs w:val="21"/>
          <w:lang w:eastAsia="zh-CN"/>
        </w:rPr>
        <w:t xml:space="preserve">）平台信息管理</w:t>
      </w:r>
      <w:r>
        <w:rPr>
          <w:rFonts w:hint="eastAsia" w:asciiTheme="minorEastAsia" w:hAnsiTheme="minorEastAsia" w:eastAsiaTheme="minorEastAsia" w:cstheme="minorEastAsia"/>
          <w:color w:val="auto"/>
          <w:sz w:val="21"/>
          <w:szCs w:val="21"/>
          <w:lang w:val="en-US" w:eastAsia="zh-CN"/>
        </w:rPr>
        <w:t xml:space="preserve">措施（6分）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平台信息管理</w:t>
      </w:r>
      <w:r>
        <w:rPr>
          <w:rFonts w:hint="eastAsia" w:asciiTheme="minorEastAsia" w:hAnsiTheme="minorEastAsia" w:eastAsiaTheme="minorEastAsia" w:cstheme="minorEastAsia"/>
          <w:color w:val="auto"/>
          <w:sz w:val="21"/>
          <w:szCs w:val="21"/>
          <w:lang w:val="en-US" w:eastAsia="zh-CN"/>
        </w:rPr>
        <w:t xml:space="preserve">措施</w:t>
      </w:r>
      <w:r>
        <w:rPr>
          <w:rFonts w:hint="eastAsia" w:asciiTheme="minorEastAsia" w:hAnsiTheme="minorEastAsia" w:eastAsiaTheme="minorEastAsia" w:cstheme="minorEastAsia"/>
          <w:color w:val="auto"/>
          <w:sz w:val="21"/>
          <w:szCs w:val="21"/>
          <w:lang w:eastAsia="zh-CN"/>
        </w:rPr>
        <w:t xml:space="preserve">全面完善、细节清晰、可操作性强的得6分；平台信息管理</w:t>
      </w:r>
      <w:r>
        <w:rPr>
          <w:rFonts w:hint="eastAsia" w:asciiTheme="minorEastAsia" w:hAnsiTheme="minorEastAsia" w:eastAsiaTheme="minorEastAsia" w:cstheme="minorEastAsia"/>
          <w:color w:val="auto"/>
          <w:sz w:val="21"/>
          <w:szCs w:val="21"/>
          <w:lang w:val="en-US" w:eastAsia="zh-CN"/>
        </w:rPr>
        <w:t xml:space="preserve">措施</w:t>
      </w:r>
      <w:r>
        <w:rPr>
          <w:rFonts w:hint="eastAsia" w:asciiTheme="minorEastAsia" w:hAnsiTheme="minorEastAsia" w:eastAsiaTheme="minorEastAsia" w:cstheme="minorEastAsia"/>
          <w:color w:val="auto"/>
          <w:sz w:val="21"/>
          <w:szCs w:val="21"/>
          <w:lang w:eastAsia="zh-CN"/>
        </w:rPr>
        <w:t xml:space="preserve">较全面完善、细节比较清晰、可操作性较强的得</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lang w:eastAsia="zh-CN"/>
        </w:rPr>
        <w:t xml:space="preserve">分；平台信息管理</w:t>
      </w:r>
      <w:r>
        <w:rPr>
          <w:rFonts w:hint="eastAsia" w:asciiTheme="minorEastAsia" w:hAnsiTheme="minorEastAsia" w:eastAsiaTheme="minorEastAsia" w:cstheme="minorEastAsia"/>
          <w:color w:val="auto"/>
          <w:sz w:val="21"/>
          <w:szCs w:val="21"/>
          <w:lang w:val="en-US" w:eastAsia="zh-CN"/>
        </w:rPr>
        <w:t xml:space="preserve">措施</w:t>
      </w:r>
      <w:r>
        <w:rPr>
          <w:rFonts w:hint="eastAsia" w:asciiTheme="minorEastAsia" w:hAnsiTheme="minorEastAsia" w:eastAsiaTheme="minorEastAsia" w:cstheme="minorEastAsia"/>
          <w:color w:val="auto"/>
          <w:sz w:val="21"/>
          <w:szCs w:val="21"/>
          <w:lang w:eastAsia="zh-CN"/>
        </w:rPr>
        <w:t xml:space="preserve">一般、细节描述不清楚、可操作性差的得</w:t>
      </w: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lang w:eastAsia="zh-CN"/>
        </w:rPr>
        <w:t xml:space="preserve">分；</w:t>
      </w:r>
      <w:r>
        <w:rPr>
          <w:rFonts w:hint="eastAsia" w:asciiTheme="minorEastAsia" w:hAnsiTheme="minorEastAsia" w:eastAsiaTheme="minorEastAsia" w:cstheme="minorEastAsia"/>
          <w:color w:val="auto"/>
          <w:sz w:val="21"/>
          <w:szCs w:val="21"/>
          <w:lang w:val="en-US" w:eastAsia="zh-CN"/>
        </w:rPr>
        <w:t xml:space="preserve">未提供不得分</w:t>
      </w:r>
      <w:r>
        <w:rPr>
          <w:rFonts w:hint="eastAsia" w:asciiTheme="minorEastAsia" w:hAnsiTheme="minorEastAsia" w:eastAsiaTheme="minorEastAsia" w:cstheme="minorEastAsia"/>
          <w:color w:val="auto"/>
          <w:sz w:val="21"/>
          <w:szCs w:val="21"/>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台账管理措施（6分）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 xml:space="preserve">台账管理措施</w:t>
      </w:r>
      <w:r>
        <w:rPr>
          <w:rFonts w:hint="eastAsia" w:asciiTheme="minorEastAsia" w:hAnsiTheme="minorEastAsia" w:eastAsiaTheme="minorEastAsia" w:cstheme="minorEastAsia"/>
          <w:color w:val="auto"/>
          <w:sz w:val="21"/>
          <w:szCs w:val="21"/>
          <w:lang w:eastAsia="zh-CN"/>
        </w:rPr>
        <w:t xml:space="preserve">阐述详尽，表达精准的得6分；</w:t>
      </w:r>
      <w:r>
        <w:rPr>
          <w:rFonts w:hint="eastAsia" w:asciiTheme="minorEastAsia" w:hAnsiTheme="minorEastAsia" w:eastAsiaTheme="minorEastAsia" w:cstheme="minorEastAsia"/>
          <w:color w:val="auto"/>
          <w:sz w:val="21"/>
          <w:szCs w:val="21"/>
          <w:lang w:val="en-US" w:eastAsia="zh-CN"/>
        </w:rPr>
        <w:t xml:space="preserve">台账管理措施</w:t>
      </w:r>
      <w:r>
        <w:rPr>
          <w:rFonts w:hint="eastAsia" w:asciiTheme="minorEastAsia" w:hAnsiTheme="minorEastAsia" w:eastAsiaTheme="minorEastAsia" w:cstheme="minorEastAsia"/>
          <w:color w:val="auto"/>
          <w:sz w:val="21"/>
          <w:szCs w:val="21"/>
          <w:lang w:eastAsia="zh-CN"/>
        </w:rPr>
        <w:t xml:space="preserve">分析合理，表达准确，略有缺失的得</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lang w:eastAsia="zh-CN"/>
        </w:rPr>
        <w:t xml:space="preserve">分；</w:t>
      </w:r>
      <w:r>
        <w:rPr>
          <w:rFonts w:hint="eastAsia" w:asciiTheme="minorEastAsia" w:hAnsiTheme="minorEastAsia" w:eastAsiaTheme="minorEastAsia" w:cstheme="minorEastAsia"/>
          <w:color w:val="auto"/>
          <w:sz w:val="21"/>
          <w:szCs w:val="21"/>
          <w:lang w:val="en-US" w:eastAsia="zh-CN"/>
        </w:rPr>
        <w:t xml:space="preserve">台账管理措施</w:t>
      </w:r>
      <w:r>
        <w:rPr>
          <w:rFonts w:hint="eastAsia" w:asciiTheme="minorEastAsia" w:hAnsiTheme="minorEastAsia" w:eastAsiaTheme="minorEastAsia" w:cstheme="minorEastAsia"/>
          <w:color w:val="auto"/>
          <w:sz w:val="21"/>
          <w:szCs w:val="21"/>
          <w:lang w:eastAsia="zh-CN"/>
        </w:rPr>
        <w:t xml:space="preserve">分析略有涉及的得</w:t>
      </w: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lang w:eastAsia="zh-CN"/>
        </w:rPr>
        <w:t xml:space="preserve">分。</w:t>
      </w:r>
      <w:r>
        <w:rPr>
          <w:rFonts w:hint="eastAsia" w:asciiTheme="minorEastAsia" w:hAnsiTheme="minorEastAsia" w:eastAsiaTheme="minorEastAsia" w:cstheme="minorEastAsia"/>
          <w:color w:val="auto"/>
          <w:sz w:val="21"/>
          <w:szCs w:val="21"/>
          <w:lang w:val="en-US" w:eastAsia="zh-CN"/>
        </w:rPr>
        <w:t xml:space="preserve">未提供不得分</w:t>
      </w:r>
      <w:r>
        <w:rPr>
          <w:rFonts w:hint="eastAsia" w:asciiTheme="minorEastAsia" w:hAnsiTheme="minorEastAsia" w:eastAsiaTheme="minorEastAsia" w:cstheme="minorEastAsia"/>
          <w:color w:val="auto"/>
          <w:sz w:val="21"/>
          <w:szCs w:val="21"/>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7</w:t>
      </w:r>
      <w:r>
        <w:rPr>
          <w:rFonts w:hint="eastAsia" w:asciiTheme="minorEastAsia" w:hAnsiTheme="minorEastAsia" w:eastAsiaTheme="minorEastAsia" w:cstheme="minorEastAsia"/>
          <w:color w:val="auto"/>
          <w:sz w:val="21"/>
          <w:szCs w:val="21"/>
          <w:lang w:eastAsia="zh-CN"/>
        </w:rPr>
        <w:t xml:space="preserve">）应急预案</w:t>
      </w:r>
      <w:r>
        <w:rPr>
          <w:rFonts w:hint="eastAsia" w:asciiTheme="minorEastAsia" w:hAnsiTheme="minorEastAsia" w:eastAsiaTheme="minorEastAsia" w:cstheme="minorEastAsia"/>
          <w:color w:val="auto"/>
          <w:sz w:val="21"/>
          <w:szCs w:val="21"/>
          <w:lang w:val="en-US" w:eastAsia="zh-CN"/>
        </w:rPr>
        <w:t xml:space="preserve">（6分）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应急预案方案完善、可行性强的得</w:t>
      </w: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lang w:eastAsia="zh-CN"/>
        </w:rPr>
        <w:t xml:space="preserve">分；应急预案方案一般、可行性一般的得</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lang w:eastAsia="zh-CN"/>
        </w:rPr>
        <w:t xml:space="preserve">分；应急预案方案</w:t>
      </w:r>
      <w:r>
        <w:rPr>
          <w:rFonts w:hint="eastAsia" w:asciiTheme="minorEastAsia" w:hAnsiTheme="minorEastAsia" w:eastAsiaTheme="minorEastAsia" w:cstheme="minorEastAsia"/>
          <w:color w:val="auto"/>
          <w:sz w:val="21"/>
          <w:szCs w:val="21"/>
          <w:lang w:val="en-US" w:eastAsia="zh-CN"/>
        </w:rPr>
        <w:t xml:space="preserve">较差</w:t>
      </w:r>
      <w:r>
        <w:rPr>
          <w:rFonts w:hint="eastAsia" w:asciiTheme="minorEastAsia" w:hAnsiTheme="minorEastAsia" w:eastAsiaTheme="minorEastAsia" w:cstheme="minorEastAsia"/>
          <w:color w:val="auto"/>
          <w:sz w:val="21"/>
          <w:szCs w:val="21"/>
          <w:lang w:eastAsia="zh-CN"/>
        </w:rPr>
        <w:t xml:space="preserve">、可行性</w:t>
      </w:r>
      <w:r>
        <w:rPr>
          <w:rFonts w:hint="eastAsia" w:asciiTheme="minorEastAsia" w:hAnsiTheme="minorEastAsia" w:eastAsiaTheme="minorEastAsia" w:cstheme="minorEastAsia"/>
          <w:color w:val="auto"/>
          <w:sz w:val="21"/>
          <w:szCs w:val="21"/>
          <w:lang w:val="en-US" w:eastAsia="zh-CN"/>
        </w:rPr>
        <w:t xml:space="preserve">较差</w:t>
      </w:r>
      <w:r>
        <w:rPr>
          <w:rFonts w:hint="eastAsia" w:asciiTheme="minorEastAsia" w:hAnsiTheme="minorEastAsia" w:eastAsiaTheme="minorEastAsia" w:cstheme="minorEastAsia"/>
          <w:color w:val="auto"/>
          <w:sz w:val="21"/>
          <w:szCs w:val="21"/>
          <w:lang w:eastAsia="zh-CN"/>
        </w:rPr>
        <w:t xml:space="preserve">的得</w:t>
      </w: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lang w:eastAsia="zh-CN"/>
        </w:rPr>
        <w:t xml:space="preserve">分；</w:t>
      </w:r>
      <w:r>
        <w:rPr>
          <w:rFonts w:hint="eastAsia" w:asciiTheme="minorEastAsia" w:hAnsiTheme="minorEastAsia" w:eastAsiaTheme="minorEastAsia" w:cstheme="minorEastAsia"/>
          <w:color w:val="auto"/>
          <w:sz w:val="21"/>
          <w:szCs w:val="21"/>
          <w:lang w:val="en-US" w:eastAsia="zh-CN"/>
        </w:rPr>
        <w:t xml:space="preserve">未提供不得分</w:t>
      </w:r>
      <w:r>
        <w:rPr>
          <w:rFonts w:hint="eastAsia" w:asciiTheme="minorEastAsia" w:hAnsiTheme="minorEastAsia" w:eastAsiaTheme="minorEastAsia" w:cstheme="minorEastAsia"/>
          <w:color w:val="auto"/>
          <w:sz w:val="21"/>
          <w:szCs w:val="21"/>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2</w:t>
      </w:r>
      <w:r>
        <w:rPr>
          <w:rFonts w:hint="eastAsia" w:asciiTheme="minorEastAsia" w:hAnsiTheme="minorEastAsia" w:eastAsiaTheme="minorEastAsia" w:cstheme="minorEastAsia"/>
          <w:color w:val="auto"/>
          <w:sz w:val="21"/>
          <w:szCs w:val="21"/>
          <w:lang w:val="en-US" w:eastAsia="zh-CN"/>
        </w:rPr>
        <w:t xml:space="preserve">.</w:t>
      </w:r>
      <w:r>
        <w:rPr>
          <w:rFonts w:hint="eastAsia" w:asciiTheme="minorEastAsia" w:hAnsiTheme="minorEastAsia" w:eastAsiaTheme="minorEastAsia" w:cstheme="minorEastAsia"/>
          <w:color w:val="auto"/>
          <w:sz w:val="21"/>
          <w:szCs w:val="21"/>
          <w:lang w:eastAsia="zh-CN"/>
        </w:rPr>
        <w:t xml:space="preserve">项目进度控制方案及措施（</w:t>
      </w:r>
      <w:r>
        <w:rPr>
          <w:rFonts w:hint="eastAsia" w:asciiTheme="minorEastAsia" w:hAnsiTheme="minorEastAsia" w:eastAsiaTheme="minorEastAsia" w:cstheme="minorEastAsia"/>
          <w:color w:val="auto"/>
          <w:sz w:val="21"/>
          <w:szCs w:val="21"/>
          <w:lang w:val="en-US" w:eastAsia="zh-CN"/>
        </w:rPr>
        <w:t xml:space="preserve">7</w:t>
      </w:r>
      <w:r>
        <w:rPr>
          <w:rFonts w:hint="eastAsia" w:asciiTheme="minorEastAsia" w:hAnsiTheme="minorEastAsia" w:eastAsiaTheme="minorEastAsia" w:cstheme="minorEastAsia"/>
          <w:color w:val="auto"/>
          <w:sz w:val="21"/>
          <w:szCs w:val="21"/>
          <w:lang w:eastAsia="zh-CN"/>
        </w:rPr>
        <w:t xml:space="preserve">分）</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项目进度控制方案及措施科学、完整、可行性强得</w:t>
      </w:r>
      <w:r>
        <w:rPr>
          <w:rFonts w:hint="eastAsia" w:asciiTheme="minorEastAsia" w:hAnsiTheme="minorEastAsia" w:eastAsiaTheme="minorEastAsia" w:cstheme="minorEastAsia"/>
          <w:color w:val="auto"/>
          <w:sz w:val="21"/>
          <w:szCs w:val="21"/>
          <w:lang w:val="en-US" w:eastAsia="zh-CN"/>
        </w:rPr>
        <w:t xml:space="preserve">7</w:t>
      </w:r>
      <w:r>
        <w:rPr>
          <w:rFonts w:hint="eastAsia" w:asciiTheme="minorEastAsia" w:hAnsiTheme="minorEastAsia" w:eastAsiaTheme="minorEastAsia" w:cstheme="minorEastAsia"/>
          <w:color w:val="auto"/>
          <w:sz w:val="21"/>
          <w:szCs w:val="21"/>
        </w:rPr>
        <w:t xml:space="preserve">分；方案和措施较科学、较完整、较可行的得</w:t>
      </w: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分；方案和措施科学性、完整性、可行性一般得</w:t>
      </w: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分；</w:t>
      </w:r>
      <w:r>
        <w:rPr>
          <w:rFonts w:hint="eastAsia" w:asciiTheme="minorEastAsia" w:hAnsiTheme="minorEastAsia" w:eastAsiaTheme="minorEastAsia" w:cstheme="minorEastAsia"/>
          <w:color w:val="auto"/>
          <w:sz w:val="21"/>
          <w:szCs w:val="21"/>
          <w:lang w:val="en-US" w:eastAsia="zh-CN"/>
        </w:rPr>
        <w:t xml:space="preserve">未提供不得分</w:t>
      </w:r>
      <w:r>
        <w:rPr>
          <w:rFonts w:hint="eastAsia" w:asciiTheme="minorEastAsia" w:hAnsiTheme="minorEastAsia" w:eastAsiaTheme="minorEastAsia" w:cstheme="minorEastAsia"/>
          <w:color w:val="auto"/>
          <w:sz w:val="21"/>
          <w:szCs w:val="21"/>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监理组织协调</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7</w:t>
      </w:r>
      <w:r>
        <w:rPr>
          <w:rFonts w:hint="eastAsia" w:asciiTheme="minorEastAsia" w:hAnsiTheme="minorEastAsia" w:eastAsiaTheme="minorEastAsia" w:cstheme="minorEastAsia"/>
          <w:color w:val="auto"/>
          <w:sz w:val="21"/>
          <w:szCs w:val="21"/>
          <w:lang w:eastAsia="zh-CN"/>
        </w:rPr>
        <w:t xml:space="preserve">分）</w:t>
      </w:r>
      <w:r/>
    </w:p>
    <w:p>
      <w:pPr>
        <w:pStyle w:val="1177"/>
        <w:ind w:left="0" w:firstLine="420"/>
        <w:spacing w:line="360" w:lineRule="auto"/>
        <w:rPr>
          <w:rStyle w:val="1178"/>
          <w:rFonts w:hint="eastAsia" w:ascii="宋体" w:hAnsi="宋体" w:eastAsia="宋体" w:cs="宋体"/>
          <w:color w:val="auto"/>
          <w:sz w:val="21"/>
          <w:szCs w:val="21"/>
          <w:lang w:val="en-US" w:eastAsia="zh-CN"/>
        </w:rPr>
      </w:pPr>
      <w:r>
        <w:rPr>
          <w:rStyle w:val="1178"/>
          <w:rFonts w:hint="eastAsia" w:ascii="宋体" w:hAnsi="宋体" w:eastAsia="宋体" w:cs="宋体"/>
          <w:color w:val="auto"/>
          <w:sz w:val="21"/>
          <w:szCs w:val="21"/>
          <w:lang w:val="en-US" w:eastAsia="zh-CN"/>
        </w:rPr>
        <w:t xml:space="preserve">组织协调措施全面完整、科学合理、针对性强、可行性高的得</w:t>
      </w:r>
      <w:r>
        <w:rPr>
          <w:rStyle w:val="1178"/>
          <w:rFonts w:hint="eastAsia" w:eastAsia="宋体" w:cs="宋体"/>
          <w:color w:val="auto"/>
          <w:sz w:val="21"/>
          <w:szCs w:val="21"/>
          <w:lang w:val="en-US" w:eastAsia="zh-CN"/>
        </w:rPr>
        <w:t xml:space="preserve">7</w:t>
      </w:r>
      <w:r>
        <w:rPr>
          <w:rStyle w:val="1178"/>
          <w:rFonts w:hint="eastAsia" w:ascii="宋体" w:hAnsi="宋体" w:eastAsia="宋体" w:cs="宋体"/>
          <w:color w:val="auto"/>
          <w:sz w:val="21"/>
          <w:szCs w:val="21"/>
          <w:lang w:val="en-US" w:eastAsia="zh-CN"/>
        </w:rPr>
        <w:t xml:space="preserve">分；组织协调措施较全面完整、较科学合理、针对性较强、可行性较高的得</w:t>
      </w:r>
      <w:r>
        <w:rPr>
          <w:rStyle w:val="1178"/>
          <w:rFonts w:hint="eastAsia" w:cs="宋体"/>
          <w:color w:val="auto"/>
          <w:sz w:val="21"/>
          <w:szCs w:val="21"/>
          <w:lang w:val="en-US" w:eastAsia="zh-CN"/>
        </w:rPr>
        <w:t xml:space="preserve">4</w:t>
      </w:r>
      <w:r>
        <w:rPr>
          <w:rStyle w:val="1178"/>
          <w:rFonts w:hint="eastAsia" w:ascii="宋体" w:hAnsi="宋体" w:eastAsia="宋体" w:cs="宋体"/>
          <w:color w:val="auto"/>
          <w:sz w:val="21"/>
          <w:szCs w:val="21"/>
          <w:lang w:val="en-US" w:eastAsia="zh-CN"/>
        </w:rPr>
        <w:t xml:space="preserve">分；组织协调措施欠缺、针对性一般、可行性一般的得</w:t>
      </w:r>
      <w:r>
        <w:rPr>
          <w:rStyle w:val="1178"/>
          <w:rFonts w:hint="eastAsia" w:cs="宋体"/>
          <w:color w:val="auto"/>
          <w:sz w:val="21"/>
          <w:szCs w:val="21"/>
          <w:lang w:val="en-US" w:eastAsia="zh-CN"/>
        </w:rPr>
        <w:t xml:space="preserve">1</w:t>
      </w:r>
      <w:r>
        <w:rPr>
          <w:rStyle w:val="1178"/>
          <w:rFonts w:hint="eastAsia" w:ascii="宋体" w:hAnsi="宋体" w:eastAsia="宋体" w:cs="宋体"/>
          <w:color w:val="auto"/>
          <w:sz w:val="21"/>
          <w:szCs w:val="21"/>
          <w:lang w:val="en-US" w:eastAsia="zh-CN"/>
        </w:rPr>
        <w:t xml:space="preserve">分；未提供不得分。</w:t>
      </w:r>
      <w:r/>
    </w:p>
    <w:p>
      <w:pPr>
        <w:pStyle w:val="1177"/>
        <w:ind w:left="0" w:firstLine="420"/>
        <w:spacing w:line="360" w:lineRule="auto"/>
        <w:rPr>
          <w:rStyle w:val="1178"/>
          <w:rFonts w:hint="eastAsia" w:ascii="宋体" w:hAnsi="宋体" w:eastAsia="宋体" w:cs="宋体"/>
          <w:color w:val="auto"/>
          <w:sz w:val="21"/>
          <w:szCs w:val="21"/>
          <w:lang w:val="en-US" w:eastAsia="zh-CN"/>
        </w:rPr>
      </w:pPr>
      <w:r>
        <w:rPr>
          <w:rStyle w:val="1178"/>
          <w:rFonts w:hint="eastAsia" w:eastAsia="宋体" w:cs="宋体"/>
          <w:color w:val="auto"/>
          <w:sz w:val="21"/>
          <w:szCs w:val="21"/>
          <w:lang w:val="en-US" w:eastAsia="zh-CN"/>
        </w:rPr>
        <w:t xml:space="preserve">4.针对本项目的</w:t>
      </w:r>
      <w:r>
        <w:rPr>
          <w:rStyle w:val="1178"/>
          <w:rFonts w:hint="eastAsia" w:ascii="宋体" w:hAnsi="宋体" w:eastAsia="宋体" w:cs="宋体"/>
          <w:color w:val="auto"/>
          <w:sz w:val="21"/>
          <w:szCs w:val="21"/>
          <w:lang w:val="en-US" w:eastAsia="zh-CN"/>
        </w:rPr>
        <w:t xml:space="preserve">重点、技术难点分析、处理方法、监理对策（7分）</w:t>
      </w:r>
      <w:r/>
    </w:p>
    <w:p>
      <w:pPr>
        <w:pStyle w:val="1177"/>
        <w:ind w:left="0" w:firstLine="420"/>
        <w:spacing w:line="360" w:lineRule="auto"/>
        <w:rPr>
          <w:rStyle w:val="1178"/>
          <w:rFonts w:hint="eastAsia" w:ascii="宋体" w:hAnsi="宋体" w:eastAsia="宋体" w:cs="宋体"/>
          <w:color w:val="auto"/>
          <w:sz w:val="21"/>
          <w:szCs w:val="21"/>
          <w:lang w:val="en-US" w:eastAsia="zh-CN"/>
        </w:rPr>
      </w:pPr>
      <w:r>
        <w:rPr>
          <w:rStyle w:val="1178"/>
          <w:rFonts w:hint="eastAsia" w:eastAsia="宋体" w:cs="宋体"/>
          <w:color w:val="auto"/>
          <w:sz w:val="21"/>
          <w:szCs w:val="21"/>
          <w:lang w:val="en-US" w:eastAsia="zh-CN"/>
        </w:rPr>
        <w:t xml:space="preserve">针对本项目的</w:t>
      </w:r>
      <w:r>
        <w:rPr>
          <w:rStyle w:val="1178"/>
          <w:rFonts w:hint="eastAsia" w:ascii="宋体" w:hAnsi="宋体" w:eastAsia="宋体" w:cs="宋体"/>
          <w:color w:val="auto"/>
          <w:sz w:val="21"/>
          <w:szCs w:val="21"/>
          <w:lang w:val="en-US" w:eastAsia="zh-CN"/>
        </w:rPr>
        <w:t xml:space="preserve">重点、难点分析透彻，处理方法科学合理，监理对策针对性强、可行性高的得7分；</w:t>
      </w:r>
      <w:r>
        <w:rPr>
          <w:rStyle w:val="1178"/>
          <w:rFonts w:hint="eastAsia" w:eastAsia="宋体" w:cs="宋体"/>
          <w:color w:val="auto"/>
          <w:sz w:val="21"/>
          <w:szCs w:val="21"/>
          <w:lang w:val="en-US" w:eastAsia="zh-CN"/>
        </w:rPr>
        <w:t xml:space="preserve">针对本项目</w:t>
      </w:r>
      <w:r>
        <w:rPr>
          <w:rStyle w:val="1178"/>
          <w:rFonts w:hint="eastAsia" w:ascii="宋体" w:hAnsi="宋体" w:eastAsia="宋体" w:cs="宋体"/>
          <w:color w:val="auto"/>
          <w:sz w:val="21"/>
          <w:szCs w:val="21"/>
          <w:lang w:val="en-US" w:eastAsia="zh-CN"/>
        </w:rPr>
        <w:t xml:space="preserve">的重点、难点分析较透彻，处理方法较科学合理，监理对策针对性较强、可行性较高的得4分；</w:t>
      </w:r>
      <w:r>
        <w:rPr>
          <w:rStyle w:val="1178"/>
          <w:rFonts w:hint="eastAsia" w:eastAsia="宋体" w:cs="宋体"/>
          <w:color w:val="auto"/>
          <w:sz w:val="21"/>
          <w:szCs w:val="21"/>
          <w:lang w:val="en-US" w:eastAsia="zh-CN"/>
        </w:rPr>
        <w:t xml:space="preserve">针对本项目的</w:t>
      </w:r>
      <w:r>
        <w:rPr>
          <w:rStyle w:val="1178"/>
          <w:rFonts w:hint="eastAsia" w:ascii="宋体" w:hAnsi="宋体" w:eastAsia="宋体" w:cs="宋体"/>
          <w:color w:val="auto"/>
          <w:sz w:val="21"/>
          <w:szCs w:val="21"/>
          <w:lang w:val="en-US" w:eastAsia="zh-CN"/>
        </w:rPr>
        <w:t xml:space="preserve">重点、难点分析不够透彻，处理方法不够科学合理，监理对策针对性一般、可行性一般的得1分；未提供不得分。</w:t>
      </w:r>
      <w:r/>
    </w:p>
    <w:p>
      <w:pPr>
        <w:ind w:firstLine="422"/>
        <w:jc w:val="both"/>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lang w:val="en-US" w:eastAsia="zh-CN"/>
        </w:rPr>
        <w:t xml:space="preserve">三</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人员配备（</w:t>
      </w:r>
      <w:r>
        <w:rPr>
          <w:rFonts w:hint="eastAsia" w:asciiTheme="minorEastAsia" w:hAnsiTheme="minorEastAsia" w:eastAsiaTheme="minorEastAsia" w:cstheme="minorEastAsia"/>
          <w:b/>
          <w:color w:val="auto"/>
          <w:sz w:val="21"/>
          <w:szCs w:val="21"/>
          <w:highlight w:val="none"/>
          <w:lang w:val="en-US" w:eastAsia="zh-CN"/>
        </w:rPr>
        <w:t xml:space="preserve">15</w:t>
      </w:r>
      <w:r>
        <w:rPr>
          <w:rFonts w:hint="eastAsia" w:asciiTheme="minorEastAsia" w:hAnsiTheme="minorEastAsia" w:eastAsiaTheme="minorEastAsia" w:cstheme="minorEastAsia"/>
          <w:b/>
          <w:color w:val="auto"/>
          <w:sz w:val="21"/>
          <w:szCs w:val="21"/>
          <w:highlight w:val="none"/>
        </w:rPr>
        <w:t xml:space="preserve">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1.总监理工程师（6分）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（1）总监理工程师具有高级工程师职称的得2分，具有工程师职称的得1分。（</w:t>
      </w:r>
      <w:r>
        <w:rPr>
          <w:rFonts w:hint="eastAsia" w:asciiTheme="minorEastAsia" w:hAnsiTheme="minorEastAsia" w:eastAsiaTheme="minorEastAsia" w:cstheme="minorEastAsia"/>
          <w:color w:val="auto"/>
          <w:sz w:val="21"/>
          <w:szCs w:val="21"/>
        </w:rPr>
        <w:t xml:space="preserve">响应文件</w:t>
      </w:r>
      <w:r>
        <w:rPr>
          <w:rFonts w:hint="eastAsia" w:asciiTheme="minorEastAsia" w:hAnsiTheme="minorEastAsia" w:eastAsiaTheme="minorEastAsia" w:cstheme="minorEastAsia"/>
          <w:color w:val="auto"/>
          <w:sz w:val="21"/>
          <w:szCs w:val="21"/>
          <w:lang w:val="en-US" w:eastAsia="zh-CN"/>
        </w:rPr>
        <w:t xml:space="preserve">中须提供职称证书扫描件，未提供的不得分。）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（2）总监理工程师具有国家注册监理工程师且注册专业为市政公用工程的得2分（响应文件中须提供证书扫描件，未提供的不得分。）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（3）总监理工程师具有一级建造师证书且注册专业为市政公用工程的得2分；（响应文件中须提供证书扫描件，未提供的不得分。）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2.专业监理工程师（6分）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（1）专业监理工程师中具有园林绿化相关专业本科以上学历的，有1个得2分；具有园林绿化类相关专业专科学历的，有1个得1分，最高得</w:t>
      </w:r>
      <w:r>
        <w:rPr>
          <w:rFonts w:hint="eastAsia" w:asciiTheme="minorEastAsia" w:hAnsiTheme="minorEastAsia" w:eastAsiaTheme="minorEastAsia" w:cstheme="minorEastAsia"/>
          <w:color w:val="auto"/>
          <w:sz w:val="21"/>
          <w:szCs w:val="21"/>
          <w:highlight w:val="none"/>
          <w:u w:val="none"/>
          <w:lang w:val="en-US" w:eastAsia="zh-CN"/>
        </w:rPr>
        <w:t xml:space="preserve">2</w:t>
      </w:r>
      <w:r>
        <w:rPr>
          <w:rFonts w:hint="eastAsia" w:asciiTheme="minorEastAsia" w:hAnsiTheme="minorEastAsia" w:eastAsiaTheme="minorEastAsia" w:cstheme="minorEastAsia"/>
          <w:color w:val="auto"/>
          <w:sz w:val="21"/>
          <w:szCs w:val="21"/>
          <w:lang w:val="en-US" w:eastAsia="zh-CN"/>
        </w:rPr>
        <w:t xml:space="preserve">分。（</w:t>
      </w:r>
      <w:r>
        <w:rPr>
          <w:rFonts w:hint="eastAsia" w:asciiTheme="minorEastAsia" w:hAnsiTheme="minorEastAsia" w:eastAsiaTheme="minorEastAsia" w:cstheme="minorEastAsia"/>
          <w:color w:val="auto"/>
          <w:sz w:val="21"/>
          <w:szCs w:val="21"/>
        </w:rPr>
        <w:t xml:space="preserve">响应文件</w:t>
      </w:r>
      <w:r>
        <w:rPr>
          <w:rFonts w:hint="eastAsia" w:asciiTheme="minorEastAsia" w:hAnsiTheme="minorEastAsia" w:eastAsiaTheme="minorEastAsia" w:cstheme="minorEastAsia"/>
          <w:color w:val="auto"/>
          <w:sz w:val="21"/>
          <w:szCs w:val="21"/>
          <w:lang w:val="en-US" w:eastAsia="zh-CN"/>
        </w:rPr>
        <w:t xml:space="preserve">中须提供专业监理工程师的毕业证书扫描件及最近任意一期的社保证明，未提供或提供不全的不得分。）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（2）专业监理工程师中具有国家注册监理工程师证书且注册专业为市政公用工程的有一个得2分，最高得4分。（</w:t>
      </w:r>
      <w:r>
        <w:rPr>
          <w:rFonts w:hint="eastAsia" w:asciiTheme="minorEastAsia" w:hAnsiTheme="minorEastAsia" w:eastAsiaTheme="minorEastAsia" w:cstheme="minorEastAsia"/>
          <w:color w:val="auto"/>
          <w:sz w:val="21"/>
          <w:szCs w:val="21"/>
        </w:rPr>
        <w:t xml:space="preserve">响应文件</w:t>
      </w:r>
      <w:r>
        <w:rPr>
          <w:rFonts w:hint="eastAsia" w:asciiTheme="minorEastAsia" w:hAnsiTheme="minorEastAsia" w:eastAsiaTheme="minorEastAsia" w:cstheme="minorEastAsia"/>
          <w:color w:val="auto"/>
          <w:sz w:val="21"/>
          <w:szCs w:val="21"/>
          <w:lang w:val="en-US" w:eastAsia="zh-CN"/>
        </w:rPr>
        <w:t xml:space="preserve">中须提供证书扫描件，未提供的不得分。）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3.监理员（1分）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监理员具有国家注册监理工程师岗位证书的得1分；（响应文件中须提供证书扫描件及最近任意一期的社保证明，未提供的不得分。）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4.投资控制专员（2分）</w:t>
      </w:r>
      <w:r/>
    </w:p>
    <w:p>
      <w:pPr>
        <w:ind w:firstLine="420"/>
        <w:jc w:val="both"/>
        <w:keepLines w:val="0"/>
        <w:keepNext w:val="0"/>
        <w:pageBreakBefore w:val="0"/>
        <w:spacing w:line="360" w:lineRule="auto"/>
        <w:rPr>
          <w:rFonts w:hint="default"/>
          <w:color w:val="auto"/>
          <w:lang w:val="en-US" w:eastAsia="zh-CN"/>
        </w:rPr>
      </w:pPr>
      <w:r>
        <w:rPr>
          <w:rFonts w:hint="eastAsia" w:asciiTheme="minorEastAsia" w:hAnsiTheme="minorEastAsia" w:eastAsiaTheme="minorEastAsia" w:cstheme="minorEastAsia"/>
          <w:color w:val="auto"/>
          <w:sz w:val="21"/>
          <w:szCs w:val="21"/>
          <w:lang w:val="en-US" w:eastAsia="zh-CN"/>
        </w:rPr>
        <w:t xml:space="preserve">投资控制专员具有一级造价师证书的得2分。具有二级造价师证书的得1分。（响应文件中须提供证书扫描件及最近任意一期的社保证明，未提供的不得分。）</w:t>
      </w:r>
      <w:r/>
    </w:p>
    <w:p>
      <w:pPr>
        <w:ind w:firstLine="422"/>
        <w:jc w:val="both"/>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（四）企业类似业绩（6分）</w:t>
      </w:r>
      <w:r/>
    </w:p>
    <w:p>
      <w:pPr>
        <w:numPr>
          <w:ilvl w:val="0"/>
          <w:numId w:val="0"/>
        </w:numPr>
        <w:ind w:firstLine="420"/>
        <w:jc w:val="both"/>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响应单位</w:t>
      </w:r>
      <w:r>
        <w:rPr>
          <w:rFonts w:hint="eastAsia" w:asciiTheme="minorEastAsia" w:hAnsiTheme="minorEastAsia" w:eastAsiaTheme="minorEastAsia" w:cstheme="minorEastAsia"/>
          <w:bCs/>
          <w:color w:val="auto"/>
          <w:sz w:val="21"/>
          <w:szCs w:val="21"/>
          <w:highlight w:val="none"/>
          <w:lang w:val="en-US" w:eastAsia="zh-CN"/>
        </w:rPr>
        <w:t xml:space="preserve">自</w:t>
      </w:r>
      <w:r>
        <w:rPr>
          <w:rFonts w:hint="eastAsia" w:asciiTheme="minorEastAsia" w:hAnsiTheme="minorEastAsia" w:eastAsiaTheme="minorEastAsia" w:cstheme="minorEastAsia"/>
          <w:bCs/>
          <w:color w:val="auto"/>
          <w:sz w:val="21"/>
          <w:szCs w:val="21"/>
          <w:highlight w:val="none"/>
        </w:rPr>
        <w:t xml:space="preserve">202</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年1月</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自合同签订之日起</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以来</w:t>
      </w:r>
      <w:r>
        <w:rPr>
          <w:rFonts w:hint="eastAsia" w:asciiTheme="minorEastAsia" w:hAnsiTheme="minorEastAsia" w:eastAsiaTheme="minorEastAsia" w:cstheme="minorEastAsia"/>
          <w:bCs/>
          <w:color w:val="auto"/>
          <w:sz w:val="21"/>
          <w:szCs w:val="21"/>
          <w:highlight w:val="none"/>
        </w:rPr>
        <w:t xml:space="preserve">具有</w:t>
      </w:r>
      <w:r>
        <w:rPr>
          <w:rFonts w:hint="eastAsia" w:asciiTheme="minorEastAsia" w:hAnsiTheme="minorEastAsia" w:eastAsiaTheme="minorEastAsia" w:cstheme="minorEastAsia"/>
          <w:color w:val="auto"/>
          <w:sz w:val="21"/>
          <w:szCs w:val="21"/>
        </w:rPr>
        <w:t xml:space="preserve">绿化养护监理项目</w:t>
      </w:r>
      <w:r>
        <w:rPr>
          <w:rFonts w:hint="eastAsia" w:asciiTheme="minorEastAsia" w:hAnsiTheme="minorEastAsia" w:eastAsiaTheme="minorEastAsia" w:cstheme="minorEastAsia"/>
          <w:color w:val="auto"/>
          <w:sz w:val="21"/>
          <w:szCs w:val="21"/>
          <w:lang w:val="en-US" w:eastAsia="zh-CN"/>
        </w:rPr>
        <w:t xml:space="preserve">业绩的</w:t>
      </w:r>
      <w:r>
        <w:rPr>
          <w:rFonts w:hint="eastAsia" w:asciiTheme="minorEastAsia" w:hAnsiTheme="minorEastAsia" w:eastAsiaTheme="minorEastAsia" w:cstheme="minorEastAsia"/>
          <w:bCs/>
          <w:color w:val="auto"/>
          <w:sz w:val="21"/>
          <w:szCs w:val="21"/>
          <w:highlight w:val="none"/>
        </w:rPr>
        <w:t xml:space="preserve">，每提供一个得</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分，最高得</w:t>
      </w:r>
      <w:r>
        <w:rPr>
          <w:rFonts w:hint="eastAsia" w:asciiTheme="minorEastAsia" w:hAnsiTheme="minorEastAsia" w:eastAsiaTheme="minorEastAsia" w:cstheme="minorEastAsia"/>
          <w:bCs/>
          <w:color w:val="auto"/>
          <w:sz w:val="21"/>
          <w:szCs w:val="21"/>
          <w:highlight w:val="none"/>
          <w:lang w:val="en-US" w:eastAsia="zh-CN"/>
        </w:rPr>
        <w:t xml:space="preserve">6</w:t>
      </w:r>
      <w:r>
        <w:rPr>
          <w:rFonts w:hint="eastAsia" w:asciiTheme="minorEastAsia" w:hAnsiTheme="minorEastAsia" w:eastAsiaTheme="minorEastAsia" w:cstheme="minorEastAsia"/>
          <w:bCs/>
          <w:color w:val="auto"/>
          <w:sz w:val="21"/>
          <w:szCs w:val="21"/>
          <w:highlight w:val="none"/>
        </w:rPr>
        <w:t xml:space="preserve">分。</w:t>
      </w:r>
      <w:r/>
    </w:p>
    <w:p>
      <w:pPr>
        <w:ind w:firstLine="420"/>
        <w:jc w:val="both"/>
        <w:keepLines w:val="0"/>
        <w:keepNext w:val="0"/>
        <w:pageBreakBefore w:val="0"/>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rPr>
        <w:t xml:space="preserve">响应文件中提供完整清晰的合同复印件，未提供</w:t>
      </w:r>
      <w:r>
        <w:rPr>
          <w:rFonts w:hint="eastAsia" w:asciiTheme="minorEastAsia" w:hAnsiTheme="minorEastAsia" w:eastAsiaTheme="minorEastAsia" w:cstheme="minorEastAsia"/>
          <w:b w:val="0"/>
          <w:bCs w:val="0"/>
          <w:color w:val="auto"/>
          <w:sz w:val="21"/>
          <w:szCs w:val="21"/>
          <w:lang w:val="en-US" w:eastAsia="zh-CN"/>
        </w:rPr>
        <w:t xml:space="preserve">或提供不全</w:t>
      </w:r>
      <w:r>
        <w:rPr>
          <w:rFonts w:hint="eastAsia" w:asciiTheme="minorEastAsia" w:hAnsiTheme="minorEastAsia" w:eastAsiaTheme="minorEastAsia" w:cstheme="minorEastAsia"/>
          <w:b w:val="0"/>
          <w:bCs w:val="0"/>
          <w:color w:val="auto"/>
          <w:sz w:val="21"/>
          <w:szCs w:val="21"/>
        </w:rPr>
        <w:t xml:space="preserve">不得分。</w:t>
      </w:r>
      <w:r>
        <w:rPr>
          <w:rFonts w:hint="eastAsia" w:asciiTheme="minorEastAsia" w:hAnsiTheme="minorEastAsia" w:eastAsiaTheme="minorEastAsia" w:cstheme="minorEastAsia"/>
          <w:b w:val="0"/>
          <w:bCs w:val="0"/>
          <w:color w:val="auto"/>
          <w:sz w:val="21"/>
          <w:szCs w:val="21"/>
          <w:highlight w:val="none"/>
          <w:lang w:eastAsia="zh-CN"/>
        </w:rPr>
        <w:t xml:space="preserve">）</w:t>
      </w:r>
      <w:r/>
    </w:p>
    <w:p>
      <w:pPr>
        <w:ind w:firstLine="422"/>
        <w:jc w:val="both"/>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（五）</w:t>
      </w:r>
      <w:r>
        <w:rPr>
          <w:rFonts w:hint="eastAsia" w:asciiTheme="minorEastAsia" w:hAnsiTheme="minorEastAsia" w:eastAsiaTheme="minorEastAsia" w:cstheme="minorEastAsia"/>
          <w:b/>
          <w:bCs/>
          <w:color w:val="auto"/>
          <w:sz w:val="21"/>
          <w:szCs w:val="21"/>
          <w:highlight w:val="none"/>
        </w:rPr>
        <w:t xml:space="preserve">响应单位综合实力（</w:t>
      </w:r>
      <w:r>
        <w:rPr>
          <w:rFonts w:hint="eastAsia" w:asciiTheme="minorEastAsia" w:hAnsiTheme="minorEastAsia" w:eastAsiaTheme="minorEastAsia" w:cstheme="minorEastAsia"/>
          <w:b/>
          <w:bCs/>
          <w:color w:val="auto"/>
          <w:sz w:val="21"/>
          <w:szCs w:val="21"/>
          <w:highlight w:val="none"/>
          <w:lang w:val="en-US" w:eastAsia="zh-CN"/>
        </w:rPr>
        <w:t xml:space="preserve">6</w:t>
      </w:r>
      <w:r>
        <w:rPr>
          <w:rFonts w:hint="eastAsia" w:asciiTheme="minorEastAsia" w:hAnsiTheme="minorEastAsia" w:eastAsiaTheme="minorEastAsia" w:cstheme="minorEastAsia"/>
          <w:b/>
          <w:bCs/>
          <w:color w:val="auto"/>
          <w:sz w:val="21"/>
          <w:szCs w:val="21"/>
          <w:highlight w:val="none"/>
        </w:rPr>
        <w:t xml:space="preserve">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响应单位具有有效期内的质量体系认证、环境管理体系认证、职业健康安全管理体系认证，每提供一个得</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分，最高得</w:t>
      </w: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rPr>
        <w:t xml:space="preserve">分。（投标文件中提供上述证书扫描件及该证书在中国国家认证认可监督管理委员会网站 http://www.cnca.gov.cn/上查询的页面截图，未提供的不得分）</w:t>
      </w:r>
      <w:r/>
    </w:p>
    <w:p>
      <w:pPr>
        <w:pStyle w:val="1046"/>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pStyle w:val="1045"/>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pStyle w:val="1046"/>
        <w:rPr>
          <w:rFonts w:hint="default"/>
          <w:color w:val="auto"/>
          <w:lang w:val="en-US" w:eastAsia="zh-CN"/>
        </w:rPr>
      </w:pPr>
      <w:r>
        <w:rPr>
          <w:rFonts w:hint="default"/>
          <w:color w:val="auto"/>
          <w:lang w:val="en-US" w:eastAsia="zh-CN"/>
        </w:rPr>
      </w:r>
      <w:r/>
    </w:p>
    <w:p>
      <w:pPr>
        <w:ind w:firstLine="422"/>
        <w:jc w:val="both"/>
        <w:keepLines w:val="0"/>
        <w:keepNext w:val="0"/>
        <w:pageBreakBefore w:val="0"/>
        <w:spacing w:line="360" w:lineRule="auto"/>
        <w:widowControl w:val="off"/>
        <w:tabs>
          <w:tab w:val="left" w:pos="567" w:leader="none"/>
        </w:tabs>
        <w:rPr>
          <w:rFonts w:hint="eastAsia" w:ascii="宋体" w:hAnsi="宋体"/>
          <w:b/>
          <w:bCs/>
          <w:color w:val="auto"/>
          <w:szCs w:val="21"/>
          <w:highlight w:val="none"/>
        </w:rPr>
      </w:pPr>
      <w:r>
        <w:rPr>
          <w:rFonts w:hint="eastAsia" w:ascii="宋体" w:hAnsi="宋体"/>
          <w:b/>
          <w:bCs/>
          <w:color w:val="auto"/>
          <w:szCs w:val="21"/>
          <w:highlight w:val="none"/>
        </w:rPr>
        <w:t xml:space="preserve">备注：</w:t>
      </w:r>
      <w:r>
        <w:rPr>
          <w:rFonts w:hint="eastAsia" w:ascii="宋体" w:hAnsi="宋体" w:cs="宋体"/>
          <w:b/>
          <w:bCs/>
          <w:color w:val="auto"/>
          <w:szCs w:val="21"/>
          <w:highlight w:val="none"/>
        </w:rPr>
        <w:t xml:space="preserve">针对评分标准</w:t>
      </w:r>
      <w:r>
        <w:rPr>
          <w:rFonts w:hint="eastAsia" w:ascii="宋体" w:hAnsi="宋体"/>
          <w:b/>
          <w:bCs/>
          <w:color w:val="auto"/>
          <w:szCs w:val="21"/>
          <w:highlight w:val="none"/>
        </w:rPr>
        <w:t xml:space="preserve">中评分的每一条，投标单位均应提供相关资料并作出相应说明供评委评判，不提供相关资料的视为不具备该项得分的条件。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006"/>
        <w:rPr>
          <w:rFonts w:hint="eastAsia" w:cs="宋体"/>
          <w:color w:val="auto"/>
          <w:highlight w:val="none"/>
        </w:rPr>
      </w:pPr>
      <w:r>
        <w:rPr>
          <w:rFonts w:hint="eastAsia" w:cs="宋体"/>
          <w:color w:val="auto"/>
          <w:highlight w:val="none"/>
        </w:rPr>
      </w:r>
      <w:r/>
    </w:p>
    <w:p>
      <w:pPr>
        <w:rPr>
          <w:rFonts w:hint="eastAsia" w:ascii="宋体" w:hAnsi="宋体" w:cs="宋体"/>
          <w:color w:val="auto"/>
          <w:highlight w:val="none"/>
        </w:rPr>
      </w:pPr>
      <w:r/>
      <w:bookmarkStart w:id="34" w:name="_Toc26322"/>
      <w:r>
        <w:rPr>
          <w:rFonts w:hint="eastAsia" w:ascii="宋体" w:hAnsi="宋体" w:cs="宋体"/>
          <w:color w:val="auto"/>
          <w:highlight w:val="none"/>
        </w:rPr>
        <w:br w:type="page" w:clear="all"/>
      </w:r>
      <w:r/>
    </w:p>
    <w:p>
      <w:pPr>
        <w:pStyle w:val="989"/>
        <w:jc w:val="center"/>
        <w:spacing w:line="416" w:lineRule="auto"/>
        <w:rPr>
          <w:rFonts w:hint="eastAsia" w:ascii="宋体" w:hAnsi="宋体" w:cs="宋体"/>
          <w:color w:val="auto"/>
          <w:highlight w:val="none"/>
        </w:rPr>
      </w:pPr>
      <w:r/>
      <w:bookmarkStart w:id="35" w:name="_Toc13099"/>
      <w:r>
        <w:rPr>
          <w:rFonts w:hint="eastAsia" w:ascii="宋体" w:hAnsi="宋体" w:cs="宋体"/>
          <w:color w:val="auto"/>
          <w:highlight w:val="none"/>
        </w:rPr>
        <w:t xml:space="preserve">第五章 合同主要条款</w:t>
      </w:r>
      <w:bookmarkEnd w:id="34"/>
      <w:r/>
      <w:bookmarkEnd w:id="35"/>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甲方（采购单位）：</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w:t>
      </w:r>
      <w:r/>
    </w:p>
    <w:p>
      <w:pPr>
        <w:pStyle w:val="1052"/>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乙方（成交单位）：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w:t>
      </w:r>
      <w:r/>
    </w:p>
    <w:p>
      <w:pPr>
        <w:pStyle w:val="1050"/>
        <w:rPr>
          <w:rFonts w:hint="eastAsia"/>
          <w:color w:val="auto"/>
          <w:highlight w:val="none"/>
          <w:lang w:val="zh-CN"/>
        </w:rPr>
      </w:pPr>
      <w:r>
        <w:rPr>
          <w:rFonts w:hint="eastAsia"/>
          <w:color w:val="auto"/>
          <w:highlight w:val="none"/>
          <w:lang w:val="zh-CN"/>
        </w:rPr>
      </w:r>
      <w:r/>
    </w:p>
    <w:p>
      <w:pPr>
        <w:ind w:firstLine="420"/>
        <w:keepLines w:val="0"/>
        <w:keepNext w:val="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根据</w:t>
      </w:r>
      <w:r>
        <w:rPr>
          <w:rFonts w:hint="eastAsia" w:asciiTheme="minorEastAsia" w:hAnsiTheme="minorEastAsia" w:eastAsiaTheme="minorEastAsia" w:cstheme="minorEastAsia"/>
          <w:color w:val="auto"/>
          <w:szCs w:val="21"/>
          <w:highlight w:val="none"/>
        </w:rPr>
        <w:t xml:space="preserve">苏州市政府</w:t>
      </w:r>
      <w:r>
        <w:rPr>
          <w:rFonts w:hint="eastAsia" w:asciiTheme="minorEastAsia" w:hAnsiTheme="minorEastAsia" w:eastAsiaTheme="minorEastAsia" w:cstheme="minorEastAsia"/>
          <w:color w:val="auto"/>
          <w:szCs w:val="21"/>
          <w:highlight w:val="none"/>
          <w:lang w:val="zh-CN"/>
        </w:rPr>
        <w:t xml:space="preserve">采购项目编号</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竞争性磋商</w:t>
      </w:r>
      <w:r>
        <w:rPr>
          <w:rFonts w:hint="eastAsia" w:asciiTheme="minorEastAsia" w:hAnsiTheme="minorEastAsia" w:eastAsiaTheme="minorEastAsia" w:cstheme="minorEastAsia"/>
          <w:color w:val="auto"/>
          <w:szCs w:val="21"/>
          <w:highlight w:val="none"/>
          <w:lang w:val="zh-CN"/>
        </w:rPr>
        <w:t xml:space="preserve">文件及乙方的响应文件和成交通知书，甲乙双方就此次成交的</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val="zh-CN"/>
        </w:rPr>
        <w:t xml:space="preserve">事宜，签订本合同书。</w:t>
      </w:r>
      <w:r/>
    </w:p>
    <w:p>
      <w:pPr>
        <w:ind w:firstLine="422"/>
        <w:keepLines w:val="0"/>
        <w:keepNext w:val="0"/>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一、下列文件为本合同不可分割部分：</w:t>
      </w:r>
      <w:r/>
    </w:p>
    <w:p>
      <w:pPr>
        <w:ind w:firstLine="420"/>
        <w:keepLines w:val="0"/>
        <w:keepNext w:val="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①成交通知书；</w:t>
      </w:r>
      <w:r/>
    </w:p>
    <w:p>
      <w:pPr>
        <w:ind w:firstLine="420"/>
        <w:keepLines w:val="0"/>
        <w:keepNext w:val="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②磋商文件； </w:t>
      </w:r>
      <w:r/>
    </w:p>
    <w:p>
      <w:pPr>
        <w:ind w:firstLine="420"/>
        <w:keepLines w:val="0"/>
        <w:keepNext w:val="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fldChar w:fldCharType="begin"/>
      </w:r>
      <w:r>
        <w:rPr>
          <w:rFonts w:hint="eastAsia" w:asciiTheme="minorEastAsia" w:hAnsiTheme="minorEastAsia" w:eastAsiaTheme="minorEastAsia" w:cstheme="minorEastAsia"/>
          <w:bCs/>
          <w:color w:val="auto"/>
          <w:szCs w:val="21"/>
          <w:highlight w:val="none"/>
        </w:rPr>
        <w:instrText xml:space="preserve"> = 3 \* GB3 </w:instrText>
      </w:r>
      <w:r>
        <w:rPr>
          <w:rFonts w:hint="eastAsia" w:asciiTheme="minorEastAsia" w:hAnsiTheme="minorEastAsia" w:eastAsiaTheme="minorEastAsia" w:cstheme="minorEastAsia"/>
          <w:bCs/>
          <w:color w:val="auto"/>
          <w:szCs w:val="21"/>
          <w:highlight w:val="none"/>
        </w:rPr>
        <w:fldChar w:fldCharType="separate"/>
      </w:r>
      <w:r>
        <w:rPr>
          <w:rFonts w:hint="eastAsia" w:asciiTheme="minorEastAsia" w:hAnsiTheme="minorEastAsia" w:eastAsiaTheme="minorEastAsia" w:cstheme="minorEastAsia"/>
          <w:bCs/>
          <w:color w:val="auto"/>
          <w:szCs w:val="21"/>
          <w:highlight w:val="none"/>
        </w:rPr>
        <w:t xml:space="preserve">③</w:t>
      </w:r>
      <w:r>
        <w:rPr>
          <w:rFonts w:hint="eastAsia" w:asciiTheme="minorEastAsia" w:hAnsiTheme="minorEastAsia" w:eastAsiaTheme="minorEastAsia" w:cstheme="minorEastAsia"/>
          <w:bCs/>
          <w:color w:val="auto"/>
          <w:szCs w:val="21"/>
          <w:highlight w:val="none"/>
        </w:rPr>
        <w:fldChar w:fldCharType="end"/>
      </w:r>
      <w:r>
        <w:rPr>
          <w:rFonts w:hint="eastAsia" w:asciiTheme="minorEastAsia" w:hAnsiTheme="minorEastAsia" w:eastAsiaTheme="minorEastAsia" w:cstheme="minorEastAsia"/>
          <w:bCs/>
          <w:color w:val="auto"/>
          <w:szCs w:val="21"/>
          <w:highlight w:val="none"/>
        </w:rPr>
        <w:t xml:space="preserve">乙方的响应文件；</w:t>
      </w:r>
      <w:r/>
    </w:p>
    <w:p>
      <w:pPr>
        <w:ind w:firstLine="420"/>
        <w:keepLines w:val="0"/>
        <w:keepNext w:val="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④乙方在响应过程中所作的其它承诺、声明、书面澄清等；</w:t>
      </w:r>
      <w:r/>
    </w:p>
    <w:p>
      <w:pPr>
        <w:ind w:firstLine="420"/>
        <w:keepLines w:val="0"/>
        <w:keepNext w:val="0"/>
        <w:pageBreakBefore w:val="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⑤合同附件（如有）；</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lang w:val="zh-CN"/>
        </w:rPr>
        <w:t xml:space="preserve">以上与本合同具有同等法律效力。</w:t>
      </w:r>
      <w:r/>
    </w:p>
    <w:p>
      <w:pPr>
        <w:ind w:firstLine="422"/>
        <w:keepLines w:val="0"/>
        <w:keepNext w:val="0"/>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二、合同内容：</w:t>
      </w:r>
      <w:r/>
    </w:p>
    <w:p>
      <w:pPr>
        <w:ind w:firstLine="422"/>
        <w:keepLines w:val="0"/>
        <w:keepNext w:val="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
          <w:color w:val="auto"/>
          <w:szCs w:val="21"/>
          <w:highlight w:val="none"/>
        </w:rPr>
        <w:t xml:space="preserve">详见采购文件。</w:t>
      </w:r>
      <w:r/>
    </w:p>
    <w:p>
      <w:pPr>
        <w:numPr>
          <w:ilvl w:val="0"/>
          <w:numId w:val="3"/>
        </w:numPr>
        <w:ind w:left="0" w:right="0" w:firstLine="422"/>
        <w:jc w:val="both"/>
        <w:keepLines w:val="0"/>
        <w:keepNext w:val="0"/>
        <w:pageBreakBefore w:val="0"/>
        <w:spacing w:line="360" w:lineRule="auto"/>
        <w:widowControl w:val="off"/>
        <w:rPr>
          <w:rFonts w:hint="eastAsia" w:ascii="宋体" w:hAnsi="宋体" w:cs="宋体"/>
          <w:b w:val="0"/>
          <w:bCs w:val="0"/>
          <w:color w:val="auto"/>
          <w:szCs w:val="21"/>
          <w:highlight w:val="none"/>
          <w:lang w:eastAsia="zh-CN"/>
        </w:rPr>
      </w:pPr>
      <w:r>
        <w:rPr>
          <w:rFonts w:hint="eastAsia" w:asciiTheme="minorEastAsia" w:hAnsiTheme="minorEastAsia" w:eastAsiaTheme="minorEastAsia" w:cstheme="minorEastAsia"/>
          <w:b/>
          <w:bCs/>
          <w:color w:val="auto"/>
          <w:szCs w:val="21"/>
          <w:highlight w:val="none"/>
        </w:rPr>
        <w:t xml:space="preserve">服务期限：</w:t>
      </w:r>
      <w:r>
        <w:rPr>
          <w:rFonts w:hint="eastAsia" w:ascii="宋体" w:hAnsi="宋体" w:cs="宋体"/>
          <w:b w:val="0"/>
          <w:bCs w:val="0"/>
          <w:color w:val="auto"/>
          <w:szCs w:val="22"/>
          <w:highlight w:val="none"/>
        </w:rPr>
        <w:t xml:space="preserve">自签订合同之日起3年。</w:t>
      </w:r>
      <w:r/>
    </w:p>
    <w:p>
      <w:pPr>
        <w:ind w:firstLine="422"/>
        <w:keepLines w:val="0"/>
        <w:keepNext w:val="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四</w:t>
      </w:r>
      <w:r>
        <w:rPr>
          <w:rFonts w:hint="eastAsia" w:asciiTheme="minorEastAsia" w:hAnsiTheme="minorEastAsia" w:eastAsiaTheme="minorEastAsia" w:cstheme="minorEastAsia"/>
          <w:b/>
          <w:color w:val="auto"/>
          <w:szCs w:val="21"/>
          <w:highlight w:val="none"/>
        </w:rPr>
        <w:t xml:space="preserve">、合同价格及支付：</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rPr>
        <w:t xml:space="preserve">1.合同总价（大写）人民币</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元（¥</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bidi="ar"/>
        </w:rPr>
        <w:t xml:space="preserve">合同总价包括但不限于人工费（包括人员工资、社会保险费用、福利费、加班费、人身意外伤害险等）、设备工具费、差旅费、交通费、成果编制费（含印刷费）、驻场服务费、代理服务费、项目利润、风险费、税费及政策性文件规定和合同所包含的所有风险、责任等各项应有费用。同时，除非合同条款中另有规定，否则，</w:t>
      </w:r>
      <w:r>
        <w:rPr>
          <w:rFonts w:hint="eastAsia" w:asciiTheme="minorEastAsia" w:hAnsiTheme="minorEastAsia" w:eastAsiaTheme="minorEastAsia" w:cstheme="minorEastAsia"/>
          <w:color w:val="auto"/>
          <w:szCs w:val="21"/>
          <w:highlight w:val="none"/>
          <w:lang w:val="en-US" w:eastAsia="zh-CN" w:bidi="ar"/>
        </w:rPr>
        <w:t xml:space="preserve">乙方</w:t>
      </w:r>
      <w:r>
        <w:rPr>
          <w:rFonts w:hint="eastAsia" w:asciiTheme="minorEastAsia" w:hAnsiTheme="minorEastAsia" w:eastAsiaTheme="minorEastAsia" w:cstheme="minorEastAsia"/>
          <w:color w:val="auto"/>
          <w:szCs w:val="21"/>
          <w:highlight w:val="none"/>
          <w:lang w:bidi="ar"/>
        </w:rPr>
        <w:t xml:space="preserve">所报价格在合同实施期间不因市场变化因素而变动。</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2.付款步骤：</w:t>
      </w:r>
      <w:r/>
    </w:p>
    <w:p>
      <w:pPr>
        <w:ind w:firstLine="420"/>
        <w:spacing w:line="360" w:lineRule="auto"/>
        <w:rPr>
          <w:rFonts w:hint="eastAsia" w:ascii="宋体" w:hAnsi="宋体"/>
          <w:color w:val="auto"/>
          <w:szCs w:val="21"/>
        </w:rPr>
      </w:pPr>
      <w:r>
        <w:rPr>
          <w:rFonts w:hint="eastAsia" w:ascii="宋体" w:hAnsi="宋体"/>
          <w:color w:val="auto"/>
          <w:szCs w:val="21"/>
        </w:rPr>
        <w:t xml:space="preserve">合同签订生效后，原则上甲方每三个月支付一次，每次支付该三个月服务费金额的70%，具体需结合区财政进度进行拨款，余款在服务周期结束后一年内付清。</w:t>
      </w:r>
      <w:r/>
    </w:p>
    <w:p>
      <w:pPr>
        <w:ind w:firstLine="420"/>
        <w:spacing w:line="360" w:lineRule="auto"/>
        <w:rPr>
          <w:rFonts w:hint="eastAsia" w:ascii="宋体" w:hAnsi="宋体"/>
          <w:color w:val="auto"/>
          <w:szCs w:val="21"/>
        </w:rPr>
      </w:pPr>
      <w:r>
        <w:rPr>
          <w:rFonts w:hint="eastAsia" w:ascii="宋体" w:hAnsi="宋体"/>
          <w:color w:val="auto"/>
          <w:szCs w:val="21"/>
        </w:rPr>
        <w:t xml:space="preserve">依据考核细则</w:t>
      </w:r>
      <w:r>
        <w:rPr>
          <w:rFonts w:hint="eastAsia" w:ascii="宋体" w:hAnsi="宋体"/>
          <w:color w:val="auto"/>
          <w:szCs w:val="21"/>
          <w:lang w:eastAsia="zh-CN"/>
        </w:rPr>
        <w:t xml:space="preserve">（</w:t>
      </w:r>
      <w:r>
        <w:rPr>
          <w:rFonts w:hint="eastAsia" w:ascii="宋体" w:hAnsi="宋体"/>
          <w:color w:val="auto"/>
          <w:szCs w:val="21"/>
          <w:lang w:val="en-US" w:eastAsia="zh-CN"/>
        </w:rPr>
        <w:t xml:space="preserve">详见附件</w:t>
      </w:r>
      <w:r>
        <w:rPr>
          <w:rFonts w:hint="eastAsia" w:ascii="宋体" w:hAnsi="宋体"/>
          <w:color w:val="auto"/>
          <w:szCs w:val="21"/>
          <w:lang w:eastAsia="zh-CN"/>
        </w:rPr>
        <w:t xml:space="preserve">）</w:t>
      </w:r>
      <w:r>
        <w:rPr>
          <w:rFonts w:hint="eastAsia" w:ascii="宋体" w:hAnsi="宋体"/>
          <w:color w:val="auto"/>
          <w:szCs w:val="21"/>
        </w:rPr>
        <w:t xml:space="preserve">，当月得分＜90分的，按比例扣除相应的服务费，每低1分扣除3%的月度服务费。即：</w:t>
      </w:r>
      <w:r/>
    </w:p>
    <w:p>
      <w:pPr>
        <w:ind w:firstLine="420"/>
        <w:spacing w:line="360" w:lineRule="auto"/>
        <w:rPr>
          <w:rFonts w:hint="eastAsia" w:ascii="宋体" w:hAnsi="宋体"/>
          <w:color w:val="auto"/>
          <w:szCs w:val="21"/>
        </w:rPr>
      </w:pPr>
      <w:r>
        <w:rPr>
          <w:rFonts w:hint="eastAsia" w:ascii="宋体" w:hAnsi="宋体"/>
          <w:color w:val="auto"/>
          <w:szCs w:val="21"/>
        </w:rPr>
        <w:t xml:space="preserve">当月得分≥90分时，实际月服务费=中标金额/36；</w:t>
      </w:r>
      <w:r/>
    </w:p>
    <w:p>
      <w:pPr>
        <w:ind w:firstLine="420"/>
        <w:spacing w:line="360" w:lineRule="auto"/>
        <w:rPr>
          <w:rFonts w:hint="eastAsia" w:ascii="宋体" w:hAnsi="宋体"/>
          <w:color w:val="auto"/>
          <w:szCs w:val="21"/>
        </w:rPr>
      </w:pPr>
      <w:r>
        <w:rPr>
          <w:rFonts w:hint="eastAsia" w:ascii="宋体" w:hAnsi="宋体"/>
          <w:color w:val="auto"/>
          <w:szCs w:val="21"/>
        </w:rPr>
        <w:t xml:space="preserve">当月得分＜90分时，实际月服务费=中标金额/36*（1-（90-当月得分）*3%）。</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3.乙方要求付款时应提供合格的发票。</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4.付款方式：银行</w:t>
      </w:r>
      <w:r>
        <w:rPr>
          <w:rFonts w:hint="eastAsia" w:asciiTheme="minorEastAsia" w:hAnsiTheme="minorEastAsia" w:eastAsiaTheme="minorEastAsia" w:cstheme="minorEastAsia"/>
          <w:color w:val="auto"/>
          <w:szCs w:val="21"/>
          <w:highlight w:val="none"/>
          <w:lang w:val="en-US" w:eastAsia="zh-CN"/>
        </w:rPr>
        <w:t xml:space="preserve">转账</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具体支付方式甲方有权根据财务安排自主选择。</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5.根据现行税法对甲方征收的与本合同有关的一切税费均由甲方承担；根据现行税法对乙方征收的与本合同有关的一切税费均由乙方承担。</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6.甲方支付此项费用外不再承担其它任何费用，包括因人员辞退、工伤事故等造成的赔偿金或补偿金等。</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7.若遇国家或地方政府政策性调整，双方另行协商。</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color w:val="auto"/>
          <w:szCs w:val="21"/>
          <w:highlight w:val="none"/>
          <w:lang w:val="en-US" w:eastAsia="zh-CN"/>
        </w:rPr>
      </w:pPr>
      <w:r>
        <w:rPr>
          <w:rFonts w:hint="eastAsia" w:asciiTheme="minorEastAsia" w:hAnsiTheme="minorEastAsia" w:eastAsiaTheme="minorEastAsia" w:cstheme="minorEastAsia"/>
          <w:b/>
          <w:color w:val="auto"/>
          <w:szCs w:val="21"/>
          <w:highlight w:val="none"/>
          <w:lang w:val="en-US" w:eastAsia="zh-CN"/>
        </w:rPr>
        <w:t xml:space="preserve">五、质量要求：</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1.乙方提供的服务均须为符合国家相关规范要求的合格正规服务。</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家通用标准，如出现问题，乙方负责解决，发生的费用由乙方负责。</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六、</w:t>
      </w:r>
      <w:r>
        <w:rPr>
          <w:rFonts w:hint="eastAsia" w:asciiTheme="minorEastAsia" w:hAnsiTheme="minorEastAsia" w:eastAsiaTheme="minorEastAsia" w:cstheme="minorEastAsia"/>
          <w:b/>
          <w:color w:val="auto"/>
          <w:szCs w:val="21"/>
          <w:highlight w:val="none"/>
        </w:rPr>
        <w:t xml:space="preserve">甲、乙双方的责任：</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（一）甲方责任：</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1.甲方自本合同生效后向乙方提供本项目相关的资料，并指定专人作为甲方联系人予以协调工作。加强与乙方沟通，交流情况，互通信息。</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2.甲方应积极配合乙方工作人员履行好合同所规定的职责和义务。</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3.定期组织对乙方服务质量的考核、收集意见和建议，并将结果及时通报乙方。</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4.为乙方有效开展工作提供其他必要的便利。</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（二）乙方责任：  </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1.严格按照甲方要求进行服务，接受甲方人员的安排、指导和监督。</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2.对服务项目包干范围的服务、管理承担全部责任，严格履行合同条款。</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3.进场后，严格按照甲方要求进行服务。</w:t>
      </w:r>
      <w:r/>
    </w:p>
    <w:p>
      <w:pPr>
        <w:ind w:firstLine="422"/>
        <w:keepLines w:val="0"/>
        <w:keepNext w:val="0"/>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七</w:t>
      </w:r>
      <w:r>
        <w:rPr>
          <w:rFonts w:hint="eastAsia" w:asciiTheme="minorEastAsia" w:hAnsiTheme="minorEastAsia" w:eastAsiaTheme="minorEastAsia" w:cstheme="minorEastAsia"/>
          <w:b/>
          <w:color w:val="auto"/>
          <w:szCs w:val="21"/>
          <w:highlight w:val="none"/>
        </w:rPr>
        <w:t xml:space="preserve">、违约责任：</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1.合同一方不履行合同义务或者履行合同义务不符合约定的，应当承担继续履行、采取补救措施或者赔偿损失等违约责任。</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.甲方违约责任</w:t>
      </w:r>
      <w:r>
        <w:rPr>
          <w:rFonts w:hint="eastAsia" w:asciiTheme="minorEastAsia" w:hAnsiTheme="minorEastAsia" w:eastAsiaTheme="minorEastAsia" w:cstheme="minorEastAsia"/>
          <w:color w:val="auto"/>
          <w:szCs w:val="21"/>
          <w:highlight w:val="none"/>
          <w:lang w:eastAsia="zh-CN"/>
        </w:rPr>
        <w:t xml:space="preserve">：</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（1）在合同生效后，甲方无理由要求终止服务的，应向乙方偿付合同总价款的5%，作为违约金，违约金不足以补偿损失的，乙方有权要求甲方补足。</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（2）甲方逾期付款的应按照逾期付款金额的每天万分之四支付逾期付款违约金。</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（3）甲方违反合同规定，拒绝接受乙方提供服务，应当承担乙方由此造成的损失。</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.乙方违约责任</w:t>
      </w:r>
      <w:r>
        <w:rPr>
          <w:rFonts w:hint="eastAsia" w:asciiTheme="minorEastAsia" w:hAnsiTheme="minorEastAsia" w:eastAsiaTheme="minorEastAsia" w:cstheme="minorEastAsia"/>
          <w:color w:val="auto"/>
          <w:szCs w:val="21"/>
          <w:highlight w:val="none"/>
          <w:lang w:eastAsia="zh-CN"/>
        </w:rPr>
        <w:t xml:space="preserve">：</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（1）乙方不能提供服务（逾期超过五天视为不能提供），或提供服务不合格从而影响甲方按期正常运作的，应向甲方偿付合同总价款5%的违约金，违约金不足以补偿损失的甲方有权要求乙方补足。</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（2）乙方逾期提供服务的，应与甲方协商，甲方仍有需求的，乙方应立即提供服务并且按照逾期服务的每天万分之四支付逾期违约金，同时承担甲方因此遭致的损失费用。</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（3）乙方对提供的服务意见出现的遗漏或错误，乙方应在甲方限定的时间内完成修改或补充。</w:t>
      </w:r>
      <w:r/>
    </w:p>
    <w:p>
      <w:pPr>
        <w:ind w:firstLine="422"/>
        <w:keepLines w:val="0"/>
        <w:keepNext w:val="0"/>
        <w:pageBreakBefore w:val="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 xml:space="preserve">八</w:t>
      </w:r>
      <w:r>
        <w:rPr>
          <w:rFonts w:hint="eastAsia" w:asciiTheme="minorEastAsia" w:hAnsiTheme="minorEastAsia" w:eastAsiaTheme="minorEastAsia" w:cstheme="minorEastAsia"/>
          <w:b/>
          <w:bCs/>
          <w:color w:val="auto"/>
          <w:szCs w:val="21"/>
          <w:highlight w:val="none"/>
        </w:rPr>
        <w:t xml:space="preserve">、保密要求：</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乙方及其工作人员除了应当遵守本合同有关资料要求及成果归属的规定外，还应当对服务过程中接触的所有资料及工作成果保密，不得向甲方指定人员以外的其他单位和人员泄露排查信息。因乙方原因造成相关资料和成果的泄露，甲方有权立即解除本合同，并承担相应经济和法律责任。</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2.乙方及其工作人员违反保密规定或者法律及本合同规定的其他禁止性规定，乙方承担一切经济和法律责任。</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auto"/>
          <w:szCs w:val="21"/>
          <w:highlight w:val="none"/>
          <w:lang w:eastAsia="zh-CN"/>
        </w:rPr>
      </w:pPr>
      <w:r>
        <w:rPr>
          <w:rFonts w:hint="eastAsia" w:asciiTheme="minorEastAsia" w:hAnsiTheme="minorEastAsia" w:eastAsiaTheme="minorEastAsia" w:cstheme="minorEastAsia"/>
          <w:b/>
          <w:bCs/>
          <w:color w:val="auto"/>
          <w:szCs w:val="21"/>
          <w:highlight w:val="none"/>
          <w:lang w:val="en-US" w:eastAsia="zh-CN"/>
        </w:rPr>
        <w:t xml:space="preserve">九</w:t>
      </w:r>
      <w:r>
        <w:rPr>
          <w:rFonts w:hint="eastAsia" w:asciiTheme="minorEastAsia" w:hAnsiTheme="minorEastAsia" w:eastAsiaTheme="minorEastAsia" w:cstheme="minorEastAsia"/>
          <w:b/>
          <w:bCs/>
          <w:color w:val="auto"/>
          <w:szCs w:val="21"/>
          <w:highlight w:val="none"/>
        </w:rPr>
        <w:t xml:space="preserve">、不可抗力</w:t>
      </w:r>
      <w:r>
        <w:rPr>
          <w:rFonts w:hint="eastAsia" w:asciiTheme="minorEastAsia" w:hAnsiTheme="minorEastAsia" w:eastAsiaTheme="minorEastAsia" w:cstheme="minorEastAsia"/>
          <w:b/>
          <w:bCs/>
          <w:color w:val="auto"/>
          <w:szCs w:val="21"/>
          <w:highlight w:val="none"/>
          <w:lang w:eastAsia="zh-CN"/>
        </w:rPr>
        <w:t xml:space="preserve">：</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1.不可抗力（或甲、乙双方不能控制的原因）不能履行合同的，根据不可抗力的影响，部分或者全部免除责任，但合同一方迟延履行后发生不可抗力的，不能免除责任。</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2.合同一方因不可抗力不能履行合同的，应当及时通知对方，以减轻可能给对方造成损失，并应当在合理期限内提供证明。</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 xml:space="preserve">十</w:t>
      </w:r>
      <w:r>
        <w:rPr>
          <w:rFonts w:hint="eastAsia" w:asciiTheme="minorEastAsia" w:hAnsiTheme="minorEastAsia" w:eastAsiaTheme="minorEastAsia" w:cstheme="minorEastAsia"/>
          <w:b/>
          <w:bCs/>
          <w:color w:val="auto"/>
          <w:szCs w:val="21"/>
          <w:highlight w:val="none"/>
        </w:rPr>
        <w:t xml:space="preserve">、合同的解除</w:t>
      </w: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rPr>
        <w:t xml:space="preserve">转让：</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1.甲方和乙方协商一致，可以解除合同。</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2.有下列情况之一，合同方可以解除合同：</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宋体" w:hAnsi="宋体" w:eastAsia="宋体" w:cs="宋体"/>
          <w:color w:val="auto"/>
          <w:sz w:val="21"/>
          <w:szCs w:val="21"/>
          <w:highlight w:val="none"/>
          <w:lang w:eastAsia="zh-CN"/>
        </w:rPr>
        <w:t xml:space="preserve">因不可抗力致使不能实现合同目的，未受不可抗力影响的一方有权解除合同</w:t>
      </w:r>
      <w:r>
        <w:rPr>
          <w:rFonts w:hint="eastAsia" w:asciiTheme="minorEastAsia" w:hAnsiTheme="minorEastAsia" w:eastAsiaTheme="minorEastAsia" w:cstheme="minorEastAsia"/>
          <w:color w:val="auto"/>
          <w:szCs w:val="21"/>
          <w:highlight w:val="none"/>
        </w:rPr>
        <w:t xml:space="preserve">；</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（2）因合同一方违约导致合同不能履行，另一方有权解除合同；</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3.有权解除合同的一方，应当在违约事实或不可抗力发生之后30天内书面通知对方提出解除合同，合同在书面通知到达对方时解除。</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4.合同的部分和全部都不得转让。</w:t>
      </w:r>
      <w:r/>
    </w:p>
    <w:p>
      <w:pPr>
        <w:ind w:firstLine="422"/>
        <w:keepLines w:val="0"/>
        <w:keepNext w:val="0"/>
        <w:pageBreakBefore w:val="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十一</w:t>
      </w:r>
      <w:r>
        <w:rPr>
          <w:rFonts w:hint="eastAsia" w:asciiTheme="minorEastAsia" w:hAnsiTheme="minorEastAsia" w:eastAsiaTheme="minorEastAsia" w:cstheme="minorEastAsia"/>
          <w:b/>
          <w:color w:val="auto"/>
          <w:szCs w:val="21"/>
          <w:highlight w:val="none"/>
        </w:rPr>
        <w:t xml:space="preserve">、</w:t>
      </w:r>
      <w:bookmarkStart w:id="36" w:name="_Toc116711414"/>
      <w:r>
        <w:rPr>
          <w:rFonts w:hint="eastAsia" w:asciiTheme="minorEastAsia" w:hAnsiTheme="minorEastAsia" w:eastAsiaTheme="minorEastAsia" w:cstheme="minorEastAsia"/>
          <w:b/>
          <w:bCs/>
          <w:color w:val="auto"/>
          <w:szCs w:val="21"/>
          <w:highlight w:val="none"/>
        </w:rPr>
        <w:t xml:space="preserve">未尽事宜：</w:t>
      </w:r>
      <w:r/>
    </w:p>
    <w:p>
      <w:pPr>
        <w:pStyle w:val="1052"/>
        <w:ind w:firstLine="420"/>
        <w:keepLines w:val="0"/>
        <w:keepNext w:val="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合同在执行过程中出现的未尽事宜，双方在不违背本合同和招标文件的原则下协商解决，协商结果以书面形式盖章记录在案，作为本合同的附件与本合同具有同等效力，但需要向</w:t>
      </w:r>
      <w:r>
        <w:rPr>
          <w:rFonts w:hint="eastAsia" w:asciiTheme="minorEastAsia" w:hAnsiTheme="minorEastAsia" w:eastAsiaTheme="minorEastAsia" w:cstheme="minorEastAsia"/>
          <w:color w:val="auto"/>
          <w:szCs w:val="21"/>
          <w:highlight w:val="none"/>
          <w:lang w:val="en-US" w:eastAsia="zh-CN"/>
        </w:rPr>
        <w:t xml:space="preserve">甲方</w:t>
      </w:r>
      <w:r>
        <w:rPr>
          <w:rFonts w:hint="eastAsia" w:asciiTheme="minorEastAsia" w:hAnsiTheme="minorEastAsia" w:eastAsiaTheme="minorEastAsia" w:cstheme="minorEastAsia"/>
          <w:color w:val="auto"/>
          <w:szCs w:val="21"/>
          <w:highlight w:val="none"/>
        </w:rPr>
        <w:t xml:space="preserve">提交一份备存。</w:t>
      </w:r>
      <w:bookmarkEnd w:id="36"/>
      <w:r/>
      <w:r/>
    </w:p>
    <w:p>
      <w:pPr>
        <w:pStyle w:val="1052"/>
        <w:ind w:firstLine="422"/>
        <w:keepLines w:val="0"/>
        <w:keepNext w:val="0"/>
        <w:pageBreakBefore w:val="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十</w:t>
      </w:r>
      <w:r>
        <w:rPr>
          <w:rFonts w:hint="eastAsia" w:asciiTheme="minorEastAsia" w:hAnsiTheme="minorEastAsia" w:eastAsiaTheme="minorEastAsia" w:cstheme="minorEastAsia"/>
          <w:b/>
          <w:bCs/>
          <w:color w:val="auto"/>
          <w:szCs w:val="21"/>
          <w:highlight w:val="none"/>
          <w:lang w:val="en-US" w:eastAsia="zh-CN"/>
        </w:rPr>
        <w:t xml:space="preserve">二</w:t>
      </w:r>
      <w:r>
        <w:rPr>
          <w:rFonts w:hint="eastAsia" w:asciiTheme="minorEastAsia" w:hAnsiTheme="minorEastAsia" w:eastAsiaTheme="minorEastAsia" w:cstheme="minorEastAsia"/>
          <w:b/>
          <w:bCs/>
          <w:color w:val="auto"/>
          <w:szCs w:val="21"/>
          <w:highlight w:val="none"/>
        </w:rPr>
        <w:t xml:space="preserve">、合同生效及其他：</w:t>
      </w:r>
      <w:r/>
    </w:p>
    <w:p>
      <w:pPr>
        <w:pStyle w:val="1052"/>
        <w:ind w:firstLine="420"/>
        <w:keepLines w:val="0"/>
        <w:keepNext w:val="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1.乙方除应做好职工的安全生产教育外，还应为服务人员提供必要的劳动保护条件，还应为服务</w:t>
      </w:r>
      <w:r>
        <w:rPr>
          <w:rFonts w:hint="eastAsia" w:asciiTheme="minorEastAsia" w:hAnsiTheme="minorEastAsia" w:eastAsiaTheme="minorEastAsia" w:cstheme="minorEastAsia"/>
          <w:color w:val="auto"/>
          <w:szCs w:val="21"/>
          <w:highlight w:val="none"/>
          <w:lang w:val="en-US" w:eastAsia="zh-CN"/>
        </w:rPr>
        <w:t xml:space="preserve">人员</w:t>
      </w:r>
      <w:r>
        <w:rPr>
          <w:rFonts w:hint="eastAsia" w:asciiTheme="minorEastAsia" w:hAnsiTheme="minorEastAsia" w:eastAsiaTheme="minorEastAsia" w:cstheme="minorEastAsia"/>
          <w:color w:val="auto"/>
          <w:szCs w:val="21"/>
          <w:highlight w:val="none"/>
        </w:rPr>
        <w:t xml:space="preserve">办理人身安全保险和意外伤害险，一切安全责任事故均由乙方负责（保险种类由乙方自行选择）；</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2.本合同未尽之处双方协商解决，解决不成，双方向甲方所在地的人民法院提起诉讼。</w:t>
      </w:r>
      <w:r/>
    </w:p>
    <w:p>
      <w:pPr>
        <w:pStyle w:val="1052"/>
        <w:ind w:firstLine="420"/>
        <w:keepLines w:val="0"/>
        <w:keepNext w:val="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3.本合同经双方法定代表人或授权代表签字（或盖章）并经单位盖章后生效，并需在规定时间内进行网上公示。</w:t>
      </w:r>
      <w:r/>
    </w:p>
    <w:p>
      <w:pPr>
        <w:pStyle w:val="1052"/>
        <w:ind w:firstLine="420"/>
        <w:keepLines w:val="0"/>
        <w:keepNext w:val="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4.合同份数：本合同一式陆份，甲方、乙方、采购代理机构各执贰份。</w:t>
      </w:r>
      <w:r/>
    </w:p>
    <w:p>
      <w:pPr>
        <w:ind w:firstLine="420"/>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5.本合同未尽事宜应按《中华人民共和国民法典》、《中华人民共和国政府采购法》以及其它相关法律、法规之规定解释。</w:t>
      </w:r>
      <w:r/>
    </w:p>
    <w:p>
      <w:pPr>
        <w:ind w:firstLine="420"/>
        <w:spacing w:line="360" w:lineRule="auto"/>
        <w:rPr>
          <w:color w:val="auto"/>
          <w:highlight w:val="none"/>
        </w:rPr>
      </w:pPr>
      <w:r>
        <w:rPr>
          <w:color w:val="auto"/>
          <w:highlight w:val="none"/>
        </w:rPr>
      </w:r>
      <w:r/>
    </w:p>
    <w:tbl>
      <w:tblPr>
        <w:tblStyle w:val="999"/>
        <w:tblW w:w="0" w:type="auto"/>
        <w:tblInd w:w="572"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W w:w="46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1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乙方（盖章）：</w:t>
            </w:r>
            <w:r/>
          </w:p>
        </w:tc>
      </w:tr>
      <w:tr>
        <w:trPr>
          <w:trHeight w:val="310"/>
        </w:trPr>
        <w:tc>
          <w:tcPr>
            <w:tcW w:w="46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w:t>
            </w:r>
            <w:r/>
          </w:p>
        </w:tc>
        <w:tc>
          <w:tcPr>
            <w:tcW w:w="41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w:t>
            </w:r>
            <w:r/>
          </w:p>
        </w:tc>
      </w:tr>
      <w:tr>
        <w:trPr>
          <w:trHeight w:val="468"/>
        </w:trPr>
        <w:tc>
          <w:tcPr>
            <w:tcW w:w="46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41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r>
      <w:tr>
        <w:trPr>
          <w:trHeight w:val="468"/>
        </w:trPr>
        <w:tc>
          <w:tcPr>
            <w:tcW w:w="46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1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p>
        </w:tc>
      </w:tr>
      <w:tr>
        <w:trPr>
          <w:trHeight w:val="468"/>
        </w:trPr>
        <w:tc>
          <w:tcPr>
            <w:tcW w:w="46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1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帐号：</w:t>
            </w:r>
            <w:r/>
          </w:p>
        </w:tc>
      </w:tr>
      <w:tr>
        <w:trPr>
          <w:trHeight w:val="468"/>
        </w:trPr>
        <w:tc>
          <w:tcPr>
            <w:tcW w:w="46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c>
          <w:tcPr>
            <w:tcW w:w="41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r>
    </w:tbl>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ind w:right="113"/>
        <w:jc w:val="left"/>
        <w:keepLines w:val="0"/>
        <w:keepNext w:val="0"/>
        <w:pageBreakBefore w:val="0"/>
        <w:spacing w:line="360" w:lineRule="auto"/>
        <w:widowControl w:val="off"/>
        <w:tabs>
          <w:tab w:val="left" w:pos="9240" w:leader="none"/>
        </w:tabs>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附件</w:t>
      </w:r>
      <w:r/>
    </w:p>
    <w:p>
      <w:pPr>
        <w:ind w:right="115"/>
        <w:jc w:val="center"/>
        <w:spacing w:line="360" w:lineRule="auto"/>
        <w:tabs>
          <w:tab w:val="left" w:pos="9240" w:leader="none"/>
        </w:tabs>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考核细则</w:t>
      </w:r>
      <w:r/>
    </w:p>
    <w:tbl>
      <w:tblPr>
        <w:tblStyle w:val="999"/>
        <w:tblW w:w="103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0"/>
        <w:gridCol w:w="1096"/>
        <w:gridCol w:w="6945"/>
        <w:gridCol w:w="883"/>
        <w:gridCol w:w="691"/>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得分</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组织管理</w:t>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巡检工作人员队伍稳定,服务态度好，着装标识统一、佩戴胸牌、车辆安排到位、车辆巡检标识放置规范</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巡查人员出勤率及每日巡查情况上报、法定节假日、双休日值班到位率</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参加绿化中心组织的养护会议次数及会议前准备情况、参加绿化中心组织的养护检查次数和检查质量</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技术管理</w:t>
            </w:r>
            <w:r/>
          </w:p>
        </w:tc>
        <w:tc>
          <w:tcPr>
            <w:shd w:val="clear" w:color="auto" w:fill="auto"/>
            <w:tcBorders>
              <w:top w:val="none" w:color="000000" w:sz="4" w:space="0"/>
              <w:left w:val="none" w:color="000000" w:sz="4" w:space="0"/>
              <w:bottom w:val="single" w:color="000000" w:sz="4" w:space="0"/>
              <w:right w:val="single" w:color="000000" w:sz="4" w:space="0"/>
            </w:tcBorders>
            <w:tcW w:w="694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对城区主要道路绿化、公园绿化的检查覆盖面是否全面；问题反馈是否及时。</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none" w:color="000000" w:sz="4" w:space="0"/>
              <w:bottom w:val="non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对区管范围草花花境的检查覆盖面是否全面；问题反馈是否及时。</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每日巡查情况动态、轨迹上报真实及时。</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对养护路段进行有针对性的养护技术指导或提出有建设性的建议，以书面报告形式上报，每月不少于2次。</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有效提升养护范围内的绿化养护质量，效果佳得5分，效果一般得3分，效果不佳不得分。 </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对未经审批的开挖迁移，巡查人员应及时发现，采取有效措施，立即叫停后报园林绿化中心，及时提出整改通知的</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资料台账</w:t>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高标准完成日志上报，时间及时，内容完善、无缺失</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高质量完成每周工作计划及全覆盖巡查情况书面材料。</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制定每月重点检查计划，当月3日前报园绿中心。绿化检查情况通报（书面通报及PPT汇报）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台账资料归档及时、清楚、完整</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其他方面</w:t>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临时性任务和指令性工作的配合程度，高效完成得10分；基本完成得6分；超时完成3分；不配合得0分。</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工单确认、核实及时得10分；超时得3分；由第三方检查考核单位原因导致工单再交办的得0分。</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6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945" w:type="dxa"/>
            <w:vAlign w:val="center"/>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42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打分人：</w:t>
            </w:r>
            <w:r/>
          </w:p>
        </w:tc>
        <w:tc>
          <w:tcPr>
            <w:shd w:val="clear" w:color="auto" w:fill="auto"/>
            <w:tcBorders>
              <w:top w:val="none" w:color="000000" w:sz="4" w:space="0"/>
              <w:left w:val="none" w:color="000000" w:sz="4" w:space="0"/>
              <w:bottom w:val="none" w:color="000000" w:sz="4" w:space="0"/>
              <w:right w:val="none" w:color="000000" w:sz="4" w:space="0"/>
            </w:tcBorders>
            <w:tcW w:w="6945" w:type="dxa"/>
            <w:vAlign w:val="center"/>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883"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40"/>
        </w:trPr>
        <w:tc>
          <w:tcPr>
            <w:gridSpan w:val="5"/>
            <w:shd w:val="clear" w:color="auto" w:fill="auto"/>
            <w:tcBorders>
              <w:top w:val="none" w:color="000000" w:sz="4" w:space="0"/>
              <w:left w:val="none" w:color="000000" w:sz="4" w:space="0"/>
              <w:bottom w:val="none" w:color="000000" w:sz="4" w:space="0"/>
              <w:right w:val="none" w:color="000000" w:sz="4" w:space="0"/>
            </w:tcBorders>
            <w:tcW w:w="1030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注：绿化巡检服务考核表由考核小组进行评分，每月组织一次考评。</w:t>
            </w:r>
            <w:r/>
          </w:p>
        </w:tc>
      </w:tr>
    </w:tbl>
    <w:p>
      <w:pPr>
        <w:rPr>
          <w:color w:val="auto"/>
          <w:highlight w:val="none"/>
        </w:rPr>
      </w:pPr>
      <w:r>
        <w:rPr>
          <w:color w:val="auto"/>
          <w:highlight w:val="none"/>
        </w:rPr>
      </w:r>
      <w:r/>
    </w:p>
    <w:p>
      <w:pPr>
        <w:pStyle w:val="1050"/>
        <w:ind w:firstLine="420"/>
        <w:rPr>
          <w:color w:val="auto"/>
          <w:highlight w:val="none"/>
        </w:rPr>
      </w:pPr>
      <w:r>
        <w:rPr>
          <w:color w:val="auto"/>
          <w:highlight w:val="none"/>
        </w:rPr>
      </w:r>
      <w:r/>
    </w:p>
    <w:p>
      <w:pPr>
        <w:pStyle w:val="989"/>
        <w:jc w:val="center"/>
        <w:spacing w:line="416" w:lineRule="auto"/>
        <w:rPr>
          <w:rFonts w:hint="eastAsia" w:ascii="宋体" w:hAnsi="宋体" w:cs="宋体"/>
          <w:b w:val="0"/>
          <w:bCs w:val="0"/>
          <w:color w:val="auto"/>
          <w:highlight w:val="none"/>
          <w:lang w:val="en-US"/>
        </w:rPr>
      </w:pPr>
      <w:r/>
      <w:bookmarkStart w:id="37" w:name="_Toc6367"/>
      <w:r/>
      <w:bookmarkStart w:id="38" w:name="_Toc32257"/>
      <w:r>
        <w:rPr>
          <w:rFonts w:hint="eastAsia" w:ascii="宋体" w:hAnsi="宋体" w:cs="宋体"/>
          <w:color w:val="auto"/>
          <w:highlight w:val="none"/>
        </w:rPr>
        <w:t xml:space="preserve">第六章</w:t>
      </w:r>
      <w:r>
        <w:rPr>
          <w:rFonts w:hint="eastAsia" w:ascii="宋体" w:hAnsi="宋体" w:cs="宋体"/>
          <w:color w:val="auto"/>
          <w:highlight w:val="none"/>
          <w:lang w:val="en-US"/>
        </w:rPr>
        <w:t xml:space="preserve"> </w:t>
      </w:r>
      <w:r>
        <w:rPr>
          <w:rFonts w:hint="eastAsia" w:ascii="宋体" w:hAnsi="宋体" w:cs="宋体"/>
          <w:color w:val="auto"/>
          <w:highlight w:val="none"/>
        </w:rPr>
        <w:t xml:space="preserve">附件</w:t>
      </w:r>
      <w:bookmarkEnd w:id="37"/>
      <w:r/>
      <w:bookmarkEnd w:id="38"/>
      <w:r/>
      <w:r/>
    </w:p>
    <w:p>
      <w:pPr>
        <w:spacing w:line="360" w:lineRule="auto"/>
        <w:rPr>
          <w:rFonts w:hint="eastAsia" w:ascii="宋体" w:hAnsi="宋体" w:cs="宋体"/>
          <w:b/>
          <w:bCs/>
          <w:color w:val="auto"/>
          <w:highlight w:val="none"/>
        </w:rPr>
        <w:outlineLvl w:val="1"/>
      </w:pPr>
      <w:r>
        <w:rPr>
          <w:rFonts w:hint="eastAsia" w:ascii="宋体" w:hAnsi="宋体" w:cs="宋体"/>
          <w:b/>
          <w:bCs/>
          <w:color w:val="auto"/>
          <w:highlight w:val="none"/>
        </w:rPr>
        <w:t xml:space="preserve">附件1：</w:t>
      </w:r>
      <w:r>
        <w:rPr>
          <w:rFonts w:hint="eastAsia" w:ascii="宋体" w:hAnsi="宋体" w:cs="宋体"/>
          <w:b/>
          <w:color w:val="auto"/>
          <w:szCs w:val="21"/>
          <w:highlight w:val="none"/>
          <w:lang w:val="zh-CN"/>
        </w:rPr>
        <w:t xml:space="preserve">开标一览表（具体按照“苏采云”系统填报）</w:t>
      </w:r>
      <w:r/>
    </w:p>
    <w:p>
      <w:pPr>
        <w:jc w:val="center"/>
        <w:spacing w:before="240" w:after="240"/>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lang w:val="zh-CN"/>
        </w:rPr>
        <w:t xml:space="preserve">开标一览表</w:t>
      </w:r>
      <w:r/>
    </w:p>
    <w:p>
      <w:pPr>
        <w:jc w:val="left"/>
        <w:spacing w:before="240" w:after="24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w:t>
      </w:r>
      <w:r>
        <w:rPr>
          <w:rFonts w:hint="eastAsia" w:ascii="宋体" w:hAnsi="宋体" w:cs="宋体"/>
          <w:color w:val="auto"/>
          <w:sz w:val="22"/>
          <w:highlight w:val="none"/>
          <w:lang w:val="en-US" w:eastAsia="zh-CN"/>
        </w:rPr>
        <w:t xml:space="preserve">单位</w:t>
      </w:r>
      <w:r>
        <w:rPr>
          <w:rFonts w:ascii="宋体" w:hAnsi="宋体" w:cs="宋体"/>
          <w:color w:val="auto"/>
          <w:sz w:val="22"/>
          <w:highlight w:val="none"/>
        </w:rPr>
        <w:t xml:space="preserve">全称（加盖公章）：</w:t>
      </w:r>
      <w:r/>
    </w:p>
    <w:p>
      <w:pPr>
        <w:jc w:val="left"/>
        <w:spacing w:before="240" w:after="24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项目编号：</w:t>
      </w:r>
      <w:r/>
    </w:p>
    <w:tbl>
      <w:tblPr>
        <w:tblStyle w:val="1028"/>
        <w:tblW w:w="0" w:type="auto"/>
        <w:tblInd w:w="59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0"/>
        <w:gridCol w:w="4575"/>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jc w:val="left"/>
              <w:spacing w:line="85" w:lineRule="atLeast"/>
              <w:rPr>
                <w:rFonts w:ascii="Calibri" w:hAnsi="Calibri" w:eastAsia="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Times New Roman" w:cs="宋体"/>
                <w:color w:val="auto"/>
                <w:sz w:val="22"/>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5" w:type="dxa"/>
            <w:vAlign w:val="center"/>
            <w:textDirection w:val="lrTb"/>
            <w:noWrap w:val="false"/>
          </w:tcPr>
          <w:p>
            <w:pPr>
              <w:jc w:val="left"/>
              <w:spacing w:line="85" w:lineRule="atLeast"/>
              <w:rPr>
                <w:rFonts w:ascii="Calibri" w:hAnsi="Calibri" w:eastAsia="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Times New Roman" w:cs="宋体"/>
                <w:color w:val="auto"/>
                <w:sz w:val="22"/>
                <w:highlight w:val="none"/>
              </w:rPr>
              <w:t xml:space="preserve">报价（元）</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jc w:val="left"/>
              <w:spacing w:line="85" w:lineRule="atLeast"/>
              <w:rPr>
                <w:rFonts w:ascii="Calibri" w:hAnsi="Calibri" w:eastAsia="Times New Roman"/>
                <w:color w:val="auto"/>
                <w:sz w:val="24"/>
                <w:highlight w:val="none"/>
              </w:rPr>
              <w:pBdr>
                <w:top w:val="none" w:color="000000" w:sz="0" w:space="0"/>
                <w:left w:val="none" w:color="000000" w:sz="0" w:space="0"/>
                <w:bottom w:val="none" w:color="000000" w:sz="0" w:space="0"/>
                <w:right w:val="none" w:color="000000" w:sz="0" w:space="0"/>
              </w:pBdr>
            </w:pPr>
            <w:r>
              <w:rPr>
                <w:rFonts w:ascii="Calibri" w:hAnsi="Calibri" w:eastAsia="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5" w:type="dxa"/>
            <w:vAlign w:val="center"/>
            <w:textDirection w:val="lrTb"/>
            <w:noWrap w:val="false"/>
          </w:tcPr>
          <w:p>
            <w:pPr>
              <w:jc w:val="left"/>
              <w:spacing w:line="85" w:lineRule="atLeast"/>
              <w:rPr>
                <w:rFonts w:ascii="Calibri" w:hAnsi="Calibri" w:eastAsia="Times New Roman"/>
                <w:color w:val="auto"/>
                <w:sz w:val="24"/>
                <w:highlight w:val="none"/>
              </w:rPr>
              <w:pBdr>
                <w:top w:val="none" w:color="000000" w:sz="0" w:space="0"/>
                <w:left w:val="none" w:color="000000" w:sz="0" w:space="0"/>
                <w:bottom w:val="none" w:color="000000" w:sz="0" w:space="0"/>
                <w:right w:val="none" w:color="000000" w:sz="0" w:space="0"/>
              </w:pBdr>
            </w:pPr>
            <w:r>
              <w:rPr>
                <w:rFonts w:ascii="Calibri" w:hAnsi="Calibri" w:eastAsia="Times New Roman"/>
                <w:color w:val="auto"/>
                <w:sz w:val="24"/>
                <w:highlight w:val="none"/>
              </w:rPr>
            </w:r>
            <w:r/>
          </w:p>
        </w:tc>
      </w:tr>
      <w:tr>
        <w:trPr>
          <w:trHeight w:val="61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5" w:type="dxa"/>
            <w:vAlign w:val="center"/>
            <w:textDirection w:val="lrTb"/>
            <w:noWrap w:val="false"/>
          </w:tcPr>
          <w:p>
            <w:pPr>
              <w:jc w:val="left"/>
              <w:spacing w:line="85" w:lineRule="atLeast"/>
              <w:rPr>
                <w:rFonts w:hint="default" w:ascii="Calibri" w:hAnsi="Calibri" w:eastAsia="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响应报价</w:t>
            </w:r>
            <w:r>
              <w:rPr>
                <w:rFonts w:hint="eastAsia" w:ascii="宋体" w:hAnsi="宋体" w:eastAsia="Times New Roman" w:cs="宋体"/>
                <w:color w:val="auto"/>
                <w:sz w:val="22"/>
                <w:highlight w:val="none"/>
              </w:rPr>
              <w:t xml:space="preserve">：</w:t>
            </w:r>
            <w:r>
              <w:rPr>
                <w:rFonts w:hint="eastAsia" w:ascii="宋体" w:hAnsi="宋体" w:eastAsia="宋体" w:cs="宋体"/>
                <w:color w:val="auto"/>
                <w:sz w:val="22"/>
                <w:highlight w:val="none"/>
                <w:lang w:val="en-US" w:eastAsia="zh-CN"/>
              </w:rPr>
              <w:t xml:space="preserve">人民币    （</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 w:val="22"/>
                <w:highlight w:val="none"/>
                <w:lang w:val="en-US" w:eastAsia="zh-CN"/>
              </w:rPr>
              <w:t xml:space="preserve">     ）</w:t>
            </w:r>
            <w:r/>
          </w:p>
        </w:tc>
      </w:tr>
    </w:tbl>
    <w:p>
      <w:pPr>
        <w:ind w:right="300" w:firstLine="440"/>
        <w:spacing w:line="360" w:lineRule="auto"/>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2"/>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br w:type="page" w:clear="all"/>
      </w:r>
      <w:r/>
    </w:p>
    <w:p>
      <w:pPr>
        <w:keepLines w:val="0"/>
        <w:keepNext w:val="0"/>
        <w:pageBreakBefore w:val="0"/>
        <w:widowControl w:val="off"/>
        <w:rPr>
          <w:rFonts w:hint="eastAsia" w:ascii="宋体" w:hAnsi="宋体" w:cs="宋体"/>
          <w:b/>
          <w:bCs/>
          <w:color w:val="auto"/>
          <w:highlight w:val="none"/>
          <w:lang w:val="en-US" w:eastAsia="zh-CN"/>
        </w:rPr>
        <w:outlineLvl w:val="1"/>
      </w:pPr>
      <w:r>
        <w:rPr>
          <w:rFonts w:hint="eastAsia" w:ascii="宋体" w:hAnsi="宋体" w:cs="宋体"/>
          <w:b/>
          <w:bCs/>
          <w:color w:val="auto"/>
          <w:highlight w:val="none"/>
        </w:rPr>
        <w:t xml:space="preserve">附件2</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响应报价明细表</w:t>
      </w:r>
      <w:r/>
    </w:p>
    <w:p>
      <w:pPr>
        <w:jc w:val="center"/>
        <w:rPr>
          <w:rFonts w:ascii="宋体" w:hAnsi="宋体"/>
          <w:color w:val="auto"/>
          <w:szCs w:val="21"/>
          <w:highlight w:val="none"/>
          <w:u w:val="single"/>
        </w:rPr>
      </w:pPr>
      <w:r>
        <w:rPr>
          <w:rFonts w:hint="eastAsia" w:ascii="宋体" w:hAnsi="宋体" w:cs="宋体"/>
          <w:b/>
          <w:bCs/>
          <w:color w:val="auto"/>
          <w:highlight w:val="none"/>
          <w:lang w:val="en-US" w:eastAsia="zh-CN"/>
        </w:rPr>
        <w:t xml:space="preserve">响应报价明细表</w:t>
      </w:r>
      <w:r/>
    </w:p>
    <w:tbl>
      <w:tblPr>
        <w:tblStyle w:val="99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2142"/>
        <w:gridCol w:w="1289"/>
        <w:gridCol w:w="1289"/>
        <w:gridCol w:w="1289"/>
        <w:gridCol w:w="1290"/>
        <w:gridCol w:w="1300"/>
      </w:tblGrid>
      <w:tr>
        <w:trPr>
          <w:cantSplit/>
          <w:jc w:val="center"/>
          <w:trHeight w:val="50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单价</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元</w:t>
            </w:r>
            <w:r>
              <w:rPr>
                <w:rFonts w:hint="eastAsia" w:ascii="宋体" w:hAnsi="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总价</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元</w:t>
            </w:r>
            <w:r>
              <w:rPr>
                <w:rFonts w:hint="eastAsia" w:ascii="宋体" w:hAnsi="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8"/>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响应报价</w:t>
            </w:r>
            <w:r>
              <w:rPr>
                <w:rFonts w:hint="eastAsia" w:ascii="宋体" w:hAnsi="宋体" w:eastAsia="Times New Roman" w:cs="宋体"/>
                <w:color w:val="auto"/>
                <w:sz w:val="22"/>
                <w:highlight w:val="none"/>
              </w:rPr>
              <w:t xml:space="preserve">：</w:t>
            </w:r>
            <w:r>
              <w:rPr>
                <w:rFonts w:hint="eastAsia" w:ascii="宋体" w:hAnsi="宋体" w:eastAsia="宋体" w:cs="宋体"/>
                <w:color w:val="auto"/>
                <w:sz w:val="22"/>
                <w:highlight w:val="none"/>
                <w:lang w:val="en-US" w:eastAsia="zh-CN"/>
              </w:rPr>
              <w:t xml:space="preserve">人民币    （</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 w:val="22"/>
                <w:highlight w:val="none"/>
                <w:lang w:val="en-US" w:eastAsia="zh-CN"/>
              </w:rPr>
              <w:t xml:space="preserve">     ）</w:t>
            </w:r>
            <w:r/>
          </w:p>
        </w:tc>
      </w:tr>
    </w:tbl>
    <w:p>
      <w:pPr>
        <w:pStyle w:val="1050"/>
        <w:ind w:firstLine="479"/>
        <w:spacing w:line="360" w:lineRule="auto"/>
        <w:rPr>
          <w:b/>
          <w:color w:val="auto"/>
          <w:szCs w:val="21"/>
          <w:highlight w:val="none"/>
        </w:rPr>
      </w:pPr>
      <w:r>
        <w:rPr>
          <w:rFonts w:hint="eastAsia"/>
          <w:b/>
          <w:color w:val="auto"/>
          <w:szCs w:val="21"/>
          <w:highlight w:val="none"/>
        </w:rPr>
        <w:t xml:space="preserve">注：</w:t>
      </w:r>
      <w:r/>
    </w:p>
    <w:p>
      <w:pPr>
        <w:pStyle w:val="1050"/>
        <w:ind w:firstLine="479"/>
        <w:spacing w:line="360" w:lineRule="auto"/>
        <w:rPr>
          <w:b/>
          <w:color w:val="auto"/>
          <w:szCs w:val="21"/>
          <w:highlight w:val="none"/>
        </w:rPr>
      </w:pPr>
      <w:r>
        <w:rPr>
          <w:rFonts w:hint="eastAsia"/>
          <w:b/>
          <w:color w:val="auto"/>
          <w:szCs w:val="21"/>
          <w:highlight w:val="none"/>
        </w:rPr>
        <w:t xml:space="preserve">1</w:t>
      </w:r>
      <w:r>
        <w:rPr>
          <w:rFonts w:hint="eastAsia"/>
          <w:b/>
          <w:color w:val="auto"/>
          <w:szCs w:val="21"/>
          <w:highlight w:val="none"/>
          <w:lang w:val="en-US" w:eastAsia="zh-CN"/>
        </w:rPr>
        <w:t xml:space="preserve">.</w:t>
      </w:r>
      <w:r>
        <w:rPr>
          <w:rFonts w:hint="eastAsia"/>
          <w:b/>
          <w:color w:val="auto"/>
          <w:szCs w:val="21"/>
          <w:highlight w:val="none"/>
        </w:rPr>
        <w:t xml:space="preserve">以上表格仅供参考，</w:t>
      </w:r>
      <w:r>
        <w:rPr>
          <w:rFonts w:hint="eastAsia"/>
          <w:b/>
          <w:color w:val="auto"/>
          <w:szCs w:val="21"/>
          <w:highlight w:val="none"/>
          <w:lang w:val="en-US" w:eastAsia="zh-CN"/>
        </w:rPr>
        <w:t xml:space="preserve">供应商</w:t>
      </w:r>
      <w:r>
        <w:rPr>
          <w:rFonts w:hint="eastAsia"/>
          <w:b/>
          <w:color w:val="auto"/>
          <w:szCs w:val="21"/>
          <w:highlight w:val="none"/>
        </w:rPr>
        <w:t xml:space="preserve">可根据实际费用构成自行拟制。</w:t>
      </w:r>
      <w:r/>
    </w:p>
    <w:p>
      <w:pPr>
        <w:pStyle w:val="1050"/>
        <w:ind w:firstLine="479"/>
        <w:spacing w:line="360" w:lineRule="auto"/>
        <w:rPr>
          <w:b/>
          <w:color w:val="auto"/>
          <w:szCs w:val="21"/>
          <w:highlight w:val="none"/>
        </w:rPr>
      </w:pPr>
      <w:r>
        <w:rPr>
          <w:b/>
          <w:color w:val="auto"/>
          <w:szCs w:val="21"/>
          <w:highlight w:val="none"/>
        </w:rPr>
        <w:t xml:space="preserve">2</w:t>
      </w:r>
      <w:r>
        <w:rPr>
          <w:rFonts w:hint="eastAsia"/>
          <w:b/>
          <w:color w:val="auto"/>
          <w:szCs w:val="21"/>
          <w:highlight w:val="none"/>
          <w:lang w:val="en-US" w:eastAsia="zh-CN"/>
        </w:rPr>
        <w:t xml:space="preserve">.</w:t>
      </w:r>
      <w:r>
        <w:rPr>
          <w:rFonts w:hint="eastAsia"/>
          <w:b/>
          <w:color w:val="auto"/>
          <w:szCs w:val="21"/>
          <w:highlight w:val="none"/>
        </w:rPr>
        <w:t xml:space="preserve">此表合计金额须与开标一览表所报金额保持一致，若不一致的，以开标一览表为准。</w:t>
      </w:r>
      <w:r/>
    </w:p>
    <w:p>
      <w:pPr>
        <w:ind w:right="-210"/>
        <w:jc w:val="right"/>
        <w:rPr>
          <w:rFonts w:ascii="宋体" w:hAnsi="宋体" w:cs="宋体"/>
          <w:color w:val="auto"/>
          <w:szCs w:val="21"/>
          <w:highlight w:val="none"/>
        </w:rPr>
      </w:pPr>
      <w:r>
        <w:rPr>
          <w:rFonts w:ascii="宋体" w:hAnsi="宋体" w:cs="宋体"/>
          <w:color w:val="auto"/>
          <w:szCs w:val="21"/>
          <w:highlight w:val="none"/>
        </w:rPr>
      </w:r>
      <w:r/>
    </w:p>
    <w:p>
      <w:pPr>
        <w:ind w:right="-210"/>
        <w:jc w:val="right"/>
        <w:rPr>
          <w:rFonts w:ascii="宋体" w:hAnsi="宋体" w:cs="宋体"/>
          <w:color w:val="auto"/>
          <w:szCs w:val="21"/>
          <w:highlight w:val="none"/>
        </w:rPr>
      </w:pPr>
      <w:r>
        <w:rPr>
          <w:rFonts w:ascii="宋体" w:hAnsi="宋体" w:cs="宋体"/>
          <w:color w:val="auto"/>
          <w:szCs w:val="21"/>
          <w:highlight w:val="none"/>
        </w:rPr>
      </w:r>
      <w:r/>
    </w:p>
    <w:p>
      <w:pPr>
        <w:ind w:right="-210"/>
        <w:jc w:val="right"/>
        <w:rPr>
          <w:rFonts w:ascii="宋体" w:hAnsi="宋体" w:cs="宋体"/>
          <w:color w:val="auto"/>
          <w:szCs w:val="21"/>
          <w:highlight w:val="none"/>
        </w:rPr>
      </w:pPr>
      <w:r>
        <w:rPr>
          <w:rFonts w:ascii="宋体" w:hAnsi="宋体" w:cs="宋体"/>
          <w:color w:val="auto"/>
          <w:szCs w:val="21"/>
          <w:highlight w:val="none"/>
        </w:rPr>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p>
    <w:p>
      <w:pPr>
        <w:spacing w:line="500" w:lineRule="exact"/>
        <w:rPr>
          <w:rFonts w:hint="eastAsia" w:hAnsi="宋体" w:cs="宋体"/>
          <w:color w:val="auto"/>
          <w:highlight w:val="none"/>
        </w:rPr>
        <w:sectPr>
          <w:footnotePr/>
          <w:endnotePr/>
          <w:type w:val="nextPage"/>
          <w:pgSz w:w="11906" w:h="16838" w:orient="portrait"/>
          <w:pgMar w:top="1440" w:right="1049" w:bottom="1134" w:left="1179" w:header="851" w:footer="992" w:gutter="0"/>
          <w:cols w:num="1" w:sep="0" w:space="720" w:equalWidth="1"/>
          <w:docGrid w:linePitch="360"/>
        </w:sectPr>
      </w:pPr>
      <w:r>
        <w:rPr>
          <w:rFonts w:hint="eastAsia" w:ascii="宋体" w:hAnsi="宋体" w:cs="宋体"/>
          <w:color w:val="auto"/>
          <w:szCs w:val="21"/>
          <w:highlight w:val="none"/>
        </w:rPr>
        <w:t xml:space="preserve">日期：     年     月    日</w:t>
      </w:r>
      <w:r/>
    </w:p>
    <w:p>
      <w:pPr>
        <w:ind w:right="615"/>
        <w:jc w:val="both"/>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hint="eastAsia" w:ascii="宋体" w:hAnsi="宋体" w:cs="宋体"/>
          <w:b/>
          <w:bCs/>
          <w:color w:val="auto"/>
          <w:highlight w:val="none"/>
        </w:rPr>
        <w:outlineLvl w:val="1"/>
      </w:pPr>
      <w:r>
        <w:rPr>
          <w:rFonts w:hint="eastAsia" w:ascii="宋体" w:hAnsi="宋体" w:cs="宋体"/>
          <w:b/>
          <w:bCs/>
          <w:color w:val="auto"/>
          <w:highlight w:val="none"/>
        </w:rPr>
        <w:t xml:space="preserve">附件</w:t>
      </w: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关于</w:t>
      </w:r>
      <w:r>
        <w:rPr>
          <w:rFonts w:hint="eastAsia" w:ascii="宋体" w:hAnsi="宋体" w:cs="宋体"/>
          <w:b/>
          <w:bCs/>
          <w:color w:val="auto"/>
          <w:highlight w:val="none"/>
          <w:lang w:val="zh-CN"/>
        </w:rPr>
        <w:t xml:space="preserve">资格文件声明函</w:t>
      </w:r>
      <w:r/>
    </w:p>
    <w:p>
      <w:pPr>
        <w:ind w:firstLine="420"/>
        <w:jc w:val="center"/>
        <w:rPr>
          <w:rFonts w:ascii="宋体" w:hAnsi="宋体"/>
          <w:b/>
          <w:color w:val="auto"/>
          <w:szCs w:val="21"/>
          <w:highlight w:val="none"/>
        </w:rPr>
      </w:pPr>
      <w:r>
        <w:rPr>
          <w:rFonts w:ascii="宋体" w:hAnsi="宋体"/>
          <w:b/>
          <w:color w:val="auto"/>
          <w:szCs w:val="21"/>
          <w:highlight w:val="none"/>
        </w:rPr>
      </w:r>
      <w:r/>
    </w:p>
    <w:p>
      <w:pPr>
        <w:ind w:firstLine="420"/>
        <w:jc w:val="center"/>
        <w:rPr>
          <w:rFonts w:ascii="宋体" w:hAnsi="宋体"/>
          <w:b/>
          <w:color w:val="auto"/>
          <w:szCs w:val="21"/>
          <w:highlight w:val="none"/>
        </w:rPr>
      </w:pPr>
      <w:r>
        <w:rPr>
          <w:rFonts w:ascii="宋体" w:hAnsi="宋体"/>
          <w:b/>
          <w:color w:val="auto"/>
          <w:szCs w:val="21"/>
          <w:highlight w:val="none"/>
        </w:rPr>
        <w:t xml:space="preserve">关于资格文件的声明函</w:t>
      </w:r>
      <w:r/>
    </w:p>
    <w:p>
      <w:pPr>
        <w:ind w:firstLine="420"/>
        <w:jc w:val="center"/>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u w:val="single"/>
          <w:lang w:val="en-US" w:eastAsia="zh-CN"/>
        </w:rPr>
        <w:t xml:space="preserve"> </w:t>
      </w:r>
      <w:r>
        <w:rPr>
          <w:rFonts w:hint="eastAsia" w:ascii="宋体" w:hAnsi="宋体" w:cs="宋体"/>
          <w:color w:val="auto"/>
          <w:szCs w:val="21"/>
          <w:highlight w:val="none"/>
          <w:u w:val="single"/>
          <w:lang w:eastAsia="zh-CN"/>
        </w:rPr>
        <w:t xml:space="preserve">江苏鸿渐投资咨询管理有限公司</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本公司愿就由贵</w:t>
      </w:r>
      <w:r>
        <w:rPr>
          <w:rFonts w:hint="eastAsia" w:ascii="宋体" w:hAnsi="宋体"/>
          <w:color w:val="auto"/>
          <w:szCs w:val="21"/>
          <w:highlight w:val="none"/>
        </w:rPr>
        <w:t xml:space="preserve">公司</w:t>
      </w:r>
      <w:r>
        <w:rPr>
          <w:rFonts w:ascii="宋体" w:hAnsi="宋体"/>
          <w:color w:val="auto"/>
          <w:szCs w:val="21"/>
          <w:highlight w:val="none"/>
        </w:rPr>
        <w:t xml:space="preserve">组织实施的编号为</w:t>
      </w:r>
      <w:r>
        <w:rPr>
          <w:rFonts w:ascii="宋体" w:hAnsi="宋体"/>
          <w:color w:val="auto"/>
          <w:szCs w:val="21"/>
          <w:highlight w:val="none"/>
          <w:u w:val="single"/>
        </w:rPr>
        <w:t xml:space="preserve">              </w:t>
      </w:r>
      <w:r>
        <w:rPr>
          <w:rFonts w:ascii="宋体" w:hAnsi="宋体"/>
          <w:color w:val="auto"/>
          <w:szCs w:val="21"/>
          <w:highlight w:val="none"/>
        </w:rPr>
        <w:t xml:space="preserve">号的</w:t>
      </w:r>
      <w:r>
        <w:rPr>
          <w:rFonts w:hint="eastAsia" w:ascii="宋体" w:hAnsi="宋体"/>
          <w:color w:val="auto"/>
          <w:szCs w:val="21"/>
          <w:highlight w:val="none"/>
        </w:rPr>
        <w:t xml:space="preserve">磋商采购</w:t>
      </w:r>
      <w:r>
        <w:rPr>
          <w:rFonts w:ascii="宋体" w:hAnsi="宋体"/>
          <w:color w:val="auto"/>
          <w:szCs w:val="21"/>
          <w:highlight w:val="none"/>
        </w:rPr>
        <w:t xml:space="preserve">活动进行</w:t>
      </w:r>
      <w:r>
        <w:rPr>
          <w:rFonts w:hint="eastAsia" w:ascii="宋体" w:hAnsi="宋体"/>
          <w:color w:val="auto"/>
          <w:szCs w:val="21"/>
          <w:highlight w:val="none"/>
        </w:rPr>
        <w:t xml:space="preserve">响应</w:t>
      </w:r>
      <w:r>
        <w:rPr>
          <w:rFonts w:ascii="宋体" w:hAnsi="宋体"/>
          <w:color w:val="auto"/>
          <w:szCs w:val="21"/>
          <w:highlight w:val="none"/>
        </w:rPr>
        <w:t xml:space="preserve">。本公司所提交的</w:t>
      </w:r>
      <w:r>
        <w:rPr>
          <w:rFonts w:hint="eastAsia" w:ascii="宋体" w:hAnsi="宋体"/>
          <w:color w:val="auto"/>
          <w:szCs w:val="21"/>
          <w:highlight w:val="none"/>
        </w:rPr>
        <w:t xml:space="preserve">响应</w:t>
      </w:r>
      <w:r>
        <w:rPr>
          <w:rFonts w:ascii="宋体" w:hAnsi="宋体"/>
          <w:color w:val="auto"/>
          <w:szCs w:val="21"/>
          <w:highlight w:val="none"/>
        </w:rPr>
        <w:t xml:space="preserve">文件中所有关于</w:t>
      </w:r>
      <w:r>
        <w:rPr>
          <w:rFonts w:hint="eastAsia" w:ascii="宋体" w:hAnsi="宋体"/>
          <w:color w:val="auto"/>
          <w:szCs w:val="21"/>
          <w:highlight w:val="none"/>
        </w:rPr>
        <w:t xml:space="preserve">磋商</w:t>
      </w:r>
      <w:r>
        <w:rPr>
          <w:rFonts w:ascii="宋体" w:hAnsi="宋体"/>
          <w:color w:val="auto"/>
          <w:szCs w:val="21"/>
          <w:highlight w:val="none"/>
        </w:rPr>
        <w:t xml:space="preserve">资格的文件、证明和陈述均是真实的、准确的。若与真实情况不符，本公司愿意承担由此而产生的一切后果。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052"/>
        <w:rPr>
          <w:rFonts w:hint="eastAsia" w:hAnsi="宋体" w:cs="宋体"/>
          <w:color w:val="auto"/>
          <w:highlight w:val="none"/>
        </w:rPr>
        <w:sectPr>
          <w:footnotePr/>
          <w:endnotePr/>
          <w:type w:val="nextPage"/>
          <w:pgSz w:w="11906" w:h="16838" w:orient="portrait"/>
          <w:pgMar w:top="1440" w:right="1049" w:bottom="1134" w:left="1179" w:header="851" w:footer="992" w:gutter="0"/>
          <w:cols w:num="1" w:sep="0" w:space="720" w:equalWidth="1"/>
          <w:docGrid w:linePitch="360"/>
        </w:sectPr>
      </w:pPr>
      <w:r>
        <w:rPr>
          <w:rFonts w:hint="eastAsia" w:hAnsi="宋体" w:cs="宋体"/>
          <w:color w:val="auto"/>
          <w:highlight w:val="none"/>
        </w:rPr>
      </w:r>
      <w:r/>
    </w:p>
    <w:p>
      <w:pPr>
        <w:spacing w:line="360" w:lineRule="auto"/>
        <w:rPr>
          <w:rFonts w:hint="eastAsia" w:ascii="宋体" w:hAnsi="宋体" w:cs="宋体"/>
          <w:b/>
          <w:bCs/>
          <w:color w:val="auto"/>
          <w:szCs w:val="21"/>
          <w:highlight w:val="none"/>
        </w:rPr>
        <w:outlineLvl w:val="1"/>
      </w:pPr>
      <w:r>
        <w:rPr>
          <w:rFonts w:hint="eastAsia" w:ascii="宋体" w:hAnsi="宋体" w:cs="宋体"/>
          <w:b/>
          <w:bCs/>
          <w:color w:val="auto"/>
          <w:highlight w:val="none"/>
        </w:rPr>
        <w:t xml:space="preserve">附件</w:t>
      </w: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：响应单位情况表</w:t>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w:t>
      </w:r>
      <w:r>
        <w:rPr>
          <w:rFonts w:hint="eastAsia" w:ascii="宋体" w:hAnsi="宋体" w:cs="宋体"/>
          <w:b/>
          <w:color w:val="auto"/>
          <w:szCs w:val="21"/>
          <w:highlight w:val="none"/>
        </w:rPr>
        <w:t xml:space="preserve">    响应单位情况表</w:t>
      </w:r>
      <w:r/>
    </w:p>
    <w:tbl>
      <w:tblPr>
        <w:tblStyle w:val="999"/>
        <w:tblW w:w="96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060"/>
        <w:gridCol w:w="1980"/>
        <w:gridCol w:w="1461"/>
        <w:gridCol w:w="2056"/>
        <w:gridCol w:w="1082"/>
      </w:tblGrid>
      <w:tr>
        <w:trPr>
          <w:cantSplit/>
          <w:jc w:val="center"/>
          <w:trHeight w:val="57"/>
        </w:trPr>
        <w:tc>
          <w:tcPr>
            <w:tcW w:w="306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法定代表人</w:t>
            </w:r>
            <w:r/>
          </w:p>
        </w:tc>
        <w:tc>
          <w:tcPr>
            <w:tcW w:w="198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c>
          <w:tcPr>
            <w:tcW w:w="1461"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成立日期</w:t>
            </w:r>
            <w:r/>
          </w:p>
        </w:tc>
        <w:tc>
          <w:tcPr>
            <w:gridSpan w:val="2"/>
            <w:tcW w:w="3138"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r>
      <w:tr>
        <w:trPr>
          <w:cantSplit/>
          <w:jc w:val="center"/>
          <w:trHeight w:val="57"/>
        </w:trPr>
        <w:tc>
          <w:tcPr>
            <w:tcW w:w="306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企业地址</w:t>
            </w:r>
            <w:r/>
          </w:p>
        </w:tc>
        <w:tc>
          <w:tcPr>
            <w:tcW w:w="198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c>
          <w:tcPr>
            <w:tcW w:w="1461"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注册资本</w:t>
            </w:r>
            <w:r/>
          </w:p>
        </w:tc>
        <w:tc>
          <w:tcPr>
            <w:gridSpan w:val="2"/>
            <w:tcW w:w="3138" w:type="dxa"/>
            <w:textDirection w:val="lrTb"/>
            <w:noWrap w:val="false"/>
          </w:tcPr>
          <w:p>
            <w:pPr>
              <w:pStyle w:val="1001"/>
              <w:ind w:firstLine="216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万元</w:t>
            </w:r>
            <w:r/>
          </w:p>
        </w:tc>
      </w:tr>
      <w:tr>
        <w:trPr>
          <w:cantSplit/>
          <w:jc w:val="center"/>
          <w:trHeight w:val="57"/>
        </w:trPr>
        <w:tc>
          <w:tcPr>
            <w:tcW w:w="306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经营范围</w:t>
            </w:r>
            <w:r/>
          </w:p>
        </w:tc>
        <w:tc>
          <w:tcPr>
            <w:gridSpan w:val="4"/>
            <w:tcW w:w="6579"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r>
      <w:tr>
        <w:trPr>
          <w:cantSplit/>
          <w:jc w:val="center"/>
          <w:trHeight w:val="57"/>
        </w:trPr>
        <w:tc>
          <w:tcPr>
            <w:tcW w:w="306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职工人数</w:t>
            </w:r>
            <w:r/>
          </w:p>
        </w:tc>
        <w:tc>
          <w:tcPr>
            <w:tcW w:w="198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c>
          <w:tcPr>
            <w:gridSpan w:val="2"/>
            <w:tcW w:w="3517"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其中：有中高级以上职称的人数</w:t>
            </w:r>
            <w:r/>
          </w:p>
        </w:tc>
        <w:tc>
          <w:tcPr>
            <w:tcW w:w="1082"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r>
      <w:tr>
        <w:trPr>
          <w:cantSplit/>
          <w:jc w:val="center"/>
          <w:trHeight w:val="57"/>
        </w:trPr>
        <w:tc>
          <w:tcPr>
            <w:tcW w:w="3060" w:type="dxa"/>
            <w:vAlign w:val="center"/>
            <w:textDirection w:val="lrTb"/>
            <w:noWrap w:val="false"/>
          </w:tcPr>
          <w:p>
            <w:pPr>
              <w:pStyle w:val="1001"/>
              <w:ind w:firstLine="0"/>
              <w:jc w:val="both"/>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资产总计</w:t>
            </w:r>
            <w:r/>
          </w:p>
        </w:tc>
        <w:tc>
          <w:tcPr>
            <w:tcW w:w="1980" w:type="dxa"/>
            <w:vAlign w:val="center"/>
            <w:textDirection w:val="lrTb"/>
            <w:noWrap w:val="false"/>
          </w:tcPr>
          <w:p>
            <w:pPr>
              <w:pStyle w:val="1001"/>
              <w:ind w:firstLine="0"/>
              <w:jc w:val="center"/>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      万元</w:t>
            </w:r>
            <w:r/>
          </w:p>
        </w:tc>
        <w:tc>
          <w:tcPr>
            <w:tcW w:w="1461" w:type="dxa"/>
            <w:vAlign w:val="center"/>
            <w:textDirection w:val="lrTb"/>
            <w:noWrap w:val="false"/>
          </w:tcPr>
          <w:p>
            <w:pPr>
              <w:pStyle w:val="1001"/>
              <w:ind w:firstLine="0"/>
              <w:jc w:val="both"/>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净资产</w:t>
            </w:r>
            <w:r/>
          </w:p>
        </w:tc>
        <w:tc>
          <w:tcPr>
            <w:gridSpan w:val="2"/>
            <w:tcW w:w="3138" w:type="dxa"/>
            <w:vAlign w:val="center"/>
            <w:textDirection w:val="lrTb"/>
            <w:noWrap w:val="false"/>
          </w:tcPr>
          <w:p>
            <w:pPr>
              <w:pStyle w:val="1001"/>
              <w:ind w:firstLine="0"/>
              <w:jc w:val="center"/>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万元</w:t>
            </w:r>
            <w:r/>
          </w:p>
        </w:tc>
      </w:tr>
      <w:tr>
        <w:trPr>
          <w:cantSplit/>
          <w:jc w:val="center"/>
          <w:trHeight w:val="57"/>
        </w:trPr>
        <w:tc>
          <w:tcPr>
            <w:tcW w:w="3060" w:type="dxa"/>
            <w:vAlign w:val="center"/>
            <w:textDirection w:val="lrTb"/>
            <w:noWrap w:val="false"/>
          </w:tcPr>
          <w:p>
            <w:pPr>
              <w:pStyle w:val="1001"/>
              <w:ind w:firstLine="0"/>
              <w:jc w:val="both"/>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股东权益</w:t>
            </w:r>
            <w:r/>
          </w:p>
        </w:tc>
        <w:tc>
          <w:tcPr>
            <w:tcW w:w="1980" w:type="dxa"/>
            <w:vAlign w:val="center"/>
            <w:textDirection w:val="lrTb"/>
            <w:noWrap w:val="false"/>
          </w:tcPr>
          <w:p>
            <w:pPr>
              <w:pStyle w:val="1001"/>
              <w:ind w:firstLine="0"/>
              <w:jc w:val="center"/>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     万元</w:t>
            </w:r>
            <w:r/>
          </w:p>
        </w:tc>
        <w:tc>
          <w:tcPr>
            <w:tcW w:w="1461" w:type="dxa"/>
            <w:vAlign w:val="center"/>
            <w:textDirection w:val="lrTb"/>
            <w:noWrap w:val="false"/>
          </w:tcPr>
          <w:p>
            <w:pPr>
              <w:pStyle w:val="1001"/>
              <w:ind w:firstLine="0"/>
              <w:jc w:val="both"/>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销售收入</w:t>
            </w:r>
            <w:r/>
          </w:p>
        </w:tc>
        <w:tc>
          <w:tcPr>
            <w:gridSpan w:val="2"/>
            <w:tcW w:w="3138" w:type="dxa"/>
            <w:vAlign w:val="center"/>
            <w:textDirection w:val="lrTb"/>
            <w:noWrap w:val="false"/>
          </w:tcPr>
          <w:p>
            <w:pPr>
              <w:pStyle w:val="1001"/>
              <w:ind w:firstLine="0"/>
              <w:jc w:val="center"/>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年          万元</w:t>
            </w:r>
            <w:r/>
          </w:p>
        </w:tc>
      </w:tr>
      <w:tr>
        <w:trPr>
          <w:cantSplit/>
          <w:jc w:val="center"/>
          <w:trHeight w:val="57"/>
        </w:trPr>
        <w:tc>
          <w:tcPr>
            <w:tcW w:w="306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实现利润</w:t>
            </w:r>
            <w:r/>
          </w:p>
        </w:tc>
        <w:tc>
          <w:tcPr>
            <w:tcW w:w="1980" w:type="dxa"/>
            <w:textDirection w:val="lrTb"/>
            <w:noWrap w:val="false"/>
          </w:tcPr>
          <w:p>
            <w:pPr>
              <w:pStyle w:val="1001"/>
              <w:ind w:firstLine="63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年  万元</w:t>
            </w:r>
            <w:r/>
          </w:p>
        </w:tc>
        <w:tc>
          <w:tcPr>
            <w:tcW w:w="1461"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c>
          <w:tcPr>
            <w:gridSpan w:val="2"/>
            <w:tcW w:w="3138"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r>
      <w:tr>
        <w:trPr>
          <w:cantSplit/>
          <w:jc w:val="center"/>
          <w:trHeight w:val="57"/>
        </w:trPr>
        <w:tc>
          <w:tcPr>
            <w:tcW w:w="306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营业面积（含厂房面积）</w:t>
            </w:r>
            <w:r/>
          </w:p>
        </w:tc>
        <w:tc>
          <w:tcPr>
            <w:tcW w:w="1980" w:type="dxa"/>
            <w:vAlign w:val="center"/>
            <w:textDirection w:val="lrTb"/>
            <w:noWrap w:val="false"/>
          </w:tcPr>
          <w:p>
            <w:pPr>
              <w:pStyle w:val="1001"/>
              <w:ind w:firstLine="0"/>
              <w:jc w:val="both"/>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    平方米</w:t>
            </w:r>
            <w:r/>
          </w:p>
        </w:tc>
        <w:tc>
          <w:tcPr>
            <w:tcW w:w="1461"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其中：</w:t>
            </w:r>
            <w:r/>
          </w:p>
        </w:tc>
        <w:tc>
          <w:tcPr>
            <w:gridSpan w:val="2"/>
            <w:tcW w:w="3138"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自有面积         平方米</w:t>
            </w:r>
            <w:r/>
          </w:p>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承租面积         平方米</w:t>
            </w:r>
            <w:r/>
          </w:p>
        </w:tc>
      </w:tr>
      <w:tr>
        <w:trPr>
          <w:cantSplit/>
          <w:jc w:val="center"/>
          <w:trHeight w:val="57"/>
        </w:trPr>
        <w:tc>
          <w:tcPr>
            <w:tcW w:w="306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单位简历及内设机构情况</w:t>
            </w:r>
            <w:r/>
          </w:p>
        </w:tc>
        <w:tc>
          <w:tcPr>
            <w:gridSpan w:val="4"/>
            <w:tcW w:w="6579"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r>
      <w:tr>
        <w:trPr>
          <w:cantSplit/>
          <w:jc w:val="center"/>
          <w:trHeight w:val="57"/>
        </w:trPr>
        <w:tc>
          <w:tcPr>
            <w:tcW w:w="306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单位优势及特长</w:t>
            </w:r>
            <w:r/>
          </w:p>
        </w:tc>
        <w:tc>
          <w:tcPr>
            <w:gridSpan w:val="4"/>
            <w:tcW w:w="6579"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r>
      <w:tr>
        <w:trPr>
          <w:cantSplit/>
          <w:jc w:val="center"/>
          <w:trHeight w:val="57"/>
        </w:trPr>
        <w:tc>
          <w:tcPr>
            <w:tcW w:w="306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近三年来完成或正在履行的重大合同情况</w:t>
            </w:r>
            <w:r/>
          </w:p>
        </w:tc>
        <w:tc>
          <w:tcPr>
            <w:gridSpan w:val="4"/>
            <w:tcW w:w="6579"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r>
      <w:tr>
        <w:trPr>
          <w:cantSplit/>
          <w:jc w:val="center"/>
          <w:trHeight w:val="57"/>
        </w:trPr>
        <w:tc>
          <w:tcPr>
            <w:tcW w:w="306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最近2年内在经营过程中受到何种奖励或处分</w:t>
            </w:r>
            <w:r/>
          </w:p>
        </w:tc>
        <w:tc>
          <w:tcPr>
            <w:gridSpan w:val="4"/>
            <w:tcW w:w="6579"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（包括财政、工商、税务、物价、技监部门稽查情况和结果）</w:t>
            </w:r>
            <w:r/>
          </w:p>
        </w:tc>
      </w:tr>
      <w:tr>
        <w:trPr>
          <w:cantSplit/>
          <w:jc w:val="center"/>
          <w:trHeight w:val="57"/>
        </w:trPr>
        <w:tc>
          <w:tcPr>
            <w:tcW w:w="306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最近3年内有无因售假、售劣或是其他原因被消费者投诉或起诉的情况及说明</w:t>
            </w:r>
            <w:r/>
          </w:p>
        </w:tc>
        <w:tc>
          <w:tcPr>
            <w:gridSpan w:val="4"/>
            <w:tcW w:w="6579"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（包括解决方式和结果）</w:t>
            </w:r>
            <w:r/>
          </w:p>
        </w:tc>
      </w:tr>
      <w:tr>
        <w:trPr>
          <w:cantSplit/>
          <w:jc w:val="center"/>
          <w:trHeight w:val="57"/>
        </w:trPr>
        <w:tc>
          <w:tcPr>
            <w:tcW w:w="306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最近3年内主要负责人有无因经济犯罪被司法机关追究的情况及说明</w:t>
            </w:r>
            <w:r/>
          </w:p>
        </w:tc>
        <w:tc>
          <w:tcPr>
            <w:gridSpan w:val="4"/>
            <w:tcW w:w="6579"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r>
      <w:tr>
        <w:trPr>
          <w:cantSplit/>
          <w:jc w:val="center"/>
          <w:trHeight w:val="57"/>
        </w:trPr>
        <w:tc>
          <w:tcPr>
            <w:tcW w:w="3060"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其他需要说明的情况</w:t>
            </w:r>
            <w:r/>
          </w:p>
        </w:tc>
        <w:tc>
          <w:tcPr>
            <w:gridSpan w:val="4"/>
            <w:tcW w:w="6579" w:type="dxa"/>
            <w:textDirection w:val="lrTb"/>
            <w:noWrap w:val="false"/>
          </w:tcPr>
          <w:p>
            <w:pPr>
              <w:pStyle w:val="1001"/>
              <w:ind w:firstLine="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r>
    </w:tbl>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006"/>
        <w:ind w:firstLine="0"/>
        <w:rPr>
          <w:rFonts w:hint="eastAsia" w:cs="宋体"/>
          <w:color w:val="auto"/>
          <w:highlight w:val="none"/>
        </w:rPr>
      </w:pPr>
      <w:r>
        <w:rPr>
          <w:rFonts w:hint="eastAsia" w:cs="宋体"/>
          <w:color w:val="auto"/>
          <w:highlight w:val="none"/>
        </w:rPr>
      </w:r>
      <w:r/>
    </w:p>
    <w:p>
      <w:pPr>
        <w:jc w:val="left"/>
        <w:widowControl/>
        <w:rPr>
          <w:rFonts w:hint="eastAsia" w:ascii="宋体" w:hAnsi="宋体" w:cs="宋体"/>
          <w:b/>
          <w:bCs/>
          <w:color w:val="auto"/>
          <w:highlight w:val="none"/>
        </w:rPr>
        <w:outlineLvl w:val="1"/>
      </w:pPr>
      <w:r>
        <w:rPr>
          <w:rFonts w:hint="eastAsia" w:ascii="宋体" w:hAnsi="宋体" w:cs="宋体"/>
          <w:b/>
          <w:bCs/>
          <w:color w:val="auto"/>
          <w:sz w:val="24"/>
          <w:highlight w:val="none"/>
        </w:rPr>
        <w:br w:type="page" w:clear="all"/>
      </w:r>
      <w:r>
        <w:rPr>
          <w:rFonts w:hint="eastAsia" w:ascii="宋体" w:hAnsi="宋体" w:cs="宋体"/>
          <w:b/>
          <w:bCs/>
          <w:color w:val="auto"/>
          <w:highlight w:val="none"/>
        </w:rPr>
        <w:t xml:space="preserve">附件</w:t>
      </w:r>
      <w:r>
        <w:rPr>
          <w:rFonts w:hint="eastAsia" w:ascii="宋体" w:hAnsi="宋体" w:cs="宋体"/>
          <w:b/>
          <w:bCs/>
          <w:color w:val="auto"/>
          <w:highlight w:val="none"/>
          <w:lang w:val="en-US" w:eastAsia="zh-CN"/>
        </w:rPr>
        <w:t xml:space="preserve">5</w:t>
      </w:r>
      <w:r>
        <w:rPr>
          <w:rFonts w:hint="eastAsia" w:ascii="宋体" w:hAnsi="宋体" w:cs="宋体"/>
          <w:b/>
          <w:bCs/>
          <w:color w:val="auto"/>
          <w:highlight w:val="none"/>
        </w:rPr>
        <w:t xml:space="preserve">：法定代表人授权委托书</w:t>
      </w:r>
      <w:r/>
    </w:p>
    <w:p>
      <w:pPr>
        <w:jc w:val="center"/>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lang w:val="zh-CN"/>
        </w:rPr>
        <w:t xml:space="preserve">法定代表人授权委托书</w:t>
      </w:r>
      <w:r/>
    </w:p>
    <w:p>
      <w:pPr>
        <w:ind w:firstLine="840"/>
        <w:spacing w:line="52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keepLines w:val="0"/>
        <w:keepNext w:val="0"/>
        <w:pageBreakBefore w:val="0"/>
        <w:spacing w:line="52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  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（供应商名称）  </w:t>
      </w:r>
      <w:r>
        <w:rPr>
          <w:rFonts w:hint="eastAsia" w:ascii="宋体" w:hAnsi="宋体" w:cs="宋体"/>
          <w:b/>
          <w:i/>
          <w:color w:val="auto"/>
          <w:szCs w:val="21"/>
          <w:highlight w:val="none"/>
          <w:u w:val="single"/>
        </w:rPr>
        <w:t xml:space="preserve">  </w:t>
      </w:r>
      <w:r>
        <w:rPr>
          <w:rFonts w:hint="eastAsia" w:ascii="宋体" w:hAnsi="宋体" w:cs="宋体"/>
          <w:color w:val="auto"/>
          <w:szCs w:val="21"/>
          <w:highlight w:val="none"/>
        </w:rPr>
        <w:t xml:space="preserve">的法定代表人（负责人），现授权委托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（姓名）为我公司授权代表（即代理人），以本公司的名义参加</w:t>
      </w:r>
      <w:r>
        <w:rPr>
          <w:rFonts w:hint="eastAsia" w:ascii="宋体" w:hAnsi="宋体" w:cs="宋体"/>
          <w:color w:val="auto"/>
          <w:szCs w:val="21"/>
          <w:highlight w:val="none"/>
          <w:u w:val="single"/>
          <w:lang w:eastAsia="zh-CN"/>
        </w:rPr>
        <w:t xml:space="preserve">江苏鸿渐投资咨询管理有限公司</w:t>
      </w:r>
      <w:r>
        <w:rPr>
          <w:rFonts w:hint="eastAsia" w:ascii="宋体" w:hAnsi="宋体" w:cs="宋体"/>
          <w:color w:val="auto"/>
          <w:szCs w:val="21"/>
          <w:highlight w:val="none"/>
        </w:rPr>
        <w:t xml:space="preserve">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号的磋商活动。授权代表在磋商活动过程中所签署的一切文件和处理与这有关的一切事务，我均予以承认。</w:t>
      </w:r>
      <w:r/>
    </w:p>
    <w:p>
      <w:pPr>
        <w:ind w:firstLine="420"/>
        <w:keepLines w:val="0"/>
        <w:keepNext w:val="0"/>
        <w:pageBreakBefore w:val="0"/>
        <w:spacing w:line="52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20"/>
        <w:keepLines w:val="0"/>
        <w:keepNext w:val="0"/>
        <w:pageBreakBefore w:val="0"/>
        <w:spacing w:line="52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授权代表无转委托权。特此委托。</w:t>
      </w:r>
      <w:r/>
    </w:p>
    <w:p>
      <w:pPr>
        <w:ind w:firstLine="84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响应单位：（公章）</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法定代表人（负责人）：（签字或盖章）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被授权人：（签字或盖章）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color w:val="auto"/>
          <w:szCs w:val="21"/>
          <w:highlight w:val="none"/>
        </w:rPr>
      </w:pPr>
      <w:r/>
      <w:bookmarkStart w:id="39" w:name="_Toc533358442"/>
      <w:r/>
      <w:bookmarkStart w:id="40" w:name="_Toc534559049"/>
      <w:r>
        <w:rPr>
          <w:rFonts w:hint="eastAsia" w:ascii="宋体" w:hAnsi="宋体" w:cs="宋体"/>
          <w:b/>
          <w:color w:val="auto"/>
          <w:szCs w:val="21"/>
          <w:highlight w:val="none"/>
        </w:rPr>
        <w:br w:type="page" w:clear="all"/>
      </w:r>
      <w:r/>
    </w:p>
    <w:p>
      <w:pPr>
        <w:jc w:val="left"/>
        <w:widowControl/>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附件</w:t>
      </w:r>
      <w:bookmarkEnd w:id="39"/>
      <w:r/>
      <w:bookmarkEnd w:id="40"/>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：中小企业声明函</w:t>
      </w:r>
      <w:r>
        <w:rPr>
          <w:rFonts w:hint="eastAsia" w:ascii="宋体" w:hAnsi="宋体" w:cs="宋体"/>
          <w:b/>
          <w:color w:val="auto"/>
          <w:szCs w:val="21"/>
          <w:highlight w:val="none"/>
          <w:lang w:val="zh-CN"/>
        </w:rPr>
        <w:t xml:space="preserve">（具体按照“苏采云”系统填报）</w:t>
      </w:r>
      <w:r/>
    </w:p>
    <w:p>
      <w:pPr>
        <w:jc w:val="cente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center"/>
        <w:widowControl/>
        <w:rPr>
          <w:rFonts w:hint="eastAsia" w:ascii="宋体" w:hAnsi="宋体" w:cs="宋体"/>
          <w:b/>
          <w:bCs/>
          <w:color w:val="auto"/>
          <w:sz w:val="32"/>
          <w:szCs w:val="32"/>
          <w:highlight w:val="none"/>
        </w:rPr>
      </w:pPr>
      <w:r>
        <w:rPr>
          <w:rFonts w:hint="eastAsia" w:ascii="宋体" w:hAnsi="宋体" w:cs="宋体"/>
          <w:b/>
          <w:color w:val="auto"/>
          <w:szCs w:val="21"/>
          <w:highlight w:val="none"/>
        </w:rPr>
        <w:t xml:space="preserve">中小企业声明函</w:t>
      </w:r>
      <w:r/>
    </w:p>
    <w:p>
      <w:pPr>
        <w:ind w:firstLine="420"/>
        <w:spacing w:line="48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江苏鸿渐投资咨询管理有限公司：</w:t>
      </w:r>
      <w:r/>
    </w:p>
    <w:p>
      <w:pPr>
        <w:ind w:firstLine="420"/>
        <w:spacing w:line="480" w:lineRule="exact"/>
        <w:rPr>
          <w:rFonts w:ascii="宋体" w:hAnsi="宋体"/>
          <w:color w:val="auto"/>
          <w:szCs w:val="21"/>
          <w:highlight w:val="none"/>
          <w:u w:val="single"/>
        </w:rPr>
      </w:pPr>
      <w:r>
        <w:rPr>
          <w:rFonts w:hint="eastAsia" w:ascii="宋体" w:hAnsi="宋体"/>
          <w:color w:val="auto"/>
          <w:szCs w:val="21"/>
          <w:highlight w:val="none"/>
        </w:rPr>
        <w:t xml:space="preserve">本公司（联合体）郑重声明，根据《政府采购促进中小企业发展管理办法》（财库[20</w:t>
      </w:r>
      <w:r>
        <w:rPr>
          <w:rFonts w:ascii="宋体" w:hAnsi="宋体"/>
          <w:color w:val="auto"/>
          <w:szCs w:val="21"/>
          <w:highlight w:val="none"/>
        </w:rPr>
        <w:t xml:space="preserve">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号）的规定，本公司（联合体）参加</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（单位名称）</w:t>
      </w:r>
      <w:r>
        <w:rPr>
          <w:rFonts w:hint="eastAsia" w:ascii="宋体" w:hAnsi="宋体"/>
          <w:color w:val="auto"/>
          <w:szCs w:val="21"/>
          <w:highlight w:val="none"/>
        </w:rPr>
        <w:t xml:space="preserve">的</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其他未列明行业</w:t>
      </w:r>
      <w:r>
        <w:rPr>
          <w:rFonts w:hint="eastAsia" w:ascii="宋体" w:hAnsi="宋体"/>
          <w:color w:val="auto"/>
          <w:szCs w:val="21"/>
          <w:highlight w:val="none"/>
        </w:rPr>
        <w:t xml:space="preserve">；承接企业为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w:t>
      </w:r>
      <w:r>
        <w:rPr>
          <w:rFonts w:hint="eastAsia" w:ascii="宋体" w:hAnsi="宋体"/>
          <w:color w:val="auto"/>
          <w:szCs w:val="21"/>
          <w:highlight w:val="none"/>
          <w:u w:val="single"/>
          <w:lang w:val="en-US" w:eastAsia="zh-CN"/>
        </w:rPr>
        <w:t xml:space="preserve">         </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项目</w:t>
      </w:r>
      <w:r>
        <w:rPr>
          <w:rFonts w:hint="eastAsia" w:ascii="宋体" w:hAnsi="宋体" w:cs="宋体"/>
          <w:color w:val="auto"/>
          <w:szCs w:val="21"/>
          <w:highlight w:val="none"/>
          <w:u w:val="single"/>
          <w:lang w:val="zh-CN"/>
        </w:rPr>
        <w:t xml:space="preserve">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其他未列明行业</w:t>
      </w:r>
      <w:r>
        <w:rPr>
          <w:rFonts w:hint="eastAsia" w:ascii="宋体" w:hAnsi="宋体" w:cs="宋体"/>
          <w:color w:val="auto"/>
          <w:szCs w:val="21"/>
          <w:highlight w:val="none"/>
          <w:lang w:val="zh-CN"/>
        </w:rPr>
        <w:t xml:space="preserve">；承接企业为</w:t>
      </w:r>
      <w:r>
        <w:rPr>
          <w:rFonts w:hint="eastAsia" w:ascii="宋体" w:hAnsi="宋体"/>
          <w:color w:val="auto"/>
          <w:szCs w:val="21"/>
          <w:highlight w:val="none"/>
          <w:u w:val="single"/>
          <w:lang w:val="en-US" w:eastAsia="zh-CN"/>
        </w:rPr>
        <w:t xml:space="preserve">         </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本企业对上述声明内容的真实性负责。如有虚假，将依法承担相应责任。</w:t>
      </w:r>
      <w:r/>
    </w:p>
    <w:p>
      <w:pPr>
        <w:ind w:firstLine="567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企业名称(盖章)：</w:t>
      </w:r>
      <w:r/>
    </w:p>
    <w:p>
      <w:pPr>
        <w:ind w:firstLine="567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注：1</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中小企业划分标准详见“工信部联企业〔2011〕300号通知中的《中小企业划型标准规定》。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本项目所属行业：其他未列明行业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供应商</w:t>
      </w:r>
      <w:r>
        <w:rPr>
          <w:rFonts w:hint="eastAsia" w:ascii="宋体" w:hAnsi="宋体" w:cs="宋体"/>
          <w:color w:val="auto"/>
          <w:szCs w:val="21"/>
          <w:highlight w:val="none"/>
        </w:rPr>
        <w:t xml:space="preserve">应对</w:t>
      </w:r>
      <w:r>
        <w:rPr>
          <w:rFonts w:hint="eastAsia" w:ascii="宋体" w:hAnsi="宋体" w:cs="宋体"/>
          <w:color w:val="auto"/>
          <w:szCs w:val="21"/>
          <w:highlight w:val="none"/>
          <w:lang w:val="zh-CN"/>
        </w:rPr>
        <w:t xml:space="preserve">照</w:t>
      </w:r>
      <w:r>
        <w:rPr>
          <w:rFonts w:hint="eastAsia" w:ascii="宋体" w:hAnsi="宋体" w:cs="宋体"/>
          <w:color w:val="auto"/>
          <w:szCs w:val="21"/>
          <w:highlight w:val="none"/>
        </w:rPr>
        <w:t xml:space="preserve">中小企业划分标准和采购标的所属行业，如实、完整填报《中小企业声明函》，在声明企业类型时，货物采购项目应当对制造商进行声明，工程和服务采购项目应当对承建（承接）供应商进行声明。涉及多个采购标的且由不同制造商制造或者由不同供应商承建（承接）的，应当逐一填报每个采购标的的制造商或者承建（承接）供应商信息。</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从业人员、营业收入、资产总额填报上一年度数据，</w:t>
      </w:r>
      <w:r>
        <w:rPr>
          <w:rFonts w:hint="eastAsia" w:ascii="宋体" w:hAnsi="宋体" w:cs="宋体"/>
          <w:color w:val="auto"/>
          <w:szCs w:val="21"/>
          <w:highlight w:val="none"/>
        </w:rPr>
        <w:t xml:space="preserve">无上一年度数据的新成立企业可不填报</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新成立企业无上一年度从业人员、营业收入和资产总额数据的，根据其出具的《中小企业声明函》认可其为中小企业。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6.供应商提供的声明函内容不实的，依照《中华人民共和国政府采购法》、《中华人民共和国政府采购法实施条例》、《政府采购促进中小企业发展管理办法》（财库〔2020〕46号等法律法规规定追究法律责任。</w:t>
      </w:r>
      <w:r/>
      <w:r>
        <w:rPr>
          <w:rFonts w:hint="eastAsia" w:ascii="宋体" w:hAnsi="宋体" w:cs="宋体"/>
          <w:b/>
          <w:bCs/>
          <w:color w:val="auto"/>
          <w:szCs w:val="21"/>
          <w:highlight w:val="none"/>
          <w:lang w:bidi="ar"/>
        </w:rPr>
      </w:r>
      <w:r>
        <w:rPr>
          <w:rFonts w:hint="eastAsia" w:ascii="宋体" w:hAnsi="宋体" w:cs="宋体"/>
          <w:b/>
          <w:bCs/>
          <w:color w:val="auto"/>
          <w:szCs w:val="21"/>
          <w:highlight w:val="none"/>
          <w:lang w:bidi="ar"/>
        </w:rPr>
      </w:r>
      <w:r>
        <w:rPr>
          <w:rFonts w:hint="eastAsia" w:ascii="宋体" w:hAnsi="宋体" w:cs="宋体"/>
          <w:color w:val="auto"/>
          <w:szCs w:val="21"/>
          <w:highlight w:val="none"/>
        </w:rPr>
      </w:r>
    </w:p>
    <w:p>
      <w:pPr>
        <w:shd w:val="nil"/>
        <w:rPr>
          <w:rFonts w:hint="eastAsia" w:ascii="宋体" w:hAnsi="宋体" w:cs="宋体"/>
          <w:b/>
          <w:bCs/>
          <w:color w:val="auto"/>
          <w:highlight w:val="none"/>
          <w:lang w:bidi="ar"/>
        </w:rPr>
        <w:outlineLvl w:val="1"/>
      </w:pPr>
      <w:r>
        <w:rPr>
          <w:highlight w:val="none"/>
          <w:lang w:bidi="ar"/>
        </w:rPr>
      </w:r>
      <w:r>
        <w:rPr>
          <w:rFonts w:hint="eastAsia" w:ascii="宋体" w:hAnsi="宋体" w:cs="宋体"/>
          <w:b/>
          <w:bCs/>
          <w:color w:val="auto"/>
          <w:szCs w:val="21"/>
          <w:highlight w:val="none"/>
          <w:lang w:bidi="ar"/>
        </w:rPr>
        <w:br w:type="page" w:clear="all"/>
      </w:r>
      <w:r>
        <w:rPr>
          <w:rFonts w:hint="eastAsia" w:ascii="宋体" w:hAnsi="宋体" w:cs="宋体"/>
          <w:b/>
          <w:bCs/>
          <w:color w:val="auto"/>
          <w:szCs w:val="21"/>
          <w:highlight w:val="none"/>
          <w:lang w:bidi="ar"/>
        </w:rPr>
      </w:r>
    </w:p>
    <w:p>
      <w:pPr>
        <w:spacing w:line="360" w:lineRule="auto"/>
        <w:rPr>
          <w:rFonts w:hint="eastAsia" w:ascii="宋体" w:hAnsi="宋体" w:cs="宋体"/>
          <w:b/>
          <w:bCs/>
          <w:color w:val="auto"/>
          <w:highlight w:val="none"/>
          <w:lang w:bidi="ar"/>
        </w:rPr>
        <w:outlineLvl w:val="1"/>
      </w:pPr>
      <w:r>
        <w:rPr>
          <w:rFonts w:hint="eastAsia" w:ascii="宋体" w:hAnsi="宋体" w:cs="宋体"/>
          <w:b/>
          <w:color w:val="auto"/>
          <w:szCs w:val="21"/>
          <w:highlight w:val="none"/>
        </w:rPr>
        <w:t xml:space="preserve">附件</w:t>
      </w:r>
      <w:r>
        <w:rPr>
          <w:rFonts w:hint="eastAsia" w:ascii="宋体" w:hAnsi="宋体" w:cs="宋体"/>
          <w:b/>
          <w:color w:val="auto"/>
          <w:szCs w:val="21"/>
          <w:highlight w:val="none"/>
          <w:lang w:val="en-US" w:eastAsia="zh-CN"/>
        </w:rPr>
        <w:t xml:space="preserve">7</w:t>
      </w:r>
      <w:r>
        <w:rPr>
          <w:rFonts w:hint="eastAsia" w:ascii="宋体" w:hAnsi="宋体" w:cs="宋体"/>
          <w:b/>
          <w:bCs/>
          <w:color w:val="auto"/>
          <w:szCs w:val="21"/>
          <w:highlight w:val="none"/>
          <w:lang w:bidi="ar"/>
        </w:rPr>
        <w:t xml:space="preserve">：残疾人福利性单位声明函</w:t>
      </w:r>
      <w:r/>
    </w:p>
    <w:p>
      <w:pPr>
        <w:ind w:firstLine="422"/>
        <w:spacing w:line="360" w:lineRule="auto"/>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ind w:firstLine="422"/>
        <w:jc w:val="center"/>
        <w:spacing w:line="360" w:lineRule="auto"/>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 xml:space="preserve">残疾人福利性单位声明函</w:t>
      </w:r>
      <w:r/>
    </w:p>
    <w:p>
      <w:pPr>
        <w:jc w:val="left"/>
        <w:spacing w:line="480" w:lineRule="exact"/>
        <w:rPr>
          <w:rFonts w:hint="eastAsia" w:ascii="宋体" w:hAnsi="宋体"/>
          <w:color w:val="auto"/>
          <w:szCs w:val="21"/>
          <w:highlight w:val="none"/>
          <w:u w:val="single"/>
        </w:rPr>
      </w:pPr>
      <w:r>
        <w:rPr>
          <w:rFonts w:hint="eastAsia" w:ascii="宋体" w:hAnsi="宋体"/>
          <w:color w:val="auto"/>
          <w:szCs w:val="21"/>
          <w:highlight w:val="none"/>
          <w:u w:val="single"/>
        </w:rPr>
      </w:r>
      <w:r/>
    </w:p>
    <w:p>
      <w:pPr>
        <w:jc w:val="left"/>
        <w:spacing w:line="480" w:lineRule="exact"/>
        <w:rPr>
          <w:rFonts w:ascii="宋体" w:hAnsi="宋体"/>
          <w:color w:val="auto"/>
          <w:szCs w:val="21"/>
          <w:highlight w:val="none"/>
        </w:rPr>
      </w:pPr>
      <w:r>
        <w:rPr>
          <w:rFonts w:hint="eastAsia" w:ascii="宋体" w:hAnsi="宋体"/>
          <w:color w:val="auto"/>
          <w:szCs w:val="21"/>
          <w:highlight w:val="none"/>
          <w:u w:val="single"/>
        </w:rPr>
        <w:t xml:space="preserve">江苏鸿渐投资咨询管理有限公司：</w:t>
      </w:r>
      <w:r/>
    </w:p>
    <w:p>
      <w:pPr>
        <w:ind w:firstLine="420"/>
        <w:jc w:val="left"/>
        <w:spacing w:line="360" w:lineRule="auto"/>
        <w:widowControl/>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 本单位郑重声明，根据《财政部  民政部  中国残疾人联合会关于促进残疾人就业政府采购政策的通知》（财库〔2017〕141号）的规定，本单位为符合条件的残疾人福利性单位，且本单位参加贵中心组织实施的编号为</w:t>
      </w:r>
      <w:r>
        <w:rPr>
          <w:rFonts w:hint="eastAsia" w:ascii="宋体" w:hAnsi="宋体" w:cs="宋体"/>
          <w:bCs/>
          <w:color w:val="auto"/>
          <w:szCs w:val="21"/>
          <w:highlight w:val="none"/>
          <w:u w:val="single"/>
          <w:lang w:bidi="ar"/>
        </w:rPr>
        <w:t xml:space="preserve">              </w:t>
      </w:r>
      <w:r>
        <w:rPr>
          <w:rFonts w:hint="eastAsia" w:ascii="宋体" w:hAnsi="宋体" w:cs="宋体"/>
          <w:bCs/>
          <w:color w:val="auto"/>
          <w:szCs w:val="21"/>
          <w:highlight w:val="none"/>
          <w:lang w:bidi="ar"/>
        </w:rPr>
        <w:t xml:space="preserve">号的采购活动提供本单位制造的货物（由本单位承担工程/提供服务），或者提供其他残疾人福利性单位制造的货物（不包括使用非残疾人福利性单位注册商标的货物）。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本单位对上述声明的真实性负责。如有虚假，将依法承担相应责任。</w:t>
      </w:r>
      <w:r/>
    </w:p>
    <w:p>
      <w:pPr>
        <w:ind w:firstLine="420"/>
        <w:jc w:val="right"/>
        <w:spacing w:line="360" w:lineRule="auto"/>
        <w:widowControl/>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         单位名称(盖章)：</w:t>
      </w:r>
      <w:r/>
    </w:p>
    <w:p>
      <w:pPr>
        <w:ind w:firstLine="420"/>
        <w:jc w:val="right"/>
        <w:spacing w:line="360" w:lineRule="auto"/>
        <w:widowControl/>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                                                    日  期：</w:t>
      </w:r>
      <w:r/>
    </w:p>
    <w:p>
      <w:pPr>
        <w:ind w:firstLine="525"/>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bCs/>
          <w:color w:val="auto"/>
          <w:sz w:val="24"/>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highlight w:val="none"/>
        </w:rPr>
        <w:t xml:space="preserve">附件</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：磋商响应函</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磋商响应函</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u w:val="single"/>
          <w:lang w:eastAsia="zh-CN"/>
        </w:rPr>
        <w:t xml:space="preserve">江苏鸿渐投资咨询管理有限公司</w:t>
      </w:r>
      <w:r>
        <w:rPr>
          <w:rFonts w:hint="eastAsia" w:ascii="宋体" w:hAnsi="宋体" w:cs="宋体"/>
          <w:color w:val="auto"/>
          <w:szCs w:val="21"/>
          <w:highlight w:val="none"/>
          <w:lang w:val="zh-CN"/>
        </w:rPr>
        <w:t xml:space="preserve">：</w:t>
      </w:r>
      <w:r/>
    </w:p>
    <w:p>
      <w:pPr>
        <w:ind w:left="0"/>
        <w:keepLines w:val="0"/>
        <w:keepNext w:val="0"/>
        <w:pageBreakBefore w:val="0"/>
        <w:spacing w:line="400" w:lineRule="exact"/>
        <w:widowControl w:val="off"/>
        <w:rPr>
          <w:rFonts w:hint="eastAsia" w:ascii="宋体" w:hAnsi="宋体" w:cs="宋体"/>
          <w:color w:val="auto"/>
          <w:highlight w:val="none"/>
        </w:rPr>
      </w:pPr>
      <w:r>
        <w:rPr>
          <w:rFonts w:hint="eastAsia" w:ascii="宋体" w:hAnsi="宋体" w:cs="宋体"/>
          <w:color w:val="auto"/>
          <w:highlight w:val="none"/>
          <w:lang w:val="zh-CN"/>
        </w:rPr>
        <w:t xml:space="preserve">我方收到贵公司 </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号磋商采购文件，经仔细阅读和研究，我方决定参加磋商。并向贵公司承诺：</w:t>
      </w:r>
      <w:r/>
    </w:p>
    <w:p>
      <w:pPr>
        <w:ind w:firstLine="42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愿意按照磋商采购文件的一切要求，提供以上所有服务。</w:t>
      </w:r>
      <w:r/>
    </w:p>
    <w:p>
      <w:pPr>
        <w:ind w:firstLine="42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如果我们的响应文件被接受，我们将严格履行磋商采购文件中规定的每一项要求，按期、按质、按量履行服务义务。</w:t>
      </w:r>
      <w:r/>
    </w:p>
    <w:p>
      <w:pPr>
        <w:pStyle w:val="1164"/>
        <w:ind w:firstLine="420"/>
        <w:spacing w:line="400" w:lineRule="exact"/>
        <w:rPr>
          <w:rFonts w:hint="eastAsia" w:hAnsi="宋体" w:eastAsia="宋体" w:cs="宋体"/>
          <w:color w:val="auto"/>
          <w:sz w:val="21"/>
          <w:highlight w:val="none"/>
          <w:lang w:val="zh-CN"/>
        </w:rPr>
      </w:pPr>
      <w:r>
        <w:rPr>
          <w:rFonts w:hint="eastAsia" w:hAnsi="宋体" w:eastAsia="宋体" w:cs="宋体"/>
          <w:color w:val="auto"/>
          <w:sz w:val="21"/>
          <w:highlight w:val="none"/>
          <w:lang w:val="zh-CN"/>
        </w:rPr>
        <w:t xml:space="preserve">3</w:t>
      </w:r>
      <w:r>
        <w:rPr>
          <w:rFonts w:hint="eastAsia" w:hAnsi="宋体" w:eastAsia="宋体" w:cs="宋体"/>
          <w:color w:val="auto"/>
          <w:sz w:val="21"/>
          <w:highlight w:val="none"/>
          <w:lang w:val="en-US" w:eastAsia="zh-CN"/>
        </w:rPr>
        <w:t xml:space="preserve">.</w:t>
      </w:r>
      <w:r>
        <w:rPr>
          <w:rFonts w:hint="eastAsia" w:hAnsi="宋体" w:eastAsia="宋体" w:cs="宋体"/>
          <w:color w:val="auto"/>
          <w:sz w:val="21"/>
          <w:highlight w:val="none"/>
          <w:lang w:val="zh-CN"/>
        </w:rPr>
        <w:t xml:space="preserve">我方同意按磋商采购文件中的规定，我方的响应文件有效期限为磋商开始后60天，如果我方在规定的有效期内撤回我方的响应文件，我方应承担响应责任。</w:t>
      </w:r>
      <w:r/>
    </w:p>
    <w:p>
      <w:pPr>
        <w:pStyle w:val="1164"/>
        <w:ind w:firstLine="420"/>
        <w:spacing w:line="400" w:lineRule="exact"/>
        <w:rPr>
          <w:rFonts w:hint="eastAsia" w:hAnsi="宋体" w:eastAsia="宋体" w:cs="宋体"/>
          <w:color w:val="auto"/>
          <w:sz w:val="21"/>
          <w:highlight w:val="none"/>
          <w:lang w:val="zh-CN"/>
        </w:rPr>
      </w:pPr>
      <w:r>
        <w:rPr>
          <w:rFonts w:hint="eastAsia" w:hAnsi="宋体" w:eastAsia="宋体" w:cs="宋体"/>
          <w:color w:val="auto"/>
          <w:sz w:val="21"/>
          <w:highlight w:val="none"/>
          <w:lang w:val="zh-CN"/>
        </w:rPr>
        <w:t xml:space="preserve">4</w:t>
      </w:r>
      <w:r>
        <w:rPr>
          <w:rFonts w:hint="eastAsia" w:hAnsi="宋体" w:eastAsia="宋体" w:cs="宋体"/>
          <w:color w:val="auto"/>
          <w:sz w:val="21"/>
          <w:highlight w:val="none"/>
          <w:lang w:val="en-US" w:eastAsia="zh-CN"/>
        </w:rPr>
        <w:t xml:space="preserve">.</w:t>
      </w:r>
      <w:r>
        <w:rPr>
          <w:rFonts w:hint="eastAsia" w:hAnsi="宋体" w:eastAsia="宋体" w:cs="宋体"/>
          <w:color w:val="auto"/>
          <w:sz w:val="21"/>
          <w:highlight w:val="none"/>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164"/>
        <w:ind w:firstLine="420"/>
        <w:spacing w:line="400" w:lineRule="exact"/>
        <w:rPr>
          <w:rFonts w:hint="eastAsia" w:hAnsi="宋体" w:eastAsia="宋体" w:cs="宋体"/>
          <w:color w:val="auto"/>
          <w:sz w:val="21"/>
          <w:highlight w:val="none"/>
          <w:lang w:val="zh-CN"/>
        </w:rPr>
      </w:pPr>
      <w:r>
        <w:rPr>
          <w:rFonts w:hint="eastAsia" w:hAnsi="宋体" w:eastAsia="宋体" w:cs="宋体"/>
          <w:color w:val="auto"/>
          <w:sz w:val="21"/>
          <w:highlight w:val="none"/>
          <w:lang w:val="zh-CN"/>
        </w:rPr>
        <w:t xml:space="preserve">5</w:t>
      </w:r>
      <w:r>
        <w:rPr>
          <w:rFonts w:hint="eastAsia" w:hAnsi="宋体" w:eastAsia="宋体" w:cs="宋体"/>
          <w:color w:val="auto"/>
          <w:sz w:val="21"/>
          <w:highlight w:val="none"/>
          <w:lang w:val="en-US" w:eastAsia="zh-CN"/>
        </w:rPr>
        <w:t xml:space="preserve">.</w:t>
      </w:r>
      <w:r>
        <w:rPr>
          <w:rFonts w:hint="eastAsia" w:hAnsi="宋体" w:eastAsia="宋体" w:cs="宋体"/>
          <w:color w:val="auto"/>
          <w:sz w:val="21"/>
          <w:highlight w:val="none"/>
          <w:lang w:val="zh-CN"/>
        </w:rPr>
        <w:t xml:space="preserve">我方认为贵方有权决定成交者，还认为贵方有权接受或拒绝所有的</w:t>
      </w:r>
      <w:r>
        <w:rPr>
          <w:rFonts w:hint="eastAsia" w:hAnsi="宋体" w:eastAsia="宋体" w:cs="宋体"/>
          <w:color w:val="auto"/>
          <w:sz w:val="21"/>
          <w:highlight w:val="none"/>
        </w:rPr>
        <w:t xml:space="preserve">供应商</w:t>
      </w:r>
      <w:r>
        <w:rPr>
          <w:rFonts w:hint="eastAsia" w:hAnsi="宋体" w:eastAsia="宋体" w:cs="宋体"/>
          <w:color w:val="auto"/>
          <w:sz w:val="21"/>
          <w:highlight w:val="none"/>
          <w:lang w:val="zh-CN"/>
        </w:rPr>
        <w:t xml:space="preserve">成交。</w:t>
      </w:r>
      <w:r/>
    </w:p>
    <w:p>
      <w:pPr>
        <w:pStyle w:val="1164"/>
        <w:ind w:firstLine="420"/>
        <w:spacing w:line="400" w:lineRule="exact"/>
        <w:rPr>
          <w:rFonts w:hint="eastAsia" w:hAnsi="宋体" w:eastAsia="宋体" w:cs="宋体"/>
          <w:color w:val="auto"/>
          <w:sz w:val="21"/>
          <w:highlight w:val="none"/>
          <w:lang w:val="zh-CN"/>
        </w:rPr>
      </w:pPr>
      <w:r>
        <w:rPr>
          <w:rFonts w:hint="eastAsia" w:hAnsi="宋体" w:eastAsia="宋体" w:cs="宋体"/>
          <w:color w:val="auto"/>
          <w:sz w:val="21"/>
          <w:highlight w:val="none"/>
          <w:lang w:val="zh-CN"/>
        </w:rPr>
        <w:t xml:space="preserve">6</w:t>
      </w:r>
      <w:r>
        <w:rPr>
          <w:rFonts w:hint="eastAsia" w:hAnsi="宋体" w:eastAsia="宋体" w:cs="宋体"/>
          <w:color w:val="auto"/>
          <w:sz w:val="21"/>
          <w:highlight w:val="none"/>
          <w:lang w:val="en-US" w:eastAsia="zh-CN"/>
        </w:rPr>
        <w:t xml:space="preserve">.</w:t>
      </w:r>
      <w:r>
        <w:rPr>
          <w:rFonts w:hint="eastAsia" w:hAnsi="宋体" w:eastAsia="宋体" w:cs="宋体"/>
          <w:color w:val="auto"/>
          <w:sz w:val="21"/>
          <w:highlight w:val="none"/>
          <w:lang w:val="zh-CN"/>
        </w:rPr>
        <w:t xml:space="preserve">我方愿意遵守磋商采购文件中所列的收费标准。</w:t>
      </w:r>
      <w:r/>
    </w:p>
    <w:p>
      <w:pPr>
        <w:pStyle w:val="1164"/>
        <w:ind w:firstLine="420"/>
        <w:spacing w:line="400" w:lineRule="exact"/>
        <w:rPr>
          <w:rFonts w:hint="eastAsia" w:hAnsi="宋体" w:eastAsia="宋体" w:cs="宋体"/>
          <w:color w:val="auto"/>
          <w:sz w:val="21"/>
          <w:highlight w:val="none"/>
          <w:lang w:val="zh-CN"/>
        </w:rPr>
      </w:pPr>
      <w:r>
        <w:rPr>
          <w:rFonts w:hint="eastAsia" w:hAnsi="宋体" w:eastAsia="宋体" w:cs="宋体"/>
          <w:color w:val="auto"/>
          <w:sz w:val="21"/>
          <w:highlight w:val="none"/>
          <w:lang w:val="zh-CN"/>
        </w:rPr>
        <w:t xml:space="preserve">7</w:t>
      </w:r>
      <w:r>
        <w:rPr>
          <w:rFonts w:hint="eastAsia" w:hAnsi="宋体" w:eastAsia="宋体" w:cs="宋体"/>
          <w:color w:val="auto"/>
          <w:sz w:val="21"/>
          <w:highlight w:val="none"/>
          <w:lang w:val="en-US" w:eastAsia="zh-CN"/>
        </w:rPr>
        <w:t xml:space="preserve">.</w:t>
      </w:r>
      <w:r>
        <w:rPr>
          <w:rFonts w:hint="eastAsia" w:hAnsi="宋体" w:eastAsia="宋体" w:cs="宋体"/>
          <w:color w:val="auto"/>
          <w:sz w:val="21"/>
          <w:highlight w:val="none"/>
          <w:lang w:val="zh-CN"/>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pStyle w:val="1164"/>
        <w:ind w:firstLine="420"/>
        <w:spacing w:line="400" w:lineRule="exact"/>
        <w:rPr>
          <w:rFonts w:hint="eastAsia" w:hAnsi="宋体" w:eastAsia="宋体" w:cs="宋体"/>
          <w:color w:val="auto"/>
          <w:sz w:val="21"/>
          <w:highlight w:val="none"/>
          <w:lang w:val="zh-CN"/>
        </w:rPr>
      </w:pPr>
      <w:r>
        <w:rPr>
          <w:rFonts w:hint="eastAsia" w:hAnsi="宋体" w:eastAsia="宋体" w:cs="宋体"/>
          <w:color w:val="auto"/>
          <w:sz w:val="21"/>
          <w:highlight w:val="none"/>
          <w:lang w:val="zh-CN"/>
        </w:rPr>
        <w:t xml:space="preserve">8</w:t>
      </w:r>
      <w:r>
        <w:rPr>
          <w:rFonts w:hint="eastAsia" w:hAnsi="宋体" w:eastAsia="宋体" w:cs="宋体"/>
          <w:color w:val="auto"/>
          <w:sz w:val="21"/>
          <w:highlight w:val="none"/>
          <w:lang w:val="en-US" w:eastAsia="zh-CN"/>
        </w:rPr>
        <w:t xml:space="preserve">.</w:t>
      </w:r>
      <w:r>
        <w:rPr>
          <w:rFonts w:hint="eastAsia" w:hAnsi="宋体" w:eastAsia="宋体" w:cs="宋体"/>
          <w:color w:val="auto"/>
          <w:sz w:val="21"/>
          <w:highlight w:val="none"/>
          <w:lang w:val="zh-CN"/>
        </w:rPr>
        <w:t xml:space="preserve">我方同意我方若无法按约定条款履行义务等行为，采购单位有权取消我方的成交资格。</w:t>
      </w:r>
      <w:r/>
    </w:p>
    <w:p>
      <w:pPr>
        <w:pStyle w:val="1164"/>
        <w:ind w:firstLine="420"/>
        <w:spacing w:line="400" w:lineRule="exact"/>
        <w:rPr>
          <w:rFonts w:hint="eastAsia" w:hAnsi="宋体" w:eastAsia="宋体" w:cs="宋体"/>
          <w:color w:val="auto"/>
          <w:sz w:val="21"/>
          <w:highlight w:val="none"/>
          <w:lang w:val="zh-CN"/>
        </w:rPr>
      </w:pPr>
      <w:r>
        <w:rPr>
          <w:rFonts w:hint="eastAsia" w:hAnsi="宋体" w:eastAsia="宋体" w:cs="宋体"/>
          <w:color w:val="auto"/>
          <w:sz w:val="21"/>
          <w:highlight w:val="none"/>
        </w:rPr>
        <w:t xml:space="preserve">9</w:t>
      </w:r>
      <w:r>
        <w:rPr>
          <w:rFonts w:hint="eastAsia" w:hAnsi="宋体" w:eastAsia="宋体" w:cs="宋体"/>
          <w:color w:val="auto"/>
          <w:sz w:val="21"/>
          <w:highlight w:val="none"/>
          <w:lang w:val="en-US" w:eastAsia="zh-CN"/>
        </w:rPr>
        <w:t xml:space="preserve">.</w:t>
      </w:r>
      <w:r>
        <w:rPr>
          <w:rFonts w:hint="eastAsia" w:hAnsi="宋体" w:eastAsia="宋体" w:cs="宋体"/>
          <w:color w:val="auto"/>
          <w:sz w:val="21"/>
          <w:highlight w:val="none"/>
          <w:lang w:val="zh-CN"/>
        </w:rPr>
        <w:t xml:space="preserve">如果我方被确定成交，我方愿意在签订合同时按规定的收费标准支付成交服务费，</w:t>
      </w:r>
      <w:r>
        <w:rPr>
          <w:rFonts w:hint="eastAsia" w:hAnsi="宋体" w:eastAsia="宋体" w:cs="宋体"/>
          <w:color w:val="auto"/>
          <w:sz w:val="21"/>
          <w:highlight w:val="none"/>
        </w:rPr>
        <w:t xml:space="preserve">如未按规定缴纳中标服务费，并可提出诉讼的权力。</w:t>
      </w:r>
      <w:r/>
    </w:p>
    <w:p>
      <w:pPr>
        <w:pStyle w:val="1164"/>
        <w:ind w:firstLine="420"/>
        <w:spacing w:line="400" w:lineRule="exact"/>
        <w:rPr>
          <w:rFonts w:hint="eastAsia" w:hAnsi="宋体" w:eastAsia="宋体" w:cs="宋体"/>
          <w:color w:val="auto"/>
          <w:sz w:val="21"/>
          <w:highlight w:val="none"/>
        </w:rPr>
      </w:pPr>
      <w:r>
        <w:rPr>
          <w:rFonts w:hint="eastAsia" w:hAnsi="宋体" w:eastAsia="宋体" w:cs="宋体"/>
          <w:color w:val="auto"/>
          <w:sz w:val="21"/>
          <w:highlight w:val="none"/>
        </w:rPr>
        <w:t xml:space="preserve">10</w:t>
      </w:r>
      <w:r>
        <w:rPr>
          <w:rFonts w:hint="eastAsia" w:hAnsi="宋体" w:eastAsia="宋体" w:cs="宋体"/>
          <w:color w:val="auto"/>
          <w:sz w:val="21"/>
          <w:highlight w:val="none"/>
          <w:lang w:val="en-US" w:eastAsia="zh-CN"/>
        </w:rPr>
        <w:t xml:space="preserve">.</w:t>
      </w:r>
      <w:r>
        <w:rPr>
          <w:rFonts w:hint="eastAsia" w:hAnsi="宋体" w:eastAsia="宋体" w:cs="宋体"/>
          <w:color w:val="auto"/>
          <w:sz w:val="21"/>
          <w:highlight w:val="none"/>
        </w:rPr>
        <w:t xml:space="preserve">与本磋商有关的通讯地址：</w:t>
      </w:r>
      <w:r/>
    </w:p>
    <w:p>
      <w:pPr>
        <w:pStyle w:val="1164"/>
        <w:ind w:firstLine="420"/>
        <w:spacing w:line="400" w:lineRule="exact"/>
        <w:rPr>
          <w:rFonts w:hint="eastAsia" w:hAnsi="宋体" w:eastAsia="宋体" w:cs="宋体"/>
          <w:color w:val="auto"/>
          <w:sz w:val="21"/>
          <w:highlight w:val="none"/>
          <w:u w:val="single"/>
        </w:rPr>
      </w:pPr>
      <w:r>
        <w:rPr>
          <w:rFonts w:hint="eastAsia" w:hAnsi="宋体" w:eastAsia="宋体" w:cs="宋体"/>
          <w:color w:val="auto"/>
          <w:sz w:val="21"/>
          <w:highlight w:val="none"/>
        </w:rPr>
        <w:t xml:space="preserve">单    位： </w:t>
      </w:r>
      <w:r>
        <w:rPr>
          <w:rFonts w:hint="eastAsia" w:hAnsi="宋体" w:eastAsia="宋体" w:cs="宋体"/>
          <w:color w:val="auto"/>
          <w:sz w:val="21"/>
          <w:highlight w:val="none"/>
          <w:u w:val="single"/>
        </w:rPr>
        <w:t xml:space="preserve">                                </w:t>
      </w:r>
      <w:r>
        <w:rPr>
          <w:rFonts w:hint="eastAsia" w:hAnsi="宋体" w:eastAsia="宋体" w:cs="宋体"/>
          <w:color w:val="auto"/>
          <w:sz w:val="21"/>
          <w:highlight w:val="none"/>
        </w:rPr>
        <w:t xml:space="preserve">联 系 人：</w:t>
      </w:r>
      <w:r>
        <w:rPr>
          <w:rFonts w:hint="eastAsia" w:hAnsi="宋体" w:eastAsia="宋体" w:cs="宋体"/>
          <w:color w:val="auto"/>
          <w:sz w:val="21"/>
          <w:highlight w:val="none"/>
          <w:u w:val="single"/>
        </w:rPr>
        <w:t xml:space="preserve">                   </w:t>
      </w:r>
      <w:r/>
    </w:p>
    <w:p>
      <w:pPr>
        <w:pStyle w:val="1164"/>
        <w:ind w:firstLine="420"/>
        <w:spacing w:line="400" w:lineRule="exact"/>
        <w:rPr>
          <w:rFonts w:hint="eastAsia" w:hAnsi="宋体" w:eastAsia="宋体" w:cs="宋体"/>
          <w:color w:val="auto"/>
          <w:sz w:val="21"/>
          <w:highlight w:val="none"/>
          <w:u w:val="single"/>
        </w:rPr>
      </w:pPr>
      <w:r>
        <w:rPr>
          <w:rFonts w:hint="eastAsia" w:hAnsi="宋体" w:eastAsia="宋体" w:cs="宋体"/>
          <w:color w:val="auto"/>
          <w:sz w:val="21"/>
          <w:highlight w:val="none"/>
        </w:rPr>
        <w:t xml:space="preserve">地    址：</w:t>
      </w:r>
      <w:r>
        <w:rPr>
          <w:rFonts w:hint="eastAsia" w:hAnsi="宋体" w:eastAsia="宋体" w:cs="宋体"/>
          <w:color w:val="auto"/>
          <w:sz w:val="21"/>
          <w:highlight w:val="none"/>
          <w:u w:val="single"/>
        </w:rPr>
        <w:t xml:space="preserve">                                </w:t>
      </w:r>
      <w:r>
        <w:rPr>
          <w:rFonts w:hint="eastAsia" w:hAnsi="宋体" w:eastAsia="宋体" w:cs="宋体"/>
          <w:color w:val="auto"/>
          <w:sz w:val="21"/>
          <w:highlight w:val="none"/>
        </w:rPr>
        <w:t xml:space="preserve"> 邮政编码：</w:t>
      </w:r>
      <w:r>
        <w:rPr>
          <w:rFonts w:hint="eastAsia" w:hAnsi="宋体" w:eastAsia="宋体" w:cs="宋体"/>
          <w:color w:val="auto"/>
          <w:sz w:val="21"/>
          <w:highlight w:val="none"/>
          <w:u w:val="single"/>
        </w:rPr>
        <w:t xml:space="preserve">                   </w:t>
      </w:r>
      <w:r/>
    </w:p>
    <w:p>
      <w:pPr>
        <w:pStyle w:val="1164"/>
        <w:ind w:firstLine="420"/>
        <w:spacing w:line="400" w:lineRule="exact"/>
        <w:rPr>
          <w:rFonts w:hint="eastAsia" w:hAnsi="宋体" w:eastAsia="宋体" w:cs="宋体"/>
          <w:color w:val="auto"/>
          <w:sz w:val="21"/>
          <w:highlight w:val="none"/>
          <w:u w:val="single"/>
        </w:rPr>
      </w:pPr>
      <w:r>
        <w:rPr>
          <w:rFonts w:hint="eastAsia" w:hAnsi="宋体" w:eastAsia="宋体" w:cs="宋体"/>
          <w:color w:val="auto"/>
          <w:sz w:val="21"/>
          <w:highlight w:val="none"/>
        </w:rPr>
        <w:t xml:space="preserve">联系电话：</w:t>
      </w:r>
      <w:r>
        <w:rPr>
          <w:rFonts w:hint="eastAsia" w:hAnsi="宋体" w:eastAsia="宋体" w:cs="宋体"/>
          <w:color w:val="auto"/>
          <w:sz w:val="21"/>
          <w:highlight w:val="none"/>
          <w:u w:val="single"/>
        </w:rPr>
        <w:t xml:space="preserve">                                </w:t>
      </w:r>
      <w:r>
        <w:rPr>
          <w:rFonts w:hint="eastAsia" w:hAnsi="宋体" w:eastAsia="宋体" w:cs="宋体"/>
          <w:color w:val="auto"/>
          <w:sz w:val="21"/>
          <w:highlight w:val="none"/>
        </w:rPr>
        <w:t xml:space="preserve"> 传    真：</w:t>
      </w:r>
      <w:r>
        <w:rPr>
          <w:rFonts w:hint="eastAsia" w:hAnsi="宋体" w:eastAsia="宋体" w:cs="宋体"/>
          <w:color w:val="auto"/>
          <w:sz w:val="21"/>
          <w:highlight w:val="none"/>
          <w:u w:val="single"/>
        </w:rPr>
        <w:t xml:space="preserve">                   </w:t>
      </w:r>
      <w:r/>
    </w:p>
    <w:p>
      <w:pPr>
        <w:pStyle w:val="1164"/>
        <w:ind w:firstLine="425"/>
        <w:spacing w:line="400" w:lineRule="exact"/>
        <w:rPr>
          <w:rFonts w:hint="eastAsia" w:hAnsi="宋体" w:eastAsia="宋体" w:cs="宋体"/>
          <w:color w:val="auto"/>
          <w:sz w:val="21"/>
          <w:highlight w:val="none"/>
        </w:rPr>
      </w:pPr>
      <w:r>
        <w:rPr>
          <w:rFonts w:hint="eastAsia" w:hAnsi="宋体" w:eastAsia="宋体" w:cs="宋体"/>
          <w:color w:val="auto"/>
          <w:sz w:val="21"/>
          <w:highlight w:val="none"/>
        </w:rPr>
        <w:t xml:space="preserve">电子邮箱：</w:t>
      </w:r>
      <w:r>
        <w:rPr>
          <w:rFonts w:hint="eastAsia" w:hAnsi="宋体" w:eastAsia="宋体" w:cs="宋体"/>
          <w:color w:val="auto"/>
          <w:sz w:val="21"/>
          <w:highlight w:val="none"/>
          <w:u w:val="single"/>
        </w:rPr>
        <w:t xml:space="preserve">                                </w:t>
      </w:r>
      <w:r>
        <w:rPr>
          <w:rFonts w:hint="eastAsia" w:hAnsi="宋体" w:eastAsia="宋体" w:cs="宋体"/>
          <w:color w:val="auto"/>
          <w:sz w:val="21"/>
          <w:highlight w:val="none"/>
        </w:rPr>
        <w:t xml:space="preserve"> </w:t>
      </w:r>
      <w:r/>
    </w:p>
    <w:p>
      <w:pPr>
        <w:pStyle w:val="1164"/>
        <w:ind w:firstLine="425"/>
        <w:spacing w:line="400" w:lineRule="exact"/>
        <w:rPr>
          <w:rFonts w:hint="eastAsia" w:hAnsi="宋体" w:eastAsia="宋体" w:cs="宋体"/>
          <w:color w:val="auto"/>
          <w:sz w:val="21"/>
          <w:highlight w:val="none"/>
        </w:rPr>
      </w:pPr>
      <w:r>
        <w:rPr>
          <w:rFonts w:hint="eastAsia" w:hAnsi="宋体" w:eastAsia="宋体" w:cs="宋体"/>
          <w:color w:val="auto"/>
          <w:sz w:val="21"/>
          <w:highlight w:val="none"/>
        </w:rPr>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响应单位：（公章）</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法定代表人或代理人：（签字或签章）               </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日期：   年     月     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52"/>
        <w:rPr>
          <w:rFonts w:hint="eastAsia" w:hAnsi="宋体" w:cs="宋体"/>
          <w:b/>
          <w:bCs/>
          <w:color w:val="auto"/>
          <w:sz w:val="24"/>
          <w:highlight w:val="none"/>
        </w:rPr>
      </w:pPr>
      <w:r>
        <w:rPr>
          <w:rFonts w:hint="eastAsia" w:hAnsi="宋体" w:cs="宋体"/>
          <w:b/>
          <w:bCs/>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52"/>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052"/>
        <w:rPr>
          <w:rFonts w:hint="eastAsia" w:hAnsi="宋体" w:cs="宋体"/>
          <w:color w:val="auto"/>
          <w:highlight w:val="none"/>
        </w:rPr>
      </w:pPr>
      <w:r>
        <w:rPr>
          <w:rFonts w:hint="eastAsia" w:hAnsi="宋体" w:cs="宋体"/>
          <w:color w:val="auto"/>
          <w:highlight w:val="none"/>
        </w:rPr>
      </w:r>
      <w:r/>
    </w:p>
    <w:p>
      <w:pPr>
        <w:spacing w:line="360" w:lineRule="auto"/>
        <w:rPr>
          <w:rFonts w:hint="eastAsia" w:ascii="宋体" w:hAnsi="宋体" w:cs="宋体"/>
          <w:b/>
          <w:bCs/>
          <w:color w:val="auto"/>
          <w:szCs w:val="24"/>
          <w:highlight w:val="none"/>
        </w:rPr>
        <w:sectPr>
          <w:footerReference w:type="default" r:id="rId14"/>
          <w:footnotePr/>
          <w:endnotePr/>
          <w:type w:val="nextPage"/>
          <w:pgSz w:w="11906" w:h="16838" w:orient="portrait"/>
          <w:pgMar w:top="850" w:right="1049" w:bottom="850" w:left="1179" w:header="624" w:footer="1020" w:gutter="0"/>
          <w:cols w:num="1" w:sep="0" w:space="720" w:equalWidth="1"/>
          <w:docGrid w:linePitch="360"/>
        </w:sectPr>
      </w:pPr>
      <w:r>
        <w:rPr>
          <w:rFonts w:hint="eastAsia" w:ascii="宋体" w:hAnsi="宋体" w:cs="宋体"/>
          <w:b/>
          <w:bCs/>
          <w:color w:val="auto"/>
          <w:szCs w:val="24"/>
          <w:highlight w:val="none"/>
        </w:rPr>
      </w:r>
      <w:r/>
    </w:p>
    <w:p>
      <w:pPr>
        <w:spacing w:line="360" w:lineRule="auto"/>
        <w:rPr>
          <w:rFonts w:hint="eastAsia" w:ascii="宋体" w:hAnsi="宋体" w:cs="宋体"/>
          <w:b/>
          <w:bCs/>
          <w:color w:val="auto"/>
          <w:highlight w:val="none"/>
        </w:rPr>
        <w:outlineLvl w:val="1"/>
      </w:pPr>
      <w:r>
        <w:rPr>
          <w:rFonts w:hint="eastAsia" w:ascii="宋体" w:hAnsi="宋体" w:cs="宋体"/>
          <w:b/>
          <w:bCs/>
          <w:color w:val="auto"/>
          <w:highlight w:val="none"/>
        </w:rPr>
        <w:t xml:space="preserve">附件</w:t>
      </w:r>
      <w:r>
        <w:rPr>
          <w:rFonts w:hint="eastAsia" w:ascii="宋体" w:hAnsi="宋体" w:cs="宋体"/>
          <w:b/>
          <w:bCs/>
          <w:color w:val="auto"/>
          <w:highlight w:val="none"/>
          <w:lang w:val="en-US" w:eastAsia="zh-CN"/>
        </w:rPr>
        <w:t xml:space="preserve">9</w:t>
      </w:r>
      <w:r>
        <w:rPr>
          <w:rFonts w:hint="eastAsia" w:ascii="宋体" w:hAnsi="宋体" w:cs="宋体"/>
          <w:b/>
          <w:bCs/>
          <w:color w:val="auto"/>
          <w:highlight w:val="none"/>
        </w:rPr>
        <w:t xml:space="preserve">：投标（响应）保证承诺书</w:t>
      </w:r>
      <w:r/>
    </w:p>
    <w:p>
      <w:pPr>
        <w:jc w:val="center"/>
        <w:spacing w:before="100" w:beforeAutospacing="1" w:after="100" w:afterAutospacing="1" w:line="600" w:lineRule="atLeas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投标（响应）保证承诺书</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60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1.自响应截止时间至本项目发布成交公告为止，撤销响应；</w:t>
      </w:r>
      <w:r/>
    </w:p>
    <w:p>
      <w:pPr>
        <w:ind w:firstLine="555"/>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2.成交后不依法与采购人签订合同；</w:t>
      </w:r>
      <w:r/>
    </w:p>
    <w:p>
      <w:pPr>
        <w:ind w:firstLine="555"/>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3.成交后不按本采购文件规定向贵方缴纳采购代理费。</w:t>
      </w:r>
      <w:r/>
    </w:p>
    <w:p>
      <w:pPr>
        <w:ind w:firstLine="60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ind w:firstLine="525"/>
        <w:spacing w:line="400" w:lineRule="exact"/>
        <w:tabs>
          <w:tab w:val="left" w:pos="2870" w:leader="none"/>
        </w:tabs>
        <w:rPr>
          <w:rFonts w:hint="eastAsia" w:ascii="宋体" w:hAnsi="宋体" w:cs="宋体"/>
          <w:color w:val="auto"/>
          <w:highlight w:val="none"/>
        </w:rPr>
      </w:pPr>
      <w:r>
        <w:rPr>
          <w:rFonts w:hint="eastAsia" w:ascii="宋体" w:hAnsi="宋体" w:cs="宋体"/>
          <w:color w:val="auto"/>
          <w:highlight w:val="none"/>
        </w:rPr>
      </w:r>
      <w:r/>
    </w:p>
    <w:p>
      <w:pPr>
        <w:pStyle w:val="1052"/>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sectPr>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s="宋体"/>
          <w:color w:val="auto"/>
          <w:highlight w:val="none"/>
        </w:rPr>
      </w:r>
      <w:r/>
    </w:p>
    <w:p>
      <w:pPr>
        <w:jc w:val="left"/>
        <w:spacing w:line="360" w:lineRule="auto"/>
        <w:widowControl/>
        <w:rPr>
          <w:rFonts w:hint="eastAsia" w:ascii="宋体" w:hAnsi="宋体" w:cs="宋体"/>
          <w:b/>
          <w:color w:val="auto"/>
          <w:sz w:val="22"/>
          <w:szCs w:val="21"/>
          <w:highlight w:val="none"/>
        </w:rPr>
        <w:outlineLvl w:val="1"/>
      </w:pPr>
      <w:r/>
      <w:bookmarkStart w:id="41" w:name="_Toc26516"/>
      <w:r/>
      <w:bookmarkStart w:id="42" w:name="_Toc24461"/>
      <w:r>
        <w:rPr>
          <w:rFonts w:hint="eastAsia" w:ascii="宋体" w:hAnsi="宋体" w:cs="宋体"/>
          <w:b/>
          <w:bCs/>
          <w:color w:val="auto"/>
          <w:highlight w:val="none"/>
        </w:rPr>
        <w:t xml:space="preserve">附件</w:t>
      </w:r>
      <w:r>
        <w:rPr>
          <w:rFonts w:hint="eastAsia" w:ascii="宋体" w:hAnsi="宋体" w:cs="宋体"/>
          <w:b/>
          <w:bCs/>
          <w:color w:val="auto"/>
          <w:highlight w:val="none"/>
          <w:lang w:val="en-US" w:eastAsia="zh-CN"/>
        </w:rPr>
        <w:t xml:space="preserve">10</w:t>
      </w:r>
      <w:r>
        <w:rPr>
          <w:rFonts w:hint="eastAsia" w:ascii="宋体" w:hAnsi="宋体" w:cs="宋体"/>
          <w:b/>
          <w:bCs/>
          <w:color w:val="auto"/>
          <w:highlight w:val="none"/>
        </w:rPr>
        <w:t xml:space="preserve">：</w:t>
      </w:r>
      <w:bookmarkEnd w:id="41"/>
      <w:r/>
      <w:bookmarkEnd w:id="42"/>
      <w:r>
        <w:rPr>
          <w:rFonts w:hint="eastAsia" w:ascii="宋体" w:hAnsi="宋体" w:cs="宋体"/>
          <w:b/>
          <w:bCs/>
          <w:color w:val="auto"/>
          <w:highlight w:val="none"/>
        </w:rPr>
        <w:t xml:space="preserve">商务条款偏离表、服务</w:t>
      </w:r>
      <w:r>
        <w:rPr>
          <w:rFonts w:hint="eastAsia" w:ascii="宋体" w:hAnsi="宋体" w:cs="宋体"/>
          <w:b/>
          <w:color w:val="auto"/>
          <w:sz w:val="22"/>
          <w:szCs w:val="21"/>
          <w:highlight w:val="none"/>
        </w:rPr>
        <w:t xml:space="preserve">要求偏离表</w:t>
      </w:r>
      <w:r/>
    </w:p>
    <w:p>
      <w:pPr>
        <w:pStyle w:val="1006"/>
        <w:ind w:firstLine="0"/>
        <w:jc w:val="center"/>
        <w:rPr>
          <w:rFonts w:hint="eastAsia" w:cs="宋体"/>
          <w:b/>
          <w:color w:val="auto"/>
          <w:sz w:val="22"/>
          <w:szCs w:val="21"/>
          <w:highlight w:val="none"/>
        </w:rPr>
      </w:pPr>
      <w:r>
        <w:rPr>
          <w:rFonts w:hint="eastAsia" w:cs="宋体"/>
          <w:b/>
          <w:color w:val="auto"/>
          <w:sz w:val="22"/>
          <w:szCs w:val="21"/>
          <w:highlight w:val="none"/>
        </w:rPr>
      </w:r>
      <w:r/>
    </w:p>
    <w:p>
      <w:pPr>
        <w:jc w:val="center"/>
        <w:spacing w:line="360" w:lineRule="auto"/>
        <w:widowControl/>
        <w:rPr>
          <w:rFonts w:hint="eastAsia" w:ascii="宋体" w:hAnsi="宋体" w:cs="宋体"/>
          <w:b/>
          <w:color w:val="auto"/>
          <w:sz w:val="22"/>
          <w:szCs w:val="21"/>
          <w:highlight w:val="none"/>
        </w:rPr>
      </w:pPr>
      <w:r>
        <w:rPr>
          <w:rFonts w:hint="eastAsia" w:ascii="宋体" w:hAnsi="宋体" w:cs="宋体"/>
          <w:b/>
          <w:color w:val="auto"/>
          <w:sz w:val="22"/>
          <w:szCs w:val="21"/>
          <w:highlight w:val="none"/>
        </w:rPr>
        <w:t xml:space="preserve">商务条款偏离表</w:t>
      </w:r>
      <w:r/>
    </w:p>
    <w:p>
      <w:pPr>
        <w:jc w:val="center"/>
        <w:spacing w:line="360" w:lineRule="auto"/>
        <w:widowControl/>
        <w:rPr>
          <w:rFonts w:hint="eastAsia" w:ascii="宋体" w:hAnsi="宋体" w:cs="宋体"/>
          <w:b/>
          <w:color w:val="auto"/>
          <w:sz w:val="22"/>
          <w:szCs w:val="21"/>
          <w:highlight w:val="none"/>
        </w:rPr>
      </w:pPr>
      <w:r>
        <w:rPr>
          <w:rFonts w:hint="eastAsia" w:ascii="宋体" w:hAnsi="宋体" w:cs="宋体"/>
          <w:b/>
          <w:color w:val="auto"/>
          <w:sz w:val="22"/>
          <w:szCs w:val="21"/>
          <w:highlight w:val="none"/>
        </w:rPr>
      </w:r>
      <w:r/>
    </w:p>
    <w:tbl>
      <w:tblPr>
        <w:tblStyle w:val="999"/>
        <w:tblW w:w="108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676"/>
        <w:gridCol w:w="2042"/>
        <w:gridCol w:w="2043"/>
        <w:gridCol w:w="2043"/>
        <w:gridCol w:w="2043"/>
      </w:tblGrid>
      <w:tr>
        <w:trPr>
          <w:jc w:val="center"/>
          <w:trHeight w:val="646"/>
        </w:trPr>
        <w:tc>
          <w:tcPr>
            <w:tcW w:w="954"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676" w:type="dxa"/>
            <w:vAlign w:val="center"/>
            <w:textDirection w:val="lrTb"/>
            <w:noWrap/>
          </w:tcPr>
          <w:p>
            <w:pPr>
              <w:ind w:left="54"/>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      目</w:t>
            </w:r>
            <w:r/>
          </w:p>
        </w:tc>
        <w:tc>
          <w:tcPr>
            <w:tcW w:w="2042"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043"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2043"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c>
          <w:tcPr>
            <w:tcW w:w="2043" w:type="dxa"/>
            <w:vAlign w:val="center"/>
            <w:textDirection w:val="lrTb"/>
            <w:noWrap/>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67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42"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43"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43"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43"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67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42"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43"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43"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43"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67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42"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43"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43"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43"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7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42"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43"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43"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43"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注：响应单位的响应文件（除服务要求部分）与采购文件规定的有偏离的，应在此表中说明。未在上表中说明的，如在响应文件其他内容中已有文字说明的，则以已有文字说明为准，否则，将被认为完全响应采购文件的规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006"/>
        <w:rPr>
          <w:rFonts w:hint="eastAsia" w:cs="宋体"/>
          <w:color w:val="auto"/>
          <w:highlight w:val="none"/>
        </w:rPr>
      </w:pPr>
      <w:r>
        <w:rPr>
          <w:rFonts w:hint="eastAsia" w:cs="宋体"/>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hd w:val="nil"/>
        <w:rPr>
          <w:rFonts w:hint="eastAsia" w:ascii="宋体" w:hAnsi="宋体" w:cs="宋体"/>
          <w:b/>
          <w:bCs/>
          <w:color w:val="auto"/>
          <w:sz w:val="22"/>
          <w:szCs w:val="22"/>
          <w:highlight w:val="none"/>
        </w:rPr>
      </w:pPr>
      <w:r>
        <w:rPr>
          <w:rFonts w:hint="eastAsia" w:ascii="宋体" w:hAnsi="宋体" w:cs="宋体"/>
          <w:b/>
          <w:color w:val="auto"/>
          <w:sz w:val="22"/>
          <w:szCs w:val="21"/>
          <w:highlight w:val="none"/>
        </w:rPr>
        <w:br w:type="page" w:clear="all"/>
      </w:r>
      <w:r>
        <w:rPr>
          <w:rFonts w:hint="eastAsia" w:ascii="宋体" w:hAnsi="宋体" w:cs="宋体"/>
          <w:b/>
          <w:color w:val="auto"/>
          <w:sz w:val="22"/>
          <w:szCs w:val="21"/>
          <w:highlight w:val="none"/>
        </w:rPr>
      </w:r>
    </w:p>
    <w:p>
      <w:pPr>
        <w:jc w:val="center"/>
        <w:spacing w:line="360" w:lineRule="auto"/>
        <w:widowControl/>
        <w:rPr>
          <w:rFonts w:hint="eastAsia" w:ascii="宋体" w:hAnsi="宋体" w:cs="宋体"/>
          <w:b/>
          <w:bCs/>
          <w:color w:val="auto"/>
          <w:sz w:val="22"/>
          <w:szCs w:val="22"/>
          <w:highlight w:val="none"/>
        </w:rPr>
      </w:pPr>
      <w:r>
        <w:rPr>
          <w:rFonts w:hint="eastAsia" w:ascii="宋体" w:hAnsi="宋体" w:cs="宋体"/>
          <w:b/>
          <w:color w:val="auto"/>
          <w:sz w:val="22"/>
          <w:szCs w:val="21"/>
          <w:highlight w:val="none"/>
        </w:rPr>
        <w:t xml:space="preserve">服务要求偏离表</w:t>
      </w:r>
      <w:r/>
    </w:p>
    <w:p>
      <w:pPr>
        <w:jc w:val="center"/>
        <w:spacing w:line="360" w:lineRule="auto"/>
        <w:widowControl/>
        <w:rPr>
          <w:rFonts w:hint="eastAsia" w:ascii="宋体" w:hAnsi="宋体" w:cs="宋体"/>
          <w:b/>
          <w:color w:val="auto"/>
          <w:sz w:val="22"/>
          <w:szCs w:val="21"/>
          <w:highlight w:val="none"/>
        </w:rPr>
      </w:pPr>
      <w:r>
        <w:rPr>
          <w:rFonts w:hint="eastAsia" w:ascii="宋体" w:hAnsi="宋体" w:cs="宋体"/>
          <w:b/>
          <w:color w:val="auto"/>
          <w:sz w:val="22"/>
          <w:szCs w:val="21"/>
          <w:highlight w:val="none"/>
        </w:rPr>
      </w:r>
      <w:r/>
    </w:p>
    <w:tbl>
      <w:tblPr>
        <w:tblStyle w:val="999"/>
        <w:tblW w:w="10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1687"/>
        <w:gridCol w:w="2056"/>
        <w:gridCol w:w="2057"/>
        <w:gridCol w:w="2057"/>
        <w:gridCol w:w="2057"/>
      </w:tblGrid>
      <w:tr>
        <w:trPr>
          <w:jc w:val="center"/>
          <w:trHeight w:val="579"/>
        </w:trPr>
        <w:tc>
          <w:tcPr>
            <w:tcW w:w="960"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687" w:type="dxa"/>
            <w:vAlign w:val="center"/>
            <w:textDirection w:val="lrTb"/>
            <w:noWrap/>
          </w:tcPr>
          <w:p>
            <w:pPr>
              <w:ind w:left="54"/>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      目</w:t>
            </w:r>
            <w:r/>
          </w:p>
        </w:tc>
        <w:tc>
          <w:tcPr>
            <w:tcW w:w="2056"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057"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2057"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c>
          <w:tcPr>
            <w:tcW w:w="2057" w:type="dxa"/>
            <w:vAlign w:val="center"/>
            <w:textDirection w:val="lrTb"/>
            <w:noWrap/>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68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6"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68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6"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68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6"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68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6"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93"/>
        </w:trPr>
        <w:tc>
          <w:tcPr>
            <w:tcW w:w="960" w:type="dxa"/>
            <w:vAlign w:val="center"/>
            <w:textDirection w:val="lrTb"/>
            <w:noWrap/>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8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6"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057" w:type="dxa"/>
            <w:textDirection w:val="lrTb"/>
            <w:noWrap/>
          </w:tcPr>
          <w:p>
            <w:pPr>
              <w:ind w:firstLine="699"/>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注：响应单位应对照采购文件中服务要求等与采购文件的规定有偏离的，应在此表中申明与技术要求条文的偏差和例外</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未在上表中说明的，如在响应文件其他内容中已有文字说明的，则以已有文字说明为准，否则，将被认为完全响应采购文件的规定。</w:t>
      </w:r>
      <w:r/>
    </w:p>
    <w:p>
      <w:pPr>
        <w:ind w:firstLine="63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006"/>
        <w:ind w:firstLine="0"/>
        <w:rPr>
          <w:rFonts w:hint="eastAsia" w:cs="宋体"/>
          <w:color w:val="auto"/>
          <w:highlight w:val="none"/>
        </w:rPr>
      </w:pPr>
      <w:r>
        <w:rPr>
          <w:rFonts w:hint="eastAsia" w:cs="宋体"/>
          <w:color w:val="auto"/>
          <w:highlight w:val="none"/>
        </w:rPr>
      </w:r>
      <w:r/>
    </w:p>
    <w:p>
      <w:pPr>
        <w:jc w:val="left"/>
        <w:spacing w:before="100" w:beforeAutospacing="1" w:after="100" w:afterAutospacing="1" w:line="600" w:lineRule="atLeast"/>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before="100" w:beforeAutospacing="1" w:after="100" w:afterAutospacing="1" w:line="600" w:lineRule="atLeast"/>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before="100" w:beforeAutospacing="1" w:after="100" w:afterAutospacing="1" w:line="600" w:lineRule="atLeast"/>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before="100" w:beforeAutospacing="1" w:after="100" w:afterAutospacing="1" w:line="600" w:lineRule="atLeast"/>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before="100" w:beforeAutospacing="1" w:after="100" w:afterAutospacing="1" w:line="600" w:lineRule="atLeast"/>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500" w:lineRule="exact"/>
        <w:rPr>
          <w:rFonts w:hint="eastAsia" w:ascii="宋体" w:hAnsi="宋体" w:cs="宋体"/>
          <w:b/>
          <w:bCs/>
          <w:color w:val="auto"/>
          <w:highlight w:val="none"/>
        </w:rPr>
      </w:pPr>
      <w:r>
        <w:rPr>
          <w:rFonts w:hint="eastAsia" w:ascii="宋体" w:hAnsi="宋体" w:cs="宋体"/>
          <w:b/>
          <w:bCs/>
          <w:color w:val="auto"/>
          <w:highlight w:val="none"/>
        </w:rPr>
        <w:br w:type="page" w:clear="all"/>
      </w:r>
      <w:r/>
    </w:p>
    <w:p>
      <w:pPr>
        <w:spacing w:line="360" w:lineRule="auto"/>
        <w:rPr>
          <w:rFonts w:hint="eastAsia" w:ascii="宋体" w:hAnsi="宋体" w:cs="宋体"/>
          <w:b/>
          <w:bCs/>
          <w:color w:val="auto"/>
          <w:highlight w:val="none"/>
        </w:rPr>
        <w:outlineLvl w:val="1"/>
      </w:pPr>
      <w:r>
        <w:rPr>
          <w:rFonts w:hint="eastAsia" w:ascii="宋体" w:hAnsi="宋体" w:cs="宋体"/>
          <w:b/>
          <w:bCs/>
          <w:color w:val="auto"/>
          <w:highlight w:val="none"/>
        </w:rPr>
        <w:t xml:space="preserve">附件</w:t>
      </w:r>
      <w:r>
        <w:rPr>
          <w:rFonts w:hint="eastAsia" w:ascii="宋体" w:hAnsi="宋体" w:cs="宋体"/>
          <w:b/>
          <w:bCs/>
          <w:color w:val="auto"/>
          <w:highlight w:val="none"/>
          <w:lang w:val="en-US" w:eastAsia="zh-CN"/>
        </w:rPr>
        <w:t xml:space="preserve">11</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拟投入</w:t>
      </w:r>
      <w:r>
        <w:rPr>
          <w:rFonts w:hint="eastAsia" w:ascii="宋体" w:hAnsi="宋体" w:cs="宋体"/>
          <w:b/>
          <w:bCs/>
          <w:color w:val="auto"/>
          <w:highlight w:val="none"/>
        </w:rPr>
        <w:t xml:space="preserve">项目人员配置表</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Style w:val="1090"/>
          <w:rFonts w:hint="eastAsia" w:ascii="宋体" w:hAnsi="宋体"/>
          <w:b/>
          <w:bCs/>
          <w:color w:val="auto"/>
          <w:szCs w:val="21"/>
          <w:highlight w:val="none"/>
        </w:rPr>
      </w:pPr>
      <w:r>
        <w:rPr>
          <w:rFonts w:hint="eastAsia" w:ascii="宋体" w:hAnsi="宋体" w:cs="宋体"/>
          <w:b/>
          <w:bCs/>
          <w:color w:val="auto"/>
          <w:highlight w:val="none"/>
          <w:lang w:val="en-US" w:eastAsia="zh-CN"/>
        </w:rPr>
        <w:t xml:space="preserve">拟投入</w:t>
      </w:r>
      <w:r>
        <w:rPr>
          <w:rFonts w:hint="eastAsia" w:ascii="宋体" w:hAnsi="宋体" w:cs="宋体"/>
          <w:b/>
          <w:bCs/>
          <w:color w:val="auto"/>
          <w:szCs w:val="21"/>
          <w:highlight w:val="none"/>
        </w:rPr>
        <w:t xml:space="preserve">项目人员配置表</w:t>
      </w:r>
      <w:r/>
    </w:p>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tbl>
      <w:tblPr>
        <w:tblStyle w:val="9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039"/>
        <w:gridCol w:w="1049"/>
        <w:gridCol w:w="979"/>
        <w:gridCol w:w="975"/>
        <w:gridCol w:w="1003"/>
        <w:gridCol w:w="850"/>
        <w:gridCol w:w="1276"/>
        <w:gridCol w:w="1276"/>
      </w:tblGrid>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t xml:space="preserve">技术资质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t xml:space="preserve">在本项目拟任职务</w:t>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gridSpan w:val="9"/>
            <w:tcBorders>
              <w:top w:val="single" w:color="auto" w:sz="4" w:space="0"/>
              <w:left w:val="single" w:color="auto" w:sz="4" w:space="0"/>
              <w:bottom w:val="single" w:color="auto" w:sz="4" w:space="0"/>
              <w:right w:val="single" w:color="auto" w:sz="4" w:space="0"/>
            </w:tcBorders>
            <w:tcW w:w="9458" w:type="dxa"/>
            <w:vAlign w:val="center"/>
            <w:textDirection w:val="lrTb"/>
            <w:noWrap w:val="false"/>
          </w:tcPr>
          <w:p>
            <w:pPr>
              <w:jc w:val="center"/>
              <w:spacing w:before="312" w:after="312"/>
              <w:rPr>
                <w:rFonts w:hint="eastAsia" w:ascii="宋体" w:hAnsi="宋体" w:cs="宋体"/>
                <w:color w:val="auto"/>
                <w:szCs w:val="21"/>
                <w:highlight w:val="none"/>
              </w:rPr>
            </w:pPr>
            <w:r>
              <w:rPr>
                <w:rFonts w:hint="eastAsia" w:ascii="宋体" w:hAnsi="宋体" w:cs="宋体"/>
                <w:color w:val="auto"/>
                <w:szCs w:val="21"/>
                <w:highlight w:val="none"/>
              </w:rPr>
              <w:t xml:space="preserve">（可加行）</w:t>
            </w:r>
            <w:r/>
          </w:p>
        </w:tc>
      </w:tr>
    </w:tbl>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500" w:lineRule="exact"/>
        <w:tabs>
          <w:tab w:val="left" w:pos="2663"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响应单位：（公章）</w:t>
      </w:r>
      <w:r>
        <w:rPr>
          <w:rFonts w:hint="eastAsia" w:ascii="宋体" w:hAnsi="宋体" w:cs="宋体"/>
          <w:color w:val="auto"/>
          <w:szCs w:val="21"/>
          <w:highlight w:val="none"/>
          <w:lang w:eastAsia="zh-CN"/>
        </w:rPr>
        <w:tab/>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highlight w:val="none"/>
        </w:rPr>
      </w:pPr>
      <w:r>
        <w:rPr>
          <w:rFonts w:hint="eastAsia" w:ascii="宋体" w:hAnsi="宋体" w:cs="宋体"/>
          <w:b/>
          <w:bCs/>
          <w:color w:val="auto"/>
          <w:highlight w:val="none"/>
        </w:rPr>
        <w:br w:type="page" w:clear="all"/>
      </w:r>
      <w:r/>
    </w:p>
    <w:p>
      <w:pPr>
        <w:spacing w:line="480" w:lineRule="auto"/>
        <w:rPr>
          <w:rFonts w:hint="eastAsia" w:ascii="宋体" w:hAnsi="宋体" w:cs="宋体"/>
          <w:b/>
          <w:bCs/>
          <w:color w:val="auto"/>
          <w:highlight w:val="none"/>
        </w:rPr>
        <w:outlineLvl w:val="1"/>
      </w:pPr>
      <w:r>
        <w:rPr>
          <w:rFonts w:hint="eastAsia" w:ascii="宋体" w:hAnsi="宋体" w:cs="宋体"/>
          <w:b/>
          <w:bCs/>
          <w:color w:val="auto"/>
          <w:highlight w:val="none"/>
        </w:rPr>
        <w:t xml:space="preserve">附件</w:t>
      </w:r>
      <w:r>
        <w:rPr>
          <w:rFonts w:hint="eastAsia" w:ascii="宋体" w:hAnsi="宋体" w:cs="宋体"/>
          <w:b/>
          <w:bCs/>
          <w:color w:val="auto"/>
          <w:highlight w:val="none"/>
          <w:lang w:val="en-US" w:eastAsia="zh-CN"/>
        </w:rPr>
        <w:t xml:space="preserve">12</w:t>
      </w:r>
      <w:r>
        <w:rPr>
          <w:rFonts w:hint="eastAsia" w:ascii="宋体" w:hAnsi="宋体" w:cs="宋体"/>
          <w:b/>
          <w:bCs/>
          <w:color w:val="auto"/>
          <w:highlight w:val="none"/>
        </w:rPr>
        <w:t xml:space="preserve">：类似项目业绩表</w:t>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类似项目业绩表</w:t>
      </w:r>
      <w:r/>
    </w:p>
    <w:p>
      <w:pPr>
        <w:pStyle w:val="1052"/>
        <w:rPr>
          <w:rFonts w:hint="eastAsia" w:hAnsi="宋体" w:cs="宋体"/>
          <w:color w:val="auto"/>
          <w:highlight w:val="none"/>
        </w:rPr>
      </w:pPr>
      <w:r>
        <w:rPr>
          <w:rFonts w:hint="eastAsia" w:hAnsi="宋体" w:cs="宋体"/>
          <w:color w:val="auto"/>
          <w:highlight w:val="none"/>
        </w:rPr>
      </w:r>
      <w:r/>
    </w:p>
    <w:tbl>
      <w:tblPr>
        <w:tblStyle w:val="999"/>
        <w:tblW w:w="49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149"/>
        <w:gridCol w:w="1673"/>
        <w:gridCol w:w="2162"/>
        <w:gridCol w:w="2233"/>
      </w:tblGrid>
      <w:tr>
        <w:trPr>
          <w:jc w:val="center"/>
          <w:trHeight w:val="1685"/>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center"/>
              <w:spacing w:line="360" w:lineRule="auto"/>
              <w:tabs>
                <w:tab w:val="left" w:pos="6252"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项目时间</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tabs>
                <w:tab w:val="left" w:pos="6252"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Cs/>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065"/>
        <w:ind w:firstLine="0"/>
        <w:rPr>
          <w:rFonts w:hint="eastAsia" w:ascii="宋体" w:hAnsi="宋体" w:cs="宋体"/>
          <w:b/>
          <w:bCs/>
          <w:color w:val="auto"/>
          <w:szCs w:val="21"/>
          <w:highlight w:val="none"/>
          <w:lang w:val="en-US"/>
        </w:rPr>
      </w:pPr>
      <w:r>
        <w:rPr>
          <w:rFonts w:hint="eastAsia" w:ascii="宋体" w:hAnsi="宋体" w:cs="宋体"/>
          <w:b/>
          <w:bCs/>
          <w:color w:val="auto"/>
          <w:szCs w:val="21"/>
          <w:highlight w:val="none"/>
          <w:lang w:val="en-US"/>
        </w:rPr>
      </w:r>
      <w:r/>
    </w:p>
    <w:p>
      <w:pPr>
        <w:pStyle w:val="1065"/>
        <w:ind w:firstLine="0"/>
        <w:rPr>
          <w:rFonts w:hint="eastAsia" w:ascii="宋体" w:hAnsi="宋体" w:cs="宋体"/>
          <w:b/>
          <w:bCs/>
          <w:color w:val="auto"/>
          <w:szCs w:val="21"/>
          <w:highlight w:val="none"/>
          <w:lang w:val="en-US"/>
        </w:rPr>
      </w:pPr>
      <w:r>
        <w:rPr>
          <w:rFonts w:hint="eastAsia" w:ascii="宋体" w:hAnsi="宋体" w:cs="宋体"/>
          <w:b/>
          <w:bCs/>
          <w:color w:val="auto"/>
          <w:szCs w:val="21"/>
          <w:highlight w:val="none"/>
          <w:lang w:val="en-US"/>
        </w:rPr>
      </w:r>
      <w:r/>
    </w:p>
    <w:p>
      <w:pPr>
        <w:pStyle w:val="1065"/>
        <w:ind w:firstLine="0"/>
        <w:rPr>
          <w:rFonts w:hint="eastAsia" w:ascii="宋体" w:hAnsi="宋体" w:cs="宋体"/>
          <w:b/>
          <w:bCs/>
          <w:color w:val="auto"/>
          <w:szCs w:val="21"/>
          <w:highlight w:val="none"/>
          <w:lang w:val="en-US"/>
        </w:rPr>
      </w:pPr>
      <w:r>
        <w:rPr>
          <w:rFonts w:hint="eastAsia" w:ascii="宋体" w:hAnsi="宋体" w:cs="宋体"/>
          <w:b/>
          <w:bCs/>
          <w:color w:val="auto"/>
          <w:szCs w:val="21"/>
          <w:highlight w:val="none"/>
          <w:lang w:val="en-US"/>
        </w:rPr>
      </w:r>
      <w:r/>
    </w:p>
    <w:p>
      <w:pPr>
        <w:pStyle w:val="1065"/>
        <w:ind w:firstLine="0"/>
        <w:jc w:val="right"/>
        <w:rPr>
          <w:rFonts w:hint="eastAsia" w:ascii="宋体" w:hAnsi="宋体" w:cs="宋体"/>
          <w:b/>
          <w:bCs/>
          <w:color w:val="auto"/>
          <w:szCs w:val="21"/>
          <w:highlight w:val="none"/>
          <w:lang w:val="en-US"/>
        </w:rPr>
      </w:pPr>
      <w:r>
        <w:rPr>
          <w:rFonts w:hint="eastAsia" w:ascii="宋体" w:hAnsi="宋体" w:cs="宋体"/>
          <w:b/>
          <w:bCs/>
          <w:color w:val="auto"/>
          <w:szCs w:val="21"/>
          <w:highlight w:val="none"/>
          <w:lang w:val="en-US"/>
        </w:rPr>
        <w:t xml:space="preserve">（全文完）</w:t>
      </w:r>
      <w:r/>
    </w:p>
    <w:p>
      <w:pPr>
        <w:pStyle w:val="1065"/>
        <w:ind w:firstLine="0"/>
        <w:rPr>
          <w:rFonts w:hint="eastAsia" w:ascii="宋体" w:hAnsi="宋体" w:cs="宋体"/>
          <w:b/>
          <w:bCs/>
          <w:color w:val="auto"/>
          <w:szCs w:val="21"/>
          <w:highlight w:val="none"/>
          <w:lang w:val="en-US"/>
        </w:rPr>
      </w:pPr>
      <w:r>
        <w:rPr>
          <w:rFonts w:hint="eastAsia" w:ascii="宋体" w:hAnsi="宋体" w:cs="宋体"/>
          <w:b/>
          <w:bCs/>
          <w:color w:val="auto"/>
          <w:szCs w:val="21"/>
          <w:highlight w:val="none"/>
          <w:lang w:val="en-US"/>
        </w:rPr>
      </w:r>
      <w:r/>
    </w:p>
    <w:p>
      <w:pPr>
        <w:pStyle w:val="1065"/>
        <w:ind w:firstLine="0"/>
        <w:rPr>
          <w:rFonts w:hint="eastAsia" w:ascii="宋体" w:hAnsi="宋体" w:cs="宋体"/>
          <w:b/>
          <w:bCs/>
          <w:color w:val="auto"/>
          <w:szCs w:val="21"/>
          <w:highlight w:val="none"/>
          <w:lang w:val="en-US"/>
        </w:rPr>
      </w:pPr>
      <w:r>
        <w:rPr>
          <w:rFonts w:hint="eastAsia" w:ascii="宋体" w:hAnsi="宋体" w:cs="宋体"/>
          <w:b/>
          <w:bCs/>
          <w:color w:val="auto"/>
          <w:szCs w:val="21"/>
          <w:highlight w:val="none"/>
          <w:lang w:val="en-US"/>
        </w:rPr>
      </w:r>
      <w:r/>
    </w:p>
    <w:p>
      <w:pPr>
        <w:pStyle w:val="1065"/>
        <w:ind w:firstLine="0"/>
        <w:rPr>
          <w:rFonts w:hint="eastAsia" w:ascii="宋体" w:hAnsi="宋体" w:cs="宋体"/>
          <w:b/>
          <w:bCs/>
          <w:color w:val="auto"/>
          <w:szCs w:val="21"/>
          <w:highlight w:val="none"/>
          <w:lang w:val="en-US"/>
        </w:rPr>
      </w:pPr>
      <w:r>
        <w:rPr>
          <w:rFonts w:hint="eastAsia" w:ascii="宋体" w:hAnsi="宋体" w:cs="宋体"/>
          <w:b/>
          <w:bCs/>
          <w:color w:val="auto"/>
          <w:szCs w:val="21"/>
          <w:highlight w:val="none"/>
          <w:lang w:val="en-US"/>
        </w:rPr>
      </w:r>
      <w:r/>
    </w:p>
    <w:p>
      <w:pPr>
        <w:pStyle w:val="1065"/>
        <w:ind w:firstLine="0"/>
        <w:rPr>
          <w:rFonts w:hint="eastAsia" w:ascii="宋体" w:hAnsi="宋体" w:cs="宋体"/>
          <w:b/>
          <w:bCs/>
          <w:color w:val="auto"/>
          <w:szCs w:val="21"/>
          <w:highlight w:val="none"/>
          <w:lang w:val="en-US"/>
        </w:rPr>
      </w:pPr>
      <w:r>
        <w:rPr>
          <w:rFonts w:hint="eastAsia" w:ascii="宋体" w:hAnsi="宋体" w:cs="宋体"/>
          <w:b/>
          <w:bCs/>
          <w:color w:val="auto"/>
          <w:szCs w:val="21"/>
          <w:highlight w:val="none"/>
          <w:lang w:val="en-US"/>
        </w:rPr>
      </w:r>
      <w:r/>
    </w:p>
    <w:p>
      <w:pPr>
        <w:pStyle w:val="1065"/>
        <w:ind w:firstLine="0"/>
        <w:rPr>
          <w:rFonts w:hint="eastAsia" w:ascii="宋体" w:hAnsi="宋体" w:cs="宋体"/>
          <w:b/>
          <w:bCs/>
          <w:color w:val="auto"/>
          <w:szCs w:val="21"/>
          <w:highlight w:val="none"/>
          <w:lang w:val="en-US"/>
        </w:rPr>
      </w:pPr>
      <w:r>
        <w:rPr>
          <w:rFonts w:hint="eastAsia" w:ascii="宋体" w:hAnsi="宋体" w:cs="宋体"/>
          <w:b/>
          <w:bCs/>
          <w:color w:val="auto"/>
          <w:szCs w:val="21"/>
          <w:highlight w:val="none"/>
          <w:lang w:val="en-US"/>
        </w:rPr>
      </w:r>
      <w:r/>
    </w:p>
    <w:sectPr>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0410684"/>
      <w:rPr/>
    </w:sdtPr>
    <w:sdtContent>
      <w:sdt>
        <w:sdtPr>
          <w15:appearance w15:val="boundingBox"/>
          <w:id w:val="490448134"/>
          <w:rPr/>
        </w:sdtPr>
        <w:sdtContent>
          <w:p>
            <w:pPr>
              <w:pStyle w:val="1014"/>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23</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39</w:t>
            </w:r>
            <w:r>
              <w:rPr>
                <w:b/>
                <w:bCs/>
                <w:sz w:val="24"/>
                <w:szCs w:val="24"/>
              </w:rPr>
              <w:fldChar w:fldCharType="end"/>
            </w:r>
            <w:r/>
          </w:p>
        </w:sdtContent>
      </w:sdt>
    </w:sdtContent>
  </w:sdt>
  <w:p>
    <w:pPr>
      <w:pStyle w:val="10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rPr>
        <w:rFonts w:hint="eastAsia" w:hAnsi="宋体" w:eastAsia="宋体" w:cs="宋体"/>
        <w:sz w:val="18"/>
        <w:szCs w:val="18"/>
      </w:rPr>
    </w:pPr>
    <w:r>
      <w:rPr>
        <w:rFonts w:hint="eastAsia" w:hAnsi="宋体" w:eastAsia="宋体" w:cs="宋体"/>
        <w:sz w:val="18"/>
        <w:szCs w:val="18"/>
      </w:rPr>
      <w:tab/>
    </w:r>
    <w:r>
      <w:rPr>
        <w:rFonts w:hint="eastAsia" w:hAnsi="宋体" w:eastAsia="宋体" w:cs="宋体"/>
        <w:sz w:val="18"/>
        <w:szCs w:val="18"/>
      </w:rPr>
      <w:t xml:space="preserve">                                                              </w:t>
    </w:r>
    <w:r/>
  </w:p>
  <w:p>
    <w:pPr>
      <w:pStyle w:val="1164"/>
      <w:rPr>
        <w:rFonts w:hint="eastAsia" w:hAnsi="宋体" w:eastAsia="宋体" w:cs="宋体"/>
        <w:sz w:val="18"/>
        <w:szCs w:val="18"/>
      </w:rPr>
    </w:pPr>
    <w:r>
      <w:rPr>
        <w:rFonts w:hint="eastAsia" w:hAnsi="宋体" w:eastAsia="宋体" w:cs="宋体"/>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1">
    <w:name w:val="Heading 1 Char"/>
    <w:basedOn w:val="998"/>
    <w:link w:val="989"/>
    <w:uiPriority w:val="9"/>
    <w:rPr>
      <w:rFonts w:ascii="Arial" w:hAnsi="Arial" w:eastAsia="Arial" w:cs="Arial"/>
      <w:sz w:val="40"/>
      <w:szCs w:val="40"/>
    </w:rPr>
  </w:style>
  <w:style w:type="character" w:styleId="832">
    <w:name w:val="Heading 2 Char"/>
    <w:basedOn w:val="998"/>
    <w:link w:val="1176"/>
    <w:uiPriority w:val="9"/>
    <w:rPr>
      <w:rFonts w:ascii="Arial" w:hAnsi="Arial" w:eastAsia="Arial" w:cs="Arial"/>
      <w:sz w:val="34"/>
    </w:rPr>
  </w:style>
  <w:style w:type="character" w:styleId="833">
    <w:name w:val="Heading 3 Char"/>
    <w:basedOn w:val="998"/>
    <w:link w:val="991"/>
    <w:uiPriority w:val="9"/>
    <w:rPr>
      <w:rFonts w:ascii="Arial" w:hAnsi="Arial" w:eastAsia="Arial" w:cs="Arial"/>
      <w:sz w:val="30"/>
      <w:szCs w:val="30"/>
    </w:rPr>
  </w:style>
  <w:style w:type="character" w:styleId="834">
    <w:name w:val="Heading 4 Char"/>
    <w:basedOn w:val="998"/>
    <w:link w:val="992"/>
    <w:uiPriority w:val="9"/>
    <w:rPr>
      <w:rFonts w:ascii="Arial" w:hAnsi="Arial" w:eastAsia="Arial" w:cs="Arial"/>
      <w:b/>
      <w:bCs/>
      <w:sz w:val="26"/>
      <w:szCs w:val="26"/>
    </w:rPr>
  </w:style>
  <w:style w:type="character" w:styleId="835">
    <w:name w:val="Heading 5 Char"/>
    <w:basedOn w:val="998"/>
    <w:link w:val="993"/>
    <w:uiPriority w:val="9"/>
    <w:rPr>
      <w:rFonts w:ascii="Arial" w:hAnsi="Arial" w:eastAsia="Arial" w:cs="Arial"/>
      <w:b/>
      <w:bCs/>
      <w:sz w:val="24"/>
      <w:szCs w:val="24"/>
    </w:rPr>
  </w:style>
  <w:style w:type="character" w:styleId="836">
    <w:name w:val="Heading 6 Char"/>
    <w:basedOn w:val="998"/>
    <w:link w:val="994"/>
    <w:uiPriority w:val="9"/>
    <w:rPr>
      <w:rFonts w:ascii="Arial" w:hAnsi="Arial" w:eastAsia="Arial" w:cs="Arial"/>
      <w:b/>
      <w:bCs/>
      <w:sz w:val="22"/>
      <w:szCs w:val="22"/>
    </w:rPr>
  </w:style>
  <w:style w:type="character" w:styleId="837">
    <w:name w:val="Heading 7 Char"/>
    <w:basedOn w:val="998"/>
    <w:link w:val="995"/>
    <w:uiPriority w:val="9"/>
    <w:rPr>
      <w:rFonts w:ascii="Arial" w:hAnsi="Arial" w:eastAsia="Arial" w:cs="Arial"/>
      <w:b/>
      <w:bCs/>
      <w:i/>
      <w:iCs/>
      <w:sz w:val="22"/>
      <w:szCs w:val="22"/>
    </w:rPr>
  </w:style>
  <w:style w:type="character" w:styleId="838">
    <w:name w:val="Heading 8 Char"/>
    <w:basedOn w:val="998"/>
    <w:link w:val="996"/>
    <w:uiPriority w:val="9"/>
    <w:rPr>
      <w:rFonts w:ascii="Arial" w:hAnsi="Arial" w:eastAsia="Arial" w:cs="Arial"/>
      <w:i/>
      <w:iCs/>
      <w:sz w:val="22"/>
      <w:szCs w:val="22"/>
    </w:rPr>
  </w:style>
  <w:style w:type="character" w:styleId="839">
    <w:name w:val="Heading 9 Char"/>
    <w:basedOn w:val="998"/>
    <w:link w:val="997"/>
    <w:uiPriority w:val="9"/>
    <w:rPr>
      <w:rFonts w:ascii="Arial" w:hAnsi="Arial" w:eastAsia="Arial" w:cs="Arial"/>
      <w:i/>
      <w:iCs/>
      <w:sz w:val="21"/>
      <w:szCs w:val="21"/>
    </w:rPr>
  </w:style>
  <w:style w:type="paragraph" w:styleId="840">
    <w:name w:val="No Spacing"/>
    <w:uiPriority w:val="1"/>
    <w:qFormat/>
    <w:pPr>
      <w:spacing w:before="0" w:after="0" w:line="240" w:lineRule="auto"/>
    </w:pPr>
  </w:style>
  <w:style w:type="character" w:styleId="841">
    <w:name w:val="Title Char"/>
    <w:basedOn w:val="998"/>
    <w:link w:val="1024"/>
    <w:uiPriority w:val="10"/>
    <w:rPr>
      <w:sz w:val="48"/>
      <w:szCs w:val="48"/>
    </w:rPr>
  </w:style>
  <w:style w:type="paragraph" w:styleId="842">
    <w:name w:val="Subtitle"/>
    <w:basedOn w:val="988"/>
    <w:next w:val="988"/>
    <w:link w:val="843"/>
    <w:uiPriority w:val="11"/>
    <w:qFormat/>
    <w:pPr>
      <w:spacing w:before="200" w:after="200"/>
    </w:pPr>
    <w:rPr>
      <w:sz w:val="24"/>
      <w:szCs w:val="24"/>
    </w:rPr>
  </w:style>
  <w:style w:type="character" w:styleId="843">
    <w:name w:val="Subtitle Char"/>
    <w:basedOn w:val="998"/>
    <w:link w:val="842"/>
    <w:uiPriority w:val="11"/>
    <w:rPr>
      <w:sz w:val="24"/>
      <w:szCs w:val="24"/>
    </w:rPr>
  </w:style>
  <w:style w:type="paragraph" w:styleId="844">
    <w:name w:val="Quote"/>
    <w:basedOn w:val="988"/>
    <w:next w:val="988"/>
    <w:link w:val="845"/>
    <w:uiPriority w:val="29"/>
    <w:qFormat/>
    <w:pPr>
      <w:ind w:left="720" w:right="720"/>
    </w:pPr>
    <w:rPr>
      <w:i/>
    </w:rPr>
  </w:style>
  <w:style w:type="character" w:styleId="845">
    <w:name w:val="Quote Char"/>
    <w:link w:val="844"/>
    <w:uiPriority w:val="29"/>
    <w:rPr>
      <w:i/>
    </w:rPr>
  </w:style>
  <w:style w:type="paragraph" w:styleId="846">
    <w:name w:val="Intense Quote"/>
    <w:basedOn w:val="988"/>
    <w:next w:val="988"/>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name w:val="Intense Quote Char"/>
    <w:link w:val="846"/>
    <w:uiPriority w:val="30"/>
    <w:rPr>
      <w:i/>
    </w:rPr>
  </w:style>
  <w:style w:type="character" w:styleId="848">
    <w:name w:val="Header Char"/>
    <w:basedOn w:val="998"/>
    <w:link w:val="1016"/>
    <w:uiPriority w:val="99"/>
  </w:style>
  <w:style w:type="character" w:styleId="849">
    <w:name w:val="Footer Char"/>
    <w:basedOn w:val="998"/>
    <w:link w:val="1014"/>
    <w:uiPriority w:val="99"/>
  </w:style>
  <w:style w:type="paragraph" w:styleId="850">
    <w:name w:val="Caption"/>
    <w:basedOn w:val="988"/>
    <w:next w:val="988"/>
    <w:uiPriority w:val="35"/>
    <w:semiHidden/>
    <w:unhideWhenUsed/>
    <w:qFormat/>
    <w:pPr>
      <w:spacing w:line="276" w:lineRule="auto"/>
    </w:pPr>
    <w:rPr>
      <w:b/>
      <w:bCs/>
      <w:color w:val="4f81bd" w:themeColor="accent1"/>
      <w:sz w:val="18"/>
      <w:szCs w:val="18"/>
    </w:rPr>
  </w:style>
  <w:style w:type="character" w:styleId="851">
    <w:name w:val="Caption Char"/>
    <w:basedOn w:val="850"/>
    <w:link w:val="1014"/>
    <w:uiPriority w:val="99"/>
  </w:style>
  <w:style w:type="table" w:styleId="852">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88">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9">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0">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1">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92">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3">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9">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00">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3">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4">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5">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6">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27">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8">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0">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1">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2">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3">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34">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5">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44">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5">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6">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7">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48">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9">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51">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2">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3">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4">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55">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6">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8">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9">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0">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1">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2">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3">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5">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6">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7">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8">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9">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0">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7">
    <w:name w:val="Footnote Text Char"/>
    <w:link w:val="1018"/>
    <w:uiPriority w:val="99"/>
    <w:rPr>
      <w:sz w:val="18"/>
    </w:rPr>
  </w:style>
  <w:style w:type="paragraph" w:styleId="978">
    <w:name w:val="endnote text"/>
    <w:basedOn w:val="988"/>
    <w:link w:val="979"/>
    <w:uiPriority w:val="99"/>
    <w:semiHidden/>
    <w:unhideWhenUsed/>
    <w:pPr>
      <w:spacing w:after="0" w:line="240" w:lineRule="auto"/>
    </w:pPr>
    <w:rPr>
      <w:sz w:val="20"/>
    </w:rPr>
  </w:style>
  <w:style w:type="character" w:styleId="979">
    <w:name w:val="Endnote Text Char"/>
    <w:link w:val="978"/>
    <w:uiPriority w:val="99"/>
    <w:rPr>
      <w:sz w:val="20"/>
    </w:rPr>
  </w:style>
  <w:style w:type="character" w:styleId="980">
    <w:name w:val="endnote reference"/>
    <w:basedOn w:val="998"/>
    <w:uiPriority w:val="99"/>
    <w:semiHidden/>
    <w:unhideWhenUsed/>
    <w:rPr>
      <w:vertAlign w:val="superscript"/>
    </w:rPr>
  </w:style>
  <w:style w:type="paragraph" w:styleId="981">
    <w:name w:val="toc 4"/>
    <w:basedOn w:val="988"/>
    <w:next w:val="988"/>
    <w:uiPriority w:val="39"/>
    <w:unhideWhenUsed/>
    <w:pPr>
      <w:ind w:left="850" w:right="0" w:firstLine="0"/>
      <w:spacing w:after="57"/>
    </w:pPr>
  </w:style>
  <w:style w:type="paragraph" w:styleId="982">
    <w:name w:val="toc 5"/>
    <w:basedOn w:val="988"/>
    <w:next w:val="988"/>
    <w:uiPriority w:val="39"/>
    <w:unhideWhenUsed/>
    <w:pPr>
      <w:ind w:left="1134" w:right="0" w:firstLine="0"/>
      <w:spacing w:after="57"/>
    </w:pPr>
  </w:style>
  <w:style w:type="paragraph" w:styleId="983">
    <w:name w:val="toc 6"/>
    <w:basedOn w:val="988"/>
    <w:next w:val="988"/>
    <w:uiPriority w:val="39"/>
    <w:unhideWhenUsed/>
    <w:pPr>
      <w:ind w:left="1417" w:right="0" w:firstLine="0"/>
      <w:spacing w:after="57"/>
    </w:pPr>
  </w:style>
  <w:style w:type="paragraph" w:styleId="984">
    <w:name w:val="toc 8"/>
    <w:basedOn w:val="988"/>
    <w:next w:val="988"/>
    <w:uiPriority w:val="39"/>
    <w:unhideWhenUsed/>
    <w:pPr>
      <w:ind w:left="1984" w:right="0" w:firstLine="0"/>
      <w:spacing w:after="57"/>
    </w:pPr>
  </w:style>
  <w:style w:type="paragraph" w:styleId="985">
    <w:name w:val="toc 9"/>
    <w:basedOn w:val="988"/>
    <w:next w:val="988"/>
    <w:uiPriority w:val="39"/>
    <w:unhideWhenUsed/>
    <w:pPr>
      <w:ind w:left="2268" w:right="0" w:firstLine="0"/>
      <w:spacing w:after="57"/>
    </w:p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link w:val="1178"/>
    <w:uiPriority w:val="0"/>
    <w:qFormat/>
    <w:pPr>
      <w:jc w:val="both"/>
      <w:widowControl w:val="off"/>
    </w:pPr>
    <w:rPr>
      <w:rFonts w:ascii="Times New Roman" w:hAnsi="Times New Roman" w:eastAsia="宋体" w:cs="Times New Roman"/>
      <w:sz w:val="21"/>
      <w:lang w:val="en-US" w:eastAsia="zh-CN" w:bidi="ar-SA"/>
    </w:rPr>
  </w:style>
  <w:style w:type="paragraph" w:styleId="989">
    <w:name w:val="Heading 1"/>
    <w:basedOn w:val="988"/>
    <w:next w:val="988"/>
    <w:link w:val="1087"/>
    <w:uiPriority w:val="0"/>
    <w:qFormat/>
    <w:pPr>
      <w:keepLines/>
      <w:keepNext/>
      <w:spacing w:before="200" w:after="200"/>
      <w:outlineLvl w:val="0"/>
    </w:pPr>
    <w:rPr>
      <w:b/>
      <w:bCs/>
      <w:sz w:val="44"/>
      <w:szCs w:val="44"/>
      <w:lang w:val="zh-CN"/>
    </w:rPr>
  </w:style>
  <w:style w:type="paragraph" w:styleId="990">
    <w:name w:val="Heading 2"/>
    <w:basedOn w:val="988"/>
    <w:next w:val="988"/>
    <w:link w:val="1084"/>
    <w:uiPriority w:val="0"/>
    <w:qFormat/>
    <w:pPr>
      <w:keepLines/>
      <w:keepNext/>
      <w:spacing w:before="260" w:after="260" w:line="416" w:lineRule="auto"/>
      <w:outlineLvl w:val="1"/>
    </w:pPr>
    <w:rPr>
      <w:rFonts w:ascii="Cambria" w:hAnsi="Cambria"/>
      <w:b/>
      <w:bCs/>
      <w:sz w:val="32"/>
      <w:szCs w:val="32"/>
      <w:lang w:val="zh-CN"/>
    </w:rPr>
  </w:style>
  <w:style w:type="paragraph" w:styleId="991">
    <w:name w:val="Heading 3"/>
    <w:basedOn w:val="988"/>
    <w:next w:val="988"/>
    <w:link w:val="1109"/>
    <w:uiPriority w:val="0"/>
    <w:qFormat/>
    <w:pPr>
      <w:keepLines/>
      <w:keepNext/>
      <w:spacing w:before="260" w:after="260" w:line="416" w:lineRule="auto"/>
      <w:outlineLvl w:val="2"/>
    </w:pPr>
    <w:rPr>
      <w:b/>
      <w:szCs w:val="32"/>
      <w:lang w:val="zh-CN"/>
    </w:rPr>
  </w:style>
  <w:style w:type="paragraph" w:styleId="992">
    <w:name w:val="Heading 4"/>
    <w:basedOn w:val="988"/>
    <w:next w:val="988"/>
    <w:link w:val="1062"/>
    <w:uiPriority w:val="0"/>
    <w:qFormat/>
    <w:pPr>
      <w:keepNext/>
      <w:spacing w:before="240" w:after="60"/>
      <w:outlineLvl w:val="3"/>
    </w:pPr>
    <w:rPr>
      <w:b/>
      <w:bCs/>
      <w:sz w:val="28"/>
      <w:szCs w:val="28"/>
      <w:lang w:val="zh-CN"/>
    </w:rPr>
  </w:style>
  <w:style w:type="paragraph" w:styleId="993">
    <w:name w:val="Heading 5"/>
    <w:basedOn w:val="988"/>
    <w:next w:val="988"/>
    <w:link w:val="1083"/>
    <w:uiPriority w:val="0"/>
    <w:qFormat/>
    <w:pPr>
      <w:spacing w:before="240" w:after="60"/>
      <w:outlineLvl w:val="4"/>
    </w:pPr>
    <w:rPr>
      <w:b/>
      <w:bCs/>
      <w:i/>
      <w:iCs/>
      <w:sz w:val="26"/>
      <w:szCs w:val="26"/>
      <w:lang w:val="zh-CN"/>
    </w:rPr>
  </w:style>
  <w:style w:type="paragraph" w:styleId="994">
    <w:name w:val="Heading 6"/>
    <w:basedOn w:val="988"/>
    <w:next w:val="988"/>
    <w:link w:val="1110"/>
    <w:uiPriority w:val="0"/>
    <w:qFormat/>
    <w:pPr>
      <w:keepLines/>
      <w:keepNext/>
      <w:spacing w:line="317" w:lineRule="auto"/>
      <w:outlineLvl w:val="5"/>
    </w:pPr>
    <w:rPr>
      <w:rFonts w:ascii="Arial" w:hAnsi="Arial" w:eastAsia="黑体"/>
      <w:b/>
      <w:sz w:val="24"/>
      <w:szCs w:val="24"/>
      <w:lang w:val="zh-CN"/>
    </w:rPr>
  </w:style>
  <w:style w:type="paragraph" w:styleId="995">
    <w:name w:val="Heading 7"/>
    <w:basedOn w:val="988"/>
    <w:next w:val="988"/>
    <w:link w:val="1130"/>
    <w:uiPriority w:val="0"/>
    <w:qFormat/>
    <w:pPr>
      <w:keepLines/>
      <w:keepNext/>
      <w:spacing w:line="317" w:lineRule="auto"/>
      <w:outlineLvl w:val="6"/>
    </w:pPr>
    <w:rPr>
      <w:b/>
      <w:sz w:val="24"/>
      <w:szCs w:val="24"/>
      <w:lang w:val="zh-CN"/>
    </w:rPr>
  </w:style>
  <w:style w:type="paragraph" w:styleId="996">
    <w:name w:val="Heading 8"/>
    <w:basedOn w:val="988"/>
    <w:next w:val="988"/>
    <w:link w:val="1076"/>
    <w:uiPriority w:val="0"/>
    <w:qFormat/>
    <w:pPr>
      <w:keepLines/>
      <w:keepNext/>
      <w:spacing w:line="317" w:lineRule="auto"/>
      <w:outlineLvl w:val="7"/>
    </w:pPr>
    <w:rPr>
      <w:rFonts w:ascii="Arial" w:hAnsi="Arial" w:eastAsia="黑体"/>
      <w:sz w:val="24"/>
      <w:szCs w:val="24"/>
      <w:lang w:val="zh-CN"/>
    </w:rPr>
  </w:style>
  <w:style w:type="paragraph" w:styleId="997">
    <w:name w:val="Heading 9"/>
    <w:basedOn w:val="988"/>
    <w:next w:val="988"/>
    <w:link w:val="1120"/>
    <w:uiPriority w:val="0"/>
    <w:qFormat/>
    <w:pPr>
      <w:keepLines/>
      <w:keepNext/>
      <w:spacing w:line="317" w:lineRule="auto"/>
      <w:outlineLvl w:val="8"/>
    </w:pPr>
    <w:rPr>
      <w:rFonts w:ascii="Arial" w:hAnsi="Arial" w:eastAsia="黑体"/>
      <w:szCs w:val="24"/>
      <w:lang w:val="zh-CN"/>
    </w:rPr>
  </w:style>
  <w:style w:type="character" w:styleId="998" w:default="1">
    <w:name w:val="Default Paragraph Font"/>
    <w:uiPriority w:val="1"/>
    <w:semiHidden/>
    <w:unhideWhenUsed/>
    <w:qFormat/>
  </w:style>
  <w:style w:type="table" w:styleId="999" w:default="1">
    <w:name w:val="Normal Table"/>
    <w:uiPriority w:val="99"/>
    <w:semiHidden/>
    <w:unhideWhenUsed/>
    <w:qFormat/>
    <w:tblPr>
      <w:tblCellMar>
        <w:left w:w="108" w:type="dxa"/>
        <w:top w:w="0" w:type="dxa"/>
        <w:right w:w="108" w:type="dxa"/>
        <w:bottom w:w="0" w:type="dxa"/>
      </w:tblCellMar>
    </w:tblPr>
  </w:style>
  <w:style w:type="paragraph" w:styleId="1000">
    <w:name w:val="toc 7"/>
    <w:basedOn w:val="989"/>
    <w:next w:val="988"/>
    <w:uiPriority w:val="0"/>
    <w:qFormat/>
    <w:pPr>
      <w:ind w:left="1640" w:firstLine="3784"/>
      <w:spacing w:before="0" w:after="0" w:line="360" w:lineRule="auto"/>
    </w:pPr>
    <w:rPr>
      <w:rFonts w:ascii="Times New Roman" w:hAnsi="Times New Roman" w:cs="Times New Roman"/>
    </w:rPr>
  </w:style>
  <w:style w:type="paragraph" w:styleId="1001">
    <w:name w:val="Normal Indent"/>
    <w:basedOn w:val="988"/>
    <w:next w:val="988"/>
    <w:link w:val="1128"/>
    <w:uiPriority w:val="0"/>
    <w:qFormat/>
    <w:pPr>
      <w:ind w:firstLine="420"/>
      <w:jc w:val="left"/>
    </w:pPr>
    <w:rPr>
      <w:rFonts w:eastAsia="楷体_GB2312"/>
      <w:sz w:val="24"/>
      <w:lang w:val="zh-CN"/>
    </w:rPr>
  </w:style>
  <w:style w:type="paragraph" w:styleId="1002">
    <w:name w:val="Document Map"/>
    <w:basedOn w:val="988"/>
    <w:link w:val="1061"/>
    <w:uiPriority w:val="99"/>
    <w:unhideWhenUsed/>
    <w:qFormat/>
    <w:rPr>
      <w:rFonts w:ascii="宋体"/>
      <w:sz w:val="18"/>
      <w:szCs w:val="18"/>
      <w:lang w:val="zh-CN"/>
    </w:rPr>
  </w:style>
  <w:style w:type="paragraph" w:styleId="1003">
    <w:name w:val="annotation text"/>
    <w:basedOn w:val="988"/>
    <w:link w:val="1079"/>
    <w:uiPriority w:val="99"/>
    <w:qFormat/>
    <w:pPr>
      <w:jc w:val="left"/>
    </w:pPr>
    <w:rPr>
      <w:sz w:val="20"/>
      <w:lang w:val="zh-CN"/>
    </w:rPr>
  </w:style>
  <w:style w:type="paragraph" w:styleId="1004">
    <w:name w:val="Body Text 3"/>
    <w:basedOn w:val="988"/>
    <w:link w:val="1127"/>
    <w:uiPriority w:val="0"/>
    <w:qFormat/>
    <w:rPr>
      <w:sz w:val="16"/>
      <w:szCs w:val="24"/>
      <w:lang w:val="zh-CN"/>
    </w:rPr>
  </w:style>
  <w:style w:type="paragraph" w:styleId="1005">
    <w:name w:val="Body Text"/>
    <w:basedOn w:val="988"/>
    <w:link w:val="1097"/>
    <w:uiPriority w:val="0"/>
    <w:qFormat/>
    <w:pPr>
      <w:spacing w:after="120"/>
    </w:pPr>
    <w:rPr>
      <w:rFonts w:ascii="Calibri" w:hAnsi="Calibri"/>
      <w:szCs w:val="22"/>
    </w:rPr>
  </w:style>
  <w:style w:type="paragraph" w:styleId="1006">
    <w:name w:val="Body Text Indent"/>
    <w:basedOn w:val="988"/>
    <w:link w:val="1067"/>
    <w:uiPriority w:val="0"/>
    <w:qFormat/>
    <w:pPr>
      <w:ind w:firstLine="420"/>
      <w:spacing w:line="360" w:lineRule="auto"/>
    </w:pPr>
    <w:rPr>
      <w:rFonts w:ascii="宋体" w:hAnsi="宋体"/>
      <w:szCs w:val="24"/>
      <w:lang w:val="zh-CN"/>
    </w:rPr>
  </w:style>
  <w:style w:type="paragraph" w:styleId="1007">
    <w:name w:val="List 2"/>
    <w:basedOn w:val="989"/>
    <w:next w:val="1000"/>
    <w:uiPriority w:val="0"/>
    <w:qFormat/>
    <w:pPr>
      <w:ind w:left="100" w:firstLine="3640"/>
      <w:spacing w:before="0" w:after="0" w:line="240" w:lineRule="auto"/>
    </w:pPr>
    <w:rPr>
      <w:rFonts w:ascii="Times New Roman" w:hAnsi="Times New Roman" w:cs="Times New Roman"/>
    </w:rPr>
  </w:style>
  <w:style w:type="paragraph" w:styleId="1008">
    <w:name w:val="Block Text"/>
    <w:basedOn w:val="988"/>
    <w:uiPriority w:val="0"/>
    <w:qFormat/>
    <w:pPr>
      <w:ind w:left="630" w:right="-609" w:firstLine="420"/>
      <w:spacing w:line="360" w:lineRule="auto"/>
    </w:pPr>
    <w:rPr>
      <w:rFonts w:hint="eastAsia" w:ascii="仿宋_GB2312" w:eastAsia="仿宋_GB2312"/>
    </w:rPr>
  </w:style>
  <w:style w:type="paragraph" w:styleId="1009">
    <w:name w:val="toc 3"/>
    <w:basedOn w:val="988"/>
    <w:next w:val="988"/>
    <w:uiPriority w:val="39"/>
    <w:unhideWhenUsed/>
    <w:qFormat/>
    <w:pPr>
      <w:ind w:left="840"/>
    </w:pPr>
  </w:style>
  <w:style w:type="paragraph" w:styleId="1010">
    <w:name w:val="Plain Text"/>
    <w:basedOn w:val="988"/>
    <w:link w:val="1054"/>
    <w:uiPriority w:val="0"/>
    <w:qFormat/>
    <w:rPr>
      <w:rFonts w:ascii="宋体" w:hAnsi="Courier New" w:eastAsia="楷体_GB2312"/>
      <w:sz w:val="28"/>
      <w:lang w:val="zh-CN"/>
    </w:rPr>
  </w:style>
  <w:style w:type="paragraph" w:styleId="1011">
    <w:name w:val="Date"/>
    <w:basedOn w:val="988"/>
    <w:next w:val="988"/>
    <w:link w:val="1102"/>
    <w:uiPriority w:val="0"/>
    <w:qFormat/>
    <w:rPr>
      <w:sz w:val="20"/>
      <w:lang w:val="zh-CN"/>
    </w:rPr>
  </w:style>
  <w:style w:type="paragraph" w:styleId="1012">
    <w:name w:val="Body Text Indent 2"/>
    <w:basedOn w:val="988"/>
    <w:link w:val="1112"/>
    <w:uiPriority w:val="0"/>
    <w:qFormat/>
    <w:pPr>
      <w:ind w:firstLine="564"/>
    </w:pPr>
    <w:rPr>
      <w:rFonts w:ascii="宋体" w:hAnsi="宋体"/>
      <w:color w:val="ff0000"/>
      <w:sz w:val="24"/>
      <w:lang w:val="zh-CN"/>
    </w:rPr>
  </w:style>
  <w:style w:type="paragraph" w:styleId="1013">
    <w:name w:val="Balloon Text"/>
    <w:basedOn w:val="988"/>
    <w:link w:val="1106"/>
    <w:uiPriority w:val="0"/>
    <w:qFormat/>
    <w:rPr>
      <w:sz w:val="18"/>
      <w:szCs w:val="18"/>
      <w:lang w:val="zh-CN"/>
    </w:rPr>
  </w:style>
  <w:style w:type="paragraph" w:styleId="1014">
    <w:name w:val="Footer"/>
    <w:basedOn w:val="988"/>
    <w:link w:val="1132"/>
    <w:uiPriority w:val="99"/>
    <w:unhideWhenUsed/>
    <w:qFormat/>
    <w:pPr>
      <w:jc w:val="left"/>
      <w:tabs>
        <w:tab w:val="center" w:pos="4153" w:leader="none"/>
        <w:tab w:val="right" w:pos="8306" w:leader="none"/>
      </w:tabs>
    </w:pPr>
    <w:rPr>
      <w:sz w:val="18"/>
      <w:szCs w:val="18"/>
      <w:lang w:val="zh-CN"/>
    </w:rPr>
  </w:style>
  <w:style w:type="paragraph" w:styleId="1015">
    <w:name w:val="envelope return"/>
    <w:basedOn w:val="988"/>
    <w:uiPriority w:val="0"/>
    <w:qFormat/>
    <w:rPr>
      <w:rFonts w:ascii="Arial" w:hAnsi="Arial" w:eastAsia="楷体_GB2312"/>
      <w:sz w:val="26"/>
    </w:rPr>
  </w:style>
  <w:style w:type="paragraph" w:styleId="1016">
    <w:name w:val="Header"/>
    <w:basedOn w:val="988"/>
    <w:link w:val="1118"/>
    <w:uiPriority w:val="0"/>
    <w:unhideWhenUsed/>
    <w:qFormat/>
    <w:pPr>
      <w:jc w:val="center"/>
      <w:tabs>
        <w:tab w:val="center" w:pos="4153" w:leader="none"/>
        <w:tab w:val="right" w:pos="8306" w:leader="none"/>
      </w:tabs>
      <w:pBdr>
        <w:bottom w:val="single" w:color="auto" w:sz="6" w:space="1"/>
      </w:pBdr>
    </w:pPr>
    <w:rPr>
      <w:sz w:val="18"/>
      <w:szCs w:val="18"/>
      <w:lang w:val="zh-CN"/>
    </w:rPr>
  </w:style>
  <w:style w:type="paragraph" w:styleId="1017">
    <w:name w:val="toc 1"/>
    <w:basedOn w:val="988"/>
    <w:next w:val="988"/>
    <w:uiPriority w:val="0"/>
    <w:qFormat/>
    <w:pPr>
      <w:jc w:val="left"/>
    </w:pPr>
    <w:rPr>
      <w:rFonts w:eastAsia="楷体_GB2312"/>
      <w:sz w:val="24"/>
    </w:rPr>
  </w:style>
  <w:style w:type="paragraph" w:styleId="1018">
    <w:name w:val="footnote text"/>
    <w:basedOn w:val="989"/>
    <w:next w:val="1008"/>
    <w:uiPriority w:val="0"/>
    <w:qFormat/>
    <w:pPr>
      <w:ind w:firstLine="3584"/>
      <w:jc w:val="left"/>
      <w:keepLines w:val="0"/>
      <w:keepNext w:val="0"/>
      <w:spacing w:before="0" w:after="0" w:line="360" w:lineRule="auto"/>
      <w:widowControl/>
    </w:pPr>
    <w:rPr>
      <w:rFonts w:ascii="Calibri" w:hAnsi="Calibri"/>
      <w:b w:val="0"/>
      <w:bCs w:val="0"/>
      <w:sz w:val="20"/>
      <w:szCs w:val="20"/>
    </w:rPr>
  </w:style>
  <w:style w:type="paragraph" w:styleId="1019">
    <w:name w:val="Body Text Indent 3"/>
    <w:basedOn w:val="988"/>
    <w:link w:val="1074"/>
    <w:uiPriority w:val="0"/>
    <w:qFormat/>
    <w:pPr>
      <w:ind w:firstLine="564"/>
      <w:spacing w:line="360" w:lineRule="auto"/>
    </w:pPr>
    <w:rPr>
      <w:rFonts w:ascii="宋体" w:hAnsi="宋体"/>
      <w:sz w:val="18"/>
      <w:lang w:val="zh-CN"/>
    </w:rPr>
  </w:style>
  <w:style w:type="paragraph" w:styleId="1020">
    <w:name w:val="toc 2"/>
    <w:basedOn w:val="988"/>
    <w:next w:val="988"/>
    <w:uiPriority w:val="39"/>
    <w:unhideWhenUsed/>
    <w:qFormat/>
    <w:pPr>
      <w:ind w:left="420"/>
    </w:pPr>
  </w:style>
  <w:style w:type="paragraph" w:styleId="1021">
    <w:name w:val="Body Text 2"/>
    <w:basedOn w:val="988"/>
    <w:link w:val="1122"/>
    <w:uiPriority w:val="0"/>
    <w:qFormat/>
    <w:pPr>
      <w:spacing w:line="480" w:lineRule="auto"/>
    </w:pPr>
    <w:rPr>
      <w:szCs w:val="24"/>
      <w:lang w:val="zh-CN"/>
    </w:rPr>
  </w:style>
  <w:style w:type="paragraph" w:styleId="1022">
    <w:name w:val="HTML Preformatted"/>
    <w:basedOn w:val="988"/>
    <w:link w:val="1096"/>
    <w:uiPriority w:val="0"/>
    <w:qFormat/>
    <w:rPr>
      <w:rFonts w:ascii="Courier New" w:hAnsi="Courier New"/>
      <w:sz w:val="20"/>
      <w:szCs w:val="24"/>
      <w:lang w:val="zh-CN"/>
    </w:rPr>
  </w:style>
  <w:style w:type="paragraph" w:styleId="1023">
    <w:name w:val="Normal (Web)"/>
    <w:basedOn w:val="988"/>
    <w:next w:val="1007"/>
    <w:link w:val="1053"/>
    <w:uiPriority w:val="0"/>
    <w:unhideWhenUsed/>
    <w:qFormat/>
    <w:pPr>
      <w:jc w:val="left"/>
      <w:widowControl/>
    </w:pPr>
    <w:rPr>
      <w:rFonts w:ascii="宋体" w:hAnsi="宋体"/>
      <w:sz w:val="24"/>
      <w:szCs w:val="24"/>
      <w:lang w:val="zh-CN"/>
    </w:rPr>
  </w:style>
  <w:style w:type="paragraph" w:styleId="1024">
    <w:name w:val="Title"/>
    <w:basedOn w:val="988"/>
    <w:link w:val="1075"/>
    <w:uiPriority w:val="0"/>
    <w:qFormat/>
    <w:pPr>
      <w:jc w:val="center"/>
      <w:outlineLvl w:val="0"/>
    </w:pPr>
    <w:rPr>
      <w:rFonts w:ascii="Arial" w:hAnsi="Arial"/>
      <w:b/>
      <w:sz w:val="32"/>
      <w:szCs w:val="24"/>
      <w:lang w:val="zh-CN"/>
    </w:rPr>
  </w:style>
  <w:style w:type="paragraph" w:styleId="1025">
    <w:name w:val="annotation subject"/>
    <w:basedOn w:val="1003"/>
    <w:next w:val="1003"/>
    <w:link w:val="1098"/>
    <w:uiPriority w:val="0"/>
    <w:qFormat/>
    <w:rPr>
      <w:b/>
      <w:bCs/>
      <w:sz w:val="21"/>
      <w:szCs w:val="24"/>
    </w:rPr>
  </w:style>
  <w:style w:type="paragraph" w:styleId="1026">
    <w:name w:val="Body Text First Indent"/>
    <w:basedOn w:val="1005"/>
    <w:link w:val="1077"/>
    <w:uiPriority w:val="0"/>
    <w:qFormat/>
    <w:pPr>
      <w:ind w:firstLine="420"/>
      <w:spacing w:after="0" w:line="400" w:lineRule="exact"/>
    </w:pPr>
    <w:rPr>
      <w:rFonts w:ascii="Times New Roman" w:hAnsi="Times New Roman"/>
      <w:sz w:val="28"/>
      <w:szCs w:val="24"/>
      <w:lang w:val="zh-CN"/>
    </w:rPr>
  </w:style>
  <w:style w:type="paragraph" w:styleId="1027">
    <w:name w:val="Body Text First Indent 2"/>
    <w:basedOn w:val="1006"/>
    <w:link w:val="1172"/>
    <w:uiPriority w:val="99"/>
    <w:unhideWhenUsed/>
    <w:qFormat/>
    <w:pPr>
      <w:ind w:left="420"/>
      <w:spacing w:after="120" w:line="240" w:lineRule="auto"/>
    </w:pPr>
    <w:rPr>
      <w:rFonts w:ascii="Times New Roman" w:hAnsi="Times New Roman"/>
      <w:szCs w:val="20"/>
      <w:lang w:val="en-US"/>
    </w:rPr>
  </w:style>
  <w:style w:type="table" w:styleId="1028">
    <w:name w:val="Table Grid"/>
    <w:basedOn w:val="999"/>
    <w:uiPriority w:val="0"/>
    <w:qFormat/>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9">
    <w:name w:val="Medium Grid 3"/>
    <w:basedOn w:val="999"/>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1030">
    <w:name w:val="Medium Grid 3 Accent 1"/>
    <w:basedOn w:val="999"/>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1031">
    <w:name w:val="Medium Grid 3 Accent 2"/>
    <w:basedOn w:val="999"/>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1032">
    <w:name w:val="Medium Grid 3 Accent 3"/>
    <w:basedOn w:val="999"/>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1033">
    <w:name w:val="Medium Grid 3 Accent 4"/>
    <w:basedOn w:val="999"/>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1034">
    <w:name w:val="Medium Grid 3 Accent 5"/>
    <w:basedOn w:val="999"/>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1035">
    <w:name w:val="Medium Grid 3 Accent 6"/>
    <w:basedOn w:val="999"/>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036">
    <w:name w:val="Strong"/>
    <w:uiPriority w:val="0"/>
    <w:qFormat/>
    <w:rPr>
      <w:b/>
      <w:bCs/>
    </w:rPr>
  </w:style>
  <w:style w:type="character" w:styleId="1037">
    <w:name w:val="page number"/>
    <w:basedOn w:val="998"/>
    <w:uiPriority w:val="0"/>
    <w:qFormat/>
  </w:style>
  <w:style w:type="character" w:styleId="1038">
    <w:name w:val="FollowedHyperlink"/>
    <w:uiPriority w:val="0"/>
    <w:qFormat/>
    <w:rPr>
      <w:rFonts w:ascii="Times New Roman" w:hAnsi="Times New Roman" w:eastAsia="宋体" w:cs="Times New Roman"/>
      <w:color w:val="585858"/>
      <w:u w:val="none"/>
    </w:rPr>
  </w:style>
  <w:style w:type="character" w:styleId="1039">
    <w:name w:val="Emphasis"/>
    <w:uiPriority w:val="0"/>
    <w:qFormat/>
  </w:style>
  <w:style w:type="character" w:styleId="1040">
    <w:name w:val="HTML Typewriter"/>
    <w:uiPriority w:val="0"/>
    <w:unhideWhenUsed/>
    <w:qFormat/>
    <w:rPr>
      <w:rFonts w:hint="eastAsia" w:ascii="宋体" w:hAnsi="宋体" w:eastAsia="宋体" w:cs="宋体"/>
      <w:sz w:val="24"/>
      <w:szCs w:val="24"/>
      <w:lang w:val="en-US" w:eastAsia="zh-CN" w:bidi="ar-SA"/>
    </w:rPr>
  </w:style>
  <w:style w:type="character" w:styleId="1041">
    <w:name w:val="Hyperlink"/>
    <w:uiPriority w:val="0"/>
    <w:qFormat/>
    <w:rPr>
      <w:color w:val="0000ff"/>
      <w:u w:val="single"/>
    </w:rPr>
  </w:style>
  <w:style w:type="character" w:styleId="1042">
    <w:name w:val="annotation reference"/>
    <w:uiPriority w:val="99"/>
    <w:qFormat/>
    <w:rPr>
      <w:rFonts w:ascii="Times New Roman" w:hAnsi="Times New Roman" w:eastAsia="宋体" w:cs="Times New Roman"/>
      <w:sz w:val="21"/>
      <w:szCs w:val="21"/>
    </w:rPr>
  </w:style>
  <w:style w:type="character" w:styleId="1043">
    <w:name w:val="footnote reference"/>
    <w:uiPriority w:val="0"/>
    <w:unhideWhenUsed/>
    <w:qFormat/>
    <w:rPr>
      <w:vertAlign w:val="superscript"/>
    </w:rPr>
  </w:style>
  <w:style w:type="paragraph" w:styleId="1044" w:customStyle="1">
    <w:name w:val="正文文本1"/>
    <w:basedOn w:val="988"/>
    <w:next w:val="1045"/>
    <w:uiPriority w:val="0"/>
    <w:qFormat/>
    <w:rPr>
      <w:rFonts w:ascii="楷体_GB2312" w:hAnsi="Arial" w:eastAsia="楷体_GB2312"/>
      <w:sz w:val="28"/>
    </w:rPr>
  </w:style>
  <w:style w:type="paragraph" w:styleId="1045" w:customStyle="1">
    <w:name w:val="正文首行缩进1"/>
    <w:basedOn w:val="1044"/>
    <w:next w:val="1046"/>
    <w:uiPriority w:val="0"/>
    <w:qFormat/>
    <w:pPr>
      <w:ind w:firstLine="420"/>
    </w:pPr>
    <w:rPr>
      <w:rFonts w:ascii="Times New Roman" w:hAnsi="Times New Roman"/>
      <w:sz w:val="20"/>
      <w:szCs w:val="24"/>
    </w:rPr>
  </w:style>
  <w:style w:type="paragraph" w:styleId="1046" w:customStyle="1">
    <w:name w:val="正文首行缩进 21"/>
    <w:basedOn w:val="1047"/>
    <w:next w:val="1045"/>
    <w:uiPriority w:val="0"/>
    <w:qFormat/>
    <w:pPr>
      <w:ind w:firstLine="420"/>
    </w:pPr>
  </w:style>
  <w:style w:type="paragraph" w:styleId="1047" w:customStyle="1">
    <w:name w:val="正文文本缩进1"/>
    <w:basedOn w:val="988"/>
    <w:next w:val="1048"/>
    <w:uiPriority w:val="0"/>
    <w:qFormat/>
    <w:pPr>
      <w:ind w:left="420"/>
      <w:spacing w:after="120"/>
    </w:pPr>
  </w:style>
  <w:style w:type="paragraph" w:styleId="1048" w:customStyle="1">
    <w:name w:val="寄信人地址1"/>
    <w:basedOn w:val="988"/>
    <w:uiPriority w:val="0"/>
    <w:qFormat/>
    <w:rPr>
      <w:rFonts w:ascii="Arial" w:hAnsi="Arial"/>
    </w:rPr>
  </w:style>
  <w:style w:type="paragraph" w:styleId="1049" w:customStyle="1">
    <w:name w:val="正文缩进1"/>
    <w:basedOn w:val="988"/>
    <w:next w:val="988"/>
    <w:uiPriority w:val="0"/>
    <w:qFormat/>
    <w:pPr>
      <w:ind w:firstLine="420"/>
      <w:jc w:val="left"/>
      <w:widowControl/>
    </w:pPr>
    <w:rPr>
      <w:rFonts w:eastAsia="楷体_GB2312"/>
      <w:sz w:val="24"/>
      <w:szCs w:val="20"/>
    </w:rPr>
  </w:style>
  <w:style w:type="paragraph" w:styleId="1050" w:customStyle="1">
    <w:name w:val="首行缩进"/>
    <w:basedOn w:val="988"/>
    <w:uiPriority w:val="0"/>
    <w:qFormat/>
    <w:pPr>
      <w:ind w:firstLine="480"/>
    </w:pPr>
    <w:rPr>
      <w:lang w:val="zh-CN"/>
    </w:rPr>
  </w:style>
  <w:style w:type="paragraph" w:styleId="1051" w:customStyle="1">
    <w:name w:val="正文文本11"/>
    <w:basedOn w:val="988"/>
    <w:uiPriority w:val="99"/>
    <w:qFormat/>
    <w:rPr>
      <w:rFonts w:ascii="楷体_GB2312" w:hAnsi="宋体" w:eastAsia="楷体_GB2312"/>
      <w:sz w:val="28"/>
      <w:szCs w:val="28"/>
    </w:rPr>
  </w:style>
  <w:style w:type="paragraph" w:styleId="1052" w:customStyle="1">
    <w:name w:val="段"/>
    <w:next w:val="988"/>
    <w:uiPriority w:val="0"/>
    <w:qFormat/>
    <w:pPr>
      <w:ind w:firstLine="200"/>
      <w:jc w:val="both"/>
    </w:pPr>
    <w:rPr>
      <w:rFonts w:ascii="宋体" w:hAnsi="Times New Roman" w:eastAsia="宋体" w:cs="Times New Roman"/>
      <w:sz w:val="21"/>
      <w:szCs w:val="22"/>
      <w:lang w:val="en-US" w:eastAsia="zh-CN" w:bidi="ar-SA"/>
    </w:rPr>
  </w:style>
  <w:style w:type="character" w:styleId="1053" w:customStyle="1">
    <w:name w:val="普通(网站) 字符"/>
    <w:link w:val="1023"/>
    <w:uiPriority w:val="0"/>
    <w:qFormat/>
    <w:rPr>
      <w:rFonts w:ascii="宋体" w:hAnsi="宋体" w:cs="宋体"/>
      <w:sz w:val="24"/>
      <w:szCs w:val="24"/>
    </w:rPr>
  </w:style>
  <w:style w:type="character" w:styleId="1054" w:customStyle="1">
    <w:name w:val="纯文本 字符"/>
    <w:link w:val="1010"/>
    <w:uiPriority w:val="0"/>
    <w:qFormat/>
    <w:rPr>
      <w:rFonts w:ascii="宋体" w:hAnsi="Courier New" w:eastAsia="楷体_GB2312"/>
      <w:sz w:val="28"/>
    </w:rPr>
  </w:style>
  <w:style w:type="character" w:styleId="1055" w:customStyle="1">
    <w:name w:val="font11"/>
    <w:uiPriority w:val="0"/>
    <w:qFormat/>
    <w:rPr>
      <w:rFonts w:hint="eastAsia" w:ascii="宋体" w:hAnsi="宋体" w:eastAsia="宋体" w:cs="宋体"/>
      <w:color w:val="000000"/>
      <w:sz w:val="24"/>
      <w:szCs w:val="24"/>
      <w:u w:val="none"/>
    </w:rPr>
  </w:style>
  <w:style w:type="character" w:styleId="1056" w:customStyle="1">
    <w:name w:val="blue"/>
    <w:uiPriority w:val="0"/>
    <w:qFormat/>
    <w:rPr>
      <w:rFonts w:ascii="Times New Roman" w:hAnsi="Times New Roman" w:eastAsia="宋体" w:cs="Times New Roman"/>
    </w:rPr>
  </w:style>
  <w:style w:type="character" w:styleId="1057" w:customStyle="1">
    <w:name w:val="grame"/>
    <w:uiPriority w:val="0"/>
    <w:qFormat/>
    <w:rPr>
      <w:rFonts w:ascii="Times New Roman" w:hAnsi="Times New Roman" w:eastAsia="宋体" w:cs="Times New Roman"/>
    </w:rPr>
  </w:style>
  <w:style w:type="character" w:styleId="1058" w:customStyle="1">
    <w:name w:val="Plain Text Char Char"/>
    <w:link w:val="1059"/>
    <w:uiPriority w:val="0"/>
    <w:qFormat/>
    <w:rPr>
      <w:rFonts w:ascii="宋体" w:hAnsi="Courier New" w:eastAsia="楷体_GB2312"/>
      <w:sz w:val="28"/>
    </w:rPr>
  </w:style>
  <w:style w:type="paragraph" w:styleId="1059" w:customStyle="1">
    <w:name w:val="纯文本4"/>
    <w:basedOn w:val="988"/>
    <w:link w:val="1058"/>
    <w:uiPriority w:val="0"/>
    <w:qFormat/>
    <w:rPr>
      <w:rFonts w:ascii="宋体" w:hAnsi="Courier New" w:eastAsia="楷体_GB2312"/>
      <w:sz w:val="28"/>
      <w:lang w:val="zh-CN"/>
    </w:rPr>
  </w:style>
  <w:style w:type="character" w:styleId="1060" w:customStyle="1">
    <w:name w:val="H4 Char2"/>
    <w:uiPriority w:val="0"/>
    <w:qFormat/>
    <w:rPr>
      <w:rFonts w:hint="default" w:ascii="Arial" w:hAnsi="Arial" w:eastAsia="黑体" w:cs="Arial"/>
      <w:b/>
      <w:sz w:val="28"/>
      <w:szCs w:val="28"/>
      <w:lang w:val="en-US" w:eastAsia="zh-CN"/>
    </w:rPr>
  </w:style>
  <w:style w:type="character" w:styleId="1061" w:customStyle="1">
    <w:name w:val="文档结构图 字符"/>
    <w:link w:val="1002"/>
    <w:uiPriority w:val="99"/>
    <w:qFormat/>
    <w:rPr>
      <w:rFonts w:ascii="宋体"/>
      <w:sz w:val="18"/>
      <w:szCs w:val="18"/>
    </w:rPr>
  </w:style>
  <w:style w:type="character" w:styleId="1062" w:customStyle="1">
    <w:name w:val="标题 4 字符"/>
    <w:link w:val="992"/>
    <w:uiPriority w:val="0"/>
    <w:qFormat/>
    <w:rPr>
      <w:b/>
      <w:bCs/>
      <w:sz w:val="28"/>
      <w:szCs w:val="28"/>
    </w:rPr>
  </w:style>
  <w:style w:type="character" w:styleId="1063" w:customStyle="1">
    <w:name w:val="content1"/>
    <w:uiPriority w:val="0"/>
    <w:qFormat/>
    <w:rPr>
      <w:rFonts w:hint="eastAsia" w:ascii="??" w:hAnsi="??" w:eastAsia="??" w:cs="??"/>
      <w:sz w:val="16"/>
      <w:szCs w:val="16"/>
      <w:u w:val="none"/>
    </w:rPr>
  </w:style>
  <w:style w:type="character" w:styleId="1064" w:customStyle="1">
    <w:name w:val="Andy_正文 Char"/>
    <w:link w:val="1065"/>
    <w:uiPriority w:val="0"/>
    <w:qFormat/>
    <w:rPr>
      <w:rFonts w:ascii="Calibri" w:hAnsi="Calibri"/>
      <w:sz w:val="24"/>
      <w:szCs w:val="24"/>
    </w:rPr>
  </w:style>
  <w:style w:type="paragraph" w:styleId="1065" w:customStyle="1">
    <w:name w:val="Andy_正文"/>
    <w:basedOn w:val="988"/>
    <w:link w:val="1064"/>
    <w:uiPriority w:val="0"/>
    <w:qFormat/>
    <w:pPr>
      <w:ind w:firstLine="480"/>
      <w:spacing w:line="360" w:lineRule="auto"/>
    </w:pPr>
    <w:rPr>
      <w:rFonts w:ascii="Calibri" w:hAnsi="Calibri"/>
      <w:sz w:val="24"/>
      <w:szCs w:val="24"/>
      <w:lang w:val="zh-CN"/>
    </w:rPr>
  </w:style>
  <w:style w:type="character" w:styleId="1066" w:customStyle="1">
    <w:name w:val="text"/>
    <w:uiPriority w:val="0"/>
    <w:qFormat/>
    <w:rPr>
      <w:rFonts w:ascii="Times New Roman" w:hAnsi="Times New Roman" w:eastAsia="宋体" w:cs="Times New Roman"/>
    </w:rPr>
  </w:style>
  <w:style w:type="character" w:styleId="1067" w:customStyle="1">
    <w:name w:val="正文文本缩进 字符"/>
    <w:link w:val="1006"/>
    <w:uiPriority w:val="0"/>
    <w:qFormat/>
    <w:rPr>
      <w:rFonts w:ascii="宋体" w:hAnsi="宋体" w:cs="宋体"/>
      <w:sz w:val="21"/>
      <w:szCs w:val="24"/>
    </w:rPr>
  </w:style>
  <w:style w:type="character" w:styleId="1068" w:customStyle="1">
    <w:name w:val="font71"/>
    <w:uiPriority w:val="0"/>
    <w:qFormat/>
    <w:rPr>
      <w:rFonts w:hint="default" w:ascii="Times New Roman" w:hAnsi="Times New Roman" w:eastAsia="宋体" w:cs="Times New Roman"/>
      <w:color w:val="000000"/>
      <w:sz w:val="24"/>
      <w:szCs w:val="24"/>
      <w:u w:val="none"/>
    </w:rPr>
  </w:style>
  <w:style w:type="character" w:styleId="1069" w:customStyle="1">
    <w:name w:val="c lh15"/>
    <w:uiPriority w:val="0"/>
    <w:qFormat/>
    <w:rPr>
      <w:rFonts w:ascii="Times New Roman" w:hAnsi="Times New Roman" w:eastAsia="宋体" w:cs="Times New Roman"/>
    </w:rPr>
  </w:style>
  <w:style w:type="character" w:styleId="1070" w:customStyle="1">
    <w:name w:val="prodheadlines"/>
    <w:uiPriority w:val="0"/>
    <w:qFormat/>
    <w:rPr>
      <w:rFonts w:ascii="Times New Roman" w:hAnsi="Times New Roman" w:eastAsia="宋体" w:cs="Times New Roman"/>
    </w:rPr>
  </w:style>
  <w:style w:type="character" w:styleId="1071" w:customStyle="1">
    <w:name w:val="font41"/>
    <w:uiPriority w:val="0"/>
    <w:qFormat/>
    <w:rPr>
      <w:rFonts w:hint="eastAsia" w:ascii="宋体" w:hAnsi="宋体" w:eastAsia="宋体" w:cs="宋体"/>
      <w:b/>
      <w:color w:val="000000"/>
      <w:sz w:val="20"/>
      <w:szCs w:val="20"/>
      <w:u w:val="none"/>
    </w:rPr>
  </w:style>
  <w:style w:type="character" w:styleId="1072" w:customStyle="1">
    <w:name w:val="页脚 Char1"/>
    <w:uiPriority w:val="0"/>
    <w:qFormat/>
    <w:rPr>
      <w:rFonts w:hint="eastAsia" w:ascii="宋体" w:hAnsi="宋体" w:eastAsia="宋体" w:cs="宋体"/>
      <w:sz w:val="18"/>
      <w:szCs w:val="18"/>
      <w:lang w:val="en-US" w:eastAsia="zh-CN"/>
    </w:rPr>
  </w:style>
  <w:style w:type="character" w:styleId="1073" w:customStyle="1">
    <w:name w:val="正文文字首行缩进 Char"/>
    <w:uiPriority w:val="0"/>
    <w:qFormat/>
    <w:rPr>
      <w:rFonts w:ascii="Times New Roman" w:hAnsi="Times New Roman" w:eastAsia="宋体" w:cs="Times New Roman"/>
      <w:sz w:val="21"/>
      <w:szCs w:val="24"/>
    </w:rPr>
  </w:style>
  <w:style w:type="character" w:styleId="1074" w:customStyle="1">
    <w:name w:val="正文文本缩进 3 字符"/>
    <w:link w:val="1019"/>
    <w:uiPriority w:val="0"/>
    <w:qFormat/>
    <w:rPr>
      <w:rFonts w:ascii="宋体" w:hAnsi="宋体" w:eastAsia="宋体" w:cs="Times New Roman"/>
      <w:sz w:val="18"/>
      <w:szCs w:val="20"/>
    </w:rPr>
  </w:style>
  <w:style w:type="character" w:styleId="1075" w:customStyle="1">
    <w:name w:val="标题 字符"/>
    <w:link w:val="1024"/>
    <w:uiPriority w:val="0"/>
    <w:qFormat/>
    <w:rPr>
      <w:rFonts w:ascii="Arial" w:hAnsi="Arial"/>
      <w:b/>
      <w:sz w:val="32"/>
      <w:szCs w:val="24"/>
    </w:rPr>
  </w:style>
  <w:style w:type="character" w:styleId="1076" w:customStyle="1">
    <w:name w:val="标题 8 字符"/>
    <w:link w:val="996"/>
    <w:uiPriority w:val="0"/>
    <w:qFormat/>
    <w:rPr>
      <w:rFonts w:ascii="Arial" w:hAnsi="Arial" w:eastAsia="黑体"/>
      <w:sz w:val="24"/>
      <w:szCs w:val="24"/>
    </w:rPr>
  </w:style>
  <w:style w:type="character" w:styleId="1077" w:customStyle="1">
    <w:name w:val="正文文本首行缩进 字符"/>
    <w:link w:val="1026"/>
    <w:uiPriority w:val="0"/>
    <w:qFormat/>
    <w:rPr>
      <w:sz w:val="28"/>
      <w:szCs w:val="24"/>
    </w:rPr>
  </w:style>
  <w:style w:type="character" w:styleId="1078" w:customStyle="1">
    <w:name w:val="页眉 Char1"/>
    <w:uiPriority w:val="0"/>
    <w:qFormat/>
    <w:rPr>
      <w:rFonts w:hint="eastAsia" w:ascii="宋体" w:hAnsi="宋体" w:eastAsia="宋体" w:cs="宋体"/>
      <w:sz w:val="18"/>
      <w:szCs w:val="18"/>
      <w:lang w:val="en-US" w:eastAsia="zh-CN"/>
    </w:rPr>
  </w:style>
  <w:style w:type="character" w:styleId="1079" w:customStyle="1">
    <w:name w:val="批注文字 字符"/>
    <w:link w:val="1003"/>
    <w:uiPriority w:val="99"/>
    <w:qFormat/>
    <w:rPr>
      <w:rFonts w:ascii="Times New Roman" w:hAnsi="Times New Roman" w:eastAsia="宋体" w:cs="Times New Roman"/>
      <w:szCs w:val="20"/>
    </w:rPr>
  </w:style>
  <w:style w:type="character" w:styleId="1080" w:customStyle="1">
    <w:name w:val="缩进正文 Char"/>
    <w:uiPriority w:val="0"/>
    <w:qFormat/>
    <w:rPr>
      <w:rFonts w:hint="eastAsia" w:ascii="仿宋_GB2312" w:hAnsi="Times New Roman" w:eastAsia="仿宋_GB2312" w:cs="宋体"/>
      <w:sz w:val="28"/>
      <w:lang w:val="en-US" w:eastAsia="zh-CN"/>
    </w:rPr>
  </w:style>
  <w:style w:type="character" w:styleId="1081" w:customStyle="1">
    <w:name w:val="章标题1 Char"/>
    <w:uiPriority w:val="0"/>
    <w:qFormat/>
    <w:rPr>
      <w:rFonts w:hint="eastAsia" w:ascii="宋体" w:hAnsi="宋体" w:eastAsia="宋体" w:cs="宋体"/>
      <w:b/>
      <w:sz w:val="32"/>
      <w:szCs w:val="32"/>
      <w:lang w:val="en-US" w:eastAsia="zh-CN"/>
    </w:rPr>
  </w:style>
  <w:style w:type="character" w:styleId="1082" w:customStyle="1">
    <w:name w:val="标题 2 Char"/>
    <w:uiPriority w:val="0"/>
    <w:qFormat/>
    <w:rPr>
      <w:rFonts w:ascii="Cambria" w:hAnsi="Cambria" w:eastAsia="宋体" w:cs="Times New Roman"/>
      <w:b/>
      <w:bCs/>
      <w:sz w:val="32"/>
      <w:szCs w:val="32"/>
    </w:rPr>
  </w:style>
  <w:style w:type="character" w:styleId="1083" w:customStyle="1">
    <w:name w:val="标题 5 字符"/>
    <w:link w:val="993"/>
    <w:uiPriority w:val="0"/>
    <w:qFormat/>
    <w:rPr>
      <w:b/>
      <w:bCs/>
      <w:i/>
      <w:iCs/>
      <w:sz w:val="26"/>
      <w:szCs w:val="26"/>
    </w:rPr>
  </w:style>
  <w:style w:type="character" w:styleId="1084" w:customStyle="1">
    <w:name w:val="标题 2 字符"/>
    <w:link w:val="990"/>
    <w:uiPriority w:val="0"/>
    <w:qFormat/>
    <w:rPr>
      <w:rFonts w:ascii="Cambria" w:hAnsi="Cambria"/>
      <w:b/>
      <w:bCs/>
      <w:sz w:val="32"/>
      <w:szCs w:val="32"/>
    </w:rPr>
  </w:style>
  <w:style w:type="character" w:styleId="1085" w:customStyle="1">
    <w:name w:val="unnamed4"/>
    <w:uiPriority w:val="0"/>
    <w:qFormat/>
    <w:rPr>
      <w:rFonts w:ascii="Times New Roman" w:hAnsi="Times New Roman" w:eastAsia="宋体" w:cs="Times New Roman"/>
    </w:rPr>
  </w:style>
  <w:style w:type="character" w:styleId="1086" w:customStyle="1">
    <w:name w:val="正文文本 Char1"/>
    <w:uiPriority w:val="99"/>
    <w:semiHidden/>
    <w:qFormat/>
    <w:rPr>
      <w:rFonts w:ascii="Times New Roman" w:hAnsi="Times New Roman" w:eastAsia="宋体" w:cs="Times New Roman"/>
      <w:szCs w:val="20"/>
    </w:rPr>
  </w:style>
  <w:style w:type="character" w:styleId="1087" w:customStyle="1">
    <w:name w:val="标题 1 字符"/>
    <w:link w:val="989"/>
    <w:uiPriority w:val="0"/>
    <w:qFormat/>
    <w:rPr>
      <w:b/>
      <w:bCs/>
      <w:sz w:val="44"/>
      <w:szCs w:val="44"/>
    </w:rPr>
  </w:style>
  <w:style w:type="character" w:styleId="1088" w:customStyle="1">
    <w:name w:val="font101"/>
    <w:uiPriority w:val="0"/>
    <w:qFormat/>
    <w:rPr>
      <w:rFonts w:hint="eastAsia" w:ascii="宋体" w:hAnsi="宋体" w:eastAsia="宋体" w:cs="宋体"/>
      <w:color w:val="ff0000"/>
      <w:sz w:val="20"/>
      <w:szCs w:val="20"/>
      <w:u w:val="none"/>
    </w:rPr>
  </w:style>
  <w:style w:type="character" w:styleId="1089" w:customStyle="1">
    <w:name w:val="font31"/>
    <w:uiPriority w:val="0"/>
    <w:qFormat/>
    <w:rPr>
      <w:rFonts w:hint="default" w:ascii="Arial" w:hAnsi="Arial" w:eastAsia="宋体" w:cs="Arial"/>
      <w:color w:val="000000"/>
      <w:sz w:val="20"/>
      <w:szCs w:val="20"/>
      <w:u w:val="none"/>
    </w:rPr>
  </w:style>
  <w:style w:type="character" w:styleId="1090" w:customStyle="1">
    <w:name w:val="NormalCharacter"/>
    <w:uiPriority w:val="99"/>
    <w:qFormat/>
  </w:style>
  <w:style w:type="character" w:styleId="1091" w:customStyle="1">
    <w:name w:val="--规划正文 Char1"/>
    <w:uiPriority w:val="0"/>
    <w:qFormat/>
    <w:rPr>
      <w:rFonts w:hint="eastAsia" w:ascii="宋体" w:hAnsi="宋体" w:eastAsia="宋体" w:cs="宋体"/>
      <w:sz w:val="21"/>
      <w:lang w:val="en-US" w:eastAsia="zh-CN"/>
    </w:rPr>
  </w:style>
  <w:style w:type="character" w:styleId="1092" w:customStyle="1">
    <w:name w:val="info4"/>
    <w:uiPriority w:val="0"/>
    <w:qFormat/>
    <w:rPr>
      <w:rFonts w:ascii="Times New Roman" w:hAnsi="Times New Roman" w:eastAsia="宋体" w:cs="Times New Roman"/>
    </w:rPr>
  </w:style>
  <w:style w:type="character" w:styleId="1093" w:customStyle="1">
    <w:name w:val="stylelianjie1"/>
    <w:basedOn w:val="998"/>
    <w:uiPriority w:val="0"/>
    <w:qFormat/>
  </w:style>
  <w:style w:type="character" w:styleId="1094" w:customStyle="1">
    <w:name w:val="mode"/>
    <w:uiPriority w:val="0"/>
    <w:qFormat/>
    <w:rPr>
      <w:rFonts w:ascii="Times New Roman" w:hAnsi="Times New Roman" w:eastAsia="宋体" w:cs="Times New Roman"/>
    </w:rPr>
  </w:style>
  <w:style w:type="character" w:styleId="1095" w:customStyle="1">
    <w:name w:val="标题 1 Char"/>
    <w:uiPriority w:val="0"/>
    <w:qFormat/>
    <w:rPr>
      <w:b/>
      <w:bCs/>
      <w:sz w:val="44"/>
      <w:szCs w:val="44"/>
    </w:rPr>
  </w:style>
  <w:style w:type="character" w:styleId="1096" w:customStyle="1">
    <w:name w:val="HTML 预设格式 字符"/>
    <w:link w:val="1022"/>
    <w:uiPriority w:val="0"/>
    <w:qFormat/>
    <w:rPr>
      <w:rFonts w:ascii="Courier New" w:hAnsi="Courier New"/>
      <w:szCs w:val="24"/>
    </w:rPr>
  </w:style>
  <w:style w:type="character" w:styleId="1097" w:customStyle="1">
    <w:name w:val="正文文本 字符"/>
    <w:link w:val="1005"/>
    <w:uiPriority w:val="0"/>
    <w:qFormat/>
  </w:style>
  <w:style w:type="character" w:styleId="1098" w:customStyle="1">
    <w:name w:val="批注主题 字符"/>
    <w:link w:val="1025"/>
    <w:uiPriority w:val="0"/>
    <w:qFormat/>
    <w:rPr>
      <w:rFonts w:ascii="Times New Roman" w:hAnsi="Times New Roman" w:eastAsia="宋体" w:cs="Times New Roman"/>
      <w:b/>
      <w:bCs/>
      <w:sz w:val="21"/>
      <w:szCs w:val="24"/>
    </w:rPr>
  </w:style>
  <w:style w:type="character" w:styleId="1099" w:customStyle="1">
    <w:name w:val="标题 4 Char"/>
    <w:uiPriority w:val="0"/>
    <w:qFormat/>
    <w:rPr>
      <w:rFonts w:ascii="Cambria" w:hAnsi="Cambria" w:eastAsia="宋体" w:cs="Times New Roman"/>
      <w:b/>
      <w:bCs/>
      <w:sz w:val="28"/>
      <w:szCs w:val="28"/>
    </w:rPr>
  </w:style>
  <w:style w:type="character" w:styleId="1100" w:customStyle="1">
    <w:name w:val="font"/>
    <w:uiPriority w:val="0"/>
    <w:qFormat/>
    <w:rPr>
      <w:rFonts w:ascii="Times New Roman" w:hAnsi="Times New Roman" w:eastAsia="宋体" w:cs="Times New Roman"/>
    </w:rPr>
  </w:style>
  <w:style w:type="character" w:styleId="1101" w:customStyle="1">
    <w:name w:val="proddescription"/>
    <w:uiPriority w:val="0"/>
    <w:qFormat/>
    <w:rPr>
      <w:rFonts w:ascii="Times New Roman" w:hAnsi="Times New Roman" w:eastAsia="宋体" w:cs="Times New Roman"/>
    </w:rPr>
  </w:style>
  <w:style w:type="character" w:styleId="1102" w:customStyle="1">
    <w:name w:val="日期 字符"/>
    <w:link w:val="1011"/>
    <w:uiPriority w:val="0"/>
    <w:qFormat/>
    <w:rPr>
      <w:rFonts w:ascii="Times New Roman" w:hAnsi="Times New Roman" w:eastAsia="宋体" w:cs="Times New Roman"/>
      <w:szCs w:val="20"/>
    </w:rPr>
  </w:style>
  <w:style w:type="character" w:styleId="1103" w:customStyle="1">
    <w:name w:val="15"/>
    <w:uiPriority w:val="0"/>
    <w:qFormat/>
    <w:rPr>
      <w:rFonts w:hint="default" w:ascii="Times New Roman" w:hAnsi="Times New Roman" w:eastAsia="宋体" w:cs="Times New Roman"/>
      <w:color w:val="0000ff"/>
      <w:u w:val="single"/>
    </w:rPr>
  </w:style>
  <w:style w:type="character" w:styleId="1104" w:customStyle="1">
    <w:name w:val="标题 3 Char"/>
    <w:uiPriority w:val="0"/>
    <w:qFormat/>
    <w:rPr>
      <w:b/>
      <w:bCs/>
      <w:sz w:val="32"/>
      <w:szCs w:val="32"/>
    </w:rPr>
  </w:style>
  <w:style w:type="character" w:styleId="1105" w:customStyle="1">
    <w:name w:val="font81"/>
    <w:uiPriority w:val="0"/>
    <w:qFormat/>
    <w:rPr>
      <w:rFonts w:hint="default" w:ascii="Arial" w:hAnsi="Arial" w:eastAsia="宋体" w:cs="Arial"/>
      <w:b/>
      <w:color w:val="000000"/>
      <w:sz w:val="20"/>
      <w:szCs w:val="20"/>
      <w:u w:val="none"/>
    </w:rPr>
  </w:style>
  <w:style w:type="character" w:styleId="1106" w:customStyle="1">
    <w:name w:val="批注框文本 字符"/>
    <w:link w:val="1013"/>
    <w:uiPriority w:val="0"/>
    <w:qFormat/>
    <w:rPr>
      <w:rFonts w:ascii="Times New Roman" w:hAnsi="Times New Roman" w:eastAsia="宋体" w:cs="Times New Roman"/>
      <w:sz w:val="18"/>
      <w:szCs w:val="18"/>
    </w:rPr>
  </w:style>
  <w:style w:type="character" w:styleId="1107" w:customStyle="1">
    <w:name w:val="font01"/>
    <w:uiPriority w:val="0"/>
    <w:qFormat/>
    <w:rPr>
      <w:rFonts w:hint="eastAsia" w:ascii="宋体" w:hAnsi="宋体" w:eastAsia="宋体" w:cs="宋体"/>
      <w:b/>
      <w:color w:val="000000"/>
      <w:sz w:val="24"/>
      <w:szCs w:val="24"/>
      <w:u w:val="none"/>
    </w:rPr>
  </w:style>
  <w:style w:type="character" w:styleId="1108" w:customStyle="1">
    <w:name w:val="第*章 Char"/>
    <w:uiPriority w:val="0"/>
    <w:qFormat/>
    <w:rPr>
      <w:rFonts w:hint="default" w:ascii="Arial" w:hAnsi="Arial" w:eastAsia="黑体" w:cs="Arial"/>
      <w:b/>
      <w:sz w:val="32"/>
      <w:szCs w:val="32"/>
    </w:rPr>
  </w:style>
  <w:style w:type="character" w:styleId="1109" w:customStyle="1">
    <w:name w:val="标题 3 字符"/>
    <w:link w:val="991"/>
    <w:uiPriority w:val="0"/>
    <w:qFormat/>
    <w:rPr>
      <w:b/>
      <w:sz w:val="21"/>
      <w:szCs w:val="32"/>
    </w:rPr>
  </w:style>
  <w:style w:type="character" w:styleId="1110" w:customStyle="1">
    <w:name w:val="标题 6 字符"/>
    <w:link w:val="994"/>
    <w:uiPriority w:val="0"/>
    <w:qFormat/>
    <w:rPr>
      <w:rFonts w:ascii="Arial" w:hAnsi="Arial" w:eastAsia="黑体"/>
      <w:b/>
      <w:sz w:val="24"/>
      <w:szCs w:val="24"/>
    </w:rPr>
  </w:style>
  <w:style w:type="character" w:styleId="1111" w:customStyle="1">
    <w:name w:val="标题 5 Char"/>
    <w:uiPriority w:val="0"/>
    <w:qFormat/>
    <w:rPr>
      <w:b/>
      <w:bCs/>
      <w:sz w:val="28"/>
      <w:szCs w:val="28"/>
    </w:rPr>
  </w:style>
  <w:style w:type="character" w:styleId="1112" w:customStyle="1">
    <w:name w:val="正文文本缩进 2 字符"/>
    <w:link w:val="1012"/>
    <w:uiPriority w:val="0"/>
    <w:qFormat/>
    <w:rPr>
      <w:rFonts w:ascii="宋体" w:hAnsi="宋体" w:eastAsia="宋体" w:cs="Times New Roman"/>
      <w:color w:val="ff0000"/>
      <w:sz w:val="24"/>
      <w:szCs w:val="20"/>
    </w:rPr>
  </w:style>
  <w:style w:type="character" w:styleId="1113" w:customStyle="1">
    <w:name w:val="font2"/>
    <w:uiPriority w:val="0"/>
    <w:qFormat/>
    <w:rPr>
      <w:rFonts w:ascii="Times New Roman" w:hAnsi="Times New Roman" w:eastAsia="宋体" w:cs="Times New Roman"/>
    </w:rPr>
  </w:style>
  <w:style w:type="character" w:styleId="1114" w:customStyle="1">
    <w:name w:val="font51"/>
    <w:basedOn w:val="998"/>
    <w:uiPriority w:val="0"/>
    <w:qFormat/>
    <w:rPr>
      <w:rFonts w:hint="default" w:ascii="Times New Roman" w:hAnsi="Times New Roman" w:eastAsia="宋体" w:cs="Times New Roman"/>
      <w:color w:val="000000"/>
      <w:sz w:val="24"/>
      <w:szCs w:val="24"/>
      <w:u w:val="none"/>
    </w:rPr>
  </w:style>
  <w:style w:type="character" w:styleId="1115" w:customStyle="1">
    <w:name w:val="四号 Char"/>
    <w:uiPriority w:val="0"/>
    <w:qFormat/>
    <w:rPr>
      <w:rFonts w:hint="eastAsia" w:ascii="楷体_GB2312" w:hAnsi="Times New Roman" w:eastAsia="楷体_GB2312" w:cs="楷体_GB2312"/>
      <w:sz w:val="24"/>
      <w:lang w:val="en-US" w:eastAsia="zh-CN"/>
    </w:rPr>
  </w:style>
  <w:style w:type="character" w:styleId="1116" w:customStyle="1">
    <w:name w:val="font91"/>
    <w:uiPriority w:val="0"/>
    <w:qFormat/>
    <w:rPr>
      <w:rFonts w:hint="eastAsia" w:ascii="宋体" w:hAnsi="宋体" w:eastAsia="宋体" w:cs="宋体"/>
      <w:color w:val="000000"/>
      <w:sz w:val="20"/>
      <w:szCs w:val="20"/>
      <w:u w:val="none"/>
    </w:rPr>
  </w:style>
  <w:style w:type="character" w:styleId="1117" w:customStyle="1">
    <w:name w:val="unnamed3"/>
    <w:uiPriority w:val="0"/>
    <w:qFormat/>
    <w:rPr>
      <w:rFonts w:ascii="Times New Roman" w:hAnsi="Times New Roman" w:eastAsia="宋体" w:cs="Times New Roman"/>
    </w:rPr>
  </w:style>
  <w:style w:type="character" w:styleId="1118" w:customStyle="1">
    <w:name w:val="页眉 字符"/>
    <w:link w:val="1016"/>
    <w:uiPriority w:val="0"/>
    <w:qFormat/>
    <w:rPr>
      <w:sz w:val="18"/>
      <w:szCs w:val="18"/>
    </w:rPr>
  </w:style>
  <w:style w:type="character" w:styleId="1119" w:customStyle="1">
    <w:name w:val="纯文本 Char1"/>
    <w:uiPriority w:val="99"/>
    <w:semiHidden/>
    <w:qFormat/>
    <w:rPr>
      <w:rFonts w:ascii="宋体" w:hAnsi="Courier New" w:eastAsia="宋体" w:cs="Courier New"/>
      <w:szCs w:val="21"/>
    </w:rPr>
  </w:style>
  <w:style w:type="character" w:styleId="1120" w:customStyle="1">
    <w:name w:val="标题 9 字符"/>
    <w:link w:val="997"/>
    <w:uiPriority w:val="0"/>
    <w:qFormat/>
    <w:rPr>
      <w:rFonts w:ascii="Arial" w:hAnsi="Arial" w:eastAsia="黑体"/>
      <w:sz w:val="21"/>
      <w:szCs w:val="24"/>
    </w:rPr>
  </w:style>
  <w:style w:type="character" w:styleId="1121" w:customStyle="1">
    <w:name w:val="gongsi12"/>
    <w:basedOn w:val="998"/>
    <w:uiPriority w:val="0"/>
    <w:qFormat/>
  </w:style>
  <w:style w:type="character" w:styleId="1122" w:customStyle="1">
    <w:name w:val="正文文本 2 字符"/>
    <w:link w:val="1021"/>
    <w:uiPriority w:val="0"/>
    <w:qFormat/>
    <w:rPr>
      <w:sz w:val="21"/>
      <w:szCs w:val="24"/>
    </w:rPr>
  </w:style>
  <w:style w:type="character" w:styleId="1123" w:customStyle="1">
    <w:name w:val="Plain Text Char"/>
    <w:link w:val="1124"/>
    <w:uiPriority w:val="0"/>
    <w:qFormat/>
    <w:rPr>
      <w:rFonts w:ascii="宋体" w:hAnsi="Courier New"/>
      <w:sz w:val="28"/>
      <w:szCs w:val="24"/>
    </w:rPr>
  </w:style>
  <w:style w:type="paragraph" w:styleId="1124" w:customStyle="1">
    <w:name w:val="纯文本1"/>
    <w:basedOn w:val="988"/>
    <w:link w:val="1123"/>
    <w:uiPriority w:val="0"/>
    <w:qFormat/>
    <w:rPr>
      <w:rFonts w:ascii="宋体" w:hAnsi="Courier New"/>
      <w:sz w:val="28"/>
      <w:szCs w:val="24"/>
      <w:lang w:val="zh-CN"/>
    </w:rPr>
  </w:style>
  <w:style w:type="character" w:styleId="1125" w:customStyle="1">
    <w:name w:val="标题 3 Char Char"/>
    <w:uiPriority w:val="0"/>
    <w:qFormat/>
    <w:rPr>
      <w:rFonts w:hint="eastAsia" w:ascii="宋体" w:hAnsi="宋体" w:eastAsia="宋体" w:cs="宋体"/>
      <w:b/>
      <w:sz w:val="32"/>
      <w:szCs w:val="32"/>
      <w:lang w:val="en-US" w:eastAsia="zh-CN"/>
    </w:rPr>
  </w:style>
  <w:style w:type="character" w:styleId="1126" w:customStyle="1">
    <w:name w:val="gray6"/>
    <w:uiPriority w:val="0"/>
    <w:qFormat/>
    <w:rPr>
      <w:rFonts w:ascii="Times New Roman" w:hAnsi="Times New Roman" w:eastAsia="宋体" w:cs="Times New Roman"/>
    </w:rPr>
  </w:style>
  <w:style w:type="character" w:styleId="1127" w:customStyle="1">
    <w:name w:val="正文文本 3 字符"/>
    <w:link w:val="1004"/>
    <w:uiPriority w:val="0"/>
    <w:qFormat/>
    <w:rPr>
      <w:sz w:val="16"/>
      <w:szCs w:val="24"/>
    </w:rPr>
  </w:style>
  <w:style w:type="character" w:styleId="1128" w:customStyle="1">
    <w:name w:val="正文缩进 字符"/>
    <w:link w:val="1001"/>
    <w:uiPriority w:val="0"/>
    <w:qFormat/>
    <w:rPr>
      <w:rFonts w:eastAsia="楷体_GB2312"/>
      <w:sz w:val="24"/>
    </w:rPr>
  </w:style>
  <w:style w:type="character" w:styleId="1129" w:customStyle="1">
    <w:name w:val="style9"/>
    <w:uiPriority w:val="0"/>
    <w:qFormat/>
    <w:rPr>
      <w:rFonts w:ascii="Times New Roman" w:hAnsi="Times New Roman" w:eastAsia="宋体" w:cs="Times New Roman"/>
    </w:rPr>
  </w:style>
  <w:style w:type="character" w:styleId="1130" w:customStyle="1">
    <w:name w:val="标题 7 字符"/>
    <w:link w:val="995"/>
    <w:uiPriority w:val="0"/>
    <w:qFormat/>
    <w:rPr>
      <w:b/>
      <w:sz w:val="24"/>
      <w:szCs w:val="24"/>
    </w:rPr>
  </w:style>
  <w:style w:type="character" w:styleId="1131" w:customStyle="1">
    <w:name w:val="font61"/>
    <w:basedOn w:val="998"/>
    <w:uiPriority w:val="0"/>
    <w:qFormat/>
    <w:rPr>
      <w:rFonts w:hint="default" w:ascii="方正仿宋简体" w:hAnsi="方正仿宋简体" w:eastAsia="方正仿宋简体" w:cs="方正仿宋简体"/>
      <w:color w:val="000000"/>
      <w:sz w:val="24"/>
      <w:szCs w:val="24"/>
      <w:u w:val="none"/>
    </w:rPr>
  </w:style>
  <w:style w:type="character" w:styleId="1132" w:customStyle="1">
    <w:name w:val="页脚 字符"/>
    <w:link w:val="1014"/>
    <w:uiPriority w:val="99"/>
    <w:qFormat/>
    <w:rPr>
      <w:sz w:val="18"/>
      <w:szCs w:val="18"/>
    </w:rPr>
  </w:style>
  <w:style w:type="character" w:styleId="1133" w:customStyle="1">
    <w:name w:val="正文文本缩进 Char1"/>
    <w:uiPriority w:val="99"/>
    <w:semiHidden/>
    <w:qFormat/>
    <w:rPr>
      <w:sz w:val="21"/>
    </w:rPr>
  </w:style>
  <w:style w:type="character" w:styleId="1134" w:customStyle="1">
    <w:name w:val="font21"/>
    <w:uiPriority w:val="0"/>
    <w:qFormat/>
    <w:rPr>
      <w:rFonts w:hint="eastAsia" w:ascii="宋体" w:hAnsi="宋体" w:eastAsia="宋体" w:cs="宋体"/>
      <w:color w:val="000000"/>
      <w:sz w:val="18"/>
      <w:szCs w:val="18"/>
    </w:rPr>
  </w:style>
  <w:style w:type="character" w:styleId="1135" w:customStyle="1">
    <w:name w:val="样式 小三 加粗"/>
    <w:uiPriority w:val="0"/>
    <w:qFormat/>
    <w:rPr>
      <w:rFonts w:hint="eastAsia" w:ascii="宋体" w:hAnsi="宋体" w:eastAsia="宋体" w:cs="宋体"/>
      <w:b/>
      <w:sz w:val="32"/>
    </w:rPr>
  </w:style>
  <w:style w:type="character" w:styleId="1136" w:customStyle="1">
    <w:name w:val="--规划正文 Char Char"/>
    <w:uiPriority w:val="0"/>
    <w:qFormat/>
    <w:rPr>
      <w:rFonts w:hint="eastAsia" w:ascii="宋体" w:hAnsi="宋体" w:eastAsia="宋体" w:cs="宋体"/>
      <w:sz w:val="24"/>
      <w:szCs w:val="24"/>
      <w:lang w:val="en-US" w:eastAsia="zh-CN"/>
    </w:rPr>
  </w:style>
  <w:style w:type="character" w:styleId="1137" w:customStyle="1">
    <w:name w:val="apple-style-span"/>
    <w:uiPriority w:val="0"/>
    <w:qFormat/>
  </w:style>
  <w:style w:type="paragraph" w:styleId="1138" w:customStyle="1">
    <w:name w:val="正文 1.1"/>
    <w:basedOn w:val="988"/>
    <w:next w:val="1139"/>
    <w:uiPriority w:val="0"/>
    <w:qFormat/>
    <w:pPr>
      <w:ind w:left="980" w:hanging="980"/>
      <w:spacing w:line="360" w:lineRule="auto"/>
      <w:outlineLvl w:val="1"/>
    </w:pPr>
    <w:rPr>
      <w:rFonts w:ascii="仿宋" w:hAnsi="仿宋" w:eastAsia="仿宋"/>
      <w:b/>
      <w:sz w:val="28"/>
      <w:szCs w:val="21"/>
    </w:rPr>
  </w:style>
  <w:style w:type="paragraph" w:styleId="1139" w:customStyle="1">
    <w:name w:val="正文 1.1.1"/>
    <w:basedOn w:val="988"/>
    <w:next w:val="988"/>
    <w:uiPriority w:val="0"/>
    <w:qFormat/>
    <w:pPr>
      <w:spacing w:line="360" w:lineRule="auto"/>
      <w:tabs>
        <w:tab w:val="left" w:pos="851" w:leader="none"/>
      </w:tabs>
      <w:outlineLvl w:val="2"/>
    </w:pPr>
    <w:rPr>
      <w:rFonts w:ascii="宋体" w:hAnsi="宋体"/>
      <w:color w:val="ff0000"/>
      <w:sz w:val="28"/>
      <w:szCs w:val="21"/>
    </w:rPr>
  </w:style>
  <w:style w:type="paragraph" w:styleId="1140" w:customStyle="1">
    <w:name w:val="正文2"/>
    <w:basedOn w:val="988"/>
    <w:uiPriority w:val="0"/>
    <w:qFormat/>
    <w:pPr>
      <w:ind w:firstLine="200"/>
      <w:jc w:val="left"/>
      <w:spacing w:after="160" w:line="360" w:lineRule="auto"/>
      <w:widowControl/>
    </w:pPr>
    <w:rPr>
      <w:rFonts w:ascii="Verdana" w:hAnsi="Verdana" w:eastAsia="黑体"/>
      <w:lang w:eastAsia="en-US"/>
    </w:rPr>
  </w:style>
  <w:style w:type="paragraph" w:styleId="1141">
    <w:name w:val="List Paragraph"/>
    <w:basedOn w:val="988"/>
    <w:uiPriority w:val="34"/>
    <w:qFormat/>
    <w:pPr>
      <w:ind w:firstLine="420"/>
      <w:jc w:val="left"/>
      <w:widowControl/>
    </w:pPr>
    <w:rPr>
      <w:sz w:val="24"/>
      <w:szCs w:val="24"/>
    </w:rPr>
  </w:style>
  <w:style w:type="paragraph" w:styleId="1142" w:customStyle="1">
    <w:name w:val="_Style 4"/>
    <w:basedOn w:val="988"/>
    <w:uiPriority w:val="0"/>
    <w:qFormat/>
    <w:pPr>
      <w:ind w:left="420" w:hanging="420"/>
      <w:tabs>
        <w:tab w:val="left" w:pos="420" w:leader="none"/>
      </w:tabs>
    </w:pPr>
    <w:rPr>
      <w:sz w:val="24"/>
      <w:szCs w:val="24"/>
    </w:rPr>
  </w:style>
  <w:style w:type="paragraph" w:styleId="1143" w:customStyle="1">
    <w:name w:val="Plain Text1"/>
    <w:basedOn w:val="988"/>
    <w:uiPriority w:val="0"/>
    <w:qFormat/>
    <w:rPr>
      <w:rFonts w:ascii="宋体" w:hAnsi="Courier New" w:eastAsia="楷体_GB2312"/>
      <w:sz w:val="28"/>
      <w:szCs w:val="22"/>
    </w:rPr>
  </w:style>
  <w:style w:type="paragraph" w:styleId="1144" w:customStyle="1">
    <w:name w:val="正文1"/>
    <w:basedOn w:val="988"/>
    <w:next w:val="988"/>
    <w:uiPriority w:val="0"/>
    <w:qFormat/>
    <w:pPr>
      <w:ind w:left="420" w:firstLine="527"/>
      <w:spacing w:before="120" w:line="360" w:lineRule="auto"/>
    </w:pPr>
    <w:rPr>
      <w:rFonts w:ascii="宋体" w:hAnsi="宋体"/>
    </w:rPr>
  </w:style>
  <w:style w:type="paragraph" w:styleId="1145" w:customStyle="1">
    <w:name w:val="纯文本3"/>
    <w:basedOn w:val="988"/>
    <w:uiPriority w:val="0"/>
    <w:qFormat/>
    <w:rPr>
      <w:rFonts w:ascii="宋体" w:hAnsi="Courier New" w:eastAsia="楷体_GB2312"/>
      <w:sz w:val="28"/>
    </w:rPr>
  </w:style>
  <w:style w:type="paragraph" w:styleId="1146" w:customStyle="1">
    <w:name w:val="Char Char Char"/>
    <w:basedOn w:val="1002"/>
    <w:uiPriority w:val="0"/>
    <w:qFormat/>
    <w:pPr>
      <w:spacing w:line="360" w:lineRule="auto"/>
      <w:shd w:val="clear" w:color="auto" w:fill="000080"/>
    </w:pPr>
    <w:rPr>
      <w:rFonts w:ascii="Tahoma" w:hAnsi="Tahoma"/>
      <w:sz w:val="24"/>
      <w:szCs w:val="24"/>
    </w:rPr>
  </w:style>
  <w:style w:type="paragraph" w:styleId="1147" w:customStyle="1">
    <w:name w:val="Char Char Char Char"/>
    <w:basedOn w:val="1002"/>
    <w:uiPriority w:val="0"/>
    <w:qFormat/>
    <w:pPr>
      <w:spacing w:line="360" w:lineRule="auto"/>
      <w:shd w:val="clear" w:color="auto" w:fill="000080"/>
    </w:pPr>
    <w:rPr>
      <w:rFonts w:ascii="Times New Roman"/>
      <w:sz w:val="24"/>
      <w:szCs w:val="20"/>
    </w:rPr>
  </w:style>
  <w:style w:type="paragraph" w:styleId="1148" w:customStyle="1">
    <w:name w:val="列出段落1"/>
    <w:basedOn w:val="988"/>
    <w:uiPriority w:val="34"/>
    <w:qFormat/>
    <w:pPr>
      <w:ind w:firstLine="420"/>
    </w:pPr>
    <w:rPr>
      <w:rFonts w:ascii="Calibri" w:hAnsi="Calibri"/>
      <w:szCs w:val="22"/>
    </w:rPr>
  </w:style>
  <w:style w:type="paragraph" w:styleId="1149" w:customStyle="1">
    <w:name w:val="Char Char Char1 Char Char Char Char"/>
    <w:basedOn w:val="988"/>
    <w:uiPriority w:val="0"/>
    <w:qFormat/>
    <w:pPr>
      <w:jc w:val="left"/>
      <w:spacing w:after="160" w:line="240" w:lineRule="exact"/>
      <w:widowControl/>
    </w:pPr>
    <w:rPr>
      <w:sz w:val="24"/>
      <w:szCs w:val="24"/>
    </w:rPr>
  </w:style>
  <w:style w:type="paragraph" w:styleId="1150" w:customStyle="1">
    <w:name w:val="列项——（一级）"/>
    <w:basedOn w:val="988"/>
    <w:uiPriority w:val="0"/>
    <w:qFormat/>
    <w:pPr>
      <w:numPr>
        <w:ilvl w:val="0"/>
        <w:numId w:val="1"/>
      </w:numPr>
    </w:pPr>
    <w:rPr>
      <w:rFonts w:hint="eastAsia" w:ascii="宋体"/>
      <w:szCs w:val="22"/>
    </w:rPr>
  </w:style>
  <w:style w:type="paragraph" w:styleId="1151" w:customStyle="1">
    <w:name w:val="Char Char Char Char Char Char Char Char Char1 Char Char Char Char"/>
    <w:basedOn w:val="1002"/>
    <w:uiPriority w:val="0"/>
    <w:qFormat/>
    <w:pPr>
      <w:spacing w:line="360" w:lineRule="auto"/>
      <w:shd w:val="clear" w:color="auto" w:fill="000080"/>
    </w:pPr>
    <w:rPr>
      <w:rFonts w:ascii="Times New Roman" w:eastAsia="楷体_GB2312"/>
      <w:sz w:val="26"/>
      <w:szCs w:val="20"/>
    </w:rPr>
  </w:style>
  <w:style w:type="paragraph" w:styleId="1152" w:customStyle="1">
    <w:name w:val="正文空2格  1."/>
    <w:basedOn w:val="988"/>
    <w:uiPriority w:val="0"/>
    <w:qFormat/>
    <w:pPr>
      <w:ind w:firstLine="480"/>
      <w:spacing w:line="360" w:lineRule="auto"/>
    </w:pPr>
    <w:rPr>
      <w:rFonts w:ascii="宋体" w:eastAsia="仿宋" w:cs="宋体"/>
      <w:sz w:val="28"/>
    </w:rPr>
  </w:style>
  <w:style w:type="paragraph" w:styleId="1153" w:customStyle="1">
    <w:name w:val="纯文本2"/>
    <w:basedOn w:val="988"/>
    <w:uiPriority w:val="0"/>
    <w:qFormat/>
    <w:rPr>
      <w:rFonts w:ascii="宋体" w:hAnsi="Courier New" w:eastAsia="楷体_GB2312"/>
      <w:sz w:val="28"/>
    </w:rPr>
  </w:style>
  <w:style w:type="paragraph" w:styleId="1154" w:customStyle="1">
    <w:name w:val="列出段落11"/>
    <w:basedOn w:val="988"/>
    <w:uiPriority w:val="0"/>
    <w:qFormat/>
    <w:pPr>
      <w:ind w:firstLine="420"/>
    </w:pPr>
  </w:style>
  <w:style w:type="paragraph" w:styleId="1155" w:customStyle="1">
    <w:name w:val="Char Char Char Char1"/>
    <w:basedOn w:val="988"/>
    <w:uiPriority w:val="0"/>
    <w:qFormat/>
    <w:pPr>
      <w:jc w:val="left"/>
      <w:widowControl/>
    </w:pPr>
    <w:rPr>
      <w:rFonts w:ascii="Tahoma" w:hAnsi="Tahoma"/>
      <w:sz w:val="24"/>
    </w:rPr>
  </w:style>
  <w:style w:type="paragraph" w:styleId="1156" w:customStyle="1">
    <w:name w:val="可研正文"/>
    <w:basedOn w:val="988"/>
    <w:uiPriority w:val="0"/>
    <w:qFormat/>
    <w:pPr>
      <w:ind w:left="987"/>
      <w:tabs>
        <w:tab w:val="left" w:pos="987" w:leader="none"/>
      </w:tabs>
    </w:pPr>
    <w:rPr>
      <w:rFonts w:ascii="仿宋_GB2312" w:hAnsi="宋体" w:eastAsia="仿宋_GB2312"/>
      <w:bCs/>
      <w:szCs w:val="28"/>
    </w:rPr>
  </w:style>
  <w:style w:type="paragraph" w:styleId="1157" w:customStyle="1">
    <w:name w:val="Char Char Char Char Char Char Char Char Char1 Char"/>
    <w:basedOn w:val="1002"/>
    <w:uiPriority w:val="0"/>
    <w:qFormat/>
    <w:pPr>
      <w:spacing w:line="360" w:lineRule="auto"/>
      <w:shd w:val="clear" w:color="auto" w:fill="000080"/>
    </w:pPr>
    <w:rPr>
      <w:rFonts w:ascii="Tahoma" w:hAnsi="Tahoma"/>
      <w:sz w:val="24"/>
      <w:szCs w:val="24"/>
    </w:rPr>
  </w:style>
  <w:style w:type="paragraph" w:styleId="1158" w:customStyle="1">
    <w:name w:val="p0"/>
    <w:basedOn w:val="988"/>
    <w:uiPriority w:val="0"/>
    <w:qFormat/>
    <w:pPr>
      <w:widowControl/>
    </w:pPr>
    <w:rPr>
      <w:szCs w:val="21"/>
    </w:rPr>
  </w:style>
  <w:style w:type="paragraph" w:styleId="1159" w:customStyle="1">
    <w:name w:val="列出段落2"/>
    <w:basedOn w:val="988"/>
    <w:uiPriority w:val="0"/>
    <w:qFormat/>
    <w:pPr>
      <w:ind w:firstLine="420"/>
    </w:pPr>
    <w:rPr>
      <w:szCs w:val="24"/>
    </w:rPr>
  </w:style>
  <w:style w:type="paragraph" w:styleId="1160" w:customStyle="1">
    <w:name w:val="Char"/>
    <w:basedOn w:val="988"/>
    <w:uiPriority w:val="0"/>
    <w:qFormat/>
    <w:pPr>
      <w:ind w:left="420" w:hanging="420"/>
      <w:tabs>
        <w:tab w:val="left" w:pos="420" w:leader="none"/>
      </w:tabs>
    </w:pPr>
    <w:rPr>
      <w:sz w:val="24"/>
      <w:szCs w:val="24"/>
    </w:rPr>
  </w:style>
  <w:style w:type="paragraph" w:styleId="1161" w:customStyle="1">
    <w:name w:val="_Style 2"/>
    <w:basedOn w:val="988"/>
    <w:uiPriority w:val="0"/>
    <w:qFormat/>
    <w:pPr>
      <w:ind w:firstLine="420"/>
    </w:pPr>
    <w:rPr>
      <w:rFonts w:ascii="Calibri" w:hAnsi="Calibri"/>
      <w:szCs w:val="22"/>
    </w:rPr>
  </w:style>
  <w:style w:type="paragraph" w:styleId="1162" w:customStyle="1">
    <w:name w:val="Char1 Char Char Char"/>
    <w:basedOn w:val="988"/>
    <w:uiPriority w:val="0"/>
    <w:qFormat/>
    <w:rPr>
      <w:rFonts w:ascii="Tahoma" w:hAnsi="Tahoma"/>
      <w:sz w:val="24"/>
    </w:rPr>
  </w:style>
  <w:style w:type="paragraph" w:styleId="1163" w:customStyle="1">
    <w:name w:val="纯文本111"/>
    <w:basedOn w:val="988"/>
    <w:uiPriority w:val="0"/>
    <w:qFormat/>
    <w:rPr>
      <w:rFonts w:ascii="宋体" w:hAnsi="Courier New" w:eastAsia="楷体_GB2312"/>
      <w:sz w:val="28"/>
    </w:rPr>
  </w:style>
  <w:style w:type="paragraph" w:styleId="1164" w:customStyle="1">
    <w:name w:val="纯文本11"/>
    <w:basedOn w:val="988"/>
    <w:link w:val="1168"/>
    <w:uiPriority w:val="0"/>
    <w:qFormat/>
    <w:rPr>
      <w:rFonts w:ascii="宋体" w:hAnsi="Courier New" w:eastAsia="楷体_GB2312"/>
      <w:sz w:val="26"/>
      <w:szCs w:val="24"/>
    </w:rPr>
  </w:style>
  <w:style w:type="paragraph" w:styleId="1165" w:customStyle="1">
    <w:name w:val="正文空4格  1）"/>
    <w:basedOn w:val="988"/>
    <w:uiPriority w:val="0"/>
    <w:qFormat/>
    <w:pPr>
      <w:ind w:firstLine="1120"/>
      <w:spacing w:line="360" w:lineRule="auto"/>
    </w:pPr>
    <w:rPr>
      <w:rFonts w:ascii="宋体" w:eastAsia="仿宋" w:cs="宋体"/>
      <w:sz w:val="28"/>
    </w:rPr>
  </w:style>
  <w:style w:type="character" w:styleId="1166" w:customStyle="1">
    <w:name w:val="a正文 Char"/>
    <w:link w:val="1167"/>
    <w:uiPriority w:val="0"/>
    <w:qFormat/>
    <w:rPr>
      <w:color w:val="000000"/>
      <w:sz w:val="24"/>
      <w:szCs w:val="28"/>
    </w:rPr>
  </w:style>
  <w:style w:type="paragraph" w:styleId="1167" w:customStyle="1">
    <w:name w:val="a正文"/>
    <w:basedOn w:val="988"/>
    <w:link w:val="1166"/>
    <w:uiPriority w:val="0"/>
    <w:qFormat/>
    <w:pPr>
      <w:ind w:firstLine="200"/>
      <w:jc w:val="left"/>
      <w:spacing w:line="360" w:lineRule="auto"/>
    </w:pPr>
    <w:rPr>
      <w:color w:val="000000"/>
      <w:sz w:val="24"/>
      <w:szCs w:val="28"/>
      <w:lang w:val="zh-CN"/>
    </w:rPr>
  </w:style>
  <w:style w:type="character" w:styleId="1168" w:customStyle="1">
    <w:name w:val="纯文本 Char Char"/>
    <w:link w:val="1164"/>
    <w:uiPriority w:val="0"/>
    <w:qFormat/>
    <w:rPr>
      <w:rFonts w:ascii="宋体" w:hAnsi="Courier New" w:eastAsia="楷体_GB2312"/>
      <w:sz w:val="26"/>
      <w:szCs w:val="24"/>
    </w:rPr>
  </w:style>
  <w:style w:type="paragraph" w:styleId="1169" w:customStyle="1">
    <w:name w:val="列表段落1"/>
    <w:basedOn w:val="988"/>
    <w:uiPriority w:val="34"/>
    <w:qFormat/>
    <w:pPr>
      <w:ind w:firstLine="420"/>
    </w:pPr>
    <w:rPr>
      <w:rFonts w:ascii="Calibri" w:hAnsi="Calibri"/>
      <w:szCs w:val="22"/>
    </w:rPr>
  </w:style>
  <w:style w:type="character" w:styleId="1170" w:customStyle="1">
    <w:name w:val="fontstyle01"/>
    <w:basedOn w:val="998"/>
    <w:uiPriority w:val="0"/>
    <w:qFormat/>
    <w:rPr>
      <w:rFonts w:hint="eastAsia" w:ascii="宋体" w:hAnsi="宋体" w:eastAsia="宋体"/>
      <w:color w:val="000000"/>
      <w:sz w:val="24"/>
      <w:szCs w:val="24"/>
    </w:rPr>
  </w:style>
  <w:style w:type="table" w:styleId="1171"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172" w:customStyle="1">
    <w:name w:val="正文文本首行缩进 2 字符"/>
    <w:basedOn w:val="1067"/>
    <w:link w:val="1027"/>
    <w:uiPriority w:val="99"/>
    <w:qFormat/>
    <w:rPr>
      <w:rFonts w:ascii="宋体" w:hAnsi="宋体" w:cs="宋体"/>
      <w:sz w:val="21"/>
      <w:szCs w:val="24"/>
    </w:rPr>
  </w:style>
  <w:style w:type="paragraph" w:styleId="1173" w:customStyle="1">
    <w:name w:val="普通(网站)1"/>
    <w:basedOn w:val="988"/>
    <w:uiPriority w:val="0"/>
    <w:qFormat/>
    <w:pPr>
      <w:jc w:val="left"/>
      <w:spacing w:before="100" w:beforeAutospacing="1" w:after="100" w:afterAutospacing="1"/>
      <w:widowControl/>
    </w:pPr>
    <w:rPr>
      <w:rFonts w:ascii="宋体" w:hAnsi="宋体" w:cs="宋体"/>
      <w:sz w:val="24"/>
      <w:szCs w:val="24"/>
    </w:rPr>
  </w:style>
  <w:style w:type="paragraph" w:styleId="1174"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175" w:customStyle="1">
    <w:name w:val="Default"/>
    <w:uiPriority w:val="99"/>
    <w:unhideWhenUsed/>
    <w:qFormat/>
    <w:pPr>
      <w:widowControl w:val="off"/>
    </w:pPr>
    <w:rPr>
      <w:rFonts w:hint="eastAsia" w:ascii="微软雅黑" w:hAnsi="微软雅黑" w:eastAsia="微软雅黑" w:cs="Times New Roman"/>
      <w:color w:val="000000"/>
      <w:sz w:val="24"/>
      <w:szCs w:val="24"/>
      <w:lang w:val="en-US" w:eastAsia="zh-CN" w:bidi="ar-SA"/>
    </w:rPr>
  </w:style>
  <w:style w:type="paragraph" w:styleId="1176" w:customStyle="1">
    <w:name w:val="Heading 2"/>
    <w:basedOn w:val="988"/>
    <w:next w:val="988"/>
    <w:uiPriority w:val="0"/>
    <w:qFormat/>
    <w:pPr>
      <w:jc w:val="center"/>
      <w:keepLines/>
      <w:keepNext/>
    </w:pPr>
    <w:rPr>
      <w:rFonts w:ascii="宋体" w:hAnsi="宋体" w:eastAsia="楷体_GB2312"/>
      <w:b/>
      <w:sz w:val="44"/>
    </w:rPr>
  </w:style>
  <w:style w:type="paragraph" w:styleId="1177" w:customStyle="1">
    <w:name w:val="格式３"/>
    <w:basedOn w:val="988"/>
    <w:uiPriority w:val="0"/>
    <w:qFormat/>
    <w:pPr>
      <w:ind w:left="600" w:hanging="600"/>
      <w:spacing w:line="420" w:lineRule="exact"/>
    </w:pPr>
    <w:rPr>
      <w:rFonts w:ascii="宋体" w:hAnsi="宋体"/>
      <w:color w:val="000000"/>
      <w:sz w:val="24"/>
      <w:szCs w:val="20"/>
    </w:rPr>
  </w:style>
  <w:style w:type="character" w:styleId="1178" w:customStyle="1">
    <w:name w:val="NormalCharacter1"/>
    <w:link w:val="988"/>
    <w:uiPriority w:val="99"/>
    <w:qFormat/>
    <w:rPr>
      <w:rFonts w:ascii="Times New Roman" w:hAnsi="Times New Roman" w:eastAsia="宋体" w:cs="Times New Roman"/>
      <w:sz w:val="21"/>
      <w:lang w:val="en-US" w:eastAsia="zh-CN" w:bidi="ar-SA"/>
    </w:rPr>
  </w:style>
  <w:style w:type="numbering" w:styleId="1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F5A0A8B-DDA4-49FE-AC3C-33DD1857DF0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张徐莹</cp:lastModifiedBy>
  <cp:revision>306</cp:revision>
  <dcterms:created xsi:type="dcterms:W3CDTF">2021-02-18T07:31:00Z</dcterms:created>
  <dcterms:modified xsi:type="dcterms:W3CDTF">2026-06-24T02:14:11Z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5F6B329802ED4730AFB7DF3F3EAA67DC_13</vt:lpwstr>
  </property>
  <property fmtid="{D5CDD505-2E9C-101B-9397-08002B2CF9AE}" pid="4" name="KSOTemplateDocerSaveRecord">
    <vt:lpwstr>eyJoZGlkIjoiOTQ2MjM1MTk2M2NkYzhhOTJhOWZkZGE1ZmQ3ZmFlYzkiLCJ1c2VySWQiOiI0NjA5MDAwMzIifQ==</vt:lpwstr>
  </property>
</Properties>
</file>