
<file path=[Content_Types].xml><?xml version="1.0" encoding="utf-8"?>
<Types xmlns="http://schemas.openxmlformats.org/package/2006/content-types">
  <Default Extension="docx" ContentType="application/vnd.openxmlformats-officedocument.wordprocessingml.document"/>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21"/>
      <w:r>
        <w:rPr>
          <w:rFonts w:ascii="宋体" w:hAnsi="宋体"/>
          <w:b/>
          <w:sz w:val="32"/>
        </w:rPr>
        <w:t xml:space="preserve">JSZC-320500-JZCG-G2026-0175</w:t>
      </w:r>
      <w:bookmarkEnd w:id="0"/>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苏州市卫生健康信息中心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苏州市公改示范项目健康医疗大数据中心升级建设、便民惠民应用体系及安全保障体系项目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6"/>
      </w:pPr>
      <w:r/>
      <w:r/>
    </w:p>
    <w:p>
      <w:pPr>
        <w:rPr>
          <w:rFonts w:ascii="Times New Roman" w:hAnsi="Times New Roman" w:cs="Times New Roman"/>
        </w:rPr>
      </w:pPr>
      <w:r>
        <w:rPr>
          <w:rFonts w:ascii="Times New Roman" w:hAnsi="Times New Roman" w:cs="Times New Roman"/>
        </w:rPr>
      </w:r>
      <w:r/>
    </w:p>
    <w:p>
      <w:pPr>
        <w:ind w:left="0"/>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b/>
          <w:sz w:val="32"/>
        </w:rPr>
      </w:pPr>
      <w:r>
        <w:rPr>
          <w:rFonts w:ascii="宋体" w:hAnsi="宋体"/>
          <w:b/>
          <w:sz w:val="32"/>
        </w:rPr>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3"/>
        <w:ind w:firstLine="0"/>
        <w:jc w:val="left"/>
        <w:spacing w:before="120" w:after="120"/>
        <w:tabs>
          <w:tab w:val="right" w:pos="9856" w:leader="dot"/>
        </w:tabs>
        <w:rPr>
          <w:rStyle w:val="1065"/>
          <w:rFonts w:ascii="宋体" w:hAnsi="宋体" w:cs="Calibri"/>
          <w:bCs/>
          <w:caps/>
          <w:color w:val="auto"/>
          <w:sz w:val="32"/>
          <w:szCs w:val="32"/>
        </w:rPr>
        <w:outlineLvl w:val="9"/>
      </w:pPr>
      <w:r>
        <w:rPr>
          <w:rFonts w:ascii="宋体" w:hAnsi="宋体" w:cs="Calibri"/>
          <w:bCs/>
          <w:caps/>
          <w:color w:val="auto"/>
          <w:sz w:val="32"/>
          <w:szCs w:val="32"/>
        </w:rPr>
      </w:r>
      <w:r/>
    </w:p>
    <w:p>
      <w:pPr>
        <w:pStyle w:val="1033"/>
        <w:ind w:firstLine="0"/>
        <w:tabs>
          <w:tab w:val="right" w:pos="9854" w:leader="dot"/>
        </w:tabs>
        <w:rPr>
          <w:rFonts w:ascii="宋体" w:hAnsi="宋体" w:cstheme="minorBidi"/>
          <w:sz w:val="32"/>
          <w:szCs w:val="32"/>
        </w:rPr>
      </w:pP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TOC \o "1-1" \h \z \u </w:instrText>
      </w:r>
      <w:r>
        <w:rPr>
          <w:rStyle w:val="1065"/>
          <w:rFonts w:ascii="宋体" w:hAnsi="宋体" w:cs="Calibri"/>
          <w:bCs/>
          <w:caps/>
          <w:color w:val="auto"/>
          <w:sz w:val="32"/>
          <w:szCs w:val="32"/>
        </w:rPr>
        <w:fldChar w:fldCharType="separate"/>
      </w:r>
      <w:hyperlink w:tooltip="#_Toc235617183" w:anchor="_Toc235617183" w:history="1">
        <w:r>
          <w:rPr>
            <w:rStyle w:val="1065"/>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3"/>
        <w:ind w:firstLine="0"/>
        <w:tabs>
          <w:tab w:val="right" w:pos="9854" w:leader="dot"/>
        </w:tabs>
        <w:rPr>
          <w:rFonts w:ascii="宋体" w:hAnsi="宋体" w:cstheme="minorBidi"/>
          <w:sz w:val="32"/>
          <w:szCs w:val="32"/>
        </w:rPr>
      </w:pPr>
      <w:r/>
      <w:hyperlink w:tooltip="#_Toc235617184" w:anchor="_Toc235617184" w:history="1">
        <w:r>
          <w:rPr>
            <w:rStyle w:val="1065"/>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33"/>
        <w:ind w:firstLine="0"/>
        <w:tabs>
          <w:tab w:val="right" w:pos="9854" w:leader="dot"/>
        </w:tabs>
        <w:rPr>
          <w:rFonts w:ascii="宋体" w:hAnsi="宋体" w:cstheme="minorBidi"/>
          <w:sz w:val="32"/>
          <w:szCs w:val="32"/>
        </w:rPr>
      </w:pPr>
      <w:r/>
      <w:hyperlink w:tooltip="#_Toc235617185" w:anchor="_Toc235617185" w:history="1">
        <w:r>
          <w:rPr>
            <w:rStyle w:val="1065"/>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1033"/>
        <w:ind w:firstLine="0"/>
        <w:tabs>
          <w:tab w:val="right" w:pos="9854" w:leader="dot"/>
        </w:tabs>
        <w:rPr>
          <w:rFonts w:ascii="宋体" w:hAnsi="宋体" w:cstheme="minorBidi"/>
          <w:sz w:val="32"/>
          <w:szCs w:val="32"/>
        </w:rPr>
      </w:pPr>
      <w:r/>
      <w:hyperlink w:tooltip="#_Toc235617199" w:anchor="_Toc235617199" w:history="1">
        <w:r>
          <w:rPr>
            <w:rStyle w:val="1065"/>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1033"/>
        <w:ind w:firstLine="0"/>
        <w:tabs>
          <w:tab w:val="right" w:pos="9854" w:leader="dot"/>
        </w:tabs>
        <w:rPr>
          <w:rFonts w:ascii="宋体" w:hAnsi="宋体" w:cstheme="minorBidi"/>
          <w:sz w:val="32"/>
          <w:szCs w:val="32"/>
        </w:rPr>
      </w:pPr>
      <w:r/>
      <w:hyperlink w:tooltip="#_Toc235617202" w:anchor="_Toc235617202" w:history="1">
        <w:r>
          <w:rPr>
            <w:rStyle w:val="1065"/>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_Toc235617202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98</w:t>
        </w:r>
        <w:r>
          <w:rPr>
            <w:rFonts w:ascii="宋体" w:hAnsi="宋体"/>
            <w:sz w:val="32"/>
            <w:szCs w:val="32"/>
          </w:rPr>
          <w:fldChar w:fldCharType="end"/>
        </w:r>
      </w:hyperlink>
      <w:r/>
      <w:r/>
    </w:p>
    <w:p>
      <w:pPr>
        <w:pStyle w:val="1033"/>
        <w:ind w:firstLine="0"/>
        <w:tabs>
          <w:tab w:val="right" w:pos="9854" w:leader="dot"/>
        </w:tabs>
        <w:rPr>
          <w:rFonts w:ascii="宋体" w:hAnsi="宋体" w:cstheme="minorBidi"/>
          <w:sz w:val="32"/>
          <w:szCs w:val="32"/>
        </w:rPr>
      </w:pPr>
      <w:r/>
      <w:hyperlink w:tooltip="#_Toc235617205" w:anchor="_Toc235617205" w:history="1">
        <w:r>
          <w:rPr>
            <w:rStyle w:val="1065"/>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_Toc235617205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116</w:t>
        </w:r>
        <w:r>
          <w:rPr>
            <w:rFonts w:ascii="宋体" w:hAnsi="宋体"/>
            <w:sz w:val="32"/>
            <w:szCs w:val="32"/>
          </w:rPr>
          <w:fldChar w:fldCharType="end"/>
        </w:r>
      </w:hyperlink>
      <w:r/>
      <w:r/>
    </w:p>
    <w:p>
      <w:pPr>
        <w:pStyle w:val="1033"/>
        <w:ind w:firstLine="0"/>
        <w:jc w:val="left"/>
        <w:spacing w:before="120" w:after="120"/>
        <w:tabs>
          <w:tab w:val="right" w:pos="9856" w:leader="dot"/>
        </w:tabs>
        <w:rPr>
          <w:rFonts w:ascii="宋体" w:hAnsi="宋体"/>
          <w:sz w:val="32"/>
          <w:szCs w:val="32"/>
        </w:rPr>
        <w:outlineLvl w:val="9"/>
      </w:pPr>
      <w:r>
        <w:rPr>
          <w:rStyle w:val="1065"/>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612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4" w:name="_Toc28592"/>
            <w:r/>
            <w:bookmarkStart w:id="5" w:name="_Toc7166"/>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JSZC-320500-JZCG-G2026-0175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苏州市公改示范项目健康医疗大数据中心升级建设、便民惠民应用体系及安全保障体系项目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苏州市卫生健康信息中心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朱志远</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67539523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rPr>
          <w:rFonts w:ascii="宋体" w:hAnsi="宋体"/>
          <w:b/>
          <w:sz w:val="44"/>
          <w:szCs w:val="22"/>
        </w:rPr>
      </w:r>
      <w:r/>
    </w:p>
    <w:p>
      <w:pPr>
        <w:ind w:left="0"/>
        <w:jc w:val="center"/>
        <w:rPr>
          <w:rFonts w:ascii="宋体" w:hAnsi="宋体"/>
          <w:b/>
          <w:sz w:val="44"/>
          <w:szCs w:val="22"/>
        </w:rPr>
      </w:pPr>
      <w:r>
        <w:rPr>
          <w:rFonts w:ascii="宋体" w:hAnsi="宋体"/>
          <w:b/>
          <w:sz w:val="44"/>
          <w:szCs w:val="22"/>
        </w:rPr>
      </w:r>
      <w:r/>
    </w:p>
    <w:p>
      <w:pPr>
        <w:pStyle w:val="102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6"/>
        <w:rPr>
          <w:rFonts w:ascii="宋体" w:hAnsi="宋体"/>
        </w:rPr>
      </w:pPr>
      <w:r>
        <w:rPr>
          <w:rFonts w:ascii="宋体" w:hAnsi="宋体"/>
        </w:rPr>
      </w:r>
      <w:r/>
    </w:p>
    <w:p>
      <w:pPr>
        <w:pStyle w:val="101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0"/>
        <w:ind w:left="431" w:firstLine="17"/>
        <w:jc w:val="center"/>
        <w:spacing w:before="0" w:after="0" w:line="360" w:lineRule="auto"/>
        <w:rPr>
          <w:rStyle w:val="1130"/>
          <w:rFonts w:ascii="宋体" w:hAnsi="宋体"/>
        </w:rPr>
      </w:pPr>
      <w:r>
        <w:rPr>
          <w:rFonts w:hint="eastAsia" w:ascii="宋体" w:hAnsi="宋体"/>
          <w:b/>
          <w:sz w:val="44"/>
          <w:szCs w:val="22"/>
        </w:rPr>
        <w:br w:type="page" w:clear="all"/>
      </w:r>
      <w:bookmarkStart w:id="6" w:name="_Toc235617183"/>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苏州市公改示范项目健康医疗大数据中心升级建设、便民惠民应用体系及安全保障体系项目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08月21日09点30</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JSZC-320500-JZCG-G2026-0175</w:t>
      </w:r>
      <w:r/>
    </w:p>
    <w:p>
      <w:pPr>
        <w:pStyle w:val="1018"/>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苏州市公改示范项目健康医疗大数据中心升级建设、便民惠民应用体系及安全保障体系项目</w:t>
      </w:r>
      <w:r/>
    </w:p>
    <w:p>
      <w:pPr>
        <w:pStyle w:val="101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567" w:leader="none"/>
        </w:tabs>
        <w:rPr>
          <w:rFonts w:ascii="宋体" w:hAnsi="宋体"/>
          <w:sz w:val="21"/>
        </w:rPr>
      </w:pPr>
      <w:r>
        <w:rPr>
          <w:rFonts w:hint="eastAsia" w:ascii="宋体" w:hAnsi="宋体"/>
          <w:sz w:val="21"/>
          <w:szCs w:val="21"/>
        </w:rPr>
        <w:t xml:space="preserve">4.预算金额：</w:t>
      </w:r>
      <w:r>
        <w:rPr>
          <w:rFonts w:hint="eastAsia" w:ascii="宋体" w:hAnsi="宋体"/>
          <w:sz w:val="21"/>
        </w:rPr>
        <w:t xml:space="preserve">人民币伍</w:t>
      </w:r>
      <w:r>
        <w:rPr>
          <w:rFonts w:hint="eastAsia" w:ascii="宋体" w:hAnsi="宋体"/>
          <w:sz w:val="21"/>
        </w:rPr>
        <w:t xml:space="preserve">仟肆佰陆拾万肆仟元整</w:t>
      </w:r>
      <w:r>
        <w:rPr>
          <w:rFonts w:hint="eastAsia" w:ascii="宋体" w:hAnsi="宋体"/>
          <w:sz w:val="21"/>
        </w:rPr>
        <w:t xml:space="preserve">（</w:t>
      </w:r>
      <w:r>
        <w:rPr>
          <w:rFonts w:hint="eastAsia" w:ascii="宋体" w:hAnsi="宋体"/>
          <w:sz w:val="21"/>
        </w:rPr>
        <w:t xml:space="preserve">￥54</w:t>
      </w:r>
      <w:r>
        <w:rPr>
          <w:rFonts w:ascii="宋体" w:hAnsi="宋体"/>
          <w:sz w:val="21"/>
        </w:rPr>
        <w:t xml:space="preserve">,</w:t>
      </w:r>
      <w:r>
        <w:rPr>
          <w:rFonts w:hint="eastAsia" w:ascii="宋体" w:hAnsi="宋体"/>
          <w:sz w:val="21"/>
        </w:rPr>
        <w:t xml:space="preserve">604</w:t>
      </w:r>
      <w:r>
        <w:rPr>
          <w:rFonts w:ascii="宋体" w:hAnsi="宋体"/>
          <w:sz w:val="21"/>
        </w:rPr>
        <w:t xml:space="preserve">,</w:t>
      </w:r>
      <w:r>
        <w:rPr>
          <w:rFonts w:hint="eastAsia" w:ascii="宋体" w:hAnsi="宋体"/>
          <w:sz w:val="21"/>
        </w:rPr>
        <w:t xml:space="preserve">000.00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rPr>
        <w:t xml:space="preserve">标段一</w:t>
      </w:r>
      <w:r>
        <w:rPr>
          <w:rFonts w:hint="eastAsia" w:ascii="宋体" w:hAnsi="宋体"/>
          <w:sz w:val="21"/>
        </w:rPr>
        <w:t xml:space="preserve">：</w:t>
      </w:r>
      <w:r>
        <w:rPr>
          <w:rFonts w:hint="eastAsia" w:ascii="宋体" w:hAnsi="宋体"/>
          <w:sz w:val="21"/>
        </w:rPr>
        <w:t xml:space="preserve">苏州市健康医疗大数据中心升级建设</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叁仟伍佰肆拾柒万伍仟伍佰元整</w:t>
      </w:r>
      <w:r>
        <w:rPr>
          <w:rFonts w:hint="eastAsia" w:ascii="宋体" w:hAnsi="宋体"/>
          <w:sz w:val="21"/>
        </w:rPr>
        <w:t xml:space="preserve">（</w:t>
      </w:r>
      <w:r>
        <w:rPr>
          <w:rFonts w:hint="eastAsia" w:ascii="宋体" w:hAnsi="宋体"/>
          <w:sz w:val="21"/>
        </w:rPr>
        <w:t xml:space="preserve">￥35</w:t>
      </w:r>
      <w:r>
        <w:rPr>
          <w:rFonts w:ascii="宋体" w:hAnsi="宋体"/>
          <w:sz w:val="21"/>
        </w:rPr>
        <w:t xml:space="preserve">,</w:t>
      </w:r>
      <w:r>
        <w:rPr>
          <w:rFonts w:hint="eastAsia" w:ascii="宋体" w:hAnsi="宋体"/>
          <w:sz w:val="21"/>
        </w:rPr>
        <w:t xml:space="preserve">475</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pStyle w:val="1018"/>
        <w:ind w:left="0" w:firstLine="420"/>
        <w:spacing w:line="360" w:lineRule="auto"/>
        <w:rPr>
          <w:rFonts w:ascii="宋体" w:hAnsi="宋体"/>
          <w:sz w:val="21"/>
          <w:szCs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基础支撑应用体系及网络安全升级</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壹仟玖佰壹拾贰万捌仟伍佰元整</w:t>
      </w:r>
      <w:r>
        <w:rPr>
          <w:rFonts w:hint="eastAsia" w:ascii="宋体" w:hAnsi="宋体"/>
          <w:sz w:val="21"/>
        </w:rPr>
        <w:t xml:space="preserve">（</w:t>
      </w:r>
      <w:r>
        <w:rPr>
          <w:rFonts w:hint="eastAsia" w:ascii="宋体" w:hAnsi="宋体"/>
          <w:sz w:val="21"/>
        </w:rPr>
        <w:t xml:space="preserve">￥19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szCs w:val="21"/>
        </w:rPr>
        <w:t xml:space="preserve">5.最高限价：</w:t>
      </w:r>
      <w:r>
        <w:rPr>
          <w:rFonts w:hint="eastAsia" w:ascii="宋体" w:hAnsi="宋体"/>
          <w:sz w:val="21"/>
        </w:rPr>
        <w:t xml:space="preserve">人民币伍</w:t>
      </w:r>
      <w:r>
        <w:rPr>
          <w:rFonts w:hint="eastAsia" w:ascii="宋体" w:hAnsi="宋体"/>
          <w:sz w:val="21"/>
        </w:rPr>
        <w:t xml:space="preserve">仟肆佰陆拾万肆仟元整</w:t>
      </w:r>
      <w:r>
        <w:rPr>
          <w:rFonts w:hint="eastAsia" w:ascii="宋体" w:hAnsi="宋体"/>
          <w:sz w:val="21"/>
        </w:rPr>
        <w:t xml:space="preserve">（</w:t>
      </w:r>
      <w:r>
        <w:rPr>
          <w:rFonts w:hint="eastAsia" w:ascii="宋体" w:hAnsi="宋体"/>
          <w:sz w:val="21"/>
        </w:rPr>
        <w:t xml:space="preserve">￥54</w:t>
      </w:r>
      <w:r>
        <w:rPr>
          <w:rFonts w:ascii="宋体" w:hAnsi="宋体"/>
          <w:sz w:val="21"/>
        </w:rPr>
        <w:t xml:space="preserve">,</w:t>
      </w:r>
      <w:r>
        <w:rPr>
          <w:rFonts w:hint="eastAsia" w:ascii="宋体" w:hAnsi="宋体"/>
          <w:sz w:val="21"/>
        </w:rPr>
        <w:t xml:space="preserve">604</w:t>
      </w:r>
      <w:r>
        <w:rPr>
          <w:rFonts w:ascii="宋体" w:hAnsi="宋体"/>
          <w:sz w:val="21"/>
        </w:rPr>
        <w:t xml:space="preserve">,</w:t>
      </w:r>
      <w:r>
        <w:rPr>
          <w:rFonts w:hint="eastAsia" w:ascii="宋体" w:hAnsi="宋体"/>
          <w:sz w:val="21"/>
        </w:rPr>
        <w:t xml:space="preserve">000.00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rPr>
        <w:t xml:space="preserve">标段一</w:t>
      </w:r>
      <w:r>
        <w:rPr>
          <w:rFonts w:hint="eastAsia" w:ascii="宋体" w:hAnsi="宋体"/>
          <w:sz w:val="21"/>
        </w:rPr>
        <w:t xml:space="preserve">：</w:t>
      </w:r>
      <w:r>
        <w:rPr>
          <w:rFonts w:hint="eastAsia" w:ascii="宋体" w:hAnsi="宋体"/>
          <w:sz w:val="21"/>
        </w:rPr>
        <w:t xml:space="preserve">苏州市健康医疗大数据中心升级建设</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叁仟伍佰肆拾柒万伍仟伍佰元整</w:t>
      </w:r>
      <w:r>
        <w:rPr>
          <w:rFonts w:hint="eastAsia" w:ascii="宋体" w:hAnsi="宋体"/>
          <w:sz w:val="21"/>
        </w:rPr>
        <w:t xml:space="preserve">（</w:t>
      </w:r>
      <w:r>
        <w:rPr>
          <w:rFonts w:hint="eastAsia" w:ascii="宋体" w:hAnsi="宋体"/>
          <w:sz w:val="21"/>
        </w:rPr>
        <w:t xml:space="preserve">￥35</w:t>
      </w:r>
      <w:r>
        <w:rPr>
          <w:rFonts w:ascii="宋体" w:hAnsi="宋体"/>
          <w:sz w:val="21"/>
        </w:rPr>
        <w:t xml:space="preserve">,</w:t>
      </w:r>
      <w:r>
        <w:rPr>
          <w:rFonts w:hint="eastAsia" w:ascii="宋体" w:hAnsi="宋体"/>
          <w:sz w:val="21"/>
        </w:rPr>
        <w:t xml:space="preserve">475</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pStyle w:val="1018"/>
        <w:ind w:left="0" w:firstLine="420"/>
        <w:spacing w:line="360" w:lineRule="auto"/>
        <w:rPr>
          <w:rFonts w:ascii="宋体" w:hAnsi="宋体"/>
          <w:sz w:val="21"/>
          <w:szCs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基础支撑应用体系及网络安全升级</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壹仟玖佰壹拾贰万捌仟伍佰元整</w:t>
      </w:r>
      <w:r>
        <w:rPr>
          <w:rFonts w:hint="eastAsia" w:ascii="宋体" w:hAnsi="宋体"/>
          <w:sz w:val="21"/>
        </w:rPr>
        <w:t xml:space="preserve">（</w:t>
      </w:r>
      <w:r>
        <w:rPr>
          <w:rFonts w:hint="eastAsia" w:ascii="宋体" w:hAnsi="宋体"/>
          <w:sz w:val="21"/>
        </w:rPr>
        <w:t xml:space="preserve">￥19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pStyle w:val="1018"/>
        <w:ind w:left="0" w:firstLine="420"/>
        <w:spacing w:line="360" w:lineRule="auto"/>
        <w:rPr>
          <w:rFonts w:ascii="宋体" w:hAnsi="宋体"/>
          <w:sz w:val="21"/>
          <w:szCs w:val="21"/>
        </w:rPr>
      </w:pPr>
      <w:r>
        <w:rPr>
          <w:rFonts w:hint="eastAsia" w:ascii="宋体" w:hAnsi="宋体"/>
          <w:sz w:val="21"/>
          <w:szCs w:val="21"/>
        </w:rPr>
        <w:t xml:space="preserve">6.合同履行期限：</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标段一</w:t>
      </w:r>
      <w:r>
        <w:rPr>
          <w:rFonts w:hint="eastAsia" w:ascii="宋体" w:hAnsi="宋体"/>
          <w:sz w:val="21"/>
        </w:rPr>
        <w:t xml:space="preserve">：</w:t>
      </w:r>
      <w:r>
        <w:rPr>
          <w:rFonts w:hint="eastAsia" w:ascii="宋体" w:hAnsi="宋体"/>
          <w:sz w:val="21"/>
        </w:rPr>
        <w:t xml:space="preserve">本项目在合同签订后，</w:t>
      </w:r>
      <w:r>
        <w:rPr>
          <w:rFonts w:ascii="宋体" w:hAnsi="宋体"/>
          <w:sz w:val="21"/>
        </w:rPr>
        <w:t xml:space="preserve">1个月内完成操作系统、数据库、中间件</w:t>
      </w:r>
      <w:r>
        <w:rPr>
          <w:rFonts w:hint="eastAsia" w:ascii="宋体" w:hAnsi="宋体"/>
          <w:sz w:val="21"/>
        </w:rPr>
        <w:t xml:space="preserve">等项目配套设施的部署</w:t>
      </w:r>
      <w:r>
        <w:rPr>
          <w:rFonts w:ascii="宋体" w:hAnsi="宋体"/>
          <w:sz w:val="21"/>
        </w:rPr>
        <w:t xml:space="preserve">工作</w:t>
      </w:r>
      <w:r>
        <w:rPr>
          <w:rFonts w:hint="eastAsia" w:ascii="宋体" w:hAnsi="宋体"/>
          <w:sz w:val="21"/>
        </w:rPr>
        <w:t xml:space="preserve">，上线运行后组织验收。6个月内完成各系统主要功能模块开发工作和实际网络运行环境部署工作，并开展初步验收，初步验收完成后进入试运行期，试运行期不低于 6 个月，</w:t>
      </w:r>
      <w:r>
        <w:rPr>
          <w:rFonts w:ascii="宋体" w:hAnsi="宋体"/>
          <w:sz w:val="21"/>
        </w:rPr>
        <w:t xml:space="preserve">试运行期结束后1个月内，以专家组验收方式，对项目建设成果进行</w:t>
      </w:r>
      <w:r>
        <w:rPr>
          <w:rFonts w:hint="eastAsia" w:ascii="宋体" w:hAnsi="宋体"/>
          <w:sz w:val="21"/>
        </w:rPr>
        <w:t xml:space="preserve">验收，要求验收通过后提供3年免费运维服务</w:t>
      </w:r>
      <w:r>
        <w:rPr>
          <w:rFonts w:hint="eastAsia" w:ascii="宋体" w:hAnsi="宋体"/>
          <w:sz w:val="21"/>
        </w:rPr>
        <w:t xml:space="preserve">，免费运维期结束后额外提供2年免费升级服务。本项目数据治理运营服务内容服务期为合同签订后15个月。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本项目在合同签订后，1个月内完成软硬件到货、部署实施及验收工作， 6个月内完成项目开发工作以及部署上线工作，上线后进入试运行期，试运行期6个月内完成验收工作，验收通过后提供3年免费运维服务</w:t>
      </w:r>
      <w:r>
        <w:rPr>
          <w:rFonts w:hint="eastAsia" w:ascii="宋体" w:hAnsi="宋体"/>
          <w:sz w:val="21"/>
        </w:rPr>
        <w:t xml:space="preserve">，</w:t>
      </w:r>
      <w:r>
        <w:rPr>
          <w:rFonts w:hint="eastAsia" w:ascii="宋体" w:hAnsi="宋体"/>
          <w:sz w:val="21"/>
        </w:rPr>
        <w:t xml:space="preserve">免费运维期结束后额外提供2年免费升级服务。</w:t>
      </w:r>
      <w:r/>
    </w:p>
    <w:p>
      <w:pPr>
        <w:pStyle w:val="1018"/>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苏州市公改示范项目健康医疗大数据中心升级建设、便民惠民应用体系及安全保障体系项目</w:t>
      </w:r>
      <w:r>
        <w:rPr>
          <w:rFonts w:hint="eastAsia" w:ascii="宋体" w:hAnsi="宋体"/>
          <w:sz w:val="21"/>
          <w:szCs w:val="21"/>
        </w:rPr>
        <w:t xml:space="preserve">（具体详见招标文件第四章）。</w:t>
      </w:r>
      <w:r/>
    </w:p>
    <w:p>
      <w:pPr>
        <w:pStyle w:val="101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8"/>
        <w:ind w:left="0" w:firstLine="420"/>
        <w:spacing w:line="360" w:lineRule="auto"/>
        <w:rPr>
          <w:rFonts w:ascii="宋体" w:hAnsi="宋体"/>
          <w:sz w:val="21"/>
          <w:szCs w:val="21"/>
        </w:rPr>
      </w:pPr>
      <w:r>
        <w:rPr>
          <w:rFonts w:hint="eastAsia" w:ascii="宋体" w:hAnsi="宋体"/>
          <w:sz w:val="21"/>
          <w:szCs w:val="21"/>
        </w:rPr>
        <w:t xml:space="preserve">3.方式：</w:t>
      </w:r>
      <w:r/>
    </w:p>
    <w:p>
      <w:pPr>
        <w:pStyle w:val="101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101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bookmarkStart w:id="8" w:name="OLE_LINK40"/>
      <w:r>
        <w:rPr>
          <w:rFonts w:ascii="宋体" w:hAnsi="宋体"/>
          <w:sz w:val="21"/>
          <w:szCs w:val="21"/>
        </w:rPr>
        <w:t xml:space="preserve">13914088964</w:t>
      </w:r>
      <w:bookmarkEnd w:id="7"/>
      <w:r/>
      <w:bookmarkEnd w:id="8"/>
      <w:r>
        <w:rPr>
          <w:rFonts w:hint="eastAsia" w:ascii="宋体" w:hAnsi="宋体"/>
          <w:sz w:val="21"/>
          <w:szCs w:val="21"/>
        </w:rPr>
        <w:t xml:space="preserve">；智能客服：登录苏采云系统后，联系系统右下方智能客服图标进行咨询。</w:t>
      </w:r>
      <w:r/>
    </w:p>
    <w:p>
      <w:pPr>
        <w:pStyle w:val="101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sz w:val="21"/>
          <w:szCs w:val="21"/>
        </w:rPr>
        <w:t xml:space="preserve">（北京时间）；</w:t>
      </w:r>
      <w:r>
        <w:rPr>
          <w:rFonts w:ascii="宋体" w:hAnsi="宋体"/>
          <w:sz w:val="21"/>
          <w:szCs w:val="21"/>
        </w:rPr>
        <w:t xml:space="preserve"> </w:t>
      </w:r>
      <w:r/>
    </w:p>
    <w:p>
      <w:pPr>
        <w:pStyle w:val="101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sz w:val="21"/>
          <w:szCs w:val="21"/>
        </w:rPr>
        <w:t xml:space="preserve">（北京时间）；</w:t>
      </w:r>
      <w:r/>
    </w:p>
    <w:p>
      <w:pPr>
        <w:pStyle w:val="101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8"/>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苏州市卫生健康信息中心</w:t>
      </w:r>
      <w:r/>
    </w:p>
    <w:p>
      <w:pPr>
        <w:pStyle w:val="101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苏州市姑苏区胥江路89号</w:t>
      </w:r>
      <w:r/>
    </w:p>
    <w:p>
      <w:pPr>
        <w:pStyle w:val="1018"/>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朱志远</w:t>
      </w:r>
      <w:r/>
    </w:p>
    <w:p>
      <w:pPr>
        <w:pStyle w:val="1018"/>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67539523</w:t>
      </w:r>
      <w:r/>
    </w:p>
    <w:p>
      <w:pPr>
        <w:pStyle w:val="101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8"/>
        <w:ind w:left="0" w:firstLine="420"/>
        <w:spacing w:line="360" w:lineRule="auto"/>
        <w:rPr>
          <w:rFonts w:ascii="宋体" w:hAnsi="宋体"/>
          <w:sz w:val="21"/>
          <w:szCs w:val="21"/>
        </w:rPr>
      </w:pPr>
      <w:r>
        <w:rPr>
          <w:rFonts w:hint="eastAsia" w:ascii="宋体" w:hAnsi="宋体"/>
          <w:sz w:val="21"/>
          <w:szCs w:val="21"/>
        </w:rPr>
        <w:t xml:space="preserve">名称：苏州市政府集中</w:t>
      </w:r>
      <w:bookmarkStart w:id="9" w:name="_GoBack"/>
      <w:r/>
      <w:bookmarkEnd w:id="9"/>
      <w:r>
        <w:rPr>
          <w:rFonts w:hint="eastAsia" w:ascii="宋体" w:hAnsi="宋体"/>
          <w:sz w:val="21"/>
          <w:szCs w:val="21"/>
        </w:rPr>
        <w:t xml:space="preserve">采购中心 </w:t>
      </w:r>
      <w:r/>
    </w:p>
    <w:p>
      <w:pPr>
        <w:pStyle w:val="101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8"/>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512-69820921</w:t>
      </w:r>
      <w:r/>
    </w:p>
    <w:p>
      <w:pPr>
        <w:pStyle w:val="101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8"/>
        <w:ind w:left="0" w:firstLine="420"/>
        <w:spacing w:line="360" w:lineRule="auto"/>
        <w:rPr>
          <w:rFonts w:ascii="宋体" w:hAnsi="宋体"/>
          <w:sz w:val="21"/>
          <w:szCs w:val="21"/>
        </w:rPr>
      </w:pPr>
      <w:r>
        <w:rPr>
          <w:rFonts w:hint="eastAsia" w:ascii="宋体" w:hAnsi="宋体"/>
          <w:sz w:val="21"/>
          <w:szCs w:val="21"/>
        </w:rPr>
        <w:t xml:space="preserve">项目联系人：严工</w:t>
      </w:r>
      <w:r/>
    </w:p>
    <w:p>
      <w:pPr>
        <w:pStyle w:val="1018"/>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512-69820921</w:t>
      </w:r>
      <w:r/>
    </w:p>
    <w:p>
      <w:pPr>
        <w:pStyle w:val="1012"/>
      </w:pPr>
      <w:r>
        <w:br w:type="page" w:clear="all"/>
      </w:r>
      <w:r/>
    </w:p>
    <w:p>
      <w:pPr>
        <w:pStyle w:val="1000"/>
        <w:ind w:left="0" w:firstLine="0"/>
        <w:jc w:val="center"/>
        <w:rPr>
          <w:rFonts w:ascii="宋体" w:hAnsi="宋体"/>
          <w:b/>
          <w:sz w:val="44"/>
          <w:szCs w:val="22"/>
        </w:rPr>
      </w:pPr>
      <w:r/>
      <w:bookmarkStart w:id="10" w:name="_Toc6217"/>
      <w:r/>
      <w:bookmarkStart w:id="11" w:name="_Toc2412"/>
      <w:r/>
      <w:bookmarkStart w:id="12" w:name="_Toc23561718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18"/>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1018"/>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1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8"/>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1018"/>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1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1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1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8"/>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rPr>
          <w:rFonts w:hint="eastAsia" w:ascii="宋体" w:hAnsi="宋体"/>
          <w:b/>
          <w:sz w:val="21"/>
          <w:szCs w:val="21"/>
        </w:rPr>
        <w:t xml:space="preserve">与质疑函一起递交，否则不予受理。</w:t>
      </w:r>
      <w:r/>
    </w:p>
    <w:p>
      <w:pPr>
        <w:pStyle w:val="101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8"/>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8"/>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bookmarkStart w:id="31" w:name="OLE_LINK41"/>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8"/>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bookmarkEnd w:id="31"/>
      <w:r/>
      <w:r/>
    </w:p>
    <w:p>
      <w:pPr>
        <w:pStyle w:val="101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1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01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w:t>
      </w:r>
      <w:r>
        <w:rPr>
          <w:rFonts w:hint="eastAsia" w:ascii="宋体" w:hAnsi="宋体"/>
          <w:sz w:val="21"/>
          <w:szCs w:val="21"/>
        </w:rPr>
        <w:t xml:space="preserve">身份证正反面复印件</w:t>
      </w:r>
      <w:r>
        <w:rPr>
          <w:rFonts w:hint="eastAsia" w:ascii="宋体" w:hAnsi="宋体"/>
          <w:sz w:val="21"/>
          <w:szCs w:val="21"/>
        </w:rPr>
        <w:t xml:space="preserve">（如有授权）；</w:t>
      </w:r>
      <w:r/>
    </w:p>
    <w:p>
      <w:pPr>
        <w:pStyle w:val="101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sz w:val="21"/>
          <w:szCs w:val="21"/>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10</w:t>
      </w:r>
      <w:r>
        <w:rPr>
          <w:rFonts w:hint="eastAsia" w:ascii="宋体" w:hAnsi="宋体"/>
          <w:sz w:val="21"/>
          <w:szCs w:val="21"/>
        </w:rPr>
        <w:t xml:space="preserve">其他可以证明投标人资质、服务质量的证书、文件等相关资料。</w:t>
      </w:r>
      <w:r/>
    </w:p>
    <w:p>
      <w:pPr>
        <w:pStyle w:val="123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4"/>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3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1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4"/>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4"/>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39"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39"/>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40" w:name="OLE_LINK15"/>
      <w:r/>
      <w:bookmarkStart w:id="41"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40"/>
      <w:r/>
      <w:bookmarkEnd w:id="41"/>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bookmarkStart w:id="42" w:name="OLE_LINK29"/>
      <w:r/>
      <w:bookmarkStart w:id="43" w:name="OLE_LINK30"/>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4"/>
        <w:ind w:left="0" w:firstLine="422"/>
        <w:spacing w:line="360" w:lineRule="auto"/>
        <w:rPr>
          <w:color w:val="333333"/>
          <w:shd w:val="clear" w:color="auto" w:fill="ffffff"/>
        </w:rPr>
      </w:pPr>
      <w:r/>
      <w:bookmarkStart w:id="44" w:name="OLE_LINK3"/>
      <w:r/>
      <w:bookmarkStart w:id="45" w:name="OLE_LINK4"/>
      <w:r/>
      <w:bookmarkStart w:id="46" w:name="OLE_LINK31"/>
      <w:r/>
      <w:bookmarkStart w:id="47" w:name="OLE_LINK34"/>
      <w:r/>
      <w:bookmarkEnd w:id="42"/>
      <w:r/>
      <w:bookmarkEnd w:id="4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8" w:name="OLE_LINK1"/>
      <w:r/>
      <w:bookmarkStart w:id="49" w:name="OLE_LINK2"/>
      <w:r>
        <w:rPr>
          <w:rFonts w:hint="eastAsia" w:ascii="宋体" w:hAnsi="宋体"/>
          <w:b/>
          <w:color w:val="000000" w:themeColor="text1"/>
          <w:sz w:val="21"/>
          <w:szCs w:val="21"/>
        </w:rPr>
        <w:t xml:space="preserve">评标委员会</w:t>
      </w:r>
      <w:bookmarkEnd w:id="48"/>
      <w:r/>
      <w:bookmarkEnd w:id="4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0" w:name="OLE_LINK9"/>
      <w:r/>
      <w:bookmarkStart w:id="51" w:name="OLE_LINK10"/>
      <w:r>
        <w:rPr>
          <w:rFonts w:hint="eastAsia" w:ascii="宋体" w:hAnsi="宋体"/>
          <w:b/>
          <w:color w:val="000000" w:themeColor="text1"/>
          <w:sz w:val="21"/>
          <w:szCs w:val="21"/>
        </w:rPr>
        <w:t xml:space="preserve">，</w:t>
      </w:r>
      <w:bookmarkEnd w:id="50"/>
      <w:r/>
      <w:bookmarkEnd w:id="5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4"/>
      <w:r/>
      <w:bookmarkEnd w:id="45"/>
      <w:r/>
      <w:bookmarkEnd w:id="46"/>
      <w:r/>
      <w:bookmarkEnd w:id="47"/>
      <w:r/>
      <w:r/>
    </w:p>
    <w:p>
      <w:pPr>
        <w:pStyle w:val="123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4"/>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2" w:name="_Toc19501"/>
      <w:r/>
      <w:bookmarkStart w:id="53" w:name="_Toc18442"/>
      <w:r/>
      <w:r/>
    </w:p>
    <w:p>
      <w:pPr>
        <w:pStyle w:val="123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2"/>
      <w:r/>
      <w:bookmarkEnd w:id="53"/>
      <w:r/>
      <w:r/>
    </w:p>
    <w:p>
      <w:pPr>
        <w:pStyle w:val="123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4" w:name="_Toc21029"/>
      <w:r/>
      <w:bookmarkStart w:id="55" w:name="_Toc8186"/>
      <w:r/>
      <w:r/>
    </w:p>
    <w:p>
      <w:pPr>
        <w:pStyle w:val="123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4"/>
      <w:r/>
      <w:bookmarkEnd w:id="55"/>
      <w:r/>
      <w:r/>
    </w:p>
    <w:p>
      <w:pPr>
        <w:pStyle w:val="123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4"/>
        <w:ind w:left="0" w:firstLine="0"/>
        <w:spacing w:line="360" w:lineRule="auto"/>
        <w:rPr>
          <w:rFonts w:ascii="宋体" w:hAnsi="宋体" w:cs="宋体"/>
          <w:sz w:val="21"/>
          <w:szCs w:val="21"/>
        </w:rPr>
      </w:pPr>
      <w:r>
        <w:rPr>
          <w:rFonts w:ascii="宋体" w:hAnsi="宋体" w:cs="宋体"/>
          <w:sz w:val="21"/>
          <w:szCs w:val="21"/>
        </w:rPr>
      </w:r>
      <w:r/>
    </w:p>
    <w:p>
      <w:pPr>
        <w:pStyle w:val="1000"/>
        <w:ind w:left="0" w:firstLine="0"/>
        <w:jc w:val="center"/>
        <w:rPr>
          <w:rFonts w:ascii="宋体" w:hAnsi="宋体"/>
          <w:sz w:val="21"/>
          <w:szCs w:val="21"/>
          <w:lang w:val="zh-CN"/>
        </w:rPr>
      </w:pPr>
      <w:r/>
      <w:bookmarkStart w:id="56" w:name="_Toc7264"/>
      <w:r/>
      <w:bookmarkStart w:id="57" w:name="_Toc24711"/>
      <w:r>
        <w:rPr>
          <w:rFonts w:hint="eastAsia" w:ascii="宋体" w:hAnsi="宋体"/>
          <w:b/>
          <w:sz w:val="44"/>
          <w:szCs w:val="22"/>
        </w:rPr>
        <w:br w:type="page" w:clear="all"/>
      </w:r>
      <w:bookmarkStart w:id="58" w:name="_Toc235617185"/>
      <w:r>
        <w:rPr>
          <w:rFonts w:hint="eastAsia" w:ascii="宋体" w:hAnsi="宋体"/>
          <w:b/>
          <w:sz w:val="44"/>
          <w:szCs w:val="22"/>
        </w:rPr>
        <w:t xml:space="preserve">第三章  </w:t>
      </w:r>
      <w:bookmarkStart w:id="59" w:name="投标文件格式"/>
      <w:r/>
      <w:bookmarkEnd w:id="59"/>
      <w:r>
        <w:rPr>
          <w:rFonts w:hint="eastAsia" w:ascii="宋体" w:hAnsi="宋体"/>
          <w:b/>
          <w:sz w:val="44"/>
          <w:szCs w:val="22"/>
        </w:rPr>
        <w:t xml:space="preserve">投标文件格式</w:t>
      </w:r>
      <w:bookmarkEnd w:id="56"/>
      <w:r/>
      <w:bookmarkEnd w:id="57"/>
      <w:r/>
      <w:bookmarkEnd w:id="58"/>
      <w:r/>
      <w:r/>
    </w:p>
    <w:p>
      <w:pPr>
        <w:ind w:left="0"/>
        <w:spacing w:line="440" w:lineRule="exact"/>
        <w:rPr>
          <w:rFonts w:ascii="宋体" w:hAnsi="宋体"/>
          <w:b/>
          <w:sz w:val="21"/>
          <w:szCs w:val="21"/>
        </w:rPr>
      </w:pPr>
      <w:r>
        <w:rPr>
          <w:rFonts w:ascii="宋体" w:hAnsi="宋体"/>
          <w:b/>
          <w:sz w:val="21"/>
          <w:szCs w:val="21"/>
        </w:rPr>
        <w:t xml:space="preserve">说明：</w:t>
      </w:r>
      <w:r/>
    </w:p>
    <w:p>
      <w:pPr>
        <w:pStyle w:val="1234"/>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0" w:name="_Toc3821"/>
      <w:r/>
      <w:bookmarkStart w:id="61" w:name="_Toc17036"/>
      <w:r/>
      <w:bookmarkStart w:id="62" w:name="_Toc105397779"/>
      <w:r/>
      <w:bookmarkStart w:id="63" w:name="_Toc71810480"/>
      <w:r/>
      <w:bookmarkStart w:id="64" w:name="_Toc235617186"/>
      <w:r>
        <w:rPr>
          <w:rFonts w:hint="eastAsia" w:ascii="宋体" w:hAnsi="宋体"/>
          <w:b/>
          <w:sz w:val="21"/>
          <w:szCs w:val="21"/>
        </w:rPr>
        <w:t xml:space="preserve">附件1.投标函</w:t>
      </w:r>
      <w:bookmarkEnd w:id="60"/>
      <w:r/>
      <w:bookmarkEnd w:id="61"/>
      <w:r/>
      <w:bookmarkEnd w:id="62"/>
      <w:r/>
      <w:bookmarkEnd w:id="63"/>
      <w:r/>
      <w:bookmarkEnd w:id="6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5" w:name="_Toc71810481"/>
      <w:r/>
      <w:bookmarkStart w:id="66" w:name="_Toc105397780"/>
      <w:r/>
      <w:bookmarkStart w:id="67" w:name="_Toc23561718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5"/>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6"/>
        <w:rPr>
          <w:rFonts w:ascii="宋体" w:hAnsi="宋体"/>
        </w:rPr>
      </w:pPr>
      <w:r>
        <w:rPr>
          <w:rFonts w:ascii="宋体" w:hAnsi="宋体"/>
        </w:rPr>
      </w:r>
      <w:r/>
    </w:p>
    <w:p>
      <w:pPr>
        <w:ind w:left="0"/>
        <w:spacing w:line="440" w:lineRule="exact"/>
        <w:rPr>
          <w:rFonts w:ascii="宋体" w:hAnsi="宋体"/>
          <w:b/>
          <w:sz w:val="21"/>
          <w:szCs w:val="21"/>
        </w:rPr>
      </w:pPr>
      <w:r/>
      <w:bookmarkStart w:id="77" w:name="_Toc241"/>
      <w:r/>
      <w:bookmarkStart w:id="78" w:name="_Toc7945"/>
      <w:r/>
      <w:bookmarkStart w:id="7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0" w:name="_Toc105397781"/>
      <w:r/>
      <w:bookmarkStart w:id="81" w:name="_Toc235617188"/>
      <w:r>
        <w:rPr>
          <w:rFonts w:ascii="宋体" w:hAnsi="宋体"/>
          <w:b/>
          <w:sz w:val="21"/>
          <w:szCs w:val="21"/>
        </w:rPr>
        <w:t xml:space="preserve">附件3</w:t>
      </w:r>
      <w:bookmarkEnd w:id="77"/>
      <w:r/>
      <w:bookmarkEnd w:id="78"/>
      <w:r>
        <w:rPr>
          <w:rFonts w:hint="eastAsia" w:ascii="宋体" w:hAnsi="宋体"/>
          <w:b/>
          <w:sz w:val="21"/>
          <w:szCs w:val="21"/>
        </w:rPr>
        <w:t xml:space="preserve">.公开分项报价</w:t>
      </w:r>
      <w:bookmarkEnd w:id="79"/>
      <w:r/>
      <w:bookmarkEnd w:id="80"/>
      <w:r/>
      <w:bookmarkEnd w:id="81"/>
      <w:r/>
      <w:r/>
    </w:p>
    <w:p>
      <w:pPr>
        <w:ind w:left="0"/>
        <w:jc w:val="center"/>
        <w:rPr>
          <w:rFonts w:ascii="宋体" w:hAnsi="宋体"/>
          <w:b/>
          <w:sz w:val="21"/>
          <w:szCs w:val="21"/>
        </w:rPr>
      </w:pPr>
      <w:r/>
      <w:bookmarkStart w:id="82" w:name="OLE_LINK27"/>
      <w:r/>
      <w:bookmarkStart w:id="83" w:name="OLE_LINK28"/>
      <w:r>
        <w:rPr>
          <w:rFonts w:hint="eastAsia" w:ascii="宋体" w:hAnsi="宋体"/>
          <w:b/>
          <w:sz w:val="21"/>
          <w:szCs w:val="21"/>
        </w:rPr>
        <w:t xml:space="preserve">公开分项报价</w:t>
      </w:r>
      <w:r>
        <w:rPr>
          <w:rFonts w:hint="eastAsia" w:ascii="宋体" w:hAnsi="宋体"/>
          <w:b/>
          <w:sz w:val="21"/>
          <w:szCs w:val="21"/>
        </w:rPr>
        <w:t xml:space="preserve">（标段一）</w:t>
      </w:r>
      <w:bookmarkEnd w:id="82"/>
      <w:r/>
      <w:bookmarkEnd w:id="83"/>
      <w:r/>
      <w:r/>
    </w:p>
    <w:p>
      <w:pPr>
        <w:pStyle w:val="1026"/>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8"/>
        <w:gridCol w:w="845"/>
        <w:gridCol w:w="1134"/>
        <w:gridCol w:w="1275"/>
        <w:gridCol w:w="851"/>
        <w:gridCol w:w="850"/>
        <w:gridCol w:w="851"/>
        <w:gridCol w:w="1134"/>
        <w:gridCol w:w="1138"/>
      </w:tblGrid>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一、货物报价</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ascii="宋体" w:hAnsi="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bookmarkStart w:id="84" w:name="OLE_LINK23"/>
            <w:r>
              <w:rPr>
                <w:rFonts w:hint="eastAsia" w:ascii="宋体" w:hAnsi="宋体"/>
                <w:sz w:val="21"/>
                <w:szCs w:val="21"/>
              </w:rPr>
              <w:t xml:space="preserve">…</w:t>
            </w:r>
            <w:bookmarkEnd w:id="84"/>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货物总报价：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二、服务报价</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w:t>
            </w:r>
            <w:r>
              <w:rPr>
                <w:rFonts w:ascii="宋体" w:hAnsi="宋体"/>
                <w:sz w:val="21"/>
                <w:szCs w:val="21"/>
              </w:rPr>
              <w:t xml:space="preserve">单价</w:t>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w:t>
            </w: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备注</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hint="eastAsia" w:ascii="宋体" w:hAnsi="宋体"/>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b/>
                <w:sz w:val="21"/>
                <w:szCs w:val="21"/>
              </w:rPr>
              <w:t xml:space="preserve">服务总报价：</w:t>
            </w:r>
            <w:r>
              <w:rPr>
                <w:rFonts w:hint="eastAsia" w:ascii="宋体" w:hAnsi="宋体"/>
                <w:sz w:val="21"/>
                <w:szCs w:val="21"/>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 w:val="21"/>
                <w:szCs w:val="21"/>
              </w:rPr>
              <w:t xml:space="preserve">投标总报价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w:t>
            </w:r>
            <w:r>
              <w:rPr>
                <w:rFonts w:hint="eastAsia" w:ascii="宋体" w:hAnsi="宋体"/>
                <w:sz w:val="21"/>
                <w:szCs w:val="21"/>
              </w:rPr>
              <w:t xml:space="preserve">（投标总报价为货物报价和服务报价之和）</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本采购包中提供的符合本国产品标准的产品成本之和占该采购包提供的全部产品成本之和的比例为</w:t>
            </w:r>
            <w:r>
              <w:rPr>
                <w:rFonts w:ascii="宋体" w:hAnsi="宋体"/>
                <w:b/>
                <w:sz w:val="21"/>
                <w:szCs w:val="21"/>
                <w:u w:val="single"/>
              </w:rPr>
              <w:t xml:space="preserve">    </w:t>
            </w:r>
            <w:r>
              <w:rPr>
                <w:rFonts w:hint="eastAsia" w:ascii="宋体" w:hAnsi="宋体"/>
                <w:b/>
                <w:sz w:val="21"/>
                <w:szCs w:val="21"/>
              </w:rPr>
              <w:t xml:space="preserve">%。</w:t>
            </w:r>
            <w:r/>
          </w:p>
        </w:tc>
      </w:tr>
    </w:tbl>
    <w:p>
      <w:pPr>
        <w:ind w:right="840" w:firstLine="5250"/>
        <w:spacing w:line="360" w:lineRule="auto"/>
        <w:rPr>
          <w:rFonts w:ascii="宋体" w:hAnsi="宋体"/>
          <w:sz w:val="21"/>
        </w:rPr>
      </w:pPr>
      <w:r>
        <w:rPr>
          <w:rFonts w:ascii="宋体" w:hAnsi="宋体"/>
          <w:sz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w:t>
      </w:r>
      <w:r>
        <w:rPr>
          <w:rFonts w:hint="eastAsia" w:ascii="宋体" w:hAnsi="宋体"/>
          <w:sz w:val="21"/>
          <w:szCs w:val="21"/>
        </w:rPr>
        <w:t xml:space="preserve">服务</w:t>
      </w:r>
      <w:r>
        <w:rPr>
          <w:rFonts w:hint="eastAsia" w:ascii="宋体" w:hAnsi="宋体"/>
          <w:sz w:val="21"/>
          <w:szCs w:val="21"/>
        </w:rPr>
        <w:t xml:space="preserve">（包含与</w:t>
      </w:r>
      <w:r>
        <w:rPr>
          <w:rFonts w:hint="eastAsia" w:ascii="宋体" w:hAnsi="宋体"/>
          <w:sz w:val="21"/>
          <w:szCs w:val="21"/>
        </w:rPr>
        <w:t xml:space="preserve">服务</w:t>
      </w:r>
      <w:r>
        <w:rPr>
          <w:rFonts w:hint="eastAsia" w:ascii="宋体" w:hAnsi="宋体"/>
          <w:sz w:val="21"/>
          <w:szCs w:val="21"/>
        </w:rPr>
        <w:t xml:space="preserve">相关的</w:t>
      </w:r>
      <w:r>
        <w:rPr>
          <w:rFonts w:hint="eastAsia" w:ascii="宋体" w:hAnsi="宋体"/>
          <w:sz w:val="21"/>
          <w:szCs w:val="21"/>
        </w:rPr>
        <w:t xml:space="preserve">货物</w:t>
      </w:r>
      <w:r>
        <w:rPr>
          <w:rFonts w:hint="eastAsia" w:ascii="宋体" w:hAnsi="宋体"/>
          <w:sz w:val="21"/>
          <w:szCs w:val="21"/>
        </w:rPr>
        <w:t xml:space="preserve">）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right="-200"/>
        <w:jc w:val="left"/>
        <w:spacing w:line="360" w:lineRule="auto"/>
        <w:widowControl w:val="off"/>
        <w:rPr>
          <w:rFonts w:ascii="宋体" w:hAnsi="宋体"/>
          <w:b/>
          <w:sz w:val="21"/>
        </w:rPr>
      </w:pPr>
      <w:r>
        <w:rPr>
          <w:rFonts w:hint="eastAsia" w:ascii="宋体" w:hAnsi="宋体"/>
          <w:sz w:val="21"/>
          <w:szCs w:val="21"/>
        </w:rPr>
        <w:t xml:space="preserve"> </w:t>
      </w:r>
      <w:r>
        <w:rPr>
          <w:rFonts w:ascii="宋体" w:hAnsi="宋体"/>
          <w:sz w:val="21"/>
          <w:szCs w:val="21"/>
        </w:rPr>
        <w:t xml:space="preserve">   </w:t>
      </w:r>
      <w:bookmarkStart w:id="85" w:name="OLE_LINK67"/>
      <w:r>
        <w:rPr>
          <w:rFonts w:ascii="宋体" w:hAnsi="宋体"/>
          <w:b/>
          <w:sz w:val="21"/>
          <w:szCs w:val="21"/>
        </w:rPr>
        <w:t xml:space="preserve">5</w:t>
      </w:r>
      <w:r>
        <w:rPr>
          <w:rFonts w:ascii="宋体" w:hAnsi="宋体"/>
          <w:b/>
          <w:sz w:val="21"/>
          <w:szCs w:val="21"/>
        </w:rPr>
        <w:t xml:space="preserve">.</w:t>
      </w:r>
      <w:r>
        <w:rPr>
          <w:rFonts w:hint="eastAsia" w:ascii="宋体" w:hAnsi="宋体"/>
          <w:b/>
          <w:sz w:val="21"/>
          <w:szCs w:val="21"/>
        </w:rPr>
        <w:t xml:space="preserve">本采购包中</w:t>
      </w:r>
      <w:r>
        <w:rPr>
          <w:rFonts w:hint="eastAsia" w:ascii="宋体" w:hAnsi="宋体"/>
          <w:b/>
          <w:sz w:val="21"/>
          <w:szCs w:val="21"/>
        </w:rPr>
        <w:t xml:space="preserve">报价</w:t>
      </w:r>
      <w:r>
        <w:rPr>
          <w:rFonts w:hint="eastAsia" w:ascii="宋体" w:hAnsi="宋体"/>
          <w:b/>
          <w:sz w:val="21"/>
          <w:szCs w:val="21"/>
        </w:rPr>
        <w:t xml:space="preserve">需把</w:t>
      </w:r>
      <w:r>
        <w:rPr>
          <w:rFonts w:hint="eastAsia" w:ascii="宋体" w:hAnsi="宋体"/>
          <w:b/>
          <w:sz w:val="21"/>
        </w:rPr>
        <w:t xml:space="preserve">配套软件</w:t>
      </w:r>
      <w:r>
        <w:rPr>
          <w:rFonts w:hint="eastAsia" w:ascii="宋体" w:hAnsi="宋体"/>
          <w:b/>
          <w:sz w:val="21"/>
        </w:rPr>
        <w:t xml:space="preserve">、系</w:t>
      </w:r>
      <w:r>
        <w:rPr>
          <w:rFonts w:ascii="宋体" w:hAnsi="宋体"/>
          <w:b/>
          <w:sz w:val="21"/>
        </w:rPr>
        <w:t xml:space="preserve">统建设</w:t>
      </w:r>
      <w:r>
        <w:rPr>
          <w:rFonts w:hint="eastAsia" w:ascii="宋体" w:hAnsi="宋体"/>
          <w:b/>
          <w:sz w:val="21"/>
        </w:rPr>
        <w:t xml:space="preserve">、</w:t>
      </w:r>
      <w:r>
        <w:rPr>
          <w:rFonts w:hint="eastAsia" w:ascii="宋体" w:hAnsi="宋体"/>
          <w:b/>
          <w:sz w:val="21"/>
        </w:rPr>
        <w:t xml:space="preserve">数据治理运营服务</w:t>
      </w:r>
      <w:r>
        <w:rPr>
          <w:rFonts w:hint="eastAsia" w:ascii="宋体" w:hAnsi="宋体"/>
          <w:b/>
          <w:sz w:val="21"/>
        </w:rPr>
        <w:t xml:space="preserve">及</w:t>
      </w:r>
      <w:r>
        <w:rPr>
          <w:rFonts w:hint="eastAsia" w:ascii="宋体" w:hAnsi="宋体"/>
          <w:b/>
          <w:sz w:val="21"/>
        </w:rPr>
        <w:t xml:space="preserve">机柜租赁服务</w:t>
      </w:r>
      <w:r>
        <w:rPr>
          <w:rFonts w:hint="eastAsia" w:ascii="宋体" w:hAnsi="宋体"/>
          <w:b/>
          <w:sz w:val="21"/>
        </w:rPr>
        <w:t xml:space="preserve">三部分按服务报价和货物报价</w:t>
      </w:r>
      <w:r>
        <w:rPr>
          <w:rFonts w:hint="eastAsia" w:ascii="宋体" w:hAnsi="宋体"/>
          <w:b/>
          <w:sz w:val="21"/>
        </w:rPr>
        <w:t xml:space="preserve">分项报价</w:t>
      </w:r>
      <w:r>
        <w:rPr>
          <w:rFonts w:hint="eastAsia" w:ascii="宋体" w:hAnsi="宋体"/>
          <w:b/>
          <w:sz w:val="21"/>
        </w:rPr>
        <w:t xml:space="preserve">，且分项报价不得高于</w:t>
      </w:r>
      <w:r>
        <w:rPr>
          <w:rFonts w:hint="eastAsia" w:ascii="宋体" w:hAnsi="宋体"/>
          <w:b/>
          <w:sz w:val="21"/>
        </w:rPr>
        <w:t xml:space="preserve">各部分</w:t>
      </w:r>
      <w:r>
        <w:rPr>
          <w:rFonts w:hint="eastAsia" w:ascii="宋体" w:hAnsi="宋体"/>
          <w:b/>
          <w:sz w:val="21"/>
        </w:rPr>
        <w:t xml:space="preserve">最高限价，</w:t>
      </w:r>
      <w:r>
        <w:rPr>
          <w:rFonts w:hint="eastAsia" w:ascii="宋体" w:hAnsi="宋体"/>
          <w:b/>
          <w:sz w:val="21"/>
        </w:rPr>
        <w:t xml:space="preserve">报价总价不得高于总预算，否则视为无效投标。</w:t>
      </w:r>
      <w:bookmarkEnd w:id="85"/>
      <w:r/>
      <w:r/>
    </w:p>
    <w:p>
      <w:pPr>
        <w:ind w:left="0" w:right="-200" w:firstLine="422"/>
        <w:jc w:val="left"/>
        <w:spacing w:line="360" w:lineRule="auto"/>
        <w:widowControl w:val="off"/>
        <w:rPr>
          <w:rFonts w:ascii="宋体" w:hAnsi="宋体"/>
          <w:b/>
          <w:sz w:val="21"/>
        </w:rPr>
      </w:pPr>
      <w:r>
        <w:rPr>
          <w:rFonts w:hint="eastAsia" w:ascii="宋体" w:hAnsi="宋体"/>
          <w:b/>
          <w:sz w:val="21"/>
        </w:rPr>
        <w:t xml:space="preserve">其中：</w:t>
      </w:r>
      <w:r>
        <w:rPr>
          <w:rFonts w:hint="eastAsia" w:ascii="宋体" w:hAnsi="宋体"/>
          <w:b/>
          <w:sz w:val="21"/>
        </w:rPr>
        <w:t xml:space="preserve">货物部分：</w:t>
      </w:r>
      <w:r>
        <w:rPr>
          <w:rFonts w:hint="eastAsia" w:ascii="宋体" w:hAnsi="宋体"/>
          <w:b/>
          <w:sz w:val="21"/>
        </w:rPr>
        <w:t xml:space="preserve">配套软件</w:t>
      </w:r>
      <w:r>
        <w:rPr>
          <w:rFonts w:hint="eastAsia" w:ascii="宋体" w:hAnsi="宋体"/>
          <w:b/>
          <w:sz w:val="21"/>
        </w:rPr>
        <w:t xml:space="preserve">最高限价：1</w:t>
      </w:r>
      <w:r>
        <w:rPr>
          <w:rFonts w:ascii="宋体" w:hAnsi="宋体"/>
          <w:b/>
          <w:sz w:val="21"/>
        </w:rPr>
        <w:t xml:space="preserve">250</w:t>
      </w:r>
      <w:r>
        <w:rPr>
          <w:rFonts w:hint="eastAsia" w:ascii="宋体" w:hAnsi="宋体"/>
          <w:b/>
          <w:sz w:val="21"/>
        </w:rPr>
        <w:t xml:space="preserve">万元。</w:t>
      </w:r>
      <w:r/>
    </w:p>
    <w:p>
      <w:pPr>
        <w:ind w:left="0" w:right="-200" w:firstLine="1054"/>
        <w:jc w:val="left"/>
        <w:spacing w:line="360" w:lineRule="auto"/>
        <w:widowControl w:val="off"/>
        <w:rPr>
          <w:rFonts w:ascii="宋体" w:hAnsi="宋体"/>
          <w:b/>
          <w:sz w:val="21"/>
        </w:rPr>
      </w:pPr>
      <w:r>
        <w:rPr>
          <w:rFonts w:hint="eastAsia" w:ascii="宋体" w:hAnsi="宋体"/>
          <w:b/>
          <w:sz w:val="21"/>
        </w:rPr>
        <w:t xml:space="preserve">服务部分：</w:t>
      </w:r>
      <w:r>
        <w:rPr>
          <w:rFonts w:hint="eastAsia" w:ascii="宋体" w:hAnsi="宋体"/>
          <w:b/>
          <w:sz w:val="21"/>
        </w:rPr>
        <w:t xml:space="preserve">系</w:t>
      </w:r>
      <w:r>
        <w:rPr>
          <w:rFonts w:ascii="宋体" w:hAnsi="宋体"/>
          <w:b/>
          <w:sz w:val="21"/>
        </w:rPr>
        <w:t xml:space="preserve">统建设</w:t>
      </w:r>
      <w:r>
        <w:rPr>
          <w:rFonts w:hint="eastAsia" w:ascii="宋体" w:hAnsi="宋体"/>
          <w:b/>
          <w:sz w:val="21"/>
        </w:rPr>
        <w:t xml:space="preserve">最高限价：</w:t>
      </w:r>
      <w:r>
        <w:rPr>
          <w:rFonts w:hint="eastAsia" w:ascii="宋体" w:hAnsi="宋体"/>
          <w:b/>
          <w:sz w:val="21"/>
        </w:rPr>
        <w:t xml:space="preserve">655.55万元</w:t>
      </w:r>
      <w:r>
        <w:rPr>
          <w:rFonts w:hint="eastAsia" w:ascii="宋体" w:hAnsi="宋体"/>
          <w:b/>
          <w:sz w:val="21"/>
        </w:rPr>
        <w:t xml:space="preserve">；</w:t>
      </w:r>
      <w:r>
        <w:rPr>
          <w:rFonts w:hint="eastAsia" w:ascii="宋体" w:hAnsi="宋体"/>
          <w:b/>
          <w:sz w:val="21"/>
        </w:rPr>
        <w:t xml:space="preserve">数据治理运营服务</w:t>
      </w:r>
      <w:r>
        <w:rPr>
          <w:rFonts w:hint="eastAsia" w:ascii="宋体" w:hAnsi="宋体"/>
          <w:b/>
          <w:sz w:val="21"/>
        </w:rPr>
        <w:t xml:space="preserve">及</w:t>
      </w:r>
      <w:r>
        <w:rPr>
          <w:rFonts w:hint="eastAsia" w:ascii="宋体" w:hAnsi="宋体"/>
          <w:b/>
          <w:sz w:val="21"/>
        </w:rPr>
        <w:t xml:space="preserve">机柜租赁服务</w:t>
      </w:r>
      <w:r>
        <w:rPr>
          <w:rFonts w:hint="eastAsia" w:ascii="宋体" w:hAnsi="宋体"/>
          <w:b/>
          <w:sz w:val="21"/>
        </w:rPr>
        <w:t xml:space="preserve">最高限价：</w:t>
      </w:r>
      <w:r>
        <w:rPr>
          <w:rFonts w:ascii="宋体" w:hAnsi="宋体"/>
          <w:b/>
          <w:sz w:val="21"/>
        </w:rPr>
        <w:t xml:space="preserve">1642</w:t>
      </w:r>
      <w:r>
        <w:rPr>
          <w:rFonts w:hint="eastAsia" w:ascii="宋体" w:hAnsi="宋体"/>
          <w:b/>
          <w:sz w:val="21"/>
        </w:rPr>
        <w:t xml:space="preserve">万元</w:t>
      </w:r>
      <w:r>
        <w:rPr>
          <w:rFonts w:hint="eastAsia" w:ascii="宋体" w:hAnsi="宋体"/>
          <w:b/>
          <w:sz w:val="21"/>
        </w:rPr>
        <w:t xml:space="preserve">。</w:t>
      </w:r>
      <w:r/>
    </w:p>
    <w:p>
      <w:pPr>
        <w:ind w:left="0"/>
        <w:jc w:val="center"/>
        <w:rPr>
          <w:rFonts w:ascii="宋体" w:hAnsi="宋体"/>
          <w:b/>
          <w:sz w:val="21"/>
          <w:szCs w:val="21"/>
        </w:rPr>
      </w:pPr>
      <w:r>
        <w:rPr>
          <w:rFonts w:ascii="宋体" w:hAnsi="宋体"/>
          <w:b/>
          <w:sz w:val="21"/>
          <w:szCs w:val="21"/>
        </w:rPr>
        <w:br w:type="page" w:clear="all"/>
      </w:r>
      <w:bookmarkStart w:id="86" w:name="_Toc71810483"/>
      <w:r/>
      <w:bookmarkStart w:id="87" w:name="_Toc105397782"/>
      <w:r>
        <w:rPr>
          <w:rFonts w:hint="eastAsia" w:ascii="宋体" w:hAnsi="宋体"/>
          <w:b/>
          <w:sz w:val="21"/>
          <w:szCs w:val="21"/>
        </w:rPr>
        <w:t xml:space="preserve">公开分项报价（标段二）</w:t>
      </w:r>
      <w:r/>
    </w:p>
    <w:p>
      <w:pPr>
        <w:pStyle w:val="1026"/>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8"/>
        <w:gridCol w:w="845"/>
        <w:gridCol w:w="1134"/>
        <w:gridCol w:w="1275"/>
        <w:gridCol w:w="851"/>
        <w:gridCol w:w="850"/>
        <w:gridCol w:w="851"/>
        <w:gridCol w:w="1134"/>
        <w:gridCol w:w="1138"/>
      </w:tblGrid>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一、货物报价</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ascii="宋体" w:hAnsi="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货物总报价：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二、服务报价</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w:t>
            </w:r>
            <w:r>
              <w:rPr>
                <w:rFonts w:ascii="宋体" w:hAnsi="宋体"/>
                <w:sz w:val="21"/>
                <w:szCs w:val="21"/>
              </w:rPr>
              <w:t xml:space="preserve">单价</w:t>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备注</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hint="eastAsia" w:ascii="宋体" w:hAnsi="宋体"/>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b/>
                <w:sz w:val="21"/>
                <w:szCs w:val="21"/>
              </w:rPr>
              <w:t xml:space="preserve">服务总报价：</w:t>
            </w:r>
            <w:r>
              <w:rPr>
                <w:rFonts w:hint="eastAsia" w:ascii="宋体" w:hAnsi="宋体"/>
                <w:sz w:val="21"/>
                <w:szCs w:val="21"/>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 w:val="21"/>
                <w:szCs w:val="21"/>
              </w:rPr>
              <w:t xml:space="preserve">投标总报价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元（投标总报价为货物报价和服务报价之和）</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本采购包中提供的符合本国产品标准的产品成本之和占该采购包提供的全部产品成本之和的比例为</w:t>
            </w:r>
            <w:r>
              <w:rPr>
                <w:rFonts w:ascii="宋体" w:hAnsi="宋体"/>
                <w:b/>
                <w:sz w:val="21"/>
                <w:szCs w:val="21"/>
                <w:u w:val="single"/>
              </w:rPr>
              <w:t xml:space="preserve">    </w:t>
            </w:r>
            <w:r>
              <w:rPr>
                <w:rFonts w:hint="eastAsia" w:ascii="宋体" w:hAnsi="宋体"/>
                <w:b/>
                <w:sz w:val="21"/>
                <w:szCs w:val="21"/>
              </w:rPr>
              <w:t xml:space="preserve">%。</w:t>
            </w:r>
            <w:r/>
          </w:p>
        </w:tc>
      </w:tr>
    </w:tbl>
    <w:p>
      <w:pPr>
        <w:ind w:right="840" w:firstLine="5250"/>
        <w:spacing w:line="360" w:lineRule="auto"/>
        <w:rPr>
          <w:rFonts w:ascii="宋体" w:hAnsi="宋体"/>
          <w:sz w:val="21"/>
        </w:rPr>
      </w:pPr>
      <w:r>
        <w:rPr>
          <w:rFonts w:ascii="宋体" w:hAnsi="宋体"/>
          <w:sz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w:t>
      </w:r>
      <w:r>
        <w:rPr>
          <w:rFonts w:hint="eastAsia" w:ascii="宋体" w:hAnsi="宋体"/>
          <w:sz w:val="21"/>
          <w:szCs w:val="21"/>
        </w:rPr>
        <w:t xml:space="preserve">服务</w:t>
      </w:r>
      <w:r>
        <w:rPr>
          <w:rFonts w:hint="eastAsia" w:ascii="宋体" w:hAnsi="宋体"/>
          <w:sz w:val="21"/>
          <w:szCs w:val="21"/>
        </w:rPr>
        <w:t xml:space="preserve">（包含与</w:t>
      </w:r>
      <w:r>
        <w:rPr>
          <w:rFonts w:hint="eastAsia" w:ascii="宋体" w:hAnsi="宋体"/>
          <w:sz w:val="21"/>
          <w:szCs w:val="21"/>
        </w:rPr>
        <w:t xml:space="preserve">服务</w:t>
      </w:r>
      <w:r>
        <w:rPr>
          <w:rFonts w:hint="eastAsia" w:ascii="宋体" w:hAnsi="宋体"/>
          <w:sz w:val="21"/>
          <w:szCs w:val="21"/>
        </w:rPr>
        <w:t xml:space="preserve">相关的</w:t>
      </w:r>
      <w:r>
        <w:rPr>
          <w:rFonts w:hint="eastAsia" w:ascii="宋体" w:hAnsi="宋体"/>
          <w:sz w:val="21"/>
          <w:szCs w:val="21"/>
        </w:rPr>
        <w:t xml:space="preserve">货物</w:t>
      </w:r>
      <w:r>
        <w:rPr>
          <w:rFonts w:hint="eastAsia" w:ascii="宋体" w:hAnsi="宋体"/>
          <w:sz w:val="21"/>
          <w:szCs w:val="21"/>
        </w:rPr>
        <w:t xml:space="preserve">）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right="-200"/>
        <w:jc w:val="left"/>
        <w:spacing w:line="360" w:lineRule="auto"/>
        <w:widowControl w:val="off"/>
        <w:rPr>
          <w:rFonts w:ascii="宋体" w:hAnsi="宋体"/>
          <w:b/>
          <w:sz w:val="21"/>
        </w:rPr>
      </w:pPr>
      <w:r>
        <w:rPr>
          <w:rFonts w:hint="eastAsia" w:ascii="宋体" w:hAnsi="宋体"/>
          <w:sz w:val="21"/>
          <w:szCs w:val="21"/>
        </w:rPr>
        <w:t xml:space="preserve"> </w:t>
      </w:r>
      <w:r>
        <w:rPr>
          <w:rFonts w:ascii="宋体" w:hAnsi="宋体"/>
          <w:sz w:val="21"/>
          <w:szCs w:val="21"/>
        </w:rPr>
        <w:t xml:space="preserve">   </w:t>
      </w:r>
      <w:r>
        <w:rPr>
          <w:rFonts w:ascii="宋体" w:hAnsi="宋体"/>
          <w:b/>
          <w:sz w:val="21"/>
          <w:szCs w:val="21"/>
        </w:rPr>
        <w:t xml:space="preserve">5</w:t>
      </w:r>
      <w:r>
        <w:rPr>
          <w:rFonts w:ascii="宋体" w:hAnsi="宋体"/>
          <w:b/>
          <w:sz w:val="21"/>
          <w:szCs w:val="21"/>
        </w:rPr>
        <w:t xml:space="preserve">.</w:t>
      </w:r>
      <w:r>
        <w:rPr>
          <w:rFonts w:hint="eastAsia" w:ascii="宋体" w:hAnsi="宋体"/>
          <w:b/>
          <w:sz w:val="21"/>
          <w:szCs w:val="21"/>
        </w:rPr>
        <w:t xml:space="preserve">本采购包中</w:t>
      </w:r>
      <w:r>
        <w:rPr>
          <w:rFonts w:hint="eastAsia" w:ascii="宋体" w:hAnsi="宋体"/>
          <w:b/>
          <w:sz w:val="21"/>
          <w:szCs w:val="21"/>
        </w:rPr>
        <w:t xml:space="preserve">报价</w:t>
      </w:r>
      <w:r>
        <w:rPr>
          <w:rFonts w:hint="eastAsia" w:ascii="宋体" w:hAnsi="宋体"/>
          <w:b/>
          <w:sz w:val="21"/>
          <w:szCs w:val="21"/>
        </w:rPr>
        <w:t xml:space="preserve">需把</w:t>
      </w:r>
      <w:r>
        <w:rPr>
          <w:rFonts w:hint="eastAsia" w:ascii="宋体" w:hAnsi="宋体"/>
          <w:b/>
          <w:sz w:val="21"/>
        </w:rPr>
        <w:t xml:space="preserve">配套硬件</w:t>
      </w:r>
      <w:r>
        <w:rPr>
          <w:rFonts w:hint="eastAsia" w:ascii="宋体" w:hAnsi="宋体"/>
          <w:b/>
          <w:sz w:val="21"/>
        </w:rPr>
        <w:t xml:space="preserve">及软件</w:t>
      </w:r>
      <w:r>
        <w:rPr>
          <w:rFonts w:hint="eastAsia" w:ascii="宋体" w:hAnsi="宋体"/>
          <w:b/>
          <w:sz w:val="21"/>
        </w:rPr>
        <w:t xml:space="preserve">、系</w:t>
      </w:r>
      <w:r>
        <w:rPr>
          <w:rFonts w:ascii="宋体" w:hAnsi="宋体"/>
          <w:b/>
          <w:sz w:val="21"/>
        </w:rPr>
        <w:t xml:space="preserve">统建设</w:t>
      </w:r>
      <w:r>
        <w:rPr>
          <w:rFonts w:hint="eastAsia" w:ascii="宋体" w:hAnsi="宋体"/>
          <w:b/>
          <w:sz w:val="21"/>
        </w:rPr>
        <w:t xml:space="preserve">、</w:t>
      </w:r>
      <w:r>
        <w:rPr>
          <w:rFonts w:hint="eastAsia" w:ascii="宋体" w:hAnsi="宋体"/>
          <w:b/>
          <w:sz w:val="21"/>
        </w:rPr>
        <w:t xml:space="preserve">配套</w:t>
      </w:r>
      <w:r>
        <w:rPr>
          <w:rFonts w:hint="eastAsia" w:ascii="宋体" w:hAnsi="宋体"/>
          <w:b/>
          <w:sz w:val="21"/>
        </w:rPr>
        <w:t xml:space="preserve">服务</w:t>
      </w:r>
      <w:r>
        <w:rPr>
          <w:rFonts w:hint="eastAsia" w:ascii="宋体" w:hAnsi="宋体"/>
          <w:b/>
          <w:sz w:val="21"/>
        </w:rPr>
        <w:t xml:space="preserve">三部分按服务报价和货物报价</w:t>
      </w:r>
      <w:r>
        <w:rPr>
          <w:rFonts w:hint="eastAsia" w:ascii="宋体" w:hAnsi="宋体"/>
          <w:b/>
          <w:sz w:val="21"/>
        </w:rPr>
        <w:t xml:space="preserve">分项报价</w:t>
      </w:r>
      <w:r>
        <w:rPr>
          <w:rFonts w:hint="eastAsia" w:ascii="宋体" w:hAnsi="宋体"/>
          <w:b/>
          <w:sz w:val="21"/>
        </w:rPr>
        <w:t xml:space="preserve">，且分项报价不得高于</w:t>
      </w:r>
      <w:r>
        <w:rPr>
          <w:rFonts w:hint="eastAsia" w:ascii="宋体" w:hAnsi="宋体"/>
          <w:b/>
          <w:sz w:val="21"/>
        </w:rPr>
        <w:t xml:space="preserve">各部分</w:t>
      </w:r>
      <w:r>
        <w:rPr>
          <w:rFonts w:hint="eastAsia" w:ascii="宋体" w:hAnsi="宋体"/>
          <w:b/>
          <w:sz w:val="21"/>
        </w:rPr>
        <w:t xml:space="preserve">最高限价，</w:t>
      </w:r>
      <w:r>
        <w:rPr>
          <w:rFonts w:hint="eastAsia" w:ascii="宋体" w:hAnsi="宋体"/>
          <w:b/>
          <w:sz w:val="21"/>
        </w:rPr>
        <w:t xml:space="preserve">报价总价不得高于总预算，否则视为无效投标。</w:t>
      </w:r>
      <w:r/>
    </w:p>
    <w:p>
      <w:pPr>
        <w:ind w:left="0" w:right="-200" w:firstLine="422"/>
        <w:jc w:val="left"/>
        <w:spacing w:line="360" w:lineRule="auto"/>
        <w:widowControl w:val="off"/>
        <w:rPr>
          <w:rFonts w:ascii="宋体" w:hAnsi="宋体"/>
          <w:b/>
          <w:sz w:val="21"/>
          <w:szCs w:val="21"/>
        </w:rPr>
      </w:pPr>
      <w:r>
        <w:rPr>
          <w:rFonts w:hint="eastAsia" w:ascii="宋体" w:hAnsi="宋体"/>
          <w:b/>
          <w:sz w:val="21"/>
          <w:szCs w:val="21"/>
        </w:rPr>
        <w:t xml:space="preserve">其中：</w:t>
      </w:r>
      <w:bookmarkStart w:id="88" w:name="OLE_LINK79"/>
      <w:r/>
      <w:bookmarkStart w:id="89" w:name="OLE_LINK80"/>
      <w:r>
        <w:rPr>
          <w:rFonts w:hint="eastAsia" w:ascii="宋体" w:hAnsi="宋体"/>
          <w:b/>
          <w:sz w:val="21"/>
        </w:rPr>
        <w:t xml:space="preserve">货物部分：配套硬件</w:t>
      </w:r>
      <w:r>
        <w:rPr>
          <w:rFonts w:hint="eastAsia" w:ascii="宋体" w:hAnsi="宋体"/>
          <w:b/>
          <w:sz w:val="21"/>
        </w:rPr>
        <w:t xml:space="preserve">及软件</w:t>
      </w:r>
      <w:r>
        <w:rPr>
          <w:rFonts w:hint="eastAsia" w:ascii="宋体" w:hAnsi="宋体"/>
          <w:b/>
          <w:sz w:val="21"/>
          <w:szCs w:val="21"/>
        </w:rPr>
        <w:t xml:space="preserve">最高限价：</w:t>
      </w:r>
      <w:r>
        <w:rPr>
          <w:rFonts w:ascii="宋体" w:hAnsi="宋体"/>
          <w:b/>
          <w:sz w:val="21"/>
          <w:szCs w:val="21"/>
        </w:rPr>
        <w:t xml:space="preserve">955.33</w:t>
      </w:r>
      <w:r>
        <w:rPr>
          <w:rFonts w:hint="eastAsia" w:ascii="宋体" w:hAnsi="宋体"/>
          <w:b/>
          <w:sz w:val="21"/>
          <w:szCs w:val="21"/>
        </w:rPr>
        <w:t xml:space="preserve">万元。</w:t>
      </w:r>
      <w:r/>
    </w:p>
    <w:p>
      <w:pPr>
        <w:ind w:left="0" w:right="-200" w:firstLine="1054"/>
        <w:jc w:val="left"/>
        <w:spacing w:line="360" w:lineRule="auto"/>
        <w:widowControl w:val="off"/>
        <w:rPr>
          <w:rFonts w:ascii="宋体" w:hAnsi="宋体"/>
          <w:b/>
          <w:sz w:val="21"/>
        </w:rPr>
      </w:pPr>
      <w:r>
        <w:rPr>
          <w:rFonts w:hint="eastAsia" w:ascii="宋体" w:hAnsi="宋体"/>
          <w:b/>
          <w:sz w:val="21"/>
        </w:rPr>
        <w:t xml:space="preserve">服务部分：</w:t>
      </w:r>
      <w:r>
        <w:rPr>
          <w:rFonts w:hint="eastAsia" w:ascii="宋体" w:hAnsi="宋体"/>
          <w:b/>
          <w:sz w:val="21"/>
          <w:szCs w:val="21"/>
        </w:rPr>
        <w:t xml:space="preserve">系统建设最高限价：</w:t>
      </w:r>
      <w:r>
        <w:rPr>
          <w:rFonts w:ascii="宋体" w:hAnsi="宋体"/>
          <w:b/>
          <w:sz w:val="21"/>
          <w:szCs w:val="21"/>
        </w:rPr>
        <w:t xml:space="preserve">926.52</w:t>
      </w:r>
      <w:r>
        <w:rPr>
          <w:rFonts w:hint="eastAsia" w:ascii="宋体" w:hAnsi="宋体"/>
          <w:b/>
          <w:sz w:val="21"/>
          <w:szCs w:val="21"/>
        </w:rPr>
        <w:t xml:space="preserve">万元</w:t>
      </w:r>
      <w:r>
        <w:rPr>
          <w:rFonts w:hint="eastAsia" w:ascii="宋体" w:hAnsi="宋体"/>
          <w:b/>
          <w:sz w:val="21"/>
        </w:rPr>
        <w:t xml:space="preserve">；配套</w:t>
      </w:r>
      <w:r>
        <w:rPr>
          <w:rFonts w:hint="eastAsia" w:ascii="宋体" w:hAnsi="宋体"/>
          <w:b/>
          <w:sz w:val="21"/>
        </w:rPr>
        <w:t xml:space="preserve">服务</w:t>
      </w:r>
      <w:r>
        <w:rPr>
          <w:rFonts w:hint="eastAsia" w:ascii="宋体" w:hAnsi="宋体"/>
          <w:b/>
          <w:sz w:val="21"/>
          <w:szCs w:val="21"/>
        </w:rPr>
        <w:t xml:space="preserve">最高限价：</w:t>
      </w:r>
      <w:r>
        <w:rPr>
          <w:rFonts w:ascii="宋体" w:hAnsi="宋体"/>
          <w:b/>
          <w:sz w:val="21"/>
          <w:szCs w:val="21"/>
        </w:rPr>
        <w:t xml:space="preserve">31</w:t>
      </w:r>
      <w:r>
        <w:rPr>
          <w:rFonts w:hint="eastAsia" w:ascii="宋体" w:hAnsi="宋体"/>
          <w:b/>
          <w:sz w:val="21"/>
          <w:szCs w:val="21"/>
        </w:rPr>
        <w:t xml:space="preserve">万元。</w:t>
      </w:r>
      <w:bookmarkEnd w:id="88"/>
      <w:r/>
      <w:bookmarkEnd w:id="89"/>
      <w:r/>
      <w:r/>
    </w:p>
    <w:p>
      <w:pPr>
        <w:ind w:left="0"/>
        <w:jc w:val="left"/>
        <w:rPr>
          <w:rFonts w:ascii="宋体" w:hAnsi="宋体"/>
          <w:b/>
          <w:sz w:val="21"/>
          <w:szCs w:val="21"/>
        </w:rPr>
      </w:pPr>
      <w:r/>
      <w:bookmarkStart w:id="90" w:name="_Toc235617189"/>
      <w:r>
        <w:rPr>
          <w:rFonts w:ascii="宋体" w:hAnsi="宋体"/>
          <w:b/>
          <w:sz w:val="21"/>
          <w:szCs w:val="21"/>
        </w:rPr>
        <w:br w:type="page" w:clear="all"/>
      </w:r>
      <w:r/>
    </w:p>
    <w:p>
      <w:pPr>
        <w:ind w:left="0"/>
        <w:rPr>
          <w:rFonts w:ascii="宋体" w:hAnsi="宋体"/>
          <w:sz w:val="21"/>
          <w:szCs w:val="21"/>
        </w:rPr>
        <w:outlineLvl w:val="0"/>
      </w:pPr>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6"/>
      <w:r/>
      <w:bookmarkEnd w:id="87"/>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1" w:name="_Toc105397783"/>
      <w:r/>
      <w:bookmarkStart w:id="92" w:name="_Toc71810484"/>
      <w:r/>
      <w:bookmarkStart w:id="93" w:name="_Toc19621"/>
      <w:r/>
      <w:bookmarkStart w:id="94" w:name="_Toc21574"/>
      <w:r/>
      <w:bookmarkStart w:id="95" w:name="_Toc23561719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1"/>
      <w:r/>
      <w:bookmarkEnd w:id="92"/>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sz w:val="21"/>
          <w:szCs w:val="21"/>
          <w:u w:val="single"/>
        </w:rPr>
        <w:t xml:space="preserve">苏州市卫生健康信息中心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苏州市公改示范项目健康医疗大数据中心升级建设、便民惠民应用体系及安全保障体系项目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sz w:val="21"/>
          <w:szCs w:val="21"/>
          <w:u w:val="single"/>
        </w:rPr>
        <w:t xml:space="preserve">苏州市公改示范项目健康医疗大数据中心升级建设、便民惠民应用体系及安全保障体系项目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（软件和信息技术服务业）行业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firstLine="420"/>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7" w:name="_Toc105397784"/>
      <w:r/>
      <w:bookmarkStart w:id="98" w:name="_Toc2356171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6"/>
      <w:r/>
      <w:bookmarkEnd w:id="97"/>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9" w:name="_Toc32206"/>
      <w:r/>
      <w:bookmarkStart w:id="100" w:name="_Toc15378"/>
      <w:r/>
      <w:bookmarkStart w:id="10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9"/>
      <w:r/>
      <w:bookmarkEnd w:id="100"/>
      <w:r/>
      <w:bookmarkEnd w:id="10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9"/>
        <w:ind w:left="0" w:firstLine="0"/>
        <w:rPr>
          <w:rFonts w:ascii="宋体" w:hAnsi="宋体"/>
          <w:b/>
          <w:lang w:val="zh-CN"/>
        </w:rPr>
      </w:pPr>
      <w:r>
        <w:rPr>
          <w:rFonts w:ascii="宋体" w:hAnsi="宋体"/>
          <w:b/>
          <w:lang w:val="zh-CN"/>
        </w:rPr>
      </w:r>
      <w:r/>
    </w:p>
    <w:p>
      <w:pPr>
        <w:pStyle w:val="105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02" w:name="_Toc235617192"/>
      <w:r/>
      <w:bookmarkStart w:id="103" w:name="_Toc71810487"/>
      <w:r/>
      <w:bookmarkStart w:id="104" w:name="_Toc105397785"/>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7"/>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Style w:val="1064"/>
          <w:rFonts w:hint="eastAsia"/>
          <w:color w:val="333333"/>
          <w:vertAlign w:val="superscript"/>
        </w:rPr>
        <w:t xml:space="preserve">1</w:t>
      </w:r>
      <w:r>
        <w:rPr>
          <w:rFonts w:hint="eastAsia"/>
          <w:color w:val="333333"/>
        </w:rPr>
        <w:t xml:space="preserve">，生产厂为</w:t>
      </w:r>
      <w:r>
        <w:rPr>
          <w:rStyle w:val="1064"/>
          <w:rFonts w:hint="eastAsia"/>
          <w:color w:val="333333"/>
          <w:u w:val="single"/>
        </w:rPr>
        <w:t xml:space="preserve">（厂名）</w:t>
      </w:r>
      <w:r>
        <w:rPr>
          <w:rStyle w:val="1064"/>
          <w:rFonts w:hint="eastAsia"/>
          <w:color w:val="333333"/>
          <w:vertAlign w:val="superscript"/>
        </w:rPr>
        <w:t xml:space="preserve">2</w:t>
      </w:r>
      <w:r>
        <w:rPr>
          <w:rFonts w:hint="eastAsia"/>
          <w:color w:val="333333"/>
        </w:rPr>
        <w:t xml:space="preserve">，厂址为</w:t>
      </w:r>
      <w:r>
        <w:rPr>
          <w:rStyle w:val="1064"/>
          <w:rFonts w:hint="eastAsia"/>
          <w:color w:val="333333"/>
          <w:u w:val="single"/>
        </w:rPr>
        <w:t xml:space="preserve">（生产厂址）</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的中国境内生产的组件成本占比≥</w:t>
      </w:r>
      <w:r>
        <w:rPr>
          <w:rStyle w:val="1064"/>
          <w:rFonts w:hint="eastAsia"/>
          <w:color w:val="333333"/>
          <w:u w:val="single"/>
        </w:rPr>
        <w:t xml:space="preserve">（规定比例）</w:t>
      </w:r>
      <w:r>
        <w:rPr>
          <w:rStyle w:val="1064"/>
          <w:rFonts w:hint="eastAsia"/>
          <w:color w:val="333333"/>
          <w:vertAlign w:val="superscript"/>
        </w:rPr>
        <w:t xml:space="preserve">3</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（关键组件）</w:t>
      </w:r>
      <w:r>
        <w:rPr>
          <w:rStyle w:val="1064"/>
          <w:rFonts w:hint="eastAsia"/>
          <w:color w:val="333333"/>
          <w:vertAlign w:val="superscript"/>
        </w:rPr>
        <w:t xml:space="preserve">4</w:t>
      </w:r>
      <w:r>
        <w:rPr>
          <w:rFonts w:hint="eastAsia"/>
          <w:color w:val="333333"/>
        </w:rPr>
        <w:t xml:space="preserve">在中国境内生产。</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（关键工序）</w:t>
      </w:r>
      <w:r>
        <w:rPr>
          <w:rStyle w:val="1064"/>
          <w:rFonts w:hint="eastAsia"/>
          <w:color w:val="333333"/>
          <w:vertAlign w:val="superscript"/>
        </w:rPr>
        <w:t xml:space="preserve">5</w:t>
      </w:r>
      <w:r>
        <w:rPr>
          <w:rFonts w:hint="eastAsia"/>
          <w:color w:val="333333"/>
        </w:rPr>
        <w:t xml:space="preserve">在中国境内完成。</w:t>
      </w:r>
      <w:r/>
    </w:p>
    <w:p>
      <w:pPr>
        <w:pStyle w:val="105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，生产厂为</w:t>
      </w:r>
      <w:r>
        <w:rPr>
          <w:rStyle w:val="1064"/>
          <w:rFonts w:hint="eastAsia"/>
          <w:color w:val="333333"/>
          <w:u w:val="single"/>
        </w:rPr>
        <w:t xml:space="preserve">（厂名）</w:t>
      </w:r>
      <w:r>
        <w:rPr>
          <w:rFonts w:hint="eastAsia"/>
          <w:color w:val="333333"/>
        </w:rPr>
        <w:t xml:space="preserve">，厂址为</w:t>
      </w:r>
      <w:r>
        <w:rPr>
          <w:rStyle w:val="1064"/>
          <w:rFonts w:hint="eastAsia"/>
          <w:color w:val="333333"/>
          <w:u w:val="single"/>
        </w:rPr>
        <w:t xml:space="preserve">（生产厂址）</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的中国境内生产的组件成本占比≥</w:t>
      </w:r>
      <w:r>
        <w:rPr>
          <w:rStyle w:val="1064"/>
          <w:rFonts w:hint="eastAsia"/>
          <w:color w:val="333333"/>
          <w:u w:val="single"/>
        </w:rPr>
        <w:t xml:space="preserve">（规定比例）</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（关键组件）</w:t>
      </w:r>
      <w:r>
        <w:rPr>
          <w:rFonts w:hint="eastAsia"/>
          <w:color w:val="333333"/>
        </w:rPr>
        <w:t xml:space="preserve">在中国境内生产。</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（关键工序）</w:t>
      </w:r>
      <w:r>
        <w:rPr>
          <w:rFonts w:hint="eastAsia"/>
          <w:color w:val="333333"/>
        </w:rPr>
        <w:t xml:space="preserve">在中国境内完成。</w:t>
      </w:r>
      <w:r/>
    </w:p>
    <w:p>
      <w:pPr>
        <w:pStyle w:val="1057"/>
        <w:ind w:firstLine="480"/>
        <w:spacing w:before="30" w:after="30"/>
        <w:shd w:val="clear" w:color="auto" w:fill="ffffff"/>
        <w:rPr>
          <w:color w:val="333333"/>
        </w:rPr>
      </w:pPr>
      <w:r>
        <w:rPr>
          <w:rFonts w:hint="eastAsia"/>
          <w:color w:val="333333"/>
        </w:rPr>
        <w:t xml:space="preserve">……</w:t>
      </w:r>
      <w:r/>
    </w:p>
    <w:p>
      <w:pPr>
        <w:pStyle w:val="1057"/>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7"/>
        <w:spacing w:before="30" w:after="30"/>
        <w:shd w:val="clear" w:color="auto" w:fill="ffffff"/>
        <w:rPr>
          <w:color w:val="333333"/>
        </w:rPr>
      </w:pPr>
      <w:r>
        <w:rPr>
          <w:color w:val="333333"/>
        </w:rPr>
      </w:r>
      <w:r/>
    </w:p>
    <w:p>
      <w:pPr>
        <w:pStyle w:val="1057"/>
        <w:ind w:right="815"/>
        <w:jc w:val="center"/>
        <w:spacing w:before="30" w:after="30"/>
        <w:shd w:val="clear" w:color="auto" w:fill="ffffff"/>
        <w:rPr>
          <w:color w:val="333333"/>
        </w:rPr>
      </w:pPr>
      <w:r>
        <w:rPr>
          <w:rFonts w:hint="eastAsia"/>
          <w:color w:val="333333"/>
        </w:rPr>
        <w:t xml:space="preserve">公司（单位）名称（盖章）：</w:t>
      </w:r>
      <w:r/>
    </w:p>
    <w:p>
      <w:pPr>
        <w:pStyle w:val="1057"/>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ind w:left="0" w:firstLine="0"/>
        <w:spacing w:before="30" w:after="30"/>
        <w:shd w:val="clear" w:color="auto" w:fill="ffffff"/>
        <w:rPr>
          <w:color w:val="333333"/>
        </w:rPr>
      </w:pPr>
      <w:r>
        <w:rPr>
          <w:rFonts w:hint="eastAsia"/>
          <w:color w:val="333333"/>
        </w:rPr>
        <w:t xml:space="preserve">__________________</w:t>
      </w:r>
      <w:r/>
    </w:p>
    <w:p>
      <w:pPr>
        <w:pStyle w:val="1057"/>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7"/>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7"/>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ind w:left="0"/>
        <w:jc w:val="left"/>
        <w:rPr>
          <w:rFonts w:ascii="宋体" w:hAnsi="宋体"/>
          <w:sz w:val="21"/>
          <w:szCs w:val="21"/>
        </w:rPr>
        <w:outlineLvl w:val="0"/>
      </w:pPr>
      <w:r>
        <w:rPr>
          <w:rFonts w:ascii="宋体" w:hAnsi="宋体"/>
          <w:sz w:val="21"/>
          <w:szCs w:val="21"/>
          <w:lang w:val="zh-CN"/>
        </w:rPr>
        <w:br w:type="page" w:clear="all"/>
      </w:r>
      <w:r/>
    </w:p>
    <w:p>
      <w:pPr>
        <w:ind w:left="0"/>
        <w:jc w:val="left"/>
        <w:rPr>
          <w:rFonts w:ascii="宋体" w:hAnsi="宋体"/>
          <w:b/>
          <w:sz w:val="21"/>
          <w:szCs w:val="21"/>
        </w:rPr>
        <w:outlineLvl w:val="0"/>
      </w:pPr>
      <w:r/>
      <w:bookmarkStart w:id="105" w:name="_Toc235617193"/>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103"/>
      <w:r>
        <w:rPr>
          <w:rFonts w:hint="eastAsia" w:ascii="宋体" w:hAnsi="宋体"/>
          <w:b/>
          <w:sz w:val="21"/>
          <w:szCs w:val="21"/>
        </w:rPr>
        <w:t xml:space="preserve">偏离表（技术、商务）</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6" w:name="_Toc31973"/>
      <w:r/>
      <w:bookmarkStart w:id="107" w:name="_Toc27138"/>
      <w:r>
        <w:rPr>
          <w:rFonts w:ascii="宋体" w:hAnsi="宋体"/>
          <w:sz w:val="21"/>
          <w:szCs w:val="21"/>
        </w:rPr>
        <w:t xml:space="preserve"> </w:t>
      </w:r>
      <w:r/>
    </w:p>
    <w:p>
      <w:pPr>
        <w:pStyle w:val="102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6"/>
        <w:rPr>
          <w:rFonts w:ascii="宋体" w:hAnsi="宋体"/>
        </w:rPr>
      </w:pPr>
      <w:r>
        <w:rPr>
          <w:rFonts w:ascii="宋体" w:hAnsi="宋体"/>
        </w:rPr>
      </w:r>
      <w:r/>
    </w:p>
    <w:p>
      <w:pPr>
        <w:pStyle w:val="101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6"/>
        <w:rPr>
          <w:rFonts w:ascii="宋体" w:hAnsi="宋体"/>
        </w:rPr>
      </w:pPr>
      <w:r>
        <w:rPr>
          <w:rFonts w:ascii="宋体" w:hAnsi="宋体"/>
        </w:rPr>
      </w:r>
      <w:r/>
    </w:p>
    <w:p>
      <w:pPr>
        <w:pStyle w:val="101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6"/>
      <w:r/>
      <w:bookmarkStart w:id="109" w:name="_Toc235617194"/>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.项目服务人员配置表</w:t>
      </w:r>
      <w:bookmarkEnd w:id="108"/>
      <w:r/>
      <w:bookmarkEnd w:id="10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10" w:name="_Toc105397787"/>
      <w:r/>
      <w:bookmarkStart w:id="111" w:name="_Toc71810489"/>
      <w:r>
        <w:rPr>
          <w:rFonts w:ascii="宋体" w:hAnsi="宋体"/>
          <w:b/>
          <w:sz w:val="21"/>
          <w:szCs w:val="21"/>
        </w:rPr>
        <w:br w:type="page" w:clear="all"/>
      </w:r>
      <w:bookmarkStart w:id="112" w:name="_Toc235617195"/>
      <w:r>
        <w:rPr>
          <w:rFonts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.相关业绩一览表</w:t>
      </w:r>
      <w:bookmarkEnd w:id="110"/>
      <w:r/>
      <w:bookmarkEnd w:id="111"/>
      <w:r/>
      <w:bookmarkEnd w:id="11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rFonts w:ascii="宋体" w:hAnsi="宋体"/>
        </w:rPr>
      </w:pPr>
      <w:r>
        <w:rPr>
          <w:rFonts w:ascii="宋体" w:hAnsi="宋体"/>
        </w:rPr>
      </w:r>
      <w:r/>
    </w:p>
    <w:p>
      <w:pPr>
        <w:pStyle w:val="101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13" w:name="_Toc105397788"/>
      <w:r/>
      <w:bookmarkStart w:id="114" w:name="_Toc235617196"/>
      <w:r/>
      <w:bookmarkStart w:id="115" w:name="_Toc71810490"/>
      <w:r/>
      <w:bookmarkEnd w:id="106"/>
      <w:r/>
      <w:bookmarkEnd w:id="10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.针对本项目的实施方案</w:t>
      </w:r>
      <w:bookmarkEnd w:id="113"/>
      <w:r/>
      <w:bookmarkEnd w:id="11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rFonts w:ascii="宋体" w:hAnsi="宋体"/>
        </w:rPr>
      </w:pPr>
      <w:r>
        <w:rPr>
          <w:rFonts w:ascii="宋体" w:hAnsi="宋体"/>
        </w:rPr>
      </w:r>
      <w:r/>
    </w:p>
    <w:p>
      <w:pPr>
        <w:pStyle w:val="101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6" w:name="_Toc105397789"/>
      <w:r/>
      <w:bookmarkStart w:id="117" w:name="_Toc235617197"/>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关于资格文件的声明函</w:t>
      </w:r>
      <w:bookmarkEnd w:id="115"/>
      <w:r/>
      <w:bookmarkEnd w:id="116"/>
      <w:r/>
      <w:bookmarkEnd w:id="11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8" w:name="_Toc235617198"/>
      <w:r>
        <w:rPr>
          <w:rFonts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9" w:name="OLE_LINK7"/>
      <w:r/>
      <w:bookmarkStart w:id="120" w:name="OLE_LINK8"/>
      <w:r/>
      <w:bookmarkStart w:id="121" w:name="OLE_LINK4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2"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9"/>
      <w:r/>
      <w:bookmarkEnd w:id="120"/>
      <w:r/>
      <w:bookmarkEnd w:id="121"/>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2"/>
        <w:rPr>
          <w:lang w:val="zh-CN"/>
        </w:rPr>
      </w:pPr>
      <w:r>
        <w:rPr>
          <w:lang w:val="zh-CN"/>
        </w:rPr>
      </w:r>
      <w:r/>
    </w:p>
    <w:p>
      <w:pPr>
        <w:rPr>
          <w:lang w:val="zh-CN"/>
        </w:rPr>
      </w:pPr>
      <w:r>
        <w:rPr>
          <w:lang w:val="zh-CN"/>
        </w:rPr>
      </w:r>
      <w:r/>
    </w:p>
    <w:p>
      <w:pPr>
        <w:pStyle w:val="1012"/>
        <w:rPr>
          <w:lang w:val="zh-CN"/>
        </w:rPr>
      </w:pPr>
      <w:r>
        <w:rPr>
          <w:lang w:val="zh-CN"/>
        </w:rPr>
      </w:r>
      <w:r/>
    </w:p>
    <w:p>
      <w:pPr>
        <w:pStyle w:val="1000"/>
        <w:ind w:left="0" w:firstLine="0"/>
        <w:jc w:val="center"/>
        <w:rPr>
          <w:rFonts w:ascii="宋体" w:hAnsi="宋体"/>
          <w:b/>
          <w:sz w:val="44"/>
          <w:szCs w:val="22"/>
        </w:rPr>
      </w:pPr>
      <w:r/>
      <w:bookmarkStart w:id="123" w:name="_Toc4098"/>
      <w:r/>
      <w:bookmarkStart w:id="124" w:name="_Toc23660"/>
      <w:r/>
      <w:bookmarkStart w:id="125" w:name="_Toc235617199"/>
      <w:r>
        <w:rPr>
          <w:rFonts w:hint="eastAsia" w:ascii="宋体" w:hAnsi="宋体"/>
          <w:b/>
          <w:sz w:val="44"/>
          <w:szCs w:val="22"/>
        </w:rPr>
        <w:t xml:space="preserve">第四章  </w:t>
      </w:r>
      <w:bookmarkStart w:id="126" w:name="招标书"/>
      <w:r/>
      <w:bookmarkEnd w:id="126"/>
      <w:r>
        <w:rPr>
          <w:rFonts w:hint="eastAsia" w:ascii="宋体" w:hAnsi="宋体"/>
          <w:b/>
          <w:sz w:val="44"/>
          <w:szCs w:val="22"/>
        </w:rPr>
        <w:t xml:space="preserve">招标书</w:t>
      </w:r>
      <w:bookmarkEnd w:id="123"/>
      <w:r/>
      <w:bookmarkEnd w:id="124"/>
      <w:r/>
      <w:bookmarkEnd w:id="125"/>
      <w:r/>
      <w:r/>
    </w:p>
    <w:p>
      <w:pPr>
        <w:ind w:left="0" w:firstLine="420"/>
        <w:spacing w:line="360" w:lineRule="auto"/>
        <w:tabs>
          <w:tab w:val="left" w:pos="567"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苏州市卫生健康信息中心</w:t>
      </w:r>
      <w:r>
        <w:rPr>
          <w:rFonts w:ascii="宋体" w:hAnsi="宋体"/>
          <w:sz w:val="21"/>
        </w:rPr>
        <w:t xml:space="preserve">的委托，就</w:t>
      </w:r>
      <w:r>
        <w:rPr>
          <w:rFonts w:hint="eastAsia" w:ascii="宋体" w:hAnsi="宋体"/>
          <w:sz w:val="21"/>
          <w:u w:val="single"/>
        </w:rPr>
        <w:t xml:space="preserve">苏州市公改示范项目健康医疗大数据中心升级建设、便民惠民应用体系及安全保障体系项目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567"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JSZC-320500-JZCG-G2026-0175</w:t>
      </w:r>
      <w:r/>
    </w:p>
    <w:p>
      <w:pPr>
        <w:ind w:left="0" w:firstLine="420"/>
        <w:spacing w:line="360" w:lineRule="auto"/>
        <w:tabs>
          <w:tab w:val="left" w:pos="567"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苏州市公改示范项目健康医疗大数据中心升级建设、便民惠民应用体系及安全保障体系项目</w:t>
      </w:r>
      <w:r/>
    </w:p>
    <w:p>
      <w:pPr>
        <w:ind w:left="0" w:firstLine="420"/>
        <w:spacing w:line="360" w:lineRule="auto"/>
        <w:tabs>
          <w:tab w:val="left" w:pos="567" w:leader="none"/>
        </w:tabs>
        <w:rPr>
          <w:rFonts w:ascii="宋体" w:hAnsi="宋体"/>
          <w:sz w:val="21"/>
        </w:rPr>
      </w:pPr>
      <w:r>
        <w:rPr>
          <w:rFonts w:hint="eastAsia" w:ascii="宋体" w:hAnsi="宋体"/>
          <w:sz w:val="21"/>
        </w:rPr>
        <w:t xml:space="preserve">三、预算金额：</w:t>
      </w:r>
      <w:bookmarkStart w:id="127" w:name="OLE_LINK18"/>
      <w:r/>
      <w:bookmarkStart w:id="128" w:name="OLE_LINK19"/>
      <w:r>
        <w:rPr>
          <w:rFonts w:hint="eastAsia" w:ascii="宋体" w:hAnsi="宋体"/>
          <w:sz w:val="21"/>
        </w:rPr>
        <w:t xml:space="preserve">人民币</w:t>
      </w:r>
      <w:bookmarkEnd w:id="127"/>
      <w:r/>
      <w:bookmarkEnd w:id="128"/>
      <w:r>
        <w:rPr>
          <w:rFonts w:hint="eastAsia" w:ascii="宋体" w:hAnsi="宋体"/>
          <w:sz w:val="21"/>
        </w:rPr>
        <w:t xml:space="preserve">伍</w:t>
      </w:r>
      <w:r>
        <w:rPr>
          <w:rFonts w:hint="eastAsia" w:ascii="宋体" w:hAnsi="宋体"/>
          <w:sz w:val="21"/>
        </w:rPr>
        <w:t xml:space="preserve">仟肆佰陆拾万肆仟元整</w:t>
      </w:r>
      <w:r>
        <w:rPr>
          <w:rFonts w:hint="eastAsia" w:ascii="宋体" w:hAnsi="宋体"/>
          <w:sz w:val="21"/>
        </w:rPr>
        <w:t xml:space="preserve">（</w:t>
      </w:r>
      <w:r>
        <w:rPr>
          <w:rFonts w:hint="eastAsia" w:ascii="宋体" w:hAnsi="宋体"/>
          <w:sz w:val="21"/>
        </w:rPr>
        <w:t xml:space="preserve">￥54</w:t>
      </w:r>
      <w:r>
        <w:rPr>
          <w:rFonts w:ascii="宋体" w:hAnsi="宋体"/>
          <w:sz w:val="21"/>
        </w:rPr>
        <w:t xml:space="preserve">,</w:t>
      </w:r>
      <w:r>
        <w:rPr>
          <w:rFonts w:hint="eastAsia" w:ascii="宋体" w:hAnsi="宋体"/>
          <w:sz w:val="21"/>
        </w:rPr>
        <w:t xml:space="preserve">604</w:t>
      </w:r>
      <w:r>
        <w:rPr>
          <w:rFonts w:ascii="宋体" w:hAnsi="宋体"/>
          <w:sz w:val="21"/>
        </w:rPr>
        <w:t xml:space="preserve">,</w:t>
      </w:r>
      <w:r>
        <w:rPr>
          <w:rFonts w:hint="eastAsia" w:ascii="宋体" w:hAnsi="宋体"/>
          <w:sz w:val="21"/>
        </w:rPr>
        <w:t xml:space="preserve">000.00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rPr>
        <w:t xml:space="preserve">标段一</w:t>
      </w:r>
      <w:bookmarkStart w:id="129" w:name="OLE_LINK20"/>
      <w:r>
        <w:rPr>
          <w:rFonts w:hint="eastAsia" w:ascii="宋体" w:hAnsi="宋体"/>
          <w:sz w:val="21"/>
        </w:rPr>
        <w:t xml:space="preserve">：</w:t>
      </w:r>
      <w:bookmarkEnd w:id="129"/>
      <w:r>
        <w:rPr>
          <w:rFonts w:hint="eastAsia" w:ascii="宋体" w:hAnsi="宋体"/>
          <w:sz w:val="21"/>
        </w:rPr>
        <w:t xml:space="preserve">苏州市健康医疗大数据中心升级建设</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叁仟伍佰肆拾柒万伍仟伍佰元整</w:t>
      </w:r>
      <w:r>
        <w:rPr>
          <w:rFonts w:hint="eastAsia" w:ascii="宋体" w:hAnsi="宋体"/>
          <w:sz w:val="21"/>
        </w:rPr>
        <w:t xml:space="preserve">（</w:t>
      </w:r>
      <w:r>
        <w:rPr>
          <w:rFonts w:hint="eastAsia" w:ascii="宋体" w:hAnsi="宋体"/>
          <w:sz w:val="21"/>
        </w:rPr>
        <w:t xml:space="preserve">￥35</w:t>
      </w:r>
      <w:r>
        <w:rPr>
          <w:rFonts w:ascii="宋体" w:hAnsi="宋体"/>
          <w:sz w:val="21"/>
        </w:rPr>
        <w:t xml:space="preserve">,</w:t>
      </w:r>
      <w:r>
        <w:rPr>
          <w:rFonts w:hint="eastAsia" w:ascii="宋体" w:hAnsi="宋体"/>
          <w:sz w:val="21"/>
        </w:rPr>
        <w:t xml:space="preserve">475</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基础支撑应用体系及网络安全升级</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壹仟玖佰壹拾贰万捌仟伍佰元整</w:t>
      </w:r>
      <w:r>
        <w:rPr>
          <w:rFonts w:hint="eastAsia" w:ascii="宋体" w:hAnsi="宋体"/>
          <w:sz w:val="21"/>
        </w:rPr>
        <w:t xml:space="preserve">（</w:t>
      </w:r>
      <w:r>
        <w:rPr>
          <w:rFonts w:hint="eastAsia" w:ascii="宋体" w:hAnsi="宋体"/>
          <w:sz w:val="21"/>
        </w:rPr>
        <w:t xml:space="preserve">￥19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rPr>
          <w:rFonts w:ascii="宋体" w:hAnsi="宋体"/>
          <w:sz w:val="21"/>
        </w:rPr>
        <w:t xml:space="preserve"> </w:t>
      </w:r>
      <w:r/>
    </w:p>
    <w:p>
      <w:pPr>
        <w:ind w:left="0" w:firstLine="420"/>
        <w:spacing w:line="360" w:lineRule="auto"/>
        <w:tabs>
          <w:tab w:val="left" w:pos="567" w:leader="none"/>
        </w:tabs>
        <w:rPr>
          <w:rFonts w:ascii="宋体" w:hAnsi="宋体"/>
          <w:sz w:val="21"/>
        </w:rPr>
      </w:pPr>
      <w:r>
        <w:rPr>
          <w:rFonts w:hint="eastAsia" w:ascii="宋体" w:hAnsi="宋体"/>
          <w:sz w:val="21"/>
        </w:rPr>
        <w:t xml:space="preserve">四、最高限价：人民币伍</w:t>
      </w:r>
      <w:r>
        <w:rPr>
          <w:rFonts w:hint="eastAsia" w:ascii="宋体" w:hAnsi="宋体"/>
          <w:sz w:val="21"/>
        </w:rPr>
        <w:t xml:space="preserve">仟肆佰陆拾万肆仟元整</w:t>
      </w:r>
      <w:r>
        <w:rPr>
          <w:rFonts w:hint="eastAsia" w:ascii="宋体" w:hAnsi="宋体"/>
          <w:sz w:val="21"/>
        </w:rPr>
        <w:t xml:space="preserve">（</w:t>
      </w:r>
      <w:r>
        <w:rPr>
          <w:rFonts w:hint="eastAsia" w:ascii="宋体" w:hAnsi="宋体"/>
          <w:sz w:val="21"/>
        </w:rPr>
        <w:t xml:space="preserve">￥54</w:t>
      </w:r>
      <w:r>
        <w:rPr>
          <w:rFonts w:ascii="宋体" w:hAnsi="宋体"/>
          <w:sz w:val="21"/>
        </w:rPr>
        <w:t xml:space="preserve">,</w:t>
      </w:r>
      <w:r>
        <w:rPr>
          <w:rFonts w:hint="eastAsia" w:ascii="宋体" w:hAnsi="宋体"/>
          <w:sz w:val="21"/>
        </w:rPr>
        <w:t xml:space="preserve">604</w:t>
      </w:r>
      <w:r>
        <w:rPr>
          <w:rFonts w:ascii="宋体" w:hAnsi="宋体"/>
          <w:sz w:val="21"/>
        </w:rPr>
        <w:t xml:space="preserve">,</w:t>
      </w:r>
      <w:r>
        <w:rPr>
          <w:rFonts w:hint="eastAsia" w:ascii="宋体" w:hAnsi="宋体"/>
          <w:sz w:val="21"/>
        </w:rPr>
        <w:t xml:space="preserve">000.00</w:t>
      </w:r>
      <w:r>
        <w:rPr>
          <w:rFonts w:hint="eastAsia" w:ascii="宋体" w:hAnsi="宋体"/>
          <w:sz w:val="21"/>
        </w:rPr>
        <w:t xml:space="preserve">元）</w:t>
      </w:r>
      <w:r/>
    </w:p>
    <w:p>
      <w:pPr>
        <w:ind w:left="0" w:firstLine="420"/>
        <w:spacing w:line="360" w:lineRule="auto"/>
        <w:tabs>
          <w:tab w:val="left" w:pos="567" w:leader="none"/>
        </w:tabs>
        <w:rPr>
          <w:rFonts w:ascii="宋体" w:hAnsi="宋体"/>
          <w:sz w:val="21"/>
        </w:rPr>
      </w:pPr>
      <w:r>
        <w:rPr>
          <w:rFonts w:hint="eastAsia" w:ascii="宋体" w:hAnsi="宋体"/>
          <w:sz w:val="21"/>
        </w:rPr>
        <w:t xml:space="preserve">标段一</w:t>
      </w:r>
      <w:r>
        <w:rPr>
          <w:rFonts w:hint="eastAsia" w:ascii="宋体" w:hAnsi="宋体"/>
          <w:sz w:val="21"/>
        </w:rPr>
        <w:t xml:space="preserve">：</w:t>
      </w:r>
      <w:r>
        <w:rPr>
          <w:rFonts w:hint="eastAsia" w:ascii="宋体" w:hAnsi="宋体"/>
          <w:sz w:val="21"/>
        </w:rPr>
        <w:t xml:space="preserve">苏州市健康医疗大数据中心升级建设</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叁仟伍佰肆拾柒万伍仟伍佰元整</w:t>
      </w:r>
      <w:r>
        <w:rPr>
          <w:rFonts w:hint="eastAsia" w:ascii="宋体" w:hAnsi="宋体"/>
          <w:sz w:val="21"/>
        </w:rPr>
        <w:t xml:space="preserve">（</w:t>
      </w:r>
      <w:r>
        <w:rPr>
          <w:rFonts w:hint="eastAsia" w:ascii="宋体" w:hAnsi="宋体"/>
          <w:sz w:val="21"/>
        </w:rPr>
        <w:t xml:space="preserve">￥35</w:t>
      </w:r>
      <w:r>
        <w:rPr>
          <w:rFonts w:ascii="宋体" w:hAnsi="宋体"/>
          <w:sz w:val="21"/>
        </w:rPr>
        <w:t xml:space="preserve">,</w:t>
      </w:r>
      <w:r>
        <w:rPr>
          <w:rFonts w:hint="eastAsia" w:ascii="宋体" w:hAnsi="宋体"/>
          <w:sz w:val="21"/>
        </w:rPr>
        <w:t xml:space="preserve">475</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基础支撑应用体系及网络安全升级</w:t>
      </w:r>
      <w:r>
        <w:rPr>
          <w:rFonts w:hint="eastAsia" w:ascii="宋体" w:hAnsi="宋体"/>
          <w:sz w:val="21"/>
        </w:rPr>
        <w:t xml:space="preserve">，</w:t>
      </w:r>
      <w:r>
        <w:rPr>
          <w:rFonts w:hint="eastAsia" w:ascii="宋体" w:hAnsi="宋体"/>
          <w:sz w:val="21"/>
        </w:rPr>
        <w:t xml:space="preserve">项目预算</w:t>
      </w:r>
      <w:r>
        <w:rPr>
          <w:rFonts w:hint="eastAsia" w:ascii="宋体" w:hAnsi="宋体"/>
          <w:sz w:val="21"/>
        </w:rPr>
        <w:t xml:space="preserve">：人民币</w:t>
      </w:r>
      <w:r>
        <w:rPr>
          <w:rFonts w:hint="eastAsia" w:ascii="宋体" w:hAnsi="宋体"/>
          <w:sz w:val="21"/>
        </w:rPr>
        <w:t xml:space="preserve">壹仟玖佰壹拾贰万捌仟伍佰元整</w:t>
      </w:r>
      <w:r>
        <w:rPr>
          <w:rFonts w:hint="eastAsia" w:ascii="宋体" w:hAnsi="宋体"/>
          <w:sz w:val="21"/>
        </w:rPr>
        <w:t xml:space="preserve">（</w:t>
      </w:r>
      <w:r>
        <w:rPr>
          <w:rFonts w:hint="eastAsia" w:ascii="宋体" w:hAnsi="宋体"/>
          <w:sz w:val="21"/>
        </w:rPr>
        <w:t xml:space="preserve">￥19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标段一</w:t>
      </w:r>
      <w:r>
        <w:rPr>
          <w:rFonts w:hint="eastAsia" w:ascii="宋体" w:hAnsi="宋体"/>
          <w:sz w:val="21"/>
        </w:rPr>
        <w:t xml:space="preserve">：</w:t>
      </w:r>
      <w:r>
        <w:rPr>
          <w:rFonts w:hint="eastAsia" w:ascii="宋体" w:hAnsi="宋体"/>
          <w:sz w:val="21"/>
        </w:rPr>
        <w:t xml:space="preserve">本项目在合同签订后，</w:t>
      </w:r>
      <w:r>
        <w:rPr>
          <w:rFonts w:ascii="宋体" w:hAnsi="宋体"/>
          <w:sz w:val="21"/>
        </w:rPr>
        <w:t xml:space="preserve">1个月内完成操作系统、数据库、中间件</w:t>
      </w:r>
      <w:r>
        <w:rPr>
          <w:rFonts w:hint="eastAsia" w:ascii="宋体" w:hAnsi="宋体"/>
          <w:sz w:val="21"/>
        </w:rPr>
        <w:t xml:space="preserve">等项目配套设施的部署</w:t>
      </w:r>
      <w:r>
        <w:rPr>
          <w:rFonts w:ascii="宋体" w:hAnsi="宋体"/>
          <w:sz w:val="21"/>
        </w:rPr>
        <w:t xml:space="preserve">工作</w:t>
      </w:r>
      <w:r>
        <w:rPr>
          <w:rFonts w:hint="eastAsia" w:ascii="宋体" w:hAnsi="宋体"/>
          <w:sz w:val="21"/>
        </w:rPr>
        <w:t xml:space="preserve">，上线运行后组织验收。6个月内完成各系统主要功能模块开发工作和实际网络运行环境部署工作，并开展初步验收，初步验收完成后进入试运行期，试运行期不低于 6 个月，</w:t>
      </w:r>
      <w:r>
        <w:rPr>
          <w:rFonts w:ascii="宋体" w:hAnsi="宋体"/>
          <w:sz w:val="21"/>
        </w:rPr>
        <w:t xml:space="preserve">试运行期结束后1个月内，以专家组验收方式，对项目建设成果进行</w:t>
      </w:r>
      <w:r>
        <w:rPr>
          <w:rFonts w:hint="eastAsia" w:ascii="宋体" w:hAnsi="宋体"/>
          <w:sz w:val="21"/>
        </w:rPr>
        <w:t xml:space="preserve">验收，要求验收通过后提供3年免费运维服务</w:t>
      </w:r>
      <w:r>
        <w:rPr>
          <w:rFonts w:hint="eastAsia" w:ascii="宋体" w:hAnsi="宋体"/>
          <w:sz w:val="21"/>
        </w:rPr>
        <w:t xml:space="preserve">，免费运维期结束后额外提供2年免费升级服务。本项目数据治理运营服务内容服务期为合同签订后15个月。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标段二</w:t>
      </w:r>
      <w:r>
        <w:rPr>
          <w:rFonts w:hint="eastAsia" w:ascii="宋体" w:hAnsi="宋体"/>
          <w:sz w:val="21"/>
        </w:rPr>
        <w:t xml:space="preserve">：</w:t>
      </w:r>
      <w:r>
        <w:rPr>
          <w:rFonts w:hint="eastAsia" w:ascii="宋体" w:hAnsi="宋体"/>
          <w:sz w:val="21"/>
        </w:rPr>
        <w:t xml:space="preserve">本项目在合同签订后，1个月内完成软硬件到货、部署实施及验收工作， 6个月内完成项目开发工作以及部署上线工作，上线后进入试运行期，试运行期6个月内完成验收工作，验收通过后提供3年免费运维服务</w:t>
      </w:r>
      <w:r>
        <w:rPr>
          <w:rFonts w:hint="eastAsia" w:ascii="宋体" w:hAnsi="宋体"/>
          <w:sz w:val="21"/>
        </w:rPr>
        <w:t xml:space="preserve">，</w:t>
      </w:r>
      <w:r>
        <w:rPr>
          <w:rFonts w:hint="eastAsia" w:ascii="宋体" w:hAnsi="宋体"/>
          <w:sz w:val="21"/>
        </w:rPr>
        <w:t xml:space="preserve">免费运维期结束后额外提供2年免费升级服务。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1000"/>
        <w:rPr>
          <w:rFonts w:ascii="宋体" w:hAnsi="宋体"/>
          <w:b/>
          <w:sz w:val="21"/>
        </w:rPr>
      </w:pPr>
      <w:r/>
      <w:bookmarkStart w:id="130" w:name="_Toc233642160"/>
      <w:r/>
      <w:bookmarkStart w:id="131" w:name="_Toc235617200"/>
      <w:r>
        <w:rPr>
          <w:rFonts w:hint="eastAsia" w:ascii="宋体" w:hAnsi="宋体"/>
          <w:b/>
          <w:sz w:val="21"/>
        </w:rPr>
        <w:t xml:space="preserve">标段一：苏州市健康医疗大数据中心升级建设</w:t>
      </w:r>
      <w:bookmarkEnd w:id="130"/>
      <w:r/>
      <w:bookmarkEnd w:id="131"/>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（一）项目概述</w:t>
      </w:r>
      <w:r/>
    </w:p>
    <w:p>
      <w:pPr>
        <w:ind w:left="0" w:firstLine="420"/>
        <w:spacing w:line="360" w:lineRule="auto"/>
        <w:tabs>
          <w:tab w:val="left" w:pos="420" w:leader="none"/>
        </w:tabs>
        <w:rPr>
          <w:rFonts w:ascii="宋体" w:hAnsi="宋体"/>
          <w:sz w:val="21"/>
        </w:rPr>
      </w:pPr>
      <w:r>
        <w:rPr>
          <w:rFonts w:hint="eastAsia" w:ascii="宋体" w:hAnsi="宋体"/>
          <w:sz w:val="21"/>
        </w:rPr>
        <w:t xml:space="preserve">1.建设背景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十四五”以来，中共中央、国务院办公厅、国家卫健委、国家中医药局、国家疾控局等部门针对全民健康信息化、智慧医院建设、健康医疗大数据创新应用发布了《中共中央关于进一步全面深化改革推进中国式现代化的决定》《“健康中国2030”规划纲要》《关于推动公立医院高质量发展的意见》《“十四五”全民健康信息化规划》等文件提出了总体规划、行动方案和指导意见，为本项目建设提出了具体的行动指引。</w:t>
      </w:r>
      <w:r/>
    </w:p>
    <w:p>
      <w:pPr>
        <w:ind w:left="0" w:firstLine="420"/>
        <w:spacing w:line="360" w:lineRule="auto"/>
        <w:tabs>
          <w:tab w:val="left" w:pos="420" w:leader="none"/>
        </w:tabs>
        <w:rPr>
          <w:rFonts w:ascii="宋体" w:hAnsi="宋体"/>
          <w:sz w:val="21"/>
        </w:rPr>
      </w:pPr>
      <w:r>
        <w:rPr>
          <w:rFonts w:hint="eastAsia" w:ascii="宋体" w:hAnsi="宋体"/>
          <w:sz w:val="21"/>
        </w:rPr>
        <w:t xml:space="preserve">2023年6月，苏州市政府为加快实</w:t>
      </w:r>
      <w:r>
        <w:rPr>
          <w:rFonts w:hint="eastAsia" w:ascii="宋体" w:hAnsi="宋体"/>
          <w:sz w:val="21"/>
        </w:rPr>
        <w:t xml:space="preserve">施《“健康苏州2030”规划纲要》，将苏州建设成健康中国典范城市，特发布《进一步落实健康中国行动建设健康中国典范城市的意见》，意见要求打造市级健康大数据中心，建设“健康苏州云”平台，促进大数据、人工智能深化应用，提升健康管理智能化水平，加强健康医疗信息标准化建设，提高数据归集质量，健全健康医疗数据资源目录，提升信息资源管理水平，从而进一步推动健康中国行动和健康苏州建设落地见效，推进以治病为中心转变为以人民健康为中心，提高全民健康水平，形成有利于健康的生活方式、生态环境和社会环境，全方位、全周期保障人民健康。</w:t>
      </w:r>
      <w:r/>
    </w:p>
    <w:p>
      <w:pPr>
        <w:ind w:left="0" w:firstLine="420"/>
        <w:spacing w:line="360" w:lineRule="auto"/>
        <w:tabs>
          <w:tab w:val="left" w:pos="420" w:leader="none"/>
        </w:tabs>
        <w:rPr>
          <w:rFonts w:ascii="宋体" w:hAnsi="宋体"/>
          <w:sz w:val="21"/>
        </w:rPr>
      </w:pPr>
      <w:r>
        <w:rPr>
          <w:rFonts w:hint="eastAsia" w:ascii="宋体" w:hAnsi="宋体"/>
          <w:sz w:val="21"/>
        </w:rPr>
        <w:t xml:space="preserve">2024年9月，苏州市通过2024年中央财政支持公立医院改革与高质量发展示范项目竞争性评审，成为全国第三批公立医院改革与高质量发展示范20个入选城市之一。《江苏省苏州市公立医院改革与高质量发展示范项目实施方案》提出：实施公立医院改革与高质量发展“示范引领12322”行动，1是以构建以人为本的整合性医疗卫生服务体系、推动人人享有更高水平的“苏式健康”服务为引领，2是坚持改革与高质量发展双向发力，3是实施三大工程，22是落实22项重点任务。本项目是三大工程的第三个工程</w:t>
      </w:r>
      <w:bookmarkStart w:id="132" w:name="_Toc23105"/>
      <w:r>
        <w:rPr>
          <w:rFonts w:hint="eastAsia" w:ascii="宋体" w:hAnsi="宋体"/>
          <w:sz w:val="21"/>
        </w:rPr>
        <w:t xml:space="preserve">数智赋能健康医疗水平提升工程</w:t>
      </w:r>
      <w:bookmarkEnd w:id="132"/>
      <w:r>
        <w:rPr>
          <w:rFonts w:hint="eastAsia" w:ascii="宋体" w:hAnsi="宋体"/>
          <w:sz w:val="21"/>
        </w:rPr>
        <w:t xml:space="preserve">的重要组成内容。当前和今后一段时期，统筹推动全民健康信息化建设，推动健康医疗大数据创新应用是支撑卫生健康事业产业高质量发展的重要举措，苏州市需要坚决贯彻执行国家和省、市关于深化医改和推动卫生健康事业高质量发展相关要求，把握示范项目的机遇，激发各领域各方面改革动力，推进卫生健康信息化体制机制、方式流程、手段工具全方位系统性重塑，加快打造具有苏州特色示范项目建设标志性成果。</w:t>
      </w:r>
      <w:r/>
    </w:p>
    <w:p>
      <w:pPr>
        <w:ind w:left="0" w:firstLine="420"/>
        <w:spacing w:line="360" w:lineRule="auto"/>
        <w:tabs>
          <w:tab w:val="left" w:pos="420" w:leader="none"/>
        </w:tabs>
        <w:rPr>
          <w:rFonts w:ascii="宋体" w:hAnsi="宋体"/>
          <w:sz w:val="21"/>
        </w:rPr>
      </w:pPr>
      <w:r>
        <w:rPr>
          <w:rFonts w:ascii="宋体" w:hAnsi="宋体"/>
          <w:sz w:val="21"/>
        </w:rPr>
        <w:t xml:space="preserve">2019年，苏州市卫健委启动苏州市健康医疗大数据中心（一期）建设，初步搭建了数据中台体系架构，</w:t>
      </w:r>
      <w:r>
        <w:rPr>
          <w:rFonts w:hint="eastAsia" w:ascii="宋体" w:hAnsi="宋体"/>
          <w:sz w:val="21"/>
        </w:rPr>
        <w:t xml:space="preserve">并</w:t>
      </w:r>
      <w:r>
        <w:rPr>
          <w:rFonts w:ascii="宋体" w:hAnsi="宋体"/>
          <w:sz w:val="21"/>
        </w:rPr>
        <w:t xml:space="preserve">持续优化苏州市健康医疗大数据平台基础功能、标准规范体系和信息交换服务体系，提升了平台的整体数据支撑服务能力</w:t>
      </w:r>
      <w:r>
        <w:rPr>
          <w:rFonts w:hint="eastAsia" w:ascii="宋体" w:hAnsi="宋体"/>
          <w:sz w:val="21"/>
        </w:rPr>
        <w:t xml:space="preserve">。</w:t>
      </w:r>
      <w:r>
        <w:rPr>
          <w:rFonts w:ascii="宋体" w:hAnsi="宋体"/>
          <w:sz w:val="21"/>
        </w:rPr>
        <w:t xml:space="preserve">当前，面向多层次多结构的服务需求，我市智慧医院能级需要进一步提升，数智赋能卫生健康事业产业发展支撑</w:t>
      </w:r>
      <w:r>
        <w:rPr>
          <w:rFonts w:hint="eastAsia" w:ascii="宋体" w:hAnsi="宋体"/>
          <w:sz w:val="21"/>
        </w:rPr>
        <w:t xml:space="preserve">明显</w:t>
      </w:r>
      <w:r>
        <w:rPr>
          <w:rFonts w:ascii="宋体" w:hAnsi="宋体"/>
          <w:sz w:val="21"/>
        </w:rPr>
        <w:t xml:space="preserve">不足</w:t>
      </w:r>
      <w:r>
        <w:rPr>
          <w:rFonts w:hint="eastAsia" w:ascii="宋体" w:hAnsi="宋体"/>
          <w:sz w:val="21"/>
        </w:rPr>
        <w:t xml:space="preserve">，</w:t>
      </w:r>
      <w:r>
        <w:rPr>
          <w:rFonts w:ascii="宋体" w:hAnsi="宋体"/>
          <w:sz w:val="21"/>
        </w:rPr>
        <w:t xml:space="preserve">现有的健康医疗大数据中心难以支持苏州市卫生健康事业高质量发展要求</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2.建设目标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通过统筹全市健康医疗数智化改革资源配置，持续深化健康医疗数智化能力建设，构建起可支撑苏州市卫生健康事业产业未来发展需求的数字底座，形成较为完善的全市公立医院数智化转型数据资源协同体系、数据赋能体系，有效推动卫生健康工作机制和业务流程再造，健康医疗数据潜能充分激活，形成卫生健康事业发展新动能。</w:t>
      </w:r>
      <w:r/>
    </w:p>
    <w:p>
      <w:pPr>
        <w:ind w:left="0" w:firstLine="420"/>
        <w:spacing w:line="360" w:lineRule="auto"/>
        <w:tabs>
          <w:tab w:val="left" w:pos="420" w:leader="none"/>
        </w:tabs>
        <w:rPr>
          <w:rFonts w:ascii="宋体" w:hAnsi="宋体"/>
          <w:sz w:val="21"/>
        </w:rPr>
      </w:pPr>
      <w:r>
        <w:rPr>
          <w:rFonts w:hint="eastAsia" w:ascii="宋体" w:hAnsi="宋体"/>
          <w:sz w:val="21"/>
        </w:rPr>
        <w:t xml:space="preserve">以数智化能力集约建设、统一供给为定位，持续开展全市健康医疗数据的汇聚、治理、共享，升级市级健康医疗数据中心，强化医疗数据全生命周期管理，打造从医疗机构到健康医疗大数据中心的数据实时同步和治理链路，建立数据全生命周期质控体系和问题处理机制，夯实全市健康医疗数据互联互通基础，提升大数据中心高质量供给数据的能力，推动大数据技术赋能健康医疗数据资源开发利用，充分发挥数据乘数效应，形成自我造血、正向循环的长效运营机制。</w:t>
      </w:r>
      <w:r/>
    </w:p>
    <w:p>
      <w:pPr>
        <w:ind w:left="0" w:firstLine="420"/>
        <w:spacing w:line="360" w:lineRule="auto"/>
        <w:tabs>
          <w:tab w:val="left" w:pos="420" w:leader="none"/>
        </w:tabs>
        <w:rPr>
          <w:rFonts w:ascii="宋体" w:hAnsi="宋体"/>
          <w:sz w:val="21"/>
        </w:rPr>
      </w:pPr>
      <w:r>
        <w:rPr>
          <w:rFonts w:hint="eastAsia" w:ascii="宋体" w:hAnsi="宋体"/>
          <w:sz w:val="21"/>
        </w:rPr>
        <w:t xml:space="preserve">3.建设内容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健康医疗大数据中心升级建设项目以示范项目实施方案规划内容为指引，按照统分结合，统筹推进的原则，立足“强基础、优支撑、统入口、促协同”定位，持续开展全市健康医疗数据的汇聚、治理、共享，升级市级健康医疗数据中心，提升大数据中心高质量供给数据的能力，为公立医院改革与高质量发展强化数智赋能。</w:t>
      </w:r>
      <w:r/>
    </w:p>
    <w:p>
      <w:pPr>
        <w:ind w:left="0" w:firstLine="420"/>
        <w:spacing w:line="360" w:lineRule="auto"/>
        <w:tabs>
          <w:tab w:val="left" w:pos="420" w:leader="none"/>
        </w:tabs>
        <w:rPr>
          <w:rFonts w:ascii="宋体" w:hAnsi="宋体"/>
          <w:sz w:val="21"/>
        </w:rPr>
      </w:pPr>
      <w:r>
        <w:rPr>
          <w:rFonts w:hint="eastAsia" w:ascii="宋体" w:hAnsi="宋体"/>
          <w:sz w:val="21"/>
        </w:rPr>
        <w:t xml:space="preserve">3.1 升级健康医疗大数据中心</w:t>
      </w:r>
      <w:r/>
    </w:p>
    <w:p>
      <w:pPr>
        <w:ind w:left="0" w:firstLine="420"/>
        <w:spacing w:line="360" w:lineRule="auto"/>
        <w:tabs>
          <w:tab w:val="left" w:pos="420" w:leader="none"/>
        </w:tabs>
        <w:rPr>
          <w:rFonts w:ascii="宋体" w:hAnsi="宋体"/>
          <w:sz w:val="21"/>
        </w:rPr>
      </w:pPr>
      <w:r>
        <w:rPr>
          <w:rFonts w:hint="eastAsia" w:ascii="宋体" w:hAnsi="宋体"/>
          <w:sz w:val="21"/>
        </w:rPr>
        <w:t xml:space="preserve">升级苏州市健康医疗大数据中心，贯通健康医疗数据归集、治理、开发、应用、流通的全生命周期链条，构建从数据源库到中心库的实时同步链路，确保数据的准确性和完整性,实现健康医疗数据实时、全面归集，搭建一套完善的数据治理工具，增强健康医疗数据治理能力，补足深层次开发利用技术短板，以“数据高可用”为核心打造区域性健康医疗数据质量控制体系，构建“评估—反馈—整改—验证”的闭环质控机制和医疗机构分级达标模型，全面持续的提升数据质量。</w:t>
      </w:r>
      <w:r/>
    </w:p>
    <w:p>
      <w:pPr>
        <w:ind w:left="0" w:firstLine="420"/>
        <w:spacing w:line="360" w:lineRule="auto"/>
        <w:tabs>
          <w:tab w:val="left" w:pos="420" w:leader="none"/>
        </w:tabs>
        <w:rPr>
          <w:rFonts w:ascii="宋体" w:hAnsi="宋体"/>
          <w:sz w:val="21"/>
        </w:rPr>
      </w:pPr>
      <w:r>
        <w:rPr>
          <w:rFonts w:hint="eastAsia" w:ascii="宋体" w:hAnsi="宋体"/>
          <w:sz w:val="21"/>
        </w:rPr>
        <w:t xml:space="preserve">3.2 构建健康医疗数据治理运营服务体系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建立常态化的数据治理运营服务机制，保障数据持续的优质高效，包括数据同步服务、数据治理服务、数据质控服务、数据开发服务、数据共享服务、标准数据集动态修订服务、老通道数据及应用迁移服务等。</w:t>
      </w:r>
      <w:r/>
    </w:p>
    <w:p>
      <w:pPr>
        <w:ind w:left="0" w:firstLine="420"/>
        <w:spacing w:line="360" w:lineRule="auto"/>
        <w:tabs>
          <w:tab w:val="left" w:pos="420" w:leader="none"/>
        </w:tabs>
        <w:rPr>
          <w:rFonts w:ascii="宋体" w:hAnsi="宋体"/>
          <w:sz w:val="21"/>
        </w:rPr>
      </w:pPr>
      <w:r>
        <w:rPr>
          <w:rFonts w:hint="eastAsia" w:ascii="宋体" w:hAnsi="宋体"/>
          <w:sz w:val="21"/>
        </w:rPr>
        <w:t xml:space="preserve">4.建设参考依据</w:t>
      </w:r>
      <w:r/>
    </w:p>
    <w:p>
      <w:pPr>
        <w:ind w:left="0" w:firstLine="420"/>
        <w:spacing w:line="360" w:lineRule="auto"/>
        <w:tabs>
          <w:tab w:val="left" w:pos="420" w:leader="none"/>
        </w:tabs>
        <w:rPr>
          <w:rFonts w:ascii="宋体" w:hAnsi="宋体"/>
          <w:sz w:val="21"/>
        </w:rPr>
      </w:pPr>
      <w:r>
        <w:rPr>
          <w:rFonts w:hint="eastAsia" w:ascii="宋体" w:hAnsi="宋体"/>
          <w:sz w:val="21"/>
        </w:rPr>
        <w:t xml:space="preserve">政策制度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《中共中央办公厅 国务院办公厅关于加快公共数据资源开发利用的意见》（2024年第30号）；</w:t>
      </w:r>
      <w:r/>
    </w:p>
    <w:p>
      <w:pPr>
        <w:ind w:left="0" w:firstLine="420"/>
        <w:spacing w:line="360" w:lineRule="auto"/>
        <w:tabs>
          <w:tab w:val="left" w:pos="420" w:leader="none"/>
        </w:tabs>
        <w:rPr>
          <w:rFonts w:ascii="宋体" w:hAnsi="宋体"/>
          <w:sz w:val="21"/>
        </w:rPr>
      </w:pPr>
      <w:r>
        <w:rPr>
          <w:rFonts w:hint="eastAsia" w:ascii="宋体" w:hAnsi="宋体"/>
          <w:sz w:val="21"/>
        </w:rPr>
        <w:t xml:space="preserve">《中共中央 国务院关于构建数据基础制度更好发挥数据要素作用的意见》（2022年12月2日）；</w:t>
      </w:r>
      <w:r/>
    </w:p>
    <w:p>
      <w:pPr>
        <w:ind w:left="0" w:firstLine="420"/>
        <w:spacing w:line="360" w:lineRule="auto"/>
        <w:tabs>
          <w:tab w:val="left" w:pos="420" w:leader="none"/>
        </w:tabs>
        <w:rPr>
          <w:rFonts w:ascii="宋体" w:hAnsi="宋体"/>
          <w:sz w:val="21"/>
        </w:rPr>
      </w:pPr>
      <w:r>
        <w:rPr>
          <w:rFonts w:hint="eastAsia" w:ascii="宋体" w:hAnsi="宋体"/>
          <w:sz w:val="21"/>
        </w:rPr>
        <w:t xml:space="preserve">《中共中央国务院关于加快构建更加完善的要素市场化配置体制机制的意见》（2020年3月30日）；</w:t>
      </w:r>
      <w:r/>
    </w:p>
    <w:p>
      <w:pPr>
        <w:ind w:left="0" w:firstLine="420"/>
        <w:spacing w:line="360" w:lineRule="auto"/>
        <w:tabs>
          <w:tab w:val="left" w:pos="420" w:leader="none"/>
        </w:tabs>
        <w:rPr>
          <w:rFonts w:ascii="宋体" w:hAnsi="宋体"/>
          <w:sz w:val="21"/>
        </w:rPr>
      </w:pPr>
      <w:r>
        <w:rPr>
          <w:rFonts w:hint="eastAsia" w:ascii="宋体" w:hAnsi="宋体"/>
          <w:sz w:val="21"/>
        </w:rPr>
        <w:t xml:space="preserve">《要素市场化配置综合改革试点总体方案》国办发〔2021〕51号；</w:t>
      </w:r>
      <w:r/>
    </w:p>
    <w:p>
      <w:pPr>
        <w:ind w:left="0" w:firstLine="420"/>
        <w:spacing w:line="360" w:lineRule="auto"/>
        <w:tabs>
          <w:tab w:val="left" w:pos="420" w:leader="none"/>
        </w:tabs>
        <w:rPr>
          <w:rFonts w:ascii="宋体" w:hAnsi="宋体"/>
          <w:sz w:val="21"/>
        </w:rPr>
      </w:pPr>
      <w:r>
        <w:rPr>
          <w:rFonts w:hint="eastAsia" w:ascii="宋体" w:hAnsi="宋体"/>
          <w:sz w:val="21"/>
        </w:rPr>
        <w:t xml:space="preserve">《国务院关于加强数字政府建设的指导意见》（国发〔2022〕14号）；</w:t>
      </w:r>
      <w:r/>
    </w:p>
    <w:p>
      <w:pPr>
        <w:ind w:left="0" w:firstLine="420"/>
        <w:spacing w:line="360" w:lineRule="auto"/>
        <w:tabs>
          <w:tab w:val="left" w:pos="420" w:leader="none"/>
        </w:tabs>
        <w:rPr>
          <w:rFonts w:ascii="宋体" w:hAnsi="宋体"/>
          <w:sz w:val="21"/>
        </w:rPr>
      </w:pPr>
      <w:r>
        <w:rPr>
          <w:rFonts w:hint="eastAsia" w:ascii="宋体" w:hAnsi="宋体"/>
          <w:sz w:val="21"/>
        </w:rPr>
        <w:t xml:space="preserve">《“十四五”国民健康规划》（国办发〔2022〕11号）；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《关于促进“互联网+医疗健康”发展的意见》（国办发〔2018〕26号）；</w:t>
      </w:r>
      <w:r/>
    </w:p>
    <w:p>
      <w:pPr>
        <w:ind w:left="0" w:firstLine="420"/>
        <w:spacing w:line="360" w:lineRule="auto"/>
        <w:tabs>
          <w:tab w:val="left" w:pos="420" w:leader="none"/>
        </w:tabs>
        <w:rPr>
          <w:rFonts w:ascii="宋体" w:hAnsi="宋体"/>
          <w:sz w:val="21"/>
        </w:rPr>
      </w:pPr>
      <w:r>
        <w:rPr>
          <w:rFonts w:hint="eastAsia" w:ascii="宋体" w:hAnsi="宋体"/>
          <w:sz w:val="21"/>
        </w:rPr>
        <w:t xml:space="preserve">《国务院办公厅关于推动公立医院高质量发展的意见》（2021年6月4日）；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《公立医院高质量发展促进行动（2021-2025年）》（国办发〔2021〕18号）；</w:t>
      </w:r>
      <w:r/>
    </w:p>
    <w:p>
      <w:pPr>
        <w:ind w:left="0" w:firstLine="420"/>
        <w:spacing w:line="360" w:lineRule="auto"/>
        <w:tabs>
          <w:tab w:val="left" w:pos="420" w:leader="none"/>
        </w:tabs>
        <w:rPr>
          <w:rFonts w:ascii="宋体" w:hAnsi="宋体"/>
          <w:sz w:val="21"/>
        </w:rPr>
      </w:pPr>
      <w:r>
        <w:rPr>
          <w:rFonts w:hint="eastAsia" w:ascii="宋体" w:hAnsi="宋体"/>
          <w:sz w:val="21"/>
        </w:rPr>
        <w:t xml:space="preserve">《可信数据空间发展行动计划（2024—2028年）》（国数资源〔2024〕119号）；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《关于促进数据产业高质量发展的指导意见》（发改数据〔2024〕1836号）；</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《“数据要素x”三年行动计划（2024—2026年）》（国数政策〔2023〕11号）；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《关于加强行政事业单位数据资产管理的通知》（财资〔2024〕1号）；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《关于加强数据资产管理的指导意见》（财资〔2023〕141号）；</w:t>
      </w:r>
      <w:r/>
    </w:p>
    <w:p>
      <w:pPr>
        <w:ind w:left="0" w:firstLine="420"/>
        <w:spacing w:line="360" w:lineRule="auto"/>
        <w:tabs>
          <w:tab w:val="left" w:pos="420" w:leader="none"/>
        </w:tabs>
        <w:rPr>
          <w:rFonts w:ascii="宋体" w:hAnsi="宋体"/>
          <w:sz w:val="21"/>
        </w:rPr>
      </w:pPr>
      <w:r>
        <w:rPr>
          <w:rFonts w:hint="eastAsia" w:ascii="宋体" w:hAnsi="宋体"/>
          <w:sz w:val="21"/>
        </w:rPr>
        <w:t xml:space="preserve">《“十四五”全民健康信息化规划》（国卫规划发〔2022〕30号）；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《全国医疗机构信息互联互通共享三年攻坚行动（2023-2025）工作要求》；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《国务院办公厅关于促进和规范健康医疗大数据应用发展的指导意见》；</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关于印发《“十四五”优质高效医疗卫生服务体系建设实施方案》的通知（发改社会〔2021〕893号）；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《关于加强全民健康信息标准化体系建设的意见》（国卫办规划发〔2020〕14号）；</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国家卫生健康委统计信息中心关于印发《区域全民健康信息互联互通标准化成熟度测评方案》的通知（国卫统信便函〔2020〕29号）；</w:t>
      </w:r>
      <w:r/>
    </w:p>
    <w:p>
      <w:pPr>
        <w:ind w:left="0" w:firstLine="420"/>
        <w:spacing w:line="360" w:lineRule="auto"/>
        <w:tabs>
          <w:tab w:val="left" w:pos="420" w:leader="none"/>
        </w:tabs>
        <w:rPr>
          <w:rFonts w:ascii="宋体" w:hAnsi="宋体"/>
          <w:sz w:val="21"/>
        </w:rPr>
      </w:pPr>
      <w:r>
        <w:rPr>
          <w:rFonts w:hint="eastAsia" w:ascii="宋体" w:hAnsi="宋体"/>
          <w:sz w:val="21"/>
        </w:rPr>
        <w:t xml:space="preserve">《财政部办公厅 国家卫生健康委办公厅关于组织申报2024年中央财政支持公立医院改革与高质量发展示范项目的通知》（财办社〔2024〕14号）；</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《国家密码管理局关于请进一步加强国家政务信息系统密码应用与安全性评估工作的函》（国密局函〔2020〕119号）；</w:t>
      </w:r>
      <w:r/>
    </w:p>
    <w:p>
      <w:pPr>
        <w:ind w:left="0" w:firstLine="420"/>
        <w:spacing w:line="360" w:lineRule="auto"/>
        <w:tabs>
          <w:tab w:val="left" w:pos="420" w:leader="none"/>
        </w:tabs>
        <w:rPr>
          <w:rFonts w:ascii="宋体" w:hAnsi="宋体"/>
          <w:sz w:val="21"/>
        </w:rPr>
      </w:pPr>
      <w:r>
        <w:rPr>
          <w:rFonts w:hint="eastAsia" w:ascii="宋体" w:hAnsi="宋体"/>
          <w:sz w:val="21"/>
        </w:rPr>
        <w:t xml:space="preserve">《2024年中央财政支持公立医院改革与高质量发展示范项目竞争性评审结果》；</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《关于印发江苏省公共数据授权运营管理暂行办法的通知》（苏政办规〔2024〕5号）；</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《关于印发苏州市全面提升医疗质量行动实施方案（2023—2025年）的通知》（苏卫健医政〔2023〕77号 ）；</w:t>
      </w:r>
      <w:r/>
    </w:p>
    <w:p>
      <w:pPr>
        <w:ind w:left="0" w:firstLine="420"/>
        <w:spacing w:line="360" w:lineRule="auto"/>
        <w:tabs>
          <w:tab w:val="left" w:pos="420" w:leader="none"/>
        </w:tabs>
        <w:rPr>
          <w:rFonts w:ascii="宋体" w:hAnsi="宋体"/>
          <w:sz w:val="21"/>
        </w:rPr>
      </w:pPr>
      <w:r>
        <w:rPr>
          <w:rFonts w:hint="eastAsia" w:ascii="宋体" w:hAnsi="宋体"/>
          <w:sz w:val="21"/>
        </w:rPr>
        <w:t xml:space="preserve">《关于推进苏州市健康医疗“数据高铁”工程建设的通知》（苏卫健规信函〔2024〕64号）。</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《国家健康医疗大数据标准、安全和服务管理办法（试行）》；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《卫生健康信息数据集分类与编码规则》（WS/T 306—2023）；</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 健康医疗数据安全指南》（GB/T 39725-2020）；</w:t>
      </w:r>
      <w:r/>
    </w:p>
    <w:p>
      <w:pPr>
        <w:ind w:left="0" w:firstLine="420"/>
        <w:spacing w:line="360" w:lineRule="auto"/>
        <w:tabs>
          <w:tab w:val="left" w:pos="420" w:leader="none"/>
        </w:tabs>
        <w:rPr>
          <w:rFonts w:ascii="宋体" w:hAnsi="宋体"/>
          <w:sz w:val="21"/>
        </w:rPr>
      </w:pPr>
      <w:r>
        <w:rPr>
          <w:rFonts w:hint="eastAsia" w:ascii="宋体" w:hAnsi="宋体"/>
          <w:sz w:val="21"/>
        </w:rPr>
        <w:t xml:space="preserve">《人口健康信息管理办法（试行）》；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《全国医院信息化建设标准与规范》；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《全国公共卫生信息化建设标准与规范》；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《国家医疗健康信息医院信息互联互通标准化成熟度测评方案》；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《卫生健康信息数据元值域代码》WS/T 364—2023</w:t>
      </w:r>
      <w:r>
        <w:rPr>
          <w:rFonts w:hint="eastAsia" w:ascii="宋体" w:hAnsi="宋体"/>
          <w:sz w:val="21"/>
        </w:rPr>
        <w:tab/>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《卫生健康信息数据元目录》WS/T 363—2023；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《卫生健康信息数据集分类与编码规则》WS/T 306—2023；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《卫生健康信息数据集元数据标准》WS/T 305—2023；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《卫生健康信息数据模式描述指南》WS/T 304—2023；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《卫生健康信息数据元标准化规则》WS/T 303—2023；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《卫生健康信息基本数据集编制标准》WS/T 370—2022；</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《医疗卫生机构感染监测基本数据集》WS 670-2021；</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《国家卫生与人口信息概念数据模型》WS/T 672—2020；</w:t>
      </w:r>
      <w:r/>
    </w:p>
    <w:p>
      <w:pPr>
        <w:ind w:left="0" w:firstLine="420"/>
        <w:spacing w:line="360" w:lineRule="auto"/>
        <w:tabs>
          <w:tab w:val="left" w:pos="420" w:leader="none"/>
        </w:tabs>
        <w:rPr>
          <w:rFonts w:ascii="宋体" w:hAnsi="宋体"/>
          <w:sz w:val="21"/>
        </w:rPr>
      </w:pPr>
      <w:r>
        <w:rPr>
          <w:rFonts w:hint="eastAsia" w:ascii="宋体" w:hAnsi="宋体"/>
          <w:sz w:val="21"/>
        </w:rPr>
        <w:t xml:space="preserve">《国家卫生与人口信息数据字典》WS/T 671—2020；</w:t>
      </w:r>
      <w:r/>
    </w:p>
    <w:p>
      <w:pPr>
        <w:ind w:left="0" w:firstLine="420"/>
        <w:spacing w:line="360" w:lineRule="auto"/>
        <w:tabs>
          <w:tab w:val="left" w:pos="420" w:leader="none"/>
        </w:tabs>
        <w:rPr>
          <w:rFonts w:ascii="宋体" w:hAnsi="宋体"/>
          <w:sz w:val="21"/>
        </w:rPr>
      </w:pPr>
      <w:r>
        <w:rPr>
          <w:rFonts w:hint="eastAsia" w:ascii="宋体" w:hAnsi="宋体"/>
          <w:sz w:val="21"/>
        </w:rPr>
        <w:t xml:space="preserve">《疾病控制基本数据集》（WS 375.19-2016）；</w:t>
      </w:r>
      <w:r/>
    </w:p>
    <w:p>
      <w:pPr>
        <w:ind w:left="0" w:firstLine="420"/>
        <w:spacing w:line="360" w:lineRule="auto"/>
        <w:tabs>
          <w:tab w:val="left" w:pos="420" w:leader="none"/>
        </w:tabs>
        <w:rPr>
          <w:rFonts w:ascii="宋体" w:hAnsi="宋体"/>
          <w:sz w:val="21"/>
        </w:rPr>
      </w:pPr>
      <w:r>
        <w:rPr>
          <w:rFonts w:hint="eastAsia" w:ascii="宋体" w:hAnsi="宋体"/>
          <w:sz w:val="21"/>
        </w:rPr>
        <w:t xml:space="preserve">《儿童保健基本数据集》（WS 376.3-2013）；</w:t>
      </w:r>
      <w:r/>
    </w:p>
    <w:p>
      <w:pPr>
        <w:ind w:left="0" w:firstLine="420"/>
        <w:spacing w:line="360" w:lineRule="auto"/>
        <w:tabs>
          <w:tab w:val="left" w:pos="420" w:leader="none"/>
        </w:tabs>
        <w:rPr>
          <w:rFonts w:ascii="宋体" w:hAnsi="宋体"/>
          <w:sz w:val="21"/>
        </w:rPr>
      </w:pPr>
      <w:r>
        <w:rPr>
          <w:rFonts w:hint="eastAsia" w:ascii="宋体" w:hAnsi="宋体"/>
          <w:sz w:val="21"/>
        </w:rPr>
        <w:t xml:space="preserve">《妇女保健基本数据集》（WS 377.1-2013）；</w:t>
      </w:r>
      <w:r/>
    </w:p>
    <w:p>
      <w:pPr>
        <w:ind w:left="0" w:firstLine="420"/>
        <w:spacing w:line="360" w:lineRule="auto"/>
        <w:tabs>
          <w:tab w:val="left" w:pos="420" w:leader="none"/>
        </w:tabs>
        <w:rPr>
          <w:rFonts w:ascii="宋体" w:hAnsi="宋体"/>
          <w:sz w:val="21"/>
        </w:rPr>
      </w:pPr>
      <w:r>
        <w:rPr>
          <w:rFonts w:hint="eastAsia" w:ascii="宋体" w:hAnsi="宋体"/>
          <w:sz w:val="21"/>
        </w:rPr>
        <w:t xml:space="preserve">《电子病历基本数据集》（WS 445.8-2014）；</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《卫生信息共享文档编制规范》（WS/T482-2016）；</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《医疗卫生业务领域基本数据集》（WS370-2012-WS375-2012）；</w:t>
      </w:r>
      <w:r/>
    </w:p>
    <w:p>
      <w:pPr>
        <w:ind w:left="0" w:firstLine="420"/>
        <w:spacing w:line="360" w:lineRule="auto"/>
        <w:tabs>
          <w:tab w:val="left" w:pos="420" w:leader="none"/>
        </w:tabs>
        <w:rPr>
          <w:rFonts w:ascii="宋体" w:hAnsi="宋体"/>
          <w:sz w:val="21"/>
        </w:rPr>
      </w:pPr>
      <w:r>
        <w:rPr>
          <w:rFonts w:hint="eastAsia" w:ascii="宋体" w:hAnsi="宋体"/>
          <w:sz w:val="21"/>
        </w:rPr>
        <w:t xml:space="preserve">《健康档案基本数据集编制规范（试行）》；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《健康档案基本架构与数据标准》；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《健康档案共享文档规范》（WS/T483-2016）；</w:t>
      </w:r>
      <w:r/>
    </w:p>
    <w:p>
      <w:pPr>
        <w:ind w:left="0" w:firstLine="420"/>
        <w:spacing w:line="360" w:lineRule="auto"/>
        <w:tabs>
          <w:tab w:val="left" w:pos="420" w:leader="none"/>
        </w:tabs>
        <w:rPr>
          <w:rFonts w:ascii="宋体" w:hAnsi="宋体"/>
          <w:sz w:val="21"/>
        </w:rPr>
      </w:pPr>
      <w:r>
        <w:rPr>
          <w:rFonts w:hint="eastAsia" w:ascii="宋体" w:hAnsi="宋体"/>
          <w:sz w:val="21"/>
        </w:rPr>
        <w:t xml:space="preserve">《城乡居民健康档案基本数据集》（WS365-2011）；</w:t>
      </w:r>
      <w:r/>
    </w:p>
    <w:p>
      <w:pPr>
        <w:ind w:left="0" w:firstLine="420"/>
        <w:spacing w:line="360" w:lineRule="auto"/>
        <w:tabs>
          <w:tab w:val="left" w:pos="420" w:leader="none"/>
        </w:tabs>
        <w:rPr>
          <w:rFonts w:ascii="宋体" w:hAnsi="宋体"/>
          <w:sz w:val="21"/>
        </w:rPr>
      </w:pPr>
      <w:r>
        <w:rPr>
          <w:rFonts w:hint="eastAsia" w:ascii="宋体" w:hAnsi="宋体"/>
          <w:sz w:val="21"/>
        </w:rPr>
        <w:t xml:space="preserve">《疾病控制基本数据集》（WS375．9-2012）；</w:t>
      </w:r>
      <w:r/>
    </w:p>
    <w:p>
      <w:pPr>
        <w:ind w:left="0" w:firstLine="420"/>
        <w:spacing w:line="360" w:lineRule="auto"/>
        <w:tabs>
          <w:tab w:val="left" w:pos="420" w:leader="none"/>
        </w:tabs>
        <w:rPr>
          <w:rFonts w:ascii="宋体" w:hAnsi="宋体"/>
          <w:sz w:val="21"/>
        </w:rPr>
      </w:pPr>
      <w:r>
        <w:rPr>
          <w:rFonts w:hint="eastAsia" w:ascii="宋体" w:hAnsi="宋体"/>
          <w:sz w:val="21"/>
        </w:rPr>
        <w:t xml:space="preserve">《个人基本信息分类与代码》（GB/T 2261.2-2003）；</w:t>
      </w:r>
      <w:r/>
    </w:p>
    <w:p>
      <w:pPr>
        <w:ind w:left="0" w:firstLine="420"/>
        <w:spacing w:line="360" w:lineRule="auto"/>
        <w:tabs>
          <w:tab w:val="left" w:pos="420" w:leader="none"/>
        </w:tabs>
        <w:rPr>
          <w:rFonts w:ascii="宋体" w:hAnsi="宋体"/>
          <w:sz w:val="21"/>
        </w:rPr>
      </w:pPr>
      <w:r>
        <w:rPr>
          <w:rFonts w:hint="eastAsia" w:ascii="宋体" w:hAnsi="宋体"/>
          <w:sz w:val="21"/>
        </w:rPr>
        <w:t xml:space="preserve">《卫生机构（组织）分类与代码》（WS218-2002）；</w:t>
      </w:r>
      <w:r/>
    </w:p>
    <w:p>
      <w:pPr>
        <w:ind w:left="0" w:firstLine="420"/>
        <w:spacing w:line="360" w:lineRule="auto"/>
        <w:tabs>
          <w:tab w:val="left" w:pos="420" w:leader="none"/>
        </w:tabs>
        <w:rPr>
          <w:rFonts w:ascii="宋体" w:hAnsi="宋体"/>
          <w:sz w:val="21"/>
        </w:rPr>
      </w:pPr>
      <w:r>
        <w:rPr>
          <w:rFonts w:hint="eastAsia" w:ascii="宋体" w:hAnsi="宋体"/>
          <w:sz w:val="21"/>
        </w:rPr>
        <w:t xml:space="preserve">《区域卫生信息平台交互标准》（WS/T 790-2021）；</w:t>
      </w:r>
      <w:r/>
    </w:p>
    <w:p>
      <w:pPr>
        <w:ind w:left="0" w:firstLine="420"/>
        <w:spacing w:line="360" w:lineRule="auto"/>
        <w:tabs>
          <w:tab w:val="left" w:pos="420" w:leader="none"/>
        </w:tabs>
        <w:rPr>
          <w:rFonts w:ascii="宋体" w:hAnsi="宋体"/>
          <w:sz w:val="21"/>
        </w:rPr>
      </w:pPr>
      <w:r>
        <w:rPr>
          <w:rFonts w:hint="eastAsia" w:ascii="宋体" w:hAnsi="宋体"/>
          <w:sz w:val="21"/>
        </w:rPr>
        <w:t xml:space="preserve">《全国医院数据上报管理方案》（试行）；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《中医病证分类与代码》（GB/T 16835-1997）；</w:t>
      </w:r>
      <w:r/>
    </w:p>
    <w:p>
      <w:pPr>
        <w:ind w:left="0" w:firstLine="420"/>
        <w:spacing w:line="360" w:lineRule="auto"/>
        <w:tabs>
          <w:tab w:val="left" w:pos="420" w:leader="none"/>
        </w:tabs>
        <w:rPr>
          <w:rFonts w:ascii="宋体" w:hAnsi="宋体"/>
          <w:sz w:val="21"/>
        </w:rPr>
      </w:pPr>
      <w:r>
        <w:rPr>
          <w:rFonts w:hint="eastAsia" w:ascii="宋体" w:hAnsi="宋体"/>
          <w:sz w:val="21"/>
        </w:rPr>
        <w:t xml:space="preserve">《疾病分类与代码》（GB/T14396-2016）；</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《数据管理能力成熟度评估模型》（GB/T 36073-2018）；</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 个人信息安全规范》（GB/T 35273—2020）；</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《信息安全技术一网络安全等级保护基本要求》；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《信息安全技术一数据安全能力成熟度模型》；</w:t>
      </w:r>
      <w:r/>
    </w:p>
    <w:p>
      <w:pPr>
        <w:ind w:left="0" w:firstLine="420"/>
        <w:spacing w:line="360" w:lineRule="auto"/>
        <w:tabs>
          <w:tab w:val="left" w:pos="420" w:leader="none"/>
        </w:tabs>
        <w:rPr>
          <w:rFonts w:ascii="宋体" w:hAnsi="宋体"/>
          <w:sz w:val="21"/>
        </w:rPr>
      </w:pPr>
      <w:r>
        <w:rPr>
          <w:rFonts w:hint="eastAsia" w:ascii="宋体" w:hAnsi="宋体"/>
          <w:sz w:val="21"/>
        </w:rPr>
        <w:t xml:space="preserve">《网络安全标准实践指南一网络数据分类分级指引》；</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《信息安全技术网络安全等级保护基本要求》（GB-T 22239-2019）；</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《信息安全技术网络安全等级保护测评要求》（GB/T 28448-2019）；</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《信息安全技术网络安全等级保护安全设计技术要求》（GB/T25070-2019）；</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《信息安全技术网络安全等级保护定级指南》（GB/T22240-2020）；</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《信息安全技术信息系统密码应用基本要求》（GB/T 39786-2021）；</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《信息安全技术网络安全等级保护实施指南》（GB/T25058-2019）；</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《信息系统安全等级保护基本要求》（GB/T22239-2008）；</w:t>
      </w:r>
      <w:r/>
    </w:p>
    <w:p>
      <w:pPr>
        <w:ind w:left="0" w:firstLine="420"/>
        <w:spacing w:line="360" w:lineRule="auto"/>
        <w:tabs>
          <w:tab w:val="left" w:pos="420" w:leader="none"/>
        </w:tabs>
        <w:rPr>
          <w:rFonts w:ascii="宋体" w:hAnsi="宋体"/>
          <w:sz w:val="21"/>
        </w:rPr>
      </w:pPr>
      <w:r>
        <w:rPr>
          <w:rFonts w:hint="eastAsia" w:ascii="宋体" w:hAnsi="宋体"/>
          <w:sz w:val="21"/>
        </w:rPr>
        <w:t xml:space="preserve">《信息技术服务—治理第5部分：数据治理规范》（GB/T 34960.5-2018）；</w:t>
      </w:r>
      <w:r/>
    </w:p>
    <w:p>
      <w:pPr>
        <w:ind w:left="0" w:firstLine="420"/>
        <w:spacing w:line="360" w:lineRule="auto"/>
        <w:tabs>
          <w:tab w:val="left" w:pos="420" w:leader="none"/>
        </w:tabs>
        <w:rPr>
          <w:rFonts w:ascii="宋体" w:hAnsi="宋体"/>
          <w:sz w:val="21"/>
        </w:rPr>
      </w:pPr>
      <w:r>
        <w:rPr>
          <w:rFonts w:hint="eastAsia" w:ascii="宋体" w:hAnsi="宋体"/>
          <w:sz w:val="21"/>
        </w:rPr>
        <w:t xml:space="preserve">《商用密码应用安全性评估管理办法（试行）》；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《数据安全技术 数据分类分级规则》（GB/T 43697-2024）；</w:t>
      </w:r>
      <w:r/>
    </w:p>
    <w:p>
      <w:pPr>
        <w:ind w:left="0" w:firstLine="420"/>
        <w:spacing w:line="360" w:lineRule="auto"/>
        <w:tabs>
          <w:tab w:val="left" w:pos="420" w:leader="none"/>
        </w:tabs>
        <w:rPr>
          <w:rFonts w:ascii="宋体" w:hAnsi="宋体"/>
          <w:sz w:val="21"/>
        </w:rPr>
      </w:pPr>
      <w:r>
        <w:rPr>
          <w:rFonts w:hint="eastAsia" w:ascii="宋体" w:hAnsi="宋体"/>
          <w:sz w:val="21"/>
        </w:rPr>
        <w:t xml:space="preserve">《计算机软件开发规范》（GB8566-88）；</w:t>
      </w:r>
      <w:r/>
    </w:p>
    <w:p>
      <w:pPr>
        <w:ind w:left="0" w:firstLine="420"/>
        <w:spacing w:line="360" w:lineRule="auto"/>
        <w:tabs>
          <w:tab w:val="left" w:pos="420" w:leader="none"/>
        </w:tabs>
        <w:rPr>
          <w:rFonts w:ascii="宋体" w:hAnsi="宋体"/>
          <w:sz w:val="21"/>
        </w:rPr>
      </w:pPr>
      <w:r>
        <w:rPr>
          <w:rFonts w:hint="eastAsia" w:ascii="宋体" w:hAnsi="宋体"/>
          <w:sz w:val="21"/>
        </w:rPr>
        <w:t xml:space="preserve">《政务信息资源交换体系》（GB/T 21062-2007）；</w:t>
      </w:r>
      <w:r/>
    </w:p>
    <w:p>
      <w:pPr>
        <w:ind w:left="0" w:firstLine="420"/>
        <w:spacing w:line="360" w:lineRule="auto"/>
        <w:tabs>
          <w:tab w:val="left" w:pos="420" w:leader="none"/>
        </w:tabs>
        <w:rPr>
          <w:rFonts w:ascii="宋体" w:hAnsi="宋体"/>
          <w:sz w:val="21"/>
        </w:rPr>
      </w:pPr>
      <w:r>
        <w:rPr>
          <w:rFonts w:hint="eastAsia" w:ascii="宋体" w:hAnsi="宋体"/>
          <w:sz w:val="21"/>
        </w:rPr>
        <w:t xml:space="preserve">《江苏省数据安全风险评估规范》(试行)；</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《苏州市健康医疗大数据中心数据集标准文档》；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《医疗机构数据分类分级规范》（DB3205/T 1167-2024）</w:t>
      </w:r>
      <w:r/>
    </w:p>
    <w:p>
      <w:pPr>
        <w:ind w:left="0" w:firstLine="420"/>
        <w:spacing w:line="360" w:lineRule="auto"/>
        <w:tabs>
          <w:tab w:val="left" w:pos="420" w:leader="none"/>
        </w:tabs>
        <w:rPr>
          <w:rFonts w:ascii="宋体" w:hAnsi="宋体"/>
          <w:sz w:val="21"/>
        </w:rPr>
      </w:pPr>
      <w:r>
        <w:rPr>
          <w:rFonts w:hint="eastAsia" w:ascii="宋体" w:hAnsi="宋体"/>
          <w:sz w:val="21"/>
        </w:rPr>
        <w:t xml:space="preserve">法律法规</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《中华人民共和国数据安全法》；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《中华人民共和国网络安全法》；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《中华人民共和国密码法》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《中华人民共和国个人信息保护法》；</w:t>
      </w:r>
      <w:r/>
    </w:p>
    <w:p>
      <w:pPr>
        <w:ind w:left="0" w:firstLine="420"/>
        <w:spacing w:line="360" w:lineRule="auto"/>
        <w:tabs>
          <w:tab w:val="left" w:pos="420" w:leader="none"/>
        </w:tabs>
        <w:rPr>
          <w:rFonts w:ascii="宋体" w:hAnsi="宋体"/>
          <w:sz w:val="21"/>
        </w:rPr>
      </w:pPr>
      <w:r>
        <w:rPr>
          <w:rFonts w:hint="eastAsia" w:ascii="宋体" w:hAnsi="宋体"/>
          <w:sz w:val="21"/>
        </w:rPr>
        <w:t xml:space="preserve">《关键信息基础设施安全保护条例》；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《商用密码管理条例》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《医疗卫生机构网络安全管理办法》；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《中华人民共和国电子签名法》；</w:t>
      </w:r>
      <w:r/>
    </w:p>
    <w:p>
      <w:pPr>
        <w:ind w:left="0" w:firstLine="420"/>
        <w:spacing w:line="360" w:lineRule="auto"/>
        <w:tabs>
          <w:tab w:val="left" w:pos="420" w:leader="none"/>
        </w:tabs>
        <w:rPr>
          <w:rFonts w:ascii="宋体" w:hAnsi="宋体"/>
          <w:sz w:val="21"/>
        </w:rPr>
      </w:pPr>
      <w:r>
        <w:rPr>
          <w:rFonts w:hint="eastAsia" w:ascii="宋体" w:hAnsi="宋体"/>
          <w:sz w:val="21"/>
        </w:rPr>
        <w:t xml:space="preserve">《中华人民共和国计算机信息系统安全保护条例》；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《突发公共卫生事件应急条例》；</w:t>
      </w:r>
      <w:r/>
    </w:p>
    <w:p>
      <w:pPr>
        <w:ind w:left="0" w:firstLine="420"/>
        <w:spacing w:line="360" w:lineRule="auto"/>
        <w:tabs>
          <w:tab w:val="left" w:pos="420" w:leader="none"/>
        </w:tabs>
        <w:rPr>
          <w:rFonts w:ascii="宋体" w:hAnsi="宋体"/>
          <w:sz w:val="21"/>
        </w:rPr>
      </w:pPr>
      <w:r>
        <w:rPr>
          <w:rFonts w:hint="eastAsia" w:ascii="宋体" w:hAnsi="宋体"/>
          <w:sz w:val="21"/>
        </w:rPr>
        <w:t xml:space="preserve">《互联网政务应用安全管理规定》；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《江苏省数据条例》（2025年1月22日）。</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（二）项目建设要求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1.总体要求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1.1 总体架构要求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要求系统整体采用分层模块化分布式架构，遵循标准规范、开放兼容、安全可控、弹性拓展的设计原则。架构层级划分明晰，各功能模块权责边界清晰，实现应用、服务、数据多层解耦。</w:t>
      </w:r>
      <w:r/>
    </w:p>
    <w:p>
      <w:pPr>
        <w:ind w:left="0" w:firstLine="420"/>
        <w:spacing w:line="360" w:lineRule="auto"/>
        <w:tabs>
          <w:tab w:val="left" w:pos="420" w:leader="none"/>
        </w:tabs>
        <w:rPr>
          <w:rFonts w:ascii="宋体" w:hAnsi="宋体"/>
          <w:sz w:val="21"/>
        </w:rPr>
      </w:pPr>
      <w:r>
        <w:rPr>
          <w:rFonts w:hint="eastAsia" w:ascii="宋体" w:hAnsi="宋体"/>
          <w:sz w:val="21"/>
        </w:rPr>
        <w:t xml:space="preserve">可顺畅对接现有各类业务信息系统，保障数据互通、业务联动。架构具备横向扩容、版本迭代与功能增补能力，满足高并发、高稳定运行需求。同时搭建完备安全防护与运维管理体系，既能保障当下业务高效运转，也可适配未来业务规模增长与体系升级改造。</w:t>
      </w:r>
      <w:r/>
    </w:p>
    <w:p>
      <w:pPr>
        <w:ind w:left="0" w:firstLine="420"/>
        <w:spacing w:line="360" w:lineRule="auto"/>
        <w:tabs>
          <w:tab w:val="left" w:pos="420" w:leader="none"/>
        </w:tabs>
        <w:rPr>
          <w:rFonts w:ascii="宋体" w:hAnsi="宋体"/>
          <w:sz w:val="21"/>
        </w:rPr>
      </w:pPr>
      <w:r>
        <w:rPr>
          <w:rFonts w:hint="eastAsia" w:ascii="宋体" w:hAnsi="宋体"/>
          <w:sz w:val="21"/>
        </w:rPr>
        <w:t xml:space="preserve">1.2 非功能性要求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1.2.1 适应性需求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考虑到全市居民及医院数量庞大，在用户使用侧应适配多类型操作系统，电脑端系统应支持主流操作系统，同时适配主流浏览器</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1.2.2 性能需求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1.2.2.1 用户交互要求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在系统基础软件性能及相应的系统管理保障基础上，保证80%的数据提交不超过4秒；80%的统计汇总工作处理时间不超过5秒。采用合理的数据库结构和查询算法，80%查询的响应速度在4秒以内，并不随记录数的增长而下降。系统具有良好的并发响应能力，整体响应性能在2秒以内，承担全市各类应用场景访问服务1万次以上的日访问量，在线用户数不低于1000，在500个并发用户状态下的系统响应时间小于3s性能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1.2.2.2数据处理要求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（1）实时数仓性能：</w:t>
      </w:r>
      <w:r/>
    </w:p>
    <w:p>
      <w:pPr>
        <w:ind w:left="0" w:firstLine="420"/>
        <w:spacing w:line="360" w:lineRule="auto"/>
        <w:tabs>
          <w:tab w:val="left" w:pos="420" w:leader="none"/>
        </w:tabs>
        <w:rPr>
          <w:rFonts w:ascii="宋体" w:hAnsi="宋体"/>
          <w:sz w:val="21"/>
        </w:rPr>
      </w:pPr>
      <w:r>
        <w:rPr>
          <w:rFonts w:hint="eastAsia" w:ascii="宋体" w:hAnsi="宋体"/>
          <w:sz w:val="21"/>
        </w:rPr>
        <w:t xml:space="preserve">关键业务数据延迟≤1秒</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数据丢失率＜0.001%</w:t>
      </w:r>
      <w:r/>
    </w:p>
    <w:p>
      <w:pPr>
        <w:ind w:left="0" w:firstLine="420"/>
        <w:spacing w:line="360" w:lineRule="auto"/>
        <w:tabs>
          <w:tab w:val="left" w:pos="420" w:leader="none"/>
        </w:tabs>
        <w:rPr>
          <w:rFonts w:ascii="宋体" w:hAnsi="宋体"/>
          <w:sz w:val="21"/>
        </w:rPr>
      </w:pPr>
      <w:r>
        <w:rPr>
          <w:rFonts w:hint="eastAsia" w:ascii="宋体" w:hAnsi="宋体"/>
          <w:sz w:val="21"/>
        </w:rPr>
        <w:t xml:space="preserve">API平均响应时间≤50ms（P99≤200ms，即在99%的情况下，平均响应时间≤200ms）</w:t>
      </w:r>
      <w:r/>
    </w:p>
    <w:p>
      <w:pPr>
        <w:ind w:left="0" w:firstLine="420"/>
        <w:spacing w:line="360" w:lineRule="auto"/>
        <w:tabs>
          <w:tab w:val="left" w:pos="420" w:leader="none"/>
        </w:tabs>
        <w:rPr>
          <w:rFonts w:ascii="宋体" w:hAnsi="宋体"/>
          <w:sz w:val="21"/>
        </w:rPr>
      </w:pPr>
      <w:r>
        <w:rPr>
          <w:rFonts w:hint="eastAsia" w:ascii="宋体" w:hAnsi="宋体"/>
          <w:sz w:val="21"/>
        </w:rPr>
        <w:t xml:space="preserve">即席分析（多表Join、聚合）：P90≤5s，P99≤10s</w:t>
      </w:r>
      <w:r/>
    </w:p>
    <w:p>
      <w:pPr>
        <w:ind w:left="0" w:firstLine="420"/>
        <w:spacing w:line="360" w:lineRule="auto"/>
        <w:tabs>
          <w:tab w:val="left" w:pos="420" w:leader="none"/>
        </w:tabs>
        <w:rPr>
          <w:rFonts w:ascii="宋体" w:hAnsi="宋体"/>
          <w:sz w:val="21"/>
        </w:rPr>
      </w:pPr>
      <w:r>
        <w:rPr>
          <w:rFonts w:hint="eastAsia" w:ascii="宋体" w:hAnsi="宋体"/>
          <w:sz w:val="21"/>
        </w:rPr>
        <w:t xml:space="preserve">QPS/并发数≥50 QPS</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数据副本不健康率＜0.1%</w:t>
      </w:r>
      <w:r/>
    </w:p>
    <w:p>
      <w:pPr>
        <w:ind w:left="0" w:firstLine="420"/>
        <w:spacing w:line="360" w:lineRule="auto"/>
        <w:tabs>
          <w:tab w:val="left" w:pos="420" w:leader="none"/>
        </w:tabs>
        <w:rPr>
          <w:rFonts w:ascii="宋体" w:hAnsi="宋体"/>
          <w:sz w:val="21"/>
        </w:rPr>
      </w:pPr>
      <w:r>
        <w:rPr>
          <w:rFonts w:hint="eastAsia" w:ascii="宋体" w:hAnsi="宋体"/>
          <w:sz w:val="21"/>
        </w:rPr>
        <w:t xml:space="preserve">导入吞吐≥1000万 rows/min</w:t>
      </w:r>
      <w:r/>
    </w:p>
    <w:p>
      <w:pPr>
        <w:ind w:left="0" w:firstLine="420"/>
        <w:spacing w:line="360" w:lineRule="auto"/>
        <w:tabs>
          <w:tab w:val="left" w:pos="420" w:leader="none"/>
        </w:tabs>
        <w:rPr>
          <w:rFonts w:ascii="宋体" w:hAnsi="宋体"/>
          <w:sz w:val="21"/>
        </w:rPr>
      </w:pPr>
      <w:r>
        <w:rPr>
          <w:rFonts w:hint="eastAsia" w:ascii="宋体" w:hAnsi="宋体"/>
          <w:sz w:val="21"/>
        </w:rPr>
        <w:t xml:space="preserve">（2）多表实时同步，单表数据量1亿条（Kafka到MPP数据库，10个Topic，每个Topic30个字段，每个字段50个字节，9个分区），每秒同步＞15万条数据；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（3）多表离线同步，单表数据量1亿条（MPP数据库到MPP数据库，每个表30个字段，每个字段50个字节），每秒同步＞3.6万条数据。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（4）数据标化，单表数据量1亿条（每个表50个字段，每个字段 100 个字节），每秒标化＞ 40 万条数据；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（5）数据转码，单表数据量1亿条（每个表50个字段，每个字段 100 个字节， 20个转码字段），每秒转码＞ 30 万条数据；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（6）数据质量方案，单个方案800亿条数据（每个方案5000个质量规则），1小时内完成；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（7）针对资源利用率类指标：</w:t>
      </w:r>
      <w:r/>
    </w:p>
    <w:p>
      <w:pPr>
        <w:ind w:left="0" w:firstLine="420"/>
        <w:spacing w:line="360" w:lineRule="auto"/>
        <w:tabs>
          <w:tab w:val="left" w:pos="420" w:leader="none"/>
        </w:tabs>
        <w:rPr>
          <w:rFonts w:ascii="宋体" w:hAnsi="宋体"/>
          <w:sz w:val="21"/>
        </w:rPr>
      </w:pPr>
      <w:r>
        <w:rPr>
          <w:rFonts w:hint="eastAsia" w:ascii="宋体" w:hAnsi="宋体"/>
          <w:sz w:val="21"/>
        </w:rPr>
        <w:t xml:space="preserve">资源利用率（CPU≤80%，内存≤80%）避免资源过载导致实时计算中断；</w:t>
      </w:r>
      <w:r/>
    </w:p>
    <w:p>
      <w:pPr>
        <w:ind w:left="0" w:firstLine="420"/>
        <w:spacing w:line="360" w:lineRule="auto"/>
        <w:tabs>
          <w:tab w:val="left" w:pos="420" w:leader="none"/>
        </w:tabs>
        <w:rPr>
          <w:rFonts w:ascii="宋体" w:hAnsi="宋体"/>
          <w:sz w:val="21"/>
        </w:rPr>
      </w:pPr>
      <w:r>
        <w:rPr>
          <w:rFonts w:hint="eastAsia" w:ascii="宋体" w:hAnsi="宋体"/>
          <w:sz w:val="21"/>
        </w:rPr>
        <w:t xml:space="preserve">存储压缩比≥5：1 控制数据长期存储成本；</w:t>
      </w:r>
      <w:r/>
    </w:p>
    <w:p>
      <w:pPr>
        <w:ind w:left="0" w:firstLine="420"/>
        <w:spacing w:line="360" w:lineRule="auto"/>
        <w:tabs>
          <w:tab w:val="left" w:pos="420" w:leader="none"/>
        </w:tabs>
        <w:rPr>
          <w:rFonts w:ascii="宋体" w:hAnsi="宋体"/>
          <w:sz w:val="21"/>
        </w:rPr>
      </w:pPr>
      <w:r>
        <w:rPr>
          <w:rFonts w:hint="eastAsia" w:ascii="宋体" w:hAnsi="宋体"/>
          <w:sz w:val="21"/>
        </w:rPr>
        <w:t xml:space="preserve">弹性扩容速度≤10分钟 应对突发事件时快速扩展计算资源。</w:t>
      </w:r>
      <w:r/>
    </w:p>
    <w:p>
      <w:pPr>
        <w:ind w:left="0" w:firstLine="420"/>
        <w:spacing w:line="360" w:lineRule="auto"/>
        <w:tabs>
          <w:tab w:val="left" w:pos="420" w:leader="none"/>
        </w:tabs>
        <w:rPr>
          <w:rFonts w:ascii="宋体" w:hAnsi="宋体"/>
          <w:sz w:val="21"/>
        </w:rPr>
      </w:pPr>
      <w:r>
        <w:rPr>
          <w:rFonts w:hint="eastAsia" w:ascii="宋体" w:hAnsi="宋体"/>
          <w:sz w:val="21"/>
        </w:rPr>
        <w:t xml:space="preserve">1.2.2.3 </w:t>
      </w:r>
      <w:r>
        <w:rPr>
          <w:rFonts w:hint="eastAsia" w:ascii="宋体" w:hAnsi="宋体"/>
          <w:sz w:val="21"/>
        </w:rPr>
        <w:t xml:space="preserve">国产</w:t>
      </w:r>
      <w:r>
        <w:rPr>
          <w:rFonts w:hint="eastAsia" w:ascii="宋体" w:hAnsi="宋体"/>
          <w:sz w:val="21"/>
        </w:rPr>
        <w:t xml:space="preserve">适配要求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可适配主流品牌国产CPU处理器；可适配主流品牌国产操作系统；可适配主流品牌国产数据库；可适配主流品牌国产中间件，满足国产化环境部署。</w:t>
      </w:r>
      <w:r/>
    </w:p>
    <w:p>
      <w:pPr>
        <w:ind w:left="0" w:firstLine="420"/>
        <w:spacing w:line="360" w:lineRule="auto"/>
        <w:tabs>
          <w:tab w:val="left" w:pos="420" w:leader="none"/>
        </w:tabs>
        <w:rPr>
          <w:rFonts w:ascii="宋体" w:hAnsi="宋体"/>
          <w:sz w:val="21"/>
        </w:rPr>
      </w:pPr>
      <w:r>
        <w:rPr>
          <w:rFonts w:hint="eastAsia" w:ascii="宋体" w:hAnsi="宋体"/>
          <w:sz w:val="21"/>
        </w:rPr>
        <w:t xml:space="preserve">1.2.3 软件质量因素其他需求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（1）可靠性需求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保证系统数据的一致性，完整性，准确性要求达到99.9%。</w:t>
      </w:r>
      <w:r/>
    </w:p>
    <w:p>
      <w:pPr>
        <w:ind w:left="0" w:firstLine="420"/>
        <w:spacing w:line="360" w:lineRule="auto"/>
        <w:tabs>
          <w:tab w:val="left" w:pos="420" w:leader="none"/>
        </w:tabs>
        <w:rPr>
          <w:rFonts w:ascii="宋体" w:hAnsi="宋体"/>
          <w:sz w:val="21"/>
        </w:rPr>
      </w:pPr>
      <w:r>
        <w:rPr>
          <w:rFonts w:hint="eastAsia" w:ascii="宋体" w:hAnsi="宋体"/>
          <w:sz w:val="21"/>
        </w:rPr>
        <w:t xml:space="preserve">在应用软件开发中能够充分利用数据库的安全机制和错误恢复机制，保证数据的准确性和完整性。</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系统能够提供满足7×24小时不宕机、不间断的持续服务能力。系统的投入、退出和异常停止后，不应影响其它系统的正常业务。在出现故障的时候，必须能够及时提供应急措施，以确保整个业务系统的不中断。</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系统能够达到或超过99.9%的可用性。</w:t>
      </w:r>
      <w:r/>
    </w:p>
    <w:p>
      <w:pPr>
        <w:ind w:left="0" w:firstLine="420"/>
        <w:spacing w:line="360" w:lineRule="auto"/>
        <w:tabs>
          <w:tab w:val="left" w:pos="420" w:leader="none"/>
        </w:tabs>
        <w:rPr>
          <w:rFonts w:ascii="宋体" w:hAnsi="宋体"/>
          <w:sz w:val="21"/>
        </w:rPr>
      </w:pPr>
      <w:r>
        <w:rPr>
          <w:rFonts w:hint="eastAsia" w:ascii="宋体" w:hAnsi="宋体"/>
          <w:sz w:val="21"/>
        </w:rPr>
        <w:t xml:space="preserve">用户界面程序异常停止后，不会影响服务器端系统和其它用户界面的正常运行。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（2）可扩展性需求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应当具有必要的灵活性， 以适应未来功能扩展的需求。需采用模块化设计，将各功能拆解为低耦合的独立模块，模块间通过标准化接口实现交互，确保新增功能模块时无需大幅改动现有代码；同时要支持接口的平滑升级与兼容，当外部服务或内部逻辑迭代时，能通过接口适配层实现无缝衔接，避免对系统稳定性造成</w:t>
      </w:r>
      <w:r>
        <w:rPr>
          <w:rFonts w:hint="eastAsia" w:ascii="宋体" w:hAnsi="宋体"/>
          <w:sz w:val="21"/>
        </w:rPr>
        <w:t xml:space="preserve">冲击；此外，还应预留合理的扩展接口与配置空间，便于集成第三方功能、拓展业务场景，在需求变化、业务规模扩大时，能以最小的开发成本和时间成本完成功能迭代，保持动态的适配能力。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（3）界面需求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系统应当提供操作友好的界面， 使用者通过一定的培训和学习可以熟练使用。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1.3 数据采集范围要求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健康医疗大数据中心升级项目数据采集范围覆盖全市公立医疗卫生机构，包括但不限于下表90个采集点位：</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1560"/>
        <w:gridCol w:w="1843"/>
        <w:gridCol w:w="5528"/>
      </w:tblGrid>
      <w:tr>
        <w:trPr/>
        <w:tc>
          <w:tcPr>
            <w:shd w:val="clear" w:color="000000" w:fill="e7e6e6"/>
            <w:tcW w:w="845" w:type="dxa"/>
            <w:vAlign w:val="center"/>
            <w:textDirection w:val="lrTb"/>
            <w:noWrap/>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序号</w:t>
            </w:r>
            <w:r/>
          </w:p>
        </w:tc>
        <w:tc>
          <w:tcPr>
            <w:shd w:val="clear" w:color="000000" w:fill="e7e6e6"/>
            <w:tcW w:w="1560"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板块</w:t>
            </w:r>
            <w:r/>
          </w:p>
        </w:tc>
        <w:tc>
          <w:tcPr>
            <w:shd w:val="clear" w:color="000000" w:fill="e7e6e6"/>
            <w:tcW w:w="1843" w:type="dxa"/>
            <w:vAlign w:val="center"/>
            <w:textDirection w:val="lrTb"/>
            <w:noWrap/>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等级</w:t>
            </w:r>
            <w:r/>
          </w:p>
        </w:tc>
        <w:tc>
          <w:tcPr>
            <w:shd w:val="clear" w:color="000000" w:fill="e7e6e6"/>
            <w:tcW w:w="5528" w:type="dxa"/>
            <w:vAlign w:val="center"/>
            <w:textDirection w:val="lrTb"/>
            <w:noWrap/>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机构名称</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市属附属</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苏州大学附属第一医院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苏州大学附属第二医院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苏州大学附属儿童医院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苏州市立医院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苏州市康复医院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苏州市妇幼保健院（妇幼保健服务中心）</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苏州市第五人民医院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苏州市广济医院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10</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市属公共</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不涉及 </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苏州市疾病预防控制中心</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不涉及</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苏州市卫生监督所</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不涉及</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苏州市中心血站</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13</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不涉及</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苏州市急救中心</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14</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张家港市第一人民医院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17</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张家港市第三人民医院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张家港市第二人民医院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19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张家港市第五人民医院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张家港市第六人民医院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张家港市第四人民医院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一级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张家港市凤凰镇人民医院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23</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常熟市第一人民医院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常熟市中医院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常熟市第二人民医院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27</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常熟市第三人民医院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常熟市第五人民医院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29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常熟市梅李人民医院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常熟市支塘人民医院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常熟市古里人民医院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常熟市辛庄人民医院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33</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昆山市第一人民医院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昆山市第二人民医院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37</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昆山市第三人民医院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昆山市第四人民医院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39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昆山市第六人民医院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昆山市千灯人民医院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昆山市中西医结合医院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昆山市锦溪人民医院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43</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昆山市康复医院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昆山市精神卫生中心</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一级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昆山市淀山湖人民医院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昆山市妇幼保健院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47</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49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太仓市第一人民医院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太仓市第三人民医院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太仓市沙溪人民医院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太仓市浏河人民医院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53</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一级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太仓市港区人民医院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一级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太仓市璜泾人民医院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55</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太仓市娄江新城医院(瑞金医院太仓分院)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shd w:val="clear" w:color="000000" w:fill="ffffff"/>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shd w:val="clear" w:color="000000" w:fill="ffffff"/>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太仓市妇幼保健院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57</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吴江区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吴江区基层卫生机构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苏州市第九人民医院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59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江苏盛泽医院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苏州市吴江区儿童医院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苏州市吴江区中医医院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62</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苏州市吴江区第四人民医院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63</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苏州市吴江区第五人民医院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64</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苏州市吴江区精神康复医院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65</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吴中区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吴中区基层卫生机构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66</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苏州市中西医结合医院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67</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苏州市吴中人民医院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68</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苏州市吴中区甪直人民医院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69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未定级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苏州市吴中区精神卫生中心</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70</w:t>
            </w:r>
            <w:r/>
          </w:p>
        </w:tc>
        <w:tc>
          <w:tcPr>
            <w:tcW w:w="1560" w:type="dxa"/>
            <w:vAlign w:val="center"/>
            <w:vMerge w:val="restart"/>
            <w:textDirection w:val="lrTb"/>
            <w:noWrap/>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相城区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相城区基层卫生机构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71</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72</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苏州市相城区中医医院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73</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苏州市相城区第二人民医院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74</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苏州市相城区第三人民医院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75</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苏州市相城区漕湖人民医院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76</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苏州市相城区阳澄湖医院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77</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苏州市民康医院（苏州市老年病医院）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78</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姑苏区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姑苏区基层卫生机构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79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苏州市眼视光医院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苏州市华夏口腔医院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81</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苏州一〇〇医院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82</w:t>
            </w:r>
            <w:r/>
          </w:p>
        </w:tc>
        <w:tc>
          <w:tcPr>
            <w:tcW w:w="1560" w:type="dxa"/>
            <w:vAlign w:val="center"/>
            <w:vMerge w:val="restart"/>
            <w:textDirection w:val="lrTb"/>
            <w:noWrap/>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工业园区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工业园区基层卫生机构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83</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苏州大学附属第四医院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84</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苏州工业园区星湖医院</w:t>
            </w:r>
            <w:r>
              <w:rPr>
                <w:rFonts w:hint="eastAsia" w:ascii="宋体" w:hAnsi="宋体"/>
                <w:sz w:val="21"/>
                <w:szCs w:val="24"/>
                <w:lang w:bidi="ar"/>
                <w14:ligatures w14:val="standardContextual"/>
              </w:rPr>
              <w:br/>
              <w:t xml:space="preserve">（苏州工业园区久龄护理院）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85</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苏州工业园区星海医院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86</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苏州工业园区星浦医院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87</w:t>
            </w:r>
            <w:r/>
          </w:p>
        </w:tc>
        <w:tc>
          <w:tcPr>
            <w:tcW w:w="1560" w:type="dxa"/>
            <w:vAlign w:val="center"/>
            <w:vMerge w:val="continue"/>
            <w:textDirection w:val="lrTb"/>
            <w:noWrap/>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二级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苏州工业园区星塘医院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88</w:t>
            </w:r>
            <w:r/>
          </w:p>
        </w:tc>
        <w:tc>
          <w:tcPr>
            <w:tcW w:w="1560" w:type="dxa"/>
            <w:vAlign w:val="center"/>
            <w:vMerge w:val="restart"/>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高新区</w:t>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高新区基层卫生机构</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89</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苏州科技城医院</w:t>
            </w:r>
            <w:r/>
          </w:p>
        </w:tc>
      </w:tr>
      <w:tr>
        <w:trPr/>
        <w:tc>
          <w:tcPr>
            <w:tcW w:w="845"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90</w:t>
            </w:r>
            <w:r/>
          </w:p>
        </w:tc>
        <w:tc>
          <w:tcPr>
            <w:tcW w:w="1560" w:type="dxa"/>
            <w:vAlign w:val="center"/>
            <w:vMerge w:val="continue"/>
            <w:textDirection w:val="lrTb"/>
            <w:noWrap w:val="false"/>
          </w:tcPr>
          <w:p>
            <w:pPr>
              <w:contextualSpacing/>
              <w:ind w:left="113"/>
              <w:jc w:val="left"/>
              <w:rPr>
                <w:rFonts w:ascii="宋体" w:hAnsi="宋体"/>
                <w:sz w:val="21"/>
                <w:szCs w:val="24"/>
                <w:lang w:bidi="ar"/>
                <w14:ligatures w14:val="standardContextual"/>
              </w:rPr>
            </w:pPr>
            <w:r>
              <w:rPr>
                <w:rFonts w:ascii="宋体" w:hAnsi="宋体"/>
                <w:sz w:val="21"/>
                <w:szCs w:val="24"/>
                <w:lang w:bidi="ar"/>
                <w14:ligatures w14:val="standardContextual"/>
              </w:rPr>
            </w:r>
            <w:r/>
          </w:p>
        </w:tc>
        <w:tc>
          <w:tcPr>
            <w:tcW w:w="1843"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三级</w:t>
            </w:r>
            <w:r/>
          </w:p>
        </w:tc>
        <w:tc>
          <w:tcPr>
            <w:tcW w:w="5528" w:type="dxa"/>
            <w:vAlign w:val="center"/>
            <w:textDirection w:val="lrTb"/>
            <w:noWrap w:val="false"/>
          </w:tcPr>
          <w:p>
            <w:pPr>
              <w:contextualSpacing/>
              <w:ind w:left="113"/>
              <w:jc w:val="left"/>
              <w:rPr>
                <w:rFonts w:ascii="宋体" w:hAnsi="宋体"/>
                <w:sz w:val="21"/>
                <w:szCs w:val="24"/>
                <w:lang w:bidi="ar"/>
                <w14:ligatures w14:val="standardContextual"/>
              </w:rPr>
            </w:pPr>
            <w:r>
              <w:rPr>
                <w:rFonts w:hint="eastAsia" w:ascii="宋体" w:hAnsi="宋体"/>
                <w:sz w:val="21"/>
                <w:szCs w:val="24"/>
                <w:lang w:bidi="ar"/>
                <w14:ligatures w14:val="standardContextual"/>
              </w:rPr>
              <w:t xml:space="preserve">苏州高新区人民医院</w:t>
            </w:r>
            <w:r/>
          </w:p>
        </w:tc>
      </w:tr>
    </w:tbl>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2.建设要求</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2.1 软件建设要求</w:t>
      </w:r>
      <w:r/>
    </w:p>
    <w:tbl>
      <w:tblPr>
        <w:tblStyle w:val="1444"/>
        <w:tblW w:w="0" w:type="auto"/>
        <w:tblLook w:val="04A0" w:firstRow="1" w:lastRow="0" w:firstColumn="1" w:lastColumn="0" w:noHBand="0" w:noVBand="1"/>
      </w:tblPr>
      <w:tblGrid>
        <w:gridCol w:w="988"/>
        <w:gridCol w:w="1275"/>
        <w:gridCol w:w="1560"/>
        <w:gridCol w:w="4394"/>
        <w:gridCol w:w="1559"/>
      </w:tblGrid>
      <w:tr>
        <w:trPr>
          <w:trHeight w:val="650"/>
        </w:trPr>
        <w:tc>
          <w:tcPr>
            <w:tcW w:w="988" w:type="dxa"/>
            <w:vAlign w:val="center"/>
            <w:textDirection w:val="lrTb"/>
            <w:noWrap w:val="false"/>
          </w:tcPr>
          <w:p>
            <w:pPr>
              <w:ind w:left="0"/>
              <w:jc w:val="center"/>
              <w:rPr>
                <w:rFonts w:ascii="宋体" w:hAnsi="宋体" w:eastAsia="宋体"/>
                <w:b/>
                <w:bCs/>
                <w:sz w:val="21"/>
                <w:szCs w:val="21"/>
                <w14:ligatures w14:val="standardContextual"/>
              </w:rPr>
            </w:pPr>
            <w:r/>
            <w:bookmarkStart w:id="133" w:name="OLE_LINK78"/>
            <w:r>
              <w:rPr>
                <w:rFonts w:hint="eastAsia" w:ascii="宋体" w:hAnsi="宋体" w:eastAsia="宋体"/>
                <w:b/>
                <w:bCs/>
                <w:sz w:val="21"/>
                <w:szCs w:val="21"/>
                <w14:ligatures w14:val="standardContextual"/>
              </w:rPr>
              <w:t xml:space="preserve">序号</w:t>
            </w:r>
            <w:r/>
          </w:p>
        </w:tc>
        <w:tc>
          <w:tcPr>
            <w:tcW w:w="1275"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建设项目</w:t>
            </w:r>
            <w:r/>
          </w:p>
        </w:tc>
        <w:tc>
          <w:tcPr>
            <w:tcW w:w="1560"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功能模块</w:t>
            </w:r>
            <w:r/>
          </w:p>
        </w:tc>
        <w:tc>
          <w:tcPr>
            <w:tcW w:w="4394"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建设要求</w:t>
            </w:r>
            <w:r/>
          </w:p>
        </w:tc>
        <w:tc>
          <w:tcPr>
            <w:tcW w:w="1559"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备注</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w:t>
            </w:r>
            <w:r/>
          </w:p>
        </w:tc>
        <w:tc>
          <w:tcPr>
            <w:tcW w:w="1275" w:type="dxa"/>
            <w:vAlign w:val="center"/>
            <w:vMerge w:val="restart"/>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健康医疗大数据中心升级建设</w:t>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数据治理平台</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建设数据治理平台，实现医疗数据全生命周期管理，覆盖医疗数据标化、字典对照、数据转码、数据治理等环节，支撑形成医疗数据资源管理应用体系。</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2</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数据质控平台</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建设数据质控平台，满足</w:t>
            </w:r>
            <w:r>
              <w:rPr>
                <w:rFonts w:ascii="宋体" w:hAnsi="宋体" w:eastAsia="宋体"/>
                <w:color w:val="000000"/>
                <w:sz w:val="21"/>
                <w:szCs w:val="21"/>
                <w:lang w:bidi="ar"/>
                <w14:ligatures w14:val="standardContextual"/>
              </w:rPr>
              <w:t xml:space="preserve">依据数据集规范可视化构建数据质量规则及质量方案，精准分析质量问题，</w:t>
            </w:r>
            <w:r>
              <w:rPr>
                <w:rFonts w:hint="eastAsia" w:ascii="宋体" w:hAnsi="宋体" w:eastAsia="宋体"/>
                <w:color w:val="000000"/>
                <w:sz w:val="21"/>
                <w:szCs w:val="21"/>
                <w:lang w:bidi="ar"/>
                <w14:ligatures w14:val="standardContextual"/>
              </w:rPr>
              <w:t xml:space="preserve">建设数据质量达标评价模型，</w:t>
            </w:r>
            <w:r>
              <w:rPr>
                <w:rFonts w:ascii="宋体" w:hAnsi="宋体" w:eastAsia="宋体"/>
                <w:color w:val="000000"/>
                <w:sz w:val="21"/>
                <w:szCs w:val="21"/>
                <w:lang w:bidi="ar"/>
                <w14:ligatures w14:val="standardContextual"/>
              </w:rPr>
              <w:t xml:space="preserve">周期性进行质量评测，</w:t>
            </w:r>
            <w:r>
              <w:rPr>
                <w:rFonts w:hint="eastAsia" w:ascii="宋体" w:hAnsi="宋体" w:eastAsia="宋体"/>
                <w:color w:val="000000"/>
                <w:sz w:val="21"/>
                <w:szCs w:val="21"/>
                <w:lang w:bidi="ar"/>
                <w14:ligatures w14:val="standardContextual"/>
              </w:rPr>
              <w:t xml:space="preserve">建立数据问题处理机制，促进健康医疗数据质量提升。</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3</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数据共享交换平台</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建设数据共享交换平台，满足数据资源目录管理、数据资源发布、数据需求申请审批等，以及用数过程的监管监控和安全保障，支撑健康医疗数据价值释放。</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4</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color w:val="000000"/>
                <w:sz w:val="21"/>
                <w:szCs w:val="21"/>
                <w:lang w:bidi="ar"/>
                <w14:ligatures w14:val="standardContextual"/>
              </w:rPr>
              <w:t xml:space="preserve">大数据中心驾驶舱</w:t>
            </w:r>
            <w:r/>
          </w:p>
        </w:tc>
        <w:tc>
          <w:tcPr>
            <w:tcW w:w="4394"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sz w:val="21"/>
                <w:szCs w:val="21"/>
                <w14:ligatures w14:val="standardContextual"/>
              </w:rPr>
              <w:t xml:space="preserve">建设大数据中心驾驶舱，</w:t>
            </w:r>
            <w:r>
              <w:rPr>
                <w:rFonts w:ascii="宋体" w:hAnsi="宋体" w:eastAsia="宋体"/>
                <w:sz w:val="21"/>
                <w:szCs w:val="21"/>
                <w14:ligatures w14:val="standardContextual"/>
              </w:rPr>
              <w:t xml:space="preserve">以中心视角进行总体态势监控与多维统计分析，可视化</w:t>
            </w:r>
            <w:r>
              <w:rPr>
                <w:rFonts w:hint="eastAsia" w:ascii="宋体" w:hAnsi="宋体" w:eastAsia="宋体"/>
                <w:sz w:val="21"/>
                <w:szCs w:val="21"/>
                <w14:ligatures w14:val="standardContextual"/>
              </w:rPr>
              <w:t xml:space="preserve">呈现健康医疗大数据中心在数据采集、数据标化、数据质控、数据共享等核心环节的关键指标参数。</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5</w:t>
            </w:r>
            <w:r/>
          </w:p>
        </w:tc>
        <w:tc>
          <w:tcPr>
            <w:tcW w:w="1275" w:type="dxa"/>
            <w:vAlign w:val="center"/>
            <w:vMerge w:val="restart"/>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数据安全</w:t>
            </w:r>
            <w:r/>
          </w:p>
        </w:tc>
        <w:tc>
          <w:tcPr>
            <w:tcW w:w="1560"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sz w:val="21"/>
                <w:szCs w:val="21"/>
                <w14:ligatures w14:val="standardContextual"/>
              </w:rPr>
              <w:t xml:space="preserve">数据分类分级软件</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建设数据分类分级软件，</w:t>
            </w:r>
            <w:r>
              <w:rPr>
                <w:rFonts w:ascii="宋体" w:hAnsi="宋体" w:eastAsia="宋体"/>
                <w:sz w:val="21"/>
                <w:szCs w:val="21"/>
                <w14:ligatures w14:val="standardContextual"/>
              </w:rPr>
              <w:t xml:space="preserve">依据数据的来源、用途、敏感程度等不同属性，</w:t>
            </w:r>
            <w:r>
              <w:rPr>
                <w:rFonts w:hint="eastAsia" w:ascii="宋体" w:hAnsi="宋体" w:eastAsia="宋体"/>
                <w:sz w:val="21"/>
                <w:szCs w:val="21"/>
                <w14:ligatures w14:val="standardContextual"/>
              </w:rPr>
              <w:t xml:space="preserve">自动执行数据分类分级任务，确保分类分级结果的科学性与合理性。</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r/>
          </w:p>
        </w:tc>
      </w:tr>
      <w:tr>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6</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sz w:val="21"/>
                <w:szCs w:val="21"/>
                <w14:ligatures w14:val="standardContextual"/>
              </w:rPr>
              <w:t xml:space="preserve">数据流通安全软件</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建设数据流通安全软件，通过数据落盘加密技术，实现对存储在服务器上的数据进行深度加密。</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1套</w:t>
            </w:r>
            <w:bookmarkEnd w:id="133"/>
            <w:r/>
            <w:r/>
          </w:p>
        </w:tc>
      </w:tr>
    </w:tbl>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2.2 数据治理运营服务要求</w:t>
      </w:r>
      <w:r/>
    </w:p>
    <w:tbl>
      <w:tblPr>
        <w:tblStyle w:val="1444"/>
        <w:tblW w:w="0" w:type="auto"/>
        <w:tblLook w:val="04A0" w:firstRow="1" w:lastRow="0" w:firstColumn="1" w:lastColumn="0" w:noHBand="0" w:noVBand="1"/>
      </w:tblPr>
      <w:tblGrid>
        <w:gridCol w:w="988"/>
        <w:gridCol w:w="1275"/>
        <w:gridCol w:w="1560"/>
        <w:gridCol w:w="4394"/>
        <w:gridCol w:w="1559"/>
      </w:tblGrid>
      <w:tr>
        <w:trPr>
          <w:trHeight w:val="645"/>
        </w:trPr>
        <w:tc>
          <w:tcPr>
            <w:tcW w:w="988" w:type="dxa"/>
            <w:vAlign w:val="center"/>
            <w:textDirection w:val="lrTb"/>
            <w:noWrap w:val="false"/>
          </w:tcPr>
          <w:p>
            <w:pPr>
              <w:ind w:left="0"/>
              <w:jc w:val="center"/>
              <w:rPr>
                <w:rFonts w:ascii="宋体" w:hAnsi="宋体" w:eastAsia="宋体"/>
                <w:b/>
                <w:bCs/>
                <w:sz w:val="21"/>
                <w:szCs w:val="21"/>
                <w14:ligatures w14:val="standardContextual"/>
              </w:rPr>
            </w:pPr>
            <w:r/>
            <w:bookmarkStart w:id="134" w:name="_Hlk229392128"/>
            <w:r>
              <w:rPr>
                <w:rFonts w:hint="eastAsia" w:ascii="宋体" w:hAnsi="宋体" w:eastAsia="宋体"/>
                <w:b/>
                <w:bCs/>
                <w:sz w:val="21"/>
                <w:szCs w:val="21"/>
                <w14:ligatures w14:val="standardContextual"/>
              </w:rPr>
              <w:t xml:space="preserve">序号</w:t>
            </w:r>
            <w:r/>
          </w:p>
        </w:tc>
        <w:tc>
          <w:tcPr>
            <w:tcW w:w="1275"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建设项目</w:t>
            </w:r>
            <w:r/>
          </w:p>
        </w:tc>
        <w:tc>
          <w:tcPr>
            <w:tcW w:w="1560"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服务名称</w:t>
            </w:r>
            <w:r/>
          </w:p>
        </w:tc>
        <w:tc>
          <w:tcPr>
            <w:tcW w:w="4394"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服务概述</w:t>
            </w:r>
            <w:r/>
          </w:p>
        </w:tc>
        <w:tc>
          <w:tcPr>
            <w:tcW w:w="1559" w:type="dxa"/>
            <w:vAlign w:val="center"/>
            <w:textDirection w:val="lrTb"/>
            <w:noWrap/>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备注</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w:t>
            </w:r>
            <w:r/>
          </w:p>
        </w:tc>
        <w:tc>
          <w:tcPr>
            <w:tcW w:w="1275" w:type="dxa"/>
            <w:vAlign w:val="center"/>
            <w:vMerge w:val="restart"/>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健康医疗数据治理运营服务</w:t>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数据同步服务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面向全市公共卫生与公立医疗机构，提供历史数据同步和实时数据同步链路构建服务，要求做好业务量监测和同步链路稳定保障工作。</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900"/>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2</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数据治理服务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围绕全量归集的数据资源开展数据融合、数据标化、字典对照、数据转码等数据治理实施服务，要求确保数据资源“可知、可见、可用”。</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3</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数据质控服务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建立数据质量规则体系，编制数据质控脚本，开展数据质量核查、问题分析、问题定位等质量服务，进行问题处置指导和进展跟进，定期输出质量评估报告。</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4</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vMerge w:val="restart"/>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数据共享交换服务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数据共享服务：提供数据资源目录编制、数据接口开发、用数工单管理、数据上报回流、健康档案主题库构建等共享服务。</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5</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三医数据交换服务：面向三医应用场景提供三医数据资源目录编制、三医数据通道对接维护等服务。</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6</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数据开发服务：面向各类应用场景及创新实验室等定制化用数需求，提供用数需求分析、设计及开发服务。</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7</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数据安全服务：按照数据安全相关标准规范，开展数据分类分级、数据脱敏、数据加密等工作。</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2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8</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数据集标准动态修订服务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制定并动态维护苏州市健康医疗大数据中心数据集规范。</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r/>
          </w:p>
        </w:tc>
      </w:tr>
      <w:tr>
        <w:trPr>
          <w:trHeight w:val="1195"/>
        </w:trPr>
        <w:tc>
          <w:tcPr>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9</w:t>
            </w:r>
            <w:r/>
          </w:p>
        </w:tc>
        <w:tc>
          <w:tcPr>
            <w:tcW w:w="1275" w:type="dxa"/>
            <w:vAlign w:val="center"/>
            <w:vMerge w:val="continue"/>
            <w:textDirection w:val="lrTb"/>
            <w:noWrap w:val="false"/>
          </w:tcPr>
          <w:p>
            <w:pPr>
              <w:ind w:left="0"/>
              <w:jc w:val="left"/>
              <w:rPr>
                <w:rFonts w:ascii="宋体" w:hAnsi="宋体" w:eastAsia="宋体"/>
                <w:sz w:val="21"/>
                <w:szCs w:val="21"/>
                <w14:ligatures w14:val="standardContextual"/>
              </w:rPr>
            </w:pPr>
            <w:r>
              <w:rPr>
                <w:rFonts w:ascii="宋体" w:hAnsi="宋体" w:eastAsia="宋体"/>
                <w:sz w:val="21"/>
                <w:szCs w:val="21"/>
                <w14:ligatures w14:val="standardContextual"/>
              </w:rPr>
            </w:r>
            <w:r/>
          </w:p>
        </w:tc>
        <w:tc>
          <w:tcPr>
            <w:tcW w:w="156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老通道数据及服务迁移服务</w:t>
            </w:r>
            <w:r/>
          </w:p>
        </w:tc>
        <w:tc>
          <w:tcPr>
            <w:tcW w:w="439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完成一期老通道数据及相关服务整体迁移等工作。</w:t>
            </w:r>
            <w:r/>
          </w:p>
        </w:tc>
        <w:tc>
          <w:tcPr>
            <w:tcW w:w="1559"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15个月</w:t>
            </w:r>
            <w:bookmarkEnd w:id="134"/>
            <w:r/>
            <w:r/>
          </w:p>
        </w:tc>
      </w:tr>
    </w:tbl>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2.3 配套设施采购要求</w:t>
      </w:r>
      <w:r/>
    </w:p>
    <w:p>
      <w:pPr>
        <w:ind w:left="0" w:firstLine="420"/>
        <w:jc w:val="left"/>
        <w:spacing w:line="360" w:lineRule="auto"/>
        <w:rPr>
          <w:rFonts w:ascii="宋体" w:hAnsi="宋体"/>
          <w:sz w:val="21"/>
          <w:szCs w:val="21"/>
        </w:rPr>
      </w:pPr>
      <w:r>
        <w:rPr>
          <w:rFonts w:ascii="宋体" w:hAnsi="宋体"/>
          <w:sz w:val="21"/>
          <w:szCs w:val="21"/>
        </w:rPr>
        <w:t xml:space="preserve">2.3.1 </w:t>
      </w:r>
      <w:r>
        <w:rPr>
          <w:rFonts w:hint="eastAsia" w:ascii="宋体" w:hAnsi="宋体"/>
          <w:sz w:val="21"/>
          <w:szCs w:val="21"/>
        </w:rPr>
        <w:t xml:space="preserve">配套软件采购要求</w:t>
      </w:r>
      <w:r/>
    </w:p>
    <w:tbl>
      <w:tblPr>
        <w:tblStyle w:val="1444"/>
        <w:tblW w:w="0" w:type="auto"/>
        <w:tblLook w:val="04A0" w:firstRow="1" w:lastRow="0" w:firstColumn="1" w:lastColumn="0" w:noHBand="0" w:noVBand="1"/>
      </w:tblPr>
      <w:tblGrid>
        <w:gridCol w:w="988"/>
        <w:gridCol w:w="1842"/>
        <w:gridCol w:w="4820"/>
        <w:gridCol w:w="1984"/>
      </w:tblGrid>
      <w:tr>
        <w:trPr>
          <w:trHeight w:val="65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配套软件名称</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采购要求</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center"/>
              <w:rPr>
                <w:rFonts w:ascii="宋体" w:hAnsi="宋体" w:eastAsia="宋体"/>
                <w:b/>
                <w:bCs/>
                <w:sz w:val="21"/>
                <w:szCs w:val="21"/>
                <w14:ligatures w14:val="standardContextual"/>
              </w:rPr>
            </w:pPr>
            <w:r>
              <w:rPr>
                <w:rFonts w:hint="eastAsia" w:ascii="宋体" w:hAnsi="宋体" w:eastAsia="宋体"/>
                <w:b/>
                <w:bCs/>
                <w:sz w:val="21"/>
                <w:szCs w:val="21"/>
                <w14:ligatures w14:val="standardContextual"/>
              </w:rPr>
              <w:t xml:space="preserve">备注</w:t>
            </w:r>
            <w:r/>
          </w:p>
        </w:tc>
      </w:tr>
      <w:t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contextualSpacing/>
              <w:ind w:left="440"/>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color w:val="000000"/>
                <w:sz w:val="21"/>
                <w:szCs w:val="21"/>
                <w:lang w:bidi="ar"/>
                <w14:ligatures w14:val="standardContextual"/>
              </w:rPr>
              <w:t xml:space="preserve">医疗全景实时数仓</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采购医疗全景实时数仓软件产品一套，产品应符合国产化要求，采用成熟的分布式数据库架构，提供不少于33个分布式节点授权，具备统一的数据存储、数据计算、数据分析及数据服务能力，可满足卫生健康领域多源异构数据汇聚、实时分析、离线分析、多维分析及决策支持等业务应用需求。</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要求每个分布式节点提供使用许可</w:t>
            </w:r>
            <w:r/>
          </w:p>
        </w:tc>
      </w:tr>
      <w:t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contextualSpacing/>
              <w:ind w:left="0"/>
              <w:jc w:val="center"/>
              <w:spacing w:line="360" w:lineRule="auto"/>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color w:val="000000"/>
                <w:sz w:val="21"/>
                <w:szCs w:val="21"/>
                <w:lang w:bidi="ar"/>
                <w14:ligatures w14:val="standardContextual"/>
              </w:rPr>
              <w:t xml:space="preserve">数据同步平台</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ind w:left="0"/>
              <w:jc w:val="left"/>
              <w:rPr>
                <w:rFonts w:ascii="宋体" w:hAnsi="宋体" w:eastAsia="宋体"/>
                <w:color w:val="000000"/>
                <w:sz w:val="21"/>
                <w:szCs w:val="21"/>
                <w:lang w:bidi="ar"/>
                <w14:ligatures w14:val="standardContextual"/>
              </w:rPr>
            </w:pPr>
            <w:r>
              <w:rPr>
                <w:rFonts w:hint="eastAsia" w:ascii="宋体" w:hAnsi="宋体" w:eastAsia="宋体"/>
                <w:color w:val="000000"/>
                <w:sz w:val="21"/>
                <w:szCs w:val="21"/>
                <w:lang w:bidi="ar"/>
                <w14:ligatures w14:val="standardContextual"/>
              </w:rPr>
              <w:t xml:space="preserve">采购数据同步软件产品一套，产品应符合国产化要求，采用日志解析技术，通过对源数据库事务日志的实时捕获与解析，在不侵入源系统、不影响业务运行的前提下，完成数据的实时同步与复制，实现海量健康医疗数据迁移。</w:t>
            </w:r>
            <w:r>
              <w:rPr>
                <w:rFonts w:hint="eastAsia" w:ascii="宋体" w:hAnsi="宋体" w:eastAsia="宋体"/>
                <w:sz w:val="21"/>
                <w:szCs w:val="21"/>
                <w14:ligatures w14:val="standardContextual"/>
              </w:rPr>
              <w:t xml:space="preserve">提供不少于90</w:t>
            </w:r>
            <w:r>
              <w:rPr>
                <w:rFonts w:hint="eastAsia" w:ascii="宋体" w:hAnsi="宋体" w:eastAsia="宋体"/>
                <w:sz w:val="21"/>
                <w:szCs w:val="21"/>
                <w14:ligatures w14:val="standardContextual"/>
              </w:rPr>
              <w:t xml:space="preserve">个数据采集</w:t>
            </w:r>
            <w:r>
              <w:rPr>
                <w:rFonts w:hint="eastAsia" w:ascii="宋体" w:hAnsi="宋体" w:eastAsia="宋体"/>
                <w:sz w:val="21"/>
                <w:szCs w:val="21"/>
                <w14:ligatures w14:val="standardContextual"/>
              </w:rPr>
              <w:t xml:space="preserve">点位使用授权。</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jc w:val="left"/>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要求每个数据节点提供使用许可</w:t>
            </w:r>
            <w:r/>
          </w:p>
        </w:tc>
      </w:tr>
    </w:tbl>
    <w:p>
      <w:pPr>
        <w:ind w:left="0"/>
        <w:spacing w:line="360" w:lineRule="auto"/>
        <w:tabs>
          <w:tab w:val="left" w:pos="420" w:leader="none"/>
        </w:tabs>
      </w:pPr>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2.3.2 运行环境软件采购要求</w:t>
      </w:r>
      <w:r/>
    </w:p>
    <w:tbl>
      <w:tblPr>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6"/>
        <w:gridCol w:w="5941"/>
        <w:gridCol w:w="2491"/>
      </w:tblGrid>
      <w:tr>
        <w:trPr>
          <w:jc w:val="center"/>
          <w:trHeight w:val="517"/>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lang w:bidi="ar"/>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14:ligatures w14:val="standardContextual"/>
              </w:rPr>
              <w:t xml:space="preserve">软件名称</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b/>
                <w:bCs/>
                <w:color w:val="000000"/>
                <w:sz w:val="21"/>
                <w:szCs w:val="21"/>
                <w14:ligatures w14:val="standardContextual"/>
              </w:rPr>
            </w:pPr>
            <w:r>
              <w:rPr>
                <w:rFonts w:hint="eastAsia" w:ascii="宋体" w:hAnsi="宋体"/>
                <w:b/>
                <w:bCs/>
                <w:color w:val="000000"/>
                <w:sz w:val="21"/>
                <w:szCs w:val="21"/>
                <w:lang w:bidi="ar"/>
                <w14:ligatures w14:val="standardContextual"/>
              </w:rPr>
              <w:t xml:space="preserve">备注</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服务器操作系统软件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195套</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中间件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23套</w:t>
            </w:r>
            <w:r/>
          </w:p>
        </w:tc>
      </w:tr>
      <w:tr>
        <w:trPr>
          <w:jc w:val="center"/>
          <w:trHeight w:val="290"/>
        </w:trPr>
        <w:tc>
          <w:tcPr>
            <w:tcBorders>
              <w:top w:val="single" w:color="auto" w:sz="4" w:space="0"/>
              <w:left w:val="single" w:color="auto" w:sz="4" w:space="0"/>
              <w:bottom w:val="single" w:color="auto" w:sz="4" w:space="0"/>
              <w:right w:val="single" w:color="auto" w:sz="4" w:space="0"/>
            </w:tcBorders>
            <w:tcW w:w="589"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3108"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数据库软件</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jc w:val="center"/>
              <w:rPr>
                <w:rFonts w:ascii="宋体" w:hAnsi="宋体"/>
                <w:color w:val="000000"/>
                <w:sz w:val="21"/>
                <w:szCs w:val="21"/>
                <w:lang w:bidi="ar"/>
                <w14:ligatures w14:val="standardContextual"/>
              </w:rPr>
            </w:pPr>
            <w:r>
              <w:rPr>
                <w:rFonts w:hint="eastAsia" w:ascii="宋体" w:hAnsi="宋体"/>
                <w:color w:val="000000"/>
                <w:sz w:val="21"/>
                <w:szCs w:val="21"/>
                <w:lang w:bidi="ar"/>
                <w14:ligatures w14:val="standardContextual"/>
              </w:rPr>
              <w:t xml:space="preserve">17套</w:t>
            </w:r>
            <w:r/>
          </w:p>
        </w:tc>
      </w:tr>
    </w:tbl>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2.4 </w:t>
      </w:r>
      <w:r>
        <w:rPr>
          <w:rFonts w:hint="eastAsia" w:ascii="宋体" w:hAnsi="宋体"/>
          <w:sz w:val="21"/>
          <w:szCs w:val="21"/>
          <w14:ligatures w14:val="standardContextual"/>
        </w:rPr>
        <w:t xml:space="preserve">IDC机柜租赁服务</w:t>
      </w:r>
      <w:r/>
    </w:p>
    <w:tbl>
      <w:tblPr>
        <w:tblStyle w:val="1444"/>
        <w:tblW w:w="0" w:type="auto"/>
        <w:jc w:val="center"/>
        <w:tblLook w:val="04A0" w:firstRow="1" w:lastRow="0" w:firstColumn="1" w:lastColumn="0" w:noHBand="0" w:noVBand="1"/>
      </w:tblPr>
      <w:tblGrid>
        <w:gridCol w:w="988"/>
        <w:gridCol w:w="2268"/>
        <w:gridCol w:w="1134"/>
        <w:gridCol w:w="2126"/>
        <w:gridCol w:w="2977"/>
      </w:tblGrid>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b/>
                <w:sz w:val="21"/>
                <w:szCs w:val="21"/>
                <w14:ligatures w14:val="standardContextual"/>
              </w:rPr>
            </w:pPr>
            <w:r>
              <w:rPr>
                <w:rFonts w:hint="eastAsia" w:ascii="宋体" w:hAnsi="宋体" w:eastAsia="宋体"/>
                <w:b/>
                <w:sz w:val="21"/>
                <w:szCs w:val="21"/>
                <w14:ligatures w14:val="standardContextual"/>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jc w:val="center"/>
              <w:rPr>
                <w:rFonts w:ascii="宋体" w:hAnsi="宋体" w:eastAsia="宋体"/>
                <w:b/>
                <w:sz w:val="21"/>
                <w:szCs w:val="21"/>
                <w14:ligatures w14:val="standardContextual"/>
              </w:rPr>
            </w:pPr>
            <w:r>
              <w:rPr>
                <w:rFonts w:hint="eastAsia" w:ascii="宋体" w:hAnsi="宋体" w:eastAsia="宋体"/>
                <w:b/>
                <w:sz w:val="21"/>
                <w:szCs w:val="21"/>
                <w14:ligatures w14:val="standardContextual"/>
              </w:rPr>
              <w:t xml:space="preserve">租赁名称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eastAsia="宋体"/>
                <w:b/>
                <w:sz w:val="21"/>
                <w:szCs w:val="21"/>
                <w14:ligatures w14:val="standardContextual"/>
              </w:rPr>
            </w:pPr>
            <w:r>
              <w:rPr>
                <w:rFonts w:hint="eastAsia" w:ascii="宋体" w:hAnsi="宋体" w:eastAsia="宋体"/>
                <w:b/>
                <w:sz w:val="21"/>
                <w:szCs w:val="21"/>
                <w14:ligatures w14:val="standardContextual"/>
              </w:rPr>
              <w:t xml:space="preserve">租赁数量</w:t>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rPr>
                <w:rFonts w:ascii="宋体" w:hAnsi="宋体" w:eastAsia="宋体"/>
                <w:b/>
                <w:sz w:val="21"/>
                <w:szCs w:val="21"/>
                <w14:ligatures w14:val="standardContextual"/>
              </w:rPr>
            </w:pPr>
            <w:r>
              <w:rPr>
                <w:rFonts w:hint="eastAsia" w:ascii="宋体" w:hAnsi="宋体" w:eastAsia="宋体"/>
                <w:b/>
                <w:sz w:val="21"/>
                <w:szCs w:val="21"/>
                <w14:ligatures w14:val="standardContextual"/>
              </w:rPr>
              <w:t xml:space="preserve">尺寸</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rPr>
                <w:rFonts w:ascii="宋体" w:hAnsi="宋体" w:eastAsia="宋体"/>
                <w:b/>
                <w:sz w:val="21"/>
                <w:szCs w:val="21"/>
                <w14:ligatures w14:val="standardContextual"/>
              </w:rPr>
            </w:pPr>
            <w:r>
              <w:rPr>
                <w:rFonts w:hint="eastAsia" w:ascii="宋体" w:hAnsi="宋体" w:eastAsia="宋体"/>
                <w:b/>
                <w:sz w:val="21"/>
                <w:szCs w:val="21"/>
                <w14:ligatures w14:val="standardContextual"/>
              </w:rPr>
              <w:t xml:space="preserve">租赁周期</w:t>
            </w:r>
            <w:r/>
          </w:p>
        </w:tc>
      </w:tr>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jc w:val="center"/>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IDC机柜租赁</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14台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jc w:val="center"/>
              <w:rPr>
                <w:rFonts w:ascii="宋体" w:hAnsi="宋体" w:eastAsia="宋体"/>
                <w:sz w:val="21"/>
                <w:szCs w:val="21"/>
                <w14:ligatures w14:val="standardContextual"/>
              </w:rPr>
            </w:pPr>
            <w:r>
              <w:rPr>
                <w:rFonts w:hint="eastAsia" w:ascii="宋体" w:hAnsi="宋体" w:eastAsia="宋体"/>
                <w:sz w:val="21"/>
              </w:rPr>
              <w:t xml:space="preserve">48U*600mm*1000mm</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rPr>
                <w:rFonts w:ascii="宋体" w:hAnsi="宋体" w:eastAsia="宋体"/>
                <w:sz w:val="21"/>
                <w:szCs w:val="21"/>
                <w14:ligatures w14:val="standardContextual"/>
              </w:rPr>
            </w:pPr>
            <w:r>
              <w:rPr>
                <w:rFonts w:hint="eastAsia" w:ascii="宋体" w:hAnsi="宋体" w:eastAsia="宋体"/>
                <w:sz w:val="21"/>
                <w:szCs w:val="21"/>
                <w14:ligatures w14:val="standardContextual"/>
              </w:rPr>
              <w:t xml:space="preserve">5年</w:t>
            </w:r>
            <w:r/>
          </w:p>
        </w:tc>
      </w:tr>
    </w:tbl>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spacing w:line="360" w:lineRule="auto"/>
        <w:tabs>
          <w:tab w:val="left" w:pos="420" w:leader="none"/>
        </w:tabs>
        <w:rPr>
          <w:rFonts w:ascii="宋体" w:hAnsi="宋体"/>
          <w:sz w:val="21"/>
        </w:rPr>
      </w:pPr>
      <w:r>
        <w:rPr>
          <w:rFonts w:hint="eastAsia" w:ascii="宋体" w:hAnsi="宋体"/>
          <w:sz w:val="21"/>
        </w:rPr>
        <w:t xml:space="preserve">3.软件建设具体要求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3.1数据治理平台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数据治理平台需支持依据全市统一的数据标准体系，进行健康医疗数据治理全生命周期管理，为数据质控、数据共享奠定基础。数据治理平台需具备以下功能：</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1数据源管理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支持建立与医疗全景实时数仓数据源连接的通道，在数据治理时引用，作为相应的数据源端和目标端信息。支持查看数据源目录，支持查询SQL的编写、格式化、执行和结果预览。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支持目标表和源表之间单表与多表的数据比对，支持比对时间类型字段与比对时间范围配置。支持查看数据比对任务执行记录与记录详情，支持运行异常监控。</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2数据标准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标准文档、命名规范、标准表、标准码表管理。支持标准码表、标准表创建，支持定义标准表的基本信息、字段、机构标识字段。支持多页Excel导入标准表，支持标准表单表、全量建表初始化。支持标准表字段与标准码表的映射，支持单值或多值映射。支持定义字典的基本信息和字典项取值范围，支持标准码表全量数据推送。</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支持标准下发，将标准表下发至各机构进行数据标化。支持下发各机构的标准表管理，支持下发标准表Excel导入。</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3数据标化</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查看待标化、已标化的标准表信息，支持标化脚本编写与格式化，可运行脚本进行结果预览，当执行失败时返回错误信息。支持查看标化脚本版本记录。支持标化脚本自动核查，核查内容包括字段缺失核查、字段名核查、字段类型核查、字段为空核查。支持依据标准表定义，初始化生成原始码表与标准表字段映射关系。支持管理人员对标化脚本进行审核管理。</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4字典对照</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从标化脚本提取生成原始码表，支持查看原始码表历史生成记录，支持查看生成失败的原始码表字段异常日志，支持手动提取原始码表。支持手动创建或Excel导入原始码表。支持当原始码表与标准码表的字典编码和字典名称相同时进行自动匹配，支持按字典编码或字典名称进行精准匹配。支持查看原始码表样例数据。支持字典对照关系的绑定、解绑、重新匹配。支持已有对照关系Excel导入，支持规范性校验、编码重复判断、对照关系存在判断。</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5中心数据汇集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前置集群至中心集群的数据汇聚任务，支持多目标端配置，支持删除全量数据汇聚，支持中心数据汇聚过程中依据字典对照关系进行自动转码，支持周期调度策略配置，支持任务批量执行与停止。支持查看中心数据汇聚任务任务监控与异常日志，支持合并算子重新执行失败的表。</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6数据转码</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支持依据字典对照关系，自动生成转码脚本，支持转码脚本的语法转化检查、测试，支持自动分区，支持视图状态检查。</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7运维监控</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支持查看数据集数、标准表数、码表字典数、标准文档数、命名规范数、数据标化进展、字典对照进展、字典抽取与推送任务监控、中心数据汇聚进展、各阶段数据量统计。</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支持告警规则配置，支持指定任务告警，当任务达到规则要求时触发告警。支持查看告警信息。</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8工作台</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支持查看机构数据标化、字典对照、问题反馈指标及进展。支持查看今日报警信息和我的待办通知。</w:t>
      </w:r>
      <w:r/>
    </w:p>
    <w:p>
      <w:pPr>
        <w:ind w:left="0" w:firstLine="420"/>
        <w:spacing w:line="360" w:lineRule="auto"/>
        <w:tabs>
          <w:tab w:val="left" w:pos="420" w:leader="none"/>
        </w:tabs>
        <w:rPr>
          <w:rFonts w:ascii="宋体" w:hAnsi="宋体"/>
          <w:sz w:val="21"/>
        </w:rPr>
      </w:pPr>
      <w:r>
        <w:rPr>
          <w:rFonts w:ascii="宋体" w:hAnsi="宋体"/>
          <w:sz w:val="21"/>
        </w:rPr>
        <w:t xml:space="preserve">3.1.</w:t>
      </w:r>
      <w:r>
        <w:rPr>
          <w:rFonts w:hint="eastAsia" w:ascii="宋体" w:hAnsi="宋体"/>
          <w:sz w:val="21"/>
        </w:rPr>
        <w:t xml:space="preserve">9基础服务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提供基础服务功能，包括空间管理、角色管理、文件管理、执行器管理、模型参数管理、物化视图管理、基础管理。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3.2数据质控平台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数据质控平台需具备以下功能：</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1质量规则</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支持按完整性、规范性、准确性、关联性、时效性和唯一性的六大质量维度视角与标准表视角进行规则管理，支持规则数统计。支持质量规则管理，定义质控对象表、字段、质控级别、过滤条件 、反馈时限。支持自定义校验规则，支持自定义SQL规则格式化与测试。支持轻微、一般、严重的质控级别配置，支持过滤条件、反馈时限配置。</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2质量方案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质量方案管理，支持质控机构配置，支持自动派发问题到相应机构，支持全量、增量、指定节点之后的数据范围，支持引用已创建规则或新增规则，支持规则的启停管理。支持查看质量任务执行记录与运行异常监控。支持查看TOP10问题，包括问题表、问题字段、问题类型、问题内容、问题样例数据。</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3问题总览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根据问题表、问题字段检索查看所有已派发质量问题。支持查看待反馈、已反馈、已关闭的问题列表，支持超过反馈时限问题标记，支持查看样例数据与问题数据查询语句。支持反馈处理结果，包括已解决、无法解决、其他。当问题反馈已解决时，支持质量任务二次校验自动关闭问题。支持管理人员进行审核管理，支持相同问题不再生成。</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4质量分析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支持统计今日质控进展、标准质量情况、质量配置情况，分析质量规则分布、问题反馈比率、质量问题变化趋势、机构问题排名TOP10。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区域、等级统计各医疗机构质控情况，包括质控数据量、问题数以及六大维度质量问题数。支持按区域、等级下钻查看各机构质控详情，包括各机构的数据集数、问题数据集数、质控数据量、问题总数、今日新增问题数、逾期问题数、问题逾期率、反馈问题数、问题反馈率以及六大维度质量问题数。支持导出各医疗机构质控情况报表。</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数据集质控进展，包括六大维度质控规则数、质控问题数。支持下钻查看各数据集详情，包括各数据集的机构名称、机构等级、机构区域、质控问题数、问题反馈时效、问题反馈进展、问题解决进展。支持导出各数据集质控进展报表。</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5质量工单流转</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支持工单一键创建发起按照权责体系流转至对应组织，支持查看流转记录。支持待处理工单查看、处理审批、转派、关闭、归档闭环处置。支持工单状态实时查询。</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6质量报告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支持质量报告管理，根据报告模板生成、下载质量报告。</w:t>
      </w:r>
      <w:r/>
    </w:p>
    <w:p>
      <w:pPr>
        <w:ind w:left="0" w:firstLine="420"/>
        <w:spacing w:line="360" w:lineRule="auto"/>
        <w:tabs>
          <w:tab w:val="left" w:pos="420" w:leader="none"/>
        </w:tabs>
        <w:rPr>
          <w:rFonts w:ascii="宋体" w:hAnsi="宋体"/>
          <w:sz w:val="21"/>
        </w:rPr>
      </w:pPr>
      <w:r>
        <w:rPr>
          <w:rFonts w:ascii="宋体" w:hAnsi="宋体"/>
          <w:sz w:val="21"/>
        </w:rPr>
        <w:t xml:space="preserve">3.2.</w:t>
      </w:r>
      <w:r>
        <w:rPr>
          <w:rFonts w:hint="eastAsia" w:ascii="宋体" w:hAnsi="宋体"/>
          <w:sz w:val="21"/>
        </w:rPr>
        <w:t xml:space="preserve">7达标模型</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达标模型管理，支持定义评估范围（全部/三级/二级/一级/未定级/公共卫生）、达标要求阈值，支持引用质量方案或新增规则为达标规则。支持查看达标评估记录与结果，包括各机构质控达标情况、机构的数据集达标情况与规则达标明细，支持导出评估结果。</w:t>
      </w:r>
      <w:r/>
    </w:p>
    <w:p>
      <w:pPr>
        <w:ind w:left="0" w:firstLine="420"/>
        <w:spacing w:line="360" w:lineRule="auto"/>
        <w:tabs>
          <w:tab w:val="left" w:pos="420" w:leader="none"/>
        </w:tabs>
        <w:rPr>
          <w:rFonts w:ascii="宋体" w:hAnsi="宋体"/>
          <w:sz w:val="21"/>
        </w:rPr>
      </w:pPr>
      <w:r>
        <w:rPr>
          <w:rFonts w:hint="eastAsia" w:ascii="宋体" w:hAnsi="宋体"/>
          <w:sz w:val="21"/>
        </w:rPr>
        <w:t xml:space="preserve">3.3数据共享交换平台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数据共享交换平台需具备包括但不限于以下功能：</w:t>
      </w:r>
      <w:r/>
    </w:p>
    <w:p>
      <w:pPr>
        <w:ind w:left="0" w:firstLine="420"/>
        <w:spacing w:line="360" w:lineRule="auto"/>
        <w:tabs>
          <w:tab w:val="left" w:pos="420" w:leader="none"/>
        </w:tabs>
        <w:rPr>
          <w:rFonts w:ascii="宋体" w:hAnsi="宋体"/>
          <w:sz w:val="21"/>
        </w:rPr>
      </w:pPr>
      <w:r>
        <w:rPr>
          <w:rFonts w:ascii="宋体" w:hAnsi="宋体"/>
          <w:sz w:val="21"/>
        </w:rPr>
        <w:t xml:space="preserve">3.3.</w:t>
      </w:r>
      <w:r>
        <w:rPr>
          <w:rFonts w:hint="eastAsia" w:ascii="宋体" w:hAnsi="宋体"/>
          <w:sz w:val="21"/>
        </w:rPr>
        <w:t xml:space="preserve">1数据资源共享服务门户</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提供数据资源门户，实现资源的集中发布与可视化展示，提供统一的资源浏览、搜索、订阅与收藏功能，使业务部门能够便捷地发现、评估与获取可用资源。</w:t>
      </w:r>
      <w:r/>
    </w:p>
    <w:p>
      <w:pPr>
        <w:ind w:left="0" w:firstLine="420"/>
        <w:spacing w:line="360" w:lineRule="auto"/>
        <w:tabs>
          <w:tab w:val="left" w:pos="420" w:leader="none"/>
        </w:tabs>
        <w:rPr>
          <w:rFonts w:ascii="宋体" w:hAnsi="宋体"/>
          <w:sz w:val="21"/>
        </w:rPr>
      </w:pPr>
      <w:r>
        <w:rPr>
          <w:rFonts w:ascii="宋体" w:hAnsi="宋体"/>
          <w:sz w:val="21"/>
        </w:rPr>
        <w:t xml:space="preserve">3.3.</w:t>
      </w:r>
      <w:r>
        <w:rPr>
          <w:rFonts w:hint="eastAsia" w:ascii="宋体" w:hAnsi="宋体"/>
          <w:sz w:val="21"/>
        </w:rPr>
        <w:t xml:space="preserve">2数据资源编目</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对数据资源的集中编制与动态维护，支持多类型资源的标准化编目、分类分级及标签化管理，确保资源“一数一档、统一口径、结构清晰”。结合基础管理功能，实现目录分类、概览、字段信息、管理信息及API等元数据的统一维护，为资源目录的结构化展示与智能检索提供基础支撑。</w:t>
      </w:r>
      <w:r/>
    </w:p>
    <w:p>
      <w:pPr>
        <w:ind w:left="0" w:firstLine="420"/>
        <w:spacing w:line="360" w:lineRule="auto"/>
        <w:tabs>
          <w:tab w:val="left" w:pos="420" w:leader="none"/>
        </w:tabs>
        <w:rPr>
          <w:rFonts w:ascii="宋体" w:hAnsi="宋体"/>
          <w:sz w:val="21"/>
        </w:rPr>
      </w:pPr>
      <w:r>
        <w:rPr>
          <w:rFonts w:ascii="宋体" w:hAnsi="宋体"/>
          <w:sz w:val="21"/>
        </w:rPr>
        <w:t xml:space="preserve">3.3.</w:t>
      </w:r>
      <w:r>
        <w:rPr>
          <w:rFonts w:hint="eastAsia" w:ascii="宋体" w:hAnsi="宋体"/>
          <w:sz w:val="21"/>
        </w:rPr>
        <w:t xml:space="preserve">3数据资源管理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资源申请、审批、调用及监控的全流程闭环管理，平台需构建覆盖“编目—发布—管理—共享—监控”的数据资源全生命周期体系，通过资源目录管理、需求审核、我的数据资源、任务管理、基础管理等模块协同，实现共享链条的可视化、流程化与安全可控化管理。</w:t>
      </w:r>
      <w:r/>
    </w:p>
    <w:p>
      <w:pPr>
        <w:ind w:left="0" w:firstLine="420"/>
        <w:spacing w:line="360" w:lineRule="auto"/>
        <w:tabs>
          <w:tab w:val="left" w:pos="420" w:leader="none"/>
        </w:tabs>
        <w:rPr>
          <w:rFonts w:ascii="宋体" w:hAnsi="宋体"/>
          <w:sz w:val="21"/>
        </w:rPr>
      </w:pPr>
      <w:r>
        <w:rPr>
          <w:rFonts w:ascii="宋体" w:hAnsi="宋体"/>
          <w:sz w:val="21"/>
        </w:rPr>
        <w:t xml:space="preserve">3.3.</w:t>
      </w:r>
      <w:r>
        <w:rPr>
          <w:rFonts w:hint="eastAsia" w:ascii="宋体" w:hAnsi="宋体"/>
          <w:sz w:val="21"/>
        </w:rPr>
        <w:t xml:space="preserve">4</w:t>
      </w:r>
      <w:r>
        <w:rPr>
          <w:rFonts w:ascii="宋体" w:hAnsi="宋体"/>
          <w:sz w:val="21"/>
        </w:rPr>
        <w:t xml:space="preserve"> </w:t>
      </w:r>
      <w:r>
        <w:rPr>
          <w:rFonts w:hint="eastAsia" w:ascii="宋体" w:hAnsi="宋体"/>
          <w:sz w:val="21"/>
        </w:rPr>
        <w:t xml:space="preserve">API服务管理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API服务管理模块，实现接口注册、版本管理、参数配置、调用方授权等集中控制，确保资源上架与服务发布的标准化与安全化。提供API安全模块，强化接口调用过程中的访问控制、异常检测与熔断保护，防止高频访问、越权调用等风险行为。支持通过SQL脚本方式快速生成API服务。</w:t>
      </w:r>
      <w:r/>
    </w:p>
    <w:p>
      <w:pPr>
        <w:ind w:left="0" w:firstLine="420"/>
        <w:spacing w:line="360" w:lineRule="auto"/>
        <w:tabs>
          <w:tab w:val="left" w:pos="420" w:leader="none"/>
        </w:tabs>
        <w:rPr>
          <w:rFonts w:ascii="宋体" w:hAnsi="宋体"/>
          <w:sz w:val="21"/>
        </w:rPr>
      </w:pPr>
      <w:r>
        <w:rPr>
          <w:rFonts w:ascii="宋体" w:hAnsi="宋体"/>
          <w:sz w:val="21"/>
        </w:rPr>
        <w:t xml:space="preserve">3.3.</w:t>
      </w:r>
      <w:r>
        <w:rPr>
          <w:rFonts w:hint="eastAsia" w:ascii="宋体" w:hAnsi="宋体"/>
          <w:sz w:val="21"/>
        </w:rPr>
        <w:t xml:space="preserve">5数据库共享</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数据库共享模块，支持以库表同步的方式实现数据库资源共享交换，需具备数据源配置、任务调度策略及日志追溯等能力。数据源配置功能可查看数据源列表，支持新增、修改、删除数据源，支持对数据源的配置连接测试。任务调度策略功能可查看库表同步任务配置信息，支持修改任务参数和手工临时执行</w:t>
      </w:r>
      <w:r>
        <w:rPr>
          <w:rFonts w:hint="eastAsia" w:ascii="宋体" w:hAnsi="宋体"/>
          <w:sz w:val="21"/>
        </w:rPr>
        <w:t xml:space="preserve">任务，支持对字段脱敏、加密策略的配置。日志追溯功能可查看任务执行日志，支持任务执行结果查看，执行失败时可查看失败的错误日志信息。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3.4大数据中心驾驶舱</w:t>
      </w:r>
      <w:r/>
    </w:p>
    <w:p>
      <w:pPr>
        <w:ind w:left="0" w:firstLine="420"/>
        <w:spacing w:line="360" w:lineRule="auto"/>
        <w:tabs>
          <w:tab w:val="left" w:pos="420" w:leader="none"/>
        </w:tabs>
        <w:rPr>
          <w:rFonts w:ascii="宋体" w:hAnsi="宋体"/>
          <w:sz w:val="21"/>
        </w:rPr>
      </w:pPr>
      <w:r>
        <w:rPr>
          <w:rFonts w:hint="eastAsia" w:ascii="宋体" w:hAnsi="宋体"/>
          <w:sz w:val="21"/>
        </w:rPr>
        <w:t xml:space="preserve">以大数据中心整体视角，开展总体态势监控与多维度统计分析，清晰呈现健康医疗大数据中心在数据采集、数据治理、数据质控、数据供给环节的关键指标参数。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3.4</w:t>
      </w:r>
      <w:r>
        <w:rPr>
          <w:rFonts w:ascii="宋体" w:hAnsi="宋体"/>
          <w:sz w:val="21"/>
        </w:rPr>
        <w:t xml:space="preserve">.</w:t>
      </w:r>
      <w:r>
        <w:rPr>
          <w:rFonts w:hint="eastAsia" w:ascii="宋体" w:hAnsi="宋体"/>
          <w:sz w:val="21"/>
        </w:rPr>
        <w:t xml:space="preserve">1首页</w:t>
      </w:r>
      <w:r/>
    </w:p>
    <w:p>
      <w:pPr>
        <w:ind w:left="0" w:firstLine="420"/>
        <w:spacing w:line="360" w:lineRule="auto"/>
        <w:tabs>
          <w:tab w:val="left" w:pos="420" w:leader="none"/>
        </w:tabs>
        <w:rPr>
          <w:rFonts w:ascii="宋体" w:hAnsi="宋体"/>
          <w:sz w:val="21"/>
        </w:rPr>
      </w:pPr>
      <w:r>
        <w:rPr>
          <w:rFonts w:hint="eastAsia" w:ascii="宋体" w:hAnsi="宋体"/>
          <w:sz w:val="21"/>
        </w:rPr>
        <w:t xml:space="preserve">（1）今日数据概览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支持统计已标化数据表数、已对照码表数、今日质控数据量、今日发现问题数、实时汇聚机构数、实时质控规则数、下发问题工单数。</w:t>
      </w:r>
      <w:r/>
    </w:p>
    <w:p>
      <w:pPr>
        <w:ind w:left="0" w:firstLine="420"/>
        <w:spacing w:line="360" w:lineRule="auto"/>
        <w:tabs>
          <w:tab w:val="left" w:pos="420" w:leader="none"/>
        </w:tabs>
        <w:rPr>
          <w:rFonts w:ascii="宋体" w:hAnsi="宋体"/>
          <w:sz w:val="21"/>
        </w:rPr>
      </w:pPr>
      <w:r>
        <w:rPr>
          <w:rFonts w:hint="eastAsia" w:ascii="宋体" w:hAnsi="宋体"/>
          <w:sz w:val="21"/>
        </w:rPr>
        <w:t xml:space="preserve">（2）数据采集情况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支持统计汇聚点位数、汇聚数据来源数、汇聚数据库表数、汇聚数据总量。支持按公共卫生、三级、二级、一级、未定级的机构等级统计汇聚点位数，分析汇聚点位等级分布。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（3）数据标准制定</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支持统计数据集分类、数据集数、码表字段数、标准数据集分布，分析标准数据集分布。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（4）数据资产盘点</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支持统计资产目录数、资产订阅方数。支持按数据库型、接口型、文件型分析资产类型占比。</w:t>
      </w:r>
      <w:r/>
    </w:p>
    <w:p>
      <w:pPr>
        <w:ind w:left="0" w:firstLine="420"/>
        <w:spacing w:line="360" w:lineRule="auto"/>
        <w:tabs>
          <w:tab w:val="left" w:pos="420" w:leader="none"/>
        </w:tabs>
        <w:rPr>
          <w:rFonts w:ascii="宋体" w:hAnsi="宋体"/>
          <w:sz w:val="21"/>
        </w:rPr>
      </w:pPr>
      <w:r>
        <w:rPr>
          <w:rFonts w:hint="eastAsia" w:ascii="宋体" w:hAnsi="宋体"/>
          <w:sz w:val="21"/>
        </w:rPr>
        <w:t xml:space="preserve">（5）数据供给统计</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支持统计数据源累计调用量、服务累计调用量、调用平均响应时间，分析最近24小时调用量趋势。</w:t>
      </w:r>
      <w:r/>
    </w:p>
    <w:p>
      <w:pPr>
        <w:ind w:left="0" w:firstLine="420"/>
        <w:spacing w:line="360" w:lineRule="auto"/>
        <w:tabs>
          <w:tab w:val="left" w:pos="420" w:leader="none"/>
        </w:tabs>
        <w:rPr>
          <w:rFonts w:ascii="宋体" w:hAnsi="宋体"/>
          <w:sz w:val="21"/>
        </w:rPr>
      </w:pPr>
      <w:r>
        <w:rPr>
          <w:rFonts w:hint="eastAsia" w:ascii="宋体" w:hAnsi="宋体"/>
          <w:sz w:val="21"/>
        </w:rPr>
        <w:t xml:space="preserve">3.4</w:t>
      </w:r>
      <w:r>
        <w:rPr>
          <w:rFonts w:ascii="宋体" w:hAnsi="宋体"/>
          <w:sz w:val="21"/>
        </w:rPr>
        <w:t xml:space="preserve">.</w:t>
      </w:r>
      <w:r>
        <w:rPr>
          <w:rFonts w:hint="eastAsia" w:ascii="宋体" w:hAnsi="宋体"/>
          <w:sz w:val="21"/>
        </w:rPr>
        <w:t xml:space="preserve">2数据采集</w:t>
      </w:r>
      <w:r/>
    </w:p>
    <w:p>
      <w:pPr>
        <w:ind w:left="0" w:firstLine="420"/>
        <w:spacing w:line="360" w:lineRule="auto"/>
        <w:tabs>
          <w:tab w:val="left" w:pos="420" w:leader="none"/>
        </w:tabs>
        <w:rPr>
          <w:rFonts w:ascii="宋体" w:hAnsi="宋体"/>
          <w:sz w:val="21"/>
        </w:rPr>
      </w:pPr>
      <w:r>
        <w:rPr>
          <w:rFonts w:hint="eastAsia" w:ascii="宋体" w:hAnsi="宋体"/>
          <w:sz w:val="21"/>
        </w:rPr>
        <w:t xml:space="preserve">（1）数据采集概览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支持统计实时汇聚机构数、实时汇聚库表数、实时汇聚数据量、昨日汇聚数据量、本月汇聚数据量、累计汇聚数据量。</w:t>
      </w:r>
      <w:r/>
    </w:p>
    <w:p>
      <w:pPr>
        <w:ind w:left="0" w:firstLine="420"/>
        <w:spacing w:line="360" w:lineRule="auto"/>
        <w:tabs>
          <w:tab w:val="left" w:pos="420" w:leader="none"/>
        </w:tabs>
        <w:rPr>
          <w:rFonts w:ascii="宋体" w:hAnsi="宋体"/>
          <w:sz w:val="21"/>
        </w:rPr>
      </w:pPr>
      <w:r>
        <w:rPr>
          <w:rFonts w:hint="eastAsia" w:ascii="宋体" w:hAnsi="宋体"/>
          <w:sz w:val="21"/>
        </w:rPr>
        <w:t xml:space="preserve">（2）机构分布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支持统计各区县及市属附属机构数及清单，支持通过地图方式查看各区县机构清单。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（3）汇聚点位情况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支持统计三级机构数、二级机构数、一级机构数、其他机构数、数据来源数据库数和数据表数。</w:t>
      </w:r>
      <w:r/>
    </w:p>
    <w:p>
      <w:pPr>
        <w:ind w:left="0" w:firstLine="420"/>
        <w:spacing w:line="360" w:lineRule="auto"/>
        <w:tabs>
          <w:tab w:val="left" w:pos="420" w:leader="none"/>
        </w:tabs>
        <w:rPr>
          <w:rFonts w:ascii="宋体" w:hAnsi="宋体"/>
          <w:sz w:val="21"/>
        </w:rPr>
      </w:pPr>
      <w:r>
        <w:rPr>
          <w:rFonts w:hint="eastAsia" w:ascii="宋体" w:hAnsi="宋体"/>
          <w:sz w:val="21"/>
        </w:rPr>
        <w:t xml:space="preserve">（4）汇聚数据动态</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支持分析近7天、半个月、1个月汇聚数据动态。</w:t>
      </w:r>
      <w:r/>
    </w:p>
    <w:p>
      <w:pPr>
        <w:ind w:left="0" w:firstLine="420"/>
        <w:spacing w:line="360" w:lineRule="auto"/>
        <w:tabs>
          <w:tab w:val="left" w:pos="420" w:leader="none"/>
        </w:tabs>
        <w:rPr>
          <w:rFonts w:ascii="宋体" w:hAnsi="宋体"/>
          <w:sz w:val="21"/>
        </w:rPr>
      </w:pPr>
      <w:r>
        <w:rPr>
          <w:rFonts w:hint="eastAsia" w:ascii="宋体" w:hAnsi="宋体"/>
          <w:sz w:val="21"/>
        </w:rPr>
        <w:t xml:space="preserve">（5）汇聚数据量TOP10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支持按机构汇聚数据量分析汇聚数据量排名TOP10。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（6）汇聚数据时延情况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支持按机构汇聚数据时延分析汇聚数据时延高、低排名TOP5。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3.4</w:t>
      </w:r>
      <w:r>
        <w:rPr>
          <w:rFonts w:ascii="宋体" w:hAnsi="宋体"/>
          <w:sz w:val="21"/>
        </w:rPr>
        <w:t xml:space="preserve">.</w:t>
      </w:r>
      <w:r>
        <w:rPr>
          <w:rFonts w:hint="eastAsia" w:ascii="宋体" w:hAnsi="宋体"/>
          <w:sz w:val="21"/>
        </w:rPr>
        <w:t xml:space="preserve">3数据治理</w:t>
      </w:r>
      <w:r/>
    </w:p>
    <w:p>
      <w:pPr>
        <w:ind w:left="0" w:firstLine="420"/>
        <w:spacing w:line="360" w:lineRule="auto"/>
        <w:tabs>
          <w:tab w:val="left" w:pos="420" w:leader="none"/>
        </w:tabs>
        <w:rPr>
          <w:rFonts w:ascii="宋体" w:hAnsi="宋体"/>
          <w:sz w:val="21"/>
        </w:rPr>
      </w:pPr>
      <w:r>
        <w:rPr>
          <w:rFonts w:hint="eastAsia" w:ascii="宋体" w:hAnsi="宋体"/>
          <w:sz w:val="21"/>
        </w:rPr>
        <w:t xml:space="preserve">（1）数据治理概览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今日标化变更数、今日新增标准数据量、今日新增码表数。支持统计基表数、标化数据集数、已下发标准数、已完成标化数、标化完成率、大数据中心数据量、转码数据集数、已生成码表、已匹配码表、码表匹配率。</w:t>
      </w:r>
      <w:r/>
    </w:p>
    <w:p>
      <w:pPr>
        <w:ind w:left="0" w:firstLine="420"/>
        <w:spacing w:line="360" w:lineRule="auto"/>
        <w:tabs>
          <w:tab w:val="left" w:pos="420" w:leader="none"/>
        </w:tabs>
        <w:rPr>
          <w:rFonts w:ascii="宋体" w:hAnsi="宋体"/>
          <w:sz w:val="21"/>
        </w:rPr>
      </w:pPr>
      <w:r>
        <w:rPr>
          <w:rFonts w:hint="eastAsia" w:ascii="宋体" w:hAnsi="宋体"/>
          <w:sz w:val="21"/>
        </w:rPr>
        <w:t xml:space="preserve">（2）数据标化排名TOP5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支持按机构的数据集数、已完成数、完成率分析数据标化完成率高、低排名TOP5。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（3）数据集分类</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支持统计各数据集分类标准表数。</w:t>
      </w:r>
      <w:r/>
    </w:p>
    <w:p>
      <w:pPr>
        <w:ind w:left="0" w:firstLine="420"/>
        <w:spacing w:line="360" w:lineRule="auto"/>
        <w:tabs>
          <w:tab w:val="left" w:pos="420" w:leader="none"/>
        </w:tabs>
        <w:rPr>
          <w:rFonts w:ascii="宋体" w:hAnsi="宋体"/>
          <w:sz w:val="21"/>
        </w:rPr>
      </w:pPr>
      <w:r>
        <w:rPr>
          <w:rFonts w:hint="eastAsia" w:ascii="宋体" w:hAnsi="宋体"/>
          <w:sz w:val="21"/>
        </w:rPr>
        <w:t xml:space="preserve">（4）字典对照排名TOP5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支持统计机构的已匹配码表数、未匹配码表数、匹配率，分析字典对照匹配率高、低排名TOP5。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3.4</w:t>
      </w:r>
      <w:r>
        <w:rPr>
          <w:rFonts w:ascii="宋体" w:hAnsi="宋体"/>
          <w:sz w:val="21"/>
        </w:rPr>
        <w:t xml:space="preserve">.</w:t>
      </w:r>
      <w:r>
        <w:rPr>
          <w:rFonts w:hint="eastAsia" w:ascii="宋体" w:hAnsi="宋体"/>
          <w:sz w:val="21"/>
        </w:rPr>
        <w:t xml:space="preserve">4数据质控</w:t>
      </w:r>
      <w:r/>
    </w:p>
    <w:p>
      <w:pPr>
        <w:ind w:left="0" w:firstLine="420"/>
        <w:spacing w:line="360" w:lineRule="auto"/>
        <w:tabs>
          <w:tab w:val="left" w:pos="420" w:leader="none"/>
        </w:tabs>
        <w:rPr>
          <w:rFonts w:ascii="宋体" w:hAnsi="宋体"/>
          <w:sz w:val="21"/>
        </w:rPr>
      </w:pPr>
      <w:r>
        <w:rPr>
          <w:rFonts w:hint="eastAsia" w:ascii="宋体" w:hAnsi="宋体"/>
          <w:sz w:val="21"/>
        </w:rPr>
        <w:t xml:space="preserve">（1）数据质控概览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支持统计今日质控数据量、今日发现问题数、今日反馈问题数、累计质控数据总量、累计发现问题数、累计反馈问题数。</w:t>
      </w:r>
      <w:r/>
    </w:p>
    <w:p>
      <w:pPr>
        <w:ind w:left="0" w:firstLine="420"/>
        <w:spacing w:line="360" w:lineRule="auto"/>
        <w:tabs>
          <w:tab w:val="left" w:pos="420" w:leader="none"/>
        </w:tabs>
        <w:rPr>
          <w:rFonts w:ascii="宋体" w:hAnsi="宋体"/>
          <w:sz w:val="21"/>
        </w:rPr>
      </w:pPr>
      <w:r>
        <w:rPr>
          <w:rFonts w:hint="eastAsia" w:ascii="宋体" w:hAnsi="宋体"/>
          <w:sz w:val="21"/>
        </w:rPr>
        <w:t xml:space="preserve">（2）质控数据情况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支持统计数据表数、质量规则数、质量方案数。</w:t>
      </w:r>
      <w:r/>
    </w:p>
    <w:p>
      <w:pPr>
        <w:ind w:left="0" w:firstLine="420"/>
        <w:spacing w:line="360" w:lineRule="auto"/>
        <w:tabs>
          <w:tab w:val="left" w:pos="420" w:leader="none"/>
        </w:tabs>
        <w:rPr>
          <w:rFonts w:ascii="宋体" w:hAnsi="宋体"/>
          <w:sz w:val="21"/>
        </w:rPr>
      </w:pPr>
      <w:r>
        <w:rPr>
          <w:rFonts w:hint="eastAsia" w:ascii="宋体" w:hAnsi="宋体"/>
          <w:sz w:val="21"/>
        </w:rPr>
        <w:t xml:space="preserve">（3）质量问题统计</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支持按完整性、规范性、准确性、关联性、时效性和唯一性的六大维度统计质量问题数。</w:t>
      </w:r>
      <w:r/>
    </w:p>
    <w:p>
      <w:pPr>
        <w:ind w:left="0" w:firstLine="420"/>
        <w:spacing w:line="360" w:lineRule="auto"/>
        <w:tabs>
          <w:tab w:val="left" w:pos="420" w:leader="none"/>
        </w:tabs>
        <w:rPr>
          <w:rFonts w:ascii="宋体" w:hAnsi="宋体"/>
          <w:sz w:val="21"/>
        </w:rPr>
      </w:pPr>
      <w:r>
        <w:rPr>
          <w:rFonts w:hint="eastAsia" w:ascii="宋体" w:hAnsi="宋体"/>
          <w:sz w:val="21"/>
        </w:rPr>
        <w:t xml:space="preserve">（4）质量规则分布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支持按完整性、规范性、准确性、关联性、时效性和唯一性的六大维度分析质量规则分布。</w:t>
      </w:r>
      <w:r/>
    </w:p>
    <w:p>
      <w:pPr>
        <w:ind w:left="0" w:firstLine="420"/>
        <w:spacing w:line="360" w:lineRule="auto"/>
        <w:tabs>
          <w:tab w:val="left" w:pos="420" w:leader="none"/>
        </w:tabs>
        <w:rPr>
          <w:rFonts w:ascii="宋体" w:hAnsi="宋体"/>
          <w:sz w:val="21"/>
        </w:rPr>
      </w:pPr>
      <w:r>
        <w:rPr>
          <w:rFonts w:hint="eastAsia" w:ascii="宋体" w:hAnsi="宋体"/>
          <w:sz w:val="21"/>
        </w:rPr>
        <w:t xml:space="preserve">（5）质量问题数变化趋势</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支持选择任意时间段分析质量问题数变化趋势。</w:t>
      </w:r>
      <w:r/>
    </w:p>
    <w:p>
      <w:pPr>
        <w:ind w:left="0" w:firstLine="420"/>
        <w:spacing w:line="360" w:lineRule="auto"/>
        <w:tabs>
          <w:tab w:val="left" w:pos="420" w:leader="none"/>
        </w:tabs>
        <w:rPr>
          <w:rFonts w:ascii="宋体" w:hAnsi="宋体"/>
          <w:sz w:val="21"/>
        </w:rPr>
      </w:pPr>
      <w:r>
        <w:rPr>
          <w:rFonts w:hint="eastAsia" w:ascii="宋体" w:hAnsi="宋体"/>
          <w:sz w:val="21"/>
        </w:rPr>
        <w:t xml:space="preserve">（6）机构问题处理效率排名TOP10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支持统计机构问题数、处理数、完成率，分析机构问题处理效率排名TOP10。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（7）机构发现问题数排名TOP10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支持分析机构发现问题数排名TOP10。</w:t>
      </w:r>
      <w:r/>
    </w:p>
    <w:p>
      <w:pPr>
        <w:ind w:left="0" w:firstLine="420"/>
        <w:spacing w:line="360" w:lineRule="auto"/>
        <w:tabs>
          <w:tab w:val="left" w:pos="420" w:leader="none"/>
        </w:tabs>
        <w:rPr>
          <w:rFonts w:ascii="宋体" w:hAnsi="宋体"/>
          <w:sz w:val="21"/>
        </w:rPr>
      </w:pPr>
      <w:r>
        <w:rPr>
          <w:rFonts w:hint="eastAsia" w:ascii="宋体" w:hAnsi="宋体"/>
          <w:sz w:val="21"/>
        </w:rPr>
        <w:t xml:space="preserve">3.4</w:t>
      </w:r>
      <w:r>
        <w:rPr>
          <w:rFonts w:ascii="宋体" w:hAnsi="宋体"/>
          <w:sz w:val="21"/>
        </w:rPr>
        <w:t xml:space="preserve">.</w:t>
      </w:r>
      <w:r>
        <w:rPr>
          <w:rFonts w:hint="eastAsia" w:ascii="宋体" w:hAnsi="宋体"/>
          <w:sz w:val="21"/>
        </w:rPr>
        <w:t xml:space="preserve">5数据供给</w:t>
      </w:r>
      <w:r/>
    </w:p>
    <w:p>
      <w:pPr>
        <w:ind w:left="0" w:firstLine="420"/>
        <w:spacing w:line="360" w:lineRule="auto"/>
        <w:tabs>
          <w:tab w:val="left" w:pos="420" w:leader="none"/>
        </w:tabs>
        <w:rPr>
          <w:rFonts w:ascii="宋体" w:hAnsi="宋体"/>
          <w:sz w:val="21"/>
        </w:rPr>
      </w:pPr>
      <w:r>
        <w:rPr>
          <w:rFonts w:hint="eastAsia" w:ascii="宋体" w:hAnsi="宋体"/>
          <w:sz w:val="21"/>
        </w:rPr>
        <w:t xml:space="preserve">（1）数据供给概览</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支持统计数据源调用总量、今日数据源调用量、服务调用总量、今日服务调用量、资产目录数、资产订阅方数、数据资产总量、数据调用总量。</w:t>
      </w:r>
      <w:r/>
    </w:p>
    <w:p>
      <w:pPr>
        <w:ind w:left="0" w:firstLine="420"/>
        <w:spacing w:line="360" w:lineRule="auto"/>
        <w:tabs>
          <w:tab w:val="left" w:pos="420" w:leader="none"/>
        </w:tabs>
        <w:rPr>
          <w:rFonts w:ascii="宋体" w:hAnsi="宋体"/>
          <w:sz w:val="21"/>
        </w:rPr>
      </w:pPr>
      <w:r>
        <w:rPr>
          <w:rFonts w:hint="eastAsia" w:ascii="宋体" w:hAnsi="宋体"/>
          <w:sz w:val="21"/>
        </w:rPr>
        <w:t xml:space="preserve">（2）数据分类分级</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支持统计各分级下资产目录数及占比，支持统计加密字段数、脱敏字段数。</w:t>
      </w:r>
      <w:r/>
    </w:p>
    <w:p>
      <w:pPr>
        <w:ind w:left="0" w:firstLine="420"/>
        <w:spacing w:line="360" w:lineRule="auto"/>
        <w:tabs>
          <w:tab w:val="left" w:pos="420" w:leader="none"/>
        </w:tabs>
        <w:rPr>
          <w:rFonts w:ascii="宋体" w:hAnsi="宋体"/>
          <w:sz w:val="21"/>
        </w:rPr>
      </w:pPr>
      <w:r>
        <w:rPr>
          <w:rFonts w:hint="eastAsia" w:ascii="宋体" w:hAnsi="宋体"/>
          <w:sz w:val="21"/>
        </w:rPr>
        <w:t xml:space="preserve">（3）数据资产目录</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支持统计信息项、库表、文件、API类型数据资产目录数，支持统计各分类下资产目录数。</w:t>
      </w:r>
      <w:r/>
    </w:p>
    <w:p>
      <w:pPr>
        <w:ind w:left="0" w:firstLine="420"/>
        <w:spacing w:line="360" w:lineRule="auto"/>
        <w:tabs>
          <w:tab w:val="left" w:pos="420" w:leader="none"/>
        </w:tabs>
        <w:rPr>
          <w:rFonts w:ascii="宋体" w:hAnsi="宋体"/>
          <w:sz w:val="21"/>
        </w:rPr>
      </w:pPr>
      <w:r>
        <w:rPr>
          <w:rFonts w:hint="eastAsia" w:ascii="宋体" w:hAnsi="宋体"/>
          <w:sz w:val="21"/>
        </w:rPr>
        <w:t xml:space="preserve">（4）24小时服务调用情况统计</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支持统计24小时成功、失败、异常的服务调用数及占比。</w:t>
      </w:r>
      <w:r/>
    </w:p>
    <w:p>
      <w:pPr>
        <w:ind w:left="0" w:firstLine="420"/>
        <w:spacing w:line="360" w:lineRule="auto"/>
        <w:tabs>
          <w:tab w:val="left" w:pos="420" w:leader="none"/>
        </w:tabs>
        <w:rPr>
          <w:rFonts w:ascii="宋体" w:hAnsi="宋体"/>
          <w:sz w:val="21"/>
        </w:rPr>
      </w:pPr>
      <w:r>
        <w:rPr>
          <w:rFonts w:hint="eastAsia" w:ascii="宋体" w:hAnsi="宋体"/>
          <w:sz w:val="21"/>
        </w:rPr>
        <w:t xml:space="preserve">（5）调用方TOP5</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支持统计各调用方服务调用次数，分析调用方排名TOP5。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（6）服务调用TOP5</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支持统计各服务调用次数，分析服务调用排名TOP5。</w:t>
      </w:r>
      <w:r/>
    </w:p>
    <w:p>
      <w:pPr>
        <w:ind w:left="0" w:firstLine="420"/>
        <w:spacing w:line="360" w:lineRule="auto"/>
        <w:tabs>
          <w:tab w:val="left" w:pos="420" w:leader="none"/>
        </w:tabs>
        <w:rPr>
          <w:rFonts w:ascii="宋体" w:hAnsi="宋体"/>
          <w:sz w:val="21"/>
        </w:rPr>
      </w:pPr>
      <w:r>
        <w:rPr>
          <w:rFonts w:hint="eastAsia" w:ascii="宋体" w:hAnsi="宋体"/>
          <w:sz w:val="21"/>
        </w:rPr>
        <w:t xml:space="preserve">（7）24小时调用量趋势</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支持分析最近24小时调用量趋势。</w:t>
      </w:r>
      <w:r/>
    </w:p>
    <w:p>
      <w:pPr>
        <w:ind w:left="0" w:firstLine="420"/>
        <w:spacing w:line="360" w:lineRule="auto"/>
        <w:tabs>
          <w:tab w:val="left" w:pos="420" w:leader="none"/>
        </w:tabs>
        <w:rPr>
          <w:rFonts w:ascii="宋体" w:hAnsi="宋体"/>
          <w:sz w:val="21"/>
        </w:rPr>
      </w:pPr>
      <w:r>
        <w:rPr>
          <w:rFonts w:hint="eastAsia" w:ascii="宋体" w:hAnsi="宋体"/>
          <w:sz w:val="21"/>
        </w:rPr>
        <w:t xml:space="preserve">3.5 数据安全软件</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5.</w:t>
      </w:r>
      <w:r>
        <w:rPr>
          <w:rFonts w:hint="eastAsia" w:ascii="宋体" w:hAnsi="宋体"/>
          <w:sz w:val="21"/>
        </w:rPr>
        <w:t xml:space="preserve">1数据分类分级软件</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数据分类分级软件支持内置自然语言处理、深度学习、聚类分析等机器学习算法用于识别敏感数据，支持分类分级模板定制功能，允许用户根据本地医疗政策要求和自身业务需求，灵活设定敏感数据规则和分类分级模板，要求借助定制化模板，自动执行分类分级任务，依据数据的不同属性，如来源、用途、敏感程度等，将数据准确划分到相应的类别与级别中，确保分类分级结果的科学性与合理性。</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5.</w:t>
      </w:r>
      <w:r>
        <w:rPr>
          <w:rFonts w:hint="eastAsia" w:ascii="宋体" w:hAnsi="宋体"/>
          <w:sz w:val="21"/>
        </w:rPr>
        <w:t xml:space="preserve">2数据流通安全软件</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运用先进的数据落盘加密技术，对存储在服务器上的数据进行深度加密，要求软件支持海光等国产服务器的数据加密，覆盖云内的国产化服务器数据资产的启动和存储的安全能力，支持落盘加密功能，全面支持国密算法体系，支持身份认证保障能力，支持通过展示平台对安装加密软件的服务器实施深度可视化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4.数据治理运营服务具体要求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4.1 数据同步服务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利用数据同步工具完成从医疗机构端到卫健委中心数据仓库的数据同步工作，整体涉及支持90个以上数据采集点位，600以上</w:t>
      </w:r>
      <w:r>
        <w:rPr>
          <w:rFonts w:hint="eastAsia" w:ascii="宋体" w:hAnsi="宋体"/>
          <w:sz w:val="21"/>
        </w:rPr>
        <w:t xml:space="preserve">数据源库，十</w:t>
      </w:r>
      <w:r>
        <w:rPr>
          <w:rFonts w:hint="eastAsia" w:ascii="宋体" w:hAnsi="宋体"/>
          <w:sz w:val="21"/>
        </w:rPr>
        <w:t xml:space="preserve">万以上数据表，覆盖全市4000余家医疗机构，超千亿条数据。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4.1.1构建数据同步链路</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针对全市90个以上数据采集点位、600+数据源库构建实时数据同步链路，将医疗卫生机构的业务系统中的原始数据一比一同步至健康医疗大数据中心前置库，通过数据同步平台完成存量和增量实时数据同步，确保数据的完整性和一致性。</w:t>
      </w:r>
      <w:r/>
    </w:p>
    <w:p>
      <w:pPr>
        <w:ind w:left="0" w:firstLine="420"/>
        <w:spacing w:line="360" w:lineRule="auto"/>
        <w:tabs>
          <w:tab w:val="left" w:pos="420" w:leader="none"/>
        </w:tabs>
        <w:rPr>
          <w:rFonts w:ascii="宋体" w:hAnsi="宋体"/>
          <w:sz w:val="21"/>
        </w:rPr>
      </w:pPr>
      <w:r>
        <w:rPr>
          <w:rFonts w:hint="eastAsia" w:ascii="宋体" w:hAnsi="宋体"/>
          <w:sz w:val="21"/>
        </w:rPr>
        <w:t xml:space="preserve">4.1</w:t>
      </w:r>
      <w:r>
        <w:rPr>
          <w:rFonts w:ascii="宋体" w:hAnsi="宋体"/>
          <w:sz w:val="21"/>
        </w:rPr>
        <w:t xml:space="preserve">.</w:t>
      </w:r>
      <w:r>
        <w:rPr>
          <w:rFonts w:hint="eastAsia" w:ascii="宋体" w:hAnsi="宋体"/>
          <w:sz w:val="21"/>
        </w:rPr>
        <w:t xml:space="preserve">2数据同步内容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数据同步内容包括医疗服务数据、卫生监督数据、妇幼计生数据、基层公卫数据、职业健康数据、经济运营数据、血站业务数据、疾病防控数据、急救120数据、其他数据等。</w:t>
      </w:r>
      <w:r/>
    </w:p>
    <w:p>
      <w:pPr>
        <w:ind w:left="0" w:firstLine="420"/>
        <w:spacing w:line="360" w:lineRule="auto"/>
        <w:tabs>
          <w:tab w:val="left" w:pos="420" w:leader="none"/>
        </w:tabs>
        <w:rPr>
          <w:rFonts w:ascii="宋体" w:hAnsi="宋体"/>
          <w:sz w:val="21"/>
        </w:rPr>
      </w:pPr>
      <w:r>
        <w:rPr>
          <w:rFonts w:hint="eastAsia" w:ascii="宋体" w:hAnsi="宋体"/>
          <w:sz w:val="21"/>
        </w:rPr>
        <w:t xml:space="preserve">4.2 数据治理服务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针对采集汇聚到原始库中的数据资源，开展数据治理实施服务，实现多个部门多源异构数据汇聚的治理融合，保障数据质量。</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1异常类数据治理</w:t>
      </w:r>
      <w:r/>
    </w:p>
    <w:p>
      <w:pPr>
        <w:ind w:left="0" w:firstLine="420"/>
        <w:spacing w:line="360" w:lineRule="auto"/>
        <w:tabs>
          <w:tab w:val="left" w:pos="420" w:leader="none"/>
        </w:tabs>
        <w:rPr>
          <w:rFonts w:ascii="宋体" w:hAnsi="宋体"/>
          <w:sz w:val="21"/>
        </w:rPr>
      </w:pPr>
      <w:r>
        <w:rPr>
          <w:rFonts w:hint="eastAsia" w:ascii="宋体" w:hAnsi="宋体"/>
          <w:sz w:val="21"/>
        </w:rPr>
        <w:t xml:space="preserve">主要包括原始数据中存在的缺失、重复、错误或不一致等异常数据进行识别、分析、处理和监控。</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2数据融合</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要求确定数据来源优先级，针对不同部门的同类数据进行融合治理，保障数据“一数一源”。</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3数据标化</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要求提供数据标化工作指导和培训服务，协助医疗机构参照健康医疗大数据中心数据集规范和数据语法规范，使用数据治理平台编写标化视图脚本，实现数据标准化。</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4字典对照</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要求提供字典对照工作指导和培训服务，协助医疗机构维护原始码表、关联关系，确保其准确性、时效性，以及医疗数据在跨系统、跨机构传输时的一致性和可比性。</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5数据治理统计分析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要求针对数据治理各环节成果，以人工、编写检验脚本等多种方式进行监督和检查，并及时反馈检查结果，推动工程进度，确保工程质量。</w:t>
      </w:r>
      <w:r/>
    </w:p>
    <w:p>
      <w:pPr>
        <w:ind w:left="0" w:firstLine="420"/>
        <w:spacing w:line="360" w:lineRule="auto"/>
        <w:tabs>
          <w:tab w:val="left" w:pos="420" w:leader="none"/>
        </w:tabs>
        <w:rPr>
          <w:rFonts w:ascii="宋体" w:hAnsi="宋体"/>
          <w:sz w:val="21"/>
        </w:rPr>
      </w:pPr>
      <w:r>
        <w:rPr>
          <w:rFonts w:hint="eastAsia" w:ascii="宋体" w:hAnsi="宋体"/>
          <w:sz w:val="21"/>
        </w:rPr>
        <w:t xml:space="preserve">4.3 数据质控服务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4.3</w:t>
      </w:r>
      <w:r>
        <w:rPr>
          <w:rFonts w:ascii="宋体" w:hAnsi="宋体"/>
          <w:sz w:val="21"/>
        </w:rPr>
        <w:t xml:space="preserve">.</w:t>
      </w:r>
      <w:r>
        <w:rPr>
          <w:rFonts w:hint="eastAsia" w:ascii="宋体" w:hAnsi="宋体"/>
          <w:sz w:val="21"/>
        </w:rPr>
        <w:t xml:space="preserve">1建立质量规则体系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要求结合数据集标准及应用场景实际需求，制定符合数据质量要求的核查规则体系，包括数据的完整性、关联性、规范性、时效性、唯一性、准确性等。</w:t>
      </w:r>
      <w:r/>
    </w:p>
    <w:p>
      <w:pPr>
        <w:ind w:left="0" w:firstLine="420"/>
        <w:spacing w:line="360" w:lineRule="auto"/>
        <w:tabs>
          <w:tab w:val="left" w:pos="420" w:leader="none"/>
        </w:tabs>
        <w:rPr>
          <w:rFonts w:ascii="宋体" w:hAnsi="宋体"/>
          <w:sz w:val="21"/>
        </w:rPr>
      </w:pPr>
      <w:r>
        <w:rPr>
          <w:rFonts w:hint="eastAsia" w:ascii="宋体" w:hAnsi="宋体"/>
          <w:sz w:val="21"/>
        </w:rPr>
        <w:t xml:space="preserve">4.3</w:t>
      </w:r>
      <w:r>
        <w:rPr>
          <w:rFonts w:ascii="宋体" w:hAnsi="宋体"/>
          <w:sz w:val="21"/>
        </w:rPr>
        <w:t xml:space="preserve">.</w:t>
      </w:r>
      <w:r>
        <w:rPr>
          <w:rFonts w:hint="eastAsia" w:ascii="宋体" w:hAnsi="宋体"/>
          <w:sz w:val="21"/>
        </w:rPr>
        <w:t xml:space="preserve">2编写质控脚本</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要求根据数据质量规则清单，对新接入数据配置质量规则，持续优化质控评测方案，运行质控评测任务，形成数据质检报告。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4.3</w:t>
      </w:r>
      <w:r>
        <w:rPr>
          <w:rFonts w:ascii="宋体" w:hAnsi="宋体"/>
          <w:sz w:val="21"/>
        </w:rPr>
        <w:t xml:space="preserve">.</w:t>
      </w:r>
      <w:r>
        <w:rPr>
          <w:rFonts w:hint="eastAsia" w:ascii="宋体" w:hAnsi="宋体"/>
          <w:sz w:val="21"/>
        </w:rPr>
        <w:t xml:space="preserve">3质量问题分析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要求对于核查出的数据质量问题提供问题分析解读和定位服务，方便医疗机构及时解决问题。</w:t>
      </w:r>
      <w:r/>
    </w:p>
    <w:p>
      <w:pPr>
        <w:ind w:left="0" w:firstLine="420"/>
        <w:spacing w:line="360" w:lineRule="auto"/>
        <w:tabs>
          <w:tab w:val="left" w:pos="420" w:leader="none"/>
        </w:tabs>
        <w:rPr>
          <w:rFonts w:ascii="宋体" w:hAnsi="宋体"/>
          <w:sz w:val="21"/>
        </w:rPr>
      </w:pPr>
      <w:r>
        <w:rPr>
          <w:rFonts w:hint="eastAsia" w:ascii="宋体" w:hAnsi="宋体"/>
          <w:sz w:val="21"/>
        </w:rPr>
        <w:t xml:space="preserve">4.3</w:t>
      </w:r>
      <w:r>
        <w:rPr>
          <w:rFonts w:ascii="宋体" w:hAnsi="宋体"/>
          <w:sz w:val="21"/>
        </w:rPr>
        <w:t xml:space="preserve">.</w:t>
      </w:r>
      <w:r>
        <w:rPr>
          <w:rFonts w:hint="eastAsia" w:ascii="宋体" w:hAnsi="宋体"/>
          <w:sz w:val="21"/>
        </w:rPr>
        <w:t xml:space="preserve">4问题处置指导与跟进</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要求定期下发数据质量问题工单，提供问题处置指导，持续跟进问题处置进度，定期开展数据质量问题总结，形成多维度数据质量问题分析报告。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4.4 数据共享交换服务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4.4.1 数据共享服务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4.4.1</w:t>
      </w:r>
      <w:r>
        <w:rPr>
          <w:rFonts w:ascii="宋体" w:hAnsi="宋体"/>
          <w:sz w:val="21"/>
        </w:rPr>
        <w:t xml:space="preserve">.</w:t>
      </w:r>
      <w:r>
        <w:rPr>
          <w:rFonts w:hint="eastAsia" w:ascii="宋体" w:hAnsi="宋体"/>
          <w:sz w:val="21"/>
        </w:rPr>
        <w:t xml:space="preserve">1数据资源目录编制</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要求结合数据集标准和应用场景实际需求，编制苏州市健康医疗数据共享资源目录，提供数据资源目录全生命周期管理和动态维护服务。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4.4.1</w:t>
      </w:r>
      <w:r>
        <w:rPr>
          <w:rFonts w:ascii="宋体" w:hAnsi="宋体"/>
          <w:sz w:val="21"/>
        </w:rPr>
        <w:t xml:space="preserve">.</w:t>
      </w:r>
      <w:r>
        <w:rPr>
          <w:rFonts w:hint="eastAsia" w:ascii="宋体" w:hAnsi="宋体"/>
          <w:sz w:val="21"/>
        </w:rPr>
        <w:t xml:space="preserve">2用数需求管理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要求提供用数需求管理服务，包括需求分析、数据探查、供数后的问题受理以及分析等。</w:t>
      </w:r>
      <w:r/>
    </w:p>
    <w:p>
      <w:pPr>
        <w:ind w:left="0" w:firstLine="420"/>
        <w:spacing w:line="360" w:lineRule="auto"/>
        <w:tabs>
          <w:tab w:val="left" w:pos="420" w:leader="none"/>
        </w:tabs>
        <w:rPr>
          <w:rFonts w:ascii="宋体" w:hAnsi="宋体"/>
          <w:sz w:val="21"/>
        </w:rPr>
      </w:pPr>
      <w:r>
        <w:rPr>
          <w:rFonts w:hint="eastAsia" w:ascii="宋体" w:hAnsi="宋体"/>
          <w:sz w:val="21"/>
        </w:rPr>
        <w:t xml:space="preserve">4.4.1</w:t>
      </w:r>
      <w:r>
        <w:rPr>
          <w:rFonts w:ascii="宋体" w:hAnsi="宋体"/>
          <w:sz w:val="21"/>
        </w:rPr>
        <w:t xml:space="preserve">.</w:t>
      </w:r>
      <w:r>
        <w:rPr>
          <w:rFonts w:hint="eastAsia" w:ascii="宋体" w:hAnsi="宋体"/>
          <w:sz w:val="21"/>
        </w:rPr>
        <w:t xml:space="preserve">3数据供数服务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运用数据共享服务平台，根据苏州市健康医疗数据共享资源目录开展数据API以及数据库共享服务配置等工作，保障数据共享有序推进。</w:t>
      </w:r>
      <w:r/>
    </w:p>
    <w:p>
      <w:pPr>
        <w:ind w:left="0" w:firstLine="420"/>
        <w:spacing w:line="360" w:lineRule="auto"/>
        <w:tabs>
          <w:tab w:val="left" w:pos="420" w:leader="none"/>
        </w:tabs>
        <w:rPr>
          <w:rFonts w:ascii="宋体" w:hAnsi="宋体"/>
          <w:sz w:val="21"/>
        </w:rPr>
      </w:pPr>
      <w:r>
        <w:rPr>
          <w:rFonts w:hint="eastAsia" w:ascii="宋体" w:hAnsi="宋体"/>
          <w:sz w:val="21"/>
        </w:rPr>
        <w:t xml:space="preserve">4.4.1</w:t>
      </w:r>
      <w:r>
        <w:rPr>
          <w:rFonts w:ascii="宋体" w:hAnsi="宋体"/>
          <w:sz w:val="21"/>
        </w:rPr>
        <w:t xml:space="preserve">.</w:t>
      </w:r>
      <w:r>
        <w:rPr>
          <w:rFonts w:hint="eastAsia" w:ascii="宋体" w:hAnsi="宋体"/>
          <w:sz w:val="21"/>
        </w:rPr>
        <w:t xml:space="preserve">4数据上报回流服务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要求提供数据上报和回流服务，协助向省平台上报等，以及向区县卫健委实施数据回流工作。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4.4.1</w:t>
      </w:r>
      <w:r>
        <w:rPr>
          <w:rFonts w:ascii="宋体" w:hAnsi="宋体"/>
          <w:sz w:val="21"/>
        </w:rPr>
        <w:t xml:space="preserve">.</w:t>
      </w:r>
      <w:r>
        <w:rPr>
          <w:rFonts w:hint="eastAsia" w:ascii="宋体" w:hAnsi="宋体"/>
          <w:sz w:val="21"/>
        </w:rPr>
        <w:t xml:space="preserve">5健康档案主题库构建服务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要求根据健康档案应用场景需求，建立健康档案主题库，并提供健康档案场景用数保障。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4.4.2 三医数据交换服务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4.4.2</w:t>
      </w:r>
      <w:r>
        <w:rPr>
          <w:rFonts w:ascii="宋体" w:hAnsi="宋体"/>
          <w:sz w:val="21"/>
        </w:rPr>
        <w:t xml:space="preserve">.</w:t>
      </w:r>
      <w:r>
        <w:rPr>
          <w:rFonts w:hint="eastAsia" w:ascii="宋体" w:hAnsi="宋体"/>
          <w:sz w:val="21"/>
        </w:rPr>
        <w:t xml:space="preserve">1三医共享数据目录编制</w:t>
      </w:r>
      <w:r/>
    </w:p>
    <w:p>
      <w:pPr>
        <w:ind w:left="0" w:firstLine="420"/>
        <w:spacing w:line="360" w:lineRule="auto"/>
        <w:tabs>
          <w:tab w:val="left" w:pos="420" w:leader="none"/>
        </w:tabs>
        <w:rPr>
          <w:rFonts w:ascii="宋体" w:hAnsi="宋体"/>
          <w:sz w:val="21"/>
        </w:rPr>
      </w:pPr>
      <w:r>
        <w:rPr>
          <w:rFonts w:hint="eastAsia" w:ascii="宋体" w:hAnsi="宋体"/>
          <w:sz w:val="21"/>
        </w:rPr>
        <w:t xml:space="preserve">基于三医联动数据共享的需求，开展共享数据目录梳理服务，包括数据的格式、更新频率、提供方、敏感级别等信息。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4.4.2</w:t>
      </w:r>
      <w:r>
        <w:rPr>
          <w:rFonts w:ascii="宋体" w:hAnsi="宋体"/>
          <w:sz w:val="21"/>
        </w:rPr>
        <w:t xml:space="preserve">.</w:t>
      </w:r>
      <w:r>
        <w:rPr>
          <w:rFonts w:hint="eastAsia" w:ascii="宋体" w:hAnsi="宋体"/>
          <w:sz w:val="21"/>
        </w:rPr>
        <w:t xml:space="preserve">2三医共享通道对接和维护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要求基于三医协同总体技术方案对接数据共享通道，如可信数据空间、卫生专网内部通道等，并保障对接的持续稳定。</w:t>
      </w:r>
      <w:r/>
    </w:p>
    <w:p>
      <w:pPr>
        <w:ind w:left="0" w:firstLine="420"/>
        <w:spacing w:line="360" w:lineRule="auto"/>
        <w:tabs>
          <w:tab w:val="left" w:pos="420" w:leader="none"/>
        </w:tabs>
        <w:rPr>
          <w:rFonts w:ascii="宋体" w:hAnsi="宋体"/>
          <w:sz w:val="21"/>
        </w:rPr>
      </w:pPr>
      <w:r>
        <w:rPr>
          <w:rFonts w:hint="eastAsia" w:ascii="宋体" w:hAnsi="宋体"/>
          <w:sz w:val="21"/>
        </w:rPr>
        <w:t xml:space="preserve">4.4.2</w:t>
      </w:r>
      <w:r>
        <w:rPr>
          <w:rFonts w:ascii="宋体" w:hAnsi="宋体"/>
          <w:sz w:val="21"/>
        </w:rPr>
        <w:t xml:space="preserve">.</w:t>
      </w:r>
      <w:r>
        <w:rPr>
          <w:rFonts w:hint="eastAsia" w:ascii="宋体" w:hAnsi="宋体"/>
          <w:sz w:val="21"/>
        </w:rPr>
        <w:t xml:space="preserve">3三医共享需求分析和开发</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要求提供三医共享相关的需求对接、需求分析、数据开发、数据脱敏加密、使用与反馈、设计与评估相关工作。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4.4.3 数据开发服务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4.4.3</w:t>
      </w:r>
      <w:r>
        <w:rPr>
          <w:rFonts w:ascii="宋体" w:hAnsi="宋体"/>
          <w:sz w:val="21"/>
        </w:rPr>
        <w:t xml:space="preserve">.</w:t>
      </w:r>
      <w:r>
        <w:rPr>
          <w:rFonts w:hint="eastAsia" w:ascii="宋体" w:hAnsi="宋体"/>
          <w:sz w:val="21"/>
        </w:rPr>
        <w:t xml:space="preserve">1定制化需求分析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要求提供应用场景定制化需求分析服务，包括工单受理、工单初步审核、需求对接、需求分析等。</w:t>
      </w:r>
      <w:r/>
    </w:p>
    <w:p>
      <w:pPr>
        <w:ind w:left="0" w:firstLine="420"/>
        <w:spacing w:line="360" w:lineRule="auto"/>
        <w:tabs>
          <w:tab w:val="left" w:pos="420" w:leader="none"/>
        </w:tabs>
        <w:rPr>
          <w:rFonts w:ascii="宋体" w:hAnsi="宋体"/>
          <w:sz w:val="21"/>
        </w:rPr>
      </w:pPr>
      <w:r>
        <w:rPr>
          <w:rFonts w:hint="eastAsia" w:ascii="宋体" w:hAnsi="宋体"/>
          <w:sz w:val="21"/>
        </w:rPr>
        <w:t xml:space="preserve">4.4.3</w:t>
      </w:r>
      <w:r>
        <w:rPr>
          <w:rFonts w:ascii="宋体" w:hAnsi="宋体"/>
          <w:sz w:val="21"/>
        </w:rPr>
        <w:t xml:space="preserve">.</w:t>
      </w:r>
      <w:r>
        <w:rPr>
          <w:rFonts w:hint="eastAsia" w:ascii="宋体" w:hAnsi="宋体"/>
          <w:sz w:val="21"/>
        </w:rPr>
        <w:t xml:space="preserve">2定制化需求开发</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要求提供应用场景定制化需求开发服务，包括接口设计、接口开发、接口测试、接口开发、接口上架及接口监控和运维工作。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4.4.4 数据安全服务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4.4.4</w:t>
      </w:r>
      <w:r>
        <w:rPr>
          <w:rFonts w:ascii="宋体" w:hAnsi="宋体"/>
          <w:sz w:val="21"/>
        </w:rPr>
        <w:t xml:space="preserve">.</w:t>
      </w:r>
      <w:r>
        <w:rPr>
          <w:rFonts w:hint="eastAsia" w:ascii="宋体" w:hAnsi="宋体"/>
          <w:sz w:val="21"/>
        </w:rPr>
        <w:t xml:space="preserve">1数据分类分级</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要求根据健康医疗数据分类分级相关标准，开展数据分类分级工作。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4.4.4</w:t>
      </w:r>
      <w:r>
        <w:rPr>
          <w:rFonts w:ascii="宋体" w:hAnsi="宋体"/>
          <w:sz w:val="21"/>
        </w:rPr>
        <w:t xml:space="preserve">.</w:t>
      </w:r>
      <w:r>
        <w:rPr>
          <w:rFonts w:hint="eastAsia" w:ascii="宋体" w:hAnsi="宋体"/>
          <w:sz w:val="21"/>
        </w:rPr>
        <w:t xml:space="preserve">2数据脱敏加密</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要求针对健康医疗数据涉及的个人健康信息、诊疗记录、公共卫生数据等核心隐私内容，根据健康医疗数据分类分级相关标准进行数据脱敏和加密操作。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4.5 数据集标准动态修订服务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4.5</w:t>
      </w:r>
      <w:r>
        <w:rPr>
          <w:rFonts w:ascii="宋体" w:hAnsi="宋体"/>
          <w:sz w:val="21"/>
        </w:rPr>
        <w:t xml:space="preserve">.</w:t>
      </w:r>
      <w:r>
        <w:rPr>
          <w:rFonts w:hint="eastAsia" w:ascii="宋体" w:hAnsi="宋体"/>
          <w:sz w:val="21"/>
        </w:rPr>
        <w:t xml:space="preserve">1健康医疗数据集标准制定</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要求结合国家、省、市及各应用场景实际需求，制定符合要求的健康医疗数据集标准规范。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4.5</w:t>
      </w:r>
      <w:r>
        <w:rPr>
          <w:rFonts w:ascii="宋体" w:hAnsi="宋体"/>
          <w:sz w:val="21"/>
        </w:rPr>
        <w:t xml:space="preserve">.</w:t>
      </w:r>
      <w:r>
        <w:rPr>
          <w:rFonts w:hint="eastAsia" w:ascii="宋体" w:hAnsi="宋体"/>
          <w:sz w:val="21"/>
        </w:rPr>
        <w:t xml:space="preserve">2数据集标准动态修订</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要求提供健康医疗数据集标准动态修订服务，包括数据集比对修订、值域码表修订等，并做好版本管理。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4.6 老通道数据及服务迁移</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老通道存量数据、配套共享服务整体迁移实施服务。本项目全部迁移实施范围以本采购文件附件所载完整系统台账资料为准，台账包含存量标准数据表清单、数据推送接口清单、通用查询接口清单及配套规范性技术文档。</w:t>
      </w:r>
      <w:r/>
    </w:p>
    <w:p>
      <w:pPr>
        <w:ind w:left="0" w:firstLine="420"/>
        <w:spacing w:line="360" w:lineRule="auto"/>
        <w:tabs>
          <w:tab w:val="left" w:pos="420" w:leader="none"/>
        </w:tabs>
        <w:rPr>
          <w:rFonts w:ascii="宋体" w:hAnsi="宋体"/>
          <w:sz w:val="21"/>
        </w:rPr>
      </w:pPr>
      <w:r>
        <w:rPr>
          <w:rFonts w:ascii="宋体" w:hAnsi="宋体"/>
          <w:sz w:val="21"/>
        </w:rPr>
        <w:object w:dxaOrig="1517" w:dyaOrig="106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6pt;height:52.8pt;mso-wrap-distance-left:0.0pt;mso-wrap-distance-top:0.0pt;mso-wrap-distance-right:0.0pt;mso-wrap-distance-bottom:0.0pt;" filled="f" stroked="f">
            <v:path textboxrect="0,0,0,0"/>
            <v:imagedata r:id="rId17" o:title=""/>
          </v:shape>
          <o:OLEObject DrawAspect="Icon" r:id="rId18" ObjectID="_15250416" ProgID="Excel.Sheet.12" ShapeID="_x0000_i16" Type="Embed"/>
        </w:object>
      </w:r>
      <w:r>
        <w:rPr>
          <w:rFonts w:ascii="宋体" w:hAnsi="宋体"/>
          <w:sz w:val="21"/>
        </w:rPr>
        <w:object w:dxaOrig="1517" w:dyaOrig="106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5.6pt;height:52.8pt;mso-wrap-distance-left:0.0pt;mso-wrap-distance-top:0.0pt;mso-wrap-distance-right:0.0pt;mso-wrap-distance-bottom:0.0pt;" filled="f" stroked="f">
            <v:path textboxrect="0,0,0,0"/>
            <v:imagedata r:id="rId19" o:title=""/>
          </v:shape>
          <o:OLEObject DrawAspect="Icon" r:id="rId20" ObjectID="_15250417" ProgID="Excel.Sheet.12" ShapeID="_x0000_i17" Type="Embed"/>
        </w:object>
      </w:r>
      <w:bookmarkStart w:id="135" w:name="_MON_1845112744"/>
      <w:r/>
      <w:bookmarkEnd w:id="135"/>
      <w:r>
        <w:rPr>
          <w:rFonts w:ascii="宋体" w:hAnsi="宋体"/>
          <w:sz w:val="21"/>
        </w:rPr>
        <w:object w:dxaOrig="1517" w:dyaOrig="106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6pt;height:52.8pt;mso-wrap-distance-left:0.0pt;mso-wrap-distance-top:0.0pt;mso-wrap-distance-right:0.0pt;mso-wrap-distance-bottom:0.0pt;" filled="f" stroked="f">
            <v:path textboxrect="0,0,0,0"/>
            <v:imagedata r:id="rId21" o:title=""/>
          </v:shape>
          <o:OLEObject DrawAspect="Icon" r:id="rId22" ObjectID="_15250418" ProgID="Word.Document.12" ShapeID="_x0000_i18" Type="Embed"/>
        </w:object>
      </w:r>
      <w:r/>
    </w:p>
    <w:p>
      <w:pPr>
        <w:ind w:left="0" w:firstLine="420"/>
        <w:spacing w:line="360" w:lineRule="auto"/>
        <w:tabs>
          <w:tab w:val="left" w:pos="420" w:leader="none"/>
        </w:tabs>
        <w:rPr>
          <w:rFonts w:ascii="宋体" w:hAnsi="宋体"/>
          <w:sz w:val="21"/>
        </w:rPr>
      </w:pPr>
      <w:r>
        <w:rPr>
          <w:rFonts w:hint="eastAsia" w:ascii="宋体" w:hAnsi="宋体"/>
          <w:sz w:val="21"/>
        </w:rPr>
        <w:t xml:space="preserve">所有获取招标文件及附件台账的投标人应严格履行保密义务，台账资料仅允许用于编制本项目投标方案，严禁私自复制、外传、挪作其他用途；项目投标结束后，未中标投标人须完整销毁台账全部电子及纸质副本。投标人须依托附件台账开展全量摸排梳理、数据标准化治理、迁移开发适配、多单位业务联调测试、新旧系统割接切换、全量数据一致性校验、上线运维保障等全链条实施工作，实现全部存量数据表、各渠道数据推送接口、通用查询接口平稳迁移切换，确保迁移完成后数据完整准确、各类对外共享接口可持续稳定对外提供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4.6</w:t>
      </w:r>
      <w:r>
        <w:rPr>
          <w:rFonts w:ascii="宋体" w:hAnsi="宋体"/>
          <w:sz w:val="21"/>
        </w:rPr>
        <w:t xml:space="preserve">.</w:t>
      </w:r>
      <w:r>
        <w:rPr>
          <w:rFonts w:hint="eastAsia" w:ascii="宋体" w:hAnsi="宋体"/>
          <w:sz w:val="21"/>
        </w:rPr>
        <w:t xml:space="preserve">1</w:t>
      </w:r>
      <w:r>
        <w:rPr>
          <w:rFonts w:hint="eastAsia" w:ascii="宋体" w:hAnsi="宋体"/>
          <w:sz w:val="21"/>
        </w:rPr>
        <w:t xml:space="preserve">数据同步通道并轨服务</w:t>
      </w:r>
      <w:r/>
    </w:p>
    <w:p>
      <w:pPr>
        <w:ind w:left="0" w:firstLine="420"/>
        <w:spacing w:line="360" w:lineRule="auto"/>
        <w:tabs>
          <w:tab w:val="left" w:pos="420" w:leader="none"/>
        </w:tabs>
        <w:rPr>
          <w:rFonts w:ascii="宋体" w:hAnsi="宋体"/>
          <w:sz w:val="21"/>
        </w:rPr>
      </w:pPr>
      <w:r>
        <w:rPr>
          <w:rFonts w:ascii="宋体" w:hAnsi="宋体"/>
          <w:sz w:val="21"/>
        </w:rPr>
        <w:t xml:space="preserve">编制完整、可落地的大数据中心新老数据同步通道并行切换实施方案，并提供全周期通道并轨实施服务，服务内容包含老通道实时运行数据监测、新旧通道传输差异比对、并轨风险研判、异常处置、并行过渡期运维保障等，保障新旧通道切换阶段业务连续不中断。</w:t>
      </w:r>
      <w:r/>
    </w:p>
    <w:p>
      <w:pPr>
        <w:ind w:left="0" w:firstLine="420"/>
        <w:spacing w:line="360" w:lineRule="auto"/>
        <w:tabs>
          <w:tab w:val="left" w:pos="420" w:leader="none"/>
        </w:tabs>
        <w:rPr>
          <w:rFonts w:ascii="宋体" w:hAnsi="宋体"/>
          <w:sz w:val="21"/>
        </w:rPr>
      </w:pPr>
      <w:r>
        <w:rPr>
          <w:rFonts w:hint="eastAsia" w:ascii="宋体" w:hAnsi="宋体"/>
          <w:sz w:val="21"/>
        </w:rPr>
        <w:t xml:space="preserve">4.6</w:t>
      </w:r>
      <w:r>
        <w:rPr>
          <w:rFonts w:ascii="宋体" w:hAnsi="宋体"/>
          <w:sz w:val="21"/>
        </w:rPr>
        <w:t xml:space="preserve">.</w:t>
      </w:r>
      <w:r>
        <w:rPr>
          <w:rFonts w:hint="eastAsia" w:ascii="宋体" w:hAnsi="宋体"/>
          <w:sz w:val="21"/>
        </w:rPr>
        <w:t xml:space="preserve">2</w:t>
      </w:r>
      <w:r>
        <w:rPr>
          <w:rFonts w:hint="eastAsia" w:ascii="宋体" w:hAnsi="宋体"/>
          <w:sz w:val="21"/>
        </w:rPr>
        <w:t xml:space="preserve">数据和共享服务迁移</w:t>
      </w:r>
      <w:r/>
    </w:p>
    <w:p>
      <w:pPr>
        <w:ind w:left="0" w:firstLine="420"/>
        <w:spacing w:line="360" w:lineRule="auto"/>
        <w:tabs>
          <w:tab w:val="left" w:pos="420" w:leader="none"/>
        </w:tabs>
        <w:rPr>
          <w:rFonts w:ascii="宋体" w:hAnsi="宋体"/>
          <w:sz w:val="21"/>
        </w:rPr>
      </w:pPr>
      <w:r>
        <w:rPr>
          <w:rFonts w:ascii="宋体" w:hAnsi="宋体"/>
          <w:sz w:val="21"/>
        </w:rPr>
        <w:t xml:space="preserve">完成</w:t>
      </w:r>
      <w:r>
        <w:rPr>
          <w:rFonts w:hint="eastAsia" w:ascii="宋体" w:hAnsi="宋体"/>
          <w:sz w:val="21"/>
        </w:rPr>
        <w:t xml:space="preserve">老通道</w:t>
      </w:r>
      <w:r>
        <w:rPr>
          <w:rFonts w:ascii="宋体" w:hAnsi="宋体"/>
          <w:sz w:val="21"/>
        </w:rPr>
        <w:t xml:space="preserve">存量数据向新建大数据中心迁移实施；同步完成原有数据库共享服务、API共享服务整体迁移适配。项目全迁移周期内，供应商须建立全过程数据校验、接口巡检管控机制，严格保障历史存量数据完整无丢失、无错乱，各类对外数据共享服务持续稳定运行。</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5.配套设施具体采购要求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5.1 配套软件具体采购要求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5.1</w:t>
      </w:r>
      <w:r>
        <w:rPr>
          <w:rFonts w:hint="eastAsia" w:ascii="宋体" w:hAnsi="宋体"/>
          <w:sz w:val="21"/>
        </w:rPr>
        <w:t xml:space="preserve">.1医疗全景实时数仓</w:t>
      </w:r>
      <w:r/>
    </w:p>
    <w:p>
      <w:pPr>
        <w:ind w:left="0" w:firstLine="420"/>
        <w:spacing w:line="360" w:lineRule="auto"/>
        <w:tabs>
          <w:tab w:val="left" w:pos="420" w:leader="none"/>
        </w:tabs>
        <w:rPr>
          <w:rFonts w:ascii="宋体" w:hAnsi="宋体"/>
          <w:sz w:val="21"/>
        </w:rPr>
      </w:pPr>
      <w:r/>
      <w:bookmarkStart w:id="136" w:name="OLE_LINK76"/>
      <w:r>
        <w:rPr>
          <w:rFonts w:hint="eastAsia" w:ascii="宋体" w:hAnsi="宋体"/>
          <w:sz w:val="21"/>
        </w:rPr>
        <w:t xml:space="preserve">采购医疗全景实时数仓软件产品一套，产品应符合国产化要求，采用成熟的分布式数据库架构，提供不少于33个分布式节点授权（按节点独立授权），具备统一的数据存储、数据计算、数据分析及数据服务能力，可满足卫生健康领域多源异构数据汇聚、实时分析、离线分析、多维分析及决策支持等业务应用需求。</w:t>
      </w:r>
      <w:bookmarkEnd w:id="136"/>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产品应具有成熟的软件版本，支持持续升级维护，并提供完整的软件授权、安装部署、运行维护服务。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产品应具备以下数据存储能力：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产品应具备PB级数据存储能力，采用分布式存储架构，支持在线扩展，满足医疗行业海量数据存储需求。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产品至少应支持以下功能：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（1）支持PB级数据存储； </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（2）支持在线横向扩容，新增节点无需停机； </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（3）支持不少于3副本的数据存储机制； </w:t>
      </w:r>
      <w:r/>
    </w:p>
    <w:p>
      <w:pPr>
        <w:ind w:left="0" w:firstLine="420"/>
        <w:spacing w:line="360" w:lineRule="auto"/>
        <w:tabs>
          <w:tab w:val="left" w:pos="420" w:leader="none"/>
        </w:tabs>
        <w:rPr>
          <w:rFonts w:ascii="宋体" w:hAnsi="宋体"/>
          <w:sz w:val="21"/>
        </w:rPr>
      </w:pPr>
      <w:r>
        <w:rPr>
          <w:rFonts w:hint="eastAsia" w:ascii="宋体" w:hAnsi="宋体"/>
          <w:sz w:val="21"/>
        </w:rPr>
        <w:t xml:space="preserve">（4）支持节点故障自动恢复； </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（5）支持数据自动重平衡； </w:t>
      </w:r>
      <w:r/>
    </w:p>
    <w:p>
      <w:pPr>
        <w:ind w:left="0" w:firstLine="420"/>
        <w:spacing w:line="360" w:lineRule="auto"/>
        <w:tabs>
          <w:tab w:val="left" w:pos="420" w:leader="none"/>
        </w:tabs>
        <w:rPr>
          <w:rFonts w:ascii="宋体" w:hAnsi="宋体"/>
          <w:sz w:val="21"/>
        </w:rPr>
      </w:pPr>
      <w:r>
        <w:rPr>
          <w:rFonts w:hint="eastAsia" w:ascii="宋体" w:hAnsi="宋体"/>
          <w:sz w:val="21"/>
        </w:rPr>
        <w:t xml:space="preserve">（6）支持冷热数据分层存储； </w:t>
      </w:r>
      <w:r/>
    </w:p>
    <w:p>
      <w:pPr>
        <w:ind w:left="0" w:firstLine="420"/>
        <w:spacing w:line="360" w:lineRule="auto"/>
        <w:tabs>
          <w:tab w:val="left" w:pos="420" w:leader="none"/>
        </w:tabs>
        <w:rPr>
          <w:rFonts w:ascii="宋体" w:hAnsi="宋体"/>
          <w:sz w:val="21"/>
        </w:rPr>
      </w:pPr>
      <w:r>
        <w:rPr>
          <w:rFonts w:hint="eastAsia" w:ascii="宋体" w:hAnsi="宋体"/>
          <w:sz w:val="21"/>
        </w:rPr>
        <w:t xml:space="preserve">（7）支持数据压缩存储，提高存储利用率； </w:t>
      </w:r>
      <w:r/>
    </w:p>
    <w:p>
      <w:pPr>
        <w:ind w:left="0" w:firstLine="420"/>
        <w:spacing w:line="360" w:lineRule="auto"/>
        <w:tabs>
          <w:tab w:val="left" w:pos="420" w:leader="none"/>
        </w:tabs>
        <w:rPr>
          <w:rFonts w:ascii="宋体" w:hAnsi="宋体"/>
          <w:sz w:val="21"/>
        </w:rPr>
      </w:pPr>
      <w:r>
        <w:rPr>
          <w:rFonts w:hint="eastAsia" w:ascii="宋体" w:hAnsi="宋体"/>
          <w:sz w:val="21"/>
        </w:rPr>
        <w:t xml:space="preserve">（8）支持数据生命周期管理。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产品应具备以下数据接入能力：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（1）支持Stream Load</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（2）支持Kafka</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（3）支持JDBC</w:t>
      </w:r>
      <w:r/>
    </w:p>
    <w:p>
      <w:pPr>
        <w:ind w:left="0" w:firstLine="420"/>
        <w:spacing w:line="360" w:lineRule="auto"/>
        <w:tabs>
          <w:tab w:val="left" w:pos="420" w:leader="none"/>
        </w:tabs>
        <w:rPr>
          <w:rFonts w:ascii="宋体" w:hAnsi="宋体"/>
          <w:sz w:val="21"/>
        </w:rPr>
      </w:pPr>
      <w:r>
        <w:rPr>
          <w:rFonts w:hint="eastAsia" w:ascii="宋体" w:hAnsi="宋体"/>
          <w:sz w:val="21"/>
        </w:rPr>
        <w:t xml:space="preserve">（4）支持HTTP</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（5）支持CSV</w:t>
      </w:r>
      <w:r/>
    </w:p>
    <w:p>
      <w:pPr>
        <w:ind w:left="0" w:firstLine="420"/>
        <w:spacing w:line="360" w:lineRule="auto"/>
        <w:tabs>
          <w:tab w:val="left" w:pos="420" w:leader="none"/>
        </w:tabs>
        <w:rPr>
          <w:rFonts w:ascii="宋体" w:hAnsi="宋体"/>
          <w:sz w:val="21"/>
        </w:rPr>
      </w:pPr>
      <w:r>
        <w:rPr>
          <w:rFonts w:hint="eastAsia" w:ascii="宋体" w:hAnsi="宋体"/>
          <w:sz w:val="21"/>
        </w:rPr>
        <w:t xml:space="preserve">（6）支持Parquet</w:t>
      </w:r>
      <w:r/>
    </w:p>
    <w:p>
      <w:pPr>
        <w:ind w:left="0" w:firstLine="420"/>
        <w:spacing w:line="360" w:lineRule="auto"/>
        <w:tabs>
          <w:tab w:val="left" w:pos="420" w:leader="none"/>
        </w:tabs>
        <w:rPr>
          <w:rFonts w:ascii="宋体" w:hAnsi="宋体"/>
          <w:sz w:val="21"/>
        </w:rPr>
      </w:pPr>
      <w:r>
        <w:rPr>
          <w:rFonts w:hint="eastAsia" w:ascii="宋体" w:hAnsi="宋体"/>
          <w:sz w:val="21"/>
        </w:rPr>
        <w:t xml:space="preserve">（7）支持ORC</w:t>
      </w:r>
      <w:r/>
    </w:p>
    <w:p>
      <w:pPr>
        <w:ind w:left="0" w:firstLine="420"/>
        <w:spacing w:line="360" w:lineRule="auto"/>
        <w:tabs>
          <w:tab w:val="left" w:pos="420" w:leader="none"/>
        </w:tabs>
        <w:rPr>
          <w:rFonts w:ascii="宋体" w:hAnsi="宋体"/>
          <w:sz w:val="21"/>
        </w:rPr>
      </w:pPr>
      <w:r>
        <w:rPr>
          <w:rFonts w:hint="eastAsia" w:ascii="宋体" w:hAnsi="宋体"/>
          <w:sz w:val="21"/>
        </w:rPr>
        <w:t xml:space="preserve">（8）支持JSON</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产品应具备以下数据分析能力：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（1）支持MPP架构</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（2）支持OLAP分析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（3）支持ANSI SQL</w:t>
      </w:r>
      <w:r/>
    </w:p>
    <w:p>
      <w:pPr>
        <w:ind w:left="0" w:firstLine="420"/>
        <w:spacing w:line="360" w:lineRule="auto"/>
        <w:tabs>
          <w:tab w:val="left" w:pos="420" w:leader="none"/>
        </w:tabs>
        <w:rPr>
          <w:rFonts w:ascii="宋体" w:hAnsi="宋体"/>
          <w:sz w:val="21"/>
        </w:rPr>
      </w:pPr>
      <w:r>
        <w:rPr>
          <w:rFonts w:hint="eastAsia" w:ascii="宋体" w:hAnsi="宋体"/>
          <w:sz w:val="21"/>
        </w:rPr>
        <w:t xml:space="preserve">（4）支持窗口函数</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（5）支持Join</w:t>
      </w:r>
      <w:r/>
    </w:p>
    <w:p>
      <w:pPr>
        <w:ind w:left="0" w:firstLine="420"/>
        <w:spacing w:line="360" w:lineRule="auto"/>
        <w:tabs>
          <w:tab w:val="left" w:pos="420" w:leader="none"/>
        </w:tabs>
        <w:rPr>
          <w:rFonts w:ascii="宋体" w:hAnsi="宋体"/>
          <w:sz w:val="21"/>
        </w:rPr>
      </w:pPr>
      <w:r>
        <w:rPr>
          <w:rFonts w:hint="eastAsia" w:ascii="宋体" w:hAnsi="宋体"/>
          <w:sz w:val="21"/>
        </w:rPr>
        <w:t xml:space="preserve">（6）支持物化视图</w:t>
      </w:r>
      <w:r/>
    </w:p>
    <w:p>
      <w:pPr>
        <w:ind w:left="0" w:firstLine="420"/>
        <w:spacing w:line="360" w:lineRule="auto"/>
        <w:tabs>
          <w:tab w:val="left" w:pos="420" w:leader="none"/>
        </w:tabs>
        <w:rPr>
          <w:rFonts w:ascii="宋体" w:hAnsi="宋体"/>
          <w:sz w:val="21"/>
        </w:rPr>
      </w:pPr>
      <w:r>
        <w:rPr>
          <w:rFonts w:hint="eastAsia" w:ascii="宋体" w:hAnsi="宋体"/>
          <w:sz w:val="21"/>
        </w:rPr>
        <w:t xml:space="preserve">（7）支持查询优化</w:t>
      </w:r>
      <w:r/>
    </w:p>
    <w:p>
      <w:pPr>
        <w:ind w:left="0" w:firstLine="420"/>
        <w:spacing w:line="360" w:lineRule="auto"/>
        <w:tabs>
          <w:tab w:val="left" w:pos="420" w:leader="none"/>
        </w:tabs>
        <w:rPr>
          <w:rFonts w:ascii="宋体" w:hAnsi="宋体"/>
          <w:sz w:val="21"/>
        </w:rPr>
      </w:pPr>
      <w:r>
        <w:rPr>
          <w:rFonts w:hint="eastAsia" w:ascii="宋体" w:hAnsi="宋体"/>
          <w:sz w:val="21"/>
        </w:rPr>
        <w:t xml:space="preserve">（8）支持并发查询</w:t>
      </w:r>
      <w:r/>
    </w:p>
    <w:p>
      <w:pPr>
        <w:ind w:left="0" w:firstLine="420"/>
        <w:spacing w:line="360" w:lineRule="auto"/>
        <w:tabs>
          <w:tab w:val="left" w:pos="420" w:leader="none"/>
        </w:tabs>
        <w:rPr>
          <w:rFonts w:ascii="宋体" w:hAnsi="宋体"/>
          <w:sz w:val="21"/>
        </w:rPr>
      </w:pPr>
      <w:r>
        <w:rPr>
          <w:rFonts w:hint="eastAsia" w:ascii="宋体" w:hAnsi="宋体"/>
          <w:sz w:val="21"/>
        </w:rPr>
        <w:t xml:space="preserve">（9）支持BI连接</w:t>
      </w:r>
      <w:r/>
    </w:p>
    <w:p>
      <w:pPr>
        <w:ind w:left="0" w:firstLine="420"/>
        <w:spacing w:line="360" w:lineRule="auto"/>
        <w:tabs>
          <w:tab w:val="left" w:pos="420" w:leader="none"/>
        </w:tabs>
        <w:rPr>
          <w:rFonts w:ascii="宋体" w:hAnsi="宋体"/>
          <w:sz w:val="21"/>
        </w:rPr>
      </w:pPr>
      <w:r>
        <w:rPr>
          <w:rFonts w:hint="eastAsia" w:ascii="宋体" w:hAnsi="宋体"/>
          <w:sz w:val="21"/>
        </w:rPr>
        <w:t xml:space="preserve">（10）支持复杂SQL</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产品架构及技术要求：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产品应采用成熟的分布式数据库架构，并至少满足以下要求：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（1）分布式无共享架构（Shared-Nothing）； </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（2）支持计算与存储资源横向扩展； </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（3）支持在线扩容； </w:t>
      </w:r>
      <w:r/>
    </w:p>
    <w:p>
      <w:pPr>
        <w:ind w:left="0" w:firstLine="420"/>
        <w:spacing w:line="360" w:lineRule="auto"/>
        <w:tabs>
          <w:tab w:val="left" w:pos="420" w:leader="none"/>
        </w:tabs>
        <w:rPr>
          <w:rFonts w:ascii="宋体" w:hAnsi="宋体"/>
          <w:sz w:val="21"/>
        </w:rPr>
      </w:pPr>
      <w:r>
        <w:rPr>
          <w:rFonts w:hint="eastAsia" w:ascii="宋体" w:hAnsi="宋体"/>
          <w:sz w:val="21"/>
        </w:rPr>
        <w:t xml:space="preserve">（4）支持自动故障恢复； </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（5）支持多副本机制； </w:t>
      </w:r>
      <w:r/>
    </w:p>
    <w:p>
      <w:pPr>
        <w:ind w:left="0" w:firstLine="420"/>
        <w:spacing w:line="360" w:lineRule="auto"/>
        <w:tabs>
          <w:tab w:val="left" w:pos="420" w:leader="none"/>
        </w:tabs>
        <w:rPr>
          <w:rFonts w:ascii="宋体" w:hAnsi="宋体"/>
          <w:sz w:val="21"/>
        </w:rPr>
      </w:pPr>
      <w:r>
        <w:rPr>
          <w:rFonts w:hint="eastAsia" w:ascii="宋体" w:hAnsi="宋体"/>
          <w:sz w:val="21"/>
        </w:rPr>
        <w:t xml:space="preserve">（6）支持负载均衡； </w:t>
      </w:r>
      <w:r/>
    </w:p>
    <w:p>
      <w:pPr>
        <w:ind w:left="0" w:firstLine="420"/>
        <w:spacing w:line="360" w:lineRule="auto"/>
        <w:tabs>
          <w:tab w:val="left" w:pos="420" w:leader="none"/>
        </w:tabs>
        <w:rPr>
          <w:rFonts w:ascii="宋体" w:hAnsi="宋体"/>
          <w:sz w:val="21"/>
        </w:rPr>
      </w:pPr>
      <w:r>
        <w:rPr>
          <w:rFonts w:hint="eastAsia" w:ascii="宋体" w:hAnsi="宋体"/>
          <w:sz w:val="21"/>
        </w:rPr>
        <w:t xml:space="preserve">（7）支持弹性资源调度； </w:t>
      </w:r>
      <w:r/>
    </w:p>
    <w:p>
      <w:pPr>
        <w:ind w:left="0" w:firstLine="420"/>
        <w:spacing w:line="360" w:lineRule="auto"/>
        <w:tabs>
          <w:tab w:val="left" w:pos="420" w:leader="none"/>
        </w:tabs>
        <w:rPr>
          <w:rFonts w:ascii="宋体" w:hAnsi="宋体"/>
          <w:sz w:val="21"/>
        </w:rPr>
      </w:pPr>
      <w:r>
        <w:rPr>
          <w:rFonts w:hint="eastAsia" w:ascii="宋体" w:hAnsi="宋体"/>
          <w:sz w:val="21"/>
        </w:rPr>
        <w:t xml:space="preserve">（8）支持细粒度权限控制； </w:t>
      </w:r>
      <w:r/>
    </w:p>
    <w:p>
      <w:pPr>
        <w:ind w:left="0" w:firstLine="420"/>
        <w:spacing w:line="360" w:lineRule="auto"/>
        <w:tabs>
          <w:tab w:val="left" w:pos="420" w:leader="none"/>
        </w:tabs>
        <w:rPr>
          <w:rFonts w:ascii="宋体" w:hAnsi="宋体"/>
          <w:sz w:val="21"/>
        </w:rPr>
      </w:pPr>
      <w:r>
        <w:rPr>
          <w:rFonts w:hint="eastAsia" w:ascii="宋体" w:hAnsi="宋体"/>
          <w:sz w:val="21"/>
        </w:rPr>
        <w:t xml:space="preserve">（9）支持审计日志； </w:t>
      </w:r>
      <w:r/>
    </w:p>
    <w:p>
      <w:pPr>
        <w:ind w:left="0" w:firstLine="420"/>
        <w:spacing w:line="360" w:lineRule="auto"/>
        <w:tabs>
          <w:tab w:val="left" w:pos="420" w:leader="none"/>
        </w:tabs>
        <w:rPr>
          <w:rFonts w:ascii="宋体" w:hAnsi="宋体"/>
          <w:sz w:val="21"/>
        </w:rPr>
      </w:pPr>
      <w:r>
        <w:rPr>
          <w:rFonts w:hint="eastAsia" w:ascii="宋体" w:hAnsi="宋体"/>
          <w:sz w:val="21"/>
        </w:rPr>
        <w:t xml:space="preserve">（10）支持数据脱敏； </w:t>
      </w:r>
      <w:r/>
    </w:p>
    <w:p>
      <w:pPr>
        <w:ind w:left="0" w:firstLine="420"/>
        <w:spacing w:line="360" w:lineRule="auto"/>
        <w:tabs>
          <w:tab w:val="left" w:pos="420" w:leader="none"/>
        </w:tabs>
        <w:rPr>
          <w:rFonts w:ascii="宋体" w:hAnsi="宋体"/>
          <w:sz w:val="21"/>
        </w:rPr>
      </w:pPr>
      <w:r>
        <w:rPr>
          <w:rFonts w:hint="eastAsia" w:ascii="宋体" w:hAnsi="宋体"/>
          <w:sz w:val="21"/>
        </w:rPr>
        <w:t xml:space="preserve">（11）支持国产CPU及国产操作系统。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产品应以成熟软件形式交付，并至少满足以下要求：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（1）提供不少于33个节点永久授权；</w:t>
      </w:r>
      <w:r/>
    </w:p>
    <w:p>
      <w:pPr>
        <w:ind w:left="0" w:firstLine="420"/>
        <w:spacing w:line="360" w:lineRule="auto"/>
        <w:tabs>
          <w:tab w:val="left" w:pos="420" w:leader="none"/>
        </w:tabs>
        <w:rPr>
          <w:rFonts w:ascii="宋体" w:hAnsi="宋体"/>
          <w:sz w:val="21"/>
        </w:rPr>
      </w:pPr>
      <w:r>
        <w:rPr>
          <w:rFonts w:hint="eastAsia" w:ascii="宋体" w:hAnsi="宋体"/>
          <w:sz w:val="21"/>
        </w:rPr>
        <w:t xml:space="preserve">（2）提供完整的软件安装包；</w:t>
      </w:r>
      <w:r/>
    </w:p>
    <w:p>
      <w:pPr>
        <w:ind w:left="0" w:firstLine="420"/>
        <w:spacing w:line="360" w:lineRule="auto"/>
        <w:tabs>
          <w:tab w:val="left" w:pos="420" w:leader="none"/>
        </w:tabs>
        <w:rPr>
          <w:rFonts w:ascii="宋体" w:hAnsi="宋体"/>
          <w:sz w:val="21"/>
        </w:rPr>
      </w:pPr>
      <w:r>
        <w:rPr>
          <w:rFonts w:hint="eastAsia" w:ascii="宋体" w:hAnsi="宋体"/>
          <w:sz w:val="21"/>
        </w:rPr>
        <w:t xml:space="preserve">（3）提供软件License；</w:t>
      </w:r>
      <w:r/>
    </w:p>
    <w:p>
      <w:pPr>
        <w:ind w:left="0" w:firstLine="420"/>
        <w:spacing w:line="360" w:lineRule="auto"/>
        <w:tabs>
          <w:tab w:val="left" w:pos="420" w:leader="none"/>
        </w:tabs>
        <w:rPr>
          <w:rFonts w:ascii="宋体" w:hAnsi="宋体"/>
          <w:sz w:val="21"/>
        </w:rPr>
      </w:pPr>
      <w:r>
        <w:rPr>
          <w:rFonts w:hint="eastAsia" w:ascii="宋体" w:hAnsi="宋体"/>
          <w:sz w:val="21"/>
        </w:rPr>
        <w:t xml:space="preserve">（4）提供安装部署服务；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（5）提供配置调优服务；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（6）提供系统联调服务；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（7）提供管理员培训；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（8）提供产品使用手册；</w:t>
      </w:r>
      <w:r/>
    </w:p>
    <w:p>
      <w:pPr>
        <w:ind w:left="0" w:firstLine="420"/>
        <w:spacing w:line="360" w:lineRule="auto"/>
        <w:tabs>
          <w:tab w:val="left" w:pos="420" w:leader="none"/>
        </w:tabs>
        <w:rPr>
          <w:rFonts w:ascii="宋体" w:hAnsi="宋体"/>
          <w:sz w:val="21"/>
        </w:rPr>
      </w:pPr>
      <w:r>
        <w:rPr>
          <w:rFonts w:hint="eastAsia" w:ascii="宋体" w:hAnsi="宋体"/>
          <w:sz w:val="21"/>
        </w:rPr>
        <w:t xml:space="preserve">（9）提供运行维护文档；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5.1.2</w:t>
      </w:r>
      <w:r>
        <w:rPr>
          <w:rFonts w:hint="eastAsia" w:ascii="宋体" w:hAnsi="宋体"/>
          <w:sz w:val="21"/>
        </w:rPr>
        <w:t xml:space="preserve">数据同步平台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采购数据同步软件产品一套，</w:t>
      </w:r>
      <w:r>
        <w:rPr>
          <w:rFonts w:ascii="宋体" w:hAnsi="宋体"/>
          <w:sz w:val="21"/>
        </w:rPr>
        <w:t xml:space="preserve">产品应符合国产化要求，采用日志解析技术，通过对源数据库事务日志的实时捕获与解析，在不侵入源系统、不影响业务运行的前提下，完成数据的实时同步与复制</w:t>
      </w:r>
      <w:r>
        <w:rPr>
          <w:rFonts w:hint="eastAsia" w:ascii="宋体" w:hAnsi="宋体"/>
          <w:sz w:val="21"/>
        </w:rPr>
        <w:t xml:space="preserve">，</w:t>
      </w:r>
      <w:r>
        <w:rPr>
          <w:rFonts w:ascii="宋体" w:hAnsi="宋体"/>
          <w:sz w:val="21"/>
        </w:rPr>
        <w:t xml:space="preserve">实现海量健康医疗数据迁移</w:t>
      </w:r>
      <w:r>
        <w:rPr>
          <w:rFonts w:hint="eastAsia" w:ascii="宋体" w:hAnsi="宋体"/>
          <w:sz w:val="21"/>
        </w:rPr>
        <w:t xml:space="preserve">，</w:t>
      </w:r>
      <w:r>
        <w:rPr>
          <w:rFonts w:ascii="宋体" w:hAnsi="宋体"/>
          <w:sz w:val="21"/>
        </w:rPr>
        <w:t xml:space="preserve">提供不少于90个</w:t>
      </w:r>
      <w:r>
        <w:rPr>
          <w:rFonts w:hint="eastAsia" w:ascii="宋体" w:hAnsi="宋体"/>
          <w:sz w:val="21"/>
        </w:rPr>
        <w:t xml:space="preserve">数据采集点位</w:t>
      </w:r>
      <w:r>
        <w:rPr>
          <w:rFonts w:ascii="宋体" w:hAnsi="宋体"/>
          <w:sz w:val="21"/>
        </w:rPr>
        <w:t xml:space="preserve">使用授权</w:t>
      </w:r>
      <w:r>
        <w:rPr>
          <w:rFonts w:hint="eastAsia" w:ascii="宋体" w:hAnsi="宋体"/>
          <w:sz w:val="21"/>
        </w:rPr>
        <w:t xml:space="preserve">。</w:t>
      </w:r>
      <w:r>
        <w:rPr>
          <w:rFonts w:hint="eastAsia" w:ascii="宋体" w:hAnsi="宋体"/>
          <w:sz w:val="21"/>
        </w:rPr>
        <w:t xml:space="preserve">产品应具有成熟的软件版本，支持持续升级维护，并提供完整的软件授权、安装部署、运行维护服务。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产品应具备以下基本功能要求：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（1）支持通过分析数据库的日志文件对数据库中交易的实时抓取；支持日志并发分析，可通过一份分析结果同时对多个同步链路提供数据；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（2）为保障生产安全，软件部署不得干预源端生产业务，禁止对源端数据库及操作系统做任何的参数修改，禁止重启服务器；</w:t>
      </w:r>
      <w:r/>
    </w:p>
    <w:p>
      <w:pPr>
        <w:ind w:left="0" w:firstLine="420"/>
        <w:spacing w:line="360" w:lineRule="auto"/>
        <w:tabs>
          <w:tab w:val="left" w:pos="420" w:leader="none"/>
        </w:tabs>
        <w:rPr>
          <w:rFonts w:ascii="宋体" w:hAnsi="宋体"/>
          <w:sz w:val="21"/>
        </w:rPr>
      </w:pPr>
      <w:r>
        <w:rPr>
          <w:rFonts w:hint="eastAsia" w:ascii="宋体" w:hAnsi="宋体"/>
          <w:sz w:val="21"/>
        </w:rPr>
        <w:t xml:space="preserve">（3）在数据初始化同步过程中，业务不能停止；在异构平台或跨数据库版本之间的数据初始化过程中不需要人工干预；</w:t>
      </w:r>
      <w:r/>
    </w:p>
    <w:p>
      <w:pPr>
        <w:ind w:left="0" w:firstLine="420"/>
        <w:spacing w:line="360" w:lineRule="auto"/>
        <w:tabs>
          <w:tab w:val="left" w:pos="420" w:leader="none"/>
        </w:tabs>
        <w:rPr>
          <w:rFonts w:ascii="宋体" w:hAnsi="宋体"/>
          <w:sz w:val="21"/>
        </w:rPr>
      </w:pPr>
      <w:r>
        <w:rPr>
          <w:rFonts w:hint="eastAsia" w:ascii="宋体" w:hAnsi="宋体"/>
          <w:sz w:val="21"/>
        </w:rPr>
        <w:t xml:space="preserve">（4）与医疗机构对接仅限于数据库层面，不需要医疗机构做系统层面改造。</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产品应具备以下硬件平台支持能力：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（1）软件支持任意硬件平台异构实时同步复制；</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可适配主流品牌国产操作系统，满足国产化环境部署。</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产品应具备以下数据库同步复制能力：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（1）支持一对一、双向、一对多、多对一和级联复制；</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（2）支持数据转换、数据拆分及分发；</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（3）支持从多个数据库中同一类型表的记录整合到一个表中；</w:t>
      </w:r>
      <w:r/>
    </w:p>
    <w:p>
      <w:pPr>
        <w:ind w:left="0" w:firstLine="420"/>
        <w:spacing w:line="360" w:lineRule="auto"/>
        <w:tabs>
          <w:tab w:val="left" w:pos="420" w:leader="none"/>
        </w:tabs>
        <w:rPr>
          <w:rFonts w:ascii="宋体" w:hAnsi="宋体"/>
          <w:sz w:val="21"/>
        </w:rPr>
      </w:pPr>
      <w:r>
        <w:rPr>
          <w:rFonts w:hint="eastAsia" w:ascii="宋体" w:hAnsi="宋体"/>
          <w:sz w:val="21"/>
        </w:rPr>
        <w:t xml:space="preserve">（5）支持DML操作复制，支持SEQUENCE、函数、存储过程、视图、同义词、索引、应用包、用户等数据库对象进行复制；</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）支持从数据库日志中分析所有DDL操作，不影响整个同步过程。在源端数据库数据结构发生变化（如修改表结构、增加表等）后，复制软件可自动将新增结构变化同步到目标端，支持DDL策略配置；</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）在同步SQL Server数据库过程中，目标数据库须始终处于可用状态，数据同步过程中，支持关闭CDC代理作业，避免对生产库性能造成影响；</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产品应具备以下复杂环境应对能力：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（1）支持无主键表同步；</w:t>
      </w:r>
      <w:r/>
    </w:p>
    <w:p>
      <w:pPr>
        <w:ind w:left="0" w:firstLine="420"/>
        <w:spacing w:line="360" w:lineRule="auto"/>
        <w:tabs>
          <w:tab w:val="left" w:pos="420" w:leader="none"/>
        </w:tabs>
        <w:rPr>
          <w:rFonts w:ascii="宋体" w:hAnsi="宋体"/>
          <w:sz w:val="21"/>
        </w:rPr>
      </w:pPr>
      <w:r>
        <w:rPr>
          <w:rFonts w:hint="eastAsia" w:ascii="宋体" w:hAnsi="宋体"/>
          <w:sz w:val="21"/>
        </w:rPr>
        <w:t xml:space="preserve">（2）支持"image/text/ntext"大字段数据类型的实时同步；</w:t>
      </w:r>
      <w:r/>
    </w:p>
    <w:p>
      <w:pPr>
        <w:ind w:left="0" w:firstLine="420"/>
        <w:spacing w:line="360" w:lineRule="auto"/>
        <w:tabs>
          <w:tab w:val="left" w:pos="420" w:leader="none"/>
        </w:tabs>
        <w:rPr>
          <w:rFonts w:ascii="宋体" w:hAnsi="宋体"/>
          <w:sz w:val="21"/>
        </w:rPr>
      </w:pPr>
      <w:r>
        <w:rPr>
          <w:rFonts w:hint="eastAsia" w:ascii="宋体" w:hAnsi="宋体"/>
          <w:sz w:val="21"/>
        </w:rPr>
        <w:t xml:space="preserve">（3）支持目标端自定义指定主键列；</w:t>
      </w:r>
      <w:r/>
    </w:p>
    <w:p>
      <w:pPr>
        <w:ind w:left="0" w:firstLine="420"/>
        <w:spacing w:line="360" w:lineRule="auto"/>
        <w:tabs>
          <w:tab w:val="left" w:pos="420" w:leader="none"/>
        </w:tabs>
        <w:rPr>
          <w:rFonts w:ascii="宋体" w:hAnsi="宋体"/>
          <w:sz w:val="21"/>
        </w:rPr>
      </w:pPr>
      <w:r>
        <w:rPr>
          <w:rFonts w:hint="eastAsia" w:ascii="宋体" w:hAnsi="宋体"/>
          <w:sz w:val="21"/>
        </w:rPr>
        <w:t xml:space="preserve">（4）支持过滤一些自增约束。</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产品应具备以下关键表保护功能：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（1）源端对某张关键表执行drop操作；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（2）查询目标端，这张表已经同步进行drop操作，查询无此表或者无此数据；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（3）查询目标端被删除的表，能够备份成另一张表，表的内容和误删的表一致。</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产品应具备以下数据回溯能力：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可通过日志分析记录源端数据库数据内容/操作类型（插入/删除/更新）/操作时间；可记录重点数据行列数操作类型/操作内容。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产品应具备以下故障应对能力：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（1）在遇到系统错误引起的复制中断时，例如硬件故障、数据库故障、网络中断或延迟，分级存储机制能完好的保存已经合成的交易信息，避免数据丢失，直到系统故障解决，恢复从队列传输的中断点开始；</w:t>
      </w:r>
      <w:r/>
    </w:p>
    <w:p>
      <w:pPr>
        <w:ind w:left="0" w:firstLine="420"/>
        <w:spacing w:line="360" w:lineRule="auto"/>
        <w:tabs>
          <w:tab w:val="left" w:pos="420" w:leader="none"/>
        </w:tabs>
        <w:rPr>
          <w:rFonts w:ascii="宋体" w:hAnsi="宋体"/>
          <w:sz w:val="21"/>
        </w:rPr>
      </w:pPr>
      <w:r>
        <w:rPr>
          <w:rFonts w:hint="eastAsia" w:ascii="宋体" w:hAnsi="宋体"/>
          <w:sz w:val="21"/>
        </w:rPr>
        <w:t xml:space="preserve">（2）提供具有故障的监视和诊断能力，平台需支持主动告警功能，出现不正常情况时，能够第一时间主动掌握目标数据库及汇聚链路异常状态。</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2</w:t>
      </w:r>
      <w:r>
        <w:rPr>
          <w:rFonts w:hint="eastAsia" w:ascii="宋体" w:hAnsi="宋体"/>
          <w:sz w:val="21"/>
        </w:rPr>
        <w:t xml:space="preserve"> 运行环境软件采购</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2</w:t>
      </w:r>
      <w:r>
        <w:rPr>
          <w:rFonts w:hint="eastAsia" w:ascii="宋体" w:hAnsi="宋体"/>
          <w:sz w:val="21"/>
        </w:rPr>
        <w:t xml:space="preserve">.1 服务器操作系统软件</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采购服务器操作系统软件195套，要求操作系统具备高安全性、高可靠性和高可用性等特点。</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）同源支持主流国产CPU芯片；</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可支撑构建大型数据中心服务器高可用集群、负载均衡集群、分布式集群文件系统、虚拟化应用和容器云平台等；</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优化支持 KVM、Docker、LXC 虚拟化，以及 Ceph、GlusterFS、OpenStack、k8s 等原生技术生态，实现对容器、虚拟化、云平台等云原生应用的良好支持</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系统默认集成安全管控工具，支持自研内核统一访问控制的安全框架，内置式一体化安全体系，支持多策略融合的强制访问控制机制，并可提供多种强制访问控制联合加载。</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2</w:t>
      </w:r>
      <w:r>
        <w:rPr>
          <w:rFonts w:hint="eastAsia" w:ascii="宋体" w:hAnsi="宋体"/>
          <w:sz w:val="21"/>
        </w:rPr>
        <w:t xml:space="preserve">.2 中间件</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采购中间件23套，要求中间件可提供更适配国产数据库的连接池、具有国产化平台性能调优、符合国产密码算法（SM4/SM2）的加密适配，保障系统在国产化环境下的稳定性等特点。</w:t>
      </w:r>
      <w:r/>
    </w:p>
    <w:p>
      <w:pPr>
        <w:ind w:left="0" w:firstLine="420"/>
        <w:spacing w:line="360" w:lineRule="auto"/>
        <w:tabs>
          <w:tab w:val="left" w:pos="420" w:leader="none"/>
        </w:tabs>
        <w:rPr>
          <w:rFonts w:ascii="宋体" w:hAnsi="宋体"/>
          <w:sz w:val="21"/>
        </w:rPr>
      </w:pPr>
      <w:r>
        <w:rPr>
          <w:rFonts w:hint="eastAsia" w:ascii="宋体" w:hAnsi="宋体"/>
          <w:sz w:val="21"/>
        </w:rPr>
        <w:t xml:space="preserve">（1）遵循国际标准，必须通过Java EE 5、6、7、8四个标准规范的官方兼容认证。</w:t>
      </w:r>
      <w:r/>
    </w:p>
    <w:p>
      <w:pPr>
        <w:ind w:left="0" w:firstLine="420"/>
        <w:spacing w:line="360" w:lineRule="auto"/>
        <w:tabs>
          <w:tab w:val="left" w:pos="420" w:leader="none"/>
        </w:tabs>
        <w:rPr>
          <w:rFonts w:ascii="宋体" w:hAnsi="宋体"/>
          <w:sz w:val="21"/>
        </w:rPr>
      </w:pPr>
      <w:r>
        <w:rPr>
          <w:rFonts w:hint="eastAsia" w:ascii="宋体" w:hAnsi="宋体"/>
          <w:sz w:val="21"/>
        </w:rPr>
        <w:t xml:space="preserve">（2）产品应具有良好的兼容性，能提供兼容其它同类产品包括Weblogic、WebSphere、Glassfish的自定义配置文件方式，便于用户对国外/开源产品进行替换。</w:t>
      </w:r>
      <w:r/>
    </w:p>
    <w:p>
      <w:pPr>
        <w:ind w:left="0" w:firstLine="420"/>
        <w:spacing w:line="360" w:lineRule="auto"/>
        <w:tabs>
          <w:tab w:val="left" w:pos="420" w:leader="none"/>
        </w:tabs>
        <w:rPr>
          <w:rFonts w:ascii="宋体" w:hAnsi="宋体"/>
          <w:sz w:val="21"/>
        </w:rPr>
      </w:pPr>
      <w:r>
        <w:rPr>
          <w:rFonts w:hint="eastAsia" w:ascii="宋体" w:hAnsi="宋体"/>
          <w:sz w:val="21"/>
        </w:rPr>
        <w:t xml:space="preserve">（3）为保证中间件安全能力，中间件厂商的安全保障能力须得到权威机构的认可。</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2</w:t>
      </w:r>
      <w:r>
        <w:rPr>
          <w:rFonts w:hint="eastAsia" w:ascii="宋体" w:hAnsi="宋体"/>
          <w:sz w:val="21"/>
        </w:rPr>
        <w:t xml:space="preserve">.3 数据库软件</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采购数据库软件17套，数据库软件参数要求如下：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（1）产品合规性：产品符合安全可靠测评要求，通过中国信息安全测评中心测评，在安全可靠测评结果公告集中式数据库内。</w:t>
      </w:r>
      <w:r/>
    </w:p>
    <w:p>
      <w:pPr>
        <w:ind w:left="0" w:firstLine="420"/>
        <w:spacing w:line="360" w:lineRule="auto"/>
        <w:tabs>
          <w:tab w:val="left" w:pos="420" w:leader="none"/>
        </w:tabs>
        <w:rPr>
          <w:rFonts w:ascii="宋体" w:hAnsi="宋体"/>
          <w:sz w:val="21"/>
        </w:rPr>
      </w:pPr>
      <w:r>
        <w:rPr>
          <w:rFonts w:hint="eastAsia" w:ascii="宋体" w:hAnsi="宋体"/>
          <w:sz w:val="21"/>
        </w:rPr>
        <w:t xml:space="preserve">（2）自主原创性：数据库产品拥有自主知识产权，避免潜在的产权纠纷；产品源代码自主代码率不低于99%，具备相应的代码自主率测试报告，以及获得产品原创性测评证书。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（3）生态兼容：兼容国内主流厂商硬件，支持多种硬件体系，可运行于国内主流硬件体系之上；支持多种主流国产操作系统等。</w:t>
      </w:r>
      <w:r/>
    </w:p>
    <w:p>
      <w:pPr>
        <w:ind w:left="0" w:firstLine="420"/>
        <w:spacing w:line="360" w:lineRule="auto"/>
        <w:tabs>
          <w:tab w:val="left" w:pos="420" w:leader="none"/>
        </w:tabs>
        <w:rPr>
          <w:rFonts w:ascii="宋体" w:hAnsi="宋体"/>
          <w:sz w:val="21"/>
        </w:rPr>
      </w:pPr>
      <w:r>
        <w:rPr>
          <w:rFonts w:hint="eastAsia" w:ascii="宋体" w:hAnsi="宋体"/>
          <w:sz w:val="21"/>
        </w:rPr>
        <w:t xml:space="preserve">（4）基本功能：支持物化视图，支持完全、增量、手工、自动、定时、永不刷新，系统的物化视图支持对象类型的表。</w:t>
      </w:r>
      <w:r/>
    </w:p>
    <w:p>
      <w:pPr>
        <w:ind w:left="0" w:firstLine="420"/>
        <w:spacing w:line="360" w:lineRule="auto"/>
        <w:tabs>
          <w:tab w:val="left" w:pos="420" w:leader="none"/>
        </w:tabs>
        <w:rPr>
          <w:rFonts w:ascii="宋体" w:hAnsi="宋体"/>
          <w:sz w:val="21"/>
        </w:rPr>
      </w:pPr>
      <w:r>
        <w:rPr>
          <w:rFonts w:hint="eastAsia" w:ascii="宋体" w:hAnsi="宋体"/>
          <w:sz w:val="21"/>
        </w:rPr>
        <w:t xml:space="preserve">（5）高级功能：支持分区功能。支持范围分区、List 分区和 hash 分区，支持分区索引。</w:t>
      </w:r>
      <w:r/>
    </w:p>
    <w:p>
      <w:pPr>
        <w:ind w:left="0" w:firstLine="420"/>
        <w:spacing w:line="360" w:lineRule="auto"/>
        <w:tabs>
          <w:tab w:val="left" w:pos="420" w:leader="none"/>
        </w:tabs>
        <w:rPr>
          <w:rFonts w:ascii="宋体" w:hAnsi="宋体"/>
          <w:sz w:val="21"/>
        </w:rPr>
      </w:pPr>
      <w:r>
        <w:rPr>
          <w:rFonts w:hint="eastAsia" w:ascii="宋体" w:hAnsi="宋体"/>
          <w:sz w:val="21"/>
        </w:rPr>
        <w:t xml:space="preserve">（6）可靠性：支持物理备份恢复。支持备份点恢复，时间点恢复，完全恢复；可提供完全恢复模式和指定时间点恢复模式，可恢复到崩溃时间点或指定时间点数据。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（7）安全性：数据库访问控制文件支持强身份认证，支持的认证方式需包含scram-sha-256、md5、LDAP、SSL和GSSAPI多种方式。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（8）集群能力：集群支持快速切换，在主数据库出现故障时，能够快速切换到备用数据库，保证业务正常运行。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IDC机柜租赁服务要求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根据项目需求，租赁相关机房机柜14台5年。</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要求IDC机房提供48U*600mm*1000mm电信级标准机柜14个，每个机柜提供双路冗余供电，每路供电不小于4KW，配备不小于20个国标电源插口（16A与10A混合），列头配电柜具备过压、过流保护功能。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要求IDC机房所在建筑物选择在交通、通讯方便，水源充足，自然环境清洁的地区，所在建筑物市电总输入充足，</w:t>
      </w:r>
      <w:r>
        <w:rPr>
          <w:rFonts w:hint="eastAsia" w:ascii="宋体" w:hAnsi="宋体"/>
          <w:sz w:val="21"/>
        </w:rPr>
        <w:t xml:space="preserve">所在地区市电质量和可靠性高，具备双路市电输入的条件，并配备两台配电变压器互为备份，双路市电输入来自不同变电站。要求机房温度保持在20－25℃，相对湿度保持在40％－55％，温度变化率低于每小时5℃，UPS间及电池间温度保持在15~25°C。要求机房消防系统工程包括机房火灾自动报警系统、机房气体灭火系统、机房事故排烟系统等。要求机房使用智能门禁系统，人员进入机房采用刷卡方式，远端可监控到人员身份、进出机房的时间等信息。要求机房应满足等保三级关于场所物理安全的相关要求，机房同时应满足商用密码应用安全性评测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（三）项目实施与管理要求</w:t>
      </w:r>
      <w:r/>
    </w:p>
    <w:p>
      <w:pPr>
        <w:ind w:left="0" w:firstLine="420"/>
        <w:spacing w:line="360" w:lineRule="auto"/>
        <w:tabs>
          <w:tab w:val="left" w:pos="420" w:leader="none"/>
        </w:tabs>
        <w:rPr>
          <w:rFonts w:ascii="宋体" w:hAnsi="宋体"/>
          <w:sz w:val="21"/>
        </w:rPr>
      </w:pPr>
      <w:r>
        <w:rPr>
          <w:rFonts w:ascii="宋体" w:hAnsi="宋体"/>
          <w:sz w:val="21"/>
        </w:rPr>
        <w:t xml:space="preserve">1.项目团队要求</w:t>
      </w:r>
      <w:r/>
    </w:p>
    <w:p>
      <w:pPr>
        <w:ind w:left="0" w:firstLine="422"/>
        <w:spacing w:line="360" w:lineRule="auto"/>
        <w:tabs>
          <w:tab w:val="left" w:pos="420" w:leader="none"/>
        </w:tabs>
        <w:rPr>
          <w:rFonts w:ascii="宋体" w:hAnsi="宋体"/>
          <w:b/>
          <w:sz w:val="21"/>
        </w:rPr>
      </w:pPr>
      <w:r>
        <w:rPr>
          <w:rFonts w:ascii="宋体" w:hAnsi="宋体"/>
          <w:b/>
          <w:sz w:val="21"/>
        </w:rPr>
        <w:t xml:space="preserve">投标</w:t>
      </w:r>
      <w:r>
        <w:rPr>
          <w:rFonts w:hint="eastAsia" w:ascii="宋体" w:hAnsi="宋体"/>
          <w:b/>
          <w:sz w:val="21"/>
        </w:rPr>
        <w:t xml:space="preserve">单位</w:t>
      </w:r>
      <w:r>
        <w:rPr>
          <w:rFonts w:ascii="宋体" w:hAnsi="宋体"/>
          <w:b/>
          <w:sz w:val="21"/>
        </w:rPr>
        <w:t xml:space="preserve">必须承诺在中标后，立刻提供本项目的详细工作进度安排，组建不少于</w:t>
      </w:r>
      <w:r>
        <w:rPr>
          <w:rFonts w:hint="eastAsia" w:ascii="宋体" w:hAnsi="宋体"/>
          <w:b/>
          <w:sz w:val="21"/>
        </w:rPr>
        <w:t xml:space="preserve">40人</w:t>
      </w:r>
      <w:r>
        <w:rPr>
          <w:rFonts w:ascii="宋体" w:hAnsi="宋体"/>
          <w:b/>
          <w:sz w:val="21"/>
        </w:rPr>
        <w:t xml:space="preserve">的项目组人员配备方案，其中项目团队</w:t>
      </w:r>
      <w:r>
        <w:rPr>
          <w:rFonts w:hint="eastAsia" w:ascii="宋体" w:hAnsi="宋体"/>
          <w:b/>
          <w:sz w:val="21"/>
        </w:rPr>
        <w:t xml:space="preserve">在建设期</w:t>
      </w:r>
      <w:r>
        <w:rPr>
          <w:rFonts w:ascii="宋体" w:hAnsi="宋体"/>
          <w:b/>
          <w:sz w:val="21"/>
        </w:rPr>
        <w:t xml:space="preserve">驻场人员不少于</w:t>
      </w:r>
      <w:r>
        <w:rPr>
          <w:rFonts w:hint="eastAsia" w:ascii="宋体" w:hAnsi="宋体"/>
          <w:b/>
          <w:sz w:val="21"/>
        </w:rPr>
        <w:t xml:space="preserve"> 20 人</w:t>
      </w:r>
      <w:r>
        <w:rPr>
          <w:rFonts w:ascii="宋体" w:hAnsi="宋体"/>
          <w:b/>
          <w:sz w:val="21"/>
        </w:rPr>
        <w:t xml:space="preserve">。</w:t>
      </w:r>
      <w:r>
        <w:rPr>
          <w:rFonts w:hint="eastAsia" w:ascii="宋体" w:hAnsi="宋体"/>
          <w:b/>
          <w:sz w:val="21"/>
        </w:rPr>
        <w:t xml:space="preserve">投标文件中须提供承诺函，未提供视为非实质性响应。</w:t>
      </w:r>
      <w:r/>
    </w:p>
    <w:p>
      <w:pPr>
        <w:ind w:left="0" w:firstLine="420"/>
        <w:spacing w:line="360" w:lineRule="auto"/>
        <w:tabs>
          <w:tab w:val="left" w:pos="420" w:leader="none"/>
        </w:tabs>
        <w:rPr>
          <w:rFonts w:ascii="宋体" w:hAnsi="宋体"/>
          <w:sz w:val="21"/>
        </w:rPr>
      </w:pPr>
      <w:r>
        <w:rPr>
          <w:rFonts w:ascii="宋体" w:hAnsi="宋体"/>
          <w:sz w:val="21"/>
        </w:rPr>
        <w:t xml:space="preserve">为保证本项目建设过程中，沟通和协调的便利，中标人必须指定一名项目总</w:t>
      </w:r>
      <w:r>
        <w:rPr>
          <w:rFonts w:hint="eastAsia" w:ascii="宋体" w:hAnsi="宋体"/>
          <w:sz w:val="21"/>
        </w:rPr>
        <w:t xml:space="preserve">负责</w:t>
      </w:r>
      <w:r>
        <w:rPr>
          <w:rFonts w:ascii="宋体" w:hAnsi="宋体"/>
          <w:sz w:val="21"/>
        </w:rPr>
        <w:t xml:space="preserve">人。项目建设过程中一旦出现重大问题，项目总</w:t>
      </w:r>
      <w:r>
        <w:rPr>
          <w:rFonts w:hint="eastAsia" w:ascii="宋体" w:hAnsi="宋体"/>
          <w:sz w:val="21"/>
        </w:rPr>
        <w:t xml:space="preserve">负责</w:t>
      </w:r>
      <w:r>
        <w:rPr>
          <w:rFonts w:ascii="宋体" w:hAnsi="宋体"/>
          <w:sz w:val="21"/>
        </w:rPr>
        <w:t xml:space="preserve">人应该能及时赶到现场。</w:t>
      </w:r>
      <w:r/>
    </w:p>
    <w:p>
      <w:pPr>
        <w:ind w:left="0" w:firstLine="420"/>
        <w:spacing w:line="360" w:lineRule="auto"/>
        <w:tabs>
          <w:tab w:val="left" w:pos="420" w:leader="none"/>
        </w:tabs>
        <w:rPr>
          <w:rFonts w:ascii="宋体" w:hAnsi="宋体"/>
          <w:sz w:val="21"/>
        </w:rPr>
      </w:pPr>
      <w:r>
        <w:rPr>
          <w:rFonts w:ascii="宋体" w:hAnsi="宋体"/>
          <w:sz w:val="21"/>
        </w:rPr>
        <w:t xml:space="preserve">投标人中标后应根据本</w:t>
      </w:r>
      <w:r>
        <w:rPr>
          <w:rFonts w:hint="eastAsia" w:ascii="宋体" w:hAnsi="宋体"/>
          <w:sz w:val="21"/>
        </w:rPr>
        <w:t xml:space="preserve">项目</w:t>
      </w:r>
      <w:r>
        <w:rPr>
          <w:rFonts w:ascii="宋体" w:hAnsi="宋体"/>
          <w:sz w:val="21"/>
        </w:rPr>
        <w:t xml:space="preserve">建设要求组织一支由资深项目</w:t>
      </w:r>
      <w:r>
        <w:rPr>
          <w:rFonts w:hint="eastAsia" w:ascii="宋体" w:hAnsi="宋体"/>
          <w:sz w:val="21"/>
        </w:rPr>
        <w:t xml:space="preserve">负责人</w:t>
      </w:r>
      <w:r>
        <w:rPr>
          <w:rFonts w:ascii="宋体" w:hAnsi="宋体"/>
          <w:sz w:val="21"/>
        </w:rPr>
        <w:t xml:space="preserve">带领的经验丰富、开发能力强的项目团队，确保在系统调研、分析设计、开发测试和培训实施等各个阶段项目团队的稳定性，项目团队成员变更时，须事先征得项目采购人的同意后，方可进行变更。</w:t>
      </w:r>
      <w:r/>
    </w:p>
    <w:p>
      <w:pPr>
        <w:ind w:left="0" w:firstLine="420"/>
        <w:spacing w:line="360" w:lineRule="auto"/>
        <w:tabs>
          <w:tab w:val="left" w:pos="420" w:leader="none"/>
        </w:tabs>
        <w:rPr>
          <w:rFonts w:ascii="宋体" w:hAnsi="宋体"/>
          <w:sz w:val="21"/>
        </w:rPr>
      </w:pPr>
      <w:r>
        <w:rPr>
          <w:rFonts w:ascii="宋体" w:hAnsi="宋体"/>
          <w:sz w:val="21"/>
        </w:rPr>
        <w:t xml:space="preserve">更换项目负责人和主要技术人员，须将变更人及其工作影响、替换人资历等情况以书面材料报告项目采购人审核，经同意后方可更换，</w:t>
      </w:r>
      <w:r>
        <w:rPr>
          <w:rFonts w:hint="eastAsia" w:ascii="宋体" w:hAnsi="宋体"/>
          <w:sz w:val="21"/>
        </w:rPr>
        <w:t xml:space="preserve">若无法满足招标文件项目团队要求的</w:t>
      </w:r>
      <w:r>
        <w:rPr>
          <w:rFonts w:ascii="宋体" w:hAnsi="宋体"/>
          <w:sz w:val="21"/>
        </w:rPr>
        <w:t xml:space="preserve">，采购人有权中止合同执行。因中标人</w:t>
      </w:r>
      <w:r>
        <w:rPr>
          <w:rFonts w:hint="eastAsia" w:ascii="宋体" w:hAnsi="宋体"/>
          <w:sz w:val="21"/>
        </w:rPr>
        <w:t xml:space="preserve">的</w:t>
      </w:r>
      <w:r>
        <w:rPr>
          <w:rFonts w:ascii="宋体" w:hAnsi="宋体"/>
          <w:sz w:val="21"/>
        </w:rPr>
        <w:t xml:space="preserve">人员变更原因所造成的任何项目质量、进度滞后的后果，由中标人承担一切责任。</w:t>
      </w:r>
      <w:r/>
    </w:p>
    <w:p>
      <w:pPr>
        <w:ind w:left="0" w:firstLine="420"/>
        <w:spacing w:line="360" w:lineRule="auto"/>
        <w:tabs>
          <w:tab w:val="left" w:pos="420" w:leader="none"/>
        </w:tabs>
        <w:rPr>
          <w:rFonts w:ascii="宋体" w:hAnsi="宋体"/>
          <w:sz w:val="21"/>
        </w:rPr>
      </w:pPr>
      <w:r>
        <w:rPr>
          <w:rFonts w:ascii="宋体" w:hAnsi="宋体"/>
          <w:sz w:val="21"/>
        </w:rPr>
        <w:t xml:space="preserve">2.实施模式</w:t>
      </w:r>
      <w:r/>
    </w:p>
    <w:p>
      <w:pPr>
        <w:ind w:left="0" w:firstLine="420"/>
        <w:spacing w:line="360" w:lineRule="auto"/>
        <w:tabs>
          <w:tab w:val="left" w:pos="420" w:leader="none"/>
        </w:tabs>
        <w:rPr>
          <w:rFonts w:ascii="宋体" w:hAnsi="宋体"/>
          <w:sz w:val="21"/>
        </w:rPr>
      </w:pPr>
      <w:r>
        <w:rPr>
          <w:rFonts w:hint="eastAsia" w:ascii="宋体" w:hAnsi="宋体"/>
          <w:sz w:val="21"/>
        </w:rPr>
        <w:t xml:space="preserve">软件建设</w:t>
      </w:r>
      <w:r>
        <w:rPr>
          <w:rFonts w:ascii="宋体" w:hAnsi="宋体"/>
          <w:sz w:val="21"/>
        </w:rPr>
        <w:t xml:space="preserve">部分要求</w:t>
      </w:r>
      <w:r>
        <w:rPr>
          <w:rFonts w:hint="eastAsia" w:ascii="宋体" w:hAnsi="宋体"/>
          <w:sz w:val="21"/>
        </w:rPr>
        <w:t xml:space="preserve">中标人</w:t>
      </w:r>
      <w:r>
        <w:rPr>
          <w:rFonts w:ascii="宋体" w:hAnsi="宋体"/>
          <w:sz w:val="21"/>
        </w:rPr>
        <w:t xml:space="preserve">严格按照用户需求进行软件的开发，开发过程中将定期举行项目开发会议，分析控制项目进度完成情况、遇到的问题以及解决措施。</w:t>
      </w:r>
      <w:r/>
    </w:p>
    <w:p>
      <w:pPr>
        <w:ind w:left="0" w:firstLine="420"/>
        <w:spacing w:line="360" w:lineRule="auto"/>
        <w:tabs>
          <w:tab w:val="left" w:pos="420" w:leader="none"/>
        </w:tabs>
        <w:rPr>
          <w:rFonts w:ascii="宋体" w:hAnsi="宋体"/>
          <w:sz w:val="21"/>
        </w:rPr>
      </w:pPr>
      <w:r>
        <w:rPr>
          <w:rFonts w:ascii="宋体" w:hAnsi="宋体"/>
          <w:sz w:val="21"/>
        </w:rPr>
        <w:t xml:space="preserve">3.方案评审</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在完成系统设计后，设计方案需要经过业务部门确认。确认后，才可以进行系统的开发。</w:t>
      </w:r>
      <w:r/>
    </w:p>
    <w:p>
      <w:pPr>
        <w:ind w:left="0" w:firstLine="420"/>
        <w:spacing w:line="360" w:lineRule="auto"/>
        <w:tabs>
          <w:tab w:val="left" w:pos="420" w:leader="none"/>
        </w:tabs>
        <w:rPr>
          <w:rFonts w:ascii="宋体" w:hAnsi="宋体"/>
          <w:sz w:val="21"/>
        </w:rPr>
      </w:pPr>
      <w:r>
        <w:rPr>
          <w:rFonts w:ascii="宋体" w:hAnsi="宋体"/>
          <w:sz w:val="21"/>
        </w:rPr>
        <w:t xml:space="preserve">4.开发模式</w:t>
      </w:r>
      <w:r/>
    </w:p>
    <w:p>
      <w:pPr>
        <w:ind w:left="0" w:firstLine="420"/>
        <w:spacing w:line="360" w:lineRule="auto"/>
        <w:tabs>
          <w:tab w:val="left" w:pos="420" w:leader="none"/>
        </w:tabs>
        <w:rPr>
          <w:rFonts w:ascii="宋体" w:hAnsi="宋体"/>
          <w:sz w:val="21"/>
        </w:rPr>
      </w:pPr>
      <w:r>
        <w:rPr>
          <w:rFonts w:ascii="宋体" w:hAnsi="宋体"/>
          <w:sz w:val="21"/>
        </w:rPr>
        <w:t xml:space="preserve">本</w:t>
      </w:r>
      <w:r>
        <w:rPr>
          <w:rFonts w:hint="eastAsia" w:ascii="宋体" w:hAnsi="宋体"/>
          <w:sz w:val="21"/>
        </w:rPr>
        <w:t xml:space="preserve">项目</w:t>
      </w:r>
      <w:r>
        <w:rPr>
          <w:rFonts w:ascii="宋体" w:hAnsi="宋体"/>
          <w:sz w:val="21"/>
        </w:rPr>
        <w:t xml:space="preserve">采用迭代开发模式。在项目开发阶段，</w:t>
      </w:r>
      <w:r>
        <w:rPr>
          <w:rFonts w:hint="eastAsia" w:ascii="宋体" w:hAnsi="宋体"/>
          <w:sz w:val="21"/>
        </w:rPr>
        <w:t xml:space="preserve">中标人</w:t>
      </w:r>
      <w:r>
        <w:rPr>
          <w:rFonts w:ascii="宋体" w:hAnsi="宋体"/>
          <w:sz w:val="21"/>
        </w:rPr>
        <w:t xml:space="preserve">应严格按照项目采购人要求，以 2~3 周为周期进行迭代式交付。</w:t>
      </w:r>
      <w:r/>
    </w:p>
    <w:p>
      <w:pPr>
        <w:ind w:left="0" w:firstLine="420"/>
        <w:spacing w:line="360" w:lineRule="auto"/>
        <w:tabs>
          <w:tab w:val="left" w:pos="420" w:leader="none"/>
        </w:tabs>
        <w:rPr>
          <w:rFonts w:ascii="宋体" w:hAnsi="宋体"/>
          <w:sz w:val="21"/>
        </w:rPr>
      </w:pPr>
      <w:r>
        <w:rPr>
          <w:rFonts w:ascii="宋体" w:hAnsi="宋体"/>
          <w:sz w:val="21"/>
        </w:rPr>
        <w:t xml:space="preserve">5.软件合法性和可用性</w:t>
      </w:r>
      <w:r/>
    </w:p>
    <w:p>
      <w:pPr>
        <w:ind w:left="0" w:firstLine="420"/>
        <w:spacing w:line="360" w:lineRule="auto"/>
        <w:tabs>
          <w:tab w:val="left" w:pos="420" w:leader="none"/>
        </w:tabs>
        <w:rPr>
          <w:rFonts w:ascii="宋体" w:hAnsi="宋体"/>
          <w:sz w:val="21"/>
        </w:rPr>
      </w:pPr>
      <w:r>
        <w:rPr>
          <w:rFonts w:ascii="宋体" w:hAnsi="宋体"/>
          <w:sz w:val="21"/>
        </w:rPr>
        <w:t xml:space="preserve">本项目中</w:t>
      </w:r>
      <w:r>
        <w:rPr>
          <w:rFonts w:hint="eastAsia" w:ascii="宋体" w:hAnsi="宋体"/>
          <w:sz w:val="21"/>
        </w:rPr>
        <w:t xml:space="preserve">中标人</w:t>
      </w:r>
      <w:r>
        <w:rPr>
          <w:rFonts w:ascii="宋体" w:hAnsi="宋体"/>
          <w:sz w:val="21"/>
        </w:rPr>
        <w:t xml:space="preserve">项目实施过程中使用及交付的所有成品软件和定制软件，要保证是永久、合法可用，并且不需要另行支付费用。如出现相关纠纷，由</w:t>
      </w:r>
      <w:r>
        <w:rPr>
          <w:rFonts w:hint="eastAsia" w:ascii="宋体" w:hAnsi="宋体"/>
          <w:sz w:val="21"/>
        </w:rPr>
        <w:t xml:space="preserve">中标人</w:t>
      </w:r>
      <w:r>
        <w:rPr>
          <w:rFonts w:ascii="宋体" w:hAnsi="宋体"/>
          <w:sz w:val="21"/>
        </w:rPr>
        <w:t xml:space="preserve">负责解决。</w:t>
      </w:r>
      <w:r/>
    </w:p>
    <w:p>
      <w:pPr>
        <w:ind w:left="0" w:firstLine="420"/>
        <w:spacing w:line="360" w:lineRule="auto"/>
        <w:tabs>
          <w:tab w:val="left" w:pos="420" w:leader="none"/>
        </w:tabs>
        <w:rPr>
          <w:rFonts w:ascii="宋体" w:hAnsi="宋体"/>
          <w:sz w:val="21"/>
        </w:rPr>
      </w:pPr>
      <w:r>
        <w:rPr>
          <w:rFonts w:ascii="宋体" w:hAnsi="宋体"/>
          <w:sz w:val="21"/>
        </w:rPr>
        <w:t xml:space="preserve">6.系统文档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中标方应严格按照国家软件工程规范进行，必须根据开发进度及时提供有关文档，包括:</w:t>
      </w:r>
      <w:r/>
    </w:p>
    <w:p>
      <w:pPr>
        <w:ind w:left="0" w:firstLine="420"/>
        <w:spacing w:line="360" w:lineRule="auto"/>
        <w:tabs>
          <w:tab w:val="left" w:pos="420" w:leader="none"/>
        </w:tabs>
        <w:rPr>
          <w:rFonts w:ascii="宋体" w:hAnsi="宋体"/>
          <w:sz w:val="21"/>
        </w:rPr>
      </w:pPr>
      <w:r>
        <w:rPr>
          <w:rFonts w:hint="eastAsia" w:ascii="宋体" w:hAnsi="宋体"/>
          <w:sz w:val="21"/>
        </w:rPr>
        <w:t xml:space="preserve">（1）准备阶段:《实施计划》;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（2）需求分析阶段:《需求分析说明书》;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（3）设计阶段:《概要设计说明书》、《数据库设计说明书》、《系统内外部接口说明书》;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（4）测试阶段:《测试计划》、《测试方案》、《测试报告》;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（5）上线阶段:《试运行/上线报告》，所有开发软件的源代码;</w:t>
      </w:r>
      <w:r/>
    </w:p>
    <w:p>
      <w:pPr>
        <w:ind w:left="0" w:firstLine="420"/>
        <w:spacing w:line="360" w:lineRule="auto"/>
        <w:tabs>
          <w:tab w:val="left" w:pos="420" w:leader="none"/>
        </w:tabs>
        <w:rPr>
          <w:rFonts w:ascii="宋体" w:hAnsi="宋体"/>
          <w:sz w:val="21"/>
        </w:rPr>
      </w:pPr>
      <w:r>
        <w:rPr>
          <w:rFonts w:hint="eastAsia" w:ascii="宋体" w:hAnsi="宋体"/>
          <w:sz w:val="21"/>
        </w:rPr>
        <w:t xml:space="preserve">（6）培训文档:《培训计划》;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（7）交付使用:《用户手册》、</w:t>
      </w:r>
      <w:r>
        <w:rPr>
          <w:rFonts w:ascii="宋体" w:hAnsi="宋体"/>
          <w:sz w:val="21"/>
        </w:rPr>
        <w:t xml:space="preserve">《运维手册》</w:t>
      </w:r>
      <w:r>
        <w:rPr>
          <w:rFonts w:hint="eastAsia" w:ascii="宋体" w:hAnsi="宋体"/>
          <w:sz w:val="21"/>
        </w:rPr>
        <w:t xml:space="preserve">，</w:t>
      </w:r>
      <w:r>
        <w:rPr>
          <w:rFonts w:ascii="宋体" w:hAnsi="宋体"/>
          <w:sz w:val="21"/>
        </w:rPr>
        <w:t xml:space="preserve">内容包含但不仅限于所有软硬件配置参数及相关说明</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hint="eastAsia" w:ascii="宋体" w:hAnsi="宋体"/>
          <w:sz w:val="21"/>
        </w:rPr>
        <w:t xml:space="preserve">配套服务：《苏州市卫生健康数据质量评估报告（月度）》</w:t>
      </w:r>
      <w:r/>
    </w:p>
    <w:p>
      <w:pPr>
        <w:ind w:left="0" w:firstLine="420"/>
        <w:spacing w:line="360" w:lineRule="auto"/>
        <w:tabs>
          <w:tab w:val="left" w:pos="420" w:leader="none"/>
        </w:tabs>
        <w:rPr>
          <w:rFonts w:ascii="宋体" w:hAnsi="宋体"/>
          <w:sz w:val="21"/>
        </w:rPr>
      </w:pPr>
      <w:r>
        <w:rPr>
          <w:rFonts w:hint="eastAsia" w:ascii="宋体" w:hAnsi="宋体"/>
          <w:sz w:val="21"/>
        </w:rPr>
        <w:t xml:space="preserve">（9）</w:t>
      </w:r>
      <w:r>
        <w:rPr>
          <w:rFonts w:hint="eastAsia" w:ascii="宋体" w:hAnsi="宋体"/>
          <w:sz w:val="21"/>
        </w:rPr>
        <w:t xml:space="preserve">与项目相关的其他文档。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中标人须保证所提供产品具有合法的版权或使用权，本项目采购的产品，如在本项目范围内使用过程中出现版权或使用权纠纷，应由中标人负责。</w:t>
      </w:r>
      <w:r/>
    </w:p>
    <w:p>
      <w:pPr>
        <w:ind w:left="0" w:firstLine="420"/>
        <w:spacing w:line="360" w:lineRule="auto"/>
        <w:tabs>
          <w:tab w:val="left" w:pos="420" w:leader="none"/>
        </w:tabs>
        <w:rPr>
          <w:rFonts w:ascii="宋体" w:hAnsi="宋体"/>
          <w:sz w:val="21"/>
        </w:rPr>
      </w:pPr>
      <w:r>
        <w:rPr>
          <w:rFonts w:ascii="宋体" w:hAnsi="宋体"/>
          <w:sz w:val="21"/>
        </w:rPr>
        <w:t xml:space="preserve">7.项目过程管控</w:t>
      </w:r>
      <w:r/>
    </w:p>
    <w:p>
      <w:pPr>
        <w:ind w:left="0" w:firstLine="420"/>
        <w:spacing w:line="360" w:lineRule="auto"/>
        <w:tabs>
          <w:tab w:val="left" w:pos="420" w:leader="none"/>
        </w:tabs>
        <w:rPr>
          <w:rFonts w:ascii="宋体" w:hAnsi="宋体"/>
          <w:sz w:val="21"/>
        </w:rPr>
      </w:pPr>
      <w:r>
        <w:rPr>
          <w:rFonts w:ascii="宋体" w:hAnsi="宋体"/>
          <w:sz w:val="21"/>
        </w:rPr>
        <w:t xml:space="preserve">项目中标人在整个项目承建过程中，需要接受项目采购人对项目的整体管控要求，项目采购人可针对中标人在项目实施过程中的失误发出项目整改通知单，中标人应在收到整改通知单后 2 个工作日内向项目采购人以书面方式提交整改计划，并在项目采购人规定的期限内整改完毕，否则，项目采购人可根据合同相关条款进行处罚。</w:t>
      </w:r>
      <w:r/>
    </w:p>
    <w:p>
      <w:pPr>
        <w:ind w:left="0" w:firstLine="420"/>
        <w:spacing w:line="360" w:lineRule="auto"/>
        <w:tabs>
          <w:tab w:val="left" w:pos="420" w:leader="none"/>
        </w:tabs>
        <w:rPr>
          <w:rFonts w:ascii="宋体" w:hAnsi="宋体"/>
          <w:sz w:val="21"/>
        </w:rPr>
      </w:pPr>
      <w:r>
        <w:rPr>
          <w:rFonts w:ascii="宋体" w:hAnsi="宋体"/>
          <w:sz w:val="21"/>
        </w:rPr>
        <w:t xml:space="preserve">8.保密要求</w:t>
      </w:r>
      <w:r/>
    </w:p>
    <w:p>
      <w:pPr>
        <w:ind w:left="0" w:firstLine="420"/>
        <w:spacing w:line="360" w:lineRule="auto"/>
        <w:tabs>
          <w:tab w:val="left" w:pos="420" w:leader="none"/>
        </w:tabs>
        <w:rPr>
          <w:rFonts w:ascii="宋体" w:hAnsi="宋体"/>
          <w:sz w:val="21"/>
        </w:rPr>
      </w:pPr>
      <w:r>
        <w:rPr>
          <w:rFonts w:ascii="宋体" w:hAnsi="宋体"/>
          <w:sz w:val="21"/>
        </w:rPr>
        <w:t xml:space="preserve">本项目要求</w:t>
      </w:r>
      <w:r>
        <w:rPr>
          <w:rFonts w:hint="eastAsia" w:ascii="宋体" w:hAnsi="宋体"/>
          <w:sz w:val="21"/>
        </w:rPr>
        <w:t xml:space="preserve">中标人</w:t>
      </w:r>
      <w:r>
        <w:rPr>
          <w:rFonts w:ascii="宋体" w:hAnsi="宋体"/>
          <w:sz w:val="21"/>
        </w:rPr>
        <w:t xml:space="preserve">在实施方案中针对本项目建设内容制定保密措施并在项目实施过程中严格执行，以保证项目的成功实施。</w:t>
      </w:r>
      <w:r>
        <w:rPr>
          <w:rFonts w:hint="eastAsia" w:ascii="宋体" w:hAnsi="宋体"/>
          <w:sz w:val="21"/>
        </w:rPr>
        <w:t xml:space="preserve">中标人</w:t>
      </w:r>
      <w:r>
        <w:rPr>
          <w:rFonts w:ascii="宋体" w:hAnsi="宋体"/>
          <w:sz w:val="21"/>
        </w:rPr>
        <w:t xml:space="preserve">必须提供对本项目的保密承诺。</w:t>
      </w:r>
      <w:r/>
    </w:p>
    <w:p>
      <w:pPr>
        <w:ind w:left="0" w:firstLine="420"/>
        <w:spacing w:line="360" w:lineRule="auto"/>
        <w:tabs>
          <w:tab w:val="left" w:pos="420" w:leader="none"/>
        </w:tabs>
        <w:rPr>
          <w:rFonts w:ascii="宋体" w:hAnsi="宋体"/>
          <w:sz w:val="21"/>
        </w:rPr>
      </w:pPr>
      <w:r>
        <w:rPr>
          <w:rFonts w:ascii="宋体" w:hAnsi="宋体"/>
          <w:sz w:val="21"/>
        </w:rPr>
        <w:t xml:space="preserve">9.实施进度要求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本项目在合同签订后，</w:t>
      </w:r>
      <w:r>
        <w:rPr>
          <w:rFonts w:ascii="宋体" w:hAnsi="宋体"/>
          <w:sz w:val="21"/>
        </w:rPr>
        <w:t xml:space="preserve">1个月内完成操作系统、数据库、中间件</w:t>
      </w:r>
      <w:r>
        <w:rPr>
          <w:rFonts w:hint="eastAsia" w:ascii="宋体" w:hAnsi="宋体"/>
          <w:sz w:val="21"/>
        </w:rPr>
        <w:t xml:space="preserve">等项目配套设施的部署</w:t>
      </w:r>
      <w:r>
        <w:rPr>
          <w:rFonts w:ascii="宋体" w:hAnsi="宋体"/>
          <w:sz w:val="21"/>
        </w:rPr>
        <w:t xml:space="preserve">工作</w:t>
      </w:r>
      <w:r>
        <w:rPr>
          <w:rFonts w:hint="eastAsia" w:ascii="宋体" w:hAnsi="宋体"/>
          <w:sz w:val="21"/>
        </w:rPr>
        <w:t xml:space="preserve">，上线运行后组织验收。6个月内完成各系统主要功能模块开发工作和实际网络运行环境部署工作，并开展初步验收，初步验收完成后进入试运行期，试运行期不低于 6 个月，</w:t>
      </w:r>
      <w:r>
        <w:rPr>
          <w:rFonts w:ascii="宋体" w:hAnsi="宋体"/>
          <w:sz w:val="21"/>
        </w:rPr>
        <w:t xml:space="preserve">试运行期结束后1个月内，以专家组验收方式，对项目建设成果进行</w:t>
      </w:r>
      <w:r>
        <w:rPr>
          <w:rFonts w:hint="eastAsia" w:ascii="宋体" w:hAnsi="宋体"/>
          <w:sz w:val="21"/>
        </w:rPr>
        <w:t xml:space="preserve">验收，要求验收通过后提供3年免费运维服务</w:t>
      </w:r>
      <w:r>
        <w:rPr>
          <w:rFonts w:hint="eastAsia" w:ascii="宋体" w:hAnsi="宋体"/>
          <w:sz w:val="21"/>
        </w:rPr>
        <w:t xml:space="preserve">，免费运维期结束后额外提供2年免费升级服务。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本项目数据治理运营服务内容服务期为合同签订后15个月。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应根据时间节点要求，明确整个实施过程及系统开发各阶段任务说明；明确项目进度管理措施、进度计划；明确在项目实施的各个阶段工作结束后，应提交相关的详细说明文档。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w:t>
      </w:r>
      <w:r>
        <w:rPr>
          <w:rFonts w:ascii="宋体" w:hAnsi="宋体"/>
          <w:b/>
          <w:sz w:val="21"/>
        </w:rPr>
        <w:t xml:space="preserve">验收要求及标准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项目验收的组织机构</w:t>
      </w:r>
      <w:r/>
    </w:p>
    <w:p>
      <w:pPr>
        <w:ind w:left="0" w:firstLine="420"/>
        <w:spacing w:line="360" w:lineRule="auto"/>
        <w:tabs>
          <w:tab w:val="left" w:pos="420" w:leader="none"/>
        </w:tabs>
        <w:rPr>
          <w:rFonts w:ascii="宋体" w:hAnsi="宋体"/>
          <w:sz w:val="21"/>
        </w:rPr>
      </w:pPr>
      <w:r>
        <w:rPr>
          <w:rFonts w:ascii="宋体" w:hAnsi="宋体"/>
          <w:sz w:val="21"/>
        </w:rPr>
        <w:t xml:space="preserve">采购人负责组织验收小组，负责整个验收工作。</w:t>
      </w:r>
      <w:r>
        <w:rPr>
          <w:rFonts w:hint="eastAsia" w:ascii="宋体" w:hAnsi="宋体"/>
          <w:sz w:val="21"/>
        </w:rPr>
        <w:t xml:space="preserve">中标人</w:t>
      </w:r>
      <w:r>
        <w:rPr>
          <w:rFonts w:ascii="宋体" w:hAnsi="宋体"/>
          <w:sz w:val="21"/>
        </w:rPr>
        <w:t xml:space="preserve">应组建由有关专业技术人员构成的测试小组，并在验收小组指导监督下开展工作。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2.1 软件部分</w:t>
      </w:r>
      <w:r/>
    </w:p>
    <w:p>
      <w:pPr>
        <w:ind w:left="0" w:firstLine="420"/>
        <w:spacing w:line="360" w:lineRule="auto"/>
        <w:tabs>
          <w:tab w:val="left" w:pos="420" w:leader="none"/>
        </w:tabs>
        <w:rPr>
          <w:rFonts w:ascii="宋体" w:hAnsi="宋体"/>
          <w:sz w:val="21"/>
        </w:rPr>
      </w:pPr>
      <w:r>
        <w:rPr>
          <w:rFonts w:ascii="宋体" w:hAnsi="宋体"/>
          <w:sz w:val="21"/>
        </w:rPr>
        <w:t xml:space="preserve">本项目各模块独立验收，验收工作先由中标人提出书面验收申请，由采购人确认后组织验收小组进行验收。验收小组对各模块的履约情况进行验收，各模块在满足合同约定验收条件的情况下，并获得采购人书面确认，视为验收通过。</w:t>
      </w:r>
      <w:r/>
    </w:p>
    <w:p>
      <w:pPr>
        <w:ind w:left="0" w:firstLine="420"/>
        <w:spacing w:line="360" w:lineRule="auto"/>
        <w:tabs>
          <w:tab w:val="left" w:pos="420" w:leader="none"/>
        </w:tabs>
        <w:rPr>
          <w:rFonts w:ascii="宋体" w:hAnsi="宋体"/>
          <w:sz w:val="21"/>
        </w:rPr>
      </w:pPr>
      <w:r>
        <w:rPr>
          <w:rFonts w:ascii="宋体" w:hAnsi="宋体"/>
          <w:sz w:val="21"/>
        </w:rPr>
        <w:t xml:space="preserve">开发商应在项目验收时将从合同签定之日起所有关于本项目的交付软件和交付文档交付采购人；</w:t>
      </w:r>
      <w:r/>
    </w:p>
    <w:p>
      <w:pPr>
        <w:ind w:left="0" w:firstLine="420"/>
        <w:spacing w:line="360" w:lineRule="auto"/>
        <w:tabs>
          <w:tab w:val="left" w:pos="420" w:leader="none"/>
        </w:tabs>
        <w:rPr>
          <w:rFonts w:ascii="宋体" w:hAnsi="宋体"/>
          <w:sz w:val="21"/>
        </w:rPr>
      </w:pPr>
      <w:r>
        <w:rPr>
          <w:rFonts w:ascii="宋体" w:hAnsi="宋体"/>
          <w:sz w:val="21"/>
        </w:rPr>
        <w:t xml:space="preserve">交付软件包括：本项目产生的客户端可执行程序、服务端可执行程序</w:t>
      </w:r>
      <w:r>
        <w:rPr>
          <w:rFonts w:hint="eastAsia" w:ascii="宋体" w:hAnsi="宋体"/>
          <w:sz w:val="21"/>
        </w:rPr>
        <w:t xml:space="preserve">，所有开发软件的</w:t>
      </w:r>
      <w:r>
        <w:rPr>
          <w:rFonts w:ascii="宋体" w:hAnsi="宋体"/>
          <w:sz w:val="21"/>
        </w:rPr>
        <w:t xml:space="preserve">源代码;</w:t>
      </w:r>
      <w:r/>
    </w:p>
    <w:p>
      <w:pPr>
        <w:ind w:left="0" w:firstLine="420"/>
        <w:spacing w:line="360" w:lineRule="auto"/>
        <w:tabs>
          <w:tab w:val="left" w:pos="420" w:leader="none"/>
        </w:tabs>
        <w:rPr>
          <w:rFonts w:ascii="宋体" w:hAnsi="宋体"/>
          <w:sz w:val="21"/>
        </w:rPr>
      </w:pPr>
      <w:r>
        <w:rPr>
          <w:rFonts w:ascii="宋体" w:hAnsi="宋体"/>
          <w:sz w:val="21"/>
        </w:rPr>
        <w:t xml:space="preserve">交付文档包括：本项目产生的需求分析文档、设计文档、测试报告、用户手册、数据表结构等文档。</w:t>
      </w:r>
      <w:r/>
    </w:p>
    <w:p>
      <w:pPr>
        <w:ind w:left="0" w:firstLine="420"/>
        <w:spacing w:line="360" w:lineRule="auto"/>
        <w:tabs>
          <w:tab w:val="left" w:pos="420" w:leader="none"/>
        </w:tabs>
        <w:rPr>
          <w:rFonts w:ascii="宋体" w:hAnsi="宋体"/>
          <w:sz w:val="21"/>
        </w:rPr>
      </w:pPr>
      <w:r>
        <w:rPr>
          <w:rFonts w:ascii="宋体" w:hAnsi="宋体"/>
          <w:sz w:val="21"/>
        </w:rPr>
        <w:t xml:space="preserve">如项目内容涉及与外部系统的接口开发，需要提供相关的接口定义与规范。</w:t>
      </w:r>
      <w:r/>
    </w:p>
    <w:p>
      <w:pPr>
        <w:ind w:left="0" w:firstLine="420"/>
        <w:spacing w:line="360" w:lineRule="auto"/>
        <w:tabs>
          <w:tab w:val="left" w:pos="420" w:leader="none"/>
        </w:tabs>
        <w:rPr>
          <w:rFonts w:ascii="宋体" w:hAnsi="宋体"/>
          <w:sz w:val="21"/>
        </w:rPr>
      </w:pPr>
      <w:r>
        <w:rPr>
          <w:rFonts w:ascii="宋体" w:hAnsi="宋体"/>
          <w:sz w:val="21"/>
        </w:rPr>
        <w:t xml:space="preserve">如项目内容涉及采购第三方独立软件产品，需要提供有关产品说明书、安装手册、维护手册等技术资料。</w:t>
      </w:r>
      <w:r/>
    </w:p>
    <w:p>
      <w:pPr>
        <w:ind w:left="0" w:firstLine="420"/>
        <w:spacing w:line="360" w:lineRule="auto"/>
        <w:tabs>
          <w:tab w:val="left" w:pos="420" w:leader="none"/>
        </w:tabs>
        <w:rPr>
          <w:rFonts w:ascii="宋体" w:hAnsi="宋体"/>
          <w:sz w:val="21"/>
        </w:rPr>
      </w:pPr>
      <w:r>
        <w:rPr>
          <w:rFonts w:ascii="宋体" w:hAnsi="宋体"/>
          <w:sz w:val="21"/>
        </w:rPr>
        <w:t xml:space="preserve">交付文档应以中文书写，在项目验收时装订成册交付采购人</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2.2 服务部分</w:t>
      </w:r>
      <w:r/>
    </w:p>
    <w:p>
      <w:pPr>
        <w:ind w:left="0" w:firstLine="420"/>
        <w:spacing w:line="360" w:lineRule="auto"/>
        <w:tabs>
          <w:tab w:val="left" w:pos="420" w:leader="none"/>
        </w:tabs>
        <w:rPr>
          <w:rFonts w:ascii="宋体" w:hAnsi="宋体"/>
          <w:sz w:val="21"/>
        </w:rPr>
      </w:pPr>
      <w:r>
        <w:rPr>
          <w:rFonts w:ascii="宋体" w:hAnsi="宋体"/>
          <w:sz w:val="21"/>
        </w:rPr>
        <w:t xml:space="preserve">配套</w:t>
      </w:r>
      <w:r>
        <w:rPr>
          <w:rFonts w:hint="eastAsia" w:ascii="宋体" w:hAnsi="宋体"/>
          <w:sz w:val="21"/>
        </w:rPr>
        <w:t xml:space="preserve">数据治理运营</w:t>
      </w:r>
      <w:r>
        <w:rPr>
          <w:rFonts w:ascii="宋体" w:hAnsi="宋体"/>
          <w:sz w:val="21"/>
        </w:rPr>
        <w:t xml:space="preserve">服务于合同签订后开始执行，每三个月为一个考核周期，考核标准如下：</w:t>
      </w:r>
      <w:r/>
    </w:p>
    <w:tbl>
      <w:tblPr>
        <w:tblStyle w:val="1447"/>
        <w:tblW w:w="9639"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4"/>
        <w:gridCol w:w="1505"/>
        <w:gridCol w:w="760"/>
        <w:gridCol w:w="4944"/>
        <w:gridCol w:w="1276"/>
      </w:tblGrid>
      <w:tr>
        <w:trPr>
          <w:trHeight w:val="599"/>
        </w:trPr>
        <w:tc>
          <w:tcPr>
            <w:tcW w:w="1154"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考核点 </w:t>
            </w:r>
            <w:r/>
          </w:p>
        </w:tc>
        <w:tc>
          <w:tcPr>
            <w:tcW w:w="1505"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评分维度 </w:t>
            </w:r>
            <w:r/>
          </w:p>
        </w:tc>
        <w:tc>
          <w:tcPr>
            <w:tcW w:w="760"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赋值 </w:t>
            </w:r>
            <w:r/>
          </w:p>
        </w:tc>
        <w:tc>
          <w:tcPr>
            <w:tcW w:w="4944"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评分标准 </w:t>
            </w:r>
            <w:r/>
          </w:p>
        </w:tc>
        <w:tc>
          <w:tcPr>
            <w:tcW w:w="1276"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得分 </w:t>
            </w:r>
            <w:r/>
          </w:p>
        </w:tc>
      </w:tr>
      <w:tr>
        <w:trPr>
          <w:trHeight w:val="719"/>
        </w:trPr>
        <w:tc>
          <w:tcPr>
            <w:tcW w:w="1154"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工作考核共 80 分 </w:t>
            </w:r>
            <w:r/>
          </w:p>
        </w:tc>
        <w:tc>
          <w:tcPr>
            <w:tcW w:w="1505"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任务完成效率 </w:t>
            </w:r>
            <w:r/>
          </w:p>
        </w:tc>
        <w:tc>
          <w:tcPr>
            <w:tcW w:w="760"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20 </w:t>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充分规划、在规定时间内提前完成任务，每次加 0.5 分，最多加 3 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722"/>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bookmarkStart w:id="137" w:name="OLE_LINK90"/>
            <w:r>
              <w:rPr>
                <w:rFonts w:ascii="宋体" w:hAnsi="宋体" w:eastAsia="宋体"/>
                <w:sz w:val="21"/>
                <w:szCs w:val="21"/>
                <w:lang w:eastAsia="zh-CN"/>
              </w:rPr>
              <w:t xml:space="preserve">未充分规划、在规定时间内不能完成任务， 每次扣 </w:t>
            </w:r>
            <w:r>
              <w:rPr>
                <w:rFonts w:hint="eastAsia" w:ascii="宋体" w:hAnsi="宋体" w:eastAsia="宋体"/>
                <w:sz w:val="21"/>
                <w:szCs w:val="21"/>
                <w:lang w:eastAsia="zh-CN"/>
              </w:rPr>
              <w:t xml:space="preserve">1</w:t>
            </w:r>
            <w:r>
              <w:rPr>
                <w:rFonts w:ascii="宋体" w:hAnsi="宋体" w:eastAsia="宋体"/>
                <w:sz w:val="21"/>
                <w:szCs w:val="21"/>
                <w:lang w:eastAsia="zh-CN"/>
              </w:rPr>
              <w:t xml:space="preserve"> 分 </w:t>
            </w:r>
            <w:bookmarkEnd w:id="137"/>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623"/>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1505" w:type="dxa"/>
            <w:vAlign w:val="center"/>
            <w:vMerge w:val="restart"/>
            <w:textDirection w:val="lrTb"/>
            <w:noWrap w:val="false"/>
          </w:tcPr>
          <w:p>
            <w:pPr>
              <w:contextualSpacing/>
              <w:ind w:left="0"/>
              <w:jc w:val="left"/>
              <w:rPr>
                <w:rFonts w:ascii="宋体" w:hAnsi="宋体" w:eastAsia="宋体"/>
                <w:sz w:val="21"/>
                <w:szCs w:val="21"/>
              </w:rPr>
            </w:pPr>
            <w:r>
              <w:rPr>
                <w:rFonts w:ascii="宋体" w:hAnsi="宋体" w:eastAsia="宋体"/>
                <w:sz w:val="21"/>
                <w:szCs w:val="21"/>
              </w:rPr>
              <w:t xml:space="preserve">任务完成质量 </w:t>
            </w:r>
            <w:r/>
          </w:p>
        </w:tc>
        <w:tc>
          <w:tcPr>
            <w:tcW w:w="760"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20 </w:t>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pacing w:val="-6"/>
                <w:sz w:val="21"/>
                <w:szCs w:val="21"/>
                <w:lang w:eastAsia="zh-CN"/>
              </w:rPr>
              <w:t xml:space="preserve">质量完成优异，每次加 </w:t>
            </w:r>
            <w:r>
              <w:rPr>
                <w:rFonts w:ascii="宋体" w:hAnsi="宋体" w:eastAsia="宋体"/>
                <w:sz w:val="21"/>
                <w:szCs w:val="21"/>
                <w:lang w:eastAsia="zh-CN"/>
              </w:rPr>
              <w:t xml:space="preserve">0.5</w:t>
            </w:r>
            <w:r>
              <w:rPr>
                <w:rFonts w:ascii="宋体" w:hAnsi="宋体" w:eastAsia="宋体"/>
                <w:spacing w:val="-16"/>
                <w:sz w:val="21"/>
                <w:szCs w:val="21"/>
                <w:lang w:eastAsia="zh-CN"/>
              </w:rPr>
              <w:t xml:space="preserve"> 分，</w:t>
            </w:r>
            <w:r/>
          </w:p>
          <w:p>
            <w:pPr>
              <w:contextualSpacing/>
              <w:ind w:left="113"/>
              <w:jc w:val="left"/>
              <w:rPr>
                <w:rFonts w:ascii="宋体" w:hAnsi="宋体" w:eastAsia="宋体"/>
                <w:sz w:val="21"/>
                <w:szCs w:val="21"/>
              </w:rPr>
            </w:pPr>
            <w:r>
              <w:rPr>
                <w:rFonts w:ascii="宋体" w:hAnsi="宋体" w:eastAsia="宋体"/>
                <w:sz w:val="21"/>
                <w:szCs w:val="21"/>
              </w:rPr>
              <w:t xml:space="preserve">最多加 3 分 </w:t>
            </w:r>
            <w:r/>
          </w:p>
        </w:tc>
        <w:tc>
          <w:tcPr>
            <w:tcW w:w="1276" w:type="dxa"/>
            <w:vAlign w:val="center"/>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 </w:t>
            </w:r>
            <w:r/>
          </w:p>
        </w:tc>
      </w:tr>
      <w:tr>
        <w:trPr>
          <w:trHeight w:val="719"/>
        </w:trPr>
        <w:tc>
          <w:tcPr>
            <w:tcW w:w="1154" w:type="dxa"/>
            <w:vAlign w:val="center"/>
            <w:vMerge w:val="continue"/>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出现质量异常（投诉、失误、返工），每次扣</w:t>
            </w:r>
            <w:r>
              <w:rPr>
                <w:rFonts w:hint="eastAsia" w:ascii="宋体" w:hAnsi="宋体" w:eastAsia="宋体"/>
                <w:sz w:val="21"/>
                <w:szCs w:val="21"/>
                <w:lang w:eastAsia="zh-CN"/>
              </w:rPr>
              <w:t xml:space="preserve"> 1 </w:t>
            </w:r>
            <w:r>
              <w:rPr>
                <w:rFonts w:ascii="宋体" w:hAnsi="宋体" w:eastAsia="宋体"/>
                <w:sz w:val="21"/>
                <w:szCs w:val="21"/>
                <w:lang w:eastAsia="zh-CN"/>
              </w:rPr>
              <w:t xml:space="preserve">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71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出现重大质量异常（投诉、失误、返工）， 每次扣</w:t>
            </w:r>
            <w:r>
              <w:rPr>
                <w:rFonts w:hint="eastAsia" w:ascii="宋体" w:hAnsi="宋体" w:eastAsia="宋体"/>
                <w:sz w:val="21"/>
                <w:szCs w:val="21"/>
                <w:lang w:eastAsia="zh-CN"/>
              </w:rPr>
              <w:t xml:space="preserve"> 2 </w:t>
            </w:r>
            <w:r>
              <w:rPr>
                <w:rFonts w:ascii="宋体" w:hAnsi="宋体" w:eastAsia="宋体"/>
                <w:sz w:val="21"/>
                <w:szCs w:val="21"/>
                <w:lang w:eastAsia="zh-CN"/>
              </w:rPr>
              <w:t xml:space="preserve">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71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出现因安全事故或安全服务导致的数据服务停用超过</w:t>
            </w:r>
            <w:r>
              <w:rPr>
                <w:rFonts w:hint="eastAsia" w:ascii="宋体" w:hAnsi="宋体" w:eastAsia="宋体"/>
                <w:sz w:val="21"/>
                <w:szCs w:val="21"/>
                <w:lang w:eastAsia="zh-CN"/>
              </w:rPr>
              <w:t xml:space="preserve"> </w:t>
            </w:r>
            <w:r>
              <w:rPr>
                <w:rFonts w:ascii="宋体" w:hAnsi="宋体" w:eastAsia="宋体"/>
                <w:sz w:val="21"/>
                <w:szCs w:val="21"/>
                <w:lang w:eastAsia="zh-CN"/>
              </w:rPr>
              <w:t xml:space="preserve">4</w:t>
            </w:r>
            <w:r>
              <w:rPr>
                <w:rFonts w:hint="eastAsia" w:ascii="宋体" w:hAnsi="宋体" w:eastAsia="宋体"/>
                <w:sz w:val="21"/>
                <w:szCs w:val="21"/>
                <w:lang w:eastAsia="zh-CN"/>
              </w:rPr>
              <w:t xml:space="preserve"> </w:t>
            </w:r>
            <w:r>
              <w:rPr>
                <w:rFonts w:ascii="宋体" w:hAnsi="宋体" w:eastAsia="宋体"/>
                <w:sz w:val="21"/>
                <w:szCs w:val="21"/>
                <w:lang w:eastAsia="zh-CN"/>
              </w:rPr>
              <w:t xml:space="preserve">小时，每次扣</w:t>
            </w:r>
            <w:r>
              <w:rPr>
                <w:rFonts w:hint="eastAsia" w:ascii="宋体" w:hAnsi="宋体" w:eastAsia="宋体"/>
                <w:sz w:val="21"/>
                <w:szCs w:val="21"/>
                <w:lang w:eastAsia="zh-CN"/>
              </w:rPr>
              <w:t xml:space="preserve"> 3 </w:t>
            </w:r>
            <w:r>
              <w:rPr>
                <w:rFonts w:ascii="宋体" w:hAnsi="宋体" w:eastAsia="宋体"/>
                <w:sz w:val="21"/>
                <w:szCs w:val="21"/>
                <w:lang w:eastAsia="zh-CN"/>
              </w:rPr>
              <w:t xml:space="preserve">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624"/>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1505" w:type="dxa"/>
            <w:vAlign w:val="center"/>
            <w:vMerge w:val="restart"/>
            <w:textDirection w:val="lrTb"/>
            <w:noWrap w:val="false"/>
          </w:tcPr>
          <w:p>
            <w:pPr>
              <w:contextualSpacing/>
              <w:ind w:left="113"/>
              <w:jc w:val="left"/>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及时性 </w:t>
            </w:r>
            <w:r/>
          </w:p>
        </w:tc>
        <w:tc>
          <w:tcPr>
            <w:tcW w:w="760"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20 </w:t>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主动响应需求，积极处理问题，每次加 0.5</w:t>
            </w:r>
            <w:r>
              <w:rPr>
                <w:rFonts w:hint="eastAsia" w:ascii="宋体" w:hAnsi="宋体" w:eastAsia="宋体"/>
                <w:sz w:val="21"/>
                <w:szCs w:val="21"/>
                <w:lang w:eastAsia="zh-CN"/>
              </w:rPr>
              <w:t xml:space="preserve"> </w:t>
            </w:r>
            <w:r>
              <w:rPr>
                <w:rFonts w:ascii="宋体" w:hAnsi="宋体" w:eastAsia="宋体"/>
                <w:sz w:val="21"/>
                <w:szCs w:val="21"/>
                <w:lang w:eastAsia="zh-CN"/>
              </w:rPr>
              <w:t xml:space="preserve">分，最多加 3 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601"/>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pacing w:val="-11"/>
                <w:sz w:val="21"/>
                <w:szCs w:val="21"/>
                <w:lang w:eastAsia="zh-CN"/>
              </w:rPr>
              <w:t xml:space="preserve">响应需求被动，消极处理问题，每次扣 </w:t>
            </w:r>
            <w:r>
              <w:rPr>
                <w:rFonts w:hint="eastAsia" w:ascii="宋体" w:hAnsi="宋体" w:eastAsia="宋体"/>
                <w:sz w:val="21"/>
                <w:szCs w:val="21"/>
                <w:lang w:eastAsia="zh-CN"/>
              </w:rPr>
              <w:t xml:space="preserve">1</w:t>
            </w:r>
            <w:r>
              <w:rPr>
                <w:rFonts w:ascii="宋体" w:hAnsi="宋体" w:eastAsia="宋体"/>
                <w:spacing w:val="-27"/>
                <w:sz w:val="21"/>
                <w:szCs w:val="21"/>
                <w:lang w:eastAsia="zh-CN"/>
              </w:rPr>
              <w:t xml:space="preserve"> 分</w:t>
            </w:r>
            <w:r>
              <w:rPr>
                <w:rFonts w:ascii="宋体" w:hAnsi="宋体" w:eastAsia="宋体"/>
                <w:sz w:val="21"/>
                <w:szCs w:val="21"/>
                <w:lang w:eastAsia="zh-CN"/>
              </w:rPr>
              <w:t xml:space="preserve">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不响应客户需求，每次扣 </w:t>
            </w:r>
            <w:r>
              <w:rPr>
                <w:rFonts w:hint="eastAsia" w:ascii="宋体" w:hAnsi="宋体" w:eastAsia="宋体"/>
                <w:sz w:val="21"/>
                <w:szCs w:val="21"/>
                <w:lang w:eastAsia="zh-CN"/>
              </w:rPr>
              <w:t xml:space="preserve">3</w:t>
            </w:r>
            <w:r>
              <w:rPr>
                <w:rFonts w:ascii="宋体" w:hAnsi="宋体" w:eastAsia="宋体"/>
                <w:sz w:val="21"/>
                <w:szCs w:val="21"/>
                <w:lang w:eastAsia="zh-CN"/>
              </w:rPr>
              <w:t xml:space="preserve"> 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1505" w:type="dxa"/>
            <w:vAlign w:val="center"/>
            <w:textDirection w:val="lrTb"/>
            <w:noWrap w:val="false"/>
          </w:tcPr>
          <w:p>
            <w:pPr>
              <w:contextualSpacing/>
              <w:ind w:left="113"/>
              <w:jc w:val="left"/>
              <w:rPr>
                <w:rFonts w:ascii="宋体" w:hAnsi="宋体" w:eastAsia="宋体"/>
                <w:sz w:val="21"/>
                <w:szCs w:val="21"/>
                <w:lang w:eastAsia="zh-CN"/>
              </w:rPr>
            </w:pPr>
            <w:r>
              <w:rPr>
                <w:rFonts w:hint="eastAsia" w:ascii="宋体" w:hAnsi="宋体" w:eastAsia="宋体"/>
                <w:sz w:val="21"/>
                <w:szCs w:val="21"/>
              </w:rPr>
              <w:t xml:space="preserve">数据质量</w:t>
            </w:r>
            <w:r>
              <w:rPr>
                <w:rFonts w:hint="eastAsia" w:ascii="宋体" w:hAnsi="宋体" w:eastAsia="宋体"/>
                <w:sz w:val="21"/>
                <w:szCs w:val="21"/>
                <w:lang w:eastAsia="zh-CN"/>
              </w:rPr>
              <w:t xml:space="preserve">达标</w:t>
            </w:r>
            <w:r/>
          </w:p>
        </w:tc>
        <w:tc>
          <w:tcPr>
            <w:tcBorders>
              <w:top w:val="none" w:color="000000" w:sz="4" w:space="0"/>
            </w:tcBorders>
            <w:tcW w:w="760"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rPr>
              <w:t xml:space="preserve">20</w:t>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hint="eastAsia" w:ascii="宋体" w:hAnsi="宋体" w:eastAsia="宋体"/>
                <w:sz w:val="21"/>
                <w:szCs w:val="21"/>
                <w:lang w:eastAsia="zh-CN"/>
              </w:rPr>
              <w:t xml:space="preserve">分阶段的数据质量要求（包含完整性、规范性、及时性、唯一性以及准确性等），每有一项不达标，扣2分</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r>
      <w:tr>
        <w:trPr>
          <w:trHeight w:val="599"/>
        </w:trPr>
        <w:tc>
          <w:tcPr>
            <w:tcW w:w="1154"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人员考核共 20 分 </w:t>
            </w:r>
            <w:r/>
          </w:p>
        </w:tc>
        <w:tc>
          <w:tcPr>
            <w:tcW w:w="1505"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考勤记录 </w:t>
            </w:r>
            <w:r/>
          </w:p>
        </w:tc>
        <w:tc>
          <w:tcPr>
            <w:tcW w:w="760" w:type="dxa"/>
            <w:vAlign w:val="center"/>
            <w:vMerge w:val="restart"/>
            <w:textDirection w:val="lrTb"/>
            <w:noWrap w:val="false"/>
          </w:tcPr>
          <w:p>
            <w:pPr>
              <w:contextualSpacing/>
              <w:ind w:left="113"/>
              <w:jc w:val="left"/>
              <w:rPr>
                <w:rFonts w:ascii="宋体" w:hAnsi="宋体" w:eastAsia="宋体"/>
                <w:sz w:val="21"/>
                <w:szCs w:val="21"/>
              </w:rPr>
            </w:pPr>
            <w:r>
              <w:rPr>
                <w:rFonts w:ascii="宋体" w:hAnsi="宋体" w:eastAsia="宋体"/>
                <w:sz w:val="21"/>
                <w:szCs w:val="21"/>
              </w:rPr>
              <w:t xml:space="preserve">10 </w:t>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全员遵守规章制度，全勤，加 1 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非请假情况下出现迟到，每次迟到扣 </w:t>
            </w:r>
            <w:r>
              <w:rPr>
                <w:rFonts w:hint="eastAsia" w:ascii="宋体" w:hAnsi="宋体" w:eastAsia="宋体"/>
                <w:sz w:val="21"/>
                <w:szCs w:val="21"/>
                <w:lang w:eastAsia="zh-CN"/>
              </w:rPr>
              <w:t xml:space="preserve">0.5 </w:t>
            </w:r>
            <w:r>
              <w:rPr>
                <w:rFonts w:ascii="宋体" w:hAnsi="宋体" w:eastAsia="宋体"/>
                <w:sz w:val="21"/>
                <w:szCs w:val="21"/>
                <w:lang w:eastAsia="zh-CN"/>
              </w:rPr>
              <w:t xml:space="preserve">分 </w:t>
            </w:r>
            <w:r/>
          </w:p>
        </w:tc>
        <w:tc>
          <w:tcPr>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bottom w:val="single" w:color="auto"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none" w:color="000000" w:sz="4" w:space="0"/>
              <w:bottom w:val="single" w:color="auto"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bottom w:val="single" w:color="auto" w:sz="4" w:space="0"/>
            </w:tcBorders>
            <w:tcW w:w="4944"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非请假情况下出现早退，每次早退扣 </w:t>
            </w:r>
            <w:r>
              <w:rPr>
                <w:rFonts w:hint="eastAsia" w:ascii="宋体" w:hAnsi="宋体" w:eastAsia="宋体"/>
                <w:sz w:val="21"/>
                <w:szCs w:val="21"/>
                <w:lang w:eastAsia="zh-CN"/>
              </w:rPr>
              <w:t xml:space="preserve">1</w:t>
            </w:r>
            <w:r>
              <w:rPr>
                <w:rFonts w:ascii="宋体" w:hAnsi="宋体" w:eastAsia="宋体"/>
                <w:sz w:val="21"/>
                <w:szCs w:val="21"/>
                <w:lang w:eastAsia="zh-CN"/>
              </w:rPr>
              <w:t xml:space="preserve"> 分 </w:t>
            </w:r>
            <w:r/>
          </w:p>
        </w:tc>
        <w:tc>
          <w:tcPr>
            <w:tcBorders>
              <w:bottom w:val="single" w:color="auto" w:sz="4" w:space="0"/>
            </w:tcBorders>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t xml:space="preserve"> </w:t>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single" w:color="auto" w:sz="4" w:space="0"/>
              <w:right w:val="single" w:color="auto" w:sz="4" w:space="0"/>
            </w:tcBorders>
            <w:tcW w:w="1505" w:type="dxa"/>
            <w:vAlign w:val="center"/>
            <w:vMerge w:val="restart"/>
            <w:textDirection w:val="lrTb"/>
            <w:noWrap w:val="false"/>
          </w:tcPr>
          <w:p>
            <w:pPr>
              <w:contextualSpacing/>
              <w:ind w:left="113"/>
              <w:jc w:val="left"/>
              <w:rPr>
                <w:rFonts w:ascii="宋体" w:hAnsi="宋体" w:eastAsia="宋体"/>
                <w:sz w:val="21"/>
                <w:szCs w:val="21"/>
              </w:rPr>
            </w:pPr>
            <w:r>
              <w:rPr>
                <w:rFonts w:hint="eastAsia" w:ascii="宋体" w:hAnsi="宋体" w:eastAsia="宋体"/>
                <w:sz w:val="21"/>
                <w:szCs w:val="21"/>
              </w:rPr>
              <w:t xml:space="preserve">服务质量</w:t>
            </w:r>
            <w:r/>
          </w:p>
        </w:tc>
        <w:tc>
          <w:tcPr>
            <w:tcBorders>
              <w:top w:val="single" w:color="auto" w:sz="4" w:space="0"/>
              <w:left w:val="single" w:color="auto" w:sz="4" w:space="0"/>
              <w:right w:val="single" w:color="auto" w:sz="4" w:space="0"/>
            </w:tcBorders>
            <w:tcW w:w="760" w:type="dxa"/>
            <w:vAlign w:val="center"/>
            <w:vMerge w:val="restart"/>
            <w:textDirection w:val="lrTb"/>
            <w:noWrap w:val="false"/>
          </w:tcPr>
          <w:p>
            <w:pPr>
              <w:contextualSpacing/>
              <w:ind w:left="113"/>
              <w:jc w:val="left"/>
              <w:rPr>
                <w:rFonts w:ascii="宋体" w:hAnsi="宋体" w:eastAsia="宋体"/>
                <w:sz w:val="21"/>
                <w:szCs w:val="21"/>
              </w:rPr>
            </w:pPr>
            <w:r>
              <w:rPr>
                <w:rFonts w:hint="eastAsia" w:ascii="宋体" w:hAnsi="宋体" w:eastAsia="宋体"/>
                <w:sz w:val="21"/>
                <w:szCs w:val="21"/>
              </w:rPr>
              <w:t xml:space="preserve">10</w:t>
            </w:r>
            <w:r/>
          </w:p>
        </w:tc>
        <w:tc>
          <w:tcPr>
            <w:tcBorders>
              <w:top w:val="single" w:color="auto" w:sz="4" w:space="0"/>
              <w:left w:val="single" w:color="auto" w:sz="4" w:space="0"/>
              <w:bottom w:val="single" w:color="auto" w:sz="4" w:space="0"/>
              <w:right w:val="single" w:color="auto" w:sz="4" w:space="0"/>
            </w:tcBorders>
            <w:tcW w:w="4944" w:type="dxa"/>
            <w:vAlign w:val="center"/>
            <w:textDirection w:val="lrTb"/>
            <w:noWrap w:val="false"/>
          </w:tcPr>
          <w:p>
            <w:pPr>
              <w:contextualSpacing/>
              <w:ind w:left="113"/>
              <w:jc w:val="left"/>
              <w:rPr>
                <w:rFonts w:ascii="宋体" w:hAnsi="宋体" w:eastAsia="宋体"/>
                <w:sz w:val="21"/>
                <w:szCs w:val="21"/>
                <w:lang w:eastAsia="zh-CN"/>
              </w:rPr>
            </w:pPr>
            <w:r>
              <w:rPr>
                <w:rFonts w:hint="eastAsia" w:ascii="宋体" w:hAnsi="宋体" w:eastAsia="宋体"/>
                <w:sz w:val="21"/>
                <w:szCs w:val="21"/>
                <w:lang w:eastAsia="zh-CN"/>
              </w:rPr>
              <w:t xml:space="preserve">重视且乐于沟通，积极汇报，受到嘉奖，每次加 1 分，最多加 3 分 </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r>
      <w:tr>
        <w:trPr>
          <w:trHeight w:val="599"/>
        </w:trPr>
        <w:tc>
          <w:tcPr>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right w:val="single" w:color="auto"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left w:val="single" w:color="auto" w:sz="4" w:space="0"/>
              <w:right w:val="single" w:color="auto"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single" w:color="auto" w:sz="4" w:space="0"/>
              <w:left w:val="single" w:color="auto" w:sz="4" w:space="0"/>
              <w:bottom w:val="single" w:color="auto" w:sz="4" w:space="0"/>
              <w:right w:val="single" w:color="auto" w:sz="4" w:space="0"/>
            </w:tcBorders>
            <w:tcW w:w="4944" w:type="dxa"/>
            <w:vAlign w:val="center"/>
            <w:textDirection w:val="lrTb"/>
            <w:noWrap w:val="false"/>
          </w:tcPr>
          <w:p>
            <w:pPr>
              <w:contextualSpacing/>
              <w:ind w:left="113"/>
              <w:jc w:val="left"/>
              <w:rPr>
                <w:rFonts w:ascii="宋体" w:hAnsi="宋体" w:eastAsia="宋体"/>
                <w:sz w:val="21"/>
                <w:szCs w:val="21"/>
                <w:lang w:eastAsia="zh-CN"/>
              </w:rPr>
            </w:pPr>
            <w:r>
              <w:rPr>
                <w:rFonts w:hint="eastAsia" w:ascii="宋体" w:hAnsi="宋体" w:eastAsia="宋体"/>
                <w:sz w:val="21"/>
                <w:szCs w:val="21"/>
                <w:lang w:eastAsia="zh-CN"/>
              </w:rPr>
              <w:t xml:space="preserve">不注重沟通，遇到问题以强硬或回避的态度来应对，每次扣 1 分 </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r>
      <w:tr>
        <w:trPr>
          <w:trHeight w:val="599"/>
        </w:trPr>
        <w:tc>
          <w:tcPr>
            <w:tcBorders>
              <w:bottom w:val="single" w:color="auto" w:sz="4" w:space="0"/>
            </w:tcBorders>
            <w:tcW w:w="1154"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bottom w:val="single" w:color="auto" w:sz="4" w:space="0"/>
              <w:right w:val="single" w:color="auto" w:sz="4" w:space="0"/>
            </w:tcBorders>
            <w:tcW w:w="1505"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left w:val="single" w:color="auto" w:sz="4" w:space="0"/>
              <w:bottom w:val="single" w:color="auto" w:sz="4" w:space="0"/>
              <w:right w:val="single" w:color="auto" w:sz="4" w:space="0"/>
            </w:tcBorders>
            <w:tcW w:w="760" w:type="dxa"/>
            <w:vAlign w:val="center"/>
            <w:vMerge w:val="continue"/>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c>
          <w:tcPr>
            <w:tcBorders>
              <w:top w:val="single" w:color="auto" w:sz="4" w:space="0"/>
              <w:left w:val="single" w:color="auto" w:sz="4" w:space="0"/>
              <w:bottom w:val="single" w:color="auto" w:sz="4" w:space="0"/>
              <w:right w:val="single" w:color="auto" w:sz="4" w:space="0"/>
            </w:tcBorders>
            <w:tcW w:w="4944" w:type="dxa"/>
            <w:vAlign w:val="center"/>
            <w:textDirection w:val="lrTb"/>
            <w:noWrap w:val="false"/>
          </w:tcPr>
          <w:p>
            <w:pPr>
              <w:contextualSpacing/>
              <w:ind w:left="113"/>
              <w:jc w:val="left"/>
              <w:rPr>
                <w:rFonts w:ascii="宋体" w:hAnsi="宋体" w:eastAsia="宋体"/>
                <w:sz w:val="21"/>
                <w:szCs w:val="21"/>
                <w:lang w:eastAsia="zh-CN"/>
              </w:rPr>
            </w:pPr>
            <w:r>
              <w:rPr>
                <w:rFonts w:hint="eastAsia" w:ascii="宋体" w:hAnsi="宋体" w:eastAsia="宋体"/>
                <w:sz w:val="21"/>
                <w:szCs w:val="21"/>
                <w:lang w:eastAsia="zh-CN"/>
              </w:rPr>
              <w:t xml:space="preserve">服务态度差，收到投诉，每次扣 3 分 </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contextualSpacing/>
              <w:ind w:left="113"/>
              <w:jc w:val="left"/>
              <w:rPr>
                <w:rFonts w:ascii="宋体" w:hAnsi="宋体" w:eastAsia="宋体"/>
                <w:sz w:val="21"/>
                <w:szCs w:val="21"/>
                <w:lang w:eastAsia="zh-CN"/>
              </w:rPr>
            </w:pPr>
            <w:r>
              <w:rPr>
                <w:rFonts w:ascii="宋体" w:hAnsi="宋体" w:eastAsia="宋体"/>
                <w:sz w:val="21"/>
                <w:szCs w:val="21"/>
                <w:lang w:eastAsia="zh-CN"/>
              </w:rPr>
            </w:r>
            <w:r/>
          </w:p>
        </w:tc>
      </w:tr>
    </w:tbl>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考核满分 100 分，考核结果与配套服务部分款项支付挂钩，其中最后一期考核叠加数据质量考核指标项：</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（1）医疗机构数据应采尽采指标，采集比（数据已采集医疗机构/总医疗机构数）=100%。</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（2）医疗机构数据采集实时性指标，实时率（实时采集数据表/总数据表数）≥95%。</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（3）数据标准符合率（符合标准的数据项数量/总检查数据项数量）≥95%。衡量数据是否符合预先定义的业务标准、格式和值域等。</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（4）数据完整性（非空数据项数量/总数据项数量）≥90%（根据医疗机构考核指标调整）。针对关键字段（如患者ID、诊断结果、手术日期）检查其填充率。</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（5）数据唯一性（唯一记录数/总记录数）≥90%（根据医疗机构考核指标调整）。检查关键业务实体（如患者、医嘱）是否存在重复记录。</w:t>
      </w:r>
      <w:r/>
    </w:p>
    <w:p>
      <w:pPr>
        <w:ind w:left="0" w:firstLine="42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最后一期考核时，上述数据质量考核指标项每有一项未达标，扣除2分，最终得分算作最后一期考核得分。</w:t>
      </w:r>
      <w:r/>
    </w:p>
    <w:p>
      <w:pPr>
        <w:ind w:left="0" w:firstLine="420"/>
        <w:spacing w:line="360" w:lineRule="auto"/>
        <w:tabs>
          <w:tab w:val="left" w:pos="420" w:leader="none"/>
        </w:tabs>
        <w:rPr>
          <w:rFonts w:ascii="宋体" w:hAnsi="宋体"/>
          <w:sz w:val="21"/>
        </w:rPr>
      </w:pPr>
      <w:r>
        <w:rPr>
          <w:rFonts w:hint="eastAsia" w:ascii="宋体" w:hAnsi="宋体"/>
          <w:sz w:val="21"/>
        </w:rPr>
        <w:t xml:space="preserve">3.付款模式</w:t>
      </w:r>
      <w:r>
        <w:rPr>
          <w:rFonts w:hint="eastAsia" w:ascii="宋体" w:hAnsi="宋体"/>
          <w:sz w:val="21"/>
        </w:rPr>
        <w:t xml:space="preserve"> </w:t>
      </w:r>
      <w:r/>
    </w:p>
    <w:p>
      <w:pPr>
        <w:ind w:left="0" w:firstLine="420"/>
        <w:spacing w:line="360" w:lineRule="auto"/>
        <w:tabs>
          <w:tab w:val="left" w:pos="420" w:leader="none"/>
        </w:tabs>
        <w:rPr>
          <w:rFonts w:ascii="宋体" w:hAnsi="宋体"/>
          <w:sz w:val="21"/>
        </w:rPr>
      </w:pPr>
      <w:r/>
      <w:bookmarkStart w:id="138" w:name="OLE_LINK75"/>
      <w:r/>
      <w:bookmarkStart w:id="139" w:name="OLE_LINK77"/>
      <w:r>
        <w:rPr>
          <w:rFonts w:hint="eastAsia" w:ascii="宋体" w:hAnsi="宋体"/>
          <w:sz w:val="21"/>
        </w:rPr>
        <w:t xml:space="preserve">（</w:t>
      </w:r>
      <w:r>
        <w:rPr>
          <w:rFonts w:ascii="宋体" w:hAnsi="宋体"/>
          <w:sz w:val="21"/>
        </w:rPr>
        <w:t xml:space="preserve">1</w:t>
      </w:r>
      <w:r>
        <w:rPr>
          <w:rFonts w:hint="eastAsia" w:ascii="宋体" w:hAnsi="宋体"/>
          <w:sz w:val="21"/>
        </w:rPr>
        <w:t xml:space="preserve">）</w:t>
      </w:r>
      <w:r>
        <w:rPr>
          <w:rFonts w:hint="eastAsia" w:ascii="宋体" w:hAnsi="宋体"/>
          <w:sz w:val="21"/>
        </w:rPr>
        <w:t xml:space="preserve">配套软件及</w:t>
      </w:r>
      <w:r>
        <w:rPr>
          <w:rFonts w:hint="eastAsia" w:ascii="宋体" w:hAnsi="宋体"/>
          <w:sz w:val="21"/>
        </w:rPr>
        <w:t xml:space="preserve">机柜租赁</w:t>
      </w:r>
      <w:r>
        <w:rPr>
          <w:rFonts w:hint="eastAsia" w:ascii="宋体" w:hAnsi="宋体"/>
          <w:sz w:val="21"/>
        </w:rPr>
        <w:t xml:space="preserve">部分：</w:t>
      </w:r>
      <w:r>
        <w:rPr>
          <w:rFonts w:hint="eastAsia" w:ascii="宋体" w:hAnsi="宋体"/>
          <w:sz w:val="21"/>
        </w:rPr>
        <w:t xml:space="preserve">合同生效后支付</w:t>
      </w:r>
      <w:r>
        <w:rPr>
          <w:rFonts w:hint="eastAsia" w:ascii="宋体" w:hAnsi="宋体"/>
          <w:sz w:val="21"/>
        </w:rPr>
        <w:t xml:space="preserve">该部分合同</w:t>
      </w:r>
      <w:r>
        <w:rPr>
          <w:rFonts w:hint="eastAsia" w:ascii="宋体" w:hAnsi="宋体"/>
          <w:sz w:val="21"/>
        </w:rPr>
        <w:t xml:space="preserve">金额的</w:t>
      </w:r>
      <w:r>
        <w:rPr>
          <w:rFonts w:ascii="宋体" w:hAnsi="宋体"/>
          <w:sz w:val="21"/>
        </w:rPr>
        <w:t xml:space="preserve">1</w:t>
      </w:r>
      <w:r>
        <w:rPr>
          <w:rFonts w:hint="eastAsia" w:ascii="宋体" w:hAnsi="宋体"/>
          <w:sz w:val="21"/>
        </w:rPr>
        <w:t xml:space="preserve">0%</w:t>
      </w:r>
      <w:r>
        <w:rPr>
          <w:rFonts w:hint="eastAsia" w:ascii="宋体" w:hAnsi="宋体"/>
          <w:sz w:val="21"/>
        </w:rPr>
        <w:t xml:space="preserve">，配套软件及</w:t>
      </w:r>
      <w:r>
        <w:rPr>
          <w:rFonts w:hint="eastAsia" w:ascii="宋体" w:hAnsi="宋体"/>
          <w:sz w:val="21"/>
        </w:rPr>
        <w:t xml:space="preserve">机柜租赁</w:t>
      </w:r>
      <w:r>
        <w:rPr>
          <w:rFonts w:ascii="宋体" w:hAnsi="宋体"/>
          <w:sz w:val="21"/>
        </w:rPr>
        <w:t xml:space="preserve">送达现场并经甲方确认接收后，支付该部分款项至对应</w:t>
      </w:r>
      <w:r>
        <w:rPr>
          <w:rFonts w:hint="eastAsia" w:ascii="宋体" w:hAnsi="宋体"/>
          <w:sz w:val="21"/>
        </w:rPr>
        <w:t xml:space="preserve">合同</w:t>
      </w:r>
      <w:r>
        <w:rPr>
          <w:rFonts w:ascii="宋体" w:hAnsi="宋体"/>
          <w:sz w:val="21"/>
        </w:rPr>
        <w:t xml:space="preserve">金额的80%</w:t>
      </w:r>
      <w:r>
        <w:rPr>
          <w:rFonts w:hint="eastAsia" w:ascii="宋体" w:hAnsi="宋体"/>
          <w:sz w:val="21"/>
        </w:rPr>
        <w:t xml:space="preserve">，</w:t>
      </w:r>
      <w:r>
        <w:rPr>
          <w:rFonts w:ascii="宋体" w:hAnsi="宋体"/>
          <w:sz w:val="21"/>
        </w:rPr>
        <w:t xml:space="preserve">验收通过后支付至对应</w:t>
      </w:r>
      <w:r>
        <w:rPr>
          <w:rFonts w:hint="eastAsia" w:ascii="宋体" w:hAnsi="宋体"/>
          <w:sz w:val="21"/>
        </w:rPr>
        <w:t xml:space="preserve">合同</w:t>
      </w:r>
      <w:r>
        <w:rPr>
          <w:rFonts w:ascii="宋体" w:hAnsi="宋体"/>
          <w:sz w:val="21"/>
        </w:rPr>
        <w:t xml:space="preserve">金额的95%</w:t>
      </w:r>
      <w:r>
        <w:rPr>
          <w:rFonts w:hint="eastAsia" w:ascii="宋体" w:hAnsi="宋体"/>
          <w:sz w:val="21"/>
        </w:rPr>
        <w:t xml:space="preserve">，</w:t>
      </w:r>
      <w:r>
        <w:rPr>
          <w:rFonts w:ascii="宋体" w:hAnsi="宋体"/>
          <w:sz w:val="21"/>
        </w:rPr>
        <w:t xml:space="preserve">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（2）系</w:t>
      </w:r>
      <w:r>
        <w:rPr>
          <w:rFonts w:ascii="宋体" w:hAnsi="宋体"/>
          <w:sz w:val="21"/>
        </w:rPr>
        <w:t xml:space="preserve">统建设</w:t>
      </w:r>
      <w:r>
        <w:rPr>
          <w:rFonts w:hint="eastAsia" w:ascii="宋体" w:hAnsi="宋体"/>
          <w:sz w:val="21"/>
        </w:rPr>
        <w:t xml:space="preserve">部分：</w:t>
      </w:r>
      <w:r>
        <w:rPr>
          <w:rFonts w:hint="eastAsia" w:ascii="宋体" w:hAnsi="宋体"/>
          <w:sz w:val="21"/>
        </w:rPr>
        <w:t xml:space="preserve">合同生效后支付</w:t>
      </w:r>
      <w:r>
        <w:rPr>
          <w:rFonts w:hint="eastAsia" w:ascii="宋体" w:hAnsi="宋体"/>
          <w:sz w:val="21"/>
        </w:rPr>
        <w:t xml:space="preserve">该部分</w:t>
      </w:r>
      <w:r>
        <w:rPr>
          <w:rFonts w:hint="eastAsia" w:ascii="宋体" w:hAnsi="宋体"/>
          <w:sz w:val="21"/>
        </w:rPr>
        <w:t xml:space="preserve">金额的</w:t>
      </w:r>
      <w:r>
        <w:rPr>
          <w:rFonts w:ascii="宋体" w:hAnsi="宋体"/>
          <w:sz w:val="21"/>
        </w:rPr>
        <w:t xml:space="preserve">1</w:t>
      </w:r>
      <w:r>
        <w:rPr>
          <w:rFonts w:hint="eastAsia" w:ascii="宋体" w:hAnsi="宋体"/>
          <w:sz w:val="21"/>
        </w:rPr>
        <w:t xml:space="preserve">0%</w:t>
      </w:r>
      <w:r>
        <w:rPr>
          <w:rFonts w:hint="eastAsia" w:ascii="宋体" w:hAnsi="宋体"/>
          <w:sz w:val="21"/>
        </w:rPr>
        <w:t xml:space="preserve">，</w:t>
      </w:r>
      <w:r>
        <w:rPr>
          <w:rFonts w:ascii="宋体" w:hAnsi="宋体"/>
          <w:sz w:val="21"/>
        </w:rPr>
        <w:t xml:space="preserve">系统建设部分完成上线后，支付该部分款项至对应合同金额的80%</w:t>
      </w:r>
      <w:r>
        <w:rPr>
          <w:rFonts w:hint="eastAsia" w:ascii="宋体" w:hAnsi="宋体"/>
          <w:sz w:val="21"/>
        </w:rPr>
        <w:t xml:space="preserve">，</w:t>
      </w:r>
      <w:r>
        <w:rPr>
          <w:rFonts w:ascii="宋体" w:hAnsi="宋体"/>
          <w:sz w:val="21"/>
        </w:rPr>
        <w:t xml:space="preserve">验收通过后支付至对应</w:t>
      </w:r>
      <w:r>
        <w:rPr>
          <w:rFonts w:ascii="宋体" w:hAnsi="宋体"/>
          <w:sz w:val="21"/>
        </w:rPr>
        <w:t xml:space="preserve">合同金额的95%，稳定运行一年内结清对应部分余款；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数据治理运营服务</w:t>
      </w:r>
      <w:r>
        <w:rPr>
          <w:rFonts w:hint="eastAsia" w:ascii="宋体" w:hAnsi="宋体"/>
          <w:sz w:val="21"/>
        </w:rPr>
        <w:t xml:space="preserve">部分：</w:t>
      </w:r>
      <w:r>
        <w:rPr>
          <w:rFonts w:hint="eastAsia" w:ascii="宋体" w:hAnsi="宋体"/>
          <w:sz w:val="21"/>
        </w:rPr>
        <w:t xml:space="preserve">合同生效后支付</w:t>
      </w:r>
      <w:r>
        <w:rPr>
          <w:rFonts w:hint="eastAsia" w:ascii="宋体" w:hAnsi="宋体"/>
          <w:sz w:val="21"/>
        </w:rPr>
        <w:t xml:space="preserve">该部分</w:t>
      </w:r>
      <w:r>
        <w:rPr>
          <w:rFonts w:hint="eastAsia" w:ascii="宋体" w:hAnsi="宋体"/>
          <w:sz w:val="21"/>
        </w:rPr>
        <w:t xml:space="preserve">金额的</w:t>
      </w:r>
      <w:r>
        <w:rPr>
          <w:rFonts w:ascii="宋体" w:hAnsi="宋体"/>
          <w:sz w:val="21"/>
        </w:rPr>
        <w:t xml:space="preserve">1</w:t>
      </w:r>
      <w:r>
        <w:rPr>
          <w:rFonts w:hint="eastAsia" w:ascii="宋体" w:hAnsi="宋体"/>
          <w:sz w:val="21"/>
        </w:rPr>
        <w:t xml:space="preserve">0%</w:t>
      </w:r>
      <w:r>
        <w:rPr>
          <w:rFonts w:hint="eastAsia" w:ascii="宋体" w:hAnsi="宋体"/>
          <w:sz w:val="21"/>
        </w:rPr>
        <w:t xml:space="preserve">，</w:t>
      </w:r>
      <w:r>
        <w:rPr>
          <w:rFonts w:hint="eastAsia" w:ascii="宋体" w:hAnsi="宋体"/>
          <w:sz w:val="21"/>
        </w:rPr>
        <w:t xml:space="preserve">剩余</w:t>
      </w:r>
      <w:r>
        <w:rPr>
          <w:rFonts w:hint="eastAsia" w:ascii="宋体" w:hAnsi="宋体"/>
          <w:sz w:val="21"/>
        </w:rPr>
        <w:t xml:space="preserve">该部分</w:t>
      </w:r>
      <w:r>
        <w:rPr>
          <w:rFonts w:hint="eastAsia" w:ascii="宋体" w:hAnsi="宋体"/>
          <w:sz w:val="21"/>
        </w:rPr>
        <w:t xml:space="preserve">金额的</w:t>
      </w:r>
      <w:r>
        <w:rPr>
          <w:rFonts w:ascii="宋体" w:hAnsi="宋体"/>
          <w:sz w:val="21"/>
        </w:rPr>
        <w:t xml:space="preserve">9</w:t>
      </w:r>
      <w:r>
        <w:rPr>
          <w:rFonts w:hint="eastAsia" w:ascii="宋体" w:hAnsi="宋体"/>
          <w:sz w:val="21"/>
        </w:rPr>
        <w:t xml:space="preserve">0%</w:t>
      </w:r>
      <w:r>
        <w:rPr>
          <w:rFonts w:hint="eastAsia" w:ascii="宋体" w:hAnsi="宋体"/>
          <w:sz w:val="21"/>
        </w:rPr>
        <w:t xml:space="preserve">款项按照考核结果支付，每三个月全额的服务价款=</w:t>
      </w:r>
      <w:r>
        <w:rPr>
          <w:rFonts w:hint="eastAsia" w:ascii="宋体" w:hAnsi="宋体"/>
          <w:sz w:val="21"/>
        </w:rPr>
        <w:t xml:space="preserve">数据治理运营服务</w:t>
      </w:r>
      <w:r>
        <w:rPr>
          <w:rFonts w:hint="eastAsia" w:ascii="宋体" w:hAnsi="宋体"/>
          <w:sz w:val="21"/>
        </w:rPr>
        <w:t xml:space="preserve">金额</w:t>
      </w:r>
      <w:r>
        <w:rPr>
          <w:rFonts w:hint="eastAsia" w:ascii="宋体" w:hAnsi="宋体"/>
          <w:sz w:val="21"/>
        </w:rPr>
        <w:t xml:space="preserve">×</w:t>
      </w:r>
      <w:r>
        <w:rPr>
          <w:rFonts w:ascii="宋体" w:hAnsi="宋体"/>
          <w:sz w:val="21"/>
        </w:rPr>
        <w:t xml:space="preserve">9</w:t>
      </w:r>
      <w:r>
        <w:rPr>
          <w:rFonts w:hint="eastAsia" w:ascii="宋体" w:hAnsi="宋体"/>
          <w:sz w:val="21"/>
        </w:rPr>
        <w:t xml:space="preserve">0%×1/5。考核满分 100 分，支付标准如下：</w:t>
      </w:r>
      <w:r/>
    </w:p>
    <w:p>
      <w:pPr>
        <w:ind w:left="0" w:firstLine="420"/>
        <w:spacing w:line="360" w:lineRule="auto"/>
        <w:tabs>
          <w:tab w:val="left" w:pos="420" w:leader="none"/>
        </w:tabs>
        <w:rPr>
          <w:rFonts w:ascii="宋体" w:hAnsi="宋体"/>
          <w:sz w:val="21"/>
        </w:rPr>
      </w:pPr>
      <w:r/>
      <w:bookmarkStart w:id="140" w:name="OLE_LINK99"/>
      <w:r>
        <w:rPr>
          <w:rFonts w:hint="eastAsia" w:ascii="宋体" w:hAnsi="宋体"/>
          <w:sz w:val="21"/>
        </w:rPr>
        <w:t xml:space="preserve">若考核周期考核合格，即考核分数为</w:t>
      </w:r>
      <w:r>
        <w:rPr>
          <w:rFonts w:hint="eastAsia" w:ascii="宋体" w:hAnsi="宋体"/>
          <w:sz w:val="21"/>
        </w:rPr>
        <w:t xml:space="preserve"> </w:t>
      </w:r>
      <w:r>
        <w:rPr>
          <w:rFonts w:hint="eastAsia" w:ascii="宋体" w:hAnsi="宋体"/>
          <w:sz w:val="21"/>
        </w:rPr>
        <w:t xml:space="preserve">85 分及以上的，全额支付三个月的服务款项。 </w:t>
      </w:r>
      <w:r/>
    </w:p>
    <w:p>
      <w:pPr>
        <w:ind w:left="0" w:firstLine="420"/>
        <w:spacing w:line="360" w:lineRule="auto"/>
        <w:tabs>
          <w:tab w:val="left" w:pos="420" w:leader="none"/>
        </w:tabs>
        <w:rPr>
          <w:rFonts w:ascii="宋体" w:hAnsi="宋体"/>
          <w:sz w:val="21"/>
        </w:rPr>
      </w:pPr>
      <w:r>
        <w:rPr>
          <w:rFonts w:hint="eastAsia" w:ascii="宋体" w:hAnsi="宋体"/>
          <w:sz w:val="21"/>
        </w:rPr>
        <w:t xml:space="preserve">若考核周期考核一般，即考核分数为 60 至</w:t>
      </w:r>
      <w:r>
        <w:rPr>
          <w:rFonts w:hint="eastAsia" w:ascii="宋体" w:hAnsi="宋体"/>
          <w:sz w:val="21"/>
        </w:rPr>
        <w:t xml:space="preserve"> </w:t>
      </w:r>
      <w:r>
        <w:rPr>
          <w:rFonts w:hint="eastAsia" w:ascii="宋体" w:hAnsi="宋体"/>
          <w:sz w:val="21"/>
        </w:rPr>
        <w:t xml:space="preserve">84 之间的，支付三个月服务款项的80%。 </w:t>
      </w:r>
      <w:r/>
    </w:p>
    <w:p>
      <w:pPr>
        <w:ind w:left="0" w:firstLine="420"/>
        <w:spacing w:line="360" w:lineRule="auto"/>
        <w:tabs>
          <w:tab w:val="left" w:pos="420" w:leader="none"/>
        </w:tabs>
        <w:rPr>
          <w:rFonts w:ascii="宋体" w:hAnsi="宋体"/>
          <w:sz w:val="21"/>
        </w:rPr>
      </w:pPr>
      <w:r>
        <w:rPr>
          <w:rFonts w:hint="eastAsia" w:ascii="宋体" w:hAnsi="宋体"/>
          <w:sz w:val="21"/>
        </w:rPr>
        <w:t xml:space="preserve">若考核周期考核不合格，即考核分数为 60 分以下的，采购人将有权拒付上一服务周期服务款项。若因此给采购人造成损失的，采购人有权依据本合同的约定向中标人主张损失赔偿。</w:t>
      </w:r>
      <w:bookmarkEnd w:id="138"/>
      <w:r/>
      <w:bookmarkEnd w:id="139"/>
      <w:r/>
      <w:bookmarkEnd w:id="140"/>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五</w:t>
      </w:r>
      <w:r>
        <w:rPr>
          <w:rFonts w:ascii="宋体" w:hAnsi="宋体"/>
          <w:b/>
          <w:sz w:val="21"/>
        </w:rPr>
        <w:t xml:space="preserve">）系统培训要求</w:t>
      </w:r>
      <w:r/>
    </w:p>
    <w:p>
      <w:pPr>
        <w:ind w:left="0" w:firstLine="420"/>
        <w:spacing w:line="360" w:lineRule="auto"/>
        <w:tabs>
          <w:tab w:val="left" w:pos="420" w:leader="none"/>
        </w:tabs>
        <w:rPr>
          <w:rFonts w:ascii="宋体" w:hAnsi="宋体"/>
          <w:sz w:val="21"/>
        </w:rPr>
      </w:pPr>
      <w:r>
        <w:rPr>
          <w:rFonts w:ascii="宋体" w:hAnsi="宋体"/>
          <w:sz w:val="21"/>
        </w:rPr>
        <w:t xml:space="preserve">中标人必须向采购人提供免费培训，培训方式应包括理论培训和现场培训。中标人须针对不同的培训对象，包括对领导、管理者、各级最终用户和系统管理员等相关技术人员，在投标文件中提出全面、详细的培训计划，包括但不限于培训内容、培训时间、地点、授课老师等，并提供课程体系、培训方法和考核方法等，培训讲师费用由中标人负责。</w:t>
      </w:r>
      <w:r/>
    </w:p>
    <w:p>
      <w:pPr>
        <w:ind w:left="0" w:firstLine="420"/>
        <w:spacing w:line="360" w:lineRule="auto"/>
        <w:tabs>
          <w:tab w:val="left" w:pos="420" w:leader="none"/>
        </w:tabs>
        <w:rPr>
          <w:rFonts w:ascii="宋体" w:hAnsi="宋体"/>
          <w:sz w:val="21"/>
        </w:rPr>
      </w:pPr>
      <w:r>
        <w:rPr>
          <w:rFonts w:ascii="宋体" w:hAnsi="宋体"/>
          <w:sz w:val="21"/>
        </w:rPr>
        <w:t xml:space="preserve">中标人派出的培训教员应具备丰富的相同课程教学经验，所有的培训教员必须中文授课，中标人必须为所有被培训人员提供培训用文字资料和讲义等相关用品。</w:t>
      </w:r>
      <w:r/>
    </w:p>
    <w:p>
      <w:pPr>
        <w:ind w:left="0" w:firstLine="420"/>
        <w:spacing w:line="360" w:lineRule="auto"/>
        <w:tabs>
          <w:tab w:val="left" w:pos="420" w:leader="none"/>
        </w:tabs>
        <w:rPr>
          <w:rFonts w:ascii="宋体" w:hAnsi="宋体"/>
          <w:sz w:val="21"/>
        </w:rPr>
      </w:pPr>
      <w:r>
        <w:rPr>
          <w:rFonts w:ascii="宋体" w:hAnsi="宋体"/>
          <w:sz w:val="21"/>
        </w:rPr>
        <w:t xml:space="preserve">中标人应按采购人约定合理地安排培训时间。</w:t>
      </w:r>
      <w:r/>
    </w:p>
    <w:p>
      <w:pPr>
        <w:ind w:left="0" w:firstLine="420"/>
        <w:spacing w:line="360" w:lineRule="auto"/>
        <w:tabs>
          <w:tab w:val="left" w:pos="420" w:leader="none"/>
        </w:tabs>
        <w:rPr>
          <w:rFonts w:ascii="宋体" w:hAnsi="宋体"/>
          <w:sz w:val="21"/>
        </w:rPr>
      </w:pPr>
      <w:r>
        <w:rPr>
          <w:rFonts w:ascii="宋体" w:hAnsi="宋体"/>
          <w:sz w:val="21"/>
        </w:rPr>
        <w:t xml:space="preserve">中标人需在投标</w:t>
      </w:r>
      <w:r>
        <w:rPr>
          <w:rFonts w:hint="eastAsia" w:ascii="宋体" w:hAnsi="宋体"/>
          <w:sz w:val="21"/>
        </w:rPr>
        <w:t xml:space="preserve">文件</w:t>
      </w:r>
      <w:r>
        <w:rPr>
          <w:rFonts w:ascii="宋体" w:hAnsi="宋体"/>
          <w:sz w:val="21"/>
        </w:rPr>
        <w:t xml:space="preserve">中说明培训的计划、内容和深度，原则上要求采购人的相关人员要完全学会系统的知识技能。</w:t>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六</w:t>
      </w:r>
      <w:r>
        <w:rPr>
          <w:rFonts w:ascii="宋体" w:hAnsi="宋体"/>
          <w:b/>
          <w:sz w:val="21"/>
        </w:rPr>
        <w:t xml:space="preserve">）质量保证及售后服务要求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人对所有产品需提供自项目验收完成后3年免费运维服务，免费运维期结束后额外2年免费升级服务。中标人应对所投标的产品售后服务体系、售后服务年限、技术支持情况做出说明。质保期内应提供不少于4人的本地驻场服务人员，负责软件系统维护服务。服务内容包括：使用指导，BUG修复，对隐含的错误进行纠正，新版本的升级；维护方式包括：电话解答，远程维护，技术人员现场解决问题。对故障在1小时内响应，2小时以内到现场，4小时以内提出问题解决方案并采取相应措施保障用户正常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2、在免费维护期内，按采购</w:t>
      </w:r>
      <w:r>
        <w:rPr>
          <w:rFonts w:hint="eastAsia" w:ascii="宋体" w:hAnsi="宋体"/>
          <w:sz w:val="21"/>
        </w:rPr>
        <w:t xml:space="preserve">人要求提供质量保证及售后服务，不再另外收取费用</w:t>
      </w:r>
      <w:r>
        <w:rPr>
          <w:rFonts w:hint="eastAsia" w:ascii="宋体" w:hAnsi="宋体"/>
          <w:sz w:val="21"/>
        </w:rPr>
        <w:t xml:space="preserve">。投标人必须明确提出维护期内软件的升级、维修、维护内容及服务方式。</w:t>
      </w:r>
      <w:r/>
    </w:p>
    <w:p>
      <w:pPr>
        <w:ind w:left="0" w:firstLine="420"/>
        <w:spacing w:line="360" w:lineRule="auto"/>
        <w:tabs>
          <w:tab w:val="left" w:pos="420" w:leader="none"/>
        </w:tabs>
        <w:rPr>
          <w:rFonts w:ascii="宋体" w:hAnsi="宋体"/>
          <w:sz w:val="21"/>
        </w:rPr>
      </w:pPr>
      <w:r>
        <w:rPr>
          <w:rFonts w:ascii="宋体" w:hAnsi="宋体"/>
          <w:sz w:val="21"/>
        </w:rPr>
        <w:t xml:space="preserve">3、具备专业的本地化售后服务团队，能保证提供每天 24 小时不间断的售后服务。</w:t>
      </w:r>
      <w:r/>
    </w:p>
    <w:p>
      <w:pPr>
        <w:ind w:left="0" w:firstLine="420"/>
        <w:spacing w:line="360" w:lineRule="auto"/>
        <w:tabs>
          <w:tab w:val="left" w:pos="420" w:leader="none"/>
        </w:tabs>
        <w:rPr>
          <w:rFonts w:ascii="宋体" w:hAnsi="宋体"/>
          <w:sz w:val="21"/>
        </w:rPr>
      </w:pPr>
      <w:r>
        <w:rPr>
          <w:rFonts w:ascii="宋体" w:hAnsi="宋体"/>
          <w:sz w:val="21"/>
        </w:rPr>
        <w:t xml:space="preserve">4、对于系统的 BUG 承诺终身免费维护。定期汇报系统运行情况。</w:t>
      </w:r>
      <w:r/>
    </w:p>
    <w:p>
      <w:pPr>
        <w:ind w:left="0" w:firstLine="420"/>
        <w:spacing w:line="360" w:lineRule="auto"/>
        <w:tabs>
          <w:tab w:val="left" w:pos="420" w:leader="none"/>
        </w:tabs>
        <w:rPr>
          <w:rFonts w:ascii="宋体" w:hAnsi="宋体"/>
          <w:sz w:val="21"/>
        </w:rPr>
      </w:pPr>
      <w:r>
        <w:rPr>
          <w:rFonts w:ascii="宋体" w:hAnsi="宋体"/>
          <w:sz w:val="21"/>
        </w:rPr>
        <w:t xml:space="preserve">5、遇有重大活动需要确保系统正常运作的，中标人在接到通知后，应当在活动期间提供人员现场保障。</w:t>
      </w:r>
      <w:r/>
    </w:p>
    <w:p>
      <w:pPr>
        <w:ind w:left="0" w:firstLine="420"/>
        <w:spacing w:line="360" w:lineRule="auto"/>
        <w:tabs>
          <w:tab w:val="left" w:pos="420" w:leader="none"/>
        </w:tabs>
        <w:rPr>
          <w:rFonts w:ascii="宋体" w:hAnsi="宋体"/>
          <w:sz w:val="21"/>
        </w:rPr>
      </w:pPr>
      <w:r>
        <w:rPr>
          <w:rFonts w:ascii="宋体" w:hAnsi="宋体"/>
          <w:sz w:val="21"/>
        </w:rPr>
        <w:t xml:space="preserve">6、在安装调试过程中，应满足采购人提出的合理要求。</w:t>
      </w:r>
      <w:r/>
    </w:p>
    <w:p>
      <w:pPr>
        <w:ind w:left="0" w:firstLine="420"/>
        <w:spacing w:line="360" w:lineRule="auto"/>
        <w:tabs>
          <w:tab w:val="left" w:pos="420" w:leader="none"/>
        </w:tabs>
        <w:rPr>
          <w:rFonts w:ascii="宋体" w:hAnsi="宋体"/>
          <w:sz w:val="21"/>
        </w:rPr>
      </w:pPr>
      <w:r>
        <w:rPr>
          <w:rFonts w:ascii="宋体" w:hAnsi="宋体"/>
          <w:sz w:val="21"/>
        </w:rPr>
        <w:t xml:space="preserve">7、所有软件产品的维护期自本项目终验合格书签订之日起开始计算。项目建设期间及维护期均属于免费服务期，该期限内的所有售后服务，包括软件维护、应用软件升级、提供替代品等所产生的费用（不包含更换硬件和系统软件的费用）均由中标人承担。</w:t>
      </w:r>
      <w:r/>
    </w:p>
    <w:p>
      <w:pPr>
        <w:ind w:left="0" w:firstLine="420"/>
        <w:spacing w:line="360" w:lineRule="auto"/>
        <w:tabs>
          <w:tab w:val="left" w:pos="420" w:leader="none"/>
        </w:tabs>
        <w:rPr>
          <w:rFonts w:ascii="宋体" w:hAnsi="宋体"/>
          <w:sz w:val="21"/>
        </w:rPr>
      </w:pPr>
      <w:r>
        <w:rPr>
          <w:rFonts w:ascii="宋体" w:hAnsi="宋体"/>
          <w:sz w:val="21"/>
        </w:rPr>
        <w:t xml:space="preserve">8、中标人在维护期满后应继续向采购人提供保证质量的售后服务， 以维持系统正常运作，售后服务定价不得偏离市场价格规律。</w:t>
      </w:r>
      <w:r/>
    </w:p>
    <w:p>
      <w:pPr>
        <w:ind w:left="0" w:firstLine="420"/>
        <w:spacing w:line="360" w:lineRule="auto"/>
        <w:tabs>
          <w:tab w:val="left" w:pos="420" w:leader="none"/>
        </w:tabs>
        <w:rPr>
          <w:rFonts w:ascii="宋体" w:hAnsi="宋体"/>
          <w:sz w:val="21"/>
        </w:rPr>
      </w:pPr>
      <w:r>
        <w:rPr>
          <w:rFonts w:ascii="宋体" w:hAnsi="宋体"/>
          <w:sz w:val="21"/>
        </w:rPr>
        <w:t xml:space="preserve">9、投标人应根据自身条件和能力提交详细的售后服务方案和计划。售后服务方案和计划应包括提供售后服务的保障措施，必须明确所能提供的包括但不限于以上几项的服务内容及维护细则。</w:t>
      </w:r>
      <w:r/>
    </w:p>
    <w:p>
      <w:pPr>
        <w:pStyle w:val="1000"/>
        <w:rPr>
          <w:rFonts w:ascii="宋体" w:hAnsi="宋体"/>
          <w:b/>
          <w:sz w:val="21"/>
        </w:rPr>
      </w:pPr>
      <w:r/>
      <w:bookmarkStart w:id="141" w:name="_Toc233642161"/>
      <w:r/>
      <w:bookmarkStart w:id="142" w:name="_Toc235617201"/>
      <w:r>
        <w:rPr>
          <w:rFonts w:hint="eastAsia" w:ascii="宋体" w:hAnsi="宋体"/>
          <w:b/>
          <w:sz w:val="21"/>
        </w:rPr>
        <w:t xml:space="preserve">标段二：基础支撑应用体系及网络安全升级</w:t>
      </w:r>
      <w:bookmarkEnd w:id="141"/>
      <w:r/>
      <w:bookmarkEnd w:id="142"/>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（一）项目概述</w:t>
      </w:r>
      <w:r/>
    </w:p>
    <w:p>
      <w:pPr>
        <w:ind w:left="0" w:firstLine="420"/>
        <w:spacing w:line="360" w:lineRule="auto"/>
        <w:tabs>
          <w:tab w:val="left" w:pos="420" w:leader="none"/>
        </w:tabs>
        <w:rPr>
          <w:rFonts w:ascii="宋体" w:hAnsi="宋体"/>
          <w:sz w:val="21"/>
        </w:rPr>
      </w:pPr>
      <w:r>
        <w:rPr>
          <w:rFonts w:hint="eastAsia" w:ascii="宋体" w:hAnsi="宋体"/>
          <w:sz w:val="21"/>
        </w:rPr>
        <w:t xml:space="preserve">1.建设背景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十四五”以来，国家层面先后出台《“健康中国2030”规划纲要》《“十四五”全民健康信息化规划》等多项政策，对全民健康信息化、智慧医院建设、健康医疗大数据创新应用作出总体规划与明确指引，为地方开展健康医疗数智化建设提供了清晰的行动遵循。围绕国家部署，苏州锚定健康中国典范城市建设目标，2023年6月发布专项实施意见，明确提出打造市级健康大数据中心、建设“健康苏州云”平台，要求深化大数据、人工智能应用，提升健康管理智能化水平，健全健康医疗数据资源体系，为苏州健康医疗数智化发展明确了具体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2024年9月，苏州成功入选全国第三批公立医院改革与高质量发展示范城市，根据获批实施方案，我市将实施“示范引领12322”行动，本项目正是其中“数智赋能健康医疗水平提升工程”的核心组成部分，承担着构建支撑苏州卫生健康长远发展的数字底座，完善公立医院数智化转型数据协同与赋能体系，激活数据潜能、培育发展新动能的关键使命。项目具体涵盖四大方向：构建全市医疗指标分析体系，提升数据准确性、时效性与决策智能化水平；打造全市统一医疗卫生健康协同平台，打破信息壁垒推动跨机构业务协同与资源</w:t>
      </w:r>
      <w:r>
        <w:rPr>
          <w:rFonts w:hint="eastAsia" w:ascii="宋体" w:hAnsi="宋体"/>
          <w:sz w:val="21"/>
        </w:rPr>
        <w:t xml:space="preserve">共享；整合医疗资源升级便民服务入口，拓展“互联网+医疗”服务能力，提升群众就医获得感；构建覆盖全市二级以上医院的全链条网络与数据安全监测预警体系，保障示范项目全环境安全运行。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当前，推动健康医疗大数据创新应用已是卫生健康高质量发展的核心支撑，苏州将牢牢把握示范项目机遇，推进卫生健康信息化系统性重塑，打造数智赋能健康服务的苏州标志性成果。</w:t>
      </w:r>
      <w:r/>
    </w:p>
    <w:p>
      <w:pPr>
        <w:ind w:left="0" w:firstLine="420"/>
        <w:spacing w:line="360" w:lineRule="auto"/>
        <w:tabs>
          <w:tab w:val="left" w:pos="420" w:leader="none"/>
        </w:tabs>
        <w:rPr>
          <w:rFonts w:ascii="宋体" w:hAnsi="宋体"/>
          <w:sz w:val="21"/>
        </w:rPr>
      </w:pPr>
      <w:r>
        <w:rPr>
          <w:rFonts w:hint="eastAsia" w:ascii="宋体" w:hAnsi="宋体"/>
          <w:sz w:val="21"/>
        </w:rPr>
        <w:t xml:space="preserve">2.建设目标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统筹全市健康医疗数智化改革资源配置，深化数智化能力建设，打造支撑苏州卫生健康事业长远发展的数字底座，构建完善的全市公立医院数智化转型数据协同与赋能体系，推动工作机制与业务流程再造，激活健康医疗数据潜能，培育事业发展新动能。</w:t>
      </w:r>
      <w:r/>
    </w:p>
    <w:p>
      <w:pPr>
        <w:ind w:left="0" w:firstLine="420"/>
        <w:spacing w:line="360" w:lineRule="auto"/>
        <w:tabs>
          <w:tab w:val="left" w:pos="420" w:leader="none"/>
        </w:tabs>
        <w:rPr>
          <w:rFonts w:ascii="宋体" w:hAnsi="宋体"/>
          <w:sz w:val="21"/>
        </w:rPr>
      </w:pPr>
      <w:r>
        <w:rPr>
          <w:rFonts w:hint="eastAsia" w:ascii="宋体" w:hAnsi="宋体"/>
          <w:sz w:val="21"/>
        </w:rPr>
        <w:t xml:space="preserve">综合分析升级方面,建成具备指标血缘可视化、口径配置、计算规则配置、多部门协同共享、GPT 自然语言问数等优势功能，支持指标版本追溯、变更影响分析、数据自动校验与审核闭环，可大幅降低人工填报与数据汇总成本，提升数据准确性、时效性与决策智能化水平，同时满足等保合规、数据安全、商用密码应用等安全要求，为苏州市卫生健康高质量发展提供坚实数字化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协同管理升级方面，建成覆盖全市医疗卫生机构的统一协同平台，实现用户、机构、授权、认证、消息的统一管理，打破机构间信息壁垒，推动远程会诊、双向转诊等业务协同，促进医疗资源高效共享，提升协同效率、降低协作成本，为患者提供连续协同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便民服务升级方面，以微信公众号与预约热线为核心，整合全市优质医疗资源打造智慧整合型服务体系，重构并升级12320公众号、建设卫生热线智能知识中心，拓展服务能力，让居民足不出户享受预约挂号、报告查询、健康管理等便捷服务，提升公众获得感与满意度。</w:t>
      </w:r>
      <w:r/>
    </w:p>
    <w:p>
      <w:pPr>
        <w:ind w:left="0" w:firstLine="420"/>
        <w:spacing w:line="360" w:lineRule="auto"/>
        <w:tabs>
          <w:tab w:val="left" w:pos="420" w:leader="none"/>
        </w:tabs>
        <w:rPr>
          <w:rFonts w:ascii="宋体" w:hAnsi="宋体"/>
          <w:sz w:val="21"/>
        </w:rPr>
      </w:pPr>
      <w:r/>
      <w:bookmarkStart w:id="143" w:name="OLE_LINK68"/>
      <w:r>
        <w:rPr>
          <w:rFonts w:hint="eastAsia" w:ascii="宋体" w:hAnsi="宋体"/>
          <w:sz w:val="21"/>
        </w:rPr>
        <w:t xml:space="preserve">基础设施与网络安全升级方面，在网络安全建设方面，</w:t>
      </w:r>
      <w:r>
        <w:rPr>
          <w:rFonts w:ascii="宋体" w:hAnsi="宋体"/>
          <w:sz w:val="21"/>
        </w:rPr>
        <w:t xml:space="preserve">围绕网络与数据安全全链条、全要素、全周期加强技术防护，提高安全防护能力</w:t>
      </w:r>
      <w:r>
        <w:rPr>
          <w:rFonts w:hint="eastAsia" w:ascii="宋体" w:hAnsi="宋体"/>
          <w:sz w:val="21"/>
        </w:rPr>
        <w:t xml:space="preserve">,通过项目建设，做好示范项目基础设施、网络、数据、AI能力等环境运行保障和安全防护管理。</w:t>
      </w:r>
      <w:bookmarkEnd w:id="143"/>
      <w:r/>
      <w:r/>
    </w:p>
    <w:p>
      <w:pPr>
        <w:ind w:left="0" w:firstLine="420"/>
        <w:spacing w:line="360" w:lineRule="auto"/>
        <w:tabs>
          <w:tab w:val="left" w:pos="420" w:leader="none"/>
        </w:tabs>
        <w:rPr>
          <w:rFonts w:ascii="宋体" w:hAnsi="宋体"/>
          <w:sz w:val="21"/>
        </w:rPr>
      </w:pPr>
      <w:r>
        <w:rPr>
          <w:rFonts w:hint="eastAsia" w:ascii="宋体" w:hAnsi="宋体"/>
          <w:sz w:val="21"/>
        </w:rPr>
        <w:t xml:space="preserve">3.建设内容</w:t>
      </w:r>
      <w:r/>
    </w:p>
    <w:p>
      <w:pPr>
        <w:ind w:left="0" w:firstLine="420"/>
        <w:spacing w:line="360" w:lineRule="auto"/>
        <w:rPr>
          <w:rFonts w:ascii="宋体" w:hAnsi="宋体"/>
          <w:sz w:val="21"/>
        </w:rPr>
      </w:pPr>
      <w:r>
        <w:rPr>
          <w:rFonts w:hint="eastAsia" w:ascii="宋体" w:hAnsi="宋体"/>
          <w:sz w:val="21"/>
        </w:rPr>
        <w:t xml:space="preserve">3.1 构建指标综合分析体系</w:t>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p>
    <w:p>
      <w:pPr>
        <w:ind w:left="0" w:firstLine="420"/>
        <w:spacing w:line="360" w:lineRule="auto"/>
        <w:tabs>
          <w:tab w:val="left" w:pos="420" w:leader="none"/>
        </w:tabs>
        <w:rPr>
          <w:rFonts w:ascii="宋体" w:hAnsi="宋体"/>
          <w:sz w:val="21"/>
        </w:rPr>
      </w:pPr>
      <w:r>
        <w:rPr>
          <w:rFonts w:hint="eastAsia" w:ascii="宋体" w:hAnsi="宋体"/>
          <w:sz w:val="21"/>
        </w:rPr>
        <w:t xml:space="preserve">搭建科学完善的卫生健康指标体系，构建统一的指标库、标准化数据框架及指标管理平台，实现指标数据全生命周期管理。深度挖掘各类医疗业务数据价值，让“用数据服务、用数据治理、用数据决策、用数据创新”成为常态。通过精准的数据洞察，为公立医院的运营管理、医疗质量提升、资源优化配置提供有力支撑，助力管理者做出科学决策，推动公立医院精细化管理水平迈上新台阶。</w:t>
      </w:r>
      <w:r/>
    </w:p>
    <w:p>
      <w:pPr>
        <w:ind w:left="0" w:firstLine="420"/>
        <w:spacing w:line="360" w:lineRule="auto"/>
        <w:tabs>
          <w:tab w:val="left" w:pos="420" w:leader="none"/>
        </w:tabs>
        <w:rPr>
          <w:rFonts w:ascii="宋体" w:hAnsi="宋体"/>
          <w:sz w:val="21"/>
        </w:rPr>
      </w:pPr>
      <w:r>
        <w:rPr>
          <w:rFonts w:hint="eastAsia" w:ascii="宋体" w:hAnsi="宋体"/>
          <w:sz w:val="21"/>
        </w:rPr>
        <w:t xml:space="preserve">3.2构建全市统一卫健业务协同体系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建成覆盖全市医疗卫生机构的协同平台，实现统一用户管理、统一机构管理、统一访问授权、统一身份认证及统一消息管理。打破医疗机构之间的信息壁垒，全面提升医疗卫生体系内协同效率，降低沟通协作成本。推动多机构间的医疗业务协同，如远程会诊、双向转诊等，实现医疗资源的高效共享，为患者提供连续、协同的医疗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3.3构建便民惠民服务体系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以微信公众号和卫生热线为核心入口，整合全市优质医疗服务资源，提升服务效</w:t>
      </w:r>
      <w:r>
        <w:rPr>
          <w:rFonts w:hint="eastAsia" w:ascii="宋体" w:hAnsi="宋体"/>
          <w:sz w:val="21"/>
        </w:rPr>
        <w:t xml:space="preserve">能与智能化水平，为市民提供更便捷、高效、精准的卫生健康服务体验</w:t>
      </w:r>
      <w:r>
        <w:rPr>
          <w:rFonts w:hint="eastAsia" w:ascii="宋体" w:hAnsi="宋体"/>
          <w:sz w:val="21"/>
        </w:rPr>
        <w:t xml:space="preserve">。重构12320微信公众号和建设卫生热线智能知识中心，拓展服务渠道和能力。让居民足不出户即可享受预约挂号、报告查询、健康管理等便捷服务，提升公众的健康服务获得感和满意度。</w:t>
      </w:r>
      <w:r/>
    </w:p>
    <w:p>
      <w:pPr>
        <w:ind w:left="0" w:firstLine="420"/>
        <w:spacing w:line="360" w:lineRule="auto"/>
        <w:tabs>
          <w:tab w:val="left" w:pos="420" w:leader="none"/>
        </w:tabs>
        <w:rPr>
          <w:rFonts w:ascii="宋体" w:hAnsi="宋体"/>
          <w:sz w:val="21"/>
        </w:rPr>
      </w:pPr>
      <w:r>
        <w:rPr>
          <w:rFonts w:hint="eastAsia" w:ascii="宋体" w:hAnsi="宋体"/>
          <w:sz w:val="21"/>
        </w:rPr>
        <w:t xml:space="preserve">3.4基础设施与网络安全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围绕网络、数据、AI大模型安全全链条构建主动全面的安全监测防护体系，提升风险发现、预警处置等能力，建成覆盖全市二级以上医院的安全监测预警平台，做好示范项目全环境的运行保障与安全管理。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（二）项目建设要求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1.总体要求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1.1 总体架构要求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本招标项目具体覆盖范围包括但不限于：投标人按技术规范、合同条款及有关文</w:t>
      </w:r>
      <w:r>
        <w:rPr>
          <w:rFonts w:hint="eastAsia" w:ascii="宋体" w:hAnsi="宋体"/>
          <w:sz w:val="21"/>
        </w:rPr>
        <w:t xml:space="preserve">件提供包括详细设计、系统软件开发、安装调试、测试、试运行、培训等</w:t>
      </w:r>
      <w:r>
        <w:rPr>
          <w:rFonts w:hint="eastAsia" w:ascii="宋体" w:hAnsi="宋体"/>
          <w:sz w:val="21"/>
        </w:rPr>
        <w:t xml:space="preserve">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要求系统整体采用分层模块化分布式架构，遵循标准规范、开放兼容、安全可控、弹性拓展的设计原则。架构层级划分明晰，各功能模块权责边界清晰，实现应用、服务、数据多层解耦。</w:t>
      </w:r>
      <w:r/>
    </w:p>
    <w:p>
      <w:pPr>
        <w:ind w:left="0" w:firstLine="420"/>
        <w:spacing w:line="360" w:lineRule="auto"/>
        <w:tabs>
          <w:tab w:val="left" w:pos="420" w:leader="none"/>
        </w:tabs>
        <w:rPr>
          <w:rFonts w:ascii="宋体" w:hAnsi="宋体"/>
          <w:sz w:val="21"/>
        </w:rPr>
      </w:pPr>
      <w:r>
        <w:rPr>
          <w:rFonts w:hint="eastAsia" w:ascii="宋体" w:hAnsi="宋体"/>
          <w:sz w:val="21"/>
        </w:rPr>
        <w:t xml:space="preserve">可顺畅对接现有各类业务信息系统，保障数据互通、业务联动。架构具备横向扩容、版本迭代与功能增补能力，满足高并发、高稳定运行需求。同时搭建完备安全防护与运维管理体系，既能保障当下业务高效运转，也可适配未来业务规模增长与体系升级改造。</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2.非功能性要求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2.1 适应性需求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考虑到全市居民及医院数量庞大，在用户使用侧应适配多类型操作系统。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电脑端支持主流操作系统包含但不限于国产操作系统，商用操作系统，同时适配主流浏览器。</w:t>
      </w:r>
      <w:r/>
    </w:p>
    <w:p>
      <w:pPr>
        <w:ind w:left="0" w:firstLine="420"/>
        <w:spacing w:line="360" w:lineRule="auto"/>
        <w:tabs>
          <w:tab w:val="left" w:pos="420" w:leader="none"/>
        </w:tabs>
        <w:rPr>
          <w:rFonts w:ascii="宋体" w:hAnsi="宋体"/>
          <w:sz w:val="21"/>
        </w:rPr>
      </w:pPr>
      <w:r>
        <w:rPr>
          <w:rFonts w:hint="eastAsia" w:ascii="宋体" w:hAnsi="宋体"/>
          <w:sz w:val="21"/>
        </w:rPr>
        <w:t xml:space="preserve">移动终端适配：适配IOS、安卓系统，满足鸿蒙系统使用。</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2.2 性能需求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2.2.1 用户交互要求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在系统基础软件性能及相应的系统管理保障基础上，保证80%的数据提交不超过4秒；80%的统计汇总工作处理时间不超过5秒。采用合理的数据库结构和查询算法，80%查询的响应速度在4秒以内，并不随记录数的增长而下降。系统具有良好的并发响应能力，整体响应性能在2秒以内，承担全市各类应用场景访问服务1万次以上的日访问量，在线用户数不低于1000，在500个高并发用户状态下的系统响应时间小于3s性能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2.2.2 </w:t>
      </w:r>
      <w:r>
        <w:rPr>
          <w:rFonts w:hint="eastAsia" w:ascii="宋体" w:hAnsi="宋体"/>
          <w:sz w:val="21"/>
        </w:rPr>
        <w:t xml:space="preserve">国产</w:t>
      </w:r>
      <w:r>
        <w:rPr>
          <w:rFonts w:hint="eastAsia" w:ascii="宋体" w:hAnsi="宋体"/>
          <w:sz w:val="21"/>
        </w:rPr>
        <w:t xml:space="preserve">适配要求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可适配主流品牌国产CPU处理器，可适配主流品牌国产操作系统，可适配主流品牌国产数据库，可适配主流品牌国产中间件，满足国产化环境部署要求。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2.2.3 软件质量因素其他需求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（1）可靠性需求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保证系统数据的一致性、完整性、准确性要求达到99.9%。</w:t>
      </w:r>
      <w:r/>
    </w:p>
    <w:p>
      <w:pPr>
        <w:ind w:left="0" w:firstLine="420"/>
        <w:spacing w:line="360" w:lineRule="auto"/>
        <w:tabs>
          <w:tab w:val="left" w:pos="420" w:leader="none"/>
        </w:tabs>
        <w:rPr>
          <w:rFonts w:ascii="宋体" w:hAnsi="宋体"/>
          <w:sz w:val="21"/>
        </w:rPr>
      </w:pPr>
      <w:r>
        <w:rPr>
          <w:rFonts w:hint="eastAsia" w:ascii="宋体" w:hAnsi="宋体"/>
          <w:sz w:val="21"/>
        </w:rPr>
        <w:t xml:space="preserve">在应用软件开发中能够充分利用数据库的安全机制和错误恢复机制，保证数据的准确性和完整性。</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系统能够提供满足7×24小时不宕机、不间断的持续服务能力。系统的投入、退出和异常停止后，不应影响其它系统的正常业务。在出现故障的时候，必须能够及时提供应急措施，以确保整个业务系统的不中断。</w:t>
      </w:r>
      <w:r/>
    </w:p>
    <w:p>
      <w:pPr>
        <w:ind w:left="0" w:firstLine="420"/>
        <w:spacing w:line="360" w:lineRule="auto"/>
        <w:tabs>
          <w:tab w:val="left" w:pos="420" w:leader="none"/>
        </w:tabs>
        <w:rPr>
          <w:rFonts w:ascii="宋体" w:hAnsi="宋体"/>
          <w:sz w:val="21"/>
        </w:rPr>
      </w:pPr>
      <w:r>
        <w:rPr>
          <w:rFonts w:hint="eastAsia" w:ascii="宋体" w:hAnsi="宋体"/>
          <w:sz w:val="21"/>
        </w:rPr>
        <w:t xml:space="preserve">用户界面程序异常停止后，不会影响服务器端系统和其他用户界面的正常运行。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（2）界面需求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系统应当提供操作友好的界面， 使用者通过一定的培训和学习可以熟练使用。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2.建设要求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2.1 软件建设要求</w:t>
      </w:r>
      <w:r/>
    </w:p>
    <w:tbl>
      <w:tblPr>
        <w:tblStyle w:val="1453"/>
        <w:tblW w:w="9558" w:type="dxa"/>
        <w:tblLook w:val="04A0" w:firstRow="1" w:lastRow="0" w:firstColumn="1" w:lastColumn="0" w:noHBand="0" w:noVBand="1"/>
      </w:tblPr>
      <w:tblGrid>
        <w:gridCol w:w="846"/>
        <w:gridCol w:w="1417"/>
        <w:gridCol w:w="2694"/>
        <w:gridCol w:w="3402"/>
        <w:gridCol w:w="1199"/>
      </w:tblGrid>
      <w:tr>
        <w:trPr>
          <w:trHeight w:val="650"/>
        </w:trPr>
        <w:tc>
          <w:tcPr>
            <w:tcW w:w="846"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序号</w:t>
            </w:r>
            <w:r/>
          </w:p>
        </w:tc>
        <w:tc>
          <w:tcPr>
            <w:tcW w:w="1417"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建设项目</w:t>
            </w:r>
            <w:r/>
          </w:p>
        </w:tc>
        <w:tc>
          <w:tcPr>
            <w:tcW w:w="2694"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功能模块</w:t>
            </w:r>
            <w:r/>
          </w:p>
        </w:tc>
        <w:tc>
          <w:tcPr>
            <w:tcW w:w="3402"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功能描述</w:t>
            </w:r>
            <w:r/>
          </w:p>
        </w:tc>
        <w:tc>
          <w:tcPr>
            <w:tcW w:w="1199"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数量</w:t>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综合分析</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卫生健康指标平台</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整合全市医疗数据资源，构建统一指标体系、统一数据口径、统一管理规范、统一分析服务的一体化应用系统</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卫生健康指标应用系统</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卫生健康指标规范体系建设</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2</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苏州市卫生健康协同平台</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统一组织机构管理</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构建统一机构管理、统一访问授权，打破医疗机构之间的信息壁垒，全面提升医疗卫生体系内协同效率，降低沟通协作成本。</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统一业务协同</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信访管理</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互联网医院协同总线</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双向转诊</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3</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便民服务平台</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12320公众号系统重构</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hint="eastAsia" w:ascii="宋体" w:hAnsi="宋体"/>
                <w:sz w:val="21"/>
                <w:szCs w:val="21"/>
                <w14:ligatures w14:val="standardContextual"/>
              </w:rPr>
              <w:t xml:space="preserve">提升服务效能与智能化水平，为市民提供更便捷、高效、精准的卫生健康服务体验。</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卫生热线智能知识中心建设</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bl>
    <w:p>
      <w:pPr>
        <w:ind w:left="0" w:firstLine="400"/>
        <w:spacing w:line="360" w:lineRule="auto"/>
        <w:tabs>
          <w:tab w:val="left" w:pos="420" w:leader="none"/>
        </w:tabs>
      </w:pPr>
      <w:r/>
      <w:r/>
    </w:p>
    <w:p>
      <w:pPr>
        <w:ind w:left="0" w:firstLine="420"/>
        <w:spacing w:line="360" w:lineRule="auto"/>
        <w:tabs>
          <w:tab w:val="left" w:pos="420" w:leader="none"/>
        </w:tabs>
        <w:rPr>
          <w:rFonts w:ascii="宋体" w:hAnsi="宋体"/>
          <w:sz w:val="21"/>
        </w:rPr>
      </w:pPr>
      <w:r>
        <w:rPr>
          <w:rFonts w:hint="eastAsia" w:ascii="宋体" w:hAnsi="宋体"/>
          <w:sz w:val="21"/>
        </w:rPr>
        <w:t xml:space="preserve">2.2 配套设施采购要求</w:t>
      </w:r>
      <w:r/>
    </w:p>
    <w:tbl>
      <w:tblPr>
        <w:tblStyle w:val="1452"/>
        <w:tblW w:w="9640" w:type="dxa"/>
        <w:tblLayout w:type="fixed"/>
        <w:tblLook w:val="04A0" w:firstRow="1" w:lastRow="0" w:firstColumn="1" w:lastColumn="0" w:noHBand="0" w:noVBand="1"/>
      </w:tblPr>
      <w:tblGrid>
        <w:gridCol w:w="846"/>
        <w:gridCol w:w="1417"/>
        <w:gridCol w:w="1985"/>
        <w:gridCol w:w="4394"/>
        <w:gridCol w:w="998"/>
      </w:tblGrid>
      <w:tr>
        <w:trPr>
          <w:trHeight w:val="300"/>
        </w:trPr>
        <w:tc>
          <w:tcPr>
            <w:tcW w:w="846"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W w:w="1417"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建设项目</w:t>
            </w:r>
            <w:r/>
          </w:p>
        </w:tc>
        <w:tc>
          <w:tcPr>
            <w:tcW w:w="1985"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功能模块</w:t>
            </w:r>
            <w:r/>
          </w:p>
        </w:tc>
        <w:tc>
          <w:tcPr>
            <w:tcW w:w="4394"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功能描述</w:t>
            </w:r>
            <w:r/>
          </w:p>
        </w:tc>
        <w:tc>
          <w:tcPr>
            <w:tcW w:w="998"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数量</w:t>
            </w:r>
            <w:r/>
          </w:p>
        </w:tc>
      </w:tr>
      <w:tr>
        <w:trPr>
          <w:trHeight w:val="780"/>
        </w:trPr>
        <w:tc>
          <w:tcPr>
            <w:tcW w:w="846"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W w:w="1417"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苏州市卫生健康协同平台</w:t>
            </w:r>
            <w:r/>
          </w:p>
        </w:tc>
        <w:tc>
          <w:tcPr>
            <w:tcW w:w="1985"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苏卫通APP</w:t>
            </w:r>
            <w:r/>
          </w:p>
        </w:tc>
        <w:tc>
          <w:tcPr>
            <w:tcW w:w="4394" w:type="dxa"/>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实现医疗体系人员快速沟通、组织会议、快速呼叫、培训协作、协同卡片及协同场景应用建设等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290"/>
        </w:trPr>
        <w:tc>
          <w:tcPr>
            <w:tcW w:w="846"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W w:w="1417"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便民服务平台</w:t>
            </w:r>
            <w:r/>
          </w:p>
        </w:tc>
        <w:tc>
          <w:tcPr>
            <w:tcW w:w="1985"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12320密评改造配套软件</w:t>
            </w:r>
            <w:r/>
          </w:p>
        </w:tc>
        <w:tc>
          <w:tcPr>
            <w:tcW w:w="4394" w:type="dxa"/>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保护健康隐私与数据不被窃听、篡改、冒用，满足国家密评标准，包含密码服务平台、数据加解密系统、站点证书、个人数字证书、安全浏览器等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W w:w="1417" w:type="dxa"/>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基础支撑应用体系及网络安全升级</w:t>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安全态势与监管一体化平台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建设安全态势与监管一体化平台，捕捉市内医疗机构安全事件与潜在漏洞，实现异常后即时通报、快速预警等。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特权账号监测与管理系统</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建设特权账号监测与管理系统，满足苏州市卫生健康委员会800+服务器资产、30+业务系统、50+数据库特权账号监测和管理需求</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网络运维监控管理平台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建设网络运维监控管理平台，打造“业务、软件、网络、设备”多个运维监控视角的运维体系。</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数据安全运营监测平台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建设数据库安全运营监测平台，满足数据资产管理、数据安全风险监测、数据安全流转监控、数据安全策略统一管控等需求。</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数据库审计平台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建设数据库审计平台，通过对访问数据库的行为进行记录与多角度分析，对异常行为进行告警通知、审计记录和事后追踪分析。</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防统方集中管理平台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建设防统方集中管理平台，实现苏州全市医疗机构统方行为统一监管、违规统方事件统一处理。</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防黄牛智能风控系统</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建设防黄牛智能风控系统，智能识别黄牛行为，快速响应黄牛攻击手法，实现精准化、动态化的防护。</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ascii="宋体" w:hAnsi="宋体"/>
                <w:color w:val="000000"/>
                <w:sz w:val="21"/>
                <w:szCs w:val="21"/>
              </w:rPr>
            </w:r>
            <w:r/>
          </w:p>
          <w:p>
            <w:pPr>
              <w:ind w:left="0"/>
              <w:jc w:val="left"/>
              <w:rPr>
                <w:rFonts w:ascii="宋体" w:hAnsi="宋体"/>
                <w:color w:val="000000"/>
                <w:sz w:val="21"/>
                <w:szCs w:val="21"/>
              </w:rPr>
            </w:pPr>
            <w:r>
              <w:rPr>
                <w:rFonts w:ascii="宋体" w:hAnsi="宋体"/>
                <w:color w:val="000000"/>
                <w:sz w:val="21"/>
                <w:szCs w:val="21"/>
              </w:rPr>
            </w:r>
            <w:r/>
          </w:p>
          <w:p>
            <w:pPr>
              <w:ind w:left="0"/>
              <w:jc w:val="left"/>
              <w:rPr>
                <w:rFonts w:ascii="宋体" w:hAnsi="宋体"/>
                <w:color w:val="000000"/>
                <w:sz w:val="21"/>
                <w:szCs w:val="21"/>
              </w:rPr>
            </w:pPr>
            <w:r>
              <w:rPr>
                <w:rFonts w:hint="eastAsia" w:ascii="宋体" w:hAnsi="宋体"/>
                <w:color w:val="000000"/>
                <w:sz w:val="21"/>
                <w:szCs w:val="21"/>
              </w:rPr>
              <w:t xml:space="preserve">AI大模型安全</w:t>
            </w:r>
            <w:r>
              <w:rPr>
                <w:rFonts w:hint="eastAsia" w:ascii="宋体" w:hAnsi="宋体"/>
                <w:sz w:val="21"/>
              </w:rPr>
              <w:t xml:space="preserve">防护</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1）建设</w:t>
            </w:r>
            <w:r>
              <w:rPr>
                <w:rFonts w:hint="eastAsia" w:ascii="宋体" w:hAnsi="宋体"/>
                <w:color w:val="000000"/>
                <w:sz w:val="21"/>
                <w:szCs w:val="21"/>
              </w:rPr>
              <w:t xml:space="preserve">大模型内容安全护栏，实现对输入输出内容高效检测，以及敏感问题安全代答等</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2）建设</w:t>
            </w:r>
            <w:r>
              <w:rPr>
                <w:rFonts w:hint="eastAsia" w:ascii="宋体" w:hAnsi="宋体"/>
                <w:color w:val="000000"/>
                <w:sz w:val="21"/>
                <w:szCs w:val="21"/>
              </w:rPr>
              <w:t xml:space="preserve">大模型内容安全评测</w:t>
            </w:r>
            <w:r>
              <w:rPr>
                <w:rFonts w:hint="eastAsia" w:ascii="宋体" w:hAnsi="宋体"/>
                <w:color w:val="000000"/>
                <w:sz w:val="21"/>
                <w:szCs w:val="21"/>
              </w:rPr>
              <w:t xml:space="preserve">，</w:t>
            </w:r>
            <w:r>
              <w:rPr>
                <w:rFonts w:hint="eastAsia" w:ascii="宋体" w:hAnsi="宋体"/>
                <w:color w:val="000000"/>
                <w:sz w:val="21"/>
                <w:szCs w:val="21"/>
              </w:rPr>
              <w:t xml:space="preserve">提供数据集管理、模型管理以及安全评测等</w:t>
            </w:r>
            <w:r>
              <w:rPr>
                <w:rFonts w:hint="eastAsia" w:ascii="宋体" w:hAnsi="宋体"/>
                <w:color w:val="000000"/>
                <w:sz w:val="21"/>
                <w:szCs w:val="21"/>
              </w:rPr>
              <w:t xml:space="preserve">；</w:t>
            </w:r>
            <w:r/>
          </w:p>
          <w:p>
            <w:pPr>
              <w:ind w:left="0"/>
              <w:jc w:val="left"/>
            </w:pPr>
            <w:r>
              <w:rPr>
                <w:rFonts w:hint="eastAsia" w:ascii="宋体" w:hAnsi="宋体"/>
                <w:color w:val="000000"/>
                <w:sz w:val="21"/>
                <w:szCs w:val="21"/>
              </w:rPr>
              <w:t xml:space="preserve">3）建设</w:t>
            </w:r>
            <w:r>
              <w:rPr>
                <w:rFonts w:hint="eastAsia" w:ascii="宋体" w:hAnsi="宋体"/>
                <w:color w:val="000000"/>
                <w:sz w:val="21"/>
                <w:szCs w:val="21"/>
              </w:rPr>
              <w:t xml:space="preserve">大模型系统安全检测平台</w:t>
            </w:r>
            <w:r>
              <w:rPr>
                <w:rFonts w:hint="eastAsia" w:ascii="宋体" w:hAnsi="宋体"/>
                <w:color w:val="000000"/>
                <w:sz w:val="21"/>
                <w:szCs w:val="21"/>
              </w:rPr>
              <w:t xml:space="preserve">，</w:t>
            </w:r>
            <w:r>
              <w:rPr>
                <w:rFonts w:hint="eastAsia" w:ascii="宋体" w:hAnsi="宋体"/>
                <w:color w:val="000000"/>
                <w:sz w:val="21"/>
                <w:szCs w:val="21"/>
              </w:rPr>
              <w:t xml:space="preserve">包括组件安全性检测、服务安全检测以及模型文件检测等。</w:t>
            </w:r>
            <w:r/>
          </w:p>
        </w:tc>
        <w:tc>
          <w:tcPr>
            <w:tcW w:w="998" w:type="dxa"/>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rPr>
            </w:r>
            <w:r/>
          </w:p>
          <w:p>
            <w:pPr>
              <w:ind w:left="0"/>
              <w:jc w:val="center"/>
              <w:rPr>
                <w:rFonts w:ascii="宋体" w:hAnsi="宋体" w:cs="宋体"/>
                <w:color w:val="000000"/>
                <w:sz w:val="21"/>
                <w:szCs w:val="21"/>
              </w:rPr>
            </w:pPr>
            <w:r>
              <w:rPr>
                <w:rFonts w:ascii="宋体" w:hAnsi="宋体" w:cs="宋体"/>
                <w:color w:val="000000"/>
                <w:sz w:val="21"/>
                <w:szCs w:val="21"/>
              </w:rPr>
            </w:r>
            <w:r/>
          </w:p>
          <w:p>
            <w:pPr>
              <w:ind w:left="0" w:firstLine="210"/>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应用服务部署管理平台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建设容器云平台，容器安全、提供容器安全态势感知、容器云微隔离平台以及功能</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网闸</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设备不依赖规则库对抗协议层攻击，阻断各种潜在攻击路径</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跨境VPN监控设备</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提高私自使用跨境VPN的监管力度。</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便携式安全检查工具箱</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快速检查分析对象各类安全要求是否达标，定位分析问题并协助整改。</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数据库运维安全网关设备</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可以对多种攻击场景提供有效防护。</w:t>
            </w:r>
            <w:r/>
          </w:p>
        </w:tc>
        <w:tc>
          <w:tcPr>
            <w:tcW w:w="998" w:type="dxa"/>
            <w:textDirection w:val="lrTb"/>
            <w:noWrap w:val="false"/>
          </w:tcPr>
          <w:p>
            <w:pPr>
              <w:ind w:left="0"/>
              <w:jc w:val="center"/>
              <w:rPr>
                <w:rFonts w:ascii="宋体" w:hAnsi="宋体"/>
                <w:color w:val="000000"/>
                <w:sz w:val="21"/>
                <w:szCs w:val="21"/>
              </w:rPr>
            </w:pPr>
            <w:r/>
            <w:bookmarkStart w:id="144" w:name="RANGE!F19"/>
            <w:r>
              <w:rPr>
                <w:rFonts w:hint="eastAsia" w:ascii="宋体" w:hAnsi="宋体"/>
                <w:color w:val="000000"/>
                <w:sz w:val="21"/>
                <w:szCs w:val="21"/>
              </w:rPr>
              <w:t xml:space="preserve">1台</w:t>
            </w:r>
            <w:bookmarkEnd w:id="144"/>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应用（API）监测与防护网关</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可以实现对异常请求的识别与阻断。</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IPSec/SSL VPN综合安全网关</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具有IPSec VPN功能、SSL VPN功能和信息加密功能</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云服务器密码机</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为业务系统提供密钥的安全管理</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签名验签服务器</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提供随机数产生功能，产生的随机数符合要求规范</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智能密码钥匙</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USBkey</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15个</w:t>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2.3 配套服务要求</w:t>
      </w:r>
      <w:r/>
    </w:p>
    <w:tbl>
      <w:tblPr>
        <w:tblStyle w:val="1454"/>
        <w:tblW w:w="0" w:type="auto"/>
        <w:jc w:val="center"/>
        <w:tblLook w:val="04A0" w:firstRow="1" w:lastRow="0" w:firstColumn="1" w:lastColumn="0" w:noHBand="0" w:noVBand="1"/>
      </w:tblPr>
      <w:tblGrid>
        <w:gridCol w:w="1129"/>
        <w:gridCol w:w="1276"/>
        <w:gridCol w:w="1848"/>
        <w:gridCol w:w="4377"/>
        <w:gridCol w:w="1026"/>
      </w:tblGrid>
      <w:tr>
        <w:trPr>
          <w:cantSplit/>
          <w:jc w:val="center"/>
        </w:trPr>
        <w:tc>
          <w:tcPr>
            <w:tcW w:w="1129" w:type="dxa"/>
            <w:vAlign w:val="center"/>
            <w:textDirection w:val="lrTb"/>
            <w:noWrap w:val="false"/>
          </w:tcPr>
          <w:p>
            <w:pPr>
              <w:ind w:left="0"/>
              <w:jc w:val="center"/>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序号</w:t>
            </w:r>
            <w:r/>
          </w:p>
        </w:tc>
        <w:tc>
          <w:tcPr>
            <w:tcW w:w="1276"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建设项目</w:t>
            </w:r>
            <w:r/>
          </w:p>
        </w:tc>
        <w:tc>
          <w:tcPr>
            <w:tcW w:w="1848"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服务名称</w:t>
            </w:r>
            <w:r/>
          </w:p>
        </w:tc>
        <w:tc>
          <w:tcPr>
            <w:tcW w:w="4377"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功能描述</w:t>
            </w:r>
            <w:r/>
          </w:p>
        </w:tc>
        <w:tc>
          <w:tcPr>
            <w:tcW w:w="1026" w:type="dxa"/>
            <w:vAlign w:val="center"/>
            <w:textDirection w:val="lrTb"/>
            <w:noWrap/>
          </w:tcPr>
          <w:p>
            <w:pPr>
              <w:ind w:left="0"/>
              <w:jc w:val="center"/>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数量</w:t>
            </w:r>
            <w:r/>
          </w:p>
        </w:tc>
      </w:tr>
      <w:tr>
        <w:trPr>
          <w:cantSplit/>
          <w:jc w:val="center"/>
        </w:trPr>
        <w:tc>
          <w:tcPr>
            <w:tcW w:w="1129" w:type="dxa"/>
            <w:vAlign w:val="center"/>
            <w:vMerge w:val="restart"/>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1</w:t>
            </w:r>
            <w:r/>
          </w:p>
        </w:tc>
        <w:tc>
          <w:tcPr>
            <w:tcW w:w="1276" w:type="dxa"/>
            <w:vAlign w:val="center"/>
            <w:vMerge w:val="restar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基础设施与网络安全升级</w:t>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数据安全风险评估服务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提供数据安全风险评估服务，包括制定评估计划、信息收集、数据应用场景分析、风险分析与评估等，输出数据安全风险评估报告。</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web应用防护服务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通过web防护设备进行web应用威胁识别分析，以及web安全日志查看，基于实际运行数据持续优化防护策略，持续运营。</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数据内容安全审核监测服务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提供数据内容安全审核监测服务，包括内容监测、外链监测、隐私信息监测、政治性错误以及重点词识别、网站可用性监测等，输出数据内容安全审核监测报告。</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3.详细</w:t>
      </w:r>
      <w:r>
        <w:rPr>
          <w:rFonts w:hint="eastAsia" w:ascii="宋体" w:hAnsi="宋体"/>
          <w:sz w:val="21"/>
        </w:rPr>
        <w:t xml:space="preserve">软件</w:t>
      </w:r>
      <w:r>
        <w:rPr>
          <w:rFonts w:hint="eastAsia" w:ascii="宋体" w:hAnsi="宋体"/>
          <w:sz w:val="21"/>
        </w:rPr>
        <w:t xml:space="preserve">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3.1综合分析平台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以健康医疗大数据中心为底座，整合全市医疗数据资源，构建统一指标体系、统一数据口径、统一管理规范、统一分析服务的一体化应用系统。平台覆盖指标库管理、指标全生命周期配置、数据自动采集、卫统数据导入、指标</w:t>
      </w:r>
      <w:r>
        <w:rPr>
          <w:rFonts w:hint="eastAsia" w:ascii="宋体" w:hAnsi="宋体"/>
          <w:sz w:val="21"/>
        </w:rPr>
        <w:t xml:space="preserve">计算调度、自助分析、驾驶舱可视化、AI 智能问答与报告生成等核心能力，实现从数据汇聚、治理、计算到分析应用的全流程闭环支撑，全面满足市级卫健部门数据治理、业务协同、科学决策与便民服务需求。平台具备指标血缘可视化、口径配置、计算规则配置、多部门协同共享、GPT 自然语言问数等优势功能，支持指标版本追溯、变更影响分析、数据自动校验与审核闭环，可大幅降低人工填报与数据汇总成本，提升数据准确性、时效性与决策智能化水平，同时满足等保合规、数据安全、商用密码应用等安全要求，为苏州市卫生健康高质量发展提供坚实数字化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3.1.1 卫生健康指标平台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3.1.1.1 指标库子系统建设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作为平台数据字典与资产中心，实现全市卫生健康指标标准化、规范化、全生命周期管理，统一指标定义与口径，为数据治理与资产化提供核心支撑。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3.1.1.2 指标管理子系统建设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指标新建、口径配置、信息管理、变更审批、版本追溯、血缘跟踪、标签管理、共享发布及停用管控，实现指标全生命周期规范化、流程化、可追溯管理。系统应提供可视化指标配置能力，支持通过拖拽方式配置指标计算公式和计算逻辑，支持新增计算指标；支持多维统计口径配置，可按机构标签、行政区划、机构等级、机构类别等维度定义和维护指标口径，实现指标标准化管理和统一应用。</w:t>
      </w:r>
      <w:r/>
    </w:p>
    <w:p>
      <w:pPr>
        <w:ind w:left="0" w:firstLine="420"/>
        <w:spacing w:line="360" w:lineRule="auto"/>
        <w:tabs>
          <w:tab w:val="left" w:pos="420" w:leader="none"/>
        </w:tabs>
        <w:rPr>
          <w:rFonts w:ascii="宋体" w:hAnsi="宋体"/>
          <w:sz w:val="21"/>
        </w:rPr>
      </w:pPr>
      <w:r>
        <w:rPr>
          <w:rFonts w:hint="eastAsia" w:ascii="宋体" w:hAnsi="宋体"/>
          <w:sz w:val="21"/>
        </w:rPr>
        <w:t xml:space="preserve">3.1.1.3 指标数据管理子系统建设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支持数据在线填报、进度跟踪、实时校验、修改留痕，提供 API 自动采集、定时计算、数据确认与日志监测，具备自动化审核、待办工作台、状态管理及已入库数据修改申请与审批功能，实现指标数据全流程规范化管理。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3.1.1.4 卫统数据导入管理模块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建设卫统数据导入管理模块，支撑卫统系统导出数据的规范化接入、解析、校验、预览确认及入库管理，实现外部统计数据与平台统一数据体系的有序衔接。系统应支持授权用户通过指定导入入口上传卫统系统导出的月度、年度 Excel 报表文件，并对上传文件进行格式识别、数据解析、字段匹配和结构化处理。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解析完成后，系统应以网页表格形式展示导入数据内容，支持用户对数据进行预览、核对和确认。经用户确认后，系统按照预设数据映射关系及入库规则，将数据写入目标数据表，并可根据业务流程联动触发指标计算、报表更新等后续处理任务。通过该模块建设，提升卫统数据导入的标准化、准确性和处理效率，保障卫统数据稳定纳入平台统一分析应用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3.1.1.5 指标计算配置工具</w:t>
      </w:r>
      <w:r/>
    </w:p>
    <w:p>
      <w:pPr>
        <w:ind w:left="0" w:firstLine="420"/>
        <w:spacing w:line="360" w:lineRule="auto"/>
        <w:tabs>
          <w:tab w:val="left" w:pos="420" w:leader="none"/>
        </w:tabs>
        <w:rPr>
          <w:rFonts w:ascii="宋体" w:hAnsi="宋体"/>
          <w:sz w:val="21"/>
        </w:rPr>
      </w:pPr>
      <w:r>
        <w:rPr>
          <w:rFonts w:hint="eastAsia" w:ascii="宋体" w:hAnsi="宋体"/>
          <w:sz w:val="21"/>
        </w:rPr>
        <w:t xml:space="preserve">建设指标计算配置工具，支撑指标计算规则的统一配置、校验、执行和管理，实现指标加工过程的配置化、自动化和可追溯。系统应提供可视化规则编辑、计算公式配置、内置函数调用、规则校验、模拟执行、结果预览等功能，支持用户根据业务口径灵活维护指标计算逻辑，提升指标规则配置和维护效率。系统应支持定时调度，按照配置规则自动执行指标计算任务，并支持对计算结果进行写入。通过该工具建设，提升指标计算工作的规范性、透明度和可管控性，保障指标计算结果准确一致，为业务决策提供稳定可靠的数据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3.1.2 卫生健康指标应用系统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3.1.2.1 平台集成</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作为保障整个数据平台稳定、安全、高效运行的后台中枢，全面提供系统基础配置、用户权限、数据集成与安全合规等核心管理能力，核心涵盖协同平台门户集成相关功能：依据协同平台接口规范，开发 RESTful API等符合要求的接口并完成调试；数据传输前通过 “预处理” 环节实现原始后台数据与目标协同平台格式化消息体的映射转换，避免原始数据直接暴露；严格遵守数据安全与合规要求，对传输共享数据自动加解</w:t>
      </w:r>
      <w:r>
        <w:rPr>
          <w:rFonts w:hint="eastAsia" w:ascii="宋体" w:hAnsi="宋体"/>
          <w:sz w:val="21"/>
        </w:rPr>
        <w:t xml:space="preserve">密，尤其保障姓名、身份证号等敏感字段以密文形式传输，筑牢信息安全防线；基于用户所属角色配置多维度权限，既包含功能模块访问权限，也涵盖核心指标数据可见性权限，实现精细化权限管控，确保平台集成高效、安全、合规。</w:t>
      </w:r>
      <w:r/>
    </w:p>
    <w:p>
      <w:pPr>
        <w:ind w:left="0" w:firstLine="420"/>
        <w:spacing w:line="360" w:lineRule="auto"/>
        <w:tabs>
          <w:tab w:val="left" w:pos="420" w:leader="none"/>
        </w:tabs>
        <w:rPr>
          <w:rFonts w:ascii="宋体" w:hAnsi="宋体"/>
          <w:sz w:val="21"/>
        </w:rPr>
      </w:pPr>
      <w:r>
        <w:rPr>
          <w:rFonts w:hint="eastAsia" w:ascii="宋体" w:hAnsi="宋体"/>
          <w:sz w:val="21"/>
        </w:rPr>
        <w:t xml:space="preserve">3.1.2.2 卫生健康综合分析工具集子系统建设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作为数据平台核心应用窗口，提供了从宏观监控到微观探索的全链路分析能力，主要由指标数据自助分析、卫健综</w:t>
      </w:r>
      <w:r>
        <w:rPr>
          <w:rFonts w:hint="eastAsia" w:ascii="宋体" w:hAnsi="宋体"/>
          <w:sz w:val="21"/>
        </w:rPr>
        <w:t xml:space="preserve">合分析驾驶舱、主题可视化工具、卫生健康智能问数四大核心模块构成。系统支持按行政区划、机构等级、机构类别及固定机构范围等多维条件灵活筛选数据，自主选择统计周期和分析范围开展数据分析。支持基于自然语言的人机交互式智能问数能力，用户可直接输入业务问题，系统自动完成语义理解、指标匹配、数据检索、分析结果生成及可视化展示，并支持多轮连续追问、上下文理解、关联分析及数据下钻。支持将问数分析结果一键生成可视化驾驶舱，提供图表智能推荐、AI自动布局及拖拽式自定义编排能力，满足领导驾驶舱、专题分析和业务监测等多场景应用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3.1.3 卫生健康指标规范体系建设服务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3.1.3.1 卫健指标体系框架搭建</w:t>
      </w:r>
      <w:r/>
    </w:p>
    <w:p>
      <w:pPr>
        <w:ind w:left="0" w:firstLine="420"/>
        <w:spacing w:line="360" w:lineRule="auto"/>
        <w:tabs>
          <w:tab w:val="left" w:pos="420" w:leader="none"/>
        </w:tabs>
        <w:rPr>
          <w:rFonts w:ascii="宋体" w:hAnsi="宋体"/>
          <w:sz w:val="21"/>
        </w:rPr>
      </w:pPr>
      <w:r>
        <w:rPr>
          <w:rFonts w:hint="eastAsia" w:ascii="宋体" w:hAnsi="宋体"/>
          <w:sz w:val="21"/>
        </w:rPr>
        <w:t xml:space="preserve">采用自上而下拆解宏观目标、自下而上归集基层需求的双向融合方式，通过多维度全局框架分类整合，形成覆盖全面、逻辑严谨、与业务深度融合的系统化指标体系。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3.1.3.2 卫健指标常态化运营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建立指标全生命周期审核、分级评审、版本控制、权限管控与闭环反馈机制，健全指标定义、分类、数据质量及 API 对接统一规范，实现指标体系动态修订与标准化运维，保障指标口径统一、变更可溯、数据合规安全，全面适配业务发展与政策调整需求，支撑卫健指标体系长效稳定落地运行。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3.2卫生健康协同平台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须实现全市医疗机构组织架构统一管理、医务人员唯一数字身份单点通行、标准化数据接口互联互通及跨机构业务协同范式统一；打通跨层级业务线上闭环流转，提供“Web端+PC端+移动端”三位一体多端融合入口。整合碎片化服务资源，提供全生命周期连贯、精准的医疗健康协同服务，满足建设高效、智慧、整合型城市级医疗新体系的技术架构、数据治理与业务协同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通过整合各个系统的入口，实现全市卫健委信息化系统的统一入口。实现组织机构管理、用户管理、应用管理、角色管理、通知公告、集成接入、统一待办等功能。实现业务协同卡片应用、单聊、群聊、视频、线上会议、消息提醒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平台集成了包含数据统计的工作台、支持全流程操作的转诊协同与信访管理模块，并内置苏卫通IM即时通讯功能，实现了业务处理与沟通协作的一体化。</w:t>
      </w:r>
      <w:r/>
    </w:p>
    <w:p>
      <w:pPr>
        <w:ind w:left="0" w:firstLine="420"/>
        <w:spacing w:line="360" w:lineRule="auto"/>
        <w:tabs>
          <w:tab w:val="left" w:pos="420" w:leader="none"/>
        </w:tabs>
        <w:rPr>
          <w:rFonts w:ascii="宋体" w:hAnsi="宋体"/>
          <w:sz w:val="21"/>
        </w:rPr>
      </w:pPr>
      <w:r>
        <w:rPr>
          <w:rFonts w:hint="eastAsia" w:ascii="宋体" w:hAnsi="宋体"/>
          <w:sz w:val="21"/>
        </w:rPr>
        <w:t xml:space="preserve">3.2.1 统一组织机构管理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统一的身份认证与组织架构管控体系，实现组织机构树动态配置、用户全生命周期管理及跨系统基础数据实时同步治理；提供细粒度权限引擎，支持分级分域管理员授权、角色权限集中管控及应用资源灵活调度；提供多模式统一登录与单点登录（SSO）能力，完成与AI慢病助手系统、跨院MDT平台、公立医院治理管理平台、健康档案系统、临床科研综合服务系统、区域慢病管理系统、区域处方前置审核系统、生物医</w:t>
      </w:r>
      <w:r>
        <w:rPr>
          <w:rFonts w:hint="eastAsia" w:ascii="宋体" w:hAnsi="宋体"/>
          <w:sz w:val="21"/>
        </w:rPr>
        <w:t xml:space="preserve">药临床研究公共服务平台、数据治理平台、苏州市健康医疗大数据中心驾驶舱、肿瘤防治平台、智医助理、综合分析平台等外部系统的认证对接，并提供技术咨询和联调测试服务；打造集成化个人工作台，聚合今日事项、待办事项、通知公告、我的应用、功能直达及个人账户管理功能；提供统计分析操作日志模块，满足平台集约化管理、多系统安全互联、数据一致性保障与高效协同办公的总体技术要求，并以数据统计图表的形式进行展示。</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2</w:t>
      </w:r>
      <w:r>
        <w:rPr>
          <w:rFonts w:hint="eastAsia" w:ascii="宋体" w:hAnsi="宋体"/>
          <w:sz w:val="21"/>
        </w:rPr>
        <w:t xml:space="preserve">统一业务协同</w:t>
      </w:r>
      <w:r/>
    </w:p>
    <w:p>
      <w:pPr>
        <w:ind w:left="0" w:firstLine="420"/>
        <w:spacing w:line="360" w:lineRule="auto"/>
        <w:tabs>
          <w:tab w:val="left" w:pos="420" w:leader="none"/>
        </w:tabs>
        <w:rPr>
          <w:rFonts w:ascii="宋体" w:hAnsi="宋体"/>
          <w:sz w:val="21"/>
        </w:rPr>
      </w:pPr>
      <w:r>
        <w:rPr>
          <w:rFonts w:hint="eastAsia" w:ascii="宋体" w:hAnsi="宋体"/>
          <w:sz w:val="21"/>
        </w:rPr>
        <w:t xml:space="preserve">需构建统一消息推送引擎，支持多通道集成与精准定向调度，保障业务提醒、待办通知及系统告警高可靠触达；实现协同事项与场景全</w:t>
      </w:r>
      <w:r>
        <w:rPr>
          <w:rFonts w:hint="eastAsia" w:ascii="宋体" w:hAnsi="宋体"/>
          <w:sz w:val="21"/>
        </w:rPr>
        <w:t xml:space="preserve">生命周期管理，涵盖事项注册/发布/下架管控、场景全局属性定义、PC/移动端（苏卫通APP）灵活适配及执行效果多维统计分析；通过标准化流程与系统集成，落地AI全科医生、慢病管理、处方审核等典型应用，支撑跨部门/机构高效协同；通过协同卡片实现上转转诊操作、转诊记录查询等协同应用；制定统一场景接入规范并提供全流程实施支撑服务，重点围绕健康档案、慢病管理、区域处方前置审核、AI辅助诊断、跨院MDT、临床科研综合服务及肿瘤防治等七大核心场景开展规范化接入与可视化管控，全面实现医疗业务协同的标准化、高效化与智能化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3</w:t>
      </w:r>
      <w:r>
        <w:rPr>
          <w:rFonts w:hint="eastAsia" w:ascii="宋体" w:hAnsi="宋体"/>
          <w:sz w:val="21"/>
        </w:rPr>
        <w:t xml:space="preserve">信访管理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全流程闭环的信访管理模块，实现对信访事项的登记、事项批转、办结等功能。支持12345政务平台数据导入与手工登记，实现全量信访事项统一纳管；须按委级与部门级管理权限实现签收、批转、退回、延期、过程跟踪及办结审核等全生命周期流程管控，并提供多条件组合检索与信息导出功能；须内置延期申请与退回操作专项审核机制，确保流转合规、权责清晰、过程可溯；须配备多维度统计分析引擎，支持按办理状态、信访类型及业务领域进行数据归档、归类分析，全面满足信访事项高效协同流转、合规审计追溯与治理决策支撑的总体业务与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4</w:t>
      </w:r>
      <w:r>
        <w:rPr>
          <w:rFonts w:hint="eastAsia" w:ascii="宋体" w:hAnsi="宋体"/>
          <w:sz w:val="21"/>
        </w:rPr>
        <w:t xml:space="preserve"> 互联网医院协同总线</w:t>
      </w:r>
      <w:r/>
    </w:p>
    <w:p>
      <w:pPr>
        <w:ind w:left="0" w:firstLine="420"/>
        <w:spacing w:line="360" w:lineRule="auto"/>
        <w:tabs>
          <w:tab w:val="left" w:pos="420" w:leader="none"/>
        </w:tabs>
        <w:rPr>
          <w:rFonts w:ascii="宋体" w:hAnsi="宋体"/>
          <w:sz w:val="21"/>
        </w:rPr>
      </w:pPr>
      <w:r>
        <w:rPr>
          <w:rFonts w:hint="eastAsia" w:ascii="宋体" w:hAnsi="宋体"/>
          <w:sz w:val="21"/>
        </w:rPr>
        <w:t xml:space="preserve"> 构建“苏州市互联网医院协同总线”，作为全市统一的协同中枢，实现“统一标准、统一入口、集中对接、服务聚合”。通过标准化接口，与互联网医院系统的对接，提供统一API接口，支持第三方应用接入互联网医院协同总线。推动互联网医疗从“单体智能”迈向“系统协同”。通过对接互联网医院系统，获取患者在院内的个人档案信息，支持查询实时号源、联动患者建档状态、获取院区与科室信息，并提供按医院、科室、医生及时间段检索号源列表等功能，便于第三方系统实现跨医院的统一</w:t>
      </w:r>
      <w:r>
        <w:rPr>
          <w:rFonts w:hint="eastAsia" w:ascii="宋体" w:hAnsi="宋体"/>
          <w:sz w:val="21"/>
        </w:rPr>
        <w:t xml:space="preserve">预约</w:t>
      </w:r>
      <w:r>
        <w:rPr>
          <w:rFonts w:hint="eastAsia" w:ascii="宋体" w:hAnsi="宋体"/>
          <w:sz w:val="21"/>
        </w:rPr>
        <w:t xml:space="preserve">挂号服务。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5</w:t>
      </w:r>
      <w:r>
        <w:rPr>
          <w:rFonts w:hint="eastAsia" w:ascii="宋体" w:hAnsi="宋体"/>
          <w:sz w:val="21"/>
        </w:rPr>
        <w:t xml:space="preserve"> 双向转诊</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要求通过</w:t>
      </w:r>
      <w:r>
        <w:rPr>
          <w:rFonts w:hint="eastAsia" w:ascii="宋体" w:hAnsi="宋体"/>
          <w:sz w:val="21"/>
        </w:rPr>
        <w:t xml:space="preserve">标准化接口全面对接12320预约平台及第三方系统，实现号源数据实时同步与门诊转诊全流程贯通，支持转诊预约增删改操作及绿色通道服务，支持通过转诊模块对患者接收操作；内置可配置规则引擎，支持跨机构转诊关系设定、上下级分级转诊规则与优先级管理，结合外部系统参数智能校验保障流程规范与安全可控；提供按患者、医疗机构、医生等多维度的转诊业务综合查询与统计分析，配套开发PC/移动端转诊数字看板，动态汇聚市域各级医疗机构转诊申请与接收数据，实现转诊业务“一屏统览、全程可溯”，全面支撑分级诊疗制度落地与区域医疗资源高效协同。</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6</w:t>
      </w:r>
      <w:r>
        <w:rPr>
          <w:rFonts w:hint="eastAsia" w:ascii="宋体" w:hAnsi="宋体"/>
          <w:sz w:val="21"/>
        </w:rPr>
        <w:t xml:space="preserve"> 应用集成服务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须</w:t>
      </w:r>
      <w:r>
        <w:rPr>
          <w:rFonts w:hint="eastAsia" w:ascii="宋体" w:hAnsi="宋体"/>
          <w:sz w:val="21"/>
        </w:rPr>
        <w:t xml:space="preserve">提供完整的应用集成与协同支撑服务，构建统一动态的用户与组织机构治理体系，实现业务科室、成本科室与国家标准科室的智能对照映射与双向数据同步，建立用户全生命周期授权变更自动推送机制，并完成机构人员数据标准化API输出；完成其他业务系统接入统一用户认证体系支撑工作，涵盖技术规范指导、身份认证/组织同步/数据接口联调测试及上线切换保障；制定协同场景标准化接入规范，提供技术咨询、协同消息卡片与弹窗等关键交互功能的联调验证及平稳运行保障，全面满足跨系统数据一致性管控、标准化身份互联与多场景高效集成的总体技术与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3.3便民服务平台升级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 以微信公众号和卫生热线为主要入口，整合全市优质医疗服务资源，</w:t>
      </w:r>
      <w:r>
        <w:rPr>
          <w:rFonts w:hint="eastAsia" w:ascii="宋体" w:hAnsi="宋体"/>
          <w:sz w:val="21"/>
        </w:rPr>
        <w:t xml:space="preserve">提升服务效</w:t>
      </w:r>
      <w:r>
        <w:rPr>
          <w:rFonts w:hint="eastAsia" w:ascii="宋体" w:hAnsi="宋体"/>
          <w:sz w:val="21"/>
        </w:rPr>
        <w:t xml:space="preserve">能与智能化水平，为市民提供更便捷、高效、精准的卫生健康服务体验</w:t>
      </w:r>
      <w:r>
        <w:rPr>
          <w:rFonts w:hint="eastAsia" w:ascii="宋体" w:hAnsi="宋体"/>
          <w:sz w:val="21"/>
        </w:rPr>
        <w:t xml:space="preserve">。重构12320微信公众号和建设卫生热线智能知识中心，拓展服务渠道和能力。让居民足不出户即可享受预约挂号、报告查询、健康管理等便捷服务，提升公众的健康服务获得感和满意度。</w:t>
      </w:r>
      <w:r/>
    </w:p>
    <w:p>
      <w:pPr>
        <w:ind w:left="0" w:firstLine="420"/>
        <w:spacing w:line="360" w:lineRule="auto"/>
        <w:tabs>
          <w:tab w:val="left" w:pos="420" w:leader="none"/>
        </w:tabs>
        <w:rPr>
          <w:rFonts w:ascii="宋体" w:hAnsi="宋体"/>
          <w:sz w:val="21"/>
        </w:rPr>
      </w:pPr>
      <w:r>
        <w:rPr>
          <w:rFonts w:hint="eastAsia" w:ascii="宋体" w:hAnsi="宋体"/>
          <w:sz w:val="21"/>
        </w:rPr>
        <w:t xml:space="preserve">3.3.1 12320微信公众号系统重构</w:t>
      </w:r>
      <w:r/>
    </w:p>
    <w:p>
      <w:pPr>
        <w:ind w:left="0" w:firstLine="420"/>
        <w:spacing w:line="360" w:lineRule="auto"/>
        <w:tabs>
          <w:tab w:val="left" w:pos="420" w:leader="none"/>
        </w:tabs>
        <w:rPr>
          <w:rFonts w:ascii="宋体" w:hAnsi="宋体"/>
          <w:sz w:val="21"/>
        </w:rPr>
      </w:pPr>
      <w:r>
        <w:rPr>
          <w:rFonts w:hint="eastAsia" w:ascii="宋体" w:hAnsi="宋体"/>
          <w:sz w:val="21"/>
        </w:rPr>
        <w:t xml:space="preserve">为解决现有系统架构老化、体验不佳、支撑不足等问题，拟从用户端和管理端开展全面升级、优化服务流程、提升系统效率与稳定性。重点打造苏州卫生 12320 公众号用户端，市民完成注册绑定后可使用预约挂号、报告查询、预防接种、体检、健康百科等服务，围绕预约挂号核心业务对接平台数据，实现线上就医便捷化；后台基于现有平台整合功能，打通微信接口，搭建统一管理后台与可视化监测看板，支持医院</w:t>
      </w:r>
      <w:r>
        <w:rPr>
          <w:rFonts w:hint="eastAsia" w:ascii="宋体" w:hAnsi="宋体"/>
          <w:sz w:val="21"/>
        </w:rPr>
        <w:t xml:space="preserve">预约</w:t>
      </w:r>
      <w:r>
        <w:rPr>
          <w:rFonts w:hint="eastAsia" w:ascii="宋体" w:hAnsi="宋体"/>
          <w:sz w:val="21"/>
        </w:rPr>
        <w:t xml:space="preserve">挂号服务快速配置，具备用户及医院信息管理、数据统计、运维监控等能力，为公众号提供全流程运维与数据监管支撑。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1、用户端：需完成 12320 微信公众号用户端升级改造，重构预约挂号功能与流程。优化医院、科室、专家信息展示样式，支持多维度筛选，简化操作步骤。对首页、预约挂号、报告查询、预防接种、体检服务、健康百科等功能模块进行优化重构，适配老年人及特殊人群使用习惯，提升系统稳定性与用户体验。</w:t>
      </w:r>
      <w:r/>
    </w:p>
    <w:p>
      <w:pPr>
        <w:ind w:left="0" w:firstLine="420"/>
        <w:spacing w:line="360" w:lineRule="auto"/>
        <w:tabs>
          <w:tab w:val="left" w:pos="420" w:leader="none"/>
        </w:tabs>
        <w:rPr>
          <w:rFonts w:ascii="宋体" w:hAnsi="宋体"/>
          <w:sz w:val="21"/>
        </w:rPr>
      </w:pPr>
      <w:r>
        <w:rPr>
          <w:rFonts w:hint="eastAsia" w:ascii="宋体" w:hAnsi="宋体"/>
          <w:sz w:val="21"/>
        </w:rPr>
        <w:t xml:space="preserve">2、管理后台：需基于现有平台整合功能模块、打通微信相关接口，搭建统一运营管理后台及可视化监测看板，实现系统状态实时监控与医院</w:t>
      </w:r>
      <w:r>
        <w:rPr>
          <w:rFonts w:hint="eastAsia" w:ascii="宋体" w:hAnsi="宋体"/>
          <w:sz w:val="21"/>
        </w:rPr>
        <w:t xml:space="preserve">预约</w:t>
      </w:r>
      <w:r>
        <w:rPr>
          <w:rFonts w:hint="eastAsia" w:ascii="宋体" w:hAnsi="宋体"/>
          <w:sz w:val="21"/>
        </w:rPr>
        <w:t xml:space="preserve">挂号服务一键生成。需涵盖登录认证、查询统计、用户管理、医院信息管理、微信配置、预约规则设置、问卷管理、信息发布、集群管理等功能。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3.3.2 12320卫生热线智能知识中心</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覆盖热线语音、在线文本、坐席辅助及知识管理的全渠道智能客服体系。语音/文本客服支持7×24小时智能交互与自动化处理，具备大小模型定制及多轮对话能力，支持人机协作；坐席辅助系统实现实时语音转写、智能推荐、知识搜索及通话摘要生成等功能；业务问答库管理平台作为中枢支撑，涵盖FAQ、流程库及推理图谱的全生命周期管理；数据运营模块实现需求预判、热点分析及决策支持。系统全面提升12320热线服务效率与智能化水平。</w:t>
      </w:r>
      <w:r/>
    </w:p>
    <w:p>
      <w:pPr>
        <w:ind w:left="0" w:firstLine="420"/>
        <w:spacing w:line="360" w:lineRule="auto"/>
        <w:tabs>
          <w:tab w:val="left" w:pos="420" w:leader="none"/>
        </w:tabs>
        <w:rPr>
          <w:rFonts w:ascii="宋体" w:hAnsi="宋体"/>
          <w:sz w:val="21"/>
        </w:rPr>
      </w:pPr>
      <w:r>
        <w:rPr>
          <w:rFonts w:hint="eastAsia" w:ascii="宋体" w:hAnsi="宋体"/>
          <w:sz w:val="21"/>
        </w:rPr>
        <w:t xml:space="preserve">3.3.2.1 12320热线语音智能客服</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系统需要与现有12320热线平台完成对接，支持智能话务路由、快速转人工服务，具备语音识别、语音合成优化及语音线路监控能力。系统能够支持大、小模型深度定制，实现领域语义理解、意图处理、多轮对</w:t>
      </w:r>
      <w:r>
        <w:rPr>
          <w:rFonts w:hint="eastAsia" w:ascii="宋体" w:hAnsi="宋体"/>
          <w:sz w:val="21"/>
        </w:rPr>
        <w:t xml:space="preserve">话引导。系统支持对来电进行智能交互、流程引导及对话数据分析，能够实现7×24小时智能语音交互服务，实现来电问题自动化处理、智能转接，确保语音交互稳定、高效，满足12320热线服务需求。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3.3.2.2 12320坐席辅助系统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依托语音识别、语义分析、RAG增强检索生成及数据分析技术，对接热线平台获取实时通话语音流，对坐席与用户的通话开展全方位实时智能分析，为坐席提供即时业务指导，为管理人员提供高效的实时业务监控手段。</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支持会话内容实时转译展示，并持续优化语音识别效果，同时具备业务问答智能推荐与便捷检索能力。可实时抓取访客意图、解析用户画像并展示历史来电信息。能够对通话服务状态、客服规范用语进行智能预警提醒，精准识别通话中的挂号关键信息。通话结束后系统可自动生成通话内容摘要、智能判定话务类型，同时配备热点问题排名、知识收藏夹等辅助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3.3.2.3 在线文本智能客服</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系统基于自然语言理解、意图识别与知识图谱技术，为微信公众号等渠道提供即时文字咨询服务，支持多轮对话、意图澄清、上下文理解及人机协作。</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系统具备基础对话能力，包括QA问答、知识图谱问答、多轮任务对话、闲聊对话，支持意图跳转与实体识别，提供图形化对话管理工具，实现智能问答配置。系统支持全渠道接入，可适配 H5、微信公众号及API对接方式，并具备运营监控功能，支持人机协作模式。</w:t>
      </w:r>
      <w:r/>
    </w:p>
    <w:p>
      <w:pPr>
        <w:ind w:left="0" w:firstLine="420"/>
        <w:spacing w:line="360" w:lineRule="auto"/>
        <w:tabs>
          <w:tab w:val="left" w:pos="420" w:leader="none"/>
        </w:tabs>
        <w:rPr>
          <w:rFonts w:ascii="宋体" w:hAnsi="宋体"/>
          <w:sz w:val="21"/>
        </w:rPr>
      </w:pPr>
      <w:r>
        <w:rPr>
          <w:rFonts w:hint="eastAsia" w:ascii="宋体" w:hAnsi="宋体"/>
          <w:sz w:val="21"/>
        </w:rPr>
        <w:t xml:space="preserve">3.3.2.4 数据智能化运营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智能问答入口对于热点问题，可以输出实时的统计分析图表，对于关注的热点、突发性问题能够尽快反馈，便于相关业务部门了解和指导相关工作。 </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系统支持对于业务问答的热度、问题来源、月度数据咨询量</w:t>
      </w:r>
      <w:r>
        <w:rPr>
          <w:rFonts w:hint="eastAsia" w:ascii="宋体" w:hAnsi="宋体"/>
          <w:sz w:val="21"/>
        </w:rPr>
        <w:t xml:space="preserve">多维度统计</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3.3.2.5 语音识别与合成引擎模块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对于用户来电，提供ASR语音转换文本、TTS文本合成自然语音的引擎功能。上线前针对本地热线咨询内容进行模型调优。语音识别和合成引擎模块本地部署，30路并发，提供20路智能语音处理，10路人工坐席辅助应用。</w:t>
      </w:r>
      <w:r/>
    </w:p>
    <w:p>
      <w:pPr>
        <w:ind w:left="0" w:firstLine="420"/>
        <w:spacing w:line="360" w:lineRule="auto"/>
        <w:tabs>
          <w:tab w:val="left" w:pos="420" w:leader="none"/>
        </w:tabs>
        <w:rPr>
          <w:rFonts w:ascii="宋体" w:hAnsi="宋体"/>
          <w:sz w:val="21"/>
        </w:rPr>
      </w:pPr>
      <w:r>
        <w:rPr>
          <w:rFonts w:hint="eastAsia" w:ascii="宋体" w:hAnsi="宋体"/>
          <w:sz w:val="21"/>
        </w:rPr>
        <w:t xml:space="preserve">3.3.2.6 业务问答库管理平台</w:t>
      </w:r>
      <w:r/>
    </w:p>
    <w:p>
      <w:pPr>
        <w:ind w:left="0" w:firstLine="420"/>
        <w:spacing w:line="360" w:lineRule="auto"/>
        <w:tabs>
          <w:tab w:val="left" w:pos="420" w:leader="none"/>
        </w:tabs>
        <w:rPr>
          <w:rFonts w:ascii="宋体" w:hAnsi="宋体"/>
          <w:sz w:val="21"/>
        </w:rPr>
      </w:pPr>
      <w:r>
        <w:rPr>
          <w:rFonts w:ascii="宋体" w:hAnsi="宋体"/>
          <w:sz w:val="21"/>
        </w:rPr>
        <w:t xml:space="preserve">作为平台知识核心底座，完成业务知识标准化沉淀与便捷调用。搭建三大知识库体系：FAQ </w:t>
      </w:r>
      <w:r>
        <w:rPr>
          <w:rFonts w:ascii="宋体" w:hAnsi="宋体"/>
          <w:sz w:val="21"/>
        </w:rPr>
        <w:t xml:space="preserve">问答库支持问答内容编辑检索，实现知识统一运维；场景流程库</w:t>
      </w:r>
      <w:r>
        <w:rPr>
          <w:rFonts w:ascii="宋体" w:hAnsi="宋体"/>
          <w:sz w:val="21"/>
        </w:rPr>
        <w:t xml:space="preserve">可视化搭建多轮对话流程，灵活适配各类业务场景；文件库统筹资料存储、版本管控与权限划分，守护知识资产。同时配备平台通用权限体系，覆盖人员、部门、项目多级权限管控，支持批量操作与多角色协同办公，全方位满足知识管理、业务适配与团队协作需求。</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ascii="宋体" w:hAnsi="宋体"/>
          <w:sz w:val="21"/>
        </w:rPr>
        <w:t xml:space="preserve">.</w:t>
      </w:r>
      <w:r>
        <w:rPr>
          <w:rFonts w:hint="eastAsia" w:ascii="宋体" w:hAnsi="宋体"/>
          <w:sz w:val="21"/>
        </w:rPr>
        <w:t xml:space="preserve">配套设施采购要求</w:t>
      </w:r>
      <w:r/>
    </w:p>
    <w:p>
      <w:pPr>
        <w:ind w:left="0" w:firstLine="420"/>
        <w:spacing w:line="360" w:lineRule="auto"/>
        <w:tabs>
          <w:tab w:val="left" w:pos="420" w:leader="none"/>
        </w:tabs>
        <w:rPr>
          <w:rFonts w:ascii="宋体" w:hAnsi="宋体"/>
          <w:sz w:val="21"/>
        </w:rPr>
      </w:pPr>
      <w:r>
        <w:rPr>
          <w:rFonts w:ascii="宋体" w:hAnsi="宋体"/>
          <w:color w:val="000000"/>
          <w:sz w:val="21"/>
          <w:szCs w:val="21"/>
        </w:rPr>
        <w:t xml:space="preserve">4.1</w:t>
      </w:r>
      <w:r>
        <w:rPr>
          <w:rFonts w:hint="eastAsia" w:ascii="宋体" w:hAnsi="宋体"/>
          <w:sz w:val="21"/>
        </w:rPr>
        <w:t xml:space="preserve"> 苏卫通APP</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全面的即时通讯功能，支持用户进行单人聊天和群组聊天，具备消息已读/未读状态显示、消息撤回、文件传输、图片发送、群公告发布及群成员管理等能力。系统配备完整的通讯录功能，支持会话管理、会话</w:t>
      </w:r>
      <w:r>
        <w:rPr>
          <w:rFonts w:hint="eastAsia" w:ascii="宋体" w:hAnsi="宋体"/>
          <w:sz w:val="21"/>
        </w:rPr>
        <w:t xml:space="preserve">设置、黑白名单控制以及信息检索。同时，集成音视频会议功能，支持最多30人同时在线的并发会议，提供会议录制和即时发起会议等功能，提供第三方拉起内部实时会议，满足高效沟通与远程协作需求。</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 </w:t>
      </w:r>
      <w:r>
        <w:rPr>
          <w:rFonts w:ascii="宋体" w:hAnsi="宋体"/>
          <w:sz w:val="21"/>
        </w:rPr>
        <w:t xml:space="preserve">12320密评改</w:t>
      </w:r>
      <w:r>
        <w:rPr>
          <w:rFonts w:hint="eastAsia" w:ascii="宋体" w:hAnsi="宋体"/>
          <w:sz w:val="21"/>
        </w:rPr>
        <w:t xml:space="preserve">造配套</w:t>
      </w:r>
      <w:r>
        <w:rPr>
          <w:rFonts w:ascii="宋体" w:hAnsi="宋体"/>
          <w:sz w:val="21"/>
          <w:szCs w:val="21"/>
          <w14:ligatures w14:val="standardContextual"/>
        </w:rPr>
        <w:t xml:space="preserve">软件</w:t>
      </w:r>
      <w:r/>
    </w:p>
    <w:p>
      <w:pPr>
        <w:ind w:left="0" w:firstLine="420"/>
        <w:spacing w:line="360" w:lineRule="auto"/>
        <w:tabs>
          <w:tab w:val="left" w:pos="420" w:leader="none"/>
        </w:tabs>
        <w:rPr>
          <w:rFonts w:ascii="宋体" w:hAnsi="宋体"/>
          <w:sz w:val="21"/>
        </w:rPr>
      </w:pPr>
      <w:r>
        <w:rPr>
          <w:rFonts w:ascii="宋体" w:hAnsi="宋体"/>
          <w:sz w:val="21"/>
        </w:rPr>
        <w:t xml:space="preserve">4.2.1</w:t>
      </w:r>
      <w:r>
        <w:rPr>
          <w:rFonts w:hint="eastAsia" w:ascii="宋体" w:hAnsi="宋体"/>
          <w:sz w:val="21"/>
        </w:rPr>
        <w:t xml:space="preserve"> 密码服务平台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云密码资源池管理：实现密码设备资源的最大化利用、密码设备的集成管理、高效分配，支持HSM管理、VSM管理、驱动管理、分组管理等功能。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态势感知：利用数据分析和可视化技术，支持大屏展示，为用户呈现出全局安全态势，提供强大的事前、事中、事后安全管理能力，展示密码资源的运行状态和使用情况、密码服务的调用情况、密码服务的运行状态等。</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密钥管理：支持集中的应用密钥管理功能，包括对称密钥管理、非对称密钥管理、密钥状态查看、密钥销毁、密钥导入、密钥备份，便于进行密钥管理审计。</w:t>
      </w:r>
      <w:r/>
    </w:p>
    <w:p>
      <w:pPr>
        <w:ind w:left="0" w:firstLine="420"/>
        <w:spacing w:line="360" w:lineRule="auto"/>
        <w:tabs>
          <w:tab w:val="left" w:pos="420" w:leader="none"/>
        </w:tabs>
        <w:rPr>
          <w:rFonts w:ascii="宋体" w:hAnsi="宋体"/>
          <w:sz w:val="21"/>
        </w:rPr>
      </w:pPr>
      <w:r>
        <w:rPr>
          <w:rFonts w:hint="eastAsia" w:ascii="宋体" w:hAnsi="宋体"/>
          <w:sz w:val="21"/>
        </w:rPr>
        <w:t xml:space="preserve">应用管理：规范化应用管理，支持应用接入，可以灵活为应用系统启用、禁用调用的密码服务等。</w:t>
      </w:r>
      <w:r/>
    </w:p>
    <w:p>
      <w:pPr>
        <w:ind w:left="0" w:firstLine="420"/>
        <w:spacing w:line="360" w:lineRule="auto"/>
        <w:tabs>
          <w:tab w:val="left" w:pos="420" w:leader="none"/>
        </w:tabs>
        <w:rPr>
          <w:rFonts w:ascii="宋体" w:hAnsi="宋体"/>
          <w:sz w:val="21"/>
        </w:rPr>
      </w:pPr>
      <w:r>
        <w:rPr>
          <w:rFonts w:hint="eastAsia" w:ascii="宋体" w:hAnsi="宋体"/>
          <w:sz w:val="21"/>
        </w:rPr>
        <w:t xml:space="preserve">租户管理：实现每个租户之间的计算和服务隔离，支持按照租户维度添加业务应用、应用审批、分配密码服务。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密码服务负载：支持将密码服务或密码服务分组与应用进行动态配置，通过虚拟密码网关实现应用与密码服务或密码服务分组的动态调度和负载，防止密码服务单点故障导致应用瘫痪。</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密码服务调度：支持查看已注册的密码服务及运行状态，同时可以对密码服务进行分组。密码服务或密码服务分组根据需要可以动态分配给不同的应用或者租户进行调用。</w:t>
      </w:r>
      <w:r/>
    </w:p>
    <w:p>
      <w:pPr>
        <w:ind w:left="0" w:firstLine="420"/>
        <w:spacing w:line="360" w:lineRule="auto"/>
        <w:tabs>
          <w:tab w:val="left" w:pos="420" w:leader="none"/>
        </w:tabs>
        <w:rPr>
          <w:rFonts w:ascii="宋体" w:hAnsi="宋体"/>
          <w:sz w:val="21"/>
        </w:rPr>
      </w:pPr>
      <w:r>
        <w:rPr>
          <w:rFonts w:hint="eastAsia" w:ascii="宋体" w:hAnsi="宋体"/>
          <w:sz w:val="21"/>
        </w:rPr>
        <w:t xml:space="preserve">基础密码服务：支持封装不同厂家的密码机硬件接口，面向业务系统提供统一、规范的接口。</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支持通过设置基于标识或IP的白名单为应用系统接入授权，可以灵活为应用系统开通允许调用的密码服务，已经开通授权的应用允许调用相应的密码接口，被禁用业务应用会失去密码服务调用权限。</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记录平台用户的登录日志、管理员在后台系统的操作日志、以及业务系统调用密码服务的调用日志；支持三员管理模式，日志只针对审计员开放；提供根据操作方、IP地址等查询方式，可以根据业务系统、时间段、密码服务等维度进行统计。</w:t>
      </w:r>
      <w:r/>
    </w:p>
    <w:p>
      <w:pPr>
        <w:ind w:left="0" w:firstLine="420"/>
        <w:spacing w:line="360" w:lineRule="auto"/>
        <w:tabs>
          <w:tab w:val="left" w:pos="420" w:leader="none"/>
        </w:tabs>
        <w:rPr>
          <w:rFonts w:ascii="宋体" w:hAnsi="宋体"/>
          <w:sz w:val="21"/>
        </w:rPr>
      </w:pPr>
      <w:r>
        <w:rPr>
          <w:rFonts w:ascii="宋体" w:hAnsi="宋体"/>
          <w:sz w:val="21"/>
        </w:rPr>
        <w:t xml:space="preserve">4.2.2</w:t>
      </w:r>
      <w:r>
        <w:rPr>
          <w:rFonts w:hint="eastAsia" w:ascii="宋体" w:hAnsi="宋体"/>
          <w:sz w:val="21"/>
        </w:rPr>
        <w:t xml:space="preserve"> 数据加解密系统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密钥配置：可以配置应用系统签名使用的密钥对的索引。</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密钥预生成：系统可以预生成密钥共用应用系统使用，可以手动预生成密钥或者设置定时任务自动生成密钥。</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密钥归档：针对在系统中留存时间较长的密钥可以归档密钥，归档以后密钥状态失效，不允许继续使用，可以按年份、按应用、按时间范围归档密钥，可以通过归档恢复功能重新启用密钥。</w:t>
      </w:r>
      <w:r/>
    </w:p>
    <w:p>
      <w:pPr>
        <w:ind w:left="0" w:firstLine="420"/>
        <w:spacing w:line="360" w:lineRule="auto"/>
        <w:tabs>
          <w:tab w:val="left" w:pos="420" w:leader="none"/>
        </w:tabs>
        <w:rPr>
          <w:rFonts w:ascii="宋体" w:hAnsi="宋体"/>
          <w:sz w:val="21"/>
        </w:rPr>
      </w:pPr>
      <w:r>
        <w:rPr>
          <w:rFonts w:hint="eastAsia" w:ascii="宋体" w:hAnsi="宋体"/>
          <w:sz w:val="21"/>
        </w:rPr>
        <w:t xml:space="preserve">日志管理：日志管理包括登录日志、操作日志和服务日志，并提供对日志的查看功能。可根据IP地址进行查询。</w:t>
      </w:r>
      <w:r/>
    </w:p>
    <w:p>
      <w:pPr>
        <w:ind w:left="0" w:firstLine="420"/>
        <w:spacing w:line="360" w:lineRule="auto"/>
        <w:tabs>
          <w:tab w:val="left" w:pos="420" w:leader="none"/>
        </w:tabs>
        <w:rPr>
          <w:rFonts w:ascii="宋体" w:hAnsi="宋体"/>
          <w:sz w:val="21"/>
        </w:rPr>
      </w:pPr>
      <w:r>
        <w:rPr>
          <w:rFonts w:hint="eastAsia" w:ascii="宋体" w:hAnsi="宋体"/>
          <w:sz w:val="21"/>
        </w:rPr>
        <w:t xml:space="preserve">菜单管理：系统管理包括用户管理、角色管理和菜单管理，均实现了对系统内的维护功能。其中包含的具体功能有：新增、编辑、删除。</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数据加解密：对于一些重要的用户信息、组织机构信息、日志信息等可以使用该接口对相关的数据进行加密。在应用系统的数据进行页面展示时，调用此接口将数据解密后展示明文。</w:t>
      </w:r>
      <w:r/>
    </w:p>
    <w:p>
      <w:pPr>
        <w:ind w:left="0" w:firstLine="420"/>
        <w:spacing w:line="360" w:lineRule="auto"/>
        <w:tabs>
          <w:tab w:val="left" w:pos="420" w:leader="none"/>
        </w:tabs>
        <w:rPr>
          <w:rFonts w:ascii="宋体" w:hAnsi="宋体"/>
          <w:sz w:val="21"/>
        </w:rPr>
      </w:pPr>
      <w:r>
        <w:rPr>
          <w:rFonts w:hint="eastAsia" w:ascii="宋体" w:hAnsi="宋体"/>
          <w:sz w:val="21"/>
        </w:rPr>
        <w:t xml:space="preserve">批量加解密：此服务一般用在大批量处理用户信息的场景中，例如大量的历史用户信息需要进行处理，可以使用该接口进行批量的处理，简化调用流程。当有大量的密文数据信息需要展示，可调用此接口实现批量解密。</w:t>
      </w:r>
      <w:r/>
    </w:p>
    <w:p>
      <w:pPr>
        <w:ind w:left="0" w:firstLine="420"/>
        <w:spacing w:line="360" w:lineRule="auto"/>
        <w:tabs>
          <w:tab w:val="left" w:pos="420" w:leader="none"/>
        </w:tabs>
        <w:rPr>
          <w:rFonts w:ascii="宋体" w:hAnsi="宋体"/>
          <w:sz w:val="21"/>
        </w:rPr>
      </w:pPr>
      <w:r>
        <w:rPr>
          <w:rFonts w:hint="eastAsia" w:ascii="宋体" w:hAnsi="宋体"/>
          <w:sz w:val="21"/>
        </w:rPr>
        <w:t xml:space="preserve">文件加解密：为了保证存储安全，服务器内部存放的文件应该都是密文，因此在文件的收发文过程产生的文件，都应该进行加密，使文件以密文的形式在服务器上存储。当用户需要查看文件内容时，必须调用文件的解密接口将文件解密。</w:t>
      </w:r>
      <w:r/>
    </w:p>
    <w:p>
      <w:pPr>
        <w:ind w:left="0" w:firstLine="420"/>
        <w:spacing w:line="360" w:lineRule="auto"/>
        <w:tabs>
          <w:tab w:val="left" w:pos="420" w:leader="none"/>
        </w:tabs>
        <w:rPr>
          <w:rFonts w:ascii="宋体" w:hAnsi="宋体"/>
          <w:sz w:val="21"/>
        </w:rPr>
      </w:pPr>
      <w:r>
        <w:rPr>
          <w:rFonts w:hint="eastAsia" w:ascii="宋体" w:hAnsi="宋体"/>
          <w:sz w:val="21"/>
        </w:rPr>
        <w:t xml:space="preserve">签名验签：支持应用系统调用此服务对数据、文件签名和验签，验证数据在流转和存储过程中的真实性。</w:t>
      </w:r>
      <w:r/>
    </w:p>
    <w:p>
      <w:pPr>
        <w:ind w:left="0" w:firstLine="420"/>
        <w:spacing w:line="360" w:lineRule="auto"/>
        <w:tabs>
          <w:tab w:val="left" w:pos="420" w:leader="none"/>
        </w:tabs>
        <w:rPr>
          <w:rFonts w:ascii="宋体" w:hAnsi="宋体"/>
          <w:sz w:val="21"/>
        </w:rPr>
      </w:pPr>
      <w:r>
        <w:rPr>
          <w:rFonts w:ascii="宋体" w:hAnsi="宋体"/>
          <w:sz w:val="21"/>
        </w:rPr>
        <w:t xml:space="preserve">4.2.3</w:t>
      </w:r>
      <w:r>
        <w:rPr>
          <w:rFonts w:hint="eastAsia" w:ascii="宋体" w:hAnsi="宋体"/>
          <w:sz w:val="21"/>
        </w:rPr>
        <w:t xml:space="preserve"> 站点证书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第三方CA机构颁发，国密站点通配符证书（三年期），支持1个授权。</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4 个人数字证书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第三方CA机构颁发，国密个人数字证书（三年期），支持15个用户授权。</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5 安全浏览器</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浏览器支持 GMSSL 单向及双向链接；支持地址栏功能，提供输入地址、网页搜索快速访问对应网址的功能。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浏览器的任何操作行为数据都不会向外部（如：境外Chrome 后台）发送，确保数据安全。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支持与DNS服务器的安全通讯功能，支持安全浏览器客户端软件与DNS服务器间建立基于国密算法的加密数据传输安全通道，实现域名解析请求和返回的IP地址信息的加密传输。</w:t>
      </w:r>
      <w:r/>
    </w:p>
    <w:p>
      <w:pPr>
        <w:ind w:left="0" w:firstLine="420"/>
        <w:spacing w:line="360" w:lineRule="auto"/>
        <w:tabs>
          <w:tab w:val="left" w:pos="420" w:leader="none"/>
        </w:tabs>
        <w:rPr>
          <w:rFonts w:ascii="宋体" w:hAnsi="宋体"/>
          <w:sz w:val="21"/>
        </w:rPr>
      </w:pPr>
      <w:r>
        <w:rPr>
          <w:rFonts w:hint="eastAsia" w:ascii="宋体" w:hAnsi="宋体"/>
          <w:sz w:val="21"/>
        </w:rPr>
        <w:t xml:space="preserve">在SSL隧道下，吞吐率为≥100Mbps，单向SSL连接性能达到 ≥240 次/秒，CBC 解密模式下，SM4 算法的性能可达到≥8Gb/s。</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浏览器兼容互认国产操作系统。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提供15个用户授权。</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基础设施与网络安全升级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依托加速推进多维能力</w:t>
      </w:r>
      <w:r>
        <w:rPr>
          <w:rFonts w:hint="eastAsia" w:ascii="宋体" w:hAnsi="宋体"/>
          <w:sz w:val="21"/>
        </w:rPr>
        <w:t xml:space="preserve">深度融合的安全态势与监管一体化平台，全面统筹特权账号监测与管理、网络运维监控以及数据安全运营监测，协同部署数据库审计、防统方与智能风控系统以强化敏感数据流转与内部操作风险的精准管控，并集中配置网闸、跨境VPN监控设备、应用（API）防护网关及IPSec/SSL VPN综合安全网关等硬件设施与便携式安全检查工具箱，同时结合云服务器密码机、签名验签服务器及USBkey等关键密码基础设施夯实身份认证与数据加密底座，最终构建起一套集边界防护、数据治理与合规监管于一体的立体化安全防御体系，显著提高了整体安全防护能力。</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.1 安全态势与监管一体化软件升级  </w:t>
      </w:r>
      <w:r/>
    </w:p>
    <w:p>
      <w:pPr>
        <w:ind w:left="0" w:firstLine="420"/>
        <w:spacing w:line="360" w:lineRule="auto"/>
        <w:tabs>
          <w:tab w:val="left" w:pos="420" w:leader="none"/>
        </w:tabs>
        <w:rPr>
          <w:rFonts w:ascii="宋体" w:hAnsi="宋体"/>
          <w:sz w:val="21"/>
        </w:rPr>
      </w:pPr>
      <w:r>
        <w:rPr>
          <w:rFonts w:ascii="宋体" w:hAnsi="宋体"/>
          <w:sz w:val="21"/>
        </w:rPr>
        <w:t xml:space="preserve">要求为全市90个数据采集点部署探针，捕捉市内医疗机构出现的安全事件与潜在漏洞，要求发现异常后中心能够迅速开展通报、预警等工作，实现安全风险的及时管控。</w:t>
      </w:r>
      <w:r>
        <w:rPr>
          <w:rFonts w:ascii="宋体" w:hAnsi="宋体"/>
          <w:sz w:val="21"/>
        </w:rPr>
        <w:br/>
        <w:t xml:space="preserve">支持日志威胁分析管理和脆弱性发现管理，对辖区内网络攻击、漏洞信息进行识别研判，并通过推送发送给</w:t>
      </w:r>
      <w:r>
        <w:rPr>
          <w:rFonts w:ascii="宋体" w:hAnsi="宋体"/>
          <w:sz w:val="21"/>
        </w:rPr>
        <w:t xml:space="preserve">应急指挥。支持完成漏洞预警和事件通报。支持分布式部署方式，支持平台系统集群部署，能够平滑扩展平台处理能力。</w:t>
      </w:r>
      <w:r>
        <w:rPr>
          <w:rFonts w:ascii="宋体" w:hAnsi="宋体"/>
          <w:sz w:val="21"/>
        </w:rPr>
        <w:br/>
      </w:r>
      <w:r>
        <w:rPr>
          <w:rFonts w:hint="eastAsia" w:ascii="宋体" w:hAnsi="宋体"/>
          <w:sz w:val="21"/>
        </w:rPr>
        <w:t xml:space="preserve">  </w:t>
      </w:r>
      <w:r>
        <w:rPr>
          <w:rFonts w:ascii="宋体" w:hAnsi="宋体"/>
          <w:sz w:val="21"/>
        </w:rPr>
        <w:t xml:space="preserve">其中2个数据采集点检测性能不小于5Gbps，最大并发TCP会话数不小于200万，每秒新增TCP会话数不小于30000</w:t>
      </w:r>
      <w:r>
        <w:rPr>
          <w:rFonts w:hint="eastAsia" w:ascii="宋体" w:hAnsi="宋体"/>
          <w:sz w:val="21"/>
        </w:rPr>
        <w:t xml:space="preserve">。</w:t>
      </w:r>
      <w:r>
        <w:rPr>
          <w:rFonts w:ascii="宋体" w:hAnsi="宋体"/>
          <w:sz w:val="21"/>
        </w:rPr>
        <w:br/>
        <w:t xml:space="preserve"> 20个数据采集点检测性能不小于2Gbps，最大并发TCP会话数不小于180万，每秒新增TCP会话数不小于25000</w:t>
      </w:r>
      <w:r>
        <w:rPr>
          <w:rFonts w:hint="eastAsia" w:ascii="宋体" w:hAnsi="宋体"/>
          <w:sz w:val="21"/>
        </w:rPr>
        <w:t xml:space="preserve">。</w:t>
      </w:r>
      <w:r>
        <w:rPr>
          <w:rFonts w:ascii="宋体" w:hAnsi="宋体"/>
          <w:sz w:val="21"/>
        </w:rPr>
        <w:br/>
        <w:t xml:space="preserve"> 68个数据采集点检测性能不小于1Gbps，最大并发TCP会话数不小于50万，每秒新增TCP会话数不小于18000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.2 特权账号监测和管理系统升级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为满足苏州市卫生健康委员会800+服务器资产、30+业务系统、50+数据库特权账号监测和管理需求，要求使用内建Web服务、数据库、中间件，形成整套自运行的集群环境，支持纯信创环境交付，提供800资产授权，20个管理账号授权。</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支持纳管的资产包括但不限于：</w:t>
      </w:r>
      <w:r>
        <w:rPr>
          <w:rFonts w:ascii="宋体" w:hAnsi="宋体"/>
          <w:sz w:val="21"/>
        </w:rPr>
        <w:t xml:space="preserve">通过RDP、VNC、SSH管理的Windows、Linux等服务器；通过SSH、Telnet管理的路由器、交换机、防火墙、上网行为管理等设备；Oracle、MySQL、SQLServer、PostgreSQL、人大金仓、达梦等数据库；通过WEB进行管理的OA、CRM等业务系统</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支持远程应用发布功能，实现对</w:t>
      </w:r>
      <w:r>
        <w:rPr>
          <w:rFonts w:ascii="宋体" w:hAnsi="宋体"/>
          <w:sz w:val="21"/>
        </w:rPr>
        <w:t xml:space="preserve">C/S架构资产的访问，支持远程应用发布调用的客户端工具包括但不限于Dbevaer、navicat、WinSCP、MobaXterm、SecureCRT、Radmin、SSMS、DBeaver、SSMS、Xshell、putty等</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w:t>
      </w:r>
      <w:r>
        <w:rPr>
          <w:rFonts w:ascii="宋体" w:hAnsi="宋体"/>
          <w:sz w:val="21"/>
        </w:rPr>
        <w:t xml:space="preserve">SSH、HTTP、HTTPS、VNC、RDP、Telnet、Oracle、MySQL、SQLServer、PostgreSQL、人大金仓、达梦数据库、远程应用资产连接操作会话的录屏回放、下载及日志查询，管理员可以通过录屏回放功能，查看用户在会话期间的所有操作，包括输入命令、执行结果等</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支持多种认证方式，包括AD、LDAP认证，硬件口令认证，OTP动态口令认证，企业微信认证。</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支持批量导入用户，可以通过Excel批量导入的方式更新或添加用户。</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用户角色管理，内置系统管理员、审计管理员、安全管理员、操作员等角色，支持自定义角色，可对用户角色进行系统功能项级别的细颗粒度权限（包括查看、修改等）配置，适应不同管理要求下的三权分立标准。</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.3 网络运维监控管理升级 </w:t>
      </w:r>
      <w:r/>
    </w:p>
    <w:p>
      <w:pPr>
        <w:ind w:left="0" w:firstLine="420"/>
        <w:spacing w:line="360" w:lineRule="auto"/>
        <w:tabs>
          <w:tab w:val="left" w:pos="420" w:leader="none"/>
        </w:tabs>
        <w:rPr>
          <w:rFonts w:ascii="宋体" w:hAnsi="宋体"/>
          <w:sz w:val="21"/>
        </w:rPr>
      </w:pPr>
      <w:r>
        <w:rPr>
          <w:rFonts w:hint="eastAsia" w:ascii="宋体" w:hAnsi="宋体"/>
          <w:sz w:val="21"/>
        </w:rPr>
        <w:t xml:space="preserve">以业务系统监控为主线，基于“业务、软件、网络、设备”多个运维监控视角的运维体系架构，打造集业务、软件、网络、设备为一体的多层次立体化信息化运维监控平台，网络监控全覆盖所需节点授权：实现对卫健委网络、云资源、数据库、中间件、应用进程、业务接口不小于2000个节点的监控覆盖。</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.4 数据安全运营监测平台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提供内网、外网数据流量探针，利用api识别、敏感信息识别以及传统的流量储存与分析能力等，满足数据资产管理、数据安全风险监测、数据安全流转监控、数据安全策略统一管控等需求。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支持多维度资产管理，支持网络资产进行发现探测，资产策略管理。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支持基于大数据架构横向平滑扩展能力。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支持应用和数据间流转监控、主客体间访问监控。</w:t>
      </w:r>
      <w:r/>
    </w:p>
    <w:p>
      <w:pPr>
        <w:ind w:left="0" w:firstLine="420"/>
        <w:spacing w:line="360" w:lineRule="auto"/>
        <w:tabs>
          <w:tab w:val="left" w:pos="420" w:leader="none"/>
        </w:tabs>
        <w:rPr>
          <w:rFonts w:ascii="宋体" w:hAnsi="宋体"/>
          <w:sz w:val="21"/>
        </w:rPr>
      </w:pPr>
      <w:r>
        <w:rPr>
          <w:rFonts w:hint="eastAsia" w:ascii="宋体" w:hAnsi="宋体"/>
          <w:sz w:val="21"/>
        </w:rPr>
        <w:t xml:space="preserve">其中</w:t>
      </w:r>
      <w:r>
        <w:rPr>
          <w:rFonts w:ascii="宋体" w:hAnsi="宋体"/>
          <w:sz w:val="21"/>
        </w:rPr>
        <w:t xml:space="preserve">1个内网点位检测性能不小于5Gbps，最大并发TCP会话数不小于200万，每秒新增TCP会话数不小于30000。</w:t>
      </w:r>
      <w:r>
        <w:rPr>
          <w:rFonts w:ascii="宋体" w:hAnsi="宋体"/>
          <w:sz w:val="21"/>
        </w:rPr>
        <w:br/>
        <w:t xml:space="preserve"> </w:t>
      </w:r>
      <w:r>
        <w:rPr>
          <w:rFonts w:hint="eastAsia" w:ascii="宋体" w:hAnsi="宋体"/>
          <w:sz w:val="21"/>
        </w:rPr>
        <w:t xml:space="preserve">  </w:t>
      </w:r>
      <w:r>
        <w:rPr>
          <w:rFonts w:ascii="宋体" w:hAnsi="宋体"/>
          <w:sz w:val="21"/>
        </w:rPr>
        <w:t xml:space="preserve">1个外网点检测性能不小于1Gbps，最大并发TCP会话数不小于50万，每秒新增TCP会话数不小于18000。</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.5 数据库审计平台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为满足当前的数据流量监测需求，并预留流量冗余，以应对可能出现的流量波动情况，需要部署3套数据库审计软件针对数据库进行审计软件基于数据库网络流量采集，针对健康医疗大数据中心的数据库，进行协议解析与还原，通过对访问数据库的行为进行记录与多角度分析，对异常行为进行告警通知、审计记录和事后追踪分析，帮助用户规范数据使用行为，保障数据资产安全，提供风险防范和溯源依据，提供节点授权不少于100个。</w:t>
      </w:r>
      <w:r/>
    </w:p>
    <w:p>
      <w:pPr>
        <w:ind w:left="0" w:firstLine="420"/>
        <w:spacing w:line="360" w:lineRule="auto"/>
        <w:tabs>
          <w:tab w:val="left" w:pos="420" w:leader="none"/>
        </w:tabs>
        <w:rPr>
          <w:rFonts w:ascii="宋体" w:hAnsi="宋体"/>
          <w:sz w:val="21"/>
        </w:rPr>
      </w:pPr>
      <w:r>
        <w:rPr>
          <w:rFonts w:hint="eastAsia" w:ascii="宋体" w:hAnsi="宋体"/>
          <w:sz w:val="21"/>
        </w:rPr>
        <w:t xml:space="preserve">全量审计与满足审计规则审计模式切换。审计内容支持记录客户端</w:t>
      </w:r>
      <w:r>
        <w:rPr>
          <w:rFonts w:ascii="宋体" w:hAnsi="宋体"/>
          <w:sz w:val="21"/>
        </w:rPr>
        <w:t xml:space="preserve">IP、客户端端口、数据库用户、操作系统用户、MAC、工具或应用、客户端主机等访问来源信息。漏洞攻击监测、SQL注入检测。</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支持旁路镜像部署，混合部署方式。支持Oracle、SQLServer、MySQL、DB2、Sybase、Informix、PostgreSQL、MariaDB、Caché、Teradata、Impala、Greeplum等主流数据库审计，支持DM、kingbase、OSCAR、Gbase、Highgo、Guass DB、TDSQL-MySQL、TDSQL-PostgreSQL等国产数据库审计。</w:t>
      </w:r>
      <w:r/>
    </w:p>
    <w:p>
      <w:pPr>
        <w:ind w:left="0" w:firstLine="420"/>
        <w:spacing w:line="360" w:lineRule="auto"/>
        <w:tabs>
          <w:tab w:val="left" w:pos="420" w:leader="none"/>
        </w:tabs>
        <w:rPr>
          <w:rFonts w:ascii="宋体" w:hAnsi="宋体"/>
          <w:sz w:val="21"/>
        </w:rPr>
      </w:pPr>
      <w:r>
        <w:rPr>
          <w:rFonts w:hint="eastAsia" w:ascii="宋体" w:hAnsi="宋体"/>
          <w:sz w:val="21"/>
        </w:rPr>
        <w:t xml:space="preserve">审计日志包含数据库用户名、</w:t>
      </w:r>
      <w:r>
        <w:rPr>
          <w:rFonts w:ascii="宋体" w:hAnsi="宋体"/>
          <w:sz w:val="21"/>
        </w:rPr>
        <w:t xml:space="preserve">SQL语句、表、字段、存储过程、应用程序名、IP、MAC、端口、数据库名、计算机名、起止时间、超长语句、注释内容、多嵌套语句、绑定变量、RPC等；</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.6 防统方集中管理平台升级</w:t>
      </w:r>
      <w:r/>
    </w:p>
    <w:p>
      <w:pPr>
        <w:ind w:left="0" w:firstLine="420"/>
        <w:spacing w:line="360" w:lineRule="auto"/>
        <w:tabs>
          <w:tab w:val="left" w:pos="420" w:leader="none"/>
        </w:tabs>
        <w:rPr>
          <w:rFonts w:ascii="宋体" w:hAnsi="宋体"/>
          <w:sz w:val="21"/>
        </w:rPr>
      </w:pPr>
      <w:r/>
      <w:bookmarkStart w:id="145" w:name="OLE_LINK69"/>
      <w:r>
        <w:rPr>
          <w:rFonts w:hint="eastAsia" w:ascii="宋体" w:hAnsi="宋体"/>
          <w:sz w:val="21"/>
        </w:rPr>
        <w:t xml:space="preserve">基于原有环境基础情况下，通过在卫健委部署统一监管中心，可支持下辖医院的防统方设备纳入统一管理。监管中心能够集中收集各医院的统方日志，制定并下发统一的防统方策略，实现区域内的综合分析与分级管理，建立了多层次的防范体系，涵盖事前主动预防、事中实时报警与安全阻断、事后定位取证及处置等环节。它能对可疑的统方行为进行实时监控和智能甄别，一旦发现违规操作，不仅会触发告警，还能直接阻断非法操作，实现苏州全市医疗机构统方行为统一监管、违规统方事件统一处理，风险处置响应时间≤1 小时，满足政策合规要求，保障医疗数据安全。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采用旁路监听技术，不改变现有网络环境，不在核心业务系统上安装额外软件，确保不影响医院HIS、PACS等系统的正常运行。此外，系统广泛兼容市面上主流的HIS系统和各类关系型/非关系型数据库，能够快速适配不同医疗机构的业务环境。支持在Docker环境中部署系统。支持主流业务协议操作的审计，如：Samba、NFS、Portal、Http、Https、pop3、ssh、SMTP、Telnet、FTP协议审计。</w:t>
      </w:r>
      <w:bookmarkEnd w:id="145"/>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.7 防黄牛智能风控系统升级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对现网门户数据功能升级，针对12320挂号门户，12320公众号，健康苏州掌上行APP，要求提供多端无感数据采集功能，并对采集的数据进行实时分析，智能识别黄牛行为，要求具备跨会话、跨IP追踪恶意设备的能力，并实现Web与APP端的风险情报共享，提供可编程交互窗口和管理界面，赋予安全运维人员高度的灵活性和自动化能力，使其能够快速响应变化多端的黄牛攻击手法，实现精准化、动态化的防护。</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 AI</w:t>
      </w:r>
      <w:r>
        <w:rPr>
          <w:rFonts w:hint="eastAsia" w:ascii="宋体" w:hAnsi="宋体"/>
          <w:sz w:val="21"/>
        </w:rPr>
        <w:t xml:space="preserve">大模型安全防护</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.8.1 大模型安全检测系统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针对当前大模型软件生态系统的安全问题，通过构建基础技术原子</w:t>
      </w:r>
      <w:r>
        <w:rPr>
          <w:rFonts w:hint="eastAsia" w:ascii="宋体" w:hAnsi="宋体"/>
          <w:sz w:val="21"/>
        </w:rPr>
        <w:t xml:space="preserve">能力解决常见问题，如配置审查、代码审计等。大模型服务中特有的安全风险，基于现有的系统能力以及新型检测能力相结合的方式升级，实现整个大模型安全检测系统。共同构成了从开发到部署、从云端到边缘、从基础设施到上层应用的“纵深防御”体系，体现了系统设计的全面性，彰显了系统的专业性和前瞻性。避免了安全团队在海量、分散的告警信息中迷失方向，确保了评估结果能够转化为切实可行的改进措施，对大模型资产自动识别并进行运行状态监测，包括模型名称、基础模型、运行框架、模型参数、运行进程及其他环境信息。实时统计输入输出token情况。</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.8.2大模型内容安全防护系统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安全防护系统对用户 Prompt 做有害内容识别，对模型 Response 做有害内容识别，对模型生成结果进行二次把关，不仅满足GB/T 45654-2025 中要求的5大类31小类合法合规内容检测，还应支持提示词注入攻击、越狱攻击、模型窃取等安全防护能力。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其中对输入和输出内容中的PII数据（身份证号、手机号、地址信息等）进行实时检测，对内容中的PII数据进行脱敏传输，在保障服务可用性的同时保护个人隐私不被泄露。</w:t>
      </w:r>
      <w:r/>
    </w:p>
    <w:p>
      <w:pPr>
        <w:ind w:left="0" w:firstLine="420"/>
        <w:spacing w:line="360" w:lineRule="auto"/>
        <w:tabs>
          <w:tab w:val="left" w:pos="420" w:leader="none"/>
        </w:tabs>
        <w:rPr>
          <w:rFonts w:ascii="宋体" w:hAnsi="宋体"/>
          <w:sz w:val="21"/>
        </w:rPr>
      </w:pPr>
      <w:r>
        <w:rPr>
          <w:rFonts w:hint="eastAsia" w:ascii="宋体" w:hAnsi="宋体"/>
          <w:sz w:val="21"/>
        </w:rPr>
        <w:t xml:space="preserve">另外对用户提示词（输入阶段）根据语义模糊匹配内置及自定义必答题库，在命中预设问题时，不调用大模型自由生成，而是返回企业审核过的标准答案（自定义必答题库）或统一安全话术（内置必答题库），实现可控应答、代答替代。</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支持开启及关闭检测资源占用及拦截率过高告警，支持开启及关闭各工作流（接入）的用量控制告警，</w:t>
      </w:r>
      <w:r>
        <w:rPr>
          <w:rFonts w:hint="eastAsia" w:ascii="宋体" w:hAnsi="宋体"/>
          <w:sz w:val="21"/>
        </w:rPr>
        <w:t xml:space="preserve">支</w:t>
      </w:r>
      <w:r>
        <w:rPr>
          <w:rFonts w:hint="eastAsia" w:ascii="宋体" w:hAnsi="宋体"/>
          <w:sz w:val="21"/>
        </w:rPr>
        <w:t xml:space="preserve">持按当日、本周、本月以及自选时间段导出Word版运营报告。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(1)风险内容识别</w:t>
      </w:r>
      <w:r/>
    </w:p>
    <w:p>
      <w:pPr>
        <w:ind w:left="0" w:firstLine="420"/>
        <w:spacing w:line="360" w:lineRule="auto"/>
        <w:tabs>
          <w:tab w:val="left" w:pos="420" w:leader="none"/>
        </w:tabs>
        <w:rPr>
          <w:rFonts w:ascii="宋体" w:hAnsi="宋体"/>
          <w:sz w:val="21"/>
        </w:rPr>
      </w:pPr>
      <w:r>
        <w:rPr>
          <w:rFonts w:ascii="宋体" w:hAnsi="宋体"/>
          <w:sz w:val="21"/>
        </w:rPr>
        <w:t xml:space="preserve">负责对输入内容（用户输入或模型生成的输出）进行全面检测，通过词库匹配和AI技术全面检测输入内容或模型生成内容中的潜在的敏感内容、涉政涉黄等高风险内容，生成风险标签。</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支持对智能体在工具调用、函数执行、Skills 使用、知识库检索等场景下的全生命周期（包括声明、调用、返回及回溯阶段）进行风险检测与拦截，覆盖以下风险类别：非授权访问/越权、异常或畸形参数、Agent 安全（间接提示词注入/越狱）、Agent 安全（敏感信息泄露）。</w:t>
      </w:r>
      <w:r>
        <w:rPr>
          <w:rFonts w:hint="eastAsia" w:ascii="宋体" w:hAnsi="宋体"/>
          <w:b/>
          <w:sz w:val="21"/>
        </w:rPr>
        <w:t xml:space="preserve">投标文件中</w:t>
      </w:r>
      <w:r>
        <w:rPr>
          <w:rFonts w:hint="eastAsia" w:ascii="宋体" w:hAnsi="宋体"/>
          <w:b/>
          <w:sz w:val="21"/>
        </w:rPr>
        <w:t xml:space="preserve">提供具有相关检测资质的检测机构出具的检测报告复印件，并加盖投标单位公章。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hint="eastAsia" w:ascii="宋体" w:hAnsi="宋体"/>
          <w:sz w:val="21"/>
        </w:rPr>
        <w:t xml:space="preserve">(2)敏感问题安全代答</w:t>
      </w:r>
      <w:r/>
    </w:p>
    <w:p>
      <w:pPr>
        <w:ind w:left="0" w:firstLine="420"/>
        <w:spacing w:line="360" w:lineRule="auto"/>
        <w:tabs>
          <w:tab w:val="left" w:pos="420" w:leader="none"/>
        </w:tabs>
        <w:rPr>
          <w:rFonts w:ascii="宋体" w:hAnsi="宋体"/>
          <w:sz w:val="21"/>
        </w:rPr>
      </w:pPr>
      <w:r>
        <w:rPr>
          <w:rFonts w:hint="eastAsia" w:ascii="宋体" w:hAnsi="宋体"/>
          <w:sz w:val="21"/>
        </w:rPr>
        <w:t xml:space="preserve">满足敏感非拒答问题如涉及高危的政治人物、意识形态等问题，要求提供主动干预机制能够给出安全向善的回答，要求既能保证回答的广覆盖，也能提供精准匹配回答。</w:t>
      </w:r>
      <w:r/>
    </w:p>
    <w:p>
      <w:pPr>
        <w:ind w:left="0" w:firstLine="420"/>
        <w:spacing w:line="360" w:lineRule="auto"/>
        <w:tabs>
          <w:tab w:val="left" w:pos="420" w:leader="none"/>
        </w:tabs>
        <w:rPr>
          <w:rFonts w:ascii="宋体" w:hAnsi="宋体"/>
          <w:sz w:val="21"/>
        </w:rPr>
      </w:pPr>
      <w:r>
        <w:rPr>
          <w:rFonts w:hint="eastAsia" w:ascii="宋体" w:hAnsi="宋体"/>
          <w:sz w:val="21"/>
        </w:rPr>
        <w:t xml:space="preserve">(3)可视化页面</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要求提供一整套前端可视化页面，方便运营人员在页面上对敏感词库、干预库、规则引擎，方便查询风险防护日志数据，提高整体运营效率。</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.8.3大模型内容安全测评系统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(1)模型接入与管理功能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要求支持标准化的模型接入方式，能够快速无缝对接多种类型的大模型，避免繁琐的适配过程，提供灵活的权限控制与模型访问管理机制，确保模型接入的安全性和合规性。</w:t>
      </w:r>
      <w:r/>
    </w:p>
    <w:p>
      <w:pPr>
        <w:ind w:left="0" w:firstLine="420"/>
        <w:spacing w:line="360" w:lineRule="auto"/>
        <w:tabs>
          <w:tab w:val="left" w:pos="420" w:leader="none"/>
        </w:tabs>
        <w:rPr>
          <w:rFonts w:ascii="宋体" w:hAnsi="宋体"/>
          <w:sz w:val="21"/>
        </w:rPr>
      </w:pPr>
      <w:r>
        <w:rPr>
          <w:rFonts w:hint="eastAsia" w:ascii="宋体" w:hAnsi="宋体"/>
          <w:sz w:val="21"/>
        </w:rPr>
        <w:t xml:space="preserve">(2)数据集管理功能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提供多维度的标准数据集，全面覆盖国家安全、公共安全、伦理安全等多种安全场景，支持用户根据实际需求定制和扩展数据集，充分满足单位的个性化评测需求。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(3)模型自动化评测功能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提供智能自动化的任务创建和执行机制，可自动抓取和分析大模型的输出内容，结合算法技术，精准识别安全风险问题，提高评测的效率和准确性，能够自动生成结构化且可交互的评测报告，方便单位快速决策。</w:t>
      </w:r>
      <w:r/>
    </w:p>
    <w:p>
      <w:pPr>
        <w:ind w:left="0" w:firstLine="420"/>
        <w:spacing w:line="360" w:lineRule="auto"/>
        <w:tabs>
          <w:tab w:val="left" w:pos="420" w:leader="none"/>
        </w:tabs>
        <w:rPr>
          <w:rFonts w:ascii="宋体" w:hAnsi="宋体"/>
          <w:sz w:val="21"/>
        </w:rPr>
      </w:pPr>
      <w:r>
        <w:rPr>
          <w:rFonts w:hint="eastAsia" w:ascii="宋体" w:hAnsi="宋体"/>
          <w:sz w:val="21"/>
        </w:rPr>
        <w:t xml:space="preserve">(4)任务管理功能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提供高效的任务管理与实时监控能力，支持任务批量创建与执行，配备实时进度追踪和异常告警机制，显著提升团队的协同效率，降低管理成本。</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提供跨模型、跨任务、跨时间维度的评测结果对比分析，帮助企业快速识别模型性能变化趋势，支持详细的数据导出以便进一步分析和利用。</w:t>
      </w:r>
      <w:r/>
    </w:p>
    <w:p>
      <w:pPr>
        <w:ind w:left="0" w:firstLine="420"/>
        <w:spacing w:line="360" w:lineRule="auto"/>
        <w:tabs>
          <w:tab w:val="left" w:pos="420" w:leader="none"/>
        </w:tabs>
        <w:rPr>
          <w:rFonts w:ascii="宋体" w:hAnsi="宋体"/>
          <w:sz w:val="21"/>
        </w:rPr>
      </w:pPr>
      <w:r>
        <w:rPr>
          <w:rFonts w:hint="eastAsia" w:ascii="宋体" w:hAnsi="宋体"/>
          <w:sz w:val="21"/>
        </w:rPr>
        <w:t xml:space="preserve">(5)自动化构建动态安全评估基准功能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传统的静态安全评测集由于数据内容固定，存在多个局限：一方面容易被模型或测试人员提前获取，导致评测数据“泄题”或被拟合，从而降低评测的客观性与区分度；另一方面，静态数据集难以及时反映外部环境中新出现的风险类型、攻击手法和敏感语境，无法对模型在真实动态场景下的安全鲁棒性进行有效检验。为应对上述挑战，本系统构建基于攻击大模型驱动的动态安全评估基准。系统可结合最新的风险素材或信号、内容趋势与领域知识，持续生成新颖、多样且对抗性强的安全评测样本，实现动态更新、实时生成、自动演化的评测数据流。</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w:t>
      </w:r>
      <w:r>
        <w:rPr>
          <w:rFonts w:hint="eastAsia" w:ascii="宋体" w:hAnsi="宋体"/>
          <w:sz w:val="21"/>
        </w:rPr>
        <w:t xml:space="preserve">应用服务部署管理平台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提供不少于50颗CPU授权，含容器安全模块授权。</w:t>
      </w:r>
      <w:r/>
    </w:p>
    <w:p>
      <w:pPr>
        <w:ind w:left="0" w:firstLine="420"/>
        <w:spacing w:line="360" w:lineRule="auto"/>
        <w:tabs>
          <w:tab w:val="left" w:pos="420" w:leader="none"/>
        </w:tabs>
        <w:rPr>
          <w:rFonts w:ascii="宋体" w:hAnsi="宋体"/>
          <w:sz w:val="21"/>
        </w:rPr>
      </w:pPr>
      <w:r>
        <w:rPr>
          <w:rFonts w:hint="eastAsia" w:ascii="宋体" w:hAnsi="宋体"/>
          <w:sz w:val="21"/>
        </w:rPr>
        <w:t xml:space="preserve">基于现有服务器设备构建容器化资源池，实现计算资源的统一调度和管理，支持容器化和虚拟化两种资源形态。</w:t>
      </w:r>
      <w:r/>
    </w:p>
    <w:p>
      <w:pPr>
        <w:ind w:left="0" w:firstLine="420"/>
        <w:spacing w:line="360" w:lineRule="auto"/>
        <w:tabs>
          <w:tab w:val="left" w:pos="420" w:leader="none"/>
        </w:tabs>
        <w:rPr>
          <w:rFonts w:ascii="宋体" w:hAnsi="宋体"/>
          <w:sz w:val="21"/>
        </w:rPr>
      </w:pPr>
      <w:r>
        <w:rPr>
          <w:rFonts w:hint="eastAsia" w:ascii="宋体" w:hAnsi="宋体"/>
          <w:sz w:val="21"/>
        </w:rPr>
        <w:t xml:space="preserve">在基础设施层，将基于现有服务器设备构建容器化资源池，实现计算资源的统一调度和管理。存储系统采用分层设计架构，高性能存储层用于承载核心业务数据，容量型存储层用于存放备份和日志数据。网络架构将升级为软件定义网络模式，支持Overlay和Underlay双模组网，确保不同业务间的网络隔离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服务层建设重点包括三个方面：一是构建完整的容器化应用支撑体系，提供镜像仓库、编排调度等核心功能；二是实现虚拟化资源的统一纳管，将虚拟机逐步迁移至新平台；三是建立智能运维中心，集成监控告警、日志分析、自动化运维等工具链，提升运维效率。</w:t>
      </w:r>
      <w:r/>
    </w:p>
    <w:p>
      <w:pPr>
        <w:ind w:left="0" w:firstLine="420"/>
        <w:spacing w:line="360" w:lineRule="auto"/>
        <w:tabs>
          <w:tab w:val="left" w:pos="420" w:leader="none"/>
        </w:tabs>
        <w:rPr>
          <w:rFonts w:ascii="宋体" w:hAnsi="宋体"/>
          <w:sz w:val="21"/>
        </w:rPr>
      </w:pPr>
      <w:r>
        <w:rPr>
          <w:rFonts w:hint="eastAsia" w:ascii="宋体" w:hAnsi="宋体"/>
          <w:sz w:val="21"/>
        </w:rPr>
        <w:t xml:space="preserve">业务迁移方案采用评估-改造-迁移三阶段策略，对现有虚拟机进行全面评估，制定容器化改造优先级后进行分批次实施迁移，最终完成全部核心业务的迁移工作。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可以实现双栈应用统一管理，虚拟机和容器应用统一可视化管理，同时支持容器和虚拟化两种资源，虚拟机未使用时，可以一键清理未使用的虚拟机磁盘以释放存储资源，并且展示磁盘所属存储池、存储策略及</w:t>
      </w:r>
      <w:r>
        <w:rPr>
          <w:rFonts w:hint="eastAsia" w:ascii="宋体" w:hAnsi="宋体"/>
          <w:sz w:val="21"/>
        </w:rPr>
        <w:t xml:space="preserve">关联存储卷，便于存储位置跟踪与问题排查，</w:t>
      </w:r>
      <w:r>
        <w:rPr>
          <w:rFonts w:ascii="宋体" w:hAnsi="宋体"/>
          <w:sz w:val="21"/>
        </w:rPr>
        <w:t xml:space="preserve">不同vpc的网络通信需求，需支持VPC对等连接创建，支持同项目、异项目下</w:t>
      </w:r>
      <w:r>
        <w:rPr>
          <w:rFonts w:ascii="宋体" w:hAnsi="宋体"/>
          <w:sz w:val="21"/>
        </w:rPr>
        <w:t xml:space="preserve">VPC</w:t>
      </w:r>
      <w:r>
        <w:rPr>
          <w:rFonts w:ascii="宋体" w:hAnsi="宋体"/>
          <w:sz w:val="21"/>
        </w:rPr>
        <w:t xml:space="preserve">资源的内网互通，其中异项目下的对等连接需经对端账号授权同意后方可生效。</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.9.1 集群管理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为方便数据盘更换，数据盘拔盘时，平台访问正常，虚拟机业务和容器业务正常运。 </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虚拟化和容器支持的计算节点或工作节点数量达5000个,</w:t>
      </w:r>
      <w:r>
        <w:rPr>
          <w:rFonts w:hint="eastAsia" w:ascii="宋体" w:hAnsi="宋体"/>
          <w:b/>
          <w:sz w:val="21"/>
        </w:rPr>
        <w:t xml:space="preserve">投标文件中提供具有</w:t>
      </w:r>
      <w:r>
        <w:rPr>
          <w:rFonts w:hint="eastAsia" w:ascii="宋体" w:hAnsi="宋体"/>
          <w:b/>
          <w:sz w:val="21"/>
          <w:szCs w:val="21"/>
          <w:lang w:bidi="ar"/>
        </w:rPr>
        <w:t xml:space="preserve">检测资质的检测机构出具的检测报告复印件</w:t>
      </w:r>
      <w:r>
        <w:rPr>
          <w:rFonts w:hint="eastAsia" w:ascii="宋体" w:hAnsi="宋体"/>
          <w:b/>
          <w:sz w:val="21"/>
          <w:szCs w:val="21"/>
          <w:lang w:bidi="ar"/>
        </w:rPr>
        <w:t xml:space="preserve">并加盖投标单位公章</w:t>
      </w:r>
      <w:r>
        <w:rPr>
          <w:rFonts w:hint="eastAsia" w:ascii="宋体" w:hAnsi="宋体"/>
          <w:b/>
          <w:sz w:val="21"/>
          <w:szCs w:val="21"/>
          <w:lang w:bidi="ar"/>
        </w:rPr>
        <w:t xml:space="preserve">。</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集群中任一物理节点掉电，集群内应用发生切换至其他正常节点，业务恢复；同时平台告警中心发出紧急告警，</w:t>
      </w:r>
      <w:r>
        <w:rPr>
          <w:rFonts w:hint="eastAsia" w:ascii="宋体" w:hAnsi="宋体"/>
          <w:b/>
          <w:sz w:val="21"/>
        </w:rPr>
        <w:t xml:space="preserve">投标文件中提供具有</w:t>
      </w:r>
      <w:r>
        <w:rPr>
          <w:rFonts w:hint="eastAsia" w:ascii="宋体" w:hAnsi="宋体"/>
          <w:b/>
          <w:sz w:val="21"/>
          <w:szCs w:val="21"/>
          <w:lang w:bidi="ar"/>
        </w:rPr>
        <w:t xml:space="preserve">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w:t>
      </w:r>
      <w:r>
        <w:rPr>
          <w:rFonts w:ascii="宋体" w:hAnsi="宋体"/>
          <w:sz w:val="21"/>
        </w:rPr>
        <w:t xml:space="preserve">2</w:t>
      </w:r>
      <w:r>
        <w:rPr>
          <w:rFonts w:hint="eastAsia" w:ascii="宋体" w:hAnsi="宋体"/>
          <w:sz w:val="21"/>
        </w:rPr>
        <w:t xml:space="preserve"> 虚拟机和存储管理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支持虚拟机回收站管理，可在回收站进行虚拟机还原；支持销毁回收站虚拟机释放计算资源，可以查看回收站列表项信息，包括虚拟机名称/ID、所属项目、创建时间和删除时间</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支持虚拟机快照管理和还原，且单卷快照数量可支持≥250个</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支持为每个虚拟机配置一个或多个网卡，且可以指定IP地址</w:t>
      </w:r>
      <w:r>
        <w:rPr>
          <w:rFonts w:hint="eastAsia" w:ascii="宋体" w:hAnsi="宋体"/>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支持硬盘或存储节点故障时，系统在集群内硬盘的剩余空间中自动进行数据重建，所有硬盘并发重构，提升重构效率。在无人工干预条件下，1TB 数据恢复时间不超过5分钟，</w:t>
      </w:r>
      <w:r>
        <w:rPr>
          <w:rFonts w:hint="eastAsia" w:ascii="宋体" w:hAnsi="宋体"/>
          <w:b/>
          <w:sz w:val="21"/>
        </w:rPr>
        <w:t xml:space="preserve">投标文件中提供具有</w:t>
      </w:r>
      <w:r>
        <w:rPr>
          <w:rFonts w:hint="eastAsia" w:ascii="宋体" w:hAnsi="宋体"/>
          <w:b/>
          <w:sz w:val="21"/>
          <w:szCs w:val="21"/>
          <w:lang w:bidi="ar"/>
        </w:rPr>
        <w:t xml:space="preserve">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支持秒级快照，对虚拟机连续进行不低于10 次快照操作，虚拟机前后读写 IOPS性能下降不超过 5%</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w:t>
      </w:r>
      <w:r>
        <w:rPr>
          <w:rFonts w:ascii="宋体" w:hAnsi="宋体"/>
          <w:sz w:val="21"/>
        </w:rPr>
        <w:t xml:space="preserve">3</w:t>
      </w:r>
      <w:r>
        <w:rPr>
          <w:rFonts w:hint="eastAsia" w:ascii="宋体" w:hAnsi="宋体"/>
          <w:sz w:val="21"/>
        </w:rPr>
        <w:t xml:space="preserve"> 应用仓库</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支持Jar包、War包、Helm包、前端资源包等类型应用包上传、下载，应用包支持本地上传、同时支持FTP、SFTP、Http等协议进行远端上传。支持自动清理闲置应用包，保留时长支持1—180天</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.9.4 应用全生命周期管理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为实现资源的更高利用、系统的高可用性和容错性，应用部署时支持配置亲和性和反亲和性。</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.9.5 容器管理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批量创建不少于100个容器时实例耗时不高于90s。</w:t>
      </w:r>
      <w:r/>
    </w:p>
    <w:p>
      <w:pPr>
        <w:ind w:left="0" w:firstLine="420"/>
        <w:spacing w:line="360" w:lineRule="auto"/>
        <w:tabs>
          <w:tab w:val="left" w:pos="420" w:leader="none"/>
        </w:tabs>
        <w:rPr>
          <w:rFonts w:ascii="宋体" w:hAnsi="宋体"/>
          <w:sz w:val="21"/>
        </w:rPr>
      </w:pPr>
      <w:r>
        <w:rPr>
          <w:rFonts w:hint="eastAsia" w:ascii="宋体" w:hAnsi="宋体"/>
          <w:sz w:val="21"/>
        </w:rPr>
        <w:t xml:space="preserve">不同服务器上的容器和虚拟机互相访问，双向打流带宽可达≥36Gbps。</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支持容器GPU&amp;vGPU工作负载创建，并支持配额管理。 </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.9.6 镜像仓库</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支持基于已有镜像进行可视化镜像构建，支持实时预览Dockerfile文件内容，支持直接上传Dockerfile文件进行镜像构建。</w:t>
      </w:r>
      <w:r>
        <w:rPr>
          <w:rFonts w:hint="eastAsia" w:ascii="MS Gothic" w:hAnsi="MS Gothic" w:eastAsia="MS Gothic" w:cs="MS Gothic"/>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.9.7 容器存储</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支持基于块存储动态卷和静态卷；可基于集群本地卷、</w:t>
      </w:r>
      <w:r>
        <w:rPr>
          <w:rFonts w:ascii="宋体" w:hAnsi="宋体"/>
          <w:sz w:val="21"/>
        </w:rPr>
        <w:t xml:space="preserve">NFS进行存储PV的创建。</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.9.8 备份恢复</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支持备份平台上</w:t>
      </w:r>
      <w:r>
        <w:rPr>
          <w:rFonts w:ascii="宋体" w:hAnsi="宋体"/>
          <w:sz w:val="21"/>
        </w:rPr>
        <w:t xml:space="preserve"> K8S 资源和数据卷，并恢复至指定集群；支持备份策略管理如选择备份仓库、备份资源，支持一次性备份和周期性备份，支持选择多达30天的备份保留时长。</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.9.9 内置容器安全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支持容器镜像仓中的镜像漏洞扫描并进行报告统计，包括危急、严重漏洞占比，每个缺陷码对应的镜像。</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支持容器安全防护，支持自动对容器集群中的容器安全事件进行检测并统计包括容器逃逸风险统计，进程异常行为统计，容器环境检测统计等信息</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.9.10 权限管理</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为满足多租户应用场景需求，需提供多租户细粒度权限管控，通过RBAC权限管理模型来做用户的权限控制，通过角色定义来进行权限控制。</w:t>
      </w:r>
      <w:r/>
    </w:p>
    <w:p>
      <w:pPr>
        <w:ind w:left="0" w:firstLine="420"/>
        <w:spacing w:line="360" w:lineRule="auto"/>
        <w:tabs>
          <w:tab w:val="left" w:pos="420" w:leader="none"/>
        </w:tabs>
        <w:rPr>
          <w:rFonts w:ascii="宋体" w:hAnsi="宋体"/>
          <w:sz w:val="21"/>
        </w:rPr>
      </w:pPr>
      <w:r>
        <w:rPr>
          <w:rFonts w:ascii="宋体" w:hAnsi="宋体"/>
          <w:sz w:val="21"/>
        </w:rPr>
        <w:t xml:space="preserve">4.3.10</w:t>
      </w:r>
      <w:r>
        <w:rPr>
          <w:rFonts w:hint="eastAsia" w:ascii="宋体" w:hAnsi="宋体"/>
          <w:sz w:val="21"/>
        </w:rPr>
        <w:t xml:space="preserve">网闸</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提供网闸1台</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bCs/>
                <w:sz w:val="21"/>
                <w:szCs w:val="21"/>
              </w:rPr>
              <w:t xml:space="preserve">★</w:t>
            </w:r>
            <w:r>
              <w:rPr>
                <w:rFonts w:ascii="宋体" w:hAnsi="宋体"/>
                <w:b/>
                <w:sz w:val="21"/>
                <w:szCs w:val="21"/>
                <w14:ligatures w14:val="standardContextual"/>
              </w:rPr>
              <w:t xml:space="preserve">≥</w:t>
            </w:r>
            <w:r>
              <w:rPr>
                <w:rFonts w:hint="eastAsia" w:ascii="宋体" w:hAnsi="宋体"/>
                <w:b/>
                <w:sz w:val="21"/>
                <w:szCs w:val="21"/>
                <w14:ligatures w14:val="standardContextual"/>
              </w:rPr>
              <w:t xml:space="preserve">1</w:t>
            </w:r>
            <w:r>
              <w:rPr>
                <w:rFonts w:ascii="宋体" w:hAnsi="宋体"/>
                <w:b/>
                <w:sz w:val="21"/>
                <w:szCs w:val="21"/>
                <w14:ligatures w14:val="standardContextual"/>
              </w:rPr>
              <w:t xml:space="preserve">U机架式设备，≥</w:t>
            </w:r>
            <w:r>
              <w:rPr>
                <w:rFonts w:hint="eastAsia" w:ascii="宋体" w:hAnsi="宋体"/>
                <w:b/>
                <w:sz w:val="21"/>
                <w:szCs w:val="21"/>
                <w14:ligatures w14:val="standardContextual"/>
              </w:rPr>
              <w:t xml:space="preserve">6</w:t>
            </w:r>
            <w:r>
              <w:rPr>
                <w:rFonts w:ascii="宋体" w:hAnsi="宋体"/>
                <w:b/>
                <w:sz w:val="21"/>
                <w:szCs w:val="21"/>
                <w14:ligatures w14:val="standardContextual"/>
              </w:rPr>
              <w:t xml:space="preserve">个千兆电口，≥2个万兆光口，冗余电源</w:t>
            </w:r>
            <w:r>
              <w:rPr>
                <w:rFonts w:hint="eastAsia" w:ascii="宋体" w:hAnsi="宋体"/>
                <w:b/>
                <w:sz w:val="21"/>
              </w:rPr>
              <w:t xml:space="preserve">，</w:t>
            </w:r>
            <w:bookmarkStart w:id="146" w:name="OLE_LINK92"/>
            <w:r/>
            <w:bookmarkStart w:id="147" w:name="OLE_LINK93"/>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bookmarkEnd w:id="146"/>
            <w:r/>
            <w:bookmarkEnd w:id="147"/>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网络层吞吐量≥9.6 Gbps，最大新建连接数≥8w，最大并发连接数≥60w，数据库同步速率≥</w:t>
            </w:r>
            <w:r>
              <w:rPr>
                <w:rFonts w:hint="eastAsia" w:ascii="宋体" w:hAnsi="宋体"/>
                <w:sz w:val="21"/>
                <w:szCs w:val="21"/>
                <w14:ligatures w14:val="standardContextual"/>
              </w:rPr>
              <w:t xml:space="preserve">8</w:t>
            </w:r>
            <w:r>
              <w:rPr>
                <w:rFonts w:ascii="宋体" w:hAnsi="宋体"/>
                <w:sz w:val="21"/>
                <w:szCs w:val="21"/>
                <w14:ligatures w14:val="standardContextual"/>
              </w:rPr>
              <w:t xml:space="preserve">000条/秒，文件同步速率≥7个/秒</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检测通道</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提供HTTP、SMTP、POP3、FTP、ORACLE、RTSP、SIP等应用级检测通道。在屏蔽会话层以下网络威胁的前提下，对内外网交互数据进行严格的访问控制和日志审计。提供安全的上网访问，支持HTTP协议及代理等</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支持代理、路由、透明、混合等模式，管理员可依据实际网络状况进行相应的部署。</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访问方式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支持网页访问、邮件访问、文件访问、数据库访问、远程访问、视频交换、文件、数据库的同步。</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基本信息</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支持展示设备基本信息，主要但不限于设备运行状态、运行时长、版本信息等。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4.3.11</w:t>
      </w:r>
      <w:r>
        <w:rPr>
          <w:rFonts w:hint="eastAsia" w:ascii="宋体" w:hAnsi="宋体"/>
          <w:sz w:val="21"/>
        </w:rPr>
        <w:t xml:space="preserve"> 跨境VPN</w:t>
      </w:r>
      <w:bookmarkStart w:id="148" w:name="OLE_LINK88"/>
      <w:r/>
      <w:bookmarkStart w:id="149" w:name="OLE_LINK89"/>
      <w:r>
        <w:rPr>
          <w:rFonts w:hint="eastAsia" w:ascii="宋体" w:hAnsi="宋体"/>
          <w:sz w:val="21"/>
        </w:rPr>
        <w:t xml:space="preserve">监控设备</w:t>
      </w:r>
      <w:bookmarkEnd w:id="148"/>
      <w:r/>
      <w:bookmarkEnd w:id="149"/>
      <w:r/>
      <w:r/>
    </w:p>
    <w:p>
      <w:pPr>
        <w:ind w:left="0" w:firstLine="420"/>
        <w:spacing w:line="360" w:lineRule="auto"/>
        <w:tabs>
          <w:tab w:val="left" w:pos="420" w:leader="none"/>
        </w:tabs>
        <w:rPr>
          <w:rFonts w:ascii="宋体" w:hAnsi="宋体"/>
          <w:sz w:val="21"/>
        </w:rPr>
      </w:pPr>
      <w:r>
        <w:rPr>
          <w:rFonts w:hint="eastAsia" w:ascii="宋体" w:hAnsi="宋体"/>
          <w:sz w:val="21"/>
        </w:rPr>
        <w:t xml:space="preserve">提供跨境VPN监控设备1台</w:t>
      </w:r>
      <w:r/>
    </w:p>
    <w:tbl>
      <w:tblPr>
        <w:tblStyle w:val="1451"/>
        <w:tblW w:w="0" w:type="auto"/>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bCs/>
                <w:sz w:val="21"/>
                <w:szCs w:val="21"/>
              </w:rPr>
              <w:t xml:space="preserve">★</w:t>
            </w:r>
            <w:r>
              <w:rPr>
                <w:rFonts w:hint="eastAsia" w:ascii="宋体" w:hAnsi="宋体"/>
                <w:b/>
                <w:sz w:val="21"/>
                <w:szCs w:val="21"/>
                <w14:ligatures w14:val="standardContextual"/>
              </w:rPr>
              <w:t xml:space="preserve">≥</w:t>
            </w:r>
            <w:r>
              <w:rPr>
                <w:rFonts w:ascii="宋体" w:hAnsi="宋体"/>
                <w:b/>
                <w:sz w:val="21"/>
                <w:szCs w:val="21"/>
                <w14:ligatures w14:val="standardContextual"/>
              </w:rPr>
              <w:t xml:space="preserve">1U</w:t>
            </w:r>
            <w:r>
              <w:rPr>
                <w:rFonts w:hint="eastAsia" w:ascii="宋体" w:hAnsi="宋体"/>
                <w:b/>
                <w:sz w:val="21"/>
                <w:szCs w:val="21"/>
                <w14:ligatures w14:val="standardContextual"/>
              </w:rPr>
              <w:t xml:space="preserve">标准机架式机箱，≥</w:t>
            </w:r>
            <w:r>
              <w:rPr>
                <w:rFonts w:ascii="宋体" w:hAnsi="宋体"/>
                <w:b/>
                <w:sz w:val="21"/>
                <w:szCs w:val="21"/>
                <w14:ligatures w14:val="standardContextual"/>
              </w:rPr>
              <w:t xml:space="preserve">2</w:t>
            </w:r>
            <w:r>
              <w:rPr>
                <w:rFonts w:hint="eastAsia" w:ascii="宋体" w:hAnsi="宋体"/>
                <w:b/>
                <w:sz w:val="21"/>
                <w:szCs w:val="21"/>
                <w14:ligatures w14:val="standardContextual"/>
              </w:rPr>
              <w:t xml:space="preserve">个</w:t>
            </w:r>
            <w:r>
              <w:rPr>
                <w:rFonts w:ascii="宋体" w:hAnsi="宋体"/>
                <w:b/>
                <w:sz w:val="21"/>
                <w:szCs w:val="21"/>
                <w14:ligatures w14:val="standardContextual"/>
              </w:rPr>
              <w:t xml:space="preserve">GE</w:t>
            </w:r>
            <w:r>
              <w:rPr>
                <w:rFonts w:hint="eastAsia" w:ascii="宋体" w:hAnsi="宋体"/>
                <w:b/>
                <w:sz w:val="21"/>
                <w:szCs w:val="21"/>
                <w14:ligatures w14:val="standardContextual"/>
              </w:rPr>
              <w:t xml:space="preserve">电口，≥</w:t>
            </w:r>
            <w:r>
              <w:rPr>
                <w:rFonts w:ascii="宋体" w:hAnsi="宋体"/>
                <w:b/>
                <w:sz w:val="21"/>
                <w:szCs w:val="21"/>
                <w14:ligatures w14:val="standardContextual"/>
              </w:rPr>
              <w:t xml:space="preserve">2</w:t>
            </w:r>
            <w:r>
              <w:rPr>
                <w:rFonts w:hint="eastAsia" w:ascii="宋体" w:hAnsi="宋体"/>
                <w:b/>
                <w:sz w:val="21"/>
                <w:szCs w:val="21"/>
                <w14:ligatures w14:val="standardContextual"/>
              </w:rPr>
              <w:t xml:space="preserve">个</w:t>
            </w:r>
            <w:r>
              <w:rPr>
                <w:rFonts w:ascii="宋体" w:hAnsi="宋体"/>
                <w:b/>
                <w:sz w:val="21"/>
                <w:szCs w:val="21"/>
                <w14:ligatures w14:val="standardContextual"/>
              </w:rPr>
              <w:t xml:space="preserve">GE</w:t>
            </w:r>
            <w:r>
              <w:rPr>
                <w:rFonts w:hint="eastAsia" w:ascii="宋体" w:hAnsi="宋体"/>
                <w:b/>
                <w:sz w:val="21"/>
                <w:szCs w:val="21"/>
                <w14:ligatures w14:val="standardContextual"/>
              </w:rPr>
              <w:t xml:space="preserve">光口，≥</w:t>
            </w:r>
            <w:r>
              <w:rPr>
                <w:rFonts w:ascii="宋体" w:hAnsi="宋体"/>
                <w:b/>
                <w:sz w:val="21"/>
                <w:szCs w:val="21"/>
                <w14:ligatures w14:val="standardContextual"/>
              </w:rPr>
              <w:t xml:space="preserve">1T</w:t>
            </w:r>
            <w:r>
              <w:rPr>
                <w:rFonts w:hint="eastAsia" w:ascii="宋体" w:hAnsi="宋体"/>
                <w:b/>
                <w:sz w:val="21"/>
                <w:szCs w:val="21"/>
                <w14:ligatures w14:val="standardContextual"/>
              </w:rPr>
              <w:t xml:space="preserve">硬盘存储，</w:t>
            </w:r>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网络层吞吐量≥</w:t>
            </w:r>
            <w:r>
              <w:rPr>
                <w:rFonts w:ascii="宋体" w:hAnsi="宋体"/>
                <w:sz w:val="21"/>
                <w:szCs w:val="21"/>
                <w14:ligatures w14:val="standardContextual"/>
              </w:rPr>
              <w:t xml:space="preserve">10G，监控IP地址数量≥3万</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集群</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支持多台集群堆叠和管理，支持国产化操作系统。</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协议识别</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支持违规跨境通信主流加密代理协议识别，需至少包括</w:t>
            </w:r>
            <w:r>
              <w:rPr>
                <w:rFonts w:ascii="宋体" w:hAnsi="宋体"/>
                <w:sz w:val="21"/>
                <w:szCs w:val="21"/>
                <w14:ligatures w14:val="standardContextual"/>
              </w:rPr>
              <w:t xml:space="preserve">PPTP、L2TP、OpenVPN、IPSec、Wireguard、ANYCONNECT、N2NVPN、SHADOWSOCKS、SHADOWSOCKS_TLS、V2RAY、V2RAY_TLS、V2RAY_HTTP、V2RAY_MKCP、Trojan、Brook、NaiveProxy、WSS、Anytls等协议，情报库可自动匹配跨境通信行为</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检测方式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支持检测方式主被动相结合，基于互联网公开信息，通过人工或者特殊工具获取加密代理节点信息，包括收集加密代理节点服务器</w:t>
            </w:r>
            <w:r>
              <w:rPr>
                <w:rFonts w:ascii="宋体" w:hAnsi="宋体"/>
                <w:sz w:val="21"/>
                <w:szCs w:val="21"/>
                <w14:ligatures w14:val="standardContextual"/>
              </w:rPr>
              <w:t xml:space="preserve">IP、域名、端口、协议类型、密钥等关键信息</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跨境通信结果</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支持记录跨境通信结果，包括源</w:t>
            </w:r>
            <w:r>
              <w:rPr>
                <w:rFonts w:ascii="宋体" w:hAnsi="宋体"/>
                <w:sz w:val="21"/>
                <w:szCs w:val="21"/>
                <w14:ligatures w14:val="standardContextual"/>
              </w:rPr>
              <w:t xml:space="preserve">IP、源端口、协议类型、目的IP、目的端口、VPN域名、开始和结束时间、源IP国家、目的IP国家等。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拦截模式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采用旁路架构检测跨境</w:t>
            </w:r>
            <w:r>
              <w:rPr>
                <w:rFonts w:ascii="宋体" w:hAnsi="宋体"/>
                <w:sz w:val="21"/>
                <w:szCs w:val="21"/>
                <w14:ligatures w14:val="standardContextual"/>
              </w:rPr>
              <w:t xml:space="preserve"> VPN 违规外联，支持本地拦截、联动第三方安全设备两种拦截模式；可结合自动研判结果配置自动拦截策略。具备多维度风险检测、风险评分与高中低等级划分能力，配套标准化人工研判处置流程，支持IP 封堵、流量限速、RESET功能，实现违规外联行为全流程闭环管控</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情报质量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支持监测情报质量分析能力，实时统计平台代理节点数、违规账号数、重点</w:t>
            </w:r>
            <w:r>
              <w:rPr>
                <w:rFonts w:ascii="宋体" w:hAnsi="宋体"/>
                <w:sz w:val="21"/>
                <w:szCs w:val="21"/>
                <w14:ligatures w14:val="standardContextual"/>
              </w:rPr>
              <w:t xml:space="preserve">IP访问次数、翻墙行为次数等核心指标，实现动态更新与状态感知。通过全球访问地图、24小时行为趋势、代理节点分析、异常用户TOP排行、境外应用与协议类型分布、行为热力图等可视化模块，实现跨境访问流向、时段特征、节点状态、用户行为、工具与协议偏好的全维度分析</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4.3.12</w:t>
      </w:r>
      <w:r>
        <w:rPr>
          <w:rFonts w:hint="eastAsia" w:ascii="宋体" w:hAnsi="宋体"/>
          <w:sz w:val="21"/>
        </w:rPr>
        <w:t xml:space="preserve"> </w:t>
      </w:r>
      <w:r>
        <w:rPr>
          <w:rFonts w:ascii="宋体" w:hAnsi="宋体"/>
          <w:sz w:val="21"/>
        </w:rPr>
        <w:t xml:space="preserve">便携式安全检查工具箱</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w:t>
      </w:r>
      <w:r>
        <w:rPr>
          <w:rFonts w:ascii="宋体" w:hAnsi="宋体"/>
          <w:sz w:val="21"/>
        </w:rPr>
        <w:t xml:space="preserve">便携式安全检查工具箱</w:t>
      </w:r>
      <w:r>
        <w:rPr>
          <w:rFonts w:hint="eastAsia" w:ascii="宋体" w:hAnsi="宋体"/>
          <w:sz w:val="21"/>
        </w:rPr>
        <w:t xml:space="preserve">1台</w:t>
      </w:r>
      <w:r/>
    </w:p>
    <w:tbl>
      <w:tblPr>
        <w:tblStyle w:val="1451"/>
        <w:tblW w:w="0" w:type="auto"/>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CPU型号海光C86-4G，内置银河麒麟操作系统及数据安全检查工具软件，CPU性能不低于8核16线程，基础频率不低于2.8GHz，最大睿频不低于3.2GHz，不少于32G运行内存，不少于1T硬盘存储。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快速生成</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提供检查项、检查要点编排，通过知识库导入导出、调用及管理，快速生成检查方案。</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全生命周期管理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对检查任务全生命周期管理，包括：任务创建、修改、启动、执行、暂停、结束、删除、查询、导入、导出、处理、回滚、跳过、备注、评分、确认、分析、统计、修复建议等。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数据安全检查</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数据安全检查项包括数据安全组织体系、数据安全制度建设、数据分类分级、人员管理等。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检查对象</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支持检查对象信息录入，知识库规则调取，敏感区网络隔离，检测项状态、数量、结果显示和查看，结果确认和打分等。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spacing w:line="360" w:lineRule="auto"/>
        <w:tabs>
          <w:tab w:val="left" w:pos="420" w:leader="none"/>
        </w:tabs>
        <w:rPr>
          <w:rFonts w:ascii="宋体" w:hAnsi="宋体"/>
          <w:sz w:val="21"/>
        </w:rPr>
      </w:pPr>
      <w:r>
        <w:rPr>
          <w:rFonts w:ascii="宋体" w:hAnsi="宋体"/>
          <w:sz w:val="21"/>
        </w:rPr>
        <w:t xml:space="preserve">4.3.13</w:t>
      </w:r>
      <w:r>
        <w:rPr>
          <w:rFonts w:hint="eastAsia" w:ascii="宋体" w:hAnsi="宋体"/>
          <w:sz w:val="21"/>
        </w:rPr>
        <w:t xml:space="preserve"> 数据库运维安全网关设备</w:t>
      </w:r>
      <w:r/>
    </w:p>
    <w:p>
      <w:pPr>
        <w:ind w:left="0" w:firstLine="420"/>
        <w:spacing w:line="360" w:lineRule="auto"/>
        <w:tabs>
          <w:tab w:val="left" w:pos="420" w:leader="none"/>
        </w:tabs>
        <w:rPr>
          <w:rFonts w:ascii="宋体" w:hAnsi="宋体"/>
          <w:sz w:val="21"/>
        </w:rPr>
      </w:pPr>
      <w:r/>
      <w:bookmarkStart w:id="150" w:name="OLE_LINK66"/>
      <w:r>
        <w:rPr>
          <w:rFonts w:hint="eastAsia" w:ascii="宋体" w:hAnsi="宋体"/>
          <w:sz w:val="21"/>
        </w:rPr>
        <w:t xml:space="preserve">提供</w:t>
      </w:r>
      <w:bookmarkStart w:id="151" w:name="OLE_LINK70"/>
      <w:r/>
      <w:bookmarkStart w:id="152" w:name="OLE_LINK72"/>
      <w:r>
        <w:rPr>
          <w:rFonts w:hint="eastAsia" w:ascii="宋体" w:hAnsi="宋体"/>
          <w:sz w:val="21"/>
        </w:rPr>
        <w:t xml:space="preserve">数</w:t>
      </w:r>
      <w:bookmarkStart w:id="153" w:name="OLE_LINK71"/>
      <w:r>
        <w:rPr>
          <w:rFonts w:hint="eastAsia" w:ascii="宋体" w:hAnsi="宋体"/>
          <w:sz w:val="21"/>
        </w:rPr>
        <w:t xml:space="preserve">据库运维安全</w:t>
      </w:r>
      <w:bookmarkEnd w:id="151"/>
      <w:r>
        <w:rPr>
          <w:rFonts w:hint="eastAsia" w:ascii="宋体" w:hAnsi="宋体"/>
          <w:sz w:val="21"/>
        </w:rPr>
        <w:t xml:space="preserve">网关设备</w:t>
      </w:r>
      <w:bookmarkEnd w:id="152"/>
      <w:r/>
      <w:bookmarkEnd w:id="153"/>
      <w:r>
        <w:rPr>
          <w:rFonts w:hint="eastAsia" w:ascii="宋体" w:hAnsi="宋体"/>
          <w:sz w:val="21"/>
        </w:rPr>
        <w:t xml:space="preserve">1台</w:t>
      </w:r>
      <w:bookmarkEnd w:id="150"/>
      <w:r/>
      <w:r/>
    </w:p>
    <w:tbl>
      <w:tblPr>
        <w:tblStyle w:val="1451"/>
        <w:tblW w:w="0" w:type="auto"/>
        <w:tblLook w:val="04A0" w:firstRow="1" w:lastRow="0" w:firstColumn="1" w:lastColumn="0" w:noHBand="0" w:noVBand="1"/>
      </w:tblPr>
      <w:tblGrid>
        <w:gridCol w:w="1271"/>
        <w:gridCol w:w="7088"/>
        <w:gridCol w:w="1417"/>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≥1U 机架式设备，SQL处理量≥25000 sql/s，固化≥6个千兆电口，≥4个千兆光口，≥1个扩展插槽，≥4T硬盘存储。</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部署模式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支持反向代理和网桥的方式部署。</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权限管控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支撑数据库进行精细化权限管控，访问控制策略组的新建、复制、编辑和删除。</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运维审批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避免运维过程中账号管理混乱、运维操作不透明等一系列不合规现象造成的数据泄露</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总体状况</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根据告警的严重级别自动给系统进行评分，实时显示系统的安全</w:t>
            </w:r>
            <w:bookmarkStart w:id="154" w:name="OLE_LINK74"/>
            <w:r>
              <w:rPr>
                <w:rFonts w:hint="eastAsia" w:ascii="宋体" w:hAnsi="宋体"/>
                <w:sz w:val="21"/>
                <w:szCs w:val="21"/>
                <w14:ligatures w14:val="standardContextual"/>
              </w:rPr>
              <w:t xml:space="preserve">总体状况</w:t>
            </w:r>
            <w:bookmarkEnd w:id="154"/>
            <w:r>
              <w:rPr>
                <w:rFonts w:hint="eastAsia" w:ascii="宋体" w:hAnsi="宋体"/>
                <w:sz w:val="21"/>
                <w:szCs w:val="21"/>
                <w14:ligatures w14:val="standardContextual"/>
              </w:rPr>
              <w:t xml:space="preserve">，数据库的安全更加直观、可视、简单。</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访问控制</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实现了精细化的</w:t>
            </w:r>
            <w:bookmarkStart w:id="155" w:name="OLE_LINK73"/>
            <w:r>
              <w:rPr>
                <w:rFonts w:hint="eastAsia" w:ascii="宋体" w:hAnsi="宋体"/>
                <w:sz w:val="21"/>
                <w:szCs w:val="21"/>
                <w14:ligatures w14:val="standardContextual"/>
              </w:rPr>
              <w:t xml:space="preserve">访问控制</w:t>
            </w:r>
            <w:bookmarkEnd w:id="155"/>
            <w:r>
              <w:rPr>
                <w:rFonts w:hint="eastAsia" w:ascii="宋体" w:hAnsi="宋体"/>
                <w:sz w:val="21"/>
                <w:szCs w:val="21"/>
                <w14:ligatures w14:val="standardContextual"/>
              </w:rPr>
              <w:t xml:space="preserve">，对维护人员和业务系统的请求进行有效的访问控制</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4.3.14</w:t>
      </w:r>
      <w:r>
        <w:rPr>
          <w:rFonts w:hint="eastAsia" w:ascii="宋体" w:hAnsi="宋体"/>
          <w:sz w:val="21"/>
        </w:rPr>
        <w:t xml:space="preserve"> </w:t>
      </w:r>
      <w:r>
        <w:rPr>
          <w:rFonts w:ascii="宋体" w:hAnsi="宋体"/>
          <w:sz w:val="21"/>
        </w:rPr>
        <w:t xml:space="preserve">应用（API）监测与防护网关</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w:t>
      </w:r>
      <w:r>
        <w:rPr>
          <w:rFonts w:ascii="宋体" w:hAnsi="宋体"/>
          <w:sz w:val="21"/>
        </w:rPr>
        <w:t xml:space="preserve">应用（API）监测与防护网关</w:t>
      </w:r>
      <w:r>
        <w:rPr>
          <w:rFonts w:hint="eastAsia" w:ascii="宋体" w:hAnsi="宋体"/>
          <w:sz w:val="21"/>
        </w:rPr>
        <w:t xml:space="preserve">1台</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w:t>
            </w:r>
            <w:r>
              <w:rPr>
                <w:rFonts w:hint="eastAsia" w:ascii="宋体" w:hAnsi="宋体"/>
                <w:b/>
                <w:sz w:val="21"/>
                <w:szCs w:val="21"/>
                <w14:ligatures w14:val="standardContextual"/>
              </w:rPr>
              <w:t xml:space="preserve">≥1U机架式设备，≥6个千兆电口，≥4个千兆光口，≥2个扩展槽，≥8T企业级存储，内存≥1</w:t>
            </w:r>
            <w:r>
              <w:rPr>
                <w:rFonts w:ascii="宋体" w:hAnsi="宋体"/>
                <w:b/>
                <w:sz w:val="21"/>
                <w:szCs w:val="21"/>
                <w14:ligatures w14:val="standardContextual"/>
              </w:rPr>
              <w:t xml:space="preserve">6</w:t>
            </w:r>
            <w:r>
              <w:rPr>
                <w:rFonts w:hint="eastAsia" w:ascii="宋体" w:hAnsi="宋体"/>
                <w:b/>
                <w:sz w:val="21"/>
                <w:szCs w:val="21"/>
                <w14:ligatures w14:val="standardContextual"/>
              </w:rPr>
              <w:t xml:space="preserve">G，配置冗余电源</w:t>
            </w:r>
            <w:bookmarkStart w:id="156" w:name="OLE_LINK24"/>
            <w:r>
              <w:rPr>
                <w:rFonts w:ascii="宋体" w:hAnsi="宋体"/>
                <w:b/>
                <w:sz w:val="21"/>
                <w:szCs w:val="21"/>
                <w14:ligatures w14:val="standardContextual"/>
              </w:rPr>
              <w:t xml:space="preserve">，</w:t>
            </w:r>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bookmarkEnd w:id="156"/>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支持最大网络吞吐量</w:t>
            </w:r>
            <w:r>
              <w:rPr>
                <w:rFonts w:ascii="宋体" w:hAnsi="宋体"/>
                <w:sz w:val="21"/>
                <w:szCs w:val="21"/>
                <w14:ligatures w14:val="standardContextual"/>
              </w:rPr>
              <w:t xml:space="preserve">22Gbps、最大HTTP流量吞吐5Gbps、最大网络并发会话数400万、最大HTTP新建连接数40000个/秒</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支持对发布的API服务协议类型进行配置管理，包括但不限于HTTP、websocket等。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自定义解析</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支持自定义TCP socket的解析，包括base64解密、解压缩等。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安全配置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支持对SSL协议配置、长连接配置、请求头最大长度、上传文件最大长度等通用安全配置</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结构组织</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支持资产网站类型、接入方式、防护状态展示，支持对API资产按网站树形结构组织</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4.3.15</w:t>
      </w:r>
      <w:r>
        <w:rPr>
          <w:rFonts w:hint="eastAsia" w:ascii="宋体" w:hAnsi="宋体"/>
          <w:sz w:val="21"/>
        </w:rPr>
        <w:t xml:space="preserve"> IPSec/SSL VPN 综合安全网关</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提供综合安全网关3台</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bookmarkStart w:id="157" w:name="OLE_LINK64"/>
            <w:r>
              <w:rPr>
                <w:rFonts w:hint="eastAsia" w:ascii="宋体" w:hAnsi="宋体"/>
                <w:b/>
                <w:sz w:val="21"/>
                <w:szCs w:val="21"/>
                <w14:ligatures w14:val="standardContextual"/>
              </w:rPr>
              <w:t xml:space="preserve">★</w:t>
            </w:r>
            <w:r>
              <w:rPr>
                <w:rFonts w:hint="eastAsia" w:ascii="宋体" w:hAnsi="宋体"/>
                <w:b/>
                <w:sz w:val="21"/>
                <w:szCs w:val="21"/>
                <w14:ligatures w14:val="standardContextual"/>
              </w:rPr>
              <w:t xml:space="preserve">CPU型号海光C86-4G，内置银河麒麟操作系统，</w:t>
            </w:r>
            <w:r>
              <w:rPr>
                <w:rFonts w:hint="eastAsia" w:ascii="宋体" w:hAnsi="宋体"/>
                <w:b/>
                <w:sz w:val="21"/>
                <w:szCs w:val="21"/>
                <w14:ligatures w14:val="standardContextual"/>
              </w:rPr>
              <w:t xml:space="preserve">≥</w:t>
            </w:r>
            <w:r>
              <w:rPr>
                <w:rFonts w:hint="eastAsia" w:ascii="宋体" w:hAnsi="宋体"/>
                <w:b/>
                <w:sz w:val="21"/>
                <w:szCs w:val="21"/>
                <w14:ligatures w14:val="standardContextual"/>
              </w:rPr>
              <w:t xml:space="preserve">1U</w:t>
            </w:r>
            <w:bookmarkEnd w:id="157"/>
            <w:r>
              <w:rPr>
                <w:rFonts w:hint="eastAsia" w:ascii="宋体" w:hAnsi="宋体"/>
                <w:b/>
                <w:sz w:val="21"/>
                <w:szCs w:val="21"/>
                <w14:ligatures w14:val="standardContextual"/>
              </w:rPr>
              <w:t xml:space="preserve">机架式设备，国产化设备，内存≥8G，硬盘≥128G；电源：冗余电源；网口：电口≥6，千兆光口≥4</w:t>
            </w:r>
            <w:r>
              <w:rPr>
                <w:rFonts w:ascii="宋体" w:hAnsi="宋体"/>
                <w:b/>
                <w:sz w:val="21"/>
                <w:szCs w:val="21"/>
                <w14:ligatures w14:val="standardContextual"/>
              </w:rPr>
              <w:t xml:space="preserve">，</w:t>
            </w:r>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SSL最大并发连接≥100000；SSL加密吞度≥1Gbps，IPSec最大并发隧道数≥3000。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协议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支持国密SSLv1.1和TLCP协议，满足《GB/T 38636-2020信息安全技术传输层密码协议》。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传输模式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支持SSL代理模式以及隧道模式，支持IPSEC 隧道和传输模式。</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访问控制</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支持简单防火墙访问控制，可根据客户端 IP/服务端 IP、端口、URL 地址以及应用进行连接有效性控制。</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身份鉴别</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支持数字证书双向身份鉴别，可扩展其他鉴别手段或者与其他鉴别系统集成 (Radius、LDAP、ActiveDirectory、动态令牌等) 。并支持多个服务证书应用。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数据加密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具备数据路由、负载均衡功能，支持数据传输加密，支持国密算法。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权限分级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支持用户基于角色的权限分级管理，支持信息审计功能，能够对用户对系统的访问进行详细的记录和审计。</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架构</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 B/S 架构进行 WEB 配置。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高可靠</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高可靠性，支持双机热备。</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4.3.16</w:t>
      </w:r>
      <w:r>
        <w:rPr>
          <w:rFonts w:hint="eastAsia" w:ascii="宋体" w:hAnsi="宋体"/>
          <w:sz w:val="21"/>
        </w:rPr>
        <w:t xml:space="preserve"> 云服务器密码机</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提供云服务器密码机 2台</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bookmarkStart w:id="158" w:name="OLE_LINK49"/>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w:t>
            </w:r>
            <w:r>
              <w:rPr>
                <w:rFonts w:hint="eastAsia" w:ascii="宋体" w:hAnsi="宋体"/>
                <w:b/>
                <w:sz w:val="21"/>
                <w:szCs w:val="21"/>
                <w14:ligatures w14:val="standardContextual"/>
              </w:rPr>
              <w:t xml:space="preserve">CPU型号海光C86-4G，内置银河麒麟操作系统，</w:t>
            </w:r>
            <w:r>
              <w:rPr>
                <w:rFonts w:hint="eastAsia" w:ascii="宋体" w:hAnsi="宋体"/>
                <w:b/>
                <w:sz w:val="21"/>
                <w:szCs w:val="21"/>
                <w14:ligatures w14:val="standardContextual"/>
              </w:rPr>
              <w:t xml:space="preserve">≥1U机架式，内存≥64G；硬盘≥64G；千兆电口≥6，万兆光口≥2</w:t>
            </w:r>
            <w:r>
              <w:rPr>
                <w:rFonts w:ascii="宋体" w:hAnsi="宋体"/>
                <w:b/>
                <w:sz w:val="21"/>
                <w:szCs w:val="21"/>
                <w14:ligatures w14:val="standardContextual"/>
              </w:rPr>
              <w:t xml:space="preserve">，</w:t>
            </w:r>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虚拟密码机数量（VSM）≥32；SM2密钥对生成(Tps) ≥：300,000，SM2签名(Tps) ≥300,500，SM2验签(Tps)≥ 130,200，SM2加密(Tps)≥ 78,000，SM2解密(Tps) ≥97,500。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支持DES、3DES、AES、SHA1、MD5、RSA、SM1、SM2、SM3、SM4等国际及国密算法。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实例</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支持镜像实例的管理，并能够对镜像进行数字签名以验证其完整性。</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完整性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支持使用商用密码算法对设备日志信息和访问控制信息执行</w:t>
            </w:r>
            <w:bookmarkStart w:id="159" w:name="OLE_LINK44"/>
            <w:r>
              <w:rPr>
                <w:rFonts w:hint="eastAsia" w:ascii="宋体" w:hAnsi="宋体"/>
                <w:sz w:val="21"/>
                <w:szCs w:val="21"/>
                <w14:ligatures w14:val="standardContextual"/>
              </w:rPr>
              <w:t xml:space="preserve">完</w:t>
            </w:r>
            <w:bookmarkEnd w:id="159"/>
            <w:r>
              <w:rPr>
                <w:rFonts w:hint="eastAsia" w:ascii="宋体" w:hAnsi="宋体"/>
                <w:sz w:val="21"/>
                <w:szCs w:val="21"/>
                <w14:ligatures w14:val="standardContextual"/>
              </w:rPr>
              <w:t xml:space="preserve">整性保护，确保这些信息未被未授权篡改。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健康状态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支持具备检测虚拟密码机网络</w:t>
            </w:r>
            <w:bookmarkStart w:id="160" w:name="OLE_LINK45"/>
            <w:r>
              <w:rPr>
                <w:rFonts w:hint="eastAsia" w:ascii="宋体" w:hAnsi="宋体"/>
                <w:sz w:val="21"/>
                <w:szCs w:val="21"/>
                <w14:ligatures w14:val="standardContextual"/>
              </w:rPr>
              <w:t xml:space="preserve">健康状态</w:t>
            </w:r>
            <w:bookmarkEnd w:id="160"/>
            <w:r>
              <w:rPr>
                <w:rFonts w:hint="eastAsia" w:ascii="宋体" w:hAnsi="宋体"/>
                <w:sz w:val="21"/>
                <w:szCs w:val="21"/>
                <w14:ligatures w14:val="standardContextual"/>
              </w:rPr>
              <w:t xml:space="preserve">的能力，可以检查虚拟机至目标地址间的网络连通性。</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时间协议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支持网络时间协议（NTP）功能，能够自动同步系统时间。</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集成标准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支持多种编程接口和集成标准，支持符合GM/T 0088-2020《云服务器密码机管理接口规范》要求的管理接口。</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虚拟密码机提供B/S、C/S两种配置管理方式，具有完善的系统监测功能，可监测设备硬件及软件的运行状态，并可对故障进行自动恢复或者报警。</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创建</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支持创建不同规格与性能的虚拟密码机，且可以对VSM中算法性能、密钥数量进行单独配置。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bookmarkEnd w:id="158"/>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4.3.17</w:t>
      </w:r>
      <w:r>
        <w:rPr>
          <w:rFonts w:hint="eastAsia" w:ascii="宋体" w:hAnsi="宋体"/>
          <w:sz w:val="21"/>
        </w:rPr>
        <w:t xml:space="preserve"> 签名验签服务器</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提供签名验签服务器2台</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bookmarkStart w:id="161" w:name="OLE_LINK58"/>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w:t>
            </w:r>
            <w:r>
              <w:rPr>
                <w:rFonts w:hint="eastAsia" w:ascii="宋体" w:hAnsi="宋体"/>
                <w:b/>
                <w:sz w:val="21"/>
                <w:szCs w:val="21"/>
                <w14:ligatures w14:val="standardContextual"/>
              </w:rPr>
              <w:t xml:space="preserve">CPU型号海光C86-4G，内置银河麒麟操作系统，</w:t>
            </w:r>
            <w:r>
              <w:rPr>
                <w:rFonts w:hint="eastAsia" w:ascii="宋体" w:hAnsi="宋体"/>
                <w:b/>
                <w:sz w:val="21"/>
                <w:szCs w:val="21"/>
                <w14:ligatures w14:val="standardContextual"/>
              </w:rPr>
              <w:t xml:space="preserve">2U机架式；国产化设备；内存≥16G，硬盘≥240G；千兆电口≥4个，千兆光口≥4个</w:t>
            </w:r>
            <w:r>
              <w:rPr>
                <w:rFonts w:ascii="宋体" w:hAnsi="宋体"/>
                <w:b/>
                <w:sz w:val="21"/>
                <w:szCs w:val="21"/>
                <w14:ligatures w14:val="standardContextual"/>
              </w:rPr>
              <w:t xml:space="preserve">，</w:t>
            </w:r>
            <w:r>
              <w:rPr>
                <w:rFonts w:hint="eastAsia" w:ascii="宋体" w:hAnsi="宋体"/>
                <w:b/>
                <w:sz w:val="21"/>
              </w:rPr>
              <w:t xml:space="preserve">投标文件中</w:t>
            </w:r>
            <w:r>
              <w:rPr>
                <w:rFonts w:hint="eastAsia" w:ascii="宋体" w:hAnsi="宋体"/>
                <w:b/>
                <w:sz w:val="21"/>
              </w:rPr>
              <w:t xml:space="preserve">提供产品</w:t>
            </w:r>
            <w:r>
              <w:rPr>
                <w:rFonts w:hint="eastAsia" w:ascii="宋体" w:hAnsi="宋体"/>
                <w:b/>
                <w:sz w:val="21"/>
              </w:rPr>
              <w:t xml:space="preserve">功能</w:t>
            </w:r>
            <w:r>
              <w:rPr>
                <w:rFonts w:hint="eastAsia" w:ascii="宋体" w:hAnsi="宋体"/>
                <w:b/>
                <w:sz w:val="21"/>
              </w:rPr>
              <w:t xml:space="preserve">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SM2 签名≥85000 次/秒；SM2 验签≥37500 次/秒；SM2 P1签名≥40850次/秒；SM2 P1验签≥15000次/秒</w:t>
            </w:r>
            <w:bookmarkStart w:id="162" w:name="OLE_LINK50"/>
            <w:r>
              <w:rPr>
                <w:rFonts w:hint="eastAsia" w:ascii="宋体" w:hAnsi="宋体"/>
                <w:sz w:val="21"/>
                <w:szCs w:val="21"/>
                <w14:ligatures w14:val="standardContextual"/>
              </w:rPr>
              <w:t xml:space="preserve">。</w:t>
            </w:r>
            <w:bookmarkEnd w:id="162"/>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支持国际</w:t>
            </w:r>
            <w:bookmarkStart w:id="163" w:name="OLE_LINK51"/>
            <w:r>
              <w:rPr>
                <w:rFonts w:hint="eastAsia" w:ascii="宋体" w:hAnsi="宋体"/>
                <w:sz w:val="21"/>
                <w:szCs w:val="21"/>
                <w14:ligatures w14:val="standardContextual"/>
              </w:rPr>
              <w:t xml:space="preserve">算法</w:t>
            </w:r>
            <w:bookmarkEnd w:id="163"/>
            <w:r>
              <w:rPr>
                <w:rFonts w:hint="eastAsia" w:ascii="宋体" w:hAnsi="宋体"/>
                <w:sz w:val="21"/>
                <w:szCs w:val="21"/>
                <w14:ligatures w14:val="standardContextual"/>
              </w:rPr>
              <w:t xml:space="preserve">和国密，如：RSA/SM系列等算法；支持对称算法AES、3DES等多种算法，支持ECB、CBC、OFB、MAC、SM3-HMAC等多种算法模式，杂凑算法支持SHA256、SHA384、SHA512等。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密钥</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支持设备内部</w:t>
            </w:r>
            <w:bookmarkStart w:id="164" w:name="OLE_LINK52"/>
            <w:r>
              <w:rPr>
                <w:rFonts w:hint="eastAsia" w:ascii="宋体" w:hAnsi="宋体"/>
                <w:sz w:val="21"/>
                <w:szCs w:val="21"/>
                <w14:ligatures w14:val="standardContextual"/>
              </w:rPr>
              <w:t xml:space="preserve">密钥</w:t>
            </w:r>
            <w:bookmarkEnd w:id="164"/>
            <w:r>
              <w:rPr>
                <w:rFonts w:hint="eastAsia" w:ascii="宋体" w:hAnsi="宋体"/>
                <w:sz w:val="21"/>
                <w:szCs w:val="21"/>
                <w14:ligatures w14:val="standardContextual"/>
              </w:rPr>
              <w:t xml:space="preserve">以密文形式备份，备份密钥可恢复到相同型号的其他签名验签服务器中。</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地址过滤</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支持客户端访问签名验签服务器IP</w:t>
            </w:r>
            <w:bookmarkStart w:id="165" w:name="OLE_LINK53"/>
            <w:r>
              <w:rPr>
                <w:rFonts w:hint="eastAsia" w:ascii="宋体" w:hAnsi="宋体"/>
                <w:sz w:val="21"/>
                <w:szCs w:val="21"/>
                <w14:ligatures w14:val="standardContextual"/>
              </w:rPr>
              <w:t xml:space="preserve">地址过滤</w:t>
            </w:r>
            <w:bookmarkEnd w:id="165"/>
            <w:r>
              <w:rPr>
                <w:rFonts w:hint="eastAsia" w:ascii="宋体" w:hAnsi="宋体"/>
                <w:sz w:val="21"/>
                <w:szCs w:val="21"/>
                <w14:ligatures w14:val="standardContextual"/>
              </w:rPr>
              <w:t xml:space="preserve">功能(白名单)。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审计</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支持完善的系统日志</w:t>
            </w:r>
            <w:bookmarkStart w:id="166" w:name="OLE_LINK54"/>
            <w:r>
              <w:rPr>
                <w:rFonts w:hint="eastAsia" w:ascii="宋体" w:hAnsi="宋体"/>
                <w:sz w:val="21"/>
                <w:szCs w:val="21"/>
                <w14:ligatures w14:val="standardContextual"/>
              </w:rPr>
              <w:t xml:space="preserve">审计</w:t>
            </w:r>
            <w:bookmarkEnd w:id="166"/>
            <w:r>
              <w:rPr>
                <w:rFonts w:hint="eastAsia" w:ascii="宋体" w:hAnsi="宋体"/>
                <w:sz w:val="21"/>
                <w:szCs w:val="21"/>
                <w14:ligatures w14:val="standardContextual"/>
              </w:rPr>
              <w:t xml:space="preserve">功能,对签名验签服务器运行情况进行审查。</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监测</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支持完善的系统</w:t>
            </w:r>
            <w:bookmarkStart w:id="167" w:name="OLE_LINK55"/>
            <w:r>
              <w:rPr>
                <w:rFonts w:hint="eastAsia" w:ascii="宋体" w:hAnsi="宋体"/>
                <w:sz w:val="21"/>
                <w:szCs w:val="21"/>
                <w14:ligatures w14:val="standardContextual"/>
              </w:rPr>
              <w:t xml:space="preserve">监测</w:t>
            </w:r>
            <w:bookmarkEnd w:id="167"/>
            <w:r>
              <w:rPr>
                <w:rFonts w:hint="eastAsia" w:ascii="宋体" w:hAnsi="宋体"/>
                <w:sz w:val="21"/>
                <w:szCs w:val="21"/>
                <w14:ligatures w14:val="standardContextual"/>
              </w:rPr>
              <w:t xml:space="preserve">功能，可监测硬件及软件的运行状态。</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支持WEB方式进行</w:t>
            </w:r>
            <w:bookmarkStart w:id="168" w:name="OLE_LINK56"/>
            <w:r>
              <w:rPr>
                <w:rFonts w:hint="eastAsia" w:ascii="宋体" w:hAnsi="宋体"/>
                <w:sz w:val="21"/>
                <w:szCs w:val="21"/>
                <w14:ligatures w14:val="standardContextual"/>
              </w:rPr>
              <w:t xml:space="preserve">配置管理</w:t>
            </w:r>
            <w:bookmarkEnd w:id="168"/>
            <w:r>
              <w:rPr>
                <w:rFonts w:hint="eastAsia" w:ascii="宋体" w:hAnsi="宋体"/>
                <w:sz w:val="21"/>
                <w:szCs w:val="21"/>
                <w14:ligatures w14:val="standardContextual"/>
              </w:rPr>
              <w:t xml:space="preserve">，实现对设备的配置管理、密钥管理操作。</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双机热备</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支持负载均衡、支持</w:t>
            </w:r>
            <w:bookmarkStart w:id="169" w:name="OLE_LINK57"/>
            <w:r>
              <w:rPr>
                <w:rFonts w:hint="eastAsia" w:ascii="宋体" w:hAnsi="宋体"/>
                <w:sz w:val="21"/>
                <w:szCs w:val="21"/>
                <w14:ligatures w14:val="standardContextual"/>
              </w:rPr>
              <w:t xml:space="preserve">双机热备</w:t>
            </w:r>
            <w:bookmarkEnd w:id="169"/>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证书验证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支持不同CA的用户证书验证，提供CRL/OCSP/LDAP等多种方式的证书有效性验证。</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bookmarkEnd w:id="161"/>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4.3.18</w:t>
      </w:r>
      <w:r>
        <w:rPr>
          <w:rFonts w:hint="eastAsia" w:ascii="宋体" w:hAnsi="宋体"/>
          <w:sz w:val="21"/>
        </w:rPr>
        <w:t xml:space="preserve"> 智能密码钥匙</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提供数量：15个</w:t>
      </w:r>
      <w:r/>
    </w:p>
    <w:tbl>
      <w:tblPr>
        <w:tblStyle w:val="1451"/>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SM1加密≥2.33Mbps，SM1解密≥2.33Mbps，SM4加密≥2.72Mbps，SM4解密≥2.72Mbps</w:t>
            </w:r>
            <w:bookmarkStart w:id="170" w:name="OLE_LINK65"/>
            <w:r>
              <w:rPr>
                <w:rFonts w:hint="eastAsia" w:ascii="宋体" w:hAnsi="宋体"/>
                <w:sz w:val="21"/>
                <w:szCs w:val="21"/>
                <w14:ligatures w14:val="standardContextual"/>
              </w:rPr>
              <w:t xml:space="preserve">。</w:t>
            </w:r>
            <w:bookmarkEnd w:id="170"/>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USB</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支持USB2.0/3.0。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支持的</w:t>
            </w:r>
            <w:bookmarkStart w:id="171" w:name="OLE_LINK59"/>
            <w:r>
              <w:rPr>
                <w:rFonts w:hint="eastAsia" w:ascii="宋体" w:hAnsi="宋体"/>
                <w:sz w:val="21"/>
                <w:szCs w:val="21"/>
                <w14:ligatures w14:val="standardContextual"/>
              </w:rPr>
              <w:t xml:space="preserve">算法</w:t>
            </w:r>
            <w:bookmarkEnd w:id="171"/>
            <w:r>
              <w:rPr>
                <w:rFonts w:hint="eastAsia" w:ascii="宋体" w:hAnsi="宋体"/>
                <w:sz w:val="21"/>
                <w:szCs w:val="21"/>
                <w14:ligatures w14:val="standardContextual"/>
              </w:rPr>
              <w:t xml:space="preserve">包含：支持SM1/SM2/SM3/SM4/SM9并兼容支持RSA等算法。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接口</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支持国际通用</w:t>
            </w:r>
            <w:bookmarkStart w:id="172" w:name="OLE_LINK60"/>
            <w:r>
              <w:rPr>
                <w:rFonts w:hint="eastAsia" w:ascii="宋体" w:hAnsi="宋体"/>
                <w:sz w:val="21"/>
                <w:szCs w:val="21"/>
                <w14:ligatures w14:val="standardContextual"/>
              </w:rPr>
              <w:t xml:space="preserve">接口</w:t>
            </w:r>
            <w:bookmarkEnd w:id="172"/>
            <w:r>
              <w:rPr>
                <w:rFonts w:hint="eastAsia" w:ascii="宋体" w:hAnsi="宋体"/>
                <w:sz w:val="21"/>
                <w:szCs w:val="21"/>
                <w14:ligatures w14:val="standardContextual"/>
              </w:rPr>
              <w:t xml:space="preserve">：如PKCS#11、CSP等。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智能密码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支持国密局</w:t>
            </w:r>
            <w:bookmarkStart w:id="173" w:name="OLE_LINK61"/>
            <w:r>
              <w:rPr>
                <w:rFonts w:hint="eastAsia" w:ascii="宋体" w:hAnsi="宋体"/>
                <w:sz w:val="21"/>
                <w:szCs w:val="21"/>
                <w14:ligatures w14:val="standardContextual"/>
              </w:rPr>
              <w:t xml:space="preserve">智能密码</w:t>
            </w:r>
            <w:bookmarkEnd w:id="173"/>
            <w:r>
              <w:rPr>
                <w:rFonts w:hint="eastAsia" w:ascii="宋体" w:hAnsi="宋体"/>
                <w:sz w:val="21"/>
                <w:szCs w:val="21"/>
                <w14:ligatures w14:val="standardContextual"/>
              </w:rPr>
              <w:t xml:space="preserve">钥匙SKF接口。</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操作系统</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支持客户端国产</w:t>
            </w:r>
            <w:bookmarkStart w:id="174" w:name="OLE_LINK62"/>
            <w:r>
              <w:rPr>
                <w:rFonts w:hint="eastAsia" w:ascii="宋体" w:hAnsi="宋体"/>
                <w:sz w:val="21"/>
                <w:szCs w:val="21"/>
                <w14:ligatures w14:val="standardContextual"/>
              </w:rPr>
              <w:t xml:space="preserve">操作系统</w:t>
            </w:r>
            <w:bookmarkEnd w:id="174"/>
            <w:r>
              <w:rPr>
                <w:rFonts w:hint="eastAsia" w:ascii="宋体" w:hAnsi="宋体"/>
                <w:sz w:val="21"/>
                <w:szCs w:val="21"/>
                <w14:ligatures w14:val="standardContextual"/>
              </w:rPr>
              <w:t xml:space="preserve">环境下使用。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存储空间</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bookmarkStart w:id="175" w:name="OLE_LINK63"/>
            <w:r>
              <w:rPr>
                <w:rFonts w:hint="eastAsia" w:ascii="宋体" w:hAnsi="宋体"/>
                <w:sz w:val="21"/>
                <w:szCs w:val="21"/>
                <w14:ligatures w14:val="standardContextual"/>
              </w:rPr>
              <w:t xml:space="preserve">存储空间</w:t>
            </w:r>
            <w:bookmarkEnd w:id="175"/>
            <w:r>
              <w:rPr>
                <w:rFonts w:hint="eastAsia" w:ascii="宋体" w:hAnsi="宋体"/>
                <w:sz w:val="21"/>
                <w:szCs w:val="21"/>
                <w14:ligatures w14:val="standardContextual"/>
              </w:rPr>
              <w:t xml:space="preserve">≥128K。</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配套服务需求</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.1 数据安全风险评估服务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需要了解项目实施背景、项目相关方、项目期望等内容，制定项目整体工作方案, 编制必要信息收集清单，协助确认所需信息对应材料,沟通确认信息收集结果，确保必要信息的完备性,</w:t>
      </w:r>
      <w:r>
        <w:rPr>
          <w:rFonts w:hint="eastAsia" w:ascii="宋体" w:hAnsi="宋体"/>
          <w:sz w:val="21"/>
        </w:rPr>
        <w:t xml:space="preserve"> </w:t>
      </w:r>
      <w:r>
        <w:rPr>
          <w:rFonts w:hint="eastAsia" w:ascii="宋体" w:hAnsi="宋体"/>
          <w:sz w:val="21"/>
        </w:rPr>
        <w:t xml:space="preserve">结合数据资产测绘、数据流转测绘结果，进行数据安全风险评估分析，发现数据分类分级问题、敏感数据存储分布问题、敏感数据异常使用问题、大数据组件安全漏洞问题、安全配置问题等。</w:t>
      </w:r>
      <w:r>
        <w:rPr>
          <w:rFonts w:hint="eastAsia" w:ascii="宋体" w:hAnsi="宋体"/>
          <w:sz w:val="21"/>
        </w:rPr>
        <w:t xml:space="preserve">基于应用场景对风险点进行整合，设计处置措施，编制数据安全风险评估报告。</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.2 web应用防护服务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在全面了解中心业务环境及潜在风险的基础上，选择合适的web应用防护部署模式，针对中心内网部分应用系统访问中所面临的CSRF、SQL注入、爬虫、信息泄漏、恶意扫描等提供基本防护能力，并完成基础环境搭建和策略调试，通过web防护设备进行web应用威胁识别分析，以及web安全日志查看，基于实际运行数据持续优化防护策略，持续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进行Web网站流量报表、Web应用防护安全报表的输出。</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.3 数据内容安全审核监测服务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需要对12320网站和微信公众号等媒体平台的目标内容进行监测，通过敏感词库匹配，对不良信息进行监测识别，支持主流格式违规文本识别监测，支持网页中的图片识别，支持网页中的附件识别。可提供违规内容明细，支持违规证据的固化留存及内容溯源追踪，全方位满足问题核查与整改落地需求，违规截图标明在页面及源代码中错误所在位置，高亮标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（三）项目实施与管理要求</w:t>
      </w:r>
      <w:r/>
    </w:p>
    <w:p>
      <w:pPr>
        <w:ind w:left="0" w:firstLine="420"/>
        <w:spacing w:line="360" w:lineRule="auto"/>
        <w:tabs>
          <w:tab w:val="left" w:pos="420" w:leader="none"/>
        </w:tabs>
        <w:rPr>
          <w:rFonts w:ascii="宋体" w:hAnsi="宋体"/>
          <w:sz w:val="21"/>
        </w:rPr>
      </w:pPr>
      <w:r>
        <w:rPr>
          <w:rFonts w:ascii="宋体" w:hAnsi="宋体"/>
          <w:sz w:val="21"/>
        </w:rPr>
        <w:t xml:space="preserve">1.项目团队要求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投标</w:t>
      </w:r>
      <w:r>
        <w:rPr>
          <w:rFonts w:hint="eastAsia" w:ascii="宋体" w:hAnsi="宋体"/>
          <w:b/>
          <w:sz w:val="21"/>
        </w:rPr>
        <w:t xml:space="preserve">单位</w:t>
      </w:r>
      <w:r>
        <w:rPr>
          <w:rFonts w:hint="eastAsia" w:ascii="宋体" w:hAnsi="宋体"/>
          <w:b/>
          <w:sz w:val="21"/>
        </w:rPr>
        <w:t xml:space="preserve">必须承诺在中标后，立刻提供本项目的详细工作进度安排，组建不少于20人的项目组人员配备方案</w:t>
      </w:r>
      <w:r>
        <w:rPr>
          <w:rFonts w:hint="eastAsia" w:ascii="宋体" w:hAnsi="宋体"/>
          <w:b/>
          <w:sz w:val="21"/>
        </w:rPr>
        <w:t xml:space="preserve">，其中至少10人驻场服务</w:t>
      </w:r>
      <w:r>
        <w:rPr>
          <w:rFonts w:hint="eastAsia" w:ascii="宋体" w:hAnsi="宋体"/>
          <w:b/>
          <w:sz w:val="21"/>
        </w:rPr>
        <w:t xml:space="preserve">。</w:t>
      </w:r>
      <w:r>
        <w:rPr>
          <w:rFonts w:hint="eastAsia" w:ascii="宋体" w:hAnsi="宋体"/>
          <w:b/>
          <w:sz w:val="21"/>
        </w:rPr>
        <w:t xml:space="preserve">投标文件中须提供承诺函，未提供视为非实质性响应。</w:t>
      </w:r>
      <w:r/>
    </w:p>
    <w:p>
      <w:pPr>
        <w:ind w:left="0" w:firstLine="420"/>
        <w:spacing w:line="360" w:lineRule="auto"/>
        <w:tabs>
          <w:tab w:val="left" w:pos="420" w:leader="none"/>
        </w:tabs>
        <w:rPr>
          <w:rFonts w:ascii="宋体" w:hAnsi="宋体"/>
          <w:sz w:val="21"/>
        </w:rPr>
      </w:pPr>
      <w:r>
        <w:rPr>
          <w:rFonts w:hint="eastAsia" w:ascii="宋体" w:hAnsi="宋体"/>
          <w:sz w:val="21"/>
        </w:rPr>
        <w:t xml:space="preserve">为保证本项目建设过程中，沟通和协调的便利，中标人必须指定一名项目总负责人。项目建设过程中一旦出现重大问题，项目总负责人应该能及时赶到现场。</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中标后应根据本项目建设要求组织一支由资深项目负责人带领的经验丰富、开发能力强的项目团队，确保在系统调研、分析设计、开发测试和培训实施等各个阶段项目团队的稳定性，项目团队成员变更时，须事先征得项目采购人的同意后，方可进行变更。</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.方案评审</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w:t>
      </w:r>
      <w:r>
        <w:rPr>
          <w:rFonts w:ascii="宋体" w:hAnsi="宋体"/>
          <w:sz w:val="21"/>
        </w:rPr>
        <w:t xml:space="preserve">单位在完成系统设计后，设计方案需要经过业务部门确认。确认后，才可以进行系统的开发。</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.软件合法性和可用性</w:t>
      </w:r>
      <w:r/>
    </w:p>
    <w:p>
      <w:pPr>
        <w:ind w:left="0" w:firstLine="420"/>
        <w:spacing w:line="360" w:lineRule="auto"/>
        <w:tabs>
          <w:tab w:val="left" w:pos="420" w:leader="none"/>
        </w:tabs>
        <w:rPr>
          <w:rFonts w:ascii="宋体" w:hAnsi="宋体"/>
          <w:sz w:val="21"/>
        </w:rPr>
      </w:pPr>
      <w:r>
        <w:rPr>
          <w:rFonts w:ascii="宋体" w:hAnsi="宋体"/>
          <w:sz w:val="21"/>
        </w:rPr>
        <w:t xml:space="preserve">本项目中</w:t>
      </w:r>
      <w:r>
        <w:rPr>
          <w:rFonts w:hint="eastAsia" w:ascii="宋体" w:hAnsi="宋体"/>
          <w:sz w:val="21"/>
        </w:rPr>
        <w:t xml:space="preserve">中标人</w:t>
      </w:r>
      <w:r>
        <w:rPr>
          <w:rFonts w:ascii="宋体" w:hAnsi="宋体"/>
          <w:sz w:val="21"/>
        </w:rPr>
        <w:t xml:space="preserve">项目实施过程中使用及交付的所有成品软件和定制软件，要保证是永久、合法可用，并且不需要另行支付费用。如出现相关纠纷，由</w:t>
      </w:r>
      <w:r>
        <w:rPr>
          <w:rFonts w:hint="eastAsia" w:ascii="宋体" w:hAnsi="宋体"/>
          <w:sz w:val="21"/>
        </w:rPr>
        <w:t xml:space="preserve">中标人</w:t>
      </w:r>
      <w:r>
        <w:rPr>
          <w:rFonts w:ascii="宋体" w:hAnsi="宋体"/>
          <w:sz w:val="21"/>
        </w:rPr>
        <w:t xml:space="preserve">负责解决。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.系统文档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中标人应严格按照国家软件工程规范进行，定制化开发系统必须根据开发进度及时提供有关文档，包括:</w:t>
      </w:r>
      <w:r/>
    </w:p>
    <w:p>
      <w:pPr>
        <w:ind w:left="0" w:firstLine="420"/>
        <w:spacing w:line="360" w:lineRule="auto"/>
        <w:tabs>
          <w:tab w:val="left" w:pos="420" w:leader="none"/>
        </w:tabs>
        <w:rPr>
          <w:rFonts w:ascii="宋体" w:hAnsi="宋体"/>
          <w:sz w:val="21"/>
        </w:rPr>
      </w:pPr>
      <w:r>
        <w:rPr>
          <w:rFonts w:hint="eastAsia" w:ascii="宋体" w:hAnsi="宋体"/>
          <w:sz w:val="21"/>
        </w:rPr>
        <w:t xml:space="preserve">（1）准备阶段:《实施计划》;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（2）需求分析阶段:《需求分析说明书》;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（3）设计阶段:《概要设计说明书》、《数据库设计说明书》、《系统内外部接口说明书》;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（4）测试阶段:《测试计划》、《测试方案》、《测试报告》;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（5）上线阶段:《试运行/上线报告》，所有开发软件的源代码;</w:t>
      </w:r>
      <w:r/>
    </w:p>
    <w:p>
      <w:pPr>
        <w:ind w:left="0" w:firstLine="420"/>
        <w:spacing w:line="360" w:lineRule="auto"/>
        <w:tabs>
          <w:tab w:val="left" w:pos="420" w:leader="none"/>
        </w:tabs>
        <w:rPr>
          <w:rFonts w:ascii="宋体" w:hAnsi="宋体"/>
          <w:sz w:val="21"/>
        </w:rPr>
      </w:pPr>
      <w:r>
        <w:rPr>
          <w:rFonts w:hint="eastAsia" w:ascii="宋体" w:hAnsi="宋体"/>
          <w:sz w:val="21"/>
        </w:rPr>
        <w:t xml:space="preserve">（6）培训文档:《培训计划》;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hint="eastAsia" w:ascii="宋体" w:hAnsi="宋体"/>
          <w:sz w:val="21"/>
        </w:rPr>
        <w:t xml:space="preserve">交付使用:《用户手册》、《运维手册》，内容包含但不仅限于所有软硬件配置参数及相关说明;;</w:t>
      </w:r>
      <w:r/>
    </w:p>
    <w:p>
      <w:pPr>
        <w:ind w:left="0" w:firstLine="420"/>
        <w:spacing w:line="360" w:lineRule="auto"/>
        <w:tabs>
          <w:tab w:val="left" w:pos="420" w:leader="none"/>
        </w:tabs>
        <w:rPr>
          <w:rFonts w:ascii="宋体" w:hAnsi="宋体"/>
          <w:sz w:val="21"/>
        </w:rPr>
      </w:pPr>
      <w:r>
        <w:rPr>
          <w:rFonts w:hint="eastAsia" w:ascii="宋体" w:hAnsi="宋体"/>
          <w:sz w:val="21"/>
        </w:rPr>
        <w:t xml:space="preserve">（8）与项目相关的其他文档。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投标人须保证所提供产品具有合法的版权或使用权，本项目采购的产品，如在本项目范围内使用过程中出现版权或使用权纠纷，应由中标人负责。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.项目过程管控</w:t>
      </w:r>
      <w:r/>
    </w:p>
    <w:p>
      <w:pPr>
        <w:ind w:left="0" w:firstLine="420"/>
        <w:spacing w:line="360" w:lineRule="auto"/>
        <w:tabs>
          <w:tab w:val="left" w:pos="420" w:leader="none"/>
        </w:tabs>
        <w:rPr>
          <w:rFonts w:ascii="宋体" w:hAnsi="宋体"/>
          <w:sz w:val="21"/>
        </w:rPr>
      </w:pPr>
      <w:r>
        <w:rPr>
          <w:rFonts w:ascii="宋体" w:hAnsi="宋体"/>
          <w:sz w:val="21"/>
        </w:rPr>
        <w:t xml:space="preserve">项目</w:t>
      </w:r>
      <w:r>
        <w:rPr>
          <w:rFonts w:hint="eastAsia" w:ascii="宋体" w:hAnsi="宋体"/>
          <w:sz w:val="21"/>
        </w:rPr>
        <w:t xml:space="preserve">中标人</w:t>
      </w:r>
      <w:r>
        <w:rPr>
          <w:rFonts w:ascii="宋体" w:hAnsi="宋体"/>
          <w:sz w:val="21"/>
        </w:rPr>
        <w:t xml:space="preserve">在整个项目承建过程中，需要接受项目采购单位对项目的整体管控要求，项目采购单位可针对</w:t>
      </w:r>
      <w:r>
        <w:rPr>
          <w:rFonts w:hint="eastAsia" w:ascii="宋体" w:hAnsi="宋体"/>
          <w:sz w:val="21"/>
        </w:rPr>
        <w:t xml:space="preserve">中标人</w:t>
      </w:r>
      <w:r>
        <w:rPr>
          <w:rFonts w:ascii="宋体" w:hAnsi="宋体"/>
          <w:sz w:val="21"/>
        </w:rPr>
        <w:t xml:space="preserve">在项目实施过程中的失误发出项目整改通知单，</w:t>
      </w:r>
      <w:r>
        <w:rPr>
          <w:rFonts w:hint="eastAsia" w:ascii="宋体" w:hAnsi="宋体"/>
          <w:sz w:val="21"/>
        </w:rPr>
        <w:t xml:space="preserve">中标人</w:t>
      </w:r>
      <w:r>
        <w:rPr>
          <w:rFonts w:ascii="宋体" w:hAnsi="宋体"/>
          <w:sz w:val="21"/>
        </w:rPr>
        <w:t xml:space="preserve">应在收到整改通知单后 2 个工作日内向项</w:t>
      </w:r>
      <w:r>
        <w:rPr>
          <w:rFonts w:ascii="宋体" w:hAnsi="宋体"/>
          <w:sz w:val="21"/>
        </w:rPr>
        <w:t xml:space="preserve">目采购单位以书面方式提交整改计划，并在项目采购单位规定的期限内整改完毕，否则，项目采购单位可根据合同相关条款进行处罚。</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.保密要求</w:t>
      </w:r>
      <w:r/>
    </w:p>
    <w:p>
      <w:pPr>
        <w:ind w:left="0" w:firstLine="420"/>
        <w:spacing w:line="360" w:lineRule="auto"/>
        <w:tabs>
          <w:tab w:val="left" w:pos="420" w:leader="none"/>
        </w:tabs>
        <w:rPr>
          <w:rFonts w:ascii="宋体" w:hAnsi="宋体"/>
          <w:sz w:val="21"/>
        </w:rPr>
      </w:pPr>
      <w:r>
        <w:rPr>
          <w:rFonts w:ascii="宋体" w:hAnsi="宋体"/>
          <w:sz w:val="21"/>
        </w:rPr>
        <w:t xml:space="preserve">本项目要求实施方在实施方案中针对本项目建设内容制定保密措施并在项目实施过程中严格执行，以保证项</w:t>
      </w:r>
      <w:r>
        <w:rPr>
          <w:rFonts w:ascii="宋体" w:hAnsi="宋体"/>
          <w:sz w:val="21"/>
        </w:rPr>
        <w:t xml:space="preserve">目的成功实施。实施方必须提供对本项目的保密承诺。</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实施进度要求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本项目在合同签订后，1</w:t>
      </w:r>
      <w:r>
        <w:rPr>
          <w:rFonts w:hint="eastAsia" w:ascii="宋体" w:hAnsi="宋体"/>
          <w:sz w:val="21"/>
        </w:rPr>
        <w:t xml:space="preserve">个月内完成软硬件到货、部署实施及验收工作，</w:t>
      </w:r>
      <w:r>
        <w:rPr>
          <w:rFonts w:hint="eastAsia" w:ascii="宋体" w:hAnsi="宋体"/>
          <w:sz w:val="21"/>
        </w:rPr>
        <w:t xml:space="preserve">6个月内完成项目开发工作以及部署上线工作，上线后进入试运行期，试运行期6个月内完成验收工作，验收通过后提供3年免费运维服务</w:t>
      </w:r>
      <w:r>
        <w:rPr>
          <w:rFonts w:hint="eastAsia" w:ascii="宋体" w:hAnsi="宋体"/>
          <w:sz w:val="21"/>
        </w:rPr>
        <w:t xml:space="preserve">，</w:t>
      </w:r>
      <w:r>
        <w:rPr>
          <w:rFonts w:hint="eastAsia" w:ascii="宋体" w:hAnsi="宋体"/>
          <w:sz w:val="21"/>
        </w:rPr>
        <w:t xml:space="preserve">免费运维期结束后额外提供2年免费升级服务。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应根据时间节点要求，明确整个实施过程及系统开发各阶段任务说明；明确项目进度管理措施、进度计划；明确在项目实施的各个阶段工作结束后，应提交相关的详细说明文档。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w:t>
      </w:r>
      <w:r>
        <w:rPr>
          <w:rFonts w:ascii="宋体" w:hAnsi="宋体"/>
          <w:b/>
          <w:sz w:val="21"/>
        </w:rPr>
        <w:t xml:space="preserve">验收要求</w:t>
      </w:r>
      <w:r>
        <w:rPr>
          <w:rFonts w:hint="eastAsia" w:ascii="宋体" w:hAnsi="宋体"/>
          <w:b/>
          <w:sz w:val="21"/>
        </w:rPr>
        <w:t xml:space="preserve">及付款标准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4.1验收标准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各模块独立验收，验收工作先由中标人提出书面验收申请，由采购人确认后，组织验收小组进行验收。验收小组对各模块的履约情况进行验收，各模块在满足合同约定验收条件的情况下，并获得采购人书面确认，视为验收通过。</w:t>
      </w:r>
      <w:r/>
    </w:p>
    <w:p>
      <w:pPr>
        <w:ind w:left="0" w:firstLine="420"/>
        <w:spacing w:line="360" w:lineRule="auto"/>
        <w:tabs>
          <w:tab w:val="left" w:pos="420" w:leader="none"/>
        </w:tabs>
        <w:rPr>
          <w:rFonts w:ascii="宋体" w:hAnsi="宋体"/>
          <w:sz w:val="21"/>
        </w:rPr>
      </w:pPr>
      <w:r>
        <w:rPr>
          <w:rFonts w:hint="eastAsia" w:ascii="宋体" w:hAnsi="宋体"/>
          <w:sz w:val="21"/>
        </w:rPr>
        <w:t xml:space="preserve">4.2付款标准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w:t>
      </w:r>
      <w:r>
        <w:rPr>
          <w:rFonts w:hint="eastAsia" w:ascii="宋体" w:hAnsi="宋体"/>
          <w:sz w:val="21"/>
        </w:rPr>
        <w:t xml:space="preserve">配套硬件部分：</w:t>
      </w:r>
      <w:r>
        <w:rPr>
          <w:rFonts w:hint="eastAsia" w:ascii="宋体" w:hAnsi="宋体"/>
          <w:sz w:val="21"/>
        </w:rPr>
        <w:t xml:space="preserve">合同生效后支付</w:t>
      </w:r>
      <w:r>
        <w:rPr>
          <w:rFonts w:hint="eastAsia" w:ascii="宋体" w:hAnsi="宋体"/>
          <w:sz w:val="21"/>
        </w:rPr>
        <w:t xml:space="preserve">该部分合同</w:t>
      </w:r>
      <w:r>
        <w:rPr>
          <w:rFonts w:hint="eastAsia" w:ascii="宋体" w:hAnsi="宋体"/>
          <w:sz w:val="21"/>
        </w:rPr>
        <w:t xml:space="preserve">金额的</w:t>
      </w:r>
      <w:r>
        <w:rPr>
          <w:rFonts w:ascii="宋体" w:hAnsi="宋体"/>
          <w:sz w:val="21"/>
        </w:rPr>
        <w:t xml:space="preserve">3</w:t>
      </w:r>
      <w:r>
        <w:rPr>
          <w:rFonts w:hint="eastAsia" w:ascii="宋体" w:hAnsi="宋体"/>
          <w:sz w:val="21"/>
        </w:rPr>
        <w:t xml:space="preserve">0%</w:t>
      </w:r>
      <w:r>
        <w:rPr>
          <w:rFonts w:hint="eastAsia" w:ascii="宋体" w:hAnsi="宋体"/>
          <w:sz w:val="21"/>
        </w:rPr>
        <w:t xml:space="preserve">，配套硬件</w:t>
      </w:r>
      <w:r>
        <w:rPr>
          <w:rFonts w:ascii="宋体" w:hAnsi="宋体"/>
          <w:sz w:val="21"/>
        </w:rPr>
        <w:t xml:space="preserve">送达现场并经甲方确认接收后，支付该部分款项至对应</w:t>
      </w:r>
      <w:r>
        <w:rPr>
          <w:rFonts w:hint="eastAsia" w:ascii="宋体" w:hAnsi="宋体"/>
          <w:sz w:val="21"/>
        </w:rPr>
        <w:t xml:space="preserve">合同</w:t>
      </w:r>
      <w:r>
        <w:rPr>
          <w:rFonts w:ascii="宋体" w:hAnsi="宋体"/>
          <w:sz w:val="21"/>
        </w:rPr>
        <w:t xml:space="preserve">金额的80%</w:t>
      </w:r>
      <w:r>
        <w:rPr>
          <w:rFonts w:hint="eastAsia" w:ascii="宋体" w:hAnsi="宋体"/>
          <w:sz w:val="21"/>
        </w:rPr>
        <w:t xml:space="preserve">，</w:t>
      </w:r>
      <w:r>
        <w:rPr>
          <w:rFonts w:ascii="宋体" w:hAnsi="宋体"/>
          <w:sz w:val="21"/>
        </w:rPr>
        <w:t xml:space="preserve">验收通过后支付至对应</w:t>
      </w:r>
      <w:r>
        <w:rPr>
          <w:rFonts w:hint="eastAsia" w:ascii="宋体" w:hAnsi="宋体"/>
          <w:sz w:val="21"/>
        </w:rPr>
        <w:t xml:space="preserve">合同</w:t>
      </w:r>
      <w:r>
        <w:rPr>
          <w:rFonts w:ascii="宋体" w:hAnsi="宋体"/>
          <w:sz w:val="21"/>
        </w:rPr>
        <w:t xml:space="preserve">金额的95%</w:t>
      </w:r>
      <w:r>
        <w:rPr>
          <w:rFonts w:hint="eastAsia" w:ascii="宋体" w:hAnsi="宋体"/>
          <w:sz w:val="21"/>
        </w:rPr>
        <w:t xml:space="preserve">，</w:t>
      </w:r>
      <w:r>
        <w:rPr>
          <w:rFonts w:ascii="宋体" w:hAnsi="宋体"/>
          <w:sz w:val="21"/>
        </w:rPr>
        <w:t xml:space="preserve">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（2）系</w:t>
      </w:r>
      <w:r>
        <w:rPr>
          <w:rFonts w:ascii="宋体" w:hAnsi="宋体"/>
          <w:sz w:val="21"/>
        </w:rPr>
        <w:t xml:space="preserve">统建设</w:t>
      </w:r>
      <w:r>
        <w:rPr>
          <w:rFonts w:hint="eastAsia" w:ascii="宋体" w:hAnsi="宋体"/>
          <w:sz w:val="21"/>
        </w:rPr>
        <w:t xml:space="preserve">部分：</w:t>
      </w:r>
      <w:r>
        <w:rPr>
          <w:rFonts w:hint="eastAsia" w:ascii="宋体" w:hAnsi="宋体"/>
          <w:sz w:val="21"/>
        </w:rPr>
        <w:t xml:space="preserve">合同生效后支付</w:t>
      </w:r>
      <w:r>
        <w:rPr>
          <w:rFonts w:hint="eastAsia" w:ascii="宋体" w:hAnsi="宋体"/>
          <w:sz w:val="21"/>
        </w:rPr>
        <w:t xml:space="preserve">该部分</w:t>
      </w:r>
      <w:r>
        <w:rPr>
          <w:rFonts w:hint="eastAsia" w:ascii="宋体" w:hAnsi="宋体"/>
          <w:sz w:val="21"/>
        </w:rPr>
        <w:t xml:space="preserve">金额的</w:t>
      </w:r>
      <w:r>
        <w:rPr>
          <w:rFonts w:ascii="宋体" w:hAnsi="宋体"/>
          <w:sz w:val="21"/>
        </w:rPr>
        <w:t xml:space="preserve">3</w:t>
      </w:r>
      <w:r>
        <w:rPr>
          <w:rFonts w:hint="eastAsia" w:ascii="宋体" w:hAnsi="宋体"/>
          <w:sz w:val="21"/>
        </w:rPr>
        <w:t xml:space="preserve">0%</w:t>
      </w:r>
      <w:r>
        <w:rPr>
          <w:rFonts w:hint="eastAsia" w:ascii="宋体" w:hAnsi="宋体"/>
          <w:sz w:val="21"/>
        </w:rPr>
        <w:t xml:space="preserve">，</w:t>
      </w:r>
      <w:r>
        <w:rPr>
          <w:rFonts w:ascii="宋体" w:hAnsi="宋体"/>
          <w:sz w:val="21"/>
        </w:rPr>
        <w:t xml:space="preserve">系统建设部分完成上线后，支付该部分款项至对应合同金额的80%</w:t>
      </w:r>
      <w:r>
        <w:rPr>
          <w:rFonts w:hint="eastAsia" w:ascii="宋体" w:hAnsi="宋体"/>
          <w:sz w:val="21"/>
        </w:rPr>
        <w:t xml:space="preserve">，</w:t>
      </w:r>
      <w:r>
        <w:rPr>
          <w:rFonts w:ascii="宋体" w:hAnsi="宋体"/>
          <w:sz w:val="21"/>
        </w:rPr>
        <w:t xml:space="preserve">验收通过后支付至对应</w:t>
      </w:r>
      <w:r>
        <w:rPr>
          <w:rFonts w:ascii="宋体" w:hAnsi="宋体"/>
          <w:sz w:val="21"/>
        </w:rPr>
        <w:t xml:space="preserve">合同金额的95%，稳定运行一年内结清对应部分余款；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配套服务</w:t>
      </w:r>
      <w:r>
        <w:rPr>
          <w:rFonts w:hint="eastAsia" w:ascii="宋体" w:hAnsi="宋体"/>
          <w:sz w:val="21"/>
        </w:rPr>
        <w:t xml:space="preserve">部分：</w:t>
      </w:r>
      <w:r>
        <w:rPr>
          <w:rFonts w:hint="eastAsia" w:ascii="宋体" w:hAnsi="宋体"/>
          <w:sz w:val="21"/>
        </w:rPr>
        <w:t xml:space="preserve">合同生效后支付</w:t>
      </w:r>
      <w:r>
        <w:rPr>
          <w:rFonts w:hint="eastAsia" w:ascii="宋体" w:hAnsi="宋体"/>
          <w:sz w:val="21"/>
        </w:rPr>
        <w:t xml:space="preserve">该部分</w:t>
      </w:r>
      <w:r>
        <w:rPr>
          <w:rFonts w:hint="eastAsia" w:ascii="宋体" w:hAnsi="宋体"/>
          <w:sz w:val="21"/>
        </w:rPr>
        <w:t xml:space="preserve">金额的</w:t>
      </w:r>
      <w:r>
        <w:rPr>
          <w:rFonts w:ascii="宋体" w:hAnsi="宋体"/>
          <w:sz w:val="21"/>
        </w:rPr>
        <w:t xml:space="preserve">3</w:t>
      </w:r>
      <w:r>
        <w:rPr>
          <w:rFonts w:hint="eastAsia" w:ascii="宋体" w:hAnsi="宋体"/>
          <w:sz w:val="21"/>
        </w:rPr>
        <w:t xml:space="preserve">0%</w:t>
      </w:r>
      <w:r>
        <w:rPr>
          <w:rFonts w:hint="eastAsia" w:ascii="宋体" w:hAnsi="宋体"/>
          <w:sz w:val="21"/>
        </w:rPr>
        <w:t xml:space="preserve">，</w:t>
      </w:r>
      <w:r>
        <w:rPr>
          <w:rFonts w:hint="eastAsia" w:ascii="宋体" w:hAnsi="宋体"/>
          <w:color w:val="000000"/>
          <w:sz w:val="21"/>
          <w:szCs w:val="21"/>
          <w14:ligatures w14:val="standardContextual"/>
        </w:rPr>
        <w:t xml:space="preserve">配套服务于合同签订</w:t>
      </w:r>
      <w:r>
        <w:rPr>
          <w:rFonts w:hint="eastAsia" w:ascii="宋体" w:hAnsi="宋体"/>
          <w:color w:val="000000"/>
          <w:sz w:val="21"/>
          <w:szCs w:val="21"/>
          <w14:ligatures w14:val="standardContextual"/>
        </w:rPr>
        <w:t xml:space="preserve">后</w:t>
      </w:r>
      <w:r>
        <w:rPr>
          <w:rFonts w:hint="eastAsia" w:ascii="宋体" w:hAnsi="宋体"/>
          <w:color w:val="000000"/>
          <w:sz w:val="21"/>
          <w:szCs w:val="21"/>
          <w14:ligatures w14:val="standardContextual"/>
        </w:rPr>
        <w:t xml:space="preserve">开始执行,数据安全风险评估服务、数据内容安全审核监测服务、web应用防护服务，出具服务报告,经甲方确认后支付该部分尾款。</w:t>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五</w:t>
      </w:r>
      <w:r>
        <w:rPr>
          <w:rFonts w:ascii="宋体" w:hAnsi="宋体"/>
          <w:b/>
          <w:sz w:val="21"/>
        </w:rPr>
        <w:t xml:space="preserve">）系统培训要求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必须向</w:t>
      </w:r>
      <w:r>
        <w:rPr>
          <w:rFonts w:hint="eastAsia" w:ascii="宋体" w:hAnsi="宋体"/>
          <w:sz w:val="21"/>
        </w:rPr>
        <w:t xml:space="preserve">采购人</w:t>
      </w:r>
      <w:r>
        <w:rPr>
          <w:rFonts w:ascii="宋体" w:hAnsi="宋体"/>
          <w:sz w:val="21"/>
        </w:rPr>
        <w:t xml:space="preserve">提供免费培训，培训方式应包括理论培训和现场培训。</w:t>
      </w:r>
      <w:r>
        <w:rPr>
          <w:rFonts w:hint="eastAsia" w:ascii="宋体" w:hAnsi="宋体"/>
          <w:sz w:val="21"/>
        </w:rPr>
        <w:t xml:space="preserve">中标人</w:t>
      </w:r>
      <w:r>
        <w:rPr>
          <w:rFonts w:ascii="宋体" w:hAnsi="宋体"/>
          <w:sz w:val="21"/>
        </w:rPr>
        <w:t xml:space="preserve">须针对不同的培训对象，包括对领导、管理者、各级最终用户和系统管理员等相关技术人员，在投标文件中提出全面、详细的培训计划，包括但不限于培训内容、培训时间、地点、授课老师等，并提供课程体系、培训方法和考核方法等，培训讲师费用由</w:t>
      </w:r>
      <w:r>
        <w:rPr>
          <w:rFonts w:hint="eastAsia" w:ascii="宋体" w:hAnsi="宋体"/>
          <w:sz w:val="21"/>
        </w:rPr>
        <w:t xml:space="preserve">中标人</w:t>
      </w:r>
      <w:r>
        <w:rPr>
          <w:rFonts w:ascii="宋体" w:hAnsi="宋体"/>
          <w:sz w:val="21"/>
        </w:rPr>
        <w:t xml:space="preserve">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派出的培训教员应具备丰富的相同课程教学经验，所有的培训教员必须中文授课，成交单位必须为所有被培训人员提供培训用文字资料和讲义等相关用品。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应按</w:t>
      </w:r>
      <w:r>
        <w:rPr>
          <w:rFonts w:hint="eastAsia" w:ascii="宋体" w:hAnsi="宋体"/>
          <w:sz w:val="21"/>
        </w:rPr>
        <w:t xml:space="preserve">采购人</w:t>
      </w:r>
      <w:r>
        <w:rPr>
          <w:rFonts w:ascii="宋体" w:hAnsi="宋体"/>
          <w:sz w:val="21"/>
        </w:rPr>
        <w:t xml:space="preserve">约定合理地安排培训时间。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需在投标书中说明培训的计划、内容和深度，原则上要求</w:t>
      </w:r>
      <w:r>
        <w:rPr>
          <w:rFonts w:hint="eastAsia" w:ascii="宋体" w:hAnsi="宋体"/>
          <w:sz w:val="21"/>
        </w:rPr>
        <w:t xml:space="preserve">采购人</w:t>
      </w:r>
      <w:r>
        <w:rPr>
          <w:rFonts w:ascii="宋体" w:hAnsi="宋体"/>
          <w:sz w:val="21"/>
        </w:rPr>
        <w:t xml:space="preserve">的相关人员要完全学会系统的知识技能。</w:t>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六</w:t>
      </w:r>
      <w:r>
        <w:rPr>
          <w:rFonts w:ascii="宋体" w:hAnsi="宋体"/>
          <w:b/>
          <w:sz w:val="21"/>
        </w:rPr>
        <w:t xml:space="preserve">）质量保证及售后服务要求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1、中标人对所有产品需提供自项目验收完成后3年免费运维服务，免费运维期结束后额外2年免费升级服务。投标人应对所投标的产品售后服务体系、售后服务年限、技术支持情况做出说明。</w:t>
      </w:r>
      <w:r>
        <w:rPr>
          <w:rFonts w:hint="eastAsia" w:ascii="宋体" w:hAnsi="宋体"/>
          <w:sz w:val="21"/>
        </w:rPr>
        <w:t xml:space="preserve">质保期内应提供</w:t>
      </w:r>
      <w:r>
        <w:rPr>
          <w:rFonts w:hint="eastAsia" w:ascii="宋体" w:hAnsi="宋体"/>
          <w:sz w:val="21"/>
        </w:rPr>
        <w:t xml:space="preserve">不少于2人的</w:t>
      </w:r>
      <w:r>
        <w:rPr>
          <w:rFonts w:hint="eastAsia" w:ascii="宋体" w:hAnsi="宋体"/>
          <w:sz w:val="21"/>
        </w:rPr>
        <w:t xml:space="preserve">本地</w:t>
      </w:r>
      <w:r>
        <w:rPr>
          <w:rFonts w:hint="eastAsia" w:ascii="宋体" w:hAnsi="宋体"/>
          <w:sz w:val="21"/>
        </w:rPr>
        <w:t xml:space="preserve">驻场</w:t>
      </w:r>
      <w:r>
        <w:rPr>
          <w:rFonts w:hint="eastAsia" w:ascii="宋体" w:hAnsi="宋体"/>
          <w:sz w:val="21"/>
        </w:rPr>
        <w:t xml:space="preserve">服务人员</w:t>
      </w:r>
      <w:r>
        <w:rPr>
          <w:rFonts w:ascii="宋体" w:hAnsi="宋体"/>
          <w:sz w:val="21"/>
        </w:rPr>
        <w:t xml:space="preserve">，负责软件系统维护服务</w:t>
      </w:r>
      <w:r>
        <w:rPr>
          <w:rFonts w:hint="eastAsia" w:ascii="宋体" w:hAnsi="宋体"/>
          <w:sz w:val="21"/>
        </w:rPr>
        <w:t xml:space="preserve">，</w:t>
      </w:r>
      <w:r>
        <w:rPr>
          <w:rFonts w:ascii="宋体" w:hAnsi="宋体"/>
          <w:sz w:val="21"/>
        </w:rPr>
        <w:t xml:space="preserve">服务内容包括：使用指导，</w:t>
      </w:r>
      <w:r>
        <w:rPr>
          <w:rFonts w:hint="eastAsia" w:ascii="宋体" w:hAnsi="宋体"/>
          <w:sz w:val="21"/>
        </w:rPr>
        <w:t xml:space="preserve">BUG修复</w:t>
      </w:r>
      <w:r>
        <w:rPr>
          <w:rFonts w:ascii="宋体" w:hAnsi="宋体"/>
          <w:sz w:val="21"/>
        </w:rPr>
        <w:t xml:space="preserve">，对隐含的错误进行纠正，新版本的升级。</w:t>
      </w:r>
      <w:r>
        <w:rPr>
          <w:rFonts w:hint="eastAsia" w:ascii="宋体" w:hAnsi="宋体"/>
          <w:sz w:val="21"/>
        </w:rPr>
        <w:t xml:space="preserve">维护方式包括：电话解答，远程维护，技术人员现场解决问题。对故障在 1 小时内响应，2 小时以内到现场，4 小时以内提出问题解决方案并采取相应措施保障用户正常使用。</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在维护期内，</w:t>
      </w:r>
      <w:r>
        <w:rPr>
          <w:rFonts w:hint="eastAsia" w:ascii="宋体" w:hAnsi="宋体"/>
          <w:sz w:val="21"/>
        </w:rPr>
        <w:t xml:space="preserve">按采购人要求提供质量保证及售后服务，不再另外收取费用。投标人必须明确提出维护期内软件的升级、维修、维护内容及服务方式。</w:t>
      </w:r>
      <w:r/>
    </w:p>
    <w:p>
      <w:pPr>
        <w:ind w:left="0" w:firstLine="420"/>
        <w:spacing w:line="360" w:lineRule="auto"/>
        <w:tabs>
          <w:tab w:val="left" w:pos="420" w:leader="none"/>
        </w:tabs>
        <w:rPr>
          <w:rFonts w:ascii="宋体" w:hAnsi="宋体"/>
          <w:sz w:val="21"/>
        </w:rPr>
      </w:pPr>
      <w:r>
        <w:rPr>
          <w:rFonts w:ascii="宋体" w:hAnsi="宋体"/>
          <w:sz w:val="21"/>
        </w:rPr>
        <w:t xml:space="preserve">3、具备专业的本地化售后服务团队，能保证提供每天 24 小时不间断的售后服务。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、遇有重大活动需要确保系统正常运作的，成交单位在接到通知后，应当在活动期间提供人员现场保障。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、在安装调试过程中，应满足采购单位提出的合理要求。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、所有软件产品的维护期自本项目</w:t>
      </w:r>
      <w:r>
        <w:rPr>
          <w:rFonts w:hint="eastAsia" w:ascii="宋体" w:hAnsi="宋体"/>
          <w:sz w:val="21"/>
        </w:rPr>
        <w:t xml:space="preserve">验收</w:t>
      </w:r>
      <w:r>
        <w:rPr>
          <w:rFonts w:ascii="宋体" w:hAnsi="宋体"/>
          <w:sz w:val="21"/>
        </w:rPr>
        <w:t xml:space="preserve">合格书签订之日起开始计算。项目建设期间及维护期均属于免费服务期，该期限内的所有售后服务，包括软件维护、应用软件升级、提供替代品等所产生的费用（不包含更换硬件和系统软件的费用）均由</w:t>
      </w:r>
      <w:r>
        <w:rPr>
          <w:rFonts w:hint="eastAsia" w:ascii="宋体" w:hAnsi="宋体"/>
          <w:sz w:val="21"/>
        </w:rPr>
        <w:t xml:space="preserve">中标人</w:t>
      </w:r>
      <w:r>
        <w:rPr>
          <w:rFonts w:ascii="宋体" w:hAnsi="宋体"/>
          <w:sz w:val="21"/>
        </w:rPr>
        <w:t xml:space="preserve">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中标人</w:t>
      </w:r>
      <w:r>
        <w:rPr>
          <w:rFonts w:ascii="宋体" w:hAnsi="宋体"/>
          <w:sz w:val="21"/>
        </w:rPr>
        <w:t xml:space="preserve">在维护期满后应继续向</w:t>
      </w:r>
      <w:r>
        <w:rPr>
          <w:rFonts w:hint="eastAsia" w:ascii="宋体" w:hAnsi="宋体"/>
          <w:sz w:val="21"/>
        </w:rPr>
        <w:t xml:space="preserve">采购人</w:t>
      </w:r>
      <w:r>
        <w:rPr>
          <w:rFonts w:ascii="宋体" w:hAnsi="宋体"/>
          <w:sz w:val="21"/>
        </w:rPr>
        <w:t xml:space="preserve">提供保证质量的售后服务， 以维持系统正常运作，售后服务定价不得偏离市场价格规律。</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、投标人应根据自身条件和能力提交详细的售后服务方案和计划。售后服务方案和计划应包括提供售后服务的保障措施，必须明确所能提供的包括但不限于以上几项的服务内容及维护细则。</w:t>
      </w:r>
      <w:r/>
    </w:p>
    <w:p>
      <w:pPr>
        <w:pStyle w:val="1026"/>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ascii="宋体" w:hAnsi="宋体"/>
          <w:sz w:val="21"/>
        </w:rPr>
        <w:t xml:space="preserve">投标人须对本项目中的所有系统及服务进行投报，不得漏报，否则作无效投标处理。</w:t>
      </w:r>
      <w:r>
        <w:rPr>
          <w:rFonts w:hint="eastAsia" w:ascii="宋体" w:hAnsi="宋体"/>
          <w:sz w:val="21"/>
        </w:rPr>
        <w:t xml:space="preserve">投标应以人民币报价，投标总价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ascii="宋体" w:hAnsi="宋体"/>
          <w:sz w:val="21"/>
        </w:rPr>
        <w:t xml:space="preserve">投标人应该保证为本项目提供的软件代码编译、发布及运行，不依赖于其他任何付费服务。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ascii="宋体" w:hAnsi="宋体"/>
          <w:sz w:val="21"/>
        </w:rPr>
        <w:t xml:space="preserve">采购人对本项目实施过程中产生的知识成果（包括但不限于目标代码、源代码、版权、专利权、设计、专有知识、派生知识、方法、技术、工艺及文档材料等）共同享有所有的产权、所有权及其它知识产权和权益。</w:t>
      </w:r>
      <w:r/>
    </w:p>
    <w:p>
      <w:pPr>
        <w:pStyle w:val="102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w:t>
      </w:r>
      <w:r>
        <w:rPr>
          <w:rFonts w:hint="eastAsia" w:ascii="宋体" w:hAnsi="宋体" w:cs="Times New Roman"/>
          <w:b/>
          <w:sz w:val="21"/>
        </w:rPr>
        <w:t xml:space="preserve">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76" w:name="OLE_LINK36"/>
      <w:r/>
      <w:bookmarkStart w:id="177" w:name="OLE_LINK37"/>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bookmarkEnd w:id="176"/>
      <w:r/>
      <w:bookmarkEnd w:id="177"/>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b/>
          <w:sz w:val="21"/>
          <w:szCs w:val="21"/>
        </w:rPr>
      </w:pPr>
      <w:r/>
      <w:bookmarkStart w:id="178" w:name="OLE_LINK46"/>
      <w:r/>
      <w:bookmarkStart w:id="179" w:name="OLE_LINK47"/>
      <w:r>
        <w:rPr>
          <w:rFonts w:hint="eastAsia"/>
          <w:b/>
          <w:sz w:val="21"/>
          <w:szCs w:val="21"/>
        </w:rPr>
        <w:t xml:space="preserve">本国产品标准适用于货物，包括政府采购货物项目和服务项目中涉及的货物。</w:t>
      </w:r>
      <w:r>
        <w:rPr>
          <w:rFonts w:hint="eastAsia"/>
          <w:b/>
          <w:sz w:val="21"/>
          <w:szCs w:val="21"/>
        </w:rPr>
        <w:t xml:space="preserve">适用本国产品标准的货物具体是指《政府采购品目分类目录》中的货物类产品，但不包括其中的房屋和构筑物，文物和陈列品，图书</w:t>
      </w:r>
      <w:r>
        <w:rPr>
          <w:rFonts w:hint="eastAsia"/>
          <w:b/>
          <w:sz w:val="21"/>
          <w:szCs w:val="21"/>
        </w:rPr>
        <w:t xml:space="preserve">和档案，特种动植物，农林牧渔业产品，矿与矿物，电力、城市燃气、蒸汽和热水、水，食品、饮料和烟草</w:t>
      </w:r>
      <w:r>
        <w:rPr>
          <w:rFonts w:hint="eastAsia"/>
          <w:b/>
          <w:sz w:val="21"/>
          <w:szCs w:val="21"/>
        </w:rPr>
        <w:t xml:space="preserve">原料，无形资产。</w:t>
      </w:r>
      <w:bookmarkEnd w:id="178"/>
      <w:r/>
      <w:bookmarkEnd w:id="179"/>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0"/>
        <w:ind w:left="0" w:firstLine="0"/>
        <w:jc w:val="center"/>
        <w:rPr>
          <w:rFonts w:ascii="宋体" w:hAnsi="宋体"/>
          <w:b/>
          <w:sz w:val="44"/>
          <w:szCs w:val="22"/>
        </w:rPr>
      </w:pPr>
      <w:r/>
      <w:bookmarkStart w:id="180" w:name="_Toc5111"/>
      <w:r/>
      <w:bookmarkStart w:id="181" w:name="_Toc11789"/>
      <w:r/>
      <w:bookmarkStart w:id="182" w:name="_Hlk55741158"/>
      <w:r>
        <w:rPr>
          <w:rFonts w:hint="eastAsia" w:ascii="宋体" w:hAnsi="宋体"/>
          <w:b/>
          <w:sz w:val="44"/>
          <w:szCs w:val="22"/>
        </w:rPr>
        <w:br w:type="page" w:clear="all"/>
      </w:r>
      <w:bookmarkStart w:id="183" w:name="_Toc235617202"/>
      <w:r>
        <w:rPr>
          <w:rFonts w:hint="eastAsia" w:ascii="宋体" w:hAnsi="宋体"/>
          <w:b/>
          <w:sz w:val="44"/>
          <w:szCs w:val="22"/>
        </w:rPr>
        <w:t xml:space="preserve">第五章 </w:t>
      </w:r>
      <w:bookmarkStart w:id="184" w:name="合同的特殊条款"/>
      <w:r/>
      <w:bookmarkEnd w:id="184"/>
      <w:r>
        <w:rPr>
          <w:rFonts w:hint="eastAsia" w:ascii="宋体" w:hAnsi="宋体"/>
          <w:b/>
          <w:sz w:val="44"/>
          <w:szCs w:val="22"/>
        </w:rPr>
        <w:t xml:space="preserve"> 合同及主要条款</w:t>
      </w:r>
      <w:bookmarkEnd w:id="180"/>
      <w:r/>
      <w:bookmarkEnd w:id="181"/>
      <w:r/>
      <w:bookmarkEnd w:id="183"/>
      <w:r/>
      <w:r/>
    </w:p>
    <w:p>
      <w:pPr>
        <w:ind w:left="0"/>
        <w:jc w:val="center"/>
        <w:rPr>
          <w:rFonts w:ascii="宋体" w:hAnsi="宋体"/>
          <w:b/>
          <w:sz w:val="32"/>
          <w:szCs w:val="32"/>
        </w:rPr>
      </w:pPr>
      <w:r/>
      <w:bookmarkStart w:id="185" w:name="OLE_LINK13"/>
      <w:r/>
      <w:bookmarkStart w:id="186" w:name="_Toc57376410"/>
      <w:r/>
      <w:bookmarkStart w:id="187" w:name="_Toc27667"/>
      <w:r/>
      <w:bookmarkStart w:id="188" w:name="_Toc8564"/>
      <w:r/>
      <w:bookmarkEnd w:id="182"/>
      <w:r>
        <w:rPr>
          <w:rFonts w:hint="eastAsia" w:ascii="宋体" w:hAnsi="宋体"/>
          <w:b/>
          <w:sz w:val="32"/>
          <w:szCs w:val="32"/>
        </w:rPr>
        <w:t xml:space="preserve">政府采购合同</w:t>
      </w:r>
      <w:r/>
    </w:p>
    <w:p>
      <w:pPr>
        <w:pStyle w:val="1000"/>
        <w:ind w:left="0" w:firstLine="0"/>
        <w:rPr>
          <w:rFonts w:ascii="宋体" w:hAnsi="宋体"/>
          <w:b/>
          <w:sz w:val="21"/>
          <w:szCs w:val="21"/>
        </w:rPr>
      </w:pPr>
      <w:r/>
      <w:bookmarkStart w:id="189" w:name="_Toc233642163"/>
      <w:r/>
      <w:bookmarkStart w:id="190" w:name="_Toc235617203"/>
      <w:r/>
      <w:bookmarkEnd w:id="185"/>
      <w:r>
        <w:rPr>
          <w:rFonts w:hint="eastAsia" w:ascii="宋体" w:hAnsi="宋体"/>
          <w:b/>
          <w:sz w:val="21"/>
          <w:szCs w:val="21"/>
        </w:rPr>
        <w:t xml:space="preserve">标段一：</w:t>
      </w:r>
      <w:r>
        <w:rPr>
          <w:rFonts w:hint="eastAsia" w:ascii="宋体" w:hAnsi="宋体"/>
          <w:b/>
          <w:sz w:val="21"/>
        </w:rPr>
        <w:t xml:space="preserve">苏州市健康医疗大数据中心升级建设</w:t>
      </w:r>
      <w:bookmarkEnd w:id="189"/>
      <w:r/>
      <w:bookmarkEnd w:id="190"/>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苏州市公改示范项目健康医疗大数据中心升级建设、便民惠民应用体系及安全保障体系项目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JSZC-320500-JZCG-G2026-0175</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jc w:val="left"/>
        <w:spacing w:line="360" w:lineRule="auto"/>
        <w:widowControl w:val="off"/>
        <w:rPr>
          <w:rFonts w:ascii="宋体" w:hAnsi="宋体"/>
          <w:sz w:val="21"/>
          <w:szCs w:val="24"/>
          <w14:ligatures w14:val="standardContextual"/>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14:ligatures w14:val="standardContextual"/>
        </w:rPr>
        <w:t xml:space="preserve">合同总价款：大写人民币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元整，小写￥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。其中</w:t>
      </w:r>
      <w:r>
        <w:rPr>
          <w:rFonts w:hint="eastAsia" w:ascii="宋体" w:hAnsi="宋体"/>
          <w:sz w:val="21"/>
        </w:rPr>
        <w:t xml:space="preserve">配套软件金额</w:t>
      </w:r>
      <w:r>
        <w:rPr>
          <w:rFonts w:hint="eastAsia" w:ascii="宋体" w:hAnsi="宋体"/>
          <w:sz w:val="21"/>
          <w:szCs w:val="21"/>
          <w14:ligatures w14:val="standardContextual"/>
        </w:rPr>
        <w:t xml:space="preserve">（含税）为人民币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元整，增值税税率为13%，不含税金额为人民币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rPr>
        <w:t xml:space="preserve">系</w:t>
      </w:r>
      <w:r>
        <w:rPr>
          <w:rFonts w:ascii="宋体" w:hAnsi="宋体"/>
          <w:sz w:val="21"/>
        </w:rPr>
        <w:t xml:space="preserve">统建设</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szCs w:val="21"/>
          <w14:ligatures w14:val="standardContextual"/>
        </w:rPr>
        <w:t xml:space="preserve">；</w:t>
      </w:r>
      <w:r>
        <w:rPr>
          <w:rFonts w:hint="eastAsia" w:ascii="宋体" w:hAnsi="宋体"/>
          <w:sz w:val="21"/>
          <w:szCs w:val="21"/>
        </w:rPr>
        <w:t xml:space="preserve">数据治理运营服务</w:t>
      </w:r>
      <w:r>
        <w:rPr>
          <w:rFonts w:hint="eastAsia" w:ascii="宋体" w:hAnsi="宋体"/>
          <w:sz w:val="21"/>
          <w:szCs w:val="21"/>
        </w:rPr>
        <w:t xml:space="preserve">及机柜租赁服务</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rPr>
      </w:pPr>
      <w:r/>
      <w:bookmarkStart w:id="191" w:name="OLE_LINK97"/>
      <w:r/>
      <w:bookmarkStart w:id="192" w:name="OLE_LINK98"/>
      <w:r>
        <w:rPr>
          <w:rFonts w:ascii="Wingdings 2" w:hAnsi="Wingdings 2" w:eastAsia="Wingdings 2" w:cs="Wingdings 2"/>
          <w:b/>
          <w:sz w:val="21"/>
          <w:szCs w:val="21"/>
        </w:rPr>
        <w:t xml:space="preserve">R</w:t>
      </w:r>
      <w:bookmarkEnd w:id="191"/>
      <w:r/>
      <w:bookmarkEnd w:id="192"/>
      <w:r>
        <w:rPr>
          <w:rFonts w:hint="eastAsia" w:ascii="宋体" w:hAnsi="宋体"/>
          <w:sz w:val="21"/>
          <w:szCs w:val="21"/>
        </w:rPr>
        <w:t xml:space="preserve">分期付款：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一</w:t>
      </w:r>
      <w:r>
        <w:rPr>
          <w:rFonts w:hint="eastAsia" w:ascii="宋体" w:hAnsi="宋体"/>
          <w:sz w:val="21"/>
          <w:szCs w:val="21"/>
        </w:rPr>
        <w:t xml:space="preserve">合同总金额：</w:t>
      </w:r>
      <w:bookmarkStart w:id="193" w:name="OLE_LINK95"/>
      <w:r/>
      <w:bookmarkStart w:id="194" w:name="OLE_LINK96"/>
      <w:r>
        <w:rPr>
          <w:rFonts w:hint="eastAsia" w:ascii="宋体" w:hAnsi="宋体"/>
          <w:sz w:val="21"/>
          <w:szCs w:val="21"/>
          <w:u w:val="single"/>
        </w:rPr>
        <w:t xml:space="preserve">             </w:t>
      </w:r>
      <w:bookmarkEnd w:id="193"/>
      <w:r/>
      <w:bookmarkEnd w:id="194"/>
      <w:r>
        <w:rPr>
          <w:rFonts w:hint="eastAsia" w:ascii="宋体" w:hAnsi="宋体"/>
          <w:sz w:val="21"/>
          <w:szCs w:val="21"/>
        </w:rPr>
        <w:t xml:space="preserve">元，其中：配套软件金额：</w:t>
      </w:r>
      <w:r>
        <w:rPr>
          <w:rFonts w:hint="eastAsia" w:ascii="宋体" w:hAnsi="宋体"/>
          <w:sz w:val="21"/>
          <w:szCs w:val="21"/>
          <w:u w:val="single"/>
        </w:rPr>
        <w:t xml:space="preserve">             </w:t>
      </w:r>
      <w:r>
        <w:rPr>
          <w:rFonts w:hint="eastAsia" w:ascii="宋体" w:hAnsi="宋体"/>
          <w:sz w:val="21"/>
          <w:szCs w:val="21"/>
        </w:rPr>
        <w:t xml:space="preserve">元，系统建设金额：</w:t>
      </w:r>
      <w:r>
        <w:rPr>
          <w:rFonts w:hint="eastAsia" w:ascii="宋体" w:hAnsi="宋体"/>
          <w:sz w:val="21"/>
          <w:szCs w:val="21"/>
          <w:u w:val="single"/>
        </w:rPr>
        <w:t xml:space="preserve">             </w:t>
      </w:r>
      <w:r>
        <w:rPr>
          <w:rFonts w:hint="eastAsia" w:ascii="宋体" w:hAnsi="宋体"/>
          <w:sz w:val="21"/>
          <w:szCs w:val="21"/>
        </w:rPr>
        <w:t xml:space="preserve">元，数据治理运营服务</w:t>
      </w:r>
      <w:r>
        <w:rPr>
          <w:rFonts w:hint="eastAsia" w:ascii="宋体" w:hAnsi="宋体"/>
          <w:sz w:val="21"/>
          <w:szCs w:val="21"/>
        </w:rPr>
        <w:t xml:space="preserve">及机柜租赁服务</w:t>
      </w:r>
      <w:r>
        <w:rPr>
          <w:rFonts w:hint="eastAsia" w:ascii="宋体" w:hAnsi="宋体"/>
          <w:sz w:val="21"/>
          <w:szCs w:val="21"/>
        </w:rPr>
        <w:t xml:space="preserve">金额：</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480" w:lineRule="exact"/>
        <w:widowControl w:val="off"/>
        <w:rPr>
          <w:rFonts w:ascii="宋体" w:hAnsi="宋体"/>
          <w:sz w:val="21"/>
          <w:szCs w:val="21"/>
        </w:rPr>
      </w:pPr>
      <w:r>
        <w:rPr>
          <w:rFonts w:hint="eastAsia" w:ascii="宋体" w:hAnsi="宋体"/>
          <w:sz w:val="21"/>
          <w:szCs w:val="21"/>
        </w:rPr>
        <w:t xml:space="preserve">（1）配套软件部分：合同生效后支付该部分合同金额的30%，配套软件及机柜租赁送达现场并经甲方确认接收后，支付该部分款项至对应合同金额的80%，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（2）系统建设部分：合同生效后支付该部分金额的30%，系统建设部分完成上线后，支付该部分款项至对应合同金额的80%，验收通过后支付至对应合同金额的95%，稳定运行一年内结清对应部分余款；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（3）数据治理运营服务</w:t>
      </w:r>
      <w:r>
        <w:rPr>
          <w:rFonts w:hint="eastAsia" w:ascii="宋体" w:hAnsi="宋体"/>
          <w:sz w:val="21"/>
          <w:szCs w:val="21"/>
        </w:rPr>
        <w:t xml:space="preserve">及机柜租赁服务</w:t>
      </w:r>
      <w:r>
        <w:rPr>
          <w:rFonts w:hint="eastAsia" w:ascii="宋体" w:hAnsi="宋体"/>
          <w:sz w:val="21"/>
          <w:szCs w:val="21"/>
        </w:rPr>
        <w:t xml:space="preserve">部分</w:t>
      </w:r>
      <w:r>
        <w:rPr>
          <w:rFonts w:hint="eastAsia" w:ascii="宋体" w:hAnsi="宋体"/>
          <w:sz w:val="21"/>
          <w:szCs w:val="21"/>
        </w:rPr>
        <w:t xml:space="preserve">：合同生效后支付该部分金额的30%，剩余该部分金额的90%</w:t>
      </w:r>
      <w:r>
        <w:rPr>
          <w:rFonts w:hint="eastAsia" w:ascii="宋体" w:hAnsi="宋体"/>
          <w:sz w:val="21"/>
          <w:szCs w:val="21"/>
        </w:rPr>
        <w:t xml:space="preserve">款项按照考核结果支付，每三个月全额的服务价款=数据治理运营服务金额×90%×1/5。考核满分 100 分，支付标准如下：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若考核周期考核合格，即考核分数为 85 分及以上的，全额支付三个月的服务款项。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若考核周期考核一般，即考核分数为 60 至 84 之间的，支付三个月服务款项的80%。 </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若考核周期考核不合格，即考核分数为 60 分以下的，采购人将有权拒付上一服务周期服务款项。若因此给采购人造成损失的，采购人有权依据本合同的约定向中标人主张损失赔偿。</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供应商提出验收之日起</w:t>
      </w:r>
      <w:r>
        <w:rPr>
          <w:rFonts w:hint="eastAsia" w:ascii="宋体" w:hAnsi="宋体"/>
          <w:bCs/>
          <w:sz w:val="21"/>
          <w:szCs w:val="21"/>
          <w:u w:val="single"/>
        </w:rPr>
        <w:t xml:space="preserve">十五</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u w:val="single"/>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1）软件建设部分：软件建设分两期验收，完成各系统主要功能模块开发工作和实际网络运行环境部署工作后组织初验，初验通过后进入试运行期，试运行期结束后一个月内，以专家组验收方式对软件建设成果进行验收；</w:t>
      </w:r>
      <w:r/>
    </w:p>
    <w:p>
      <w:pPr>
        <w:spacing w:line="480" w:lineRule="exact"/>
        <w:rPr>
          <w:rFonts w:ascii="宋体" w:hAnsi="宋体"/>
          <w:bCs/>
          <w:sz w:val="21"/>
          <w:szCs w:val="21"/>
          <w:u w:val="single"/>
        </w:rPr>
      </w:pPr>
      <w:r>
        <w:rPr>
          <w:rFonts w:hint="eastAsia" w:ascii="宋体" w:hAnsi="宋体"/>
          <w:bCs/>
          <w:sz w:val="21"/>
          <w:szCs w:val="21"/>
          <w:u w:val="single"/>
        </w:rPr>
        <w:t xml:space="preserve">  （2）配套服务部分：配套数据治理运营服务按照考核节点分五期进行考核；配套IDC机柜租赁服务分两期验收，完成机柜交付、设备上架上电、网络功能测试后组织初验，初验通过后进行72小时连续试运行，试运行合格后组织验收</w:t>
      </w:r>
      <w:r>
        <w:rPr>
          <w:rFonts w:hint="eastAsia" w:ascii="宋体" w:hAnsi="宋体"/>
          <w:bCs/>
          <w:sz w:val="21"/>
          <w:szCs w:val="21"/>
          <w:u w:val="single"/>
        </w:rPr>
        <w:t xml:space="preserve">；</w:t>
      </w:r>
      <w:r/>
    </w:p>
    <w:p>
      <w:pPr>
        <w:spacing w:line="480" w:lineRule="exact"/>
        <w:rPr>
          <w:rFonts w:ascii="宋体" w:hAnsi="宋体"/>
          <w:bCs/>
          <w:sz w:val="21"/>
          <w:szCs w:val="21"/>
        </w:rPr>
      </w:pPr>
      <w:r>
        <w:rPr>
          <w:rFonts w:hint="eastAsia" w:ascii="宋体" w:hAnsi="宋体"/>
          <w:bCs/>
          <w:sz w:val="21"/>
          <w:szCs w:val="21"/>
          <w:u w:val="single"/>
        </w:rPr>
        <w:t xml:space="preserve">  （3）配套设施部分：配套设施分两期验收，完成货到现场、部署、激活、授权绑定后组织初验，初验通过</w:t>
      </w:r>
      <w:r>
        <w:rPr>
          <w:rFonts w:hint="eastAsia" w:ascii="宋体" w:hAnsi="宋体"/>
          <w:bCs/>
          <w:sz w:val="21"/>
          <w:szCs w:val="21"/>
          <w:u w:val="single"/>
        </w:rPr>
        <w:t xml:space="preserve">后进入15个工作日试运行期，试运行合格后组织验收。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包括但不限于组成合同文件所要求的服务内容或承诺，具体为本项目软件建设成果、配套设施交付、配套服务的服务质量、服务进度、人员及设备配备情况、项目需求、服务承诺等。         </w:t>
      </w:r>
      <w:r/>
    </w:p>
    <w:p>
      <w:pPr>
        <w:ind w:left="0" w:firstLine="420"/>
        <w:spacing w:line="48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1）软件部分：本合同内各软件模块独立上线验收，项目完成软件部署上线试运行后，组织软件验收。先由乙方提出书面验收申请，甲方接到书面申请后，在满足合同约定验收条件的情况下组织项目验收，按照验收标准，对平台每一服务的履约情况进行验收，最终交付成果物符合合同和甲方要求，并获得甲方确认。</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（2）服务部分：本合同内配套服务按照考核节点进行考核，先由乙方提出书面考核申请，甲方接到书面申请后，按照考核标准组织考核。</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w:t>
      </w:r>
      <w:r>
        <w:rPr>
          <w:rFonts w:hint="eastAsia" w:ascii="宋体" w:hAnsi="宋体"/>
          <w:sz w:val="21"/>
          <w:szCs w:val="21"/>
        </w:rPr>
        <w:t xml:space="preserve">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w:t>
      </w:r>
      <w:r>
        <w:rPr>
          <w:rFonts w:hint="eastAsia" w:ascii="宋体" w:hAnsi="宋体"/>
          <w:b/>
          <w:color w:val="ff0000"/>
          <w:sz w:val="21"/>
          <w:szCs w:val="21"/>
        </w:rPr>
        <w:t xml:space="preserve">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w:t>
      </w:r>
      <w:r>
        <w:rPr>
          <w:rFonts w:hint="eastAsia" w:ascii="宋体" w:hAnsi="宋体"/>
          <w:sz w:val="21"/>
          <w:szCs w:val="21"/>
        </w:rPr>
        <w:t xml:space="preserve">一</w:t>
      </w:r>
      <w:r>
        <w:rPr>
          <w:rFonts w:ascii="宋体" w:hAnsi="宋体"/>
          <w:sz w:val="21"/>
          <w:szCs w:val="21"/>
        </w:rPr>
        <w:t xml:space="preserve">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w:t>
      </w:r>
      <w:r>
        <w:rPr>
          <w:rFonts w:hint="eastAsia" w:ascii="宋体" w:hAnsi="宋体"/>
          <w:sz w:val="21"/>
          <w:szCs w:val="21"/>
        </w:rPr>
        <w:t xml:space="preserve">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jc w:val="left"/>
        <w:spacing w:line="480" w:lineRule="exact"/>
        <w:rPr>
          <w:rFonts w:ascii="宋体" w:hAnsi="宋体"/>
          <w:b/>
          <w:sz w:val="21"/>
          <w:szCs w:val="21"/>
        </w:rPr>
      </w:pPr>
      <w:r>
        <w:rPr>
          <w:rFonts w:ascii="宋体" w:hAnsi="宋体"/>
          <w:b/>
          <w:sz w:val="21"/>
          <w:szCs w:val="21"/>
        </w:rPr>
      </w:r>
      <w:r/>
    </w:p>
    <w:p>
      <w:pPr>
        <w:ind w:left="0"/>
        <w:jc w:val="center"/>
        <w:rPr>
          <w:rFonts w:ascii="宋体" w:hAnsi="宋体"/>
          <w:b/>
          <w:sz w:val="32"/>
          <w:szCs w:val="32"/>
        </w:rPr>
      </w:pPr>
      <w:r>
        <w:rPr>
          <w:rFonts w:ascii="宋体" w:hAnsi="宋体"/>
          <w:b/>
          <w:sz w:val="44"/>
          <w:szCs w:val="22"/>
        </w:rPr>
        <w:br w:type="page" w:clear="all"/>
      </w:r>
      <w:bookmarkStart w:id="195" w:name="_Toc233642164"/>
      <w:r>
        <w:rPr>
          <w:rFonts w:hint="eastAsia" w:ascii="宋体" w:hAnsi="宋体"/>
          <w:b/>
          <w:sz w:val="32"/>
          <w:szCs w:val="32"/>
        </w:rPr>
        <w:t xml:space="preserve">政府采购合同</w:t>
      </w:r>
      <w:r/>
    </w:p>
    <w:p>
      <w:pPr>
        <w:pStyle w:val="1000"/>
        <w:ind w:left="0" w:firstLine="0"/>
        <w:rPr>
          <w:rFonts w:ascii="宋体" w:hAnsi="宋体"/>
          <w:b/>
          <w:sz w:val="21"/>
        </w:rPr>
      </w:pPr>
      <w:r/>
      <w:bookmarkStart w:id="196" w:name="_Toc235617204"/>
      <w:r>
        <w:rPr>
          <w:rFonts w:hint="eastAsia" w:ascii="宋体" w:hAnsi="宋体"/>
          <w:b/>
          <w:sz w:val="21"/>
        </w:rPr>
        <w:t xml:space="preserve">标段二：基础支撑应用体系及网络安全升级</w:t>
      </w:r>
      <w:bookmarkEnd w:id="195"/>
      <w:r/>
      <w:bookmarkEnd w:id="196"/>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苏州市公改示范项目健康医疗大数据中心升级建设、便民惠民应用体系及安全保障体系项目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JSZC-320500-JZCG-G2026-0175</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jc w:val="left"/>
        <w:spacing w:line="360" w:lineRule="auto"/>
        <w:widowControl w:val="off"/>
        <w:rPr>
          <w:rFonts w:ascii="宋体" w:hAnsi="宋体"/>
          <w:sz w:val="21"/>
          <w:szCs w:val="24"/>
          <w14:ligatures w14:val="standardContextual"/>
        </w:rPr>
      </w:pPr>
      <w:r>
        <w:rPr>
          <w:rFonts w:hint="eastAsia" w:ascii="宋体" w:hAnsi="宋体"/>
          <w:sz w:val="21"/>
          <w:szCs w:val="21"/>
          <w14:ligatures w14:val="standardContextual"/>
        </w:rPr>
        <w:t xml:space="preserve">1</w:t>
      </w:r>
      <w:r>
        <w:rPr>
          <w:rFonts w:ascii="宋体" w:hAnsi="宋体"/>
          <w:sz w:val="21"/>
          <w:szCs w:val="21"/>
          <w14:ligatures w14:val="standardContextual"/>
        </w:rPr>
        <w:t xml:space="preserve">.</w:t>
      </w:r>
      <w:r>
        <w:rPr>
          <w:rFonts w:hint="eastAsia" w:ascii="宋体" w:hAnsi="宋体"/>
          <w:sz w:val="21"/>
          <w:szCs w:val="21"/>
          <w14:ligatures w14:val="standardContextual"/>
        </w:rPr>
        <w:t xml:space="preserve">合同总价款：大写人民币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元整，小写￥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w:t>
      </w:r>
      <w:r>
        <w:rPr>
          <w:rFonts w:hint="eastAsia" w:ascii="宋体" w:hAnsi="宋体"/>
          <w:sz w:val="21"/>
          <w:szCs w:val="21"/>
          <w14:ligatures w14:val="standardContextual"/>
        </w:rPr>
        <w:t xml:space="preserve">其中</w:t>
      </w:r>
      <w:r>
        <w:rPr>
          <w:rFonts w:hint="eastAsia" w:ascii="宋体" w:hAnsi="宋体"/>
          <w:sz w:val="21"/>
        </w:rPr>
        <w:t xml:space="preserve">配套硬件</w:t>
      </w:r>
      <w:r>
        <w:rPr>
          <w:rFonts w:hint="eastAsia" w:ascii="宋体" w:hAnsi="宋体"/>
          <w:sz w:val="21"/>
        </w:rPr>
        <w:t xml:space="preserve">及软件</w:t>
      </w:r>
      <w:r>
        <w:rPr>
          <w:rFonts w:hint="eastAsia" w:ascii="宋体" w:hAnsi="宋体"/>
          <w:sz w:val="21"/>
        </w:rPr>
        <w:t xml:space="preserve">金额</w:t>
      </w:r>
      <w:r>
        <w:rPr>
          <w:rFonts w:hint="eastAsia" w:ascii="宋体" w:hAnsi="宋体"/>
          <w:sz w:val="21"/>
          <w:szCs w:val="21"/>
          <w14:ligatures w14:val="standardContextual"/>
        </w:rPr>
        <w:t xml:space="preserve">（含税）为人民币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元整，增值税税率为13%，不含税金额为人民币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rPr>
        <w:t xml:space="preserve">系</w:t>
      </w:r>
      <w:r>
        <w:rPr>
          <w:rFonts w:ascii="宋体" w:hAnsi="宋体"/>
          <w:sz w:val="21"/>
        </w:rPr>
        <w:t xml:space="preserve">统建设</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szCs w:val="21"/>
          <w14:ligatures w14:val="standardContextual"/>
        </w:rPr>
        <w:t xml:space="preserve">；</w:t>
      </w:r>
      <w:r>
        <w:rPr>
          <w:rFonts w:hint="eastAsia" w:ascii="宋体" w:hAnsi="宋体"/>
          <w:sz w:val="21"/>
        </w:rPr>
        <w:t xml:space="preserve">配套服务</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 （应明确一次性支付合同款项的条件）   </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u w:val="single"/>
        </w:rPr>
      </w:pPr>
      <w:r>
        <w:rPr>
          <w:rFonts w:ascii="Wingdings 2" w:hAnsi="Wingdings 2" w:eastAsia="Wingdings 2" w:cs="Wingdings 2"/>
          <w:b/>
          <w:sz w:val="21"/>
          <w:szCs w:val="21"/>
        </w:rPr>
        <w:t xml:space="preserve">R</w:t>
      </w:r>
      <w:r>
        <w:rPr>
          <w:rFonts w:hint="eastAsia" w:ascii="宋体" w:hAnsi="宋体"/>
          <w:sz w:val="21"/>
          <w:szCs w:val="21"/>
        </w:rPr>
        <w:t xml:space="preserve">分期付款：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标段</w:t>
      </w:r>
      <w:r>
        <w:rPr>
          <w:rFonts w:hint="eastAsia" w:ascii="宋体" w:hAnsi="宋体"/>
          <w:sz w:val="21"/>
          <w:szCs w:val="21"/>
        </w:rPr>
        <w:t xml:space="preserve">二</w:t>
      </w:r>
      <w:r>
        <w:rPr>
          <w:rFonts w:hint="eastAsia" w:ascii="宋体" w:hAnsi="宋体"/>
          <w:sz w:val="21"/>
          <w:szCs w:val="21"/>
        </w:rPr>
        <w:t xml:space="preserve">合同总金额：</w:t>
      </w:r>
      <w:r>
        <w:rPr>
          <w:rFonts w:hint="eastAsia" w:ascii="宋体" w:hAnsi="宋体"/>
          <w:sz w:val="21"/>
          <w:szCs w:val="21"/>
          <w:u w:val="single"/>
        </w:rPr>
        <w:t xml:space="preserve">             </w:t>
      </w:r>
      <w:r>
        <w:rPr>
          <w:rFonts w:hint="eastAsia" w:ascii="宋体" w:hAnsi="宋体"/>
          <w:sz w:val="21"/>
          <w:szCs w:val="21"/>
        </w:rPr>
        <w:t xml:space="preserve">元，其中：配套硬件</w:t>
      </w:r>
      <w:r>
        <w:rPr>
          <w:rFonts w:hint="eastAsia" w:ascii="宋体" w:hAnsi="宋体"/>
          <w:sz w:val="21"/>
        </w:rPr>
        <w:t xml:space="preserve">及软件</w:t>
      </w:r>
      <w:r>
        <w:rPr>
          <w:rFonts w:hint="eastAsia" w:ascii="宋体" w:hAnsi="宋体"/>
          <w:sz w:val="21"/>
          <w:szCs w:val="21"/>
        </w:rPr>
        <w:t xml:space="preserve">金额：</w:t>
      </w:r>
      <w:r>
        <w:rPr>
          <w:rFonts w:hint="eastAsia" w:ascii="宋体" w:hAnsi="宋体"/>
          <w:sz w:val="21"/>
          <w:szCs w:val="21"/>
          <w:u w:val="single"/>
        </w:rPr>
        <w:t xml:space="preserve">             </w:t>
      </w:r>
      <w:r>
        <w:rPr>
          <w:rFonts w:hint="eastAsia" w:ascii="宋体" w:hAnsi="宋体"/>
          <w:sz w:val="21"/>
          <w:szCs w:val="21"/>
        </w:rPr>
        <w:t xml:space="preserve">元，系统建设金额：</w:t>
      </w:r>
      <w:r>
        <w:rPr>
          <w:rFonts w:hint="eastAsia" w:ascii="宋体" w:hAnsi="宋体"/>
          <w:sz w:val="21"/>
          <w:szCs w:val="21"/>
          <w:u w:val="single"/>
        </w:rPr>
        <w:t xml:space="preserve">             </w:t>
      </w:r>
      <w:r>
        <w:rPr>
          <w:rFonts w:hint="eastAsia" w:ascii="宋体" w:hAnsi="宋体"/>
          <w:sz w:val="21"/>
          <w:szCs w:val="21"/>
        </w:rPr>
        <w:t xml:space="preserve">元，配套服务金额：</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480" w:lineRule="exact"/>
        <w:widowControl w:val="off"/>
        <w:rPr>
          <w:rFonts w:ascii="宋体" w:hAnsi="宋体"/>
          <w:sz w:val="21"/>
          <w:szCs w:val="21"/>
        </w:rPr>
      </w:pPr>
      <w:r>
        <w:rPr>
          <w:rFonts w:hint="eastAsia" w:ascii="宋体" w:hAnsi="宋体"/>
          <w:sz w:val="21"/>
          <w:szCs w:val="21"/>
        </w:rPr>
        <w:t xml:space="preserve">（1）配套硬件</w:t>
      </w:r>
      <w:r>
        <w:rPr>
          <w:rFonts w:hint="eastAsia" w:ascii="宋体" w:hAnsi="宋体"/>
          <w:sz w:val="21"/>
        </w:rPr>
        <w:t xml:space="preserve">及软件</w:t>
      </w:r>
      <w:r>
        <w:rPr>
          <w:rFonts w:hint="eastAsia" w:ascii="宋体" w:hAnsi="宋体"/>
          <w:sz w:val="21"/>
          <w:szCs w:val="21"/>
        </w:rPr>
        <w:t xml:space="preserve">部分：合同生效后支付该部分合同金额的30%，配套硬件送达现场并经甲方确认接收后，支付该部分款项至对应合同金额的80%，验收通过后支付至对应合同金额的95%，稳定运行一年内结清对应部分余款；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（2）系统建设部分：合同生效后支付该部分金额的30%，系统建设部分完成上线后，支付该部分款项至对应合同金额的80%，验收通过后支付至对应合同金额的95%，稳定运行一年内结清对应部分余款；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（3）配套服务部分：合同生效后支付该部分金额的30%，配套服务于合同签订后开始执行,数据安全风险评估服务、数据内容安全审核监测服务、web应用防护服务，出具服务报告,经甲方确认后支付该部分尾款。</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供应商提出验收申请之日起</w:t>
      </w:r>
      <w:r>
        <w:rPr>
          <w:rFonts w:hint="eastAsia" w:ascii="宋体" w:hAnsi="宋体"/>
          <w:bCs/>
          <w:sz w:val="21"/>
          <w:szCs w:val="21"/>
          <w:u w:val="single"/>
        </w:rPr>
        <w:t xml:space="preserve">十五</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u w:val="single"/>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（1）配套货物部分：配套硬件货物完成到货现场并签收确认后组织验收，配套软件货物部署、激活、授权绑定并试运行合格后组织验收；</w:t>
      </w:r>
      <w:r/>
    </w:p>
    <w:p>
      <w:pPr>
        <w:spacing w:line="480" w:lineRule="exact"/>
        <w:rPr>
          <w:rFonts w:ascii="宋体" w:hAnsi="宋体"/>
          <w:bCs/>
          <w:sz w:val="21"/>
          <w:szCs w:val="21"/>
          <w:u w:val="single"/>
        </w:rPr>
      </w:pPr>
      <w:r>
        <w:rPr>
          <w:rFonts w:hint="eastAsia" w:ascii="宋体" w:hAnsi="宋体"/>
          <w:bCs/>
          <w:sz w:val="21"/>
          <w:szCs w:val="21"/>
          <w:u w:val="single"/>
        </w:rPr>
        <w:t xml:space="preserve"> （2）系统建设部分：完成各系统主要功能模块开发工作和实际网络运行环境部署工作后，进入试运行期，试运行期结束后一个月内，以专家组验收方式对软件建设成果进行验收</w:t>
      </w:r>
      <w:r>
        <w:rPr>
          <w:rFonts w:hint="eastAsia" w:ascii="宋体" w:hAnsi="宋体"/>
          <w:bCs/>
          <w:sz w:val="21"/>
          <w:szCs w:val="21"/>
          <w:u w:val="single"/>
        </w:rPr>
        <w:t xml:space="preserve">；</w:t>
      </w:r>
      <w:r/>
    </w:p>
    <w:p>
      <w:pPr>
        <w:spacing w:line="480" w:lineRule="exact"/>
        <w:rPr>
          <w:rFonts w:ascii="宋体" w:hAnsi="宋体"/>
          <w:bCs/>
          <w:sz w:val="21"/>
          <w:szCs w:val="21"/>
        </w:rPr>
      </w:pPr>
      <w:r>
        <w:rPr>
          <w:rFonts w:hint="eastAsia" w:ascii="宋体" w:hAnsi="宋体"/>
          <w:bCs/>
          <w:sz w:val="21"/>
          <w:szCs w:val="21"/>
          <w:u w:val="single"/>
        </w:rPr>
        <w:t xml:space="preserve">（3）配套服务部分：配套服务完成服务内容并出具对应的服务报告，经甲方确认后，组织验收</w:t>
      </w:r>
      <w:r>
        <w:rPr>
          <w:rFonts w:hint="eastAsia" w:ascii="宋体" w:hAnsi="宋体"/>
          <w:bCs/>
          <w:sz w:val="21"/>
          <w:szCs w:val="21"/>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rPr>
        <w:t xml:space="preserve">：</w:t>
      </w:r>
      <w:r>
        <w:rPr>
          <w:rFonts w:hint="eastAsia" w:ascii="宋体" w:hAnsi="宋体"/>
          <w:bCs/>
          <w:sz w:val="21"/>
          <w:szCs w:val="21"/>
          <w:u w:val="single"/>
        </w:rPr>
        <w:t xml:space="preserve"> 包括但不限于组成合同文件所要求的服务内容或承诺，具体为本项目设备配备情况、清单数量、交付的软件资料以及成果、配套验收资料、服务承诺等。       </w:t>
      </w:r>
      <w:r/>
    </w:p>
    <w:p>
      <w:pPr>
        <w:ind w:left="0" w:firstLine="420"/>
        <w:spacing w:line="48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本合同内各软件模块独立上线验收，项目完成软件部署上线试运行后，组织软件验收。先由乙方提出书面验收申请，甲方接到书面申请后，在满足合同约定验收条件的情况下，组织项目验收，按照验收标准，对平台每一服务的履约情况进行验收，最终交付成果物符合合同和甲方要求，并获得甲方确认。</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w:t>
      </w:r>
      <w:r>
        <w:rPr>
          <w:rFonts w:hint="eastAsia" w:ascii="宋体" w:hAnsi="宋体"/>
          <w:b/>
          <w:color w:val="ff0000"/>
          <w:sz w:val="21"/>
          <w:szCs w:val="21"/>
        </w:rPr>
        <w:t xml:space="preserve">签订后一周内提供全部服务人员配置</w:t>
      </w:r>
      <w:r>
        <w:rPr>
          <w:rFonts w:hint="eastAsia" w:ascii="宋体" w:hAnsi="宋体"/>
          <w:b/>
          <w:color w:val="ff0000"/>
          <w:sz w:val="21"/>
          <w:szCs w:val="21"/>
        </w:rPr>
        <w:t xml:space="preserve">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w:t>
      </w:r>
      <w:r>
        <w:rPr>
          <w:rFonts w:hint="eastAsia" w:ascii="宋体" w:hAnsi="宋体"/>
          <w:sz w:val="21"/>
          <w:szCs w:val="21"/>
        </w:rPr>
        <w:t xml:space="preserve">一</w:t>
      </w:r>
      <w:r>
        <w:rPr>
          <w:rFonts w:ascii="宋体" w:hAnsi="宋体"/>
          <w:sz w:val="21"/>
          <w:szCs w:val="21"/>
        </w:rPr>
        <w:t xml:space="preserve">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12"/>
        <w:ind w:left="0" w:firstLine="0"/>
      </w:pPr>
      <w:r/>
      <w:r/>
    </w:p>
    <w:p>
      <w:pPr>
        <w:ind w:left="0"/>
        <w:jc w:val="left"/>
        <w:rPr>
          <w:rFonts w:ascii="宋体" w:hAnsi="宋体"/>
          <w:b/>
          <w:sz w:val="44"/>
          <w:szCs w:val="22"/>
        </w:rPr>
      </w:pPr>
      <w:r>
        <w:rPr>
          <w:rFonts w:ascii="宋体" w:hAnsi="宋体"/>
          <w:b/>
          <w:sz w:val="44"/>
          <w:szCs w:val="22"/>
        </w:rPr>
        <w:br w:type="page" w:clear="all"/>
      </w:r>
      <w:r/>
    </w:p>
    <w:p>
      <w:pPr>
        <w:pStyle w:val="1000"/>
        <w:ind w:left="0" w:firstLine="0"/>
        <w:jc w:val="center"/>
        <w:rPr>
          <w:rFonts w:ascii="宋体" w:hAnsi="宋体"/>
          <w:b/>
          <w:sz w:val="44"/>
          <w:szCs w:val="22"/>
        </w:rPr>
      </w:pPr>
      <w:r/>
      <w:bookmarkStart w:id="197" w:name="_Toc235617205"/>
      <w:r>
        <w:rPr>
          <w:rFonts w:hint="eastAsia" w:ascii="宋体" w:hAnsi="宋体"/>
          <w:b/>
          <w:sz w:val="44"/>
          <w:szCs w:val="22"/>
        </w:rPr>
        <w:t xml:space="preserve">第六章 </w:t>
      </w:r>
      <w:bookmarkStart w:id="198" w:name="评分要点"/>
      <w:r/>
      <w:bookmarkEnd w:id="198"/>
      <w:r>
        <w:rPr>
          <w:rFonts w:hint="eastAsia" w:ascii="宋体" w:hAnsi="宋体"/>
          <w:b/>
          <w:sz w:val="44"/>
          <w:szCs w:val="22"/>
        </w:rPr>
        <w:t xml:space="preserve"> 评标办法和评分标准</w:t>
      </w:r>
      <w:bookmarkEnd w:id="186"/>
      <w:r/>
      <w:bookmarkEnd w:id="187"/>
      <w:r/>
      <w:bookmarkEnd w:id="188"/>
      <w:r/>
      <w:bookmarkEnd w:id="197"/>
      <w:r/>
      <w:r/>
    </w:p>
    <w:p>
      <w:pPr>
        <w:ind w:left="0" w:firstLine="422"/>
        <w:spacing w:line="360" w:lineRule="auto"/>
        <w:rPr>
          <w:rFonts w:ascii="宋体" w:hAnsi="宋体"/>
          <w:b/>
          <w:sz w:val="21"/>
          <w:szCs w:val="21"/>
        </w:rPr>
      </w:pPr>
      <w:r/>
      <w:bookmarkStart w:id="199" w:name="_Toc16264"/>
      <w:r/>
      <w:bookmarkStart w:id="200" w:name="_Toc698"/>
      <w:r/>
      <w:bookmarkStart w:id="201" w:name="_Toc17476"/>
      <w:r>
        <w:rPr>
          <w:rFonts w:hint="eastAsia" w:ascii="宋体" w:hAnsi="宋体"/>
          <w:b/>
          <w:sz w:val="21"/>
          <w:szCs w:val="21"/>
        </w:rPr>
        <w:t xml:space="preserve">一、评标办法：</w:t>
      </w:r>
      <w:bookmarkEnd w:id="199"/>
      <w:r/>
      <w:bookmarkEnd w:id="200"/>
      <w:r/>
      <w:bookmarkEnd w:id="20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rPr>
          <w:rFonts w:ascii="宋体" w:hAnsi="宋体"/>
          <w:b/>
          <w:sz w:val="21"/>
        </w:rPr>
      </w:pPr>
      <w:r>
        <w:rPr>
          <w:rFonts w:hint="eastAsia" w:ascii="宋体" w:hAnsi="宋体"/>
          <w:b/>
          <w:sz w:val="21"/>
        </w:rPr>
        <w:t xml:space="preserve">4.本项目共分为两个标段，按顺序进行评审。</w:t>
      </w:r>
      <w:r/>
    </w:p>
    <w:p>
      <w:pPr>
        <w:ind w:left="0" w:firstLine="422"/>
        <w:spacing w:line="360" w:lineRule="auto"/>
        <w:rPr>
          <w:rFonts w:ascii="宋体" w:hAnsi="宋体"/>
          <w:b/>
          <w:sz w:val="21"/>
        </w:rPr>
      </w:pPr>
      <w:r>
        <w:rPr>
          <w:rFonts w:hint="eastAsia" w:ascii="宋体" w:hAnsi="宋体"/>
          <w:b/>
          <w:sz w:val="21"/>
        </w:rPr>
        <w:t xml:space="preserve">5.同一单位可对本项目两个标段中的其中一个标段或多个标段进行报名投标,仅可中其中一个标段（兼投不兼中）。</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7</w:t>
      </w:r>
      <w:r>
        <w:rPr>
          <w:rFonts w:ascii="宋体" w:hAnsi="宋体"/>
          <w:sz w:val="21"/>
        </w:rPr>
        <w:t xml:space="preserve">.</w:t>
      </w:r>
      <w:r>
        <w:rPr>
          <w:rFonts w:hint="eastAsia" w:ascii="宋体" w:hAnsi="宋体"/>
          <w:sz w:val="21"/>
        </w:rPr>
        <w:t xml:space="preserve">采购本国产品的支持政策</w:t>
      </w:r>
      <w:r/>
    </w:p>
    <w:p>
      <w:pPr>
        <w:ind w:left="0" w:firstLine="422"/>
        <w:spacing w:line="360" w:lineRule="auto"/>
        <w:rPr>
          <w:rFonts w:ascii="宋体" w:hAnsi="宋体"/>
          <w:sz w:val="21"/>
        </w:rPr>
      </w:pPr>
      <w:r>
        <w:rPr>
          <w:rFonts w:hint="eastAsia"/>
          <w:b/>
          <w:sz w:val="21"/>
          <w:szCs w:val="21"/>
        </w:rPr>
        <w:t xml:space="preserve">本国产品标准适用于货物，包括政府采购货物项目和服务项目中涉及的货物。</w:t>
      </w:r>
      <w:r>
        <w:rPr>
          <w:rFonts w:hint="eastAsia"/>
          <w:b/>
          <w:sz w:val="21"/>
          <w:szCs w:val="21"/>
        </w:rPr>
        <w:t xml:space="preserve">适用本国产品标准的货物具体是指《政府采购品目分类目录》中的货物类产品，但不包括其中的房屋和构筑物，文物和陈列品，图书</w:t>
      </w:r>
      <w:r>
        <w:rPr>
          <w:rFonts w:hint="eastAsia"/>
          <w:b/>
          <w:sz w:val="21"/>
          <w:szCs w:val="21"/>
        </w:rPr>
        <w:t xml:space="preserve">和档案，特种动植物，农林牧渔业产品，矿与矿物，电力、城市燃气、蒸汽和热水、水，食品、饮料和烟草</w:t>
      </w:r>
      <w:r>
        <w:rPr>
          <w:rFonts w:hint="eastAsia"/>
          <w:b/>
          <w:sz w:val="21"/>
          <w:szCs w:val="21"/>
        </w:rPr>
        <w:t xml:space="preserve">原料，无形资产。</w:t>
      </w:r>
      <w:bookmarkStart w:id="202" w:name="OLE_LINK17"/>
      <w:r/>
      <w:bookmarkStart w:id="203" w:name="OLE_LINK25"/>
      <w:r/>
      <w:r/>
    </w:p>
    <w:p>
      <w:pPr>
        <w:ind w:left="0" w:firstLine="420"/>
        <w:spacing w:line="360" w:lineRule="auto"/>
        <w:tabs>
          <w:tab w:val="left" w:pos="567" w:leader="none"/>
        </w:tabs>
        <w:rPr>
          <w:b/>
          <w:sz w:val="21"/>
          <w:szCs w:val="21"/>
        </w:rPr>
      </w:pPr>
      <w:r>
        <w:rPr>
          <w:rFonts w:ascii="宋体" w:hAnsi="宋体"/>
          <w:sz w:val="21"/>
          <w:szCs w:val="21"/>
        </w:rPr>
        <w:t xml:space="preserve">7</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7</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20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202"/>
      <w:r/>
      <w:bookmarkEnd w:id="203"/>
      <w:r/>
      <w:bookmarkEnd w:id="204"/>
      <w:r/>
      <w:r/>
    </w:p>
    <w:p>
      <w:pPr>
        <w:ind w:left="0" w:firstLine="420"/>
        <w:spacing w:line="360" w:lineRule="auto"/>
        <w:rPr>
          <w:rFonts w:ascii="宋体" w:hAnsi="宋体"/>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7</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.5</w:t>
      </w:r>
      <w:r>
        <w:rPr>
          <w:rFonts w:hint="eastAsia" w:ascii="宋体" w:hAnsi="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pStyle w:val="1368"/>
        <w:numPr>
          <w:ilvl w:val="0"/>
          <w:numId w:val="6"/>
        </w:numPr>
        <w:spacing w:line="360" w:lineRule="auto"/>
        <w:rPr>
          <w:rFonts w:ascii="宋体" w:hAnsi="宋体"/>
          <w:b/>
          <w:sz w:val="21"/>
          <w:szCs w:val="21"/>
        </w:rPr>
      </w:pPr>
      <w:r>
        <w:rPr>
          <w:rFonts w:hint="eastAsia" w:ascii="宋体" w:hAnsi="宋体"/>
          <w:sz w:val="21"/>
        </w:rPr>
        <w:t xml:space="preserve">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2"/>
      </w:pPr>
      <w: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pStyle w:val="1000"/>
        <w:rPr>
          <w:rFonts w:ascii="宋体" w:hAnsi="宋体"/>
          <w:b/>
          <w:sz w:val="21"/>
        </w:rPr>
      </w:pPr>
      <w:r/>
      <w:bookmarkStart w:id="205" w:name="_Toc233642166"/>
      <w:r/>
      <w:bookmarkStart w:id="206" w:name="_Toc235617206"/>
      <w:r>
        <w:rPr>
          <w:rFonts w:hint="eastAsia" w:ascii="宋体" w:hAnsi="宋体"/>
          <w:b/>
          <w:sz w:val="21"/>
          <w:szCs w:val="21"/>
        </w:rPr>
        <w:t xml:space="preserve">标段一：</w:t>
      </w:r>
      <w:r>
        <w:rPr>
          <w:rFonts w:hint="eastAsia" w:ascii="宋体" w:hAnsi="宋体"/>
          <w:b/>
          <w:sz w:val="21"/>
        </w:rPr>
        <w:t xml:space="preserve">苏州市健康医疗大数据中心升级建设</w:t>
      </w:r>
      <w:bookmarkEnd w:id="205"/>
      <w:r>
        <w:rPr>
          <w:rFonts w:hint="eastAsia" w:ascii="宋体" w:hAnsi="宋体" w:cs="Times New Roman"/>
          <w:b/>
          <w:sz w:val="21"/>
          <w:szCs w:val="21"/>
        </w:rPr>
        <w:t xml:space="preserve">评分标准</w:t>
      </w:r>
      <w:bookmarkEnd w:id="206"/>
      <w:r/>
      <w:r/>
    </w:p>
    <w:tbl>
      <w:tblPr>
        <w:tblpPr w:horzAnchor="text" w:tblpX="-147" w:vertAnchor="text" w:tblpY="1"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418"/>
        <w:gridCol w:w="6373"/>
        <w:gridCol w:w="1134"/>
      </w:tblGrid>
      <w:tr>
        <w:trPr>
          <w:trHeight w:val="113"/>
        </w:trPr>
        <w:tc>
          <w:tcPr>
            <w:tcW w:w="1276"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373"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276" w:type="dxa"/>
            <w:vAlign w:val="center"/>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w:t>
            </w:r>
            <w:r>
              <w:rPr>
                <w:rFonts w:hint="eastAsia" w:ascii="宋体" w:hAnsi="宋体" w:cs="Tahoma"/>
                <w:b/>
                <w:sz w:val="21"/>
                <w:szCs w:val="21"/>
              </w:rPr>
              <w:t xml:space="preserve">0分）</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rPr>
              <w:t xml:space="preserve">投标报价得分＝（评标基准价/投标报价）×</w:t>
            </w:r>
            <w:r>
              <w:rPr>
                <w:rFonts w:ascii="宋体" w:hAnsi="宋体"/>
                <w:sz w:val="21"/>
                <w:szCs w:val="21"/>
              </w:rPr>
              <w:t xml:space="preserve">10</w:t>
            </w:r>
            <w:r>
              <w:rPr>
                <w:rFonts w:hint="eastAsia" w:ascii="宋体" w:hAnsi="宋体"/>
                <w:sz w:val="21"/>
                <w:szCs w:val="21"/>
              </w:rPr>
              <w:t xml:space="preserve">％×100</w:t>
            </w:r>
            <w:r/>
          </w:p>
        </w:tc>
        <w:tc>
          <w:tcPr>
            <w:tcW w:w="1134" w:type="dxa"/>
            <w:vAlign w:val="center"/>
            <w:textDirection w:val="lrTb"/>
            <w:noWrap/>
          </w:tcPr>
          <w:p>
            <w:pPr>
              <w:ind w:left="0"/>
              <w:jc w:val="center"/>
              <w:widowControl w:val="off"/>
              <w:rPr>
                <w:rFonts w:ascii="宋体" w:hAnsi="宋体" w:cs="Tahoma"/>
                <w:sz w:val="21"/>
                <w:szCs w:val="21"/>
              </w:rPr>
            </w:pPr>
            <w:r>
              <w:rPr>
                <w:rFonts w:ascii="宋体" w:hAnsi="宋体"/>
                <w:sz w:val="21"/>
                <w:szCs w:val="21"/>
              </w:rPr>
              <w:t xml:space="preserve">1</w:t>
            </w:r>
            <w:r>
              <w:rPr>
                <w:rFonts w:hint="eastAsia" w:ascii="宋体" w:hAnsi="宋体"/>
                <w:sz w:val="21"/>
                <w:szCs w:val="21"/>
              </w:rPr>
              <w:t xml:space="preserve">0</w:t>
            </w:r>
            <w:r/>
          </w:p>
        </w:tc>
      </w:tr>
      <w:tr>
        <w:trPr>
          <w:trHeight w:val="113"/>
        </w:trPr>
        <w:tc>
          <w:tcPr>
            <w:tcW w:w="1276" w:type="dxa"/>
            <w:vAlign w:val="center"/>
            <w:vMerge w:val="restart"/>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9</w:t>
            </w:r>
            <w:r>
              <w:rPr>
                <w:rFonts w:hint="eastAsia" w:ascii="宋体" w:hAnsi="宋体" w:cs="Tahoma"/>
                <w:b/>
                <w:sz w:val="21"/>
                <w:szCs w:val="21"/>
              </w:rPr>
              <w:t xml:space="preserve">0分）</w:t>
            </w:r>
            <w:r/>
          </w:p>
        </w:tc>
        <w:tc>
          <w:tcPr>
            <w:tcW w:w="1418" w:type="dxa"/>
            <w:vAlign w:val="center"/>
            <w:textDirection w:val="lrTb"/>
            <w:noWrap/>
          </w:tcPr>
          <w:p>
            <w:pPr>
              <w:ind w:left="0"/>
              <w:jc w:val="center"/>
              <w:rPr>
                <w:rFonts w:ascii="宋体" w:hAnsi="宋体" w:cs="Tahoma"/>
                <w:b/>
                <w:sz w:val="21"/>
                <w:szCs w:val="21"/>
              </w:rPr>
            </w:pPr>
            <w:r>
              <w:rPr>
                <w:rFonts w:hint="eastAsia" w:ascii="宋体" w:hAnsi="宋体" w:cs="Tahoma"/>
                <w:b/>
                <w:sz w:val="21"/>
                <w:szCs w:val="21"/>
              </w:rPr>
              <w:t xml:space="preserve">项目背景、现状及需求理解</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w:t>
            </w:r>
            <w:r>
              <w:rPr>
                <w:rFonts w:hint="eastAsia" w:ascii="宋体" w:hAnsi="宋体"/>
                <w:sz w:val="21"/>
                <w:szCs w:val="21"/>
              </w:rPr>
              <w:t xml:space="preserve">单位</w:t>
            </w:r>
            <w:r>
              <w:rPr>
                <w:rFonts w:hint="eastAsia" w:ascii="宋体" w:hAnsi="宋体"/>
                <w:sz w:val="21"/>
                <w:szCs w:val="21"/>
              </w:rPr>
              <w:t xml:space="preserve">基于采购要求和理解程度，对“苏州市健康医疗大数据中心升级建设”项目的背景、现状、需求进行阐述，内容包括但不限于：</w:t>
            </w:r>
            <w:r/>
          </w:p>
          <w:p>
            <w:pPr>
              <w:ind w:left="0"/>
              <w:widowControl w:val="off"/>
              <w:rPr>
                <w:rFonts w:ascii="宋体" w:hAnsi="宋体"/>
                <w:sz w:val="21"/>
                <w:szCs w:val="21"/>
              </w:rPr>
            </w:pPr>
            <w:r>
              <w:rPr>
                <w:rFonts w:hint="eastAsia" w:ascii="宋体" w:hAnsi="宋体"/>
                <w:sz w:val="21"/>
                <w:szCs w:val="21"/>
              </w:rPr>
              <w:t xml:space="preserve">（1）项目背景；</w:t>
            </w:r>
            <w:r/>
          </w:p>
          <w:p>
            <w:pPr>
              <w:ind w:left="0"/>
              <w:widowControl w:val="off"/>
              <w:rPr>
                <w:rFonts w:ascii="宋体" w:hAnsi="宋体"/>
                <w:sz w:val="21"/>
                <w:szCs w:val="21"/>
              </w:rPr>
            </w:pPr>
            <w:r>
              <w:rPr>
                <w:rFonts w:hint="eastAsia" w:ascii="宋体" w:hAnsi="宋体"/>
                <w:sz w:val="21"/>
                <w:szCs w:val="21"/>
              </w:rPr>
              <w:t xml:space="preserve">（2）实施单位信息化及数据现状；</w:t>
            </w:r>
            <w:r/>
          </w:p>
          <w:p>
            <w:pPr>
              <w:ind w:left="0"/>
              <w:widowControl w:val="off"/>
              <w:rPr>
                <w:rFonts w:ascii="宋体" w:hAnsi="宋体"/>
                <w:sz w:val="21"/>
                <w:szCs w:val="21"/>
              </w:rPr>
            </w:pPr>
            <w:r>
              <w:rPr>
                <w:rFonts w:hint="eastAsia" w:ascii="宋体" w:hAnsi="宋体"/>
                <w:sz w:val="21"/>
                <w:szCs w:val="21"/>
              </w:rPr>
              <w:t xml:space="preserve">（3）存在的主要问题与差距；</w:t>
            </w:r>
            <w:r/>
          </w:p>
          <w:p>
            <w:pPr>
              <w:ind w:left="0"/>
              <w:widowControl w:val="off"/>
              <w:rPr>
                <w:rFonts w:ascii="宋体" w:hAnsi="宋体"/>
                <w:sz w:val="21"/>
                <w:szCs w:val="21"/>
              </w:rPr>
            </w:pPr>
            <w:r>
              <w:rPr>
                <w:rFonts w:hint="eastAsia" w:ascii="宋体" w:hAnsi="宋体"/>
                <w:sz w:val="21"/>
                <w:szCs w:val="21"/>
              </w:rPr>
              <w:t xml:space="preserve">（4）业务需求分析及业务流程；</w:t>
            </w:r>
            <w:r/>
          </w:p>
          <w:p>
            <w:pPr>
              <w:ind w:left="0"/>
              <w:widowControl w:val="off"/>
              <w:rPr>
                <w:rFonts w:ascii="宋体" w:hAnsi="宋体"/>
                <w:sz w:val="21"/>
                <w:szCs w:val="21"/>
              </w:rPr>
            </w:pPr>
            <w:r>
              <w:rPr>
                <w:rFonts w:hint="eastAsia" w:ascii="宋体" w:hAnsi="宋体"/>
                <w:sz w:val="21"/>
                <w:szCs w:val="21"/>
              </w:rPr>
              <w:t xml:space="preserve">（5）目标分析；</w:t>
            </w:r>
            <w:r/>
          </w:p>
          <w:p>
            <w:pPr>
              <w:ind w:left="0"/>
              <w:widowControl w:val="off"/>
              <w:rPr>
                <w:rFonts w:ascii="宋体" w:hAnsi="宋体"/>
                <w:sz w:val="21"/>
                <w:szCs w:val="21"/>
              </w:rPr>
            </w:pPr>
            <w:r>
              <w:rPr>
                <w:rFonts w:hint="eastAsia" w:ascii="宋体" w:hAnsi="宋体"/>
                <w:sz w:val="21"/>
                <w:szCs w:val="21"/>
              </w:rPr>
              <w:t xml:space="preserve">（6）功能和性能分析；</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上述每项应逐条叙述，每项内容科学合理、内容完整、条理清晰、操作性强的得2分；内容基本完整，条理较为清晰的得1分；叙述内容与采购需求存在偏差或未作完整叙述的不得分。本项最高得12分。</w:t>
            </w:r>
            <w:r/>
          </w:p>
        </w:tc>
        <w:tc>
          <w:tcPr>
            <w:tcW w:w="113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0"/>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sz w:val="21"/>
                <w:szCs w:val="21"/>
              </w:rPr>
            </w:pPr>
            <w:r>
              <w:rPr>
                <w:rFonts w:hint="eastAsia" w:ascii="宋体" w:hAnsi="宋体" w:cs="Times New Roman"/>
                <w:b/>
                <w:sz w:val="21"/>
                <w:szCs w:val="21"/>
              </w:rPr>
              <w:t xml:space="preserve">平台建设方案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投标单位对</w:t>
            </w:r>
            <w:r>
              <w:rPr>
                <w:rFonts w:hint="eastAsia" w:ascii="宋体" w:hAnsi="宋体"/>
                <w:sz w:val="21"/>
                <w:szCs w:val="21"/>
              </w:rPr>
              <w:t xml:space="preserve">“苏州市健康医疗大数据中心升级建设”项目方案总体系统架构及描述的详细及清晰程度，内容包括但不限于：</w:t>
            </w:r>
            <w:r/>
          </w:p>
          <w:p>
            <w:pPr>
              <w:ind w:left="0"/>
              <w:widowControl w:val="off"/>
              <w:rPr>
                <w:rFonts w:ascii="宋体" w:hAnsi="宋体"/>
                <w:sz w:val="21"/>
                <w:szCs w:val="21"/>
              </w:rPr>
            </w:pPr>
            <w:r>
              <w:rPr>
                <w:rFonts w:hint="eastAsia" w:ascii="宋体" w:hAnsi="宋体"/>
                <w:sz w:val="21"/>
                <w:szCs w:val="21"/>
              </w:rPr>
              <w:t xml:space="preserve">（1）系统架构；</w:t>
            </w:r>
            <w:r/>
          </w:p>
          <w:p>
            <w:pPr>
              <w:ind w:left="0"/>
              <w:widowControl w:val="off"/>
              <w:rPr>
                <w:rFonts w:ascii="宋体" w:hAnsi="宋体"/>
                <w:sz w:val="21"/>
                <w:szCs w:val="21"/>
              </w:rPr>
            </w:pPr>
            <w:r>
              <w:rPr>
                <w:rFonts w:hint="eastAsia" w:ascii="宋体" w:hAnsi="宋体"/>
                <w:sz w:val="21"/>
                <w:szCs w:val="21"/>
              </w:rPr>
              <w:t xml:space="preserve">（2）应用架构；</w:t>
            </w:r>
            <w:r/>
          </w:p>
          <w:p>
            <w:pPr>
              <w:ind w:left="0"/>
              <w:widowControl w:val="off"/>
              <w:rPr>
                <w:rFonts w:ascii="宋体" w:hAnsi="宋体"/>
                <w:sz w:val="21"/>
                <w:szCs w:val="21"/>
              </w:rPr>
            </w:pPr>
            <w:r>
              <w:rPr>
                <w:rFonts w:hint="eastAsia" w:ascii="宋体" w:hAnsi="宋体"/>
                <w:sz w:val="21"/>
                <w:szCs w:val="21"/>
              </w:rPr>
              <w:t xml:space="preserve">（3）技术架构；</w:t>
            </w:r>
            <w:r/>
          </w:p>
          <w:p>
            <w:pPr>
              <w:ind w:left="0"/>
              <w:widowControl w:val="off"/>
              <w:rPr>
                <w:rFonts w:ascii="宋体" w:hAnsi="宋体"/>
                <w:sz w:val="21"/>
                <w:szCs w:val="21"/>
              </w:rPr>
            </w:pPr>
            <w:r>
              <w:rPr>
                <w:rFonts w:hint="eastAsia" w:ascii="宋体" w:hAnsi="宋体"/>
                <w:sz w:val="21"/>
                <w:szCs w:val="21"/>
              </w:rPr>
              <w:t xml:space="preserve">（4）网络架构；</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上述每项应逐条叙述，每项内容科学合理、内容完整、条理清晰、操作性强的得2分；内容基本完整，条理较为清晰的得1分；叙述内容与采购需求存在偏差或未作完整叙述的不得分。本项最高得</w:t>
            </w:r>
            <w:r>
              <w:rPr>
                <w:rFonts w:ascii="宋体" w:hAnsi="宋体"/>
                <w:sz w:val="21"/>
                <w:szCs w:val="21"/>
              </w:rPr>
              <w:t xml:space="preserve">8</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提供“苏州市健康医疗大数据中心升级建设”项目平台建设详细的投标方案</w:t>
            </w:r>
            <w:r>
              <w:rPr>
                <w:rFonts w:hint="eastAsia" w:ascii="宋体" w:hAnsi="宋体"/>
                <w:sz w:val="21"/>
                <w:szCs w:val="21"/>
              </w:rPr>
              <w:t xml:space="preserve">，</w:t>
            </w:r>
            <w:r>
              <w:rPr>
                <w:rFonts w:hint="eastAsia" w:ascii="宋体" w:hAnsi="宋体"/>
                <w:sz w:val="21"/>
                <w:szCs w:val="21"/>
              </w:rPr>
              <w:t xml:space="preserve">投标方案</w:t>
            </w:r>
            <w:r>
              <w:rPr>
                <w:rFonts w:hint="eastAsia" w:ascii="宋体" w:hAnsi="宋体"/>
                <w:sz w:val="21"/>
                <w:szCs w:val="21"/>
              </w:rPr>
              <w:t xml:space="preserve">内容</w:t>
            </w:r>
            <w:r>
              <w:rPr>
                <w:rFonts w:hint="eastAsia" w:ascii="宋体" w:hAnsi="宋体"/>
                <w:sz w:val="21"/>
                <w:szCs w:val="21"/>
              </w:rPr>
              <w:t xml:space="preserve">包括但不限于</w:t>
            </w:r>
            <w:r>
              <w:rPr>
                <w:rFonts w:hint="eastAsia" w:ascii="宋体" w:hAnsi="宋体"/>
                <w:sz w:val="21"/>
                <w:szCs w:val="21"/>
              </w:rPr>
              <w:t xml:space="preserve">下列模块（</w:t>
            </w:r>
            <w:r>
              <w:rPr>
                <w:rFonts w:hint="eastAsia" w:ascii="宋体" w:hAnsi="宋体"/>
                <w:sz w:val="21"/>
                <w:szCs w:val="21"/>
              </w:rPr>
              <w:t xml:space="preserve">各模块设计方案包括模块概述、重难点分析、技术架构、业务流程、详细功能设计</w:t>
            </w:r>
            <w:r>
              <w:rPr>
                <w:rFonts w:hint="eastAsia" w:ascii="宋体" w:hAnsi="宋体"/>
                <w:sz w:val="21"/>
                <w:szCs w:val="21"/>
              </w:rPr>
              <w:t xml:space="preserve">）</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）数据治理平台；</w:t>
            </w:r>
            <w:r/>
          </w:p>
          <w:p>
            <w:pPr>
              <w:ind w:left="0"/>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）数据质控平台；</w:t>
            </w:r>
            <w:r/>
          </w:p>
          <w:p>
            <w:pPr>
              <w:ind w:left="0"/>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）数据共享交换平台；</w:t>
            </w:r>
            <w:r/>
          </w:p>
          <w:p>
            <w:pPr>
              <w:ind w:left="0"/>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）大数据中心驾驶舱；</w:t>
            </w:r>
            <w:r/>
          </w:p>
          <w:p>
            <w:pPr>
              <w:ind w:left="0"/>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数据安全软件等模块</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w:t>
            </w:r>
            <w:r>
              <w:rPr>
                <w:rFonts w:hint="eastAsia" w:ascii="宋体" w:hAnsi="宋体"/>
                <w:sz w:val="21"/>
                <w:szCs w:val="21"/>
              </w:rPr>
              <w:t xml:space="preserve">3</w:t>
            </w:r>
            <w:r>
              <w:rPr>
                <w:rFonts w:hint="eastAsia" w:ascii="宋体" w:hAnsi="宋体"/>
                <w:sz w:val="21"/>
                <w:szCs w:val="21"/>
              </w:rPr>
              <w:t xml:space="preserve">分；内容基本完整，条理较为清晰的得1</w:t>
            </w:r>
            <w:r>
              <w:rPr>
                <w:rFonts w:ascii="宋体" w:hAnsi="宋体"/>
                <w:sz w:val="21"/>
                <w:szCs w:val="21"/>
              </w:rPr>
              <w:t xml:space="preserve">.5</w:t>
            </w:r>
            <w:r>
              <w:rPr>
                <w:rFonts w:hint="eastAsia" w:ascii="宋体" w:hAnsi="宋体"/>
                <w:sz w:val="21"/>
                <w:szCs w:val="21"/>
              </w:rPr>
              <w:t xml:space="preserve">分；叙述内容与采购需求存在偏差或未作完整叙述的不得分。本项最高得</w:t>
            </w:r>
            <w:r>
              <w:rPr>
                <w:rFonts w:ascii="宋体" w:hAnsi="宋体"/>
                <w:sz w:val="21"/>
                <w:szCs w:val="21"/>
              </w:rPr>
              <w:t xml:space="preserve">1</w:t>
            </w:r>
            <w:r>
              <w:rPr>
                <w:rFonts w:hint="eastAsia"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提供“苏州市健康医疗大数据中心升级建设”项目内系统间关系、与外部系统间关系详细的投标方案</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（1）项目内系统间关系；</w:t>
            </w:r>
            <w:r/>
          </w:p>
          <w:p>
            <w:pPr>
              <w:ind w:left="0"/>
              <w:widowControl w:val="off"/>
              <w:rPr>
                <w:rFonts w:ascii="宋体" w:hAnsi="宋体"/>
                <w:sz w:val="21"/>
                <w:szCs w:val="21"/>
              </w:rPr>
            </w:pPr>
            <w:r>
              <w:rPr>
                <w:rFonts w:hint="eastAsia" w:ascii="宋体" w:hAnsi="宋体"/>
                <w:sz w:val="21"/>
                <w:szCs w:val="21"/>
              </w:rPr>
              <w:t xml:space="preserve">（2）与外部系统间关系；</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w:t>
            </w:r>
            <w:r>
              <w:rPr>
                <w:rFonts w:hint="eastAsia" w:ascii="宋体" w:hAnsi="宋体"/>
                <w:sz w:val="21"/>
                <w:szCs w:val="21"/>
              </w:rPr>
              <w:t xml:space="preserve">1</w:t>
            </w:r>
            <w:r>
              <w:rPr>
                <w:rFonts w:hint="eastAsia" w:ascii="宋体" w:hAnsi="宋体"/>
                <w:sz w:val="21"/>
                <w:szCs w:val="21"/>
              </w:rPr>
              <w:t xml:space="preserve">分；内容基本完整，条理较为清晰的得</w:t>
            </w:r>
            <w:r>
              <w:rPr>
                <w:rFonts w:hint="eastAsia" w:ascii="宋体" w:hAnsi="宋体"/>
                <w:sz w:val="21"/>
                <w:szCs w:val="21"/>
              </w:rPr>
              <w:t xml:space="preserve">0.5</w:t>
            </w:r>
            <w:r>
              <w:rPr>
                <w:rFonts w:hint="eastAsia" w:ascii="宋体" w:hAnsi="宋体"/>
                <w:sz w:val="21"/>
                <w:szCs w:val="21"/>
              </w:rPr>
              <w:t xml:space="preserve">分；叙述内容与采购需求存在偏差或未作完整叙述的不得分。本项最高得</w:t>
            </w:r>
            <w:r>
              <w:rPr>
                <w:rFonts w:hint="eastAsia" w:ascii="宋体" w:hAnsi="宋体"/>
                <w:sz w:val="21"/>
                <w:szCs w:val="21"/>
              </w:rPr>
              <w:t xml:space="preserve">2</w:t>
            </w:r>
            <w:r>
              <w:rPr>
                <w:rFonts w:hint="eastAsia" w:ascii="宋体" w:hAnsi="宋体"/>
                <w:sz w:val="21"/>
                <w:szCs w:val="21"/>
              </w:rPr>
              <w:t xml:space="preserve">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sz w:val="21"/>
                <w:szCs w:val="21"/>
              </w:rPr>
            </w:pPr>
            <w:r>
              <w:rPr>
                <w:rFonts w:hint="eastAsia" w:ascii="宋体" w:hAnsi="宋体"/>
                <w:b/>
                <w:sz w:val="21"/>
                <w:szCs w:val="21"/>
              </w:rPr>
              <w:t xml:space="preserve">数据治理运营服务方案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提供“苏州市健康医疗大数据中心升级建设”项目数据治理运营服务概述、实施路线详细的投标方案</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（1）数据治理运营服务</w:t>
            </w:r>
            <w:r>
              <w:rPr>
                <w:rFonts w:hint="eastAsia" w:ascii="宋体" w:hAnsi="宋体"/>
                <w:sz w:val="21"/>
                <w:szCs w:val="21"/>
              </w:rPr>
              <w:t xml:space="preserve">概述</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（2）实施路线；</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w:t>
            </w:r>
            <w:r>
              <w:rPr>
                <w:rFonts w:hint="eastAsia" w:ascii="宋体" w:hAnsi="宋体"/>
                <w:sz w:val="21"/>
                <w:szCs w:val="21"/>
              </w:rPr>
              <w:t xml:space="preserve">1</w:t>
            </w:r>
            <w:r>
              <w:rPr>
                <w:rFonts w:hint="eastAsia" w:ascii="宋体" w:hAnsi="宋体"/>
                <w:sz w:val="21"/>
                <w:szCs w:val="21"/>
              </w:rPr>
              <w:t xml:space="preserve">分；内容基本完整，条理较为清晰的得</w:t>
            </w:r>
            <w:r>
              <w:rPr>
                <w:rFonts w:hint="eastAsia" w:ascii="宋体" w:hAnsi="宋体"/>
                <w:sz w:val="21"/>
                <w:szCs w:val="21"/>
              </w:rPr>
              <w:t xml:space="preserve">0.5</w:t>
            </w:r>
            <w:r>
              <w:rPr>
                <w:rFonts w:hint="eastAsia" w:ascii="宋体" w:hAnsi="宋体"/>
                <w:sz w:val="21"/>
                <w:szCs w:val="21"/>
              </w:rPr>
              <w:t xml:space="preserve">分；叙述内容与采购需求存在偏差或未作完整叙述的不得分。本项最高得</w:t>
            </w:r>
            <w:r>
              <w:rPr>
                <w:rFonts w:hint="eastAsia"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投标单位</w:t>
            </w:r>
            <w:r>
              <w:rPr>
                <w:rFonts w:hint="eastAsia" w:ascii="宋体" w:hAnsi="宋体"/>
                <w:sz w:val="21"/>
                <w:szCs w:val="21"/>
              </w:rPr>
              <w:t xml:space="preserve">提供“苏州市健康医疗大数据中心升级建设”项目数据治理运营服务详细的投标方案</w:t>
            </w:r>
            <w:r>
              <w:rPr>
                <w:rFonts w:hint="eastAsia" w:ascii="宋体" w:hAnsi="宋体"/>
                <w:sz w:val="21"/>
                <w:szCs w:val="21"/>
              </w:rPr>
              <w:t xml:space="preserve">，内容</w:t>
            </w:r>
            <w:r>
              <w:rPr>
                <w:rFonts w:hint="eastAsia" w:ascii="宋体" w:hAnsi="宋体"/>
                <w:sz w:val="21"/>
                <w:szCs w:val="21"/>
              </w:rPr>
              <w:t xml:space="preserve">包括但不限于</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（1）数据同步服务；</w:t>
            </w:r>
            <w:r/>
          </w:p>
          <w:p>
            <w:pPr>
              <w:ind w:left="0"/>
              <w:widowControl w:val="off"/>
              <w:rPr>
                <w:rFonts w:ascii="宋体" w:hAnsi="宋体"/>
                <w:sz w:val="21"/>
                <w:szCs w:val="21"/>
              </w:rPr>
            </w:pPr>
            <w:r>
              <w:rPr>
                <w:rFonts w:hint="eastAsia" w:ascii="宋体" w:hAnsi="宋体"/>
                <w:sz w:val="21"/>
                <w:szCs w:val="21"/>
              </w:rPr>
              <w:t xml:space="preserve">（2）数据治理服务；</w:t>
            </w:r>
            <w:r/>
          </w:p>
          <w:p>
            <w:pPr>
              <w:ind w:left="0"/>
              <w:widowControl w:val="off"/>
              <w:rPr>
                <w:rFonts w:ascii="宋体" w:hAnsi="宋体"/>
                <w:sz w:val="21"/>
                <w:szCs w:val="21"/>
              </w:rPr>
            </w:pPr>
            <w:r>
              <w:rPr>
                <w:rFonts w:hint="eastAsia" w:ascii="宋体" w:hAnsi="宋体"/>
                <w:sz w:val="21"/>
                <w:szCs w:val="21"/>
              </w:rPr>
              <w:t xml:space="preserve">（3）数据质控服务；</w:t>
            </w:r>
            <w:r/>
          </w:p>
          <w:p>
            <w:pPr>
              <w:ind w:left="0"/>
              <w:widowControl w:val="off"/>
              <w:rPr>
                <w:rFonts w:ascii="宋体" w:hAnsi="宋体"/>
                <w:sz w:val="21"/>
                <w:szCs w:val="21"/>
              </w:rPr>
            </w:pPr>
            <w:r>
              <w:rPr>
                <w:rFonts w:hint="eastAsia" w:ascii="宋体" w:hAnsi="宋体"/>
                <w:sz w:val="21"/>
                <w:szCs w:val="21"/>
              </w:rPr>
              <w:t xml:space="preserve">（4）数据共享</w:t>
            </w:r>
            <w:r>
              <w:rPr>
                <w:rFonts w:hint="eastAsia" w:ascii="宋体" w:hAnsi="宋体"/>
                <w:sz w:val="21"/>
                <w:szCs w:val="21"/>
              </w:rPr>
              <w:t xml:space="preserve">交换</w:t>
            </w:r>
            <w:r>
              <w:rPr>
                <w:rFonts w:hint="eastAsia" w:ascii="宋体" w:hAnsi="宋体"/>
                <w:sz w:val="21"/>
                <w:szCs w:val="21"/>
              </w:rPr>
              <w:t xml:space="preserve">服务</w:t>
            </w:r>
            <w:r>
              <w:rPr>
                <w:rFonts w:hint="eastAsia" w:ascii="宋体" w:hAnsi="宋体"/>
                <w:sz w:val="21"/>
                <w:szCs w:val="21"/>
              </w:rPr>
              <w:t xml:space="preserve">（含数据共享服务、三医数据交换服务、数据开发服务、数据安全服务）</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数据集标准动态修订服务</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老通道数据及服务迁移</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上述每项应逐条叙述，每项内容科学合理、内容完整、条理清晰、操作性强的得</w:t>
            </w:r>
            <w:r>
              <w:rPr>
                <w:rFonts w:hint="eastAsia" w:ascii="宋体" w:hAnsi="宋体"/>
                <w:sz w:val="21"/>
                <w:szCs w:val="21"/>
              </w:rPr>
              <w:t xml:space="preserve">2</w:t>
            </w:r>
            <w:r>
              <w:rPr>
                <w:rFonts w:hint="eastAsia" w:ascii="宋体" w:hAnsi="宋体"/>
                <w:sz w:val="21"/>
                <w:szCs w:val="21"/>
              </w:rPr>
              <w:t xml:space="preserve">分；内容基本完整，条理较为清晰的得</w:t>
            </w:r>
            <w:r>
              <w:rPr>
                <w:rFonts w:hint="eastAsia" w:ascii="宋体" w:hAnsi="宋体"/>
                <w:sz w:val="21"/>
                <w:szCs w:val="21"/>
              </w:rPr>
              <w:t xml:space="preserve">1</w:t>
            </w:r>
            <w:r>
              <w:rPr>
                <w:rFonts w:hint="eastAsia" w:ascii="宋体" w:hAnsi="宋体"/>
                <w:sz w:val="21"/>
                <w:szCs w:val="21"/>
              </w:rPr>
              <w:t xml:space="preserve">分；叙述内容与采购需求存在偏差或未作完整叙述的不得分。本项最高得</w:t>
            </w:r>
            <w:r>
              <w:rPr>
                <w:rFonts w:hint="eastAsia" w:ascii="宋体" w:hAnsi="宋体"/>
                <w:sz w:val="21"/>
                <w:szCs w:val="21"/>
              </w:rPr>
              <w:t xml:space="preserve">12分</w:t>
            </w:r>
            <w:r>
              <w:rPr>
                <w:rFonts w:hint="eastAsia" w:ascii="宋体" w:hAnsi="宋体"/>
                <w:sz w:val="21"/>
                <w:szCs w:val="21"/>
              </w:rPr>
              <w:t xml:space="preserve">。</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cs="Times New Roman"/>
                <w:b/>
                <w:bCs/>
                <w:sz w:val="21"/>
                <w:szCs w:val="21"/>
              </w:rPr>
              <w:t xml:space="preserve">项目实施及售后服务保障方案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1、</w:t>
            </w:r>
            <w:r>
              <w:rPr>
                <w:rFonts w:hint="eastAsia" w:ascii="宋体" w:hAnsi="宋体"/>
                <w:sz w:val="21"/>
                <w:szCs w:val="21"/>
              </w:rPr>
              <w:t xml:space="preserve">投标单位</w:t>
            </w:r>
            <w:r>
              <w:rPr>
                <w:rFonts w:hint="eastAsia" w:ascii="宋体" w:hAnsi="宋体"/>
                <w:bCs/>
                <w:sz w:val="21"/>
                <w:szCs w:val="21"/>
              </w:rPr>
              <w:t xml:space="preserve">详细描述“苏州市健康医疗大数据中心升级建设” </w:t>
            </w:r>
            <w:r>
              <w:rPr>
                <w:rFonts w:hint="eastAsia" w:ascii="宋体" w:hAnsi="宋体"/>
                <w:bCs/>
                <w:sz w:val="21"/>
                <w:szCs w:val="21"/>
              </w:rPr>
              <w:t xml:space="preserve">项目</w:t>
            </w:r>
            <w:r>
              <w:rPr>
                <w:rFonts w:hint="eastAsia" w:ascii="宋体" w:hAnsi="宋体"/>
                <w:bCs/>
                <w:sz w:val="21"/>
                <w:szCs w:val="21"/>
              </w:rPr>
              <w:t xml:space="preserve">软件开发各个阶段的实施方案，</w:t>
            </w:r>
            <w:r>
              <w:rPr>
                <w:rFonts w:hint="eastAsia" w:ascii="宋体" w:hAnsi="宋体"/>
                <w:sz w:val="21"/>
                <w:szCs w:val="21"/>
              </w:rPr>
              <w:t xml:space="preserve">内容</w:t>
            </w:r>
            <w:r>
              <w:rPr>
                <w:rFonts w:hint="eastAsia" w:ascii="宋体" w:hAnsi="宋体"/>
                <w:sz w:val="21"/>
                <w:szCs w:val="21"/>
              </w:rPr>
              <w:t xml:space="preserve">包括但不限于</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bCs/>
                <w:sz w:val="21"/>
                <w:szCs w:val="21"/>
              </w:rPr>
              <w:t xml:space="preserve">需求开发阶段</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bCs/>
                <w:sz w:val="21"/>
                <w:szCs w:val="21"/>
              </w:rPr>
              <w:t xml:space="preserve">集成实施阶段</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bCs/>
                <w:sz w:val="21"/>
                <w:szCs w:val="21"/>
              </w:rPr>
              <w:t xml:space="preserve">试运行阶段</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w:t>
            </w:r>
            <w:r>
              <w:rPr>
                <w:rFonts w:hint="eastAsia" w:ascii="宋体" w:hAnsi="宋体"/>
                <w:bCs/>
                <w:sz w:val="21"/>
                <w:szCs w:val="21"/>
              </w:rPr>
              <w:t xml:space="preserve">运维阶段</w:t>
            </w:r>
            <w:r>
              <w:rPr>
                <w:rFonts w:hint="eastAsia" w:ascii="宋体" w:hAnsi="宋体"/>
                <w:bCs/>
                <w:sz w:val="21"/>
                <w:szCs w:val="21"/>
              </w:rPr>
              <w:t xml:space="preserve">。</w:t>
            </w:r>
            <w:r/>
          </w:p>
          <w:p>
            <w:pPr>
              <w:ind w:left="0"/>
              <w:widowControl w:val="off"/>
              <w:rPr>
                <w:rFonts w:ascii="宋体" w:hAnsi="宋体"/>
                <w:bCs/>
                <w:sz w:val="21"/>
                <w:szCs w:val="21"/>
              </w:rPr>
            </w:pPr>
            <w:r>
              <w:rPr>
                <w:rFonts w:hint="eastAsia" w:ascii="宋体" w:hAnsi="宋体"/>
                <w:sz w:val="21"/>
                <w:szCs w:val="21"/>
              </w:rPr>
              <w:t xml:space="preserve">上述每项应逐条叙述，每项内容科学合理、内容完整、条理清晰、操</w:t>
            </w:r>
            <w:r>
              <w:rPr>
                <w:rFonts w:hint="eastAsia" w:ascii="宋体" w:hAnsi="宋体"/>
                <w:sz w:val="21"/>
                <w:szCs w:val="21"/>
              </w:rPr>
              <w:t xml:space="preserve">作性强的得</w:t>
            </w:r>
            <w:r>
              <w:rPr>
                <w:rFonts w:ascii="宋体" w:hAnsi="宋体"/>
                <w:sz w:val="21"/>
                <w:szCs w:val="21"/>
              </w:rPr>
              <w:t xml:space="preserve">1</w:t>
            </w:r>
            <w:r>
              <w:rPr>
                <w:rFonts w:hint="eastAsia" w:ascii="宋体" w:hAnsi="宋体"/>
                <w:sz w:val="21"/>
                <w:szCs w:val="21"/>
              </w:rPr>
              <w:t xml:space="preserve">分；内容基本完整，条理较为清晰的得</w:t>
            </w:r>
            <w:r>
              <w:rPr>
                <w:rFonts w:ascii="宋体" w:hAnsi="宋体"/>
                <w:sz w:val="21"/>
                <w:szCs w:val="21"/>
              </w:rPr>
              <w:t xml:space="preserve">0.5</w:t>
            </w:r>
            <w:r>
              <w:rPr>
                <w:rFonts w:hint="eastAsia" w:ascii="宋体" w:hAnsi="宋体"/>
                <w:sz w:val="21"/>
                <w:szCs w:val="21"/>
              </w:rPr>
              <w:t xml:space="preserve">分；叙述内容与采购需求存在偏差或未作完整叙述的不得分。本项最高得</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bCs/>
                <w:sz w:val="21"/>
                <w:szCs w:val="21"/>
              </w:rPr>
            </w:pPr>
            <w:r>
              <w:rPr>
                <w:rFonts w:hint="eastAsia" w:ascii="宋体" w:hAnsi="宋体"/>
                <w:bCs/>
                <w:sz w:val="21"/>
                <w:szCs w:val="21"/>
              </w:rPr>
              <w:t xml:space="preserve">2、投标单位提供售后服务保障</w:t>
            </w:r>
            <w:r>
              <w:rPr>
                <w:rFonts w:hint="eastAsia" w:ascii="宋体" w:hAnsi="宋体"/>
                <w:bCs/>
                <w:sz w:val="21"/>
                <w:szCs w:val="21"/>
              </w:rPr>
              <w:t xml:space="preserve">方案</w:t>
            </w:r>
            <w:r>
              <w:rPr>
                <w:rFonts w:hint="eastAsia" w:ascii="宋体" w:hAnsi="宋体"/>
                <w:bCs/>
                <w:sz w:val="21"/>
                <w:szCs w:val="21"/>
              </w:rPr>
              <w:t xml:space="preserve">，</w:t>
            </w:r>
            <w:r>
              <w:rPr>
                <w:rFonts w:hint="eastAsia" w:ascii="宋体" w:hAnsi="宋体"/>
                <w:sz w:val="21"/>
                <w:szCs w:val="21"/>
              </w:rPr>
              <w:t xml:space="preserve">内容</w:t>
            </w:r>
            <w:r>
              <w:rPr>
                <w:rFonts w:hint="eastAsia" w:ascii="宋体" w:hAnsi="宋体"/>
                <w:sz w:val="21"/>
                <w:szCs w:val="21"/>
              </w:rPr>
              <w:t xml:space="preserve">包括但不限于</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bCs/>
                <w:sz w:val="21"/>
                <w:szCs w:val="21"/>
              </w:rPr>
              <w:t xml:space="preserve">售后服务保障计划</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bCs/>
                <w:sz w:val="21"/>
                <w:szCs w:val="21"/>
              </w:rPr>
              <w:t xml:space="preserve">售后服务体系</w:t>
            </w:r>
            <w:r>
              <w:rPr>
                <w:rFonts w:hint="eastAsia" w:ascii="宋体" w:hAnsi="宋体"/>
                <w:sz w:val="21"/>
                <w:szCs w:val="21"/>
              </w:rPr>
              <w:t xml:space="preserve">；</w:t>
            </w:r>
            <w:r/>
          </w:p>
          <w:p>
            <w:pPr>
              <w:ind w:left="0"/>
              <w:widowControl w:val="off"/>
              <w:rPr>
                <w:rFonts w:ascii="宋体" w:hAnsi="宋体"/>
                <w:bCs/>
                <w:sz w:val="21"/>
                <w:szCs w:val="21"/>
              </w:rPr>
            </w:pPr>
            <w:r>
              <w:rPr>
                <w:rFonts w:hint="eastAsia" w:ascii="宋体" w:hAnsi="宋体"/>
                <w:sz w:val="21"/>
                <w:szCs w:val="21"/>
              </w:rPr>
              <w:t xml:space="preserve">上述每项应逐条叙述，每项内容科学合理、内容完整、条理清晰、操作性强的得</w:t>
            </w:r>
            <w:r>
              <w:rPr>
                <w:rFonts w:ascii="宋体" w:hAnsi="宋体"/>
                <w:sz w:val="21"/>
                <w:szCs w:val="21"/>
              </w:rPr>
              <w:t xml:space="preserve">1</w:t>
            </w:r>
            <w:r>
              <w:rPr>
                <w:rFonts w:hint="eastAsia" w:ascii="宋体" w:hAnsi="宋体"/>
                <w:sz w:val="21"/>
                <w:szCs w:val="21"/>
              </w:rPr>
              <w:t xml:space="preserve">分；内容基本完整，条理较为清晰的得</w:t>
            </w:r>
            <w:r>
              <w:rPr>
                <w:rFonts w:ascii="宋体" w:hAnsi="宋体"/>
                <w:sz w:val="21"/>
                <w:szCs w:val="21"/>
              </w:rPr>
              <w:t xml:space="preserve">0.5</w:t>
            </w:r>
            <w:r>
              <w:rPr>
                <w:rFonts w:hint="eastAsia" w:ascii="宋体" w:hAnsi="宋体"/>
                <w:sz w:val="21"/>
                <w:szCs w:val="21"/>
              </w:rPr>
              <w:t xml:space="preserve">分；叙述内容与采购需求存在偏差或未作完整叙述的不得分。本项最高得</w:t>
            </w:r>
            <w:r>
              <w:rPr>
                <w:rFonts w:ascii="宋体" w:hAnsi="宋体"/>
                <w:sz w:val="21"/>
                <w:szCs w:val="21"/>
              </w:rPr>
              <w:t xml:space="preserve">2</w:t>
            </w:r>
            <w:r>
              <w:rPr>
                <w:rFonts w:hint="eastAsia" w:ascii="宋体" w:hAnsi="宋体"/>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6</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cs="Times New Roman"/>
                <w:b/>
                <w:bCs/>
                <w:sz w:val="21"/>
                <w:szCs w:val="21"/>
              </w:rPr>
              <w:t xml:space="preserve">功能演示视频</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围绕</w:t>
            </w:r>
            <w:r>
              <w:rPr>
                <w:rFonts w:hint="eastAsia" w:ascii="宋体" w:hAnsi="宋体"/>
                <w:bCs/>
                <w:sz w:val="21"/>
                <w:szCs w:val="21"/>
              </w:rPr>
              <w:t xml:space="preserve">项目</w:t>
            </w:r>
            <w:r>
              <w:rPr>
                <w:rFonts w:hint="eastAsia" w:ascii="宋体" w:hAnsi="宋体"/>
                <w:bCs/>
                <w:sz w:val="21"/>
                <w:szCs w:val="21"/>
              </w:rPr>
              <w:t xml:space="preserve">核心功能进行视频演示，主要演示要求如下：</w:t>
            </w:r>
            <w:r/>
          </w:p>
          <w:p>
            <w:pPr>
              <w:ind w:left="0"/>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1.数据治理平台演示</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（1）演示</w:t>
            </w:r>
            <w:r>
              <w:rPr>
                <w:rFonts w:hint="eastAsia" w:asciiTheme="minorEastAsia" w:hAnsiTheme="minorEastAsia" w:eastAsiaTheme="minorEastAsia"/>
                <w:bCs/>
                <w:sz w:val="21"/>
                <w:szCs w:val="21"/>
              </w:rPr>
              <w:t xml:space="preserve">数据标准</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标准码表创建、标准表创建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标准表字段与标准码表的映射</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建表初始化</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标准下发</w:t>
            </w:r>
            <w:r>
              <w:rPr>
                <w:rFonts w:hint="eastAsia" w:asciiTheme="minorEastAsia" w:hAnsiTheme="minorEastAsia" w:eastAsiaTheme="minorEastAsia"/>
                <w:bCs/>
                <w:sz w:val="21"/>
                <w:szCs w:val="21"/>
              </w:rPr>
              <w:t xml:space="preserve">等</w:t>
            </w:r>
            <w:r>
              <w:rPr>
                <w:rFonts w:hint="eastAsia" w:asciiTheme="minorEastAsia" w:hAnsiTheme="minorEastAsia" w:eastAsiaTheme="minorEastAsia"/>
                <w:bCs/>
                <w:sz w:val="21"/>
                <w:szCs w:val="21"/>
              </w:rPr>
              <w:t xml:space="preserve">业务流程；</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rPr>
                <w:rFonts w:hint="eastAsia" w:asciiTheme="minorEastAsia" w:hAnsiTheme="minorEastAsia" w:eastAsiaTheme="minorEastAsia"/>
                <w:bCs/>
                <w:sz w:val="21"/>
                <w:szCs w:val="21"/>
              </w:rPr>
              <w:t xml:space="preserve">演示</w:t>
            </w:r>
            <w:r>
              <w:rPr>
                <w:rFonts w:hint="eastAsia" w:asciiTheme="minorEastAsia" w:hAnsiTheme="minorEastAsia" w:eastAsiaTheme="minorEastAsia"/>
                <w:bCs/>
                <w:sz w:val="21"/>
                <w:szCs w:val="21"/>
              </w:rPr>
              <w:t xml:space="preserve">数据标化</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待标化表查看</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标化脚本编写与格式化</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标化脚本结果预览</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标化脚本质量核查</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标化脚本审核</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hint="eastAsia" w:asciiTheme="minorEastAsia" w:hAnsiTheme="minorEastAsia" w:eastAsiaTheme="minorEastAsia"/>
                <w:bCs/>
                <w:sz w:val="21"/>
                <w:szCs w:val="21"/>
              </w:rPr>
              <w:t xml:space="preserve">演示</w:t>
            </w:r>
            <w:r>
              <w:rPr>
                <w:rFonts w:hint="eastAsia" w:asciiTheme="minorEastAsia" w:hAnsiTheme="minorEastAsia" w:eastAsiaTheme="minorEastAsia"/>
                <w:bCs/>
                <w:sz w:val="21"/>
                <w:szCs w:val="21"/>
              </w:rPr>
              <w:t xml:space="preserve">字典对照</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原始码表创建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原始码表与标准码表字典对照</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演示</w:t>
            </w:r>
            <w:r>
              <w:rPr>
                <w:rFonts w:hint="eastAsia" w:asciiTheme="minorEastAsia" w:hAnsiTheme="minorEastAsia" w:eastAsiaTheme="minorEastAsia"/>
                <w:bCs/>
                <w:sz w:val="21"/>
                <w:szCs w:val="21"/>
              </w:rPr>
              <w:t xml:space="preserve">中心数据汇集</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中心数据汇集任务创建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任务执行</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任务执行记录与运行异常监控查看</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pStyle w:val="1012"/>
              <w:ind w:left="0" w:firstLine="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w:t>
            </w:r>
            <w:r>
              <w:rPr>
                <w:rFonts w:hint="eastAsia" w:asciiTheme="minorEastAsia" w:hAnsiTheme="minorEastAsia" w:eastAsiaTheme="minorEastAsia"/>
                <w:bCs/>
                <w:sz w:val="21"/>
                <w:szCs w:val="21"/>
              </w:rPr>
              <w:t xml:space="preserve">演示</w:t>
            </w:r>
            <w:r>
              <w:rPr>
                <w:rFonts w:hint="eastAsia" w:asciiTheme="minorEastAsia" w:hAnsiTheme="minorEastAsia" w:eastAsiaTheme="minorEastAsia"/>
                <w:bCs/>
                <w:sz w:val="21"/>
                <w:szCs w:val="21"/>
              </w:rPr>
              <w:t xml:space="preserve">数据转码</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自动生成转码脚本</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转码脚本语法检查与测试、自动分区、视图状态检查</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数据质控平台演示</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1</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演示</w:t>
            </w:r>
            <w:r>
              <w:rPr>
                <w:rFonts w:hint="eastAsia" w:asciiTheme="minorEastAsia" w:hAnsiTheme="minorEastAsia" w:eastAsiaTheme="minorEastAsia"/>
                <w:bCs/>
                <w:sz w:val="21"/>
                <w:szCs w:val="21"/>
              </w:rPr>
              <w:t xml:space="preserve">质量规则与方案</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质量规则创建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质量方案创建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任务执行</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任务执行记录与运行异常监控查看</w:t>
            </w:r>
            <w:r>
              <w:rPr>
                <w:rFonts w:hint="eastAsia" w:asciiTheme="minorEastAsia" w:hAnsiTheme="minorEastAsia" w:eastAsiaTheme="minorEastAsia"/>
                <w:bCs/>
                <w:sz w:val="21"/>
                <w:szCs w:val="21"/>
              </w:rPr>
              <w:t xml:space="preserve">等</w:t>
            </w:r>
            <w:bookmarkStart w:id="207" w:name="OLE_LINK107"/>
            <w:r>
              <w:rPr>
                <w:rFonts w:hint="eastAsia" w:asciiTheme="minorEastAsia" w:hAnsiTheme="minorEastAsia" w:eastAsiaTheme="minorEastAsia"/>
                <w:bCs/>
                <w:sz w:val="21"/>
                <w:szCs w:val="21"/>
              </w:rPr>
              <w:t xml:space="preserve">功能</w:t>
            </w:r>
            <w:bookmarkEnd w:id="207"/>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2</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演示数据</w:t>
            </w:r>
            <w:r>
              <w:rPr>
                <w:rFonts w:hint="eastAsia" w:asciiTheme="minorEastAsia" w:hAnsiTheme="minorEastAsia" w:eastAsiaTheme="minorEastAsia"/>
                <w:bCs/>
                <w:sz w:val="21"/>
                <w:szCs w:val="21"/>
              </w:rPr>
              <w:t xml:space="preserve">质量达标评估</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达标模型创建</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达标评估</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评估结果查看与导出</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3</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演示质量</w:t>
            </w:r>
            <w:r>
              <w:rPr>
                <w:rFonts w:hint="eastAsia" w:asciiTheme="minorEastAsia" w:hAnsiTheme="minorEastAsia" w:eastAsiaTheme="minorEastAsia"/>
                <w:bCs/>
                <w:sz w:val="21"/>
                <w:szCs w:val="21"/>
              </w:rPr>
              <w:t xml:space="preserve">问题处置闭环</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问题定位</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反馈</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审核</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自动校验及关闭</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演示问题</w:t>
            </w:r>
            <w:r>
              <w:rPr>
                <w:rFonts w:hint="eastAsia" w:asciiTheme="minorEastAsia" w:hAnsiTheme="minorEastAsia" w:eastAsiaTheme="minorEastAsia"/>
                <w:bCs/>
                <w:sz w:val="21"/>
                <w:szCs w:val="21"/>
              </w:rPr>
              <w:t xml:space="preserve">工单流转</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工单创建、待处理工单查看</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工单处理</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转派</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关闭</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工单流转记录查看</w:t>
            </w:r>
            <w:r>
              <w:rPr>
                <w:rFonts w:hint="eastAsia" w:asciiTheme="minorEastAsia" w:hAnsiTheme="minorEastAsia" w:eastAsiaTheme="minorEastAsia"/>
                <w:bCs/>
                <w:sz w:val="21"/>
                <w:szCs w:val="21"/>
              </w:rPr>
              <w:t xml:space="preserve">等功能</w:t>
            </w:r>
            <w:r>
              <w:rPr>
                <w:rFonts w:hint="eastAsia" w:asciiTheme="minorEastAsia" w:hAnsiTheme="minorEastAsia" w:eastAsiaTheme="minorEastAsia"/>
                <w:bCs/>
                <w:sz w:val="21"/>
                <w:szCs w:val="21"/>
              </w:rPr>
              <w:t xml:space="preserve">；</w:t>
            </w:r>
            <w:r/>
          </w:p>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3.数据共享交换平台演示</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sz w:val="21"/>
                <w:szCs w:val="21"/>
              </w:rPr>
              <w:t xml:space="preserve">（1）演示API接口快速生成能力，按照</w:t>
            </w:r>
            <w:r>
              <w:rPr>
                <w:rFonts w:asciiTheme="minorEastAsia" w:hAnsiTheme="minorEastAsia" w:eastAsiaTheme="minorEastAsia"/>
                <w:bCs/>
                <w:sz w:val="21"/>
                <w:szCs w:val="21"/>
              </w:rPr>
              <w:t xml:space="preserve">接口注册、参数配置、调用方授权、接口调用查看返回结果</w:t>
            </w:r>
            <w:r>
              <w:rPr>
                <w:rFonts w:hint="eastAsia" w:asciiTheme="minorEastAsia" w:hAnsiTheme="minorEastAsia" w:eastAsiaTheme="minorEastAsia"/>
                <w:bCs/>
                <w:sz w:val="21"/>
                <w:szCs w:val="21"/>
              </w:rPr>
              <w:t xml:space="preserve">等功能；</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（2）演示</w:t>
            </w:r>
            <w:r>
              <w:rPr>
                <w:rFonts w:hint="eastAsia" w:asciiTheme="minorEastAsia" w:hAnsiTheme="minorEastAsia" w:eastAsiaTheme="minorEastAsia"/>
                <w:bCs/>
                <w:sz w:val="21"/>
                <w:szCs w:val="21"/>
              </w:rPr>
              <w:t xml:space="preserve">数据库共享</w:t>
            </w:r>
            <w:r>
              <w:rPr>
                <w:rFonts w:hint="eastAsia" w:asciiTheme="minorEastAsia" w:hAnsiTheme="minorEastAsia" w:eastAsiaTheme="minorEastAsia"/>
                <w:bCs/>
                <w:sz w:val="21"/>
                <w:szCs w:val="21"/>
              </w:rPr>
              <w:t xml:space="preserve">能力，支持</w:t>
            </w:r>
            <w:r>
              <w:rPr>
                <w:rFonts w:hint="eastAsia" w:asciiTheme="minorEastAsia" w:hAnsiTheme="minorEastAsia" w:eastAsiaTheme="minorEastAsia"/>
                <w:bCs/>
                <w:sz w:val="21"/>
                <w:szCs w:val="21"/>
              </w:rPr>
              <w:t xml:space="preserve">新增数据源</w:t>
            </w:r>
            <w:r>
              <w:rPr>
                <w:rFonts w:hint="eastAsia"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数据源连接测试、</w:t>
            </w:r>
            <w:r>
              <w:rPr>
                <w:rFonts w:hint="eastAsia" w:asciiTheme="minorEastAsia" w:hAnsiTheme="minorEastAsia" w:eastAsiaTheme="minorEastAsia"/>
                <w:bCs/>
                <w:sz w:val="21"/>
                <w:szCs w:val="21"/>
              </w:rPr>
              <w:t xml:space="preserve">任务配置、</w:t>
            </w:r>
            <w:r>
              <w:rPr>
                <w:rFonts w:hint="eastAsia" w:asciiTheme="minorEastAsia" w:hAnsiTheme="minorEastAsia" w:eastAsiaTheme="minorEastAsia"/>
                <w:bCs/>
                <w:sz w:val="21"/>
                <w:szCs w:val="21"/>
              </w:rPr>
              <w:t xml:space="preserve">手工临时执行任务、任务执行结果查看</w:t>
            </w:r>
            <w:r>
              <w:rPr>
                <w:rFonts w:hint="eastAsia" w:asciiTheme="minorEastAsia" w:hAnsiTheme="minorEastAsia" w:eastAsiaTheme="minorEastAsia"/>
                <w:bCs/>
                <w:sz w:val="21"/>
                <w:szCs w:val="21"/>
              </w:rPr>
              <w:t xml:space="preserve">等功能；</w:t>
            </w:r>
            <w:r/>
          </w:p>
          <w:p>
            <w:pPr>
              <w:ind w:left="0"/>
              <w:widowControl w:val="off"/>
              <w:rPr>
                <w:rFonts w:asciiTheme="minorEastAsia" w:hAnsiTheme="minorEastAsia" w:eastAsiaTheme="minorEastAsia"/>
                <w:bCs/>
                <w:sz w:val="21"/>
                <w:szCs w:val="21"/>
              </w:rPr>
            </w:pPr>
            <w:r>
              <w:rPr>
                <w:rFonts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大数据中心驾驶舱演示</w:t>
            </w:r>
            <w:r/>
          </w:p>
          <w:p>
            <w:pPr>
              <w:ind w:left="0"/>
              <w:widowControl w:val="off"/>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演示大数据中心驾驶舱首页核心能力，包括今日数据概览、数据采集情况、数据标准情况、数据资产盘点、数据供给统计等，呈现大数据中心整体运行现状。</w:t>
            </w:r>
            <w:r/>
          </w:p>
          <w:p>
            <w:pPr>
              <w:ind w:left="0"/>
              <w:widowControl w:val="off"/>
              <w:rPr>
                <w:rFonts w:ascii="宋体" w:hAnsi="宋体"/>
                <w:b/>
                <w:bCs/>
                <w:sz w:val="21"/>
                <w:szCs w:val="21"/>
              </w:rPr>
            </w:pPr>
            <w:r>
              <w:rPr>
                <w:rFonts w:hint="eastAsia" w:ascii="宋体" w:hAnsi="宋体"/>
                <w:bCs/>
                <w:sz w:val="21"/>
                <w:szCs w:val="21"/>
              </w:rPr>
              <w:t xml:space="preserve">上述演示内容，每有一项演示覆盖演示内容要求、贴合业务流程、内</w:t>
            </w:r>
            <w:r>
              <w:rPr>
                <w:rFonts w:hint="eastAsia" w:ascii="宋体" w:hAnsi="宋体"/>
                <w:bCs/>
                <w:sz w:val="21"/>
                <w:szCs w:val="21"/>
              </w:rPr>
              <w:t xml:space="preserve">容齐全、操作流畅、界面清晰的得</w:t>
            </w:r>
            <w:r>
              <w:rPr>
                <w:rFonts w:ascii="宋体" w:hAnsi="宋体"/>
                <w:bCs/>
                <w:sz w:val="21"/>
                <w:szCs w:val="21"/>
              </w:rPr>
              <w:t xml:space="preserve">1</w:t>
            </w:r>
            <w:r>
              <w:rPr>
                <w:rFonts w:hint="eastAsia" w:ascii="宋体" w:hAnsi="宋体"/>
                <w:bCs/>
                <w:sz w:val="21"/>
                <w:szCs w:val="21"/>
              </w:rPr>
              <w:t xml:space="preserve">分；演示内容基本完整，可实现基本功能要求的得</w:t>
            </w:r>
            <w:r>
              <w:rPr>
                <w:rFonts w:ascii="宋体" w:hAnsi="宋体"/>
                <w:bCs/>
                <w:sz w:val="21"/>
                <w:szCs w:val="21"/>
              </w:rPr>
              <w:t xml:space="preserve">0.5</w:t>
            </w:r>
            <w:r>
              <w:rPr>
                <w:rFonts w:hint="eastAsia" w:ascii="宋体" w:hAnsi="宋体"/>
                <w:bCs/>
                <w:sz w:val="21"/>
                <w:szCs w:val="21"/>
              </w:rPr>
              <w:t xml:space="preserve">分，演示内容不全或未提供演示的不得分。本项最高得12分。</w:t>
            </w:r>
            <w:r/>
          </w:p>
          <w:p>
            <w:pPr>
              <w:ind w:left="0"/>
              <w:widowControl w:val="off"/>
              <w:rPr>
                <w:rFonts w:ascii="宋体" w:hAnsi="宋体"/>
                <w:b/>
                <w:bCs/>
                <w:sz w:val="21"/>
                <w:szCs w:val="21"/>
              </w:rPr>
            </w:pPr>
            <w:r>
              <w:rPr>
                <w:rFonts w:hint="eastAsia" w:ascii="宋体" w:hAnsi="宋体"/>
                <w:b/>
                <w:bCs/>
                <w:sz w:val="21"/>
                <w:szCs w:val="21"/>
              </w:rPr>
              <w:t xml:space="preserve">注：1.</w:t>
            </w:r>
            <w:r>
              <w:rPr>
                <w:rFonts w:hint="eastAsia" w:ascii="宋体" w:hAnsi="宋体"/>
                <w:b/>
                <w:bCs/>
                <w:sz w:val="21"/>
                <w:szCs w:val="21"/>
              </w:rPr>
              <w:t xml:space="preserve">投标单位</w:t>
            </w:r>
            <w:r>
              <w:rPr>
                <w:rFonts w:hint="eastAsia" w:ascii="宋体" w:hAnsi="宋体"/>
                <w:b/>
                <w:bCs/>
                <w:sz w:val="21"/>
                <w:szCs w:val="21"/>
              </w:rPr>
              <w:t xml:space="preserve">根据</w:t>
            </w:r>
            <w:r>
              <w:rPr>
                <w:rFonts w:hint="eastAsia" w:ascii="宋体" w:hAnsi="宋体"/>
                <w:b/>
                <w:bCs/>
                <w:sz w:val="21"/>
                <w:szCs w:val="21"/>
              </w:rPr>
              <w:t xml:space="preserve">招标</w:t>
            </w:r>
            <w:r>
              <w:rPr>
                <w:rFonts w:hint="eastAsia" w:ascii="宋体" w:hAnsi="宋体"/>
                <w:b/>
                <w:bCs/>
                <w:sz w:val="21"/>
                <w:szCs w:val="21"/>
              </w:rPr>
              <w:t xml:space="preserve">文件要求进行演示，演示时间不超过1</w:t>
            </w:r>
            <w:r>
              <w:rPr>
                <w:rFonts w:ascii="宋体" w:hAnsi="宋体"/>
                <w:b/>
                <w:bCs/>
                <w:sz w:val="21"/>
                <w:szCs w:val="21"/>
              </w:rPr>
              <w:t xml:space="preserve">5</w:t>
            </w:r>
            <w:r>
              <w:rPr>
                <w:rFonts w:hint="eastAsia" w:ascii="宋体" w:hAnsi="宋体"/>
                <w:b/>
                <w:bCs/>
                <w:sz w:val="21"/>
                <w:szCs w:val="21"/>
              </w:rPr>
              <w:t xml:space="preserve">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w:t>
            </w:r>
            <w:r>
              <w:rPr>
                <w:rFonts w:hint="eastAsia" w:ascii="宋体" w:hAnsi="宋体"/>
                <w:b/>
                <w:bCs/>
                <w:sz w:val="21"/>
                <w:szCs w:val="21"/>
              </w:rPr>
              <w:t xml:space="preserve">投标单位</w:t>
            </w:r>
            <w:r>
              <w:rPr>
                <w:rFonts w:hint="eastAsia" w:ascii="宋体" w:hAnsi="宋体"/>
                <w:b/>
                <w:bCs/>
                <w:sz w:val="21"/>
                <w:szCs w:val="21"/>
              </w:rPr>
              <w:t xml:space="preserve">上传文件本身损坏等自身原因导致演示资料无法正常读取的视为无效演示，本项不得分，由</w:t>
            </w:r>
            <w:r>
              <w:rPr>
                <w:rFonts w:hint="eastAsia" w:ascii="宋体" w:hAnsi="宋体"/>
                <w:b/>
                <w:bCs/>
                <w:sz w:val="21"/>
                <w:szCs w:val="21"/>
              </w:rPr>
              <w:t xml:space="preserve">投标单位</w:t>
            </w:r>
            <w:r>
              <w:rPr>
                <w:rFonts w:hint="eastAsia" w:ascii="宋体" w:hAnsi="宋体"/>
                <w:b/>
                <w:bCs/>
                <w:sz w:val="21"/>
                <w:szCs w:val="21"/>
              </w:rPr>
              <w:t xml:space="preserve">自行承担责任。</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2</w:t>
            </w:r>
            <w:r/>
          </w:p>
        </w:tc>
      </w:tr>
      <w:tr>
        <w:trPr>
          <w:trHeight w:val="782"/>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▲投标单位技术人员配置</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w:t>
            </w:r>
            <w:r>
              <w:rPr>
                <w:rFonts w:hint="eastAsia" w:ascii="宋体" w:hAnsi="宋体"/>
                <w:sz w:val="21"/>
                <w:szCs w:val="21"/>
              </w:rPr>
              <w:t xml:space="preserve">负责人</w:t>
            </w:r>
            <w:r>
              <w:rPr>
                <w:rFonts w:hint="eastAsia" w:ascii="宋体" w:hAnsi="宋体"/>
                <w:sz w:val="21"/>
                <w:szCs w:val="21"/>
              </w:rPr>
              <w:t xml:space="preserve">（1</w:t>
            </w:r>
            <w:r>
              <w:rPr>
                <w:rFonts w:hint="eastAsia" w:ascii="宋体" w:hAnsi="宋体"/>
                <w:sz w:val="21"/>
                <w:szCs w:val="21"/>
              </w:rPr>
              <w:t xml:space="preserve">人）（</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具备信息系统项目管理师证书的得</w:t>
            </w:r>
            <w:r>
              <w:rPr>
                <w:rFonts w:hint="eastAsia" w:ascii="宋体" w:hAnsi="宋体"/>
                <w:sz w:val="21"/>
                <w:szCs w:val="21"/>
              </w:rPr>
              <w:t xml:space="preserve">2</w:t>
            </w:r>
            <w:r>
              <w:rPr>
                <w:rFonts w:hint="eastAsia" w:ascii="宋体" w:hAnsi="宋体"/>
                <w:sz w:val="21"/>
                <w:szCs w:val="21"/>
              </w:rPr>
              <w:t xml:space="preserve">分，本项最高</w:t>
            </w:r>
            <w:r>
              <w:rPr>
                <w:rFonts w:hint="eastAsia"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、项目团队成员（</w:t>
            </w:r>
            <w:r>
              <w:rPr>
                <w:rFonts w:hint="eastAsia" w:ascii="宋体" w:hAnsi="宋体"/>
                <w:sz w:val="21"/>
                <w:szCs w:val="21"/>
              </w:rPr>
              <w:t xml:space="preserve">除</w:t>
            </w:r>
            <w:r>
              <w:rPr>
                <w:rFonts w:hint="eastAsia" w:ascii="宋体" w:hAnsi="宋体"/>
                <w:sz w:val="21"/>
                <w:szCs w:val="21"/>
              </w:rPr>
              <w:t xml:space="preserve">项目</w:t>
            </w:r>
            <w:r>
              <w:rPr>
                <w:rFonts w:hint="eastAsia" w:ascii="宋体" w:hAnsi="宋体"/>
                <w:sz w:val="21"/>
                <w:szCs w:val="21"/>
              </w:rPr>
              <w:t xml:space="preserve">负责人外</w:t>
            </w: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具备系统集成项目管理工程师或</w:t>
            </w:r>
            <w:r>
              <w:rPr>
                <w:rFonts w:hint="eastAsia" w:ascii="宋体" w:hAnsi="宋体"/>
                <w:sz w:val="21"/>
                <w:szCs w:val="21"/>
              </w:rPr>
              <w:t xml:space="preserve">信息系统项目管理师</w:t>
            </w:r>
            <w:r>
              <w:rPr>
                <w:rFonts w:hint="eastAsia" w:ascii="宋体" w:hAnsi="宋体"/>
                <w:sz w:val="21"/>
                <w:szCs w:val="21"/>
              </w:rPr>
              <w:t xml:space="preserve">的得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（2）具备</w:t>
            </w:r>
            <w:r>
              <w:rPr>
                <w:rFonts w:hint="eastAsia" w:ascii="宋体" w:hAnsi="宋体"/>
                <w:sz w:val="21"/>
                <w:szCs w:val="21"/>
              </w:rPr>
              <w:t xml:space="preserve">数据安全工程师</w:t>
            </w:r>
            <w:r>
              <w:rPr>
                <w:rFonts w:hint="eastAsia" w:ascii="宋体" w:hAnsi="宋体"/>
                <w:sz w:val="21"/>
                <w:szCs w:val="21"/>
              </w:rPr>
              <w:t xml:space="preserve">的得1分；</w:t>
            </w:r>
            <w:r/>
          </w:p>
          <w:p>
            <w:pPr>
              <w:ind w:left="0"/>
              <w:widowControl w:val="off"/>
              <w:rPr>
                <w:rFonts w:ascii="宋体" w:hAnsi="宋体"/>
                <w:sz w:val="21"/>
                <w:szCs w:val="21"/>
              </w:rPr>
            </w:pPr>
            <w:r>
              <w:rPr>
                <w:rFonts w:hint="eastAsia" w:ascii="宋体" w:hAnsi="宋体"/>
                <w:sz w:val="21"/>
                <w:szCs w:val="21"/>
              </w:rPr>
              <w:t xml:space="preserve">（3）具备</w:t>
            </w:r>
            <w:r>
              <w:rPr>
                <w:rFonts w:hint="eastAsia" w:ascii="宋体" w:hAnsi="宋体"/>
                <w:sz w:val="21"/>
                <w:szCs w:val="21"/>
              </w:rPr>
              <w:t xml:space="preserve">软件开发工程师</w:t>
            </w:r>
            <w:r>
              <w:rPr>
                <w:rFonts w:hint="eastAsia" w:ascii="宋体" w:hAnsi="宋体"/>
                <w:sz w:val="21"/>
                <w:szCs w:val="21"/>
              </w:rPr>
              <w:t xml:space="preserve">的，</w:t>
            </w:r>
            <w:bookmarkStart w:id="208" w:name="OLE_LINK86"/>
            <w:r>
              <w:rPr>
                <w:rFonts w:hint="eastAsia" w:ascii="宋体" w:hAnsi="宋体"/>
                <w:sz w:val="21"/>
                <w:szCs w:val="21"/>
              </w:rPr>
              <w:t xml:space="preserve">每配备一人得1分，最高得2分</w:t>
            </w:r>
            <w:bookmarkEnd w:id="208"/>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（4）具备</w:t>
            </w:r>
            <w:r>
              <w:rPr>
                <w:rFonts w:hint="eastAsia" w:ascii="宋体" w:hAnsi="宋体"/>
                <w:sz w:val="21"/>
                <w:szCs w:val="21"/>
              </w:rPr>
              <w:t xml:space="preserve">软件设计师</w:t>
            </w:r>
            <w:r>
              <w:rPr>
                <w:rFonts w:hint="eastAsia" w:ascii="宋体" w:hAnsi="宋体"/>
                <w:sz w:val="21"/>
                <w:szCs w:val="21"/>
              </w:rPr>
              <w:t xml:space="preserve">的得1分；</w:t>
            </w:r>
            <w:r/>
          </w:p>
          <w:p>
            <w:pPr>
              <w:ind w:left="0"/>
              <w:widowControl w:val="off"/>
              <w:rPr>
                <w:rFonts w:ascii="宋体" w:hAnsi="宋体"/>
                <w:sz w:val="21"/>
                <w:szCs w:val="21"/>
              </w:rPr>
            </w:pPr>
            <w:r>
              <w:rPr>
                <w:rFonts w:hint="eastAsia" w:ascii="宋体" w:hAnsi="宋体"/>
                <w:sz w:val="21"/>
                <w:szCs w:val="21"/>
              </w:rPr>
              <w:t xml:space="preserve">（5）具备</w:t>
            </w:r>
            <w:r>
              <w:rPr>
                <w:rFonts w:hint="eastAsia" w:ascii="宋体" w:hAnsi="宋体"/>
                <w:sz w:val="21"/>
                <w:szCs w:val="21"/>
              </w:rPr>
              <w:t xml:space="preserve">网络工程师</w:t>
            </w:r>
            <w:r>
              <w:rPr>
                <w:rFonts w:hint="eastAsia" w:ascii="宋体" w:hAnsi="宋体"/>
                <w:sz w:val="21"/>
                <w:szCs w:val="21"/>
              </w:rPr>
              <w:t xml:space="preserve">或</w:t>
            </w:r>
            <w:r>
              <w:rPr>
                <w:rFonts w:hint="eastAsia" w:ascii="宋体" w:hAnsi="宋体"/>
                <w:sz w:val="21"/>
                <w:szCs w:val="21"/>
              </w:rPr>
              <w:t xml:space="preserve">网络安全工程师</w:t>
            </w:r>
            <w:r>
              <w:rPr>
                <w:rFonts w:hint="eastAsia" w:ascii="宋体" w:hAnsi="宋体"/>
                <w:sz w:val="21"/>
                <w:szCs w:val="21"/>
              </w:rPr>
              <w:t xml:space="preserve">的，每配备一人得1分，最高得2分。</w:t>
            </w:r>
            <w:r/>
          </w:p>
          <w:p>
            <w:pPr>
              <w:ind w:left="0"/>
              <w:widowControl w:val="off"/>
              <w:rPr>
                <w:rFonts w:ascii="宋体" w:hAnsi="宋体"/>
                <w:b/>
                <w:sz w:val="21"/>
                <w:szCs w:val="21"/>
              </w:rPr>
            </w:pPr>
            <w:r>
              <w:rPr>
                <w:rFonts w:hint="eastAsia" w:ascii="宋体" w:hAnsi="宋体"/>
                <w:b/>
                <w:sz w:val="21"/>
                <w:szCs w:val="21"/>
              </w:rPr>
              <w:t xml:space="preserve">注：以上人员不重复计分。</w:t>
            </w:r>
            <w:r>
              <w:rPr>
                <w:rFonts w:hint="eastAsia" w:ascii="宋体" w:hAnsi="宋体"/>
                <w:b/>
                <w:sz w:val="21"/>
                <w:szCs w:val="21"/>
              </w:rPr>
              <w:t xml:space="preserve">投标</w:t>
            </w:r>
            <w:r>
              <w:rPr>
                <w:rFonts w:hint="eastAsia" w:ascii="宋体" w:hAnsi="宋体"/>
                <w:b/>
                <w:sz w:val="21"/>
                <w:szCs w:val="21"/>
              </w:rPr>
              <w:t xml:space="preserve">文件中提供相关人员证书扫描件及</w:t>
            </w:r>
            <w:r>
              <w:rPr>
                <w:rFonts w:hint="eastAsia" w:ascii="宋体" w:hAnsi="宋体"/>
                <w:b/>
                <w:sz w:val="21"/>
                <w:szCs w:val="21"/>
              </w:rPr>
              <w:t xml:space="preserve">投标</w:t>
            </w:r>
            <w:r>
              <w:rPr>
                <w:rFonts w:hint="eastAsia" w:ascii="宋体" w:hAnsi="宋体"/>
                <w:b/>
                <w:sz w:val="21"/>
                <w:szCs w:val="21"/>
              </w:rPr>
              <w:t xml:space="preserve">单位为其缴纳的最近一期社保证明材料</w:t>
            </w:r>
            <w:r>
              <w:rPr>
                <w:rFonts w:hint="eastAsia" w:ascii="宋体" w:hAnsi="宋体"/>
                <w:b/>
                <w:sz w:val="21"/>
                <w:szCs w:val="21"/>
              </w:rPr>
              <w:t xml:space="preserve">，</w:t>
            </w:r>
            <w:r>
              <w:rPr>
                <w:rFonts w:hint="eastAsia" w:ascii="宋体" w:hAnsi="宋体" w:cs="Times New Roman"/>
                <w:b/>
                <w:sz w:val="21"/>
                <w:szCs w:val="21"/>
              </w:rPr>
              <w:t xml:space="preserve">未提供不得分</w:t>
            </w:r>
            <w:r>
              <w:rPr>
                <w:rFonts w:hint="eastAsia" w:ascii="宋体" w:hAnsi="宋体"/>
                <w:b/>
                <w:sz w:val="21"/>
                <w:szCs w:val="21"/>
              </w:rPr>
              <w:t xml:space="preserve">。</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9</w:t>
            </w:r>
            <w:r/>
          </w:p>
        </w:tc>
      </w:tr>
      <w:tr>
        <w:trPr>
          <w:trHeight w:val="782"/>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▲投标单位履约能力</w:t>
            </w:r>
            <w:r/>
          </w:p>
        </w:tc>
        <w:tc>
          <w:tcPr>
            <w:tcW w:w="6373" w:type="dxa"/>
            <w:vAlign w:val="center"/>
            <w:textDirection w:val="lrTb"/>
            <w:noWrap/>
          </w:tcPr>
          <w:p>
            <w:pPr>
              <w:ind w:left="0"/>
              <w:widowControl w:val="off"/>
              <w:rPr>
                <w:rFonts w:ascii="宋体" w:hAnsi="宋体" w:cs="Times New Roman"/>
                <w:sz w:val="21"/>
                <w:szCs w:val="21"/>
              </w:rPr>
            </w:pPr>
            <w:r>
              <w:rPr>
                <w:rFonts w:hint="eastAsia" w:ascii="宋体" w:hAnsi="宋体" w:cs="Times New Roman"/>
                <w:sz w:val="21"/>
                <w:szCs w:val="21"/>
              </w:rPr>
              <w:t xml:space="preserve">1.认证证书（</w:t>
            </w:r>
            <w:r>
              <w:rPr>
                <w:rFonts w:ascii="宋体" w:hAnsi="宋体" w:cs="Times New Roman"/>
                <w:sz w:val="21"/>
                <w:szCs w:val="21"/>
              </w:rPr>
              <w:t xml:space="preserve">9</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sz w:val="21"/>
                <w:szCs w:val="21"/>
              </w:rPr>
              <w:t xml:space="preserve">投标单位</w:t>
            </w:r>
            <w:r>
              <w:rPr>
                <w:rFonts w:hint="eastAsia" w:ascii="宋体" w:hAnsi="宋体" w:cs="Times New Roman"/>
                <w:sz w:val="21"/>
                <w:szCs w:val="21"/>
              </w:rPr>
              <w:t xml:space="preserve">具有质量管理体系认证证书，得1分</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w:t>
            </w:r>
            <w:r>
              <w:rPr>
                <w:rFonts w:hint="eastAsia" w:ascii="宋体" w:hAnsi="宋体" w:cs="Times New Roman"/>
                <w:sz w:val="21"/>
                <w:szCs w:val="21"/>
              </w:rPr>
              <w:t xml:space="preserve">环境</w:t>
            </w:r>
            <w:r>
              <w:rPr>
                <w:rFonts w:hint="eastAsia" w:ascii="宋体" w:hAnsi="宋体" w:cs="Times New Roman"/>
                <w:sz w:val="21"/>
                <w:szCs w:val="21"/>
              </w:rPr>
              <w:t xml:space="preserve">管理体系证书，得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w:t>
            </w:r>
            <w:r>
              <w:rPr>
                <w:rFonts w:hint="eastAsia" w:ascii="宋体" w:hAnsi="宋体" w:cs="Times New Roman"/>
                <w:sz w:val="21"/>
                <w:szCs w:val="21"/>
              </w:rPr>
              <w:t xml:space="preserve">职业健康安全管理体系认证</w:t>
            </w:r>
            <w:r>
              <w:rPr>
                <w:rFonts w:hint="eastAsia" w:ascii="宋体" w:hAnsi="宋体" w:cs="Times New Roman"/>
                <w:sz w:val="21"/>
                <w:szCs w:val="21"/>
              </w:rPr>
              <w:t xml:space="preserve">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具有信息安全管理体系证书，得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具有信息技术服务管理体系证书，得</w:t>
            </w:r>
            <w:r>
              <w:rPr>
                <w:rFonts w:ascii="宋体" w:hAnsi="宋体" w:cs="Times New Roman"/>
                <w:sz w:val="21"/>
                <w:szCs w:val="21"/>
              </w:rPr>
              <w:t xml:space="preserve">2</w:t>
            </w:r>
            <w:r>
              <w:rPr>
                <w:rFonts w:hint="eastAsia" w:ascii="宋体" w:hAnsi="宋体" w:cs="Times New Roman"/>
                <w:sz w:val="21"/>
                <w:szCs w:val="21"/>
              </w:rPr>
              <w:t xml:space="preserve">分</w:t>
            </w:r>
            <w:r>
              <w:rPr>
                <w:rFonts w:hint="eastAsia" w:ascii="宋体" w:hAnsi="宋体" w:cs="Times New Roman"/>
                <w:sz w:val="21"/>
                <w:szCs w:val="21"/>
              </w:rPr>
              <w:t xml:space="preserve">。</w:t>
            </w:r>
            <w:r/>
          </w:p>
          <w:p>
            <w:pPr>
              <w:ind w:left="0"/>
              <w:widowControl w:val="off"/>
              <w:rPr>
                <w:rFonts w:ascii="宋体" w:hAnsi="宋体" w:cs="Times New Roman"/>
                <w:b/>
                <w:sz w:val="21"/>
                <w:szCs w:val="21"/>
              </w:rPr>
            </w:pPr>
            <w:r>
              <w:rPr>
                <w:rFonts w:hint="eastAsia" w:ascii="宋体" w:hAnsi="宋体" w:cs="Times New Roman"/>
                <w:sz w:val="21"/>
                <w:szCs w:val="21"/>
              </w:rPr>
              <w:t xml:space="preserve">（6）投标单位具有ITSS信息技术服务运行维护证书，得2分；</w:t>
            </w:r>
            <w:r>
              <w:rPr>
                <w:rFonts w:hint="eastAsia" w:ascii="宋体" w:hAnsi="宋体" w:cs="Times New Roman"/>
                <w:b/>
                <w:sz w:val="21"/>
                <w:szCs w:val="21"/>
              </w:rPr>
              <w:t xml:space="preserve">注：投标文件中</w:t>
            </w:r>
            <w:r>
              <w:rPr>
                <w:rFonts w:hint="eastAsia" w:ascii="宋体" w:hAnsi="宋体" w:cs="Times New Roman"/>
                <w:b/>
                <w:sz w:val="21"/>
                <w:szCs w:val="21"/>
              </w:rPr>
              <w:t xml:space="preserve">需提供</w:t>
            </w:r>
            <w:r>
              <w:rPr>
                <w:rFonts w:hint="eastAsia" w:ascii="宋体" w:hAnsi="宋体" w:cs="Times New Roman"/>
                <w:b/>
                <w:sz w:val="21"/>
                <w:szCs w:val="21"/>
              </w:rPr>
              <w:t xml:space="preserve">有效期内的</w:t>
            </w:r>
            <w:r>
              <w:rPr>
                <w:rFonts w:hint="eastAsia" w:ascii="宋体" w:hAnsi="宋体" w:cs="Times New Roman"/>
                <w:b/>
                <w:sz w:val="21"/>
                <w:szCs w:val="21"/>
              </w:rPr>
              <w:t xml:space="preserve">扫描件并加盖投标单位公章或在网站查询记录的网页截图并加盖投标单位公章，未提供不得分。</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.类似项目业绩</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sz w:val="21"/>
                <w:szCs w:val="21"/>
              </w:rPr>
              <w:t xml:space="preserve">投标</w:t>
            </w:r>
            <w:r>
              <w:rPr>
                <w:rFonts w:hint="eastAsia" w:ascii="宋体" w:hAnsi="宋体"/>
                <w:sz w:val="21"/>
                <w:szCs w:val="21"/>
              </w:rPr>
              <w:t xml:space="preserve">单位</w:t>
            </w:r>
            <w:r>
              <w:rPr>
                <w:rFonts w:hint="eastAsia" w:ascii="宋体" w:hAnsi="宋体" w:cs="Times New Roman"/>
                <w:sz w:val="21"/>
                <w:szCs w:val="21"/>
              </w:rPr>
              <w:t xml:space="preserve">提供202</w:t>
            </w:r>
            <w:r>
              <w:rPr>
                <w:rFonts w:ascii="宋体" w:hAnsi="宋体" w:cs="Times New Roman"/>
                <w:sz w:val="21"/>
                <w:szCs w:val="21"/>
              </w:rPr>
              <w:t xml:space="preserve">3</w:t>
            </w:r>
            <w:r>
              <w:rPr>
                <w:rFonts w:hint="eastAsia" w:ascii="宋体" w:hAnsi="宋体" w:cs="Times New Roman"/>
                <w:sz w:val="21"/>
                <w:szCs w:val="21"/>
              </w:rPr>
              <w:t xml:space="preserve">年1月1日（以合同签订日期为准）以来的类似项目业绩，每提供一份得1分，最高</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注：投标文件中提供合同复印件并加盖投标单位公章，未提供或提供不全不得分。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12</w:t>
            </w:r>
            <w:r/>
          </w:p>
        </w:tc>
      </w:tr>
    </w:tbl>
    <w:p>
      <w:pPr>
        <w:ind w:left="0" w:firstLine="422"/>
        <w:spacing w:line="360" w:lineRule="auto"/>
        <w:rPr>
          <w:rFonts w:ascii="宋体" w:hAnsi="宋体"/>
          <w:b/>
          <w:sz w:val="21"/>
        </w:rPr>
      </w:pPr>
      <w:r>
        <w:rPr>
          <w:rFonts w:hint="eastAsia" w:ascii="宋体" w:hAnsi="宋体"/>
          <w:b/>
          <w:bCs/>
          <w:sz w:val="21"/>
        </w:rPr>
        <w:t xml:space="preserve">表格中标▲项为客观分</w:t>
      </w:r>
      <w:r>
        <w:rPr>
          <w:rFonts w:hint="eastAsia" w:ascii="宋体" w:hAnsi="宋体"/>
          <w:b/>
          <w:sz w:val="21"/>
        </w:rPr>
        <w:t xml:space="preserve">。</w:t>
      </w:r>
      <w:bookmarkStart w:id="209" w:name="_Toc233642167"/>
      <w:r/>
      <w:r/>
    </w:p>
    <w:p>
      <w:pPr>
        <w:ind w:left="0"/>
        <w:jc w:val="left"/>
        <w:rPr>
          <w:rFonts w:ascii="宋体" w:hAnsi="宋体"/>
          <w:b/>
          <w:sz w:val="21"/>
          <w:szCs w:val="21"/>
        </w:rPr>
      </w:pPr>
      <w:r>
        <w:rPr>
          <w:rFonts w:ascii="宋体" w:hAnsi="宋体"/>
          <w:b/>
          <w:sz w:val="21"/>
          <w:szCs w:val="21"/>
        </w:rPr>
        <w:br w:type="page" w:clear="all"/>
      </w:r>
      <w:r/>
    </w:p>
    <w:p>
      <w:pPr>
        <w:pStyle w:val="1000"/>
        <w:rPr>
          <w:rFonts w:ascii="宋体" w:hAnsi="宋体"/>
          <w:b/>
          <w:sz w:val="21"/>
          <w:szCs w:val="21"/>
        </w:rPr>
      </w:pPr>
      <w:r/>
      <w:bookmarkStart w:id="210" w:name="_Toc235617207"/>
      <w:r>
        <w:rPr>
          <w:rFonts w:hint="eastAsia" w:ascii="宋体" w:hAnsi="宋体"/>
          <w:b/>
          <w:sz w:val="21"/>
          <w:szCs w:val="21"/>
        </w:rPr>
        <w:t xml:space="preserve">标段二：基础支撑应用体系及网络安全升级</w:t>
      </w:r>
      <w:bookmarkEnd w:id="209"/>
      <w:r>
        <w:rPr>
          <w:rFonts w:hint="eastAsia" w:ascii="宋体" w:hAnsi="宋体"/>
          <w:b/>
          <w:sz w:val="21"/>
          <w:szCs w:val="21"/>
        </w:rPr>
        <w:t xml:space="preserve">评分标准</w:t>
      </w:r>
      <w:bookmarkEnd w:id="210"/>
      <w:r/>
      <w:r/>
    </w:p>
    <w:tbl>
      <w:tblPr>
        <w:tblpPr w:horzAnchor="text" w:tblpX="-147" w:vertAnchor="text" w:tblpY="1"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418"/>
        <w:gridCol w:w="6373"/>
        <w:gridCol w:w="1134"/>
      </w:tblGrid>
      <w:tr>
        <w:trPr>
          <w:trHeight w:val="113"/>
        </w:trPr>
        <w:tc>
          <w:tcPr>
            <w:tcW w:w="1276"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373"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276" w:type="dxa"/>
            <w:vAlign w:val="center"/>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w:t>
            </w:r>
            <w:r>
              <w:rPr>
                <w:rFonts w:hint="eastAsia" w:ascii="宋体" w:hAnsi="宋体" w:cs="Tahoma"/>
                <w:b/>
                <w:sz w:val="21"/>
                <w:szCs w:val="21"/>
              </w:rPr>
              <w:t xml:space="preserve">0分）</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rPr>
              <w:t xml:space="preserve">投标报价得分＝（评标基准价/投标报价）×</w:t>
            </w:r>
            <w:r>
              <w:rPr>
                <w:rFonts w:ascii="宋体" w:hAnsi="宋体"/>
                <w:sz w:val="21"/>
                <w:szCs w:val="21"/>
              </w:rPr>
              <w:t xml:space="preserve">10</w:t>
            </w:r>
            <w:r>
              <w:rPr>
                <w:rFonts w:hint="eastAsia" w:ascii="宋体" w:hAnsi="宋体"/>
                <w:sz w:val="21"/>
                <w:szCs w:val="21"/>
              </w:rPr>
              <w:t xml:space="preserve">％×100</w:t>
            </w:r>
            <w:r/>
          </w:p>
        </w:tc>
        <w:tc>
          <w:tcPr>
            <w:tcW w:w="1134" w:type="dxa"/>
            <w:vAlign w:val="center"/>
            <w:textDirection w:val="lrTb"/>
            <w:noWrap/>
          </w:tcPr>
          <w:p>
            <w:pPr>
              <w:ind w:left="0"/>
              <w:jc w:val="center"/>
              <w:widowControl w:val="off"/>
              <w:rPr>
                <w:rFonts w:ascii="宋体" w:hAnsi="宋体" w:cs="Tahoma"/>
                <w:sz w:val="21"/>
                <w:szCs w:val="21"/>
              </w:rPr>
            </w:pPr>
            <w:r>
              <w:rPr>
                <w:rFonts w:ascii="宋体" w:hAnsi="宋体"/>
                <w:sz w:val="21"/>
                <w:szCs w:val="21"/>
              </w:rPr>
              <w:t xml:space="preserve">1</w:t>
            </w:r>
            <w:r>
              <w:rPr>
                <w:rFonts w:hint="eastAsia" w:ascii="宋体" w:hAnsi="宋体"/>
                <w:sz w:val="21"/>
                <w:szCs w:val="21"/>
              </w:rPr>
              <w:t xml:space="preserve">0</w:t>
            </w:r>
            <w:r/>
          </w:p>
        </w:tc>
      </w:tr>
      <w:tr>
        <w:trPr>
          <w:trHeight w:val="113"/>
        </w:trPr>
        <w:tc>
          <w:tcPr>
            <w:tcW w:w="1276" w:type="dxa"/>
            <w:vAlign w:val="center"/>
            <w:vMerge w:val="restart"/>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9</w:t>
            </w:r>
            <w:r>
              <w:rPr>
                <w:rFonts w:hint="eastAsia" w:ascii="宋体" w:hAnsi="宋体" w:cs="Tahoma"/>
                <w:b/>
                <w:sz w:val="21"/>
                <w:szCs w:val="21"/>
              </w:rPr>
              <w:t xml:space="preserve">0分）</w:t>
            </w:r>
            <w:r/>
          </w:p>
        </w:tc>
        <w:tc>
          <w:tcPr>
            <w:tcW w:w="1418" w:type="dxa"/>
            <w:vAlign w:val="center"/>
            <w:textDirection w:val="lrTb"/>
            <w:noWrap/>
          </w:tcPr>
          <w:p>
            <w:pPr>
              <w:ind w:left="0"/>
              <w:jc w:val="center"/>
              <w:rPr>
                <w:rFonts w:ascii="宋体" w:hAnsi="宋体" w:cs="Tahoma"/>
                <w:b/>
                <w:sz w:val="21"/>
                <w:szCs w:val="21"/>
              </w:rPr>
            </w:pPr>
            <w:r>
              <w:rPr>
                <w:rFonts w:hint="eastAsia"/>
                <w:b/>
                <w:sz w:val="21"/>
                <w:szCs w:val="21"/>
              </w:rPr>
              <w:t xml:space="preserve">背景及现状理解</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w:t>
            </w:r>
            <w:r>
              <w:rPr>
                <w:rFonts w:hint="eastAsia" w:ascii="宋体" w:hAnsi="宋体"/>
                <w:sz w:val="21"/>
                <w:szCs w:val="21"/>
              </w:rPr>
              <w:t xml:space="preserve">基于采购要求和理解程度，对“基础支撑应用体系及网络安全升级项目”项目的背景、现状等进行阐述,内容包括但不限于：</w:t>
            </w:r>
            <w:r/>
          </w:p>
          <w:p>
            <w:pPr>
              <w:ind w:left="0"/>
              <w:widowControl w:val="off"/>
              <w:rPr>
                <w:rFonts w:ascii="宋体" w:hAnsi="宋体"/>
                <w:sz w:val="21"/>
                <w:szCs w:val="21"/>
              </w:rPr>
            </w:pPr>
            <w:r>
              <w:rPr>
                <w:rFonts w:hint="eastAsia" w:ascii="宋体" w:hAnsi="宋体"/>
                <w:sz w:val="21"/>
                <w:szCs w:val="21"/>
              </w:rPr>
              <w:t xml:space="preserve">（1）项目背景；</w:t>
            </w:r>
            <w:r/>
          </w:p>
          <w:p>
            <w:pPr>
              <w:ind w:left="0"/>
              <w:widowControl w:val="off"/>
              <w:rPr>
                <w:rFonts w:ascii="宋体" w:hAnsi="宋体"/>
                <w:sz w:val="21"/>
                <w:szCs w:val="21"/>
              </w:rPr>
            </w:pPr>
            <w:r>
              <w:rPr>
                <w:rFonts w:hint="eastAsia" w:ascii="宋体" w:hAnsi="宋体"/>
                <w:sz w:val="21"/>
                <w:szCs w:val="21"/>
              </w:rPr>
              <w:t xml:space="preserve">（2）实施单位信息化现状；</w:t>
            </w:r>
            <w:r/>
          </w:p>
          <w:p>
            <w:pPr>
              <w:ind w:left="0"/>
              <w:widowControl w:val="off"/>
              <w:rPr>
                <w:rFonts w:ascii="宋体" w:hAnsi="宋体"/>
                <w:sz w:val="21"/>
                <w:szCs w:val="21"/>
              </w:rPr>
            </w:pPr>
            <w:r>
              <w:rPr>
                <w:rFonts w:hint="eastAsia" w:ascii="宋体" w:hAnsi="宋体"/>
                <w:sz w:val="21"/>
                <w:szCs w:val="21"/>
              </w:rPr>
              <w:t xml:space="preserve">（3）存在的主要问题与差距；</w:t>
            </w:r>
            <w:r/>
          </w:p>
          <w:p>
            <w:pPr>
              <w:ind w:left="0"/>
              <w:widowControl w:val="off"/>
              <w:rPr>
                <w:rFonts w:ascii="宋体" w:hAnsi="宋体"/>
                <w:sz w:val="21"/>
                <w:szCs w:val="21"/>
              </w:rPr>
            </w:pPr>
            <w:r>
              <w:rPr>
                <w:rFonts w:hint="eastAsia" w:ascii="宋体" w:hAnsi="宋体"/>
                <w:sz w:val="21"/>
                <w:szCs w:val="21"/>
              </w:rPr>
              <w:t xml:space="preserve">（4）项目实施必要性分析；</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上述每项应逐条叙述，内容科学合理、全面详实、条理清晰、切实可行的得3分</w:t>
            </w:r>
            <w:r>
              <w:rPr>
                <w:rFonts w:hint="eastAsia" w:ascii="宋体" w:hAnsi="宋体"/>
                <w:sz w:val="21"/>
                <w:szCs w:val="21"/>
              </w:rPr>
              <w:t xml:space="preserve">；</w:t>
            </w:r>
            <w:r>
              <w:rPr>
                <w:rFonts w:hint="eastAsia" w:ascii="宋体" w:hAnsi="宋体"/>
                <w:sz w:val="21"/>
                <w:szCs w:val="21"/>
              </w:rPr>
              <w:t xml:space="preserve">内容基本完整，条理较为清晰、具有一定的可行性的得1</w:t>
            </w:r>
            <w:r>
              <w:rPr>
                <w:rFonts w:ascii="宋体" w:hAnsi="宋体"/>
                <w:sz w:val="21"/>
                <w:szCs w:val="21"/>
              </w:rPr>
              <w:t xml:space="preserve">.5</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每项叙述内容完全脱离采购需求或未作完整叙述的不得分。各子项单独计分，本项最高得12分。</w:t>
            </w:r>
            <w:r/>
          </w:p>
        </w:tc>
        <w:tc>
          <w:tcPr>
            <w:tcW w:w="113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0"/>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sz w:val="21"/>
                <w:szCs w:val="21"/>
              </w:rPr>
            </w:pPr>
            <w:r>
              <w:rPr>
                <w:rFonts w:hint="eastAsia"/>
                <w:b/>
                <w:sz w:val="21"/>
                <w:szCs w:val="21"/>
              </w:rPr>
              <w:t xml:space="preserve">业务需求及目标理解</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w:t>
            </w:r>
            <w:r>
              <w:rPr>
                <w:rFonts w:hint="eastAsia" w:ascii="宋体" w:hAnsi="宋体"/>
                <w:sz w:val="21"/>
                <w:szCs w:val="21"/>
              </w:rPr>
              <w:t xml:space="preserve">基于采购要求和理解程度，对“基础支撑应用体系及网络安全升级项目”项目的需求、目标等内容进行阐述，内容包括但不限于：</w:t>
            </w:r>
            <w:r/>
          </w:p>
          <w:p>
            <w:pPr>
              <w:ind w:left="0"/>
              <w:widowControl w:val="off"/>
              <w:rPr>
                <w:rFonts w:ascii="宋体" w:hAnsi="宋体"/>
                <w:sz w:val="21"/>
                <w:szCs w:val="21"/>
              </w:rPr>
            </w:pPr>
            <w:r>
              <w:rPr>
                <w:rFonts w:hint="eastAsia" w:ascii="宋体" w:hAnsi="宋体"/>
                <w:sz w:val="21"/>
                <w:szCs w:val="21"/>
              </w:rPr>
              <w:t xml:space="preserve">（1）业务需求分析；</w:t>
            </w:r>
            <w:r/>
          </w:p>
          <w:p>
            <w:pPr>
              <w:ind w:left="0"/>
              <w:widowControl w:val="off"/>
              <w:rPr>
                <w:rFonts w:ascii="宋体" w:hAnsi="宋体"/>
                <w:sz w:val="21"/>
                <w:szCs w:val="21"/>
              </w:rPr>
            </w:pPr>
            <w:r>
              <w:rPr>
                <w:rFonts w:hint="eastAsia" w:ascii="宋体" w:hAnsi="宋体"/>
                <w:sz w:val="21"/>
                <w:szCs w:val="21"/>
              </w:rPr>
              <w:t xml:space="preserve">（2）目标分析；</w:t>
            </w:r>
            <w:r/>
          </w:p>
          <w:p>
            <w:pPr>
              <w:ind w:left="0"/>
              <w:widowControl w:val="off"/>
              <w:rPr>
                <w:rFonts w:ascii="宋体" w:hAnsi="宋体"/>
                <w:sz w:val="21"/>
                <w:szCs w:val="21"/>
              </w:rPr>
            </w:pPr>
            <w:r>
              <w:rPr>
                <w:rFonts w:hint="eastAsia" w:ascii="宋体" w:hAnsi="宋体"/>
                <w:sz w:val="21"/>
                <w:szCs w:val="21"/>
              </w:rPr>
              <w:t xml:space="preserve">（3）功能和性能分析；</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w:t>
            </w:r>
            <w:r>
              <w:rPr>
                <w:rFonts w:ascii="宋体" w:hAnsi="宋体"/>
                <w:sz w:val="21"/>
                <w:szCs w:val="21"/>
              </w:rPr>
              <w:t xml:space="preserve">3</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内容基本完整，条理较为清晰、具有一定的可行性的得</w:t>
            </w:r>
            <w:r>
              <w:rPr>
                <w:rFonts w:ascii="宋体" w:hAnsi="宋体"/>
                <w:sz w:val="21"/>
                <w:szCs w:val="21"/>
              </w:rPr>
              <w:t xml:space="preserve">1.5</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每项叙述内容完全脱离采购需求或未作完整叙述的不得分。各子项单独计分，本项最高得</w:t>
            </w:r>
            <w:r>
              <w:rPr>
                <w:rFonts w:ascii="宋体" w:hAnsi="宋体"/>
                <w:sz w:val="21"/>
                <w:szCs w:val="21"/>
              </w:rPr>
              <w:t xml:space="preserve">9</w:t>
            </w:r>
            <w:r>
              <w:rPr>
                <w:rFonts w:hint="eastAsia" w:ascii="宋体" w:hAnsi="宋体"/>
                <w:sz w:val="21"/>
                <w:szCs w:val="21"/>
              </w:rPr>
              <w:t xml:space="preserve">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9</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sz w:val="21"/>
                <w:szCs w:val="21"/>
              </w:rPr>
            </w:pPr>
            <w:r>
              <w:rPr>
                <w:rFonts w:hint="eastAsia"/>
                <w:b/>
                <w:sz w:val="21"/>
                <w:szCs w:val="21"/>
              </w:rPr>
              <w:t xml:space="preserve">建设方案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w:t>
            </w:r>
            <w:r>
              <w:rPr>
                <w:rFonts w:hint="eastAsia" w:ascii="宋体" w:hAnsi="宋体"/>
                <w:sz w:val="21"/>
                <w:szCs w:val="21"/>
              </w:rPr>
              <w:t xml:space="preserve">基于采购要求和理解程度，对“基础支撑应用体系及网络安全升级项目”项目的建设方案进行阐述，内容包括但不限于：</w:t>
            </w:r>
            <w:r/>
          </w:p>
          <w:p>
            <w:pPr>
              <w:ind w:left="0"/>
              <w:widowControl w:val="off"/>
              <w:rPr>
                <w:rFonts w:ascii="宋体" w:hAnsi="宋体"/>
                <w:sz w:val="21"/>
                <w:szCs w:val="21"/>
              </w:rPr>
            </w:pPr>
            <w:r>
              <w:rPr>
                <w:rFonts w:hint="eastAsia" w:ascii="宋体" w:hAnsi="宋体"/>
                <w:sz w:val="21"/>
                <w:szCs w:val="21"/>
              </w:rPr>
              <w:t xml:space="preserve">（1）总体架构；</w:t>
            </w:r>
            <w:r/>
          </w:p>
          <w:p>
            <w:pPr>
              <w:ind w:left="0"/>
              <w:widowControl w:val="off"/>
              <w:rPr>
                <w:rFonts w:ascii="宋体" w:hAnsi="宋体"/>
                <w:sz w:val="21"/>
                <w:szCs w:val="21"/>
              </w:rPr>
            </w:pPr>
            <w:r>
              <w:rPr>
                <w:rFonts w:hint="eastAsia" w:ascii="宋体" w:hAnsi="宋体"/>
                <w:sz w:val="21"/>
                <w:szCs w:val="21"/>
              </w:rPr>
              <w:t xml:space="preserve">（2）网络架构以及各模块部署位置；</w:t>
            </w:r>
            <w:r/>
          </w:p>
          <w:p>
            <w:pPr>
              <w:ind w:left="0"/>
              <w:widowControl w:val="off"/>
              <w:rPr>
                <w:rFonts w:ascii="宋体" w:hAnsi="宋体"/>
                <w:sz w:val="21"/>
                <w:szCs w:val="21"/>
              </w:rPr>
            </w:pPr>
            <w:r>
              <w:rPr>
                <w:rFonts w:hint="eastAsia" w:ascii="宋体" w:hAnsi="宋体"/>
                <w:sz w:val="21"/>
                <w:szCs w:val="21"/>
              </w:rPr>
              <w:t xml:space="preserve">（3）功能建设方案；</w:t>
            </w:r>
            <w:r/>
          </w:p>
          <w:p>
            <w:pPr>
              <w:ind w:left="0"/>
              <w:widowControl w:val="off"/>
              <w:rPr>
                <w:rFonts w:ascii="宋体" w:hAnsi="宋体"/>
                <w:sz w:val="21"/>
                <w:szCs w:val="21"/>
              </w:rPr>
            </w:pPr>
            <w:r>
              <w:rPr>
                <w:rFonts w:hint="eastAsia" w:ascii="宋体" w:hAnsi="宋体"/>
                <w:sz w:val="21"/>
                <w:szCs w:val="21"/>
              </w:rPr>
              <w:t xml:space="preserve">（4）用户体系；</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上述每项应逐条叙述，内容科学合理、全面详实、条理清晰、切实可行的得3分</w:t>
            </w:r>
            <w:r>
              <w:rPr>
                <w:rFonts w:hint="eastAsia" w:ascii="宋体" w:hAnsi="宋体"/>
                <w:sz w:val="21"/>
                <w:szCs w:val="21"/>
              </w:rPr>
              <w:t xml:space="preserve">；</w:t>
            </w:r>
            <w:r>
              <w:rPr>
                <w:rFonts w:hint="eastAsia" w:ascii="宋体" w:hAnsi="宋体"/>
                <w:sz w:val="21"/>
                <w:szCs w:val="21"/>
              </w:rPr>
              <w:t xml:space="preserve">内容基本完整，条理较为清晰、具有一定的可行性的</w:t>
            </w:r>
            <w:r>
              <w:rPr>
                <w:rFonts w:hint="eastAsia" w:ascii="宋体" w:hAnsi="宋体"/>
                <w:sz w:val="21"/>
                <w:szCs w:val="21"/>
              </w:rPr>
              <w:t xml:space="preserve">得1</w:t>
            </w:r>
            <w:r>
              <w:rPr>
                <w:rFonts w:ascii="宋体" w:hAnsi="宋体"/>
                <w:sz w:val="21"/>
                <w:szCs w:val="21"/>
              </w:rPr>
              <w:t xml:space="preserve">.5</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每项叙述内容完全脱离采购需求或未作完整叙述的不得分。各子项单独计分，本项最高得12分。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实施方案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基于采购要求和理解程度，对“基础支撑应用体系及网络安全升级项目”项目的实施方案，内容包括但不限于：</w:t>
            </w:r>
            <w:r/>
          </w:p>
          <w:p>
            <w:pPr>
              <w:ind w:left="0"/>
              <w:widowControl w:val="off"/>
              <w:rPr>
                <w:rFonts w:ascii="宋体" w:hAnsi="宋体"/>
                <w:bCs/>
                <w:sz w:val="21"/>
                <w:szCs w:val="21"/>
              </w:rPr>
            </w:pPr>
            <w:r>
              <w:rPr>
                <w:rFonts w:hint="eastAsia" w:ascii="宋体" w:hAnsi="宋体"/>
                <w:bCs/>
                <w:sz w:val="21"/>
                <w:szCs w:val="21"/>
              </w:rPr>
              <w:t xml:space="preserve">（1）项目组织管理；</w:t>
            </w:r>
            <w:r/>
          </w:p>
          <w:p>
            <w:pPr>
              <w:ind w:left="0"/>
              <w:widowControl w:val="off"/>
              <w:rPr>
                <w:rFonts w:ascii="宋体" w:hAnsi="宋体"/>
                <w:bCs/>
                <w:sz w:val="21"/>
                <w:szCs w:val="21"/>
              </w:rPr>
            </w:pPr>
            <w:r>
              <w:rPr>
                <w:rFonts w:hint="eastAsia" w:ascii="宋体" w:hAnsi="宋体"/>
                <w:bCs/>
                <w:sz w:val="21"/>
                <w:szCs w:val="21"/>
              </w:rPr>
              <w:t xml:space="preserve">（2）实施过程管理；</w:t>
            </w:r>
            <w:r/>
          </w:p>
          <w:p>
            <w:pPr>
              <w:ind w:left="0"/>
              <w:widowControl w:val="off"/>
              <w:rPr>
                <w:rFonts w:ascii="宋体" w:hAnsi="宋体"/>
                <w:bCs/>
                <w:sz w:val="21"/>
                <w:szCs w:val="21"/>
              </w:rPr>
            </w:pPr>
            <w:r>
              <w:rPr>
                <w:rFonts w:hint="eastAsia" w:ascii="宋体" w:hAnsi="宋体"/>
                <w:bCs/>
                <w:sz w:val="21"/>
                <w:szCs w:val="21"/>
              </w:rPr>
              <w:t xml:space="preserve">（3）项目文档管理；</w:t>
            </w:r>
            <w:r/>
          </w:p>
          <w:p>
            <w:pPr>
              <w:ind w:left="0"/>
              <w:widowControl w:val="off"/>
              <w:rPr>
                <w:rFonts w:ascii="宋体" w:hAnsi="宋体"/>
                <w:bCs/>
                <w:sz w:val="21"/>
                <w:szCs w:val="21"/>
              </w:rPr>
            </w:pPr>
            <w:r>
              <w:rPr>
                <w:rFonts w:hint="eastAsia" w:ascii="宋体" w:hAnsi="宋体"/>
                <w:bCs/>
                <w:sz w:val="21"/>
                <w:szCs w:val="21"/>
              </w:rPr>
              <w:t xml:space="preserve">（4）项目质量管理保障方案；</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sz w:val="21"/>
                <w:szCs w:val="21"/>
              </w:rPr>
              <w:t xml:space="preserve">2</w:t>
            </w:r>
            <w:r>
              <w:rPr>
                <w:rFonts w:hint="eastAsia" w:ascii="宋体" w:hAnsi="宋体"/>
                <w:sz w:val="21"/>
                <w:szCs w:val="21"/>
              </w:rPr>
              <w:t xml:space="preserve">分</w:t>
            </w:r>
            <w:r>
              <w:rPr>
                <w:rFonts w:hint="eastAsia" w:ascii="宋体" w:hAnsi="宋体"/>
                <w:bCs/>
                <w:sz w:val="21"/>
                <w:szCs w:val="21"/>
              </w:rPr>
              <w:t xml:space="preserve">；内容基本完整，条理较为清晰、具有一定的可行性的得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w:t>
            </w:r>
            <w:r>
              <w:rPr>
                <w:rFonts w:hint="eastAsia" w:ascii="宋体" w:hAnsi="宋体"/>
                <w:sz w:val="21"/>
                <w:szCs w:val="21"/>
              </w:rPr>
              <w:t xml:space="preserve">不得分</w:t>
            </w:r>
            <w:r>
              <w:rPr>
                <w:rFonts w:hint="eastAsia" w:ascii="宋体" w:hAnsi="宋体"/>
                <w:bCs/>
                <w:sz w:val="21"/>
                <w:szCs w:val="21"/>
              </w:rPr>
              <w:t xml:space="preserve">。</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8</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8</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培训方案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基于采购要求和理解程度，对“基础支撑应用体系及网络安全升级项目”项目制定培训方案，内容包括但不限于：</w:t>
            </w:r>
            <w:r/>
          </w:p>
          <w:p>
            <w:pPr>
              <w:ind w:left="0"/>
              <w:widowControl w:val="off"/>
              <w:rPr>
                <w:rFonts w:ascii="宋体" w:hAnsi="宋体"/>
                <w:bCs/>
                <w:sz w:val="21"/>
                <w:szCs w:val="21"/>
              </w:rPr>
            </w:pPr>
            <w:r>
              <w:rPr>
                <w:rFonts w:hint="eastAsia" w:ascii="宋体" w:hAnsi="宋体"/>
                <w:bCs/>
                <w:sz w:val="21"/>
                <w:szCs w:val="21"/>
              </w:rPr>
              <w:t xml:space="preserve">（1）充分理解本项目培训需求，准确掌握培训内容要点，并针对性做出培训方案；</w:t>
            </w:r>
            <w:r/>
          </w:p>
          <w:p>
            <w:pPr>
              <w:ind w:left="0"/>
              <w:widowControl w:val="off"/>
              <w:rPr>
                <w:rFonts w:ascii="宋体" w:hAnsi="宋体"/>
                <w:bCs/>
                <w:sz w:val="21"/>
                <w:szCs w:val="21"/>
              </w:rPr>
            </w:pPr>
            <w:r>
              <w:rPr>
                <w:rFonts w:hint="eastAsia" w:ascii="宋体" w:hAnsi="宋体"/>
                <w:bCs/>
                <w:sz w:val="21"/>
                <w:szCs w:val="21"/>
              </w:rPr>
              <w:t xml:space="preserve">（2）明确培训对象、计划、方式，提出有效建议；</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bCs/>
                <w:sz w:val="21"/>
                <w:szCs w:val="21"/>
              </w:rPr>
              <w:t xml:space="preserve">2</w:t>
            </w:r>
            <w:r>
              <w:rPr>
                <w:rFonts w:hint="eastAsia" w:ascii="宋体" w:hAnsi="宋体"/>
                <w:bCs/>
                <w:sz w:val="21"/>
                <w:szCs w:val="21"/>
              </w:rPr>
              <w:t xml:space="preserve">分；内容基本完整，条理较为清晰、具有一定的可行性的得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w:t>
            </w:r>
            <w:r>
              <w:rPr>
                <w:rFonts w:hint="eastAsia" w:ascii="宋体" w:hAnsi="宋体"/>
                <w:bCs/>
                <w:sz w:val="21"/>
                <w:szCs w:val="21"/>
              </w:rPr>
              <w:t xml:space="preserve">不</w:t>
            </w:r>
            <w:r>
              <w:rPr>
                <w:rFonts w:hint="eastAsia" w:ascii="宋体" w:hAnsi="宋体"/>
                <w:bCs/>
                <w:sz w:val="21"/>
                <w:szCs w:val="21"/>
              </w:rPr>
              <w:t xml:space="preserve">得分。</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4</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ascii="宋体" w:hAnsi="宋体"/>
                <w:bCs/>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售后服务方案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基于采购要求和理解程度，对“基础支撑应用体系及网络安全升级项目”项目的实施案，内容包括但不限于：</w:t>
            </w:r>
            <w:r/>
          </w:p>
          <w:p>
            <w:pPr>
              <w:ind w:left="0"/>
              <w:widowControl w:val="off"/>
              <w:rPr>
                <w:rFonts w:ascii="宋体" w:hAnsi="宋体"/>
                <w:bCs/>
                <w:sz w:val="21"/>
                <w:szCs w:val="21"/>
              </w:rPr>
            </w:pPr>
            <w:r/>
            <w:bookmarkStart w:id="211" w:name="OLE_LINK81"/>
            <w:r/>
            <w:bookmarkStart w:id="212" w:name="OLE_LINK82"/>
            <w:r>
              <w:rPr>
                <w:rFonts w:hint="eastAsia" w:ascii="宋体" w:hAnsi="宋体"/>
                <w:bCs/>
                <w:sz w:val="21"/>
                <w:szCs w:val="21"/>
              </w:rPr>
              <w:t xml:space="preserve">（1）</w:t>
            </w:r>
            <w:bookmarkEnd w:id="211"/>
            <w:r/>
            <w:bookmarkEnd w:id="212"/>
            <w:r>
              <w:rPr>
                <w:rFonts w:hint="eastAsia" w:ascii="宋体" w:hAnsi="宋体"/>
                <w:bCs/>
                <w:sz w:val="21"/>
                <w:szCs w:val="21"/>
              </w:rPr>
              <w:t xml:space="preserve">详细售后服务内容、售后支撑团队服务；</w:t>
            </w:r>
            <w:r/>
          </w:p>
          <w:p>
            <w:pPr>
              <w:ind w:left="0"/>
              <w:widowControl w:val="off"/>
              <w:rPr>
                <w:rFonts w:ascii="宋体" w:hAnsi="宋体"/>
                <w:bCs/>
                <w:sz w:val="21"/>
                <w:szCs w:val="21"/>
              </w:rPr>
            </w:pPr>
            <w:r>
              <w:rPr>
                <w:rFonts w:hint="eastAsia" w:ascii="宋体" w:hAnsi="宋体"/>
                <w:bCs/>
                <w:sz w:val="21"/>
                <w:szCs w:val="21"/>
              </w:rPr>
              <w:t xml:space="preserve">（2）详细售后服务范围、售后服务响应方式等内容；</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bCs/>
                <w:sz w:val="21"/>
                <w:szCs w:val="21"/>
              </w:rPr>
              <w:t xml:space="preserve">2</w:t>
            </w:r>
            <w:r>
              <w:rPr>
                <w:rFonts w:hint="eastAsia" w:ascii="宋体" w:hAnsi="宋体"/>
                <w:bCs/>
                <w:sz w:val="21"/>
                <w:szCs w:val="21"/>
              </w:rPr>
              <w:t xml:space="preserve">分；内容基本完整，条理较为清晰、具有一定的可行性的得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w:t>
            </w:r>
            <w:r>
              <w:rPr>
                <w:rFonts w:hint="eastAsia" w:ascii="宋体" w:hAnsi="宋体"/>
                <w:bCs/>
                <w:sz w:val="21"/>
                <w:szCs w:val="21"/>
              </w:rPr>
              <w:t xml:space="preserve">不</w:t>
            </w:r>
            <w:r>
              <w:rPr>
                <w:rFonts w:hint="eastAsia" w:ascii="宋体" w:hAnsi="宋体"/>
                <w:bCs/>
                <w:sz w:val="21"/>
                <w:szCs w:val="21"/>
              </w:rPr>
              <w:t xml:space="preserve">得分。</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4</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b/>
                <w:sz w:val="21"/>
                <w:szCs w:val="21"/>
              </w:rPr>
              <w:t xml:space="preserve">建设要求响应</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投标文件中</w:t>
            </w:r>
            <w:r>
              <w:rPr>
                <w:rFonts w:hint="eastAsia" w:ascii="宋体" w:hAnsi="宋体"/>
                <w:bCs/>
                <w:sz w:val="21"/>
                <w:szCs w:val="21"/>
              </w:rPr>
              <w:t xml:space="preserve">带“★”项</w:t>
            </w:r>
            <w:r>
              <w:rPr>
                <w:rFonts w:hint="eastAsia" w:ascii="宋体" w:hAnsi="宋体"/>
                <w:bCs/>
                <w:sz w:val="21"/>
                <w:szCs w:val="21"/>
              </w:rPr>
              <w:t xml:space="preserve">的</w:t>
            </w:r>
            <w:r>
              <w:rPr>
                <w:rFonts w:hint="eastAsia" w:ascii="宋体" w:hAnsi="宋体"/>
                <w:bCs/>
                <w:sz w:val="21"/>
                <w:szCs w:val="21"/>
              </w:rPr>
              <w:t xml:space="preserve">技术参数</w:t>
            </w:r>
            <w:r>
              <w:rPr>
                <w:rFonts w:hint="eastAsia" w:ascii="宋体" w:hAnsi="宋体"/>
                <w:bCs/>
                <w:sz w:val="21"/>
                <w:szCs w:val="21"/>
              </w:rPr>
              <w:t xml:space="preserve">完全符合或优于采购文件的技术参数要求的</w:t>
            </w:r>
            <w:r>
              <w:rPr>
                <w:rFonts w:hint="eastAsia" w:ascii="宋体" w:hAnsi="宋体"/>
                <w:bCs/>
                <w:sz w:val="21"/>
                <w:szCs w:val="21"/>
              </w:rPr>
              <w:t xml:space="preserve">，每提供一项证明材料的得</w:t>
            </w:r>
            <w:r>
              <w:rPr>
                <w:rFonts w:ascii="宋体" w:hAnsi="宋体"/>
                <w:bCs/>
                <w:sz w:val="21"/>
                <w:szCs w:val="21"/>
              </w:rPr>
              <w:t xml:space="preserve">1</w:t>
            </w:r>
            <w:r>
              <w:rPr>
                <w:rFonts w:hint="eastAsia" w:ascii="宋体" w:hAnsi="宋体"/>
                <w:bCs/>
                <w:sz w:val="21"/>
                <w:szCs w:val="21"/>
              </w:rPr>
              <w:t xml:space="preserve">分；最高得</w:t>
            </w:r>
            <w:r>
              <w:rPr>
                <w:rFonts w:ascii="宋体" w:hAnsi="宋体"/>
                <w:bCs/>
                <w:sz w:val="21"/>
                <w:szCs w:val="21"/>
              </w:rPr>
              <w:t xml:space="preserve">10</w:t>
            </w:r>
            <w:r>
              <w:rPr>
                <w:rFonts w:hint="eastAsia" w:ascii="宋体" w:hAnsi="宋体"/>
                <w:bCs/>
                <w:sz w:val="21"/>
                <w:szCs w:val="21"/>
              </w:rPr>
              <w:t xml:space="preserve">分。</w:t>
            </w:r>
            <w:r/>
          </w:p>
          <w:p>
            <w:pPr>
              <w:ind w:left="0"/>
              <w:widowControl w:val="off"/>
              <w:rPr>
                <w:rFonts w:ascii="宋体" w:hAnsi="宋体"/>
                <w:b/>
                <w:bCs/>
                <w:sz w:val="21"/>
                <w:szCs w:val="21"/>
              </w:rPr>
            </w:pPr>
            <w:r>
              <w:rPr>
                <w:rFonts w:hint="eastAsia" w:ascii="宋体" w:hAnsi="宋体"/>
                <w:b/>
                <w:bCs/>
                <w:sz w:val="21"/>
                <w:szCs w:val="21"/>
              </w:rPr>
              <w:t xml:space="preserve">注：带“★”项技术参数投标文件中需</w:t>
            </w:r>
            <w:r>
              <w:rPr>
                <w:rFonts w:hint="eastAsia" w:ascii="宋体" w:hAnsi="宋体"/>
                <w:b/>
                <w:bCs/>
                <w:sz w:val="21"/>
                <w:szCs w:val="21"/>
              </w:rPr>
              <w:t xml:space="preserve">按第四章采购需求</w:t>
            </w:r>
            <w:r>
              <w:rPr>
                <w:rFonts w:hint="eastAsia" w:ascii="宋体" w:hAnsi="宋体"/>
                <w:b/>
                <w:bCs/>
                <w:sz w:val="21"/>
                <w:szCs w:val="21"/>
              </w:rPr>
              <w:t xml:space="preserve">提供证明材料并加盖投标单位公章。未按要求提供证明材料的不得分。）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0</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cs="Times New Roman"/>
                <w:b/>
                <w:bCs/>
                <w:sz w:val="21"/>
                <w:szCs w:val="21"/>
              </w:rPr>
              <w:t xml:space="preserve">功能演示视频</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围绕平台核心功能进行视频演示，主要演示要求如下：</w:t>
            </w:r>
            <w:r/>
          </w:p>
          <w:p>
            <w:pPr>
              <w:ind w:left="0"/>
              <w:widowControl w:val="off"/>
              <w:rPr>
                <w:rFonts w:ascii="宋体" w:hAnsi="宋体"/>
                <w:bCs/>
                <w:sz w:val="21"/>
                <w:szCs w:val="21"/>
              </w:rPr>
            </w:pPr>
            <w:r>
              <w:rPr>
                <w:rFonts w:hint="eastAsia" w:ascii="宋体" w:hAnsi="宋体"/>
                <w:bCs/>
                <w:sz w:val="21"/>
                <w:szCs w:val="21"/>
              </w:rPr>
              <w:t xml:space="preserve">1．综合分析平台演示</w:t>
            </w:r>
            <w:r/>
          </w:p>
          <w:p>
            <w:pPr>
              <w:ind w:left="0"/>
              <w:widowControl w:val="off"/>
              <w:rPr>
                <w:rFonts w:ascii="宋体" w:hAnsi="宋体"/>
                <w:bCs/>
                <w:sz w:val="21"/>
                <w:szCs w:val="21"/>
              </w:rPr>
            </w:pPr>
            <w:r>
              <w:rPr>
                <w:rFonts w:hint="eastAsia" w:ascii="宋体" w:hAnsi="宋体"/>
                <w:bCs/>
                <w:sz w:val="21"/>
                <w:szCs w:val="21"/>
              </w:rPr>
              <w:t xml:space="preserve">（1）指标管理的计算指标配置功能：演示通过拖拽方式配置指标计算公式，完成计算指标新增，并结合不同维度配置统计口径。</w:t>
            </w:r>
            <w:r/>
          </w:p>
          <w:p>
            <w:pPr>
              <w:ind w:left="0"/>
              <w:widowControl w:val="off"/>
              <w:rPr>
                <w:rFonts w:ascii="宋体" w:hAnsi="宋体"/>
                <w:bCs/>
                <w:sz w:val="21"/>
                <w:szCs w:val="21"/>
              </w:rPr>
            </w:pPr>
            <w:r>
              <w:rPr>
                <w:rFonts w:hint="eastAsia" w:ascii="宋体" w:hAnsi="宋体"/>
                <w:bCs/>
                <w:sz w:val="21"/>
                <w:szCs w:val="21"/>
              </w:rPr>
              <w:t xml:space="preserve">（2）指标管理的自助分析功能：演示按机构标签、行政区、等级等次或固定机构等条件灵活筛选，自主选择统计周期与机构范围开展数据分析。</w:t>
            </w:r>
            <w:r/>
          </w:p>
          <w:p>
            <w:pPr>
              <w:ind w:left="0"/>
              <w:widowControl w:val="off"/>
              <w:rPr>
                <w:rFonts w:ascii="宋体" w:hAnsi="宋体"/>
                <w:bCs/>
                <w:sz w:val="21"/>
                <w:szCs w:val="21"/>
              </w:rPr>
            </w:pPr>
            <w:r>
              <w:rPr>
                <w:rFonts w:hint="eastAsia" w:ascii="宋体" w:hAnsi="宋体"/>
                <w:bCs/>
                <w:sz w:val="21"/>
                <w:szCs w:val="21"/>
              </w:rPr>
              <w:t xml:space="preserve">（3）AI 问数的自然语言分析内容：演示通过自然语言直接提问，由</w:t>
            </w:r>
            <w:r>
              <w:rPr>
                <w:rFonts w:hint="eastAsia" w:ascii="宋体" w:hAnsi="宋体"/>
                <w:bCs/>
                <w:sz w:val="21"/>
                <w:szCs w:val="21"/>
              </w:rPr>
              <w:t xml:space="preserve">系统转译为数据检索请求，并生成分析结论及可视化图表，支持多轮追问和数据下钻。</w:t>
            </w:r>
            <w:r/>
          </w:p>
          <w:p>
            <w:pPr>
              <w:ind w:left="0"/>
              <w:widowControl w:val="off"/>
              <w:rPr>
                <w:rFonts w:ascii="宋体" w:hAnsi="宋体"/>
                <w:bCs/>
                <w:sz w:val="21"/>
                <w:szCs w:val="21"/>
              </w:rPr>
            </w:pPr>
            <w:r>
              <w:rPr>
                <w:rFonts w:hint="eastAsia" w:ascii="宋体" w:hAnsi="宋体"/>
                <w:bCs/>
                <w:sz w:val="21"/>
                <w:szCs w:val="21"/>
              </w:rPr>
              <w:t xml:space="preserve">（4）AI 问数的可视化大屏生成内容：演示将问数结果生成可视化大屏，并支持手动调整图表布局及 AI 智能推荐展示样式。</w:t>
            </w:r>
            <w:r/>
          </w:p>
          <w:p>
            <w:pPr>
              <w:ind w:left="0"/>
              <w:widowControl w:val="off"/>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卫生健康协同平台演示</w:t>
            </w:r>
            <w:r/>
          </w:p>
          <w:p>
            <w:pPr>
              <w:ind w:left="0"/>
              <w:widowControl w:val="off"/>
              <w:rPr>
                <w:rFonts w:ascii="宋体" w:hAnsi="宋体"/>
                <w:bCs/>
                <w:sz w:val="21"/>
                <w:szCs w:val="21"/>
              </w:rPr>
            </w:pPr>
            <w:r>
              <w:rPr>
                <w:rFonts w:hint="eastAsia" w:ascii="宋体" w:hAnsi="宋体"/>
                <w:bCs/>
                <w:sz w:val="21"/>
                <w:szCs w:val="21"/>
              </w:rPr>
              <w:t xml:space="preserve">（1）演示平台主界面核心功能，可查看日常事项提醒、待办任务清单，支持常用功能快速访问、个人应用管理，展示业务统计图表。</w:t>
            </w:r>
            <w:r/>
          </w:p>
          <w:p>
            <w:pPr>
              <w:ind w:left="0"/>
              <w:widowControl w:val="off"/>
              <w:rPr>
                <w:rFonts w:ascii="宋体" w:hAnsi="宋体"/>
                <w:bCs/>
                <w:sz w:val="21"/>
                <w:szCs w:val="21"/>
              </w:rPr>
            </w:pPr>
            <w:r>
              <w:rPr>
                <w:rFonts w:hint="eastAsia" w:ascii="宋体" w:hAnsi="宋体"/>
                <w:bCs/>
                <w:sz w:val="21"/>
                <w:szCs w:val="21"/>
              </w:rPr>
              <w:t xml:space="preserve">（2）演示转诊业务协同办理流程，可发起转诊申请、查询转诊记录，支持接收转诊患者操作，支持转诊业务数据进行统计分析。</w:t>
            </w:r>
            <w:r/>
          </w:p>
          <w:p>
            <w:pPr>
              <w:ind w:left="0"/>
              <w:widowControl w:val="off"/>
              <w:rPr>
                <w:rFonts w:ascii="宋体" w:hAnsi="宋体"/>
                <w:bCs/>
                <w:sz w:val="21"/>
                <w:szCs w:val="21"/>
              </w:rPr>
            </w:pPr>
            <w:r>
              <w:rPr>
                <w:rFonts w:hint="eastAsia" w:ascii="宋体" w:hAnsi="宋体"/>
                <w:bCs/>
                <w:sz w:val="21"/>
                <w:szCs w:val="21"/>
              </w:rPr>
              <w:t xml:space="preserve">（3）演示信访事项办理流程，支持信访事项登记录入、事项批转分派等核心操作，实现信访业务线上规范流转。</w:t>
            </w:r>
            <w:r/>
          </w:p>
          <w:p>
            <w:pPr>
              <w:ind w:left="0"/>
              <w:widowControl w:val="off"/>
              <w:rPr>
                <w:rFonts w:ascii="宋体" w:hAnsi="宋体"/>
                <w:bCs/>
                <w:sz w:val="21"/>
                <w:szCs w:val="21"/>
              </w:rPr>
            </w:pPr>
            <w:r>
              <w:rPr>
                <w:rFonts w:hint="eastAsia" w:ascii="宋体" w:hAnsi="宋体"/>
                <w:bCs/>
                <w:sz w:val="21"/>
                <w:szCs w:val="21"/>
              </w:rPr>
              <w:t xml:space="preserve">（4）演示移动端协同能力，支持单人、群组即时沟通，可发送文字、图片消息，满足移动办公场景下的协同交互需求。</w:t>
            </w:r>
            <w:r/>
          </w:p>
          <w:p>
            <w:pPr>
              <w:ind w:left="0"/>
              <w:widowControl w:val="off"/>
              <w:rPr>
                <w:rFonts w:ascii="宋体" w:hAnsi="宋体"/>
                <w:bCs/>
                <w:sz w:val="21"/>
                <w:szCs w:val="21"/>
              </w:rPr>
            </w:pPr>
            <w:r>
              <w:rPr>
                <w:rFonts w:hint="eastAsia" w:ascii="宋体" w:hAnsi="宋体"/>
                <w:bCs/>
                <w:sz w:val="21"/>
                <w:szCs w:val="21"/>
              </w:rPr>
              <w:t xml:space="preserve">3.便民服务平台演示</w:t>
            </w:r>
            <w:r/>
          </w:p>
          <w:p>
            <w:pPr>
              <w:ind w:left="0"/>
              <w:widowControl w:val="off"/>
              <w:rPr>
                <w:rFonts w:ascii="宋体" w:hAnsi="宋体"/>
                <w:bCs/>
                <w:sz w:val="21"/>
                <w:szCs w:val="21"/>
              </w:rPr>
            </w:pPr>
            <w:r>
              <w:rPr>
                <w:rFonts w:hint="eastAsia" w:ascii="宋体" w:hAnsi="宋体"/>
                <w:bCs/>
                <w:sz w:val="21"/>
                <w:szCs w:val="21"/>
              </w:rPr>
              <w:t xml:space="preserve">（1）演示用户电话接入后的实时对话转写内容，客服可以查看该号码历史来电信息及以往来电记录及通话小结。</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2</w:t>
            </w:r>
            <w:r>
              <w:rPr>
                <w:rFonts w:hint="eastAsia" w:ascii="宋体" w:hAnsi="宋体"/>
                <w:bCs/>
                <w:sz w:val="21"/>
                <w:szCs w:val="21"/>
              </w:rPr>
              <w:t xml:space="preserve">）根据对话内容，系统自动提取挂号信息（包含医生、医院、科室、时间信息），检测用户提出的问题并输出推荐答案。</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3</w:t>
            </w:r>
            <w:r>
              <w:rPr>
                <w:rFonts w:hint="eastAsia" w:ascii="宋体" w:hAnsi="宋体"/>
                <w:bCs/>
                <w:sz w:val="21"/>
                <w:szCs w:val="21"/>
              </w:rPr>
              <w:t xml:space="preserve">）支持客服人员收藏答案，支持查看当前坐席历史通话记录智能检测结果。</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4</w:t>
            </w:r>
            <w:r>
              <w:rPr>
                <w:rFonts w:hint="eastAsia" w:ascii="宋体" w:hAnsi="宋体"/>
                <w:bCs/>
                <w:sz w:val="21"/>
                <w:szCs w:val="21"/>
              </w:rPr>
              <w:t xml:space="preserve">）在通话中实时检测访客情绪异常并及时告警，根据输入问题智能搜索知识库，支持点击聊天记录智能搜索。</w:t>
            </w:r>
            <w:r/>
          </w:p>
          <w:p>
            <w:pPr>
              <w:ind w:left="0"/>
              <w:widowControl w:val="off"/>
              <w:rPr>
                <w:rFonts w:ascii="宋体" w:hAnsi="宋体"/>
                <w:bCs/>
                <w:sz w:val="21"/>
                <w:szCs w:val="21"/>
              </w:rPr>
            </w:pPr>
            <w:r>
              <w:rPr>
                <w:rFonts w:hint="eastAsia" w:ascii="宋体" w:hAnsi="宋体"/>
                <w:bCs/>
                <w:sz w:val="21"/>
                <w:szCs w:val="21"/>
              </w:rPr>
              <w:t xml:space="preserve">上述演示内容，每有一项演示内容齐全、操作流畅、界面清晰、实现功能要求的得1分；演示内容基本完整，可实现基本功能要求的得0.5分，演示内容不全或未提供演示的不得分。本项最高得12分。</w:t>
            </w:r>
            <w:r/>
          </w:p>
          <w:p>
            <w:pPr>
              <w:ind w:left="0"/>
              <w:widowControl w:val="off"/>
              <w:rPr>
                <w:rFonts w:ascii="宋体" w:hAnsi="宋体"/>
                <w:b/>
                <w:bCs/>
                <w:sz w:val="21"/>
                <w:szCs w:val="21"/>
              </w:rPr>
            </w:pPr>
            <w:r>
              <w:rPr>
                <w:rFonts w:hint="eastAsia" w:ascii="宋体" w:hAnsi="宋体"/>
                <w:b/>
                <w:bCs/>
                <w:sz w:val="21"/>
                <w:szCs w:val="21"/>
              </w:rPr>
              <w:t xml:space="preserve">注：1.</w:t>
            </w:r>
            <w:r>
              <w:rPr>
                <w:rFonts w:hint="eastAsia" w:ascii="宋体" w:hAnsi="宋体"/>
                <w:b/>
                <w:bCs/>
                <w:sz w:val="21"/>
                <w:szCs w:val="21"/>
              </w:rPr>
              <w:t xml:space="preserve">投标单位</w:t>
            </w:r>
            <w:r>
              <w:rPr>
                <w:rFonts w:hint="eastAsia" w:ascii="宋体" w:hAnsi="宋体"/>
                <w:b/>
                <w:bCs/>
                <w:sz w:val="21"/>
                <w:szCs w:val="21"/>
              </w:rPr>
              <w:t xml:space="preserve">根据</w:t>
            </w:r>
            <w:r>
              <w:rPr>
                <w:rFonts w:hint="eastAsia" w:ascii="宋体" w:hAnsi="宋体"/>
                <w:b/>
                <w:bCs/>
                <w:sz w:val="21"/>
                <w:szCs w:val="21"/>
              </w:rPr>
              <w:t xml:space="preserve">招标</w:t>
            </w:r>
            <w:r>
              <w:rPr>
                <w:rFonts w:hint="eastAsia" w:ascii="宋体" w:hAnsi="宋体"/>
                <w:b/>
                <w:bCs/>
                <w:sz w:val="21"/>
                <w:szCs w:val="21"/>
              </w:rPr>
              <w:t xml:space="preserve">文件要求进行演示，演示时间不超过1</w:t>
            </w:r>
            <w:r>
              <w:rPr>
                <w:rFonts w:ascii="宋体" w:hAnsi="宋体"/>
                <w:b/>
                <w:bCs/>
                <w:sz w:val="21"/>
                <w:szCs w:val="21"/>
              </w:rPr>
              <w:t xml:space="preserve">5</w:t>
            </w:r>
            <w:r>
              <w:rPr>
                <w:rFonts w:hint="eastAsia" w:ascii="宋体" w:hAnsi="宋体"/>
                <w:b/>
                <w:bCs/>
                <w:sz w:val="21"/>
                <w:szCs w:val="21"/>
              </w:rPr>
              <w:t xml:space="preserve">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w:t>
            </w:r>
            <w:r>
              <w:rPr>
                <w:rFonts w:hint="eastAsia" w:ascii="宋体" w:hAnsi="宋体"/>
                <w:b/>
                <w:bCs/>
                <w:sz w:val="21"/>
                <w:szCs w:val="21"/>
              </w:rPr>
              <w:t xml:space="preserve">投标单位</w:t>
            </w:r>
            <w:r>
              <w:rPr>
                <w:rFonts w:hint="eastAsia" w:ascii="宋体" w:hAnsi="宋体"/>
                <w:b/>
                <w:bCs/>
                <w:sz w:val="21"/>
                <w:szCs w:val="21"/>
              </w:rPr>
              <w:t xml:space="preserve">上传文件本身损坏等自身原因导致演示资料无法正常读取的视为无效演示，本项不得分，由</w:t>
            </w:r>
            <w:r>
              <w:rPr>
                <w:rFonts w:hint="eastAsia" w:ascii="宋体" w:hAnsi="宋体"/>
                <w:b/>
                <w:bCs/>
                <w:sz w:val="21"/>
                <w:szCs w:val="21"/>
              </w:rPr>
              <w:t xml:space="preserve">投标单位</w:t>
            </w:r>
            <w:r>
              <w:rPr>
                <w:rFonts w:hint="eastAsia" w:ascii="宋体" w:hAnsi="宋体"/>
                <w:b/>
                <w:bCs/>
                <w:sz w:val="21"/>
                <w:szCs w:val="21"/>
              </w:rPr>
              <w:t xml:space="preserve">自行承担责任。</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2</w:t>
            </w:r>
            <w:r/>
          </w:p>
        </w:tc>
      </w:tr>
      <w:tr>
        <w:trPr>
          <w:trHeight w:val="416"/>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w:t>
            </w:r>
            <w:r>
              <w:rPr>
                <w:rFonts w:hint="eastAsia"/>
                <w:b/>
                <w:sz w:val="21"/>
                <w:szCs w:val="21"/>
              </w:rPr>
              <w:t xml:space="preserve">投标单位技术人员</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1.项目负责人（1人）：具有信息系统项目管理师的，得</w:t>
            </w:r>
            <w:r>
              <w:rPr>
                <w:rFonts w:ascii="宋体" w:hAnsi="宋体"/>
                <w:sz w:val="21"/>
                <w:szCs w:val="21"/>
              </w:rPr>
              <w:t xml:space="preserve">2</w:t>
            </w:r>
            <w:r>
              <w:rPr>
                <w:rFonts w:hint="eastAsia" w:ascii="宋体" w:hAnsi="宋体"/>
                <w:sz w:val="21"/>
                <w:szCs w:val="21"/>
              </w:rPr>
              <w:t xml:space="preserve">分，本项最高</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2.项目组成员（除项目负责人外）：具有系统集成项目管理工程师、数据库系统工程师、电子计算机专业或网络技术应用专业</w:t>
            </w:r>
            <w:r>
              <w:rPr>
                <w:rFonts w:hint="eastAsia" w:ascii="宋体" w:hAnsi="宋体"/>
                <w:sz w:val="21"/>
                <w:szCs w:val="21"/>
              </w:rPr>
              <w:t xml:space="preserve">中级或以上</w:t>
            </w:r>
            <w:r>
              <w:rPr>
                <w:rFonts w:hint="eastAsia" w:ascii="宋体" w:hAnsi="宋体"/>
                <w:sz w:val="21"/>
                <w:szCs w:val="21"/>
              </w:rPr>
              <w:t xml:space="preserve">工程师</w:t>
            </w:r>
            <w:r>
              <w:rPr>
                <w:rFonts w:hint="eastAsia" w:ascii="宋体" w:hAnsi="宋体"/>
                <w:sz w:val="21"/>
                <w:szCs w:val="21"/>
              </w:rPr>
              <w:t xml:space="preserve">职称</w:t>
            </w:r>
            <w:r>
              <w:rPr>
                <w:rFonts w:hint="eastAsia" w:ascii="宋体" w:hAnsi="宋体"/>
                <w:sz w:val="21"/>
                <w:szCs w:val="21"/>
              </w:rPr>
              <w:t xml:space="preserve">、注册信息安全工程师（CISP）等相关证书的，每具备1项得1分，最高得</w:t>
            </w:r>
            <w:r>
              <w:rPr>
                <w:rFonts w:ascii="宋体" w:hAnsi="宋体"/>
                <w:sz w:val="21"/>
                <w:szCs w:val="21"/>
              </w:rPr>
              <w:t xml:space="preserve">4</w:t>
            </w:r>
            <w:r>
              <w:rPr>
                <w:rFonts w:hint="eastAsia" w:ascii="宋体" w:hAnsi="宋体"/>
                <w:sz w:val="21"/>
                <w:szCs w:val="21"/>
              </w:rPr>
              <w:t xml:space="preserve">分。（同一人拥有多项证书的，仅按一项计算；同类证书，仅按一项计算）</w:t>
            </w:r>
            <w:r/>
          </w:p>
          <w:p>
            <w:pPr>
              <w:ind w:left="0"/>
              <w:widowControl w:val="off"/>
              <w:rPr>
                <w:rFonts w:ascii="宋体" w:hAnsi="宋体"/>
                <w:b/>
                <w:sz w:val="21"/>
                <w:szCs w:val="21"/>
              </w:rPr>
            </w:pPr>
            <w:r>
              <w:rPr>
                <w:rFonts w:hint="eastAsia" w:ascii="宋体" w:hAnsi="宋体"/>
                <w:b/>
                <w:sz w:val="21"/>
                <w:szCs w:val="21"/>
              </w:rPr>
              <w:t xml:space="preserve">注：以上人员不重复计分。</w:t>
            </w:r>
            <w:r>
              <w:rPr>
                <w:rFonts w:hint="eastAsia" w:ascii="宋体" w:hAnsi="宋体"/>
                <w:b/>
                <w:sz w:val="21"/>
                <w:szCs w:val="21"/>
              </w:rPr>
              <w:t xml:space="preserve">投标</w:t>
            </w:r>
            <w:r>
              <w:rPr>
                <w:rFonts w:hint="eastAsia" w:ascii="宋体" w:hAnsi="宋体"/>
                <w:b/>
                <w:sz w:val="21"/>
                <w:szCs w:val="21"/>
              </w:rPr>
              <w:t xml:space="preserve">文件中提供相关人员证书扫描件及</w:t>
            </w:r>
            <w:r>
              <w:rPr>
                <w:rFonts w:hint="eastAsia" w:ascii="宋体" w:hAnsi="宋体"/>
                <w:b/>
                <w:sz w:val="21"/>
                <w:szCs w:val="21"/>
              </w:rPr>
              <w:t xml:space="preserve">投标</w:t>
            </w:r>
            <w:r>
              <w:rPr>
                <w:rFonts w:hint="eastAsia" w:ascii="宋体" w:hAnsi="宋体"/>
                <w:b/>
                <w:sz w:val="21"/>
                <w:szCs w:val="21"/>
              </w:rPr>
              <w:t xml:space="preserve">单位为其缴纳的最近一期社保证明材料</w:t>
            </w:r>
            <w:r>
              <w:rPr>
                <w:rFonts w:hint="eastAsia" w:ascii="宋体" w:hAnsi="宋体"/>
                <w:b/>
                <w:sz w:val="21"/>
                <w:szCs w:val="21"/>
              </w:rPr>
              <w:t xml:space="preserve">，</w:t>
            </w:r>
            <w:r>
              <w:rPr>
                <w:rFonts w:hint="eastAsia" w:ascii="宋体" w:hAnsi="宋体" w:cs="Times New Roman"/>
                <w:b/>
                <w:sz w:val="21"/>
                <w:szCs w:val="21"/>
              </w:rPr>
              <w:t xml:space="preserve">未提供不得分</w:t>
            </w:r>
            <w:r>
              <w:rPr>
                <w:rFonts w:hint="eastAsia" w:ascii="宋体" w:hAnsi="宋体"/>
                <w:b/>
                <w:sz w:val="21"/>
                <w:szCs w:val="21"/>
              </w:rPr>
              <w:t xml:space="preserve">。</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▲投标单位履约能力</w:t>
            </w:r>
            <w:r/>
          </w:p>
        </w:tc>
        <w:tc>
          <w:tcPr>
            <w:tcW w:w="6373" w:type="dxa"/>
            <w:vAlign w:val="center"/>
            <w:textDirection w:val="lrTb"/>
            <w:noWrap/>
          </w:tcPr>
          <w:p>
            <w:pPr>
              <w:ind w:left="0"/>
              <w:widowControl w:val="off"/>
              <w:rPr>
                <w:rFonts w:ascii="宋体" w:hAnsi="宋体" w:cs="Times New Roman"/>
                <w:sz w:val="21"/>
                <w:szCs w:val="21"/>
              </w:rPr>
            </w:pPr>
            <w:r>
              <w:rPr>
                <w:rFonts w:hint="eastAsia" w:ascii="宋体" w:hAnsi="宋体" w:cs="Times New Roman"/>
                <w:sz w:val="21"/>
                <w:szCs w:val="21"/>
              </w:rPr>
              <w:t xml:space="preserve">1.认证证书（</w:t>
            </w:r>
            <w:r>
              <w:rPr>
                <w:rFonts w:ascii="宋体" w:hAnsi="宋体" w:cs="Times New Roman"/>
                <w:sz w:val="21"/>
                <w:szCs w:val="21"/>
              </w:rPr>
              <w:t xml:space="preserve">8</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sz w:val="21"/>
                <w:szCs w:val="21"/>
              </w:rPr>
              <w:t xml:space="preserve">投标单位</w:t>
            </w:r>
            <w:r>
              <w:rPr>
                <w:rFonts w:hint="eastAsia" w:ascii="宋体" w:hAnsi="宋体" w:cs="Times New Roman"/>
                <w:sz w:val="21"/>
                <w:szCs w:val="21"/>
              </w:rPr>
              <w:t xml:space="preserve">具有质量管理体系认证证书，得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w:t>
            </w:r>
            <w:r>
              <w:rPr>
                <w:rFonts w:hint="eastAsia" w:ascii="宋体" w:hAnsi="宋体" w:cs="Times New Roman"/>
                <w:sz w:val="21"/>
                <w:szCs w:val="21"/>
              </w:rPr>
              <w:t xml:space="preserve">环境</w:t>
            </w:r>
            <w:r>
              <w:rPr>
                <w:rFonts w:hint="eastAsia" w:ascii="宋体" w:hAnsi="宋体" w:cs="Times New Roman"/>
                <w:sz w:val="21"/>
                <w:szCs w:val="21"/>
              </w:rPr>
              <w:t xml:space="preserve">管理体系证书，得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具有信息安全管理体系证书，得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具有信息技术服务管理体系证书，得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具有ITSS信息技术服务运行维护证书，得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w:t>
            </w:r>
            <w:r>
              <w:rPr>
                <w:rFonts w:hint="eastAsia" w:ascii="宋体" w:hAnsi="宋体" w:cs="Times New Roman"/>
                <w:b/>
                <w:sz w:val="21"/>
                <w:szCs w:val="21"/>
              </w:rPr>
              <w:t xml:space="preserve">有效期内的</w:t>
            </w:r>
            <w:r>
              <w:rPr>
                <w:rFonts w:hint="eastAsia" w:ascii="宋体" w:hAnsi="宋体" w:cs="Times New Roman"/>
                <w:b/>
                <w:sz w:val="21"/>
                <w:szCs w:val="21"/>
              </w:rPr>
              <w:t xml:space="preserve">证书的复印件并加盖投标单位公章，未按要求提供相关证明不得分。</w:t>
            </w:r>
            <w:r/>
          </w:p>
          <w:p>
            <w:pPr>
              <w:ind w:left="0"/>
              <w:widowControl w:val="off"/>
              <w:rPr>
                <w:rFonts w:ascii="宋体" w:hAnsi="宋体" w:cs="Times New Roman"/>
                <w:sz w:val="21"/>
                <w:szCs w:val="21"/>
              </w:rPr>
            </w:pPr>
            <w:r>
              <w:rPr>
                <w:rFonts w:hint="eastAsia" w:ascii="宋体" w:hAnsi="宋体" w:cs="Times New Roman"/>
                <w:sz w:val="21"/>
                <w:szCs w:val="21"/>
              </w:rPr>
              <w:t xml:space="preserve">2.软件著作权（</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sz w:val="21"/>
                <w:szCs w:val="21"/>
              </w:rPr>
              <w:t xml:space="preserve">投标单位</w:t>
            </w:r>
            <w:r>
              <w:rPr>
                <w:rFonts w:hint="eastAsia" w:ascii="宋体" w:hAnsi="宋体" w:cs="Times New Roman"/>
                <w:sz w:val="21"/>
                <w:szCs w:val="21"/>
              </w:rPr>
              <w:t xml:space="preserve">具有</w:t>
            </w:r>
            <w:r>
              <w:rPr>
                <w:rFonts w:hint="eastAsia" w:ascii="宋体" w:hAnsi="宋体" w:cs="Times New Roman"/>
                <w:sz w:val="21"/>
                <w:szCs w:val="21"/>
              </w:rPr>
              <w:t xml:space="preserve">与本项目软件</w:t>
            </w:r>
            <w:r>
              <w:rPr>
                <w:rFonts w:hint="eastAsia" w:ascii="宋体" w:hAnsi="宋体" w:cs="Times New Roman"/>
                <w:sz w:val="21"/>
                <w:szCs w:val="21"/>
              </w:rPr>
              <w:t xml:space="preserve">相关</w:t>
            </w:r>
            <w:r>
              <w:rPr>
                <w:rFonts w:hint="eastAsia" w:ascii="宋体" w:hAnsi="宋体" w:cs="Times New Roman"/>
                <w:sz w:val="21"/>
                <w:szCs w:val="21"/>
              </w:rPr>
              <w:t xml:space="preserve">的</w:t>
            </w:r>
            <w:r>
              <w:rPr>
                <w:rFonts w:hint="eastAsia" w:ascii="宋体" w:hAnsi="宋体" w:cs="Times New Roman"/>
                <w:sz w:val="21"/>
                <w:szCs w:val="21"/>
              </w:rPr>
              <w:t xml:space="preserve">软件著作权</w:t>
            </w:r>
            <w:r>
              <w:rPr>
                <w:rFonts w:hint="eastAsia" w:ascii="宋体" w:hAnsi="宋体" w:cs="Times New Roman"/>
                <w:sz w:val="21"/>
                <w:szCs w:val="21"/>
              </w:rPr>
              <w:t xml:space="preserve">证书</w:t>
            </w:r>
            <w:r>
              <w:rPr>
                <w:rFonts w:hint="eastAsia" w:ascii="宋体" w:hAnsi="宋体" w:cs="Times New Roman"/>
                <w:sz w:val="21"/>
                <w:szCs w:val="21"/>
              </w:rPr>
              <w:t xml:space="preserve">，每提供一个得1分，最高得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注：投标文件中需提供证书的复印件并加盖投标单位公章，未按要求提供相关证明不得分</w:t>
            </w:r>
            <w:r>
              <w:rPr>
                <w:rFonts w:hint="eastAsia" w:ascii="宋体" w:hAnsi="宋体" w:cs="Times New Roman"/>
                <w:b/>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类似项目业绩</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sz w:val="21"/>
                <w:szCs w:val="21"/>
              </w:rPr>
              <w:t xml:space="preserve">投标</w:t>
            </w:r>
            <w:r>
              <w:rPr>
                <w:rFonts w:hint="eastAsia" w:ascii="宋体" w:hAnsi="宋体"/>
                <w:sz w:val="21"/>
                <w:szCs w:val="21"/>
              </w:rPr>
              <w:t xml:space="preserve">单位</w:t>
            </w:r>
            <w:r>
              <w:rPr>
                <w:rFonts w:hint="eastAsia" w:ascii="宋体" w:hAnsi="宋体" w:cs="Times New Roman"/>
                <w:sz w:val="21"/>
                <w:szCs w:val="21"/>
              </w:rPr>
              <w:t xml:space="preserve">提供202</w:t>
            </w:r>
            <w:r>
              <w:rPr>
                <w:rFonts w:ascii="宋体" w:hAnsi="宋体" w:cs="Times New Roman"/>
                <w:sz w:val="21"/>
                <w:szCs w:val="21"/>
              </w:rPr>
              <w:t xml:space="preserve">3</w:t>
            </w:r>
            <w:r>
              <w:rPr>
                <w:rFonts w:hint="eastAsia" w:ascii="宋体" w:hAnsi="宋体" w:cs="Times New Roman"/>
                <w:sz w:val="21"/>
                <w:szCs w:val="21"/>
              </w:rPr>
              <w:t xml:space="preserve">年1月1日（以合同签订日期为准）以来的类似项目业绩，每提供一份得1分，最高</w:t>
            </w:r>
            <w:r>
              <w:rPr>
                <w:rFonts w:ascii="宋体" w:hAnsi="宋体" w:cs="Times New Roman"/>
                <w:sz w:val="21"/>
                <w:szCs w:val="21"/>
              </w:rPr>
              <w:t xml:space="preserve">2</w:t>
            </w:r>
            <w:r>
              <w:rPr>
                <w:rFonts w:hint="eastAsia" w:ascii="宋体" w:hAnsi="宋体" w:cs="Times New Roman"/>
                <w:sz w:val="21"/>
                <w:szCs w:val="21"/>
              </w:rPr>
              <w:t xml:space="preserve">分。</w:t>
            </w:r>
            <w:r/>
          </w:p>
          <w:p>
            <w:pPr>
              <w:pStyle w:val="1012"/>
              <w:ind w:left="0" w:firstLine="0"/>
            </w:pPr>
            <w:r>
              <w:rPr>
                <w:rFonts w:hint="eastAsia" w:ascii="宋体" w:hAnsi="宋体"/>
                <w:b/>
                <w:sz w:val="21"/>
                <w:szCs w:val="21"/>
              </w:rPr>
              <w:t xml:space="preserve">注：投标文件中提供合同复印件并加盖投标单位公章，未提供或提供不全不得分。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13</w:t>
            </w:r>
            <w:r/>
          </w:p>
        </w:tc>
      </w:tr>
    </w:tbl>
    <w:p>
      <w:pPr>
        <w:ind w:left="0" w:firstLine="422"/>
        <w:spacing w:line="360" w:lineRule="auto"/>
        <w:rPr>
          <w:rFonts w:ascii="宋体" w:hAnsi="宋体"/>
          <w:b/>
          <w:sz w:val="21"/>
        </w:rPr>
      </w:pP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等线">
    <w:panose1 w:val="02010600030101010101"/>
  </w:font>
  <w:font w:name="等线 Light">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EnclosedCircle"/>
      <w:isLgl w:val="false"/>
      <w:suff w:val="tab"/>
      <w:lvlText w:val="%1"/>
      <w:lvlJc w:val="left"/>
      <w:pPr>
        <w:ind w:left="780" w:hanging="360"/>
      </w:pPr>
      <w:rPr>
        <w:rFonts w:hint="default"/>
        <w:b w:val="0"/>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3944" w:hanging="360"/>
      </w:pPr>
      <w:rPr>
        <w:rFonts w:hint="default"/>
      </w:rPr>
    </w:lvl>
    <w:lvl w:ilvl="1">
      <w:start w:val="1"/>
      <w:numFmt w:val="lowerLetter"/>
      <w:isLgl w:val="false"/>
      <w:suff w:val="tab"/>
      <w:lvlText w:val="%2)"/>
      <w:lvlJc w:val="left"/>
      <w:pPr>
        <w:ind w:left="4424" w:hanging="420"/>
      </w:pPr>
    </w:lvl>
    <w:lvl w:ilvl="2">
      <w:start w:val="1"/>
      <w:numFmt w:val="lowerRoman"/>
      <w:isLgl w:val="false"/>
      <w:suff w:val="tab"/>
      <w:lvlText w:val="%3."/>
      <w:lvlJc w:val="right"/>
      <w:pPr>
        <w:ind w:left="4844" w:hanging="420"/>
      </w:pPr>
    </w:lvl>
    <w:lvl w:ilvl="3">
      <w:start w:val="1"/>
      <w:numFmt w:val="decimal"/>
      <w:isLgl w:val="false"/>
      <w:suff w:val="tab"/>
      <w:lvlText w:val="%4."/>
      <w:lvlJc w:val="left"/>
      <w:pPr>
        <w:ind w:left="5264" w:hanging="420"/>
      </w:pPr>
    </w:lvl>
    <w:lvl w:ilvl="4">
      <w:start w:val="1"/>
      <w:numFmt w:val="lowerLetter"/>
      <w:isLgl w:val="false"/>
      <w:suff w:val="tab"/>
      <w:lvlText w:val="%5)"/>
      <w:lvlJc w:val="left"/>
      <w:pPr>
        <w:ind w:left="5684" w:hanging="420"/>
      </w:pPr>
    </w:lvl>
    <w:lvl w:ilvl="5">
      <w:start w:val="1"/>
      <w:numFmt w:val="lowerRoman"/>
      <w:isLgl w:val="false"/>
      <w:suff w:val="tab"/>
      <w:lvlText w:val="%6."/>
      <w:lvlJc w:val="right"/>
      <w:pPr>
        <w:ind w:left="6104" w:hanging="420"/>
      </w:pPr>
    </w:lvl>
    <w:lvl w:ilvl="6">
      <w:start w:val="1"/>
      <w:numFmt w:val="decimal"/>
      <w:isLgl w:val="false"/>
      <w:suff w:val="tab"/>
      <w:lvlText w:val="%7."/>
      <w:lvlJc w:val="left"/>
      <w:pPr>
        <w:ind w:left="6524" w:hanging="420"/>
      </w:pPr>
    </w:lvl>
    <w:lvl w:ilvl="7">
      <w:start w:val="1"/>
      <w:numFmt w:val="lowerLetter"/>
      <w:isLgl w:val="false"/>
      <w:suff w:val="tab"/>
      <w:lvlText w:val="%8)"/>
      <w:lvlJc w:val="left"/>
      <w:pPr>
        <w:ind w:left="6944" w:hanging="420"/>
      </w:pPr>
    </w:lvl>
    <w:lvl w:ilvl="8">
      <w:start w:val="1"/>
      <w:numFmt w:val="lowerRoman"/>
      <w:isLgl w:val="false"/>
      <w:suff w:val="tab"/>
      <w:lvlText w:val="%9."/>
      <w:lvlJc w:val="right"/>
      <w:pPr>
        <w:ind w:left="7364" w:hanging="420"/>
      </w:pPr>
    </w:lvl>
  </w:abstractNum>
  <w:abstractNum w:abstractNumId="5">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09"/>
    <w:link w:val="1000"/>
    <w:uiPriority w:val="9"/>
    <w:rPr>
      <w:rFonts w:ascii="Arial" w:hAnsi="Arial" w:eastAsia="Arial" w:cs="Arial"/>
      <w:sz w:val="40"/>
      <w:szCs w:val="40"/>
    </w:rPr>
  </w:style>
  <w:style w:type="character" w:styleId="853">
    <w:name w:val="Heading 2 Char"/>
    <w:basedOn w:val="1009"/>
    <w:link w:val="1001"/>
    <w:uiPriority w:val="9"/>
    <w:rPr>
      <w:rFonts w:ascii="Arial" w:hAnsi="Arial" w:eastAsia="Arial" w:cs="Arial"/>
      <w:sz w:val="34"/>
    </w:rPr>
  </w:style>
  <w:style w:type="character" w:styleId="854">
    <w:name w:val="Heading 3 Char"/>
    <w:basedOn w:val="1009"/>
    <w:link w:val="1002"/>
    <w:uiPriority w:val="9"/>
    <w:rPr>
      <w:rFonts w:ascii="Arial" w:hAnsi="Arial" w:eastAsia="Arial" w:cs="Arial"/>
      <w:sz w:val="30"/>
      <w:szCs w:val="30"/>
    </w:rPr>
  </w:style>
  <w:style w:type="character" w:styleId="855">
    <w:name w:val="Heading 4 Char"/>
    <w:basedOn w:val="1009"/>
    <w:link w:val="1003"/>
    <w:uiPriority w:val="9"/>
    <w:rPr>
      <w:rFonts w:ascii="Arial" w:hAnsi="Arial" w:eastAsia="Arial" w:cs="Arial"/>
      <w:b/>
      <w:bCs/>
      <w:sz w:val="26"/>
      <w:szCs w:val="26"/>
    </w:rPr>
  </w:style>
  <w:style w:type="character" w:styleId="856">
    <w:name w:val="Heading 5 Char"/>
    <w:basedOn w:val="1009"/>
    <w:link w:val="1004"/>
    <w:uiPriority w:val="9"/>
    <w:rPr>
      <w:rFonts w:ascii="Arial" w:hAnsi="Arial" w:eastAsia="Arial" w:cs="Arial"/>
      <w:b/>
      <w:bCs/>
      <w:sz w:val="24"/>
      <w:szCs w:val="24"/>
    </w:rPr>
  </w:style>
  <w:style w:type="character" w:styleId="857">
    <w:name w:val="Heading 6 Char"/>
    <w:basedOn w:val="1009"/>
    <w:link w:val="1005"/>
    <w:uiPriority w:val="9"/>
    <w:rPr>
      <w:rFonts w:ascii="Arial" w:hAnsi="Arial" w:eastAsia="Arial" w:cs="Arial"/>
      <w:b/>
      <w:bCs/>
      <w:sz w:val="22"/>
      <w:szCs w:val="22"/>
    </w:rPr>
  </w:style>
  <w:style w:type="character" w:styleId="858">
    <w:name w:val="Heading 7 Char"/>
    <w:basedOn w:val="1009"/>
    <w:link w:val="1006"/>
    <w:uiPriority w:val="9"/>
    <w:rPr>
      <w:rFonts w:ascii="Arial" w:hAnsi="Arial" w:eastAsia="Arial" w:cs="Arial"/>
      <w:b/>
      <w:bCs/>
      <w:i/>
      <w:iCs/>
      <w:sz w:val="22"/>
      <w:szCs w:val="22"/>
    </w:rPr>
  </w:style>
  <w:style w:type="character" w:styleId="859">
    <w:name w:val="Heading 8 Char"/>
    <w:basedOn w:val="1009"/>
    <w:link w:val="1007"/>
    <w:uiPriority w:val="9"/>
    <w:rPr>
      <w:rFonts w:ascii="Arial" w:hAnsi="Arial" w:eastAsia="Arial" w:cs="Arial"/>
      <w:i/>
      <w:iCs/>
      <w:sz w:val="22"/>
      <w:szCs w:val="22"/>
    </w:rPr>
  </w:style>
  <w:style w:type="character" w:styleId="860">
    <w:name w:val="Heading 9 Char"/>
    <w:basedOn w:val="1009"/>
    <w:link w:val="1008"/>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character" w:styleId="862">
    <w:name w:val="Title Char"/>
    <w:basedOn w:val="1009"/>
    <w:link w:val="1449"/>
    <w:uiPriority w:val="10"/>
    <w:rPr>
      <w:sz w:val="48"/>
      <w:szCs w:val="48"/>
    </w:rPr>
  </w:style>
  <w:style w:type="character" w:styleId="863">
    <w:name w:val="Subtitle Char"/>
    <w:basedOn w:val="1009"/>
    <w:link w:val="1046"/>
    <w:uiPriority w:val="11"/>
    <w:rPr>
      <w:sz w:val="24"/>
      <w:szCs w:val="24"/>
    </w:rPr>
  </w:style>
  <w:style w:type="character" w:styleId="864">
    <w:name w:val="Quote Char"/>
    <w:link w:val="1251"/>
    <w:uiPriority w:val="29"/>
    <w:rPr>
      <w:i/>
    </w:rPr>
  </w:style>
  <w:style w:type="character" w:styleId="865">
    <w:name w:val="Intense Quote Char"/>
    <w:link w:val="1377"/>
    <w:uiPriority w:val="30"/>
    <w:rPr>
      <w:i/>
    </w:rPr>
  </w:style>
  <w:style w:type="character" w:styleId="866">
    <w:name w:val="Header Char"/>
    <w:basedOn w:val="1009"/>
    <w:link w:val="1044"/>
    <w:uiPriority w:val="99"/>
  </w:style>
  <w:style w:type="character" w:styleId="867">
    <w:name w:val="Footer Char"/>
    <w:basedOn w:val="1009"/>
    <w:link w:val="1042"/>
    <w:uiPriority w:val="99"/>
  </w:style>
  <w:style w:type="character" w:styleId="868">
    <w:name w:val="Caption Char"/>
    <w:basedOn w:val="1019"/>
    <w:link w:val="1042"/>
    <w:uiPriority w:val="99"/>
  </w:style>
  <w:style w:type="table" w:styleId="869">
    <w:name w:val="Table Grid Light"/>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basedOn w:val="10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basedOn w:val="10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basedOn w:val="10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basedOn w:val="10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basedOn w:val="10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basedOn w:val="10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basedOn w:val="10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basedOn w:val="10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basedOn w:val="10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basedOn w:val="10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basedOn w:val="10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basedOn w:val="10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basedOn w:val="10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basedOn w:val="10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basedOn w:val="10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basedOn w:val="10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basedOn w:val="10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basedOn w:val="10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basedOn w:val="10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basedOn w:val="10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basedOn w:val="10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basedOn w:val="10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basedOn w:val="10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basedOn w:val="10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basedOn w:val="10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basedOn w:val="10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Footnote Text Char"/>
    <w:link w:val="1049"/>
    <w:uiPriority w:val="99"/>
    <w:rPr>
      <w:sz w:val="18"/>
    </w:rPr>
  </w:style>
  <w:style w:type="character" w:styleId="995">
    <w:name w:val="Endnote Text Char"/>
    <w:link w:val="1039"/>
    <w:uiPriority w:val="99"/>
    <w:rPr>
      <w:sz w:val="20"/>
    </w:rPr>
  </w:style>
  <w:style w:type="character" w:styleId="996">
    <w:name w:val="endnote reference"/>
    <w:basedOn w:val="1009"/>
    <w:uiPriority w:val="99"/>
    <w:semiHidden/>
    <w:unhideWhenUsed/>
    <w:rPr>
      <w:vertAlign w:val="superscript"/>
    </w:rPr>
  </w:style>
  <w:style w:type="paragraph" w:styleId="997">
    <w:name w:val="TOC Heading"/>
    <w:uiPriority w:val="39"/>
    <w:unhideWhenUsed/>
  </w:style>
  <w:style w:type="paragraph" w:styleId="998">
    <w:name w:val="table of figures"/>
    <w:basedOn w:val="999"/>
    <w:next w:val="999"/>
    <w:uiPriority w:val="99"/>
    <w:unhideWhenUsed/>
    <w:pPr>
      <w:spacing w:after="0" w:afterAutospacing="0"/>
    </w:pPr>
  </w:style>
  <w:style w:type="paragraph" w:styleId="999" w:default="1">
    <w:name w:val="Normal"/>
    <w:next w:val="1012"/>
    <w:qFormat/>
    <w:pPr>
      <w:ind w:left="1024"/>
      <w:jc w:val="both"/>
    </w:pPr>
    <w:rPr>
      <w:rFonts w:ascii="Calibri" w:hAnsi="Calibri"/>
    </w:rPr>
  </w:style>
  <w:style w:type="paragraph" w:styleId="1000">
    <w:name w:val="Heading 1"/>
    <w:basedOn w:val="999"/>
    <w:next w:val="999"/>
    <w:link w:val="1421"/>
    <w:uiPriority w:val="9"/>
    <w:qFormat/>
    <w:pPr>
      <w:ind w:left="432" w:firstLine="18"/>
      <w:spacing w:before="340" w:after="330" w:line="578" w:lineRule="auto"/>
      <w:outlineLvl w:val="0"/>
    </w:pPr>
  </w:style>
  <w:style w:type="paragraph" w:styleId="1001">
    <w:name w:val="Heading 2"/>
    <w:basedOn w:val="999"/>
    <w:next w:val="999"/>
    <w:link w:val="1422"/>
    <w:uiPriority w:val="9"/>
    <w:qFormat/>
    <w:pPr>
      <w:ind w:left="576" w:firstLine="24"/>
      <w:spacing w:before="260" w:after="260" w:line="416" w:lineRule="auto"/>
      <w:outlineLvl w:val="1"/>
    </w:pPr>
    <w:rPr>
      <w:rFonts w:ascii="Times New Roman" w:hAnsi="Times New Roman" w:cs="Times New Roman"/>
    </w:rPr>
  </w:style>
  <w:style w:type="paragraph" w:styleId="1002">
    <w:name w:val="Heading 3"/>
    <w:basedOn w:val="999"/>
    <w:next w:val="1013"/>
    <w:link w:val="1423"/>
    <w:uiPriority w:val="9"/>
    <w:qFormat/>
    <w:pPr>
      <w:ind w:left="720"/>
      <w:spacing w:before="260" w:after="260" w:line="416" w:lineRule="auto"/>
      <w:outlineLvl w:val="2"/>
    </w:pPr>
    <w:rPr>
      <w:rFonts w:ascii="Times New Roman" w:hAnsi="Times New Roman" w:cs="Times New Roman"/>
    </w:rPr>
  </w:style>
  <w:style w:type="paragraph" w:styleId="1003">
    <w:name w:val="Heading 4"/>
    <w:basedOn w:val="1000"/>
    <w:next w:val="999"/>
    <w:link w:val="1424"/>
    <w:uiPriority w:val="9"/>
    <w:qFormat/>
    <w:pPr>
      <w:ind w:left="864" w:firstLine="24"/>
      <w:spacing w:before="280" w:after="290" w:line="376" w:lineRule="auto"/>
      <w:outlineLvl w:val="3"/>
    </w:pPr>
    <w:rPr>
      <w:rFonts w:ascii="Times New Roman" w:hAnsi="Times New Roman" w:cs="Times New Roman"/>
    </w:rPr>
  </w:style>
  <w:style w:type="paragraph" w:styleId="1004">
    <w:name w:val="Heading 5"/>
    <w:basedOn w:val="1000"/>
    <w:next w:val="999"/>
    <w:link w:val="1425"/>
    <w:uiPriority w:val="9"/>
    <w:qFormat/>
    <w:pPr>
      <w:ind w:left="1008"/>
      <w:spacing w:before="280" w:after="290" w:line="376" w:lineRule="auto"/>
      <w:outlineLvl w:val="4"/>
    </w:pPr>
    <w:rPr>
      <w:rFonts w:ascii="Times New Roman" w:hAnsi="Times New Roman" w:cs="Times New Roman"/>
    </w:rPr>
  </w:style>
  <w:style w:type="paragraph" w:styleId="1005">
    <w:name w:val="Heading 6"/>
    <w:basedOn w:val="1000"/>
    <w:next w:val="999"/>
    <w:link w:val="1426"/>
    <w:uiPriority w:val="9"/>
    <w:qFormat/>
    <w:pPr>
      <w:ind w:left="1152" w:firstLine="20"/>
      <w:spacing w:before="240" w:after="64" w:line="320" w:lineRule="auto"/>
      <w:outlineLvl w:val="5"/>
    </w:pPr>
    <w:rPr>
      <w:rFonts w:ascii="Times New Roman" w:hAnsi="Times New Roman" w:cs="Times New Roman"/>
    </w:rPr>
  </w:style>
  <w:style w:type="paragraph" w:styleId="1006">
    <w:name w:val="Heading 7"/>
    <w:basedOn w:val="1000"/>
    <w:next w:val="999"/>
    <w:link w:val="1427"/>
    <w:uiPriority w:val="9"/>
    <w:qFormat/>
    <w:pPr>
      <w:ind w:left="1296" w:firstLine="14"/>
      <w:spacing w:before="240" w:after="64" w:line="320" w:lineRule="auto"/>
      <w:outlineLvl w:val="6"/>
    </w:pPr>
    <w:rPr>
      <w:rFonts w:ascii="Times New Roman" w:hAnsi="Times New Roman" w:cs="Times New Roman"/>
    </w:rPr>
  </w:style>
  <w:style w:type="paragraph" w:styleId="1007">
    <w:name w:val="Heading 8"/>
    <w:basedOn w:val="1000"/>
    <w:next w:val="999"/>
    <w:link w:val="1428"/>
    <w:uiPriority w:val="9"/>
    <w:qFormat/>
    <w:pPr>
      <w:ind w:left="1440"/>
      <w:spacing w:before="240" w:after="64" w:line="320" w:lineRule="auto"/>
      <w:outlineLvl w:val="7"/>
    </w:pPr>
    <w:rPr>
      <w:rFonts w:ascii="Times New Roman" w:hAnsi="Times New Roman" w:cs="Times New Roman"/>
    </w:rPr>
  </w:style>
  <w:style w:type="paragraph" w:styleId="1008">
    <w:name w:val="Heading 9"/>
    <w:basedOn w:val="1000"/>
    <w:next w:val="999"/>
    <w:link w:val="1429"/>
    <w:uiPriority w:val="9"/>
    <w:qFormat/>
    <w:pPr>
      <w:ind w:left="1584" w:firstLine="22"/>
      <w:spacing w:before="240" w:after="64" w:line="320" w:lineRule="auto"/>
      <w:outlineLvl w:val="8"/>
    </w:pPr>
    <w:rPr>
      <w:rFonts w:ascii="Times New Roman" w:hAnsi="Times New Roman" w:cs="Times New Roman"/>
    </w:rPr>
  </w:style>
  <w:style w:type="character" w:styleId="1009" w:default="1">
    <w:name w:val="Default Paragraph Font"/>
    <w:uiPriority w:val="1"/>
    <w:semiHidden/>
    <w:unhideWhenUsed/>
  </w:style>
  <w:style w:type="table" w:styleId="1010" w:default="1">
    <w:name w:val="Normal Table"/>
    <w:uiPriority w:val="99"/>
    <w:semiHidden/>
    <w:unhideWhenUsed/>
    <w:tblPr>
      <w:tblInd w:w="0" w:type="dxa"/>
      <w:tblCellMar>
        <w:left w:w="108" w:type="dxa"/>
        <w:top w:w="0" w:type="dxa"/>
        <w:right w:w="108" w:type="dxa"/>
        <w:bottom w:w="0" w:type="dxa"/>
      </w:tblCellMar>
    </w:tblPr>
  </w:style>
  <w:style w:type="numbering" w:styleId="1011" w:default="1">
    <w:name w:val="No List"/>
    <w:uiPriority w:val="99"/>
    <w:semiHidden/>
    <w:unhideWhenUsed/>
  </w:style>
  <w:style w:type="paragraph" w:styleId="1012">
    <w:name w:val="Body Text Indent"/>
    <w:basedOn w:val="999"/>
    <w:next w:val="999"/>
    <w:link w:val="1420"/>
    <w:uiPriority w:val="99"/>
    <w:qFormat/>
    <w:pPr>
      <w:ind w:left="420" w:firstLine="1188"/>
      <w:spacing w:line="360" w:lineRule="exact"/>
    </w:pPr>
    <w:rPr>
      <w:rFonts w:ascii="Times New Roman" w:hAnsi="Times New Roman" w:cs="Times New Roman"/>
    </w:rPr>
  </w:style>
  <w:style w:type="paragraph" w:styleId="1013" w:customStyle="1">
    <w:name w:val="正文2"/>
    <w:basedOn w:val="999"/>
    <w:next w:val="999"/>
    <w:qFormat/>
    <w:pPr>
      <w:ind w:left="0" w:hanging="2155"/>
      <w:spacing w:line="360" w:lineRule="auto"/>
      <w:shd w:val="clear" w:color="auto" w:fill="ffffff"/>
    </w:pPr>
    <w:rPr>
      <w:rFonts w:ascii="宋体" w:hAnsi="宋体"/>
    </w:rPr>
  </w:style>
  <w:style w:type="paragraph" w:styleId="1014">
    <w:name w:val="toc 7"/>
    <w:basedOn w:val="1000"/>
    <w:next w:val="999"/>
    <w:qFormat/>
    <w:pPr>
      <w:ind w:left="1640" w:firstLine="3784"/>
      <w:spacing w:before="0" w:after="0" w:line="360" w:lineRule="auto"/>
    </w:pPr>
    <w:rPr>
      <w:rFonts w:ascii="Times New Roman" w:hAnsi="Times New Roman" w:cs="Times New Roman"/>
    </w:rPr>
  </w:style>
  <w:style w:type="paragraph" w:styleId="1015">
    <w:name w:val="List Bullet 4"/>
    <w:basedOn w:val="1000"/>
    <w:next w:val="1016"/>
    <w:qFormat/>
    <w:pPr>
      <w:ind w:left="1620" w:firstLine="2652"/>
      <w:spacing w:before="0" w:after="0" w:line="360" w:lineRule="auto"/>
    </w:pPr>
    <w:rPr>
      <w:rFonts w:ascii="Times New Roman" w:hAnsi="Times New Roman" w:cs="Times New Roman"/>
    </w:rPr>
  </w:style>
  <w:style w:type="paragraph" w:styleId="1016">
    <w:name w:val="List Bullet 2"/>
    <w:basedOn w:val="1000"/>
    <w:next w:val="999"/>
    <w:qFormat/>
    <w:pPr>
      <w:ind w:left="900" w:firstLine="2652"/>
      <w:spacing w:before="0" w:after="0" w:line="360" w:lineRule="auto"/>
    </w:pPr>
    <w:rPr>
      <w:rFonts w:ascii="Times New Roman" w:hAnsi="Times New Roman" w:cs="Times New Roman"/>
    </w:rPr>
  </w:style>
  <w:style w:type="paragraph" w:styleId="1017">
    <w:name w:val="List Number"/>
    <w:basedOn w:val="1000"/>
    <w:next w:val="999"/>
    <w:qFormat/>
    <w:pPr>
      <w:ind w:left="454" w:firstLine="2788"/>
      <w:spacing w:before="0" w:after="0" w:line="240" w:lineRule="auto"/>
    </w:pPr>
    <w:rPr>
      <w:rFonts w:ascii="Times New Roman" w:hAnsi="Times New Roman" w:cs="Times New Roman"/>
    </w:rPr>
  </w:style>
  <w:style w:type="paragraph" w:styleId="1018">
    <w:name w:val="Normal Indent"/>
    <w:basedOn w:val="999"/>
    <w:next w:val="999"/>
    <w:link w:val="1068"/>
    <w:qFormat/>
    <w:pPr>
      <w:ind w:left="420" w:firstLine="4772"/>
    </w:pPr>
  </w:style>
  <w:style w:type="paragraph" w:styleId="1019">
    <w:name w:val="Caption"/>
    <w:basedOn w:val="1000"/>
    <w:next w:val="999"/>
    <w:qFormat/>
    <w:pPr>
      <w:ind w:left="200" w:firstLine="2248"/>
      <w:jc w:val="center"/>
      <w:spacing w:before="0" w:after="0" w:line="240" w:lineRule="auto"/>
    </w:pPr>
    <w:rPr>
      <w:rFonts w:ascii="Times New Roman" w:hAnsi="Times New Roman" w:cs="Times New Roman"/>
    </w:rPr>
  </w:style>
  <w:style w:type="paragraph" w:styleId="1020">
    <w:name w:val="List Bullet"/>
    <w:basedOn w:val="1000"/>
    <w:next w:val="999"/>
    <w:qFormat/>
    <w:pPr>
      <w:ind w:left="900" w:firstLine="2652"/>
      <w:spacing w:before="0" w:after="0" w:line="360" w:lineRule="auto"/>
    </w:pPr>
    <w:rPr>
      <w:rFonts w:ascii="Times New Roman" w:hAnsi="Times New Roman" w:cs="Times New Roman"/>
    </w:rPr>
  </w:style>
  <w:style w:type="paragraph" w:styleId="1021">
    <w:name w:val="Document Map"/>
    <w:basedOn w:val="1000"/>
    <w:next w:val="1022"/>
    <w:qFormat/>
    <w:pPr>
      <w:ind w:left="0" w:firstLine="4"/>
      <w:spacing w:before="0" w:after="0" w:line="240" w:lineRule="auto"/>
      <w:shd w:val="clear" w:color="000000" w:fill="000080"/>
    </w:pPr>
    <w:rPr>
      <w:rFonts w:ascii="Times New Roman" w:hAnsi="Times New Roman" w:cs="Times New Roman"/>
    </w:rPr>
  </w:style>
  <w:style w:type="paragraph" w:styleId="1022">
    <w:name w:val="annotation subject"/>
    <w:next w:val="999"/>
    <w:uiPriority w:val="99"/>
    <w:qFormat/>
    <w:pPr>
      <w:ind w:firstLine="4608"/>
      <w:spacing w:line="360" w:lineRule="auto"/>
    </w:pPr>
    <w:rPr>
      <w:rFonts w:ascii="Calibri" w:hAnsi="Calibri"/>
    </w:rPr>
  </w:style>
  <w:style w:type="paragraph" w:styleId="1023">
    <w:name w:val="annotation text"/>
    <w:basedOn w:val="1000"/>
    <w:next w:val="999"/>
    <w:uiPriority w:val="99"/>
    <w:qFormat/>
    <w:pPr>
      <w:ind w:left="0" w:firstLine="3584"/>
      <w:spacing w:before="0" w:after="0" w:line="360" w:lineRule="auto"/>
    </w:pPr>
    <w:rPr>
      <w:rFonts w:ascii="Times New Roman" w:hAnsi="Times New Roman" w:cs="Times New Roman"/>
    </w:rPr>
  </w:style>
  <w:style w:type="paragraph" w:styleId="1024">
    <w:name w:val="Body Text 3"/>
    <w:basedOn w:val="1000"/>
    <w:next w:val="999"/>
    <w:link w:val="1430"/>
    <w:qFormat/>
    <w:pPr>
      <w:ind w:left="0" w:firstLine="2048"/>
      <w:spacing w:before="0" w:after="0" w:line="500" w:lineRule="exact"/>
    </w:pPr>
    <w:rPr>
      <w:rFonts w:ascii="Times New Roman" w:hAnsi="Times New Roman" w:cs="Times New Roman"/>
    </w:rPr>
  </w:style>
  <w:style w:type="paragraph" w:styleId="1025">
    <w:name w:val="List Bullet 3"/>
    <w:basedOn w:val="1000"/>
    <w:next w:val="999"/>
    <w:qFormat/>
    <w:pPr>
      <w:ind w:left="900" w:firstLine="2652"/>
      <w:spacing w:before="0" w:after="0" w:line="360" w:lineRule="auto"/>
    </w:pPr>
    <w:rPr>
      <w:rFonts w:ascii="Times New Roman" w:hAnsi="Times New Roman" w:cs="Times New Roman"/>
    </w:rPr>
  </w:style>
  <w:style w:type="paragraph" w:styleId="1026">
    <w:name w:val="Body Text"/>
    <w:basedOn w:val="999"/>
    <w:next w:val="999"/>
    <w:qFormat/>
    <w:pPr>
      <w:ind w:left="0" w:firstLine="2560"/>
    </w:pPr>
    <w:rPr>
      <w:rFonts w:ascii="Times New Roman" w:hAnsi="Times New Roman" w:cs="Times New Roman"/>
    </w:rPr>
  </w:style>
  <w:style w:type="paragraph" w:styleId="1027">
    <w:name w:val="List Number 3"/>
    <w:basedOn w:val="1000"/>
    <w:next w:val="999"/>
    <w:qFormat/>
    <w:pPr>
      <w:ind w:left="420" w:firstLine="3584"/>
      <w:spacing w:before="0" w:after="0" w:line="240" w:lineRule="auto"/>
    </w:pPr>
    <w:rPr>
      <w:rFonts w:ascii="Times New Roman" w:hAnsi="Times New Roman" w:cs="Times New Roman"/>
    </w:rPr>
  </w:style>
  <w:style w:type="paragraph" w:styleId="1028">
    <w:name w:val="List 2"/>
    <w:basedOn w:val="1000"/>
    <w:next w:val="1014"/>
    <w:qFormat/>
    <w:pPr>
      <w:ind w:left="100" w:firstLine="3640"/>
      <w:spacing w:before="0" w:after="0" w:line="240" w:lineRule="auto"/>
    </w:pPr>
    <w:rPr>
      <w:rFonts w:ascii="Times New Roman" w:hAnsi="Times New Roman" w:cs="Times New Roman"/>
    </w:rPr>
  </w:style>
  <w:style w:type="paragraph" w:styleId="1029">
    <w:name w:val="Block Text"/>
    <w:basedOn w:val="1000"/>
    <w:next w:val="999"/>
    <w:qFormat/>
    <w:pPr>
      <w:ind w:left="420" w:right="33" w:firstLine="2560"/>
      <w:spacing w:before="0" w:after="0" w:line="240" w:lineRule="auto"/>
    </w:pPr>
    <w:rPr>
      <w:rFonts w:ascii="Times New Roman" w:hAnsi="Times New Roman" w:cs="Times New Roman"/>
    </w:rPr>
  </w:style>
  <w:style w:type="paragraph" w:styleId="1030">
    <w:name w:val="toc 5"/>
    <w:basedOn w:val="1000"/>
    <w:next w:val="999"/>
    <w:qFormat/>
    <w:pPr>
      <w:ind w:left="1160" w:firstLine="3784"/>
      <w:spacing w:before="0" w:after="0" w:line="360" w:lineRule="auto"/>
    </w:pPr>
    <w:rPr>
      <w:rFonts w:ascii="Times New Roman" w:hAnsi="Times New Roman" w:cs="Times New Roman"/>
    </w:rPr>
  </w:style>
  <w:style w:type="paragraph" w:styleId="1031">
    <w:name w:val="toc 3"/>
    <w:basedOn w:val="1000"/>
    <w:next w:val="999"/>
    <w:qFormat/>
    <w:pPr>
      <w:ind w:left="0" w:firstLine="1024"/>
      <w:spacing w:before="0" w:after="0" w:line="360" w:lineRule="auto"/>
    </w:pPr>
    <w:rPr>
      <w:rFonts w:ascii="Times New Roman" w:hAnsi="Times New Roman" w:cs="Times New Roman"/>
    </w:rPr>
  </w:style>
  <w:style w:type="paragraph" w:styleId="1032">
    <w:name w:val="Plain Text"/>
    <w:basedOn w:val="1000"/>
    <w:next w:val="1033"/>
    <w:link w:val="1431"/>
    <w:qFormat/>
    <w:pPr>
      <w:ind w:left="0" w:firstLine="2048"/>
      <w:spacing w:before="0" w:after="0" w:line="240" w:lineRule="auto"/>
    </w:pPr>
    <w:rPr>
      <w:rFonts w:ascii="Times New Roman" w:hAnsi="Times New Roman" w:cs="Times New Roman"/>
    </w:rPr>
  </w:style>
  <w:style w:type="paragraph" w:styleId="1033">
    <w:name w:val="toc 1"/>
    <w:basedOn w:val="1000"/>
    <w:next w:val="999"/>
    <w:uiPriority w:val="39"/>
    <w:qFormat/>
    <w:pPr>
      <w:ind w:left="0" w:firstLine="4608"/>
      <w:spacing w:before="0" w:after="0" w:line="240" w:lineRule="auto"/>
    </w:pPr>
    <w:rPr>
      <w:rFonts w:ascii="Times New Roman" w:hAnsi="Times New Roman" w:cs="Times New Roman"/>
    </w:rPr>
  </w:style>
  <w:style w:type="paragraph" w:styleId="1034">
    <w:name w:val="List Bullet 5"/>
    <w:basedOn w:val="1000"/>
    <w:next w:val="1035"/>
    <w:qFormat/>
    <w:pPr>
      <w:ind w:left="2040" w:firstLine="2560"/>
      <w:spacing w:before="0" w:after="0" w:line="360" w:lineRule="auto"/>
    </w:pPr>
    <w:rPr>
      <w:rFonts w:ascii="Times New Roman" w:hAnsi="Times New Roman" w:cs="Times New Roman"/>
    </w:rPr>
  </w:style>
  <w:style w:type="paragraph" w:styleId="1035" w:customStyle="1">
    <w:name w:val="正文首行缩进1"/>
    <w:next w:val="1027"/>
    <w:qFormat/>
    <w:pPr>
      <w:ind w:left="420" w:firstLine="2724"/>
      <w:spacing w:after="120" w:line="360" w:lineRule="auto"/>
    </w:pPr>
    <w:rPr>
      <w:rFonts w:ascii="Calibri" w:hAnsi="Calibri"/>
    </w:rPr>
  </w:style>
  <w:style w:type="paragraph" w:styleId="1036">
    <w:name w:val="toc 8"/>
    <w:basedOn w:val="1000"/>
    <w:next w:val="999"/>
    <w:qFormat/>
    <w:pPr>
      <w:ind w:left="1880" w:firstLine="3784"/>
      <w:spacing w:before="0" w:after="0" w:line="360" w:lineRule="auto"/>
    </w:pPr>
    <w:rPr>
      <w:rFonts w:ascii="Times New Roman" w:hAnsi="Times New Roman" w:cs="Times New Roman"/>
    </w:rPr>
  </w:style>
  <w:style w:type="paragraph" w:styleId="1037">
    <w:name w:val="Date"/>
    <w:basedOn w:val="1000"/>
    <w:next w:val="999"/>
    <w:link w:val="1432"/>
    <w:qFormat/>
    <w:pPr>
      <w:ind w:left="0" w:firstLine="2560"/>
      <w:spacing w:before="0" w:after="0" w:line="240" w:lineRule="auto"/>
    </w:pPr>
    <w:rPr>
      <w:rFonts w:ascii="Times New Roman" w:hAnsi="Times New Roman" w:cs="Times New Roman"/>
    </w:rPr>
  </w:style>
  <w:style w:type="paragraph" w:styleId="1038">
    <w:name w:val="Body Text Indent 2"/>
    <w:basedOn w:val="1000"/>
    <w:next w:val="1012"/>
    <w:link w:val="1433"/>
    <w:qFormat/>
    <w:pPr>
      <w:ind w:left="481" w:firstLine="2784"/>
      <w:spacing w:before="0" w:after="0" w:line="400" w:lineRule="exact"/>
    </w:pPr>
    <w:rPr>
      <w:rFonts w:ascii="Times New Roman" w:hAnsi="Times New Roman" w:cs="Times New Roman"/>
    </w:rPr>
  </w:style>
  <w:style w:type="paragraph" w:styleId="1039">
    <w:name w:val="endnote text"/>
    <w:basedOn w:val="1000"/>
    <w:next w:val="1040"/>
    <w:link w:val="1434"/>
    <w:qFormat/>
    <w:pPr>
      <w:ind w:left="0" w:firstLine="2560"/>
      <w:spacing w:before="0" w:after="0" w:line="360" w:lineRule="auto"/>
    </w:pPr>
    <w:rPr>
      <w:rFonts w:ascii="Times New Roman" w:hAnsi="Times New Roman" w:cs="Times New Roman"/>
    </w:rPr>
  </w:style>
  <w:style w:type="paragraph" w:styleId="1040" w:customStyle="1">
    <w:name w:val="Char11"/>
    <w:basedOn w:val="1000"/>
    <w:next w:val="999"/>
    <w:qFormat/>
    <w:pPr>
      <w:ind w:left="0" w:firstLine="3584"/>
      <w:spacing w:before="0" w:after="0" w:line="240" w:lineRule="auto"/>
    </w:pPr>
    <w:rPr>
      <w:rFonts w:ascii="Times New Roman" w:hAnsi="Times New Roman" w:cs="Times New Roman"/>
    </w:rPr>
  </w:style>
  <w:style w:type="paragraph" w:styleId="1041">
    <w:name w:val="Balloon Text"/>
    <w:basedOn w:val="1000"/>
    <w:next w:val="1017"/>
    <w:qFormat/>
    <w:pPr>
      <w:ind w:left="0" w:firstLine="2048"/>
      <w:spacing w:before="0" w:after="0" w:line="240" w:lineRule="auto"/>
    </w:pPr>
    <w:rPr>
      <w:rFonts w:ascii="Times New Roman" w:hAnsi="Times New Roman" w:cs="Times New Roman"/>
    </w:rPr>
  </w:style>
  <w:style w:type="paragraph" w:styleId="1042">
    <w:name w:val="Footer"/>
    <w:basedOn w:val="999"/>
    <w:next w:val="1043"/>
    <w:link w:val="1069"/>
    <w:uiPriority w:val="99"/>
    <w:qFormat/>
    <w:pPr>
      <w:ind w:left="0" w:firstLine="3584"/>
    </w:pPr>
  </w:style>
  <w:style w:type="paragraph" w:styleId="1043" w:customStyle="1">
    <w:name w:val="Char Char Char Char Char Char Char Char Char Char Char Char Char"/>
    <w:basedOn w:val="1000"/>
    <w:next w:val="999"/>
    <w:qFormat/>
    <w:pPr>
      <w:ind w:left="0" w:firstLine="3584"/>
      <w:spacing w:before="0" w:after="160" w:line="240" w:lineRule="exact"/>
    </w:pPr>
    <w:rPr>
      <w:rFonts w:ascii="Times New Roman" w:hAnsi="Times New Roman" w:cs="Times New Roman"/>
    </w:rPr>
  </w:style>
  <w:style w:type="paragraph" w:styleId="1044">
    <w:name w:val="Header"/>
    <w:basedOn w:val="1000"/>
    <w:next w:val="1037"/>
    <w:link w:val="1070"/>
    <w:uiPriority w:val="99"/>
    <w:qFormat/>
    <w:pPr>
      <w:ind w:left="0" w:firstLine="3584"/>
      <w:jc w:val="center"/>
      <w:spacing w:before="0" w:after="0" w:line="240" w:lineRule="auto"/>
    </w:pPr>
  </w:style>
  <w:style w:type="paragraph" w:styleId="1045">
    <w:name w:val="toc 4"/>
    <w:basedOn w:val="1000"/>
    <w:next w:val="999"/>
    <w:qFormat/>
    <w:pPr>
      <w:ind w:left="1260" w:firstLine="1024"/>
      <w:spacing w:before="0" w:after="0" w:line="240" w:lineRule="auto"/>
    </w:pPr>
    <w:rPr>
      <w:rFonts w:ascii="Times New Roman" w:hAnsi="Times New Roman" w:cs="Times New Roman"/>
    </w:rPr>
  </w:style>
  <w:style w:type="paragraph" w:styleId="1046">
    <w:name w:val="Subtitle"/>
    <w:next w:val="999"/>
    <w:link w:val="1435"/>
    <w:uiPriority w:val="11"/>
    <w:qFormat/>
    <w:pPr>
      <w:ind w:left="1024"/>
      <w:jc w:val="center"/>
      <w:spacing w:after="60"/>
    </w:pPr>
    <w:rPr>
      <w:rFonts w:ascii="Calibri" w:hAnsi="Calibri"/>
    </w:rPr>
  </w:style>
  <w:style w:type="paragraph" w:styleId="1047">
    <w:name w:val="List"/>
    <w:basedOn w:val="1000"/>
    <w:next w:val="1048"/>
    <w:qFormat/>
    <w:pPr>
      <w:ind w:left="200" w:firstLine="3640"/>
      <w:spacing w:before="0" w:after="0" w:line="240" w:lineRule="auto"/>
    </w:pPr>
    <w:rPr>
      <w:rFonts w:ascii="Times New Roman" w:hAnsi="Times New Roman" w:cs="Times New Roman"/>
    </w:rPr>
  </w:style>
  <w:style w:type="paragraph" w:styleId="1048">
    <w:name w:val="Body Text First Indent"/>
    <w:next w:val="999"/>
    <w:link w:val="1436"/>
    <w:qFormat/>
    <w:pPr>
      <w:ind w:left="420" w:firstLine="3748"/>
      <w:spacing w:after="120"/>
    </w:pPr>
    <w:rPr>
      <w:rFonts w:ascii="Calibri" w:hAnsi="Calibri"/>
    </w:rPr>
  </w:style>
  <w:style w:type="paragraph" w:styleId="1049">
    <w:name w:val="footnote text"/>
    <w:basedOn w:val="1000"/>
    <w:next w:val="1029"/>
    <w:link w:val="1419"/>
    <w:qFormat/>
    <w:pPr>
      <w:ind w:left="0" w:firstLine="3584"/>
      <w:spacing w:before="0" w:after="0" w:line="360" w:lineRule="auto"/>
    </w:pPr>
    <w:rPr>
      <w:rFonts w:ascii="Times New Roman" w:hAnsi="Times New Roman" w:cs="Times New Roman"/>
    </w:rPr>
  </w:style>
  <w:style w:type="paragraph" w:styleId="1050">
    <w:name w:val="toc 6"/>
    <w:basedOn w:val="1000"/>
    <w:next w:val="999"/>
    <w:qFormat/>
    <w:pPr>
      <w:ind w:left="1400" w:firstLine="3784"/>
      <w:spacing w:before="0" w:after="0" w:line="360" w:lineRule="auto"/>
    </w:pPr>
    <w:rPr>
      <w:rFonts w:ascii="Times New Roman" w:hAnsi="Times New Roman" w:cs="Times New Roman"/>
    </w:rPr>
  </w:style>
  <w:style w:type="paragraph" w:styleId="1051">
    <w:name w:val="List 5"/>
    <w:basedOn w:val="1000"/>
    <w:next w:val="1026"/>
    <w:qFormat/>
    <w:pPr>
      <w:ind w:left="2100" w:firstLine="3676"/>
      <w:spacing w:before="0" w:after="0" w:line="240" w:lineRule="auto"/>
    </w:pPr>
    <w:rPr>
      <w:rFonts w:ascii="Times New Roman" w:hAnsi="Times New Roman" w:cs="Times New Roman"/>
    </w:rPr>
  </w:style>
  <w:style w:type="paragraph" w:styleId="1052">
    <w:name w:val="Body Text Indent 3"/>
    <w:basedOn w:val="1000"/>
    <w:next w:val="1050"/>
    <w:qFormat/>
    <w:pPr>
      <w:ind w:left="480" w:firstLine="2784"/>
      <w:spacing w:before="0" w:after="0" w:line="400" w:lineRule="exact"/>
    </w:pPr>
    <w:rPr>
      <w:rFonts w:ascii="Times New Roman" w:hAnsi="Times New Roman" w:cs="Times New Roman"/>
    </w:rPr>
  </w:style>
  <w:style w:type="paragraph" w:styleId="1053">
    <w:name w:val="toc 2"/>
    <w:basedOn w:val="1000"/>
    <w:next w:val="999"/>
    <w:qFormat/>
    <w:pPr>
      <w:ind w:left="0" w:firstLine="1024"/>
      <w:spacing w:before="0" w:after="0" w:line="360" w:lineRule="auto"/>
    </w:pPr>
    <w:rPr>
      <w:rFonts w:ascii="Times New Roman" w:hAnsi="Times New Roman" w:cs="Times New Roman"/>
    </w:rPr>
  </w:style>
  <w:style w:type="paragraph" w:styleId="1054">
    <w:name w:val="toc 9"/>
    <w:basedOn w:val="1000"/>
    <w:next w:val="999"/>
    <w:qFormat/>
    <w:pPr>
      <w:ind w:left="2120" w:firstLine="3784"/>
      <w:spacing w:before="0" w:after="0" w:line="360" w:lineRule="auto"/>
    </w:pPr>
    <w:rPr>
      <w:rFonts w:ascii="Times New Roman" w:hAnsi="Times New Roman" w:cs="Times New Roman"/>
    </w:rPr>
  </w:style>
  <w:style w:type="paragraph" w:styleId="1055">
    <w:name w:val="Body Text 2"/>
    <w:basedOn w:val="1000"/>
    <w:next w:val="1020"/>
    <w:link w:val="1437"/>
    <w:qFormat/>
    <w:pPr>
      <w:ind w:left="0" w:firstLine="1024"/>
      <w:spacing w:before="0" w:after="120" w:line="480" w:lineRule="auto"/>
    </w:pPr>
    <w:rPr>
      <w:rFonts w:ascii="Times New Roman" w:hAnsi="Times New Roman" w:cs="Times New Roman"/>
    </w:rPr>
  </w:style>
  <w:style w:type="paragraph" w:styleId="1056">
    <w:name w:val="HTML Preformatted"/>
    <w:basedOn w:val="1000"/>
    <w:next w:val="1019"/>
    <w:link w:val="1438"/>
    <w:qFormat/>
    <w:pPr>
      <w:ind w:left="0" w:firstLine="2048"/>
      <w:spacing w:before="0" w:after="0" w:line="253" w:lineRule="atLeast"/>
    </w:pPr>
    <w:rPr>
      <w:rFonts w:ascii="Times New Roman" w:hAnsi="Times New Roman" w:cs="Times New Roman"/>
    </w:rPr>
  </w:style>
  <w:style w:type="paragraph" w:styleId="1057">
    <w:name w:val="Normal (Web)"/>
    <w:basedOn w:val="999"/>
    <w:next w:val="1028"/>
    <w:qFormat/>
    <w:pPr>
      <w:ind w:left="15" w:right="15" w:firstLine="4608"/>
      <w:spacing w:before="60" w:after="60" w:line="312" w:lineRule="auto"/>
    </w:pPr>
    <w:rPr>
      <w:rFonts w:ascii="Times New Roman" w:hAnsi="Times New Roman" w:cs="Times New Roman"/>
    </w:rPr>
  </w:style>
  <w:style w:type="paragraph" w:styleId="1058">
    <w:name w:val="index 1"/>
    <w:basedOn w:val="1000"/>
    <w:next w:val="999"/>
    <w:qFormat/>
    <w:pPr>
      <w:ind w:left="0" w:firstLine="3584"/>
      <w:spacing w:before="0" w:after="0" w:line="240" w:lineRule="auto"/>
    </w:pPr>
    <w:rPr>
      <w:rFonts w:ascii="Times New Roman" w:hAnsi="Times New Roman" w:cs="Times New Roman"/>
    </w:rPr>
  </w:style>
  <w:style w:type="paragraph" w:styleId="1059">
    <w:name w:val="Body Text First Indent 2"/>
    <w:basedOn w:val="1012"/>
    <w:link w:val="1418"/>
    <w:uiPriority w:val="99"/>
    <w:unhideWhenUsed/>
    <w:qFormat/>
    <w:pPr>
      <w:ind w:firstLine="420"/>
    </w:pPr>
  </w:style>
  <w:style w:type="table" w:styleId="106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1">
    <w:name w:val="Strong"/>
    <w:qFormat/>
    <w:rPr>
      <w:rFonts w:ascii="Times New Roman" w:hAnsi="Times New Roman" w:eastAsia="宋体" w:cs="Times New Roman"/>
      <w:b/>
      <w:sz w:val="20"/>
    </w:rPr>
  </w:style>
  <w:style w:type="character" w:styleId="1062">
    <w:name w:val="page number"/>
    <w:qFormat/>
    <w:rPr>
      <w:rFonts w:ascii="Times New Roman" w:hAnsi="Times New Roman" w:eastAsia="宋体" w:cs="Times New Roman"/>
      <w:sz w:val="20"/>
    </w:rPr>
  </w:style>
  <w:style w:type="character" w:styleId="1063">
    <w:name w:val="FollowedHyperlink"/>
    <w:qFormat/>
    <w:rPr>
      <w:rFonts w:ascii="Times New Roman" w:hAnsi="Times New Roman" w:eastAsia="宋体" w:cs="Times New Roman"/>
      <w:color w:val="800080"/>
      <w:sz w:val="20"/>
      <w:u w:val="single"/>
    </w:rPr>
  </w:style>
  <w:style w:type="character" w:styleId="1064">
    <w:name w:val="Emphasis"/>
    <w:qFormat/>
    <w:rPr>
      <w:rFonts w:ascii="Times New Roman" w:hAnsi="Times New Roman" w:eastAsia="宋体" w:cs="Times New Roman"/>
      <w:i/>
      <w:sz w:val="21"/>
    </w:rPr>
  </w:style>
  <w:style w:type="character" w:styleId="1065">
    <w:name w:val="Hyperlink"/>
    <w:uiPriority w:val="99"/>
    <w:qFormat/>
    <w:rPr>
      <w:rFonts w:ascii="Times New Roman" w:hAnsi="Times New Roman" w:eastAsia="宋体" w:cs="Times New Roman"/>
      <w:color w:val="0000ff"/>
      <w:sz w:val="20"/>
      <w:u w:val="single"/>
    </w:rPr>
  </w:style>
  <w:style w:type="character" w:styleId="1066">
    <w:name w:val="annotation reference"/>
    <w:qFormat/>
    <w:rPr>
      <w:rFonts w:ascii="Times New Roman" w:hAnsi="Times New Roman" w:eastAsia="宋体" w:cs="Times New Roman"/>
      <w:sz w:val="20"/>
    </w:rPr>
  </w:style>
  <w:style w:type="character" w:styleId="1067">
    <w:name w:val="footnote reference"/>
    <w:qFormat/>
    <w:rPr>
      <w:rFonts w:ascii="Times New Roman" w:hAnsi="Times New Roman" w:eastAsia="宋体" w:cs="Times New Roman"/>
      <w:vertAlign w:val="superscript"/>
    </w:rPr>
  </w:style>
  <w:style w:type="character" w:styleId="1068" w:customStyle="1">
    <w:name w:val="正文缩进 字符"/>
    <w:link w:val="1018"/>
    <w:qFormat/>
    <w:rPr>
      <w:rFonts w:ascii="Calibri" w:hAnsi="Calibri" w:eastAsia="宋体" w:cs="Times New Roman"/>
    </w:rPr>
  </w:style>
  <w:style w:type="character" w:styleId="1069" w:customStyle="1">
    <w:name w:val="页脚 字符"/>
    <w:link w:val="1042"/>
    <w:uiPriority w:val="99"/>
    <w:qFormat/>
    <w:rPr>
      <w:rFonts w:ascii="Calibri" w:hAnsi="Calibri" w:eastAsia="宋体" w:cs="Times New Roman"/>
    </w:rPr>
  </w:style>
  <w:style w:type="character" w:styleId="1070" w:customStyle="1">
    <w:name w:val="页眉 字符"/>
    <w:link w:val="1044"/>
    <w:uiPriority w:val="99"/>
    <w:qFormat/>
    <w:rPr>
      <w:rFonts w:ascii="Calibri" w:hAnsi="Calibri" w:eastAsia="宋体" w:cs="Times New Roman"/>
    </w:rPr>
  </w:style>
  <w:style w:type="character" w:styleId="1071" w:customStyle="1">
    <w:name w:val="日期 Char"/>
    <w:qFormat/>
    <w:rPr>
      <w:rFonts w:ascii="Times New Roman" w:hAnsi="Times New Roman" w:eastAsia="宋体" w:cs="Times New Roman"/>
      <w:sz w:val="20"/>
    </w:rPr>
  </w:style>
  <w:style w:type="character" w:styleId="1072" w:customStyle="1">
    <w:name w:val="批注引用1"/>
    <w:qFormat/>
    <w:rPr>
      <w:rFonts w:ascii="Times New Roman" w:hAnsi="Times New Roman" w:eastAsia="宋体" w:cs="Times New Roman"/>
      <w:sz w:val="20"/>
    </w:rPr>
  </w:style>
  <w:style w:type="character" w:styleId="1073" w:customStyle="1">
    <w:name w:val="应答文本 Char Char"/>
    <w:qFormat/>
    <w:rPr>
      <w:rFonts w:ascii="Times New Roman" w:hAnsi="Times New Roman" w:eastAsia="宋体" w:cs="Times New Roman"/>
      <w:sz w:val="20"/>
    </w:rPr>
  </w:style>
  <w:style w:type="character" w:styleId="1074" w:customStyle="1">
    <w:name w:val="图片0 Char Char"/>
    <w:qFormat/>
    <w:rPr>
      <w:rFonts w:ascii="Times New Roman" w:hAnsi="Times New Roman" w:eastAsia="宋体" w:cs="Times New Roman"/>
      <w:sz w:val="20"/>
    </w:rPr>
  </w:style>
  <w:style w:type="character" w:styleId="1075" w:customStyle="1">
    <w:name w:val="尾注文本 Char"/>
    <w:qFormat/>
    <w:rPr>
      <w:rFonts w:ascii="Times New Roman" w:hAnsi="Times New Roman" w:eastAsia="宋体" w:cs="Times New Roman"/>
      <w:sz w:val="20"/>
    </w:rPr>
  </w:style>
  <w:style w:type="character" w:styleId="1076" w:customStyle="1">
    <w:name w:val="文档结构图 字符"/>
    <w:qFormat/>
    <w:rPr>
      <w:rFonts w:ascii="Microsoft YaHei UI" w:hAnsi="Times New Roman" w:eastAsia="Microsoft YaHei UI" w:cs="Times New Roman"/>
      <w:sz w:val="18"/>
      <w:szCs w:val="18"/>
    </w:rPr>
  </w:style>
  <w:style w:type="character" w:styleId="1077" w:customStyle="1">
    <w:name w:val="_Style 337"/>
    <w:qFormat/>
    <w:rPr>
      <w:rFonts w:ascii="Times New Roman" w:hAnsi="Times New Roman" w:eastAsia="宋体" w:cs="Times New Roman"/>
      <w:color w:val="auto"/>
      <w:sz w:val="21"/>
    </w:rPr>
  </w:style>
  <w:style w:type="character" w:styleId="1078" w:customStyle="1">
    <w:name w:val="正文文本 字符"/>
    <w:qFormat/>
    <w:rPr>
      <w:rFonts w:ascii="Times New Roman" w:hAnsi="Times New Roman" w:eastAsia="宋体" w:cs="Times New Roman"/>
      <w:sz w:val="21"/>
    </w:rPr>
  </w:style>
  <w:style w:type="character" w:styleId="1079" w:customStyle="1">
    <w:name w:val="批注文字 字符"/>
    <w:uiPriority w:val="99"/>
    <w:qFormat/>
    <w:rPr>
      <w:rFonts w:ascii="Times New Roman" w:hAnsi="Times New Roman" w:eastAsia="宋体" w:cs="Times New Roman"/>
      <w:sz w:val="20"/>
    </w:rPr>
  </w:style>
  <w:style w:type="character" w:styleId="1080" w:customStyle="1">
    <w:name w:val="批注文字 Char1"/>
    <w:qFormat/>
    <w:rPr>
      <w:rFonts w:ascii="Times New Roman" w:hAnsi="Times New Roman" w:eastAsia="宋体" w:cs="Times New Roman"/>
      <w:sz w:val="20"/>
    </w:rPr>
  </w:style>
  <w:style w:type="character" w:styleId="1081" w:customStyle="1">
    <w:name w:val="txt"/>
    <w:qFormat/>
    <w:rPr>
      <w:rFonts w:ascii="Times New Roman" w:hAnsi="Times New Roman" w:eastAsia="宋体" w:cs="Times New Roman"/>
      <w:sz w:val="20"/>
    </w:rPr>
  </w:style>
  <w:style w:type="character" w:styleId="1082" w:customStyle="1">
    <w:name w:val="标书正文 Char"/>
    <w:qFormat/>
    <w:rPr>
      <w:rFonts w:ascii="Times New Roman" w:hAnsi="Times New Roman" w:eastAsia="宋体" w:cs="Times New Roman"/>
      <w:sz w:val="20"/>
    </w:rPr>
  </w:style>
  <w:style w:type="character" w:styleId="1083" w:customStyle="1">
    <w:name w:val="font21"/>
    <w:qFormat/>
    <w:rPr>
      <w:rFonts w:hint="eastAsia" w:ascii="宋体" w:hAnsi="宋体" w:eastAsia="宋体" w:cs="宋体"/>
      <w:color w:val="ff0000"/>
      <w:sz w:val="24"/>
      <w:szCs w:val="24"/>
      <w:u w:val="none"/>
    </w:rPr>
  </w:style>
  <w:style w:type="character" w:styleId="1084" w:customStyle="1">
    <w:name w:val="apple-converted-space"/>
    <w:qFormat/>
    <w:rPr>
      <w:rFonts w:ascii="Times New Roman" w:hAnsi="Times New Roman" w:eastAsia="宋体" w:cs="Times New Roman"/>
      <w:sz w:val="20"/>
    </w:rPr>
  </w:style>
  <w:style w:type="character" w:styleId="1085" w:customStyle="1">
    <w:name w:val="纯文本 Char1"/>
    <w:qFormat/>
    <w:rPr>
      <w:rFonts w:ascii="Times New Roman" w:hAnsi="Times New Roman" w:eastAsia="宋体" w:cs="Times New Roman"/>
      <w:sz w:val="20"/>
    </w:rPr>
  </w:style>
  <w:style w:type="character" w:styleId="1086" w:customStyle="1">
    <w:name w:val="para1"/>
    <w:qFormat/>
    <w:rPr>
      <w:rFonts w:ascii="Times New Roman" w:hAnsi="Times New Roman" w:eastAsia="宋体" w:cs="Times New Roman"/>
      <w:sz w:val="20"/>
    </w:rPr>
  </w:style>
  <w:style w:type="character" w:styleId="1087" w:customStyle="1">
    <w:name w:val="HTML 预设格式 Char1"/>
    <w:qFormat/>
    <w:rPr>
      <w:rFonts w:ascii="Times New Roman" w:hAnsi="Times New Roman" w:eastAsia="宋体" w:cs="Times New Roman"/>
      <w:sz w:val="20"/>
    </w:rPr>
  </w:style>
  <w:style w:type="character" w:styleId="1088" w:customStyle="1">
    <w:name w:val="批注文字 Char"/>
    <w:qFormat/>
    <w:rPr>
      <w:rFonts w:ascii="Times New Roman" w:hAnsi="Times New Roman" w:eastAsia="宋体" w:cs="Times New Roman"/>
      <w:sz w:val="20"/>
    </w:rPr>
  </w:style>
  <w:style w:type="character" w:styleId="1089" w:customStyle="1">
    <w:name w:val="文档结构图 Char"/>
    <w:qFormat/>
    <w:rPr>
      <w:rFonts w:ascii="Times New Roman" w:hAnsi="Times New Roman" w:eastAsia="宋体" w:cs="Times New Roman"/>
      <w:sz w:val="20"/>
    </w:rPr>
  </w:style>
  <w:style w:type="character" w:styleId="1090" w:customStyle="1">
    <w:name w:val="超级链接"/>
    <w:qFormat/>
    <w:rPr>
      <w:rFonts w:ascii="Times New Roman" w:hAnsi="Times New Roman" w:eastAsia="宋体" w:cs="Times New Roman"/>
      <w:color w:val="0000ff"/>
      <w:sz w:val="20"/>
      <w:u w:val="single"/>
    </w:rPr>
  </w:style>
  <w:style w:type="character" w:styleId="1091" w:customStyle="1">
    <w:name w:val="p141"/>
    <w:qFormat/>
    <w:rPr>
      <w:rFonts w:ascii="Times New Roman" w:hAnsi="Times New Roman" w:eastAsia="宋体" w:cs="Times New Roman"/>
      <w:color w:val="000000"/>
      <w:sz w:val="20"/>
      <w:u w:val="none"/>
    </w:rPr>
  </w:style>
  <w:style w:type="character" w:styleId="1092" w:customStyle="1">
    <w:name w:val="宏文本 Char"/>
    <w:qFormat/>
    <w:rPr>
      <w:rFonts w:ascii="Times New Roman" w:hAnsi="Times New Roman" w:eastAsia="宋体" w:cs="Times New Roman"/>
      <w:sz w:val="20"/>
    </w:rPr>
  </w:style>
  <w:style w:type="character" w:styleId="1093" w:customStyle="1">
    <w:name w:val="_Style 313"/>
    <w:qFormat/>
    <w:rPr>
      <w:rFonts w:ascii="Times New Roman" w:hAnsi="Times New Roman" w:eastAsia="宋体" w:cs="Times New Roman"/>
      <w:b/>
      <w:i/>
      <w:sz w:val="21"/>
    </w:rPr>
  </w:style>
  <w:style w:type="character" w:styleId="1094" w:customStyle="1">
    <w:name w:val="页脚 Char1"/>
    <w:qFormat/>
    <w:rPr>
      <w:rFonts w:ascii="Times New Roman" w:hAnsi="Times New Roman" w:eastAsia="宋体" w:cs="Times New Roman"/>
      <w:sz w:val="20"/>
    </w:rPr>
  </w:style>
  <w:style w:type="character" w:styleId="1095" w:customStyle="1">
    <w:name w:val="页眉 Char"/>
    <w:qFormat/>
    <w:rPr>
      <w:rFonts w:ascii="Times New Roman" w:hAnsi="Times New Roman" w:eastAsia="宋体" w:cs="Times New Roman"/>
      <w:sz w:val="20"/>
    </w:rPr>
  </w:style>
  <w:style w:type="character" w:styleId="1096" w:customStyle="1">
    <w:name w:val="标题 7 Char"/>
    <w:qFormat/>
    <w:rPr>
      <w:rFonts w:ascii="Times New Roman" w:hAnsi="Times New Roman" w:eastAsia="宋体" w:cs="Times New Roman"/>
      <w:b/>
      <w:sz w:val="20"/>
    </w:rPr>
  </w:style>
  <w:style w:type="character" w:styleId="1097" w:customStyle="1">
    <w:name w:val="Char Char12"/>
    <w:qFormat/>
    <w:rPr>
      <w:rFonts w:ascii="Times New Roman" w:hAnsi="Times New Roman" w:eastAsia="宋体" w:cs="Times New Roman"/>
      <w:sz w:val="20"/>
    </w:rPr>
  </w:style>
  <w:style w:type="character" w:styleId="1098" w:customStyle="1">
    <w:name w:val="标题 3 Char"/>
    <w:qFormat/>
    <w:rPr>
      <w:rFonts w:ascii="Times New Roman" w:hAnsi="Times New Roman" w:eastAsia="宋体" w:cs="Times New Roman"/>
      <w:b/>
      <w:sz w:val="20"/>
    </w:rPr>
  </w:style>
  <w:style w:type="character" w:styleId="1099" w:customStyle="1">
    <w:name w:val="正文（首行缩进 2 字符） Char Char"/>
    <w:qFormat/>
    <w:rPr>
      <w:rFonts w:ascii="Times New Roman" w:hAnsi="Times New Roman" w:eastAsia="宋体" w:cs="Times New Roman"/>
      <w:sz w:val="20"/>
    </w:rPr>
  </w:style>
  <w:style w:type="character" w:styleId="1100" w:customStyle="1">
    <w:name w:val="表格用 Char Char"/>
    <w:qFormat/>
    <w:rPr>
      <w:rFonts w:ascii="Times New Roman" w:hAnsi="Times New Roman" w:eastAsia="宋体" w:cs="Times New Roman"/>
      <w:sz w:val="20"/>
    </w:rPr>
  </w:style>
  <w:style w:type="character" w:styleId="1101" w:customStyle="1">
    <w:name w:val="正文文本缩进 3 Char1"/>
    <w:qFormat/>
    <w:rPr>
      <w:rFonts w:ascii="Times New Roman" w:hAnsi="Times New Roman" w:eastAsia="宋体" w:cs="Times New Roman"/>
      <w:sz w:val="20"/>
    </w:rPr>
  </w:style>
  <w:style w:type="character" w:styleId="1102" w:customStyle="1">
    <w:name w:val="正文缩进 Char"/>
    <w:qFormat/>
    <w:rPr>
      <w:rFonts w:ascii="Times New Roman" w:hAnsi="Times New Roman" w:eastAsia="宋体" w:cs="Times New Roman"/>
      <w:sz w:val="20"/>
    </w:rPr>
  </w:style>
  <w:style w:type="character" w:styleId="1103" w:customStyle="1">
    <w:name w:val="批注框文本 Char1"/>
    <w:qFormat/>
    <w:rPr>
      <w:rFonts w:ascii="Times New Roman" w:hAnsi="Times New Roman" w:eastAsia="宋体" w:cs="Times New Roman"/>
      <w:sz w:val="20"/>
    </w:rPr>
  </w:style>
  <w:style w:type="character" w:styleId="1104" w:customStyle="1">
    <w:name w:val="Char Char13"/>
    <w:qFormat/>
    <w:rPr>
      <w:rFonts w:ascii="Times New Roman" w:hAnsi="Times New Roman" w:eastAsia="宋体" w:cs="Times New Roman"/>
      <w:sz w:val="20"/>
    </w:rPr>
  </w:style>
  <w:style w:type="character" w:styleId="1105" w:customStyle="1">
    <w:name w:val="样式2 Char"/>
    <w:qFormat/>
    <w:rPr>
      <w:rFonts w:ascii="Times New Roman" w:hAnsi="Times New Roman" w:eastAsia="宋体" w:cs="Times New Roman"/>
      <w:b/>
      <w:sz w:val="20"/>
    </w:rPr>
  </w:style>
  <w:style w:type="character" w:styleId="1106" w:customStyle="1">
    <w:name w:val="页脚 Char"/>
    <w:qFormat/>
    <w:rPr>
      <w:rFonts w:ascii="Times New Roman" w:hAnsi="Times New Roman" w:eastAsia="宋体" w:cs="Times New Roman"/>
      <w:sz w:val="20"/>
    </w:rPr>
  </w:style>
  <w:style w:type="character" w:styleId="1107" w:customStyle="1">
    <w:name w:val="标准文本 Char"/>
    <w:qFormat/>
    <w:rPr>
      <w:rFonts w:ascii="Times New Roman" w:hAnsi="Times New Roman" w:eastAsia="宋体" w:cs="Times New Roman"/>
      <w:sz w:val="20"/>
    </w:rPr>
  </w:style>
  <w:style w:type="character" w:styleId="1108" w:customStyle="1">
    <w:name w:val="font01"/>
    <w:qFormat/>
    <w:rPr>
      <w:rFonts w:hint="eastAsia" w:ascii="宋体" w:hAnsi="宋体" w:eastAsia="宋体" w:cs="宋体"/>
      <w:color w:val="000000"/>
      <w:sz w:val="24"/>
      <w:szCs w:val="24"/>
      <w:u w:val="none"/>
    </w:rPr>
  </w:style>
  <w:style w:type="character" w:styleId="1109" w:customStyle="1">
    <w:name w:val="标题 3 Char1"/>
    <w:qFormat/>
    <w:rPr>
      <w:rFonts w:ascii="Times New Roman" w:hAnsi="Times New Roman" w:eastAsia="宋体" w:cs="Times New Roman"/>
      <w:b/>
      <w:sz w:val="20"/>
      <w:u w:val="single"/>
    </w:rPr>
  </w:style>
  <w:style w:type="character" w:styleId="1110" w:customStyle="1">
    <w:name w:val="表格 Char Char"/>
    <w:qFormat/>
    <w:rPr>
      <w:rFonts w:ascii="Times New Roman" w:hAnsi="Times New Roman" w:eastAsia="宋体" w:cs="Times New Roman"/>
      <w:sz w:val="20"/>
    </w:rPr>
  </w:style>
  <w:style w:type="character" w:styleId="1111" w:customStyle="1">
    <w:name w:val="正文首行缩进 Char"/>
    <w:qFormat/>
    <w:rPr>
      <w:rFonts w:ascii="Times New Roman" w:hAnsi="Times New Roman" w:eastAsia="宋体" w:cs="Times New Roman"/>
      <w:sz w:val="20"/>
    </w:rPr>
  </w:style>
  <w:style w:type="character" w:styleId="1112" w:customStyle="1">
    <w:name w:val="标题 9 Char"/>
    <w:qFormat/>
    <w:rPr>
      <w:rFonts w:ascii="Times New Roman" w:hAnsi="Times New Roman" w:eastAsia="宋体" w:cs="Times New Roman"/>
      <w:sz w:val="20"/>
    </w:rPr>
  </w:style>
  <w:style w:type="character" w:styleId="1113" w:customStyle="1">
    <w:name w:val="lh151"/>
    <w:qFormat/>
    <w:rPr>
      <w:rFonts w:ascii="Times New Roman" w:hAnsi="Times New Roman" w:eastAsia="宋体" w:cs="Times New Roman"/>
      <w:color w:val="666666"/>
      <w:sz w:val="20"/>
    </w:rPr>
  </w:style>
  <w:style w:type="character" w:styleId="1114" w:customStyle="1">
    <w:name w:val="日期 Char1"/>
    <w:qFormat/>
    <w:rPr>
      <w:rFonts w:ascii="Times New Roman" w:hAnsi="Times New Roman" w:eastAsia="宋体" w:cs="Times New Roman"/>
      <w:sz w:val="20"/>
    </w:rPr>
  </w:style>
  <w:style w:type="character" w:styleId="1115" w:customStyle="1">
    <w:name w:val="图片 Char Char"/>
    <w:qFormat/>
    <w:rPr>
      <w:rFonts w:ascii="Times New Roman" w:hAnsi="Times New Roman" w:eastAsia="宋体" w:cs="Times New Roman"/>
      <w:sz w:val="20"/>
    </w:rPr>
  </w:style>
  <w:style w:type="character" w:styleId="1116" w:customStyle="1">
    <w:name w:val="批注框文本 字符"/>
    <w:qFormat/>
    <w:rPr>
      <w:rFonts w:ascii="Times New Roman" w:hAnsi="Times New Roman" w:eastAsia="宋体" w:cs="Times New Roman"/>
      <w:sz w:val="20"/>
    </w:rPr>
  </w:style>
  <w:style w:type="character" w:styleId="1117" w:customStyle="1">
    <w:name w:val="HTML 预设格式 Char"/>
    <w:qFormat/>
    <w:rPr>
      <w:rFonts w:ascii="Times New Roman" w:hAnsi="Times New Roman" w:eastAsia="宋体" w:cs="Times New Roman"/>
      <w:sz w:val="20"/>
    </w:rPr>
  </w:style>
  <w:style w:type="character" w:styleId="1118" w:customStyle="1">
    <w:name w:val="列出段落 Char"/>
    <w:qFormat/>
    <w:rPr>
      <w:rFonts w:ascii="Times New Roman" w:hAnsi="Times New Roman" w:eastAsia="宋体" w:cs="Times New Roman"/>
      <w:sz w:val="20"/>
    </w:rPr>
  </w:style>
  <w:style w:type="character" w:styleId="1119" w:customStyle="1">
    <w:name w:val="标题 5 Char"/>
    <w:qFormat/>
    <w:rPr>
      <w:rFonts w:ascii="Times New Roman" w:hAnsi="Times New Roman" w:eastAsia="宋体" w:cs="Times New Roman"/>
      <w:b/>
      <w:sz w:val="20"/>
    </w:rPr>
  </w:style>
  <w:style w:type="character" w:styleId="1120" w:customStyle="1">
    <w:name w:val="链接"/>
    <w:qFormat/>
    <w:rPr>
      <w:rFonts w:ascii="Times New Roman" w:hAnsi="Times New Roman" w:eastAsia="宋体" w:cs="Times New Roman"/>
      <w:color w:val="0000ff"/>
      <w:sz w:val="20"/>
      <w:u w:val="single"/>
    </w:rPr>
  </w:style>
  <w:style w:type="character" w:styleId="1121" w:customStyle="1">
    <w:name w:val="18h1"/>
    <w:qFormat/>
    <w:rPr>
      <w:rFonts w:ascii="Times New Roman" w:hAnsi="Times New Roman" w:eastAsia="宋体" w:cs="Times New Roman"/>
      <w:color w:val="3b3b3b"/>
      <w:sz w:val="20"/>
    </w:rPr>
  </w:style>
  <w:style w:type="character" w:styleId="1122" w:customStyle="1">
    <w:name w:val="表格文字（两侧对齐） Char Char"/>
    <w:qFormat/>
    <w:rPr>
      <w:rFonts w:ascii="Times New Roman" w:hAnsi="Times New Roman" w:eastAsia="宋体" w:cs="Times New Roman"/>
      <w:sz w:val="20"/>
    </w:rPr>
  </w:style>
  <w:style w:type="character" w:styleId="1123" w:customStyle="1">
    <w:name w:val="正文文本缩进 2 Char"/>
    <w:qFormat/>
    <w:rPr>
      <w:rFonts w:ascii="Times New Roman" w:hAnsi="Times New Roman" w:eastAsia="宋体" w:cs="Times New Roman"/>
      <w:sz w:val="20"/>
    </w:rPr>
  </w:style>
  <w:style w:type="character" w:styleId="1124" w:customStyle="1">
    <w:name w:val="Char Char14"/>
    <w:qFormat/>
    <w:rPr>
      <w:rFonts w:ascii="Times New Roman" w:hAnsi="Times New Roman" w:eastAsia="宋体" w:cs="Times New Roman"/>
      <w:sz w:val="20"/>
    </w:rPr>
  </w:style>
  <w:style w:type="character" w:styleId="1125" w:customStyle="1">
    <w:name w:val="标题 1 Char1"/>
    <w:qFormat/>
    <w:rPr>
      <w:rFonts w:ascii="Times New Roman" w:hAnsi="Times New Roman" w:eastAsia="宋体" w:cs="Times New Roman"/>
      <w:b/>
      <w:sz w:val="20"/>
    </w:rPr>
  </w:style>
  <w:style w:type="character" w:styleId="1126" w:customStyle="1">
    <w:name w:val="批注框文本 Char"/>
    <w:qFormat/>
    <w:rPr>
      <w:rFonts w:ascii="Times New Roman" w:hAnsi="Times New Roman" w:eastAsia="宋体" w:cs="Times New Roman"/>
      <w:sz w:val="20"/>
    </w:rPr>
  </w:style>
  <w:style w:type="character" w:styleId="1127" w:customStyle="1">
    <w:name w:val="apple-style-span"/>
    <w:qFormat/>
    <w:rPr>
      <w:rFonts w:ascii="Times New Roman" w:hAnsi="Times New Roman" w:eastAsia="宋体" w:cs="Times New Roman"/>
      <w:sz w:val="20"/>
    </w:rPr>
  </w:style>
  <w:style w:type="character" w:styleId="1128" w:customStyle="1">
    <w:name w:val="插图 Char Char"/>
    <w:qFormat/>
    <w:rPr>
      <w:rFonts w:ascii="Times New Roman" w:hAnsi="Times New Roman" w:eastAsia="宋体" w:cs="Times New Roman"/>
      <w:sz w:val="20"/>
    </w:rPr>
  </w:style>
  <w:style w:type="character" w:styleId="1129" w:customStyle="1">
    <w:name w:val="标题 2 Char1"/>
    <w:qFormat/>
    <w:rPr>
      <w:rFonts w:ascii="Times New Roman" w:hAnsi="Times New Roman" w:eastAsia="宋体" w:cs="Times New Roman"/>
      <w:b/>
      <w:sz w:val="20"/>
    </w:rPr>
  </w:style>
  <w:style w:type="character" w:styleId="1130" w:customStyle="1">
    <w:name w:val="_Style 332"/>
    <w:qFormat/>
    <w:rPr>
      <w:rFonts w:ascii="Times New Roman" w:hAnsi="Times New Roman" w:eastAsia="宋体" w:cs="Times New Roman"/>
      <w:i/>
      <w:color w:val="auto"/>
      <w:sz w:val="21"/>
    </w:rPr>
  </w:style>
  <w:style w:type="character" w:styleId="1131" w:customStyle="1">
    <w:name w:val="正文文本 3 Char1"/>
    <w:qFormat/>
    <w:rPr>
      <w:rFonts w:ascii="Times New Roman" w:hAnsi="Times New Roman" w:eastAsia="宋体" w:cs="Times New Roman"/>
      <w:sz w:val="20"/>
    </w:rPr>
  </w:style>
  <w:style w:type="character" w:styleId="1132" w:customStyle="1">
    <w:name w:val="标题 5 Char1"/>
    <w:qFormat/>
    <w:rPr>
      <w:rFonts w:ascii="Times New Roman" w:hAnsi="Times New Roman" w:eastAsia="宋体" w:cs="Times New Roman"/>
      <w:b/>
      <w:sz w:val="20"/>
    </w:rPr>
  </w:style>
  <w:style w:type="character" w:styleId="1133" w:customStyle="1">
    <w:name w:val="批注主题 Char"/>
    <w:qFormat/>
    <w:rPr>
      <w:rFonts w:ascii="Times New Roman" w:hAnsi="Times New Roman" w:eastAsia="宋体" w:cs="Times New Roman"/>
      <w:b/>
      <w:sz w:val="20"/>
    </w:rPr>
  </w:style>
  <w:style w:type="character" w:styleId="1134" w:customStyle="1">
    <w:name w:val="标题 1 Char"/>
    <w:qFormat/>
    <w:rPr>
      <w:rFonts w:ascii="Times New Roman" w:hAnsi="Times New Roman" w:eastAsia="宋体" w:cs="Times New Roman"/>
      <w:b/>
      <w:sz w:val="20"/>
    </w:rPr>
  </w:style>
  <w:style w:type="character" w:styleId="1135" w:customStyle="1">
    <w:name w:val="正文文本 2 Char1"/>
    <w:qFormat/>
    <w:rPr>
      <w:rFonts w:ascii="Times New Roman" w:hAnsi="Times New Roman" w:eastAsia="宋体" w:cs="Times New Roman"/>
      <w:sz w:val="20"/>
    </w:rPr>
  </w:style>
  <w:style w:type="character" w:styleId="1136" w:customStyle="1">
    <w:name w:val="标题 4 Char1"/>
    <w:qFormat/>
    <w:rPr>
      <w:rFonts w:ascii="Times New Roman" w:hAnsi="Times New Roman" w:eastAsia="宋体" w:cs="Times New Roman"/>
      <w:b/>
      <w:sz w:val="20"/>
    </w:rPr>
  </w:style>
  <w:style w:type="character" w:styleId="1137" w:customStyle="1">
    <w:name w:val="正文文本 2 Char"/>
    <w:qFormat/>
    <w:rPr>
      <w:rFonts w:ascii="Times New Roman" w:hAnsi="Times New Roman" w:eastAsia="宋体" w:cs="Times New Roman"/>
      <w:sz w:val="20"/>
    </w:rPr>
  </w:style>
  <w:style w:type="character" w:styleId="1138" w:customStyle="1">
    <w:name w:val="_Style 376"/>
    <w:qFormat/>
    <w:rPr>
      <w:rFonts w:ascii="Times New Roman" w:hAnsi="Times New Roman" w:eastAsia="宋体" w:cs="Times New Roman"/>
      <w:b/>
      <w:color w:val="auto"/>
      <w:sz w:val="21"/>
    </w:rPr>
  </w:style>
  <w:style w:type="character" w:styleId="1139" w:customStyle="1">
    <w:name w:val="062"/>
    <w:qFormat/>
    <w:rPr>
      <w:rFonts w:ascii="Times New Roman" w:hAnsi="Times New Roman" w:eastAsia="宋体" w:cs="Times New Roman"/>
      <w:b/>
      <w:sz w:val="20"/>
    </w:rPr>
  </w:style>
  <w:style w:type="character" w:styleId="1140" w:customStyle="1">
    <w:name w:val="正文文本 Char1"/>
    <w:qFormat/>
    <w:rPr>
      <w:rFonts w:ascii="Times New Roman" w:hAnsi="Times New Roman" w:eastAsia="宋体" w:cs="Times New Roman"/>
      <w:sz w:val="20"/>
    </w:rPr>
  </w:style>
  <w:style w:type="character" w:styleId="1141" w:customStyle="1">
    <w:name w:val="题注 Char"/>
    <w:qFormat/>
    <w:rPr>
      <w:rFonts w:ascii="Times New Roman" w:hAnsi="Times New Roman" w:eastAsia="宋体" w:cs="Times New Roman"/>
      <w:sz w:val="20"/>
    </w:rPr>
  </w:style>
  <w:style w:type="character" w:styleId="1142" w:customStyle="1">
    <w:name w:val="脚注文本 Char"/>
    <w:qFormat/>
    <w:rPr>
      <w:rFonts w:ascii="Times New Roman" w:hAnsi="Times New Roman" w:eastAsia="宋体" w:cs="Times New Roman"/>
      <w:sz w:val="20"/>
    </w:rPr>
  </w:style>
  <w:style w:type="character" w:styleId="1143" w:customStyle="1">
    <w:name w:val="_Style 336"/>
    <w:qFormat/>
    <w:rPr>
      <w:rFonts w:ascii="Times New Roman" w:hAnsi="Times New Roman" w:eastAsia="宋体" w:cs="Times New Roman"/>
      <w:i/>
      <w:color w:val="auto"/>
      <w:sz w:val="21"/>
    </w:rPr>
  </w:style>
  <w:style w:type="character" w:styleId="1144" w:customStyle="1">
    <w:name w:val="表格 Char"/>
    <w:qFormat/>
    <w:rPr>
      <w:rFonts w:ascii="Times New Roman" w:hAnsi="Times New Roman" w:eastAsia="宋体" w:cs="Times New Roman"/>
      <w:color w:val="000000"/>
      <w:sz w:val="20"/>
    </w:rPr>
  </w:style>
  <w:style w:type="character" w:styleId="1145" w:customStyle="1">
    <w:name w:val="批注主题 字符"/>
    <w:uiPriority w:val="99"/>
    <w:qFormat/>
    <w:rPr>
      <w:rFonts w:ascii="Times New Roman" w:hAnsi="Times New Roman" w:eastAsia="宋体" w:cs="Times New Roman"/>
      <w:b/>
      <w:sz w:val="20"/>
    </w:rPr>
  </w:style>
  <w:style w:type="character" w:styleId="1146" w:customStyle="1">
    <w:name w:val="图注 Char Char"/>
    <w:qFormat/>
    <w:rPr>
      <w:rFonts w:ascii="Times New Roman" w:hAnsi="Times New Roman" w:eastAsia="宋体" w:cs="Times New Roman"/>
      <w:sz w:val="20"/>
    </w:rPr>
  </w:style>
  <w:style w:type="character" w:styleId="1147" w:customStyle="1">
    <w:name w:val="页码1"/>
    <w:qFormat/>
    <w:rPr>
      <w:rFonts w:ascii="Times New Roman" w:hAnsi="Times New Roman" w:eastAsia="宋体" w:cs="Times New Roman"/>
      <w:sz w:val="20"/>
    </w:rPr>
  </w:style>
  <w:style w:type="character" w:styleId="1148" w:customStyle="1">
    <w:name w:val="列表框1 Char Char"/>
    <w:qFormat/>
    <w:rPr>
      <w:rFonts w:ascii="Times New Roman" w:hAnsi="Times New Roman" w:eastAsia="宋体" w:cs="Times New Roman"/>
      <w:sz w:val="20"/>
    </w:rPr>
  </w:style>
  <w:style w:type="character" w:styleId="1149" w:customStyle="1">
    <w:name w:val="1ji Char"/>
    <w:qFormat/>
    <w:rPr>
      <w:rFonts w:ascii="Times New Roman" w:hAnsi="Times New Roman" w:eastAsia="宋体" w:cs="Times New Roman"/>
      <w:b/>
      <w:sz w:val="20"/>
    </w:rPr>
  </w:style>
  <w:style w:type="character" w:styleId="1150" w:customStyle="1">
    <w:name w:val="正文文本缩进 Char"/>
    <w:qFormat/>
    <w:rPr>
      <w:rFonts w:ascii="Times New Roman" w:hAnsi="Times New Roman" w:eastAsia="宋体" w:cs="Times New Roman"/>
      <w:sz w:val="20"/>
    </w:rPr>
  </w:style>
  <w:style w:type="character" w:styleId="1151" w:customStyle="1">
    <w:name w:val="标准文本 Char Char"/>
    <w:qFormat/>
    <w:rPr>
      <w:rFonts w:ascii="Times New Roman" w:hAnsi="Times New Roman" w:eastAsia="宋体" w:cs="Times New Roman"/>
      <w:sz w:val="20"/>
    </w:rPr>
  </w:style>
  <w:style w:type="character" w:styleId="1152" w:customStyle="1">
    <w:name w:val="表格用 Char"/>
    <w:qFormat/>
    <w:rPr>
      <w:rFonts w:ascii="Times New Roman" w:hAnsi="Times New Roman" w:eastAsia="宋体" w:cs="Times New Roman"/>
      <w:color w:val="000000"/>
      <w:sz w:val="20"/>
    </w:rPr>
  </w:style>
  <w:style w:type="character" w:styleId="1153" w:customStyle="1">
    <w:name w:val="标题 7 Char1"/>
    <w:qFormat/>
    <w:rPr>
      <w:rFonts w:ascii="Times New Roman" w:hAnsi="Times New Roman" w:eastAsia="宋体" w:cs="Times New Roman"/>
      <w:b/>
      <w:sz w:val="20"/>
    </w:rPr>
  </w:style>
  <w:style w:type="character" w:styleId="1154" w:customStyle="1">
    <w:name w:val="H 3 Char"/>
    <w:qFormat/>
    <w:rPr>
      <w:rFonts w:ascii="Times New Roman" w:hAnsi="Times New Roman" w:eastAsia="宋体" w:cs="Times New Roman"/>
      <w:b/>
      <w:sz w:val="20"/>
    </w:rPr>
  </w:style>
  <w:style w:type="character" w:styleId="1155" w:customStyle="1">
    <w:name w:val="正文文本缩进 3 字符"/>
    <w:qFormat/>
    <w:rPr>
      <w:rFonts w:ascii="Times New Roman" w:hAnsi="Times New Roman" w:eastAsia="宋体" w:cs="Times New Roman"/>
      <w:sz w:val="16"/>
      <w:szCs w:val="16"/>
    </w:rPr>
  </w:style>
  <w:style w:type="character" w:styleId="1156" w:customStyle="1">
    <w:name w:val="标题 Char"/>
    <w:qFormat/>
    <w:rPr>
      <w:rFonts w:ascii="Times New Roman" w:hAnsi="Times New Roman" w:eastAsia="宋体" w:cs="Times New Roman"/>
      <w:b/>
      <w:sz w:val="20"/>
    </w:rPr>
  </w:style>
  <w:style w:type="character" w:styleId="1157" w:customStyle="1">
    <w:name w:val="H 4 Char"/>
    <w:qFormat/>
    <w:rPr>
      <w:rFonts w:ascii="Times New Roman" w:hAnsi="Times New Roman" w:eastAsia="宋体" w:cs="Times New Roman"/>
      <w:b/>
      <w:sz w:val="20"/>
    </w:rPr>
  </w:style>
  <w:style w:type="character" w:styleId="1158" w:customStyle="1">
    <w:name w:val="批注主题 Char1"/>
    <w:qFormat/>
    <w:rPr>
      <w:rFonts w:ascii="Times New Roman" w:hAnsi="Times New Roman" w:eastAsia="宋体" w:cs="Times New Roman"/>
      <w:b/>
      <w:sz w:val="20"/>
    </w:rPr>
  </w:style>
  <w:style w:type="character" w:styleId="1159" w:customStyle="1">
    <w:name w:val="正文文本缩进 Char1"/>
    <w:qFormat/>
    <w:rPr>
      <w:rFonts w:ascii="Times New Roman" w:hAnsi="Times New Roman" w:eastAsia="宋体" w:cs="Times New Roman"/>
      <w:sz w:val="20"/>
    </w:rPr>
  </w:style>
  <w:style w:type="character" w:styleId="1160" w:customStyle="1">
    <w:name w:val="正文文本 3 Char"/>
    <w:qFormat/>
    <w:rPr>
      <w:rFonts w:ascii="Times New Roman" w:hAnsi="Times New Roman" w:eastAsia="宋体" w:cs="Times New Roman"/>
      <w:sz w:val="20"/>
    </w:rPr>
  </w:style>
  <w:style w:type="character" w:styleId="1161" w:customStyle="1">
    <w:name w:val="正文首行缩进 2 Char"/>
    <w:qFormat/>
    <w:rPr>
      <w:rFonts w:ascii="Times New Roman" w:hAnsi="Times New Roman" w:eastAsia="宋体" w:cs="Times New Roman"/>
      <w:sz w:val="20"/>
    </w:rPr>
  </w:style>
  <w:style w:type="character" w:styleId="1162" w:customStyle="1">
    <w:name w:val="页眉 Char1"/>
    <w:qFormat/>
    <w:rPr>
      <w:rFonts w:ascii="Times New Roman" w:hAnsi="Times New Roman" w:eastAsia="宋体" w:cs="Times New Roman"/>
      <w:sz w:val="20"/>
    </w:rPr>
  </w:style>
  <w:style w:type="character" w:styleId="1163" w:customStyle="1">
    <w:name w:val="Char Char2"/>
    <w:qFormat/>
    <w:rPr>
      <w:rFonts w:ascii="Times New Roman" w:hAnsi="Times New Roman" w:eastAsia="宋体" w:cs="Times New Roman"/>
      <w:sz w:val="20"/>
    </w:rPr>
  </w:style>
  <w:style w:type="character" w:styleId="1164" w:customStyle="1">
    <w:name w:val="样式 首行缩进:  2 字符 Char1"/>
    <w:qFormat/>
    <w:rPr>
      <w:rFonts w:ascii="Times New Roman" w:hAnsi="Times New Roman" w:eastAsia="宋体" w:cs="Times New Roman"/>
      <w:sz w:val="20"/>
    </w:rPr>
  </w:style>
  <w:style w:type="character" w:styleId="1165" w:customStyle="1">
    <w:name w:val="标题 2 Char"/>
    <w:qFormat/>
    <w:rPr>
      <w:rFonts w:ascii="Times New Roman" w:hAnsi="Times New Roman" w:eastAsia="宋体" w:cs="Times New Roman"/>
      <w:b/>
      <w:sz w:val="20"/>
    </w:rPr>
  </w:style>
  <w:style w:type="character" w:styleId="1166" w:customStyle="1">
    <w:name w:val="表格文字图表文字 Char Char"/>
    <w:qFormat/>
    <w:rPr>
      <w:rFonts w:ascii="Times New Roman" w:hAnsi="Times New Roman" w:eastAsia="宋体" w:cs="Times New Roman"/>
      <w:sz w:val="20"/>
    </w:rPr>
  </w:style>
  <w:style w:type="character" w:styleId="1167" w:customStyle="1">
    <w:name w:val="图片 Char"/>
    <w:qFormat/>
    <w:rPr>
      <w:rFonts w:ascii="Times New Roman" w:hAnsi="Times New Roman" w:eastAsia="宋体" w:cs="Times New Roman"/>
      <w:sz w:val="20"/>
    </w:rPr>
  </w:style>
  <w:style w:type="character" w:styleId="1168" w:customStyle="1">
    <w:name w:val="标题 6 Char"/>
    <w:qFormat/>
    <w:rPr>
      <w:rFonts w:ascii="Times New Roman" w:hAnsi="Times New Roman" w:eastAsia="宋体" w:cs="Times New Roman"/>
      <w:b/>
      <w:sz w:val="20"/>
    </w:rPr>
  </w:style>
  <w:style w:type="character" w:styleId="1169" w:customStyle="1">
    <w:name w:val="标题 4 Char"/>
    <w:qFormat/>
    <w:rPr>
      <w:rFonts w:ascii="Times New Roman" w:hAnsi="Times New Roman" w:eastAsia="宋体" w:cs="Times New Roman"/>
      <w:b/>
      <w:sz w:val="20"/>
    </w:rPr>
  </w:style>
  <w:style w:type="character" w:styleId="1170" w:customStyle="1">
    <w:name w:val="文档结构图 Char1"/>
    <w:qFormat/>
    <w:rPr>
      <w:rFonts w:ascii="Times New Roman" w:hAnsi="Times New Roman" w:eastAsia="宋体" w:cs="Times New Roman"/>
      <w:sz w:val="20"/>
    </w:rPr>
  </w:style>
  <w:style w:type="character" w:styleId="1171" w:customStyle="1">
    <w:name w:val="项目符0 Char"/>
    <w:qFormat/>
    <w:rPr>
      <w:rFonts w:ascii="Times New Roman" w:hAnsi="Times New Roman" w:eastAsia="宋体" w:cs="Times New Roman"/>
      <w:sz w:val="20"/>
    </w:rPr>
  </w:style>
  <w:style w:type="character" w:styleId="1172" w:customStyle="1">
    <w:name w:val="正文文本缩进 3 Char"/>
    <w:qFormat/>
    <w:rPr>
      <w:rFonts w:ascii="Times New Roman" w:hAnsi="Times New Roman" w:eastAsia="宋体" w:cs="Times New Roman"/>
      <w:sz w:val="20"/>
    </w:rPr>
  </w:style>
  <w:style w:type="character" w:styleId="1173" w:customStyle="1">
    <w:name w:val="Char Char3"/>
    <w:qFormat/>
    <w:rPr>
      <w:rFonts w:ascii="Times New Roman" w:hAnsi="Times New Roman" w:eastAsia="宋体" w:cs="Times New Roman"/>
      <w:sz w:val="20"/>
    </w:rPr>
  </w:style>
  <w:style w:type="character" w:styleId="1174" w:customStyle="1">
    <w:name w:val="纯文本 Char"/>
    <w:qFormat/>
    <w:rPr>
      <w:rFonts w:ascii="Times New Roman" w:hAnsi="Times New Roman" w:eastAsia="宋体" w:cs="Times New Roman"/>
      <w:sz w:val="20"/>
    </w:rPr>
  </w:style>
  <w:style w:type="character" w:styleId="1175" w:customStyle="1">
    <w:name w:val="正文文本缩进 2 Char1"/>
    <w:qFormat/>
    <w:rPr>
      <w:rFonts w:ascii="Times New Roman" w:hAnsi="Times New Roman" w:eastAsia="宋体" w:cs="Times New Roman"/>
      <w:sz w:val="20"/>
    </w:rPr>
  </w:style>
  <w:style w:type="character" w:styleId="1176" w:customStyle="1">
    <w:name w:val="标题 8 Char"/>
    <w:qFormat/>
    <w:rPr>
      <w:rFonts w:ascii="Times New Roman" w:hAnsi="Times New Roman" w:eastAsia="宋体" w:cs="Times New Roman"/>
      <w:sz w:val="20"/>
    </w:rPr>
  </w:style>
  <w:style w:type="character" w:styleId="1177" w:customStyle="1">
    <w:name w:val="标题 6 Char1"/>
    <w:qFormat/>
    <w:rPr>
      <w:rFonts w:ascii="Times New Roman" w:hAnsi="Times New Roman" w:eastAsia="宋体" w:cs="Times New Roman"/>
      <w:b/>
      <w:sz w:val="20"/>
    </w:rPr>
  </w:style>
  <w:style w:type="character" w:styleId="1178" w:customStyle="1">
    <w:name w:val="case31"/>
    <w:qFormat/>
    <w:rPr>
      <w:rFonts w:ascii="Times New Roman" w:hAnsi="Times New Roman" w:eastAsia="宋体" w:cs="Times New Roman"/>
      <w:sz w:val="20"/>
    </w:rPr>
  </w:style>
  <w:style w:type="character" w:styleId="1179" w:customStyle="1">
    <w:name w:val="正文文本 Char"/>
    <w:qFormat/>
    <w:rPr>
      <w:rFonts w:ascii="Times New Roman" w:hAnsi="Times New Roman" w:eastAsia="宋体" w:cs="Times New Roman"/>
      <w:sz w:val="20"/>
    </w:rPr>
  </w:style>
  <w:style w:type="paragraph" w:styleId="1180" w:customStyle="1">
    <w:name w:val="节标题"/>
    <w:basedOn w:val="1000"/>
    <w:next w:val="1181"/>
    <w:qFormat/>
    <w:pPr>
      <w:ind w:left="0" w:firstLine="5120"/>
      <w:jc w:val="center"/>
      <w:spacing w:before="0" w:after="0" w:line="289" w:lineRule="atLeast"/>
    </w:pPr>
    <w:rPr>
      <w:rFonts w:ascii="Times New Roman" w:hAnsi="Times New Roman" w:cs="Times New Roman"/>
    </w:rPr>
  </w:style>
  <w:style w:type="paragraph" w:styleId="1181" w:customStyle="1">
    <w:name w:val="文档标题6"/>
    <w:basedOn w:val="1006"/>
    <w:next w:val="999"/>
    <w:qFormat/>
    <w:pPr>
      <w:ind w:left="1134" w:firstLine="20"/>
      <w:spacing w:before="280" w:after="280" w:line="360" w:lineRule="auto"/>
      <w:outlineLvl w:val="5"/>
    </w:pPr>
  </w:style>
  <w:style w:type="paragraph" w:styleId="1182" w:customStyle="1">
    <w:name w:val="正文段"/>
    <w:basedOn w:val="1000"/>
    <w:next w:val="1183"/>
    <w:qFormat/>
    <w:pPr>
      <w:ind w:left="454" w:firstLine="1222"/>
      <w:spacing w:before="0" w:after="240" w:line="240" w:lineRule="atLeast"/>
    </w:pPr>
    <w:rPr>
      <w:rFonts w:ascii="Times New Roman" w:hAnsi="Times New Roman" w:cs="Times New Roman"/>
    </w:rPr>
  </w:style>
  <w:style w:type="paragraph" w:styleId="1183" w:customStyle="1">
    <w:name w:val="批注主题1"/>
    <w:next w:val="999"/>
    <w:qFormat/>
    <w:pPr>
      <w:ind w:left="200" w:firstLine="4808"/>
      <w:spacing w:line="360" w:lineRule="auto"/>
    </w:pPr>
    <w:rPr>
      <w:rFonts w:ascii="Calibri" w:hAnsi="Calibri"/>
    </w:rPr>
  </w:style>
  <w:style w:type="paragraph" w:styleId="1184" w:customStyle="1">
    <w:name w:val="_Style 224"/>
    <w:next w:val="1185"/>
    <w:qFormat/>
    <w:pPr>
      <w:ind w:firstLine="3584"/>
    </w:pPr>
    <w:rPr>
      <w:rFonts w:ascii="Calibri" w:hAnsi="Calibri"/>
    </w:rPr>
  </w:style>
  <w:style w:type="paragraph" w:styleId="1185" w:customStyle="1">
    <w:name w:val="编号1"/>
    <w:basedOn w:val="1000"/>
    <w:next w:val="1186"/>
    <w:qFormat/>
    <w:pPr>
      <w:ind w:left="360" w:right="210" w:firstLine="2200"/>
      <w:spacing w:before="0" w:after="0" w:line="240" w:lineRule="auto"/>
    </w:pPr>
    <w:rPr>
      <w:rFonts w:ascii="Times New Roman" w:hAnsi="Times New Roman" w:cs="Times New Roman"/>
    </w:rPr>
  </w:style>
  <w:style w:type="paragraph" w:styleId="1186" w:customStyle="1">
    <w:name w:val="图片"/>
    <w:basedOn w:val="1000"/>
    <w:next w:val="1187"/>
    <w:qFormat/>
    <w:pPr>
      <w:ind w:left="-283" w:firstLine="2674"/>
      <w:jc w:val="center"/>
      <w:spacing w:before="0" w:after="0" w:line="360" w:lineRule="auto"/>
    </w:pPr>
    <w:rPr>
      <w:rFonts w:ascii="Times New Roman" w:hAnsi="Times New Roman" w:cs="Times New Roman"/>
    </w:rPr>
  </w:style>
  <w:style w:type="paragraph" w:styleId="1187" w:customStyle="1">
    <w:name w:val="样式 目录 3 + 左侧:  2 字符"/>
    <w:next w:val="1052"/>
    <w:qFormat/>
    <w:pPr>
      <w:ind w:left="400" w:firstLine="5120"/>
      <w:spacing w:line="360" w:lineRule="auto"/>
      <w:widowControl w:val="off"/>
    </w:pPr>
    <w:rPr>
      <w:rFonts w:ascii="Calibri" w:hAnsi="Calibri"/>
    </w:rPr>
  </w:style>
  <w:style w:type="paragraph" w:styleId="1188" w:customStyle="1">
    <w:name w:val="图注"/>
    <w:next w:val="1189"/>
    <w:qFormat/>
    <w:pPr>
      <w:ind w:left="360" w:firstLine="2152"/>
      <w:jc w:val="center"/>
    </w:pPr>
    <w:rPr>
      <w:rFonts w:ascii="Calibri" w:hAnsi="Calibri"/>
    </w:rPr>
  </w:style>
  <w:style w:type="paragraph" w:styleId="1189" w:customStyle="1">
    <w:name w:val="列表编号 41"/>
    <w:basedOn w:val="1000"/>
    <w:next w:val="1190"/>
    <w:qFormat/>
    <w:pPr>
      <w:ind w:left="1620" w:firstLine="2712"/>
      <w:spacing w:before="0" w:after="0" w:line="360" w:lineRule="auto"/>
    </w:pPr>
    <w:rPr>
      <w:rFonts w:ascii="Times New Roman" w:hAnsi="Times New Roman" w:cs="Times New Roman"/>
    </w:rPr>
  </w:style>
  <w:style w:type="paragraph" w:styleId="1190" w:customStyle="1">
    <w:name w:val="项目符0"/>
    <w:basedOn w:val="1000"/>
    <w:next w:val="1191"/>
    <w:qFormat/>
    <w:pPr>
      <w:ind w:left="300" w:right="57" w:firstLine="2760"/>
      <w:spacing w:before="0" w:after="0" w:line="300" w:lineRule="auto"/>
    </w:pPr>
    <w:rPr>
      <w:rFonts w:ascii="Times New Roman" w:hAnsi="Times New Roman" w:cs="Times New Roman"/>
    </w:rPr>
  </w:style>
  <w:style w:type="paragraph" w:styleId="1191" w:customStyle="1">
    <w:name w:val="宏文本1"/>
    <w:next w:val="1192"/>
    <w:qFormat/>
    <w:pPr>
      <w:ind w:firstLine="5632"/>
      <w:widowControl w:val="off"/>
    </w:pPr>
    <w:rPr>
      <w:rFonts w:ascii="Calibri" w:hAnsi="Calibri"/>
    </w:rPr>
  </w:style>
  <w:style w:type="paragraph" w:styleId="1192" w:customStyle="1">
    <w:name w:val="Item Step in Table"/>
    <w:next w:val="1193"/>
    <w:qFormat/>
    <w:pPr>
      <w:ind w:left="397" w:firstLine="3699"/>
      <w:jc w:val="both"/>
      <w:spacing w:before="40" w:after="40"/>
    </w:pPr>
    <w:rPr>
      <w:rFonts w:ascii="Calibri" w:hAnsi="Calibri"/>
    </w:rPr>
  </w:style>
  <w:style w:type="paragraph" w:styleId="1193" w:customStyle="1">
    <w:name w:val="Char Char Char Char Char Char1 Char Char Char Char Char Char"/>
    <w:basedOn w:val="1000"/>
    <w:next w:val="1194"/>
    <w:qFormat/>
    <w:pPr>
      <w:ind w:left="0" w:firstLine="2560"/>
      <w:spacing w:before="0" w:after="0" w:line="240" w:lineRule="auto"/>
    </w:pPr>
    <w:rPr>
      <w:rFonts w:ascii="Times New Roman" w:hAnsi="Times New Roman" w:cs="Times New Roman"/>
    </w:rPr>
  </w:style>
  <w:style w:type="paragraph" w:styleId="1194" w:customStyle="1">
    <w:name w:val="Char Char1"/>
    <w:basedOn w:val="1000"/>
    <w:next w:val="1195"/>
    <w:qFormat/>
    <w:pPr>
      <w:ind w:left="0" w:firstLine="3584"/>
      <w:spacing w:before="0" w:after="160" w:line="240" w:lineRule="exact"/>
    </w:pPr>
    <w:rPr>
      <w:rFonts w:ascii="Times New Roman" w:hAnsi="Times New Roman" w:cs="Times New Roman"/>
    </w:rPr>
  </w:style>
  <w:style w:type="paragraph" w:styleId="1195" w:customStyle="1">
    <w:name w:val="样式 标题 3 + 行距: 1.5 倍行距"/>
    <w:basedOn w:val="1003"/>
    <w:next w:val="1058"/>
    <w:qFormat/>
    <w:pPr>
      <w:ind w:left="200" w:firstLine="18"/>
      <w:spacing w:before="0" w:after="0" w:line="360" w:lineRule="auto"/>
      <w:outlineLvl w:val="2"/>
    </w:pPr>
  </w:style>
  <w:style w:type="paragraph" w:styleId="1196" w:customStyle="1">
    <w:name w:val="xl76"/>
    <w:basedOn w:val="1000"/>
    <w:next w:val="1055"/>
    <w:qFormat/>
    <w:pPr>
      <w:ind w:left="0" w:firstLine="3584"/>
      <w:jc w:val="center"/>
      <w:spacing w:before="280" w:after="280" w:line="240" w:lineRule="auto"/>
    </w:pPr>
    <w:rPr>
      <w:rFonts w:ascii="Times New Roman" w:hAnsi="Times New Roman" w:cs="Times New Roman"/>
    </w:rPr>
  </w:style>
  <w:style w:type="paragraph" w:styleId="1197" w:customStyle="1">
    <w:name w:val="xl26"/>
    <w:basedOn w:val="1000"/>
    <w:next w:val="1198"/>
    <w:qFormat/>
    <w:pPr>
      <w:ind w:left="0" w:firstLine="20"/>
      <w:jc w:val="center"/>
      <w:spacing w:before="280" w:after="280" w:line="240" w:lineRule="auto"/>
      <w:shd w:val="clear" w:color="000000" w:fill="ffffff"/>
    </w:pPr>
    <w:rPr>
      <w:rFonts w:ascii="Times New Roman" w:hAnsi="Times New Roman" w:cs="Times New Roman"/>
    </w:rPr>
  </w:style>
  <w:style w:type="paragraph" w:styleId="1198" w:customStyle="1">
    <w:name w:val="Char1 Char Char"/>
    <w:basedOn w:val="1000"/>
    <w:next w:val="1038"/>
    <w:qFormat/>
    <w:pPr>
      <w:ind w:left="0" w:firstLine="2560"/>
      <w:spacing w:before="0" w:after="0" w:line="240" w:lineRule="auto"/>
    </w:pPr>
    <w:rPr>
      <w:rFonts w:ascii="Times New Roman" w:hAnsi="Times New Roman" w:cs="Times New Roman"/>
    </w:rPr>
  </w:style>
  <w:style w:type="paragraph" w:styleId="1199" w:customStyle="1">
    <w:name w:val="纯文本2"/>
    <w:basedOn w:val="1000"/>
    <w:next w:val="1200"/>
    <w:qFormat/>
    <w:pPr>
      <w:ind w:left="0" w:firstLine="3584"/>
      <w:spacing w:before="0" w:after="0" w:line="240" w:lineRule="auto"/>
    </w:pPr>
    <w:rPr>
      <w:rFonts w:ascii="Times New Roman" w:hAnsi="Times New Roman" w:cs="Times New Roman"/>
    </w:rPr>
  </w:style>
  <w:style w:type="paragraph" w:styleId="1200" w:customStyle="1">
    <w:name w:val="xl69"/>
    <w:basedOn w:val="1000"/>
    <w:next w:val="1201"/>
    <w:qFormat/>
    <w:pPr>
      <w:ind w:left="0" w:firstLine="3584"/>
      <w:spacing w:before="280" w:after="280" w:line="240" w:lineRule="auto"/>
    </w:pPr>
    <w:rPr>
      <w:rFonts w:ascii="Times New Roman" w:hAnsi="Times New Roman" w:cs="Times New Roman"/>
    </w:rPr>
  </w:style>
  <w:style w:type="paragraph" w:styleId="1201" w:customStyle="1">
    <w:name w:val="Char Char Char"/>
    <w:basedOn w:val="1000"/>
    <w:next w:val="1202"/>
    <w:qFormat/>
    <w:pPr>
      <w:ind w:left="0" w:firstLine="2560"/>
      <w:spacing w:before="0" w:after="0" w:line="240" w:lineRule="auto"/>
    </w:pPr>
    <w:rPr>
      <w:rFonts w:ascii="Times New Roman" w:hAnsi="Times New Roman" w:cs="Times New Roman"/>
    </w:rPr>
  </w:style>
  <w:style w:type="paragraph" w:styleId="1202" w:customStyle="1">
    <w:name w:val="表格"/>
    <w:basedOn w:val="1000"/>
    <w:next w:val="1197"/>
    <w:qFormat/>
    <w:pPr>
      <w:ind w:left="0" w:firstLine="2560"/>
      <w:spacing w:before="0" w:after="0" w:line="360" w:lineRule="auto"/>
    </w:pPr>
    <w:rPr>
      <w:rFonts w:ascii="Times New Roman" w:hAnsi="Times New Roman" w:cs="Times New Roman"/>
    </w:rPr>
  </w:style>
  <w:style w:type="paragraph" w:styleId="1203" w:customStyle="1">
    <w:name w:val="xl68"/>
    <w:basedOn w:val="1000"/>
    <w:next w:val="1204"/>
    <w:qFormat/>
    <w:pPr>
      <w:ind w:left="100" w:firstLine="5220"/>
      <w:spacing w:before="280" w:after="280" w:line="240" w:lineRule="auto"/>
    </w:pPr>
    <w:rPr>
      <w:rFonts w:ascii="Times New Roman" w:hAnsi="Times New Roman" w:cs="Times New Roman"/>
    </w:rPr>
  </w:style>
  <w:style w:type="paragraph" w:styleId="1204" w:customStyle="1">
    <w:name w:val="Char1"/>
    <w:basedOn w:val="1000"/>
    <w:next w:val="1205"/>
    <w:qFormat/>
    <w:pPr>
      <w:ind w:left="0" w:firstLine="2560"/>
      <w:spacing w:before="0" w:after="0" w:line="240" w:lineRule="auto"/>
    </w:pPr>
    <w:rPr>
      <w:rFonts w:ascii="Times New Roman" w:hAnsi="Times New Roman" w:cs="Times New Roman"/>
    </w:rPr>
  </w:style>
  <w:style w:type="paragraph" w:styleId="1205" w:customStyle="1">
    <w:name w:val="需求文档正文样式"/>
    <w:basedOn w:val="1000"/>
    <w:next w:val="1206"/>
    <w:qFormat/>
    <w:pPr>
      <w:ind w:left="437" w:firstLine="2741"/>
      <w:spacing w:before="0" w:after="0" w:line="360" w:lineRule="auto"/>
    </w:pPr>
    <w:rPr>
      <w:rFonts w:ascii="Times New Roman" w:hAnsi="Times New Roman" w:cs="Times New Roman"/>
    </w:rPr>
  </w:style>
  <w:style w:type="paragraph" w:styleId="1206" w:customStyle="1">
    <w:name w:val="xl74"/>
    <w:basedOn w:val="1000"/>
    <w:next w:val="1207"/>
    <w:qFormat/>
    <w:pPr>
      <w:ind w:left="0" w:firstLine="16"/>
      <w:jc w:val="center"/>
      <w:spacing w:before="280" w:after="280" w:line="240" w:lineRule="auto"/>
      <w:shd w:val="clear" w:color="000000" w:fill="538dd5"/>
    </w:pPr>
    <w:rPr>
      <w:rFonts w:ascii="Times New Roman" w:hAnsi="Times New Roman" w:cs="Times New Roman"/>
    </w:rPr>
  </w:style>
  <w:style w:type="paragraph" w:styleId="1207" w:customStyle="1">
    <w:name w:val="xl88"/>
    <w:basedOn w:val="1000"/>
    <w:next w:val="1208"/>
    <w:qFormat/>
    <w:pPr>
      <w:ind w:left="0" w:firstLine="5120"/>
      <w:spacing w:before="280" w:after="280" w:line="240" w:lineRule="auto"/>
    </w:pPr>
    <w:rPr>
      <w:rFonts w:ascii="Times New Roman" w:hAnsi="Times New Roman" w:cs="Times New Roman"/>
    </w:rPr>
  </w:style>
  <w:style w:type="paragraph" w:styleId="1208" w:customStyle="1">
    <w:name w:val="xl70"/>
    <w:basedOn w:val="1000"/>
    <w:next w:val="1054"/>
    <w:qFormat/>
    <w:pPr>
      <w:ind w:left="0" w:firstLine="1024"/>
      <w:spacing w:before="280" w:after="280" w:line="240" w:lineRule="auto"/>
    </w:pPr>
    <w:rPr>
      <w:rFonts w:ascii="Times New Roman" w:hAnsi="Times New Roman" w:cs="Times New Roman"/>
    </w:rPr>
  </w:style>
  <w:style w:type="paragraph" w:styleId="1209" w:customStyle="1">
    <w:name w:val="文档标题5"/>
    <w:basedOn w:val="1005"/>
    <w:next w:val="999"/>
    <w:qFormat/>
    <w:pPr>
      <w:ind w:left="992" w:firstLine="18"/>
      <w:spacing w:before="280" w:after="280" w:line="360" w:lineRule="auto"/>
      <w:outlineLvl w:val="4"/>
    </w:pPr>
  </w:style>
  <w:style w:type="paragraph" w:styleId="1210" w:customStyle="1">
    <w:name w:val="样式 加粗 居中"/>
    <w:basedOn w:val="1000"/>
    <w:next w:val="1211"/>
    <w:qFormat/>
    <w:pPr>
      <w:ind w:left="0" w:firstLine="2560"/>
      <w:jc w:val="center"/>
      <w:spacing w:before="0" w:after="0" w:line="360" w:lineRule="auto"/>
    </w:pPr>
    <w:rPr>
      <w:rFonts w:ascii="Times New Roman" w:hAnsi="Times New Roman" w:cs="Times New Roman"/>
    </w:rPr>
  </w:style>
  <w:style w:type="paragraph" w:styleId="1211" w:customStyle="1">
    <w:name w:val="_Style 12"/>
    <w:next w:val="1212"/>
    <w:qFormat/>
    <w:pPr>
      <w:ind w:firstLine="14"/>
      <w:spacing w:line="360" w:lineRule="auto"/>
      <w:shd w:val="clear" w:color="000000" w:fill="000080"/>
    </w:pPr>
    <w:rPr>
      <w:rFonts w:ascii="Calibri" w:hAnsi="Calibri"/>
    </w:rPr>
  </w:style>
  <w:style w:type="paragraph" w:styleId="1212" w:customStyle="1">
    <w:name w:val="正文文本缩进1"/>
    <w:basedOn w:val="1000"/>
    <w:next w:val="1213"/>
    <w:qFormat/>
    <w:pPr>
      <w:ind w:left="420" w:firstLine="3584"/>
      <w:spacing w:before="0" w:after="120" w:line="240" w:lineRule="auto"/>
    </w:pPr>
    <w:rPr>
      <w:rFonts w:ascii="Times New Roman" w:hAnsi="Times New Roman" w:cs="Times New Roman"/>
    </w:rPr>
  </w:style>
  <w:style w:type="paragraph" w:styleId="1213" w:customStyle="1">
    <w:name w:val="列表编号 31"/>
    <w:basedOn w:val="1000"/>
    <w:next w:val="1056"/>
    <w:qFormat/>
    <w:pPr>
      <w:ind w:left="1200" w:firstLine="2712"/>
      <w:spacing w:before="0" w:after="0" w:line="360" w:lineRule="auto"/>
    </w:pPr>
    <w:rPr>
      <w:rFonts w:ascii="Times New Roman" w:hAnsi="Times New Roman" w:cs="Times New Roman"/>
    </w:rPr>
  </w:style>
  <w:style w:type="paragraph" w:styleId="1214" w:customStyle="1">
    <w:name w:val="三号 居中"/>
    <w:basedOn w:val="1000"/>
    <w:next w:val="1215"/>
    <w:qFormat/>
    <w:pPr>
      <w:ind w:left="0" w:firstLine="6144"/>
      <w:jc w:val="center"/>
      <w:spacing w:before="0" w:after="0" w:line="360" w:lineRule="auto"/>
    </w:pPr>
    <w:rPr>
      <w:rFonts w:ascii="Times New Roman" w:hAnsi="Times New Roman" w:cs="Times New Roman"/>
    </w:rPr>
  </w:style>
  <w:style w:type="paragraph" w:styleId="1215" w:customStyle="1">
    <w:name w:val="列出段落1"/>
    <w:basedOn w:val="1000"/>
    <w:next w:val="1216"/>
    <w:qFormat/>
    <w:pPr>
      <w:ind w:left="420" w:firstLine="3748"/>
      <w:spacing w:before="0" w:after="0" w:line="240" w:lineRule="auto"/>
    </w:pPr>
    <w:rPr>
      <w:rFonts w:ascii="Times New Roman" w:hAnsi="Times New Roman" w:cs="Times New Roman"/>
    </w:rPr>
  </w:style>
  <w:style w:type="paragraph" w:styleId="1216" w:customStyle="1">
    <w:name w:val="Char Char Char Char Char Char1 Char Char Char1 Char Char Char"/>
    <w:basedOn w:val="1000"/>
    <w:next w:val="1217"/>
    <w:qFormat/>
    <w:pPr>
      <w:ind w:left="0" w:firstLine="2560"/>
      <w:spacing w:before="0" w:after="0" w:line="240" w:lineRule="auto"/>
    </w:pPr>
    <w:rPr>
      <w:rFonts w:ascii="Times New Roman" w:hAnsi="Times New Roman" w:cs="Times New Roman"/>
    </w:rPr>
  </w:style>
  <w:style w:type="paragraph" w:styleId="1217" w:customStyle="1">
    <w:name w:val="Char Char Char Char Char Char1 Char Char Char1 Char"/>
    <w:basedOn w:val="1000"/>
    <w:next w:val="1218"/>
    <w:qFormat/>
    <w:pPr>
      <w:ind w:left="0" w:firstLine="2560"/>
      <w:spacing w:before="0" w:after="0" w:line="240" w:lineRule="auto"/>
    </w:pPr>
    <w:rPr>
      <w:rFonts w:ascii="Times New Roman" w:hAnsi="Times New Roman" w:cs="Times New Roman"/>
    </w:rPr>
  </w:style>
  <w:style w:type="paragraph" w:styleId="1218" w:customStyle="1">
    <w:name w:val="正文符号4"/>
    <w:basedOn w:val="1000"/>
    <w:next w:val="1210"/>
    <w:qFormat/>
    <w:pPr>
      <w:ind w:left="0" w:firstLine="5632"/>
      <w:spacing w:before="0" w:after="0" w:line="240" w:lineRule="auto"/>
    </w:pPr>
    <w:rPr>
      <w:rFonts w:ascii="Times New Roman" w:hAnsi="Times New Roman" w:cs="Times New Roman"/>
    </w:rPr>
  </w:style>
  <w:style w:type="paragraph" w:styleId="1219" w:customStyle="1">
    <w:name w:val="加粗（居中）"/>
    <w:next w:val="1220"/>
    <w:qFormat/>
    <w:pPr>
      <w:ind w:firstLine="2560"/>
    </w:pPr>
    <w:rPr>
      <w:rFonts w:ascii="Calibri" w:hAnsi="Calibri"/>
    </w:rPr>
  </w:style>
  <w:style w:type="paragraph" w:styleId="1220" w:customStyle="1">
    <w:name w:val="xl65"/>
    <w:basedOn w:val="1000"/>
    <w:next w:val="1180"/>
    <w:qFormat/>
    <w:pPr>
      <w:ind w:left="0" w:firstLine="5120"/>
      <w:spacing w:before="280" w:after="280" w:line="240" w:lineRule="auto"/>
    </w:pPr>
    <w:rPr>
      <w:rFonts w:ascii="Times New Roman" w:hAnsi="Times New Roman" w:cs="Times New Roman"/>
    </w:rPr>
  </w:style>
  <w:style w:type="paragraph" w:styleId="1221" w:customStyle="1">
    <w:name w:val="WPSOffice手动目录 3"/>
    <w:qFormat/>
    <w:pPr>
      <w:ind w:left="400"/>
    </w:pPr>
  </w:style>
  <w:style w:type="paragraph" w:styleId="1222" w:customStyle="1">
    <w:name w:val="xl77"/>
    <w:basedOn w:val="1000"/>
    <w:next w:val="1223"/>
    <w:qFormat/>
    <w:pPr>
      <w:ind w:left="0" w:firstLine="3584"/>
      <w:spacing w:before="280" w:after="280" w:line="240" w:lineRule="auto"/>
    </w:pPr>
    <w:rPr>
      <w:rFonts w:ascii="Times New Roman" w:hAnsi="Times New Roman" w:cs="Times New Roman"/>
    </w:rPr>
  </w:style>
  <w:style w:type="paragraph" w:styleId="1223" w:customStyle="1">
    <w:name w:val="Char Char Char1"/>
    <w:basedOn w:val="1000"/>
    <w:next w:val="1224"/>
    <w:qFormat/>
    <w:pPr>
      <w:ind w:left="900" w:firstLine="2096"/>
      <w:spacing w:before="0" w:after="0" w:line="240" w:lineRule="auto"/>
    </w:pPr>
    <w:rPr>
      <w:rFonts w:ascii="Times New Roman" w:hAnsi="Times New Roman" w:cs="Times New Roman"/>
    </w:rPr>
  </w:style>
  <w:style w:type="paragraph" w:styleId="1224" w:customStyle="1">
    <w:name w:val="索引 21"/>
    <w:basedOn w:val="1000"/>
    <w:next w:val="999"/>
    <w:qFormat/>
    <w:pPr>
      <w:ind w:left="200" w:firstLine="2560"/>
      <w:jc w:val="center"/>
      <w:spacing w:before="0" w:after="0" w:line="360" w:lineRule="auto"/>
    </w:pPr>
    <w:rPr>
      <w:rFonts w:ascii="Times New Roman" w:hAnsi="Times New Roman" w:cs="Times New Roman"/>
    </w:rPr>
  </w:style>
  <w:style w:type="paragraph" w:styleId="1225" w:customStyle="1">
    <w:name w:val="正文（首行缩进 2 字符）"/>
    <w:next w:val="1226"/>
    <w:qFormat/>
    <w:pPr>
      <w:ind w:left="480" w:firstLine="2784"/>
      <w:jc w:val="center"/>
      <w:spacing w:line="300" w:lineRule="auto"/>
    </w:pPr>
    <w:rPr>
      <w:rFonts w:ascii="Calibri" w:hAnsi="Calibri"/>
    </w:rPr>
  </w:style>
  <w:style w:type="paragraph" w:styleId="1226" w:customStyle="1">
    <w:name w:val="xl28"/>
    <w:basedOn w:val="1000"/>
    <w:next w:val="1227"/>
    <w:qFormat/>
    <w:pPr>
      <w:ind w:left="0" w:firstLine="20"/>
      <w:spacing w:before="280" w:after="280" w:line="240" w:lineRule="auto"/>
      <w:shd w:val="clear" w:color="000000" w:fill="ffffff"/>
    </w:pPr>
    <w:rPr>
      <w:rFonts w:ascii="Times New Roman" w:hAnsi="Times New Roman" w:cs="Times New Roman"/>
    </w:rPr>
  </w:style>
  <w:style w:type="paragraph" w:styleId="1227" w:customStyle="1">
    <w:name w:val="HTML 预设格式1"/>
    <w:basedOn w:val="1000"/>
    <w:next w:val="1228"/>
    <w:qFormat/>
    <w:pPr>
      <w:ind w:left="0" w:firstLine="3584"/>
      <w:spacing w:before="0" w:after="0" w:line="253" w:lineRule="atLeast"/>
    </w:pPr>
    <w:rPr>
      <w:rFonts w:ascii="Times New Roman" w:hAnsi="Times New Roman" w:cs="Times New Roman"/>
    </w:rPr>
  </w:style>
  <w:style w:type="paragraph" w:styleId="1228" w:customStyle="1">
    <w:name w:val="项目符号：一级"/>
    <w:basedOn w:val="1000"/>
    <w:next w:val="999"/>
    <w:qFormat/>
    <w:pPr>
      <w:ind w:left="425" w:firstLine="1111"/>
      <w:spacing w:before="0" w:after="0" w:line="360" w:lineRule="auto"/>
    </w:pPr>
    <w:rPr>
      <w:rFonts w:ascii="Times New Roman" w:hAnsi="Times New Roman" w:cs="Times New Roman"/>
    </w:rPr>
  </w:style>
  <w:style w:type="paragraph" w:styleId="1229" w:customStyle="1">
    <w:name w:val="Default"/>
    <w:next w:val="1034"/>
    <w:qFormat/>
    <w:pPr>
      <w:ind w:firstLine="5120"/>
      <w:widowControl w:val="off"/>
    </w:pPr>
    <w:rPr>
      <w:rFonts w:ascii="Calibri" w:hAnsi="Calibri"/>
    </w:rPr>
  </w:style>
  <w:style w:type="paragraph" w:styleId="1230" w:customStyle="1">
    <w:name w:val="xl84"/>
    <w:basedOn w:val="1000"/>
    <w:next w:val="1231"/>
    <w:qFormat/>
    <w:pPr>
      <w:ind w:left="0" w:firstLine="2048"/>
      <w:jc w:val="center"/>
      <w:spacing w:before="280" w:after="280" w:line="240" w:lineRule="auto"/>
    </w:pPr>
    <w:rPr>
      <w:rFonts w:ascii="Times New Roman" w:hAnsi="Times New Roman" w:cs="Times New Roman"/>
    </w:rPr>
  </w:style>
  <w:style w:type="paragraph" w:styleId="1231" w:customStyle="1">
    <w:name w:val="2-2ji"/>
    <w:basedOn w:val="1002"/>
    <w:next w:val="1232"/>
    <w:qFormat/>
    <w:pPr>
      <w:ind w:left="0" w:firstLine="24"/>
      <w:jc w:val="center"/>
      <w:spacing w:before="0" w:after="0" w:line="360" w:lineRule="auto"/>
      <w:outlineLvl w:val="1"/>
    </w:pPr>
  </w:style>
  <w:style w:type="paragraph" w:styleId="1232" w:customStyle="1">
    <w:name w:val="应答文本"/>
    <w:basedOn w:val="1000"/>
    <w:next w:val="1233"/>
    <w:qFormat/>
    <w:pPr>
      <w:ind w:left="1296" w:firstLine="2112"/>
      <w:spacing w:before="0" w:after="0" w:line="460" w:lineRule="exact"/>
    </w:pPr>
    <w:rPr>
      <w:rFonts w:ascii="Times New Roman" w:hAnsi="Times New Roman" w:cs="Times New Roman"/>
    </w:rPr>
  </w:style>
  <w:style w:type="paragraph" w:styleId="1233" w:customStyle="1">
    <w:name w:val="引文目录1"/>
    <w:basedOn w:val="1000"/>
    <w:next w:val="999"/>
    <w:qFormat/>
    <w:pPr>
      <w:ind w:left="420" w:firstLine="2560"/>
      <w:jc w:val="center"/>
      <w:spacing w:before="0" w:after="0" w:line="360" w:lineRule="auto"/>
    </w:pPr>
    <w:rPr>
      <w:rFonts w:ascii="Times New Roman" w:hAnsi="Times New Roman" w:cs="Times New Roman"/>
    </w:rPr>
  </w:style>
  <w:style w:type="paragraph" w:styleId="1234" w:customStyle="1">
    <w:name w:val="首行缩进"/>
    <w:basedOn w:val="999"/>
    <w:qFormat/>
    <w:pPr>
      <w:ind w:firstLine="480"/>
    </w:pPr>
    <w:rPr>
      <w:rFonts w:ascii="Times New Roman" w:hAnsi="Times New Roman" w:cs="Times New Roman"/>
      <w:lang w:val="zh-CN"/>
    </w:rPr>
  </w:style>
  <w:style w:type="paragraph" w:styleId="1235" w:customStyle="1">
    <w:name w:val="font9"/>
    <w:basedOn w:val="1000"/>
    <w:next w:val="1236"/>
    <w:qFormat/>
    <w:pPr>
      <w:ind w:left="0" w:firstLine="7168"/>
      <w:spacing w:before="280" w:after="280" w:line="240" w:lineRule="auto"/>
    </w:pPr>
    <w:rPr>
      <w:rFonts w:ascii="Times New Roman" w:hAnsi="Times New Roman" w:cs="Times New Roman"/>
    </w:rPr>
  </w:style>
  <w:style w:type="paragraph" w:styleId="1236" w:customStyle="1">
    <w:name w:val="样式 标题 3 + (中文) 黑体 小四 非加粗 段前: 7.8 磅 段后: 0 磅 行距: 固定值 20 磅"/>
    <w:basedOn w:val="1003"/>
    <w:next w:val="1237"/>
    <w:qFormat/>
    <w:pPr>
      <w:ind w:left="0"/>
      <w:spacing w:before="0" w:after="0" w:line="400" w:lineRule="exact"/>
      <w:outlineLvl w:val="2"/>
    </w:pPr>
  </w:style>
  <w:style w:type="paragraph" w:styleId="1237" w:customStyle="1">
    <w:name w:val="标书正文"/>
    <w:basedOn w:val="1000"/>
    <w:next w:val="1238"/>
    <w:qFormat/>
    <w:pPr>
      <w:ind w:left="440" w:right="100" w:firstLine="2760"/>
      <w:spacing w:before="0" w:after="0" w:line="360" w:lineRule="auto"/>
    </w:pPr>
    <w:rPr>
      <w:rFonts w:ascii="Times New Roman" w:hAnsi="Times New Roman" w:cs="Times New Roman"/>
    </w:rPr>
  </w:style>
  <w:style w:type="paragraph" w:styleId="1238" w:customStyle="1">
    <w:name w:val="xl67"/>
    <w:basedOn w:val="1000"/>
    <w:next w:val="1239"/>
    <w:qFormat/>
    <w:pPr>
      <w:ind w:left="0" w:firstLine="5120"/>
      <w:spacing w:before="280" w:after="280" w:line="240" w:lineRule="auto"/>
    </w:pPr>
    <w:rPr>
      <w:rFonts w:ascii="Times New Roman" w:hAnsi="Times New Roman" w:cs="Times New Roman"/>
    </w:rPr>
  </w:style>
  <w:style w:type="paragraph" w:styleId="1239" w:customStyle="1">
    <w:name w:val="索引 61"/>
    <w:basedOn w:val="1000"/>
    <w:next w:val="999"/>
    <w:qFormat/>
    <w:pPr>
      <w:ind w:left="1000" w:firstLine="2560"/>
      <w:jc w:val="center"/>
      <w:spacing w:before="0" w:after="0" w:line="360" w:lineRule="auto"/>
    </w:pPr>
    <w:rPr>
      <w:rFonts w:ascii="Times New Roman" w:hAnsi="Times New Roman" w:cs="Times New Roman"/>
    </w:rPr>
  </w:style>
  <w:style w:type="paragraph" w:styleId="1240" w:customStyle="1">
    <w:name w:val="目录3"/>
    <w:basedOn w:val="1000"/>
    <w:next w:val="999"/>
    <w:qFormat/>
    <w:pPr>
      <w:ind w:left="419" w:firstLine="5283"/>
      <w:spacing w:before="0" w:after="0" w:line="317" w:lineRule="atLeast"/>
    </w:pPr>
    <w:rPr>
      <w:rFonts w:ascii="Times New Roman" w:hAnsi="Times New Roman" w:cs="Times New Roman"/>
    </w:rPr>
  </w:style>
  <w:style w:type="paragraph" w:styleId="1241" w:customStyle="1">
    <w:name w:val="xl90"/>
    <w:basedOn w:val="1000"/>
    <w:next w:val="1242"/>
    <w:qFormat/>
    <w:pPr>
      <w:ind w:left="0" w:firstLine="3584"/>
      <w:spacing w:before="280" w:after="280" w:line="240" w:lineRule="auto"/>
    </w:pPr>
    <w:rPr>
      <w:rFonts w:ascii="Times New Roman" w:hAnsi="Times New Roman" w:cs="Times New Roman"/>
    </w:rPr>
  </w:style>
  <w:style w:type="paragraph" w:styleId="1242" w:customStyle="1">
    <w:name w:val="列表框1"/>
    <w:next w:val="1233"/>
    <w:qFormat/>
    <w:pPr>
      <w:ind w:firstLine="2048"/>
      <w:spacing w:line="460" w:lineRule="exact"/>
    </w:pPr>
    <w:rPr>
      <w:rFonts w:ascii="Calibri" w:hAnsi="Calibri"/>
    </w:rPr>
  </w:style>
  <w:style w:type="paragraph" w:styleId="1243" w:customStyle="1">
    <w:name w:val="1ji"/>
    <w:basedOn w:val="1001"/>
    <w:next w:val="1222"/>
    <w:qFormat/>
    <w:pPr>
      <w:ind w:left="0" w:firstLine="18"/>
      <w:jc w:val="center"/>
      <w:spacing w:before="0" w:after="0" w:line="240" w:lineRule="auto"/>
      <w:outlineLvl w:val="0"/>
    </w:pPr>
  </w:style>
  <w:style w:type="paragraph" w:styleId="1244" w:customStyle="1">
    <w:name w:val="索引 81"/>
    <w:basedOn w:val="1000"/>
    <w:next w:val="999"/>
    <w:qFormat/>
    <w:pPr>
      <w:ind w:left="1400" w:firstLine="2560"/>
      <w:jc w:val="center"/>
      <w:spacing w:before="0" w:after="0" w:line="360" w:lineRule="auto"/>
    </w:pPr>
    <w:rPr>
      <w:rFonts w:ascii="Times New Roman" w:hAnsi="Times New Roman" w:cs="Times New Roman"/>
    </w:rPr>
  </w:style>
  <w:style w:type="paragraph" w:styleId="1245" w:customStyle="1">
    <w:name w:val="正文1"/>
    <w:basedOn w:val="999"/>
    <w:next w:val="999"/>
    <w:qFormat/>
    <w:pPr>
      <w:spacing w:line="312" w:lineRule="atLeast"/>
    </w:pPr>
    <w:rPr>
      <w:rFonts w:ascii="楷体_GB2312" w:hAnsi="Times New Roman" w:eastAsia="楷体_GB2312" w:cs="Times New Roman"/>
      <w:sz w:val="24"/>
    </w:rPr>
  </w:style>
  <w:style w:type="paragraph" w:styleId="1246" w:customStyle="1">
    <w:name w:val="Char Char Char Char Char Char1 Char Char Char1 Char Char Char Char Char Char Char Char Char Char Char Char Char Char Char Char Char Char"/>
    <w:basedOn w:val="1000"/>
    <w:next w:val="1247"/>
    <w:qFormat/>
    <w:pPr>
      <w:ind w:left="0" w:firstLine="2560"/>
      <w:spacing w:before="0" w:after="0" w:line="240" w:lineRule="auto"/>
    </w:pPr>
    <w:rPr>
      <w:rFonts w:ascii="Times New Roman" w:hAnsi="Times New Roman" w:cs="Times New Roman"/>
    </w:rPr>
  </w:style>
  <w:style w:type="paragraph" w:styleId="1247" w:customStyle="1">
    <w:name w:val="样式 加粗 居中11"/>
    <w:basedOn w:val="1000"/>
    <w:next w:val="1248"/>
    <w:qFormat/>
    <w:pPr>
      <w:ind w:left="0" w:firstLine="2560"/>
      <w:jc w:val="center"/>
      <w:spacing w:before="0" w:after="0" w:line="360" w:lineRule="auto"/>
    </w:pPr>
    <w:rPr>
      <w:rFonts w:ascii="Times New Roman" w:hAnsi="Times New Roman" w:cs="Times New Roman"/>
    </w:rPr>
  </w:style>
  <w:style w:type="paragraph" w:styleId="1248" w:customStyle="1">
    <w:name w:val="xl89"/>
    <w:basedOn w:val="1000"/>
    <w:next w:val="1249"/>
    <w:qFormat/>
    <w:pPr>
      <w:ind w:left="0" w:firstLine="3584"/>
      <w:spacing w:before="280" w:after="280" w:line="240" w:lineRule="auto"/>
    </w:pPr>
    <w:rPr>
      <w:rFonts w:ascii="Times New Roman" w:hAnsi="Times New Roman" w:cs="Times New Roman"/>
    </w:rPr>
  </w:style>
  <w:style w:type="paragraph" w:styleId="1249" w:customStyle="1">
    <w:name w:val="Char Char Char Char Char Char1 Char Char Char Char Char Char1 Char Char Char Char Char Char Char Char Char"/>
    <w:basedOn w:val="1000"/>
    <w:next w:val="1250"/>
    <w:qFormat/>
    <w:pPr>
      <w:ind w:left="0" w:firstLine="2560"/>
      <w:spacing w:before="0" w:after="0" w:line="240" w:lineRule="auto"/>
    </w:pPr>
    <w:rPr>
      <w:rFonts w:ascii="Times New Roman" w:hAnsi="Times New Roman" w:cs="Times New Roman"/>
    </w:rPr>
  </w:style>
  <w:style w:type="paragraph" w:styleId="1250" w:customStyle="1">
    <w:name w:val="文章附标题"/>
    <w:basedOn w:val="1000"/>
    <w:next w:val="1000"/>
    <w:qFormat/>
    <w:pPr>
      <w:ind w:left="0" w:firstLine="5120"/>
      <w:jc w:val="center"/>
      <w:spacing w:before="187" w:after="175" w:line="374" w:lineRule="atLeast"/>
    </w:pPr>
    <w:rPr>
      <w:rFonts w:ascii="Times New Roman" w:hAnsi="Times New Roman" w:cs="Times New Roman"/>
    </w:rPr>
  </w:style>
  <w:style w:type="paragraph" w:styleId="1251">
    <w:name w:val="Quote"/>
    <w:next w:val="999"/>
    <w:link w:val="1439"/>
    <w:uiPriority w:val="29"/>
    <w:qFormat/>
    <w:pPr>
      <w:ind w:left="3680" w:right="864"/>
      <w:jc w:val="center"/>
      <w:spacing w:before="200" w:after="160"/>
    </w:pPr>
    <w:rPr>
      <w:rFonts w:ascii="Calibri" w:hAnsi="Calibri"/>
      <w:i/>
    </w:rPr>
  </w:style>
  <w:style w:type="paragraph" w:styleId="1252" w:customStyle="1">
    <w:name w:val="Default Paragraph Font Para Char Char Char Char Char Char"/>
    <w:basedOn w:val="1000"/>
    <w:next w:val="1253"/>
    <w:qFormat/>
    <w:pPr>
      <w:ind w:left="0" w:firstLine="3584"/>
      <w:spacing w:before="0" w:after="160" w:line="240" w:lineRule="exact"/>
    </w:pPr>
    <w:rPr>
      <w:rFonts w:ascii="Times New Roman" w:hAnsi="Times New Roman" w:cs="Times New Roman"/>
    </w:rPr>
  </w:style>
  <w:style w:type="paragraph" w:styleId="1253" w:customStyle="1">
    <w:name w:val="xl23"/>
    <w:basedOn w:val="1000"/>
    <w:next w:val="1036"/>
    <w:qFormat/>
    <w:pPr>
      <w:ind w:left="0" w:firstLine="20"/>
      <w:spacing w:before="280" w:after="280" w:line="240" w:lineRule="auto"/>
      <w:shd w:val="clear" w:color="000000" w:fill="ffffff"/>
    </w:pPr>
    <w:rPr>
      <w:rFonts w:ascii="Times New Roman" w:hAnsi="Times New Roman" w:cs="Times New Roman"/>
    </w:rPr>
  </w:style>
  <w:style w:type="paragraph" w:styleId="1254" w:customStyle="1">
    <w:name w:val="列出段落11"/>
    <w:basedOn w:val="1000"/>
    <w:next w:val="1255"/>
    <w:qFormat/>
    <w:pPr>
      <w:ind w:left="420" w:firstLine="3748"/>
      <w:spacing w:before="0" w:after="0" w:line="240" w:lineRule="auto"/>
    </w:pPr>
    <w:rPr>
      <w:rFonts w:ascii="Times New Roman" w:hAnsi="Times New Roman" w:cs="Times New Roman"/>
    </w:rPr>
  </w:style>
  <w:style w:type="paragraph" w:styleId="1255" w:customStyle="1">
    <w:name w:val="样式 标题 2 + (西文) 宋体 非加粗 居中"/>
    <w:basedOn w:val="1002"/>
    <w:next w:val="1256"/>
    <w:qFormat/>
    <w:pPr>
      <w:ind w:left="0" w:firstLine="24"/>
      <w:jc w:val="center"/>
      <w:spacing w:line="412" w:lineRule="auto"/>
      <w:outlineLvl w:val="1"/>
    </w:pPr>
  </w:style>
  <w:style w:type="paragraph" w:styleId="1256" w:customStyle="1">
    <w:name w:val="页脚 Char Char"/>
    <w:basedOn w:val="1000"/>
    <w:next w:val="1257"/>
    <w:qFormat/>
    <w:pPr>
      <w:ind w:left="0" w:firstLine="5120"/>
      <w:spacing w:before="0" w:after="0" w:line="240" w:lineRule="auto"/>
    </w:pPr>
    <w:rPr>
      <w:rFonts w:ascii="Times New Roman" w:hAnsi="Times New Roman" w:cs="Times New Roman"/>
    </w:rPr>
  </w:style>
  <w:style w:type="paragraph" w:styleId="1257" w:customStyle="1">
    <w:name w:val="样式 标题 1 + 段前: 16 磅 段后: 16 磅"/>
    <w:basedOn w:val="1001"/>
    <w:next w:val="1258"/>
    <w:qFormat/>
    <w:pPr>
      <w:ind w:left="0" w:firstLine="18"/>
      <w:jc w:val="center"/>
      <w:spacing w:before="120" w:after="0" w:line="360" w:lineRule="auto"/>
      <w:outlineLvl w:val="0"/>
    </w:pPr>
  </w:style>
  <w:style w:type="paragraph" w:styleId="1258" w:customStyle="1">
    <w:name w:val="Char1 Char Char Char Char Char Char"/>
    <w:basedOn w:val="1000"/>
    <w:next w:val="1259"/>
    <w:qFormat/>
    <w:pPr>
      <w:ind w:left="0" w:firstLine="2560"/>
      <w:spacing w:before="0" w:after="0" w:line="240" w:lineRule="auto"/>
    </w:pPr>
    <w:rPr>
      <w:rFonts w:ascii="Times New Roman" w:hAnsi="Times New Roman" w:cs="Times New Roman"/>
    </w:rPr>
  </w:style>
  <w:style w:type="paragraph" w:styleId="1259" w:customStyle="1">
    <w:name w:val="文档标题4"/>
    <w:basedOn w:val="1004"/>
    <w:next w:val="999"/>
    <w:qFormat/>
    <w:pPr>
      <w:ind w:left="851" w:firstLine="30"/>
      <w:spacing w:after="280" w:line="360" w:lineRule="auto"/>
      <w:outlineLvl w:val="3"/>
    </w:pPr>
  </w:style>
  <w:style w:type="paragraph" w:styleId="1260" w:customStyle="1">
    <w:name w:val="font0"/>
    <w:basedOn w:val="1000"/>
    <w:next w:val="1235"/>
    <w:qFormat/>
    <w:pPr>
      <w:ind w:left="0" w:firstLine="1024"/>
      <w:spacing w:before="280" w:after="280" w:line="240" w:lineRule="auto"/>
    </w:pPr>
    <w:rPr>
      <w:rFonts w:ascii="Times New Roman" w:hAnsi="Times New Roman" w:cs="Times New Roman"/>
    </w:rPr>
  </w:style>
  <w:style w:type="paragraph" w:styleId="1261" w:customStyle="1">
    <w:name w:val="CM5"/>
    <w:basedOn w:val="1000"/>
    <w:next w:val="999"/>
    <w:qFormat/>
    <w:pPr>
      <w:ind w:left="200" w:firstLine="2760"/>
      <w:spacing w:before="0" w:after="0" w:line="400" w:lineRule="atLeast"/>
    </w:pPr>
    <w:rPr>
      <w:rFonts w:ascii="Times New Roman" w:hAnsi="Times New Roman" w:cs="Times New Roman"/>
    </w:rPr>
  </w:style>
  <w:style w:type="paragraph" w:styleId="1262" w:customStyle="1">
    <w:name w:val="Pa0"/>
    <w:basedOn w:val="1000"/>
    <w:next w:val="999"/>
    <w:qFormat/>
    <w:pPr>
      <w:ind w:left="0" w:firstLine="4608"/>
      <w:spacing w:before="0" w:after="0" w:line="241" w:lineRule="atLeast"/>
    </w:pPr>
    <w:rPr>
      <w:rFonts w:ascii="Times New Roman" w:hAnsi="Times New Roman" w:cs="Times New Roman"/>
    </w:rPr>
  </w:style>
  <w:style w:type="paragraph" w:styleId="1263" w:customStyle="1">
    <w:name w:val="招标文件》"/>
    <w:basedOn w:val="1000"/>
    <w:next w:val="1199"/>
    <w:qFormat/>
    <w:pPr>
      <w:ind w:left="420" w:firstLine="2140"/>
      <w:spacing w:before="120" w:after="120" w:line="300" w:lineRule="auto"/>
    </w:pPr>
    <w:rPr>
      <w:rFonts w:ascii="Times New Roman" w:hAnsi="Times New Roman" w:cs="Times New Roman"/>
    </w:rPr>
  </w:style>
  <w:style w:type="paragraph" w:styleId="1264" w:customStyle="1">
    <w:name w:val="段"/>
    <w:next w:val="999"/>
    <w:qFormat/>
    <w:pPr>
      <w:ind w:firstLine="200"/>
      <w:jc w:val="both"/>
      <w:spacing w:line="360" w:lineRule="auto"/>
    </w:pPr>
    <w:rPr>
      <w:sz w:val="24"/>
      <w:szCs w:val="22"/>
    </w:rPr>
  </w:style>
  <w:style w:type="paragraph" w:styleId="1265" w:customStyle="1">
    <w:name w:val="标书_正文"/>
    <w:basedOn w:val="1000"/>
    <w:next w:val="1266"/>
    <w:qFormat/>
    <w:pPr>
      <w:ind w:left="420" w:firstLine="1188"/>
      <w:spacing w:before="0" w:after="0" w:line="360" w:lineRule="auto"/>
    </w:pPr>
    <w:rPr>
      <w:rFonts w:ascii="Times New Roman" w:hAnsi="Times New Roman" w:cs="Times New Roman"/>
    </w:rPr>
  </w:style>
  <w:style w:type="paragraph" w:styleId="1266" w:customStyle="1">
    <w:name w:val="样式 标题 2 + Times New Roman 四号 非加粗 段前: 5 磅 段后: 0 磅 行距: 固定值 20..."/>
    <w:basedOn w:val="1002"/>
    <w:next w:val="1214"/>
    <w:qFormat/>
    <w:pPr>
      <w:ind w:left="0" w:firstLine="24"/>
      <w:spacing w:before="100" w:after="0" w:line="400" w:lineRule="exact"/>
      <w:outlineLvl w:val="1"/>
    </w:pPr>
  </w:style>
  <w:style w:type="paragraph" w:styleId="1267" w:customStyle="1">
    <w:name w:val="图片0"/>
    <w:basedOn w:val="1000"/>
    <w:next w:val="1047"/>
    <w:qFormat/>
    <w:pPr>
      <w:ind w:left="-161" w:firstLine="1187"/>
      <w:spacing w:before="0" w:after="0" w:line="276" w:lineRule="auto"/>
    </w:pPr>
    <w:rPr>
      <w:rFonts w:ascii="Times New Roman" w:hAnsi="Times New Roman" w:cs="Times New Roman"/>
    </w:rPr>
  </w:style>
  <w:style w:type="paragraph" w:styleId="1268" w:customStyle="1">
    <w:name w:val="Char Char Char2 Char Char Char2 Char"/>
    <w:basedOn w:val="1000"/>
    <w:next w:val="1240"/>
    <w:qFormat/>
    <w:pPr>
      <w:ind w:left="560" w:firstLine="3632"/>
      <w:spacing w:before="0" w:after="160" w:line="240" w:lineRule="exact"/>
    </w:pPr>
    <w:rPr>
      <w:rFonts w:ascii="Times New Roman" w:hAnsi="Times New Roman" w:cs="Times New Roman"/>
    </w:rPr>
  </w:style>
  <w:style w:type="paragraph" w:styleId="1269" w:customStyle="1">
    <w:name w:val="Char Char Char Char"/>
    <w:next w:val="1270"/>
    <w:qFormat/>
    <w:pPr>
      <w:ind w:firstLine="10"/>
      <w:spacing w:line="360" w:lineRule="auto"/>
      <w:shd w:val="clear" w:color="000000" w:fill="000080"/>
    </w:pPr>
    <w:rPr>
      <w:rFonts w:ascii="Calibri" w:hAnsi="Calibri"/>
    </w:rPr>
  </w:style>
  <w:style w:type="paragraph" w:styleId="1270" w:customStyle="1">
    <w:name w:val="杨昂超式样黑体主"/>
    <w:basedOn w:val="1000"/>
    <w:next w:val="1271"/>
    <w:qFormat/>
    <w:pPr>
      <w:ind w:left="0" w:firstLine="4608"/>
      <w:spacing w:before="0" w:after="0" w:line="240" w:lineRule="auto"/>
    </w:pPr>
    <w:rPr>
      <w:rFonts w:ascii="Times New Roman" w:hAnsi="Times New Roman" w:cs="Times New Roman"/>
    </w:rPr>
  </w:style>
  <w:style w:type="paragraph" w:styleId="1271" w:customStyle="1">
    <w:name w:val="Char Char Char Char Char Char1 Char Char Char Char Char Char Char Char Char Char"/>
    <w:basedOn w:val="1000"/>
    <w:next w:val="1272"/>
    <w:qFormat/>
    <w:pPr>
      <w:ind w:left="0" w:firstLine="2560"/>
      <w:spacing w:before="0" w:after="0" w:line="240" w:lineRule="auto"/>
    </w:pPr>
    <w:rPr>
      <w:rFonts w:ascii="Times New Roman" w:hAnsi="Times New Roman" w:cs="Times New Roman"/>
    </w:rPr>
  </w:style>
  <w:style w:type="paragraph" w:styleId="1272" w:customStyle="1">
    <w:name w:val="目录1"/>
    <w:basedOn w:val="1000"/>
    <w:next w:val="999"/>
    <w:qFormat/>
    <w:pPr>
      <w:ind w:left="0" w:firstLine="7168"/>
      <w:spacing w:before="0" w:after="136" w:line="289" w:lineRule="atLeast"/>
    </w:pPr>
    <w:rPr>
      <w:rFonts w:ascii="Times New Roman" w:hAnsi="Times New Roman" w:cs="Times New Roman"/>
    </w:rPr>
  </w:style>
  <w:style w:type="paragraph" w:styleId="1273" w:customStyle="1">
    <w:name w:val="文档结构图1"/>
    <w:basedOn w:val="1000"/>
    <w:next w:val="1274"/>
    <w:qFormat/>
    <w:pPr>
      <w:ind w:left="200" w:firstLine="2248"/>
      <w:spacing w:before="0" w:after="0" w:line="360" w:lineRule="auto"/>
    </w:pPr>
    <w:rPr>
      <w:rFonts w:ascii="Times New Roman" w:hAnsi="Times New Roman" w:cs="Times New Roman"/>
    </w:rPr>
  </w:style>
  <w:style w:type="paragraph" w:styleId="1274" w:customStyle="1">
    <w:name w:val="2ji"/>
    <w:basedOn w:val="1002"/>
    <w:next w:val="1042"/>
    <w:qFormat/>
    <w:pPr>
      <w:ind w:left="0" w:firstLine="24"/>
      <w:spacing w:before="0" w:after="0" w:line="360" w:lineRule="auto"/>
      <w:outlineLvl w:val="1"/>
    </w:pPr>
  </w:style>
  <w:style w:type="paragraph" w:styleId="1275" w:customStyle="1">
    <w:name w:val="xl91"/>
    <w:basedOn w:val="1000"/>
    <w:next w:val="1196"/>
    <w:qFormat/>
    <w:pPr>
      <w:ind w:left="0" w:firstLine="3584"/>
      <w:spacing w:before="280" w:after="280" w:line="240" w:lineRule="auto"/>
    </w:pPr>
    <w:rPr>
      <w:rFonts w:ascii="Times New Roman" w:hAnsi="Times New Roman" w:cs="Times New Roman"/>
    </w:rPr>
  </w:style>
  <w:style w:type="paragraph" w:styleId="1276" w:customStyle="1">
    <w:name w:val="Text Body"/>
    <w:basedOn w:val="1000"/>
    <w:next w:val="1277"/>
    <w:qFormat/>
    <w:pPr>
      <w:ind w:left="0" w:firstLine="4096"/>
      <w:spacing w:before="0" w:after="120" w:line="240" w:lineRule="auto"/>
    </w:pPr>
    <w:rPr>
      <w:rFonts w:ascii="Times New Roman" w:hAnsi="Times New Roman" w:cs="Times New Roman"/>
    </w:rPr>
  </w:style>
  <w:style w:type="paragraph" w:styleId="1277" w:customStyle="1">
    <w:name w:val="项目符1"/>
    <w:basedOn w:val="1000"/>
    <w:next w:val="1278"/>
    <w:qFormat/>
    <w:pPr>
      <w:ind w:left="1365" w:right="100" w:firstLine="2728"/>
      <w:spacing w:before="78" w:after="78" w:line="300" w:lineRule="auto"/>
    </w:pPr>
    <w:rPr>
      <w:rFonts w:ascii="Times New Roman" w:hAnsi="Times New Roman" w:cs="Times New Roman"/>
    </w:rPr>
  </w:style>
  <w:style w:type="paragraph" w:styleId="1278" w:customStyle="1">
    <w:name w:val="引文目录标题1"/>
    <w:basedOn w:val="1000"/>
    <w:next w:val="999"/>
    <w:qFormat/>
    <w:pPr>
      <w:ind w:left="0" w:firstLine="4608"/>
      <w:jc w:val="center"/>
      <w:spacing w:before="120" w:after="0" w:line="360" w:lineRule="auto"/>
    </w:pPr>
    <w:rPr>
      <w:rFonts w:ascii="Times New Roman" w:hAnsi="Times New Roman" w:cs="Times New Roman"/>
    </w:rPr>
  </w:style>
  <w:style w:type="paragraph" w:styleId="1279" w:customStyle="1">
    <w:name w:val="样式 标题 3 + (西文) 黑体 (中文) 黑体 (符号) 宋体 小四 段前: 5 磅 段后: 5 磅 行距: 1..."/>
    <w:basedOn w:val="1003"/>
    <w:next w:val="1280"/>
    <w:qFormat/>
    <w:pPr>
      <w:ind w:left="1429" w:firstLine="18"/>
      <w:spacing w:before="100" w:after="100" w:line="360" w:lineRule="auto"/>
      <w:outlineLvl w:val="2"/>
    </w:pPr>
  </w:style>
  <w:style w:type="paragraph" w:styleId="1280" w:customStyle="1">
    <w:name w:val="xl22"/>
    <w:basedOn w:val="1000"/>
    <w:next w:val="1281"/>
    <w:qFormat/>
    <w:pPr>
      <w:ind w:left="0" w:firstLine="20"/>
      <w:jc w:val="right"/>
      <w:spacing w:before="280" w:after="280" w:line="240" w:lineRule="auto"/>
      <w:shd w:val="clear" w:color="000000" w:fill="ffffff"/>
    </w:pPr>
    <w:rPr>
      <w:rFonts w:ascii="Times New Roman" w:hAnsi="Times New Roman" w:cs="Times New Roman"/>
    </w:rPr>
  </w:style>
  <w:style w:type="paragraph" w:styleId="1281" w:customStyle="1">
    <w:name w:val="自定义一"/>
    <w:basedOn w:val="1000"/>
    <w:next w:val="999"/>
    <w:qFormat/>
    <w:pPr>
      <w:ind w:left="0"/>
      <w:spacing w:before="0" w:after="0" w:line="360" w:lineRule="auto"/>
    </w:pPr>
    <w:rPr>
      <w:rFonts w:ascii="Times New Roman" w:hAnsi="Times New Roman" w:cs="Times New Roman"/>
    </w:rPr>
  </w:style>
  <w:style w:type="paragraph" w:styleId="1282" w:customStyle="1">
    <w:name w:val="xl78"/>
    <w:basedOn w:val="1000"/>
    <w:next w:val="1283"/>
    <w:qFormat/>
    <w:pPr>
      <w:ind w:left="0" w:firstLine="3584"/>
      <w:jc w:val="center"/>
      <w:spacing w:before="280" w:after="280" w:line="240" w:lineRule="auto"/>
    </w:pPr>
    <w:rPr>
      <w:rFonts w:ascii="Times New Roman" w:hAnsi="Times New Roman" w:cs="Times New Roman"/>
    </w:rPr>
  </w:style>
  <w:style w:type="paragraph" w:styleId="1283" w:customStyle="1">
    <w:name w:val="段落正文"/>
    <w:next w:val="1225"/>
    <w:qFormat/>
    <w:pPr>
      <w:ind w:firstLine="4608"/>
      <w:jc w:val="center"/>
      <w:spacing w:line="360" w:lineRule="auto"/>
    </w:pPr>
    <w:rPr>
      <w:rFonts w:ascii="Calibri" w:hAnsi="Calibri"/>
    </w:rPr>
  </w:style>
  <w:style w:type="paragraph" w:styleId="1284" w:customStyle="1">
    <w:name w:val="_Style 169"/>
    <w:next w:val="999"/>
    <w:qFormat/>
    <w:pPr>
      <w:ind w:left="2560"/>
    </w:pPr>
    <w:rPr>
      <w:rFonts w:ascii="Calibri" w:hAnsi="Calibri"/>
    </w:rPr>
  </w:style>
  <w:style w:type="paragraph" w:styleId="1285" w:customStyle="1">
    <w:name w:val="样式 小四 行距: 1.5 倍行距 首行缩进:  2 字符"/>
    <w:basedOn w:val="1000"/>
    <w:next w:val="1230"/>
    <w:qFormat/>
    <w:pPr>
      <w:ind w:left="480" w:firstLine="2784"/>
      <w:spacing w:before="0" w:after="0" w:line="360" w:lineRule="auto"/>
    </w:pPr>
    <w:rPr>
      <w:rFonts w:ascii="Times New Roman" w:hAnsi="Times New Roman" w:cs="Times New Roman"/>
    </w:rPr>
  </w:style>
  <w:style w:type="paragraph" w:styleId="1286" w:customStyle="1">
    <w:name w:val="小节标题"/>
    <w:basedOn w:val="1000"/>
    <w:next w:val="999"/>
    <w:qFormat/>
    <w:pPr>
      <w:ind w:left="0" w:firstLine="7168"/>
      <w:spacing w:before="175" w:after="102" w:line="351" w:lineRule="atLeast"/>
    </w:pPr>
    <w:rPr>
      <w:rFonts w:ascii="Times New Roman" w:hAnsi="Times New Roman" w:cs="Times New Roman"/>
    </w:rPr>
  </w:style>
  <w:style w:type="paragraph" w:styleId="1287" w:customStyle="1">
    <w:name w:val="TOC 标题2"/>
    <w:basedOn w:val="1000"/>
    <w:next w:val="99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8" w:customStyle="1">
    <w:name w:val="表格文字（两侧对齐）"/>
    <w:basedOn w:val="1000"/>
    <w:next w:val="1289"/>
    <w:qFormat/>
    <w:pPr>
      <w:ind w:left="0" w:firstLine="3584"/>
      <w:spacing w:before="0" w:after="0" w:line="240" w:lineRule="auto"/>
    </w:pPr>
    <w:rPr>
      <w:rFonts w:ascii="Times New Roman" w:hAnsi="Times New Roman" w:cs="Times New Roman"/>
    </w:rPr>
  </w:style>
  <w:style w:type="paragraph" w:styleId="1289" w:customStyle="1">
    <w:name w:val="Char"/>
    <w:basedOn w:val="1000"/>
    <w:next w:val="1268"/>
    <w:qFormat/>
    <w:pPr>
      <w:ind w:left="900" w:firstLine="2608"/>
      <w:spacing w:before="0" w:after="0" w:line="240" w:lineRule="auto"/>
    </w:pPr>
    <w:rPr>
      <w:rFonts w:ascii="Times New Roman" w:hAnsi="Times New Roman" w:cs="Times New Roman"/>
    </w:rPr>
  </w:style>
  <w:style w:type="paragraph" w:styleId="1290" w:customStyle="1">
    <w:name w:val="xl86"/>
    <w:basedOn w:val="1000"/>
    <w:next w:val="1291"/>
    <w:qFormat/>
    <w:pPr>
      <w:ind w:left="0" w:firstLine="5120"/>
      <w:spacing w:before="280" w:after="280" w:line="240" w:lineRule="auto"/>
    </w:pPr>
    <w:rPr>
      <w:rFonts w:ascii="Times New Roman" w:hAnsi="Times New Roman" w:cs="Times New Roman"/>
    </w:rPr>
  </w:style>
  <w:style w:type="paragraph" w:styleId="1291" w:customStyle="1">
    <w:name w:val="索引 71"/>
    <w:basedOn w:val="1000"/>
    <w:next w:val="999"/>
    <w:qFormat/>
    <w:pPr>
      <w:ind w:left="1200" w:firstLine="2560"/>
      <w:jc w:val="center"/>
      <w:spacing w:before="0" w:after="0" w:line="360" w:lineRule="auto"/>
    </w:pPr>
    <w:rPr>
      <w:rFonts w:ascii="Times New Roman" w:hAnsi="Times New Roman" w:cs="Times New Roman"/>
    </w:rPr>
  </w:style>
  <w:style w:type="paragraph" w:styleId="1292" w:customStyle="1">
    <w:name w:val="111"/>
    <w:next w:val="1293"/>
    <w:qFormat/>
    <w:pPr>
      <w:ind w:left="480" w:firstLine="4320"/>
      <w:spacing w:line="440" w:lineRule="exact"/>
    </w:pPr>
    <w:rPr>
      <w:rFonts w:ascii="Calibri" w:hAnsi="Calibri"/>
    </w:rPr>
  </w:style>
  <w:style w:type="paragraph" w:styleId="1293" w:customStyle="1">
    <w:name w:val="4"/>
    <w:basedOn w:val="1000"/>
    <w:next w:val="1012"/>
    <w:qFormat/>
    <w:pPr>
      <w:ind w:left="409" w:firstLine="3737"/>
      <w:spacing w:before="0" w:after="0" w:line="420" w:lineRule="exact"/>
    </w:pPr>
    <w:rPr>
      <w:rFonts w:ascii="Times New Roman" w:hAnsi="Times New Roman" w:cs="Times New Roman"/>
    </w:rPr>
  </w:style>
  <w:style w:type="paragraph" w:styleId="1294" w:customStyle="1">
    <w:name w:val="Char Char Char Char Char Char1 Char Char Char1 Char Char Char Char Char Char"/>
    <w:basedOn w:val="1000"/>
    <w:next w:val="1279"/>
    <w:qFormat/>
    <w:pPr>
      <w:ind w:left="0" w:firstLine="2560"/>
      <w:spacing w:before="0" w:after="0" w:line="240" w:lineRule="auto"/>
    </w:pPr>
    <w:rPr>
      <w:rFonts w:ascii="Times New Roman" w:hAnsi="Times New Roman" w:cs="Times New Roman"/>
    </w:rPr>
  </w:style>
  <w:style w:type="paragraph" w:styleId="1295" w:customStyle="1">
    <w:name w:val="Char Char Char Char Char Char1 Char Char Char Char Char Char1 Char Char Char"/>
    <w:basedOn w:val="1000"/>
    <w:next w:val="1296"/>
    <w:qFormat/>
    <w:pPr>
      <w:ind w:left="0" w:firstLine="2560"/>
      <w:spacing w:before="0" w:after="0" w:line="240" w:lineRule="auto"/>
    </w:pPr>
    <w:rPr>
      <w:rFonts w:ascii="Times New Roman" w:hAnsi="Times New Roman" w:cs="Times New Roman"/>
    </w:rPr>
  </w:style>
  <w:style w:type="paragraph" w:styleId="1296" w:customStyle="1">
    <w:name w:val="正文符号1"/>
    <w:basedOn w:val="1000"/>
    <w:next w:val="1297"/>
    <w:qFormat/>
    <w:pPr>
      <w:ind w:left="987" w:firstLine="5724"/>
      <w:spacing w:before="0" w:after="0" w:line="240" w:lineRule="auto"/>
    </w:pPr>
    <w:rPr>
      <w:rFonts w:ascii="Times New Roman" w:hAnsi="Times New Roman" w:cs="Times New Roman"/>
    </w:rPr>
  </w:style>
  <w:style w:type="paragraph" w:styleId="1297" w:customStyle="1">
    <w:name w:val="索引 31"/>
    <w:basedOn w:val="1000"/>
    <w:next w:val="999"/>
    <w:qFormat/>
    <w:pPr>
      <w:ind w:left="400" w:firstLine="2560"/>
      <w:jc w:val="center"/>
      <w:spacing w:before="0" w:after="0" w:line="360" w:lineRule="auto"/>
    </w:pPr>
    <w:rPr>
      <w:rFonts w:ascii="Times New Roman" w:hAnsi="Times New Roman" w:cs="Times New Roman"/>
    </w:rPr>
  </w:style>
  <w:style w:type="paragraph" w:styleId="1298" w:customStyle="1">
    <w:name w:val="目录4"/>
    <w:basedOn w:val="1000"/>
    <w:next w:val="999"/>
    <w:qFormat/>
    <w:pPr>
      <w:ind w:left="629" w:firstLine="5237"/>
      <w:spacing w:before="0" w:after="0" w:line="317" w:lineRule="atLeast"/>
    </w:pPr>
    <w:rPr>
      <w:rFonts w:ascii="Times New Roman" w:hAnsi="Times New Roman" w:cs="Times New Roman"/>
    </w:rPr>
  </w:style>
  <w:style w:type="paragraph" w:styleId="1299" w:customStyle="1">
    <w:name w:val="p15"/>
    <w:basedOn w:val="999"/>
    <w:qFormat/>
    <w:pPr>
      <w:ind w:left="0"/>
    </w:pPr>
    <w:rPr>
      <w:rFonts w:ascii="宋体" w:hAnsi="宋体"/>
      <w:sz w:val="28"/>
      <w:szCs w:val="28"/>
    </w:rPr>
  </w:style>
  <w:style w:type="paragraph" w:styleId="1300" w:customStyle="1">
    <w:name w:val="四号 居中"/>
    <w:basedOn w:val="1000"/>
    <w:next w:val="1294"/>
    <w:qFormat/>
    <w:pPr>
      <w:ind w:left="0" w:firstLine="6144"/>
      <w:jc w:val="center"/>
      <w:spacing w:before="0" w:after="0" w:line="360" w:lineRule="auto"/>
    </w:pPr>
    <w:rPr>
      <w:rFonts w:ascii="Times New Roman" w:hAnsi="Times New Roman" w:cs="Times New Roman"/>
    </w:rPr>
  </w:style>
  <w:style w:type="paragraph" w:styleId="1301" w:customStyle="1">
    <w:name w:val="p0"/>
    <w:next w:val="999"/>
    <w:qFormat/>
    <w:pPr>
      <w:ind w:firstLine="2048"/>
      <w:spacing w:line="360" w:lineRule="auto"/>
    </w:pPr>
    <w:rPr>
      <w:rFonts w:ascii="Calibri" w:hAnsi="Calibri"/>
    </w:rPr>
  </w:style>
  <w:style w:type="paragraph" w:styleId="1302" w:customStyle="1">
    <w:name w:val="列表编号 21"/>
    <w:basedOn w:val="1000"/>
    <w:next w:val="1303"/>
    <w:qFormat/>
    <w:pPr>
      <w:ind w:left="0" w:firstLine="2560"/>
      <w:spacing w:before="0" w:after="0" w:line="360" w:lineRule="auto"/>
    </w:pPr>
    <w:rPr>
      <w:rFonts w:ascii="Times New Roman" w:hAnsi="Times New Roman" w:cs="Times New Roman"/>
    </w:rPr>
  </w:style>
  <w:style w:type="paragraph" w:styleId="1303" w:customStyle="1">
    <w:name w:val="正文文本 21"/>
    <w:basedOn w:val="1000"/>
    <w:next w:val="1184"/>
    <w:qFormat/>
    <w:pPr>
      <w:ind w:left="0" w:firstLine="2560"/>
      <w:jc w:val="center"/>
      <w:spacing w:before="0" w:after="120" w:line="480" w:lineRule="auto"/>
    </w:pPr>
    <w:rPr>
      <w:rFonts w:ascii="Times New Roman" w:hAnsi="Times New Roman" w:cs="Times New Roman"/>
    </w:rPr>
  </w:style>
  <w:style w:type="paragraph" w:styleId="1304" w:customStyle="1">
    <w:name w:val="a2"/>
    <w:basedOn w:val="1000"/>
    <w:next w:val="1039"/>
    <w:qFormat/>
    <w:pPr>
      <w:ind w:left="0" w:firstLine="1024"/>
      <w:spacing w:before="280" w:after="280" w:line="240" w:lineRule="auto"/>
    </w:pPr>
    <w:rPr>
      <w:rFonts w:ascii="Times New Roman" w:hAnsi="Times New Roman" w:cs="Times New Roman"/>
    </w:rPr>
  </w:style>
  <w:style w:type="paragraph" w:styleId="1305" w:customStyle="1">
    <w:name w:val="font8"/>
    <w:basedOn w:val="1000"/>
    <w:next w:val="1229"/>
    <w:qFormat/>
    <w:pPr>
      <w:ind w:left="0" w:firstLine="2048"/>
      <w:spacing w:before="280" w:after="280" w:line="240" w:lineRule="auto"/>
    </w:pPr>
    <w:rPr>
      <w:rFonts w:ascii="Times New Roman" w:hAnsi="Times New Roman" w:cs="Times New Roman"/>
    </w:rPr>
  </w:style>
  <w:style w:type="paragraph" w:styleId="1306" w:customStyle="1">
    <w:name w:val="Char Char Char Char Char Char1 Char Char Char Char Char Char1 Char Char Char Char Char Char Char"/>
    <w:basedOn w:val="1000"/>
    <w:next w:val="1307"/>
    <w:qFormat/>
    <w:pPr>
      <w:ind w:left="0" w:firstLine="2560"/>
      <w:spacing w:before="0" w:after="0" w:line="240" w:lineRule="auto"/>
    </w:pPr>
    <w:rPr>
      <w:rFonts w:ascii="Times New Roman" w:hAnsi="Times New Roman" w:cs="Times New Roman"/>
    </w:rPr>
  </w:style>
  <w:style w:type="paragraph" w:styleId="1307" w:customStyle="1">
    <w:name w:val="xl87"/>
    <w:basedOn w:val="1000"/>
    <w:next w:val="1263"/>
    <w:qFormat/>
    <w:pPr>
      <w:ind w:left="0" w:firstLine="5120"/>
      <w:spacing w:before="280" w:after="280" w:line="240" w:lineRule="auto"/>
    </w:pPr>
    <w:rPr>
      <w:rFonts w:ascii="Times New Roman" w:hAnsi="Times New Roman" w:cs="Times New Roman"/>
    </w:rPr>
  </w:style>
  <w:style w:type="paragraph" w:styleId="1308" w:customStyle="1">
    <w:name w:val="444"/>
    <w:basedOn w:val="1000"/>
    <w:next w:val="1021"/>
    <w:qFormat/>
    <w:pPr>
      <w:ind w:left="0" w:firstLine="4608"/>
      <w:jc w:val="center"/>
      <w:spacing w:before="0" w:after="0" w:line="312" w:lineRule="atLeast"/>
    </w:pPr>
    <w:rPr>
      <w:rFonts w:ascii="Times New Roman" w:hAnsi="Times New Roman" w:cs="Times New Roman"/>
    </w:rPr>
  </w:style>
  <w:style w:type="paragraph" w:styleId="1309" w:customStyle="1">
    <w:name w:val="表格文字图表文字"/>
    <w:basedOn w:val="1000"/>
    <w:next w:val="1310"/>
    <w:qFormat/>
    <w:pPr>
      <w:ind w:left="0" w:firstLine="3584"/>
      <w:jc w:val="center"/>
      <w:spacing w:before="0" w:after="0" w:line="240" w:lineRule="auto"/>
    </w:pPr>
    <w:rPr>
      <w:rFonts w:ascii="Times New Roman" w:hAnsi="Times New Roman" w:cs="Times New Roman"/>
    </w:rPr>
  </w:style>
  <w:style w:type="paragraph" w:styleId="1310" w:customStyle="1">
    <w:name w:val="样式 目录 3 + 左侧:  2 字符1"/>
    <w:next w:val="1311"/>
    <w:qFormat/>
    <w:pPr>
      <w:ind w:left="960" w:firstLine="5120"/>
      <w:spacing w:line="360" w:lineRule="auto"/>
      <w:widowControl w:val="off"/>
    </w:pPr>
    <w:rPr>
      <w:rFonts w:ascii="Calibri" w:hAnsi="Calibri"/>
    </w:rPr>
  </w:style>
  <w:style w:type="paragraph" w:styleId="1311" w:customStyle="1">
    <w:name w:val="文档正文"/>
    <w:basedOn w:val="1000"/>
    <w:next w:val="1312"/>
    <w:qFormat/>
    <w:pPr>
      <w:ind w:left="567" w:firstLine="3639"/>
      <w:spacing w:before="0" w:after="0" w:line="480" w:lineRule="atLeast"/>
    </w:pPr>
    <w:rPr>
      <w:rFonts w:ascii="Times New Roman" w:hAnsi="Times New Roman" w:cs="Times New Roman"/>
    </w:rPr>
  </w:style>
  <w:style w:type="paragraph" w:styleId="1312" w:customStyle="1">
    <w:name w:val="列表框2"/>
    <w:next w:val="1313"/>
    <w:qFormat/>
    <w:pPr>
      <w:ind w:firstLine="2048"/>
      <w:spacing w:line="460" w:lineRule="exact"/>
    </w:pPr>
    <w:rPr>
      <w:rFonts w:ascii="Calibri" w:hAnsi="Calibri"/>
    </w:rPr>
  </w:style>
  <w:style w:type="paragraph" w:styleId="1313" w:customStyle="1">
    <w:name w:val="font10"/>
    <w:basedOn w:val="1000"/>
    <w:next w:val="1032"/>
    <w:qFormat/>
    <w:pPr>
      <w:ind w:left="0" w:firstLine="3584"/>
      <w:spacing w:before="280" w:after="280" w:line="240" w:lineRule="auto"/>
    </w:pPr>
    <w:rPr>
      <w:rFonts w:ascii="Times New Roman" w:hAnsi="Times New Roman" w:cs="Times New Roman"/>
    </w:rPr>
  </w:style>
  <w:style w:type="paragraph" w:styleId="1314" w:customStyle="1">
    <w:name w:val="纯文本1"/>
    <w:basedOn w:val="1000"/>
    <w:next w:val="1044"/>
    <w:qFormat/>
    <w:pPr>
      <w:ind w:left="0" w:firstLine="3584"/>
      <w:spacing w:before="0" w:after="0" w:line="240" w:lineRule="auto"/>
    </w:pPr>
    <w:rPr>
      <w:rFonts w:ascii="Times New Roman" w:hAnsi="Times New Roman" w:cs="Times New Roman"/>
    </w:rPr>
  </w:style>
  <w:style w:type="paragraph" w:styleId="1315" w:customStyle="1">
    <w:name w:val="索引 91"/>
    <w:basedOn w:val="1000"/>
    <w:next w:val="999"/>
    <w:qFormat/>
    <w:pPr>
      <w:ind w:left="1600" w:firstLine="2560"/>
      <w:jc w:val="center"/>
      <w:spacing w:before="0" w:after="0" w:line="360" w:lineRule="auto"/>
    </w:pPr>
    <w:rPr>
      <w:rFonts w:ascii="Times New Roman" w:hAnsi="Times New Roman" w:cs="Times New Roman"/>
    </w:rPr>
  </w:style>
  <w:style w:type="paragraph" w:styleId="1316" w:customStyle="1">
    <w:name w:val="xl79"/>
    <w:basedOn w:val="1000"/>
    <w:next w:val="1292"/>
    <w:qFormat/>
    <w:pPr>
      <w:ind w:left="0" w:firstLine="3584"/>
      <w:jc w:val="center"/>
      <w:spacing w:before="280" w:after="280" w:line="240" w:lineRule="auto"/>
    </w:pPr>
    <w:rPr>
      <w:rFonts w:ascii="Times New Roman" w:hAnsi="Times New Roman" w:cs="Times New Roman"/>
    </w:rPr>
  </w:style>
  <w:style w:type="paragraph" w:styleId="1317" w:customStyle="1">
    <w:name w:val="表格文字（4号居中）"/>
    <w:next w:val="1318"/>
    <w:qFormat/>
    <w:pPr>
      <w:ind w:firstLine="2560"/>
      <w:jc w:val="center"/>
    </w:pPr>
    <w:rPr>
      <w:rFonts w:ascii="Calibri" w:hAnsi="Calibri"/>
    </w:rPr>
  </w:style>
  <w:style w:type="paragraph" w:styleId="1318" w:customStyle="1">
    <w:name w:val="!方块加粗"/>
    <w:basedOn w:val="1000"/>
    <w:next w:val="1285"/>
    <w:qFormat/>
    <w:pPr>
      <w:ind w:left="600" w:firstLine="5212"/>
      <w:spacing w:before="0" w:after="0" w:line="360" w:lineRule="auto"/>
    </w:pPr>
    <w:rPr>
      <w:rFonts w:ascii="Times New Roman" w:hAnsi="Times New Roman" w:cs="Times New Roman"/>
    </w:rPr>
  </w:style>
  <w:style w:type="paragraph" w:styleId="1319" w:customStyle="1">
    <w:name w:val="xl75"/>
    <w:basedOn w:val="1000"/>
    <w:next w:val="1045"/>
    <w:qFormat/>
    <w:pPr>
      <w:ind w:left="0" w:firstLine="3584"/>
      <w:jc w:val="center"/>
      <w:spacing w:before="280" w:after="280" w:line="240" w:lineRule="auto"/>
    </w:pPr>
    <w:rPr>
      <w:rFonts w:ascii="Times New Roman" w:hAnsi="Times New Roman" w:cs="Times New Roman"/>
    </w:rPr>
  </w:style>
  <w:style w:type="paragraph" w:styleId="1320" w:customStyle="1">
    <w:name w:val="xl81"/>
    <w:basedOn w:val="1000"/>
    <w:next w:val="1321"/>
    <w:qFormat/>
    <w:pPr>
      <w:ind w:left="0" w:firstLine="5120"/>
      <w:spacing w:before="280" w:after="280" w:line="240" w:lineRule="auto"/>
    </w:pPr>
    <w:rPr>
      <w:rFonts w:ascii="Times New Roman" w:hAnsi="Times New Roman" w:cs="Times New Roman"/>
    </w:rPr>
  </w:style>
  <w:style w:type="paragraph" w:styleId="1321" w:customStyle="1">
    <w:name w:val="xl25"/>
    <w:basedOn w:val="1000"/>
    <w:next w:val="1322"/>
    <w:qFormat/>
    <w:pPr>
      <w:ind w:left="0" w:firstLine="14"/>
      <w:spacing w:before="280" w:after="280" w:line="240" w:lineRule="auto"/>
      <w:shd w:val="clear" w:color="000000" w:fill="ffffff"/>
    </w:pPr>
    <w:rPr>
      <w:rFonts w:ascii="Times New Roman" w:hAnsi="Times New Roman" w:cs="Times New Roman"/>
    </w:rPr>
  </w:style>
  <w:style w:type="paragraph" w:styleId="1322" w:customStyle="1">
    <w:name w:val="普通(网站)1"/>
    <w:basedOn w:val="1000"/>
    <w:next w:val="1323"/>
    <w:qFormat/>
    <w:pPr>
      <w:ind w:left="200" w:firstLine="1224"/>
      <w:spacing w:before="280" w:after="280" w:line="240" w:lineRule="auto"/>
    </w:pPr>
    <w:rPr>
      <w:rFonts w:ascii="Times New Roman" w:hAnsi="Times New Roman" w:cs="Times New Roman"/>
    </w:rPr>
  </w:style>
  <w:style w:type="paragraph" w:styleId="1323" w:customStyle="1">
    <w:name w:val="xl27"/>
    <w:basedOn w:val="1000"/>
    <w:next w:val="1309"/>
    <w:qFormat/>
    <w:pPr>
      <w:ind w:left="0" w:firstLine="20"/>
      <w:spacing w:before="280" w:after="280" w:line="240" w:lineRule="auto"/>
      <w:shd w:val="clear" w:color="000000" w:fill="ffffff"/>
    </w:pPr>
    <w:rPr>
      <w:rFonts w:ascii="Times New Roman" w:hAnsi="Times New Roman" w:cs="Times New Roman"/>
    </w:rPr>
  </w:style>
  <w:style w:type="paragraph" w:styleId="1324" w:customStyle="1">
    <w:name w:val="H 4"/>
    <w:basedOn w:val="1004"/>
    <w:next w:val="1325"/>
    <w:qFormat/>
    <w:pPr>
      <w:ind w:left="426" w:firstLine="24"/>
      <w:spacing w:before="0" w:after="0" w:line="360" w:lineRule="auto"/>
      <w:outlineLvl w:val="3"/>
    </w:pPr>
  </w:style>
  <w:style w:type="paragraph" w:styleId="1325" w:customStyle="1">
    <w:name w:val="xl82"/>
    <w:basedOn w:val="1000"/>
    <w:next w:val="1320"/>
    <w:qFormat/>
    <w:pPr>
      <w:ind w:left="0" w:firstLine="5120"/>
      <w:spacing w:before="280" w:after="280" w:line="240" w:lineRule="auto"/>
    </w:pPr>
    <w:rPr>
      <w:rFonts w:ascii="Times New Roman" w:hAnsi="Times New Roman" w:cs="Times New Roman"/>
    </w:rPr>
  </w:style>
  <w:style w:type="paragraph" w:styleId="1326" w:customStyle="1">
    <w:name w:val="Char Char Char Char Char Char Char Char"/>
    <w:next w:val="1327"/>
    <w:qFormat/>
    <w:pPr>
      <w:ind w:firstLine="14"/>
      <w:jc w:val="both"/>
      <w:shd w:val="clear" w:color="000000" w:fill="000080"/>
      <w:widowControl w:val="off"/>
    </w:pPr>
    <w:rPr>
      <w:rFonts w:ascii="Calibri" w:hAnsi="Calibri"/>
    </w:rPr>
  </w:style>
  <w:style w:type="paragraph" w:styleId="1327" w:customStyle="1">
    <w:name w:val="Char Char Char Char Char Char1 Char Char Char1 Char Char Char Char Char Char Char Char Char Char Char Char Char Char Char"/>
    <w:basedOn w:val="1000"/>
    <w:next w:val="1328"/>
    <w:qFormat/>
    <w:pPr>
      <w:ind w:left="0" w:firstLine="2560"/>
      <w:spacing w:before="0" w:after="0" w:line="240" w:lineRule="auto"/>
    </w:pPr>
    <w:rPr>
      <w:rFonts w:ascii="Times New Roman" w:hAnsi="Times New Roman" w:cs="Times New Roman"/>
    </w:rPr>
  </w:style>
  <w:style w:type="paragraph" w:styleId="1328" w:customStyle="1">
    <w:name w:val="样式1"/>
    <w:basedOn w:val="1000"/>
    <w:next w:val="1329"/>
    <w:qFormat/>
    <w:pPr>
      <w:ind w:left="0" w:firstLine="1536"/>
      <w:spacing w:before="120" w:after="120" w:line="300" w:lineRule="auto"/>
    </w:pPr>
    <w:rPr>
      <w:rFonts w:ascii="Times New Roman" w:hAnsi="Times New Roman" w:cs="Times New Roman"/>
    </w:rPr>
  </w:style>
  <w:style w:type="paragraph" w:styleId="1329" w:customStyle="1">
    <w:name w:val="索引 41"/>
    <w:basedOn w:val="1000"/>
    <w:next w:val="999"/>
    <w:qFormat/>
    <w:pPr>
      <w:ind w:left="600" w:firstLine="2560"/>
      <w:jc w:val="center"/>
      <w:spacing w:before="0" w:after="0" w:line="360" w:lineRule="auto"/>
    </w:pPr>
    <w:rPr>
      <w:rFonts w:ascii="Times New Roman" w:hAnsi="Times New Roman" w:cs="Times New Roman"/>
    </w:rPr>
  </w:style>
  <w:style w:type="paragraph" w:styleId="1330" w:customStyle="1">
    <w:name w:val="自定义二"/>
    <w:basedOn w:val="1000"/>
    <w:next w:val="999"/>
    <w:qFormat/>
    <w:pPr>
      <w:ind w:left="0" w:firstLine="14"/>
      <w:spacing w:before="0" w:after="0" w:line="360" w:lineRule="auto"/>
      <w:outlineLvl w:val="1"/>
    </w:pPr>
    <w:rPr>
      <w:rFonts w:ascii="Times New Roman" w:hAnsi="Times New Roman" w:cs="Times New Roman"/>
    </w:rPr>
  </w:style>
  <w:style w:type="paragraph" w:styleId="1331" w:customStyle="1">
    <w:name w:val="Bullet"/>
    <w:next w:val="1269"/>
    <w:qFormat/>
    <w:pPr>
      <w:ind w:left="567" w:right="2835" w:firstLine="3584"/>
      <w:spacing w:after="60"/>
    </w:pPr>
    <w:rPr>
      <w:rFonts w:ascii="Calibri" w:hAnsi="Calibri"/>
    </w:rPr>
  </w:style>
  <w:style w:type="paragraph" w:styleId="1332" w:customStyle="1">
    <w:name w:val="Char Char Char Char Char Char1"/>
    <w:basedOn w:val="1000"/>
    <w:next w:val="1333"/>
    <w:qFormat/>
    <w:pPr>
      <w:ind w:left="0" w:firstLine="2560"/>
      <w:spacing w:before="0" w:after="0" w:line="240" w:lineRule="auto"/>
    </w:pPr>
    <w:rPr>
      <w:rFonts w:ascii="Times New Roman" w:hAnsi="Times New Roman" w:cs="Times New Roman"/>
    </w:rPr>
  </w:style>
  <w:style w:type="paragraph" w:styleId="1333" w:customStyle="1">
    <w:name w:val="正文缩进2"/>
    <w:basedOn w:val="1000"/>
    <w:next w:val="1334"/>
    <w:qFormat/>
    <w:pPr>
      <w:ind w:left="420" w:firstLine="1188"/>
      <w:spacing w:before="0" w:after="0" w:line="240" w:lineRule="auto"/>
    </w:pPr>
    <w:rPr>
      <w:rFonts w:ascii="Times New Roman" w:hAnsi="Times New Roman" w:cs="Times New Roman"/>
    </w:rPr>
  </w:style>
  <w:style w:type="paragraph" w:styleId="1334" w:customStyle="1">
    <w:name w:val="列出段落2"/>
    <w:basedOn w:val="1000"/>
    <w:next w:val="1335"/>
    <w:qFormat/>
    <w:pPr>
      <w:ind w:left="420" w:firstLine="3748"/>
      <w:spacing w:before="0" w:after="0" w:line="240" w:lineRule="auto"/>
    </w:pPr>
    <w:rPr>
      <w:rFonts w:ascii="Times New Roman" w:hAnsi="Times New Roman" w:cs="Times New Roman"/>
    </w:rPr>
  </w:style>
  <w:style w:type="paragraph" w:styleId="1335" w:customStyle="1">
    <w:name w:val="正文文本缩进 31"/>
    <w:basedOn w:val="1000"/>
    <w:next w:val="1336"/>
    <w:qFormat/>
    <w:pPr>
      <w:ind w:left="1200" w:firstLine="1248"/>
      <w:spacing w:before="120" w:after="0" w:line="22" w:lineRule="atLeast"/>
    </w:pPr>
    <w:rPr>
      <w:rFonts w:ascii="Times New Roman" w:hAnsi="Times New Roman" w:cs="Times New Roman"/>
    </w:rPr>
  </w:style>
  <w:style w:type="paragraph" w:styleId="1336" w:customStyle="1">
    <w:name w:val="样式 正文首行缩进 + 首行缩进:  2 字符5"/>
    <w:next w:val="1337"/>
    <w:qFormat/>
    <w:pPr>
      <w:ind w:left="200" w:firstLine="3784"/>
      <w:spacing w:line="300" w:lineRule="auto"/>
    </w:pPr>
    <w:rPr>
      <w:rFonts w:ascii="Calibri" w:hAnsi="Calibri"/>
    </w:rPr>
  </w:style>
  <w:style w:type="paragraph" w:styleId="1337" w:customStyle="1">
    <w:name w:val="Char2"/>
    <w:basedOn w:val="1000"/>
    <w:next w:val="1331"/>
    <w:qFormat/>
    <w:pPr>
      <w:ind w:left="0" w:firstLine="3584"/>
      <w:spacing w:before="0" w:after="160" w:line="240" w:lineRule="exact"/>
    </w:pPr>
    <w:rPr>
      <w:rFonts w:ascii="Times New Roman" w:hAnsi="Times New Roman" w:cs="Times New Roman"/>
    </w:rPr>
  </w:style>
  <w:style w:type="paragraph" w:styleId="1338" w:customStyle="1">
    <w:name w:val="WPSOffice手动目录 1"/>
    <w:qFormat/>
  </w:style>
  <w:style w:type="paragraph" w:styleId="1339" w:customStyle="1">
    <w:name w:val="纯文本4"/>
    <w:basedOn w:val="999"/>
    <w:qFormat/>
    <w:pPr>
      <w:ind w:left="0"/>
      <w:widowControl w:val="off"/>
    </w:pPr>
    <w:rPr>
      <w:rFonts w:ascii="宋体" w:hAnsi="Courier New" w:eastAsia="楷体_GB2312" w:cs="Times New Roman"/>
      <w:sz w:val="26"/>
    </w:rPr>
  </w:style>
  <w:style w:type="paragraph" w:styleId="1340" w:customStyle="1">
    <w:name w:val="Char Char Char Char Char Char Char Char Char Char Char Char Char Char Char Char"/>
    <w:basedOn w:val="1000"/>
    <w:next w:val="1341"/>
    <w:qFormat/>
    <w:pPr>
      <w:ind w:left="682" w:firstLine="1224"/>
      <w:spacing w:before="0" w:after="0" w:line="360" w:lineRule="auto"/>
    </w:pPr>
    <w:rPr>
      <w:rFonts w:ascii="Times New Roman" w:hAnsi="Times New Roman" w:cs="Times New Roman"/>
    </w:rPr>
  </w:style>
  <w:style w:type="paragraph" w:styleId="1341" w:customStyle="1">
    <w:name w:val="列表编号 51"/>
    <w:basedOn w:val="1000"/>
    <w:next w:val="1342"/>
    <w:qFormat/>
    <w:pPr>
      <w:ind w:left="900" w:firstLine="2652"/>
      <w:spacing w:before="0" w:after="0" w:line="360" w:lineRule="auto"/>
    </w:pPr>
    <w:rPr>
      <w:rFonts w:ascii="Times New Roman" w:hAnsi="Times New Roman" w:cs="Times New Roman"/>
    </w:rPr>
  </w:style>
  <w:style w:type="paragraph" w:styleId="1342" w:customStyle="1">
    <w:name w:val="样式 标题 1 + 黑体 (符号) 宋体 三号 段前: 7.8 磅 段后: 7.8 磅 行距: 1.5 倍行距"/>
    <w:basedOn w:val="1001"/>
    <w:next w:val="1343"/>
    <w:qFormat/>
    <w:pPr>
      <w:ind w:left="432" w:firstLine="18"/>
      <w:spacing w:before="40" w:after="40" w:line="360" w:lineRule="auto"/>
      <w:outlineLvl w:val="0"/>
    </w:pPr>
  </w:style>
  <w:style w:type="paragraph" w:styleId="1343" w:customStyle="1">
    <w:name w:val="表格用"/>
    <w:basedOn w:val="1000"/>
    <w:next w:val="1300"/>
    <w:qFormat/>
    <w:pPr>
      <w:ind w:left="0" w:firstLine="1024"/>
      <w:spacing w:before="0" w:after="0" w:line="360" w:lineRule="auto"/>
    </w:pPr>
    <w:rPr>
      <w:rFonts w:ascii="Times New Roman" w:hAnsi="Times New Roman" w:cs="Times New Roman"/>
    </w:rPr>
  </w:style>
  <w:style w:type="paragraph" w:styleId="1344" w:customStyle="1">
    <w:name w:val="xl71"/>
    <w:basedOn w:val="1000"/>
    <w:next w:val="1345"/>
    <w:qFormat/>
    <w:pPr>
      <w:ind w:left="0" w:firstLine="1536"/>
      <w:spacing w:before="280" w:after="280" w:line="240" w:lineRule="auto"/>
    </w:pPr>
    <w:rPr>
      <w:rFonts w:ascii="Times New Roman" w:hAnsi="Times New Roman" w:cs="Times New Roman"/>
    </w:rPr>
  </w:style>
  <w:style w:type="paragraph" w:styleId="1345" w:customStyle="1">
    <w:name w:val="正文文本 31"/>
    <w:basedOn w:val="1000"/>
    <w:next w:val="1346"/>
    <w:qFormat/>
    <w:pPr>
      <w:ind w:left="0" w:firstLine="3584"/>
      <w:jc w:val="center"/>
      <w:spacing w:before="0" w:after="120" w:line="360" w:lineRule="auto"/>
    </w:pPr>
    <w:rPr>
      <w:rFonts w:ascii="Times New Roman" w:hAnsi="Times New Roman" w:cs="Times New Roman"/>
    </w:rPr>
  </w:style>
  <w:style w:type="paragraph" w:styleId="1346" w:customStyle="1">
    <w:name w:val="列出段落111"/>
    <w:basedOn w:val="1000"/>
    <w:next w:val="1282"/>
    <w:qFormat/>
    <w:pPr>
      <w:ind w:left="420" w:firstLine="3748"/>
      <w:spacing w:before="0" w:after="0" w:line="240" w:lineRule="auto"/>
    </w:pPr>
    <w:rPr>
      <w:rFonts w:ascii="Times New Roman" w:hAnsi="Times New Roman" w:cs="Times New Roman"/>
    </w:rPr>
  </w:style>
  <w:style w:type="paragraph" w:styleId="1347" w:customStyle="1">
    <w:name w:val="修订1"/>
    <w:uiPriority w:val="99"/>
    <w:qFormat/>
    <w:rPr>
      <w:rFonts w:ascii="Calibri" w:hAnsi="Calibri"/>
    </w:rPr>
  </w:style>
  <w:style w:type="paragraph" w:styleId="1348" w:customStyle="1">
    <w:name w:val="正文文本缩进 21"/>
    <w:basedOn w:val="1000"/>
    <w:next w:val="1288"/>
    <w:qFormat/>
    <w:pPr>
      <w:ind w:left="480" w:firstLine="4832"/>
      <w:spacing w:before="0" w:after="0" w:line="240" w:lineRule="auto"/>
    </w:pPr>
    <w:rPr>
      <w:rFonts w:ascii="Times New Roman" w:hAnsi="Times New Roman" w:cs="Times New Roman"/>
    </w:rPr>
  </w:style>
  <w:style w:type="paragraph" w:styleId="1349" w:customStyle="1">
    <w:name w:val="Char Char4 Char Char"/>
    <w:basedOn w:val="1000"/>
    <w:next w:val="1298"/>
    <w:qFormat/>
    <w:pPr>
      <w:ind w:left="0" w:firstLine="2560"/>
      <w:spacing w:before="0" w:after="0" w:line="240" w:lineRule="auto"/>
    </w:pPr>
    <w:rPr>
      <w:rFonts w:ascii="Times New Roman" w:hAnsi="Times New Roman" w:cs="Times New Roman"/>
    </w:rPr>
  </w:style>
  <w:style w:type="paragraph" w:styleId="1350" w:customStyle="1">
    <w:name w:val="样式"/>
    <w:next w:val="999"/>
    <w:qFormat/>
    <w:pPr>
      <w:ind w:firstLine="3584"/>
      <w:widowControl w:val="off"/>
    </w:pPr>
    <w:rPr>
      <w:rFonts w:ascii="Calibri" w:hAnsi="Calibri"/>
    </w:rPr>
  </w:style>
  <w:style w:type="paragraph" w:styleId="1351" w:customStyle="1">
    <w:name w:val="TOC 标题1"/>
    <w:basedOn w:val="1001"/>
    <w:next w:val="999"/>
    <w:qFormat/>
    <w:pPr>
      <w:ind w:left="0" w:firstLine="6144"/>
      <w:spacing w:before="480" w:after="0" w:line="276" w:lineRule="auto"/>
    </w:pPr>
    <w:rPr>
      <w:b/>
      <w:sz w:val="30"/>
    </w:rPr>
  </w:style>
  <w:style w:type="paragraph" w:styleId="1352" w:customStyle="1">
    <w:name w:val="纯文本3"/>
    <w:basedOn w:val="999"/>
    <w:qFormat/>
    <w:rPr>
      <w:rFonts w:ascii="宋体" w:hAnsi="Courier New" w:cs="Times New Roman"/>
    </w:rPr>
  </w:style>
  <w:style w:type="paragraph" w:styleId="1353" w:customStyle="1">
    <w:name w:val="afont"/>
    <w:basedOn w:val="1000"/>
    <w:next w:val="1025"/>
    <w:qFormat/>
    <w:pPr>
      <w:ind w:left="0" w:firstLine="2048"/>
      <w:spacing w:before="100" w:after="100" w:line="285" w:lineRule="atLeast"/>
    </w:pPr>
    <w:rPr>
      <w:rFonts w:ascii="Times New Roman" w:hAnsi="Times New Roman" w:cs="Times New Roman"/>
    </w:rPr>
  </w:style>
  <w:style w:type="paragraph" w:styleId="1354" w:customStyle="1">
    <w:name w:val="xl85"/>
    <w:basedOn w:val="1000"/>
    <w:next w:val="1355"/>
    <w:qFormat/>
    <w:pPr>
      <w:ind w:left="0" w:firstLine="2048"/>
      <w:jc w:val="center"/>
      <w:spacing w:before="280" w:after="280" w:line="240" w:lineRule="auto"/>
    </w:pPr>
    <w:rPr>
      <w:rFonts w:ascii="Times New Roman" w:hAnsi="Times New Roman" w:cs="Times New Roman"/>
    </w:rPr>
  </w:style>
  <w:style w:type="paragraph" w:styleId="1355" w:customStyle="1">
    <w:name w:val="文章总标题"/>
    <w:basedOn w:val="1000"/>
    <w:next w:val="1356"/>
    <w:qFormat/>
    <w:pPr>
      <w:ind w:left="0" w:firstLine="7168"/>
      <w:jc w:val="center"/>
      <w:spacing w:before="566" w:after="544" w:line="566" w:lineRule="atLeast"/>
    </w:pPr>
    <w:rPr>
      <w:rFonts w:ascii="Times New Roman" w:hAnsi="Times New Roman" w:cs="Times New Roman"/>
    </w:rPr>
  </w:style>
  <w:style w:type="paragraph" w:styleId="1356" w:customStyle="1">
    <w:name w:val="样式 首行缩进:  2 字符"/>
    <w:basedOn w:val="1000"/>
    <w:next w:val="1319"/>
    <w:qFormat/>
    <w:pPr>
      <w:ind w:left="200" w:firstLine="1224"/>
      <w:spacing w:before="0" w:after="0" w:line="400" w:lineRule="exact"/>
    </w:pPr>
    <w:rPr>
      <w:rFonts w:ascii="Times New Roman" w:hAnsi="Times New Roman" w:cs="Times New Roman"/>
    </w:rPr>
  </w:style>
  <w:style w:type="paragraph" w:styleId="1357" w:customStyle="1">
    <w:name w:val="二级条标题"/>
    <w:basedOn w:val="1000"/>
    <w:next w:val="999"/>
    <w:qFormat/>
    <w:pPr>
      <w:ind w:left="0" w:firstLine="8"/>
      <w:spacing w:before="0" w:after="0" w:line="240" w:lineRule="auto"/>
      <w:outlineLvl w:val="3"/>
    </w:pPr>
    <w:rPr>
      <w:rFonts w:ascii="Times New Roman" w:hAnsi="Times New Roman" w:cs="Times New Roman"/>
    </w:rPr>
  </w:style>
  <w:style w:type="paragraph" w:styleId="1358" w:customStyle="1">
    <w:name w:val="Plain Text*"/>
    <w:basedOn w:val="999"/>
    <w:qFormat/>
    <w:pPr>
      <w:ind w:left="0"/>
      <w:jc w:val="left"/>
    </w:pPr>
    <w:rPr>
      <w:rFonts w:ascii="宋体" w:hAnsi="宋体" w:eastAsia="楷体_GB2312" w:cs="Courier New"/>
      <w:sz w:val="26"/>
      <w:lang w:val="zh-CN"/>
    </w:rPr>
  </w:style>
  <w:style w:type="paragraph" w:styleId="1359" w:customStyle="1">
    <w:name w:val="样式 加粗 居中2"/>
    <w:basedOn w:val="1000"/>
    <w:next w:val="1211"/>
    <w:qFormat/>
    <w:pPr>
      <w:ind w:left="0" w:firstLine="2560"/>
      <w:jc w:val="center"/>
      <w:spacing w:before="0" w:after="0" w:line="360" w:lineRule="auto"/>
    </w:pPr>
    <w:rPr>
      <w:rFonts w:ascii="Times New Roman" w:hAnsi="Times New Roman" w:cs="Times New Roman"/>
    </w:rPr>
  </w:style>
  <w:style w:type="paragraph" w:styleId="1360" w:customStyle="1">
    <w:name w:val="标准文本"/>
    <w:basedOn w:val="1000"/>
    <w:next w:val="1314"/>
    <w:qFormat/>
    <w:pPr>
      <w:ind w:left="480" w:firstLine="2784"/>
      <w:spacing w:before="0" w:after="0" w:line="360" w:lineRule="auto"/>
    </w:pPr>
    <w:rPr>
      <w:rFonts w:ascii="Times New Roman" w:hAnsi="Times New Roman" w:cs="Times New Roman"/>
    </w:rPr>
  </w:style>
  <w:style w:type="paragraph" w:styleId="1361" w:customStyle="1">
    <w:name w:val="font5"/>
    <w:basedOn w:val="1000"/>
    <w:next w:val="1362"/>
    <w:qFormat/>
    <w:pPr>
      <w:ind w:left="0" w:firstLine="5120"/>
      <w:spacing w:before="280" w:after="280" w:line="240" w:lineRule="auto"/>
    </w:pPr>
    <w:rPr>
      <w:rFonts w:ascii="Times New Roman" w:hAnsi="Times New Roman" w:cs="Times New Roman"/>
    </w:rPr>
  </w:style>
  <w:style w:type="paragraph" w:styleId="1362" w:customStyle="1">
    <w:name w:val="索引标题1"/>
    <w:basedOn w:val="1000"/>
    <w:next w:val="1241"/>
    <w:qFormat/>
    <w:pPr>
      <w:ind w:left="0" w:firstLine="4608"/>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Char Char Char Char"/>
    <w:basedOn w:val="1000"/>
    <w:next w:val="1364"/>
    <w:qFormat/>
    <w:pPr>
      <w:ind w:left="0" w:firstLine="2560"/>
      <w:spacing w:before="0" w:after="0" w:line="240" w:lineRule="auto"/>
    </w:pPr>
    <w:rPr>
      <w:rFonts w:ascii="Times New Roman" w:hAnsi="Times New Roman" w:cs="Times New Roman"/>
    </w:rPr>
  </w:style>
  <w:style w:type="paragraph" w:styleId="1364" w:customStyle="1">
    <w:name w:val="1正文"/>
    <w:basedOn w:val="1000"/>
    <w:next w:val="1365"/>
    <w:qFormat/>
    <w:pPr>
      <w:ind w:left="480" w:firstLine="2784"/>
      <w:spacing w:before="0" w:after="0" w:line="300" w:lineRule="auto"/>
    </w:pPr>
    <w:rPr>
      <w:rFonts w:ascii="Times New Roman" w:hAnsi="Times New Roman" w:cs="Times New Roman"/>
    </w:rPr>
  </w:style>
  <w:style w:type="paragraph" w:styleId="1365" w:customStyle="1">
    <w:name w:val="目录2"/>
    <w:basedOn w:val="1000"/>
    <w:next w:val="999"/>
    <w:qFormat/>
    <w:pPr>
      <w:ind w:left="209" w:firstLine="5329"/>
      <w:spacing w:before="0" w:after="0" w:line="317" w:lineRule="atLeast"/>
    </w:pPr>
    <w:rPr>
      <w:rFonts w:ascii="Times New Roman" w:hAnsi="Times New Roman" w:cs="Times New Roman"/>
    </w:rPr>
  </w:style>
  <w:style w:type="paragraph" w:styleId="1366" w:customStyle="1">
    <w:name w:val="图表目录1"/>
    <w:basedOn w:val="1000"/>
    <w:next w:val="999"/>
    <w:qFormat/>
    <w:pPr>
      <w:ind w:left="200" w:firstLine="2616"/>
      <w:jc w:val="center"/>
      <w:spacing w:before="0" w:after="0" w:line="360" w:lineRule="auto"/>
    </w:pPr>
    <w:rPr>
      <w:rFonts w:ascii="Times New Roman" w:hAnsi="Times New Roman" w:cs="Times New Roman"/>
    </w:rPr>
  </w:style>
  <w:style w:type="paragraph" w:styleId="1367" w:customStyle="1">
    <w:name w:val="xl63"/>
    <w:basedOn w:val="1000"/>
    <w:next w:val="1317"/>
    <w:qFormat/>
    <w:pPr>
      <w:ind w:left="0" w:firstLine="5120"/>
      <w:spacing w:before="280" w:after="280" w:line="240" w:lineRule="auto"/>
    </w:pPr>
    <w:rPr>
      <w:rFonts w:ascii="Times New Roman" w:hAnsi="Times New Roman" w:cs="Times New Roman"/>
    </w:rPr>
  </w:style>
  <w:style w:type="paragraph" w:styleId="1368">
    <w:name w:val="List Paragraph"/>
    <w:basedOn w:val="999"/>
    <w:next w:val="1275"/>
    <w:qFormat/>
    <w:pPr>
      <w:ind w:left="420" w:firstLine="3748"/>
    </w:pPr>
    <w:rPr>
      <w:rFonts w:ascii="Times New Roman" w:hAnsi="Times New Roman" w:cs="Times New Roman"/>
    </w:rPr>
  </w:style>
  <w:style w:type="paragraph" w:styleId="1369" w:customStyle="1">
    <w:name w:val="xl73"/>
    <w:basedOn w:val="1000"/>
    <w:next w:val="1370"/>
    <w:qFormat/>
    <w:pPr>
      <w:ind w:left="0" w:firstLine="3584"/>
      <w:spacing w:before="280" w:after="280" w:line="240" w:lineRule="auto"/>
    </w:pPr>
    <w:rPr>
      <w:rFonts w:ascii="Times New Roman" w:hAnsi="Times New Roman" w:cs="Times New Roman"/>
    </w:rPr>
  </w:style>
  <w:style w:type="paragraph" w:styleId="1370" w:customStyle="1">
    <w:name w:val="xl80"/>
    <w:basedOn w:val="1000"/>
    <w:next w:val="1371"/>
    <w:qFormat/>
    <w:pPr>
      <w:ind w:left="0" w:firstLine="3584"/>
      <w:jc w:val="center"/>
      <w:spacing w:before="280" w:after="280" w:line="240" w:lineRule="auto"/>
    </w:pPr>
    <w:rPr>
      <w:rFonts w:ascii="Times New Roman" w:hAnsi="Times New Roman" w:cs="Times New Roman"/>
    </w:rPr>
  </w:style>
  <w:style w:type="paragraph" w:styleId="1371" w:customStyle="1">
    <w:name w:val="样式2"/>
    <w:basedOn w:val="1005"/>
    <w:next w:val="1372"/>
    <w:qFormat/>
    <w:pPr>
      <w:ind w:left="1134" w:firstLine="18"/>
      <w:spacing w:before="0" w:after="0" w:line="360" w:lineRule="auto"/>
      <w:outlineLvl w:val="4"/>
    </w:pPr>
  </w:style>
  <w:style w:type="paragraph" w:styleId="1372" w:customStyle="1">
    <w:name w:val="日期1"/>
    <w:basedOn w:val="1000"/>
    <w:next w:val="999"/>
    <w:qFormat/>
    <w:pPr>
      <w:ind w:left="100" w:firstLine="6144"/>
      <w:spacing w:before="0" w:after="0" w:line="240" w:lineRule="auto"/>
    </w:pPr>
    <w:rPr>
      <w:rFonts w:ascii="Times New Roman" w:hAnsi="Times New Roman" w:cs="Times New Roman"/>
    </w:rPr>
  </w:style>
  <w:style w:type="paragraph" w:styleId="1373" w:customStyle="1">
    <w:name w:val="图1"/>
    <w:basedOn w:val="1000"/>
    <w:next w:val="999"/>
    <w:qFormat/>
    <w:pPr>
      <w:ind w:left="1105" w:firstLine="2580"/>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w:basedOn w:val="1000"/>
    <w:next w:val="1354"/>
    <w:qFormat/>
    <w:pPr>
      <w:ind w:left="0" w:firstLine="2560"/>
      <w:spacing w:before="0" w:after="0" w:line="240" w:lineRule="auto"/>
    </w:pPr>
    <w:rPr>
      <w:rFonts w:ascii="Times New Roman" w:hAnsi="Times New Roman" w:cs="Times New Roman"/>
    </w:rPr>
  </w:style>
  <w:style w:type="paragraph" w:styleId="1375" w:customStyle="1">
    <w:name w:val="Char Char Char Char Char Char Char"/>
    <w:basedOn w:val="1000"/>
    <w:next w:val="1260"/>
    <w:qFormat/>
    <w:pPr>
      <w:ind w:left="200" w:firstLine="4808"/>
      <w:spacing w:before="0" w:after="0" w:line="360" w:lineRule="auto"/>
    </w:pPr>
    <w:rPr>
      <w:rFonts w:ascii="Times New Roman" w:hAnsi="Times New Roman" w:cs="Times New Roman"/>
    </w:rPr>
  </w:style>
  <w:style w:type="paragraph" w:styleId="1376" w:customStyle="1">
    <w:name w:val="Char Char Char Char Char Char Char Char Char Char Char Char Char Char Char"/>
    <w:basedOn w:val="1000"/>
    <w:next w:val="1351"/>
    <w:qFormat/>
    <w:pPr>
      <w:ind w:left="0" w:firstLine="3584"/>
      <w:jc w:val="center"/>
      <w:spacing w:before="0" w:after="0" w:line="400" w:lineRule="exact"/>
    </w:pPr>
    <w:rPr>
      <w:rFonts w:ascii="Times New Roman" w:hAnsi="Times New Roman" w:cs="Times New Roman"/>
    </w:rPr>
  </w:style>
  <w:style w:type="paragraph" w:styleId="1377">
    <w:name w:val="Intense Quote"/>
    <w:next w:val="999"/>
    <w:link w:val="1440"/>
    <w:uiPriority w:val="30"/>
    <w:qFormat/>
    <w:pPr>
      <w:ind w:left="3766" w:right="950"/>
      <w:jc w:val="center"/>
      <w:spacing w:before="360" w:after="360"/>
    </w:pPr>
    <w:rPr>
      <w:rFonts w:ascii="Calibri" w:hAnsi="Calibri"/>
      <w:i/>
    </w:rPr>
  </w:style>
  <w:style w:type="paragraph" w:styleId="1378" w:customStyle="1">
    <w:name w:val="索引 51"/>
    <w:basedOn w:val="1000"/>
    <w:next w:val="999"/>
    <w:qFormat/>
    <w:pPr>
      <w:ind w:left="800" w:firstLine="2560"/>
      <w:jc w:val="center"/>
      <w:spacing w:before="0" w:after="0" w:line="360" w:lineRule="auto"/>
    </w:pPr>
    <w:rPr>
      <w:rFonts w:ascii="Times New Roman" w:hAnsi="Times New Roman" w:cs="Times New Roman"/>
    </w:rPr>
  </w:style>
  <w:style w:type="paragraph" w:styleId="1379" w:customStyle="1">
    <w:name w:val="图表"/>
    <w:basedOn w:val="1000"/>
    <w:next w:val="1380"/>
    <w:qFormat/>
    <w:pPr>
      <w:ind w:left="0" w:firstLine="2048"/>
      <w:jc w:val="center"/>
      <w:spacing w:before="0" w:after="0" w:line="240" w:lineRule="auto"/>
    </w:pPr>
    <w:rPr>
      <w:rFonts w:ascii="Times New Roman" w:hAnsi="Times New Roman" w:cs="Times New Roman"/>
    </w:rPr>
  </w:style>
  <w:style w:type="paragraph" w:styleId="1380" w:customStyle="1">
    <w:name w:val="reader-word-layer"/>
    <w:basedOn w:val="1000"/>
    <w:next w:val="1381"/>
    <w:qFormat/>
    <w:pPr>
      <w:ind w:left="0" w:firstLine="1024"/>
      <w:spacing w:before="280" w:after="280" w:line="240" w:lineRule="auto"/>
    </w:pPr>
    <w:rPr>
      <w:rFonts w:ascii="Times New Roman" w:hAnsi="Times New Roman" w:cs="Times New Roman"/>
    </w:rPr>
  </w:style>
  <w:style w:type="paragraph" w:styleId="1381" w:customStyle="1">
    <w:name w:val="样式 加粗 居中1"/>
    <w:next w:val="1220"/>
    <w:qFormat/>
    <w:pPr>
      <w:ind w:firstLine="2560"/>
      <w:jc w:val="center"/>
    </w:pPr>
    <w:rPr>
      <w:rFonts w:ascii="Calibri" w:hAnsi="Calibri"/>
    </w:rPr>
  </w:style>
  <w:style w:type="paragraph" w:styleId="1382" w:customStyle="1">
    <w:name w:val="修订2"/>
    <w:qFormat/>
    <w:rPr>
      <w:rFonts w:ascii="Calibri" w:hAnsi="Calibri"/>
    </w:rPr>
  </w:style>
  <w:style w:type="paragraph" w:styleId="1383" w:customStyle="1">
    <w:name w:val="Body"/>
    <w:next w:val="1315"/>
    <w:qFormat/>
    <w:pPr>
      <w:ind w:left="567" w:right="2835" w:firstLine="3584"/>
      <w:spacing w:after="60"/>
    </w:pPr>
    <w:rPr>
      <w:rFonts w:ascii="Calibri" w:hAnsi="Calibri"/>
    </w:rPr>
  </w:style>
  <w:style w:type="paragraph" w:styleId="1384" w:customStyle="1">
    <w:name w:val="font6"/>
    <w:basedOn w:val="1000"/>
    <w:next w:val="1385"/>
    <w:qFormat/>
    <w:pPr>
      <w:ind w:left="0" w:firstLine="5120"/>
      <w:spacing w:before="280" w:after="280" w:line="240" w:lineRule="auto"/>
    </w:pPr>
    <w:rPr>
      <w:rFonts w:ascii="Times New Roman" w:hAnsi="Times New Roman" w:cs="Times New Roman"/>
    </w:rPr>
  </w:style>
  <w:style w:type="paragraph" w:styleId="1385" w:customStyle="1">
    <w:name w:val="正文首行缩进 21"/>
    <w:basedOn w:val="1012"/>
    <w:next w:val="1383"/>
    <w:qFormat/>
    <w:pPr>
      <w:ind w:left="200" w:firstLine="3784"/>
      <w:jc w:val="center"/>
      <w:spacing w:after="120" w:line="360" w:lineRule="auto"/>
    </w:pPr>
    <w:rPr>
      <w:rFonts w:ascii="Calibri" w:hAnsi="Calibri"/>
    </w:rPr>
  </w:style>
  <w:style w:type="paragraph" w:styleId="1386" w:customStyle="1">
    <w:name w:val="Char Char"/>
    <w:next w:val="1379"/>
    <w:qFormat/>
    <w:pPr>
      <w:ind w:firstLine="14"/>
      <w:spacing w:line="360" w:lineRule="auto"/>
      <w:shd w:val="clear" w:color="000000" w:fill="000080"/>
    </w:pPr>
    <w:rPr>
      <w:rFonts w:ascii="Calibri" w:hAnsi="Calibri"/>
    </w:rPr>
  </w:style>
  <w:style w:type="paragraph" w:styleId="1387" w:customStyle="1">
    <w:name w:val="正文_0_0"/>
    <w:next w:val="1219"/>
    <w:qFormat/>
    <w:pPr>
      <w:ind w:firstLine="3584"/>
      <w:jc w:val="both"/>
      <w:widowControl w:val="off"/>
    </w:pPr>
    <w:rPr>
      <w:rFonts w:ascii="Calibri" w:hAnsi="Calibri"/>
    </w:rPr>
  </w:style>
  <w:style w:type="paragraph" w:styleId="1388" w:customStyle="1">
    <w:name w:val="font7"/>
    <w:basedOn w:val="1000"/>
    <w:next w:val="1389"/>
    <w:qFormat/>
    <w:pPr>
      <w:ind w:left="0" w:firstLine="3584"/>
      <w:spacing w:before="280" w:after="280" w:line="240" w:lineRule="auto"/>
    </w:pPr>
    <w:rPr>
      <w:rFonts w:ascii="Times New Roman" w:hAnsi="Times New Roman" w:cs="Times New Roman"/>
    </w:rPr>
  </w:style>
  <w:style w:type="paragraph" w:styleId="1389" w:customStyle="1">
    <w:name w:val="Char Char Char Char Char Char1 Char Char Char Char Char Char1 Char Char Char1"/>
    <w:basedOn w:val="1000"/>
    <w:next w:val="1390"/>
    <w:qFormat/>
    <w:pPr>
      <w:ind w:left="0" w:firstLine="2560"/>
      <w:spacing w:before="0" w:after="0" w:line="240" w:lineRule="auto"/>
    </w:pPr>
    <w:rPr>
      <w:rFonts w:ascii="Times New Roman" w:hAnsi="Times New Roman" w:cs="Times New Roman"/>
    </w:rPr>
  </w:style>
  <w:style w:type="paragraph" w:styleId="1390" w:customStyle="1">
    <w:name w:val="xl64"/>
    <w:basedOn w:val="1000"/>
    <w:next w:val="1357"/>
    <w:qFormat/>
    <w:pPr>
      <w:ind w:left="0" w:firstLine="3584"/>
      <w:spacing w:before="280" w:after="280" w:line="240" w:lineRule="auto"/>
    </w:pPr>
    <w:rPr>
      <w:rFonts w:ascii="Times New Roman" w:hAnsi="Times New Roman" w:cs="Times New Roman"/>
    </w:rPr>
  </w:style>
  <w:style w:type="paragraph" w:styleId="1391" w:customStyle="1">
    <w:name w:val="style16"/>
    <w:basedOn w:val="1000"/>
    <w:next w:val="1384"/>
    <w:qFormat/>
    <w:pPr>
      <w:ind w:left="0" w:firstLine="2048"/>
      <w:spacing w:before="280" w:after="280" w:line="240" w:lineRule="auto"/>
    </w:pPr>
    <w:rPr>
      <w:rFonts w:ascii="Times New Roman" w:hAnsi="Times New Roman" w:cs="Times New Roman"/>
    </w:rPr>
  </w:style>
  <w:style w:type="paragraph" w:styleId="1392" w:customStyle="1">
    <w:name w:val="索引 11"/>
    <w:basedOn w:val="1000"/>
    <w:next w:val="999"/>
    <w:qFormat/>
    <w:pPr>
      <w:ind w:left="0" w:firstLine="3584"/>
      <w:spacing w:before="0" w:after="0" w:line="240" w:lineRule="auto"/>
    </w:pPr>
    <w:rPr>
      <w:rFonts w:ascii="Times New Roman" w:hAnsi="Times New Roman" w:cs="Times New Roman"/>
    </w:rPr>
  </w:style>
  <w:style w:type="paragraph" w:styleId="1393" w:customStyle="1">
    <w:name w:val="H 3"/>
    <w:basedOn w:val="1003"/>
    <w:next w:val="1394"/>
    <w:qFormat/>
    <w:pPr>
      <w:ind w:left="1429" w:firstLine="18"/>
      <w:spacing w:before="0" w:after="0" w:line="360" w:lineRule="auto"/>
      <w:outlineLvl w:val="2"/>
    </w:pPr>
  </w:style>
  <w:style w:type="paragraph" w:styleId="1394" w:customStyle="1">
    <w:name w:val="xl83"/>
    <w:basedOn w:val="1000"/>
    <w:next w:val="1375"/>
    <w:qFormat/>
    <w:pPr>
      <w:ind w:left="0" w:firstLine="5120"/>
      <w:spacing w:before="280" w:after="280" w:line="240" w:lineRule="auto"/>
    </w:pPr>
    <w:rPr>
      <w:rFonts w:ascii="Times New Roman" w:hAnsi="Times New Roman" w:cs="Times New Roman"/>
    </w:rPr>
  </w:style>
  <w:style w:type="paragraph" w:styleId="1395" w:customStyle="1">
    <w:name w:val="表格文字（居中）"/>
    <w:basedOn w:val="1000"/>
    <w:next w:val="1391"/>
    <w:qFormat/>
    <w:pPr>
      <w:ind w:left="0" w:firstLine="2560"/>
      <w:jc w:val="center"/>
      <w:spacing w:before="0" w:after="0" w:line="360" w:lineRule="auto"/>
    </w:pPr>
    <w:rPr>
      <w:rFonts w:ascii="Times New Roman" w:hAnsi="Times New Roman" w:cs="Times New Roman"/>
    </w:rPr>
  </w:style>
  <w:style w:type="paragraph" w:styleId="1396" w:customStyle="1">
    <w:name w:val="正文首行缩进两字符"/>
    <w:basedOn w:val="1000"/>
    <w:next w:val="1378"/>
    <w:qFormat/>
    <w:pPr>
      <w:ind w:left="200" w:firstLine="3784"/>
      <w:spacing w:before="0" w:after="0" w:line="360" w:lineRule="auto"/>
    </w:pPr>
    <w:rPr>
      <w:rFonts w:ascii="Times New Roman" w:hAnsi="Times New Roman" w:cs="Times New Roman"/>
    </w:rPr>
  </w:style>
  <w:style w:type="paragraph" w:styleId="1397" w:customStyle="1">
    <w:name w:val="1"/>
    <w:basedOn w:val="1000"/>
    <w:next w:val="1033"/>
    <w:qFormat/>
    <w:pPr>
      <w:ind w:left="0" w:firstLine="2048"/>
      <w:spacing w:before="0" w:after="0" w:line="240" w:lineRule="auto"/>
    </w:pPr>
    <w:rPr>
      <w:rFonts w:ascii="Times New Roman" w:hAnsi="Times New Roman" w:cs="Times New Roman"/>
    </w:rPr>
  </w:style>
  <w:style w:type="paragraph" w:styleId="1398" w:customStyle="1">
    <w:name w:val="_Style 398"/>
    <w:basedOn w:val="1000"/>
    <w:next w:val="99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9" w:customStyle="1">
    <w:name w:val="Table Paragraph"/>
    <w:basedOn w:val="999"/>
    <w:uiPriority w:val="1"/>
    <w:qFormat/>
    <w:rPr>
      <w:rFonts w:ascii="宋体" w:hAnsi="宋体"/>
      <w:lang w:val="zh-CN" w:bidi="zh-CN"/>
    </w:rPr>
  </w:style>
  <w:style w:type="paragraph" w:styleId="1400" w:customStyle="1">
    <w:name w:val="_Style 400"/>
    <w:qFormat/>
    <w:rPr>
      <w:rFonts w:ascii="Calibri" w:hAnsi="Calibri"/>
    </w:rPr>
  </w:style>
  <w:style w:type="paragraph" w:styleId="1401" w:customStyle="1">
    <w:name w:val="Style1"/>
    <w:basedOn w:val="999"/>
    <w:qFormat/>
    <w:pPr>
      <w:ind w:left="0"/>
      <w:tabs>
        <w:tab w:val="left" w:pos="-720" w:leader="none"/>
      </w:tabs>
    </w:pPr>
    <w:rPr>
      <w:rFonts w:ascii="Times New Roman" w:hAnsi="Times New Roman" w:cs="Times New Roman"/>
      <w:spacing w:val="-3"/>
      <w:sz w:val="24"/>
      <w:szCs w:val="24"/>
      <w:lang w:val="en-AU" w:eastAsia="en-US"/>
    </w:rPr>
  </w:style>
  <w:style w:type="paragraph" w:styleId="1402" w:customStyle="1">
    <w:name w:val="msolistparagraph"/>
    <w:basedOn w:val="1000"/>
    <w:next w:val="1267"/>
    <w:qFormat/>
    <w:pPr>
      <w:ind w:left="420" w:firstLine="3748"/>
      <w:spacing w:before="0" w:after="0" w:line="240" w:lineRule="auto"/>
    </w:pPr>
    <w:rPr>
      <w:rFonts w:ascii="Times New Roman" w:hAnsi="Times New Roman" w:cs="Times New Roman"/>
    </w:rPr>
  </w:style>
  <w:style w:type="paragraph" w:styleId="1403" w:customStyle="1">
    <w:name w:val="Char1 Char Char Char"/>
    <w:basedOn w:val="1000"/>
    <w:next w:val="1404"/>
    <w:qFormat/>
    <w:pPr>
      <w:ind w:left="0" w:firstLine="2560"/>
      <w:spacing w:before="0" w:after="0" w:line="240" w:lineRule="auto"/>
    </w:pPr>
    <w:rPr>
      <w:rFonts w:ascii="Times New Roman" w:hAnsi="Times New Roman" w:cs="Times New Roman"/>
    </w:rPr>
  </w:style>
  <w:style w:type="paragraph" w:styleId="1404" w:customStyle="1">
    <w:name w:val="xl24"/>
    <w:basedOn w:val="1000"/>
    <w:next w:val="1349"/>
    <w:qFormat/>
    <w:pPr>
      <w:ind w:left="0" w:firstLine="20"/>
      <w:jc w:val="center"/>
      <w:spacing w:before="280" w:after="280" w:line="240" w:lineRule="auto"/>
      <w:shd w:val="clear" w:color="000000" w:fill="ffffff"/>
    </w:pPr>
    <w:rPr>
      <w:rFonts w:ascii="Times New Roman" w:hAnsi="Times New Roman" w:cs="Times New Roman"/>
    </w:rPr>
  </w:style>
  <w:style w:type="paragraph" w:styleId="1405" w:customStyle="1">
    <w:name w:val="表格文字"/>
    <w:next w:val="1363"/>
    <w:qFormat/>
    <w:pPr>
      <w:ind w:firstLine="3584"/>
    </w:pPr>
    <w:rPr>
      <w:rFonts w:ascii="Calibri" w:hAnsi="Calibri"/>
    </w:rPr>
  </w:style>
  <w:style w:type="paragraph" w:styleId="1406" w:customStyle="1">
    <w:name w:val="xl72"/>
    <w:basedOn w:val="1000"/>
    <w:next w:val="1262"/>
    <w:qFormat/>
    <w:pPr>
      <w:ind w:left="0" w:firstLine="3584"/>
      <w:spacing w:before="280" w:after="280" w:line="240" w:lineRule="auto"/>
    </w:pPr>
    <w:rPr>
      <w:rFonts w:ascii="Times New Roman" w:hAnsi="Times New Roman" w:cs="Times New Roman"/>
    </w:rPr>
  </w:style>
  <w:style w:type="paragraph" w:styleId="1407" w:customStyle="1">
    <w:name w:val="插图"/>
    <w:next w:val="999"/>
    <w:qFormat/>
    <w:pPr>
      <w:ind w:firstLine="4608"/>
      <w:jc w:val="center"/>
    </w:pPr>
    <w:rPr>
      <w:rFonts w:ascii="Calibri" w:hAnsi="Calibri"/>
    </w:rPr>
  </w:style>
  <w:style w:type="paragraph" w:styleId="1408" w:customStyle="1">
    <w:name w:val="列出段落3"/>
    <w:basedOn w:val="1000"/>
    <w:next w:val="1302"/>
    <w:qFormat/>
    <w:pPr>
      <w:ind w:left="420" w:firstLine="3748"/>
      <w:spacing w:before="0" w:after="0" w:line="240" w:lineRule="auto"/>
    </w:pPr>
    <w:rPr>
      <w:rFonts w:ascii="Times New Roman" w:hAnsi="Times New Roman" w:cs="Times New Roman"/>
    </w:rPr>
  </w:style>
  <w:style w:type="paragraph" w:styleId="1409" w:customStyle="1">
    <w:name w:val="目录标题"/>
    <w:basedOn w:val="1000"/>
    <w:next w:val="999"/>
    <w:qFormat/>
    <w:pPr>
      <w:ind w:left="419" w:firstLine="7331"/>
      <w:jc w:val="center"/>
      <w:spacing w:before="566" w:after="544" w:line="566" w:lineRule="atLeast"/>
    </w:pPr>
    <w:rPr>
      <w:rFonts w:ascii="Times New Roman" w:hAnsi="Times New Roman" w:cs="Times New Roman"/>
    </w:rPr>
  </w:style>
  <w:style w:type="paragraph" w:styleId="1410" w:customStyle="1">
    <w:name w:val="默认段落字体 Para Char Char Char Char Char Char Char Char Char1 Char Char Char Char"/>
    <w:basedOn w:val="1000"/>
    <w:next w:val="1305"/>
    <w:qFormat/>
    <w:pPr>
      <w:ind w:left="0" w:firstLine="2560"/>
      <w:spacing w:before="0" w:after="0" w:line="240" w:lineRule="auto"/>
    </w:pPr>
    <w:rPr>
      <w:rFonts w:ascii="Times New Roman" w:hAnsi="Times New Roman" w:cs="Times New Roman"/>
    </w:rPr>
  </w:style>
  <w:style w:type="paragraph" w:styleId="1411" w:customStyle="1">
    <w:name w:val="WPSOffice手动目录 2"/>
    <w:qFormat/>
    <w:pPr>
      <w:ind w:left="200"/>
    </w:pPr>
  </w:style>
  <w:style w:type="paragraph" w:styleId="1412" w:customStyle="1">
    <w:name w:val="表内文字"/>
    <w:basedOn w:val="1000"/>
    <w:next w:val="1041"/>
    <w:qFormat/>
    <w:pPr>
      <w:ind w:left="0" w:firstLine="7680"/>
      <w:jc w:val="center"/>
      <w:spacing w:before="50" w:after="50" w:line="240" w:lineRule="auto"/>
    </w:pPr>
    <w:rPr>
      <w:rFonts w:ascii="Times New Roman" w:hAnsi="Times New Roman" w:cs="Times New Roman"/>
    </w:rPr>
  </w:style>
  <w:style w:type="paragraph" w:styleId="1413" w:customStyle="1">
    <w:name w:val="xl66"/>
    <w:basedOn w:val="1000"/>
    <w:next w:val="1395"/>
    <w:qFormat/>
    <w:pPr>
      <w:ind w:left="0" w:firstLine="3584"/>
      <w:spacing w:before="280" w:after="280" w:line="240" w:lineRule="auto"/>
    </w:pPr>
    <w:rPr>
      <w:rFonts w:ascii="Times New Roman" w:hAnsi="Times New Roman" w:cs="Times New Roman"/>
    </w:rPr>
  </w:style>
  <w:style w:type="paragraph" w:styleId="1414" w:customStyle="1">
    <w:name w:val="*正文"/>
    <w:basedOn w:val="999"/>
    <w:qFormat/>
    <w:pPr>
      <w:ind w:left="0" w:firstLine="200"/>
      <w:spacing w:line="360" w:lineRule="auto"/>
    </w:pPr>
    <w:rPr>
      <w:rFonts w:ascii="仿宋_GB2312" w:hAnsi="Times New Roman" w:eastAsia="仿宋_GB2312" w:cs="Times New Roman"/>
      <w:sz w:val="24"/>
      <w:szCs w:val="28"/>
    </w:rPr>
  </w:style>
  <w:style w:type="paragraph" w:styleId="1415" w:customStyle="1">
    <w:name w:val="0"/>
    <w:basedOn w:val="1000"/>
    <w:next w:val="1308"/>
    <w:qFormat/>
    <w:pPr>
      <w:ind w:left="0" w:firstLine="2815"/>
      <w:spacing w:before="0" w:after="0" w:line="360" w:lineRule="auto"/>
    </w:pPr>
    <w:rPr>
      <w:rFonts w:ascii="Times New Roman" w:hAnsi="Times New Roman" w:cs="Times New Roman"/>
    </w:rPr>
  </w:style>
  <w:style w:type="table" w:styleId="1416" w:customStyle="1">
    <w:name w:val="网格型1"/>
    <w:basedOn w:val="101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7" w:customStyle="1">
    <w:name w:val="font61"/>
    <w:qFormat/>
    <w:rPr>
      <w:rFonts w:hint="default" w:ascii="Times New Roman" w:hAnsi="Times New Roman" w:cs="Times New Roman"/>
      <w:b/>
      <w:bCs/>
      <w:color w:val="000000"/>
      <w:sz w:val="24"/>
      <w:szCs w:val="24"/>
      <w:u w:val="none"/>
    </w:rPr>
  </w:style>
  <w:style w:type="character" w:styleId="1418" w:customStyle="1">
    <w:name w:val="正文首行缩进 2 字符"/>
    <w:basedOn w:val="1009"/>
    <w:link w:val="1059"/>
    <w:uiPriority w:val="99"/>
    <w:qFormat/>
    <w:rPr>
      <w:rFonts w:ascii="Times New Roman" w:hAnsi="Times New Roman" w:cs="Times New Roman"/>
    </w:rPr>
  </w:style>
  <w:style w:type="character" w:styleId="1419" w:customStyle="1">
    <w:name w:val="脚注文本 字符"/>
    <w:basedOn w:val="1009"/>
    <w:link w:val="1049"/>
    <w:rPr>
      <w:rFonts w:ascii="Times New Roman" w:hAnsi="Times New Roman" w:cs="Times New Roman"/>
    </w:rPr>
  </w:style>
  <w:style w:type="character" w:styleId="1420" w:customStyle="1">
    <w:name w:val="正文文本缩进 字符"/>
    <w:basedOn w:val="1009"/>
    <w:link w:val="1012"/>
    <w:uiPriority w:val="99"/>
    <w:rPr>
      <w:rFonts w:ascii="Times New Roman" w:hAnsi="Times New Roman" w:cs="Times New Roman"/>
    </w:rPr>
  </w:style>
  <w:style w:type="character" w:styleId="1421" w:customStyle="1">
    <w:name w:val="标题 1 字符"/>
    <w:basedOn w:val="1009"/>
    <w:link w:val="1000"/>
    <w:uiPriority w:val="9"/>
    <w:qFormat/>
    <w:rPr>
      <w:rFonts w:ascii="Calibri" w:hAnsi="Calibri"/>
    </w:rPr>
  </w:style>
  <w:style w:type="character" w:styleId="1422" w:customStyle="1">
    <w:name w:val="标题 2 字符"/>
    <w:basedOn w:val="1009"/>
    <w:link w:val="1001"/>
    <w:uiPriority w:val="9"/>
    <w:qFormat/>
    <w:rPr>
      <w:rFonts w:ascii="Times New Roman" w:hAnsi="Times New Roman" w:cs="Times New Roman"/>
    </w:rPr>
  </w:style>
  <w:style w:type="character" w:styleId="1423" w:customStyle="1">
    <w:name w:val="标题 3 字符"/>
    <w:basedOn w:val="1009"/>
    <w:link w:val="1002"/>
    <w:uiPriority w:val="9"/>
    <w:qFormat/>
    <w:rPr>
      <w:rFonts w:ascii="Times New Roman" w:hAnsi="Times New Roman" w:cs="Times New Roman"/>
    </w:rPr>
  </w:style>
  <w:style w:type="character" w:styleId="1424" w:customStyle="1">
    <w:name w:val="标题 4 字符"/>
    <w:basedOn w:val="1009"/>
    <w:link w:val="1003"/>
    <w:uiPriority w:val="9"/>
    <w:qFormat/>
    <w:rPr>
      <w:rFonts w:ascii="Times New Roman" w:hAnsi="Times New Roman" w:cs="Times New Roman"/>
    </w:rPr>
  </w:style>
  <w:style w:type="character" w:styleId="1425" w:customStyle="1">
    <w:name w:val="标题 5 字符"/>
    <w:basedOn w:val="1009"/>
    <w:link w:val="1004"/>
    <w:uiPriority w:val="9"/>
    <w:qFormat/>
    <w:rPr>
      <w:rFonts w:ascii="Times New Roman" w:hAnsi="Times New Roman" w:cs="Times New Roman"/>
    </w:rPr>
  </w:style>
  <w:style w:type="character" w:styleId="1426" w:customStyle="1">
    <w:name w:val="标题 6 字符"/>
    <w:basedOn w:val="1009"/>
    <w:link w:val="1005"/>
    <w:uiPriority w:val="9"/>
    <w:qFormat/>
    <w:rPr>
      <w:rFonts w:ascii="Times New Roman" w:hAnsi="Times New Roman" w:cs="Times New Roman"/>
    </w:rPr>
  </w:style>
  <w:style w:type="character" w:styleId="1427" w:customStyle="1">
    <w:name w:val="标题 7 字符"/>
    <w:basedOn w:val="1009"/>
    <w:link w:val="1006"/>
    <w:uiPriority w:val="9"/>
    <w:qFormat/>
    <w:rPr>
      <w:rFonts w:ascii="Times New Roman" w:hAnsi="Times New Roman" w:cs="Times New Roman"/>
    </w:rPr>
  </w:style>
  <w:style w:type="character" w:styleId="1428" w:customStyle="1">
    <w:name w:val="标题 8 字符"/>
    <w:basedOn w:val="1009"/>
    <w:link w:val="1007"/>
    <w:uiPriority w:val="9"/>
    <w:qFormat/>
    <w:rPr>
      <w:rFonts w:ascii="Times New Roman" w:hAnsi="Times New Roman" w:cs="Times New Roman"/>
    </w:rPr>
  </w:style>
  <w:style w:type="character" w:styleId="1429" w:customStyle="1">
    <w:name w:val="标题 9 字符"/>
    <w:basedOn w:val="1009"/>
    <w:link w:val="1008"/>
    <w:uiPriority w:val="9"/>
    <w:qFormat/>
    <w:rPr>
      <w:rFonts w:ascii="Times New Roman" w:hAnsi="Times New Roman" w:cs="Times New Roman"/>
    </w:rPr>
  </w:style>
  <w:style w:type="character" w:styleId="1430" w:customStyle="1">
    <w:name w:val="正文文本 3 字符"/>
    <w:basedOn w:val="1009"/>
    <w:link w:val="1024"/>
    <w:rPr>
      <w:rFonts w:ascii="Times New Roman" w:hAnsi="Times New Roman" w:cs="Times New Roman"/>
    </w:rPr>
  </w:style>
  <w:style w:type="character" w:styleId="1431" w:customStyle="1">
    <w:name w:val="纯文本 字符"/>
    <w:basedOn w:val="1009"/>
    <w:link w:val="1032"/>
    <w:rPr>
      <w:rFonts w:ascii="Times New Roman" w:hAnsi="Times New Roman" w:cs="Times New Roman"/>
    </w:rPr>
  </w:style>
  <w:style w:type="character" w:styleId="1432" w:customStyle="1">
    <w:name w:val="日期 字符"/>
    <w:basedOn w:val="1009"/>
    <w:link w:val="1037"/>
    <w:rPr>
      <w:rFonts w:ascii="Times New Roman" w:hAnsi="Times New Roman" w:cs="Times New Roman"/>
    </w:rPr>
  </w:style>
  <w:style w:type="character" w:styleId="1433" w:customStyle="1">
    <w:name w:val="正文文本缩进 2 字符"/>
    <w:basedOn w:val="1009"/>
    <w:link w:val="1038"/>
    <w:rPr>
      <w:rFonts w:ascii="Times New Roman" w:hAnsi="Times New Roman" w:cs="Times New Roman"/>
    </w:rPr>
  </w:style>
  <w:style w:type="character" w:styleId="1434" w:customStyle="1">
    <w:name w:val="尾注文本 字符"/>
    <w:basedOn w:val="1009"/>
    <w:link w:val="1039"/>
    <w:rPr>
      <w:rFonts w:ascii="Times New Roman" w:hAnsi="Times New Roman" w:cs="Times New Roman"/>
    </w:rPr>
  </w:style>
  <w:style w:type="character" w:styleId="1435" w:customStyle="1">
    <w:name w:val="副标题 字符"/>
    <w:basedOn w:val="1009"/>
    <w:link w:val="1046"/>
    <w:uiPriority w:val="11"/>
    <w:rPr>
      <w:rFonts w:ascii="Calibri" w:hAnsi="Calibri"/>
    </w:rPr>
  </w:style>
  <w:style w:type="character" w:styleId="1436" w:customStyle="1">
    <w:name w:val="正文首行缩进 字符"/>
    <w:basedOn w:val="1078"/>
    <w:link w:val="1048"/>
    <w:rPr>
      <w:rFonts w:ascii="Calibri" w:hAnsi="Calibri" w:eastAsia="宋体" w:cs="Times New Roman"/>
      <w:sz w:val="21"/>
    </w:rPr>
  </w:style>
  <w:style w:type="character" w:styleId="1437" w:customStyle="1">
    <w:name w:val="正文文本 2 字符"/>
    <w:basedOn w:val="1009"/>
    <w:link w:val="1055"/>
    <w:rPr>
      <w:rFonts w:ascii="Times New Roman" w:hAnsi="Times New Roman" w:cs="Times New Roman"/>
    </w:rPr>
  </w:style>
  <w:style w:type="character" w:styleId="1438" w:customStyle="1">
    <w:name w:val="HTML 预设格式 字符"/>
    <w:basedOn w:val="1009"/>
    <w:link w:val="1056"/>
    <w:rPr>
      <w:rFonts w:ascii="Times New Roman" w:hAnsi="Times New Roman" w:cs="Times New Roman"/>
    </w:rPr>
  </w:style>
  <w:style w:type="character" w:styleId="1439" w:customStyle="1">
    <w:name w:val="引用 字符"/>
    <w:basedOn w:val="1009"/>
    <w:link w:val="1251"/>
    <w:uiPriority w:val="29"/>
    <w:rPr>
      <w:rFonts w:ascii="Calibri" w:hAnsi="Calibri"/>
      <w:i/>
    </w:rPr>
  </w:style>
  <w:style w:type="character" w:styleId="1440" w:customStyle="1">
    <w:name w:val="明显引用 字符"/>
    <w:basedOn w:val="1009"/>
    <w:link w:val="1377"/>
    <w:uiPriority w:val="30"/>
    <w:rPr>
      <w:rFonts w:ascii="Calibri" w:hAnsi="Calibri"/>
      <w:i/>
    </w:rPr>
  </w:style>
  <w:style w:type="numbering" w:styleId="1441" w:customStyle="1">
    <w:name w:val="无列表1"/>
    <w:next w:val="1011"/>
    <w:uiPriority w:val="99"/>
    <w:semiHidden/>
    <w:unhideWhenUsed/>
  </w:style>
  <w:style w:type="paragraph" w:styleId="1442" w:customStyle="1">
    <w:name w:val="标题1"/>
    <w:basedOn w:val="999"/>
    <w:next w:val="999"/>
    <w:uiPriority w:val="10"/>
    <w:qFormat/>
    <w:pPr>
      <w:contextualSpacing/>
      <w:ind w:left="0" w:firstLine="200"/>
      <w:jc w:val="center"/>
      <w:spacing w:after="80"/>
    </w:pPr>
    <w:rPr>
      <w:rFonts w:ascii="等线 Light" w:hAnsi="等线 Light" w:eastAsia="等线 Light" w:cs="Times New Roman"/>
      <w:spacing w:val="-10"/>
      <w:sz w:val="56"/>
      <w:szCs w:val="56"/>
      <w14:ligatures w14:val="standardContextual"/>
    </w:rPr>
  </w:style>
  <w:style w:type="character" w:styleId="1443" w:customStyle="1">
    <w:name w:val="标题 字符"/>
    <w:basedOn w:val="1009"/>
    <w:link w:val="1449"/>
    <w:uiPriority w:val="10"/>
    <w:rPr>
      <w:rFonts w:ascii="等线 Light" w:hAnsi="等线 Light" w:eastAsia="等线 Light" w:cs="Times New Roman"/>
      <w:spacing w:val="-10"/>
      <w:sz w:val="56"/>
      <w:szCs w:val="56"/>
      <w14:ligatures w14:val="standardContextual"/>
    </w:rPr>
  </w:style>
  <w:style w:type="table" w:styleId="1444" w:customStyle="1">
    <w:name w:val="网格型2"/>
    <w:basedOn w:val="1010"/>
    <w:next w:val="1060"/>
    <w:uiPriority w:val="39"/>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5" w:customStyle="1">
    <w:name w:val="明显强调1"/>
    <w:basedOn w:val="1009"/>
    <w:uiPriority w:val="21"/>
    <w:qFormat/>
    <w:rPr>
      <w:i/>
      <w:iCs/>
      <w:color w:val="2f5496"/>
    </w:rPr>
  </w:style>
  <w:style w:type="character" w:styleId="1446" w:customStyle="1">
    <w:name w:val="明显参考1"/>
    <w:basedOn w:val="1009"/>
    <w:uiPriority w:val="32"/>
    <w:qFormat/>
    <w:rPr>
      <w:b/>
      <w:bCs/>
      <w:smallCaps/>
      <w:color w:val="2f5496"/>
      <w:spacing w:val="5"/>
    </w:rPr>
  </w:style>
  <w:style w:type="table" w:styleId="1447" w:customStyle="1">
    <w:name w:val="Table Normal"/>
    <w:uiPriority w:val="2"/>
    <w:semiHidden/>
    <w:unhideWhenUsed/>
    <w:qFormat/>
    <w:pPr>
      <w:widowControl w:val="off"/>
    </w:pPr>
    <w:rPr>
      <w:rFonts w:ascii="等线" w:hAnsi="等线" w:eastAsia="等线" w:cs="Times New Roman"/>
      <w:szCs w:val="22"/>
      <w:lang w:eastAsia="en-US"/>
    </w:rPr>
    <w:tblPr>
      <w:tblCellMar>
        <w:left w:w="0" w:type="dxa"/>
        <w:top w:w="0" w:type="dxa"/>
        <w:right w:w="0" w:type="dxa"/>
        <w:bottom w:w="0" w:type="dxa"/>
      </w:tblCellMar>
    </w:tblPr>
  </w:style>
  <w:style w:type="paragraph" w:styleId="1448">
    <w:name w:val="Revision"/>
    <w:hidden/>
    <w:uiPriority w:val="99"/>
    <w:unhideWhenUsed/>
    <w:rPr>
      <w:sz w:val="21"/>
      <w:szCs w:val="24"/>
      <w14:ligatures w14:val="standardContextual"/>
    </w:rPr>
  </w:style>
  <w:style w:type="paragraph" w:styleId="1449">
    <w:name w:val="Title"/>
    <w:basedOn w:val="999"/>
    <w:next w:val="999"/>
    <w:link w:val="1443"/>
    <w:uiPriority w:val="10"/>
    <w:qFormat/>
    <w:pPr>
      <w:jc w:val="center"/>
      <w:spacing w:before="240" w:after="60"/>
      <w:outlineLvl w:val="0"/>
    </w:pPr>
    <w:rPr>
      <w:rFonts w:ascii="等线 Light" w:hAnsi="等线 Light" w:eastAsia="等线 Light" w:cs="Times New Roman"/>
      <w:spacing w:val="-10"/>
      <w:sz w:val="56"/>
      <w:szCs w:val="56"/>
      <w14:ligatures w14:val="standardContextual"/>
    </w:rPr>
  </w:style>
  <w:style w:type="character" w:styleId="1450" w:customStyle="1">
    <w:name w:val="标题 字符1"/>
    <w:basedOn w:val="1009"/>
    <w:uiPriority w:val="10"/>
    <w:rPr>
      <w:rFonts w:asciiTheme="majorHAnsi" w:hAnsiTheme="majorHAnsi" w:eastAsiaTheme="majorEastAsia" w:cstheme="majorBidi"/>
      <w:b/>
      <w:bCs/>
      <w:sz w:val="32"/>
      <w:szCs w:val="32"/>
    </w:rPr>
  </w:style>
  <w:style w:type="table" w:styleId="1451" w:customStyle="1">
    <w:name w:val="网格型3"/>
    <w:basedOn w:val="1010"/>
    <w:next w:val="106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52" w:customStyle="1">
    <w:name w:val="网格型4"/>
    <w:basedOn w:val="1010"/>
    <w:next w:val="106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53" w:customStyle="1">
    <w:name w:val="网格型5"/>
    <w:basedOn w:val="1010"/>
    <w:next w:val="106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54" w:customStyle="1">
    <w:name w:val="网格型6"/>
    <w:basedOn w:val="1010"/>
    <w:next w:val="106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emf"/><Relationship Id="rId18" Type="http://schemas.openxmlformats.org/officeDocument/2006/relationships/package" Target="embeddings/Microsoft_Excel_Worksheet1.xlsx"/><Relationship Id="rId19" Type="http://schemas.openxmlformats.org/officeDocument/2006/relationships/image" Target="media/image2.emf"/><Relationship Id="rId20" Type="http://schemas.openxmlformats.org/officeDocument/2006/relationships/package" Target="embeddings/Microsoft_Excel_Worksheet2.xlsx"/><Relationship Id="rId21" Type="http://schemas.openxmlformats.org/officeDocument/2006/relationships/image" Target="media/image3.emf"/><Relationship Id="rId22" Type="http://schemas.openxmlformats.org/officeDocument/2006/relationships/package" Target="embeddings/Microsoft_Word_Document3.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077AFC1-783E-4C17-B7EF-1ACD4A81D01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15</cp:revision>
  <dcterms:created xsi:type="dcterms:W3CDTF">2026-07-30T01:18:00Z</dcterms:created>
  <dcterms:modified xsi:type="dcterms:W3CDTF">2026-07-30T07:19:35Z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